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234" w:rsidRPr="005F6B6A" w:rsidRDefault="001E1234">
      <w:pPr>
        <w:jc w:val="center"/>
        <w:rPr>
          <w:rFonts w:ascii="Arial" w:hAnsi="Arial" w:cs="Arial"/>
          <w:bCs/>
          <w:sz w:val="24"/>
          <w:szCs w:val="24"/>
        </w:rPr>
      </w:pPr>
      <w:r w:rsidRPr="005F6B6A">
        <w:rPr>
          <w:rFonts w:ascii="Arial" w:hAnsi="Arial" w:cs="Arial"/>
          <w:sz w:val="24"/>
          <w:szCs w:val="24"/>
          <w:lang w:val="en-CA"/>
        </w:rPr>
        <w:fldChar w:fldCharType="begin"/>
      </w:r>
      <w:r w:rsidRPr="005F6B6A">
        <w:rPr>
          <w:rFonts w:ascii="Arial" w:hAnsi="Arial" w:cs="Arial"/>
          <w:sz w:val="24"/>
          <w:szCs w:val="24"/>
          <w:lang w:val="en-CA"/>
        </w:rPr>
        <w:instrText xml:space="preserve"> SEQ CHAPTER \h \r 1</w:instrText>
      </w:r>
      <w:r w:rsidRPr="005F6B6A">
        <w:rPr>
          <w:rFonts w:ascii="Arial" w:hAnsi="Arial" w:cs="Arial"/>
          <w:sz w:val="24"/>
          <w:szCs w:val="24"/>
          <w:lang w:val="en-CA"/>
        </w:rPr>
        <w:fldChar w:fldCharType="end"/>
      </w:r>
      <w:r w:rsidRPr="005F6B6A">
        <w:rPr>
          <w:rFonts w:ascii="Arial" w:hAnsi="Arial" w:cs="Arial"/>
          <w:bCs/>
          <w:sz w:val="24"/>
          <w:szCs w:val="24"/>
        </w:rPr>
        <w:t>SUPPORTING STATEMENT</w:t>
      </w:r>
    </w:p>
    <w:p w:rsidR="00F71B3C" w:rsidRPr="005F6B6A" w:rsidRDefault="003B7B9C">
      <w:pPr>
        <w:jc w:val="center"/>
        <w:rPr>
          <w:rFonts w:ascii="Arial" w:hAnsi="Arial" w:cs="Arial"/>
          <w:bCs/>
          <w:sz w:val="24"/>
          <w:szCs w:val="24"/>
        </w:rPr>
      </w:pPr>
      <w:r w:rsidRPr="005F6B6A">
        <w:rPr>
          <w:rFonts w:ascii="Arial" w:hAnsi="Arial" w:cs="Arial"/>
          <w:bCs/>
          <w:sz w:val="24"/>
          <w:szCs w:val="24"/>
        </w:rPr>
        <w:t>REG-102822-08</w:t>
      </w:r>
    </w:p>
    <w:p w:rsidR="00F71B3C" w:rsidRPr="005F6B6A" w:rsidRDefault="00F71B3C" w:rsidP="00F71B3C">
      <w:pPr>
        <w:rPr>
          <w:rFonts w:ascii="Arial" w:hAnsi="Arial" w:cs="Arial"/>
          <w:bCs/>
          <w:sz w:val="24"/>
          <w:szCs w:val="24"/>
        </w:rPr>
      </w:pPr>
    </w:p>
    <w:p w:rsidR="001E1234" w:rsidRPr="005F6B6A" w:rsidRDefault="001E1234">
      <w:pPr>
        <w:rPr>
          <w:rFonts w:ascii="Arial" w:hAnsi="Arial" w:cs="Arial"/>
          <w:bCs/>
          <w:sz w:val="24"/>
          <w:szCs w:val="24"/>
        </w:rPr>
      </w:pPr>
    </w:p>
    <w:p w:rsidR="001E1234" w:rsidRPr="005F6B6A" w:rsidRDefault="001E1234" w:rsidP="00D353AD">
      <w:pPr>
        <w:pStyle w:val="Level1"/>
        <w:numPr>
          <w:ilvl w:val="0"/>
          <w:numId w:val="1"/>
        </w:numPr>
        <w:tabs>
          <w:tab w:val="left" w:pos="720"/>
        </w:tabs>
        <w:ind w:left="720" w:hanging="720"/>
        <w:jc w:val="left"/>
        <w:rPr>
          <w:rFonts w:ascii="Arial" w:hAnsi="Arial" w:cs="Arial"/>
          <w:bCs/>
        </w:rPr>
      </w:pPr>
      <w:r w:rsidRPr="005F6B6A">
        <w:rPr>
          <w:rFonts w:ascii="Arial" w:hAnsi="Arial" w:cs="Arial"/>
          <w:bCs/>
        </w:rPr>
        <w:t xml:space="preserve"> </w:t>
      </w:r>
      <w:r w:rsidRPr="005F6B6A">
        <w:rPr>
          <w:rFonts w:ascii="Arial" w:hAnsi="Arial" w:cs="Arial"/>
          <w:bCs/>
          <w:u w:val="single"/>
        </w:rPr>
        <w:t>CIRCUMSTANCES NECESSITATING COLLECTION OF INFORMATION</w:t>
      </w:r>
    </w:p>
    <w:p w:rsidR="001E1234" w:rsidRPr="005F6B6A" w:rsidRDefault="001E1234" w:rsidP="00D353AD">
      <w:pPr>
        <w:numPr>
          <w:ilvl w:val="12"/>
          <w:numId w:val="0"/>
        </w:numPr>
        <w:rPr>
          <w:rFonts w:ascii="Arial" w:hAnsi="Arial" w:cs="Arial"/>
          <w:bCs/>
          <w:sz w:val="24"/>
          <w:szCs w:val="24"/>
        </w:rPr>
      </w:pPr>
    </w:p>
    <w:p w:rsidR="001E1234" w:rsidRPr="005F6B6A" w:rsidRDefault="00232822" w:rsidP="00E31CFB">
      <w:pPr>
        <w:numPr>
          <w:ilvl w:val="12"/>
          <w:numId w:val="0"/>
        </w:numPr>
        <w:ind w:left="720"/>
        <w:rPr>
          <w:rFonts w:ascii="Arial" w:hAnsi="Arial" w:cs="Arial"/>
          <w:bCs/>
          <w:sz w:val="24"/>
          <w:szCs w:val="24"/>
        </w:rPr>
      </w:pPr>
      <w:r w:rsidRPr="005F6B6A">
        <w:rPr>
          <w:rFonts w:ascii="Arial" w:hAnsi="Arial" w:cs="Arial"/>
          <w:bCs/>
          <w:sz w:val="24"/>
          <w:szCs w:val="24"/>
        </w:rPr>
        <w:t>The collection of information is in §</w:t>
      </w:r>
      <w:r w:rsidR="00CF0871" w:rsidRPr="005F6B6A">
        <w:rPr>
          <w:rFonts w:ascii="Arial" w:hAnsi="Arial" w:cs="Arial"/>
          <w:bCs/>
          <w:sz w:val="24"/>
          <w:szCs w:val="24"/>
        </w:rPr>
        <w:t xml:space="preserve"> </w:t>
      </w:r>
      <w:r w:rsidR="00CA35E5" w:rsidRPr="005F6B6A">
        <w:rPr>
          <w:rFonts w:ascii="Arial" w:hAnsi="Arial" w:cs="Arial"/>
          <w:bCs/>
          <w:sz w:val="24"/>
          <w:szCs w:val="24"/>
        </w:rPr>
        <w:t>1.108-7(d</w:t>
      </w:r>
      <w:proofErr w:type="gramStart"/>
      <w:r w:rsidR="00CA35E5" w:rsidRPr="005F6B6A">
        <w:rPr>
          <w:rFonts w:ascii="Arial" w:hAnsi="Arial" w:cs="Arial"/>
          <w:bCs/>
          <w:sz w:val="24"/>
          <w:szCs w:val="24"/>
        </w:rPr>
        <w:t>)(</w:t>
      </w:r>
      <w:proofErr w:type="gramEnd"/>
      <w:r w:rsidR="00CA35E5" w:rsidRPr="005F6B6A">
        <w:rPr>
          <w:rFonts w:ascii="Arial" w:hAnsi="Arial" w:cs="Arial"/>
          <w:bCs/>
          <w:sz w:val="24"/>
          <w:szCs w:val="24"/>
        </w:rPr>
        <w:t>4)</w:t>
      </w:r>
      <w:r w:rsidR="003B7B9C" w:rsidRPr="005F6B6A">
        <w:rPr>
          <w:rFonts w:ascii="Arial" w:hAnsi="Arial" w:cs="Arial"/>
          <w:bCs/>
          <w:sz w:val="24"/>
          <w:szCs w:val="24"/>
        </w:rPr>
        <w:t xml:space="preserve"> of the Income Tax Regulations</w:t>
      </w:r>
      <w:r w:rsidRPr="005F6B6A">
        <w:rPr>
          <w:rFonts w:ascii="Arial" w:hAnsi="Arial" w:cs="Arial"/>
          <w:bCs/>
          <w:sz w:val="24"/>
          <w:szCs w:val="24"/>
        </w:rPr>
        <w:t xml:space="preserve">.   </w:t>
      </w:r>
      <w:r w:rsidR="00337FF6" w:rsidRPr="005F6B6A">
        <w:rPr>
          <w:rFonts w:ascii="Arial" w:hAnsi="Arial" w:cs="Arial"/>
          <w:bCs/>
          <w:sz w:val="24"/>
          <w:szCs w:val="24"/>
        </w:rPr>
        <w:t>Section 108(a) of the Internal Revenue Code prov</w:t>
      </w:r>
      <w:r w:rsidR="00587FD5" w:rsidRPr="005F6B6A">
        <w:rPr>
          <w:rFonts w:ascii="Arial" w:hAnsi="Arial" w:cs="Arial"/>
          <w:bCs/>
          <w:sz w:val="24"/>
          <w:szCs w:val="24"/>
        </w:rPr>
        <w:t xml:space="preserve">ides an exclusion from gross income for income from discharge of indebtedness (COD income) if the discharge occurs in certain situations.  </w:t>
      </w:r>
      <w:r w:rsidR="00E2713A" w:rsidRPr="005F6B6A">
        <w:rPr>
          <w:rFonts w:ascii="Arial" w:hAnsi="Arial" w:cs="Arial"/>
          <w:bCs/>
          <w:sz w:val="24"/>
          <w:szCs w:val="24"/>
        </w:rPr>
        <w:t>Taxpayers must reduce tax attributes as provided in § 108(</w:t>
      </w:r>
      <w:r w:rsidR="00137DF3">
        <w:rPr>
          <w:rFonts w:ascii="Arial" w:hAnsi="Arial" w:cs="Arial"/>
          <w:bCs/>
          <w:sz w:val="24"/>
          <w:szCs w:val="24"/>
        </w:rPr>
        <w:t>b) for certain types of excluded</w:t>
      </w:r>
      <w:r w:rsidR="00E2713A" w:rsidRPr="005F6B6A">
        <w:rPr>
          <w:rFonts w:ascii="Arial" w:hAnsi="Arial" w:cs="Arial"/>
          <w:bCs/>
          <w:sz w:val="24"/>
          <w:szCs w:val="24"/>
        </w:rPr>
        <w:t xml:space="preserve"> COD income.  For S corporations, § 108(d</w:t>
      </w:r>
      <w:proofErr w:type="gramStart"/>
      <w:r w:rsidR="00E2713A" w:rsidRPr="005F6B6A">
        <w:rPr>
          <w:rFonts w:ascii="Arial" w:hAnsi="Arial" w:cs="Arial"/>
          <w:bCs/>
          <w:sz w:val="24"/>
          <w:szCs w:val="24"/>
        </w:rPr>
        <w:t>)(</w:t>
      </w:r>
      <w:proofErr w:type="gramEnd"/>
      <w:r w:rsidR="00E2713A" w:rsidRPr="005F6B6A">
        <w:rPr>
          <w:rFonts w:ascii="Arial" w:hAnsi="Arial" w:cs="Arial"/>
          <w:bCs/>
          <w:sz w:val="24"/>
          <w:szCs w:val="24"/>
        </w:rPr>
        <w:t>7)(A) provides that the t</w:t>
      </w:r>
      <w:r w:rsidR="009003B7">
        <w:rPr>
          <w:rFonts w:ascii="Arial" w:hAnsi="Arial" w:cs="Arial"/>
          <w:bCs/>
          <w:sz w:val="24"/>
          <w:szCs w:val="24"/>
        </w:rPr>
        <w:t>ax attribute reduction under § 1</w:t>
      </w:r>
      <w:r w:rsidR="00E2713A" w:rsidRPr="005F6B6A">
        <w:rPr>
          <w:rFonts w:ascii="Arial" w:hAnsi="Arial" w:cs="Arial"/>
          <w:bCs/>
          <w:sz w:val="24"/>
          <w:szCs w:val="24"/>
        </w:rPr>
        <w:t xml:space="preserve">08(b) is performed at the corporate, rather than shareholder level. </w:t>
      </w:r>
      <w:r w:rsidR="00712BD6" w:rsidRPr="005F6B6A">
        <w:rPr>
          <w:rFonts w:ascii="Arial" w:hAnsi="Arial" w:cs="Arial"/>
          <w:bCs/>
          <w:sz w:val="24"/>
          <w:szCs w:val="24"/>
        </w:rPr>
        <w:t xml:space="preserve"> </w:t>
      </w:r>
      <w:r w:rsidR="00E2713A" w:rsidRPr="005F6B6A">
        <w:rPr>
          <w:rFonts w:ascii="Arial" w:hAnsi="Arial" w:cs="Arial"/>
          <w:bCs/>
          <w:sz w:val="24"/>
          <w:szCs w:val="24"/>
        </w:rPr>
        <w:t>Sec</w:t>
      </w:r>
      <w:r w:rsidR="00712BD6" w:rsidRPr="005F6B6A">
        <w:rPr>
          <w:rFonts w:ascii="Arial" w:hAnsi="Arial" w:cs="Arial"/>
          <w:bCs/>
          <w:sz w:val="24"/>
          <w:szCs w:val="24"/>
        </w:rPr>
        <w:t>tion 108(d</w:t>
      </w:r>
      <w:proofErr w:type="gramStart"/>
      <w:r w:rsidR="00712BD6" w:rsidRPr="005F6B6A">
        <w:rPr>
          <w:rFonts w:ascii="Arial" w:hAnsi="Arial" w:cs="Arial"/>
          <w:bCs/>
          <w:sz w:val="24"/>
          <w:szCs w:val="24"/>
        </w:rPr>
        <w:t>)(</w:t>
      </w:r>
      <w:proofErr w:type="gramEnd"/>
      <w:r w:rsidR="00712BD6" w:rsidRPr="005F6B6A">
        <w:rPr>
          <w:rFonts w:ascii="Arial" w:hAnsi="Arial" w:cs="Arial"/>
          <w:bCs/>
          <w:sz w:val="24"/>
          <w:szCs w:val="24"/>
        </w:rPr>
        <w:t xml:space="preserve">7)(B) provides that a </w:t>
      </w:r>
      <w:r w:rsidR="0027069B" w:rsidRPr="005F6B6A">
        <w:rPr>
          <w:rFonts w:ascii="Arial" w:hAnsi="Arial" w:cs="Arial"/>
          <w:bCs/>
          <w:sz w:val="24"/>
          <w:szCs w:val="24"/>
        </w:rPr>
        <w:t>particular</w:t>
      </w:r>
      <w:r w:rsidR="00712BD6" w:rsidRPr="005F6B6A">
        <w:rPr>
          <w:rFonts w:ascii="Arial" w:hAnsi="Arial" w:cs="Arial"/>
          <w:bCs/>
          <w:sz w:val="24"/>
          <w:szCs w:val="24"/>
        </w:rPr>
        <w:t xml:space="preserve"> shareholder level tax attribute (losses and deductions suspended under § 1366(d)) is </w:t>
      </w:r>
      <w:r w:rsidR="00E2713A" w:rsidRPr="005F6B6A">
        <w:rPr>
          <w:rFonts w:ascii="Arial" w:hAnsi="Arial" w:cs="Arial"/>
          <w:bCs/>
          <w:sz w:val="24"/>
          <w:szCs w:val="24"/>
        </w:rPr>
        <w:t xml:space="preserve">treated </w:t>
      </w:r>
      <w:r w:rsidR="00712BD6" w:rsidRPr="005F6B6A">
        <w:rPr>
          <w:rFonts w:ascii="Arial" w:hAnsi="Arial" w:cs="Arial"/>
          <w:bCs/>
          <w:sz w:val="24"/>
          <w:szCs w:val="24"/>
        </w:rPr>
        <w:t xml:space="preserve">as a corporate level tax attribute for purposes of the tax attribute reduction under § 108(b).  </w:t>
      </w:r>
      <w:r w:rsidR="004D278D" w:rsidRPr="005F6B6A">
        <w:rPr>
          <w:rFonts w:ascii="Arial" w:hAnsi="Arial" w:cs="Arial"/>
          <w:bCs/>
          <w:sz w:val="24"/>
          <w:szCs w:val="24"/>
        </w:rPr>
        <w:t xml:space="preserve">The collection of information required is that, for taxable years in which an S corporation excludes COD income under § 108(a), </w:t>
      </w:r>
      <w:r w:rsidR="00AC3127">
        <w:rPr>
          <w:rFonts w:ascii="Arial" w:hAnsi="Arial" w:cs="Arial"/>
          <w:bCs/>
          <w:sz w:val="24"/>
          <w:szCs w:val="24"/>
        </w:rPr>
        <w:t xml:space="preserve">each shareholder of the S corporation during the taxable year of the discharge must provide to the S corporation the amount of the shareholder’s relevant tax attribute. </w:t>
      </w:r>
      <w:r w:rsidR="004D278D" w:rsidRPr="005F6B6A">
        <w:rPr>
          <w:rFonts w:ascii="Arial" w:hAnsi="Arial" w:cs="Arial"/>
          <w:bCs/>
          <w:sz w:val="24"/>
          <w:szCs w:val="24"/>
        </w:rPr>
        <w:t xml:space="preserve"> This information will be used by the S corporation to pe</w:t>
      </w:r>
      <w:r w:rsidR="00AC3127">
        <w:rPr>
          <w:rFonts w:ascii="Arial" w:hAnsi="Arial" w:cs="Arial"/>
          <w:bCs/>
          <w:sz w:val="24"/>
          <w:szCs w:val="24"/>
        </w:rPr>
        <w:t>rform the tax attribute reduction under § </w:t>
      </w:r>
      <w:r w:rsidR="004D278D" w:rsidRPr="005F6B6A">
        <w:rPr>
          <w:rFonts w:ascii="Arial" w:hAnsi="Arial" w:cs="Arial"/>
          <w:bCs/>
          <w:sz w:val="24"/>
          <w:szCs w:val="24"/>
        </w:rPr>
        <w:t xml:space="preserve">108(b).  </w:t>
      </w:r>
      <w:r w:rsidR="0027069B" w:rsidRPr="005F6B6A">
        <w:rPr>
          <w:rFonts w:ascii="Arial" w:hAnsi="Arial" w:cs="Arial"/>
          <w:bCs/>
          <w:sz w:val="24"/>
          <w:szCs w:val="24"/>
        </w:rPr>
        <w:t>Furthermore</w:t>
      </w:r>
      <w:r w:rsidR="00102208" w:rsidRPr="005F6B6A">
        <w:rPr>
          <w:rFonts w:ascii="Arial" w:hAnsi="Arial" w:cs="Arial"/>
          <w:bCs/>
          <w:sz w:val="24"/>
          <w:szCs w:val="24"/>
        </w:rPr>
        <w:t xml:space="preserve">, the S corporation must </w:t>
      </w:r>
      <w:r w:rsidR="00AC3127">
        <w:rPr>
          <w:rFonts w:ascii="Arial" w:hAnsi="Arial" w:cs="Arial"/>
          <w:bCs/>
          <w:sz w:val="24"/>
          <w:szCs w:val="24"/>
        </w:rPr>
        <w:t>provide</w:t>
      </w:r>
      <w:r w:rsidR="00102208" w:rsidRPr="005F6B6A">
        <w:rPr>
          <w:rFonts w:ascii="Arial" w:hAnsi="Arial" w:cs="Arial"/>
          <w:bCs/>
          <w:sz w:val="24"/>
          <w:szCs w:val="24"/>
        </w:rPr>
        <w:t xml:space="preserve"> </w:t>
      </w:r>
      <w:r w:rsidR="00AC3127">
        <w:rPr>
          <w:rFonts w:ascii="Arial" w:hAnsi="Arial" w:cs="Arial"/>
          <w:bCs/>
          <w:sz w:val="24"/>
          <w:szCs w:val="24"/>
        </w:rPr>
        <w:t xml:space="preserve">to each shareholder the amount of any of the S corporation’s excess </w:t>
      </w:r>
      <w:r w:rsidR="00137DF3">
        <w:rPr>
          <w:rFonts w:ascii="Arial" w:hAnsi="Arial" w:cs="Arial"/>
          <w:bCs/>
          <w:sz w:val="24"/>
          <w:szCs w:val="24"/>
        </w:rPr>
        <w:t xml:space="preserve">tax attribute </w:t>
      </w:r>
      <w:r w:rsidR="00102208" w:rsidRPr="005F6B6A">
        <w:rPr>
          <w:rFonts w:ascii="Arial" w:hAnsi="Arial" w:cs="Arial"/>
          <w:bCs/>
          <w:sz w:val="24"/>
          <w:szCs w:val="24"/>
        </w:rPr>
        <w:t>pursuant to § 1.108-7(d</w:t>
      </w:r>
      <w:proofErr w:type="gramStart"/>
      <w:r w:rsidR="00102208" w:rsidRPr="005F6B6A">
        <w:rPr>
          <w:rFonts w:ascii="Arial" w:hAnsi="Arial" w:cs="Arial"/>
          <w:bCs/>
          <w:sz w:val="24"/>
          <w:szCs w:val="24"/>
        </w:rPr>
        <w:t>)(</w:t>
      </w:r>
      <w:proofErr w:type="gramEnd"/>
      <w:r w:rsidR="00102208" w:rsidRPr="005F6B6A">
        <w:rPr>
          <w:rFonts w:ascii="Arial" w:hAnsi="Arial" w:cs="Arial"/>
          <w:bCs/>
          <w:sz w:val="24"/>
          <w:szCs w:val="24"/>
        </w:rPr>
        <w:t xml:space="preserve">2).  </w:t>
      </w:r>
    </w:p>
    <w:p w:rsidR="001E1234" w:rsidRPr="005F6B6A" w:rsidRDefault="001E1234" w:rsidP="00D353AD">
      <w:pPr>
        <w:numPr>
          <w:ilvl w:val="12"/>
          <w:numId w:val="0"/>
        </w:numPr>
        <w:rPr>
          <w:rFonts w:ascii="Arial" w:hAnsi="Arial" w:cs="Arial"/>
          <w:bCs/>
          <w:sz w:val="24"/>
          <w:szCs w:val="24"/>
        </w:rPr>
      </w:pPr>
    </w:p>
    <w:p w:rsidR="001E1234" w:rsidRPr="005F6B6A" w:rsidRDefault="001E1234" w:rsidP="00D353AD">
      <w:pPr>
        <w:pStyle w:val="Level1"/>
        <w:numPr>
          <w:ilvl w:val="0"/>
          <w:numId w:val="1"/>
        </w:numPr>
        <w:tabs>
          <w:tab w:val="left" w:pos="720"/>
        </w:tabs>
        <w:ind w:left="720" w:hanging="720"/>
        <w:jc w:val="left"/>
        <w:rPr>
          <w:rFonts w:ascii="Arial" w:hAnsi="Arial" w:cs="Arial"/>
          <w:bCs/>
        </w:rPr>
      </w:pPr>
      <w:r w:rsidRPr="005F6B6A">
        <w:rPr>
          <w:rFonts w:ascii="Arial" w:hAnsi="Arial" w:cs="Arial"/>
          <w:bCs/>
          <w:u w:val="single"/>
        </w:rPr>
        <w:t>USE OF DATA</w:t>
      </w:r>
      <w:r w:rsidRPr="005F6B6A">
        <w:rPr>
          <w:rFonts w:ascii="Arial" w:hAnsi="Arial" w:cs="Arial"/>
          <w:bCs/>
        </w:rPr>
        <w:t xml:space="preserve">              </w:t>
      </w:r>
    </w:p>
    <w:p w:rsidR="001E1234" w:rsidRPr="005F6B6A" w:rsidRDefault="001E1234" w:rsidP="00D353AD">
      <w:pPr>
        <w:numPr>
          <w:ilvl w:val="12"/>
          <w:numId w:val="0"/>
        </w:numPr>
        <w:rPr>
          <w:rFonts w:ascii="Arial" w:hAnsi="Arial" w:cs="Arial"/>
          <w:bCs/>
          <w:sz w:val="24"/>
          <w:szCs w:val="24"/>
        </w:rPr>
      </w:pPr>
    </w:p>
    <w:p w:rsidR="00F71B3C" w:rsidRPr="005F6B6A" w:rsidRDefault="00F71B3C" w:rsidP="00E31CFB">
      <w:pPr>
        <w:numPr>
          <w:ilvl w:val="12"/>
          <w:numId w:val="0"/>
        </w:numPr>
        <w:ind w:left="720"/>
        <w:rPr>
          <w:rFonts w:ascii="Arial" w:hAnsi="Arial" w:cs="Arial"/>
          <w:bCs/>
          <w:sz w:val="24"/>
          <w:szCs w:val="24"/>
        </w:rPr>
      </w:pPr>
      <w:r w:rsidRPr="005F6B6A">
        <w:rPr>
          <w:rFonts w:ascii="Arial" w:hAnsi="Arial" w:cs="Arial"/>
          <w:bCs/>
          <w:sz w:val="24"/>
          <w:szCs w:val="24"/>
        </w:rPr>
        <w:t>The inform</w:t>
      </w:r>
      <w:r w:rsidR="00B86238" w:rsidRPr="005F6B6A">
        <w:rPr>
          <w:rFonts w:ascii="Arial" w:hAnsi="Arial" w:cs="Arial"/>
          <w:bCs/>
          <w:sz w:val="24"/>
          <w:szCs w:val="24"/>
        </w:rPr>
        <w:t>ation</w:t>
      </w:r>
      <w:r w:rsidR="00C16953" w:rsidRPr="005F6B6A">
        <w:rPr>
          <w:rFonts w:ascii="Arial" w:hAnsi="Arial" w:cs="Arial"/>
          <w:bCs/>
          <w:sz w:val="24"/>
          <w:szCs w:val="24"/>
        </w:rPr>
        <w:t xml:space="preserve"> will be used by the </w:t>
      </w:r>
      <w:r w:rsidR="0027069B" w:rsidRPr="005F6B6A">
        <w:rPr>
          <w:rFonts w:ascii="Arial" w:hAnsi="Arial" w:cs="Arial"/>
          <w:bCs/>
          <w:sz w:val="24"/>
          <w:szCs w:val="24"/>
        </w:rPr>
        <w:t>S corporation</w:t>
      </w:r>
      <w:r w:rsidR="00452D9B" w:rsidRPr="005F6B6A">
        <w:rPr>
          <w:rFonts w:ascii="Arial" w:hAnsi="Arial" w:cs="Arial"/>
          <w:bCs/>
          <w:sz w:val="24"/>
          <w:szCs w:val="24"/>
        </w:rPr>
        <w:t xml:space="preserve"> </w:t>
      </w:r>
      <w:r w:rsidR="0027069B" w:rsidRPr="005F6B6A">
        <w:rPr>
          <w:rFonts w:ascii="Arial" w:hAnsi="Arial" w:cs="Arial"/>
          <w:bCs/>
          <w:sz w:val="24"/>
          <w:szCs w:val="24"/>
        </w:rPr>
        <w:t xml:space="preserve">to make adjustments that are required under § 108(b).  The information will be used by the shareholders to determine their tax liability in succeeding taxable years. </w:t>
      </w:r>
    </w:p>
    <w:p w:rsidR="001E1234" w:rsidRPr="005F6B6A" w:rsidRDefault="001E1234" w:rsidP="00D353AD">
      <w:pPr>
        <w:numPr>
          <w:ilvl w:val="12"/>
          <w:numId w:val="0"/>
        </w:numPr>
        <w:rPr>
          <w:rFonts w:ascii="Arial" w:hAnsi="Arial" w:cs="Arial"/>
          <w:bCs/>
          <w:sz w:val="24"/>
          <w:szCs w:val="24"/>
        </w:rPr>
      </w:pPr>
    </w:p>
    <w:p w:rsidR="001E1234" w:rsidRPr="005F6B6A" w:rsidRDefault="001E1234" w:rsidP="00D353AD">
      <w:pPr>
        <w:pStyle w:val="Level1"/>
        <w:numPr>
          <w:ilvl w:val="0"/>
          <w:numId w:val="1"/>
        </w:numPr>
        <w:tabs>
          <w:tab w:val="left" w:pos="720"/>
        </w:tabs>
        <w:ind w:left="720" w:hanging="720"/>
        <w:jc w:val="left"/>
        <w:rPr>
          <w:rFonts w:ascii="Arial" w:hAnsi="Arial" w:cs="Arial"/>
          <w:bCs/>
        </w:rPr>
      </w:pPr>
      <w:r w:rsidRPr="005F6B6A">
        <w:rPr>
          <w:rFonts w:ascii="Arial" w:hAnsi="Arial" w:cs="Arial"/>
          <w:bCs/>
          <w:u w:val="single"/>
        </w:rPr>
        <w:t>USE OF IMPROVED INFORMATION TECHNOLOGY TO REDUCE BURDEN</w:t>
      </w:r>
    </w:p>
    <w:p w:rsidR="001E1234" w:rsidRPr="005F6B6A" w:rsidRDefault="001E1234" w:rsidP="00D353AD">
      <w:pPr>
        <w:numPr>
          <w:ilvl w:val="12"/>
          <w:numId w:val="0"/>
        </w:numPr>
        <w:rPr>
          <w:rFonts w:ascii="Arial" w:hAnsi="Arial" w:cs="Arial"/>
          <w:bCs/>
          <w:sz w:val="24"/>
          <w:szCs w:val="24"/>
        </w:rPr>
      </w:pPr>
    </w:p>
    <w:p w:rsidR="001E1234" w:rsidRPr="005F6B6A" w:rsidRDefault="001E1234" w:rsidP="00E31CFB">
      <w:pPr>
        <w:numPr>
          <w:ilvl w:val="12"/>
          <w:numId w:val="0"/>
        </w:numPr>
        <w:ind w:left="720"/>
        <w:rPr>
          <w:rFonts w:ascii="Arial" w:hAnsi="Arial" w:cs="Arial"/>
          <w:bCs/>
          <w:sz w:val="24"/>
          <w:szCs w:val="24"/>
        </w:rPr>
      </w:pPr>
      <w:r w:rsidRPr="005F6B6A">
        <w:rPr>
          <w:rFonts w:ascii="Arial" w:hAnsi="Arial" w:cs="Arial"/>
          <w:bCs/>
          <w:sz w:val="24"/>
          <w:szCs w:val="24"/>
        </w:rPr>
        <w:t>We have no plans to offer electronic filing.  IRS publication, regulations, notices and letters are to be electronically enabled on an as practicable basis in accordance with the IRS Reform and Restructuring Act of 1998.</w:t>
      </w:r>
    </w:p>
    <w:p w:rsidR="001E1234" w:rsidRPr="005F6B6A" w:rsidRDefault="001E1234" w:rsidP="00D353AD">
      <w:pPr>
        <w:numPr>
          <w:ilvl w:val="12"/>
          <w:numId w:val="0"/>
        </w:numPr>
        <w:rPr>
          <w:rFonts w:ascii="Arial" w:hAnsi="Arial" w:cs="Arial"/>
          <w:bCs/>
          <w:sz w:val="24"/>
          <w:szCs w:val="24"/>
        </w:rPr>
      </w:pPr>
    </w:p>
    <w:p w:rsidR="001E1234" w:rsidRPr="005F6B6A" w:rsidRDefault="001E1234" w:rsidP="00D353AD">
      <w:pPr>
        <w:pStyle w:val="Level1"/>
        <w:numPr>
          <w:ilvl w:val="0"/>
          <w:numId w:val="1"/>
        </w:numPr>
        <w:tabs>
          <w:tab w:val="left" w:pos="720"/>
        </w:tabs>
        <w:ind w:left="720" w:hanging="720"/>
        <w:jc w:val="left"/>
        <w:rPr>
          <w:rFonts w:ascii="Arial" w:hAnsi="Arial" w:cs="Arial"/>
          <w:bCs/>
        </w:rPr>
      </w:pPr>
      <w:r w:rsidRPr="005F6B6A">
        <w:rPr>
          <w:rFonts w:ascii="Arial" w:hAnsi="Arial" w:cs="Arial"/>
          <w:bCs/>
          <w:u w:val="single"/>
        </w:rPr>
        <w:t>EFFORTS TO IDENTIFY DUPLICATION</w:t>
      </w:r>
    </w:p>
    <w:p w:rsidR="001E1234" w:rsidRPr="005F6B6A" w:rsidRDefault="001E1234" w:rsidP="00D353AD">
      <w:pPr>
        <w:numPr>
          <w:ilvl w:val="12"/>
          <w:numId w:val="0"/>
        </w:numPr>
        <w:rPr>
          <w:rFonts w:ascii="Arial" w:hAnsi="Arial" w:cs="Arial"/>
          <w:bCs/>
          <w:sz w:val="24"/>
          <w:szCs w:val="24"/>
        </w:rPr>
      </w:pPr>
    </w:p>
    <w:p w:rsidR="001E1234" w:rsidRPr="005F6B6A" w:rsidRDefault="001E1234" w:rsidP="00D353AD">
      <w:pPr>
        <w:numPr>
          <w:ilvl w:val="12"/>
          <w:numId w:val="0"/>
        </w:numPr>
        <w:ind w:left="720"/>
        <w:rPr>
          <w:rFonts w:ascii="Arial" w:hAnsi="Arial" w:cs="Arial"/>
          <w:bCs/>
          <w:sz w:val="24"/>
          <w:szCs w:val="24"/>
        </w:rPr>
      </w:pPr>
      <w:r w:rsidRPr="005F6B6A">
        <w:rPr>
          <w:rFonts w:ascii="Arial" w:hAnsi="Arial" w:cs="Arial"/>
          <w:bCs/>
          <w:sz w:val="24"/>
          <w:szCs w:val="24"/>
        </w:rPr>
        <w:t xml:space="preserve">We have attempted to eliminate duplication within the agency wherever possible.  </w:t>
      </w:r>
    </w:p>
    <w:p w:rsidR="001E1234" w:rsidRPr="005F6B6A" w:rsidRDefault="001E1234" w:rsidP="00D353AD">
      <w:pPr>
        <w:numPr>
          <w:ilvl w:val="12"/>
          <w:numId w:val="0"/>
        </w:numPr>
        <w:rPr>
          <w:rFonts w:ascii="Arial" w:hAnsi="Arial" w:cs="Arial"/>
          <w:bCs/>
          <w:sz w:val="24"/>
          <w:szCs w:val="24"/>
        </w:rPr>
      </w:pPr>
    </w:p>
    <w:p w:rsidR="001E1234" w:rsidRPr="005F6B6A" w:rsidRDefault="001E1234" w:rsidP="00D353AD">
      <w:pPr>
        <w:pStyle w:val="Level1"/>
        <w:numPr>
          <w:ilvl w:val="0"/>
          <w:numId w:val="1"/>
        </w:numPr>
        <w:tabs>
          <w:tab w:val="left" w:pos="720"/>
        </w:tabs>
        <w:ind w:left="720" w:hanging="720"/>
        <w:jc w:val="left"/>
        <w:rPr>
          <w:rFonts w:ascii="Arial" w:hAnsi="Arial" w:cs="Arial"/>
          <w:bCs/>
        </w:rPr>
      </w:pPr>
      <w:r w:rsidRPr="005F6B6A">
        <w:rPr>
          <w:rFonts w:ascii="Arial" w:hAnsi="Arial" w:cs="Arial"/>
          <w:bCs/>
          <w:u w:val="single"/>
        </w:rPr>
        <w:t>METHODS TO MINIMIZE BURDEN ON SMALL BUSINESSES OR OTHER</w:t>
      </w:r>
      <w:r w:rsidR="00685BEC">
        <w:rPr>
          <w:rFonts w:ascii="Arial" w:hAnsi="Arial" w:cs="Arial"/>
          <w:bCs/>
          <w:u w:val="single"/>
        </w:rPr>
        <w:t xml:space="preserve"> </w:t>
      </w:r>
      <w:r w:rsidRPr="005F6B6A">
        <w:rPr>
          <w:rFonts w:ascii="Arial" w:hAnsi="Arial" w:cs="Arial"/>
          <w:bCs/>
          <w:u w:val="single"/>
        </w:rPr>
        <w:t>SMALL ENTITIES</w:t>
      </w:r>
    </w:p>
    <w:p w:rsidR="001E1234" w:rsidRPr="005F6B6A" w:rsidRDefault="001E1234" w:rsidP="00D353AD">
      <w:pPr>
        <w:numPr>
          <w:ilvl w:val="12"/>
          <w:numId w:val="0"/>
        </w:numPr>
        <w:rPr>
          <w:rFonts w:ascii="Arial" w:hAnsi="Arial" w:cs="Arial"/>
          <w:bCs/>
          <w:sz w:val="24"/>
          <w:szCs w:val="24"/>
        </w:rPr>
      </w:pPr>
    </w:p>
    <w:p w:rsidR="001E1234" w:rsidRPr="005F6B6A" w:rsidRDefault="001E1234" w:rsidP="00D353AD">
      <w:pPr>
        <w:numPr>
          <w:ilvl w:val="12"/>
          <w:numId w:val="0"/>
        </w:numPr>
        <w:ind w:left="720"/>
        <w:rPr>
          <w:rFonts w:ascii="Arial" w:hAnsi="Arial" w:cs="Arial"/>
          <w:bCs/>
          <w:sz w:val="24"/>
          <w:szCs w:val="24"/>
        </w:rPr>
      </w:pPr>
      <w:r w:rsidRPr="005F6B6A">
        <w:rPr>
          <w:rFonts w:ascii="Arial" w:hAnsi="Arial" w:cs="Arial"/>
          <w:bCs/>
          <w:sz w:val="24"/>
          <w:szCs w:val="24"/>
        </w:rPr>
        <w:t>Not applicable.</w:t>
      </w:r>
    </w:p>
    <w:p w:rsidR="001E1234" w:rsidRPr="005F6B6A" w:rsidRDefault="001E1234" w:rsidP="00D353AD">
      <w:pPr>
        <w:numPr>
          <w:ilvl w:val="12"/>
          <w:numId w:val="0"/>
        </w:numPr>
        <w:rPr>
          <w:rFonts w:ascii="Arial" w:hAnsi="Arial" w:cs="Arial"/>
          <w:bCs/>
          <w:sz w:val="24"/>
          <w:szCs w:val="24"/>
        </w:rPr>
      </w:pPr>
    </w:p>
    <w:p w:rsidR="001E1234" w:rsidRPr="005F6B6A" w:rsidRDefault="00685BEC" w:rsidP="00D353AD">
      <w:pPr>
        <w:pStyle w:val="Level1"/>
        <w:numPr>
          <w:ilvl w:val="0"/>
          <w:numId w:val="1"/>
        </w:numPr>
        <w:tabs>
          <w:tab w:val="left" w:pos="720"/>
        </w:tabs>
        <w:ind w:left="720" w:hanging="720"/>
        <w:jc w:val="left"/>
        <w:rPr>
          <w:rFonts w:ascii="Arial" w:hAnsi="Arial" w:cs="Arial"/>
          <w:bCs/>
        </w:rPr>
      </w:pPr>
      <w:r>
        <w:rPr>
          <w:rFonts w:ascii="Arial" w:hAnsi="Arial" w:cs="Arial"/>
          <w:bCs/>
          <w:u w:val="single"/>
        </w:rPr>
        <w:br w:type="page"/>
      </w:r>
      <w:r w:rsidR="001E1234" w:rsidRPr="005F6B6A">
        <w:rPr>
          <w:rFonts w:ascii="Arial" w:hAnsi="Arial" w:cs="Arial"/>
          <w:bCs/>
          <w:u w:val="single"/>
        </w:rPr>
        <w:lastRenderedPageBreak/>
        <w:t>CONSEQUENCES OF LESS FREQUENT COLLECTION ON FEDERAL PROGRAMS OR POLICY ACTIVITIES</w:t>
      </w:r>
    </w:p>
    <w:p w:rsidR="001E1234" w:rsidRPr="005F6B6A" w:rsidRDefault="001E1234" w:rsidP="00D353AD">
      <w:pPr>
        <w:numPr>
          <w:ilvl w:val="12"/>
          <w:numId w:val="0"/>
        </w:numPr>
        <w:rPr>
          <w:rFonts w:ascii="Arial" w:hAnsi="Arial" w:cs="Arial"/>
          <w:bCs/>
          <w:sz w:val="24"/>
          <w:szCs w:val="24"/>
        </w:rPr>
      </w:pPr>
    </w:p>
    <w:p w:rsidR="001E1234" w:rsidRPr="005F6B6A" w:rsidRDefault="001E1234" w:rsidP="00D353AD">
      <w:pPr>
        <w:numPr>
          <w:ilvl w:val="12"/>
          <w:numId w:val="0"/>
        </w:numPr>
        <w:ind w:left="720"/>
        <w:rPr>
          <w:rFonts w:ascii="Arial" w:hAnsi="Arial" w:cs="Arial"/>
          <w:bCs/>
          <w:sz w:val="24"/>
          <w:szCs w:val="24"/>
        </w:rPr>
      </w:pPr>
      <w:r w:rsidRPr="005F6B6A">
        <w:rPr>
          <w:rFonts w:ascii="Arial" w:hAnsi="Arial" w:cs="Arial"/>
          <w:bCs/>
          <w:sz w:val="24"/>
          <w:szCs w:val="24"/>
        </w:rPr>
        <w:t>Not applicable.</w:t>
      </w:r>
    </w:p>
    <w:p w:rsidR="001E1234" w:rsidRPr="005F6B6A" w:rsidRDefault="001E1234" w:rsidP="00D353AD">
      <w:pPr>
        <w:numPr>
          <w:ilvl w:val="12"/>
          <w:numId w:val="0"/>
        </w:numPr>
        <w:rPr>
          <w:rFonts w:ascii="Arial" w:hAnsi="Arial" w:cs="Arial"/>
          <w:bCs/>
          <w:sz w:val="24"/>
          <w:szCs w:val="24"/>
        </w:rPr>
      </w:pPr>
    </w:p>
    <w:p w:rsidR="001E1234" w:rsidRPr="005F6B6A" w:rsidRDefault="001E1234" w:rsidP="00D353AD">
      <w:pPr>
        <w:pStyle w:val="Level1"/>
        <w:numPr>
          <w:ilvl w:val="0"/>
          <w:numId w:val="1"/>
        </w:numPr>
        <w:tabs>
          <w:tab w:val="left" w:pos="720"/>
        </w:tabs>
        <w:ind w:left="720" w:hanging="720"/>
        <w:jc w:val="left"/>
        <w:rPr>
          <w:rFonts w:ascii="Arial" w:hAnsi="Arial" w:cs="Arial"/>
          <w:bCs/>
        </w:rPr>
      </w:pPr>
      <w:r w:rsidRPr="005F6B6A">
        <w:rPr>
          <w:rFonts w:ascii="Arial" w:hAnsi="Arial" w:cs="Arial"/>
          <w:bCs/>
          <w:u w:val="single"/>
        </w:rPr>
        <w:t>SPECIAL CIRCUMSTANCES REQUIRING DATA COLLECTION TO BE</w:t>
      </w:r>
      <w:r w:rsidR="00685BEC">
        <w:rPr>
          <w:rFonts w:ascii="Arial" w:hAnsi="Arial" w:cs="Arial"/>
          <w:bCs/>
          <w:u w:val="single"/>
        </w:rPr>
        <w:t xml:space="preserve"> </w:t>
      </w:r>
      <w:r w:rsidRPr="005F6B6A">
        <w:rPr>
          <w:rFonts w:ascii="Arial" w:hAnsi="Arial" w:cs="Arial"/>
          <w:bCs/>
          <w:u w:val="single"/>
        </w:rPr>
        <w:t>INCONSISTENT WITH GUIDELINES IN 5 CFR 1320.5(d)(2)</w:t>
      </w:r>
    </w:p>
    <w:p w:rsidR="001E1234" w:rsidRPr="005F6B6A" w:rsidRDefault="001E1234" w:rsidP="00D353AD">
      <w:pPr>
        <w:numPr>
          <w:ilvl w:val="12"/>
          <w:numId w:val="0"/>
        </w:numPr>
        <w:rPr>
          <w:rFonts w:ascii="Arial" w:hAnsi="Arial" w:cs="Arial"/>
          <w:bCs/>
          <w:sz w:val="24"/>
          <w:szCs w:val="24"/>
        </w:rPr>
      </w:pPr>
    </w:p>
    <w:p w:rsidR="001E1234" w:rsidRPr="005F6B6A" w:rsidRDefault="001E1234" w:rsidP="00D353AD">
      <w:pPr>
        <w:numPr>
          <w:ilvl w:val="12"/>
          <w:numId w:val="0"/>
        </w:numPr>
        <w:ind w:left="720"/>
        <w:rPr>
          <w:rFonts w:ascii="Arial" w:hAnsi="Arial" w:cs="Arial"/>
          <w:bCs/>
          <w:sz w:val="24"/>
          <w:szCs w:val="24"/>
        </w:rPr>
      </w:pPr>
      <w:r w:rsidRPr="005F6B6A">
        <w:rPr>
          <w:rFonts w:ascii="Arial" w:hAnsi="Arial" w:cs="Arial"/>
          <w:bCs/>
          <w:sz w:val="24"/>
          <w:szCs w:val="24"/>
        </w:rPr>
        <w:t>Not applicable.</w:t>
      </w:r>
    </w:p>
    <w:p w:rsidR="001E1234" w:rsidRPr="005F6B6A" w:rsidRDefault="001E1234" w:rsidP="00D353AD">
      <w:pPr>
        <w:numPr>
          <w:ilvl w:val="12"/>
          <w:numId w:val="0"/>
        </w:numPr>
        <w:rPr>
          <w:rFonts w:ascii="Arial" w:hAnsi="Arial" w:cs="Arial"/>
          <w:bCs/>
          <w:sz w:val="24"/>
          <w:szCs w:val="24"/>
        </w:rPr>
      </w:pPr>
    </w:p>
    <w:p w:rsidR="001E1234" w:rsidRPr="005F6B6A" w:rsidRDefault="001E1234" w:rsidP="00D353AD">
      <w:pPr>
        <w:pStyle w:val="Level1"/>
        <w:numPr>
          <w:ilvl w:val="0"/>
          <w:numId w:val="1"/>
        </w:numPr>
        <w:tabs>
          <w:tab w:val="left" w:pos="720"/>
        </w:tabs>
        <w:ind w:left="720" w:hanging="720"/>
        <w:jc w:val="left"/>
        <w:rPr>
          <w:rFonts w:ascii="Arial" w:hAnsi="Arial" w:cs="Arial"/>
          <w:bCs/>
        </w:rPr>
      </w:pPr>
      <w:r w:rsidRPr="005F6B6A">
        <w:rPr>
          <w:rFonts w:ascii="Arial" w:hAnsi="Arial" w:cs="Arial"/>
          <w:bCs/>
          <w:u w:val="single"/>
        </w:rPr>
        <w:t>CONSULTATION WITH INDIVIDUALS OUTSIDE OF THE AGENCY ON</w:t>
      </w:r>
      <w:r w:rsidR="00685BEC">
        <w:rPr>
          <w:rFonts w:ascii="Arial" w:hAnsi="Arial" w:cs="Arial"/>
          <w:bCs/>
          <w:u w:val="single"/>
        </w:rPr>
        <w:t xml:space="preserve"> </w:t>
      </w:r>
      <w:r w:rsidRPr="005F6B6A">
        <w:rPr>
          <w:rFonts w:ascii="Arial" w:hAnsi="Arial" w:cs="Arial"/>
          <w:bCs/>
          <w:u w:val="single"/>
        </w:rPr>
        <w:t>AVAILABILITY OF DATA, FREQUENCY OF COLLECTION, CLARITY</w:t>
      </w:r>
      <w:r w:rsidR="00B86238" w:rsidRPr="005F6B6A">
        <w:rPr>
          <w:rFonts w:ascii="Arial" w:hAnsi="Arial" w:cs="Arial"/>
          <w:bCs/>
          <w:u w:val="single"/>
        </w:rPr>
        <w:t xml:space="preserve"> </w:t>
      </w:r>
      <w:r w:rsidRPr="005F6B6A">
        <w:rPr>
          <w:rFonts w:ascii="Arial" w:hAnsi="Arial" w:cs="Arial"/>
          <w:bCs/>
          <w:u w:val="single"/>
        </w:rPr>
        <w:t>OF INSTRUCTIONS AND FORMS, AND DATA ELEMENTS</w:t>
      </w:r>
    </w:p>
    <w:p w:rsidR="005F6B6A" w:rsidRPr="005F6B6A" w:rsidRDefault="005F6B6A" w:rsidP="005F6B6A">
      <w:pPr>
        <w:ind w:left="720"/>
        <w:rPr>
          <w:rFonts w:ascii="Arial" w:hAnsi="Arial" w:cs="Arial"/>
        </w:rPr>
      </w:pPr>
    </w:p>
    <w:p w:rsidR="00A04517" w:rsidRDefault="00D723D0" w:rsidP="00D723D0">
      <w:pPr>
        <w:ind w:left="720"/>
        <w:rPr>
          <w:rFonts w:ascii="Arial" w:hAnsi="Arial" w:cs="Arial"/>
          <w:sz w:val="24"/>
          <w:szCs w:val="24"/>
        </w:rPr>
      </w:pPr>
      <w:r w:rsidRPr="00D723D0">
        <w:rPr>
          <w:rFonts w:ascii="Arial" w:hAnsi="Arial" w:cs="Arial"/>
          <w:sz w:val="24"/>
          <w:szCs w:val="24"/>
        </w:rPr>
        <w:t xml:space="preserve">A notice of proposed rulemaking and a notice of public hearing (REG-102822-08, 2008-38 I.R.B. 744) were published in the </w:t>
      </w:r>
      <w:r w:rsidRPr="00685BEC">
        <w:rPr>
          <w:rFonts w:ascii="Arial" w:hAnsi="Arial" w:cs="Arial"/>
          <w:i/>
          <w:sz w:val="24"/>
          <w:szCs w:val="24"/>
        </w:rPr>
        <w:t>Federal Register</w:t>
      </w:r>
      <w:r w:rsidRPr="00D723D0">
        <w:rPr>
          <w:rFonts w:ascii="Arial" w:hAnsi="Arial" w:cs="Arial"/>
          <w:sz w:val="24"/>
          <w:szCs w:val="24"/>
        </w:rPr>
        <w:t xml:space="preserve"> (73 FR 45656) on August 6, 2008</w:t>
      </w:r>
      <w:r w:rsidR="00685BEC">
        <w:rPr>
          <w:rFonts w:ascii="Arial" w:hAnsi="Arial" w:cs="Arial"/>
          <w:sz w:val="24"/>
          <w:szCs w:val="24"/>
        </w:rPr>
        <w:t>,</w:t>
      </w:r>
      <w:r w:rsidRPr="00D723D0">
        <w:rPr>
          <w:rFonts w:ascii="Arial" w:hAnsi="Arial" w:cs="Arial"/>
          <w:sz w:val="24"/>
          <w:szCs w:val="24"/>
        </w:rPr>
        <w:t xml:space="preserve"> proposing amendments to the regulations regarding the manner in which an S corporation reduces its tax attributes under section 108(b) for taxable years in which the S corporation has discharge of indebtedness income that is excluded from gross income under section 108(a).  </w:t>
      </w:r>
    </w:p>
    <w:p w:rsidR="00A04517" w:rsidRDefault="00A04517" w:rsidP="00D723D0">
      <w:pPr>
        <w:ind w:left="720"/>
        <w:rPr>
          <w:rFonts w:ascii="Arial" w:hAnsi="Arial" w:cs="Arial"/>
          <w:sz w:val="24"/>
          <w:szCs w:val="24"/>
        </w:rPr>
      </w:pPr>
    </w:p>
    <w:p w:rsidR="00D723D0" w:rsidRPr="00D723D0" w:rsidRDefault="00D723D0" w:rsidP="00D723D0">
      <w:pPr>
        <w:ind w:left="720"/>
        <w:rPr>
          <w:rFonts w:ascii="Arial" w:hAnsi="Arial" w:cs="Arial"/>
          <w:sz w:val="24"/>
          <w:szCs w:val="24"/>
        </w:rPr>
      </w:pPr>
      <w:r w:rsidRPr="00D723D0">
        <w:rPr>
          <w:rFonts w:ascii="Arial" w:hAnsi="Arial" w:cs="Arial"/>
          <w:sz w:val="24"/>
          <w:szCs w:val="24"/>
        </w:rPr>
        <w:t xml:space="preserve">These final regulations </w:t>
      </w:r>
      <w:r w:rsidR="006339EF">
        <w:rPr>
          <w:rFonts w:ascii="Arial" w:hAnsi="Arial" w:cs="Arial"/>
          <w:sz w:val="24"/>
          <w:szCs w:val="24"/>
        </w:rPr>
        <w:t xml:space="preserve">where adopted per TD 9469 on October </w:t>
      </w:r>
      <w:r w:rsidR="00685BEC">
        <w:rPr>
          <w:rFonts w:ascii="Arial" w:hAnsi="Arial" w:cs="Arial"/>
          <w:sz w:val="24"/>
          <w:szCs w:val="24"/>
        </w:rPr>
        <w:t xml:space="preserve">30, 2009, at 74 FR 56109 </w:t>
      </w:r>
      <w:r w:rsidR="006339EF">
        <w:rPr>
          <w:rFonts w:ascii="Arial" w:hAnsi="Arial" w:cs="Arial"/>
          <w:sz w:val="24"/>
          <w:szCs w:val="24"/>
        </w:rPr>
        <w:t>[2009-48 IRB 687]</w:t>
      </w:r>
      <w:r w:rsidR="00685BEC">
        <w:rPr>
          <w:rFonts w:ascii="Arial" w:hAnsi="Arial" w:cs="Arial"/>
          <w:sz w:val="24"/>
          <w:szCs w:val="24"/>
        </w:rPr>
        <w:t>.</w:t>
      </w:r>
      <w:r w:rsidRPr="00D723D0">
        <w:rPr>
          <w:rFonts w:ascii="Arial" w:hAnsi="Arial" w:cs="Arial"/>
          <w:sz w:val="24"/>
          <w:szCs w:val="24"/>
        </w:rPr>
        <w:t xml:space="preserve"> </w:t>
      </w:r>
    </w:p>
    <w:p w:rsidR="00D723D0" w:rsidRDefault="00D723D0" w:rsidP="00EC2B72">
      <w:pPr>
        <w:ind w:left="720"/>
        <w:rPr>
          <w:rFonts w:ascii="Arial" w:hAnsi="Arial" w:cs="Arial"/>
          <w:sz w:val="24"/>
          <w:szCs w:val="24"/>
        </w:rPr>
      </w:pPr>
    </w:p>
    <w:p w:rsidR="006339EF" w:rsidRDefault="00685BEC" w:rsidP="00EC2B72">
      <w:pPr>
        <w:ind w:left="720"/>
        <w:rPr>
          <w:rFonts w:ascii="Arial" w:hAnsi="Arial" w:cs="Arial"/>
          <w:sz w:val="24"/>
          <w:szCs w:val="24"/>
        </w:rPr>
      </w:pPr>
      <w:r>
        <w:rPr>
          <w:rFonts w:ascii="Arial" w:hAnsi="Arial" w:cs="Arial"/>
          <w:sz w:val="24"/>
          <w:szCs w:val="24"/>
        </w:rPr>
        <w:t>A 60-day notice was</w:t>
      </w:r>
      <w:r w:rsidR="006339EF">
        <w:rPr>
          <w:rFonts w:ascii="Arial" w:hAnsi="Arial" w:cs="Arial"/>
          <w:sz w:val="24"/>
          <w:szCs w:val="24"/>
        </w:rPr>
        <w:t xml:space="preserve"> </w:t>
      </w:r>
      <w:r w:rsidR="005F6B6A" w:rsidRPr="005F6B6A">
        <w:rPr>
          <w:rFonts w:ascii="Arial" w:hAnsi="Arial" w:cs="Arial"/>
          <w:sz w:val="24"/>
          <w:szCs w:val="24"/>
        </w:rPr>
        <w:t xml:space="preserve">published in the </w:t>
      </w:r>
      <w:r w:rsidR="005F6B6A" w:rsidRPr="00685BEC">
        <w:rPr>
          <w:rFonts w:ascii="Arial" w:hAnsi="Arial" w:cs="Arial"/>
          <w:i/>
          <w:sz w:val="24"/>
          <w:szCs w:val="24"/>
        </w:rPr>
        <w:t>Federal Register</w:t>
      </w:r>
      <w:r w:rsidR="005F6B6A" w:rsidRPr="005F6B6A">
        <w:rPr>
          <w:rFonts w:ascii="Arial" w:hAnsi="Arial" w:cs="Arial"/>
          <w:sz w:val="24"/>
          <w:szCs w:val="24"/>
        </w:rPr>
        <w:t xml:space="preserve"> </w:t>
      </w:r>
      <w:r w:rsidR="00EC2B72">
        <w:rPr>
          <w:rFonts w:ascii="Arial" w:hAnsi="Arial" w:cs="Arial"/>
          <w:sz w:val="24"/>
          <w:szCs w:val="24"/>
        </w:rPr>
        <w:t xml:space="preserve">on </w:t>
      </w:r>
      <w:r w:rsidR="00A6490B">
        <w:rPr>
          <w:rFonts w:ascii="Arial" w:hAnsi="Arial" w:cs="Arial"/>
          <w:sz w:val="24"/>
          <w:szCs w:val="24"/>
        </w:rPr>
        <w:t>May 1</w:t>
      </w:r>
      <w:r w:rsidR="00EC2B72">
        <w:rPr>
          <w:rFonts w:ascii="Arial" w:hAnsi="Arial" w:cs="Arial"/>
          <w:sz w:val="24"/>
          <w:szCs w:val="24"/>
        </w:rPr>
        <w:t>, 20</w:t>
      </w:r>
      <w:r w:rsidR="00A6490B">
        <w:rPr>
          <w:rFonts w:ascii="Arial" w:hAnsi="Arial" w:cs="Arial"/>
          <w:sz w:val="24"/>
          <w:szCs w:val="24"/>
        </w:rPr>
        <w:t>12</w:t>
      </w:r>
      <w:r w:rsidR="00EC2B72">
        <w:rPr>
          <w:rFonts w:ascii="Arial" w:hAnsi="Arial" w:cs="Arial"/>
          <w:sz w:val="24"/>
          <w:szCs w:val="24"/>
        </w:rPr>
        <w:t xml:space="preserve"> (7</w:t>
      </w:r>
      <w:r w:rsidR="00A6490B">
        <w:rPr>
          <w:rFonts w:ascii="Arial" w:hAnsi="Arial" w:cs="Arial"/>
          <w:sz w:val="24"/>
          <w:szCs w:val="24"/>
        </w:rPr>
        <w:t>7</w:t>
      </w:r>
      <w:r w:rsidR="00EC2B72">
        <w:rPr>
          <w:rFonts w:ascii="Arial" w:hAnsi="Arial" w:cs="Arial"/>
          <w:sz w:val="24"/>
          <w:szCs w:val="24"/>
        </w:rPr>
        <w:t xml:space="preserve"> FR </w:t>
      </w:r>
      <w:r w:rsidR="00A6490B">
        <w:rPr>
          <w:rFonts w:ascii="Arial" w:hAnsi="Arial" w:cs="Arial"/>
          <w:sz w:val="24"/>
          <w:szCs w:val="24"/>
        </w:rPr>
        <w:t>25783</w:t>
      </w:r>
      <w:r w:rsidR="00EC2B72">
        <w:rPr>
          <w:rFonts w:ascii="Arial" w:hAnsi="Arial" w:cs="Arial"/>
          <w:sz w:val="24"/>
          <w:szCs w:val="24"/>
        </w:rPr>
        <w:t>)</w:t>
      </w:r>
      <w:r w:rsidR="005F6B6A" w:rsidRPr="005F6B6A">
        <w:rPr>
          <w:rFonts w:ascii="Arial" w:hAnsi="Arial" w:cs="Arial"/>
          <w:sz w:val="24"/>
          <w:szCs w:val="24"/>
        </w:rPr>
        <w:t xml:space="preserve"> provide</w:t>
      </w:r>
      <w:r w:rsidR="00D723D0">
        <w:rPr>
          <w:rFonts w:ascii="Arial" w:hAnsi="Arial" w:cs="Arial"/>
          <w:sz w:val="24"/>
          <w:szCs w:val="24"/>
        </w:rPr>
        <w:t>d</w:t>
      </w:r>
      <w:r w:rsidR="005F6B6A" w:rsidRPr="005F6B6A">
        <w:rPr>
          <w:rFonts w:ascii="Arial" w:hAnsi="Arial" w:cs="Arial"/>
          <w:sz w:val="24"/>
          <w:szCs w:val="24"/>
        </w:rPr>
        <w:t xml:space="preserve"> the public </w:t>
      </w:r>
      <w:r>
        <w:rPr>
          <w:rFonts w:ascii="Arial" w:hAnsi="Arial" w:cs="Arial"/>
          <w:sz w:val="24"/>
          <w:szCs w:val="24"/>
        </w:rPr>
        <w:t>a comment</w:t>
      </w:r>
      <w:r w:rsidR="005F6B6A" w:rsidRPr="005F6B6A">
        <w:rPr>
          <w:rFonts w:ascii="Arial" w:hAnsi="Arial" w:cs="Arial"/>
          <w:sz w:val="24"/>
          <w:szCs w:val="24"/>
        </w:rPr>
        <w:t xml:space="preserve"> period in which to review and provide p</w:t>
      </w:r>
      <w:r w:rsidR="006339EF">
        <w:rPr>
          <w:rFonts w:ascii="Arial" w:hAnsi="Arial" w:cs="Arial"/>
          <w:sz w:val="24"/>
          <w:szCs w:val="24"/>
        </w:rPr>
        <w:t>ublic comments</w:t>
      </w:r>
      <w:r>
        <w:rPr>
          <w:rFonts w:ascii="Arial" w:hAnsi="Arial" w:cs="Arial"/>
          <w:sz w:val="24"/>
          <w:szCs w:val="24"/>
        </w:rPr>
        <w:t xml:space="preserve"> on the information collection contained in TD 9469</w:t>
      </w:r>
      <w:r w:rsidR="005F6B6A" w:rsidRPr="005F6B6A">
        <w:rPr>
          <w:rFonts w:ascii="Arial" w:hAnsi="Arial" w:cs="Arial"/>
          <w:sz w:val="24"/>
          <w:szCs w:val="24"/>
        </w:rPr>
        <w:t>.</w:t>
      </w:r>
      <w:r w:rsidR="006339EF">
        <w:rPr>
          <w:rFonts w:ascii="Arial" w:hAnsi="Arial" w:cs="Arial"/>
          <w:sz w:val="24"/>
          <w:szCs w:val="24"/>
        </w:rPr>
        <w:t xml:space="preserve">  No comments</w:t>
      </w:r>
      <w:r w:rsidR="005F6B6A" w:rsidRPr="005F6B6A">
        <w:rPr>
          <w:rFonts w:ascii="Arial" w:hAnsi="Arial" w:cs="Arial"/>
          <w:sz w:val="24"/>
          <w:szCs w:val="24"/>
        </w:rPr>
        <w:t xml:space="preserve"> </w:t>
      </w:r>
      <w:r w:rsidR="006339EF">
        <w:rPr>
          <w:rFonts w:ascii="Arial" w:hAnsi="Arial" w:cs="Arial"/>
          <w:sz w:val="24"/>
          <w:szCs w:val="24"/>
        </w:rPr>
        <w:t>were received.</w:t>
      </w:r>
    </w:p>
    <w:p w:rsidR="001E1234" w:rsidRPr="005F6B6A" w:rsidRDefault="005F6B6A" w:rsidP="00685BEC">
      <w:pPr>
        <w:ind w:left="720"/>
        <w:rPr>
          <w:rFonts w:ascii="Arial" w:hAnsi="Arial" w:cs="Arial"/>
          <w:bCs/>
          <w:sz w:val="24"/>
          <w:szCs w:val="24"/>
        </w:rPr>
      </w:pPr>
      <w:r w:rsidRPr="005F6B6A">
        <w:rPr>
          <w:rFonts w:ascii="Arial" w:hAnsi="Arial" w:cs="Arial"/>
          <w:sz w:val="24"/>
          <w:szCs w:val="24"/>
        </w:rPr>
        <w:t xml:space="preserve"> </w:t>
      </w:r>
    </w:p>
    <w:p w:rsidR="001E1234" w:rsidRPr="005F6B6A" w:rsidRDefault="001E1234" w:rsidP="00D353AD">
      <w:pPr>
        <w:pStyle w:val="Level1"/>
        <w:numPr>
          <w:ilvl w:val="0"/>
          <w:numId w:val="1"/>
        </w:numPr>
        <w:tabs>
          <w:tab w:val="left" w:pos="720"/>
        </w:tabs>
        <w:ind w:left="720" w:hanging="720"/>
        <w:jc w:val="left"/>
        <w:rPr>
          <w:rFonts w:ascii="Arial" w:hAnsi="Arial" w:cs="Arial"/>
          <w:bCs/>
        </w:rPr>
      </w:pPr>
      <w:r w:rsidRPr="005F6B6A">
        <w:rPr>
          <w:rFonts w:ascii="Arial" w:hAnsi="Arial" w:cs="Arial"/>
          <w:bCs/>
          <w:u w:val="single"/>
        </w:rPr>
        <w:t>EXPLANATION OF DECISION TO PROVIDE ANY PAYMENT OR GIFT TO</w:t>
      </w:r>
      <w:r w:rsidR="00685BEC">
        <w:rPr>
          <w:rFonts w:ascii="Arial" w:hAnsi="Arial" w:cs="Arial"/>
          <w:bCs/>
          <w:u w:val="single"/>
        </w:rPr>
        <w:t xml:space="preserve"> </w:t>
      </w:r>
      <w:r w:rsidRPr="005F6B6A">
        <w:rPr>
          <w:rFonts w:ascii="Arial" w:hAnsi="Arial" w:cs="Arial"/>
          <w:bCs/>
          <w:u w:val="single"/>
        </w:rPr>
        <w:t>RESPONDENTS</w:t>
      </w:r>
    </w:p>
    <w:p w:rsidR="001E1234" w:rsidRPr="005F6B6A" w:rsidRDefault="001E1234" w:rsidP="00D353AD">
      <w:pPr>
        <w:numPr>
          <w:ilvl w:val="12"/>
          <w:numId w:val="0"/>
        </w:numPr>
        <w:rPr>
          <w:rFonts w:ascii="Arial" w:hAnsi="Arial" w:cs="Arial"/>
          <w:bCs/>
          <w:sz w:val="24"/>
          <w:szCs w:val="24"/>
        </w:rPr>
      </w:pPr>
    </w:p>
    <w:p w:rsidR="001E1234" w:rsidRPr="005F6B6A" w:rsidRDefault="001E1234" w:rsidP="00D353AD">
      <w:pPr>
        <w:numPr>
          <w:ilvl w:val="12"/>
          <w:numId w:val="0"/>
        </w:numPr>
        <w:ind w:left="720"/>
        <w:rPr>
          <w:rFonts w:ascii="Arial" w:hAnsi="Arial" w:cs="Arial"/>
          <w:bCs/>
          <w:sz w:val="24"/>
          <w:szCs w:val="24"/>
        </w:rPr>
      </w:pPr>
      <w:r w:rsidRPr="005F6B6A">
        <w:rPr>
          <w:rFonts w:ascii="Arial" w:hAnsi="Arial" w:cs="Arial"/>
          <w:bCs/>
          <w:sz w:val="24"/>
          <w:szCs w:val="24"/>
        </w:rPr>
        <w:t>Not applicable.</w:t>
      </w:r>
    </w:p>
    <w:p w:rsidR="001E1234" w:rsidRPr="005F6B6A" w:rsidRDefault="001E1234" w:rsidP="00D353AD">
      <w:pPr>
        <w:numPr>
          <w:ilvl w:val="12"/>
          <w:numId w:val="0"/>
        </w:numPr>
        <w:rPr>
          <w:rFonts w:ascii="Arial" w:hAnsi="Arial" w:cs="Arial"/>
          <w:bCs/>
          <w:sz w:val="24"/>
          <w:szCs w:val="24"/>
        </w:rPr>
      </w:pPr>
    </w:p>
    <w:p w:rsidR="001E1234" w:rsidRPr="005F6B6A" w:rsidRDefault="001E1234" w:rsidP="00D353AD">
      <w:pPr>
        <w:pStyle w:val="Level1"/>
        <w:numPr>
          <w:ilvl w:val="0"/>
          <w:numId w:val="1"/>
        </w:numPr>
        <w:tabs>
          <w:tab w:val="left" w:pos="720"/>
        </w:tabs>
        <w:ind w:left="720" w:hanging="720"/>
        <w:jc w:val="left"/>
        <w:rPr>
          <w:rFonts w:ascii="Arial" w:hAnsi="Arial" w:cs="Arial"/>
          <w:bCs/>
        </w:rPr>
      </w:pPr>
      <w:r w:rsidRPr="005F6B6A">
        <w:rPr>
          <w:rFonts w:ascii="Arial" w:hAnsi="Arial" w:cs="Arial"/>
          <w:bCs/>
          <w:u w:val="single"/>
        </w:rPr>
        <w:t>ASSURANCE OF CONFIDENTIALITY OF RESPONSES</w:t>
      </w:r>
    </w:p>
    <w:p w:rsidR="001E1234" w:rsidRPr="005F6B6A" w:rsidRDefault="001E1234" w:rsidP="00D353AD">
      <w:pPr>
        <w:numPr>
          <w:ilvl w:val="12"/>
          <w:numId w:val="0"/>
        </w:numPr>
        <w:rPr>
          <w:rFonts w:ascii="Arial" w:hAnsi="Arial" w:cs="Arial"/>
          <w:bCs/>
          <w:sz w:val="24"/>
          <w:szCs w:val="24"/>
        </w:rPr>
      </w:pPr>
    </w:p>
    <w:p w:rsidR="001E1234" w:rsidRPr="005F6B6A" w:rsidRDefault="001E1234" w:rsidP="00D353AD">
      <w:pPr>
        <w:numPr>
          <w:ilvl w:val="12"/>
          <w:numId w:val="0"/>
        </w:numPr>
        <w:ind w:left="720"/>
        <w:rPr>
          <w:rFonts w:ascii="Arial" w:hAnsi="Arial" w:cs="Arial"/>
          <w:bCs/>
          <w:sz w:val="24"/>
          <w:szCs w:val="24"/>
        </w:rPr>
      </w:pPr>
      <w:r w:rsidRPr="005F6B6A">
        <w:rPr>
          <w:rFonts w:ascii="Arial" w:hAnsi="Arial" w:cs="Arial"/>
          <w:bCs/>
          <w:sz w:val="24"/>
          <w:szCs w:val="24"/>
        </w:rPr>
        <w:t>Generally, tax returns and tax return information are confidential as required by 26 USC 6103.</w:t>
      </w:r>
    </w:p>
    <w:p w:rsidR="001E1234" w:rsidRPr="005F6B6A" w:rsidRDefault="001E1234" w:rsidP="00D353AD">
      <w:pPr>
        <w:numPr>
          <w:ilvl w:val="12"/>
          <w:numId w:val="0"/>
        </w:numPr>
        <w:rPr>
          <w:rFonts w:ascii="Arial" w:hAnsi="Arial" w:cs="Arial"/>
          <w:bCs/>
          <w:sz w:val="24"/>
          <w:szCs w:val="24"/>
        </w:rPr>
      </w:pPr>
    </w:p>
    <w:p w:rsidR="001E1234" w:rsidRPr="005F6B6A" w:rsidRDefault="001E1234" w:rsidP="00D353AD">
      <w:pPr>
        <w:pStyle w:val="Level1"/>
        <w:numPr>
          <w:ilvl w:val="0"/>
          <w:numId w:val="1"/>
        </w:numPr>
        <w:tabs>
          <w:tab w:val="left" w:pos="720"/>
        </w:tabs>
        <w:ind w:left="720" w:hanging="720"/>
        <w:jc w:val="left"/>
        <w:rPr>
          <w:rFonts w:ascii="Arial" w:hAnsi="Arial" w:cs="Arial"/>
          <w:bCs/>
          <w:u w:val="single"/>
        </w:rPr>
      </w:pPr>
      <w:r w:rsidRPr="005F6B6A">
        <w:rPr>
          <w:rFonts w:ascii="Arial" w:hAnsi="Arial" w:cs="Arial"/>
          <w:bCs/>
          <w:u w:val="single"/>
        </w:rPr>
        <w:t>JUSTIFICATION OF SENSITIVE QUESTIONS</w:t>
      </w:r>
    </w:p>
    <w:p w:rsidR="001E1234" w:rsidRPr="005F6B6A" w:rsidRDefault="001E1234" w:rsidP="00D353AD">
      <w:pPr>
        <w:numPr>
          <w:ilvl w:val="12"/>
          <w:numId w:val="0"/>
        </w:numPr>
        <w:rPr>
          <w:rFonts w:ascii="Arial" w:hAnsi="Arial" w:cs="Arial"/>
          <w:bCs/>
          <w:sz w:val="24"/>
          <w:szCs w:val="24"/>
          <w:u w:val="single"/>
        </w:rPr>
      </w:pPr>
    </w:p>
    <w:p w:rsidR="001E1234" w:rsidRPr="00FA227F" w:rsidRDefault="001E1234" w:rsidP="00D353AD">
      <w:pPr>
        <w:numPr>
          <w:ilvl w:val="12"/>
          <w:numId w:val="0"/>
        </w:numPr>
        <w:ind w:left="720"/>
        <w:rPr>
          <w:rFonts w:ascii="Arial" w:hAnsi="Arial" w:cs="Arial"/>
          <w:bCs/>
          <w:sz w:val="24"/>
          <w:szCs w:val="24"/>
        </w:rPr>
      </w:pPr>
      <w:r w:rsidRPr="00FA227F">
        <w:rPr>
          <w:rFonts w:ascii="Arial" w:hAnsi="Arial" w:cs="Arial"/>
          <w:bCs/>
          <w:sz w:val="24"/>
          <w:szCs w:val="24"/>
        </w:rPr>
        <w:t>Not applicable.</w:t>
      </w:r>
    </w:p>
    <w:p w:rsidR="001E1234" w:rsidRPr="00FA227F" w:rsidRDefault="001E1234" w:rsidP="00D353AD">
      <w:pPr>
        <w:numPr>
          <w:ilvl w:val="12"/>
          <w:numId w:val="0"/>
        </w:numPr>
        <w:rPr>
          <w:rFonts w:ascii="Arial" w:hAnsi="Arial" w:cs="Arial"/>
          <w:bCs/>
          <w:sz w:val="24"/>
          <w:szCs w:val="24"/>
        </w:rPr>
      </w:pPr>
    </w:p>
    <w:p w:rsidR="001E1234" w:rsidRPr="00FA227F" w:rsidRDefault="001E1234" w:rsidP="00D353AD">
      <w:pPr>
        <w:pStyle w:val="Level1"/>
        <w:numPr>
          <w:ilvl w:val="0"/>
          <w:numId w:val="1"/>
        </w:numPr>
        <w:tabs>
          <w:tab w:val="left" w:pos="720"/>
        </w:tabs>
        <w:ind w:left="720" w:hanging="720"/>
        <w:jc w:val="left"/>
        <w:rPr>
          <w:rFonts w:ascii="Arial" w:hAnsi="Arial" w:cs="Arial"/>
          <w:bCs/>
          <w:u w:val="single"/>
        </w:rPr>
      </w:pPr>
      <w:r w:rsidRPr="00FA227F">
        <w:rPr>
          <w:rFonts w:ascii="Arial" w:hAnsi="Arial" w:cs="Arial"/>
          <w:bCs/>
          <w:u w:val="single"/>
        </w:rPr>
        <w:t>ESTIMATED BURDEN OF INFORMATION COLLECTION</w:t>
      </w:r>
    </w:p>
    <w:p w:rsidR="004C4A9F" w:rsidRPr="00FA227F" w:rsidRDefault="004C4A9F" w:rsidP="004C4A9F">
      <w:pPr>
        <w:ind w:left="720"/>
        <w:rPr>
          <w:rFonts w:ascii="Arial" w:hAnsi="Arial" w:cs="Arial"/>
          <w:sz w:val="24"/>
          <w:szCs w:val="24"/>
        </w:rPr>
      </w:pPr>
    </w:p>
    <w:p w:rsidR="004C4A9F" w:rsidRPr="00FA227F" w:rsidRDefault="004C4A9F" w:rsidP="00391EE4">
      <w:pPr>
        <w:ind w:left="720"/>
        <w:rPr>
          <w:rFonts w:ascii="Arial" w:hAnsi="Arial" w:cs="Arial"/>
          <w:sz w:val="24"/>
          <w:szCs w:val="24"/>
        </w:rPr>
      </w:pPr>
      <w:r w:rsidRPr="00FA227F">
        <w:rPr>
          <w:rFonts w:ascii="Arial" w:hAnsi="Arial" w:cs="Arial"/>
          <w:sz w:val="24"/>
          <w:szCs w:val="24"/>
        </w:rPr>
        <w:t xml:space="preserve">The burden for collection of information is in </w:t>
      </w:r>
      <w:r w:rsidR="00F70776" w:rsidRPr="00FA227F">
        <w:rPr>
          <w:rFonts w:ascii="Arial" w:hAnsi="Arial" w:cs="Arial"/>
          <w:bCs/>
          <w:sz w:val="24"/>
          <w:szCs w:val="24"/>
        </w:rPr>
        <w:t>§1.108-7(d</w:t>
      </w:r>
      <w:proofErr w:type="gramStart"/>
      <w:r w:rsidR="00F70776" w:rsidRPr="00FA227F">
        <w:rPr>
          <w:rFonts w:ascii="Arial" w:hAnsi="Arial" w:cs="Arial"/>
          <w:bCs/>
          <w:sz w:val="24"/>
          <w:szCs w:val="24"/>
        </w:rPr>
        <w:t>)(</w:t>
      </w:r>
      <w:proofErr w:type="gramEnd"/>
      <w:r w:rsidR="00F70776" w:rsidRPr="00FA227F">
        <w:rPr>
          <w:rFonts w:ascii="Arial" w:hAnsi="Arial" w:cs="Arial"/>
          <w:bCs/>
          <w:sz w:val="24"/>
          <w:szCs w:val="24"/>
        </w:rPr>
        <w:t>4)</w:t>
      </w:r>
      <w:r w:rsidR="00AC3127" w:rsidRPr="00FA227F">
        <w:rPr>
          <w:rFonts w:ascii="Arial" w:hAnsi="Arial" w:cs="Arial"/>
          <w:bCs/>
          <w:sz w:val="24"/>
          <w:szCs w:val="24"/>
        </w:rPr>
        <w:t>.  If an S corporation excludes COD income from gross income under section 108(a) for a taxable</w:t>
      </w:r>
      <w:r w:rsidR="00FA227F" w:rsidRPr="00FA227F">
        <w:rPr>
          <w:rFonts w:ascii="Arial" w:hAnsi="Arial" w:cs="Arial"/>
          <w:bCs/>
          <w:sz w:val="24"/>
          <w:szCs w:val="24"/>
        </w:rPr>
        <w:t xml:space="preserve"> </w:t>
      </w:r>
      <w:r w:rsidR="00FA227F" w:rsidRPr="00FA227F">
        <w:rPr>
          <w:rFonts w:ascii="Arial" w:hAnsi="Arial" w:cs="Arial"/>
          <w:bCs/>
          <w:sz w:val="24"/>
          <w:szCs w:val="24"/>
        </w:rPr>
        <w:lastRenderedPageBreak/>
        <w:t>year, each shareholder of the S</w:t>
      </w:r>
      <w:r w:rsidR="00AC3127" w:rsidRPr="00FA227F">
        <w:rPr>
          <w:rFonts w:ascii="Arial" w:hAnsi="Arial" w:cs="Arial"/>
          <w:bCs/>
          <w:sz w:val="24"/>
          <w:szCs w:val="24"/>
        </w:rPr>
        <w:t xml:space="preserve"> corporation during the taxable year of the discharge must provide to the S corporation the amount of the shareholder’s losses and deductions that are disallowed for the taxable year of the discharge under section 1366(d)(1).  </w:t>
      </w:r>
      <w:r w:rsidR="009C35D3" w:rsidRPr="00FA227F">
        <w:rPr>
          <w:rFonts w:ascii="Arial" w:hAnsi="Arial" w:cs="Arial"/>
          <w:bCs/>
          <w:sz w:val="24"/>
          <w:szCs w:val="24"/>
        </w:rPr>
        <w:t xml:space="preserve"> </w:t>
      </w:r>
    </w:p>
    <w:p w:rsidR="004C4A9F" w:rsidRPr="00FA227F" w:rsidRDefault="004C4A9F" w:rsidP="00391EE4">
      <w:pPr>
        <w:rPr>
          <w:rFonts w:ascii="Arial" w:hAnsi="Arial" w:cs="Arial"/>
          <w:sz w:val="24"/>
          <w:szCs w:val="24"/>
        </w:rPr>
      </w:pPr>
    </w:p>
    <w:p w:rsidR="004C4A9F" w:rsidRPr="00FA227F" w:rsidRDefault="004C4A9F" w:rsidP="00391EE4">
      <w:pPr>
        <w:widowControl/>
        <w:ind w:left="720"/>
        <w:rPr>
          <w:rFonts w:ascii="Arial" w:hAnsi="Arial" w:cs="Arial"/>
          <w:sz w:val="24"/>
          <w:szCs w:val="24"/>
        </w:rPr>
      </w:pPr>
      <w:r w:rsidRPr="00FA227F">
        <w:rPr>
          <w:rFonts w:ascii="Arial" w:hAnsi="Arial" w:cs="Arial"/>
          <w:sz w:val="24"/>
          <w:szCs w:val="24"/>
        </w:rPr>
        <w:t>We</w:t>
      </w:r>
      <w:r w:rsidR="00F80D63">
        <w:rPr>
          <w:rFonts w:ascii="Arial" w:hAnsi="Arial" w:cs="Arial"/>
          <w:sz w:val="24"/>
          <w:szCs w:val="24"/>
        </w:rPr>
        <w:t xml:space="preserve"> estimate that there are 1,0</w:t>
      </w:r>
      <w:r w:rsidR="009C35D3" w:rsidRPr="00FA227F">
        <w:rPr>
          <w:rFonts w:ascii="Arial" w:hAnsi="Arial" w:cs="Arial"/>
          <w:sz w:val="24"/>
          <w:szCs w:val="24"/>
        </w:rPr>
        <w:t>00 S corporations</w:t>
      </w:r>
      <w:r w:rsidRPr="00FA227F">
        <w:rPr>
          <w:rFonts w:ascii="Arial" w:hAnsi="Arial" w:cs="Arial"/>
          <w:sz w:val="24"/>
          <w:szCs w:val="24"/>
        </w:rPr>
        <w:t xml:space="preserve"> and </w:t>
      </w:r>
      <w:r w:rsidR="009C35D3" w:rsidRPr="00FA227F">
        <w:rPr>
          <w:rFonts w:ascii="Arial" w:hAnsi="Arial" w:cs="Arial"/>
          <w:sz w:val="24"/>
          <w:szCs w:val="24"/>
        </w:rPr>
        <w:t>shareholders</w:t>
      </w:r>
      <w:r w:rsidRPr="00FA227F">
        <w:rPr>
          <w:rFonts w:ascii="Arial" w:hAnsi="Arial" w:cs="Arial"/>
          <w:sz w:val="24"/>
          <w:szCs w:val="24"/>
        </w:rPr>
        <w:t xml:space="preserve"> </w:t>
      </w:r>
      <w:r w:rsidR="009C35D3" w:rsidRPr="00FA227F">
        <w:rPr>
          <w:rFonts w:ascii="Arial" w:hAnsi="Arial" w:cs="Arial"/>
          <w:sz w:val="24"/>
          <w:szCs w:val="24"/>
        </w:rPr>
        <w:t xml:space="preserve">which will be </w:t>
      </w:r>
      <w:r w:rsidR="00AC3127" w:rsidRPr="00FA227F">
        <w:rPr>
          <w:rFonts w:ascii="Arial" w:hAnsi="Arial" w:cs="Arial"/>
          <w:sz w:val="24"/>
          <w:szCs w:val="24"/>
        </w:rPr>
        <w:t>affected</w:t>
      </w:r>
      <w:r w:rsidR="009C35D3" w:rsidRPr="00FA227F">
        <w:rPr>
          <w:rFonts w:ascii="Arial" w:hAnsi="Arial" w:cs="Arial"/>
          <w:sz w:val="24"/>
          <w:szCs w:val="24"/>
        </w:rPr>
        <w:t xml:space="preserve"> by discharge of indebtedness income that is excluded from gross income under section 108(a)</w:t>
      </w:r>
      <w:r w:rsidR="003A6A6D">
        <w:rPr>
          <w:rFonts w:ascii="Arial" w:hAnsi="Arial" w:cs="Arial"/>
          <w:sz w:val="24"/>
          <w:szCs w:val="24"/>
        </w:rPr>
        <w:t xml:space="preserve">.  </w:t>
      </w:r>
      <w:r w:rsidRPr="00FA227F">
        <w:rPr>
          <w:rFonts w:ascii="Arial" w:hAnsi="Arial" w:cs="Arial"/>
          <w:sz w:val="24"/>
          <w:szCs w:val="24"/>
        </w:rPr>
        <w:t>We estimate th</w:t>
      </w:r>
      <w:r w:rsidR="009C35D3" w:rsidRPr="00FA227F">
        <w:rPr>
          <w:rFonts w:ascii="Arial" w:hAnsi="Arial" w:cs="Arial"/>
          <w:sz w:val="24"/>
          <w:szCs w:val="24"/>
        </w:rPr>
        <w:t>at it will take an average of 1 hour for each S corporation or shareholder</w:t>
      </w:r>
      <w:r w:rsidRPr="00FA227F">
        <w:rPr>
          <w:rFonts w:ascii="Arial" w:hAnsi="Arial" w:cs="Arial"/>
          <w:sz w:val="24"/>
          <w:szCs w:val="24"/>
        </w:rPr>
        <w:t xml:space="preserve"> to comply with the record</w:t>
      </w:r>
      <w:r w:rsidR="009C35D3" w:rsidRPr="00FA227F">
        <w:rPr>
          <w:rFonts w:ascii="Arial" w:hAnsi="Arial" w:cs="Arial"/>
          <w:sz w:val="24"/>
          <w:szCs w:val="24"/>
        </w:rPr>
        <w:t>keeping requirements in §1.</w:t>
      </w:r>
      <w:r w:rsidR="00FA227F" w:rsidRPr="00FA227F">
        <w:rPr>
          <w:rFonts w:ascii="Arial" w:hAnsi="Arial" w:cs="Arial"/>
          <w:sz w:val="24"/>
          <w:szCs w:val="24"/>
        </w:rPr>
        <w:t>108-7(d</w:t>
      </w:r>
      <w:proofErr w:type="gramStart"/>
      <w:r w:rsidR="00FA227F" w:rsidRPr="00FA227F">
        <w:rPr>
          <w:rFonts w:ascii="Arial" w:hAnsi="Arial" w:cs="Arial"/>
          <w:sz w:val="24"/>
          <w:szCs w:val="24"/>
        </w:rPr>
        <w:t>)(</w:t>
      </w:r>
      <w:proofErr w:type="gramEnd"/>
      <w:r w:rsidR="009C35D3" w:rsidRPr="00FA227F">
        <w:rPr>
          <w:rFonts w:ascii="Arial" w:hAnsi="Arial" w:cs="Arial"/>
          <w:sz w:val="24"/>
          <w:szCs w:val="24"/>
        </w:rPr>
        <w:t>4)</w:t>
      </w:r>
      <w:r w:rsidRPr="00FA227F">
        <w:rPr>
          <w:rFonts w:ascii="Arial" w:hAnsi="Arial" w:cs="Arial"/>
          <w:sz w:val="24"/>
          <w:szCs w:val="24"/>
        </w:rPr>
        <w:t xml:space="preserve"> for a total burden estimated to be </w:t>
      </w:r>
      <w:r w:rsidR="00FF4516">
        <w:rPr>
          <w:rFonts w:ascii="Arial" w:hAnsi="Arial" w:cs="Arial"/>
          <w:sz w:val="24"/>
          <w:szCs w:val="24"/>
        </w:rPr>
        <w:t>1,0</w:t>
      </w:r>
      <w:r w:rsidR="009C35D3" w:rsidRPr="00FA227F">
        <w:rPr>
          <w:rFonts w:ascii="Arial" w:hAnsi="Arial" w:cs="Arial"/>
          <w:sz w:val="24"/>
          <w:szCs w:val="24"/>
        </w:rPr>
        <w:t xml:space="preserve">00 </w:t>
      </w:r>
      <w:r w:rsidRPr="00FA227F">
        <w:rPr>
          <w:rFonts w:ascii="Arial" w:hAnsi="Arial" w:cs="Arial"/>
          <w:sz w:val="24"/>
          <w:szCs w:val="24"/>
        </w:rPr>
        <w:t>hours.</w:t>
      </w:r>
    </w:p>
    <w:p w:rsidR="004C4A9F" w:rsidRPr="00FA227F" w:rsidRDefault="004C4A9F" w:rsidP="00391EE4">
      <w:pPr>
        <w:widowControl/>
        <w:ind w:left="720"/>
        <w:rPr>
          <w:rFonts w:ascii="Arial" w:hAnsi="Arial" w:cs="Arial"/>
          <w:sz w:val="24"/>
          <w:szCs w:val="24"/>
        </w:rPr>
      </w:pPr>
    </w:p>
    <w:p w:rsidR="004C4A9F" w:rsidRPr="00FA227F" w:rsidRDefault="004C4A9F" w:rsidP="00391EE4">
      <w:pPr>
        <w:widowControl/>
        <w:ind w:left="720"/>
        <w:rPr>
          <w:rFonts w:ascii="Arial" w:hAnsi="Arial" w:cs="Arial"/>
          <w:sz w:val="24"/>
          <w:szCs w:val="24"/>
        </w:rPr>
      </w:pPr>
      <w:r w:rsidRPr="00FA227F">
        <w:rPr>
          <w:rFonts w:ascii="Arial" w:hAnsi="Arial" w:cs="Arial"/>
          <w:sz w:val="24"/>
          <w:szCs w:val="24"/>
        </w:rPr>
        <w:t>Estimates of the annualized cost to respondents for the hour burdens associated with the information collection are not available at this time.</w:t>
      </w:r>
    </w:p>
    <w:p w:rsidR="001E1234" w:rsidRPr="00FA227F" w:rsidRDefault="001E1234" w:rsidP="00D353AD">
      <w:pPr>
        <w:numPr>
          <w:ilvl w:val="12"/>
          <w:numId w:val="0"/>
        </w:numPr>
        <w:rPr>
          <w:rFonts w:ascii="Arial" w:hAnsi="Arial" w:cs="Arial"/>
          <w:bCs/>
          <w:sz w:val="24"/>
          <w:szCs w:val="24"/>
        </w:rPr>
      </w:pPr>
      <w:r w:rsidRPr="00FA227F">
        <w:rPr>
          <w:rFonts w:ascii="Arial" w:hAnsi="Arial" w:cs="Arial"/>
          <w:bCs/>
          <w:sz w:val="24"/>
          <w:szCs w:val="24"/>
        </w:rPr>
        <w:t xml:space="preserve">     </w:t>
      </w:r>
    </w:p>
    <w:p w:rsidR="001E1234" w:rsidRPr="005F6B6A" w:rsidRDefault="001E1234" w:rsidP="00D353AD">
      <w:pPr>
        <w:pStyle w:val="Level1"/>
        <w:numPr>
          <w:ilvl w:val="0"/>
          <w:numId w:val="1"/>
        </w:numPr>
        <w:tabs>
          <w:tab w:val="left" w:pos="720"/>
        </w:tabs>
        <w:ind w:left="720" w:hanging="720"/>
        <w:jc w:val="left"/>
        <w:rPr>
          <w:rFonts w:ascii="Arial" w:hAnsi="Arial" w:cs="Arial"/>
          <w:bCs/>
        </w:rPr>
      </w:pPr>
      <w:r w:rsidRPr="005F6B6A">
        <w:rPr>
          <w:rFonts w:ascii="Arial" w:hAnsi="Arial" w:cs="Arial"/>
          <w:bCs/>
          <w:u w:val="single"/>
        </w:rPr>
        <w:t>ESTIMATED TOTAL ANNUAL COST BURDEN TO RESPONDENTS</w:t>
      </w:r>
    </w:p>
    <w:p w:rsidR="00EC2B72" w:rsidRDefault="00EC2B72" w:rsidP="00E31CFB">
      <w:pPr>
        <w:numPr>
          <w:ilvl w:val="12"/>
          <w:numId w:val="0"/>
        </w:numPr>
        <w:rPr>
          <w:rFonts w:ascii="Arial" w:hAnsi="Arial" w:cs="Arial"/>
          <w:bCs/>
          <w:sz w:val="24"/>
          <w:szCs w:val="24"/>
        </w:rPr>
      </w:pPr>
    </w:p>
    <w:p w:rsidR="001E1234" w:rsidRDefault="00EC2B72" w:rsidP="00EC2B72">
      <w:pPr>
        <w:numPr>
          <w:ilvl w:val="12"/>
          <w:numId w:val="0"/>
        </w:numPr>
        <w:ind w:left="720"/>
        <w:rPr>
          <w:rFonts w:ascii="Arial" w:hAnsi="Arial" w:cs="Arial"/>
          <w:bCs/>
          <w:sz w:val="24"/>
          <w:szCs w:val="24"/>
        </w:rPr>
      </w:pPr>
      <w:r>
        <w:rPr>
          <w:rFonts w:ascii="Arial" w:hAnsi="Arial" w:cs="Arial"/>
          <w:bCs/>
          <w:sz w:val="24"/>
          <w:szCs w:val="24"/>
        </w:rPr>
        <w:t>Th</w:t>
      </w:r>
      <w:r w:rsidR="00A6490B">
        <w:rPr>
          <w:rFonts w:ascii="Arial" w:hAnsi="Arial" w:cs="Arial"/>
          <w:bCs/>
          <w:sz w:val="24"/>
          <w:szCs w:val="24"/>
        </w:rPr>
        <w:t>is</w:t>
      </w:r>
      <w:r>
        <w:rPr>
          <w:rFonts w:ascii="Arial" w:hAnsi="Arial" w:cs="Arial"/>
          <w:bCs/>
          <w:sz w:val="24"/>
          <w:szCs w:val="24"/>
        </w:rPr>
        <w:t xml:space="preserve"> </w:t>
      </w:r>
      <w:r w:rsidR="00F768EF">
        <w:rPr>
          <w:rFonts w:ascii="Arial" w:hAnsi="Arial" w:cs="Arial"/>
          <w:bCs/>
          <w:sz w:val="24"/>
          <w:szCs w:val="24"/>
        </w:rPr>
        <w:t xml:space="preserve">60-day </w:t>
      </w:r>
      <w:r>
        <w:rPr>
          <w:rFonts w:ascii="Arial" w:hAnsi="Arial" w:cs="Arial"/>
          <w:bCs/>
          <w:sz w:val="24"/>
          <w:szCs w:val="24"/>
        </w:rPr>
        <w:t xml:space="preserve">notice </w:t>
      </w:r>
      <w:bookmarkStart w:id="0" w:name="_GoBack"/>
      <w:bookmarkEnd w:id="0"/>
      <w:r>
        <w:rPr>
          <w:rFonts w:ascii="Arial" w:hAnsi="Arial" w:cs="Arial"/>
          <w:bCs/>
          <w:sz w:val="24"/>
          <w:szCs w:val="24"/>
        </w:rPr>
        <w:t xml:space="preserve">was </w:t>
      </w:r>
      <w:r w:rsidR="00A6490B">
        <w:rPr>
          <w:rFonts w:ascii="Arial" w:hAnsi="Arial" w:cs="Arial"/>
          <w:bCs/>
          <w:sz w:val="24"/>
          <w:szCs w:val="24"/>
        </w:rPr>
        <w:t>published on May 1</w:t>
      </w:r>
      <w:r>
        <w:rPr>
          <w:rFonts w:ascii="Arial" w:hAnsi="Arial" w:cs="Arial"/>
          <w:bCs/>
          <w:sz w:val="24"/>
          <w:szCs w:val="24"/>
        </w:rPr>
        <w:t>, 20</w:t>
      </w:r>
      <w:r w:rsidR="00A6490B">
        <w:rPr>
          <w:rFonts w:ascii="Arial" w:hAnsi="Arial" w:cs="Arial"/>
          <w:bCs/>
          <w:sz w:val="24"/>
          <w:szCs w:val="24"/>
        </w:rPr>
        <w:t>12</w:t>
      </w:r>
      <w:r>
        <w:rPr>
          <w:rFonts w:ascii="Arial" w:hAnsi="Arial" w:cs="Arial"/>
          <w:bCs/>
          <w:sz w:val="24"/>
          <w:szCs w:val="24"/>
        </w:rPr>
        <w:t xml:space="preserve"> (7</w:t>
      </w:r>
      <w:r w:rsidR="00A6490B">
        <w:rPr>
          <w:rFonts w:ascii="Arial" w:hAnsi="Arial" w:cs="Arial"/>
          <w:bCs/>
          <w:sz w:val="24"/>
          <w:szCs w:val="24"/>
        </w:rPr>
        <w:t>7</w:t>
      </w:r>
      <w:r>
        <w:rPr>
          <w:rFonts w:ascii="Arial" w:hAnsi="Arial" w:cs="Arial"/>
          <w:bCs/>
          <w:sz w:val="24"/>
          <w:szCs w:val="24"/>
        </w:rPr>
        <w:t xml:space="preserve"> FR </w:t>
      </w:r>
      <w:r w:rsidR="00A6490B">
        <w:rPr>
          <w:rFonts w:ascii="Arial" w:hAnsi="Arial" w:cs="Arial"/>
          <w:bCs/>
          <w:sz w:val="24"/>
          <w:szCs w:val="24"/>
        </w:rPr>
        <w:t>25783</w:t>
      </w:r>
      <w:r>
        <w:rPr>
          <w:rFonts w:ascii="Arial" w:hAnsi="Arial" w:cs="Arial"/>
          <w:bCs/>
          <w:sz w:val="24"/>
          <w:szCs w:val="24"/>
        </w:rPr>
        <w:t>)</w:t>
      </w:r>
      <w:r w:rsidR="00D723D0">
        <w:rPr>
          <w:rFonts w:ascii="Arial" w:hAnsi="Arial" w:cs="Arial"/>
          <w:bCs/>
          <w:sz w:val="24"/>
          <w:szCs w:val="24"/>
        </w:rPr>
        <w:t>, giving the public opportunities to make</w:t>
      </w:r>
      <w:r w:rsidRPr="00EC2B72">
        <w:rPr>
          <w:rFonts w:ascii="Arial" w:hAnsi="Arial" w:cs="Arial"/>
          <w:bCs/>
          <w:sz w:val="24"/>
          <w:szCs w:val="24"/>
        </w:rPr>
        <w:t xml:space="preserve"> comments on estimates of cost burden that are not captured in the estimates of burden hours, i.e., estimates of capital or start-up costs and costs of operation, maintenance, and purchase of services to provide information.  However, we did not receive any response from taxpayers on this subject. As a result, estimates of the cost burdens are not available at this time.</w:t>
      </w:r>
    </w:p>
    <w:p w:rsidR="00A6490B" w:rsidRPr="00EC2B72" w:rsidRDefault="00A6490B" w:rsidP="00EC2B72">
      <w:pPr>
        <w:numPr>
          <w:ilvl w:val="12"/>
          <w:numId w:val="0"/>
        </w:numPr>
        <w:ind w:left="720"/>
        <w:rPr>
          <w:rFonts w:ascii="Arial" w:hAnsi="Arial" w:cs="Arial"/>
          <w:bCs/>
          <w:sz w:val="24"/>
          <w:szCs w:val="24"/>
        </w:rPr>
      </w:pPr>
    </w:p>
    <w:p w:rsidR="001E1234" w:rsidRPr="005F6B6A" w:rsidRDefault="001E1234" w:rsidP="00D353AD">
      <w:pPr>
        <w:pStyle w:val="Level1"/>
        <w:numPr>
          <w:ilvl w:val="0"/>
          <w:numId w:val="1"/>
        </w:numPr>
        <w:tabs>
          <w:tab w:val="left" w:pos="720"/>
        </w:tabs>
        <w:ind w:left="720" w:hanging="720"/>
        <w:jc w:val="left"/>
        <w:rPr>
          <w:rFonts w:ascii="Arial" w:hAnsi="Arial" w:cs="Arial"/>
          <w:bCs/>
        </w:rPr>
      </w:pPr>
      <w:r w:rsidRPr="005F6B6A">
        <w:rPr>
          <w:rFonts w:ascii="Arial" w:hAnsi="Arial" w:cs="Arial"/>
          <w:bCs/>
          <w:u w:val="single"/>
        </w:rPr>
        <w:t>ESTIMATED ANNUALIZED COST TO THE FEDERAL GOVERNMENT</w:t>
      </w:r>
    </w:p>
    <w:p w:rsidR="001E1234" w:rsidRPr="005F6B6A" w:rsidRDefault="001E1234" w:rsidP="00D353AD">
      <w:pPr>
        <w:numPr>
          <w:ilvl w:val="12"/>
          <w:numId w:val="0"/>
        </w:numPr>
        <w:rPr>
          <w:rFonts w:ascii="Arial" w:hAnsi="Arial" w:cs="Arial"/>
          <w:bCs/>
          <w:sz w:val="24"/>
          <w:szCs w:val="24"/>
        </w:rPr>
      </w:pPr>
    </w:p>
    <w:p w:rsidR="001E1234" w:rsidRPr="005F6B6A" w:rsidRDefault="001E1234" w:rsidP="00D353AD">
      <w:pPr>
        <w:numPr>
          <w:ilvl w:val="12"/>
          <w:numId w:val="0"/>
        </w:numPr>
        <w:ind w:left="720"/>
        <w:rPr>
          <w:rFonts w:ascii="Arial" w:hAnsi="Arial" w:cs="Arial"/>
          <w:bCs/>
          <w:sz w:val="24"/>
          <w:szCs w:val="24"/>
        </w:rPr>
      </w:pPr>
      <w:r w:rsidRPr="005F6B6A">
        <w:rPr>
          <w:rFonts w:ascii="Arial" w:hAnsi="Arial" w:cs="Arial"/>
          <w:bCs/>
          <w:sz w:val="24"/>
          <w:szCs w:val="24"/>
        </w:rPr>
        <w:t>Not applicable.</w:t>
      </w:r>
    </w:p>
    <w:p w:rsidR="001E1234" w:rsidRPr="005F6B6A" w:rsidRDefault="001E1234" w:rsidP="00D353AD">
      <w:pPr>
        <w:numPr>
          <w:ilvl w:val="12"/>
          <w:numId w:val="0"/>
        </w:numPr>
        <w:rPr>
          <w:rFonts w:ascii="Arial" w:hAnsi="Arial" w:cs="Arial"/>
          <w:bCs/>
          <w:sz w:val="24"/>
          <w:szCs w:val="24"/>
        </w:rPr>
      </w:pPr>
    </w:p>
    <w:p w:rsidR="001E1234" w:rsidRPr="005F6B6A" w:rsidRDefault="001E1234" w:rsidP="00D353AD">
      <w:pPr>
        <w:pStyle w:val="Level1"/>
        <w:numPr>
          <w:ilvl w:val="0"/>
          <w:numId w:val="1"/>
        </w:numPr>
        <w:tabs>
          <w:tab w:val="left" w:pos="720"/>
        </w:tabs>
        <w:ind w:left="720" w:hanging="720"/>
        <w:jc w:val="left"/>
        <w:rPr>
          <w:rFonts w:ascii="Arial" w:hAnsi="Arial" w:cs="Arial"/>
          <w:bCs/>
        </w:rPr>
      </w:pPr>
      <w:r w:rsidRPr="005F6B6A">
        <w:rPr>
          <w:rFonts w:ascii="Arial" w:hAnsi="Arial" w:cs="Arial"/>
          <w:bCs/>
          <w:u w:val="single"/>
        </w:rPr>
        <w:t>REASONS FOR CHANGE IN BURDEN</w:t>
      </w:r>
    </w:p>
    <w:p w:rsidR="001E1234" w:rsidRPr="005F6B6A" w:rsidRDefault="001E1234" w:rsidP="00D353AD">
      <w:pPr>
        <w:numPr>
          <w:ilvl w:val="12"/>
          <w:numId w:val="0"/>
        </w:numPr>
        <w:rPr>
          <w:rFonts w:ascii="Arial" w:hAnsi="Arial" w:cs="Arial"/>
          <w:bCs/>
          <w:sz w:val="24"/>
          <w:szCs w:val="24"/>
        </w:rPr>
      </w:pPr>
    </w:p>
    <w:p w:rsidR="001E1234" w:rsidRDefault="00D4276C" w:rsidP="00D353AD">
      <w:pPr>
        <w:numPr>
          <w:ilvl w:val="12"/>
          <w:numId w:val="0"/>
        </w:numPr>
        <w:ind w:left="720"/>
        <w:rPr>
          <w:rFonts w:ascii="Arial" w:hAnsi="Arial" w:cs="Arial"/>
          <w:bCs/>
          <w:sz w:val="24"/>
          <w:szCs w:val="24"/>
        </w:rPr>
      </w:pPr>
      <w:r>
        <w:rPr>
          <w:rFonts w:ascii="Arial" w:hAnsi="Arial" w:cs="Arial"/>
          <w:bCs/>
          <w:sz w:val="24"/>
          <w:szCs w:val="24"/>
        </w:rPr>
        <w:t>There are no changes to the taxpayer burden previously approved by OMB</w:t>
      </w:r>
      <w:r w:rsidR="004C4A9F">
        <w:rPr>
          <w:rFonts w:ascii="Arial" w:hAnsi="Arial" w:cs="Arial"/>
          <w:bCs/>
          <w:sz w:val="24"/>
          <w:szCs w:val="24"/>
        </w:rPr>
        <w:t>.</w:t>
      </w:r>
    </w:p>
    <w:p w:rsidR="001E1234" w:rsidRPr="005F6B6A" w:rsidRDefault="001E1234" w:rsidP="00D353AD">
      <w:pPr>
        <w:numPr>
          <w:ilvl w:val="12"/>
          <w:numId w:val="0"/>
        </w:numPr>
        <w:rPr>
          <w:rFonts w:ascii="Arial" w:hAnsi="Arial" w:cs="Arial"/>
          <w:bCs/>
          <w:sz w:val="24"/>
          <w:szCs w:val="24"/>
        </w:rPr>
      </w:pPr>
    </w:p>
    <w:p w:rsidR="001E1234" w:rsidRPr="005F6B6A" w:rsidRDefault="001E1234" w:rsidP="00D353AD">
      <w:pPr>
        <w:pStyle w:val="Level1"/>
        <w:numPr>
          <w:ilvl w:val="0"/>
          <w:numId w:val="1"/>
        </w:numPr>
        <w:tabs>
          <w:tab w:val="left" w:pos="720"/>
        </w:tabs>
        <w:ind w:left="720" w:hanging="720"/>
        <w:jc w:val="left"/>
        <w:rPr>
          <w:rFonts w:ascii="Arial" w:hAnsi="Arial" w:cs="Arial"/>
          <w:bCs/>
        </w:rPr>
      </w:pPr>
      <w:r w:rsidRPr="005F6B6A">
        <w:rPr>
          <w:rFonts w:ascii="Arial" w:hAnsi="Arial" w:cs="Arial"/>
          <w:bCs/>
          <w:u w:val="single"/>
        </w:rPr>
        <w:t>PLANS FOR TABULATION, STATISTICAL ANALYSIS AND PUBLICATION</w:t>
      </w:r>
    </w:p>
    <w:p w:rsidR="001E1234" w:rsidRPr="005F6B6A" w:rsidRDefault="001E1234" w:rsidP="00D353AD">
      <w:pPr>
        <w:numPr>
          <w:ilvl w:val="12"/>
          <w:numId w:val="0"/>
        </w:numPr>
        <w:rPr>
          <w:rFonts w:ascii="Arial" w:hAnsi="Arial" w:cs="Arial"/>
          <w:bCs/>
          <w:sz w:val="24"/>
          <w:szCs w:val="24"/>
        </w:rPr>
      </w:pPr>
    </w:p>
    <w:p w:rsidR="001E1234" w:rsidRPr="005F6B6A" w:rsidRDefault="001E1234" w:rsidP="00D353AD">
      <w:pPr>
        <w:numPr>
          <w:ilvl w:val="12"/>
          <w:numId w:val="0"/>
        </w:numPr>
        <w:ind w:left="720"/>
        <w:rPr>
          <w:rFonts w:ascii="Arial" w:hAnsi="Arial" w:cs="Arial"/>
          <w:bCs/>
          <w:sz w:val="24"/>
          <w:szCs w:val="24"/>
        </w:rPr>
      </w:pPr>
      <w:r w:rsidRPr="005F6B6A">
        <w:rPr>
          <w:rFonts w:ascii="Arial" w:hAnsi="Arial" w:cs="Arial"/>
          <w:bCs/>
          <w:sz w:val="24"/>
          <w:szCs w:val="24"/>
        </w:rPr>
        <w:t>Not applicable.</w:t>
      </w:r>
    </w:p>
    <w:p w:rsidR="001E1234" w:rsidRPr="005F6B6A" w:rsidRDefault="001E1234" w:rsidP="00D353AD">
      <w:pPr>
        <w:numPr>
          <w:ilvl w:val="12"/>
          <w:numId w:val="0"/>
        </w:numPr>
        <w:ind w:left="720"/>
        <w:rPr>
          <w:rFonts w:ascii="Arial" w:hAnsi="Arial" w:cs="Arial"/>
          <w:bCs/>
          <w:sz w:val="24"/>
          <w:szCs w:val="24"/>
        </w:rPr>
      </w:pPr>
    </w:p>
    <w:p w:rsidR="001E1234" w:rsidRPr="005F6B6A" w:rsidRDefault="001E1234" w:rsidP="00D353AD">
      <w:pPr>
        <w:pStyle w:val="Level1"/>
        <w:numPr>
          <w:ilvl w:val="0"/>
          <w:numId w:val="1"/>
        </w:numPr>
        <w:tabs>
          <w:tab w:val="left" w:pos="720"/>
        </w:tabs>
        <w:ind w:left="720" w:hanging="720"/>
        <w:jc w:val="left"/>
        <w:rPr>
          <w:rFonts w:ascii="Arial" w:hAnsi="Arial" w:cs="Arial"/>
          <w:bCs/>
        </w:rPr>
      </w:pPr>
      <w:r w:rsidRPr="005F6B6A">
        <w:rPr>
          <w:rFonts w:ascii="Arial" w:hAnsi="Arial" w:cs="Arial"/>
          <w:bCs/>
          <w:u w:val="single"/>
        </w:rPr>
        <w:t>REASONS WHY DISPLAYING THE OMB EXPIRATION DATE IS</w:t>
      </w:r>
      <w:r w:rsidR="00685BEC">
        <w:rPr>
          <w:rFonts w:ascii="Arial" w:hAnsi="Arial" w:cs="Arial"/>
          <w:bCs/>
          <w:u w:val="single"/>
        </w:rPr>
        <w:t xml:space="preserve"> </w:t>
      </w:r>
      <w:r w:rsidRPr="005F6B6A">
        <w:rPr>
          <w:rFonts w:ascii="Arial" w:hAnsi="Arial" w:cs="Arial"/>
          <w:bCs/>
          <w:u w:val="single"/>
        </w:rPr>
        <w:t>INAPPROPRIATE</w:t>
      </w:r>
    </w:p>
    <w:p w:rsidR="001E1234" w:rsidRPr="005F6B6A" w:rsidRDefault="001E1234" w:rsidP="00D353AD">
      <w:pPr>
        <w:numPr>
          <w:ilvl w:val="12"/>
          <w:numId w:val="0"/>
        </w:numPr>
        <w:rPr>
          <w:rFonts w:ascii="Arial" w:hAnsi="Arial" w:cs="Arial"/>
          <w:bCs/>
          <w:sz w:val="24"/>
          <w:szCs w:val="24"/>
        </w:rPr>
      </w:pPr>
    </w:p>
    <w:p w:rsidR="001E1234" w:rsidRPr="005F6B6A" w:rsidRDefault="001E1234" w:rsidP="00E31CFB">
      <w:pPr>
        <w:numPr>
          <w:ilvl w:val="12"/>
          <w:numId w:val="0"/>
        </w:numPr>
        <w:ind w:left="720"/>
        <w:rPr>
          <w:rFonts w:ascii="Arial" w:hAnsi="Arial" w:cs="Arial"/>
          <w:bCs/>
          <w:sz w:val="24"/>
          <w:szCs w:val="24"/>
        </w:rPr>
      </w:pPr>
      <w:r w:rsidRPr="005F6B6A">
        <w:rPr>
          <w:rFonts w:ascii="Arial" w:hAnsi="Arial" w:cs="Arial"/>
          <w:bCs/>
          <w:sz w:val="24"/>
          <w:szCs w:val="24"/>
        </w:rPr>
        <w:t>We believe that displaying the OMB expiration date is inappropriate because it could cause confusion by leading taxpayers to believe that the regulations sunset as of the expiration date.  Taxpayers are not likely to be aware that the Service intends to request renewal of the OMB approval and obtain a new expiration date before the old one expires.</w:t>
      </w:r>
    </w:p>
    <w:p w:rsidR="001E1234" w:rsidRPr="005F6B6A" w:rsidRDefault="001E1234" w:rsidP="00D353AD">
      <w:pPr>
        <w:numPr>
          <w:ilvl w:val="12"/>
          <w:numId w:val="0"/>
        </w:numPr>
        <w:rPr>
          <w:rFonts w:ascii="Arial" w:hAnsi="Arial" w:cs="Arial"/>
          <w:bCs/>
          <w:sz w:val="24"/>
          <w:szCs w:val="24"/>
        </w:rPr>
      </w:pPr>
    </w:p>
    <w:p w:rsidR="001E1234" w:rsidRPr="005F6B6A" w:rsidRDefault="00685BEC" w:rsidP="00D353AD">
      <w:pPr>
        <w:pStyle w:val="Level1"/>
        <w:numPr>
          <w:ilvl w:val="0"/>
          <w:numId w:val="1"/>
        </w:numPr>
        <w:tabs>
          <w:tab w:val="left" w:pos="720"/>
        </w:tabs>
        <w:ind w:left="720" w:hanging="720"/>
        <w:jc w:val="left"/>
        <w:rPr>
          <w:rFonts w:ascii="Arial" w:hAnsi="Arial" w:cs="Arial"/>
          <w:bCs/>
        </w:rPr>
      </w:pPr>
      <w:r>
        <w:rPr>
          <w:rFonts w:ascii="Arial" w:hAnsi="Arial" w:cs="Arial"/>
          <w:bCs/>
          <w:u w:val="single"/>
        </w:rPr>
        <w:br w:type="page"/>
      </w:r>
      <w:r w:rsidR="001E1234" w:rsidRPr="005F6B6A">
        <w:rPr>
          <w:rFonts w:ascii="Arial" w:hAnsi="Arial" w:cs="Arial"/>
          <w:bCs/>
          <w:u w:val="single"/>
        </w:rPr>
        <w:lastRenderedPageBreak/>
        <w:t>EXCEPTIONS TO THE CERTIFICATION STATEMENT ON OMB FORM 83-I</w:t>
      </w:r>
    </w:p>
    <w:p w:rsidR="001E1234" w:rsidRPr="005F6B6A" w:rsidRDefault="001E1234" w:rsidP="00D353AD">
      <w:pPr>
        <w:numPr>
          <w:ilvl w:val="12"/>
          <w:numId w:val="0"/>
        </w:numPr>
        <w:rPr>
          <w:rFonts w:ascii="Arial" w:hAnsi="Arial" w:cs="Arial"/>
          <w:bCs/>
          <w:sz w:val="24"/>
          <w:szCs w:val="24"/>
        </w:rPr>
      </w:pPr>
    </w:p>
    <w:p w:rsidR="001E1234" w:rsidRPr="005F6B6A" w:rsidRDefault="001E1234" w:rsidP="00E31CFB">
      <w:pPr>
        <w:numPr>
          <w:ilvl w:val="12"/>
          <w:numId w:val="0"/>
        </w:numPr>
        <w:ind w:left="720"/>
        <w:rPr>
          <w:rFonts w:ascii="Arial" w:hAnsi="Arial" w:cs="Arial"/>
          <w:bCs/>
          <w:sz w:val="24"/>
          <w:szCs w:val="24"/>
        </w:rPr>
      </w:pPr>
      <w:r w:rsidRPr="005F6B6A">
        <w:rPr>
          <w:rFonts w:ascii="Arial" w:hAnsi="Arial" w:cs="Arial"/>
          <w:bCs/>
          <w:sz w:val="24"/>
          <w:szCs w:val="24"/>
        </w:rPr>
        <w:t>Not applicable.</w:t>
      </w:r>
    </w:p>
    <w:p w:rsidR="001E1234" w:rsidRPr="005F6B6A" w:rsidRDefault="001E1234" w:rsidP="00E31CFB">
      <w:pPr>
        <w:numPr>
          <w:ilvl w:val="12"/>
          <w:numId w:val="0"/>
        </w:numPr>
        <w:rPr>
          <w:rFonts w:ascii="Arial" w:hAnsi="Arial" w:cs="Arial"/>
          <w:bCs/>
          <w:sz w:val="24"/>
          <w:szCs w:val="24"/>
        </w:rPr>
      </w:pPr>
    </w:p>
    <w:p w:rsidR="001E1234" w:rsidRPr="005F6B6A" w:rsidRDefault="001E1234" w:rsidP="00E31CFB">
      <w:pPr>
        <w:numPr>
          <w:ilvl w:val="12"/>
          <w:numId w:val="0"/>
        </w:numPr>
        <w:ind w:left="720"/>
        <w:rPr>
          <w:rFonts w:ascii="Arial" w:hAnsi="Arial" w:cs="Arial"/>
          <w:bCs/>
          <w:sz w:val="24"/>
          <w:szCs w:val="24"/>
        </w:rPr>
      </w:pPr>
      <w:r w:rsidRPr="005F6B6A">
        <w:rPr>
          <w:rFonts w:ascii="Arial" w:hAnsi="Arial" w:cs="Arial"/>
          <w:bCs/>
          <w:sz w:val="24"/>
          <w:szCs w:val="24"/>
          <w:u w:val="single"/>
        </w:rPr>
        <w:t>Note:</w:t>
      </w:r>
      <w:r w:rsidRPr="005F6B6A">
        <w:rPr>
          <w:rFonts w:ascii="Arial" w:hAnsi="Arial" w:cs="Arial"/>
          <w:bCs/>
          <w:sz w:val="24"/>
          <w:szCs w:val="24"/>
        </w:rPr>
        <w:t xml:space="preserve">   The following paragraph applies to all of the collections of information in this submission:</w:t>
      </w:r>
    </w:p>
    <w:p w:rsidR="001E1234" w:rsidRPr="005F6B6A" w:rsidRDefault="001E1234" w:rsidP="00E31CFB">
      <w:pPr>
        <w:numPr>
          <w:ilvl w:val="12"/>
          <w:numId w:val="0"/>
        </w:numPr>
        <w:rPr>
          <w:rFonts w:ascii="Arial" w:hAnsi="Arial" w:cs="Arial"/>
          <w:bCs/>
          <w:sz w:val="24"/>
          <w:szCs w:val="24"/>
        </w:rPr>
      </w:pPr>
    </w:p>
    <w:p w:rsidR="001E1234" w:rsidRDefault="001E1234" w:rsidP="00E31CFB">
      <w:pPr>
        <w:numPr>
          <w:ilvl w:val="12"/>
          <w:numId w:val="0"/>
        </w:numPr>
        <w:ind w:left="720"/>
        <w:rPr>
          <w:rFonts w:ascii="Arial" w:hAnsi="Arial" w:cs="Arial"/>
          <w:bCs/>
          <w:sz w:val="24"/>
          <w:szCs w:val="24"/>
        </w:rPr>
      </w:pPr>
      <w:r w:rsidRPr="005F6B6A">
        <w:rPr>
          <w:rFonts w:ascii="Arial" w:hAnsi="Arial" w:cs="Arial"/>
          <w:bCs/>
          <w:sz w:val="24"/>
          <w:szCs w:val="24"/>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00E57C21" w:rsidRDefault="00E57C21" w:rsidP="00E57C21">
      <w:pPr>
        <w:numPr>
          <w:ilvl w:val="12"/>
          <w:numId w:val="0"/>
        </w:numPr>
        <w:rPr>
          <w:rFonts w:ascii="Arial" w:hAnsi="Arial" w:cs="Arial"/>
          <w:bCs/>
          <w:sz w:val="24"/>
          <w:szCs w:val="24"/>
        </w:rPr>
      </w:pPr>
    </w:p>
    <w:sectPr w:rsidR="00E57C21" w:rsidSect="00685BEC">
      <w:footerReference w:type="default" r:id="rId8"/>
      <w:footerReference w:type="first" r:id="rId9"/>
      <w:type w:val="continuous"/>
      <w:pgSz w:w="12240" w:h="15840"/>
      <w:pgMar w:top="135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055" w:rsidRDefault="00DE2055">
      <w:r>
        <w:separator/>
      </w:r>
    </w:p>
  </w:endnote>
  <w:endnote w:type="continuationSeparator" w:id="0">
    <w:p w:rsidR="00DE2055" w:rsidRDefault="00DE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BEC" w:rsidRPr="00685BEC" w:rsidRDefault="00685BEC">
    <w:pPr>
      <w:pStyle w:val="Footer"/>
      <w:jc w:val="right"/>
      <w:rPr>
        <w:rFonts w:ascii="Arial" w:hAnsi="Arial" w:cs="Arial"/>
        <w:sz w:val="24"/>
        <w:szCs w:val="24"/>
      </w:rPr>
    </w:pPr>
    <w:r w:rsidRPr="00685BEC">
      <w:rPr>
        <w:rFonts w:ascii="Arial" w:hAnsi="Arial" w:cs="Arial"/>
        <w:sz w:val="24"/>
        <w:szCs w:val="24"/>
      </w:rPr>
      <w:fldChar w:fldCharType="begin"/>
    </w:r>
    <w:r w:rsidRPr="00685BEC">
      <w:rPr>
        <w:rFonts w:ascii="Arial" w:hAnsi="Arial" w:cs="Arial"/>
        <w:sz w:val="24"/>
        <w:szCs w:val="24"/>
      </w:rPr>
      <w:instrText xml:space="preserve"> PAGE   \* MERGEFORMAT </w:instrText>
    </w:r>
    <w:r w:rsidRPr="00685BEC">
      <w:rPr>
        <w:rFonts w:ascii="Arial" w:hAnsi="Arial" w:cs="Arial"/>
        <w:sz w:val="24"/>
        <w:szCs w:val="24"/>
      </w:rPr>
      <w:fldChar w:fldCharType="separate"/>
    </w:r>
    <w:r w:rsidR="002449BB">
      <w:rPr>
        <w:rFonts w:ascii="Arial" w:hAnsi="Arial" w:cs="Arial"/>
        <w:noProof/>
        <w:sz w:val="24"/>
        <w:szCs w:val="24"/>
      </w:rPr>
      <w:t>4</w:t>
    </w:r>
    <w:r w:rsidRPr="00685BEC">
      <w:rPr>
        <w:rFonts w:ascii="Arial" w:hAnsi="Arial" w:cs="Arial"/>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BEC" w:rsidRPr="00685BEC" w:rsidRDefault="00685BEC">
    <w:pPr>
      <w:pStyle w:val="Footer"/>
      <w:jc w:val="right"/>
      <w:rPr>
        <w:rFonts w:ascii="Arial" w:hAnsi="Arial" w:cs="Arial"/>
        <w:sz w:val="24"/>
        <w:szCs w:val="24"/>
      </w:rPr>
    </w:pPr>
    <w:r w:rsidRPr="00685BEC">
      <w:rPr>
        <w:rFonts w:ascii="Arial" w:hAnsi="Arial" w:cs="Arial"/>
        <w:sz w:val="24"/>
        <w:szCs w:val="24"/>
      </w:rPr>
      <w:fldChar w:fldCharType="begin"/>
    </w:r>
    <w:r w:rsidRPr="00685BEC">
      <w:rPr>
        <w:rFonts w:ascii="Arial" w:hAnsi="Arial" w:cs="Arial"/>
        <w:sz w:val="24"/>
        <w:szCs w:val="24"/>
      </w:rPr>
      <w:instrText xml:space="preserve"> PAGE   \* MERGEFORMAT </w:instrText>
    </w:r>
    <w:r w:rsidRPr="00685BEC">
      <w:rPr>
        <w:rFonts w:ascii="Arial" w:hAnsi="Arial" w:cs="Arial"/>
        <w:sz w:val="24"/>
        <w:szCs w:val="24"/>
      </w:rPr>
      <w:fldChar w:fldCharType="separate"/>
    </w:r>
    <w:r w:rsidR="002449BB">
      <w:rPr>
        <w:rFonts w:ascii="Arial" w:hAnsi="Arial" w:cs="Arial"/>
        <w:noProof/>
        <w:sz w:val="24"/>
        <w:szCs w:val="24"/>
      </w:rPr>
      <w:t>1</w:t>
    </w:r>
    <w:r w:rsidRPr="00685BEC">
      <w:rPr>
        <w:rFonts w:ascii="Arial" w:hAnsi="Arial" w:cs="Arial"/>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055" w:rsidRDefault="00DE2055">
      <w:r>
        <w:separator/>
      </w:r>
    </w:p>
  </w:footnote>
  <w:footnote w:type="continuationSeparator" w:id="0">
    <w:p w:rsidR="00DE2055" w:rsidRDefault="00DE2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63E72"/>
    <w:multiLevelType w:val="singleLevel"/>
    <w:tmpl w:val="CBD428E0"/>
    <w:lvl w:ilvl="0">
      <w:start w:val="1"/>
      <w:numFmt w:val="decimal"/>
      <w:lvlText w:val="%1."/>
      <w:legacy w:legacy="1" w:legacySpace="0" w:legacyIndent="1"/>
      <w:lvlJc w:val="left"/>
      <w:pPr>
        <w:ind w:left="1" w:hanging="1"/>
      </w:pPr>
      <w:rPr>
        <w:rFonts w:ascii="CG Times" w:hAnsi="CG Times" w:cs="CG Time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3AD"/>
    <w:rsid w:val="000F1F7B"/>
    <w:rsid w:val="00102208"/>
    <w:rsid w:val="001239E4"/>
    <w:rsid w:val="00137DF3"/>
    <w:rsid w:val="001A1B48"/>
    <w:rsid w:val="001E1234"/>
    <w:rsid w:val="00232822"/>
    <w:rsid w:val="002449BB"/>
    <w:rsid w:val="002653FB"/>
    <w:rsid w:val="0027069B"/>
    <w:rsid w:val="00337FF6"/>
    <w:rsid w:val="00391EE4"/>
    <w:rsid w:val="0039318B"/>
    <w:rsid w:val="003A6A6D"/>
    <w:rsid w:val="003B7B9C"/>
    <w:rsid w:val="00452D9B"/>
    <w:rsid w:val="00455152"/>
    <w:rsid w:val="004C4A9F"/>
    <w:rsid w:val="004D278D"/>
    <w:rsid w:val="00587FD5"/>
    <w:rsid w:val="005F6B6A"/>
    <w:rsid w:val="006339EF"/>
    <w:rsid w:val="00666962"/>
    <w:rsid w:val="00683F48"/>
    <w:rsid w:val="00685BEC"/>
    <w:rsid w:val="00712BD6"/>
    <w:rsid w:val="007510CA"/>
    <w:rsid w:val="00773C35"/>
    <w:rsid w:val="007976AE"/>
    <w:rsid w:val="00855DD4"/>
    <w:rsid w:val="008A1183"/>
    <w:rsid w:val="009003B7"/>
    <w:rsid w:val="00965F3C"/>
    <w:rsid w:val="00971BA1"/>
    <w:rsid w:val="00983113"/>
    <w:rsid w:val="009C35D3"/>
    <w:rsid w:val="00A04517"/>
    <w:rsid w:val="00A6490B"/>
    <w:rsid w:val="00A661E3"/>
    <w:rsid w:val="00A923BF"/>
    <w:rsid w:val="00AC3127"/>
    <w:rsid w:val="00B445A2"/>
    <w:rsid w:val="00B86238"/>
    <w:rsid w:val="00C16953"/>
    <w:rsid w:val="00CA35E5"/>
    <w:rsid w:val="00CF0871"/>
    <w:rsid w:val="00D02C9E"/>
    <w:rsid w:val="00D353AD"/>
    <w:rsid w:val="00D4276C"/>
    <w:rsid w:val="00D723D0"/>
    <w:rsid w:val="00DE2055"/>
    <w:rsid w:val="00E2713A"/>
    <w:rsid w:val="00E31CFB"/>
    <w:rsid w:val="00E57C21"/>
    <w:rsid w:val="00EC2B72"/>
    <w:rsid w:val="00F70776"/>
    <w:rsid w:val="00F71B3C"/>
    <w:rsid w:val="00F768EF"/>
    <w:rsid w:val="00F80D63"/>
    <w:rsid w:val="00FA227F"/>
    <w:rsid w:val="00FF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Courier" w:hAnsi="Courier" w:cs="Courier"/>
      <w:sz w:val="24"/>
      <w:szCs w:val="24"/>
    </w:rPr>
  </w:style>
  <w:style w:type="paragraph" w:styleId="Header">
    <w:name w:val="header"/>
    <w:basedOn w:val="Normal"/>
    <w:link w:val="HeaderChar"/>
    <w:uiPriority w:val="99"/>
    <w:unhideWhenUsed/>
    <w:rsid w:val="00685BEC"/>
    <w:pPr>
      <w:tabs>
        <w:tab w:val="center" w:pos="4680"/>
        <w:tab w:val="right" w:pos="9360"/>
      </w:tabs>
    </w:pPr>
  </w:style>
  <w:style w:type="character" w:customStyle="1" w:styleId="HeaderChar">
    <w:name w:val="Header Char"/>
    <w:basedOn w:val="DefaultParagraphFont"/>
    <w:link w:val="Header"/>
    <w:uiPriority w:val="99"/>
    <w:rsid w:val="00685BEC"/>
    <w:rPr>
      <w:rFonts w:ascii="Courier" w:hAnsi="Courier" w:cs="Courier"/>
      <w:sz w:val="20"/>
      <w:szCs w:val="20"/>
    </w:rPr>
  </w:style>
  <w:style w:type="paragraph" w:styleId="Footer">
    <w:name w:val="footer"/>
    <w:basedOn w:val="Normal"/>
    <w:link w:val="FooterChar"/>
    <w:uiPriority w:val="99"/>
    <w:unhideWhenUsed/>
    <w:rsid w:val="00685BEC"/>
    <w:pPr>
      <w:tabs>
        <w:tab w:val="center" w:pos="4680"/>
        <w:tab w:val="right" w:pos="9360"/>
      </w:tabs>
    </w:pPr>
  </w:style>
  <w:style w:type="character" w:customStyle="1" w:styleId="FooterChar">
    <w:name w:val="Footer Char"/>
    <w:basedOn w:val="DefaultParagraphFont"/>
    <w:link w:val="Footer"/>
    <w:uiPriority w:val="99"/>
    <w:rsid w:val="00685BEC"/>
    <w:rPr>
      <w:rFonts w:ascii="Courier" w:hAnsi="Courier" w:cs="Courier"/>
      <w:sz w:val="20"/>
      <w:szCs w:val="20"/>
    </w:rPr>
  </w:style>
  <w:style w:type="paragraph" w:styleId="BalloonText">
    <w:name w:val="Balloon Text"/>
    <w:basedOn w:val="Normal"/>
    <w:link w:val="BalloonTextChar"/>
    <w:uiPriority w:val="99"/>
    <w:semiHidden/>
    <w:unhideWhenUsed/>
    <w:rsid w:val="002449BB"/>
    <w:rPr>
      <w:rFonts w:ascii="Tahoma" w:hAnsi="Tahoma" w:cs="Tahoma"/>
      <w:sz w:val="16"/>
      <w:szCs w:val="16"/>
    </w:rPr>
  </w:style>
  <w:style w:type="character" w:customStyle="1" w:styleId="BalloonTextChar">
    <w:name w:val="Balloon Text Char"/>
    <w:basedOn w:val="DefaultParagraphFont"/>
    <w:link w:val="BalloonText"/>
    <w:uiPriority w:val="99"/>
    <w:semiHidden/>
    <w:rsid w:val="002449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Courier" w:hAnsi="Courier" w:cs="Courier"/>
      <w:sz w:val="24"/>
      <w:szCs w:val="24"/>
    </w:rPr>
  </w:style>
  <w:style w:type="paragraph" w:styleId="Header">
    <w:name w:val="header"/>
    <w:basedOn w:val="Normal"/>
    <w:link w:val="HeaderChar"/>
    <w:uiPriority w:val="99"/>
    <w:unhideWhenUsed/>
    <w:rsid w:val="00685BEC"/>
    <w:pPr>
      <w:tabs>
        <w:tab w:val="center" w:pos="4680"/>
        <w:tab w:val="right" w:pos="9360"/>
      </w:tabs>
    </w:pPr>
  </w:style>
  <w:style w:type="character" w:customStyle="1" w:styleId="HeaderChar">
    <w:name w:val="Header Char"/>
    <w:basedOn w:val="DefaultParagraphFont"/>
    <w:link w:val="Header"/>
    <w:uiPriority w:val="99"/>
    <w:rsid w:val="00685BEC"/>
    <w:rPr>
      <w:rFonts w:ascii="Courier" w:hAnsi="Courier" w:cs="Courier"/>
      <w:sz w:val="20"/>
      <w:szCs w:val="20"/>
    </w:rPr>
  </w:style>
  <w:style w:type="paragraph" w:styleId="Footer">
    <w:name w:val="footer"/>
    <w:basedOn w:val="Normal"/>
    <w:link w:val="FooterChar"/>
    <w:uiPriority w:val="99"/>
    <w:unhideWhenUsed/>
    <w:rsid w:val="00685BEC"/>
    <w:pPr>
      <w:tabs>
        <w:tab w:val="center" w:pos="4680"/>
        <w:tab w:val="right" w:pos="9360"/>
      </w:tabs>
    </w:pPr>
  </w:style>
  <w:style w:type="character" w:customStyle="1" w:styleId="FooterChar">
    <w:name w:val="Footer Char"/>
    <w:basedOn w:val="DefaultParagraphFont"/>
    <w:link w:val="Footer"/>
    <w:uiPriority w:val="99"/>
    <w:rsid w:val="00685BEC"/>
    <w:rPr>
      <w:rFonts w:ascii="Courier" w:hAnsi="Courier" w:cs="Courier"/>
      <w:sz w:val="20"/>
      <w:szCs w:val="20"/>
    </w:rPr>
  </w:style>
  <w:style w:type="paragraph" w:styleId="BalloonText">
    <w:name w:val="Balloon Text"/>
    <w:basedOn w:val="Normal"/>
    <w:link w:val="BalloonTextChar"/>
    <w:uiPriority w:val="99"/>
    <w:semiHidden/>
    <w:unhideWhenUsed/>
    <w:rsid w:val="002449BB"/>
    <w:rPr>
      <w:rFonts w:ascii="Tahoma" w:hAnsi="Tahoma" w:cs="Tahoma"/>
      <w:sz w:val="16"/>
      <w:szCs w:val="16"/>
    </w:rPr>
  </w:style>
  <w:style w:type="character" w:customStyle="1" w:styleId="BalloonTextChar">
    <w:name w:val="Balloon Text Char"/>
    <w:basedOn w:val="DefaultParagraphFont"/>
    <w:link w:val="BalloonText"/>
    <w:uiPriority w:val="99"/>
    <w:semiHidden/>
    <w:rsid w:val="002449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138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1005</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Office of Chief Counsel</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Chyr Charlotte</dc:creator>
  <cp:lastModifiedBy>Wolfgang, Dawn</cp:lastModifiedBy>
  <cp:revision>4</cp:revision>
  <cp:lastPrinted>2012-10-31T12:39:00Z</cp:lastPrinted>
  <dcterms:created xsi:type="dcterms:W3CDTF">2012-10-31T12:38:00Z</dcterms:created>
  <dcterms:modified xsi:type="dcterms:W3CDTF">2012-10-31T12:39:00Z</dcterms:modified>
</cp:coreProperties>
</file>