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DA" w:rsidRDefault="008D01DA" w:rsidP="001075B9">
      <w:pPr>
        <w:rPr>
          <w:b/>
          <w:bCs/>
          <w:color w:val="333399"/>
        </w:rPr>
      </w:pPr>
    </w:p>
    <w:p w:rsidR="008D01DA" w:rsidRDefault="008D01DA" w:rsidP="001075B9">
      <w:r>
        <w:rPr>
          <w:rFonts w:ascii="Arial" w:hAnsi="Arial" w:cs="Arial"/>
          <w:color w:val="333399"/>
        </w:rPr>
        <w:object w:dxaOrig="15000"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52.5pt" o:ole="">
            <v:imagedata r:id="rId6" o:title=""/>
          </v:shape>
          <o:OLEObject Type="Embed" ProgID="Word.Picture.8" ShapeID="_x0000_i1025" DrawAspect="Content" ObjectID="_1411980543" r:id="rId7"/>
        </w:object>
      </w:r>
    </w:p>
    <w:p w:rsidR="008D01DA" w:rsidRDefault="008D01DA" w:rsidP="001075B9">
      <w:r>
        <w:rPr>
          <w:noProof/>
          <w:color w:val="333399"/>
          <w:sz w:val="18"/>
          <w:szCs w:val="18"/>
        </w:rPr>
        <mc:AlternateContent>
          <mc:Choice Requires="wps">
            <w:drawing>
              <wp:anchor distT="0" distB="0" distL="114300" distR="114300" simplePos="0" relativeHeight="251658240" behindDoc="0" locked="0" layoutInCell="1" allowOverlap="1">
                <wp:simplePos x="0" y="0"/>
                <wp:positionH relativeFrom="column">
                  <wp:posOffset>-713740</wp:posOffset>
                </wp:positionH>
                <wp:positionV relativeFrom="paragraph">
                  <wp:posOffset>156210</wp:posOffset>
                </wp:positionV>
                <wp:extent cx="6792595" cy="182181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1821815"/>
                        </a:xfrm>
                        <a:prstGeom prst="rect">
                          <a:avLst/>
                        </a:prstGeom>
                        <a:solidFill>
                          <a:srgbClr val="FFFFFF"/>
                        </a:solidFill>
                        <a:ln w="9525">
                          <a:solidFill>
                            <a:srgbClr val="000000"/>
                          </a:solidFill>
                          <a:miter lim="800000"/>
                          <a:headEnd/>
                          <a:tailEnd/>
                        </a:ln>
                      </wps:spPr>
                      <wps:txbx>
                        <w:txbxContent>
                          <w:p w:rsidR="00B04656" w:rsidRDefault="00B04656"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B04656" w:rsidRDefault="00B04656"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B04656" w:rsidRDefault="00B04656" w:rsidP="008D01DA">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B04656" w:rsidRPr="00AC58FE" w:rsidRDefault="00B04656" w:rsidP="008D01DA">
                            <w:pPr>
                              <w:jc w:val="center"/>
                              <w:rPr>
                                <w:color w:val="1F497D"/>
                                <w:sz w:val="18"/>
                                <w:szCs w:val="18"/>
                              </w:rPr>
                            </w:pPr>
                            <w:r w:rsidRPr="00AC58FE">
                              <w:rPr>
                                <w:color w:val="1F497D"/>
                                <w:sz w:val="18"/>
                                <w:szCs w:val="18"/>
                              </w:rPr>
                              <w:t>Public Burden Statement</w:t>
                            </w:r>
                          </w:p>
                          <w:p w:rsidR="00B04656" w:rsidRPr="00AC58FE" w:rsidRDefault="00B04656" w:rsidP="008D01DA">
                            <w:pPr>
                              <w:rPr>
                                <w:color w:val="1F497D"/>
                                <w:sz w:val="18"/>
                                <w:szCs w:val="18"/>
                              </w:rPr>
                            </w:pPr>
                          </w:p>
                          <w:p w:rsidR="00B04656" w:rsidRDefault="00B04656" w:rsidP="008D01DA">
                            <w:pPr>
                              <w:rPr>
                                <w:color w:val="1F497D"/>
                                <w:sz w:val="18"/>
                                <w:szCs w:val="18"/>
                              </w:rPr>
                            </w:pPr>
                            <w:r w:rsidRPr="00AC58FE">
                              <w:rPr>
                                <w:color w:val="1F497D"/>
                                <w:sz w:val="18"/>
                                <w:szCs w:val="18"/>
                              </w:rPr>
                              <w:t xml:space="preserve">A </w:t>
                            </w:r>
                            <w:r w:rsidR="00CC4BAB">
                              <w:rPr>
                                <w:color w:val="1F497D"/>
                                <w:sz w:val="18"/>
                                <w:szCs w:val="18"/>
                              </w:rPr>
                              <w:t>F</w:t>
                            </w:r>
                            <w:r w:rsidRPr="00AC58FE">
                              <w:rPr>
                                <w:color w:val="1F497D"/>
                                <w:sz w:val="18"/>
                                <w:szCs w:val="18"/>
                              </w:rPr>
                              <w:t xml:space="preserve">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Pr>
                                <w:color w:val="1F497D"/>
                                <w:sz w:val="18"/>
                                <w:szCs w:val="18"/>
                              </w:rPr>
                              <w:t>2.5 hours</w:t>
                            </w:r>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B04656" w:rsidRPr="00AC58FE" w:rsidRDefault="00B04656" w:rsidP="008D01DA">
                            <w:pPr>
                              <w:rPr>
                                <w:color w:val="1F497D"/>
                                <w:sz w:val="18"/>
                                <w:szCs w:val="18"/>
                              </w:rPr>
                            </w:pPr>
                          </w:p>
                          <w:p w:rsidR="00B04656" w:rsidRDefault="00B04656" w:rsidP="008D01DA">
                            <w:pPr>
                              <w:tabs>
                                <w:tab w:val="left" w:pos="180"/>
                                <w:tab w:val="left" w:pos="4384"/>
                              </w:tabs>
                              <w:ind w:left="18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6.2pt;margin-top:12.3pt;width:534.85pt;height:14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">
                <v:textbox>
                  <w:txbxContent>
                    <w:p w:rsidR="00B04656" w:rsidRDefault="00B04656"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B04656" w:rsidRDefault="00B04656"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B04656" w:rsidRDefault="00B04656" w:rsidP="008D01DA">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B04656" w:rsidRPr="00AC58FE" w:rsidRDefault="00B04656" w:rsidP="008D01DA">
                      <w:pPr>
                        <w:jc w:val="center"/>
                        <w:rPr>
                          <w:color w:val="1F497D"/>
                          <w:sz w:val="18"/>
                          <w:szCs w:val="18"/>
                        </w:rPr>
                      </w:pPr>
                      <w:r w:rsidRPr="00AC58FE">
                        <w:rPr>
                          <w:color w:val="1F497D"/>
                          <w:sz w:val="18"/>
                          <w:szCs w:val="18"/>
                        </w:rPr>
                        <w:t>Public Burden Statement</w:t>
                      </w:r>
                    </w:p>
                    <w:p w:rsidR="00B04656" w:rsidRPr="00AC58FE" w:rsidRDefault="00B04656" w:rsidP="008D01DA">
                      <w:pPr>
                        <w:rPr>
                          <w:color w:val="1F497D"/>
                          <w:sz w:val="18"/>
                          <w:szCs w:val="18"/>
                        </w:rPr>
                      </w:pPr>
                    </w:p>
                    <w:p w:rsidR="00B04656" w:rsidRDefault="00B04656" w:rsidP="008D01DA">
                      <w:pPr>
                        <w:rPr>
                          <w:color w:val="1F497D"/>
                          <w:sz w:val="18"/>
                          <w:szCs w:val="18"/>
                        </w:rPr>
                      </w:pPr>
                      <w:r w:rsidRPr="00AC58FE">
                        <w:rPr>
                          <w:color w:val="1F497D"/>
                          <w:sz w:val="18"/>
                          <w:szCs w:val="18"/>
                        </w:rPr>
                        <w:t xml:space="preserve">A </w:t>
                      </w:r>
                      <w:r w:rsidR="00CC4BAB">
                        <w:rPr>
                          <w:color w:val="1F497D"/>
                          <w:sz w:val="18"/>
                          <w:szCs w:val="18"/>
                        </w:rPr>
                        <w:t>F</w:t>
                      </w:r>
                      <w:r w:rsidRPr="00AC58FE">
                        <w:rPr>
                          <w:color w:val="1F497D"/>
                          <w:sz w:val="18"/>
                          <w:szCs w:val="18"/>
                        </w:rPr>
                        <w:t xml:space="preserve">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Pr>
                          <w:color w:val="1F497D"/>
                          <w:sz w:val="18"/>
                          <w:szCs w:val="18"/>
                        </w:rPr>
                        <w:t>2.5 hours</w:t>
                      </w:r>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B04656" w:rsidRPr="00AC58FE" w:rsidRDefault="00B04656" w:rsidP="008D01DA">
                      <w:pPr>
                        <w:rPr>
                          <w:color w:val="1F497D"/>
                          <w:sz w:val="18"/>
                          <w:szCs w:val="18"/>
                        </w:rPr>
                      </w:pPr>
                    </w:p>
                    <w:p w:rsidR="00B04656" w:rsidRDefault="00B04656" w:rsidP="008D01DA">
                      <w:pPr>
                        <w:tabs>
                          <w:tab w:val="left" w:pos="180"/>
                          <w:tab w:val="left" w:pos="4384"/>
                        </w:tabs>
                        <w:ind w:left="1800"/>
                      </w:pPr>
                    </w:p>
                  </w:txbxContent>
                </v:textbox>
              </v:shape>
            </w:pict>
          </mc:Fallback>
        </mc:AlternateContent>
      </w:r>
    </w:p>
    <w:p w:rsidR="008D01DA" w:rsidRDefault="008D01DA" w:rsidP="001075B9">
      <w:pPr>
        <w:rPr>
          <w:b/>
          <w:bCs/>
          <w:color w:val="333399"/>
        </w:rPr>
      </w:pPr>
    </w:p>
    <w:p w:rsidR="001075B9" w:rsidRDefault="001075B9" w:rsidP="001075B9">
      <w:pPr>
        <w:rPr>
          <w:color w:val="333399"/>
          <w:sz w:val="20"/>
          <w:szCs w:val="20"/>
        </w:rPr>
      </w:pPr>
      <w:r>
        <w:rPr>
          <w:color w:val="333399"/>
          <w:sz w:val="20"/>
          <w:szCs w:val="20"/>
        </w:rPr>
        <w:tab/>
      </w: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18"/>
          <w:szCs w:val="18"/>
        </w:rPr>
      </w:pPr>
    </w:p>
    <w:p w:rsidR="008D01DA" w:rsidRDefault="008D01DA" w:rsidP="001075B9">
      <w:pPr>
        <w:rPr>
          <w:color w:val="333399"/>
          <w:sz w:val="18"/>
          <w:szCs w:val="18"/>
        </w:rPr>
      </w:pPr>
    </w:p>
    <w:p w:rsidR="008D01DA" w:rsidRDefault="008D01DA" w:rsidP="001075B9">
      <w:pPr>
        <w:rPr>
          <w:color w:val="333399"/>
          <w:sz w:val="18"/>
          <w:szCs w:val="18"/>
        </w:rPr>
      </w:pPr>
    </w:p>
    <w:p w:rsidR="008D01DA" w:rsidRDefault="008D01DA" w:rsidP="001075B9">
      <w:pPr>
        <w:rPr>
          <w:color w:val="333399"/>
          <w:sz w:val="18"/>
          <w:szCs w:val="18"/>
        </w:rPr>
      </w:pPr>
    </w:p>
    <w:p w:rsidR="008D01DA" w:rsidRPr="001075B9" w:rsidRDefault="008D01DA" w:rsidP="001075B9">
      <w:pPr>
        <w:rPr>
          <w:color w:val="333399"/>
          <w:sz w:val="18"/>
          <w:szCs w:val="18"/>
        </w:rPr>
      </w:pPr>
    </w:p>
    <w:p w:rsidR="006016A1" w:rsidRDefault="006016A1" w:rsidP="001075B9">
      <w:pPr>
        <w:spacing w:before="100" w:beforeAutospacing="1" w:after="100" w:afterAutospacing="1"/>
        <w:jc w:val="center"/>
        <w:outlineLvl w:val="1"/>
        <w:rPr>
          <w:rFonts w:ascii="Arial" w:hAnsi="Arial" w:cs="Arial"/>
          <w:color w:val="000066"/>
          <w:sz w:val="32"/>
          <w:szCs w:val="32"/>
          <w:u w:val="single"/>
        </w:rPr>
      </w:pPr>
      <w:r>
        <w:rPr>
          <w:noProof/>
          <w:color w:val="333399"/>
          <w:sz w:val="18"/>
          <w:szCs w:val="18"/>
        </w:rPr>
        <mc:AlternateContent>
          <mc:Choice Requires="wps">
            <w:drawing>
              <wp:anchor distT="0" distB="0" distL="114300" distR="114300" simplePos="0" relativeHeight="251660288" behindDoc="0" locked="0" layoutInCell="1" allowOverlap="1" wp14:anchorId="13E9240B" wp14:editId="72186407">
                <wp:simplePos x="0" y="0"/>
                <wp:positionH relativeFrom="column">
                  <wp:posOffset>-714375</wp:posOffset>
                </wp:positionH>
                <wp:positionV relativeFrom="paragraph">
                  <wp:posOffset>147955</wp:posOffset>
                </wp:positionV>
                <wp:extent cx="6792595" cy="1724025"/>
                <wp:effectExtent l="0" t="0" r="2730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1724025"/>
                        </a:xfrm>
                        <a:prstGeom prst="rect">
                          <a:avLst/>
                        </a:prstGeom>
                        <a:solidFill>
                          <a:srgbClr val="FFFFFF"/>
                        </a:solidFill>
                        <a:ln w="9525">
                          <a:solidFill>
                            <a:srgbClr val="000000"/>
                          </a:solidFill>
                          <a:miter lim="800000"/>
                          <a:headEnd/>
                          <a:tailEnd/>
                        </a:ln>
                      </wps:spPr>
                      <wps:txbx>
                        <w:txbxContent>
                          <w:p w:rsidR="006016A1" w:rsidRDefault="006016A1" w:rsidP="006016A1">
                            <w:pPr>
                              <w:tabs>
                                <w:tab w:val="left" w:pos="180"/>
                                <w:tab w:val="left" w:pos="4384"/>
                              </w:tabs>
                              <w:ind w:left="1800"/>
                              <w:rPr>
                                <w:rFonts w:ascii="Arial" w:hAnsi="Arial" w:cs="Arial"/>
                                <w:b/>
                                <w:bCs/>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w:t>
                            </w:r>
                            <w:r>
                              <w:rPr>
                                <w:rFonts w:ascii="Arial" w:hAnsi="Arial" w:cs="Arial"/>
                                <w:b/>
                                <w:bCs/>
                                <w:color w:val="333399"/>
                                <w:sz w:val="16"/>
                                <w:szCs w:val="16"/>
                              </w:rPr>
                              <w:t xml:space="preserve">                                      </w:t>
                            </w:r>
                          </w:p>
                          <w:p w:rsidR="006016A1" w:rsidRPr="00B04656" w:rsidRDefault="006016A1" w:rsidP="006016A1">
                            <w:pPr>
                              <w:jc w:val="center"/>
                              <w:rPr>
                                <w:b/>
                                <w:color w:val="1F497D"/>
                                <w:sz w:val="18"/>
                                <w:szCs w:val="18"/>
                              </w:rPr>
                            </w:pPr>
                            <w:r w:rsidRPr="00B04656">
                              <w:rPr>
                                <w:b/>
                                <w:color w:val="1F497D"/>
                                <w:sz w:val="18"/>
                                <w:szCs w:val="18"/>
                              </w:rPr>
                              <w:t>Privacy Act Statement</w:t>
                            </w:r>
                          </w:p>
                          <w:p w:rsidR="006016A1" w:rsidRPr="00AC58FE" w:rsidRDefault="006016A1" w:rsidP="006016A1">
                            <w:pPr>
                              <w:jc w:val="center"/>
                              <w:rPr>
                                <w:color w:val="1F497D"/>
                                <w:sz w:val="18"/>
                                <w:szCs w:val="18"/>
                              </w:rPr>
                            </w:pPr>
                          </w:p>
                          <w:p w:rsidR="006016A1" w:rsidRDefault="006016A1" w:rsidP="006016A1">
                            <w:pPr>
                              <w:rPr>
                                <w:color w:val="1F497D"/>
                                <w:sz w:val="18"/>
                                <w:szCs w:val="18"/>
                              </w:rPr>
                            </w:pPr>
                            <w:r>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6016A1" w:rsidRDefault="006016A1" w:rsidP="006016A1">
                            <w:pPr>
                              <w:rPr>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6.25pt;margin-top:11.65pt;width:534.85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">
                <v:textbox>
                  <w:txbxContent>
                    <w:p w:rsidR="006016A1" w:rsidRDefault="006016A1" w:rsidP="006016A1">
                      <w:pPr>
                        <w:tabs>
                          <w:tab w:val="left" w:pos="180"/>
                          <w:tab w:val="left" w:pos="4384"/>
                        </w:tabs>
                        <w:ind w:left="1800"/>
                        <w:rPr>
                          <w:rFonts w:ascii="Arial" w:hAnsi="Arial" w:cs="Arial"/>
                          <w:b/>
                          <w:bCs/>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w:t>
                      </w:r>
                      <w:r>
                        <w:rPr>
                          <w:rFonts w:ascii="Arial" w:hAnsi="Arial" w:cs="Arial"/>
                          <w:b/>
                          <w:bCs/>
                          <w:color w:val="333399"/>
                          <w:sz w:val="16"/>
                          <w:szCs w:val="16"/>
                        </w:rPr>
                        <w:t xml:space="preserve">                                      </w:t>
                      </w:r>
                    </w:p>
                    <w:p w:rsidR="006016A1" w:rsidRPr="00B04656" w:rsidRDefault="006016A1" w:rsidP="006016A1">
                      <w:pPr>
                        <w:jc w:val="center"/>
                        <w:rPr>
                          <w:b/>
                          <w:color w:val="1F497D"/>
                          <w:sz w:val="18"/>
                          <w:szCs w:val="18"/>
                        </w:rPr>
                      </w:pPr>
                      <w:r w:rsidRPr="00B04656">
                        <w:rPr>
                          <w:b/>
                          <w:color w:val="1F497D"/>
                          <w:sz w:val="18"/>
                          <w:szCs w:val="18"/>
                        </w:rPr>
                        <w:t>Privacy Act Statement</w:t>
                      </w:r>
                    </w:p>
                    <w:p w:rsidR="006016A1" w:rsidRPr="00AC58FE" w:rsidRDefault="006016A1" w:rsidP="006016A1">
                      <w:pPr>
                        <w:jc w:val="center"/>
                        <w:rPr>
                          <w:color w:val="1F497D"/>
                          <w:sz w:val="18"/>
                          <w:szCs w:val="18"/>
                        </w:rPr>
                      </w:pPr>
                    </w:p>
                    <w:p w:rsidR="006016A1" w:rsidRDefault="006016A1" w:rsidP="006016A1">
                      <w:pPr>
                        <w:rPr>
                          <w:color w:val="1F497D"/>
                          <w:sz w:val="18"/>
                          <w:szCs w:val="18"/>
                        </w:rPr>
                      </w:pPr>
                      <w:r>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6016A1" w:rsidRDefault="006016A1" w:rsidP="006016A1">
                      <w:pPr>
                        <w:rPr>
                          <w:color w:val="1F497D"/>
                          <w:sz w:val="18"/>
                          <w:szCs w:val="18"/>
                        </w:rPr>
                      </w:pPr>
                    </w:p>
                  </w:txbxContent>
                </v:textbox>
              </v:shape>
            </w:pict>
          </mc:Fallback>
        </mc:AlternateContent>
      </w:r>
    </w:p>
    <w:p w:rsidR="006016A1" w:rsidRDefault="006016A1" w:rsidP="001075B9">
      <w:pPr>
        <w:spacing w:before="100" w:beforeAutospacing="1" w:after="100" w:afterAutospacing="1"/>
        <w:jc w:val="center"/>
        <w:outlineLvl w:val="1"/>
        <w:rPr>
          <w:rFonts w:ascii="Arial" w:hAnsi="Arial" w:cs="Arial"/>
          <w:color w:val="000066"/>
          <w:sz w:val="32"/>
          <w:szCs w:val="32"/>
          <w:u w:val="single"/>
        </w:rPr>
      </w:pPr>
    </w:p>
    <w:p w:rsidR="006016A1" w:rsidRDefault="006016A1" w:rsidP="001075B9">
      <w:pPr>
        <w:spacing w:before="100" w:beforeAutospacing="1" w:after="100" w:afterAutospacing="1"/>
        <w:jc w:val="center"/>
        <w:outlineLvl w:val="1"/>
        <w:rPr>
          <w:rFonts w:ascii="Arial" w:hAnsi="Arial" w:cs="Arial"/>
          <w:color w:val="000066"/>
          <w:sz w:val="32"/>
          <w:szCs w:val="32"/>
          <w:u w:val="single"/>
        </w:rPr>
      </w:pPr>
    </w:p>
    <w:p w:rsidR="006016A1" w:rsidRDefault="006016A1" w:rsidP="001075B9">
      <w:pPr>
        <w:spacing w:before="100" w:beforeAutospacing="1" w:after="100" w:afterAutospacing="1"/>
        <w:jc w:val="center"/>
        <w:outlineLvl w:val="1"/>
        <w:rPr>
          <w:rFonts w:ascii="Arial" w:hAnsi="Arial" w:cs="Arial"/>
          <w:color w:val="000066"/>
          <w:sz w:val="32"/>
          <w:szCs w:val="32"/>
          <w:u w:val="single"/>
        </w:rPr>
      </w:pPr>
    </w:p>
    <w:p w:rsidR="006016A1" w:rsidRDefault="006016A1" w:rsidP="001075B9">
      <w:pPr>
        <w:spacing w:before="100" w:beforeAutospacing="1" w:after="100" w:afterAutospacing="1"/>
        <w:jc w:val="center"/>
        <w:outlineLvl w:val="1"/>
        <w:rPr>
          <w:rFonts w:ascii="Arial" w:hAnsi="Arial" w:cs="Arial"/>
          <w:color w:val="000066"/>
          <w:sz w:val="32"/>
          <w:szCs w:val="32"/>
          <w:u w:val="single"/>
        </w:rPr>
      </w:pPr>
      <w:bookmarkStart w:id="0" w:name="_GoBack"/>
      <w:bookmarkEnd w:id="0"/>
    </w:p>
    <w:p w:rsidR="001075B9" w:rsidRPr="001075B9" w:rsidRDefault="001075B9" w:rsidP="001075B9">
      <w:pPr>
        <w:spacing w:before="100" w:beforeAutospacing="1" w:after="100" w:afterAutospacing="1"/>
        <w:jc w:val="center"/>
        <w:outlineLvl w:val="1"/>
        <w:rPr>
          <w:rFonts w:ascii="Arial" w:hAnsi="Arial" w:cs="Arial"/>
          <w:color w:val="000066"/>
          <w:sz w:val="32"/>
          <w:szCs w:val="32"/>
        </w:rPr>
      </w:pPr>
      <w:r w:rsidRPr="001075B9">
        <w:rPr>
          <w:rFonts w:ascii="Arial" w:hAnsi="Arial" w:cs="Arial"/>
          <w:color w:val="000066"/>
          <w:sz w:val="32"/>
          <w:szCs w:val="32"/>
          <w:u w:val="single"/>
        </w:rPr>
        <w:t>EEO COUNSELOR CHECKLIST</w:t>
      </w:r>
    </w:p>
    <w:p w:rsidR="001075B9" w:rsidRPr="001075B9" w:rsidRDefault="001075B9" w:rsidP="001075B9">
      <w:pPr>
        <w:spacing w:before="100" w:beforeAutospacing="1" w:after="100" w:afterAutospacing="1"/>
        <w:rPr>
          <w:color w:val="000000"/>
          <w:sz w:val="22"/>
          <w:szCs w:val="22"/>
        </w:rPr>
      </w:pPr>
      <w:r w:rsidRPr="001075B9">
        <w:rPr>
          <w:color w:val="000000"/>
          <w:sz w:val="22"/>
          <w:szCs w:val="22"/>
        </w:rPr>
        <w:t>At the initial counseling session, Counselors must advise individuals in writing of their rights and responsibilities. At a minimum those rights include the following:</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The right to anonymity.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The right to representation throughout the complaint process including the counseling stage. The EEO Counselor should make clear to the aggrieved person that the EEO counselor is not an advocate for either the aggrieved person or the agency but acts strictly as a neutral in the EEO process.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The right to choose between the agency's alternative dispute resolution (ADR) process or EEO counseling, where the agency agrees to offer ADR in the particular case, and information about each procedure.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The possible election requirement between a negotiated grievance procedure and the EEO complaint procedure. </w:t>
      </w:r>
    </w:p>
    <w:p w:rsidR="00DA1FC7" w:rsidRDefault="001075B9" w:rsidP="001075B9">
      <w:pPr>
        <w:numPr>
          <w:ilvl w:val="0"/>
          <w:numId w:val="1"/>
        </w:numPr>
        <w:spacing w:before="240" w:after="168"/>
        <w:rPr>
          <w:color w:val="000000"/>
          <w:sz w:val="22"/>
          <w:szCs w:val="22"/>
        </w:rPr>
      </w:pPr>
      <w:r w:rsidRPr="00DA1FC7">
        <w:rPr>
          <w:color w:val="000000"/>
          <w:sz w:val="22"/>
          <w:szCs w:val="22"/>
        </w:rPr>
        <w:lastRenderedPageBreak/>
        <w:t xml:space="preserve">The election requirement in the event that the claim at issue is appealable to the Merit Systems Protection Board (MSPB), </w:t>
      </w:r>
      <w:r w:rsidRPr="00DA1FC7">
        <w:rPr>
          <w:color w:val="000000"/>
          <w:sz w:val="22"/>
          <w:szCs w:val="22"/>
          <w:u w:val="single"/>
        </w:rPr>
        <w:t>i.e.</w:t>
      </w:r>
      <w:r w:rsidRPr="00DA1FC7">
        <w:rPr>
          <w:color w:val="000000"/>
          <w:sz w:val="22"/>
          <w:szCs w:val="22"/>
        </w:rPr>
        <w:t xml:space="preserve">, the dispute is a mixed case. </w:t>
      </w:r>
    </w:p>
    <w:p w:rsidR="001075B9" w:rsidRPr="00DA1FC7" w:rsidRDefault="001075B9" w:rsidP="001075B9">
      <w:pPr>
        <w:numPr>
          <w:ilvl w:val="0"/>
          <w:numId w:val="1"/>
        </w:numPr>
        <w:spacing w:before="240" w:after="168"/>
        <w:rPr>
          <w:color w:val="000000"/>
          <w:sz w:val="22"/>
          <w:szCs w:val="22"/>
        </w:rPr>
      </w:pPr>
      <w:r w:rsidRPr="00DA1FC7">
        <w:rPr>
          <w:color w:val="000000"/>
          <w:sz w:val="22"/>
          <w:szCs w:val="22"/>
        </w:rPr>
        <w:t xml:space="preserve">The requirement that the aggrieved person file a complaint within 15 calendar days of receipt of the Counselor's notice of right to file a formal complaint in the event s/he wishes to file a formal complaint at the conclusion of counseling or ADR.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The right to file a notice of intent to sue when age is alleged as a basis for discrimination and of the right to file a lawsuit under the ADEA instead of an administrative complaint of age discrimination, pursuant to 1614.201(a).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The right to go directly to a court of competent jurisdiction on claims of sex-based wage discrimination under the Equal Pay Act even though such claims are also cognizable under Title VII.</w:t>
      </w:r>
      <w:hyperlink r:id="rId8" w:anchor="N_1_" w:history="1">
        <w:r w:rsidRPr="001075B9">
          <w:rPr>
            <w:color w:val="0000FF"/>
            <w:sz w:val="22"/>
            <w:szCs w:val="22"/>
            <w:u w:val="single"/>
            <w:vertAlign w:val="superscript"/>
          </w:rPr>
          <w:t>(1)</w:t>
        </w:r>
      </w:hyperlink>
      <w:r w:rsidRPr="001075B9">
        <w:rPr>
          <w:color w:val="000000"/>
          <w:sz w:val="22"/>
          <w:szCs w:val="22"/>
        </w:rPr>
        <w:t xml:space="preserve">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The right to request a hearing before an EEOC Administrative Judge except in a mixed case after 180 calendar days from the filing of a formal complaint or after completion of the investigation, whichever comes first.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The right to an immediate final decision after an investigation by the agency in accordance with 1614.108(f).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The right to go to U.S. District Court 180 calendar days after filing a formal complaint or 180 days after filing an appeal.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The duty to mitigate damages, </w:t>
      </w:r>
      <w:r w:rsidRPr="001075B9">
        <w:rPr>
          <w:color w:val="000000"/>
          <w:sz w:val="22"/>
          <w:szCs w:val="22"/>
          <w:u w:val="single"/>
        </w:rPr>
        <w:t>e.g.</w:t>
      </w:r>
      <w:r w:rsidRPr="001075B9">
        <w:rPr>
          <w:color w:val="000000"/>
          <w:sz w:val="22"/>
          <w:szCs w:val="22"/>
        </w:rPr>
        <w:t xml:space="preserve">, that interim earnings or amounts that could be earned by the individual with reasonable diligence generally must be deducted from an award of back pay.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The duty to keep the agency and EEOC informed of his/her current mailing address and to serve copies of appeal papers on the agency.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Where counseling is selected, the right to receive in writing within 30 calendar days of the first counseling contact (unless the aggrieved person agrees in writing to an extension) a notice terminating counseling and informing the aggrieved of: </w:t>
      </w:r>
    </w:p>
    <w:p w:rsidR="001075B9" w:rsidRPr="001075B9" w:rsidRDefault="001075B9" w:rsidP="001075B9">
      <w:pPr>
        <w:spacing w:before="100" w:beforeAutospacing="1" w:after="100" w:afterAutospacing="1"/>
        <w:ind w:left="720"/>
        <w:rPr>
          <w:color w:val="000000"/>
          <w:sz w:val="22"/>
          <w:szCs w:val="22"/>
        </w:rPr>
      </w:pPr>
      <w:r w:rsidRPr="001075B9">
        <w:rPr>
          <w:color w:val="000000"/>
          <w:sz w:val="22"/>
          <w:szCs w:val="22"/>
        </w:rPr>
        <w:t xml:space="preserve">(1) the right to file a formal individual or class complaint within 15 calendar days of receipt of the notice, </w:t>
      </w:r>
    </w:p>
    <w:p w:rsidR="001075B9" w:rsidRPr="001075B9" w:rsidRDefault="001075B9" w:rsidP="001075B9">
      <w:pPr>
        <w:spacing w:before="100" w:beforeAutospacing="1" w:after="100" w:afterAutospacing="1"/>
        <w:ind w:left="720"/>
        <w:rPr>
          <w:color w:val="000000"/>
          <w:sz w:val="22"/>
          <w:szCs w:val="22"/>
        </w:rPr>
      </w:pPr>
      <w:r w:rsidRPr="001075B9">
        <w:rPr>
          <w:color w:val="000000"/>
          <w:sz w:val="22"/>
          <w:szCs w:val="22"/>
        </w:rPr>
        <w:t xml:space="preserve">(2) the appropriate official with whom to file a formal complaint, and </w:t>
      </w:r>
    </w:p>
    <w:p w:rsidR="001075B9" w:rsidRPr="001075B9" w:rsidRDefault="001075B9" w:rsidP="001075B9">
      <w:pPr>
        <w:spacing w:before="100" w:beforeAutospacing="1" w:after="100" w:afterAutospacing="1"/>
        <w:ind w:left="720"/>
        <w:rPr>
          <w:color w:val="000000"/>
          <w:sz w:val="22"/>
          <w:szCs w:val="22"/>
        </w:rPr>
      </w:pPr>
      <w:r w:rsidRPr="001075B9">
        <w:rPr>
          <w:color w:val="000000"/>
          <w:sz w:val="22"/>
          <w:szCs w:val="22"/>
        </w:rPr>
        <w:t>(3) the complainant's duty to immediately inform the agency if the complainant retains counsel or a representative. Any extension of the counseling period may not exceed an additional sixty (60) calendar days.</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 xml:space="preserve">Where the aggrieved person agrees to participate in an established ADR program, the written notice terminating the counseling period will be issued upon completion of the dispute resolution process or within ninety (90) calendar days of the first contact with the EEO Counselor, whichever is earlier.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lastRenderedPageBreak/>
        <w:t xml:space="preserve">That only those claims raised at the counseling stage or claims that are like or related to those that were raised may be the subject of a formal complaint, and how to amend a complaint after it has been filed. </w:t>
      </w:r>
    </w:p>
    <w:p w:rsidR="001075B9" w:rsidRPr="001075B9" w:rsidRDefault="001075B9" w:rsidP="001075B9">
      <w:pPr>
        <w:numPr>
          <w:ilvl w:val="0"/>
          <w:numId w:val="1"/>
        </w:numPr>
        <w:spacing w:before="240" w:after="168"/>
        <w:rPr>
          <w:color w:val="000000"/>
          <w:sz w:val="22"/>
          <w:szCs w:val="22"/>
        </w:rPr>
      </w:pPr>
      <w:r w:rsidRPr="001075B9">
        <w:rPr>
          <w:color w:val="000000"/>
          <w:sz w:val="22"/>
          <w:szCs w:val="22"/>
        </w:rPr>
        <w:t>The identity and address of the EEOC field office to which a request for a hearing must be sent in the event that the aggrieved person files a formal complaint and requests</w:t>
      </w:r>
      <w:r w:rsidR="00246FA1">
        <w:rPr>
          <w:color w:val="000000"/>
          <w:sz w:val="22"/>
          <w:szCs w:val="22"/>
        </w:rPr>
        <w:t xml:space="preserve"> a hearing pursuant to </w:t>
      </w:r>
      <w:r w:rsidRPr="001075B9">
        <w:rPr>
          <w:color w:val="000000"/>
          <w:sz w:val="22"/>
          <w:szCs w:val="22"/>
        </w:rPr>
        <w:t xml:space="preserve">1614.108(g). </w:t>
      </w:r>
    </w:p>
    <w:p w:rsidR="00DA1FC7" w:rsidRDefault="001075B9" w:rsidP="001075B9">
      <w:pPr>
        <w:numPr>
          <w:ilvl w:val="0"/>
          <w:numId w:val="1"/>
        </w:numPr>
        <w:spacing w:before="240" w:after="168"/>
        <w:rPr>
          <w:color w:val="000000"/>
          <w:sz w:val="22"/>
          <w:szCs w:val="22"/>
        </w:rPr>
      </w:pPr>
      <w:r w:rsidRPr="00DA1FC7">
        <w:rPr>
          <w:color w:val="000000"/>
          <w:sz w:val="22"/>
          <w:szCs w:val="22"/>
        </w:rPr>
        <w:t xml:space="preserve">The name and address of the agency official to whom the aggrieved person must send a copy of the request for a hearing. The EEO Counselor should advise the aggrieved person of his/her duty to certify to the Administrative Judge that s/he provided the agency with a copy of a request for a hearing. </w:t>
      </w:r>
    </w:p>
    <w:p w:rsidR="001075B9" w:rsidRPr="00DA1FC7" w:rsidRDefault="001075B9" w:rsidP="001075B9">
      <w:pPr>
        <w:numPr>
          <w:ilvl w:val="0"/>
          <w:numId w:val="1"/>
        </w:numPr>
        <w:spacing w:before="240" w:after="168"/>
        <w:rPr>
          <w:color w:val="000000"/>
          <w:sz w:val="22"/>
          <w:szCs w:val="22"/>
        </w:rPr>
      </w:pPr>
      <w:r w:rsidRPr="00DA1FC7">
        <w:rPr>
          <w:color w:val="000000"/>
          <w:sz w:val="22"/>
          <w:szCs w:val="22"/>
        </w:rPr>
        <w:t xml:space="preserve">The time frames in the complaint process. </w:t>
      </w:r>
    </w:p>
    <w:p w:rsidR="00CB58FD" w:rsidRDefault="001075B9" w:rsidP="001075B9">
      <w:pPr>
        <w:numPr>
          <w:ilvl w:val="0"/>
          <w:numId w:val="1"/>
        </w:numPr>
        <w:spacing w:before="240" w:after="168"/>
        <w:rPr>
          <w:color w:val="000000"/>
          <w:sz w:val="22"/>
          <w:szCs w:val="22"/>
        </w:rPr>
      </w:pPr>
      <w:r w:rsidRPr="00CB58FD">
        <w:rPr>
          <w:color w:val="000000"/>
          <w:sz w:val="22"/>
          <w:szCs w:val="22"/>
        </w:rPr>
        <w:t xml:space="preserve">The class complaint procedures and the responsibilities of a class agent, if the aggrieved person informs the EEO Counselor that s/he wishes to file a class complaint. </w:t>
      </w:r>
    </w:p>
    <w:p w:rsidR="003A387A" w:rsidRPr="00CB58FD" w:rsidRDefault="001075B9" w:rsidP="001075B9">
      <w:pPr>
        <w:numPr>
          <w:ilvl w:val="0"/>
          <w:numId w:val="1"/>
        </w:numPr>
        <w:spacing w:before="240" w:after="168"/>
        <w:rPr>
          <w:color w:val="000000"/>
          <w:sz w:val="22"/>
          <w:szCs w:val="22"/>
        </w:rPr>
      </w:pPr>
      <w:r w:rsidRPr="00CB58FD">
        <w:rPr>
          <w:color w:val="000000"/>
          <w:sz w:val="22"/>
          <w:szCs w:val="22"/>
        </w:rPr>
        <w:t>That rejection of an agency's offer</w:t>
      </w:r>
      <w:r w:rsidR="003A387A" w:rsidRPr="00CB58FD">
        <w:rPr>
          <w:color w:val="000000"/>
          <w:sz w:val="22"/>
          <w:szCs w:val="22"/>
        </w:rPr>
        <w:t xml:space="preserve"> of resolution made pursuant to</w:t>
      </w:r>
      <w:r w:rsidRPr="00CB58FD">
        <w:rPr>
          <w:color w:val="000000"/>
          <w:sz w:val="22"/>
          <w:szCs w:val="22"/>
        </w:rPr>
        <w:t xml:space="preserve"> 1614.109(c) may result in the limitation of the agency's payment of attorney's fees or costs. </w:t>
      </w:r>
    </w:p>
    <w:p w:rsidR="001075B9" w:rsidRPr="003A387A" w:rsidRDefault="001075B9" w:rsidP="001075B9">
      <w:pPr>
        <w:numPr>
          <w:ilvl w:val="0"/>
          <w:numId w:val="1"/>
        </w:numPr>
        <w:spacing w:before="240" w:after="168"/>
        <w:rPr>
          <w:color w:val="000000"/>
          <w:sz w:val="22"/>
          <w:szCs w:val="22"/>
        </w:rPr>
      </w:pPr>
      <w:r w:rsidRPr="003A387A">
        <w:rPr>
          <w:color w:val="000000"/>
          <w:sz w:val="22"/>
          <w:szCs w:val="22"/>
        </w:rPr>
        <w:t xml:space="preserve">That the agency must consolidate two or more complaints filed by the same complainant after appropriate notice to the complainant. 1614.606. The EEO Counselor should advise the complainant that when a complaint has been consolidated with one or more earlier complaints, the agency shall complete its investigation within the earlier of 180 days after the filing of the last complaint or 360 days of the filing of the first complaint and that the complainant may request a hearing before an EEOC Administrative Judge at any time after 180 days of the filing of the first complaint. </w:t>
      </w:r>
    </w:p>
    <w:p w:rsidR="001075B9" w:rsidRPr="001075B9" w:rsidRDefault="006016A1" w:rsidP="001075B9">
      <w:pPr>
        <w:rPr>
          <w:color w:val="000000"/>
          <w:sz w:val="22"/>
          <w:szCs w:val="22"/>
        </w:rPr>
      </w:pPr>
      <w:r>
        <w:rPr>
          <w:color w:val="000000"/>
          <w:sz w:val="22"/>
          <w:szCs w:val="22"/>
        </w:rPr>
        <w:pict>
          <v:rect id="_x0000_i1026" style="width:0;height:1.5pt" o:hralign="center" o:hrstd="t" o:hr="t" fillcolor="gray" stroked="f"/>
        </w:pict>
      </w:r>
    </w:p>
    <w:p w:rsidR="001075B9" w:rsidRPr="001075B9" w:rsidRDefault="001075B9" w:rsidP="001075B9">
      <w:pPr>
        <w:spacing w:before="100" w:beforeAutospacing="1" w:after="100" w:afterAutospacing="1"/>
        <w:rPr>
          <w:color w:val="000000"/>
          <w:sz w:val="22"/>
          <w:szCs w:val="22"/>
        </w:rPr>
      </w:pPr>
      <w:bookmarkStart w:id="1" w:name="N_1_"/>
      <w:r w:rsidRPr="001075B9">
        <w:rPr>
          <w:color w:val="000000"/>
          <w:sz w:val="22"/>
          <w:szCs w:val="22"/>
        </w:rPr>
        <w:t xml:space="preserve">1. </w:t>
      </w:r>
      <w:bookmarkEnd w:id="1"/>
      <w:r w:rsidRPr="001075B9">
        <w:rPr>
          <w:color w:val="000000"/>
          <w:sz w:val="22"/>
          <w:szCs w:val="22"/>
        </w:rPr>
        <w:t xml:space="preserve">Sex-based claims of wage discrimination may also be raised under Title VII; individuals so aggrieved may thus claim violations of both statutes simultaneously. Equal Pay Act complaints may be processed administratively under Part 1614. In the alternative, a complainant in the EPA claim may go directly to a court of competent jurisdiction. </w:t>
      </w:r>
    </w:p>
    <w:p w:rsidR="00A3232C" w:rsidRDefault="00A3232C"/>
    <w:p w:rsidR="00C94AE0" w:rsidRDefault="00C94AE0"/>
    <w:p w:rsidR="00C94AE0" w:rsidRDefault="00C94AE0">
      <w:r>
        <w:t>_______________________________</w:t>
      </w:r>
      <w:r>
        <w:tab/>
      </w:r>
      <w:r>
        <w:tab/>
      </w:r>
      <w:r>
        <w:tab/>
        <w:t>_______________________</w:t>
      </w:r>
    </w:p>
    <w:p w:rsidR="00C94AE0" w:rsidRDefault="00C94AE0">
      <w:r>
        <w:t>Signature of Aggrieved</w:t>
      </w:r>
      <w:r>
        <w:tab/>
      </w:r>
      <w:r>
        <w:tab/>
      </w:r>
      <w:r>
        <w:tab/>
      </w:r>
      <w:r>
        <w:tab/>
      </w:r>
      <w:r>
        <w:tab/>
        <w:t>Date</w:t>
      </w:r>
    </w:p>
    <w:p w:rsidR="00C94AE0" w:rsidRDefault="00C94AE0"/>
    <w:p w:rsidR="00C94AE0" w:rsidRDefault="00C94AE0"/>
    <w:p w:rsidR="00996141" w:rsidRDefault="00996141"/>
    <w:p w:rsidR="00C94AE0" w:rsidRDefault="00C94AE0"/>
    <w:p w:rsidR="00B04656" w:rsidRDefault="00420E79" w:rsidP="00B04656">
      <w:pPr>
        <w:pStyle w:val="ListParagraph"/>
        <w:numPr>
          <w:ilvl w:val="0"/>
          <w:numId w:val="2"/>
        </w:numPr>
      </w:pPr>
      <w:r>
        <w:t xml:space="preserve">For additional questions, </w:t>
      </w:r>
      <w:r w:rsidR="003C7E41">
        <w:t xml:space="preserve">contact your EEO Counselor and for an additional source of reference, please </w:t>
      </w:r>
      <w:r>
        <w:t xml:space="preserve">visit </w:t>
      </w:r>
      <w:hyperlink r:id="rId9" w:history="1">
        <w:r w:rsidRPr="00E03FBA">
          <w:rPr>
            <w:rStyle w:val="Hyperlink"/>
          </w:rPr>
          <w:t>www.EEOC.gov</w:t>
        </w:r>
      </w:hyperlink>
      <w:r>
        <w:t xml:space="preserve"> and click </w:t>
      </w:r>
      <w:r w:rsidR="00C27FE6">
        <w:t>“</w:t>
      </w:r>
      <w:r>
        <w:t>federal agencies</w:t>
      </w:r>
      <w:r w:rsidR="00C27FE6">
        <w:t xml:space="preserve">” </w:t>
      </w:r>
      <w:r w:rsidR="003C7E41">
        <w:t xml:space="preserve">for more </w:t>
      </w:r>
      <w:r>
        <w:t>information</w:t>
      </w:r>
      <w:r w:rsidR="003C7E41">
        <w:t xml:space="preserve"> about the EEO process</w:t>
      </w:r>
      <w:r>
        <w:t xml:space="preserve">. </w:t>
      </w:r>
    </w:p>
    <w:p w:rsidR="00B04656" w:rsidRDefault="00B04656" w:rsidP="00B04656">
      <w:pPr>
        <w:ind w:left="90"/>
      </w:pPr>
    </w:p>
    <w:p w:rsidR="00B04656" w:rsidRDefault="00B04656" w:rsidP="00B04656">
      <w:pPr>
        <w:ind w:left="90"/>
      </w:pPr>
    </w:p>
    <w:sectPr w:rsidR="00B04656" w:rsidSect="001B15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8C6"/>
    <w:multiLevelType w:val="hybridMultilevel"/>
    <w:tmpl w:val="F5CC23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5519D7"/>
    <w:multiLevelType w:val="multilevel"/>
    <w:tmpl w:val="1ECA9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9F1742E"/>
    <w:multiLevelType w:val="hybridMultilevel"/>
    <w:tmpl w:val="C43C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B9"/>
    <w:rsid w:val="00003C15"/>
    <w:rsid w:val="000130B8"/>
    <w:rsid w:val="00017EE0"/>
    <w:rsid w:val="00024F57"/>
    <w:rsid w:val="000323D4"/>
    <w:rsid w:val="000326A0"/>
    <w:rsid w:val="00033E24"/>
    <w:rsid w:val="000410DB"/>
    <w:rsid w:val="000579C4"/>
    <w:rsid w:val="00072BD4"/>
    <w:rsid w:val="00076FBE"/>
    <w:rsid w:val="0008401A"/>
    <w:rsid w:val="0009223D"/>
    <w:rsid w:val="000C7E0F"/>
    <w:rsid w:val="000D4FD3"/>
    <w:rsid w:val="000E698E"/>
    <w:rsid w:val="000F03D0"/>
    <w:rsid w:val="00100601"/>
    <w:rsid w:val="00103B3B"/>
    <w:rsid w:val="0010522A"/>
    <w:rsid w:val="001075B9"/>
    <w:rsid w:val="001113A0"/>
    <w:rsid w:val="00122137"/>
    <w:rsid w:val="00126A36"/>
    <w:rsid w:val="00137944"/>
    <w:rsid w:val="0014062B"/>
    <w:rsid w:val="0014707A"/>
    <w:rsid w:val="001574CD"/>
    <w:rsid w:val="00161818"/>
    <w:rsid w:val="0016487D"/>
    <w:rsid w:val="001762BF"/>
    <w:rsid w:val="00182BEA"/>
    <w:rsid w:val="00185A66"/>
    <w:rsid w:val="00195A7D"/>
    <w:rsid w:val="00197469"/>
    <w:rsid w:val="001B15DA"/>
    <w:rsid w:val="001B4DED"/>
    <w:rsid w:val="001B67AD"/>
    <w:rsid w:val="001B713C"/>
    <w:rsid w:val="001C0576"/>
    <w:rsid w:val="001C0CB6"/>
    <w:rsid w:val="001C33B3"/>
    <w:rsid w:val="001D3BF9"/>
    <w:rsid w:val="001D4775"/>
    <w:rsid w:val="001E7AA8"/>
    <w:rsid w:val="001E7D8B"/>
    <w:rsid w:val="001F0A97"/>
    <w:rsid w:val="001F17E8"/>
    <w:rsid w:val="001F4A64"/>
    <w:rsid w:val="00205B76"/>
    <w:rsid w:val="00211014"/>
    <w:rsid w:val="00211C64"/>
    <w:rsid w:val="00214D1C"/>
    <w:rsid w:val="00231851"/>
    <w:rsid w:val="00231EEA"/>
    <w:rsid w:val="00246FA1"/>
    <w:rsid w:val="00260041"/>
    <w:rsid w:val="00265682"/>
    <w:rsid w:val="00272609"/>
    <w:rsid w:val="00282820"/>
    <w:rsid w:val="00284485"/>
    <w:rsid w:val="002846B1"/>
    <w:rsid w:val="00293B65"/>
    <w:rsid w:val="002A00B4"/>
    <w:rsid w:val="002A5E78"/>
    <w:rsid w:val="002B2ECA"/>
    <w:rsid w:val="002B60EB"/>
    <w:rsid w:val="002C0C4A"/>
    <w:rsid w:val="002E70D5"/>
    <w:rsid w:val="002F0534"/>
    <w:rsid w:val="002F0CDA"/>
    <w:rsid w:val="002F50A5"/>
    <w:rsid w:val="00327298"/>
    <w:rsid w:val="00331AAD"/>
    <w:rsid w:val="00346002"/>
    <w:rsid w:val="00346572"/>
    <w:rsid w:val="00356A01"/>
    <w:rsid w:val="00356CFA"/>
    <w:rsid w:val="00362DEB"/>
    <w:rsid w:val="0037109E"/>
    <w:rsid w:val="003722B0"/>
    <w:rsid w:val="00372E09"/>
    <w:rsid w:val="003814E8"/>
    <w:rsid w:val="0038734D"/>
    <w:rsid w:val="00387572"/>
    <w:rsid w:val="003919BB"/>
    <w:rsid w:val="0039461C"/>
    <w:rsid w:val="003A1862"/>
    <w:rsid w:val="003A387A"/>
    <w:rsid w:val="003B2717"/>
    <w:rsid w:val="003C3029"/>
    <w:rsid w:val="003C4D5A"/>
    <w:rsid w:val="003C7E41"/>
    <w:rsid w:val="003D1602"/>
    <w:rsid w:val="003D1FF0"/>
    <w:rsid w:val="003D3048"/>
    <w:rsid w:val="003D41F2"/>
    <w:rsid w:val="003E5A95"/>
    <w:rsid w:val="003F078F"/>
    <w:rsid w:val="00404E43"/>
    <w:rsid w:val="00407EC6"/>
    <w:rsid w:val="004107FF"/>
    <w:rsid w:val="0041529E"/>
    <w:rsid w:val="00420E79"/>
    <w:rsid w:val="004311D5"/>
    <w:rsid w:val="00436553"/>
    <w:rsid w:val="00440978"/>
    <w:rsid w:val="004461BB"/>
    <w:rsid w:val="00450FA2"/>
    <w:rsid w:val="00456781"/>
    <w:rsid w:val="004643AD"/>
    <w:rsid w:val="00471168"/>
    <w:rsid w:val="00472CD1"/>
    <w:rsid w:val="00475CF5"/>
    <w:rsid w:val="00484244"/>
    <w:rsid w:val="004870C3"/>
    <w:rsid w:val="004901FD"/>
    <w:rsid w:val="004A3EF0"/>
    <w:rsid w:val="004B5B2A"/>
    <w:rsid w:val="004B7597"/>
    <w:rsid w:val="004B7B70"/>
    <w:rsid w:val="004C016D"/>
    <w:rsid w:val="004C0BAF"/>
    <w:rsid w:val="004C2D8C"/>
    <w:rsid w:val="004C534C"/>
    <w:rsid w:val="004C7236"/>
    <w:rsid w:val="004D62AF"/>
    <w:rsid w:val="004E2F52"/>
    <w:rsid w:val="004E68DB"/>
    <w:rsid w:val="004F4307"/>
    <w:rsid w:val="004F5342"/>
    <w:rsid w:val="004F7360"/>
    <w:rsid w:val="004F78EC"/>
    <w:rsid w:val="005031F8"/>
    <w:rsid w:val="00507E72"/>
    <w:rsid w:val="00521FEB"/>
    <w:rsid w:val="0052734E"/>
    <w:rsid w:val="00527E24"/>
    <w:rsid w:val="00533E29"/>
    <w:rsid w:val="005457CC"/>
    <w:rsid w:val="00554C06"/>
    <w:rsid w:val="00560265"/>
    <w:rsid w:val="005602D8"/>
    <w:rsid w:val="00561761"/>
    <w:rsid w:val="00571927"/>
    <w:rsid w:val="00583C51"/>
    <w:rsid w:val="005845CE"/>
    <w:rsid w:val="0059179E"/>
    <w:rsid w:val="00594B57"/>
    <w:rsid w:val="00596DA5"/>
    <w:rsid w:val="005A42B8"/>
    <w:rsid w:val="005A6A16"/>
    <w:rsid w:val="005B2DEA"/>
    <w:rsid w:val="005B55C7"/>
    <w:rsid w:val="005C4CE3"/>
    <w:rsid w:val="005C77BA"/>
    <w:rsid w:val="005D3AB5"/>
    <w:rsid w:val="005E19DB"/>
    <w:rsid w:val="005E21F2"/>
    <w:rsid w:val="005E3D6E"/>
    <w:rsid w:val="005E62EE"/>
    <w:rsid w:val="005E66CF"/>
    <w:rsid w:val="005E7253"/>
    <w:rsid w:val="006016A1"/>
    <w:rsid w:val="00601FB4"/>
    <w:rsid w:val="00615E08"/>
    <w:rsid w:val="00621304"/>
    <w:rsid w:val="006262D5"/>
    <w:rsid w:val="00626F1A"/>
    <w:rsid w:val="006324A0"/>
    <w:rsid w:val="00634947"/>
    <w:rsid w:val="00645BD5"/>
    <w:rsid w:val="00647F09"/>
    <w:rsid w:val="00651AAC"/>
    <w:rsid w:val="00657042"/>
    <w:rsid w:val="006822EE"/>
    <w:rsid w:val="00687B9B"/>
    <w:rsid w:val="00695717"/>
    <w:rsid w:val="006A6808"/>
    <w:rsid w:val="006A738E"/>
    <w:rsid w:val="006C07DD"/>
    <w:rsid w:val="006C4B13"/>
    <w:rsid w:val="006D4B11"/>
    <w:rsid w:val="006D6E9D"/>
    <w:rsid w:val="006E20F6"/>
    <w:rsid w:val="006E2D9A"/>
    <w:rsid w:val="007010F2"/>
    <w:rsid w:val="00706F40"/>
    <w:rsid w:val="007103D2"/>
    <w:rsid w:val="0072282C"/>
    <w:rsid w:val="00747400"/>
    <w:rsid w:val="00747B0F"/>
    <w:rsid w:val="00757CBB"/>
    <w:rsid w:val="00771A0C"/>
    <w:rsid w:val="0078562D"/>
    <w:rsid w:val="0079498E"/>
    <w:rsid w:val="00794ABC"/>
    <w:rsid w:val="007A15C1"/>
    <w:rsid w:val="007A3CFC"/>
    <w:rsid w:val="007A769F"/>
    <w:rsid w:val="007B0DA0"/>
    <w:rsid w:val="007B278F"/>
    <w:rsid w:val="007B474E"/>
    <w:rsid w:val="007B6B32"/>
    <w:rsid w:val="007C6AA6"/>
    <w:rsid w:val="007C6F49"/>
    <w:rsid w:val="007D14D4"/>
    <w:rsid w:val="007E6B78"/>
    <w:rsid w:val="00802A65"/>
    <w:rsid w:val="00813237"/>
    <w:rsid w:val="008133B5"/>
    <w:rsid w:val="00830A2F"/>
    <w:rsid w:val="00841327"/>
    <w:rsid w:val="00845A1F"/>
    <w:rsid w:val="00854F02"/>
    <w:rsid w:val="008710BC"/>
    <w:rsid w:val="00875F33"/>
    <w:rsid w:val="00876952"/>
    <w:rsid w:val="0088636E"/>
    <w:rsid w:val="00896333"/>
    <w:rsid w:val="008A436F"/>
    <w:rsid w:val="008A573B"/>
    <w:rsid w:val="008B5D6C"/>
    <w:rsid w:val="008C1207"/>
    <w:rsid w:val="008C54BD"/>
    <w:rsid w:val="008C7DB2"/>
    <w:rsid w:val="008D01DA"/>
    <w:rsid w:val="008D11FC"/>
    <w:rsid w:val="008D1E27"/>
    <w:rsid w:val="008E22F9"/>
    <w:rsid w:val="008E7958"/>
    <w:rsid w:val="008F4A27"/>
    <w:rsid w:val="008F6F44"/>
    <w:rsid w:val="00907757"/>
    <w:rsid w:val="00921010"/>
    <w:rsid w:val="0093283B"/>
    <w:rsid w:val="00934AD0"/>
    <w:rsid w:val="00937725"/>
    <w:rsid w:val="00944AFE"/>
    <w:rsid w:val="00945234"/>
    <w:rsid w:val="009505CC"/>
    <w:rsid w:val="009527EA"/>
    <w:rsid w:val="00962A03"/>
    <w:rsid w:val="00962A81"/>
    <w:rsid w:val="009707A0"/>
    <w:rsid w:val="00971A83"/>
    <w:rsid w:val="00974CC4"/>
    <w:rsid w:val="00985577"/>
    <w:rsid w:val="00987F66"/>
    <w:rsid w:val="00995A1C"/>
    <w:rsid w:val="00996141"/>
    <w:rsid w:val="009A1EC2"/>
    <w:rsid w:val="009A57FE"/>
    <w:rsid w:val="009B0927"/>
    <w:rsid w:val="009B0A89"/>
    <w:rsid w:val="009B353A"/>
    <w:rsid w:val="009B7943"/>
    <w:rsid w:val="009D211A"/>
    <w:rsid w:val="009D3080"/>
    <w:rsid w:val="009D54A1"/>
    <w:rsid w:val="009F1DEF"/>
    <w:rsid w:val="00A004CB"/>
    <w:rsid w:val="00A07778"/>
    <w:rsid w:val="00A1143A"/>
    <w:rsid w:val="00A2197B"/>
    <w:rsid w:val="00A31C70"/>
    <w:rsid w:val="00A3232C"/>
    <w:rsid w:val="00A3533D"/>
    <w:rsid w:val="00A414A8"/>
    <w:rsid w:val="00A435E0"/>
    <w:rsid w:val="00A45067"/>
    <w:rsid w:val="00A524AF"/>
    <w:rsid w:val="00A52EE5"/>
    <w:rsid w:val="00A57C89"/>
    <w:rsid w:val="00A62C25"/>
    <w:rsid w:val="00A6607B"/>
    <w:rsid w:val="00A766A1"/>
    <w:rsid w:val="00A84A4E"/>
    <w:rsid w:val="00A84EA7"/>
    <w:rsid w:val="00A86BA5"/>
    <w:rsid w:val="00A9523E"/>
    <w:rsid w:val="00AA0D24"/>
    <w:rsid w:val="00AA1819"/>
    <w:rsid w:val="00AA520D"/>
    <w:rsid w:val="00AA768C"/>
    <w:rsid w:val="00AB2894"/>
    <w:rsid w:val="00AB468E"/>
    <w:rsid w:val="00AC5C93"/>
    <w:rsid w:val="00AD1ECC"/>
    <w:rsid w:val="00AE0D8A"/>
    <w:rsid w:val="00AE1247"/>
    <w:rsid w:val="00AE225F"/>
    <w:rsid w:val="00AF0A42"/>
    <w:rsid w:val="00AF5B64"/>
    <w:rsid w:val="00B0100A"/>
    <w:rsid w:val="00B02ED8"/>
    <w:rsid w:val="00B04656"/>
    <w:rsid w:val="00B11035"/>
    <w:rsid w:val="00B154B6"/>
    <w:rsid w:val="00B17207"/>
    <w:rsid w:val="00B25496"/>
    <w:rsid w:val="00B255C1"/>
    <w:rsid w:val="00B34DED"/>
    <w:rsid w:val="00B4007A"/>
    <w:rsid w:val="00B402DE"/>
    <w:rsid w:val="00B4387D"/>
    <w:rsid w:val="00B47457"/>
    <w:rsid w:val="00B579B6"/>
    <w:rsid w:val="00B6023A"/>
    <w:rsid w:val="00B61C7D"/>
    <w:rsid w:val="00B673E9"/>
    <w:rsid w:val="00B73A8E"/>
    <w:rsid w:val="00B75998"/>
    <w:rsid w:val="00B81C36"/>
    <w:rsid w:val="00B856E6"/>
    <w:rsid w:val="00B86A0A"/>
    <w:rsid w:val="00B90B10"/>
    <w:rsid w:val="00BA0B1F"/>
    <w:rsid w:val="00BA3B8B"/>
    <w:rsid w:val="00BA4699"/>
    <w:rsid w:val="00BB4319"/>
    <w:rsid w:val="00BB7224"/>
    <w:rsid w:val="00BC20DE"/>
    <w:rsid w:val="00BC541C"/>
    <w:rsid w:val="00BD17D7"/>
    <w:rsid w:val="00BD7071"/>
    <w:rsid w:val="00BE22F0"/>
    <w:rsid w:val="00BE408A"/>
    <w:rsid w:val="00BF0449"/>
    <w:rsid w:val="00BF3A5D"/>
    <w:rsid w:val="00BF4C6E"/>
    <w:rsid w:val="00C05877"/>
    <w:rsid w:val="00C17D15"/>
    <w:rsid w:val="00C229E7"/>
    <w:rsid w:val="00C22BF5"/>
    <w:rsid w:val="00C262F0"/>
    <w:rsid w:val="00C27FE6"/>
    <w:rsid w:val="00C31452"/>
    <w:rsid w:val="00C33EFA"/>
    <w:rsid w:val="00C46A80"/>
    <w:rsid w:val="00C47A4D"/>
    <w:rsid w:val="00C65B7A"/>
    <w:rsid w:val="00C71601"/>
    <w:rsid w:val="00C8273F"/>
    <w:rsid w:val="00C85475"/>
    <w:rsid w:val="00C94AE0"/>
    <w:rsid w:val="00C950F0"/>
    <w:rsid w:val="00C9714B"/>
    <w:rsid w:val="00C9772F"/>
    <w:rsid w:val="00CA4095"/>
    <w:rsid w:val="00CB3673"/>
    <w:rsid w:val="00CB58FD"/>
    <w:rsid w:val="00CB7A88"/>
    <w:rsid w:val="00CB7E30"/>
    <w:rsid w:val="00CC3FE8"/>
    <w:rsid w:val="00CC4BAB"/>
    <w:rsid w:val="00CF0380"/>
    <w:rsid w:val="00D00146"/>
    <w:rsid w:val="00D02034"/>
    <w:rsid w:val="00D0296C"/>
    <w:rsid w:val="00D14FBE"/>
    <w:rsid w:val="00D15D51"/>
    <w:rsid w:val="00D203AF"/>
    <w:rsid w:val="00D27F7D"/>
    <w:rsid w:val="00D30BB4"/>
    <w:rsid w:val="00D35E52"/>
    <w:rsid w:val="00D44834"/>
    <w:rsid w:val="00D45511"/>
    <w:rsid w:val="00D45B45"/>
    <w:rsid w:val="00D5146B"/>
    <w:rsid w:val="00D55C8E"/>
    <w:rsid w:val="00D71D07"/>
    <w:rsid w:val="00D73030"/>
    <w:rsid w:val="00D733B1"/>
    <w:rsid w:val="00D768B2"/>
    <w:rsid w:val="00D77998"/>
    <w:rsid w:val="00D81290"/>
    <w:rsid w:val="00D87D0D"/>
    <w:rsid w:val="00D92389"/>
    <w:rsid w:val="00D92E92"/>
    <w:rsid w:val="00D95564"/>
    <w:rsid w:val="00D95E79"/>
    <w:rsid w:val="00D9784E"/>
    <w:rsid w:val="00DA1FC7"/>
    <w:rsid w:val="00DA5492"/>
    <w:rsid w:val="00DA747C"/>
    <w:rsid w:val="00DA7BCC"/>
    <w:rsid w:val="00DB2D3E"/>
    <w:rsid w:val="00DC4BC3"/>
    <w:rsid w:val="00DD1AEA"/>
    <w:rsid w:val="00DD27A4"/>
    <w:rsid w:val="00DD2A74"/>
    <w:rsid w:val="00DD3505"/>
    <w:rsid w:val="00DD44B3"/>
    <w:rsid w:val="00DD4F0D"/>
    <w:rsid w:val="00DE51BE"/>
    <w:rsid w:val="00DF1C17"/>
    <w:rsid w:val="00DF6658"/>
    <w:rsid w:val="00E014CD"/>
    <w:rsid w:val="00E05C07"/>
    <w:rsid w:val="00E132FC"/>
    <w:rsid w:val="00E13622"/>
    <w:rsid w:val="00E16884"/>
    <w:rsid w:val="00E237A6"/>
    <w:rsid w:val="00E40E56"/>
    <w:rsid w:val="00E47C9D"/>
    <w:rsid w:val="00E47FC8"/>
    <w:rsid w:val="00E520AB"/>
    <w:rsid w:val="00E560D8"/>
    <w:rsid w:val="00E649A6"/>
    <w:rsid w:val="00E72A53"/>
    <w:rsid w:val="00E73A0A"/>
    <w:rsid w:val="00E9510E"/>
    <w:rsid w:val="00E9626E"/>
    <w:rsid w:val="00EA78DD"/>
    <w:rsid w:val="00EC14E3"/>
    <w:rsid w:val="00ED3C23"/>
    <w:rsid w:val="00ED7E36"/>
    <w:rsid w:val="00EE0930"/>
    <w:rsid w:val="00EE25B5"/>
    <w:rsid w:val="00EE7B96"/>
    <w:rsid w:val="00EF42AA"/>
    <w:rsid w:val="00EF7A40"/>
    <w:rsid w:val="00F0154D"/>
    <w:rsid w:val="00F02989"/>
    <w:rsid w:val="00F13AB8"/>
    <w:rsid w:val="00F13BAB"/>
    <w:rsid w:val="00F15F88"/>
    <w:rsid w:val="00F17218"/>
    <w:rsid w:val="00F22C8B"/>
    <w:rsid w:val="00F26DC9"/>
    <w:rsid w:val="00F27802"/>
    <w:rsid w:val="00F32A2B"/>
    <w:rsid w:val="00F345FF"/>
    <w:rsid w:val="00F35B27"/>
    <w:rsid w:val="00F4325B"/>
    <w:rsid w:val="00F47095"/>
    <w:rsid w:val="00F65D38"/>
    <w:rsid w:val="00F803B7"/>
    <w:rsid w:val="00F8794E"/>
    <w:rsid w:val="00F91E68"/>
    <w:rsid w:val="00FA4496"/>
    <w:rsid w:val="00FA7AB5"/>
    <w:rsid w:val="00FB072D"/>
    <w:rsid w:val="00FB0E05"/>
    <w:rsid w:val="00FB3A37"/>
    <w:rsid w:val="00FB5CF9"/>
    <w:rsid w:val="00FB7E89"/>
    <w:rsid w:val="00FC0E6E"/>
    <w:rsid w:val="00FD1D5B"/>
    <w:rsid w:val="00FD3DA6"/>
    <w:rsid w:val="00FE456E"/>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5DA"/>
    <w:rPr>
      <w:sz w:val="24"/>
      <w:szCs w:val="24"/>
    </w:rPr>
  </w:style>
  <w:style w:type="paragraph" w:styleId="Heading2">
    <w:name w:val="heading 2"/>
    <w:basedOn w:val="Normal"/>
    <w:link w:val="Heading2Char"/>
    <w:uiPriority w:val="9"/>
    <w:qFormat/>
    <w:rsid w:val="001075B9"/>
    <w:pPr>
      <w:spacing w:before="100" w:beforeAutospacing="1" w:after="100" w:afterAutospacing="1"/>
      <w:outlineLvl w:val="1"/>
    </w:pPr>
    <w:rPr>
      <w:rFonts w:ascii="Arial" w:hAnsi="Arial" w:cs="Arial"/>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5B9"/>
    <w:rPr>
      <w:rFonts w:ascii="Arial" w:hAnsi="Arial" w:cs="Arial"/>
      <w:color w:val="000066"/>
      <w:sz w:val="36"/>
      <w:szCs w:val="36"/>
    </w:rPr>
  </w:style>
  <w:style w:type="character" w:styleId="Hyperlink">
    <w:name w:val="Hyperlink"/>
    <w:basedOn w:val="DefaultParagraphFont"/>
    <w:uiPriority w:val="99"/>
    <w:unhideWhenUsed/>
    <w:rsid w:val="001075B9"/>
    <w:rPr>
      <w:color w:val="0000FF"/>
      <w:u w:val="single"/>
    </w:rPr>
  </w:style>
  <w:style w:type="paragraph" w:styleId="NormalWeb">
    <w:name w:val="Normal (Web)"/>
    <w:basedOn w:val="Normal"/>
    <w:uiPriority w:val="99"/>
    <w:unhideWhenUsed/>
    <w:rsid w:val="001075B9"/>
    <w:pPr>
      <w:spacing w:before="100" w:beforeAutospacing="1" w:after="100" w:afterAutospacing="1"/>
    </w:pPr>
    <w:rPr>
      <w:color w:val="000000"/>
    </w:rPr>
  </w:style>
  <w:style w:type="paragraph" w:styleId="BalloonText">
    <w:name w:val="Balloon Text"/>
    <w:basedOn w:val="Normal"/>
    <w:link w:val="BalloonTextChar"/>
    <w:rsid w:val="001075B9"/>
    <w:rPr>
      <w:rFonts w:ascii="Tahoma" w:hAnsi="Tahoma" w:cs="Tahoma"/>
      <w:sz w:val="16"/>
      <w:szCs w:val="16"/>
    </w:rPr>
  </w:style>
  <w:style w:type="character" w:customStyle="1" w:styleId="BalloonTextChar">
    <w:name w:val="Balloon Text Char"/>
    <w:basedOn w:val="DefaultParagraphFont"/>
    <w:link w:val="BalloonText"/>
    <w:rsid w:val="001075B9"/>
    <w:rPr>
      <w:rFonts w:ascii="Tahoma" w:hAnsi="Tahoma" w:cs="Tahoma"/>
      <w:sz w:val="16"/>
      <w:szCs w:val="16"/>
    </w:rPr>
  </w:style>
  <w:style w:type="paragraph" w:styleId="ListParagraph">
    <w:name w:val="List Paragraph"/>
    <w:basedOn w:val="Normal"/>
    <w:uiPriority w:val="34"/>
    <w:qFormat/>
    <w:rsid w:val="00C27F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5DA"/>
    <w:rPr>
      <w:sz w:val="24"/>
      <w:szCs w:val="24"/>
    </w:rPr>
  </w:style>
  <w:style w:type="paragraph" w:styleId="Heading2">
    <w:name w:val="heading 2"/>
    <w:basedOn w:val="Normal"/>
    <w:link w:val="Heading2Char"/>
    <w:uiPriority w:val="9"/>
    <w:qFormat/>
    <w:rsid w:val="001075B9"/>
    <w:pPr>
      <w:spacing w:before="100" w:beforeAutospacing="1" w:after="100" w:afterAutospacing="1"/>
      <w:outlineLvl w:val="1"/>
    </w:pPr>
    <w:rPr>
      <w:rFonts w:ascii="Arial" w:hAnsi="Arial" w:cs="Arial"/>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5B9"/>
    <w:rPr>
      <w:rFonts w:ascii="Arial" w:hAnsi="Arial" w:cs="Arial"/>
      <w:color w:val="000066"/>
      <w:sz w:val="36"/>
      <w:szCs w:val="36"/>
    </w:rPr>
  </w:style>
  <w:style w:type="character" w:styleId="Hyperlink">
    <w:name w:val="Hyperlink"/>
    <w:basedOn w:val="DefaultParagraphFont"/>
    <w:uiPriority w:val="99"/>
    <w:unhideWhenUsed/>
    <w:rsid w:val="001075B9"/>
    <w:rPr>
      <w:color w:val="0000FF"/>
      <w:u w:val="single"/>
    </w:rPr>
  </w:style>
  <w:style w:type="paragraph" w:styleId="NormalWeb">
    <w:name w:val="Normal (Web)"/>
    <w:basedOn w:val="Normal"/>
    <w:uiPriority w:val="99"/>
    <w:unhideWhenUsed/>
    <w:rsid w:val="001075B9"/>
    <w:pPr>
      <w:spacing w:before="100" w:beforeAutospacing="1" w:after="100" w:afterAutospacing="1"/>
    </w:pPr>
    <w:rPr>
      <w:color w:val="000000"/>
    </w:rPr>
  </w:style>
  <w:style w:type="paragraph" w:styleId="BalloonText">
    <w:name w:val="Balloon Text"/>
    <w:basedOn w:val="Normal"/>
    <w:link w:val="BalloonTextChar"/>
    <w:rsid w:val="001075B9"/>
    <w:rPr>
      <w:rFonts w:ascii="Tahoma" w:hAnsi="Tahoma" w:cs="Tahoma"/>
      <w:sz w:val="16"/>
      <w:szCs w:val="16"/>
    </w:rPr>
  </w:style>
  <w:style w:type="character" w:customStyle="1" w:styleId="BalloonTextChar">
    <w:name w:val="Balloon Text Char"/>
    <w:basedOn w:val="DefaultParagraphFont"/>
    <w:link w:val="BalloonText"/>
    <w:rsid w:val="001075B9"/>
    <w:rPr>
      <w:rFonts w:ascii="Tahoma" w:hAnsi="Tahoma" w:cs="Tahoma"/>
      <w:sz w:val="16"/>
      <w:szCs w:val="16"/>
    </w:rPr>
  </w:style>
  <w:style w:type="paragraph" w:styleId="ListParagraph">
    <w:name w:val="List Paragraph"/>
    <w:basedOn w:val="Normal"/>
    <w:uiPriority w:val="34"/>
    <w:qFormat/>
    <w:rsid w:val="00C2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36990">
      <w:bodyDiv w:val="1"/>
      <w:marLeft w:val="0"/>
      <w:marRight w:val="0"/>
      <w:marTop w:val="24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oc.gov/federal/directives/md110/appendixb.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E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942</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monica.waldron</dc:creator>
  <cp:lastModifiedBy>mandy.haltrecht</cp:lastModifiedBy>
  <cp:revision>7</cp:revision>
  <cp:lastPrinted>2010-06-14T15:03:00Z</cp:lastPrinted>
  <dcterms:created xsi:type="dcterms:W3CDTF">2012-10-04T15:13:00Z</dcterms:created>
  <dcterms:modified xsi:type="dcterms:W3CDTF">2012-10-17T16:01:00Z</dcterms:modified>
</cp:coreProperties>
</file>