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B301FD">
        <w:rPr>
          <w:sz w:val="28"/>
        </w:rPr>
        <w:t xml:space="preserve"> 0920-0953</w:t>
      </w:r>
      <w:r>
        <w:rPr>
          <w:sz w:val="28"/>
        </w:rPr>
        <w:t>)</w:t>
      </w:r>
    </w:p>
    <w:p w:rsidR="00957E40" w:rsidRDefault="005138C1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0CA9180" wp14:editId="263CC8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14464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</w:p>
    <w:p w:rsidR="00B46F2C" w:rsidRDefault="00957E40" w:rsidP="00434E33">
      <w:r>
        <w:rPr>
          <w:b/>
        </w:rPr>
        <w:t>T</w:t>
      </w:r>
      <w:r w:rsidR="00B46F2C" w:rsidRPr="00434E33">
        <w:rPr>
          <w:b/>
        </w:rPr>
        <w:t>ITLE OF INFORMATION COLLECTION:</w:t>
      </w:r>
      <w:r w:rsidR="00B46F2C">
        <w:t xml:space="preserve">  </w:t>
      </w:r>
    </w:p>
    <w:p w:rsidR="000B7AE5" w:rsidRPr="009239AA" w:rsidRDefault="000B7AE5" w:rsidP="00434E33">
      <w:pPr>
        <w:rPr>
          <w:b/>
        </w:rPr>
      </w:pPr>
      <w:r>
        <w:t xml:space="preserve">Fatigue </w:t>
      </w:r>
      <w:r w:rsidR="00B8225D">
        <w:t>Management</w:t>
      </w:r>
      <w:r>
        <w:t xml:space="preserve"> Training</w:t>
      </w:r>
      <w:r w:rsidR="008D1717">
        <w:t xml:space="preserve"> </w:t>
      </w:r>
      <w:r w:rsidR="00C31B66">
        <w:t xml:space="preserve">Module </w:t>
      </w:r>
      <w:r w:rsidR="008D1717">
        <w:t xml:space="preserve">for Emergency Responders Evaluation 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280FA3" w:rsidRDefault="00280FA3">
      <w:r>
        <w:t xml:space="preserve">The Centers for Disease Control and Prevention (CDC), National Institute for Occupational Safety and Health (NIOSH) seeks to obtain Office of Management and Budget (OMB) approval to </w:t>
      </w:r>
      <w:r w:rsidR="00CA433A">
        <w:t xml:space="preserve">collect feedback </w:t>
      </w:r>
      <w:r w:rsidR="000823F3">
        <w:t>on</w:t>
      </w:r>
      <w:r w:rsidR="00CA433A">
        <w:t xml:space="preserve"> </w:t>
      </w:r>
      <w:r w:rsidR="000823F3">
        <w:t xml:space="preserve">customer service delivery and </w:t>
      </w:r>
      <w:r>
        <w:t xml:space="preserve">satisfaction </w:t>
      </w:r>
      <w:r w:rsidR="00CA433A">
        <w:t xml:space="preserve">with a NIOSH </w:t>
      </w:r>
      <w:r>
        <w:t xml:space="preserve">fatigue </w:t>
      </w:r>
      <w:r w:rsidR="00B91838">
        <w:t>management</w:t>
      </w:r>
      <w:r>
        <w:t xml:space="preserve"> training </w:t>
      </w:r>
      <w:r w:rsidR="00C31B66">
        <w:t>module.</w:t>
      </w:r>
    </w:p>
    <w:p w:rsidR="000B7AE5" w:rsidRDefault="000B7AE5"/>
    <w:p w:rsidR="00CA433A" w:rsidRDefault="000A0EBD" w:rsidP="00CA433A">
      <w:r>
        <w:t xml:space="preserve">During disasters, emergency responders often suffer from fatigue. During Hurricane Katrina, one in three </w:t>
      </w:r>
      <w:r w:rsidRPr="000A0EBD">
        <w:t xml:space="preserve">U.S. Coast Guard </w:t>
      </w:r>
      <w:r>
        <w:t xml:space="preserve">personnel </w:t>
      </w:r>
      <w:r w:rsidRPr="000A0EBD">
        <w:t>who deployed reported getting 5 hours or less of sleep each night. Researchers noted that this gave them three times the risk for depression; slips, trips, and falls; muscle strain; and dehydration.</w:t>
      </w:r>
      <w:r>
        <w:t xml:space="preserve"> </w:t>
      </w:r>
    </w:p>
    <w:p w:rsidR="000A0EBD" w:rsidRDefault="000A0EBD" w:rsidP="00CA433A"/>
    <w:p w:rsidR="00AC370A" w:rsidRPr="000A0EBD" w:rsidRDefault="00036F08">
      <w:r w:rsidRPr="000A0EBD">
        <w:t>In response</w:t>
      </w:r>
      <w:r w:rsidR="007769C7">
        <w:t xml:space="preserve"> to the </w:t>
      </w:r>
      <w:r w:rsidR="000C25B2">
        <w:t>2014</w:t>
      </w:r>
      <w:r w:rsidR="007769C7">
        <w:t xml:space="preserve"> Ebola outbreak in West Africa</w:t>
      </w:r>
      <w:r w:rsidRPr="000A0EBD">
        <w:t>, NIOSH developed an on-line 30 minute</w:t>
      </w:r>
      <w:r w:rsidR="00337880" w:rsidRPr="000A0EBD">
        <w:t xml:space="preserve"> fatigue management training module</w:t>
      </w:r>
      <w:r w:rsidR="007769C7">
        <w:t xml:space="preserve"> for emergency responders</w:t>
      </w:r>
      <w:r w:rsidRPr="000A0EBD">
        <w:t>.</w:t>
      </w:r>
      <w:r w:rsidR="00337880" w:rsidRPr="000A0EBD">
        <w:t xml:space="preserve"> T</w:t>
      </w:r>
      <w:r w:rsidR="00AC370A" w:rsidRPr="000A0EBD">
        <w:t xml:space="preserve">he </w:t>
      </w:r>
      <w:r w:rsidR="00FA1039" w:rsidRPr="000A0EBD">
        <w:t xml:space="preserve">customer </w:t>
      </w:r>
      <w:r w:rsidR="000823F3" w:rsidRPr="000A0EBD">
        <w:t xml:space="preserve">service delivery objectives for the </w:t>
      </w:r>
      <w:r w:rsidR="00AC370A" w:rsidRPr="000A0EBD">
        <w:t>training</w:t>
      </w:r>
      <w:r w:rsidR="000823F3" w:rsidRPr="000A0EBD">
        <w:t xml:space="preserve"> include the following</w:t>
      </w:r>
      <w:r w:rsidR="00AC370A" w:rsidRPr="000A0EBD">
        <w:t>: (1) increase awareness of fatigue</w:t>
      </w:r>
      <w:r w:rsidR="00A70E37" w:rsidRPr="000A0EBD">
        <w:t xml:space="preserve"> and the importance</w:t>
      </w:r>
      <w:r w:rsidR="007769C7">
        <w:t xml:space="preserve"> of</w:t>
      </w:r>
      <w:r w:rsidR="00A70E37" w:rsidRPr="000A0EBD">
        <w:t xml:space="preserve"> adequate sleep for health and well-being</w:t>
      </w:r>
      <w:r w:rsidR="00AC370A" w:rsidRPr="000A0EBD">
        <w:t>; (2)</w:t>
      </w:r>
      <w:r w:rsidR="00CA433A" w:rsidRPr="000A0EBD">
        <w:t xml:space="preserve"> </w:t>
      </w:r>
      <w:r w:rsidR="00AC370A" w:rsidRPr="000A0EBD">
        <w:t xml:space="preserve">improve </w:t>
      </w:r>
      <w:r w:rsidR="00085E32" w:rsidRPr="000A0EBD">
        <w:t xml:space="preserve">knowledge of </w:t>
      </w:r>
      <w:r w:rsidR="00AC370A" w:rsidRPr="000A0EBD">
        <w:t>fatigue risk management by introducing relevant and useful fatigue management techniques</w:t>
      </w:r>
      <w:r w:rsidR="00A70E37" w:rsidRPr="000A0EBD">
        <w:t>,</w:t>
      </w:r>
      <w:r w:rsidR="00AC370A" w:rsidRPr="000A0EBD">
        <w:t xml:space="preserve"> and</w:t>
      </w:r>
      <w:r w:rsidR="009C32B7" w:rsidRPr="000A0EBD">
        <w:t xml:space="preserve"> </w:t>
      </w:r>
      <w:r w:rsidR="00085E32" w:rsidRPr="000A0EBD">
        <w:t>(3</w:t>
      </w:r>
      <w:r w:rsidR="00180A77" w:rsidRPr="000A0EBD">
        <w:t>)</w:t>
      </w:r>
      <w:r w:rsidR="00CA433A" w:rsidRPr="000A0EBD">
        <w:t xml:space="preserve"> </w:t>
      </w:r>
      <w:r w:rsidR="00180A77" w:rsidRPr="000A0EBD">
        <w:t>motivate</w:t>
      </w:r>
      <w:r w:rsidR="00AC370A" w:rsidRPr="000A0EBD">
        <w:t xml:space="preserve"> </w:t>
      </w:r>
      <w:r w:rsidRPr="000A0EBD">
        <w:t>responders</w:t>
      </w:r>
      <w:r w:rsidR="00AC370A" w:rsidRPr="000A0EBD">
        <w:t xml:space="preserve"> to consider how </w:t>
      </w:r>
      <w:r w:rsidR="00B301FD">
        <w:t>they</w:t>
      </w:r>
      <w:r w:rsidR="00AC370A" w:rsidRPr="000A0EBD">
        <w:t xml:space="preserve"> might better prevent fatigue in the futu</w:t>
      </w:r>
      <w:r w:rsidR="00337880" w:rsidRPr="000A0EBD">
        <w:t>re.</w:t>
      </w:r>
    </w:p>
    <w:p w:rsidR="00337880" w:rsidRPr="005803E9" w:rsidRDefault="00337880">
      <w:pPr>
        <w:rPr>
          <w:highlight w:val="yellow"/>
        </w:rPr>
      </w:pPr>
    </w:p>
    <w:p w:rsidR="00687193" w:rsidRDefault="000B7AE5" w:rsidP="00687193">
      <w:r w:rsidRPr="007769C7">
        <w:t xml:space="preserve">To ensure that </w:t>
      </w:r>
      <w:r w:rsidR="002F474E" w:rsidRPr="007769C7">
        <w:t xml:space="preserve">this </w:t>
      </w:r>
      <w:r w:rsidR="007769C7">
        <w:t>NIOSH fatigue management</w:t>
      </w:r>
      <w:r w:rsidR="00687193" w:rsidRPr="007769C7">
        <w:t xml:space="preserve"> </w:t>
      </w:r>
      <w:r w:rsidR="00AC378E" w:rsidRPr="007769C7">
        <w:t xml:space="preserve">training </w:t>
      </w:r>
      <w:r w:rsidRPr="007769C7">
        <w:t xml:space="preserve">product </w:t>
      </w:r>
      <w:r w:rsidR="00A24099" w:rsidRPr="007769C7">
        <w:t xml:space="preserve">will satisfy </w:t>
      </w:r>
      <w:r w:rsidRPr="007769C7">
        <w:t>our customers</w:t>
      </w:r>
      <w:r w:rsidR="00337880" w:rsidRPr="007769C7">
        <w:t>’</w:t>
      </w:r>
      <w:r w:rsidRPr="007769C7">
        <w:t xml:space="preserve"> needs</w:t>
      </w:r>
      <w:r w:rsidR="00AC370A" w:rsidRPr="007769C7">
        <w:t xml:space="preserve"> (and previously stated objectives)</w:t>
      </w:r>
      <w:r w:rsidR="00F53EC1" w:rsidRPr="007769C7">
        <w:t>,</w:t>
      </w:r>
      <w:r w:rsidR="00687193" w:rsidRPr="007769C7">
        <w:t xml:space="preserve"> NIOSH proposes to collect feedback from </w:t>
      </w:r>
      <w:r w:rsidR="007769C7">
        <w:t>emergency responders who take the training</w:t>
      </w:r>
      <w:r w:rsidR="00EA435C" w:rsidRPr="007769C7">
        <w:t xml:space="preserve"> </w:t>
      </w:r>
      <w:r w:rsidR="00687193" w:rsidRPr="007769C7">
        <w:t xml:space="preserve">through </w:t>
      </w:r>
      <w:r w:rsidR="002F474E" w:rsidRPr="007769C7">
        <w:t xml:space="preserve">a </w:t>
      </w:r>
      <w:r w:rsidR="00B62B60" w:rsidRPr="007769C7">
        <w:t>brief</w:t>
      </w:r>
      <w:r w:rsidRPr="007769C7">
        <w:t xml:space="preserve"> </w:t>
      </w:r>
      <w:r w:rsidR="007769C7">
        <w:t>web-based</w:t>
      </w:r>
      <w:r w:rsidR="00FA1039" w:rsidRPr="007769C7">
        <w:t xml:space="preserve"> </w:t>
      </w:r>
      <w:r w:rsidR="00EA435C" w:rsidRPr="007769C7">
        <w:t xml:space="preserve">survey </w:t>
      </w:r>
      <w:r w:rsidR="00FA1039" w:rsidRPr="007769C7">
        <w:t xml:space="preserve">immediately following the delivery of the NIOSH </w:t>
      </w:r>
      <w:r w:rsidR="007769C7">
        <w:t>fatigue management</w:t>
      </w:r>
      <w:r w:rsidR="007769C7" w:rsidRPr="007769C7">
        <w:t xml:space="preserve"> training</w:t>
      </w:r>
      <w:r w:rsidR="007769C7">
        <w:t xml:space="preserve"> module</w:t>
      </w:r>
      <w:r w:rsidR="007769C7" w:rsidRPr="00B26D24">
        <w:t xml:space="preserve">. </w:t>
      </w:r>
      <w:r w:rsidR="00A70E37" w:rsidRPr="00B26D24">
        <w:t xml:space="preserve">Results will </w:t>
      </w:r>
      <w:r w:rsidR="00687193" w:rsidRPr="00B26D24">
        <w:t xml:space="preserve">help </w:t>
      </w:r>
      <w:r w:rsidR="00A70E37" w:rsidRPr="00B26D24">
        <w:t xml:space="preserve">NIOSH </w:t>
      </w:r>
      <w:r w:rsidR="00687193" w:rsidRPr="00B26D24">
        <w:t xml:space="preserve">to </w:t>
      </w:r>
      <w:r w:rsidR="00957E40" w:rsidRPr="00B26D24">
        <w:t xml:space="preserve">identify and incorporate </w:t>
      </w:r>
      <w:r w:rsidR="000118C2" w:rsidRPr="00B26D24">
        <w:t>any needed</w:t>
      </w:r>
      <w:r w:rsidR="00957E40" w:rsidRPr="00B26D24">
        <w:t xml:space="preserve"> improvements</w:t>
      </w:r>
      <w:r w:rsidR="00AA5EE9" w:rsidRPr="00B26D24">
        <w:t xml:space="preserve">; thus, </w:t>
      </w:r>
      <w:r w:rsidR="00687193" w:rsidRPr="00B26D24">
        <w:t>ensur</w:t>
      </w:r>
      <w:r w:rsidR="00AA5EE9" w:rsidRPr="00B26D24">
        <w:t>ing</w:t>
      </w:r>
      <w:r w:rsidR="00687193" w:rsidRPr="00B26D24">
        <w:t xml:space="preserve"> that </w:t>
      </w:r>
      <w:r w:rsidR="00FA1039" w:rsidRPr="00B26D24">
        <w:t xml:space="preserve">the delivery of </w:t>
      </w:r>
      <w:r w:rsidR="00B26D24" w:rsidRPr="00B26D24">
        <w:t>future versions of our</w:t>
      </w:r>
      <w:r w:rsidR="00AA5EE9" w:rsidRPr="00B26D24">
        <w:t xml:space="preserve"> </w:t>
      </w:r>
      <w:r w:rsidR="00687193" w:rsidRPr="00B26D24">
        <w:t xml:space="preserve">training product meets our </w:t>
      </w:r>
      <w:r w:rsidR="00B26D24" w:rsidRPr="00B26D24">
        <w:t>stakeholders</w:t>
      </w:r>
      <w:r w:rsidR="00085E32" w:rsidRPr="00B26D24">
        <w:t>’</w:t>
      </w:r>
      <w:r w:rsidR="00687193" w:rsidRPr="00B26D24">
        <w:t xml:space="preserve"> needs </w:t>
      </w:r>
      <w:r w:rsidR="00A70E37" w:rsidRPr="00B26D24">
        <w:t>and expectations</w:t>
      </w:r>
      <w:r w:rsidR="00687193" w:rsidRPr="00B26D24">
        <w:t>.</w:t>
      </w:r>
    </w:p>
    <w:p w:rsidR="000B7AE5" w:rsidRDefault="000B7AE5"/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2D47BD">
      <w:r w:rsidRPr="0053617A">
        <w:t xml:space="preserve">Respondents will be </w:t>
      </w:r>
      <w:r w:rsidR="000C25B2" w:rsidRPr="0053617A">
        <w:t>emergency responders deploying to West Afric</w:t>
      </w:r>
      <w:r w:rsidR="00B25978">
        <w:t xml:space="preserve">a for the Ebola response (or </w:t>
      </w:r>
      <w:r w:rsidR="000C25B2" w:rsidRPr="0053617A">
        <w:t xml:space="preserve">potentially </w:t>
      </w:r>
      <w:r w:rsidR="00B25978">
        <w:t xml:space="preserve">to </w:t>
      </w:r>
      <w:r w:rsidR="000C25B2" w:rsidRPr="0053617A">
        <w:t xml:space="preserve">any </w:t>
      </w:r>
      <w:r w:rsidR="00B25978">
        <w:t xml:space="preserve">future </w:t>
      </w:r>
      <w:r w:rsidR="000C25B2" w:rsidRPr="0053617A">
        <w:t xml:space="preserve">disaster). </w:t>
      </w:r>
      <w:r w:rsidR="0053617A" w:rsidRPr="0053617A">
        <w:t>These responders</w:t>
      </w:r>
      <w:r w:rsidR="009C32B7" w:rsidRPr="0053617A">
        <w:t xml:space="preserve"> will be at various stages of their careers and lives, </w:t>
      </w:r>
      <w:r w:rsidR="0053617A">
        <w:t xml:space="preserve">both </w:t>
      </w:r>
      <w:r w:rsidR="009C32B7" w:rsidRPr="0053617A">
        <w:t>male and female</w:t>
      </w:r>
      <w:r w:rsidR="0053617A">
        <w:t>.</w:t>
      </w:r>
    </w:p>
    <w:p w:rsidR="00DE4BA9" w:rsidRDefault="00DE4BA9">
      <w:pPr>
        <w:rPr>
          <w:b/>
        </w:rPr>
      </w:pPr>
    </w:p>
    <w:p w:rsidR="00B301FD" w:rsidRDefault="00B301FD" w:rsidP="00B301FD">
      <w:pPr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574"/>
        <w:gridCol w:w="1690"/>
        <w:gridCol w:w="1686"/>
        <w:gridCol w:w="2070"/>
      </w:tblGrid>
      <w:tr w:rsidR="00B301FD" w:rsidRPr="002D47BD" w:rsidTr="007C4D72">
        <w:trPr>
          <w:trHeight w:val="827"/>
        </w:trPr>
        <w:tc>
          <w:tcPr>
            <w:tcW w:w="2628" w:type="dxa"/>
          </w:tcPr>
          <w:p w:rsidR="00B301FD" w:rsidRPr="0001027E" w:rsidRDefault="00B301FD" w:rsidP="007C4D72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74" w:type="dxa"/>
          </w:tcPr>
          <w:p w:rsidR="00B301FD" w:rsidRPr="0001027E" w:rsidRDefault="00B301FD" w:rsidP="007C4D72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690" w:type="dxa"/>
          </w:tcPr>
          <w:p w:rsidR="00B301FD" w:rsidRPr="0001027E" w:rsidRDefault="00B301FD" w:rsidP="007C4D72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686" w:type="dxa"/>
          </w:tcPr>
          <w:p w:rsidR="00B301FD" w:rsidRPr="0001027E" w:rsidRDefault="00B301FD" w:rsidP="007C4D72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2070" w:type="dxa"/>
          </w:tcPr>
          <w:p w:rsidR="00B301FD" w:rsidRPr="0001027E" w:rsidRDefault="00B301FD" w:rsidP="007C4D72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B301FD" w:rsidRPr="002D47BD" w:rsidTr="007C4D72">
        <w:trPr>
          <w:trHeight w:val="285"/>
        </w:trPr>
        <w:tc>
          <w:tcPr>
            <w:tcW w:w="2628" w:type="dxa"/>
          </w:tcPr>
          <w:p w:rsidR="00B301FD" w:rsidRPr="006443C3" w:rsidRDefault="00B301FD" w:rsidP="007C4D72">
            <w:r w:rsidRPr="006443C3">
              <w:t>Emergency Responders</w:t>
            </w:r>
          </w:p>
        </w:tc>
        <w:tc>
          <w:tcPr>
            <w:tcW w:w="1574" w:type="dxa"/>
          </w:tcPr>
          <w:p w:rsidR="00B301FD" w:rsidRPr="006443C3" w:rsidRDefault="00B301FD" w:rsidP="007C4D72">
            <w:r w:rsidRPr="006443C3">
              <w:t>150</w:t>
            </w:r>
          </w:p>
        </w:tc>
        <w:tc>
          <w:tcPr>
            <w:tcW w:w="1690" w:type="dxa"/>
          </w:tcPr>
          <w:p w:rsidR="00B301FD" w:rsidRPr="006443C3" w:rsidRDefault="00B301FD" w:rsidP="007C4D72">
            <w:r w:rsidRPr="006443C3">
              <w:t>1</w:t>
            </w:r>
          </w:p>
        </w:tc>
        <w:tc>
          <w:tcPr>
            <w:tcW w:w="1686" w:type="dxa"/>
          </w:tcPr>
          <w:p w:rsidR="00B301FD" w:rsidRPr="006443C3" w:rsidRDefault="00B301FD" w:rsidP="007C4D72">
            <w:r w:rsidRPr="006443C3">
              <w:t>10/60 hours</w:t>
            </w:r>
          </w:p>
        </w:tc>
        <w:tc>
          <w:tcPr>
            <w:tcW w:w="2070" w:type="dxa"/>
          </w:tcPr>
          <w:p w:rsidR="00B301FD" w:rsidRPr="006443C3" w:rsidRDefault="00B301FD" w:rsidP="007C4D72">
            <w:r w:rsidRPr="006443C3">
              <w:t>25</w:t>
            </w:r>
          </w:p>
        </w:tc>
      </w:tr>
      <w:tr w:rsidR="00B301FD" w:rsidRPr="002D47BD" w:rsidTr="007C4D72">
        <w:trPr>
          <w:trHeight w:val="285"/>
        </w:trPr>
        <w:tc>
          <w:tcPr>
            <w:tcW w:w="2628" w:type="dxa"/>
          </w:tcPr>
          <w:p w:rsidR="00B301FD" w:rsidRPr="006443C3" w:rsidRDefault="00B301FD" w:rsidP="007C4D72">
            <w:r w:rsidRPr="006443C3">
              <w:t>Total</w:t>
            </w:r>
          </w:p>
        </w:tc>
        <w:tc>
          <w:tcPr>
            <w:tcW w:w="1574" w:type="dxa"/>
          </w:tcPr>
          <w:p w:rsidR="00B301FD" w:rsidRPr="006443C3" w:rsidRDefault="00B301FD" w:rsidP="007C4D72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B301FD" w:rsidRPr="006443C3" w:rsidRDefault="00B301FD" w:rsidP="007C4D72"/>
        </w:tc>
        <w:tc>
          <w:tcPr>
            <w:tcW w:w="1686" w:type="dxa"/>
          </w:tcPr>
          <w:p w:rsidR="00B301FD" w:rsidRPr="006443C3" w:rsidRDefault="00B301FD" w:rsidP="007C4D72"/>
        </w:tc>
        <w:tc>
          <w:tcPr>
            <w:tcW w:w="2070" w:type="dxa"/>
          </w:tcPr>
          <w:p w:rsidR="00B301FD" w:rsidRPr="006443C3" w:rsidRDefault="00B301FD" w:rsidP="007C4D72">
            <w:r w:rsidRPr="006443C3">
              <w:t>25</w:t>
            </w:r>
          </w:p>
        </w:tc>
      </w:tr>
    </w:tbl>
    <w:p w:rsidR="00B301FD" w:rsidRDefault="00B301FD">
      <w:pPr>
        <w:rPr>
          <w:b/>
        </w:rPr>
      </w:pPr>
    </w:p>
    <w:p w:rsidR="00B301FD" w:rsidRDefault="00B301FD">
      <w:pPr>
        <w:rPr>
          <w:b/>
        </w:rPr>
      </w:pPr>
      <w:r>
        <w:rPr>
          <w:b/>
        </w:rPr>
        <w:br w:type="page"/>
      </w:r>
    </w:p>
    <w:p w:rsidR="00B46F2C" w:rsidRPr="00F06866" w:rsidRDefault="00B46F2C">
      <w:pPr>
        <w:rPr>
          <w:b/>
        </w:rPr>
      </w:pPr>
      <w:r>
        <w:rPr>
          <w:b/>
        </w:rPr>
        <w:lastRenderedPageBreak/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A24099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</w:t>
      </w:r>
      <w:r w:rsidR="00D07B89">
        <w:t xml:space="preserve"> </w:t>
      </w:r>
      <w:r w:rsidR="0005431E">
        <w:t>Kimberly Brinker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07B89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provided to participants?  [  ] Yes [</w:t>
      </w:r>
      <w:r w:rsidR="00D07B89">
        <w:t>X</w:t>
      </w:r>
      <w:r w:rsidR="00AA5EE9">
        <w:t>] No</w:t>
      </w:r>
    </w:p>
    <w:p w:rsidR="00D07B89" w:rsidRPr="006832D9" w:rsidRDefault="00D07B89" w:rsidP="00D07B89">
      <w:pPr>
        <w:keepNext/>
        <w:keepLines/>
        <w:rPr>
          <w:b/>
        </w:rPr>
      </w:pPr>
    </w:p>
    <w:p w:rsidR="00B46F2C" w:rsidRDefault="00B46F2C" w:rsidP="00F3170F"/>
    <w:p w:rsidR="001E2A41" w:rsidRPr="00732A2F" w:rsidRDefault="00B46F2C">
      <w:r w:rsidRPr="00732A2F">
        <w:rPr>
          <w:b/>
        </w:rPr>
        <w:t xml:space="preserve">FEDERAL COST:  </w:t>
      </w:r>
      <w:r w:rsidRPr="00732A2F">
        <w:t>The estimated annual c</w:t>
      </w:r>
      <w:r w:rsidR="00957E40" w:rsidRPr="00732A2F">
        <w:t>ost to the Federal government is $</w:t>
      </w:r>
      <w:r w:rsidR="00A32C25" w:rsidRPr="00732A2F">
        <w:t>2050</w:t>
      </w:r>
      <w:r w:rsidR="006445BB" w:rsidRPr="00732A2F">
        <w:t>.</w:t>
      </w:r>
    </w:p>
    <w:p w:rsidR="00F53EC1" w:rsidRDefault="00F53EC1">
      <w:pPr>
        <w:rPr>
          <w:b/>
          <w:bCs/>
          <w:u w:val="single"/>
        </w:rPr>
      </w:pPr>
      <w:bookmarkStart w:id="0" w:name="_GoBack"/>
      <w:bookmarkEnd w:id="0"/>
    </w:p>
    <w:p w:rsidR="00F53EC1" w:rsidRDefault="00F53EC1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DE4BA9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534942">
        <w:t xml:space="preserve"> </w:t>
      </w:r>
      <w:r>
        <w:t>] Yes</w:t>
      </w:r>
      <w:r>
        <w:tab/>
        <w:t>[</w:t>
      </w:r>
      <w:r w:rsidR="00534942">
        <w:t xml:space="preserve"> X</w:t>
      </w:r>
      <w:r>
        <w:t xml:space="preserve">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534942" w:rsidRDefault="00534942" w:rsidP="001B0AAA"/>
    <w:p w:rsidR="00534942" w:rsidRDefault="00534942" w:rsidP="00534942">
      <w:r>
        <w:lastRenderedPageBreak/>
        <w:t xml:space="preserve">Respondents will voluntarily take the </w:t>
      </w:r>
      <w:r w:rsidR="001704B5">
        <w:t xml:space="preserve">fatigue management </w:t>
      </w:r>
      <w:r>
        <w:t>training</w:t>
      </w:r>
      <w:r w:rsidR="001704B5">
        <w:t xml:space="preserve"> module</w:t>
      </w:r>
      <w:r>
        <w:t xml:space="preserve"> on-line</w:t>
      </w:r>
      <w:r w:rsidR="001704B5">
        <w:t>. After the training, respondents will</w:t>
      </w:r>
      <w:r>
        <w:t xml:space="preserve"> be prompted to answer questions</w:t>
      </w:r>
      <w:r w:rsidRPr="00534942">
        <w:t xml:space="preserve"> </w:t>
      </w:r>
      <w:r>
        <w:t>about customer service delivery and satisfaction.</w:t>
      </w:r>
    </w:p>
    <w:p w:rsidR="00534942" w:rsidRDefault="00534942" w:rsidP="00534942"/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</w:t>
      </w:r>
      <w:r w:rsidR="00534942">
        <w:t>X</w:t>
      </w:r>
      <w:r>
        <w:t xml:space="preserve">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</w:t>
      </w:r>
      <w:r w:rsidR="00534942">
        <w:t xml:space="preserve">  </w:t>
      </w:r>
      <w:r>
        <w:t>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91838" w:rsidRDefault="00B91838" w:rsidP="001B0AAA">
      <w:pPr>
        <w:ind w:left="720"/>
      </w:pP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8C3406">
        <w:t>X</w:t>
      </w:r>
      <w:r>
        <w:t>] No</w:t>
      </w:r>
    </w:p>
    <w:p w:rsidR="005138C1" w:rsidRDefault="005138C1" w:rsidP="005138C1"/>
    <w:p w:rsidR="00D0369D" w:rsidRDefault="00D0369D" w:rsidP="005138C1"/>
    <w:sectPr w:rsidR="00D0369D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5B2" w:rsidRDefault="000C25B2">
      <w:r>
        <w:separator/>
      </w:r>
    </w:p>
  </w:endnote>
  <w:endnote w:type="continuationSeparator" w:id="0">
    <w:p w:rsidR="000C25B2" w:rsidRDefault="000C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5B2" w:rsidRDefault="000C25B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009A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5B2" w:rsidRDefault="000C25B2">
      <w:r>
        <w:separator/>
      </w:r>
    </w:p>
  </w:footnote>
  <w:footnote w:type="continuationSeparator" w:id="0">
    <w:p w:rsidR="000C25B2" w:rsidRDefault="000C2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5B2" w:rsidRDefault="000C25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496183"/>
    <w:multiLevelType w:val="multilevel"/>
    <w:tmpl w:val="40F4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A9A6D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7613CC5"/>
    <w:multiLevelType w:val="hybridMultilevel"/>
    <w:tmpl w:val="883E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9881D1D"/>
    <w:multiLevelType w:val="hybridMultilevel"/>
    <w:tmpl w:val="FCDAFBEA"/>
    <w:lvl w:ilvl="0" w:tplc="F3D25E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20"/>
  </w:num>
  <w:num w:numId="5">
    <w:abstractNumId w:val="4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18C2"/>
    <w:rsid w:val="00023A57"/>
    <w:rsid w:val="00036F08"/>
    <w:rsid w:val="00047A64"/>
    <w:rsid w:val="00051500"/>
    <w:rsid w:val="0005431E"/>
    <w:rsid w:val="00067329"/>
    <w:rsid w:val="00073073"/>
    <w:rsid w:val="000823F3"/>
    <w:rsid w:val="00085E32"/>
    <w:rsid w:val="000A0EBD"/>
    <w:rsid w:val="000B2838"/>
    <w:rsid w:val="000B7AE5"/>
    <w:rsid w:val="000C25B2"/>
    <w:rsid w:val="000D44CA"/>
    <w:rsid w:val="000D4F46"/>
    <w:rsid w:val="000E200B"/>
    <w:rsid w:val="000F68BE"/>
    <w:rsid w:val="001177BF"/>
    <w:rsid w:val="00127A95"/>
    <w:rsid w:val="00150C67"/>
    <w:rsid w:val="00156177"/>
    <w:rsid w:val="001704B5"/>
    <w:rsid w:val="00173466"/>
    <w:rsid w:val="00180A77"/>
    <w:rsid w:val="00183237"/>
    <w:rsid w:val="00191DE6"/>
    <w:rsid w:val="001927A4"/>
    <w:rsid w:val="00194AC6"/>
    <w:rsid w:val="001A23B0"/>
    <w:rsid w:val="001A25CC"/>
    <w:rsid w:val="001B0AAA"/>
    <w:rsid w:val="001B6AA0"/>
    <w:rsid w:val="001C39F7"/>
    <w:rsid w:val="001C7969"/>
    <w:rsid w:val="001E2A41"/>
    <w:rsid w:val="001E4FC1"/>
    <w:rsid w:val="001E7D7E"/>
    <w:rsid w:val="00237B48"/>
    <w:rsid w:val="0024521E"/>
    <w:rsid w:val="00263C3D"/>
    <w:rsid w:val="00274D0B"/>
    <w:rsid w:val="00280FA3"/>
    <w:rsid w:val="002821FF"/>
    <w:rsid w:val="002A22D9"/>
    <w:rsid w:val="002B3C95"/>
    <w:rsid w:val="002D0B92"/>
    <w:rsid w:val="002D47BD"/>
    <w:rsid w:val="002E7DBB"/>
    <w:rsid w:val="002F474E"/>
    <w:rsid w:val="00337880"/>
    <w:rsid w:val="003675DB"/>
    <w:rsid w:val="00380E2A"/>
    <w:rsid w:val="003D5BBE"/>
    <w:rsid w:val="003E31E6"/>
    <w:rsid w:val="003E3C61"/>
    <w:rsid w:val="003F1C5B"/>
    <w:rsid w:val="004009A4"/>
    <w:rsid w:val="0041337D"/>
    <w:rsid w:val="00434E33"/>
    <w:rsid w:val="00441434"/>
    <w:rsid w:val="0045264C"/>
    <w:rsid w:val="004876EC"/>
    <w:rsid w:val="004C4672"/>
    <w:rsid w:val="004D6E14"/>
    <w:rsid w:val="004E4D09"/>
    <w:rsid w:val="004E5CEE"/>
    <w:rsid w:val="005009B0"/>
    <w:rsid w:val="00512CA7"/>
    <w:rsid w:val="005138C1"/>
    <w:rsid w:val="00534942"/>
    <w:rsid w:val="0053617A"/>
    <w:rsid w:val="005803E9"/>
    <w:rsid w:val="005A1006"/>
    <w:rsid w:val="005B2D8C"/>
    <w:rsid w:val="005E714A"/>
    <w:rsid w:val="005E7D5B"/>
    <w:rsid w:val="006140A0"/>
    <w:rsid w:val="00623A4C"/>
    <w:rsid w:val="00636621"/>
    <w:rsid w:val="00642B49"/>
    <w:rsid w:val="006443C3"/>
    <w:rsid w:val="006445BB"/>
    <w:rsid w:val="006832D9"/>
    <w:rsid w:val="006840B1"/>
    <w:rsid w:val="00687193"/>
    <w:rsid w:val="0069253D"/>
    <w:rsid w:val="0069403B"/>
    <w:rsid w:val="0069411C"/>
    <w:rsid w:val="006A1D17"/>
    <w:rsid w:val="006F3DDE"/>
    <w:rsid w:val="00704678"/>
    <w:rsid w:val="00715EE0"/>
    <w:rsid w:val="00731930"/>
    <w:rsid w:val="00732A2F"/>
    <w:rsid w:val="007425E7"/>
    <w:rsid w:val="00742741"/>
    <w:rsid w:val="007769C7"/>
    <w:rsid w:val="00802607"/>
    <w:rsid w:val="008101A5"/>
    <w:rsid w:val="00822664"/>
    <w:rsid w:val="00843796"/>
    <w:rsid w:val="00881BC7"/>
    <w:rsid w:val="00895229"/>
    <w:rsid w:val="008C3406"/>
    <w:rsid w:val="008C4FE1"/>
    <w:rsid w:val="008D1717"/>
    <w:rsid w:val="008E022B"/>
    <w:rsid w:val="008E14FE"/>
    <w:rsid w:val="008F0203"/>
    <w:rsid w:val="008F50D4"/>
    <w:rsid w:val="009239AA"/>
    <w:rsid w:val="00935A5B"/>
    <w:rsid w:val="00935ADA"/>
    <w:rsid w:val="00940F02"/>
    <w:rsid w:val="00946B6C"/>
    <w:rsid w:val="00955A71"/>
    <w:rsid w:val="00957E40"/>
    <w:rsid w:val="0096108F"/>
    <w:rsid w:val="00967A27"/>
    <w:rsid w:val="00992E34"/>
    <w:rsid w:val="00997036"/>
    <w:rsid w:val="009C13B9"/>
    <w:rsid w:val="009C32B7"/>
    <w:rsid w:val="009D01A2"/>
    <w:rsid w:val="009F5923"/>
    <w:rsid w:val="00A24099"/>
    <w:rsid w:val="00A32C25"/>
    <w:rsid w:val="00A37B2E"/>
    <w:rsid w:val="00A403BB"/>
    <w:rsid w:val="00A674DF"/>
    <w:rsid w:val="00A70E37"/>
    <w:rsid w:val="00A83AA6"/>
    <w:rsid w:val="00AA5500"/>
    <w:rsid w:val="00AA5EE9"/>
    <w:rsid w:val="00AC370A"/>
    <w:rsid w:val="00AC378E"/>
    <w:rsid w:val="00AC6DA8"/>
    <w:rsid w:val="00AE1809"/>
    <w:rsid w:val="00B02D82"/>
    <w:rsid w:val="00B20A65"/>
    <w:rsid w:val="00B25978"/>
    <w:rsid w:val="00B26D24"/>
    <w:rsid w:val="00B27F27"/>
    <w:rsid w:val="00B301FD"/>
    <w:rsid w:val="00B37143"/>
    <w:rsid w:val="00B46F2C"/>
    <w:rsid w:val="00B62B60"/>
    <w:rsid w:val="00B80D76"/>
    <w:rsid w:val="00B8225D"/>
    <w:rsid w:val="00B91838"/>
    <w:rsid w:val="00BA2105"/>
    <w:rsid w:val="00BA7E06"/>
    <w:rsid w:val="00BB43B5"/>
    <w:rsid w:val="00BB6219"/>
    <w:rsid w:val="00BD118C"/>
    <w:rsid w:val="00BD290F"/>
    <w:rsid w:val="00C02C2E"/>
    <w:rsid w:val="00C14CC4"/>
    <w:rsid w:val="00C31B66"/>
    <w:rsid w:val="00C33C52"/>
    <w:rsid w:val="00C40D8B"/>
    <w:rsid w:val="00C66D3C"/>
    <w:rsid w:val="00C8407A"/>
    <w:rsid w:val="00C8488C"/>
    <w:rsid w:val="00C86E91"/>
    <w:rsid w:val="00CA2650"/>
    <w:rsid w:val="00CA433A"/>
    <w:rsid w:val="00CB1078"/>
    <w:rsid w:val="00CC6FAF"/>
    <w:rsid w:val="00CC772D"/>
    <w:rsid w:val="00CE698D"/>
    <w:rsid w:val="00CF356C"/>
    <w:rsid w:val="00D0369D"/>
    <w:rsid w:val="00D07B89"/>
    <w:rsid w:val="00D24698"/>
    <w:rsid w:val="00D322FA"/>
    <w:rsid w:val="00D6383F"/>
    <w:rsid w:val="00D71221"/>
    <w:rsid w:val="00DA0B0D"/>
    <w:rsid w:val="00DB2923"/>
    <w:rsid w:val="00DB59D0"/>
    <w:rsid w:val="00DC33D3"/>
    <w:rsid w:val="00DD7D03"/>
    <w:rsid w:val="00DE4BA9"/>
    <w:rsid w:val="00E138DB"/>
    <w:rsid w:val="00E219B3"/>
    <w:rsid w:val="00E26329"/>
    <w:rsid w:val="00E31C56"/>
    <w:rsid w:val="00E40B50"/>
    <w:rsid w:val="00E50293"/>
    <w:rsid w:val="00E65FFC"/>
    <w:rsid w:val="00E80951"/>
    <w:rsid w:val="00E81AB8"/>
    <w:rsid w:val="00E854FE"/>
    <w:rsid w:val="00E86CC6"/>
    <w:rsid w:val="00EA435C"/>
    <w:rsid w:val="00EA6ECB"/>
    <w:rsid w:val="00EB56B3"/>
    <w:rsid w:val="00ED6492"/>
    <w:rsid w:val="00EF1BD9"/>
    <w:rsid w:val="00EF2095"/>
    <w:rsid w:val="00F017F0"/>
    <w:rsid w:val="00F06866"/>
    <w:rsid w:val="00F15956"/>
    <w:rsid w:val="00F24CFC"/>
    <w:rsid w:val="00F3170F"/>
    <w:rsid w:val="00F4017B"/>
    <w:rsid w:val="00F53EC1"/>
    <w:rsid w:val="00F976B0"/>
    <w:rsid w:val="00FA1039"/>
    <w:rsid w:val="00FA23BE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0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6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2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26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421028">
                                              <w:blockQuote w:val="1"/>
                                              <w:marLeft w:val="900"/>
                                              <w:marRight w:val="72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48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4230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CDC User</cp:lastModifiedBy>
  <cp:revision>2</cp:revision>
  <cp:lastPrinted>2010-10-04T16:59:00Z</cp:lastPrinted>
  <dcterms:created xsi:type="dcterms:W3CDTF">2015-02-06T15:08:00Z</dcterms:created>
  <dcterms:modified xsi:type="dcterms:W3CDTF">2015-02-06T15:08:00Z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