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6BD" w:rsidRPr="00C7774A" w:rsidRDefault="00D876BD" w:rsidP="00AF29E5">
      <w:pPr>
        <w:rPr>
          <w:rFonts w:asciiTheme="minorHAnsi" w:hAnsiTheme="minorHAnsi" w:cstheme="minorHAnsi"/>
          <w:b/>
          <w:sz w:val="28"/>
          <w:szCs w:val="28"/>
        </w:rPr>
      </w:pPr>
      <w:r w:rsidRPr="00C7774A">
        <w:rPr>
          <w:rFonts w:asciiTheme="minorHAnsi" w:hAnsiTheme="minorHAnsi" w:cstheme="minorHAnsi"/>
          <w:b/>
          <w:noProof/>
          <w:sz w:val="28"/>
          <w:szCs w:val="28"/>
        </w:rPr>
        <w:drawing>
          <wp:inline distT="0" distB="0" distL="0" distR="0" wp14:anchorId="6039A5A4" wp14:editId="1E946F94">
            <wp:extent cx="5553075" cy="1123950"/>
            <wp:effectExtent l="19050" t="0" r="9525" b="0"/>
            <wp:docPr id="4" name="Picture 1" descr="NCSLet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Letter1"/>
                    <pic:cNvPicPr>
                      <a:picLocks noChangeAspect="1" noChangeArrowheads="1"/>
                    </pic:cNvPicPr>
                  </pic:nvPicPr>
                  <pic:blipFill>
                    <a:blip r:embed="rId9" cstate="print"/>
                    <a:srcRect/>
                    <a:stretch>
                      <a:fillRect/>
                    </a:stretch>
                  </pic:blipFill>
                  <pic:spPr bwMode="auto">
                    <a:xfrm>
                      <a:off x="0" y="0"/>
                      <a:ext cx="5553075" cy="1123950"/>
                    </a:xfrm>
                    <a:prstGeom prst="rect">
                      <a:avLst/>
                    </a:prstGeom>
                    <a:noFill/>
                    <a:ln w="9525">
                      <a:noFill/>
                      <a:miter lim="800000"/>
                      <a:headEnd/>
                      <a:tailEnd/>
                    </a:ln>
                  </pic:spPr>
                </pic:pic>
              </a:graphicData>
            </a:graphic>
          </wp:inline>
        </w:drawing>
      </w:r>
    </w:p>
    <w:p w:rsidR="006F1AA5" w:rsidRPr="00C7774A" w:rsidRDefault="006F1AA5" w:rsidP="00AF29E5">
      <w:pPr>
        <w:rPr>
          <w:rFonts w:asciiTheme="minorHAnsi" w:hAnsiTheme="minorHAnsi" w:cstheme="minorHAnsi"/>
          <w:sz w:val="22"/>
          <w:szCs w:val="22"/>
        </w:rPr>
      </w:pPr>
    </w:p>
    <w:p w:rsidR="00EE76C9" w:rsidRPr="00C7774A" w:rsidRDefault="00EE76C9" w:rsidP="00AF29E5">
      <w:pPr>
        <w:rPr>
          <w:rFonts w:asciiTheme="minorHAnsi" w:hAnsiTheme="minorHAnsi" w:cstheme="minorHAnsi"/>
          <w:sz w:val="22"/>
          <w:szCs w:val="22"/>
        </w:rPr>
      </w:pPr>
    </w:p>
    <w:p w:rsidR="00A52625" w:rsidRPr="00C7774A" w:rsidRDefault="00D876BD" w:rsidP="00AF29E5">
      <w:pPr>
        <w:rPr>
          <w:rFonts w:asciiTheme="minorHAnsi" w:hAnsiTheme="minorHAnsi" w:cstheme="minorHAnsi"/>
          <w:sz w:val="22"/>
          <w:szCs w:val="22"/>
        </w:rPr>
      </w:pPr>
      <w:r w:rsidRPr="00C7774A">
        <w:rPr>
          <w:rFonts w:asciiTheme="minorHAnsi" w:hAnsiTheme="minorHAnsi" w:cstheme="minorHAnsi"/>
          <w:sz w:val="22"/>
          <w:szCs w:val="22"/>
        </w:rPr>
        <w:t>DATE</w:t>
      </w:r>
      <w:r w:rsidR="002F1327" w:rsidRPr="00C7774A">
        <w:rPr>
          <w:rFonts w:asciiTheme="minorHAnsi" w:hAnsiTheme="minorHAnsi" w:cstheme="minorHAnsi"/>
          <w:sz w:val="22"/>
          <w:szCs w:val="22"/>
        </w:rPr>
        <w:t>:</w:t>
      </w:r>
      <w:r w:rsidR="002F1327" w:rsidRPr="00C7774A">
        <w:rPr>
          <w:rFonts w:asciiTheme="minorHAnsi" w:hAnsiTheme="minorHAnsi" w:cstheme="minorHAnsi"/>
          <w:sz w:val="22"/>
          <w:szCs w:val="22"/>
        </w:rPr>
        <w:tab/>
      </w:r>
      <w:r w:rsidR="002F1327" w:rsidRPr="00C7774A">
        <w:rPr>
          <w:rFonts w:asciiTheme="minorHAnsi" w:hAnsiTheme="minorHAnsi" w:cstheme="minorHAnsi"/>
          <w:sz w:val="22"/>
          <w:szCs w:val="22"/>
        </w:rPr>
        <w:tab/>
      </w:r>
      <w:r w:rsidR="00BA029B">
        <w:rPr>
          <w:rFonts w:asciiTheme="minorHAnsi" w:hAnsiTheme="minorHAnsi" w:cstheme="minorHAnsi"/>
          <w:sz w:val="22"/>
          <w:szCs w:val="22"/>
        </w:rPr>
        <w:t>February 5</w:t>
      </w:r>
      <w:r w:rsidR="004C11EE">
        <w:rPr>
          <w:rFonts w:asciiTheme="minorHAnsi" w:hAnsiTheme="minorHAnsi" w:cstheme="minorHAnsi"/>
          <w:sz w:val="22"/>
          <w:szCs w:val="22"/>
        </w:rPr>
        <w:t>, 2013</w:t>
      </w:r>
    </w:p>
    <w:p w:rsidR="00A52625" w:rsidRPr="00C7774A" w:rsidRDefault="00A52625" w:rsidP="00AF29E5">
      <w:pPr>
        <w:rPr>
          <w:rFonts w:asciiTheme="minorHAnsi" w:hAnsiTheme="minorHAnsi" w:cstheme="minorHAnsi"/>
          <w:sz w:val="22"/>
          <w:szCs w:val="22"/>
        </w:rPr>
      </w:pPr>
    </w:p>
    <w:p w:rsidR="002F1327" w:rsidRPr="00C7774A" w:rsidRDefault="00D876BD" w:rsidP="00AF29E5">
      <w:pPr>
        <w:rPr>
          <w:rFonts w:asciiTheme="minorHAnsi" w:hAnsiTheme="minorHAnsi" w:cstheme="minorHAnsi"/>
          <w:sz w:val="22"/>
          <w:szCs w:val="22"/>
        </w:rPr>
      </w:pPr>
      <w:r w:rsidRPr="00C7774A">
        <w:rPr>
          <w:rFonts w:asciiTheme="minorHAnsi" w:hAnsiTheme="minorHAnsi" w:cstheme="minorHAnsi"/>
          <w:sz w:val="22"/>
          <w:szCs w:val="22"/>
        </w:rPr>
        <w:t>TO</w:t>
      </w:r>
      <w:r w:rsidR="00A52625" w:rsidRPr="00C7774A">
        <w:rPr>
          <w:rFonts w:asciiTheme="minorHAnsi" w:hAnsiTheme="minorHAnsi" w:cstheme="minorHAnsi"/>
          <w:sz w:val="22"/>
          <w:szCs w:val="22"/>
        </w:rPr>
        <w:t>:</w:t>
      </w:r>
      <w:r w:rsidR="00A52625" w:rsidRPr="00C7774A">
        <w:rPr>
          <w:rFonts w:asciiTheme="minorHAnsi" w:hAnsiTheme="minorHAnsi" w:cstheme="minorHAnsi"/>
          <w:sz w:val="22"/>
          <w:szCs w:val="22"/>
        </w:rPr>
        <w:tab/>
      </w:r>
      <w:r w:rsidR="00A52625" w:rsidRPr="00C7774A">
        <w:rPr>
          <w:rFonts w:asciiTheme="minorHAnsi" w:hAnsiTheme="minorHAnsi" w:cstheme="minorHAnsi"/>
          <w:sz w:val="22"/>
          <w:szCs w:val="22"/>
        </w:rPr>
        <w:tab/>
      </w:r>
      <w:r w:rsidR="002051D0" w:rsidRPr="00C7774A">
        <w:rPr>
          <w:rFonts w:asciiTheme="minorHAnsi" w:hAnsiTheme="minorHAnsi" w:cstheme="minorHAnsi"/>
          <w:sz w:val="22"/>
          <w:szCs w:val="22"/>
        </w:rPr>
        <w:t>Dr. Margo</w:t>
      </w:r>
      <w:r w:rsidRPr="00C7774A">
        <w:rPr>
          <w:rFonts w:asciiTheme="minorHAnsi" w:hAnsiTheme="minorHAnsi" w:cstheme="minorHAnsi"/>
          <w:sz w:val="22"/>
          <w:szCs w:val="22"/>
        </w:rPr>
        <w:t xml:space="preserve"> Schwab</w:t>
      </w:r>
      <w:r w:rsidR="00B9606D" w:rsidRPr="00C7774A">
        <w:rPr>
          <w:rFonts w:asciiTheme="minorHAnsi" w:hAnsiTheme="minorHAnsi" w:cstheme="minorHAnsi"/>
          <w:sz w:val="22"/>
          <w:szCs w:val="22"/>
        </w:rPr>
        <w:t xml:space="preserve">, </w:t>
      </w:r>
      <w:r w:rsidR="00470754" w:rsidRPr="00C7774A">
        <w:rPr>
          <w:rFonts w:asciiTheme="minorHAnsi" w:hAnsiTheme="minorHAnsi" w:cstheme="minorHAnsi"/>
          <w:sz w:val="22"/>
          <w:szCs w:val="22"/>
        </w:rPr>
        <w:t>Ms</w:t>
      </w:r>
      <w:r w:rsidR="00B9606D" w:rsidRPr="00C7774A">
        <w:rPr>
          <w:rFonts w:asciiTheme="minorHAnsi" w:hAnsiTheme="minorHAnsi" w:cstheme="minorHAnsi"/>
          <w:sz w:val="22"/>
          <w:szCs w:val="22"/>
        </w:rPr>
        <w:t>. Julie Wise</w:t>
      </w:r>
    </w:p>
    <w:p w:rsidR="00A52625" w:rsidRPr="00C7774A" w:rsidRDefault="002F1327" w:rsidP="00AF29E5">
      <w:pPr>
        <w:rPr>
          <w:rFonts w:asciiTheme="minorHAnsi" w:hAnsiTheme="minorHAnsi" w:cstheme="minorHAnsi"/>
          <w:sz w:val="22"/>
          <w:szCs w:val="22"/>
        </w:rPr>
      </w:pPr>
      <w:r w:rsidRPr="00C7774A">
        <w:rPr>
          <w:rFonts w:asciiTheme="minorHAnsi" w:hAnsiTheme="minorHAnsi" w:cstheme="minorHAnsi"/>
          <w:sz w:val="22"/>
          <w:szCs w:val="22"/>
        </w:rPr>
        <w:tab/>
      </w:r>
      <w:r w:rsidRPr="00C7774A">
        <w:rPr>
          <w:rFonts w:asciiTheme="minorHAnsi" w:hAnsiTheme="minorHAnsi" w:cstheme="minorHAnsi"/>
          <w:sz w:val="22"/>
          <w:szCs w:val="22"/>
        </w:rPr>
        <w:tab/>
      </w:r>
      <w:r w:rsidR="00A52625" w:rsidRPr="00C7774A">
        <w:rPr>
          <w:rFonts w:asciiTheme="minorHAnsi" w:hAnsiTheme="minorHAnsi" w:cstheme="minorHAnsi"/>
          <w:sz w:val="22"/>
          <w:szCs w:val="22"/>
        </w:rPr>
        <w:t>Office of Management and Budget</w:t>
      </w:r>
    </w:p>
    <w:p w:rsidR="00B361E2" w:rsidRPr="00C7774A" w:rsidRDefault="00B361E2" w:rsidP="00AF29E5">
      <w:pPr>
        <w:rPr>
          <w:rFonts w:asciiTheme="minorHAnsi" w:hAnsiTheme="minorHAnsi" w:cstheme="minorHAnsi"/>
          <w:sz w:val="22"/>
          <w:szCs w:val="22"/>
        </w:rPr>
      </w:pPr>
      <w:r w:rsidRPr="00C7774A">
        <w:rPr>
          <w:rFonts w:asciiTheme="minorHAnsi" w:hAnsiTheme="minorHAnsi" w:cstheme="minorHAnsi"/>
          <w:sz w:val="22"/>
          <w:szCs w:val="22"/>
        </w:rPr>
        <w:tab/>
      </w:r>
      <w:r w:rsidRPr="00C7774A">
        <w:rPr>
          <w:rFonts w:asciiTheme="minorHAnsi" w:hAnsiTheme="minorHAnsi" w:cstheme="minorHAnsi"/>
          <w:sz w:val="22"/>
          <w:szCs w:val="22"/>
        </w:rPr>
        <w:tab/>
        <w:t>Office of Information and Regulatory Affairs</w:t>
      </w:r>
    </w:p>
    <w:p w:rsidR="00A52625" w:rsidRPr="00C7774A" w:rsidRDefault="00A52625" w:rsidP="00AF29E5">
      <w:pPr>
        <w:rPr>
          <w:rFonts w:asciiTheme="minorHAnsi" w:hAnsiTheme="minorHAnsi" w:cstheme="minorHAnsi"/>
          <w:sz w:val="22"/>
          <w:szCs w:val="22"/>
        </w:rPr>
      </w:pPr>
    </w:p>
    <w:p w:rsidR="004150CA" w:rsidRPr="00C7774A" w:rsidRDefault="00D876BD" w:rsidP="00AF29E5">
      <w:pPr>
        <w:tabs>
          <w:tab w:val="left" w:pos="1440"/>
        </w:tabs>
        <w:rPr>
          <w:rFonts w:asciiTheme="minorHAnsi" w:hAnsiTheme="minorHAnsi" w:cstheme="minorHAnsi"/>
          <w:sz w:val="22"/>
          <w:szCs w:val="22"/>
        </w:rPr>
      </w:pPr>
      <w:r w:rsidRPr="00C7774A">
        <w:rPr>
          <w:rFonts w:asciiTheme="minorHAnsi" w:hAnsiTheme="minorHAnsi" w:cstheme="minorHAnsi"/>
          <w:sz w:val="22"/>
          <w:szCs w:val="22"/>
        </w:rPr>
        <w:t xml:space="preserve">FROM: </w:t>
      </w:r>
      <w:r w:rsidR="002F1327" w:rsidRPr="00C7774A">
        <w:rPr>
          <w:rFonts w:asciiTheme="minorHAnsi" w:hAnsiTheme="minorHAnsi" w:cstheme="minorHAnsi"/>
          <w:sz w:val="22"/>
          <w:szCs w:val="22"/>
        </w:rPr>
        <w:tab/>
      </w:r>
      <w:r w:rsidR="00601663" w:rsidRPr="00C7774A">
        <w:rPr>
          <w:rFonts w:asciiTheme="minorHAnsi" w:hAnsiTheme="minorHAnsi" w:cstheme="minorHAnsi"/>
          <w:sz w:val="22"/>
          <w:szCs w:val="22"/>
        </w:rPr>
        <w:t>CDR</w:t>
      </w:r>
      <w:r w:rsidR="004150CA" w:rsidRPr="00C7774A">
        <w:rPr>
          <w:rFonts w:asciiTheme="minorHAnsi" w:hAnsiTheme="minorHAnsi" w:cstheme="minorHAnsi"/>
          <w:sz w:val="22"/>
          <w:szCs w:val="22"/>
        </w:rPr>
        <w:t xml:space="preserve"> Colleen Lee</w:t>
      </w:r>
    </w:p>
    <w:p w:rsidR="00D876BD" w:rsidRPr="00C7774A" w:rsidRDefault="00D876BD" w:rsidP="00AF29E5">
      <w:pPr>
        <w:rPr>
          <w:rFonts w:asciiTheme="minorHAnsi" w:hAnsiTheme="minorHAnsi" w:cstheme="minorHAnsi"/>
          <w:sz w:val="22"/>
          <w:szCs w:val="22"/>
        </w:rPr>
      </w:pPr>
    </w:p>
    <w:p w:rsidR="00D876BD" w:rsidRPr="00C7774A" w:rsidRDefault="002F1327" w:rsidP="00AF29E5">
      <w:pPr>
        <w:rPr>
          <w:rFonts w:asciiTheme="minorHAnsi" w:hAnsiTheme="minorHAnsi" w:cstheme="minorHAnsi"/>
          <w:sz w:val="22"/>
          <w:szCs w:val="22"/>
        </w:rPr>
      </w:pPr>
      <w:r w:rsidRPr="00C7774A">
        <w:rPr>
          <w:rFonts w:asciiTheme="minorHAnsi" w:hAnsiTheme="minorHAnsi" w:cstheme="minorHAnsi"/>
          <w:sz w:val="22"/>
          <w:szCs w:val="22"/>
        </w:rPr>
        <w:t>THROUGH:</w:t>
      </w:r>
      <w:r w:rsidRPr="00C7774A">
        <w:rPr>
          <w:rFonts w:asciiTheme="minorHAnsi" w:hAnsiTheme="minorHAnsi" w:cstheme="minorHAnsi"/>
          <w:sz w:val="22"/>
          <w:szCs w:val="22"/>
        </w:rPr>
        <w:tab/>
      </w:r>
      <w:r w:rsidR="00D876BD" w:rsidRPr="00C7774A">
        <w:rPr>
          <w:rFonts w:asciiTheme="minorHAnsi" w:hAnsiTheme="minorHAnsi" w:cstheme="minorHAnsi"/>
          <w:sz w:val="22"/>
          <w:szCs w:val="22"/>
        </w:rPr>
        <w:t>Dr. Steven Hirschfeld</w:t>
      </w:r>
    </w:p>
    <w:p w:rsidR="00A52625" w:rsidRPr="00C7774A" w:rsidRDefault="00A52625" w:rsidP="00AF29E5">
      <w:pPr>
        <w:rPr>
          <w:rFonts w:asciiTheme="minorHAnsi" w:hAnsiTheme="minorHAnsi" w:cstheme="minorHAnsi"/>
          <w:sz w:val="22"/>
          <w:szCs w:val="22"/>
        </w:rPr>
      </w:pPr>
    </w:p>
    <w:p w:rsidR="00A52625" w:rsidRPr="00C7774A" w:rsidRDefault="00D876BD" w:rsidP="00AF29E5">
      <w:pPr>
        <w:ind w:left="1440" w:hanging="1440"/>
        <w:rPr>
          <w:rFonts w:asciiTheme="minorHAnsi" w:hAnsiTheme="minorHAnsi" w:cstheme="minorHAnsi"/>
          <w:sz w:val="22"/>
          <w:szCs w:val="22"/>
        </w:rPr>
      </w:pPr>
      <w:r w:rsidRPr="00C7774A">
        <w:rPr>
          <w:rFonts w:asciiTheme="minorHAnsi" w:hAnsiTheme="minorHAnsi" w:cstheme="minorHAnsi"/>
          <w:sz w:val="22"/>
          <w:szCs w:val="22"/>
        </w:rPr>
        <w:t>SUBJECT</w:t>
      </w:r>
      <w:r w:rsidR="00A52625" w:rsidRPr="00C7774A">
        <w:rPr>
          <w:rFonts w:asciiTheme="minorHAnsi" w:hAnsiTheme="minorHAnsi" w:cstheme="minorHAnsi"/>
          <w:sz w:val="22"/>
          <w:szCs w:val="22"/>
        </w:rPr>
        <w:t>:</w:t>
      </w:r>
      <w:r w:rsidR="002F1327" w:rsidRPr="00C7774A">
        <w:rPr>
          <w:rFonts w:asciiTheme="minorHAnsi" w:hAnsiTheme="minorHAnsi" w:cstheme="minorHAnsi"/>
          <w:sz w:val="22"/>
          <w:szCs w:val="22"/>
        </w:rPr>
        <w:tab/>
      </w:r>
      <w:r w:rsidRPr="00C7774A">
        <w:rPr>
          <w:rFonts w:asciiTheme="minorHAnsi" w:hAnsiTheme="minorHAnsi" w:cstheme="minorHAnsi"/>
          <w:sz w:val="22"/>
          <w:szCs w:val="22"/>
        </w:rPr>
        <w:t>Request for Non-Substantive Change to National Children’s Study, Vanguard (Pilot) Study (OMB Contro</w:t>
      </w:r>
      <w:r w:rsidR="00587FB7" w:rsidRPr="00C7774A">
        <w:rPr>
          <w:rFonts w:asciiTheme="minorHAnsi" w:hAnsiTheme="minorHAnsi" w:cstheme="minorHAnsi"/>
          <w:sz w:val="22"/>
          <w:szCs w:val="22"/>
        </w:rPr>
        <w:t>l #0925-0593, Expiration</w:t>
      </w:r>
      <w:r w:rsidR="00547DFF" w:rsidRPr="00C7774A">
        <w:rPr>
          <w:rFonts w:asciiTheme="minorHAnsi" w:hAnsiTheme="minorHAnsi" w:cstheme="minorHAnsi"/>
          <w:sz w:val="22"/>
          <w:szCs w:val="22"/>
        </w:rPr>
        <w:t xml:space="preserve"> Date:</w:t>
      </w:r>
      <w:r w:rsidR="00587FB7" w:rsidRPr="00C7774A">
        <w:rPr>
          <w:rFonts w:asciiTheme="minorHAnsi" w:hAnsiTheme="minorHAnsi" w:cstheme="minorHAnsi"/>
          <w:sz w:val="22"/>
          <w:szCs w:val="22"/>
        </w:rPr>
        <w:t xml:space="preserve"> </w:t>
      </w:r>
      <w:r w:rsidR="00C71EF7" w:rsidRPr="00C7774A">
        <w:rPr>
          <w:rFonts w:asciiTheme="minorHAnsi" w:hAnsiTheme="minorHAnsi" w:cstheme="minorHAnsi"/>
          <w:sz w:val="22"/>
          <w:szCs w:val="22"/>
        </w:rPr>
        <w:t>August 31</w:t>
      </w:r>
      <w:r w:rsidRPr="00C7774A">
        <w:rPr>
          <w:rFonts w:asciiTheme="minorHAnsi" w:hAnsiTheme="minorHAnsi" w:cstheme="minorHAnsi"/>
          <w:sz w:val="22"/>
          <w:szCs w:val="22"/>
        </w:rPr>
        <w:t>, 201</w:t>
      </w:r>
      <w:r w:rsidR="00C71EF7" w:rsidRPr="00C7774A">
        <w:rPr>
          <w:rFonts w:asciiTheme="minorHAnsi" w:hAnsiTheme="minorHAnsi" w:cstheme="minorHAnsi"/>
          <w:sz w:val="22"/>
          <w:szCs w:val="22"/>
        </w:rPr>
        <w:t>4</w:t>
      </w:r>
      <w:r w:rsidRPr="00C7774A">
        <w:rPr>
          <w:rFonts w:asciiTheme="minorHAnsi" w:hAnsiTheme="minorHAnsi" w:cstheme="minorHAnsi"/>
          <w:sz w:val="22"/>
          <w:szCs w:val="22"/>
        </w:rPr>
        <w:t xml:space="preserve">) </w:t>
      </w:r>
      <w:r w:rsidR="00225C37" w:rsidRPr="00C7774A">
        <w:rPr>
          <w:rFonts w:asciiTheme="minorHAnsi" w:hAnsiTheme="minorHAnsi" w:cstheme="minorHAnsi"/>
          <w:sz w:val="22"/>
          <w:szCs w:val="22"/>
        </w:rPr>
        <w:t>–</w:t>
      </w:r>
      <w:r w:rsidR="008637FE" w:rsidRPr="00C7774A">
        <w:rPr>
          <w:rFonts w:asciiTheme="minorHAnsi" w:hAnsiTheme="minorHAnsi" w:cstheme="minorHAnsi"/>
          <w:sz w:val="22"/>
          <w:szCs w:val="22"/>
        </w:rPr>
        <w:t xml:space="preserve"> </w:t>
      </w:r>
      <w:r w:rsidR="00C71EF7" w:rsidRPr="00C7774A">
        <w:rPr>
          <w:rFonts w:asciiTheme="minorHAnsi" w:hAnsiTheme="minorHAnsi" w:cstheme="minorHAnsi"/>
          <w:sz w:val="22"/>
          <w:szCs w:val="22"/>
        </w:rPr>
        <w:t xml:space="preserve">Pregnancy Loss, Stillbirth and </w:t>
      </w:r>
      <w:r w:rsidR="00DD3A00">
        <w:rPr>
          <w:rFonts w:asciiTheme="minorHAnsi" w:hAnsiTheme="minorHAnsi" w:cstheme="minorHAnsi"/>
          <w:sz w:val="22"/>
          <w:szCs w:val="22"/>
        </w:rPr>
        <w:t>Neonatal</w:t>
      </w:r>
      <w:r w:rsidR="00C71EF7" w:rsidRPr="00C7774A">
        <w:rPr>
          <w:rFonts w:asciiTheme="minorHAnsi" w:hAnsiTheme="minorHAnsi" w:cstheme="minorHAnsi"/>
          <w:sz w:val="22"/>
          <w:szCs w:val="22"/>
        </w:rPr>
        <w:t xml:space="preserve"> Death </w:t>
      </w:r>
      <w:r w:rsidR="00DD3A00">
        <w:rPr>
          <w:rFonts w:asciiTheme="minorHAnsi" w:hAnsiTheme="minorHAnsi" w:cstheme="minorHAnsi"/>
          <w:sz w:val="22"/>
          <w:szCs w:val="22"/>
        </w:rPr>
        <w:t>Instruments</w:t>
      </w:r>
      <w:r w:rsidR="00C71EF7" w:rsidRPr="00C7774A">
        <w:rPr>
          <w:rFonts w:asciiTheme="minorHAnsi" w:hAnsiTheme="minorHAnsi" w:cstheme="minorHAnsi"/>
          <w:sz w:val="22"/>
          <w:szCs w:val="22"/>
        </w:rPr>
        <w:t>, Alternate Mode Request,</w:t>
      </w:r>
      <w:r w:rsidR="006B01F7" w:rsidRPr="00C7774A">
        <w:rPr>
          <w:rFonts w:asciiTheme="minorHAnsi" w:hAnsiTheme="minorHAnsi" w:cstheme="minorHAnsi"/>
          <w:sz w:val="22"/>
          <w:szCs w:val="22"/>
        </w:rPr>
        <w:t xml:space="preserve"> Satisfaction Questions,</w:t>
      </w:r>
      <w:r w:rsidR="00C71EF7" w:rsidRPr="00C7774A">
        <w:rPr>
          <w:rFonts w:asciiTheme="minorHAnsi" w:hAnsiTheme="minorHAnsi" w:cstheme="minorHAnsi"/>
          <w:sz w:val="22"/>
          <w:szCs w:val="22"/>
        </w:rPr>
        <w:t xml:space="preserve"> </w:t>
      </w:r>
      <w:r w:rsidR="008637FE" w:rsidRPr="00C7774A">
        <w:rPr>
          <w:rFonts w:asciiTheme="minorHAnsi" w:hAnsiTheme="minorHAnsi" w:cstheme="minorHAnsi"/>
          <w:sz w:val="22"/>
          <w:szCs w:val="22"/>
        </w:rPr>
        <w:t>Dietary Assessment in Infants and Young Children</w:t>
      </w:r>
      <w:r w:rsidR="006001E1" w:rsidRPr="00C7774A">
        <w:rPr>
          <w:rFonts w:asciiTheme="minorHAnsi" w:hAnsiTheme="minorHAnsi" w:cstheme="minorHAnsi"/>
          <w:sz w:val="22"/>
          <w:szCs w:val="22"/>
        </w:rPr>
        <w:t xml:space="preserve">, Specimen Collection in the Provider-Based Sampling </w:t>
      </w:r>
      <w:bookmarkStart w:id="0" w:name="_GoBack"/>
      <w:bookmarkEnd w:id="0"/>
    </w:p>
    <w:p w:rsidR="00D876BD" w:rsidRPr="00C7774A" w:rsidRDefault="00D876BD" w:rsidP="00AF29E5">
      <w:pPr>
        <w:ind w:left="1440" w:hanging="1440"/>
        <w:rPr>
          <w:rFonts w:asciiTheme="minorHAnsi" w:hAnsiTheme="minorHAnsi" w:cstheme="minorHAnsi"/>
          <w:sz w:val="22"/>
          <w:szCs w:val="22"/>
        </w:rPr>
      </w:pPr>
    </w:p>
    <w:p w:rsidR="00D876BD" w:rsidRPr="008D51A5" w:rsidRDefault="002F1327" w:rsidP="00AF29E5">
      <w:pPr>
        <w:ind w:left="1440" w:hanging="1440"/>
        <w:rPr>
          <w:rFonts w:asciiTheme="minorHAnsi" w:hAnsiTheme="minorHAnsi" w:cstheme="minorHAnsi"/>
          <w:sz w:val="22"/>
          <w:szCs w:val="22"/>
        </w:rPr>
      </w:pPr>
      <w:r w:rsidRPr="008D51A5">
        <w:rPr>
          <w:rFonts w:asciiTheme="minorHAnsi" w:hAnsiTheme="minorHAnsi" w:cstheme="minorHAnsi"/>
          <w:sz w:val="22"/>
          <w:szCs w:val="22"/>
        </w:rPr>
        <w:t>CC:</w:t>
      </w:r>
      <w:r w:rsidRPr="008D51A5">
        <w:rPr>
          <w:rFonts w:asciiTheme="minorHAnsi" w:hAnsiTheme="minorHAnsi" w:cstheme="minorHAnsi"/>
          <w:sz w:val="22"/>
          <w:szCs w:val="22"/>
        </w:rPr>
        <w:tab/>
      </w:r>
      <w:r w:rsidR="00D876BD" w:rsidRPr="008D51A5">
        <w:rPr>
          <w:rFonts w:asciiTheme="minorHAnsi" w:hAnsiTheme="minorHAnsi" w:cstheme="minorHAnsi"/>
          <w:sz w:val="22"/>
          <w:szCs w:val="22"/>
        </w:rPr>
        <w:t xml:space="preserve">Dr. Sarah Glavin, Ms. Jamelle Banks, </w:t>
      </w:r>
      <w:r w:rsidR="00B9606D" w:rsidRPr="008D51A5">
        <w:rPr>
          <w:rFonts w:asciiTheme="minorHAnsi" w:hAnsiTheme="minorHAnsi" w:cstheme="minorHAnsi"/>
          <w:sz w:val="22"/>
          <w:szCs w:val="22"/>
        </w:rPr>
        <w:t>Ms. Seleda Perryman</w:t>
      </w:r>
    </w:p>
    <w:p w:rsidR="00D876BD" w:rsidRPr="008D51A5" w:rsidRDefault="00D876BD" w:rsidP="00AF29E5">
      <w:pPr>
        <w:pBdr>
          <w:bottom w:val="single" w:sz="12" w:space="1" w:color="auto"/>
        </w:pBdr>
        <w:ind w:left="1440" w:hanging="1440"/>
        <w:rPr>
          <w:rFonts w:asciiTheme="minorHAnsi" w:hAnsiTheme="minorHAnsi" w:cstheme="minorHAnsi"/>
          <w:sz w:val="22"/>
          <w:szCs w:val="22"/>
        </w:rPr>
      </w:pPr>
    </w:p>
    <w:p w:rsidR="00A52625" w:rsidRPr="008D51A5" w:rsidRDefault="00A52625" w:rsidP="00AF29E5">
      <w:pPr>
        <w:rPr>
          <w:rFonts w:asciiTheme="minorHAnsi" w:hAnsiTheme="minorHAnsi" w:cstheme="minorHAnsi"/>
          <w:sz w:val="22"/>
          <w:szCs w:val="22"/>
        </w:rPr>
      </w:pPr>
    </w:p>
    <w:p w:rsidR="00983235" w:rsidRPr="008D51A5" w:rsidRDefault="00983235" w:rsidP="00AF29E5">
      <w:pPr>
        <w:rPr>
          <w:rFonts w:asciiTheme="minorHAnsi" w:hAnsiTheme="minorHAnsi" w:cstheme="minorHAnsi"/>
          <w:sz w:val="22"/>
          <w:szCs w:val="22"/>
        </w:rPr>
      </w:pPr>
      <w:r w:rsidRPr="008D51A5">
        <w:rPr>
          <w:rFonts w:asciiTheme="minorHAnsi" w:hAnsiTheme="minorHAnsi" w:cstheme="minorHAnsi"/>
          <w:sz w:val="22"/>
          <w:szCs w:val="22"/>
        </w:rPr>
        <w:t>We request non-substantive change</w:t>
      </w:r>
      <w:r w:rsidR="005105C9" w:rsidRPr="008D51A5">
        <w:rPr>
          <w:rFonts w:asciiTheme="minorHAnsi" w:hAnsiTheme="minorHAnsi" w:cstheme="minorHAnsi"/>
          <w:sz w:val="22"/>
          <w:szCs w:val="22"/>
        </w:rPr>
        <w:t>s</w:t>
      </w:r>
      <w:r w:rsidRPr="008D51A5">
        <w:rPr>
          <w:rFonts w:asciiTheme="minorHAnsi" w:hAnsiTheme="minorHAnsi" w:cstheme="minorHAnsi"/>
          <w:sz w:val="22"/>
          <w:szCs w:val="22"/>
        </w:rPr>
        <w:t xml:space="preserve"> to the </w:t>
      </w:r>
      <w:r w:rsidR="00713139" w:rsidRPr="008D51A5">
        <w:rPr>
          <w:rFonts w:asciiTheme="minorHAnsi" w:hAnsiTheme="minorHAnsi" w:cstheme="minorHAnsi"/>
          <w:sz w:val="22"/>
          <w:szCs w:val="22"/>
        </w:rPr>
        <w:t xml:space="preserve">most recent revision of the </w:t>
      </w:r>
      <w:r w:rsidRPr="008D51A5">
        <w:rPr>
          <w:rFonts w:asciiTheme="minorHAnsi" w:hAnsiTheme="minorHAnsi" w:cstheme="minorHAnsi"/>
          <w:sz w:val="22"/>
          <w:szCs w:val="22"/>
        </w:rPr>
        <w:t>National Children’s Study (NCS) Vanguard (Pilot) Study protocol approved by the Office of Information and Regulatory Affairs (OIRA)</w:t>
      </w:r>
      <w:r w:rsidR="00B9606D" w:rsidRPr="008D51A5">
        <w:rPr>
          <w:rFonts w:asciiTheme="minorHAnsi" w:hAnsiTheme="minorHAnsi" w:cstheme="minorHAnsi"/>
          <w:sz w:val="22"/>
          <w:szCs w:val="22"/>
        </w:rPr>
        <w:t>.</w:t>
      </w:r>
      <w:r w:rsidRPr="008D51A5">
        <w:rPr>
          <w:rFonts w:asciiTheme="minorHAnsi" w:hAnsiTheme="minorHAnsi" w:cstheme="minorHAnsi"/>
          <w:sz w:val="22"/>
          <w:szCs w:val="22"/>
        </w:rPr>
        <w:t xml:space="preserve">  </w:t>
      </w:r>
    </w:p>
    <w:p w:rsidR="00983235" w:rsidRPr="008D51A5" w:rsidRDefault="00983235" w:rsidP="00AF29E5">
      <w:pPr>
        <w:pStyle w:val="ListParagraph"/>
        <w:tabs>
          <w:tab w:val="left" w:pos="180"/>
        </w:tabs>
        <w:ind w:left="0"/>
        <w:rPr>
          <w:rFonts w:asciiTheme="minorHAnsi" w:hAnsiTheme="minorHAnsi" w:cstheme="minorHAnsi"/>
          <w:sz w:val="22"/>
          <w:szCs w:val="22"/>
        </w:rPr>
      </w:pPr>
    </w:p>
    <w:p w:rsidR="00B54FE5" w:rsidRPr="008D51A5" w:rsidRDefault="00EA6068" w:rsidP="00AF29E5">
      <w:pPr>
        <w:pStyle w:val="ListParagraph"/>
        <w:numPr>
          <w:ilvl w:val="0"/>
          <w:numId w:val="22"/>
        </w:numPr>
        <w:rPr>
          <w:rFonts w:asciiTheme="minorHAnsi" w:hAnsiTheme="minorHAnsi" w:cstheme="minorHAnsi"/>
          <w:b/>
          <w:szCs w:val="24"/>
        </w:rPr>
      </w:pPr>
      <w:r w:rsidRPr="008D51A5">
        <w:rPr>
          <w:rFonts w:asciiTheme="minorHAnsi" w:hAnsiTheme="minorHAnsi" w:cstheme="minorHAnsi"/>
          <w:b/>
          <w:szCs w:val="24"/>
        </w:rPr>
        <w:t>Vanguard Study Collections</w:t>
      </w:r>
    </w:p>
    <w:p w:rsidR="00B54FE5" w:rsidRPr="008D51A5" w:rsidRDefault="00B54FE5" w:rsidP="00AF29E5">
      <w:pPr>
        <w:rPr>
          <w:rFonts w:asciiTheme="minorHAnsi" w:hAnsiTheme="minorHAnsi" w:cstheme="minorHAnsi"/>
          <w:b/>
          <w:sz w:val="22"/>
          <w:szCs w:val="22"/>
        </w:rPr>
      </w:pPr>
    </w:p>
    <w:p w:rsidR="003E317C" w:rsidRPr="008D51A5" w:rsidRDefault="004761E7" w:rsidP="00C77A37">
      <w:pPr>
        <w:spacing w:line="276" w:lineRule="auto"/>
        <w:rPr>
          <w:rFonts w:asciiTheme="minorHAnsi" w:hAnsiTheme="minorHAnsi" w:cstheme="minorHAnsi"/>
          <w:b/>
          <w:sz w:val="22"/>
          <w:szCs w:val="22"/>
        </w:rPr>
      </w:pPr>
      <w:r w:rsidRPr="008D51A5">
        <w:rPr>
          <w:rFonts w:asciiTheme="minorHAnsi" w:hAnsiTheme="minorHAnsi" w:cstheme="minorHAnsi"/>
          <w:b/>
          <w:sz w:val="22"/>
          <w:szCs w:val="22"/>
        </w:rPr>
        <w:t>1</w:t>
      </w:r>
      <w:r w:rsidR="003E317C" w:rsidRPr="008D51A5">
        <w:rPr>
          <w:rFonts w:asciiTheme="minorHAnsi" w:hAnsiTheme="minorHAnsi" w:cstheme="minorHAnsi"/>
          <w:b/>
          <w:sz w:val="22"/>
          <w:szCs w:val="22"/>
        </w:rPr>
        <w:t>.  Justification for Including</w:t>
      </w:r>
      <w:r w:rsidR="007541D0" w:rsidRPr="008D51A5">
        <w:rPr>
          <w:rFonts w:asciiTheme="minorHAnsi" w:hAnsiTheme="minorHAnsi" w:cstheme="minorHAnsi"/>
          <w:b/>
          <w:sz w:val="22"/>
          <w:szCs w:val="22"/>
        </w:rPr>
        <w:t xml:space="preserve"> the</w:t>
      </w:r>
      <w:r w:rsidR="003E317C" w:rsidRPr="008D51A5">
        <w:rPr>
          <w:rFonts w:asciiTheme="minorHAnsi" w:hAnsiTheme="minorHAnsi" w:cstheme="minorHAnsi"/>
          <w:b/>
          <w:sz w:val="22"/>
          <w:szCs w:val="22"/>
        </w:rPr>
        <w:t xml:space="preserve"> </w:t>
      </w:r>
      <w:r w:rsidR="00DD3A00" w:rsidRPr="008D51A5">
        <w:rPr>
          <w:rFonts w:asciiTheme="minorHAnsi" w:hAnsiTheme="minorHAnsi" w:cstheme="minorHAnsi"/>
          <w:b/>
          <w:i/>
          <w:sz w:val="22"/>
          <w:szCs w:val="22"/>
        </w:rPr>
        <w:t xml:space="preserve">Pregnancy Loss, Stillbirth, </w:t>
      </w:r>
      <w:r w:rsidR="00014BB0" w:rsidRPr="008D51A5">
        <w:rPr>
          <w:rFonts w:asciiTheme="minorHAnsi" w:hAnsiTheme="minorHAnsi" w:cstheme="minorHAnsi"/>
          <w:b/>
          <w:i/>
          <w:sz w:val="22"/>
          <w:szCs w:val="22"/>
        </w:rPr>
        <w:t>Neonatal Death</w:t>
      </w:r>
      <w:r w:rsidR="00DD3A00" w:rsidRPr="008D51A5">
        <w:rPr>
          <w:rFonts w:asciiTheme="minorHAnsi" w:hAnsiTheme="minorHAnsi" w:cstheme="minorHAnsi"/>
          <w:b/>
          <w:i/>
          <w:sz w:val="22"/>
          <w:szCs w:val="22"/>
        </w:rPr>
        <w:t xml:space="preserve"> (PLSND)</w:t>
      </w:r>
      <w:r w:rsidR="007541D0" w:rsidRPr="008D51A5">
        <w:rPr>
          <w:rFonts w:asciiTheme="minorHAnsi" w:hAnsiTheme="minorHAnsi" w:cstheme="minorHAnsi"/>
          <w:b/>
          <w:i/>
          <w:sz w:val="22"/>
          <w:szCs w:val="22"/>
        </w:rPr>
        <w:t xml:space="preserve"> Instrument</w:t>
      </w:r>
      <w:r w:rsidR="00304D51" w:rsidRPr="008D51A5">
        <w:rPr>
          <w:rFonts w:asciiTheme="minorHAnsi" w:hAnsiTheme="minorHAnsi" w:cstheme="minorHAnsi"/>
          <w:b/>
          <w:i/>
          <w:sz w:val="22"/>
          <w:szCs w:val="22"/>
        </w:rPr>
        <w:t>s</w:t>
      </w:r>
      <w:r w:rsidR="007541D0" w:rsidRPr="008D51A5">
        <w:rPr>
          <w:rFonts w:asciiTheme="minorHAnsi" w:hAnsiTheme="minorHAnsi" w:cstheme="minorHAnsi"/>
          <w:sz w:val="22"/>
          <w:szCs w:val="22"/>
        </w:rPr>
        <w:t xml:space="preserve"> </w:t>
      </w:r>
    </w:p>
    <w:p w:rsidR="003554E9" w:rsidRPr="008D51A5" w:rsidRDefault="00FA57DE" w:rsidP="00C77A37">
      <w:pPr>
        <w:spacing w:line="276" w:lineRule="auto"/>
        <w:rPr>
          <w:rFonts w:asciiTheme="minorHAnsi" w:hAnsiTheme="minorHAnsi" w:cstheme="minorHAnsi"/>
          <w:sz w:val="22"/>
          <w:szCs w:val="22"/>
        </w:rPr>
      </w:pPr>
      <w:r w:rsidRPr="008D51A5">
        <w:rPr>
          <w:rFonts w:asciiTheme="minorHAnsi" w:hAnsiTheme="minorHAnsi" w:cstheme="minorHAnsi"/>
          <w:sz w:val="22"/>
          <w:szCs w:val="22"/>
        </w:rPr>
        <w:t xml:space="preserve">The NCS </w:t>
      </w:r>
      <w:r w:rsidR="00643330" w:rsidRPr="008D51A5">
        <w:rPr>
          <w:rFonts w:asciiTheme="minorHAnsi" w:hAnsiTheme="minorHAnsi" w:cstheme="minorHAnsi"/>
          <w:sz w:val="22"/>
          <w:szCs w:val="22"/>
        </w:rPr>
        <w:t>proposes</w:t>
      </w:r>
      <w:r w:rsidRPr="008D51A5">
        <w:rPr>
          <w:rFonts w:asciiTheme="minorHAnsi" w:hAnsiTheme="minorHAnsi" w:cstheme="minorHAnsi"/>
          <w:sz w:val="22"/>
          <w:szCs w:val="22"/>
        </w:rPr>
        <w:t xml:space="preserve"> to add the </w:t>
      </w:r>
      <w:r w:rsidR="00DD3A00" w:rsidRPr="008D51A5">
        <w:rPr>
          <w:rFonts w:asciiTheme="minorHAnsi" w:hAnsiTheme="minorHAnsi" w:cstheme="minorHAnsi"/>
          <w:i/>
          <w:sz w:val="22"/>
          <w:szCs w:val="22"/>
        </w:rPr>
        <w:t xml:space="preserve">PLSND </w:t>
      </w:r>
      <w:r w:rsidR="00DD3A00" w:rsidRPr="008D51A5">
        <w:rPr>
          <w:rFonts w:asciiTheme="minorHAnsi" w:hAnsiTheme="minorHAnsi" w:cstheme="minorHAnsi"/>
          <w:sz w:val="22"/>
          <w:szCs w:val="22"/>
        </w:rPr>
        <w:t>instruments</w:t>
      </w:r>
      <w:r w:rsidRPr="008D51A5">
        <w:rPr>
          <w:rFonts w:asciiTheme="minorHAnsi" w:hAnsiTheme="minorHAnsi" w:cstheme="minorHAnsi"/>
          <w:sz w:val="22"/>
          <w:szCs w:val="22"/>
        </w:rPr>
        <w:t xml:space="preserve"> to the protocol approved for use in the NCS Vanguard (Pilot) Study</w:t>
      </w:r>
      <w:r w:rsidR="00406EB3" w:rsidRPr="008D51A5">
        <w:rPr>
          <w:rFonts w:asciiTheme="minorHAnsi" w:hAnsiTheme="minorHAnsi" w:cstheme="minorHAnsi"/>
          <w:sz w:val="22"/>
          <w:szCs w:val="22"/>
        </w:rPr>
        <w:t xml:space="preserve"> (approved by OIRA on 8/31/2012)</w:t>
      </w:r>
      <w:r w:rsidRPr="008D51A5">
        <w:rPr>
          <w:rFonts w:asciiTheme="minorHAnsi" w:hAnsiTheme="minorHAnsi" w:cstheme="minorHAnsi"/>
          <w:sz w:val="22"/>
          <w:szCs w:val="22"/>
        </w:rPr>
        <w:t xml:space="preserve">. </w:t>
      </w:r>
      <w:r w:rsidR="00D4299F" w:rsidRPr="008D51A5">
        <w:rPr>
          <w:rFonts w:asciiTheme="minorHAnsi" w:hAnsiTheme="minorHAnsi" w:cstheme="minorHAnsi"/>
          <w:sz w:val="22"/>
          <w:szCs w:val="22"/>
        </w:rPr>
        <w:t>I</w:t>
      </w:r>
      <w:r w:rsidRPr="008D51A5">
        <w:rPr>
          <w:rFonts w:asciiTheme="minorHAnsi" w:hAnsiTheme="minorHAnsi" w:cstheme="minorHAnsi"/>
          <w:sz w:val="22"/>
          <w:szCs w:val="22"/>
        </w:rPr>
        <w:t>nformation about pregnancy losses and neonatal deaths</w:t>
      </w:r>
      <w:r w:rsidR="00D4299F" w:rsidRPr="008D51A5">
        <w:rPr>
          <w:rFonts w:asciiTheme="minorHAnsi" w:hAnsiTheme="minorHAnsi" w:cstheme="minorHAnsi"/>
          <w:sz w:val="22"/>
          <w:szCs w:val="22"/>
        </w:rPr>
        <w:t>,</w:t>
      </w:r>
      <w:r w:rsidRPr="008D51A5">
        <w:rPr>
          <w:rFonts w:asciiTheme="minorHAnsi" w:hAnsiTheme="minorHAnsi" w:cstheme="minorHAnsi"/>
          <w:sz w:val="22"/>
          <w:szCs w:val="22"/>
        </w:rPr>
        <w:t xml:space="preserve"> from women enrolled in the </w:t>
      </w:r>
      <w:r w:rsidR="005105C9" w:rsidRPr="008D51A5">
        <w:rPr>
          <w:rFonts w:asciiTheme="minorHAnsi" w:hAnsiTheme="minorHAnsi" w:cstheme="minorHAnsi"/>
          <w:sz w:val="22"/>
          <w:szCs w:val="22"/>
        </w:rPr>
        <w:t>Study</w:t>
      </w:r>
      <w:r w:rsidR="00713139" w:rsidRPr="008D51A5">
        <w:rPr>
          <w:rFonts w:asciiTheme="minorHAnsi" w:hAnsiTheme="minorHAnsi" w:cstheme="minorHAnsi"/>
          <w:sz w:val="22"/>
          <w:szCs w:val="22"/>
        </w:rPr>
        <w:t xml:space="preserve"> is important to test as the </w:t>
      </w:r>
      <w:r w:rsidR="00E81873" w:rsidRPr="008D51A5">
        <w:rPr>
          <w:rFonts w:asciiTheme="minorHAnsi" w:hAnsiTheme="minorHAnsi" w:cstheme="minorHAnsi"/>
          <w:sz w:val="22"/>
          <w:szCs w:val="22"/>
        </w:rPr>
        <w:t>M</w:t>
      </w:r>
      <w:r w:rsidR="00713139" w:rsidRPr="008D51A5">
        <w:rPr>
          <w:rFonts w:asciiTheme="minorHAnsi" w:hAnsiTheme="minorHAnsi" w:cstheme="minorHAnsi"/>
          <w:sz w:val="22"/>
          <w:szCs w:val="22"/>
        </w:rPr>
        <w:t xml:space="preserve">ain </w:t>
      </w:r>
      <w:r w:rsidR="00E81873" w:rsidRPr="008D51A5">
        <w:rPr>
          <w:rFonts w:asciiTheme="minorHAnsi" w:hAnsiTheme="minorHAnsi" w:cstheme="minorHAnsi"/>
          <w:sz w:val="22"/>
          <w:szCs w:val="22"/>
        </w:rPr>
        <w:t>S</w:t>
      </w:r>
      <w:r w:rsidR="00255A50" w:rsidRPr="008D51A5">
        <w:rPr>
          <w:rFonts w:asciiTheme="minorHAnsi" w:hAnsiTheme="minorHAnsi" w:cstheme="minorHAnsi"/>
          <w:sz w:val="22"/>
          <w:szCs w:val="22"/>
        </w:rPr>
        <w:t>tudy seeks to</w:t>
      </w:r>
      <w:r w:rsidR="00643330" w:rsidRPr="008D51A5">
        <w:rPr>
          <w:rFonts w:asciiTheme="minorHAnsi" w:hAnsiTheme="minorHAnsi" w:cstheme="minorHAnsi"/>
          <w:sz w:val="22"/>
          <w:szCs w:val="22"/>
        </w:rPr>
        <w:t xml:space="preserve"> </w:t>
      </w:r>
      <w:r w:rsidR="00D4299F" w:rsidRPr="008D51A5">
        <w:rPr>
          <w:rFonts w:asciiTheme="minorHAnsi" w:hAnsiTheme="minorHAnsi" w:cstheme="minorHAnsi"/>
          <w:sz w:val="22"/>
          <w:szCs w:val="22"/>
        </w:rPr>
        <w:t>investigat</w:t>
      </w:r>
      <w:r w:rsidR="00713139" w:rsidRPr="008D51A5">
        <w:rPr>
          <w:rFonts w:asciiTheme="minorHAnsi" w:hAnsiTheme="minorHAnsi" w:cstheme="minorHAnsi"/>
          <w:sz w:val="22"/>
          <w:szCs w:val="22"/>
        </w:rPr>
        <w:t>e</w:t>
      </w:r>
      <w:r w:rsidR="00D4299F" w:rsidRPr="008D51A5">
        <w:rPr>
          <w:rFonts w:asciiTheme="minorHAnsi" w:hAnsiTheme="minorHAnsi" w:cstheme="minorHAnsi"/>
          <w:sz w:val="22"/>
          <w:szCs w:val="22"/>
        </w:rPr>
        <w:t xml:space="preserve"> </w:t>
      </w:r>
      <w:r w:rsidR="00F23716" w:rsidRPr="008D51A5">
        <w:rPr>
          <w:rFonts w:asciiTheme="minorHAnsi" w:hAnsiTheme="minorHAnsi" w:cstheme="minorHAnsi"/>
          <w:sz w:val="22"/>
          <w:szCs w:val="22"/>
        </w:rPr>
        <w:t>the relationships between perinatal loss and environmental factors in a longitudinal cohort study</w:t>
      </w:r>
      <w:r w:rsidR="000A3726" w:rsidRPr="008D51A5">
        <w:rPr>
          <w:rFonts w:asciiTheme="minorHAnsi" w:hAnsiTheme="minorHAnsi" w:cstheme="minorHAnsi"/>
          <w:sz w:val="22"/>
          <w:szCs w:val="22"/>
        </w:rPr>
        <w:t>.</w:t>
      </w:r>
      <w:r w:rsidR="00C7774A" w:rsidRPr="008D51A5">
        <w:rPr>
          <w:rFonts w:asciiTheme="minorHAnsi" w:hAnsiTheme="minorHAnsi" w:cstheme="minorHAnsi"/>
          <w:sz w:val="22"/>
          <w:szCs w:val="22"/>
        </w:rPr>
        <w:t xml:space="preserve">  </w:t>
      </w:r>
      <w:r w:rsidR="003554E9" w:rsidRPr="008D51A5">
        <w:rPr>
          <w:rFonts w:asciiTheme="minorHAnsi" w:hAnsiTheme="minorHAnsi" w:cstheme="minorHAnsi"/>
          <w:sz w:val="22"/>
          <w:szCs w:val="22"/>
        </w:rPr>
        <w:t xml:space="preserve">The </w:t>
      </w:r>
      <w:r w:rsidR="00DD3A00" w:rsidRPr="008D51A5">
        <w:rPr>
          <w:rFonts w:asciiTheme="minorHAnsi" w:hAnsiTheme="minorHAnsi" w:cstheme="minorHAnsi"/>
          <w:i/>
          <w:sz w:val="22"/>
          <w:szCs w:val="22"/>
        </w:rPr>
        <w:t xml:space="preserve">PLSND </w:t>
      </w:r>
      <w:r w:rsidR="00771A89" w:rsidRPr="008D51A5">
        <w:rPr>
          <w:rFonts w:asciiTheme="minorHAnsi" w:hAnsiTheme="minorHAnsi" w:cstheme="minorHAnsi"/>
          <w:i/>
          <w:sz w:val="22"/>
          <w:szCs w:val="22"/>
        </w:rPr>
        <w:t>Interview</w:t>
      </w:r>
      <w:r w:rsidR="004C6CE4" w:rsidRPr="008D51A5">
        <w:rPr>
          <w:rFonts w:asciiTheme="minorHAnsi" w:hAnsiTheme="minorHAnsi" w:cstheme="minorHAnsi"/>
          <w:sz w:val="22"/>
          <w:szCs w:val="22"/>
        </w:rPr>
        <w:t xml:space="preserve"> (Attach A1.)</w:t>
      </w:r>
      <w:r w:rsidR="003554E9" w:rsidRPr="008D51A5">
        <w:rPr>
          <w:rFonts w:asciiTheme="minorHAnsi" w:hAnsiTheme="minorHAnsi" w:cstheme="minorHAnsi"/>
          <w:sz w:val="22"/>
          <w:szCs w:val="22"/>
        </w:rPr>
        <w:t xml:space="preserve"> </w:t>
      </w:r>
      <w:r w:rsidR="00771A89" w:rsidRPr="008D51A5">
        <w:rPr>
          <w:rFonts w:asciiTheme="minorHAnsi" w:hAnsiTheme="minorHAnsi" w:cstheme="minorHAnsi"/>
          <w:sz w:val="22"/>
          <w:szCs w:val="22"/>
        </w:rPr>
        <w:t xml:space="preserve">and </w:t>
      </w:r>
      <w:r w:rsidR="00771A89" w:rsidRPr="008D51A5">
        <w:rPr>
          <w:rFonts w:asciiTheme="minorHAnsi" w:hAnsiTheme="minorHAnsi" w:cstheme="minorHAnsi"/>
          <w:i/>
          <w:sz w:val="22"/>
          <w:szCs w:val="22"/>
        </w:rPr>
        <w:t>SAQ</w:t>
      </w:r>
      <w:r w:rsidR="004C6CE4" w:rsidRPr="008D51A5">
        <w:rPr>
          <w:rFonts w:asciiTheme="minorHAnsi" w:hAnsiTheme="minorHAnsi" w:cstheme="minorHAnsi"/>
          <w:i/>
          <w:sz w:val="22"/>
          <w:szCs w:val="22"/>
        </w:rPr>
        <w:t xml:space="preserve"> </w:t>
      </w:r>
      <w:r w:rsidR="004C6CE4" w:rsidRPr="008D51A5">
        <w:rPr>
          <w:rFonts w:asciiTheme="minorHAnsi" w:hAnsiTheme="minorHAnsi" w:cstheme="minorHAnsi"/>
          <w:sz w:val="22"/>
          <w:szCs w:val="22"/>
        </w:rPr>
        <w:t>(Attach A2.)</w:t>
      </w:r>
      <w:r w:rsidR="00992D30" w:rsidRPr="008D51A5">
        <w:rPr>
          <w:rFonts w:asciiTheme="minorHAnsi" w:hAnsiTheme="minorHAnsi" w:cstheme="minorHAnsi"/>
          <w:sz w:val="22"/>
          <w:szCs w:val="22"/>
        </w:rPr>
        <w:t xml:space="preserve"> will be initiated when NCS field contractors learn that a woman</w:t>
      </w:r>
      <w:r w:rsidR="00457315" w:rsidRPr="008D51A5">
        <w:rPr>
          <w:rFonts w:asciiTheme="minorHAnsi" w:hAnsiTheme="minorHAnsi" w:cstheme="minorHAnsi"/>
          <w:sz w:val="22"/>
          <w:szCs w:val="22"/>
        </w:rPr>
        <w:t xml:space="preserve"> enrolled in the NCS</w:t>
      </w:r>
      <w:r w:rsidR="00992D30" w:rsidRPr="008D51A5">
        <w:rPr>
          <w:rFonts w:asciiTheme="minorHAnsi" w:hAnsiTheme="minorHAnsi" w:cstheme="minorHAnsi"/>
          <w:sz w:val="22"/>
          <w:szCs w:val="22"/>
        </w:rPr>
        <w:t xml:space="preserve"> experiences a loss of her child through miscarriage (including if the information is learned at Pregnancy Visit 1 or 2 [PV1 or PV2]). Please see the section below “Initiation of the instrument” (paragraph 3, page 3) for more detailed information.  </w:t>
      </w:r>
      <w:r w:rsidR="00D24310" w:rsidRPr="008D51A5">
        <w:rPr>
          <w:rFonts w:asciiTheme="minorHAnsi" w:hAnsiTheme="minorHAnsi" w:cstheme="minorHAnsi"/>
          <w:sz w:val="22"/>
          <w:szCs w:val="22"/>
        </w:rPr>
        <w:t xml:space="preserve">Among the additional </w:t>
      </w:r>
      <w:r w:rsidR="00D24310" w:rsidRPr="008D51A5">
        <w:rPr>
          <w:rFonts w:asciiTheme="minorHAnsi" w:hAnsiTheme="minorHAnsi" w:cstheme="minorHAnsi"/>
          <w:i/>
          <w:sz w:val="22"/>
          <w:szCs w:val="22"/>
        </w:rPr>
        <w:t>PLSND</w:t>
      </w:r>
      <w:r w:rsidR="00D24310" w:rsidRPr="008D51A5">
        <w:rPr>
          <w:rFonts w:asciiTheme="minorHAnsi" w:hAnsiTheme="minorHAnsi" w:cstheme="minorHAnsi"/>
          <w:sz w:val="22"/>
          <w:szCs w:val="22"/>
        </w:rPr>
        <w:t xml:space="preserve"> </w:t>
      </w:r>
      <w:r w:rsidR="007D08E2" w:rsidRPr="008D51A5">
        <w:rPr>
          <w:rFonts w:asciiTheme="minorHAnsi" w:hAnsiTheme="minorHAnsi" w:cstheme="minorHAnsi"/>
          <w:sz w:val="22"/>
          <w:szCs w:val="22"/>
        </w:rPr>
        <w:t>related materials</w:t>
      </w:r>
      <w:r w:rsidR="00992D30" w:rsidRPr="008D51A5">
        <w:rPr>
          <w:rFonts w:asciiTheme="minorHAnsi" w:hAnsiTheme="minorHAnsi" w:cstheme="minorHAnsi"/>
          <w:sz w:val="22"/>
          <w:szCs w:val="22"/>
        </w:rPr>
        <w:t xml:space="preserve"> (Attach A3. – Attach A10.) </w:t>
      </w:r>
      <w:proofErr w:type="gramStart"/>
      <w:r w:rsidR="00992D30" w:rsidRPr="008D51A5">
        <w:rPr>
          <w:rFonts w:asciiTheme="minorHAnsi" w:hAnsiTheme="minorHAnsi" w:cstheme="minorHAnsi"/>
          <w:sz w:val="22"/>
          <w:szCs w:val="22"/>
        </w:rPr>
        <w:t>are</w:t>
      </w:r>
      <w:proofErr w:type="gramEnd"/>
      <w:r w:rsidR="00992D30" w:rsidRPr="008D51A5">
        <w:rPr>
          <w:rFonts w:asciiTheme="minorHAnsi" w:hAnsiTheme="minorHAnsi" w:cstheme="minorHAnsi"/>
          <w:sz w:val="22"/>
          <w:szCs w:val="22"/>
        </w:rPr>
        <w:t xml:space="preserve"> </w:t>
      </w:r>
      <w:r w:rsidR="00AA600E" w:rsidRPr="008D51A5">
        <w:rPr>
          <w:rFonts w:asciiTheme="minorHAnsi" w:hAnsiTheme="minorHAnsi" w:cstheme="minorHAnsi"/>
          <w:sz w:val="22"/>
          <w:szCs w:val="22"/>
        </w:rPr>
        <w:t>scripts and</w:t>
      </w:r>
      <w:r w:rsidR="007D08E2" w:rsidRPr="008D51A5">
        <w:rPr>
          <w:rFonts w:asciiTheme="minorHAnsi" w:hAnsiTheme="minorHAnsi" w:cstheme="minorHAnsi"/>
          <w:sz w:val="22"/>
          <w:szCs w:val="22"/>
        </w:rPr>
        <w:t xml:space="preserve"> such items as </w:t>
      </w:r>
      <w:r w:rsidR="00D24310" w:rsidRPr="008D51A5">
        <w:rPr>
          <w:rFonts w:asciiTheme="minorHAnsi" w:hAnsiTheme="minorHAnsi" w:cstheme="minorHAnsi"/>
          <w:sz w:val="22"/>
          <w:szCs w:val="22"/>
        </w:rPr>
        <w:t>medical record and death certificate release forms</w:t>
      </w:r>
      <w:r w:rsidR="00255A50" w:rsidRPr="008D51A5">
        <w:rPr>
          <w:rFonts w:asciiTheme="minorHAnsi" w:hAnsiTheme="minorHAnsi" w:cstheme="minorHAnsi"/>
          <w:sz w:val="22"/>
          <w:szCs w:val="22"/>
        </w:rPr>
        <w:t>.</w:t>
      </w:r>
      <w:r w:rsidR="001767D9" w:rsidRPr="008D51A5">
        <w:rPr>
          <w:rFonts w:asciiTheme="minorHAnsi" w:hAnsiTheme="minorHAnsi" w:cstheme="minorHAnsi"/>
          <w:sz w:val="22"/>
          <w:szCs w:val="22"/>
        </w:rPr>
        <w:t xml:space="preserve"> </w:t>
      </w:r>
    </w:p>
    <w:p w:rsidR="00FA57DE" w:rsidRPr="008D51A5" w:rsidRDefault="00FA57DE" w:rsidP="00C77A37">
      <w:pPr>
        <w:spacing w:line="276" w:lineRule="auto"/>
        <w:rPr>
          <w:rFonts w:asciiTheme="minorHAnsi" w:hAnsiTheme="minorHAnsi" w:cstheme="minorHAnsi"/>
          <w:sz w:val="22"/>
          <w:szCs w:val="22"/>
        </w:rPr>
      </w:pPr>
    </w:p>
    <w:p w:rsidR="000A3726" w:rsidRPr="008D51A5" w:rsidRDefault="000A3726" w:rsidP="00C77A37">
      <w:pPr>
        <w:spacing w:line="276" w:lineRule="auto"/>
        <w:rPr>
          <w:rFonts w:asciiTheme="minorHAnsi" w:hAnsiTheme="minorHAnsi" w:cstheme="minorHAnsi"/>
          <w:b/>
          <w:i/>
          <w:sz w:val="22"/>
          <w:szCs w:val="22"/>
        </w:rPr>
      </w:pPr>
      <w:r w:rsidRPr="008D51A5">
        <w:rPr>
          <w:rFonts w:asciiTheme="minorHAnsi" w:hAnsiTheme="minorHAnsi" w:cstheme="minorHAnsi"/>
          <w:b/>
          <w:i/>
          <w:sz w:val="22"/>
          <w:szCs w:val="22"/>
        </w:rPr>
        <w:t>Description</w:t>
      </w:r>
    </w:p>
    <w:p w:rsidR="00FA57DE" w:rsidRPr="008D51A5" w:rsidRDefault="00FA57DE" w:rsidP="00C77A37">
      <w:pPr>
        <w:spacing w:line="276" w:lineRule="auto"/>
        <w:rPr>
          <w:rFonts w:asciiTheme="minorHAnsi" w:hAnsiTheme="minorHAnsi" w:cstheme="minorHAnsi"/>
          <w:sz w:val="22"/>
          <w:szCs w:val="22"/>
        </w:rPr>
      </w:pPr>
      <w:r w:rsidRPr="008D51A5">
        <w:rPr>
          <w:rFonts w:asciiTheme="minorHAnsi" w:hAnsiTheme="minorHAnsi" w:cstheme="minorHAnsi"/>
          <w:sz w:val="22"/>
          <w:szCs w:val="22"/>
        </w:rPr>
        <w:lastRenderedPageBreak/>
        <w:t xml:space="preserve">The </w:t>
      </w:r>
      <w:r w:rsidR="00DD3A00" w:rsidRPr="008D51A5">
        <w:rPr>
          <w:rFonts w:asciiTheme="minorHAnsi" w:hAnsiTheme="minorHAnsi" w:cstheme="minorHAnsi"/>
          <w:i/>
          <w:sz w:val="22"/>
          <w:szCs w:val="22"/>
        </w:rPr>
        <w:t xml:space="preserve">PLSND </w:t>
      </w:r>
      <w:r w:rsidR="00014BB0" w:rsidRPr="008D51A5">
        <w:rPr>
          <w:rFonts w:asciiTheme="minorHAnsi" w:hAnsiTheme="minorHAnsi" w:cstheme="minorHAnsi"/>
          <w:i/>
          <w:sz w:val="22"/>
          <w:szCs w:val="22"/>
        </w:rPr>
        <w:t xml:space="preserve">Interview </w:t>
      </w:r>
      <w:r w:rsidRPr="008D51A5">
        <w:rPr>
          <w:rFonts w:asciiTheme="minorHAnsi" w:hAnsiTheme="minorHAnsi" w:cstheme="minorHAnsi"/>
          <w:sz w:val="22"/>
          <w:szCs w:val="22"/>
        </w:rPr>
        <w:t xml:space="preserve">is designed to collect information on pregnancy losses (e.g., miscarriages and stillbirths) and </w:t>
      </w:r>
      <w:r w:rsidR="00E1678C" w:rsidRPr="008D51A5">
        <w:rPr>
          <w:rFonts w:asciiTheme="minorHAnsi" w:hAnsiTheme="minorHAnsi" w:cstheme="minorHAnsi"/>
          <w:sz w:val="22"/>
          <w:szCs w:val="22"/>
        </w:rPr>
        <w:t xml:space="preserve">neonatal deaths from women enrolled in the </w:t>
      </w:r>
      <w:r w:rsidR="004A25D7" w:rsidRPr="008D51A5">
        <w:rPr>
          <w:rFonts w:asciiTheme="minorHAnsi" w:hAnsiTheme="minorHAnsi" w:cstheme="minorHAnsi"/>
          <w:sz w:val="22"/>
          <w:szCs w:val="22"/>
        </w:rPr>
        <w:t>Vanguard Study</w:t>
      </w:r>
      <w:r w:rsidR="00E1678C" w:rsidRPr="008D51A5">
        <w:rPr>
          <w:rFonts w:asciiTheme="minorHAnsi" w:hAnsiTheme="minorHAnsi" w:cstheme="minorHAnsi"/>
          <w:sz w:val="22"/>
          <w:szCs w:val="22"/>
        </w:rPr>
        <w:t>, and cover</w:t>
      </w:r>
      <w:r w:rsidRPr="008D51A5">
        <w:rPr>
          <w:rFonts w:asciiTheme="minorHAnsi" w:hAnsiTheme="minorHAnsi" w:cstheme="minorHAnsi"/>
          <w:sz w:val="22"/>
          <w:szCs w:val="22"/>
        </w:rPr>
        <w:t xml:space="preserve"> the following topics: (1) outcome of most recent pregnancy; (2) prenatal care; (3) pregnancy complications; (4) causes of pregnancy loss and/or baby’s death; (5) support resources; and, (6) obstetric history. The instrument also asks women to review and sign a medical records release form</w:t>
      </w:r>
      <w:r w:rsidR="004C6CE4" w:rsidRPr="008D51A5">
        <w:rPr>
          <w:rFonts w:asciiTheme="minorHAnsi" w:hAnsiTheme="minorHAnsi" w:cstheme="minorHAnsi"/>
          <w:sz w:val="22"/>
          <w:szCs w:val="22"/>
        </w:rPr>
        <w:t xml:space="preserve"> (Attach A3.)</w:t>
      </w:r>
      <w:r w:rsidRPr="008D51A5">
        <w:rPr>
          <w:rFonts w:asciiTheme="minorHAnsi" w:hAnsiTheme="minorHAnsi" w:cstheme="minorHAnsi"/>
          <w:sz w:val="22"/>
          <w:szCs w:val="22"/>
        </w:rPr>
        <w:t xml:space="preserve"> and (if applicable) death certificate release form</w:t>
      </w:r>
      <w:r w:rsidR="004C6CE4" w:rsidRPr="008D51A5">
        <w:rPr>
          <w:rFonts w:asciiTheme="minorHAnsi" w:hAnsiTheme="minorHAnsi" w:cstheme="minorHAnsi"/>
          <w:sz w:val="22"/>
          <w:szCs w:val="22"/>
        </w:rPr>
        <w:t xml:space="preserve"> (Attach A4.)</w:t>
      </w:r>
      <w:r w:rsidRPr="008D51A5">
        <w:rPr>
          <w:rFonts w:asciiTheme="minorHAnsi" w:hAnsiTheme="minorHAnsi" w:cstheme="minorHAnsi"/>
          <w:sz w:val="22"/>
          <w:szCs w:val="22"/>
        </w:rPr>
        <w:t xml:space="preserve"> for the deceased baby. These release forms are requested in order to gain more detailed information from the woman’s and, if applicable, </w:t>
      </w:r>
      <w:r w:rsidR="00F23716" w:rsidRPr="008D51A5">
        <w:rPr>
          <w:rFonts w:asciiTheme="minorHAnsi" w:hAnsiTheme="minorHAnsi" w:cstheme="minorHAnsi"/>
          <w:sz w:val="22"/>
          <w:szCs w:val="22"/>
        </w:rPr>
        <w:t xml:space="preserve">the </w:t>
      </w:r>
      <w:r w:rsidRPr="008D51A5">
        <w:rPr>
          <w:rFonts w:asciiTheme="minorHAnsi" w:hAnsiTheme="minorHAnsi" w:cstheme="minorHAnsi"/>
          <w:sz w:val="22"/>
          <w:szCs w:val="22"/>
        </w:rPr>
        <w:t>baby’s healthcare providers about the loss and/or death.</w:t>
      </w:r>
      <w:r w:rsidR="00C7774A" w:rsidRPr="008D51A5">
        <w:rPr>
          <w:rFonts w:asciiTheme="minorHAnsi" w:hAnsiTheme="minorHAnsi" w:cstheme="minorHAnsi"/>
          <w:sz w:val="22"/>
          <w:szCs w:val="22"/>
        </w:rPr>
        <w:t xml:space="preserve"> </w:t>
      </w:r>
      <w:r w:rsidRPr="008D51A5">
        <w:rPr>
          <w:rFonts w:asciiTheme="minorHAnsi" w:hAnsiTheme="minorHAnsi" w:cstheme="minorHAnsi"/>
          <w:sz w:val="22"/>
          <w:szCs w:val="22"/>
        </w:rPr>
        <w:t xml:space="preserve">The data collected through the </w:t>
      </w:r>
      <w:r w:rsidR="00DD3A00" w:rsidRPr="008D51A5">
        <w:rPr>
          <w:rFonts w:asciiTheme="minorHAnsi" w:hAnsiTheme="minorHAnsi" w:cstheme="minorHAnsi"/>
          <w:i/>
          <w:sz w:val="22"/>
          <w:szCs w:val="22"/>
        </w:rPr>
        <w:t xml:space="preserve">PLSND </w:t>
      </w:r>
      <w:r w:rsidR="00014BB0" w:rsidRPr="008D51A5">
        <w:rPr>
          <w:rFonts w:asciiTheme="minorHAnsi" w:hAnsiTheme="minorHAnsi" w:cstheme="minorHAnsi"/>
          <w:i/>
          <w:sz w:val="22"/>
          <w:szCs w:val="22"/>
        </w:rPr>
        <w:t>Interview</w:t>
      </w:r>
      <w:r w:rsidR="00014BB0" w:rsidRPr="008D51A5">
        <w:rPr>
          <w:rFonts w:asciiTheme="minorHAnsi" w:hAnsiTheme="minorHAnsi" w:cstheme="minorHAnsi"/>
          <w:sz w:val="22"/>
          <w:szCs w:val="22"/>
        </w:rPr>
        <w:t xml:space="preserve"> </w:t>
      </w:r>
      <w:r w:rsidRPr="008D51A5">
        <w:rPr>
          <w:rFonts w:asciiTheme="minorHAnsi" w:hAnsiTheme="minorHAnsi" w:cstheme="minorHAnsi"/>
          <w:sz w:val="22"/>
          <w:szCs w:val="22"/>
        </w:rPr>
        <w:t>will provide the NCS with self-reported and medically-based information about the characteristics of pregnancies that end in a loss (e.g., miscarriage, stillbirth, or infant death), as well as the reproductive history of women who experience pregnancy loss</w:t>
      </w:r>
      <w:r w:rsidR="00F23716" w:rsidRPr="008D51A5">
        <w:rPr>
          <w:rFonts w:asciiTheme="minorHAnsi" w:hAnsiTheme="minorHAnsi" w:cstheme="minorHAnsi"/>
          <w:sz w:val="22"/>
          <w:szCs w:val="22"/>
        </w:rPr>
        <w:t>,</w:t>
      </w:r>
      <w:r w:rsidRPr="008D51A5">
        <w:rPr>
          <w:rFonts w:asciiTheme="minorHAnsi" w:hAnsiTheme="minorHAnsi" w:cstheme="minorHAnsi"/>
          <w:sz w:val="22"/>
          <w:szCs w:val="22"/>
        </w:rPr>
        <w:t xml:space="preserve"> and/or whose infants experience neonatal death. </w:t>
      </w:r>
    </w:p>
    <w:p w:rsidR="007541D0" w:rsidRPr="008D51A5" w:rsidRDefault="007541D0" w:rsidP="00C77A37">
      <w:pPr>
        <w:spacing w:line="276" w:lineRule="auto"/>
        <w:rPr>
          <w:rFonts w:asciiTheme="minorHAnsi" w:hAnsiTheme="minorHAnsi" w:cstheme="minorHAnsi"/>
          <w:sz w:val="22"/>
          <w:szCs w:val="22"/>
        </w:rPr>
      </w:pPr>
    </w:p>
    <w:p w:rsidR="000A3726" w:rsidRPr="008D51A5" w:rsidRDefault="000A3726" w:rsidP="00C77A37">
      <w:pPr>
        <w:keepNext/>
        <w:tabs>
          <w:tab w:val="left" w:pos="360"/>
        </w:tabs>
        <w:spacing w:line="276" w:lineRule="auto"/>
        <w:ind w:hanging="360"/>
        <w:outlineLvl w:val="0"/>
        <w:rPr>
          <w:rFonts w:asciiTheme="minorHAnsi" w:hAnsiTheme="minorHAnsi" w:cstheme="minorHAnsi"/>
          <w:b/>
          <w:i/>
          <w:sz w:val="22"/>
          <w:szCs w:val="22"/>
        </w:rPr>
      </w:pPr>
      <w:r w:rsidRPr="008D51A5">
        <w:rPr>
          <w:rFonts w:asciiTheme="minorHAnsi" w:hAnsiTheme="minorHAnsi" w:cstheme="minorHAnsi"/>
          <w:sz w:val="22"/>
          <w:szCs w:val="22"/>
        </w:rPr>
        <w:tab/>
      </w:r>
      <w:r w:rsidRPr="008D51A5">
        <w:rPr>
          <w:rFonts w:asciiTheme="minorHAnsi" w:hAnsiTheme="minorHAnsi" w:cstheme="minorHAnsi"/>
          <w:b/>
          <w:i/>
          <w:sz w:val="22"/>
          <w:szCs w:val="22"/>
        </w:rPr>
        <w:t>Development &amp; Design</w:t>
      </w:r>
    </w:p>
    <w:p w:rsidR="007541D0" w:rsidRPr="008D51A5" w:rsidRDefault="000A3726" w:rsidP="00C77A37">
      <w:pPr>
        <w:keepNext/>
        <w:tabs>
          <w:tab w:val="left" w:pos="360"/>
        </w:tabs>
        <w:spacing w:line="276" w:lineRule="auto"/>
        <w:ind w:hanging="360"/>
        <w:outlineLvl w:val="0"/>
        <w:rPr>
          <w:rFonts w:asciiTheme="minorHAnsi" w:hAnsiTheme="minorHAnsi" w:cstheme="minorHAnsi"/>
          <w:b/>
          <w:sz w:val="22"/>
          <w:szCs w:val="22"/>
        </w:rPr>
      </w:pPr>
      <w:r w:rsidRPr="008D51A5">
        <w:rPr>
          <w:rFonts w:asciiTheme="minorHAnsi" w:hAnsiTheme="minorHAnsi" w:cstheme="minorHAnsi"/>
          <w:sz w:val="22"/>
          <w:szCs w:val="22"/>
        </w:rPr>
        <w:tab/>
      </w:r>
      <w:r w:rsidR="007541D0" w:rsidRPr="008D51A5">
        <w:rPr>
          <w:rFonts w:asciiTheme="minorHAnsi" w:hAnsiTheme="minorHAnsi" w:cstheme="minorHAnsi"/>
          <w:sz w:val="22"/>
          <w:szCs w:val="22"/>
        </w:rPr>
        <w:t xml:space="preserve">During the design of the </w:t>
      </w:r>
      <w:r w:rsidR="00DD3A00" w:rsidRPr="008D51A5">
        <w:rPr>
          <w:rFonts w:asciiTheme="minorHAnsi" w:hAnsiTheme="minorHAnsi" w:cstheme="minorHAnsi"/>
          <w:i/>
          <w:sz w:val="22"/>
          <w:szCs w:val="22"/>
        </w:rPr>
        <w:t xml:space="preserve">PLSND </w:t>
      </w:r>
      <w:r w:rsidR="00014BB0" w:rsidRPr="008D51A5">
        <w:rPr>
          <w:rFonts w:asciiTheme="minorHAnsi" w:hAnsiTheme="minorHAnsi" w:cstheme="minorHAnsi"/>
          <w:i/>
          <w:sz w:val="22"/>
          <w:szCs w:val="22"/>
        </w:rPr>
        <w:t>Interview</w:t>
      </w:r>
      <w:r w:rsidR="007541D0" w:rsidRPr="008D51A5">
        <w:rPr>
          <w:rFonts w:asciiTheme="minorHAnsi" w:hAnsiTheme="minorHAnsi" w:cstheme="minorHAnsi"/>
          <w:sz w:val="22"/>
          <w:szCs w:val="22"/>
        </w:rPr>
        <w:t>, a literature review and a review of existing surveys was conducted to identify questions that would address the topics o</w:t>
      </w:r>
      <w:r w:rsidR="00C7774A" w:rsidRPr="008D51A5">
        <w:rPr>
          <w:rFonts w:asciiTheme="minorHAnsi" w:hAnsiTheme="minorHAnsi" w:cstheme="minorHAnsi"/>
          <w:sz w:val="22"/>
          <w:szCs w:val="22"/>
        </w:rPr>
        <w:t xml:space="preserve">f interest for this instrument. </w:t>
      </w:r>
      <w:r w:rsidR="007541D0" w:rsidRPr="008D51A5">
        <w:rPr>
          <w:rFonts w:asciiTheme="minorHAnsi" w:hAnsiTheme="minorHAnsi" w:cstheme="minorHAnsi"/>
          <w:sz w:val="22"/>
          <w:szCs w:val="22"/>
        </w:rPr>
        <w:t xml:space="preserve">This review found relevant questions in the following surveys: (1) National Pregnancy and Health Survey: Drug Use Among Women Delivering Live Births, 1992; (2) National Maternal and Infant Health Survey, 1988, Mother’s Questionnaire; (3) National Maternal and Infant Health Survey, 1988, Hospital Questionnaire; (4) National Survey of Family Growth, Cycle VI, 2002; (5) National Violence Against Women Survey; and (6) National Youth Survey, Wave VII, 1987. Several questions in the </w:t>
      </w:r>
      <w:r w:rsidR="00DD3A00" w:rsidRPr="008D51A5">
        <w:rPr>
          <w:rFonts w:asciiTheme="minorHAnsi" w:hAnsiTheme="minorHAnsi" w:cstheme="minorHAnsi"/>
          <w:i/>
          <w:sz w:val="22"/>
          <w:szCs w:val="22"/>
        </w:rPr>
        <w:t xml:space="preserve">PLSND </w:t>
      </w:r>
      <w:r w:rsidR="00014BB0" w:rsidRPr="008D51A5">
        <w:rPr>
          <w:rFonts w:asciiTheme="minorHAnsi" w:hAnsiTheme="minorHAnsi" w:cstheme="minorHAnsi"/>
          <w:i/>
          <w:sz w:val="22"/>
          <w:szCs w:val="22"/>
        </w:rPr>
        <w:t xml:space="preserve">Interview </w:t>
      </w:r>
      <w:r w:rsidR="007541D0" w:rsidRPr="008D51A5">
        <w:rPr>
          <w:rFonts w:asciiTheme="minorHAnsi" w:hAnsiTheme="minorHAnsi" w:cstheme="minorHAnsi"/>
          <w:sz w:val="22"/>
          <w:szCs w:val="22"/>
        </w:rPr>
        <w:t xml:space="preserve">are based on questions found in these surveys, but the exact wording from the original sources could not be maintained because none were brief, stand-alone instruments on this topic. All required re-wording for use in the </w:t>
      </w:r>
      <w:r w:rsidR="00DD3A00" w:rsidRPr="008D51A5">
        <w:rPr>
          <w:rFonts w:asciiTheme="minorHAnsi" w:hAnsiTheme="minorHAnsi" w:cstheme="minorHAnsi"/>
          <w:i/>
          <w:sz w:val="22"/>
          <w:szCs w:val="22"/>
        </w:rPr>
        <w:t xml:space="preserve">PLSND </w:t>
      </w:r>
      <w:r w:rsidR="00014BB0" w:rsidRPr="008D51A5">
        <w:rPr>
          <w:rFonts w:asciiTheme="minorHAnsi" w:hAnsiTheme="minorHAnsi" w:cstheme="minorHAnsi"/>
          <w:i/>
          <w:sz w:val="22"/>
          <w:szCs w:val="22"/>
        </w:rPr>
        <w:t xml:space="preserve">Interview </w:t>
      </w:r>
      <w:r w:rsidR="007541D0" w:rsidRPr="008D51A5">
        <w:rPr>
          <w:rFonts w:asciiTheme="minorHAnsi" w:hAnsiTheme="minorHAnsi" w:cstheme="minorHAnsi"/>
          <w:sz w:val="22"/>
          <w:szCs w:val="22"/>
        </w:rPr>
        <w:t xml:space="preserve">in order to succinctly capture all data needed for the NCS. None of these data sources provided adequate information on pregnancy losses and/or neonatal deaths to replace the need for this instrument’s inclusion in the </w:t>
      </w:r>
      <w:r w:rsidR="007D08E2" w:rsidRPr="008D51A5">
        <w:rPr>
          <w:rFonts w:asciiTheme="minorHAnsi" w:hAnsiTheme="minorHAnsi" w:cstheme="minorHAnsi"/>
          <w:sz w:val="22"/>
          <w:szCs w:val="22"/>
        </w:rPr>
        <w:t xml:space="preserve">Vanguard </w:t>
      </w:r>
      <w:r w:rsidR="004A25D7" w:rsidRPr="008D51A5">
        <w:rPr>
          <w:rFonts w:asciiTheme="minorHAnsi" w:hAnsiTheme="minorHAnsi" w:cstheme="minorHAnsi"/>
          <w:sz w:val="22"/>
          <w:szCs w:val="22"/>
        </w:rPr>
        <w:t>Study</w:t>
      </w:r>
      <w:r w:rsidR="007541D0" w:rsidRPr="008D51A5">
        <w:rPr>
          <w:rFonts w:asciiTheme="minorHAnsi" w:hAnsiTheme="minorHAnsi" w:cstheme="minorHAnsi"/>
          <w:sz w:val="22"/>
          <w:szCs w:val="22"/>
        </w:rPr>
        <w:t xml:space="preserve"> protocol.</w:t>
      </w:r>
    </w:p>
    <w:p w:rsidR="007541D0" w:rsidRPr="008D51A5" w:rsidRDefault="007541D0" w:rsidP="00C77A37">
      <w:pPr>
        <w:autoSpaceDE w:val="0"/>
        <w:autoSpaceDN w:val="0"/>
        <w:adjustRightInd w:val="0"/>
        <w:spacing w:line="276" w:lineRule="auto"/>
        <w:rPr>
          <w:rFonts w:asciiTheme="minorHAnsi" w:hAnsiTheme="minorHAnsi" w:cstheme="minorHAnsi"/>
          <w:sz w:val="22"/>
          <w:szCs w:val="22"/>
        </w:rPr>
      </w:pPr>
    </w:p>
    <w:p w:rsidR="007541D0" w:rsidRPr="008D51A5" w:rsidRDefault="00457315" w:rsidP="00C77A37">
      <w:pPr>
        <w:autoSpaceDE w:val="0"/>
        <w:autoSpaceDN w:val="0"/>
        <w:adjustRightInd w:val="0"/>
        <w:spacing w:line="276" w:lineRule="auto"/>
        <w:rPr>
          <w:rFonts w:asciiTheme="minorHAnsi" w:hAnsiTheme="minorHAnsi" w:cstheme="minorHAnsi"/>
          <w:sz w:val="22"/>
          <w:szCs w:val="22"/>
        </w:rPr>
      </w:pPr>
      <w:r w:rsidRPr="008D51A5">
        <w:rPr>
          <w:rFonts w:asciiTheme="minorHAnsi" w:hAnsiTheme="minorHAnsi" w:cstheme="minorHAnsi"/>
          <w:sz w:val="22"/>
          <w:szCs w:val="22"/>
        </w:rPr>
        <w:t xml:space="preserve">We anticipate that a subset of women enrolled in the Vanguard Study will lose their pregnancies or experience the death of an infant. The NCS will enroll approximately 750 women in the Provider Based Sampling arm of the Vanguard Study on who we will monitor pregnancy outcomes.  </w:t>
      </w:r>
      <w:r w:rsidR="007541D0" w:rsidRPr="008D51A5">
        <w:rPr>
          <w:rFonts w:asciiTheme="minorHAnsi" w:hAnsiTheme="minorHAnsi" w:cstheme="minorHAnsi"/>
          <w:sz w:val="22"/>
          <w:szCs w:val="22"/>
        </w:rPr>
        <w:t xml:space="preserve"> The estimated rate of miscarriage is about 15-20% of pregnancies</w:t>
      </w:r>
      <w:r w:rsidR="0080457D" w:rsidRPr="008D51A5">
        <w:rPr>
          <w:rStyle w:val="FootnoteReference"/>
          <w:rFonts w:asciiTheme="minorHAnsi" w:hAnsiTheme="minorHAnsi" w:cstheme="minorHAnsi"/>
          <w:sz w:val="22"/>
          <w:szCs w:val="22"/>
        </w:rPr>
        <w:footnoteReference w:id="1"/>
      </w:r>
      <w:r w:rsidR="007541D0" w:rsidRPr="008D51A5">
        <w:rPr>
          <w:rFonts w:asciiTheme="minorHAnsi" w:hAnsiTheme="minorHAnsi" w:cstheme="minorHAnsi"/>
          <w:sz w:val="22"/>
          <w:szCs w:val="22"/>
        </w:rPr>
        <w:t>, the estimated rate of stillbirth is approximately 0.6% (or 6.2 stillbirths per 1000 pregnancies)</w:t>
      </w:r>
      <w:r w:rsidR="00A52F41" w:rsidRPr="008D51A5">
        <w:rPr>
          <w:rStyle w:val="FootnoteReference"/>
          <w:rFonts w:asciiTheme="minorHAnsi" w:hAnsiTheme="minorHAnsi" w:cstheme="minorHAnsi"/>
          <w:sz w:val="22"/>
          <w:szCs w:val="22"/>
        </w:rPr>
        <w:footnoteReference w:id="2"/>
      </w:r>
      <w:r w:rsidR="007541D0" w:rsidRPr="008D51A5">
        <w:rPr>
          <w:rFonts w:asciiTheme="minorHAnsi" w:hAnsiTheme="minorHAnsi" w:cstheme="minorHAnsi"/>
          <w:sz w:val="22"/>
          <w:szCs w:val="22"/>
        </w:rPr>
        <w:t>, and the estimated rate of infant death is 0.7% (or 7 infant deaths per 1000 infant births)</w:t>
      </w:r>
      <w:r w:rsidR="00A52F41" w:rsidRPr="008D51A5">
        <w:rPr>
          <w:rStyle w:val="FootnoteReference"/>
          <w:rFonts w:asciiTheme="minorHAnsi" w:hAnsiTheme="minorHAnsi" w:cstheme="minorHAnsi"/>
          <w:sz w:val="22"/>
          <w:szCs w:val="22"/>
        </w:rPr>
        <w:footnoteReference w:id="3"/>
      </w:r>
      <w:r w:rsidR="007541D0" w:rsidRPr="008D51A5">
        <w:rPr>
          <w:rFonts w:asciiTheme="minorHAnsi" w:hAnsiTheme="minorHAnsi" w:cstheme="minorHAnsi"/>
          <w:sz w:val="22"/>
          <w:szCs w:val="22"/>
        </w:rPr>
        <w:t xml:space="preserve">. We expect that these rates will be similar among </w:t>
      </w:r>
      <w:r w:rsidR="007D08E2" w:rsidRPr="008D51A5">
        <w:rPr>
          <w:rFonts w:asciiTheme="minorHAnsi" w:hAnsiTheme="minorHAnsi" w:cstheme="minorHAnsi"/>
          <w:sz w:val="22"/>
          <w:szCs w:val="22"/>
        </w:rPr>
        <w:t>Vanguard</w:t>
      </w:r>
      <w:r w:rsidR="004A25D7" w:rsidRPr="008D51A5">
        <w:rPr>
          <w:rFonts w:asciiTheme="minorHAnsi" w:hAnsiTheme="minorHAnsi" w:cstheme="minorHAnsi"/>
          <w:sz w:val="22"/>
          <w:szCs w:val="22"/>
        </w:rPr>
        <w:t xml:space="preserve"> Study </w:t>
      </w:r>
      <w:r w:rsidR="007541D0" w:rsidRPr="008D51A5">
        <w:rPr>
          <w:rFonts w:asciiTheme="minorHAnsi" w:hAnsiTheme="minorHAnsi" w:cstheme="minorHAnsi"/>
          <w:sz w:val="22"/>
          <w:szCs w:val="22"/>
        </w:rPr>
        <w:t xml:space="preserve">participants. </w:t>
      </w:r>
    </w:p>
    <w:p w:rsidR="001472A7" w:rsidRPr="008D51A5" w:rsidRDefault="001472A7" w:rsidP="00C77A37">
      <w:pPr>
        <w:autoSpaceDE w:val="0"/>
        <w:autoSpaceDN w:val="0"/>
        <w:adjustRightInd w:val="0"/>
        <w:spacing w:line="276" w:lineRule="auto"/>
        <w:rPr>
          <w:rFonts w:asciiTheme="minorHAnsi" w:hAnsiTheme="minorHAnsi" w:cstheme="minorHAnsi"/>
          <w:sz w:val="22"/>
          <w:szCs w:val="22"/>
        </w:rPr>
      </w:pPr>
    </w:p>
    <w:p w:rsidR="007541D0" w:rsidRPr="008D51A5" w:rsidRDefault="007541D0" w:rsidP="00C77A37">
      <w:pPr>
        <w:autoSpaceDE w:val="0"/>
        <w:autoSpaceDN w:val="0"/>
        <w:adjustRightInd w:val="0"/>
        <w:spacing w:line="276" w:lineRule="auto"/>
        <w:rPr>
          <w:rFonts w:asciiTheme="minorHAnsi" w:hAnsiTheme="minorHAnsi" w:cstheme="minorHAnsi"/>
          <w:sz w:val="22"/>
          <w:szCs w:val="22"/>
        </w:rPr>
      </w:pPr>
      <w:r w:rsidRPr="008D51A5">
        <w:rPr>
          <w:rFonts w:asciiTheme="minorHAnsi" w:hAnsiTheme="minorHAnsi" w:cstheme="minorHAnsi"/>
          <w:sz w:val="22"/>
          <w:szCs w:val="22"/>
        </w:rPr>
        <w:t>Best practices in askin</w:t>
      </w:r>
      <w:r w:rsidR="009C1EF0" w:rsidRPr="008D51A5">
        <w:rPr>
          <w:rFonts w:asciiTheme="minorHAnsi" w:hAnsiTheme="minorHAnsi" w:cstheme="minorHAnsi"/>
          <w:sz w:val="22"/>
          <w:szCs w:val="22"/>
        </w:rPr>
        <w:t xml:space="preserve">g sensitive questions were </w:t>
      </w:r>
      <w:r w:rsidRPr="008D51A5">
        <w:rPr>
          <w:rFonts w:asciiTheme="minorHAnsi" w:hAnsiTheme="minorHAnsi" w:cstheme="minorHAnsi"/>
          <w:sz w:val="22"/>
          <w:szCs w:val="22"/>
        </w:rPr>
        <w:t xml:space="preserve">incorporated into the design of this instrument. We conducted interviews with experts on pregnancy loss and infant death and reviewed literature on asking sensitive questions to develop the instrument. Best practices incorporated into the instrument include: (1) the use of lead-in language to provide some background information about why the questions are being asked, acknowledge the sensitivity of the topic, and remind respondents of relevant confidentiality assurances and options to opt-out; (2) avoidance of certain sensitive terms such as </w:t>
      </w:r>
      <w:r w:rsidRPr="008D51A5">
        <w:rPr>
          <w:rFonts w:asciiTheme="minorHAnsi" w:hAnsiTheme="minorHAnsi" w:cstheme="minorHAnsi"/>
          <w:sz w:val="22"/>
          <w:szCs w:val="22"/>
        </w:rPr>
        <w:lastRenderedPageBreak/>
        <w:t>“fetus”; and, (3) offering multiple mode options for instrument administration, so that women can select the option with which they are most comfortable.</w:t>
      </w:r>
    </w:p>
    <w:p w:rsidR="000A3726" w:rsidRPr="008D51A5" w:rsidRDefault="000A3726" w:rsidP="00C77A37">
      <w:pPr>
        <w:spacing w:line="276" w:lineRule="auto"/>
        <w:rPr>
          <w:rFonts w:asciiTheme="minorHAnsi" w:hAnsiTheme="minorHAnsi" w:cstheme="minorHAnsi"/>
          <w:sz w:val="22"/>
          <w:szCs w:val="22"/>
        </w:rPr>
      </w:pPr>
    </w:p>
    <w:p w:rsidR="008F2954" w:rsidRPr="008D51A5" w:rsidRDefault="008F2954" w:rsidP="00C77A37">
      <w:pPr>
        <w:spacing w:line="276" w:lineRule="auto"/>
        <w:rPr>
          <w:rFonts w:asciiTheme="minorHAnsi" w:hAnsiTheme="minorHAnsi" w:cstheme="minorHAnsi"/>
          <w:sz w:val="22"/>
        </w:rPr>
      </w:pPr>
      <w:r w:rsidRPr="008D51A5">
        <w:rPr>
          <w:rFonts w:asciiTheme="minorHAnsi" w:hAnsiTheme="minorHAnsi" w:cstheme="minorHAnsi"/>
          <w:sz w:val="22"/>
          <w:szCs w:val="22"/>
        </w:rPr>
        <w:t xml:space="preserve">Also incorporated into the development of the instrument is consideration given to the possibility that some questions might not be answered by participants. Other surveys that include questions prone to ‘non-response’ have analyzed these questions in terms of percentage response and developed a range of ‘non-response’ rates. To address this anticipated issue of ‘non-response’ to specific items in this instrument, </w:t>
      </w:r>
      <w:r w:rsidR="00DD3A00" w:rsidRPr="008D51A5">
        <w:rPr>
          <w:rFonts w:asciiTheme="minorHAnsi" w:hAnsiTheme="minorHAnsi" w:cstheme="minorHAnsi"/>
          <w:i/>
          <w:sz w:val="22"/>
          <w:szCs w:val="22"/>
        </w:rPr>
        <w:t xml:space="preserve">PLSND </w:t>
      </w:r>
      <w:r w:rsidR="00593A86" w:rsidRPr="008D51A5">
        <w:rPr>
          <w:rFonts w:asciiTheme="minorHAnsi" w:hAnsiTheme="minorHAnsi" w:cstheme="minorHAnsi"/>
          <w:i/>
          <w:sz w:val="22"/>
        </w:rPr>
        <w:t>Item NR Rates</w:t>
      </w:r>
      <w:r w:rsidRPr="008D51A5">
        <w:rPr>
          <w:rFonts w:asciiTheme="minorHAnsi" w:hAnsiTheme="minorHAnsi" w:cstheme="minorHAnsi"/>
          <w:sz w:val="22"/>
        </w:rPr>
        <w:t xml:space="preserve"> (Attach A</w:t>
      </w:r>
      <w:r w:rsidR="00C821D3" w:rsidRPr="008D51A5">
        <w:rPr>
          <w:rFonts w:asciiTheme="minorHAnsi" w:hAnsiTheme="minorHAnsi" w:cstheme="minorHAnsi"/>
          <w:sz w:val="22"/>
        </w:rPr>
        <w:t>5.</w:t>
      </w:r>
      <w:r w:rsidRPr="008D51A5">
        <w:rPr>
          <w:rFonts w:asciiTheme="minorHAnsi" w:hAnsiTheme="minorHAnsi" w:cstheme="minorHAnsi"/>
          <w:sz w:val="22"/>
        </w:rPr>
        <w:t xml:space="preserve">) provides item non-response rates for the source questions from these data sets (indicated by an asterisk), as well as non-response rates for similar questions asked across the data sets.  As shown in </w:t>
      </w:r>
      <w:r w:rsidR="00714E0B" w:rsidRPr="008D51A5">
        <w:rPr>
          <w:rFonts w:asciiTheme="minorHAnsi" w:hAnsiTheme="minorHAnsi" w:cstheme="minorHAnsi"/>
          <w:sz w:val="22"/>
        </w:rPr>
        <w:t>Attach A</w:t>
      </w:r>
      <w:r w:rsidR="00AE2F91" w:rsidRPr="008D51A5">
        <w:rPr>
          <w:rFonts w:asciiTheme="minorHAnsi" w:hAnsiTheme="minorHAnsi" w:cstheme="minorHAnsi"/>
          <w:sz w:val="22"/>
        </w:rPr>
        <w:t>5</w:t>
      </w:r>
      <w:r w:rsidR="00714E0B" w:rsidRPr="008D51A5">
        <w:rPr>
          <w:rFonts w:asciiTheme="minorHAnsi" w:hAnsiTheme="minorHAnsi" w:cstheme="minorHAnsi"/>
          <w:sz w:val="22"/>
        </w:rPr>
        <w:t>.</w:t>
      </w:r>
      <w:r w:rsidR="00AE2F91" w:rsidRPr="008D51A5">
        <w:rPr>
          <w:rFonts w:asciiTheme="minorHAnsi" w:hAnsiTheme="minorHAnsi" w:cstheme="minorHAnsi"/>
          <w:sz w:val="22"/>
        </w:rPr>
        <w:t xml:space="preserve">, PLSND Item Non-response </w:t>
      </w:r>
      <w:proofErr w:type="gramStart"/>
      <w:r w:rsidR="00AE2F91" w:rsidRPr="008D51A5">
        <w:rPr>
          <w:rFonts w:asciiTheme="minorHAnsi" w:hAnsiTheme="minorHAnsi" w:cstheme="minorHAnsi"/>
          <w:sz w:val="22"/>
        </w:rPr>
        <w:t xml:space="preserve">Rates </w:t>
      </w:r>
      <w:r w:rsidRPr="008D51A5">
        <w:rPr>
          <w:rFonts w:asciiTheme="minorHAnsi" w:hAnsiTheme="minorHAnsi" w:cstheme="minorHAnsi"/>
          <w:sz w:val="22"/>
        </w:rPr>
        <w:t>,</w:t>
      </w:r>
      <w:proofErr w:type="gramEnd"/>
      <w:r w:rsidRPr="008D51A5">
        <w:rPr>
          <w:rFonts w:asciiTheme="minorHAnsi" w:hAnsiTheme="minorHAnsi" w:cstheme="minorHAnsi"/>
          <w:sz w:val="22"/>
        </w:rPr>
        <w:t xml:space="preserve"> rates of missing data due to respondents’ refusal or not knowing the answer (“don’t know”) are extremely low for these questions despite their sensitive nature.  </w:t>
      </w:r>
      <w:r w:rsidR="008A4E9F" w:rsidRPr="008D51A5">
        <w:rPr>
          <w:rFonts w:asciiTheme="minorHAnsi" w:hAnsiTheme="minorHAnsi" w:cstheme="minorHAnsi"/>
          <w:sz w:val="22"/>
        </w:rPr>
        <w:t>Data</w:t>
      </w:r>
      <w:r w:rsidRPr="008D51A5">
        <w:rPr>
          <w:rFonts w:asciiTheme="minorHAnsi" w:hAnsiTheme="minorHAnsi" w:cstheme="minorHAnsi"/>
          <w:sz w:val="22"/>
        </w:rPr>
        <w:t xml:space="preserve"> indicate that there will likely be very low levels of non-response to the survey questions on these topics that are included in the proposed instruments.  </w:t>
      </w:r>
    </w:p>
    <w:p w:rsidR="008F2954" w:rsidRPr="008D51A5" w:rsidRDefault="008F2954" w:rsidP="00AF29E5">
      <w:pPr>
        <w:rPr>
          <w:rFonts w:asciiTheme="minorHAnsi" w:hAnsiTheme="minorHAnsi" w:cstheme="minorHAnsi"/>
          <w:sz w:val="22"/>
          <w:szCs w:val="22"/>
        </w:rPr>
      </w:pPr>
    </w:p>
    <w:p w:rsidR="00BA47D9" w:rsidRPr="008D51A5" w:rsidRDefault="000A3726" w:rsidP="00AF29E5">
      <w:pPr>
        <w:rPr>
          <w:rFonts w:asciiTheme="minorHAnsi" w:hAnsiTheme="minorHAnsi" w:cstheme="minorHAnsi"/>
          <w:b/>
          <w:i/>
          <w:sz w:val="22"/>
          <w:szCs w:val="22"/>
        </w:rPr>
      </w:pPr>
      <w:r w:rsidRPr="008D51A5">
        <w:rPr>
          <w:rFonts w:asciiTheme="minorHAnsi" w:hAnsiTheme="minorHAnsi" w:cstheme="minorHAnsi"/>
          <w:b/>
          <w:i/>
          <w:sz w:val="22"/>
          <w:szCs w:val="22"/>
        </w:rPr>
        <w:t>Delivery of Instrument – Operational Considerations</w:t>
      </w:r>
    </w:p>
    <w:p w:rsidR="001472A7" w:rsidRPr="008D51A5" w:rsidRDefault="001472A7" w:rsidP="00AF29E5">
      <w:pPr>
        <w:rPr>
          <w:rFonts w:asciiTheme="minorHAnsi" w:hAnsiTheme="minorHAnsi" w:cstheme="minorHAnsi"/>
          <w:sz w:val="22"/>
          <w:szCs w:val="22"/>
        </w:rPr>
      </w:pPr>
      <w:r w:rsidRPr="008D51A5">
        <w:rPr>
          <w:rFonts w:asciiTheme="minorHAnsi" w:hAnsiTheme="minorHAnsi" w:cstheme="minorHAnsi"/>
          <w:sz w:val="22"/>
          <w:szCs w:val="22"/>
        </w:rPr>
        <w:t>During a pilot study of 9 participants who tested the instrument and related forms, we found:</w:t>
      </w:r>
    </w:p>
    <w:p w:rsidR="001472A7" w:rsidRPr="008D51A5" w:rsidRDefault="001472A7" w:rsidP="00AF29E5">
      <w:pPr>
        <w:rPr>
          <w:rFonts w:asciiTheme="minorHAnsi" w:hAnsiTheme="minorHAnsi" w:cstheme="minorHAnsi"/>
          <w:sz w:val="22"/>
          <w:szCs w:val="22"/>
        </w:rPr>
      </w:pPr>
    </w:p>
    <w:p w:rsidR="001472A7" w:rsidRPr="008D51A5" w:rsidRDefault="001472A7" w:rsidP="00AF29E5">
      <w:pPr>
        <w:pStyle w:val="ListParagraph"/>
        <w:numPr>
          <w:ilvl w:val="0"/>
          <w:numId w:val="28"/>
        </w:numPr>
        <w:ind w:left="360"/>
        <w:rPr>
          <w:rFonts w:asciiTheme="minorHAnsi" w:hAnsiTheme="minorHAnsi" w:cstheme="minorHAnsi"/>
          <w:sz w:val="22"/>
          <w:szCs w:val="22"/>
        </w:rPr>
      </w:pPr>
      <w:r w:rsidRPr="008D51A5">
        <w:rPr>
          <w:rFonts w:asciiTheme="minorHAnsi" w:hAnsiTheme="minorHAnsi" w:cstheme="minorHAnsi"/>
          <w:sz w:val="22"/>
          <w:szCs w:val="22"/>
        </w:rPr>
        <w:t>Overall, respondents were willing and able to answer all questions. Participants did not experience any significant problems in understanding the questions and did not express any major difficulties in discussing their losses.</w:t>
      </w:r>
    </w:p>
    <w:p w:rsidR="001472A7" w:rsidRPr="008D51A5" w:rsidRDefault="001472A7" w:rsidP="00AF29E5">
      <w:pPr>
        <w:pStyle w:val="ListParagraph"/>
        <w:numPr>
          <w:ilvl w:val="0"/>
          <w:numId w:val="28"/>
        </w:numPr>
        <w:ind w:left="360"/>
        <w:rPr>
          <w:rFonts w:asciiTheme="minorHAnsi" w:hAnsiTheme="minorHAnsi" w:cstheme="minorHAnsi"/>
          <w:sz w:val="22"/>
          <w:szCs w:val="22"/>
        </w:rPr>
      </w:pPr>
      <w:r w:rsidRPr="008D51A5">
        <w:rPr>
          <w:rFonts w:asciiTheme="minorHAnsi" w:hAnsiTheme="minorHAnsi" w:cstheme="minorHAnsi"/>
          <w:sz w:val="22"/>
          <w:szCs w:val="22"/>
        </w:rPr>
        <w:t>Participants noted that they might have felt some discomfort discussing the loss soon after it occurred, and several suggested waiting 6 weeks to 3 months before asking for medical record releases.</w:t>
      </w:r>
    </w:p>
    <w:p w:rsidR="001472A7" w:rsidRPr="008D51A5" w:rsidRDefault="001472A7" w:rsidP="00AF29E5">
      <w:pPr>
        <w:pStyle w:val="ListParagraph"/>
        <w:numPr>
          <w:ilvl w:val="0"/>
          <w:numId w:val="28"/>
        </w:numPr>
        <w:ind w:left="360"/>
        <w:rPr>
          <w:rFonts w:asciiTheme="minorHAnsi" w:hAnsiTheme="minorHAnsi" w:cstheme="minorHAnsi"/>
          <w:sz w:val="22"/>
          <w:szCs w:val="22"/>
        </w:rPr>
      </w:pPr>
      <w:r w:rsidRPr="008D51A5">
        <w:rPr>
          <w:rFonts w:asciiTheme="minorHAnsi" w:hAnsiTheme="minorHAnsi" w:cstheme="minorHAnsi"/>
          <w:sz w:val="22"/>
          <w:szCs w:val="22"/>
        </w:rPr>
        <w:t>About half of the respondents felt that a telephone interview may be easier to complete than an in-person interview.</w:t>
      </w:r>
    </w:p>
    <w:p w:rsidR="001472A7" w:rsidRPr="008D51A5" w:rsidRDefault="001472A7" w:rsidP="00AF29E5">
      <w:pPr>
        <w:pStyle w:val="ListParagraph"/>
        <w:numPr>
          <w:ilvl w:val="0"/>
          <w:numId w:val="28"/>
        </w:numPr>
        <w:ind w:left="360"/>
        <w:rPr>
          <w:rFonts w:asciiTheme="minorHAnsi" w:hAnsiTheme="minorHAnsi" w:cstheme="minorHAnsi"/>
          <w:sz w:val="22"/>
          <w:szCs w:val="22"/>
        </w:rPr>
      </w:pPr>
      <w:r w:rsidRPr="008D51A5">
        <w:rPr>
          <w:rFonts w:asciiTheme="minorHAnsi" w:hAnsiTheme="minorHAnsi" w:cstheme="minorHAnsi"/>
          <w:sz w:val="22"/>
          <w:szCs w:val="22"/>
        </w:rPr>
        <w:t xml:space="preserve">Two participants said they would likely not give permission for access to their medical records related to their pregnancy. </w:t>
      </w:r>
    </w:p>
    <w:p w:rsidR="001472A7" w:rsidRPr="008D51A5" w:rsidRDefault="001472A7" w:rsidP="00AF29E5">
      <w:pPr>
        <w:autoSpaceDE w:val="0"/>
        <w:autoSpaceDN w:val="0"/>
        <w:adjustRightInd w:val="0"/>
        <w:rPr>
          <w:rFonts w:asciiTheme="minorHAnsi" w:hAnsiTheme="minorHAnsi" w:cstheme="minorHAnsi"/>
          <w:sz w:val="22"/>
          <w:szCs w:val="22"/>
        </w:rPr>
      </w:pPr>
    </w:p>
    <w:p w:rsidR="008F27EE" w:rsidRPr="008D51A5" w:rsidRDefault="001472A7" w:rsidP="00AF29E5">
      <w:pPr>
        <w:autoSpaceDE w:val="0"/>
        <w:autoSpaceDN w:val="0"/>
        <w:adjustRightInd w:val="0"/>
        <w:rPr>
          <w:rFonts w:asciiTheme="minorHAnsi" w:hAnsiTheme="minorHAnsi" w:cstheme="minorHAnsi"/>
          <w:sz w:val="22"/>
          <w:szCs w:val="22"/>
        </w:rPr>
      </w:pPr>
      <w:r w:rsidRPr="008D51A5">
        <w:rPr>
          <w:rFonts w:asciiTheme="minorHAnsi" w:hAnsiTheme="minorHAnsi" w:cstheme="minorHAnsi"/>
          <w:sz w:val="22"/>
          <w:szCs w:val="22"/>
        </w:rPr>
        <w:t xml:space="preserve">In light of these findings, we propose two main operational procedures: (1) Initiation of the Instrument and (2) </w:t>
      </w:r>
      <w:r w:rsidR="008F27EE" w:rsidRPr="008D51A5">
        <w:rPr>
          <w:rFonts w:asciiTheme="minorHAnsi" w:hAnsiTheme="minorHAnsi" w:cstheme="minorHAnsi"/>
          <w:sz w:val="22"/>
          <w:szCs w:val="22"/>
        </w:rPr>
        <w:t>Administration of the Instrument.</w:t>
      </w:r>
      <w:r w:rsidRPr="008D51A5">
        <w:rPr>
          <w:rFonts w:asciiTheme="minorHAnsi" w:hAnsiTheme="minorHAnsi" w:cstheme="minorHAnsi"/>
          <w:sz w:val="22"/>
          <w:szCs w:val="22"/>
        </w:rPr>
        <w:t xml:space="preserve"> </w:t>
      </w:r>
    </w:p>
    <w:p w:rsidR="008F27EE" w:rsidRPr="008D51A5" w:rsidRDefault="008F27EE" w:rsidP="00AF29E5">
      <w:pPr>
        <w:autoSpaceDE w:val="0"/>
        <w:autoSpaceDN w:val="0"/>
        <w:adjustRightInd w:val="0"/>
        <w:rPr>
          <w:rFonts w:asciiTheme="minorHAnsi" w:hAnsiTheme="minorHAnsi" w:cstheme="minorHAnsi"/>
          <w:sz w:val="22"/>
          <w:szCs w:val="22"/>
        </w:rPr>
      </w:pPr>
    </w:p>
    <w:p w:rsidR="008F27EE" w:rsidRPr="008D51A5" w:rsidRDefault="00DC0991" w:rsidP="00AF29E5">
      <w:pPr>
        <w:autoSpaceDE w:val="0"/>
        <w:autoSpaceDN w:val="0"/>
        <w:adjustRightInd w:val="0"/>
        <w:rPr>
          <w:rFonts w:asciiTheme="minorHAnsi" w:hAnsiTheme="minorHAnsi" w:cstheme="minorHAnsi"/>
          <w:sz w:val="22"/>
          <w:szCs w:val="22"/>
        </w:rPr>
      </w:pPr>
      <w:r w:rsidRPr="008D51A5">
        <w:rPr>
          <w:rFonts w:asciiTheme="minorHAnsi" w:hAnsiTheme="minorHAnsi" w:cstheme="minorHAnsi"/>
          <w:sz w:val="22"/>
          <w:szCs w:val="22"/>
        </w:rPr>
        <w:tab/>
      </w:r>
      <w:r w:rsidR="008F27EE" w:rsidRPr="008D51A5">
        <w:rPr>
          <w:rFonts w:asciiTheme="minorHAnsi" w:hAnsiTheme="minorHAnsi" w:cstheme="minorHAnsi"/>
          <w:sz w:val="22"/>
          <w:szCs w:val="22"/>
        </w:rPr>
        <w:t>Initiation of the Instrument</w:t>
      </w:r>
    </w:p>
    <w:p w:rsidR="003554E9" w:rsidRPr="008D51A5" w:rsidRDefault="00DC0991" w:rsidP="00C77A37">
      <w:pPr>
        <w:autoSpaceDE w:val="0"/>
        <w:autoSpaceDN w:val="0"/>
        <w:adjustRightInd w:val="0"/>
        <w:spacing w:line="276" w:lineRule="auto"/>
        <w:rPr>
          <w:rFonts w:asciiTheme="minorHAnsi" w:hAnsiTheme="minorHAnsi" w:cstheme="minorHAnsi"/>
          <w:sz w:val="22"/>
          <w:szCs w:val="22"/>
        </w:rPr>
      </w:pPr>
      <w:r w:rsidRPr="008D51A5">
        <w:rPr>
          <w:rFonts w:asciiTheme="minorHAnsi" w:hAnsiTheme="minorHAnsi" w:cstheme="minorHAnsi"/>
          <w:sz w:val="22"/>
          <w:szCs w:val="22"/>
        </w:rPr>
        <w:tab/>
      </w:r>
      <w:r w:rsidR="000A3726" w:rsidRPr="008D51A5">
        <w:rPr>
          <w:rFonts w:asciiTheme="minorHAnsi" w:hAnsiTheme="minorHAnsi" w:cstheme="minorHAnsi"/>
          <w:sz w:val="22"/>
          <w:szCs w:val="22"/>
        </w:rPr>
        <w:t xml:space="preserve">The </w:t>
      </w:r>
      <w:r w:rsidR="00DD3A00" w:rsidRPr="008D51A5">
        <w:rPr>
          <w:rFonts w:asciiTheme="minorHAnsi" w:hAnsiTheme="minorHAnsi" w:cstheme="minorHAnsi"/>
          <w:i/>
          <w:sz w:val="22"/>
          <w:szCs w:val="22"/>
        </w:rPr>
        <w:t xml:space="preserve">PLSND </w:t>
      </w:r>
      <w:r w:rsidR="00436BFE" w:rsidRPr="008D51A5">
        <w:rPr>
          <w:rFonts w:asciiTheme="minorHAnsi" w:hAnsiTheme="minorHAnsi" w:cstheme="minorHAnsi"/>
          <w:i/>
          <w:sz w:val="22"/>
          <w:szCs w:val="22"/>
        </w:rPr>
        <w:t>Interview</w:t>
      </w:r>
      <w:r w:rsidR="00436BFE" w:rsidRPr="008D51A5">
        <w:rPr>
          <w:rFonts w:asciiTheme="minorHAnsi" w:hAnsiTheme="minorHAnsi" w:cstheme="minorHAnsi"/>
          <w:sz w:val="22"/>
          <w:szCs w:val="22"/>
        </w:rPr>
        <w:t xml:space="preserve"> </w:t>
      </w:r>
      <w:r w:rsidR="001472A7" w:rsidRPr="008D51A5">
        <w:rPr>
          <w:rFonts w:asciiTheme="minorHAnsi" w:hAnsiTheme="minorHAnsi" w:cstheme="minorHAnsi"/>
          <w:sz w:val="22"/>
          <w:szCs w:val="22"/>
        </w:rPr>
        <w:t>will be initiated</w:t>
      </w:r>
      <w:r w:rsidR="000A3726" w:rsidRPr="008D51A5">
        <w:rPr>
          <w:rFonts w:asciiTheme="minorHAnsi" w:hAnsiTheme="minorHAnsi" w:cstheme="minorHAnsi"/>
          <w:sz w:val="22"/>
          <w:szCs w:val="22"/>
        </w:rPr>
        <w:t xml:space="preserve"> when NCS field contractors learn that a woman who has already been enrolled in the Study experiences a loss of her child through miscarriage (voluntary or involuntary), stillbirth, or infant death.  Instead of continuing with the study visit, NCS field contractors will ask participants if they are willing to complete the </w:t>
      </w:r>
      <w:r w:rsidR="00DD3A00" w:rsidRPr="008D51A5">
        <w:rPr>
          <w:rFonts w:asciiTheme="minorHAnsi" w:hAnsiTheme="minorHAnsi" w:cstheme="minorHAnsi"/>
          <w:i/>
          <w:sz w:val="22"/>
          <w:szCs w:val="22"/>
        </w:rPr>
        <w:t xml:space="preserve">PLSND </w:t>
      </w:r>
      <w:r w:rsidR="00436BFE" w:rsidRPr="008D51A5">
        <w:rPr>
          <w:rFonts w:asciiTheme="minorHAnsi" w:hAnsiTheme="minorHAnsi" w:cstheme="minorHAnsi"/>
          <w:i/>
          <w:sz w:val="22"/>
          <w:szCs w:val="22"/>
        </w:rPr>
        <w:t>Interview</w:t>
      </w:r>
      <w:r w:rsidR="000A3726" w:rsidRPr="008D51A5">
        <w:rPr>
          <w:rFonts w:asciiTheme="minorHAnsi" w:hAnsiTheme="minorHAnsi" w:cstheme="minorHAnsi"/>
          <w:sz w:val="22"/>
          <w:szCs w:val="22"/>
        </w:rPr>
        <w:t xml:space="preserve">. If they agree, they will be given the opportunity to select their preferred mode of administration for the instrument (in-person, telephone, or mailed self-administered). We anticipate that NCS field contractors will usually be apprised of the pregnancy loss or infant death near the start of a study visit.  </w:t>
      </w:r>
      <w:r w:rsidR="003554E9" w:rsidRPr="008D51A5">
        <w:rPr>
          <w:rFonts w:asciiTheme="minorHAnsi" w:hAnsiTheme="minorHAnsi" w:cstheme="minorHAnsi"/>
          <w:sz w:val="22"/>
          <w:szCs w:val="22"/>
        </w:rPr>
        <w:t>The NCS Vanguard Study has already had enrolled pregnant women who lose pregnancies, and each field contractor has handled follow-up with thes</w:t>
      </w:r>
      <w:r w:rsidR="001472A7" w:rsidRPr="008D51A5">
        <w:rPr>
          <w:rFonts w:asciiTheme="minorHAnsi" w:hAnsiTheme="minorHAnsi" w:cstheme="minorHAnsi"/>
          <w:sz w:val="22"/>
          <w:szCs w:val="22"/>
        </w:rPr>
        <w:t xml:space="preserve">e women differently. Sometimes, however, as was suggested in the pilot study, it may be more </w:t>
      </w:r>
      <w:r w:rsidR="003554E9" w:rsidRPr="008D51A5">
        <w:rPr>
          <w:rFonts w:asciiTheme="minorHAnsi" w:hAnsiTheme="minorHAnsi" w:cstheme="minorHAnsi"/>
          <w:sz w:val="22"/>
          <w:szCs w:val="22"/>
        </w:rPr>
        <w:t xml:space="preserve">effective to wait several weeks or months after the loss before contacting the women in order to increase their willingness to respond. </w:t>
      </w:r>
      <w:r w:rsidR="00716D1A" w:rsidRPr="008D51A5">
        <w:rPr>
          <w:rFonts w:asciiTheme="minorHAnsi" w:hAnsiTheme="minorHAnsi" w:cstheme="minorHAnsi"/>
          <w:sz w:val="22"/>
          <w:szCs w:val="22"/>
        </w:rPr>
        <w:t xml:space="preserve"> To this end, participants who refuse will be given a “cooling off” period before any attempts at refusal conversion are made.  The duration of the period will </w:t>
      </w:r>
      <w:r w:rsidR="00716D1A" w:rsidRPr="008D51A5">
        <w:rPr>
          <w:rFonts w:asciiTheme="minorHAnsi" w:hAnsiTheme="minorHAnsi" w:cstheme="minorHAnsi"/>
          <w:sz w:val="22"/>
          <w:szCs w:val="22"/>
        </w:rPr>
        <w:lastRenderedPageBreak/>
        <w:t xml:space="preserve">be tailored to the specifics of each case as there will be variability in when the NCS is made aware of the death.  </w:t>
      </w:r>
    </w:p>
    <w:p w:rsidR="003554E9" w:rsidRPr="008D51A5" w:rsidRDefault="003554E9" w:rsidP="00AF29E5">
      <w:pPr>
        <w:rPr>
          <w:rFonts w:asciiTheme="minorHAnsi" w:hAnsiTheme="minorHAnsi" w:cstheme="minorHAnsi"/>
          <w:sz w:val="22"/>
          <w:szCs w:val="22"/>
        </w:rPr>
      </w:pPr>
    </w:p>
    <w:p w:rsidR="008F27EE" w:rsidRPr="008D51A5" w:rsidRDefault="008F27EE" w:rsidP="00AF29E5">
      <w:pPr>
        <w:autoSpaceDE w:val="0"/>
        <w:autoSpaceDN w:val="0"/>
        <w:adjustRightInd w:val="0"/>
        <w:ind w:firstLine="720"/>
        <w:rPr>
          <w:rFonts w:asciiTheme="minorHAnsi" w:hAnsiTheme="minorHAnsi" w:cstheme="minorHAnsi"/>
          <w:sz w:val="22"/>
          <w:szCs w:val="22"/>
        </w:rPr>
      </w:pPr>
      <w:r w:rsidRPr="008D51A5">
        <w:rPr>
          <w:rFonts w:asciiTheme="minorHAnsi" w:hAnsiTheme="minorHAnsi" w:cstheme="minorHAnsi"/>
          <w:sz w:val="22"/>
          <w:szCs w:val="22"/>
        </w:rPr>
        <w:t xml:space="preserve">Administration of the Instrument </w:t>
      </w:r>
    </w:p>
    <w:p w:rsidR="000A3726" w:rsidRPr="008D51A5" w:rsidRDefault="00FA57DE" w:rsidP="00C77A37">
      <w:pPr>
        <w:spacing w:line="276" w:lineRule="auto"/>
        <w:ind w:firstLine="720"/>
        <w:rPr>
          <w:rFonts w:asciiTheme="minorHAnsi" w:hAnsiTheme="minorHAnsi" w:cstheme="minorHAnsi"/>
          <w:sz w:val="22"/>
          <w:szCs w:val="22"/>
        </w:rPr>
      </w:pPr>
      <w:r w:rsidRPr="008D51A5">
        <w:rPr>
          <w:rFonts w:asciiTheme="minorHAnsi" w:hAnsiTheme="minorHAnsi" w:cstheme="minorHAnsi"/>
          <w:sz w:val="22"/>
          <w:szCs w:val="22"/>
        </w:rPr>
        <w:t>The</w:t>
      </w:r>
      <w:r w:rsidR="00970FD6" w:rsidRPr="008D51A5">
        <w:rPr>
          <w:rFonts w:asciiTheme="minorHAnsi" w:hAnsiTheme="minorHAnsi" w:cstheme="minorHAnsi"/>
          <w:sz w:val="22"/>
          <w:szCs w:val="22"/>
        </w:rPr>
        <w:t xml:space="preserve"> NCS requests the</w:t>
      </w:r>
      <w:r w:rsidRPr="008D51A5">
        <w:rPr>
          <w:rFonts w:asciiTheme="minorHAnsi" w:hAnsiTheme="minorHAnsi" w:cstheme="minorHAnsi"/>
          <w:sz w:val="22"/>
          <w:szCs w:val="22"/>
        </w:rPr>
        <w:t xml:space="preserve"> </w:t>
      </w:r>
      <w:r w:rsidR="00DD3A00" w:rsidRPr="008D51A5">
        <w:rPr>
          <w:rFonts w:asciiTheme="minorHAnsi" w:hAnsiTheme="minorHAnsi" w:cstheme="minorHAnsi"/>
          <w:i/>
          <w:sz w:val="22"/>
          <w:szCs w:val="22"/>
        </w:rPr>
        <w:t xml:space="preserve">PLSND </w:t>
      </w:r>
      <w:r w:rsidR="00436BFE" w:rsidRPr="008D51A5">
        <w:rPr>
          <w:rFonts w:asciiTheme="minorHAnsi" w:hAnsiTheme="minorHAnsi" w:cstheme="minorHAnsi"/>
          <w:i/>
          <w:sz w:val="22"/>
          <w:szCs w:val="22"/>
        </w:rPr>
        <w:t>Interview</w:t>
      </w:r>
      <w:r w:rsidR="00436BFE" w:rsidRPr="008D51A5">
        <w:rPr>
          <w:rFonts w:asciiTheme="minorHAnsi" w:hAnsiTheme="minorHAnsi" w:cstheme="minorHAnsi"/>
          <w:sz w:val="22"/>
          <w:szCs w:val="22"/>
        </w:rPr>
        <w:t xml:space="preserve"> </w:t>
      </w:r>
      <w:r w:rsidR="00970FD6" w:rsidRPr="008D51A5">
        <w:rPr>
          <w:rFonts w:asciiTheme="minorHAnsi" w:hAnsiTheme="minorHAnsi" w:cstheme="minorHAnsi"/>
          <w:sz w:val="22"/>
          <w:szCs w:val="22"/>
        </w:rPr>
        <w:t xml:space="preserve">to </w:t>
      </w:r>
      <w:r w:rsidRPr="008D51A5">
        <w:rPr>
          <w:rFonts w:asciiTheme="minorHAnsi" w:hAnsiTheme="minorHAnsi" w:cstheme="minorHAnsi"/>
          <w:sz w:val="22"/>
          <w:szCs w:val="22"/>
        </w:rPr>
        <w:t>be offered in three modes</w:t>
      </w:r>
      <w:r w:rsidR="00970FD6" w:rsidRPr="008D51A5">
        <w:rPr>
          <w:rFonts w:asciiTheme="minorHAnsi" w:hAnsiTheme="minorHAnsi" w:cstheme="minorHAnsi"/>
          <w:sz w:val="22"/>
          <w:szCs w:val="22"/>
        </w:rPr>
        <w:t xml:space="preserve"> of administration</w:t>
      </w:r>
      <w:r w:rsidRPr="008D51A5">
        <w:rPr>
          <w:rFonts w:asciiTheme="minorHAnsi" w:hAnsiTheme="minorHAnsi" w:cstheme="minorHAnsi"/>
          <w:sz w:val="22"/>
          <w:szCs w:val="22"/>
        </w:rPr>
        <w:t xml:space="preserve"> (in-person, telephone, and </w:t>
      </w:r>
      <w:r w:rsidR="00406EB3" w:rsidRPr="008D51A5">
        <w:rPr>
          <w:rFonts w:asciiTheme="minorHAnsi" w:hAnsiTheme="minorHAnsi" w:cstheme="minorHAnsi"/>
          <w:sz w:val="22"/>
          <w:szCs w:val="22"/>
        </w:rPr>
        <w:t>mail</w:t>
      </w:r>
      <w:r w:rsidR="00903D5E" w:rsidRPr="008D51A5">
        <w:rPr>
          <w:rFonts w:asciiTheme="minorHAnsi" w:hAnsiTheme="minorHAnsi" w:cstheme="minorHAnsi"/>
          <w:sz w:val="22"/>
          <w:szCs w:val="22"/>
        </w:rPr>
        <w:t>)</w:t>
      </w:r>
      <w:r w:rsidR="00406EB3" w:rsidRPr="008D51A5">
        <w:rPr>
          <w:rFonts w:asciiTheme="minorHAnsi" w:hAnsiTheme="minorHAnsi" w:cstheme="minorHAnsi"/>
          <w:sz w:val="22"/>
          <w:szCs w:val="22"/>
        </w:rPr>
        <w:t xml:space="preserve">. </w:t>
      </w:r>
      <w:r w:rsidR="00970FD6" w:rsidRPr="008D51A5">
        <w:rPr>
          <w:rFonts w:asciiTheme="minorHAnsi" w:hAnsiTheme="minorHAnsi" w:cstheme="minorHAnsi"/>
          <w:sz w:val="22"/>
          <w:szCs w:val="22"/>
        </w:rPr>
        <w:t>Request of multiple modes</w:t>
      </w:r>
      <w:r w:rsidRPr="008D51A5">
        <w:rPr>
          <w:rFonts w:asciiTheme="minorHAnsi" w:hAnsiTheme="minorHAnsi" w:cstheme="minorHAnsi"/>
          <w:sz w:val="22"/>
          <w:szCs w:val="22"/>
        </w:rPr>
        <w:t xml:space="preserve"> allow</w:t>
      </w:r>
      <w:r w:rsidR="00970FD6" w:rsidRPr="008D51A5">
        <w:rPr>
          <w:rFonts w:asciiTheme="minorHAnsi" w:hAnsiTheme="minorHAnsi" w:cstheme="minorHAnsi"/>
          <w:sz w:val="22"/>
          <w:szCs w:val="22"/>
        </w:rPr>
        <w:t>s</w:t>
      </w:r>
      <w:r w:rsidRPr="008D51A5">
        <w:rPr>
          <w:rFonts w:asciiTheme="minorHAnsi" w:hAnsiTheme="minorHAnsi" w:cstheme="minorHAnsi"/>
          <w:sz w:val="22"/>
          <w:szCs w:val="22"/>
        </w:rPr>
        <w:t xml:space="preserve"> women to select the mode in which they are most comfortable answering sensitive questions about their pregnancy loss and/or infant death. Computer-assisted </w:t>
      </w:r>
      <w:r w:rsidR="00903D5E" w:rsidRPr="008D51A5">
        <w:rPr>
          <w:rFonts w:asciiTheme="minorHAnsi" w:hAnsiTheme="minorHAnsi" w:cstheme="minorHAnsi"/>
          <w:sz w:val="22"/>
          <w:szCs w:val="22"/>
        </w:rPr>
        <w:t xml:space="preserve">(web-based) </w:t>
      </w:r>
      <w:r w:rsidRPr="008D51A5">
        <w:rPr>
          <w:rFonts w:asciiTheme="minorHAnsi" w:hAnsiTheme="minorHAnsi" w:cstheme="minorHAnsi"/>
          <w:sz w:val="22"/>
          <w:szCs w:val="22"/>
        </w:rPr>
        <w:t xml:space="preserve">interviewing systems will be employed for in-person and telephone data collection activities. </w:t>
      </w:r>
      <w:r w:rsidR="00716D1A" w:rsidRPr="008D51A5">
        <w:rPr>
          <w:rFonts w:asciiTheme="minorHAnsi" w:hAnsiTheme="minorHAnsi" w:cstheme="minorHAnsi"/>
          <w:sz w:val="22"/>
          <w:szCs w:val="22"/>
        </w:rPr>
        <w:t>Self-administered</w:t>
      </w:r>
      <w:r w:rsidRPr="008D51A5">
        <w:rPr>
          <w:rFonts w:asciiTheme="minorHAnsi" w:hAnsiTheme="minorHAnsi" w:cstheme="minorHAnsi"/>
          <w:sz w:val="22"/>
          <w:szCs w:val="22"/>
        </w:rPr>
        <w:t xml:space="preserve"> forms will be designed in user-friendly formats to reduce the amount of time necessary to complete them. The wording of the questionnaires followed plain language guidelines and were pre-tested </w:t>
      </w:r>
      <w:r w:rsidR="00BC3074" w:rsidRPr="008D51A5">
        <w:rPr>
          <w:rFonts w:asciiTheme="minorHAnsi" w:hAnsiTheme="minorHAnsi" w:cstheme="minorHAnsi"/>
          <w:sz w:val="22"/>
          <w:szCs w:val="22"/>
        </w:rPr>
        <w:t>using cognitive testing to ensure readability and comprehension followed by</w:t>
      </w:r>
      <w:r w:rsidR="00717BD7" w:rsidRPr="008D51A5">
        <w:rPr>
          <w:rFonts w:asciiTheme="minorHAnsi" w:hAnsiTheme="minorHAnsi" w:cstheme="minorHAnsi"/>
          <w:sz w:val="22"/>
          <w:szCs w:val="22"/>
        </w:rPr>
        <w:t xml:space="preserve"> pilot testing</w:t>
      </w:r>
      <w:r w:rsidR="00BC3074" w:rsidRPr="008D51A5">
        <w:rPr>
          <w:rFonts w:asciiTheme="minorHAnsi" w:hAnsiTheme="minorHAnsi" w:cstheme="minorHAnsi"/>
          <w:sz w:val="22"/>
          <w:szCs w:val="22"/>
        </w:rPr>
        <w:t xml:space="preserve"> the instrument under actual in-person survey conditions and providing input for any final revisions that might be needed</w:t>
      </w:r>
      <w:r w:rsidRPr="008D51A5">
        <w:rPr>
          <w:rFonts w:asciiTheme="minorHAnsi" w:hAnsiTheme="minorHAnsi" w:cstheme="minorHAnsi"/>
          <w:sz w:val="22"/>
          <w:szCs w:val="22"/>
        </w:rPr>
        <w:t>.</w:t>
      </w:r>
      <w:r w:rsidR="006028CB" w:rsidRPr="008D51A5">
        <w:rPr>
          <w:rFonts w:asciiTheme="minorHAnsi" w:hAnsiTheme="minorHAnsi" w:cstheme="minorHAnsi"/>
          <w:sz w:val="22"/>
          <w:szCs w:val="22"/>
        </w:rPr>
        <w:t xml:space="preserve">  </w:t>
      </w:r>
    </w:p>
    <w:p w:rsidR="003554E9" w:rsidRPr="008D51A5" w:rsidRDefault="003554E9" w:rsidP="00C77A37">
      <w:pPr>
        <w:spacing w:line="276" w:lineRule="auto"/>
        <w:rPr>
          <w:rFonts w:asciiTheme="minorHAnsi" w:hAnsiTheme="minorHAnsi" w:cstheme="minorHAnsi"/>
          <w:sz w:val="22"/>
        </w:rPr>
      </w:pPr>
    </w:p>
    <w:p w:rsidR="00FA57DE" w:rsidRPr="008D51A5" w:rsidRDefault="008F27EE" w:rsidP="00C77A37">
      <w:pPr>
        <w:spacing w:line="276" w:lineRule="auto"/>
        <w:rPr>
          <w:rFonts w:asciiTheme="minorHAnsi" w:hAnsiTheme="minorHAnsi" w:cstheme="minorHAnsi"/>
          <w:sz w:val="22"/>
          <w:szCs w:val="22"/>
        </w:rPr>
      </w:pPr>
      <w:r w:rsidRPr="008D51A5">
        <w:rPr>
          <w:rFonts w:asciiTheme="minorHAnsi" w:hAnsiTheme="minorHAnsi" w:cstheme="minorHAnsi"/>
          <w:sz w:val="22"/>
        </w:rPr>
        <w:t>Overall, w</w:t>
      </w:r>
      <w:r w:rsidR="003554E9" w:rsidRPr="008D51A5">
        <w:rPr>
          <w:rFonts w:asciiTheme="minorHAnsi" w:hAnsiTheme="minorHAnsi" w:cstheme="minorHAnsi"/>
          <w:sz w:val="22"/>
        </w:rPr>
        <w:t xml:space="preserve">e anticipate the inclusion of the </w:t>
      </w:r>
      <w:r w:rsidR="00DD3A00" w:rsidRPr="008D51A5">
        <w:rPr>
          <w:rFonts w:asciiTheme="minorHAnsi" w:hAnsiTheme="minorHAnsi" w:cstheme="minorHAnsi"/>
          <w:i/>
          <w:sz w:val="22"/>
          <w:szCs w:val="22"/>
        </w:rPr>
        <w:t xml:space="preserve">PLSND </w:t>
      </w:r>
      <w:r w:rsidR="00DD3A00" w:rsidRPr="008D51A5">
        <w:rPr>
          <w:rFonts w:asciiTheme="minorHAnsi" w:hAnsiTheme="minorHAnsi" w:cstheme="minorHAnsi"/>
          <w:sz w:val="22"/>
          <w:szCs w:val="22"/>
        </w:rPr>
        <w:t>i</w:t>
      </w:r>
      <w:r w:rsidR="003554E9" w:rsidRPr="008D51A5">
        <w:rPr>
          <w:rFonts w:asciiTheme="minorHAnsi" w:hAnsiTheme="minorHAnsi" w:cstheme="minorHAnsi"/>
          <w:sz w:val="22"/>
          <w:szCs w:val="22"/>
        </w:rPr>
        <w:t>nstrument</w:t>
      </w:r>
      <w:r w:rsidR="00DD3A00" w:rsidRPr="008D51A5">
        <w:rPr>
          <w:rFonts w:asciiTheme="minorHAnsi" w:hAnsiTheme="minorHAnsi" w:cstheme="minorHAnsi"/>
          <w:sz w:val="22"/>
          <w:szCs w:val="22"/>
        </w:rPr>
        <w:t>s</w:t>
      </w:r>
      <w:r w:rsidR="003554E9" w:rsidRPr="008D51A5">
        <w:rPr>
          <w:rFonts w:asciiTheme="minorHAnsi" w:hAnsiTheme="minorHAnsi" w:cstheme="minorHAnsi"/>
          <w:sz w:val="22"/>
          <w:szCs w:val="22"/>
        </w:rPr>
        <w:t xml:space="preserve"> into the Vanguard (Pilot) Study will provide </w:t>
      </w:r>
      <w:r w:rsidR="00231636" w:rsidRPr="008D51A5">
        <w:rPr>
          <w:rFonts w:asciiTheme="minorHAnsi" w:hAnsiTheme="minorHAnsi" w:cstheme="minorHAnsi"/>
          <w:sz w:val="22"/>
          <w:szCs w:val="22"/>
        </w:rPr>
        <w:t>important information</w:t>
      </w:r>
      <w:r w:rsidR="003554E9" w:rsidRPr="008D51A5">
        <w:rPr>
          <w:rFonts w:asciiTheme="minorHAnsi" w:hAnsiTheme="minorHAnsi" w:cstheme="minorHAnsi"/>
          <w:sz w:val="22"/>
          <w:szCs w:val="22"/>
        </w:rPr>
        <w:t xml:space="preserve"> as to the experience and impact of fetal and/or infant loss. </w:t>
      </w:r>
    </w:p>
    <w:p w:rsidR="00436BFE" w:rsidRPr="008D51A5" w:rsidRDefault="00436BFE" w:rsidP="00C77A37">
      <w:pPr>
        <w:spacing w:line="276" w:lineRule="auto"/>
        <w:rPr>
          <w:rFonts w:asciiTheme="minorHAnsi" w:hAnsiTheme="minorHAnsi" w:cstheme="minorHAnsi"/>
          <w:sz w:val="22"/>
          <w:szCs w:val="22"/>
        </w:rPr>
      </w:pPr>
    </w:p>
    <w:p w:rsidR="00436BFE" w:rsidRPr="008D51A5" w:rsidRDefault="00436BFE" w:rsidP="00AF29E5">
      <w:pPr>
        <w:rPr>
          <w:rFonts w:asciiTheme="minorHAnsi" w:hAnsiTheme="minorHAnsi" w:cstheme="minorHAnsi"/>
          <w:b/>
          <w:sz w:val="22"/>
          <w:szCs w:val="22"/>
        </w:rPr>
      </w:pPr>
      <w:r w:rsidRPr="008D51A5">
        <w:rPr>
          <w:rFonts w:asciiTheme="minorHAnsi" w:hAnsiTheme="minorHAnsi" w:cstheme="minorHAnsi"/>
          <w:b/>
          <w:sz w:val="22"/>
          <w:szCs w:val="22"/>
        </w:rPr>
        <w:t>List of Attachments</w:t>
      </w:r>
    </w:p>
    <w:p w:rsidR="00436BFE" w:rsidRPr="008D51A5" w:rsidRDefault="0045142A" w:rsidP="00AF29E5">
      <w:pPr>
        <w:rPr>
          <w:rFonts w:asciiTheme="minorHAnsi" w:hAnsiTheme="minorHAnsi" w:cstheme="minorHAnsi"/>
          <w:sz w:val="22"/>
          <w:szCs w:val="22"/>
        </w:rPr>
      </w:pPr>
      <w:r w:rsidRPr="008D51A5">
        <w:rPr>
          <w:rFonts w:asciiTheme="minorHAnsi" w:hAnsiTheme="minorHAnsi" w:cstheme="minorHAnsi"/>
          <w:sz w:val="22"/>
          <w:szCs w:val="22"/>
        </w:rPr>
        <w:t>Attach A1. PLSND Interview</w:t>
      </w:r>
    </w:p>
    <w:p w:rsidR="0045142A" w:rsidRPr="008D51A5" w:rsidRDefault="0045142A" w:rsidP="00AF29E5">
      <w:pPr>
        <w:rPr>
          <w:rFonts w:asciiTheme="minorHAnsi" w:hAnsiTheme="minorHAnsi" w:cstheme="minorHAnsi"/>
          <w:sz w:val="22"/>
          <w:szCs w:val="22"/>
        </w:rPr>
      </w:pPr>
      <w:r w:rsidRPr="008D51A5">
        <w:rPr>
          <w:rFonts w:asciiTheme="minorHAnsi" w:hAnsiTheme="minorHAnsi" w:cstheme="minorHAnsi"/>
          <w:sz w:val="22"/>
          <w:szCs w:val="22"/>
        </w:rPr>
        <w:t>Attach A2. PLSND Follow-Up SAQ</w:t>
      </w:r>
    </w:p>
    <w:p w:rsidR="00C821D3" w:rsidRPr="008D51A5" w:rsidRDefault="0045142A" w:rsidP="00AF29E5">
      <w:pPr>
        <w:rPr>
          <w:rFonts w:asciiTheme="minorHAnsi" w:hAnsiTheme="minorHAnsi" w:cstheme="minorHAnsi"/>
          <w:sz w:val="22"/>
          <w:szCs w:val="22"/>
        </w:rPr>
      </w:pPr>
      <w:r w:rsidRPr="008D51A5">
        <w:rPr>
          <w:rFonts w:asciiTheme="minorHAnsi" w:hAnsiTheme="minorHAnsi" w:cstheme="minorHAnsi"/>
          <w:sz w:val="22"/>
          <w:szCs w:val="22"/>
        </w:rPr>
        <w:t xml:space="preserve">Attach A3. </w:t>
      </w:r>
      <w:r w:rsidR="00363D54" w:rsidRPr="008D51A5">
        <w:rPr>
          <w:rFonts w:asciiTheme="minorHAnsi" w:hAnsiTheme="minorHAnsi" w:cstheme="minorHAnsi"/>
          <w:sz w:val="22"/>
          <w:szCs w:val="22"/>
        </w:rPr>
        <w:t xml:space="preserve">PLSND Medical Records Release Form </w:t>
      </w:r>
    </w:p>
    <w:p w:rsidR="0045142A" w:rsidRPr="008D51A5" w:rsidRDefault="0045142A" w:rsidP="00AF29E5">
      <w:pPr>
        <w:rPr>
          <w:rFonts w:asciiTheme="minorHAnsi" w:hAnsiTheme="minorHAnsi" w:cstheme="minorHAnsi"/>
          <w:sz w:val="22"/>
          <w:szCs w:val="22"/>
        </w:rPr>
      </w:pPr>
      <w:r w:rsidRPr="008D51A5">
        <w:rPr>
          <w:rFonts w:asciiTheme="minorHAnsi" w:hAnsiTheme="minorHAnsi" w:cstheme="minorHAnsi"/>
          <w:sz w:val="22"/>
          <w:szCs w:val="22"/>
        </w:rPr>
        <w:t xml:space="preserve">Attach A4. </w:t>
      </w:r>
      <w:r w:rsidR="00363D54" w:rsidRPr="008D51A5">
        <w:rPr>
          <w:rFonts w:asciiTheme="minorHAnsi" w:hAnsiTheme="minorHAnsi" w:cstheme="minorHAnsi"/>
          <w:sz w:val="22"/>
          <w:szCs w:val="22"/>
        </w:rPr>
        <w:t>PLSND Death Certificate Release Form</w:t>
      </w:r>
    </w:p>
    <w:p w:rsidR="00C821D3" w:rsidRPr="008D51A5" w:rsidRDefault="00C821D3" w:rsidP="00AF29E5">
      <w:pPr>
        <w:rPr>
          <w:rFonts w:asciiTheme="minorHAnsi" w:hAnsiTheme="minorHAnsi" w:cstheme="minorHAnsi"/>
          <w:sz w:val="22"/>
          <w:szCs w:val="22"/>
        </w:rPr>
      </w:pPr>
      <w:r w:rsidRPr="008D51A5">
        <w:rPr>
          <w:rFonts w:asciiTheme="minorHAnsi" w:hAnsiTheme="minorHAnsi" w:cstheme="minorHAnsi"/>
          <w:sz w:val="22"/>
          <w:szCs w:val="22"/>
        </w:rPr>
        <w:t>Attach A5. PLSND Item NR Rates</w:t>
      </w:r>
    </w:p>
    <w:p w:rsidR="0045142A" w:rsidRPr="008D51A5" w:rsidRDefault="00C821D3" w:rsidP="00AF29E5">
      <w:pPr>
        <w:rPr>
          <w:rFonts w:asciiTheme="minorHAnsi" w:hAnsiTheme="minorHAnsi" w:cstheme="minorHAnsi"/>
          <w:sz w:val="22"/>
          <w:szCs w:val="22"/>
        </w:rPr>
      </w:pPr>
      <w:r w:rsidRPr="008D51A5">
        <w:rPr>
          <w:rFonts w:asciiTheme="minorHAnsi" w:hAnsiTheme="minorHAnsi" w:cstheme="minorHAnsi"/>
          <w:sz w:val="22"/>
          <w:szCs w:val="22"/>
        </w:rPr>
        <w:t>Attach A6</w:t>
      </w:r>
      <w:r w:rsidR="0045142A" w:rsidRPr="008D51A5">
        <w:rPr>
          <w:rFonts w:asciiTheme="minorHAnsi" w:hAnsiTheme="minorHAnsi" w:cstheme="minorHAnsi"/>
          <w:sz w:val="22"/>
          <w:szCs w:val="22"/>
        </w:rPr>
        <w:t>. PLSND Follow-up SAQ and Release Forms Letter</w:t>
      </w:r>
    </w:p>
    <w:p w:rsidR="0045142A" w:rsidRPr="008D51A5" w:rsidRDefault="00C821D3" w:rsidP="00AF29E5">
      <w:pPr>
        <w:rPr>
          <w:rFonts w:asciiTheme="minorHAnsi" w:hAnsiTheme="minorHAnsi" w:cstheme="minorHAnsi"/>
          <w:sz w:val="22"/>
          <w:szCs w:val="22"/>
        </w:rPr>
      </w:pPr>
      <w:r w:rsidRPr="008D51A5">
        <w:rPr>
          <w:rFonts w:asciiTheme="minorHAnsi" w:hAnsiTheme="minorHAnsi" w:cstheme="minorHAnsi"/>
          <w:sz w:val="22"/>
          <w:szCs w:val="22"/>
        </w:rPr>
        <w:t>Attach A7</w:t>
      </w:r>
      <w:r w:rsidR="0045142A" w:rsidRPr="008D51A5">
        <w:rPr>
          <w:rFonts w:asciiTheme="minorHAnsi" w:hAnsiTheme="minorHAnsi" w:cstheme="minorHAnsi"/>
          <w:sz w:val="22"/>
          <w:szCs w:val="22"/>
        </w:rPr>
        <w:t>. PLSND Telephone Medical Records Release Forms Letter</w:t>
      </w:r>
    </w:p>
    <w:p w:rsidR="0045142A" w:rsidRPr="008D51A5" w:rsidRDefault="00C821D3" w:rsidP="00AF29E5">
      <w:pPr>
        <w:rPr>
          <w:rFonts w:asciiTheme="minorHAnsi" w:hAnsiTheme="minorHAnsi" w:cstheme="minorHAnsi"/>
          <w:sz w:val="22"/>
          <w:szCs w:val="22"/>
        </w:rPr>
      </w:pPr>
      <w:r w:rsidRPr="008D51A5">
        <w:rPr>
          <w:rFonts w:asciiTheme="minorHAnsi" w:hAnsiTheme="minorHAnsi" w:cstheme="minorHAnsi"/>
          <w:sz w:val="22"/>
          <w:szCs w:val="22"/>
        </w:rPr>
        <w:t>Attach A8</w:t>
      </w:r>
      <w:r w:rsidR="0045142A" w:rsidRPr="008D51A5">
        <w:rPr>
          <w:rFonts w:asciiTheme="minorHAnsi" w:hAnsiTheme="minorHAnsi" w:cstheme="minorHAnsi"/>
          <w:sz w:val="22"/>
          <w:szCs w:val="22"/>
        </w:rPr>
        <w:t>. PLSND Telephone Medical Records and Death Certificate Release Forms Letter</w:t>
      </w:r>
    </w:p>
    <w:p w:rsidR="0045142A" w:rsidRPr="008D51A5" w:rsidRDefault="00C821D3" w:rsidP="00AF29E5">
      <w:pPr>
        <w:rPr>
          <w:rFonts w:asciiTheme="minorHAnsi" w:hAnsiTheme="minorHAnsi" w:cstheme="minorHAnsi"/>
          <w:sz w:val="22"/>
          <w:szCs w:val="22"/>
        </w:rPr>
      </w:pPr>
      <w:r w:rsidRPr="008D51A5">
        <w:rPr>
          <w:rFonts w:asciiTheme="minorHAnsi" w:hAnsiTheme="minorHAnsi" w:cstheme="minorHAnsi"/>
          <w:sz w:val="22"/>
          <w:szCs w:val="22"/>
        </w:rPr>
        <w:t>Attach A9</w:t>
      </w:r>
      <w:r w:rsidR="0045142A" w:rsidRPr="008D51A5">
        <w:rPr>
          <w:rFonts w:asciiTheme="minorHAnsi" w:hAnsiTheme="minorHAnsi" w:cstheme="minorHAnsi"/>
          <w:sz w:val="22"/>
          <w:szCs w:val="22"/>
        </w:rPr>
        <w:t>. PLSND Mail Reminder Call Script</w:t>
      </w:r>
    </w:p>
    <w:p w:rsidR="0045142A" w:rsidRPr="008D51A5" w:rsidRDefault="00C821D3" w:rsidP="00AF29E5">
      <w:pPr>
        <w:rPr>
          <w:rFonts w:asciiTheme="minorHAnsi" w:hAnsiTheme="minorHAnsi" w:cstheme="minorHAnsi"/>
          <w:sz w:val="22"/>
          <w:szCs w:val="22"/>
        </w:rPr>
      </w:pPr>
      <w:r w:rsidRPr="008D51A5">
        <w:rPr>
          <w:rFonts w:asciiTheme="minorHAnsi" w:hAnsiTheme="minorHAnsi" w:cstheme="minorHAnsi"/>
          <w:sz w:val="22"/>
          <w:szCs w:val="22"/>
        </w:rPr>
        <w:t>Attach A10</w:t>
      </w:r>
      <w:r w:rsidR="0045142A" w:rsidRPr="008D51A5">
        <w:rPr>
          <w:rFonts w:asciiTheme="minorHAnsi" w:hAnsiTheme="minorHAnsi" w:cstheme="minorHAnsi"/>
          <w:sz w:val="22"/>
          <w:szCs w:val="22"/>
        </w:rPr>
        <w:t>. PLSND Telephone Reminder Script</w:t>
      </w:r>
    </w:p>
    <w:p w:rsidR="0045142A" w:rsidRPr="008D51A5" w:rsidRDefault="00C821D3" w:rsidP="00AF29E5">
      <w:pPr>
        <w:rPr>
          <w:rFonts w:asciiTheme="minorHAnsi" w:hAnsiTheme="minorHAnsi" w:cstheme="minorHAnsi"/>
          <w:sz w:val="22"/>
          <w:szCs w:val="22"/>
        </w:rPr>
      </w:pPr>
      <w:r w:rsidRPr="008D51A5">
        <w:rPr>
          <w:rFonts w:asciiTheme="minorHAnsi" w:hAnsiTheme="minorHAnsi" w:cstheme="minorHAnsi"/>
          <w:sz w:val="22"/>
          <w:szCs w:val="22"/>
        </w:rPr>
        <w:t>Attach A11</w:t>
      </w:r>
      <w:r w:rsidR="0045142A" w:rsidRPr="008D51A5">
        <w:rPr>
          <w:rFonts w:asciiTheme="minorHAnsi" w:hAnsiTheme="minorHAnsi" w:cstheme="minorHAnsi"/>
          <w:sz w:val="22"/>
          <w:szCs w:val="22"/>
        </w:rPr>
        <w:t>. Multi-Mode Introductory Script</w:t>
      </w:r>
    </w:p>
    <w:p w:rsidR="000A0475" w:rsidRPr="008D51A5" w:rsidRDefault="000A0475" w:rsidP="00AF29E5">
      <w:pPr>
        <w:rPr>
          <w:rFonts w:asciiTheme="minorHAnsi" w:hAnsiTheme="minorHAnsi" w:cstheme="minorHAnsi"/>
          <w:b/>
          <w:sz w:val="22"/>
          <w:szCs w:val="22"/>
        </w:rPr>
      </w:pPr>
    </w:p>
    <w:p w:rsidR="003E317C" w:rsidRPr="008D51A5" w:rsidRDefault="004761E7" w:rsidP="00AF29E5">
      <w:pPr>
        <w:rPr>
          <w:rFonts w:asciiTheme="minorHAnsi" w:hAnsiTheme="minorHAnsi" w:cstheme="minorHAnsi"/>
          <w:sz w:val="22"/>
          <w:szCs w:val="22"/>
        </w:rPr>
      </w:pPr>
      <w:r w:rsidRPr="008D51A5">
        <w:rPr>
          <w:rFonts w:asciiTheme="minorHAnsi" w:hAnsiTheme="minorHAnsi" w:cstheme="minorHAnsi"/>
          <w:b/>
          <w:sz w:val="22"/>
          <w:szCs w:val="22"/>
        </w:rPr>
        <w:t>2</w:t>
      </w:r>
      <w:r w:rsidR="003E317C" w:rsidRPr="008D51A5">
        <w:rPr>
          <w:rFonts w:asciiTheme="minorHAnsi" w:hAnsiTheme="minorHAnsi" w:cstheme="minorHAnsi"/>
          <w:b/>
          <w:sz w:val="22"/>
          <w:szCs w:val="22"/>
        </w:rPr>
        <w:t xml:space="preserve">. </w:t>
      </w:r>
      <w:r w:rsidR="000C0C3A" w:rsidRPr="008D51A5">
        <w:rPr>
          <w:rFonts w:asciiTheme="minorHAnsi" w:hAnsiTheme="minorHAnsi" w:cstheme="minorHAnsi"/>
          <w:b/>
          <w:sz w:val="22"/>
          <w:szCs w:val="22"/>
        </w:rPr>
        <w:t>Alternate</w:t>
      </w:r>
      <w:r w:rsidR="003E317C" w:rsidRPr="008D51A5">
        <w:rPr>
          <w:rFonts w:asciiTheme="minorHAnsi" w:hAnsiTheme="minorHAnsi" w:cstheme="minorHAnsi"/>
          <w:b/>
          <w:sz w:val="22"/>
          <w:szCs w:val="22"/>
        </w:rPr>
        <w:t xml:space="preserve"> Mode</w:t>
      </w:r>
      <w:r w:rsidR="000C0C3A" w:rsidRPr="008D51A5">
        <w:rPr>
          <w:rFonts w:asciiTheme="minorHAnsi" w:hAnsiTheme="minorHAnsi" w:cstheme="minorHAnsi"/>
          <w:b/>
          <w:sz w:val="22"/>
          <w:szCs w:val="22"/>
        </w:rPr>
        <w:t xml:space="preserve"> Administration </w:t>
      </w:r>
      <w:r w:rsidR="0027031B" w:rsidRPr="008D51A5">
        <w:rPr>
          <w:rFonts w:asciiTheme="minorHAnsi" w:hAnsiTheme="minorHAnsi" w:cstheme="minorHAnsi"/>
          <w:b/>
          <w:sz w:val="22"/>
          <w:szCs w:val="22"/>
        </w:rPr>
        <w:t xml:space="preserve">and minor changes </w:t>
      </w:r>
      <w:r w:rsidR="000C0C3A" w:rsidRPr="008D51A5">
        <w:rPr>
          <w:rFonts w:asciiTheme="minorHAnsi" w:hAnsiTheme="minorHAnsi" w:cstheme="minorHAnsi"/>
          <w:b/>
          <w:sz w:val="22"/>
          <w:szCs w:val="22"/>
        </w:rPr>
        <w:t>for Pregnancy Visits 1 and 2</w:t>
      </w:r>
      <w:r w:rsidR="003E317C" w:rsidRPr="008D51A5">
        <w:rPr>
          <w:rFonts w:asciiTheme="minorHAnsi" w:hAnsiTheme="minorHAnsi" w:cstheme="minorHAnsi"/>
          <w:sz w:val="22"/>
          <w:szCs w:val="22"/>
        </w:rPr>
        <w:t xml:space="preserve"> </w:t>
      </w:r>
    </w:p>
    <w:p w:rsidR="000C0C3A" w:rsidRPr="008D51A5" w:rsidRDefault="000C0C3A" w:rsidP="00AF29E5">
      <w:pPr>
        <w:rPr>
          <w:rFonts w:asciiTheme="minorHAnsi" w:hAnsiTheme="minorHAnsi" w:cstheme="minorHAnsi"/>
          <w:sz w:val="22"/>
          <w:szCs w:val="22"/>
        </w:rPr>
      </w:pPr>
      <w:r w:rsidRPr="008D51A5">
        <w:rPr>
          <w:rFonts w:asciiTheme="minorHAnsi" w:hAnsiTheme="minorHAnsi" w:cstheme="minorHAnsi"/>
          <w:sz w:val="22"/>
          <w:szCs w:val="22"/>
        </w:rPr>
        <w:t xml:space="preserve">We propose that </w:t>
      </w:r>
      <w:r w:rsidR="00294158" w:rsidRPr="008D51A5">
        <w:rPr>
          <w:rFonts w:asciiTheme="minorHAnsi" w:hAnsiTheme="minorHAnsi" w:cstheme="minorHAnsi"/>
          <w:sz w:val="22"/>
          <w:szCs w:val="22"/>
        </w:rPr>
        <w:t xml:space="preserve">the following </w:t>
      </w:r>
      <w:r w:rsidRPr="008D51A5">
        <w:rPr>
          <w:rFonts w:asciiTheme="minorHAnsi" w:hAnsiTheme="minorHAnsi" w:cstheme="minorHAnsi"/>
          <w:sz w:val="22"/>
          <w:szCs w:val="22"/>
        </w:rPr>
        <w:t>instruments approved for use in the Vanguard Study be administered in alternate modes as listed below (Table 1)</w:t>
      </w:r>
      <w:r w:rsidR="00255A50" w:rsidRPr="008D51A5">
        <w:rPr>
          <w:rFonts w:asciiTheme="minorHAnsi" w:hAnsiTheme="minorHAnsi" w:cstheme="minorHAnsi"/>
          <w:sz w:val="22"/>
          <w:szCs w:val="22"/>
        </w:rPr>
        <w:t xml:space="preserve">. Offering several modes </w:t>
      </w:r>
      <w:r w:rsidRPr="008D51A5">
        <w:rPr>
          <w:rFonts w:asciiTheme="minorHAnsi" w:hAnsiTheme="minorHAnsi" w:cstheme="minorHAnsi"/>
          <w:sz w:val="22"/>
          <w:szCs w:val="22"/>
        </w:rPr>
        <w:t xml:space="preserve">would </w:t>
      </w:r>
      <w:r w:rsidR="00255A50" w:rsidRPr="008D51A5">
        <w:rPr>
          <w:rFonts w:asciiTheme="minorHAnsi" w:hAnsiTheme="minorHAnsi" w:cstheme="minorHAnsi"/>
          <w:sz w:val="22"/>
          <w:szCs w:val="22"/>
        </w:rPr>
        <w:t xml:space="preserve">maximize flexibility for the participants and investigators while ensuring </w:t>
      </w:r>
      <w:r w:rsidRPr="008D51A5">
        <w:rPr>
          <w:rFonts w:asciiTheme="minorHAnsi" w:hAnsiTheme="minorHAnsi" w:cstheme="minorHAnsi"/>
          <w:sz w:val="22"/>
          <w:szCs w:val="22"/>
        </w:rPr>
        <w:t>scientifically robust data collection for the Vanguard Study. There is no anticipated increase in participant burden.</w:t>
      </w:r>
    </w:p>
    <w:p w:rsidR="00885E2A" w:rsidRPr="008D51A5" w:rsidRDefault="00885E2A" w:rsidP="00AF29E5">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05"/>
        <w:gridCol w:w="2933"/>
        <w:gridCol w:w="1869"/>
        <w:gridCol w:w="1869"/>
        <w:gridCol w:w="1869"/>
      </w:tblGrid>
      <w:tr w:rsidR="00885E2A" w:rsidRPr="008D51A5" w:rsidTr="001767D9">
        <w:tc>
          <w:tcPr>
            <w:tcW w:w="9345" w:type="dxa"/>
            <w:gridSpan w:val="5"/>
            <w:shd w:val="clear" w:color="auto" w:fill="5F497A" w:themeFill="accent4" w:themeFillShade="BF"/>
          </w:tcPr>
          <w:p w:rsidR="00885E2A" w:rsidRPr="008D51A5" w:rsidRDefault="00885E2A"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Table 1: Proposed Alternate Modes of Instrument Administration, by Phase 2 Instrument</w:t>
            </w:r>
          </w:p>
        </w:tc>
      </w:tr>
      <w:tr w:rsidR="00885E2A" w:rsidRPr="008D51A5" w:rsidTr="001767D9">
        <w:tc>
          <w:tcPr>
            <w:tcW w:w="805" w:type="dxa"/>
            <w:shd w:val="clear" w:color="auto" w:fill="5F497A" w:themeFill="accent4" w:themeFillShade="BF"/>
          </w:tcPr>
          <w:p w:rsidR="00885E2A" w:rsidRPr="008D51A5" w:rsidRDefault="00885E2A"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Item</w:t>
            </w:r>
          </w:p>
        </w:tc>
        <w:tc>
          <w:tcPr>
            <w:tcW w:w="2933" w:type="dxa"/>
            <w:shd w:val="clear" w:color="auto" w:fill="5F497A" w:themeFill="accent4" w:themeFillShade="BF"/>
          </w:tcPr>
          <w:p w:rsidR="00885E2A" w:rsidRPr="008D51A5" w:rsidRDefault="00885E2A"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Instrument Name</w:t>
            </w:r>
          </w:p>
        </w:tc>
        <w:tc>
          <w:tcPr>
            <w:tcW w:w="3738" w:type="dxa"/>
            <w:gridSpan w:val="2"/>
            <w:shd w:val="clear" w:color="auto" w:fill="5F497A" w:themeFill="accent4" w:themeFillShade="BF"/>
          </w:tcPr>
          <w:p w:rsidR="00885E2A" w:rsidRPr="008D51A5" w:rsidRDefault="00885E2A"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Currently Approved</w:t>
            </w:r>
          </w:p>
        </w:tc>
        <w:tc>
          <w:tcPr>
            <w:tcW w:w="1869" w:type="dxa"/>
            <w:shd w:val="clear" w:color="auto" w:fill="5F497A" w:themeFill="accent4" w:themeFillShade="BF"/>
          </w:tcPr>
          <w:p w:rsidR="00885E2A" w:rsidRPr="008D51A5" w:rsidRDefault="00885E2A"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Proposed Change</w:t>
            </w:r>
          </w:p>
        </w:tc>
      </w:tr>
      <w:tr w:rsidR="00885E2A" w:rsidRPr="008D51A5" w:rsidTr="001767D9">
        <w:tc>
          <w:tcPr>
            <w:tcW w:w="805" w:type="dxa"/>
            <w:shd w:val="clear" w:color="auto" w:fill="5F497A" w:themeFill="accent4" w:themeFillShade="BF"/>
          </w:tcPr>
          <w:p w:rsidR="00885E2A" w:rsidRPr="008D51A5" w:rsidRDefault="00885E2A" w:rsidP="00AF29E5">
            <w:pPr>
              <w:rPr>
                <w:rFonts w:asciiTheme="minorHAnsi" w:hAnsiTheme="minorHAnsi" w:cstheme="minorHAnsi"/>
                <w:b/>
                <w:color w:val="FFFFFF" w:themeColor="background1"/>
                <w:sz w:val="22"/>
                <w:szCs w:val="22"/>
              </w:rPr>
            </w:pPr>
          </w:p>
        </w:tc>
        <w:tc>
          <w:tcPr>
            <w:tcW w:w="2933" w:type="dxa"/>
            <w:shd w:val="clear" w:color="auto" w:fill="5F497A" w:themeFill="accent4" w:themeFillShade="BF"/>
          </w:tcPr>
          <w:p w:rsidR="00885E2A" w:rsidRPr="008D51A5" w:rsidRDefault="00885E2A" w:rsidP="00AF29E5">
            <w:pPr>
              <w:rPr>
                <w:rFonts w:asciiTheme="minorHAnsi" w:hAnsiTheme="minorHAnsi" w:cstheme="minorHAnsi"/>
                <w:b/>
                <w:color w:val="FFFFFF" w:themeColor="background1"/>
                <w:sz w:val="22"/>
                <w:szCs w:val="22"/>
              </w:rPr>
            </w:pPr>
          </w:p>
        </w:tc>
        <w:tc>
          <w:tcPr>
            <w:tcW w:w="1869" w:type="dxa"/>
            <w:shd w:val="clear" w:color="auto" w:fill="5F497A" w:themeFill="accent4" w:themeFillShade="BF"/>
          </w:tcPr>
          <w:p w:rsidR="00885E2A" w:rsidRPr="008D51A5" w:rsidRDefault="00885E2A"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Mode</w:t>
            </w:r>
          </w:p>
        </w:tc>
        <w:tc>
          <w:tcPr>
            <w:tcW w:w="1869" w:type="dxa"/>
            <w:shd w:val="clear" w:color="auto" w:fill="5F497A" w:themeFill="accent4" w:themeFillShade="BF"/>
          </w:tcPr>
          <w:p w:rsidR="00885E2A" w:rsidRPr="008D51A5" w:rsidRDefault="00885E2A"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Clearance</w:t>
            </w:r>
          </w:p>
        </w:tc>
        <w:tc>
          <w:tcPr>
            <w:tcW w:w="1869" w:type="dxa"/>
            <w:shd w:val="clear" w:color="auto" w:fill="5F497A" w:themeFill="accent4" w:themeFillShade="BF"/>
          </w:tcPr>
          <w:p w:rsidR="00885E2A" w:rsidRPr="008D51A5" w:rsidRDefault="00885E2A"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Mode</w:t>
            </w:r>
          </w:p>
        </w:tc>
      </w:tr>
      <w:tr w:rsidR="00885E2A" w:rsidRPr="008D51A5" w:rsidTr="001767D9">
        <w:tc>
          <w:tcPr>
            <w:tcW w:w="805" w:type="dxa"/>
            <w:shd w:val="clear" w:color="auto" w:fill="E5DFEC" w:themeFill="accent4" w:themeFillTint="33"/>
          </w:tcPr>
          <w:p w:rsidR="00885E2A" w:rsidRPr="008D51A5" w:rsidRDefault="00885E2A" w:rsidP="00AF29E5">
            <w:pPr>
              <w:rPr>
                <w:rFonts w:asciiTheme="minorHAnsi" w:hAnsiTheme="minorHAnsi" w:cstheme="minorHAnsi"/>
                <w:sz w:val="22"/>
                <w:szCs w:val="22"/>
              </w:rPr>
            </w:pPr>
            <w:r w:rsidRPr="008D51A5">
              <w:rPr>
                <w:rFonts w:asciiTheme="minorHAnsi" w:hAnsiTheme="minorHAnsi" w:cstheme="minorHAnsi"/>
                <w:sz w:val="22"/>
                <w:szCs w:val="22"/>
              </w:rPr>
              <w:t>1</w:t>
            </w:r>
          </w:p>
        </w:tc>
        <w:tc>
          <w:tcPr>
            <w:tcW w:w="2933" w:type="dxa"/>
            <w:shd w:val="clear" w:color="auto" w:fill="E5DFEC" w:themeFill="accent4" w:themeFillTint="33"/>
          </w:tcPr>
          <w:p w:rsidR="00885E2A" w:rsidRPr="008D51A5" w:rsidRDefault="00885E2A" w:rsidP="00AF29E5">
            <w:pPr>
              <w:rPr>
                <w:rFonts w:asciiTheme="minorHAnsi" w:hAnsiTheme="minorHAnsi" w:cstheme="minorHAnsi"/>
                <w:sz w:val="22"/>
                <w:szCs w:val="22"/>
              </w:rPr>
            </w:pPr>
            <w:r w:rsidRPr="008D51A5">
              <w:rPr>
                <w:rFonts w:asciiTheme="minorHAnsi" w:hAnsiTheme="minorHAnsi" w:cstheme="minorHAnsi"/>
                <w:sz w:val="22"/>
                <w:szCs w:val="22"/>
              </w:rPr>
              <w:t>Pregnancy Visit 1 Interview</w:t>
            </w:r>
          </w:p>
        </w:tc>
        <w:tc>
          <w:tcPr>
            <w:tcW w:w="1869" w:type="dxa"/>
            <w:shd w:val="clear" w:color="auto" w:fill="E5DFEC" w:themeFill="accent4" w:themeFillTint="33"/>
          </w:tcPr>
          <w:p w:rsidR="00885E2A" w:rsidRPr="008D51A5" w:rsidRDefault="00885E2A" w:rsidP="00AF29E5">
            <w:pPr>
              <w:rPr>
                <w:rFonts w:asciiTheme="minorHAnsi" w:hAnsiTheme="minorHAnsi" w:cstheme="minorHAnsi"/>
                <w:sz w:val="22"/>
                <w:szCs w:val="22"/>
              </w:rPr>
            </w:pPr>
            <w:r w:rsidRPr="008D51A5">
              <w:rPr>
                <w:rFonts w:asciiTheme="minorHAnsi" w:hAnsiTheme="minorHAnsi" w:cstheme="minorHAnsi"/>
                <w:sz w:val="22"/>
                <w:szCs w:val="22"/>
              </w:rPr>
              <w:t>In-Person</w:t>
            </w:r>
          </w:p>
        </w:tc>
        <w:tc>
          <w:tcPr>
            <w:tcW w:w="1869" w:type="dxa"/>
            <w:shd w:val="clear" w:color="auto" w:fill="E5DFEC" w:themeFill="accent4" w:themeFillTint="33"/>
          </w:tcPr>
          <w:p w:rsidR="00885E2A" w:rsidRPr="008D51A5" w:rsidRDefault="00885E2A" w:rsidP="00AF29E5">
            <w:pPr>
              <w:rPr>
                <w:rFonts w:asciiTheme="minorHAnsi" w:hAnsiTheme="minorHAnsi" w:cstheme="minorHAnsi"/>
                <w:sz w:val="22"/>
                <w:szCs w:val="22"/>
              </w:rPr>
            </w:pPr>
            <w:r w:rsidRPr="008D51A5">
              <w:rPr>
                <w:rFonts w:asciiTheme="minorHAnsi" w:hAnsiTheme="minorHAnsi" w:cstheme="minorHAnsi"/>
                <w:sz w:val="22"/>
                <w:szCs w:val="22"/>
              </w:rPr>
              <w:t>8/31/2012</w:t>
            </w:r>
          </w:p>
        </w:tc>
        <w:tc>
          <w:tcPr>
            <w:tcW w:w="1869" w:type="dxa"/>
            <w:shd w:val="clear" w:color="auto" w:fill="E5DFEC" w:themeFill="accent4" w:themeFillTint="33"/>
          </w:tcPr>
          <w:p w:rsidR="00885E2A" w:rsidRPr="008D51A5" w:rsidRDefault="00885E2A" w:rsidP="00AF29E5">
            <w:pPr>
              <w:rPr>
                <w:rFonts w:asciiTheme="minorHAnsi" w:hAnsiTheme="minorHAnsi" w:cstheme="minorHAnsi"/>
                <w:sz w:val="22"/>
                <w:szCs w:val="22"/>
              </w:rPr>
            </w:pPr>
            <w:r w:rsidRPr="008D51A5">
              <w:rPr>
                <w:rFonts w:asciiTheme="minorHAnsi" w:hAnsiTheme="minorHAnsi" w:cstheme="minorHAnsi"/>
                <w:sz w:val="22"/>
                <w:szCs w:val="22"/>
              </w:rPr>
              <w:t>Plus Phone/Mail/Web</w:t>
            </w:r>
          </w:p>
        </w:tc>
      </w:tr>
      <w:tr w:rsidR="00885E2A" w:rsidRPr="008D51A5" w:rsidTr="001767D9">
        <w:tc>
          <w:tcPr>
            <w:tcW w:w="805" w:type="dxa"/>
            <w:shd w:val="clear" w:color="auto" w:fill="E5DFEC" w:themeFill="accent4" w:themeFillTint="33"/>
          </w:tcPr>
          <w:p w:rsidR="00885E2A" w:rsidRPr="008D51A5" w:rsidRDefault="00D844F6" w:rsidP="00AF29E5">
            <w:pPr>
              <w:rPr>
                <w:rFonts w:asciiTheme="minorHAnsi" w:hAnsiTheme="minorHAnsi" w:cstheme="minorHAnsi"/>
                <w:sz w:val="22"/>
                <w:szCs w:val="22"/>
              </w:rPr>
            </w:pPr>
            <w:r w:rsidRPr="008D51A5">
              <w:rPr>
                <w:rFonts w:asciiTheme="minorHAnsi" w:hAnsiTheme="minorHAnsi" w:cstheme="minorHAnsi"/>
                <w:sz w:val="22"/>
                <w:szCs w:val="22"/>
              </w:rPr>
              <w:t>2</w:t>
            </w:r>
          </w:p>
        </w:tc>
        <w:tc>
          <w:tcPr>
            <w:tcW w:w="2933" w:type="dxa"/>
            <w:shd w:val="clear" w:color="auto" w:fill="E5DFEC" w:themeFill="accent4" w:themeFillTint="33"/>
          </w:tcPr>
          <w:p w:rsidR="00885E2A" w:rsidRPr="008D51A5" w:rsidRDefault="00885E2A" w:rsidP="00AF29E5">
            <w:pPr>
              <w:rPr>
                <w:rFonts w:asciiTheme="minorHAnsi" w:hAnsiTheme="minorHAnsi" w:cstheme="minorHAnsi"/>
                <w:sz w:val="22"/>
                <w:szCs w:val="22"/>
              </w:rPr>
            </w:pPr>
            <w:r w:rsidRPr="008D51A5">
              <w:rPr>
                <w:rFonts w:asciiTheme="minorHAnsi" w:hAnsiTheme="minorHAnsi" w:cstheme="minorHAnsi"/>
                <w:sz w:val="22"/>
                <w:szCs w:val="22"/>
              </w:rPr>
              <w:t xml:space="preserve">Pregnancy Visit 2 Interview </w:t>
            </w:r>
          </w:p>
        </w:tc>
        <w:tc>
          <w:tcPr>
            <w:tcW w:w="1869" w:type="dxa"/>
            <w:shd w:val="clear" w:color="auto" w:fill="E5DFEC" w:themeFill="accent4" w:themeFillTint="33"/>
          </w:tcPr>
          <w:p w:rsidR="00885E2A" w:rsidRPr="008D51A5" w:rsidRDefault="00885E2A" w:rsidP="00AF29E5">
            <w:pPr>
              <w:rPr>
                <w:rFonts w:asciiTheme="minorHAnsi" w:hAnsiTheme="minorHAnsi" w:cstheme="minorHAnsi"/>
                <w:sz w:val="22"/>
                <w:szCs w:val="22"/>
              </w:rPr>
            </w:pPr>
            <w:r w:rsidRPr="008D51A5">
              <w:rPr>
                <w:rFonts w:asciiTheme="minorHAnsi" w:hAnsiTheme="minorHAnsi" w:cstheme="minorHAnsi"/>
                <w:sz w:val="22"/>
                <w:szCs w:val="22"/>
              </w:rPr>
              <w:t>In-Person</w:t>
            </w:r>
          </w:p>
        </w:tc>
        <w:tc>
          <w:tcPr>
            <w:tcW w:w="1869" w:type="dxa"/>
            <w:shd w:val="clear" w:color="auto" w:fill="E5DFEC" w:themeFill="accent4" w:themeFillTint="33"/>
          </w:tcPr>
          <w:p w:rsidR="00885E2A" w:rsidRPr="008D51A5" w:rsidRDefault="00885E2A" w:rsidP="00AF29E5">
            <w:pPr>
              <w:rPr>
                <w:rFonts w:asciiTheme="minorHAnsi" w:hAnsiTheme="minorHAnsi" w:cstheme="minorHAnsi"/>
                <w:sz w:val="22"/>
                <w:szCs w:val="22"/>
              </w:rPr>
            </w:pPr>
            <w:r w:rsidRPr="008D51A5">
              <w:rPr>
                <w:rFonts w:asciiTheme="minorHAnsi" w:hAnsiTheme="minorHAnsi" w:cstheme="minorHAnsi"/>
                <w:sz w:val="22"/>
                <w:szCs w:val="22"/>
              </w:rPr>
              <w:t>8/31/2012</w:t>
            </w:r>
          </w:p>
        </w:tc>
        <w:tc>
          <w:tcPr>
            <w:tcW w:w="1869" w:type="dxa"/>
            <w:shd w:val="clear" w:color="auto" w:fill="E5DFEC" w:themeFill="accent4" w:themeFillTint="33"/>
          </w:tcPr>
          <w:p w:rsidR="00885E2A" w:rsidRPr="008D51A5" w:rsidRDefault="00885E2A" w:rsidP="00AF29E5">
            <w:pPr>
              <w:rPr>
                <w:rFonts w:asciiTheme="minorHAnsi" w:hAnsiTheme="minorHAnsi" w:cstheme="minorHAnsi"/>
                <w:sz w:val="22"/>
                <w:szCs w:val="22"/>
              </w:rPr>
            </w:pPr>
            <w:r w:rsidRPr="008D51A5">
              <w:rPr>
                <w:rFonts w:asciiTheme="minorHAnsi" w:hAnsiTheme="minorHAnsi" w:cstheme="minorHAnsi"/>
                <w:sz w:val="22"/>
                <w:szCs w:val="22"/>
              </w:rPr>
              <w:t>Plus Phone/Mail/Web</w:t>
            </w:r>
          </w:p>
        </w:tc>
      </w:tr>
    </w:tbl>
    <w:p w:rsidR="00885E2A" w:rsidRPr="008D51A5" w:rsidRDefault="00885E2A" w:rsidP="00AF29E5">
      <w:pPr>
        <w:rPr>
          <w:rFonts w:asciiTheme="minorHAnsi" w:hAnsiTheme="minorHAnsi" w:cstheme="minorHAnsi"/>
          <w:sz w:val="22"/>
          <w:szCs w:val="22"/>
        </w:rPr>
      </w:pPr>
    </w:p>
    <w:p w:rsidR="0027031B" w:rsidRPr="008D51A5" w:rsidRDefault="0027031B" w:rsidP="00AF29E5">
      <w:pPr>
        <w:rPr>
          <w:rFonts w:asciiTheme="minorHAnsi" w:hAnsiTheme="minorHAnsi" w:cstheme="minorHAnsi"/>
          <w:sz w:val="22"/>
          <w:szCs w:val="22"/>
        </w:rPr>
      </w:pPr>
      <w:r w:rsidRPr="008D51A5">
        <w:rPr>
          <w:rFonts w:asciiTheme="minorHAnsi" w:hAnsiTheme="minorHAnsi" w:cstheme="minorHAnsi"/>
          <w:sz w:val="22"/>
          <w:szCs w:val="22"/>
        </w:rPr>
        <w:lastRenderedPageBreak/>
        <w:t>We also propose to add follow-up questions about the father’s knowledge of the pregnancy and</w:t>
      </w:r>
      <w:r w:rsidR="0066134D" w:rsidRPr="008D51A5">
        <w:rPr>
          <w:rFonts w:asciiTheme="minorHAnsi" w:hAnsiTheme="minorHAnsi" w:cstheme="minorHAnsi"/>
          <w:sz w:val="22"/>
          <w:szCs w:val="22"/>
        </w:rPr>
        <w:t xml:space="preserve"> participation</w:t>
      </w:r>
      <w:r w:rsidRPr="008D51A5">
        <w:rPr>
          <w:rFonts w:asciiTheme="minorHAnsi" w:hAnsiTheme="minorHAnsi" w:cstheme="minorHAnsi"/>
          <w:sz w:val="22"/>
          <w:szCs w:val="22"/>
        </w:rPr>
        <w:t xml:space="preserve"> </w:t>
      </w:r>
      <w:r w:rsidR="0066134D" w:rsidRPr="008D51A5">
        <w:rPr>
          <w:rFonts w:asciiTheme="minorHAnsi" w:hAnsiTheme="minorHAnsi" w:cstheme="minorHAnsi"/>
          <w:sz w:val="22"/>
          <w:szCs w:val="22"/>
        </w:rPr>
        <w:t>to Pregnancy Visit 2.  These questions initially arise in the Pregnancy Visit 1 SAQ.</w:t>
      </w:r>
    </w:p>
    <w:p w:rsidR="0027031B" w:rsidRPr="008D51A5" w:rsidRDefault="0027031B" w:rsidP="00AF29E5">
      <w:pPr>
        <w:rPr>
          <w:rFonts w:asciiTheme="minorHAnsi" w:hAnsiTheme="minorHAnsi" w:cstheme="minorHAnsi"/>
          <w:sz w:val="22"/>
          <w:szCs w:val="22"/>
        </w:rPr>
      </w:pPr>
    </w:p>
    <w:p w:rsidR="00885E2A" w:rsidRPr="008D51A5" w:rsidRDefault="00885E2A" w:rsidP="00AF29E5">
      <w:pPr>
        <w:rPr>
          <w:rFonts w:asciiTheme="minorHAnsi" w:hAnsiTheme="minorHAnsi" w:cstheme="minorHAnsi"/>
          <w:b/>
          <w:sz w:val="22"/>
          <w:szCs w:val="22"/>
        </w:rPr>
      </w:pPr>
      <w:r w:rsidRPr="008D51A5">
        <w:rPr>
          <w:rFonts w:asciiTheme="minorHAnsi" w:hAnsiTheme="minorHAnsi" w:cstheme="minorHAnsi"/>
          <w:b/>
          <w:sz w:val="22"/>
          <w:szCs w:val="22"/>
        </w:rPr>
        <w:t>List of Attachments</w:t>
      </w:r>
    </w:p>
    <w:p w:rsidR="00885E2A" w:rsidRPr="008D51A5" w:rsidRDefault="00885E2A" w:rsidP="00AF29E5">
      <w:pPr>
        <w:rPr>
          <w:rFonts w:asciiTheme="minorHAnsi" w:hAnsiTheme="minorHAnsi" w:cstheme="minorHAnsi"/>
          <w:sz w:val="22"/>
          <w:szCs w:val="22"/>
        </w:rPr>
      </w:pPr>
      <w:r w:rsidRPr="008D51A5">
        <w:rPr>
          <w:rFonts w:asciiTheme="minorHAnsi" w:hAnsiTheme="minorHAnsi" w:cstheme="minorHAnsi"/>
          <w:sz w:val="22"/>
          <w:szCs w:val="22"/>
        </w:rPr>
        <w:t>Attach A12. Pregnancy Visit 1 Interview</w:t>
      </w:r>
    </w:p>
    <w:p w:rsidR="00885E2A" w:rsidRPr="008D51A5" w:rsidRDefault="00885E2A" w:rsidP="00AF29E5">
      <w:pPr>
        <w:rPr>
          <w:rFonts w:asciiTheme="minorHAnsi" w:hAnsiTheme="minorHAnsi" w:cstheme="minorHAnsi"/>
          <w:sz w:val="22"/>
          <w:szCs w:val="22"/>
        </w:rPr>
      </w:pPr>
      <w:r w:rsidRPr="008D51A5">
        <w:rPr>
          <w:rFonts w:asciiTheme="minorHAnsi" w:hAnsiTheme="minorHAnsi" w:cstheme="minorHAnsi"/>
          <w:sz w:val="22"/>
          <w:szCs w:val="22"/>
        </w:rPr>
        <w:t>Attach A1</w:t>
      </w:r>
      <w:r w:rsidR="00953322" w:rsidRPr="008D51A5">
        <w:rPr>
          <w:rFonts w:asciiTheme="minorHAnsi" w:hAnsiTheme="minorHAnsi" w:cstheme="minorHAnsi"/>
          <w:sz w:val="22"/>
          <w:szCs w:val="22"/>
        </w:rPr>
        <w:t>3</w:t>
      </w:r>
      <w:r w:rsidRPr="008D51A5">
        <w:rPr>
          <w:rFonts w:asciiTheme="minorHAnsi" w:hAnsiTheme="minorHAnsi" w:cstheme="minorHAnsi"/>
          <w:sz w:val="22"/>
          <w:szCs w:val="22"/>
        </w:rPr>
        <w:t>. Pregnancy Visit 2 Interview</w:t>
      </w:r>
    </w:p>
    <w:p w:rsidR="00885E2A" w:rsidRPr="008D51A5" w:rsidRDefault="00885E2A" w:rsidP="00AF29E5">
      <w:pPr>
        <w:rPr>
          <w:rFonts w:asciiTheme="minorHAnsi" w:hAnsiTheme="minorHAnsi" w:cstheme="minorHAnsi"/>
          <w:sz w:val="22"/>
          <w:szCs w:val="22"/>
        </w:rPr>
      </w:pPr>
    </w:p>
    <w:p w:rsidR="00885E2A" w:rsidRPr="008D51A5" w:rsidRDefault="00885E2A" w:rsidP="00AF29E5">
      <w:pPr>
        <w:rPr>
          <w:rFonts w:asciiTheme="minorHAnsi" w:hAnsiTheme="minorHAnsi" w:cstheme="minorHAnsi"/>
          <w:b/>
          <w:sz w:val="22"/>
          <w:szCs w:val="22"/>
        </w:rPr>
      </w:pPr>
      <w:r w:rsidRPr="008D51A5">
        <w:rPr>
          <w:rFonts w:asciiTheme="minorHAnsi" w:hAnsiTheme="minorHAnsi" w:cstheme="minorHAnsi"/>
          <w:b/>
          <w:sz w:val="22"/>
          <w:szCs w:val="22"/>
        </w:rPr>
        <w:t xml:space="preserve">3. Participant Satisfaction Questions added to the Validation Interview and the Tracing Interview </w:t>
      </w:r>
    </w:p>
    <w:p w:rsidR="00885E2A" w:rsidRPr="008D51A5" w:rsidRDefault="00885E2A" w:rsidP="00C77A37">
      <w:pPr>
        <w:spacing w:line="276" w:lineRule="auto"/>
        <w:rPr>
          <w:rFonts w:asciiTheme="minorHAnsi" w:hAnsiTheme="minorHAnsi" w:cstheme="minorHAnsi"/>
          <w:sz w:val="22"/>
          <w:szCs w:val="22"/>
        </w:rPr>
      </w:pPr>
      <w:r w:rsidRPr="008D51A5">
        <w:rPr>
          <w:rFonts w:asciiTheme="minorHAnsi" w:hAnsiTheme="minorHAnsi" w:cstheme="minorHAnsi"/>
          <w:sz w:val="22"/>
          <w:szCs w:val="22"/>
        </w:rPr>
        <w:t xml:space="preserve">We propose to include three questions that aim to determine participant satisfaction with </w:t>
      </w:r>
      <w:r w:rsidR="00AA600E" w:rsidRPr="008D51A5">
        <w:rPr>
          <w:rFonts w:asciiTheme="minorHAnsi" w:hAnsiTheme="minorHAnsi" w:cstheme="minorHAnsi"/>
          <w:sz w:val="22"/>
          <w:szCs w:val="22"/>
        </w:rPr>
        <w:t xml:space="preserve">the </w:t>
      </w:r>
      <w:r w:rsidR="004A25D7" w:rsidRPr="008D51A5">
        <w:rPr>
          <w:rFonts w:asciiTheme="minorHAnsi" w:hAnsiTheme="minorHAnsi" w:cstheme="minorHAnsi"/>
          <w:sz w:val="22"/>
          <w:szCs w:val="22"/>
        </w:rPr>
        <w:t>Vanguard Study</w:t>
      </w:r>
      <w:r w:rsidRPr="008D51A5">
        <w:rPr>
          <w:rFonts w:asciiTheme="minorHAnsi" w:hAnsiTheme="minorHAnsi" w:cstheme="minorHAnsi"/>
          <w:sz w:val="22"/>
          <w:szCs w:val="22"/>
        </w:rPr>
        <w:t xml:space="preserve"> into the </w:t>
      </w:r>
      <w:r w:rsidR="00953322" w:rsidRPr="008D51A5">
        <w:rPr>
          <w:rFonts w:asciiTheme="minorHAnsi" w:hAnsiTheme="minorHAnsi" w:cstheme="minorHAnsi"/>
          <w:sz w:val="22"/>
          <w:szCs w:val="22"/>
        </w:rPr>
        <w:t>Pregnancy Visit 1 SAQ (Attach A14</w:t>
      </w:r>
      <w:r w:rsidR="00714E0B" w:rsidRPr="008D51A5">
        <w:rPr>
          <w:rFonts w:asciiTheme="minorHAnsi" w:hAnsiTheme="minorHAnsi" w:cstheme="minorHAnsi"/>
          <w:sz w:val="22"/>
          <w:szCs w:val="22"/>
        </w:rPr>
        <w:t>.</w:t>
      </w:r>
      <w:r w:rsidR="00953322" w:rsidRPr="008D51A5">
        <w:rPr>
          <w:rFonts w:asciiTheme="minorHAnsi" w:hAnsiTheme="minorHAnsi" w:cstheme="minorHAnsi"/>
          <w:sz w:val="22"/>
          <w:szCs w:val="22"/>
        </w:rPr>
        <w:t xml:space="preserve">) and to the </w:t>
      </w:r>
      <w:r w:rsidR="00C77A37" w:rsidRPr="008D51A5">
        <w:rPr>
          <w:rFonts w:asciiTheme="minorHAnsi" w:hAnsiTheme="minorHAnsi" w:cstheme="minorHAnsi"/>
          <w:sz w:val="22"/>
          <w:szCs w:val="22"/>
        </w:rPr>
        <w:t xml:space="preserve">Validation Interview </w:t>
      </w:r>
      <w:r w:rsidRPr="008D51A5">
        <w:rPr>
          <w:rFonts w:asciiTheme="minorHAnsi" w:hAnsiTheme="minorHAnsi" w:cstheme="minorHAnsi"/>
          <w:sz w:val="22"/>
          <w:szCs w:val="22"/>
        </w:rPr>
        <w:t xml:space="preserve">(Attach A15).  To date, these questions have not been administered in the Vanguard Study.  The questions consist of two close-ended questions concerning the participant’s overall experience with the Study and the participant’s view on interview length, and one open-ended question asking participants to tell us about their own or their child’s experience with the </w:t>
      </w:r>
      <w:r w:rsidR="004A25D7" w:rsidRPr="008D51A5">
        <w:rPr>
          <w:rFonts w:asciiTheme="minorHAnsi" w:hAnsiTheme="minorHAnsi" w:cstheme="minorHAnsi"/>
          <w:sz w:val="22"/>
          <w:szCs w:val="22"/>
        </w:rPr>
        <w:t xml:space="preserve">Vanguard </w:t>
      </w:r>
      <w:r w:rsidRPr="008D51A5">
        <w:rPr>
          <w:rFonts w:asciiTheme="minorHAnsi" w:hAnsiTheme="minorHAnsi" w:cstheme="minorHAnsi"/>
          <w:sz w:val="22"/>
          <w:szCs w:val="22"/>
        </w:rPr>
        <w:t xml:space="preserve">  </w:t>
      </w:r>
    </w:p>
    <w:p w:rsidR="00885E2A" w:rsidRPr="008D51A5" w:rsidRDefault="00885E2A" w:rsidP="00C77A37">
      <w:pPr>
        <w:spacing w:line="276" w:lineRule="auto"/>
        <w:rPr>
          <w:rFonts w:asciiTheme="minorHAnsi" w:hAnsiTheme="minorHAnsi" w:cstheme="minorHAnsi"/>
          <w:sz w:val="22"/>
          <w:szCs w:val="22"/>
        </w:rPr>
      </w:pPr>
    </w:p>
    <w:p w:rsidR="00885E2A" w:rsidRPr="008D51A5" w:rsidRDefault="00885E2A" w:rsidP="00C77A37">
      <w:pPr>
        <w:spacing w:line="276" w:lineRule="auto"/>
        <w:rPr>
          <w:rFonts w:asciiTheme="minorHAnsi" w:hAnsiTheme="minorHAnsi" w:cstheme="minorHAnsi"/>
          <w:sz w:val="22"/>
          <w:szCs w:val="22"/>
        </w:rPr>
      </w:pPr>
      <w:r w:rsidRPr="008D51A5">
        <w:rPr>
          <w:rFonts w:asciiTheme="minorHAnsi" w:hAnsiTheme="minorHAnsi" w:cstheme="minorHAnsi"/>
          <w:sz w:val="22"/>
          <w:szCs w:val="22"/>
        </w:rPr>
        <w:t>We also propose an additional question in the Tracing Interview (Attach A16.) that collects any additional comments the participant may have about their experience with the NCS.</w:t>
      </w:r>
    </w:p>
    <w:p w:rsidR="00885E2A" w:rsidRPr="008D51A5" w:rsidRDefault="00885E2A" w:rsidP="00C77A37">
      <w:pPr>
        <w:spacing w:line="276" w:lineRule="auto"/>
        <w:rPr>
          <w:rFonts w:asciiTheme="minorHAnsi" w:hAnsiTheme="minorHAnsi" w:cstheme="minorHAnsi"/>
          <w:sz w:val="22"/>
          <w:szCs w:val="22"/>
        </w:rPr>
      </w:pPr>
    </w:p>
    <w:p w:rsidR="00531310" w:rsidRPr="008D51A5" w:rsidRDefault="00885E2A" w:rsidP="00C77A37">
      <w:pPr>
        <w:spacing w:line="276" w:lineRule="auto"/>
        <w:rPr>
          <w:rFonts w:asciiTheme="minorHAnsi" w:hAnsiTheme="minorHAnsi" w:cstheme="minorHAnsi"/>
          <w:sz w:val="22"/>
          <w:szCs w:val="22"/>
        </w:rPr>
      </w:pPr>
      <w:r w:rsidRPr="008D51A5">
        <w:rPr>
          <w:rFonts w:asciiTheme="minorHAnsi" w:hAnsiTheme="minorHAnsi" w:cstheme="minorHAnsi"/>
          <w:sz w:val="22"/>
          <w:szCs w:val="22"/>
        </w:rPr>
        <w:t>Data collection on participant satisfaction enables the NCS to learn from past experience, adjust study visit assessments (as necessary), and, in turn, improve participant retention rates.  Upon re-timing the instrument, there was no change to the</w:t>
      </w:r>
      <w:r w:rsidR="00531310" w:rsidRPr="008D51A5">
        <w:rPr>
          <w:rFonts w:asciiTheme="minorHAnsi" w:hAnsiTheme="minorHAnsi" w:cstheme="minorHAnsi"/>
          <w:sz w:val="22"/>
          <w:szCs w:val="22"/>
        </w:rPr>
        <w:t xml:space="preserve"> estimated participant burden. </w:t>
      </w:r>
    </w:p>
    <w:p w:rsidR="00531310" w:rsidRPr="008D51A5" w:rsidRDefault="00531310" w:rsidP="00AF29E5">
      <w:pPr>
        <w:rPr>
          <w:rFonts w:asciiTheme="minorHAnsi" w:hAnsiTheme="minorHAnsi" w:cstheme="minorHAnsi"/>
          <w:sz w:val="22"/>
          <w:szCs w:val="22"/>
        </w:rPr>
      </w:pPr>
    </w:p>
    <w:p w:rsidR="00885E2A" w:rsidRPr="008D51A5" w:rsidRDefault="00885E2A" w:rsidP="00AF29E5">
      <w:pPr>
        <w:rPr>
          <w:rFonts w:asciiTheme="minorHAnsi" w:hAnsiTheme="minorHAnsi" w:cstheme="minorHAnsi"/>
          <w:b/>
          <w:sz w:val="22"/>
          <w:szCs w:val="22"/>
        </w:rPr>
      </w:pPr>
      <w:r w:rsidRPr="008D51A5">
        <w:rPr>
          <w:rFonts w:asciiTheme="minorHAnsi" w:hAnsiTheme="minorHAnsi" w:cstheme="minorHAnsi"/>
          <w:b/>
          <w:sz w:val="22"/>
          <w:szCs w:val="22"/>
        </w:rPr>
        <w:t>List of Attachments</w:t>
      </w:r>
    </w:p>
    <w:p w:rsidR="00953322" w:rsidRPr="008D51A5" w:rsidRDefault="00953322" w:rsidP="00AF29E5">
      <w:pPr>
        <w:rPr>
          <w:rFonts w:asciiTheme="minorHAnsi" w:hAnsiTheme="minorHAnsi" w:cstheme="minorHAnsi"/>
          <w:sz w:val="22"/>
          <w:szCs w:val="22"/>
        </w:rPr>
      </w:pPr>
      <w:r w:rsidRPr="008D51A5">
        <w:rPr>
          <w:rFonts w:asciiTheme="minorHAnsi" w:hAnsiTheme="minorHAnsi" w:cstheme="minorHAnsi"/>
          <w:sz w:val="22"/>
          <w:szCs w:val="22"/>
        </w:rPr>
        <w:t>Attach A14. Pregnancy Visit 1 SAQ</w:t>
      </w:r>
    </w:p>
    <w:p w:rsidR="00885E2A" w:rsidRPr="008D51A5" w:rsidRDefault="00885E2A" w:rsidP="00AF29E5">
      <w:pPr>
        <w:rPr>
          <w:rFonts w:asciiTheme="minorHAnsi" w:hAnsiTheme="minorHAnsi" w:cstheme="minorHAnsi"/>
          <w:sz w:val="22"/>
          <w:szCs w:val="22"/>
        </w:rPr>
      </w:pPr>
      <w:r w:rsidRPr="008D51A5">
        <w:rPr>
          <w:rFonts w:asciiTheme="minorHAnsi" w:hAnsiTheme="minorHAnsi" w:cstheme="minorHAnsi"/>
          <w:sz w:val="22"/>
          <w:szCs w:val="22"/>
        </w:rPr>
        <w:t>Attach A15. Validation Instrument</w:t>
      </w:r>
    </w:p>
    <w:p w:rsidR="004761E7" w:rsidRPr="008D51A5" w:rsidRDefault="00885E2A" w:rsidP="00114441">
      <w:pPr>
        <w:rPr>
          <w:rFonts w:asciiTheme="minorHAnsi" w:hAnsiTheme="minorHAnsi" w:cstheme="minorHAnsi"/>
          <w:sz w:val="22"/>
          <w:szCs w:val="22"/>
        </w:rPr>
      </w:pPr>
      <w:r w:rsidRPr="008D51A5">
        <w:rPr>
          <w:rFonts w:asciiTheme="minorHAnsi" w:hAnsiTheme="minorHAnsi" w:cstheme="minorHAnsi"/>
          <w:sz w:val="22"/>
          <w:szCs w:val="22"/>
        </w:rPr>
        <w:t>Attach A16. Tracing Interview</w:t>
      </w:r>
    </w:p>
    <w:p w:rsidR="00885E2A" w:rsidRPr="008D51A5" w:rsidRDefault="00885E2A" w:rsidP="00AF29E5">
      <w:pPr>
        <w:pStyle w:val="ListParagraph"/>
        <w:ind w:left="0"/>
        <w:contextualSpacing w:val="0"/>
        <w:rPr>
          <w:rFonts w:asciiTheme="minorHAnsi" w:hAnsiTheme="minorHAnsi" w:cstheme="minorHAnsi"/>
          <w:sz w:val="22"/>
          <w:szCs w:val="22"/>
        </w:rPr>
      </w:pPr>
    </w:p>
    <w:p w:rsidR="00E1586B" w:rsidRPr="008D51A5" w:rsidRDefault="00E1586B" w:rsidP="00AF29E5">
      <w:pPr>
        <w:rPr>
          <w:rFonts w:asciiTheme="minorHAnsi" w:hAnsiTheme="minorHAnsi" w:cstheme="minorHAnsi"/>
          <w:b/>
          <w:sz w:val="22"/>
          <w:szCs w:val="22"/>
        </w:rPr>
      </w:pPr>
      <w:r w:rsidRPr="008D51A5">
        <w:rPr>
          <w:rFonts w:asciiTheme="minorHAnsi" w:hAnsiTheme="minorHAnsi" w:cstheme="minorHAnsi"/>
          <w:b/>
          <w:sz w:val="22"/>
          <w:szCs w:val="22"/>
        </w:rPr>
        <w:t>4. Provider Frame Qu</w:t>
      </w:r>
      <w:r w:rsidR="00255A50" w:rsidRPr="008D51A5">
        <w:rPr>
          <w:rFonts w:asciiTheme="minorHAnsi" w:hAnsiTheme="minorHAnsi" w:cstheme="minorHAnsi"/>
          <w:b/>
          <w:sz w:val="22"/>
          <w:szCs w:val="22"/>
        </w:rPr>
        <w:t>estionnaire Refusal Conversion</w:t>
      </w:r>
    </w:p>
    <w:p w:rsidR="00E1586B" w:rsidRPr="008D51A5" w:rsidRDefault="00E1586B" w:rsidP="00C77A37">
      <w:pPr>
        <w:spacing w:line="276" w:lineRule="auto"/>
        <w:rPr>
          <w:rFonts w:asciiTheme="minorHAnsi" w:hAnsiTheme="minorHAnsi" w:cstheme="minorHAnsi"/>
          <w:sz w:val="22"/>
          <w:szCs w:val="22"/>
        </w:rPr>
      </w:pPr>
      <w:r w:rsidRPr="008D51A5">
        <w:rPr>
          <w:rFonts w:asciiTheme="minorHAnsi" w:hAnsiTheme="minorHAnsi" w:cstheme="minorHAnsi"/>
          <w:sz w:val="22"/>
          <w:szCs w:val="22"/>
        </w:rPr>
        <w:t>The</w:t>
      </w:r>
      <w:r w:rsidR="004A25D7" w:rsidRPr="008D51A5">
        <w:t xml:space="preserve"> </w:t>
      </w:r>
      <w:r w:rsidR="004A25D7" w:rsidRPr="008D51A5">
        <w:rPr>
          <w:rFonts w:asciiTheme="minorHAnsi" w:hAnsiTheme="minorHAnsi" w:cstheme="minorHAnsi"/>
          <w:sz w:val="22"/>
          <w:szCs w:val="22"/>
        </w:rPr>
        <w:t>Provider</w:t>
      </w:r>
      <w:r w:rsidR="00E81873" w:rsidRPr="008D51A5">
        <w:rPr>
          <w:rFonts w:asciiTheme="minorHAnsi" w:hAnsiTheme="minorHAnsi" w:cstheme="minorHAnsi"/>
          <w:sz w:val="22"/>
          <w:szCs w:val="22"/>
        </w:rPr>
        <w:t>-</w:t>
      </w:r>
      <w:r w:rsidR="004A25D7" w:rsidRPr="008D51A5">
        <w:rPr>
          <w:rFonts w:asciiTheme="minorHAnsi" w:hAnsiTheme="minorHAnsi" w:cstheme="minorHAnsi"/>
          <w:sz w:val="22"/>
          <w:szCs w:val="22"/>
        </w:rPr>
        <w:t>Based</w:t>
      </w:r>
      <w:r w:rsidR="00E81873" w:rsidRPr="008D51A5">
        <w:rPr>
          <w:rFonts w:asciiTheme="minorHAnsi" w:hAnsiTheme="minorHAnsi" w:cstheme="minorHAnsi"/>
          <w:sz w:val="22"/>
          <w:szCs w:val="22"/>
        </w:rPr>
        <w:t xml:space="preserve"> Sampling</w:t>
      </w:r>
      <w:r w:rsidR="004A25D7" w:rsidRPr="008D51A5">
        <w:rPr>
          <w:rFonts w:asciiTheme="minorHAnsi" w:hAnsiTheme="minorHAnsi" w:cstheme="minorHAnsi"/>
          <w:sz w:val="22"/>
          <w:szCs w:val="22"/>
        </w:rPr>
        <w:t xml:space="preserve"> “arm” of the Vanguard Study (approved for three Study Centers) </w:t>
      </w:r>
      <w:r w:rsidR="00255A50" w:rsidRPr="008D51A5">
        <w:rPr>
          <w:rFonts w:asciiTheme="minorHAnsi" w:hAnsiTheme="minorHAnsi" w:cstheme="minorHAnsi"/>
          <w:sz w:val="22"/>
          <w:szCs w:val="22"/>
        </w:rPr>
        <w:t>requires information</w:t>
      </w:r>
      <w:r w:rsidRPr="008D51A5">
        <w:rPr>
          <w:rFonts w:asciiTheme="minorHAnsi" w:hAnsiTheme="minorHAnsi" w:cstheme="minorHAnsi"/>
          <w:sz w:val="22"/>
          <w:szCs w:val="22"/>
        </w:rPr>
        <w:t xml:space="preserve"> from providers of prenatal care about practice parameters</w:t>
      </w:r>
      <w:r w:rsidR="004A25D7" w:rsidRPr="008D51A5">
        <w:rPr>
          <w:rFonts w:asciiTheme="minorHAnsi" w:hAnsiTheme="minorHAnsi" w:cstheme="minorHAnsi"/>
          <w:sz w:val="22"/>
          <w:szCs w:val="22"/>
        </w:rPr>
        <w:t xml:space="preserve"> </w:t>
      </w:r>
      <w:r w:rsidR="00E81873" w:rsidRPr="008D51A5">
        <w:rPr>
          <w:rFonts w:asciiTheme="minorHAnsi" w:hAnsiTheme="minorHAnsi" w:cstheme="minorHAnsi"/>
          <w:sz w:val="22"/>
          <w:szCs w:val="22"/>
        </w:rPr>
        <w:t>I</w:t>
      </w:r>
      <w:r w:rsidR="004A25D7" w:rsidRPr="008D51A5">
        <w:rPr>
          <w:rFonts w:asciiTheme="minorHAnsi" w:hAnsiTheme="minorHAnsi" w:cstheme="minorHAnsi"/>
          <w:sz w:val="22"/>
          <w:szCs w:val="22"/>
        </w:rPr>
        <w:t xml:space="preserve">n order to </w:t>
      </w:r>
      <w:r w:rsidR="00255A50" w:rsidRPr="008D51A5">
        <w:rPr>
          <w:rFonts w:asciiTheme="minorHAnsi" w:hAnsiTheme="minorHAnsi" w:cstheme="minorHAnsi"/>
          <w:sz w:val="22"/>
          <w:szCs w:val="22"/>
        </w:rPr>
        <w:t>compute a</w:t>
      </w:r>
      <w:r w:rsidRPr="008D51A5">
        <w:rPr>
          <w:rFonts w:asciiTheme="minorHAnsi" w:hAnsiTheme="minorHAnsi" w:cstheme="minorHAnsi"/>
          <w:sz w:val="22"/>
          <w:szCs w:val="22"/>
        </w:rPr>
        <w:t xml:space="preserve"> measure of size</w:t>
      </w:r>
      <w:r w:rsidR="00FA6EDD" w:rsidRPr="008D51A5">
        <w:rPr>
          <w:rFonts w:asciiTheme="minorHAnsi" w:hAnsiTheme="minorHAnsi" w:cstheme="minorHAnsi"/>
          <w:sz w:val="22"/>
          <w:szCs w:val="22"/>
        </w:rPr>
        <w:t xml:space="preserve"> (</w:t>
      </w:r>
      <w:r w:rsidRPr="008D51A5">
        <w:rPr>
          <w:rFonts w:asciiTheme="minorHAnsi" w:hAnsiTheme="minorHAnsi" w:cstheme="minorHAnsi"/>
          <w:sz w:val="22"/>
          <w:szCs w:val="22"/>
        </w:rPr>
        <w:t>e.g.</w:t>
      </w:r>
      <w:r w:rsidR="00FA6EDD" w:rsidRPr="008D51A5">
        <w:rPr>
          <w:rFonts w:asciiTheme="minorHAnsi" w:hAnsiTheme="minorHAnsi" w:cstheme="minorHAnsi"/>
          <w:sz w:val="22"/>
          <w:szCs w:val="22"/>
        </w:rPr>
        <w:t>,</w:t>
      </w:r>
      <w:r w:rsidRPr="008D51A5">
        <w:rPr>
          <w:rFonts w:asciiTheme="minorHAnsi" w:hAnsiTheme="minorHAnsi" w:cstheme="minorHAnsi"/>
          <w:sz w:val="22"/>
          <w:szCs w:val="22"/>
        </w:rPr>
        <w:t xml:space="preserve"> the number of first prenatal care visits or the number of births</w:t>
      </w:r>
      <w:r w:rsidR="00FA6EDD" w:rsidRPr="008D51A5">
        <w:rPr>
          <w:rFonts w:asciiTheme="minorHAnsi" w:hAnsiTheme="minorHAnsi" w:cstheme="minorHAnsi"/>
          <w:sz w:val="22"/>
          <w:szCs w:val="22"/>
        </w:rPr>
        <w:t xml:space="preserve">) </w:t>
      </w:r>
      <w:r w:rsidRPr="008D51A5">
        <w:rPr>
          <w:rFonts w:asciiTheme="minorHAnsi" w:hAnsiTheme="minorHAnsi" w:cstheme="minorHAnsi"/>
          <w:sz w:val="22"/>
          <w:szCs w:val="22"/>
        </w:rPr>
        <w:t>for each provider location</w:t>
      </w:r>
      <w:r w:rsidR="004A25D7" w:rsidRPr="008D51A5">
        <w:rPr>
          <w:rFonts w:asciiTheme="minorHAnsi" w:hAnsiTheme="minorHAnsi" w:cstheme="minorHAnsi"/>
          <w:sz w:val="22"/>
          <w:szCs w:val="22"/>
        </w:rPr>
        <w:t>, t</w:t>
      </w:r>
      <w:r w:rsidRPr="008D51A5">
        <w:rPr>
          <w:rFonts w:asciiTheme="minorHAnsi" w:hAnsiTheme="minorHAnsi" w:cstheme="minorHAnsi"/>
          <w:sz w:val="22"/>
          <w:szCs w:val="22"/>
        </w:rPr>
        <w:t xml:space="preserve">wo of the three Study Centers are collecting this information from prenatal care providers through administration of the Provider Based Sampling Frame </w:t>
      </w:r>
      <w:r w:rsidR="00FA6EDD" w:rsidRPr="008D51A5">
        <w:rPr>
          <w:rFonts w:asciiTheme="minorHAnsi" w:hAnsiTheme="minorHAnsi" w:cstheme="minorHAnsi"/>
          <w:sz w:val="22"/>
          <w:szCs w:val="22"/>
        </w:rPr>
        <w:t>Q</w:t>
      </w:r>
      <w:r w:rsidRPr="008D51A5">
        <w:rPr>
          <w:rFonts w:asciiTheme="minorHAnsi" w:hAnsiTheme="minorHAnsi" w:cstheme="minorHAnsi"/>
          <w:sz w:val="22"/>
          <w:szCs w:val="22"/>
        </w:rPr>
        <w:t xml:space="preserve">uestionnaire (PFQ). </w:t>
      </w:r>
      <w:r w:rsidR="00255A50" w:rsidRPr="008D51A5">
        <w:rPr>
          <w:rFonts w:asciiTheme="minorHAnsi" w:hAnsiTheme="minorHAnsi" w:cstheme="minorHAnsi"/>
          <w:sz w:val="22"/>
          <w:szCs w:val="22"/>
        </w:rPr>
        <w:t>The third site is obtaining the needed information via birth records</w:t>
      </w:r>
      <w:r w:rsidR="004C11EE" w:rsidRPr="008D51A5">
        <w:rPr>
          <w:rFonts w:asciiTheme="minorHAnsi" w:hAnsiTheme="minorHAnsi" w:cstheme="minorHAnsi"/>
          <w:sz w:val="22"/>
          <w:szCs w:val="22"/>
        </w:rPr>
        <w:t>,</w:t>
      </w:r>
      <w:r w:rsidR="00255A50" w:rsidRPr="008D51A5">
        <w:rPr>
          <w:rFonts w:asciiTheme="minorHAnsi" w:hAnsiTheme="minorHAnsi" w:cstheme="minorHAnsi"/>
          <w:sz w:val="22"/>
          <w:szCs w:val="22"/>
        </w:rPr>
        <w:t xml:space="preserve"> </w:t>
      </w:r>
      <w:r w:rsidR="00457315" w:rsidRPr="008D51A5">
        <w:rPr>
          <w:rFonts w:asciiTheme="minorHAnsi" w:hAnsiTheme="minorHAnsi" w:cstheme="minorHAnsi"/>
          <w:sz w:val="22"/>
          <w:szCs w:val="22"/>
        </w:rPr>
        <w:t xml:space="preserve">and </w:t>
      </w:r>
      <w:r w:rsidR="00255A50" w:rsidRPr="008D51A5">
        <w:rPr>
          <w:rFonts w:asciiTheme="minorHAnsi" w:hAnsiTheme="minorHAnsi" w:cstheme="minorHAnsi"/>
          <w:sz w:val="22"/>
          <w:szCs w:val="22"/>
        </w:rPr>
        <w:t>thus</w:t>
      </w:r>
      <w:r w:rsidR="004C11EE" w:rsidRPr="008D51A5">
        <w:rPr>
          <w:rFonts w:asciiTheme="minorHAnsi" w:hAnsiTheme="minorHAnsi" w:cstheme="minorHAnsi"/>
          <w:sz w:val="22"/>
          <w:szCs w:val="22"/>
        </w:rPr>
        <w:t>, is</w:t>
      </w:r>
      <w:r w:rsidR="00255A50" w:rsidRPr="008D51A5">
        <w:rPr>
          <w:rFonts w:asciiTheme="minorHAnsi" w:hAnsiTheme="minorHAnsi" w:cstheme="minorHAnsi"/>
          <w:sz w:val="22"/>
          <w:szCs w:val="22"/>
        </w:rPr>
        <w:t xml:space="preserve"> not interacting with providers</w:t>
      </w:r>
      <w:r w:rsidR="00457315" w:rsidRPr="008D51A5">
        <w:rPr>
          <w:rFonts w:asciiTheme="minorHAnsi" w:hAnsiTheme="minorHAnsi" w:cstheme="minorHAnsi"/>
          <w:sz w:val="22"/>
          <w:szCs w:val="22"/>
        </w:rPr>
        <w:t xml:space="preserve"> for this component of the study</w:t>
      </w:r>
      <w:r w:rsidR="00255A50" w:rsidRPr="008D51A5">
        <w:rPr>
          <w:rFonts w:asciiTheme="minorHAnsi" w:hAnsiTheme="minorHAnsi" w:cstheme="minorHAnsi"/>
          <w:sz w:val="22"/>
          <w:szCs w:val="22"/>
        </w:rPr>
        <w:t xml:space="preserve">.  </w:t>
      </w:r>
      <w:r w:rsidRPr="008D51A5">
        <w:rPr>
          <w:rFonts w:asciiTheme="minorHAnsi" w:hAnsiTheme="minorHAnsi" w:cstheme="minorHAnsi"/>
          <w:sz w:val="22"/>
          <w:szCs w:val="22"/>
        </w:rPr>
        <w:t xml:space="preserve">Since obtaining clearance from OMB/OIRA on 8/31/2012, the two PBS Feasibility Study locations have had moderate success in completing the PFQ; however, of the 109 PFQs distributed to </w:t>
      </w:r>
      <w:r w:rsidR="00FA6EDD" w:rsidRPr="008D51A5">
        <w:rPr>
          <w:rFonts w:asciiTheme="minorHAnsi" w:hAnsiTheme="minorHAnsi" w:cstheme="minorHAnsi"/>
          <w:sz w:val="22"/>
          <w:szCs w:val="22"/>
        </w:rPr>
        <w:t xml:space="preserve">prenatal care </w:t>
      </w:r>
      <w:r w:rsidRPr="008D51A5">
        <w:rPr>
          <w:rFonts w:asciiTheme="minorHAnsi" w:hAnsiTheme="minorHAnsi" w:cstheme="minorHAnsi"/>
          <w:sz w:val="22"/>
          <w:szCs w:val="22"/>
        </w:rPr>
        <w:t xml:space="preserve">provider offices, 42 </w:t>
      </w:r>
      <w:r w:rsidR="00FA6EDD" w:rsidRPr="008D51A5">
        <w:rPr>
          <w:rFonts w:asciiTheme="minorHAnsi" w:hAnsiTheme="minorHAnsi" w:cstheme="minorHAnsi"/>
          <w:sz w:val="22"/>
          <w:szCs w:val="22"/>
        </w:rPr>
        <w:t>remain</w:t>
      </w:r>
      <w:r w:rsidRPr="008D51A5">
        <w:rPr>
          <w:rFonts w:asciiTheme="minorHAnsi" w:hAnsiTheme="minorHAnsi" w:cstheme="minorHAnsi"/>
          <w:sz w:val="22"/>
          <w:szCs w:val="22"/>
        </w:rPr>
        <w:t xml:space="preserve"> pending.  </w:t>
      </w:r>
      <w:r w:rsidR="00E361A0" w:rsidRPr="008D51A5">
        <w:rPr>
          <w:rFonts w:asciiTheme="minorHAnsi" w:hAnsiTheme="minorHAnsi" w:cstheme="minorHAnsi"/>
          <w:sz w:val="22"/>
          <w:szCs w:val="22"/>
        </w:rPr>
        <w:t>Table 2</w:t>
      </w:r>
      <w:r w:rsidRPr="008D51A5">
        <w:rPr>
          <w:rFonts w:asciiTheme="minorHAnsi" w:hAnsiTheme="minorHAnsi" w:cstheme="minorHAnsi"/>
          <w:sz w:val="22"/>
          <w:szCs w:val="22"/>
        </w:rPr>
        <w:t xml:space="preserve"> below indicates the number of provider locations that completed the </w:t>
      </w:r>
      <w:r w:rsidR="00FA6EDD" w:rsidRPr="008D51A5">
        <w:rPr>
          <w:rFonts w:asciiTheme="minorHAnsi" w:hAnsiTheme="minorHAnsi" w:cstheme="minorHAnsi"/>
          <w:sz w:val="22"/>
          <w:szCs w:val="22"/>
        </w:rPr>
        <w:t xml:space="preserve">PFQ </w:t>
      </w:r>
      <w:r w:rsidRPr="008D51A5">
        <w:rPr>
          <w:rFonts w:asciiTheme="minorHAnsi" w:hAnsiTheme="minorHAnsi" w:cstheme="minorHAnsi"/>
          <w:sz w:val="22"/>
          <w:szCs w:val="22"/>
        </w:rPr>
        <w:t xml:space="preserve">and the number of provider locations </w:t>
      </w:r>
      <w:r w:rsidR="00FA6EDD" w:rsidRPr="008D51A5">
        <w:rPr>
          <w:rFonts w:asciiTheme="minorHAnsi" w:hAnsiTheme="minorHAnsi" w:cstheme="minorHAnsi"/>
          <w:sz w:val="22"/>
          <w:szCs w:val="22"/>
        </w:rPr>
        <w:t xml:space="preserve">that remain </w:t>
      </w:r>
      <w:r w:rsidRPr="008D51A5">
        <w:rPr>
          <w:rFonts w:asciiTheme="minorHAnsi" w:hAnsiTheme="minorHAnsi" w:cstheme="minorHAnsi"/>
          <w:sz w:val="22"/>
          <w:szCs w:val="22"/>
        </w:rPr>
        <w:t xml:space="preserve">pending. Some </w:t>
      </w:r>
      <w:r w:rsidR="00FA6EDD" w:rsidRPr="008D51A5">
        <w:rPr>
          <w:rFonts w:asciiTheme="minorHAnsi" w:hAnsiTheme="minorHAnsi" w:cstheme="minorHAnsi"/>
          <w:sz w:val="22"/>
          <w:szCs w:val="22"/>
        </w:rPr>
        <w:t>PFQs</w:t>
      </w:r>
      <w:r w:rsidRPr="008D51A5">
        <w:rPr>
          <w:rFonts w:asciiTheme="minorHAnsi" w:hAnsiTheme="minorHAnsi" w:cstheme="minorHAnsi"/>
          <w:sz w:val="22"/>
          <w:szCs w:val="22"/>
        </w:rPr>
        <w:t xml:space="preserve"> pending completion may represent soft refusals</w:t>
      </w:r>
      <w:r w:rsidR="00FA6EDD" w:rsidRPr="008D51A5">
        <w:rPr>
          <w:rFonts w:asciiTheme="minorHAnsi" w:hAnsiTheme="minorHAnsi" w:cstheme="minorHAnsi"/>
          <w:sz w:val="22"/>
          <w:szCs w:val="22"/>
        </w:rPr>
        <w:t xml:space="preserve"> from the providers</w:t>
      </w:r>
      <w:r w:rsidRPr="008D51A5">
        <w:rPr>
          <w:rFonts w:asciiTheme="minorHAnsi" w:hAnsiTheme="minorHAnsi" w:cstheme="minorHAnsi"/>
          <w:sz w:val="22"/>
          <w:szCs w:val="22"/>
        </w:rPr>
        <w:t>. In order to obtain a sufficient sample of provider locations with completed PFQs, the NCS proposes to send a letter (</w:t>
      </w:r>
      <w:r w:rsidR="00962C3D" w:rsidRPr="008D51A5">
        <w:rPr>
          <w:rFonts w:asciiTheme="minorHAnsi" w:hAnsiTheme="minorHAnsi" w:cstheme="minorHAnsi"/>
          <w:sz w:val="22"/>
          <w:szCs w:val="22"/>
        </w:rPr>
        <w:t>Attach A17.</w:t>
      </w:r>
      <w:r w:rsidRPr="008D51A5">
        <w:rPr>
          <w:rFonts w:asciiTheme="minorHAnsi" w:hAnsiTheme="minorHAnsi" w:cstheme="minorHAnsi"/>
          <w:sz w:val="22"/>
          <w:szCs w:val="22"/>
        </w:rPr>
        <w:t xml:space="preserve">) asking provider locations that refuse to complete the </w:t>
      </w:r>
      <w:r w:rsidR="00FA6EDD" w:rsidRPr="008D51A5">
        <w:rPr>
          <w:rFonts w:asciiTheme="minorHAnsi" w:hAnsiTheme="minorHAnsi" w:cstheme="minorHAnsi"/>
          <w:sz w:val="22"/>
          <w:szCs w:val="22"/>
        </w:rPr>
        <w:t xml:space="preserve">PFQ </w:t>
      </w:r>
      <w:r w:rsidRPr="008D51A5">
        <w:rPr>
          <w:rFonts w:asciiTheme="minorHAnsi" w:hAnsiTheme="minorHAnsi" w:cstheme="minorHAnsi"/>
          <w:sz w:val="22"/>
          <w:szCs w:val="22"/>
        </w:rPr>
        <w:t>to reconsider their decision about providing information to help this research effort.</w:t>
      </w:r>
      <w:r w:rsidR="006A40BC" w:rsidRPr="008D51A5">
        <w:t xml:space="preserve"> </w:t>
      </w:r>
    </w:p>
    <w:p w:rsidR="00E361A0" w:rsidRPr="008D51A5" w:rsidRDefault="00E361A0" w:rsidP="00AF29E5">
      <w:pPr>
        <w:rPr>
          <w:rFonts w:asciiTheme="minorHAnsi" w:hAnsiTheme="minorHAnsi" w:cstheme="minorHAnsi"/>
          <w:sz w:val="22"/>
          <w:szCs w:val="22"/>
        </w:rPr>
      </w:pPr>
    </w:p>
    <w:p w:rsidR="00B55674" w:rsidRPr="008D51A5" w:rsidRDefault="00B55674" w:rsidP="00AF29E5">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2268"/>
        <w:gridCol w:w="1260"/>
        <w:gridCol w:w="1080"/>
        <w:gridCol w:w="990"/>
        <w:gridCol w:w="990"/>
        <w:gridCol w:w="1080"/>
        <w:gridCol w:w="990"/>
      </w:tblGrid>
      <w:tr w:rsidR="00134F5A" w:rsidRPr="008D51A5" w:rsidTr="00885E2A">
        <w:tc>
          <w:tcPr>
            <w:tcW w:w="8658" w:type="dxa"/>
            <w:gridSpan w:val="7"/>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tcPr>
          <w:p w:rsidR="00134F5A" w:rsidRPr="008D51A5" w:rsidRDefault="00134F5A"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lastRenderedPageBreak/>
              <w:t>T</w:t>
            </w:r>
            <w:r w:rsidR="00255A50" w:rsidRPr="008D51A5">
              <w:rPr>
                <w:rFonts w:asciiTheme="minorHAnsi" w:hAnsiTheme="minorHAnsi" w:cstheme="minorHAnsi"/>
                <w:b/>
                <w:color w:val="FFFFFF" w:themeColor="background1"/>
                <w:sz w:val="22"/>
                <w:szCs w:val="22"/>
              </w:rPr>
              <w:t>able 2: PFQ Refusal Conversion</w:t>
            </w:r>
            <w:r w:rsidRPr="008D51A5">
              <w:rPr>
                <w:rFonts w:asciiTheme="minorHAnsi" w:hAnsiTheme="minorHAnsi" w:cstheme="minorHAnsi"/>
                <w:b/>
                <w:color w:val="FFFFFF" w:themeColor="background1"/>
                <w:sz w:val="22"/>
                <w:szCs w:val="22"/>
              </w:rPr>
              <w:t xml:space="preserve"> Status</w:t>
            </w:r>
          </w:p>
        </w:tc>
      </w:tr>
      <w:tr w:rsidR="00E1586B" w:rsidRPr="008D51A5" w:rsidTr="00885E2A">
        <w:tc>
          <w:tcPr>
            <w:tcW w:w="2268" w:type="dxa"/>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rsidR="00E1586B" w:rsidRPr="008D51A5" w:rsidRDefault="00E1586B"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Study Center</w:t>
            </w:r>
          </w:p>
        </w:tc>
        <w:tc>
          <w:tcPr>
            <w:tcW w:w="1260" w:type="dxa"/>
            <w:tcBorders>
              <w:top w:val="single" w:sz="8" w:space="0" w:color="auto"/>
              <w:left w:val="nil"/>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tcPr>
          <w:p w:rsidR="00E1586B" w:rsidRPr="008D51A5" w:rsidRDefault="00E1586B"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PFQs sent</w:t>
            </w:r>
          </w:p>
        </w:tc>
        <w:tc>
          <w:tcPr>
            <w:tcW w:w="1080" w:type="dxa"/>
            <w:tcBorders>
              <w:top w:val="single" w:sz="8" w:space="0" w:color="auto"/>
              <w:left w:val="nil"/>
              <w:bottom w:val="single" w:sz="8" w:space="0" w:color="auto"/>
              <w:right w:val="single" w:sz="8" w:space="0" w:color="auto"/>
            </w:tcBorders>
            <w:shd w:val="clear" w:color="auto" w:fill="5F497A" w:themeFill="accent4" w:themeFillShade="BF"/>
            <w:vAlign w:val="bottom"/>
            <w:hideMark/>
          </w:tcPr>
          <w:p w:rsidR="00E1586B" w:rsidRPr="008D51A5" w:rsidRDefault="00E1586B"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Completed</w:t>
            </w:r>
          </w:p>
        </w:tc>
        <w:tc>
          <w:tcPr>
            <w:tcW w:w="990" w:type="dxa"/>
            <w:tcBorders>
              <w:top w:val="single" w:sz="8" w:space="0" w:color="auto"/>
              <w:left w:val="nil"/>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tcPr>
          <w:p w:rsidR="00E1586B" w:rsidRPr="008D51A5" w:rsidRDefault="00E1586B"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Pending</w:t>
            </w:r>
          </w:p>
        </w:tc>
        <w:tc>
          <w:tcPr>
            <w:tcW w:w="990" w:type="dxa"/>
            <w:tcBorders>
              <w:top w:val="single" w:sz="8" w:space="0" w:color="auto"/>
              <w:left w:val="nil"/>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rsidR="00E1586B" w:rsidRPr="008D51A5" w:rsidRDefault="00E1586B"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Final Refusals</w:t>
            </w:r>
          </w:p>
        </w:tc>
        <w:tc>
          <w:tcPr>
            <w:tcW w:w="1080" w:type="dxa"/>
            <w:tcBorders>
              <w:top w:val="single" w:sz="8" w:space="0" w:color="auto"/>
              <w:left w:val="nil"/>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rsidR="00E1586B" w:rsidRPr="008D51A5" w:rsidRDefault="00E1586B"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Pending Refusals</w:t>
            </w:r>
          </w:p>
        </w:tc>
        <w:tc>
          <w:tcPr>
            <w:tcW w:w="990" w:type="dxa"/>
            <w:tcBorders>
              <w:top w:val="single" w:sz="8" w:space="0" w:color="auto"/>
              <w:left w:val="nil"/>
              <w:bottom w:val="single" w:sz="8" w:space="0" w:color="auto"/>
              <w:right w:val="single" w:sz="8" w:space="0" w:color="auto"/>
            </w:tcBorders>
            <w:shd w:val="clear" w:color="auto" w:fill="5F497A" w:themeFill="accent4" w:themeFillShade="BF"/>
            <w:vAlign w:val="bottom"/>
            <w:hideMark/>
          </w:tcPr>
          <w:p w:rsidR="00E1586B" w:rsidRPr="008D51A5" w:rsidRDefault="00E1586B"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Final Ineligible</w:t>
            </w:r>
          </w:p>
        </w:tc>
      </w:tr>
      <w:tr w:rsidR="00E1586B" w:rsidRPr="008D51A5" w:rsidTr="00885E2A">
        <w:tc>
          <w:tcPr>
            <w:tcW w:w="2268" w:type="dxa"/>
            <w:tcBorders>
              <w:top w:val="nil"/>
              <w:left w:val="single" w:sz="8" w:space="0" w:color="auto"/>
              <w:bottom w:val="single" w:sz="8" w:space="0" w:color="auto"/>
              <w:right w:val="single" w:sz="8" w:space="0" w:color="auto"/>
            </w:tcBorders>
            <w:shd w:val="clear" w:color="auto" w:fill="E5DFEC" w:themeFill="accent4" w:themeFillTint="33"/>
            <w:tcMar>
              <w:top w:w="0" w:type="dxa"/>
              <w:left w:w="108" w:type="dxa"/>
              <w:bottom w:w="0" w:type="dxa"/>
              <w:right w:w="108" w:type="dxa"/>
            </w:tcMar>
            <w:vAlign w:val="bottom"/>
            <w:hideMark/>
          </w:tcPr>
          <w:p w:rsidR="00E1586B" w:rsidRPr="008D51A5" w:rsidRDefault="00E1586B" w:rsidP="00AF29E5">
            <w:pPr>
              <w:rPr>
                <w:rFonts w:asciiTheme="minorHAnsi" w:hAnsiTheme="minorHAnsi" w:cstheme="minorHAnsi"/>
                <w:sz w:val="22"/>
                <w:szCs w:val="22"/>
              </w:rPr>
            </w:pPr>
            <w:r w:rsidRPr="008D51A5">
              <w:rPr>
                <w:rFonts w:asciiTheme="minorHAnsi" w:hAnsiTheme="minorHAnsi" w:cstheme="minorHAnsi"/>
                <w:sz w:val="22"/>
                <w:szCs w:val="22"/>
              </w:rPr>
              <w:t>Jefferson County, KY</w:t>
            </w:r>
          </w:p>
        </w:tc>
        <w:tc>
          <w:tcPr>
            <w:tcW w:w="1260" w:type="dxa"/>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bottom"/>
          </w:tcPr>
          <w:p w:rsidR="00E1586B" w:rsidRPr="008D51A5" w:rsidRDefault="00E1586B" w:rsidP="00AF29E5">
            <w:pPr>
              <w:rPr>
                <w:rFonts w:asciiTheme="minorHAnsi" w:hAnsiTheme="minorHAnsi" w:cstheme="minorHAnsi"/>
                <w:sz w:val="22"/>
                <w:szCs w:val="22"/>
              </w:rPr>
            </w:pPr>
            <w:r w:rsidRPr="008D51A5">
              <w:rPr>
                <w:rFonts w:asciiTheme="minorHAnsi" w:hAnsiTheme="minorHAnsi" w:cstheme="minorHAnsi"/>
                <w:sz w:val="22"/>
                <w:szCs w:val="22"/>
              </w:rPr>
              <w:t>36</w:t>
            </w:r>
          </w:p>
        </w:tc>
        <w:tc>
          <w:tcPr>
            <w:tcW w:w="1080" w:type="dxa"/>
            <w:tcBorders>
              <w:top w:val="nil"/>
              <w:left w:val="nil"/>
              <w:bottom w:val="single" w:sz="8" w:space="0" w:color="auto"/>
              <w:right w:val="single" w:sz="8" w:space="0" w:color="auto"/>
            </w:tcBorders>
            <w:shd w:val="clear" w:color="auto" w:fill="E5DFEC" w:themeFill="accent4" w:themeFillTint="33"/>
            <w:vAlign w:val="bottom"/>
          </w:tcPr>
          <w:p w:rsidR="00E1586B" w:rsidRPr="008D51A5" w:rsidRDefault="00E1586B" w:rsidP="00AF29E5">
            <w:pPr>
              <w:rPr>
                <w:rFonts w:asciiTheme="minorHAnsi" w:hAnsiTheme="minorHAnsi" w:cstheme="minorHAnsi"/>
                <w:sz w:val="22"/>
                <w:szCs w:val="22"/>
              </w:rPr>
            </w:pPr>
            <w:r w:rsidRPr="008D51A5">
              <w:rPr>
                <w:rFonts w:asciiTheme="minorHAnsi" w:hAnsiTheme="minorHAnsi" w:cstheme="minorHAnsi"/>
                <w:sz w:val="22"/>
                <w:szCs w:val="22"/>
              </w:rPr>
              <w:t>2</w:t>
            </w:r>
            <w:r w:rsidR="00B21565" w:rsidRPr="008D51A5">
              <w:rPr>
                <w:rFonts w:asciiTheme="minorHAnsi" w:hAnsiTheme="minorHAnsi" w:cstheme="minorHAnsi"/>
                <w:sz w:val="22"/>
                <w:szCs w:val="22"/>
              </w:rPr>
              <w:t>3</w:t>
            </w:r>
          </w:p>
        </w:tc>
        <w:tc>
          <w:tcPr>
            <w:tcW w:w="990" w:type="dxa"/>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bottom"/>
          </w:tcPr>
          <w:p w:rsidR="00E1586B" w:rsidRPr="008D51A5" w:rsidRDefault="00E1586B" w:rsidP="00AF29E5">
            <w:pPr>
              <w:rPr>
                <w:rFonts w:asciiTheme="minorHAnsi" w:hAnsiTheme="minorHAnsi" w:cstheme="minorHAnsi"/>
                <w:sz w:val="22"/>
                <w:szCs w:val="22"/>
              </w:rPr>
            </w:pPr>
            <w:r w:rsidRPr="008D51A5">
              <w:rPr>
                <w:rFonts w:asciiTheme="minorHAnsi" w:hAnsiTheme="minorHAnsi" w:cstheme="minorHAnsi"/>
                <w:sz w:val="22"/>
                <w:szCs w:val="22"/>
              </w:rPr>
              <w:t>1</w:t>
            </w:r>
            <w:r w:rsidR="00B21565" w:rsidRPr="008D51A5">
              <w:rPr>
                <w:rFonts w:asciiTheme="minorHAnsi" w:hAnsiTheme="minorHAnsi" w:cstheme="minorHAnsi"/>
                <w:sz w:val="22"/>
                <w:szCs w:val="22"/>
              </w:rPr>
              <w:t>0*</w:t>
            </w:r>
          </w:p>
        </w:tc>
        <w:tc>
          <w:tcPr>
            <w:tcW w:w="990" w:type="dxa"/>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bottom"/>
          </w:tcPr>
          <w:p w:rsidR="00E1586B" w:rsidRPr="008D51A5" w:rsidRDefault="00E1586B" w:rsidP="00AF29E5">
            <w:pPr>
              <w:rPr>
                <w:rFonts w:asciiTheme="minorHAnsi" w:hAnsiTheme="minorHAnsi" w:cstheme="minorHAnsi"/>
                <w:sz w:val="22"/>
                <w:szCs w:val="22"/>
              </w:rPr>
            </w:pPr>
            <w:r w:rsidRPr="008D51A5">
              <w:rPr>
                <w:rFonts w:asciiTheme="minorHAnsi" w:hAnsiTheme="minorHAnsi" w:cstheme="minorHAnsi"/>
                <w:sz w:val="22"/>
                <w:szCs w:val="22"/>
              </w:rPr>
              <w:t>1</w:t>
            </w:r>
          </w:p>
        </w:tc>
        <w:tc>
          <w:tcPr>
            <w:tcW w:w="1080" w:type="dxa"/>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bottom"/>
          </w:tcPr>
          <w:p w:rsidR="00E1586B" w:rsidRPr="008D51A5" w:rsidRDefault="00E1586B" w:rsidP="00AF29E5">
            <w:pPr>
              <w:rPr>
                <w:rFonts w:asciiTheme="minorHAnsi" w:hAnsiTheme="minorHAnsi" w:cstheme="minorHAnsi"/>
                <w:sz w:val="22"/>
                <w:szCs w:val="22"/>
              </w:rPr>
            </w:pPr>
            <w:r w:rsidRPr="008D51A5">
              <w:rPr>
                <w:rFonts w:asciiTheme="minorHAnsi" w:hAnsiTheme="minorHAnsi" w:cstheme="minorHAnsi"/>
                <w:sz w:val="22"/>
                <w:szCs w:val="22"/>
              </w:rPr>
              <w:t>0</w:t>
            </w:r>
          </w:p>
        </w:tc>
        <w:tc>
          <w:tcPr>
            <w:tcW w:w="990" w:type="dxa"/>
            <w:tcBorders>
              <w:top w:val="nil"/>
              <w:left w:val="nil"/>
              <w:bottom w:val="single" w:sz="8" w:space="0" w:color="auto"/>
              <w:right w:val="single" w:sz="8" w:space="0" w:color="auto"/>
            </w:tcBorders>
            <w:shd w:val="clear" w:color="auto" w:fill="E5DFEC" w:themeFill="accent4" w:themeFillTint="33"/>
            <w:vAlign w:val="bottom"/>
          </w:tcPr>
          <w:p w:rsidR="00E1586B" w:rsidRPr="008D51A5" w:rsidRDefault="00E1586B" w:rsidP="00AF29E5">
            <w:pPr>
              <w:rPr>
                <w:rFonts w:asciiTheme="minorHAnsi" w:hAnsiTheme="minorHAnsi" w:cstheme="minorHAnsi"/>
                <w:sz w:val="22"/>
                <w:szCs w:val="22"/>
              </w:rPr>
            </w:pPr>
            <w:r w:rsidRPr="008D51A5">
              <w:rPr>
                <w:rFonts w:asciiTheme="minorHAnsi" w:hAnsiTheme="minorHAnsi" w:cstheme="minorHAnsi"/>
                <w:sz w:val="22"/>
                <w:szCs w:val="22"/>
              </w:rPr>
              <w:t>2</w:t>
            </w:r>
            <w:r w:rsidR="00B21565" w:rsidRPr="008D51A5">
              <w:rPr>
                <w:rFonts w:asciiTheme="minorHAnsi" w:hAnsiTheme="minorHAnsi" w:cstheme="minorHAnsi"/>
                <w:sz w:val="22"/>
                <w:szCs w:val="22"/>
              </w:rPr>
              <w:t>^</w:t>
            </w:r>
          </w:p>
        </w:tc>
      </w:tr>
      <w:tr w:rsidR="00E1586B" w:rsidRPr="008D51A5" w:rsidTr="00885E2A">
        <w:tc>
          <w:tcPr>
            <w:tcW w:w="2268" w:type="dxa"/>
            <w:tcBorders>
              <w:top w:val="nil"/>
              <w:left w:val="single" w:sz="8" w:space="0" w:color="auto"/>
              <w:bottom w:val="single" w:sz="8" w:space="0" w:color="auto"/>
              <w:right w:val="single" w:sz="8" w:space="0" w:color="auto"/>
            </w:tcBorders>
            <w:shd w:val="clear" w:color="auto" w:fill="E5DFEC" w:themeFill="accent4" w:themeFillTint="33"/>
            <w:tcMar>
              <w:top w:w="0" w:type="dxa"/>
              <w:left w:w="108" w:type="dxa"/>
              <w:bottom w:w="0" w:type="dxa"/>
              <w:right w:w="108" w:type="dxa"/>
            </w:tcMar>
            <w:vAlign w:val="bottom"/>
            <w:hideMark/>
          </w:tcPr>
          <w:p w:rsidR="00E1586B" w:rsidRPr="008D51A5" w:rsidRDefault="00E1586B" w:rsidP="00AF29E5">
            <w:pPr>
              <w:rPr>
                <w:rFonts w:asciiTheme="minorHAnsi" w:hAnsiTheme="minorHAnsi" w:cstheme="minorHAnsi"/>
                <w:sz w:val="22"/>
                <w:szCs w:val="22"/>
              </w:rPr>
            </w:pPr>
            <w:r w:rsidRPr="008D51A5">
              <w:rPr>
                <w:rFonts w:asciiTheme="minorHAnsi" w:hAnsiTheme="minorHAnsi" w:cstheme="minorHAnsi"/>
                <w:sz w:val="22"/>
                <w:szCs w:val="22"/>
              </w:rPr>
              <w:t>Worcester County, MA</w:t>
            </w:r>
          </w:p>
        </w:tc>
        <w:tc>
          <w:tcPr>
            <w:tcW w:w="1260" w:type="dxa"/>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bottom"/>
          </w:tcPr>
          <w:p w:rsidR="00E1586B" w:rsidRPr="008D51A5" w:rsidRDefault="00E1586B" w:rsidP="00AF29E5">
            <w:pPr>
              <w:rPr>
                <w:rFonts w:asciiTheme="minorHAnsi" w:hAnsiTheme="minorHAnsi" w:cstheme="minorHAnsi"/>
                <w:sz w:val="22"/>
                <w:szCs w:val="22"/>
              </w:rPr>
            </w:pPr>
            <w:r w:rsidRPr="008D51A5">
              <w:rPr>
                <w:rFonts w:asciiTheme="minorHAnsi" w:hAnsiTheme="minorHAnsi" w:cstheme="minorHAnsi"/>
                <w:sz w:val="22"/>
                <w:szCs w:val="22"/>
              </w:rPr>
              <w:t>7</w:t>
            </w:r>
            <w:r w:rsidR="00B21565" w:rsidRPr="008D51A5">
              <w:rPr>
                <w:rFonts w:asciiTheme="minorHAnsi" w:hAnsiTheme="minorHAnsi" w:cstheme="minorHAnsi"/>
                <w:sz w:val="22"/>
                <w:szCs w:val="22"/>
              </w:rPr>
              <w:t>5</w:t>
            </w:r>
          </w:p>
        </w:tc>
        <w:tc>
          <w:tcPr>
            <w:tcW w:w="1080" w:type="dxa"/>
            <w:tcBorders>
              <w:top w:val="nil"/>
              <w:left w:val="nil"/>
              <w:bottom w:val="single" w:sz="8" w:space="0" w:color="auto"/>
              <w:right w:val="single" w:sz="8" w:space="0" w:color="auto"/>
            </w:tcBorders>
            <w:shd w:val="clear" w:color="auto" w:fill="E5DFEC" w:themeFill="accent4" w:themeFillTint="33"/>
            <w:vAlign w:val="bottom"/>
          </w:tcPr>
          <w:p w:rsidR="00E1586B" w:rsidRPr="008D51A5" w:rsidRDefault="00B21565" w:rsidP="00AF29E5">
            <w:pPr>
              <w:rPr>
                <w:rFonts w:asciiTheme="minorHAnsi" w:hAnsiTheme="minorHAnsi" w:cstheme="minorHAnsi"/>
                <w:sz w:val="22"/>
                <w:szCs w:val="22"/>
              </w:rPr>
            </w:pPr>
            <w:r w:rsidRPr="008D51A5">
              <w:rPr>
                <w:rFonts w:asciiTheme="minorHAnsi" w:hAnsiTheme="minorHAnsi" w:cstheme="minorHAnsi"/>
                <w:sz w:val="22"/>
                <w:szCs w:val="22"/>
              </w:rPr>
              <w:t>42</w:t>
            </w:r>
          </w:p>
        </w:tc>
        <w:tc>
          <w:tcPr>
            <w:tcW w:w="990" w:type="dxa"/>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bottom"/>
          </w:tcPr>
          <w:p w:rsidR="00E1586B" w:rsidRPr="008D51A5" w:rsidRDefault="00B21565" w:rsidP="00AF29E5">
            <w:pPr>
              <w:rPr>
                <w:rFonts w:asciiTheme="minorHAnsi" w:hAnsiTheme="minorHAnsi" w:cstheme="minorHAnsi"/>
                <w:sz w:val="22"/>
                <w:szCs w:val="22"/>
              </w:rPr>
            </w:pPr>
            <w:r w:rsidRPr="008D51A5">
              <w:rPr>
                <w:rFonts w:asciiTheme="minorHAnsi" w:hAnsiTheme="minorHAnsi" w:cstheme="minorHAnsi"/>
                <w:sz w:val="22"/>
                <w:szCs w:val="22"/>
              </w:rPr>
              <w:t>26</w:t>
            </w:r>
          </w:p>
        </w:tc>
        <w:tc>
          <w:tcPr>
            <w:tcW w:w="990" w:type="dxa"/>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bottom"/>
          </w:tcPr>
          <w:p w:rsidR="00E1586B" w:rsidRPr="008D51A5" w:rsidRDefault="00E1586B" w:rsidP="00AF29E5">
            <w:pPr>
              <w:rPr>
                <w:rFonts w:asciiTheme="minorHAnsi" w:hAnsiTheme="minorHAnsi" w:cstheme="minorHAnsi"/>
                <w:sz w:val="22"/>
                <w:szCs w:val="22"/>
              </w:rPr>
            </w:pPr>
            <w:r w:rsidRPr="008D51A5">
              <w:rPr>
                <w:rFonts w:asciiTheme="minorHAnsi" w:hAnsiTheme="minorHAnsi" w:cstheme="minorHAnsi"/>
                <w:sz w:val="22"/>
                <w:szCs w:val="22"/>
              </w:rPr>
              <w:t>0</w:t>
            </w:r>
          </w:p>
        </w:tc>
        <w:tc>
          <w:tcPr>
            <w:tcW w:w="1080" w:type="dxa"/>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bottom"/>
          </w:tcPr>
          <w:p w:rsidR="00E1586B" w:rsidRPr="008D51A5" w:rsidRDefault="00E1586B" w:rsidP="00AF29E5">
            <w:pPr>
              <w:rPr>
                <w:rFonts w:asciiTheme="minorHAnsi" w:hAnsiTheme="minorHAnsi" w:cstheme="minorHAnsi"/>
                <w:sz w:val="22"/>
                <w:szCs w:val="22"/>
              </w:rPr>
            </w:pPr>
            <w:r w:rsidRPr="008D51A5">
              <w:rPr>
                <w:rFonts w:asciiTheme="minorHAnsi" w:hAnsiTheme="minorHAnsi" w:cstheme="minorHAnsi"/>
                <w:sz w:val="22"/>
                <w:szCs w:val="22"/>
              </w:rPr>
              <w:t>0</w:t>
            </w:r>
          </w:p>
        </w:tc>
        <w:tc>
          <w:tcPr>
            <w:tcW w:w="990" w:type="dxa"/>
            <w:tcBorders>
              <w:top w:val="nil"/>
              <w:left w:val="nil"/>
              <w:bottom w:val="single" w:sz="8" w:space="0" w:color="auto"/>
              <w:right w:val="single" w:sz="8" w:space="0" w:color="auto"/>
            </w:tcBorders>
            <w:shd w:val="clear" w:color="auto" w:fill="E5DFEC" w:themeFill="accent4" w:themeFillTint="33"/>
            <w:vAlign w:val="bottom"/>
          </w:tcPr>
          <w:p w:rsidR="00E1586B" w:rsidRPr="008D51A5" w:rsidRDefault="00B21565" w:rsidP="00AF29E5">
            <w:pPr>
              <w:rPr>
                <w:rFonts w:asciiTheme="minorHAnsi" w:hAnsiTheme="minorHAnsi" w:cstheme="minorHAnsi"/>
                <w:sz w:val="22"/>
                <w:szCs w:val="22"/>
              </w:rPr>
            </w:pPr>
            <w:r w:rsidRPr="008D51A5">
              <w:rPr>
                <w:rFonts w:asciiTheme="minorHAnsi" w:hAnsiTheme="minorHAnsi" w:cstheme="minorHAnsi"/>
                <w:sz w:val="22"/>
                <w:szCs w:val="22"/>
              </w:rPr>
              <w:t>7*</w:t>
            </w:r>
          </w:p>
        </w:tc>
      </w:tr>
    </w:tbl>
    <w:p w:rsidR="00E1586B" w:rsidRPr="008D51A5" w:rsidRDefault="00E1586B" w:rsidP="00AF29E5">
      <w:pPr>
        <w:rPr>
          <w:rFonts w:asciiTheme="minorHAnsi" w:hAnsiTheme="minorHAnsi" w:cstheme="minorHAnsi"/>
          <w:sz w:val="22"/>
          <w:szCs w:val="22"/>
        </w:rPr>
      </w:pPr>
    </w:p>
    <w:p w:rsidR="00B21565" w:rsidRPr="008D51A5" w:rsidRDefault="00B21565" w:rsidP="00AF29E5">
      <w:pPr>
        <w:rPr>
          <w:rFonts w:asciiTheme="minorHAnsi" w:hAnsiTheme="minorHAnsi" w:cstheme="minorHAnsi"/>
          <w:b/>
          <w:sz w:val="22"/>
          <w:szCs w:val="22"/>
        </w:rPr>
      </w:pPr>
      <w:r w:rsidRPr="008D51A5">
        <w:rPr>
          <w:rFonts w:asciiTheme="minorHAnsi" w:hAnsiTheme="minorHAnsi" w:cstheme="minorHAnsi"/>
          <w:b/>
          <w:sz w:val="22"/>
          <w:szCs w:val="22"/>
        </w:rPr>
        <w:t>Jefferson County, KY</w:t>
      </w:r>
    </w:p>
    <w:p w:rsidR="00B21565" w:rsidRPr="008D51A5" w:rsidRDefault="00B21565" w:rsidP="00AF29E5">
      <w:pPr>
        <w:rPr>
          <w:rFonts w:asciiTheme="minorHAnsi" w:hAnsiTheme="minorHAnsi" w:cstheme="minorHAnsi"/>
          <w:sz w:val="20"/>
        </w:rPr>
      </w:pPr>
      <w:r w:rsidRPr="008D51A5">
        <w:rPr>
          <w:rFonts w:asciiTheme="minorHAnsi" w:hAnsiTheme="minorHAnsi" w:cstheme="minorHAnsi"/>
          <w:sz w:val="20"/>
        </w:rPr>
        <w:t>*Still waiting to receive 4 PFQs; waiting for clarification on 6.</w:t>
      </w:r>
    </w:p>
    <w:p w:rsidR="00B21565" w:rsidRPr="008D51A5" w:rsidRDefault="00B21565" w:rsidP="00AF29E5">
      <w:pPr>
        <w:rPr>
          <w:rFonts w:asciiTheme="minorHAnsi" w:hAnsiTheme="minorHAnsi" w:cstheme="minorHAnsi"/>
          <w:sz w:val="20"/>
        </w:rPr>
      </w:pPr>
      <w:r w:rsidRPr="008D51A5">
        <w:rPr>
          <w:rFonts w:asciiTheme="minorHAnsi" w:hAnsiTheme="minorHAnsi" w:cstheme="minorHAnsi"/>
          <w:sz w:val="20"/>
        </w:rPr>
        <w:t xml:space="preserve">^Location #003 – no prenatal visits; location #020 closed. </w:t>
      </w:r>
    </w:p>
    <w:p w:rsidR="00B21565" w:rsidRPr="008D51A5" w:rsidRDefault="00B21565" w:rsidP="00AF29E5">
      <w:pPr>
        <w:rPr>
          <w:rFonts w:asciiTheme="minorHAnsi" w:hAnsiTheme="minorHAnsi" w:cstheme="minorHAnsi"/>
          <w:sz w:val="22"/>
          <w:szCs w:val="22"/>
        </w:rPr>
      </w:pPr>
    </w:p>
    <w:p w:rsidR="00B21565" w:rsidRPr="008D51A5" w:rsidRDefault="00B21565" w:rsidP="00AF29E5">
      <w:pPr>
        <w:rPr>
          <w:rFonts w:asciiTheme="minorHAnsi" w:hAnsiTheme="minorHAnsi" w:cstheme="minorHAnsi"/>
          <w:b/>
          <w:sz w:val="22"/>
          <w:szCs w:val="22"/>
        </w:rPr>
      </w:pPr>
      <w:r w:rsidRPr="008D51A5">
        <w:rPr>
          <w:rFonts w:asciiTheme="minorHAnsi" w:hAnsiTheme="minorHAnsi" w:cstheme="minorHAnsi"/>
          <w:b/>
          <w:sz w:val="22"/>
          <w:szCs w:val="22"/>
        </w:rPr>
        <w:t>Worcester County, MA</w:t>
      </w:r>
    </w:p>
    <w:p w:rsidR="00B21565" w:rsidRPr="008D51A5" w:rsidRDefault="00B21565" w:rsidP="00AF29E5">
      <w:pPr>
        <w:rPr>
          <w:rFonts w:asciiTheme="minorHAnsi" w:hAnsiTheme="minorHAnsi" w:cstheme="minorHAnsi"/>
          <w:sz w:val="20"/>
        </w:rPr>
      </w:pPr>
      <w:r w:rsidRPr="008D51A5">
        <w:rPr>
          <w:rFonts w:asciiTheme="minorHAnsi" w:hAnsiTheme="minorHAnsi" w:cstheme="minorHAnsi"/>
          <w:sz w:val="20"/>
        </w:rPr>
        <w:t>*Includes the 2 locations that participated in the NCS Provider-Based Recruitment strategy in Providence County, RI.</w:t>
      </w:r>
    </w:p>
    <w:p w:rsidR="00B21565" w:rsidRPr="008D51A5" w:rsidRDefault="00B21565" w:rsidP="00AF29E5">
      <w:pPr>
        <w:rPr>
          <w:rFonts w:asciiTheme="minorHAnsi" w:hAnsiTheme="minorHAnsi" w:cstheme="minorHAnsi"/>
          <w:sz w:val="22"/>
          <w:szCs w:val="22"/>
        </w:rPr>
      </w:pPr>
    </w:p>
    <w:p w:rsidR="00531310" w:rsidRPr="008D51A5" w:rsidRDefault="00E1586B" w:rsidP="00C77A37">
      <w:pPr>
        <w:spacing w:line="276" w:lineRule="auto"/>
        <w:rPr>
          <w:rFonts w:asciiTheme="minorHAnsi" w:hAnsiTheme="minorHAnsi" w:cstheme="minorHAnsi"/>
          <w:sz w:val="22"/>
          <w:szCs w:val="22"/>
        </w:rPr>
      </w:pPr>
      <w:r w:rsidRPr="008D51A5">
        <w:rPr>
          <w:rFonts w:asciiTheme="minorHAnsi" w:hAnsiTheme="minorHAnsi" w:cstheme="minorHAnsi"/>
          <w:sz w:val="22"/>
          <w:szCs w:val="22"/>
        </w:rPr>
        <w:t>The NCS also spoke with staff from the National Center of Health Statistics who lead the National Ambulatory Medical Care Survey</w:t>
      </w:r>
      <w:r w:rsidR="00A45908" w:rsidRPr="008D51A5">
        <w:rPr>
          <w:rFonts w:asciiTheme="minorHAnsi" w:hAnsiTheme="minorHAnsi" w:cstheme="minorHAnsi"/>
          <w:sz w:val="22"/>
          <w:szCs w:val="22"/>
        </w:rPr>
        <w:t xml:space="preserve"> (NAMCS)</w:t>
      </w:r>
      <w:r w:rsidRPr="008D51A5">
        <w:rPr>
          <w:rFonts w:asciiTheme="minorHAnsi" w:hAnsiTheme="minorHAnsi" w:cstheme="minorHAnsi"/>
          <w:sz w:val="22"/>
          <w:szCs w:val="22"/>
        </w:rPr>
        <w:t xml:space="preserve"> (OMB #0920-0234) to determine methods used in that survey to recruit physicians and physician offices.  Of note, their </w:t>
      </w:r>
      <w:r w:rsidR="00A86206" w:rsidRPr="008D51A5">
        <w:rPr>
          <w:rFonts w:asciiTheme="minorHAnsi" w:hAnsiTheme="minorHAnsi" w:cstheme="minorHAnsi"/>
          <w:sz w:val="22"/>
          <w:szCs w:val="22"/>
        </w:rPr>
        <w:t xml:space="preserve">unweighted and weighted </w:t>
      </w:r>
      <w:r w:rsidRPr="008D51A5">
        <w:rPr>
          <w:rFonts w:asciiTheme="minorHAnsi" w:hAnsiTheme="minorHAnsi" w:cstheme="minorHAnsi"/>
          <w:sz w:val="22"/>
          <w:szCs w:val="22"/>
        </w:rPr>
        <w:t>response rate</w:t>
      </w:r>
      <w:r w:rsidR="00A86206" w:rsidRPr="008D51A5">
        <w:rPr>
          <w:rFonts w:asciiTheme="minorHAnsi" w:hAnsiTheme="minorHAnsi" w:cstheme="minorHAnsi"/>
          <w:sz w:val="22"/>
          <w:szCs w:val="22"/>
        </w:rPr>
        <w:t>s were 62.1% and 62.4%, respectively,</w:t>
      </w:r>
      <w:r w:rsidRPr="008D51A5">
        <w:rPr>
          <w:rFonts w:asciiTheme="minorHAnsi" w:hAnsiTheme="minorHAnsi" w:cstheme="minorHAnsi"/>
          <w:sz w:val="22"/>
          <w:szCs w:val="22"/>
        </w:rPr>
        <w:t xml:space="preserve"> but the </w:t>
      </w:r>
      <w:r w:rsidR="00A45908" w:rsidRPr="008D51A5">
        <w:rPr>
          <w:rFonts w:asciiTheme="minorHAnsi" w:hAnsiTheme="minorHAnsi" w:cstheme="minorHAnsi"/>
          <w:sz w:val="22"/>
          <w:szCs w:val="22"/>
        </w:rPr>
        <w:t xml:space="preserve">NAMCS </w:t>
      </w:r>
      <w:r w:rsidRPr="008D51A5">
        <w:rPr>
          <w:rFonts w:asciiTheme="minorHAnsi" w:hAnsiTheme="minorHAnsi" w:cstheme="minorHAnsi"/>
          <w:sz w:val="22"/>
          <w:szCs w:val="22"/>
        </w:rPr>
        <w:t>is a more in</w:t>
      </w:r>
      <w:r w:rsidR="00FA6EDD" w:rsidRPr="008D51A5">
        <w:rPr>
          <w:rFonts w:asciiTheme="minorHAnsi" w:hAnsiTheme="minorHAnsi" w:cstheme="minorHAnsi"/>
          <w:sz w:val="22"/>
          <w:szCs w:val="22"/>
        </w:rPr>
        <w:t xml:space="preserve"> </w:t>
      </w:r>
      <w:r w:rsidRPr="008D51A5">
        <w:rPr>
          <w:rFonts w:asciiTheme="minorHAnsi" w:hAnsiTheme="minorHAnsi" w:cstheme="minorHAnsi"/>
          <w:sz w:val="22"/>
          <w:szCs w:val="22"/>
        </w:rPr>
        <w:t>depth and burdensome data collection than is the PFQ</w:t>
      </w:r>
      <w:r w:rsidR="00FA6EDD" w:rsidRPr="008D51A5">
        <w:rPr>
          <w:rFonts w:asciiTheme="minorHAnsi" w:hAnsiTheme="minorHAnsi" w:cstheme="minorHAnsi"/>
          <w:sz w:val="22"/>
          <w:szCs w:val="22"/>
        </w:rPr>
        <w:t xml:space="preserve"> (an estimated 20 minutes of burden per response)</w:t>
      </w:r>
      <w:r w:rsidRPr="008D51A5">
        <w:rPr>
          <w:rFonts w:asciiTheme="minorHAnsi" w:hAnsiTheme="minorHAnsi" w:cstheme="minorHAnsi"/>
          <w:sz w:val="22"/>
          <w:szCs w:val="22"/>
        </w:rPr>
        <w:t xml:space="preserve"> that is being administered as part of the NCS. NAMCS staff suggested that an advance letter be sent describing the data collection effort. They recommend following this with a call to make an appointment to visit the office to complete the form.  They emphasized that the best results occur with a visit </w:t>
      </w:r>
      <w:r w:rsidR="00AA0C4F" w:rsidRPr="008D51A5">
        <w:rPr>
          <w:rFonts w:asciiTheme="minorHAnsi" w:hAnsiTheme="minorHAnsi" w:cstheme="minorHAnsi"/>
          <w:sz w:val="22"/>
          <w:szCs w:val="22"/>
        </w:rPr>
        <w:t xml:space="preserve">to </w:t>
      </w:r>
      <w:r w:rsidRPr="008D51A5">
        <w:rPr>
          <w:rFonts w:asciiTheme="minorHAnsi" w:hAnsiTheme="minorHAnsi" w:cstheme="minorHAnsi"/>
          <w:sz w:val="22"/>
          <w:szCs w:val="22"/>
        </w:rPr>
        <w:t>the office to collect the information in a face</w:t>
      </w:r>
      <w:r w:rsidR="00FA6EDD" w:rsidRPr="008D51A5">
        <w:rPr>
          <w:rFonts w:asciiTheme="minorHAnsi" w:hAnsiTheme="minorHAnsi" w:cstheme="minorHAnsi"/>
          <w:sz w:val="22"/>
          <w:szCs w:val="22"/>
        </w:rPr>
        <w:t>-</w:t>
      </w:r>
      <w:r w:rsidRPr="008D51A5">
        <w:rPr>
          <w:rFonts w:asciiTheme="minorHAnsi" w:hAnsiTheme="minorHAnsi" w:cstheme="minorHAnsi"/>
          <w:sz w:val="22"/>
          <w:szCs w:val="22"/>
        </w:rPr>
        <w:t>to</w:t>
      </w:r>
      <w:r w:rsidR="00FA6EDD" w:rsidRPr="008D51A5">
        <w:rPr>
          <w:rFonts w:asciiTheme="minorHAnsi" w:hAnsiTheme="minorHAnsi" w:cstheme="minorHAnsi"/>
          <w:sz w:val="22"/>
          <w:szCs w:val="22"/>
        </w:rPr>
        <w:t>-</w:t>
      </w:r>
      <w:r w:rsidRPr="008D51A5">
        <w:rPr>
          <w:rFonts w:asciiTheme="minorHAnsi" w:hAnsiTheme="minorHAnsi" w:cstheme="minorHAnsi"/>
          <w:sz w:val="22"/>
          <w:szCs w:val="22"/>
        </w:rPr>
        <w:t>face interview.  If it is not possible to make an appointment, they suggested that study staff stop by the office, preferably in the morning when practices tend to be less busy, and introduce the data collection effort to identified key personnel.</w:t>
      </w:r>
      <w:r w:rsidR="006A40BC" w:rsidRPr="008D51A5">
        <w:rPr>
          <w:rFonts w:asciiTheme="minorHAnsi" w:hAnsiTheme="minorHAnsi" w:cstheme="minorHAnsi"/>
          <w:sz w:val="22"/>
          <w:szCs w:val="22"/>
        </w:rPr>
        <w:t xml:space="preserve">  </w:t>
      </w:r>
      <w:r w:rsidRPr="008D51A5">
        <w:rPr>
          <w:rFonts w:asciiTheme="minorHAnsi" w:hAnsiTheme="minorHAnsi" w:cstheme="minorHAnsi"/>
          <w:sz w:val="22"/>
          <w:szCs w:val="22"/>
        </w:rPr>
        <w:t>The NCS is already implementing many of these procedures but we will re</w:t>
      </w:r>
      <w:r w:rsidR="00FA6EDD" w:rsidRPr="008D51A5">
        <w:rPr>
          <w:rFonts w:asciiTheme="minorHAnsi" w:hAnsiTheme="minorHAnsi" w:cstheme="minorHAnsi"/>
          <w:sz w:val="22"/>
          <w:szCs w:val="22"/>
        </w:rPr>
        <w:t>-</w:t>
      </w:r>
      <w:r w:rsidRPr="008D51A5">
        <w:rPr>
          <w:rFonts w:asciiTheme="minorHAnsi" w:hAnsiTheme="minorHAnsi" w:cstheme="minorHAnsi"/>
          <w:sz w:val="22"/>
          <w:szCs w:val="22"/>
        </w:rPr>
        <w:t xml:space="preserve">emphasize these best practices to our Study Centers.  </w:t>
      </w:r>
    </w:p>
    <w:p w:rsidR="00531310" w:rsidRPr="008D51A5" w:rsidRDefault="00531310" w:rsidP="00AF29E5">
      <w:pPr>
        <w:rPr>
          <w:rFonts w:asciiTheme="minorHAnsi" w:hAnsiTheme="minorHAnsi" w:cstheme="minorHAnsi"/>
          <w:b/>
          <w:sz w:val="22"/>
          <w:szCs w:val="22"/>
        </w:rPr>
      </w:pPr>
    </w:p>
    <w:p w:rsidR="00E1586B" w:rsidRPr="008D51A5" w:rsidRDefault="00E361A0" w:rsidP="00AF29E5">
      <w:pPr>
        <w:rPr>
          <w:rFonts w:asciiTheme="minorHAnsi" w:hAnsiTheme="minorHAnsi" w:cstheme="minorHAnsi"/>
          <w:b/>
          <w:sz w:val="22"/>
          <w:szCs w:val="22"/>
        </w:rPr>
      </w:pPr>
      <w:r w:rsidRPr="008D51A5">
        <w:rPr>
          <w:rFonts w:asciiTheme="minorHAnsi" w:hAnsiTheme="minorHAnsi" w:cstheme="minorHAnsi"/>
          <w:b/>
          <w:sz w:val="22"/>
          <w:szCs w:val="22"/>
        </w:rPr>
        <w:t>List of Attachments</w:t>
      </w:r>
    </w:p>
    <w:p w:rsidR="0045142A" w:rsidRPr="008D51A5" w:rsidRDefault="00C821D3" w:rsidP="00AF29E5">
      <w:pPr>
        <w:pStyle w:val="ListParagraph"/>
        <w:ind w:left="0"/>
        <w:contextualSpacing w:val="0"/>
        <w:rPr>
          <w:rFonts w:asciiTheme="minorHAnsi" w:hAnsiTheme="minorHAnsi" w:cstheme="minorHAnsi"/>
          <w:sz w:val="22"/>
          <w:szCs w:val="22"/>
        </w:rPr>
      </w:pPr>
      <w:r w:rsidRPr="008D51A5">
        <w:rPr>
          <w:rFonts w:asciiTheme="minorHAnsi" w:hAnsiTheme="minorHAnsi" w:cstheme="minorHAnsi"/>
          <w:sz w:val="22"/>
          <w:szCs w:val="22"/>
        </w:rPr>
        <w:t>Attach A17</w:t>
      </w:r>
      <w:r w:rsidR="0045142A" w:rsidRPr="008D51A5">
        <w:rPr>
          <w:rFonts w:asciiTheme="minorHAnsi" w:hAnsiTheme="minorHAnsi" w:cstheme="minorHAnsi"/>
          <w:sz w:val="22"/>
          <w:szCs w:val="22"/>
        </w:rPr>
        <w:t>. PFQ Refusal Letter for Providers</w:t>
      </w:r>
    </w:p>
    <w:p w:rsidR="00885E2A" w:rsidRPr="008D51A5" w:rsidRDefault="00885E2A" w:rsidP="00AF29E5">
      <w:pPr>
        <w:pStyle w:val="ListParagraph"/>
        <w:ind w:left="0"/>
        <w:contextualSpacing w:val="0"/>
        <w:rPr>
          <w:rFonts w:asciiTheme="minorHAnsi" w:hAnsiTheme="minorHAnsi" w:cstheme="minorHAnsi"/>
          <w:sz w:val="22"/>
          <w:szCs w:val="22"/>
        </w:rPr>
      </w:pPr>
    </w:p>
    <w:p w:rsidR="00FF4CF2" w:rsidRPr="008D51A5" w:rsidRDefault="00B034B6" w:rsidP="00AF29E5">
      <w:pPr>
        <w:pStyle w:val="ListParagraph"/>
        <w:numPr>
          <w:ilvl w:val="0"/>
          <w:numId w:val="22"/>
        </w:numPr>
        <w:contextualSpacing w:val="0"/>
        <w:rPr>
          <w:rFonts w:asciiTheme="minorHAnsi" w:hAnsiTheme="minorHAnsi" w:cstheme="minorHAnsi"/>
          <w:b/>
          <w:szCs w:val="24"/>
        </w:rPr>
      </w:pPr>
      <w:r w:rsidRPr="008D51A5">
        <w:rPr>
          <w:rFonts w:asciiTheme="minorHAnsi" w:hAnsiTheme="minorHAnsi" w:cstheme="minorHAnsi"/>
          <w:b/>
          <w:szCs w:val="24"/>
        </w:rPr>
        <w:t>F</w:t>
      </w:r>
      <w:r w:rsidR="009166AE" w:rsidRPr="008D51A5">
        <w:rPr>
          <w:rFonts w:asciiTheme="minorHAnsi" w:hAnsiTheme="minorHAnsi" w:cstheme="minorHAnsi"/>
          <w:b/>
          <w:szCs w:val="24"/>
        </w:rPr>
        <w:t>ormative Research Project</w:t>
      </w:r>
      <w:r w:rsidR="00FF4CF2" w:rsidRPr="008D51A5">
        <w:rPr>
          <w:rFonts w:asciiTheme="minorHAnsi" w:hAnsiTheme="minorHAnsi" w:cstheme="minorHAnsi"/>
          <w:b/>
          <w:szCs w:val="24"/>
        </w:rPr>
        <w:t>s</w:t>
      </w:r>
    </w:p>
    <w:p w:rsidR="000A0475" w:rsidRPr="008D51A5" w:rsidRDefault="000A0475" w:rsidP="00AF29E5">
      <w:pPr>
        <w:pStyle w:val="ListParagraph"/>
        <w:ind w:left="360"/>
        <w:contextualSpacing w:val="0"/>
        <w:rPr>
          <w:rFonts w:asciiTheme="minorHAnsi" w:hAnsiTheme="minorHAnsi" w:cstheme="minorHAnsi"/>
          <w:b/>
          <w:szCs w:val="24"/>
        </w:rPr>
      </w:pPr>
    </w:p>
    <w:p w:rsidR="00B034B6" w:rsidRPr="008D51A5" w:rsidRDefault="00E361A0" w:rsidP="00AF29E5">
      <w:pPr>
        <w:rPr>
          <w:rFonts w:asciiTheme="minorHAnsi" w:hAnsiTheme="minorHAnsi" w:cstheme="minorHAnsi"/>
          <w:b/>
          <w:sz w:val="22"/>
          <w:szCs w:val="22"/>
        </w:rPr>
      </w:pPr>
      <w:r w:rsidRPr="008D51A5">
        <w:rPr>
          <w:rFonts w:asciiTheme="minorHAnsi" w:hAnsiTheme="minorHAnsi" w:cstheme="minorHAnsi"/>
          <w:b/>
          <w:sz w:val="22"/>
          <w:szCs w:val="22"/>
        </w:rPr>
        <w:t xml:space="preserve">1. </w:t>
      </w:r>
      <w:r w:rsidR="009166AE" w:rsidRPr="008D51A5">
        <w:rPr>
          <w:rFonts w:asciiTheme="minorHAnsi" w:hAnsiTheme="minorHAnsi" w:cstheme="minorHAnsi"/>
          <w:b/>
          <w:sz w:val="22"/>
          <w:szCs w:val="22"/>
        </w:rPr>
        <w:t>LOI2-QUEX-14-Phase 2 Dietary Assessment in Infants and Young Children</w:t>
      </w:r>
    </w:p>
    <w:p w:rsidR="009166AE" w:rsidRPr="008D51A5" w:rsidRDefault="009166AE" w:rsidP="00AF29E5">
      <w:pPr>
        <w:pStyle w:val="ListParagraph"/>
        <w:ind w:left="360"/>
        <w:rPr>
          <w:rFonts w:asciiTheme="minorHAnsi" w:hAnsiTheme="minorHAnsi" w:cstheme="minorHAnsi"/>
          <w:b/>
          <w:sz w:val="22"/>
          <w:szCs w:val="22"/>
        </w:rPr>
      </w:pPr>
    </w:p>
    <w:p w:rsidR="005221A1" w:rsidRPr="008D51A5" w:rsidRDefault="00EA6068" w:rsidP="00AB508A">
      <w:pPr>
        <w:pStyle w:val="ListParagraph"/>
        <w:tabs>
          <w:tab w:val="left" w:pos="180"/>
        </w:tabs>
        <w:spacing w:line="276" w:lineRule="auto"/>
        <w:ind w:left="0"/>
        <w:rPr>
          <w:rFonts w:asciiTheme="minorHAnsi" w:hAnsiTheme="minorHAnsi" w:cstheme="minorHAnsi"/>
          <w:sz w:val="22"/>
          <w:szCs w:val="22"/>
        </w:rPr>
      </w:pPr>
      <w:r w:rsidRPr="008D51A5">
        <w:rPr>
          <w:rFonts w:asciiTheme="minorHAnsi" w:hAnsiTheme="minorHAnsi" w:cstheme="minorHAnsi"/>
          <w:sz w:val="22"/>
          <w:szCs w:val="22"/>
        </w:rPr>
        <w:t>One</w:t>
      </w:r>
      <w:r w:rsidR="005221A1" w:rsidRPr="008D51A5">
        <w:rPr>
          <w:rFonts w:asciiTheme="minorHAnsi" w:hAnsiTheme="minorHAnsi" w:cstheme="minorHAnsi"/>
          <w:sz w:val="22"/>
          <w:szCs w:val="22"/>
        </w:rPr>
        <w:t xml:space="preserve"> </w:t>
      </w:r>
      <w:r w:rsidR="00482AB9" w:rsidRPr="008D51A5">
        <w:rPr>
          <w:rFonts w:asciiTheme="minorHAnsi" w:hAnsiTheme="minorHAnsi" w:cstheme="minorHAnsi"/>
          <w:sz w:val="22"/>
          <w:szCs w:val="22"/>
        </w:rPr>
        <w:t xml:space="preserve">proposed </w:t>
      </w:r>
      <w:r w:rsidRPr="008D51A5">
        <w:rPr>
          <w:rFonts w:asciiTheme="minorHAnsi" w:hAnsiTheme="minorHAnsi" w:cstheme="minorHAnsi"/>
          <w:sz w:val="22"/>
          <w:szCs w:val="22"/>
        </w:rPr>
        <w:t>formative research project</w:t>
      </w:r>
      <w:r w:rsidR="00482AB9" w:rsidRPr="008D51A5">
        <w:rPr>
          <w:rFonts w:asciiTheme="minorHAnsi" w:hAnsiTheme="minorHAnsi" w:cstheme="minorHAnsi"/>
          <w:sz w:val="22"/>
          <w:szCs w:val="22"/>
        </w:rPr>
        <w:t xml:space="preserve"> </w:t>
      </w:r>
      <w:r w:rsidR="00224581" w:rsidRPr="008D51A5">
        <w:rPr>
          <w:rFonts w:asciiTheme="minorHAnsi" w:hAnsiTheme="minorHAnsi" w:cstheme="minorHAnsi"/>
          <w:sz w:val="22"/>
          <w:szCs w:val="22"/>
        </w:rPr>
        <w:t>a</w:t>
      </w:r>
      <w:r w:rsidRPr="008D51A5">
        <w:rPr>
          <w:rFonts w:asciiTheme="minorHAnsi" w:hAnsiTheme="minorHAnsi" w:cstheme="minorHAnsi"/>
          <w:sz w:val="22"/>
          <w:szCs w:val="22"/>
        </w:rPr>
        <w:t xml:space="preserve">s </w:t>
      </w:r>
      <w:r w:rsidR="00962C3D" w:rsidRPr="008D51A5">
        <w:rPr>
          <w:rFonts w:asciiTheme="minorHAnsi" w:hAnsiTheme="minorHAnsi" w:cstheme="minorHAnsi"/>
          <w:sz w:val="22"/>
          <w:szCs w:val="22"/>
        </w:rPr>
        <w:t>described below (Table 3</w:t>
      </w:r>
      <w:r w:rsidR="00482AB9" w:rsidRPr="008D51A5">
        <w:rPr>
          <w:rFonts w:asciiTheme="minorHAnsi" w:hAnsiTheme="minorHAnsi" w:cstheme="minorHAnsi"/>
          <w:sz w:val="22"/>
          <w:szCs w:val="22"/>
        </w:rPr>
        <w:t>)</w:t>
      </w:r>
      <w:r w:rsidR="005221A1" w:rsidRPr="008D51A5">
        <w:rPr>
          <w:rFonts w:asciiTheme="minorHAnsi" w:hAnsiTheme="minorHAnsi" w:cstheme="minorHAnsi"/>
          <w:sz w:val="22"/>
          <w:szCs w:val="22"/>
        </w:rPr>
        <w:t xml:space="preserve"> align</w:t>
      </w:r>
      <w:r w:rsidRPr="008D51A5">
        <w:rPr>
          <w:rFonts w:asciiTheme="minorHAnsi" w:hAnsiTheme="minorHAnsi" w:cstheme="minorHAnsi"/>
          <w:sz w:val="22"/>
          <w:szCs w:val="22"/>
        </w:rPr>
        <w:t>s</w:t>
      </w:r>
      <w:r w:rsidR="005221A1" w:rsidRPr="008D51A5">
        <w:rPr>
          <w:rFonts w:asciiTheme="minorHAnsi" w:hAnsiTheme="minorHAnsi" w:cstheme="minorHAnsi"/>
          <w:sz w:val="22"/>
          <w:szCs w:val="22"/>
        </w:rPr>
        <w:t xml:space="preserve"> with the current scope of work for the NCS Vanguard Study. </w:t>
      </w:r>
      <w:r w:rsidR="007934B2" w:rsidRPr="008D51A5">
        <w:rPr>
          <w:rFonts w:asciiTheme="minorHAnsi" w:hAnsiTheme="minorHAnsi" w:cstheme="minorHAnsi"/>
          <w:sz w:val="22"/>
          <w:szCs w:val="22"/>
        </w:rPr>
        <w:t>T</w:t>
      </w:r>
      <w:r w:rsidR="00F65E9C" w:rsidRPr="008D51A5">
        <w:rPr>
          <w:rFonts w:asciiTheme="minorHAnsi" w:hAnsiTheme="minorHAnsi" w:cstheme="minorHAnsi"/>
          <w:sz w:val="22"/>
          <w:szCs w:val="22"/>
        </w:rPr>
        <w:t xml:space="preserve">he NCS Vanguard Study </w:t>
      </w:r>
      <w:r w:rsidR="00B9606D" w:rsidRPr="008D51A5">
        <w:rPr>
          <w:rFonts w:asciiTheme="minorHAnsi" w:hAnsiTheme="minorHAnsi" w:cstheme="minorHAnsi"/>
          <w:sz w:val="22"/>
          <w:szCs w:val="22"/>
        </w:rPr>
        <w:t>is designed</w:t>
      </w:r>
      <w:r w:rsidR="00983235" w:rsidRPr="008D51A5">
        <w:rPr>
          <w:rFonts w:asciiTheme="minorHAnsi" w:hAnsiTheme="minorHAnsi" w:cstheme="minorHAnsi"/>
          <w:sz w:val="22"/>
          <w:szCs w:val="22"/>
        </w:rPr>
        <w:t xml:space="preserve"> to assess the feasibility (technical performance and reliability), acceptability (impact on study participants and study infrastructure), and cost (level of effort, personnel, resources, and mo</w:t>
      </w:r>
      <w:r w:rsidR="00B9606D" w:rsidRPr="008D51A5">
        <w:rPr>
          <w:rFonts w:asciiTheme="minorHAnsi" w:hAnsiTheme="minorHAnsi" w:cstheme="minorHAnsi"/>
          <w:sz w:val="22"/>
          <w:szCs w:val="22"/>
        </w:rPr>
        <w:t xml:space="preserve">ney) of </w:t>
      </w:r>
      <w:r w:rsidR="00F65E9C" w:rsidRPr="008D51A5">
        <w:rPr>
          <w:rFonts w:asciiTheme="minorHAnsi" w:hAnsiTheme="minorHAnsi" w:cstheme="minorHAnsi"/>
          <w:sz w:val="22"/>
          <w:szCs w:val="22"/>
        </w:rPr>
        <w:t>recruitment</w:t>
      </w:r>
      <w:r w:rsidR="00983235" w:rsidRPr="008D51A5">
        <w:rPr>
          <w:rFonts w:asciiTheme="minorHAnsi" w:hAnsiTheme="minorHAnsi" w:cstheme="minorHAnsi"/>
          <w:sz w:val="22"/>
          <w:szCs w:val="22"/>
        </w:rPr>
        <w:t xml:space="preserve">, study </w:t>
      </w:r>
      <w:r w:rsidR="00F65E9C" w:rsidRPr="008D51A5">
        <w:rPr>
          <w:rFonts w:asciiTheme="minorHAnsi" w:hAnsiTheme="minorHAnsi" w:cstheme="minorHAnsi"/>
          <w:sz w:val="22"/>
          <w:szCs w:val="22"/>
        </w:rPr>
        <w:t xml:space="preserve">visit measures, and study </w:t>
      </w:r>
      <w:r w:rsidR="00983235" w:rsidRPr="008D51A5">
        <w:rPr>
          <w:rFonts w:asciiTheme="minorHAnsi" w:hAnsiTheme="minorHAnsi" w:cstheme="minorHAnsi"/>
          <w:sz w:val="22"/>
          <w:szCs w:val="22"/>
        </w:rPr>
        <w:t>logistics</w:t>
      </w:r>
      <w:r w:rsidR="00F65E9C" w:rsidRPr="008D51A5">
        <w:rPr>
          <w:rFonts w:asciiTheme="minorHAnsi" w:hAnsiTheme="minorHAnsi" w:cstheme="minorHAnsi"/>
          <w:sz w:val="22"/>
          <w:szCs w:val="22"/>
        </w:rPr>
        <w:t xml:space="preserve"> to </w:t>
      </w:r>
      <w:r w:rsidR="00B9606D" w:rsidRPr="008D51A5">
        <w:rPr>
          <w:rFonts w:asciiTheme="minorHAnsi" w:hAnsiTheme="minorHAnsi" w:cstheme="minorHAnsi"/>
          <w:sz w:val="22"/>
          <w:szCs w:val="22"/>
        </w:rPr>
        <w:t xml:space="preserve">inform </w:t>
      </w:r>
      <w:r w:rsidR="00983235" w:rsidRPr="008D51A5">
        <w:rPr>
          <w:rFonts w:asciiTheme="minorHAnsi" w:hAnsiTheme="minorHAnsi" w:cstheme="minorHAnsi"/>
          <w:sz w:val="22"/>
          <w:szCs w:val="22"/>
        </w:rPr>
        <w:t xml:space="preserve">the NCS Main Study.  </w:t>
      </w:r>
      <w:r w:rsidR="00B034B6" w:rsidRPr="008D51A5">
        <w:rPr>
          <w:rFonts w:asciiTheme="minorHAnsi" w:hAnsiTheme="minorHAnsi" w:cstheme="minorHAnsi"/>
          <w:sz w:val="22"/>
          <w:szCs w:val="22"/>
        </w:rPr>
        <w:t xml:space="preserve">Each of these proposed formative research projects would evaluate the methods to be considered for the NCS Main Study at minimal participant burden and cost when compared with </w:t>
      </w:r>
      <w:r w:rsidR="004150CA" w:rsidRPr="008D51A5">
        <w:rPr>
          <w:rFonts w:asciiTheme="minorHAnsi" w:hAnsiTheme="minorHAnsi" w:cstheme="minorHAnsi"/>
          <w:sz w:val="22"/>
          <w:szCs w:val="22"/>
        </w:rPr>
        <w:t xml:space="preserve">direct </w:t>
      </w:r>
      <w:r w:rsidR="00B034B6" w:rsidRPr="008D51A5">
        <w:rPr>
          <w:rFonts w:asciiTheme="minorHAnsi" w:hAnsiTheme="minorHAnsi" w:cstheme="minorHAnsi"/>
          <w:sz w:val="22"/>
          <w:szCs w:val="22"/>
        </w:rPr>
        <w:t xml:space="preserve">implementation </w:t>
      </w:r>
      <w:r w:rsidR="004150CA" w:rsidRPr="008D51A5">
        <w:rPr>
          <w:rFonts w:asciiTheme="minorHAnsi" w:hAnsiTheme="minorHAnsi" w:cstheme="minorHAnsi"/>
          <w:sz w:val="22"/>
          <w:szCs w:val="22"/>
        </w:rPr>
        <w:t xml:space="preserve">within </w:t>
      </w:r>
      <w:r w:rsidR="00C7774A" w:rsidRPr="008D51A5">
        <w:rPr>
          <w:rFonts w:asciiTheme="minorHAnsi" w:hAnsiTheme="minorHAnsi" w:cstheme="minorHAnsi"/>
          <w:sz w:val="22"/>
          <w:szCs w:val="22"/>
        </w:rPr>
        <w:t>the NCS Vanguard Study overall.</w:t>
      </w:r>
    </w:p>
    <w:p w:rsidR="005221A1" w:rsidRPr="008D51A5" w:rsidRDefault="005221A1" w:rsidP="00AB508A">
      <w:pPr>
        <w:pStyle w:val="ListParagraph"/>
        <w:tabs>
          <w:tab w:val="left" w:pos="180"/>
        </w:tabs>
        <w:spacing w:line="276" w:lineRule="auto"/>
        <w:ind w:left="0"/>
        <w:rPr>
          <w:rFonts w:asciiTheme="minorHAnsi" w:hAnsiTheme="minorHAnsi" w:cstheme="minorHAnsi"/>
          <w:sz w:val="22"/>
          <w:szCs w:val="22"/>
        </w:rPr>
      </w:pPr>
    </w:p>
    <w:p w:rsidR="00126A30" w:rsidRPr="008D51A5" w:rsidRDefault="009166AE" w:rsidP="00AB508A">
      <w:pPr>
        <w:pStyle w:val="ListParagraph"/>
        <w:tabs>
          <w:tab w:val="left" w:pos="180"/>
        </w:tabs>
        <w:spacing w:line="276" w:lineRule="auto"/>
        <w:ind w:left="0"/>
        <w:rPr>
          <w:rFonts w:asciiTheme="minorHAnsi" w:hAnsiTheme="minorHAnsi" w:cstheme="minorHAnsi"/>
          <w:sz w:val="22"/>
          <w:szCs w:val="22"/>
        </w:rPr>
      </w:pPr>
      <w:r w:rsidRPr="008D51A5">
        <w:rPr>
          <w:rFonts w:asciiTheme="minorHAnsi" w:hAnsiTheme="minorHAnsi" w:cstheme="minorHAnsi"/>
          <w:sz w:val="22"/>
          <w:szCs w:val="22"/>
        </w:rPr>
        <w:t>Additionally,</w:t>
      </w:r>
      <w:r w:rsidR="00983235" w:rsidRPr="008D51A5">
        <w:rPr>
          <w:rFonts w:asciiTheme="minorHAnsi" w:hAnsiTheme="minorHAnsi" w:cstheme="minorHAnsi"/>
          <w:sz w:val="22"/>
          <w:szCs w:val="22"/>
        </w:rPr>
        <w:t xml:space="preserve"> </w:t>
      </w:r>
      <w:r w:rsidR="00B9606D" w:rsidRPr="008D51A5">
        <w:rPr>
          <w:rFonts w:asciiTheme="minorHAnsi" w:hAnsiTheme="minorHAnsi" w:cstheme="minorHAnsi"/>
          <w:sz w:val="22"/>
          <w:szCs w:val="22"/>
        </w:rPr>
        <w:t xml:space="preserve">formative research </w:t>
      </w:r>
      <w:r w:rsidR="00983235" w:rsidRPr="008D51A5">
        <w:rPr>
          <w:rFonts w:asciiTheme="minorHAnsi" w:hAnsiTheme="minorHAnsi" w:cstheme="minorHAnsi"/>
          <w:sz w:val="22"/>
          <w:szCs w:val="22"/>
        </w:rPr>
        <w:t xml:space="preserve">projects do not feature aspects that would interfere with </w:t>
      </w:r>
      <w:r w:rsidR="007D59C5" w:rsidRPr="008D51A5">
        <w:rPr>
          <w:rFonts w:asciiTheme="minorHAnsi" w:hAnsiTheme="minorHAnsi" w:cstheme="minorHAnsi"/>
          <w:sz w:val="22"/>
          <w:szCs w:val="22"/>
        </w:rPr>
        <w:t xml:space="preserve">the </w:t>
      </w:r>
      <w:r w:rsidR="00983235" w:rsidRPr="008D51A5">
        <w:rPr>
          <w:rFonts w:asciiTheme="minorHAnsi" w:hAnsiTheme="minorHAnsi" w:cstheme="minorHAnsi"/>
          <w:sz w:val="22"/>
          <w:szCs w:val="22"/>
        </w:rPr>
        <w:t xml:space="preserve">comparison of recruitment and retention strategies </w:t>
      </w:r>
      <w:r w:rsidR="00B9606D" w:rsidRPr="008D51A5">
        <w:rPr>
          <w:rFonts w:asciiTheme="minorHAnsi" w:hAnsiTheme="minorHAnsi" w:cstheme="minorHAnsi"/>
          <w:sz w:val="22"/>
          <w:szCs w:val="22"/>
        </w:rPr>
        <w:t xml:space="preserve">described </w:t>
      </w:r>
      <w:r w:rsidR="00983235" w:rsidRPr="008D51A5">
        <w:rPr>
          <w:rFonts w:asciiTheme="minorHAnsi" w:hAnsiTheme="minorHAnsi" w:cstheme="minorHAnsi"/>
          <w:sz w:val="22"/>
          <w:szCs w:val="22"/>
        </w:rPr>
        <w:t>in the Alternate Recruitment Substudy</w:t>
      </w:r>
      <w:r w:rsidRPr="008D51A5">
        <w:rPr>
          <w:rFonts w:asciiTheme="minorHAnsi" w:hAnsiTheme="minorHAnsi" w:cstheme="minorHAnsi"/>
          <w:sz w:val="22"/>
          <w:szCs w:val="22"/>
        </w:rPr>
        <w:t xml:space="preserve"> </w:t>
      </w:r>
      <w:r w:rsidRPr="008D51A5">
        <w:rPr>
          <w:rFonts w:asciiTheme="minorHAnsi" w:hAnsiTheme="minorHAnsi" w:cstheme="minorHAnsi"/>
          <w:sz w:val="22"/>
          <w:szCs w:val="22"/>
        </w:rPr>
        <w:lastRenderedPageBreak/>
        <w:t>and the Provider Based Sampling Substudy</w:t>
      </w:r>
      <w:r w:rsidR="00983235" w:rsidRPr="008D51A5">
        <w:rPr>
          <w:rFonts w:asciiTheme="minorHAnsi" w:hAnsiTheme="minorHAnsi" w:cstheme="minorHAnsi"/>
          <w:sz w:val="22"/>
          <w:szCs w:val="22"/>
        </w:rPr>
        <w:t xml:space="preserve"> of the NCS Vanguard Study.  </w:t>
      </w:r>
      <w:r w:rsidR="007934B2" w:rsidRPr="008D51A5">
        <w:rPr>
          <w:rFonts w:asciiTheme="minorHAnsi" w:hAnsiTheme="minorHAnsi" w:cstheme="minorHAnsi"/>
          <w:sz w:val="22"/>
          <w:szCs w:val="22"/>
        </w:rPr>
        <w:t xml:space="preserve">Language in the NCS </w:t>
      </w:r>
      <w:r w:rsidR="00D856F7" w:rsidRPr="008D51A5">
        <w:rPr>
          <w:rFonts w:asciiTheme="minorHAnsi" w:hAnsiTheme="minorHAnsi" w:cstheme="minorHAnsi"/>
          <w:sz w:val="22"/>
          <w:szCs w:val="22"/>
        </w:rPr>
        <w:t xml:space="preserve">Phase 2 </w:t>
      </w:r>
      <w:r w:rsidR="007934B2" w:rsidRPr="008D51A5">
        <w:rPr>
          <w:rFonts w:asciiTheme="minorHAnsi" w:hAnsiTheme="minorHAnsi" w:cstheme="minorHAnsi"/>
          <w:sz w:val="22"/>
          <w:szCs w:val="22"/>
        </w:rPr>
        <w:t>Vanguard Study</w:t>
      </w:r>
      <w:r w:rsidR="00D856F7" w:rsidRPr="008D51A5">
        <w:rPr>
          <w:rFonts w:asciiTheme="minorHAnsi" w:hAnsiTheme="minorHAnsi" w:cstheme="minorHAnsi"/>
          <w:sz w:val="22"/>
          <w:szCs w:val="22"/>
        </w:rPr>
        <w:t xml:space="preserve"> Supporting Statement A </w:t>
      </w:r>
      <w:r w:rsidR="00A31BA4" w:rsidRPr="008D51A5">
        <w:rPr>
          <w:rFonts w:asciiTheme="minorHAnsi" w:hAnsiTheme="minorHAnsi" w:cstheme="minorHAnsi"/>
          <w:sz w:val="22"/>
          <w:szCs w:val="22"/>
        </w:rPr>
        <w:t>(</w:t>
      </w:r>
      <w:r w:rsidR="00A56992" w:rsidRPr="008D51A5">
        <w:rPr>
          <w:rFonts w:asciiTheme="minorHAnsi" w:hAnsiTheme="minorHAnsi" w:cstheme="minorHAnsi"/>
          <w:sz w:val="22"/>
          <w:szCs w:val="22"/>
        </w:rPr>
        <w:t>approved by O</w:t>
      </w:r>
      <w:r w:rsidR="00601663" w:rsidRPr="008D51A5">
        <w:rPr>
          <w:rFonts w:asciiTheme="minorHAnsi" w:hAnsiTheme="minorHAnsi" w:cstheme="minorHAnsi"/>
          <w:sz w:val="22"/>
          <w:szCs w:val="22"/>
        </w:rPr>
        <w:t>IRA</w:t>
      </w:r>
      <w:r w:rsidR="00A56992" w:rsidRPr="008D51A5">
        <w:rPr>
          <w:rFonts w:asciiTheme="minorHAnsi" w:hAnsiTheme="minorHAnsi" w:cstheme="minorHAnsi"/>
          <w:sz w:val="22"/>
          <w:szCs w:val="22"/>
        </w:rPr>
        <w:t xml:space="preserve"> on 4/13</w:t>
      </w:r>
      <w:r w:rsidR="005221A1" w:rsidRPr="008D51A5">
        <w:rPr>
          <w:rFonts w:asciiTheme="minorHAnsi" w:hAnsiTheme="minorHAnsi" w:cstheme="minorHAnsi"/>
          <w:sz w:val="22"/>
          <w:szCs w:val="22"/>
        </w:rPr>
        <w:t>/2011</w:t>
      </w:r>
      <w:r w:rsidR="00A31BA4" w:rsidRPr="008D51A5">
        <w:rPr>
          <w:rFonts w:asciiTheme="minorHAnsi" w:hAnsiTheme="minorHAnsi" w:cstheme="minorHAnsi"/>
          <w:sz w:val="22"/>
          <w:szCs w:val="22"/>
        </w:rPr>
        <w:t xml:space="preserve">) </w:t>
      </w:r>
      <w:r w:rsidR="007934B2" w:rsidRPr="008D51A5">
        <w:rPr>
          <w:rFonts w:asciiTheme="minorHAnsi" w:hAnsiTheme="minorHAnsi" w:cstheme="minorHAnsi"/>
          <w:sz w:val="22"/>
          <w:szCs w:val="22"/>
        </w:rPr>
        <w:t xml:space="preserve">supports formative research </w:t>
      </w:r>
      <w:r w:rsidR="00A31BA4" w:rsidRPr="008D51A5">
        <w:rPr>
          <w:rFonts w:asciiTheme="minorHAnsi" w:hAnsiTheme="minorHAnsi" w:cstheme="minorHAnsi"/>
          <w:sz w:val="22"/>
          <w:szCs w:val="22"/>
        </w:rPr>
        <w:t xml:space="preserve">recruiting </w:t>
      </w:r>
      <w:r w:rsidR="005221A1" w:rsidRPr="008D51A5">
        <w:rPr>
          <w:rFonts w:asciiTheme="minorHAnsi" w:hAnsiTheme="minorHAnsi" w:cstheme="minorHAnsi"/>
          <w:sz w:val="22"/>
          <w:szCs w:val="22"/>
        </w:rPr>
        <w:t>either NCS Vanguard Study participants or their demographically similar peers.</w:t>
      </w:r>
    </w:p>
    <w:p w:rsidR="00433E29" w:rsidRPr="008D51A5" w:rsidRDefault="00433E29" w:rsidP="00AB508A">
      <w:pPr>
        <w:spacing w:line="276" w:lineRule="auto"/>
        <w:rPr>
          <w:rFonts w:asciiTheme="minorHAnsi" w:hAnsiTheme="minorHAnsi" w:cstheme="minorHAnsi"/>
          <w:sz w:val="20"/>
        </w:rPr>
      </w:pPr>
    </w:p>
    <w:p w:rsidR="00AF29E5" w:rsidRPr="008D51A5" w:rsidRDefault="00433E29" w:rsidP="00AB508A">
      <w:pPr>
        <w:spacing w:line="276" w:lineRule="auto"/>
        <w:rPr>
          <w:rFonts w:asciiTheme="minorHAnsi" w:hAnsiTheme="minorHAnsi" w:cstheme="minorHAnsi"/>
          <w:sz w:val="22"/>
          <w:szCs w:val="22"/>
        </w:rPr>
      </w:pPr>
      <w:r w:rsidRPr="008D51A5">
        <w:rPr>
          <w:rFonts w:asciiTheme="minorHAnsi" w:hAnsiTheme="minorHAnsi" w:cstheme="minorHAnsi"/>
          <w:sz w:val="22"/>
          <w:szCs w:val="22"/>
        </w:rPr>
        <w:t xml:space="preserve">Phase 2 of LOI2 QUEX-14, a multi-site formative research project, will help inform the NCS on the feasibility, acceptability and costs of using the ASA24 Dietary Assessment </w:t>
      </w:r>
      <w:r w:rsidR="008B7A98" w:rsidRPr="008D51A5">
        <w:rPr>
          <w:rFonts w:asciiTheme="minorHAnsi" w:hAnsiTheme="minorHAnsi" w:cstheme="minorHAnsi"/>
          <w:sz w:val="22"/>
          <w:szCs w:val="22"/>
        </w:rPr>
        <w:t xml:space="preserve">in infants and toddlers, </w:t>
      </w:r>
      <w:r w:rsidRPr="008D51A5">
        <w:rPr>
          <w:rFonts w:asciiTheme="minorHAnsi" w:hAnsiTheme="minorHAnsi" w:cstheme="minorHAnsi"/>
          <w:sz w:val="22"/>
          <w:szCs w:val="22"/>
        </w:rPr>
        <w:t>compared to 24-hour dietary recall, the current gold standard for dietary assessment. ASA24 was developed by the National Cancer Institute (</w:t>
      </w:r>
      <w:hyperlink r:id="rId10" w:history="1">
        <w:r w:rsidRPr="008D51A5">
          <w:rPr>
            <w:rStyle w:val="Hyperlink"/>
            <w:rFonts w:asciiTheme="minorHAnsi" w:hAnsiTheme="minorHAnsi" w:cstheme="minorHAnsi"/>
            <w:sz w:val="22"/>
            <w:szCs w:val="22"/>
          </w:rPr>
          <w:t>http://riskfactor.cancer.gov/tools/instruments/asa24/</w:t>
        </w:r>
      </w:hyperlink>
      <w:r w:rsidR="00BC32A2" w:rsidRPr="008D51A5">
        <w:rPr>
          <w:rFonts w:asciiTheme="minorHAnsi" w:hAnsiTheme="minorHAnsi" w:cstheme="minorHAnsi"/>
          <w:sz w:val="22"/>
          <w:szCs w:val="22"/>
        </w:rPr>
        <w:t xml:space="preserve">), </w:t>
      </w:r>
      <w:r w:rsidRPr="008D51A5">
        <w:rPr>
          <w:rFonts w:asciiTheme="minorHAnsi" w:hAnsiTheme="minorHAnsi" w:cstheme="minorHAnsi"/>
          <w:sz w:val="22"/>
          <w:szCs w:val="22"/>
        </w:rPr>
        <w:t>is self-administered and non-proprietary.</w:t>
      </w:r>
      <w:r w:rsidR="00BC32A2" w:rsidRPr="008D51A5">
        <w:rPr>
          <w:rFonts w:asciiTheme="minorHAnsi" w:hAnsiTheme="minorHAnsi" w:cstheme="minorHAnsi"/>
          <w:sz w:val="22"/>
          <w:szCs w:val="22"/>
        </w:rPr>
        <w:t xml:space="preserve"> Evaluating feasibility, acceptability and cost of ASA24, reducing burden on participants and evaluating the scientific robustness of the proposed measures by acculturation status will be goals of Phase 2 of LOI2 QUEX-14.</w:t>
      </w:r>
      <w:r w:rsidRPr="008D51A5">
        <w:rPr>
          <w:rFonts w:asciiTheme="minorHAnsi" w:hAnsiTheme="minorHAnsi" w:cstheme="minorHAnsi"/>
          <w:sz w:val="22"/>
          <w:szCs w:val="22"/>
        </w:rPr>
        <w:t xml:space="preserve"> The table below provides the purpose of the study, the annual burden and other important information regarding LOI2-QUEX-14 Phase 2: Improving Dietary Assessment in Infants and Children.</w:t>
      </w:r>
    </w:p>
    <w:p w:rsidR="0016282B" w:rsidRPr="008D51A5" w:rsidRDefault="0016282B" w:rsidP="00AF29E5">
      <w:pPr>
        <w:rPr>
          <w:rFonts w:asciiTheme="minorHAnsi" w:hAnsiTheme="minorHAnsi" w:cstheme="minorHAnsi"/>
          <w:sz w:val="22"/>
          <w:szCs w:val="22"/>
        </w:rPr>
      </w:pPr>
    </w:p>
    <w:tbl>
      <w:tblPr>
        <w:tblStyle w:val="TableGrid"/>
        <w:tblpPr w:leftFromText="180" w:rightFromText="180" w:vertAnchor="text" w:horzAnchor="margin" w:tblpY="196"/>
        <w:tblW w:w="0" w:type="auto"/>
        <w:tblLook w:val="04A0" w:firstRow="1" w:lastRow="0" w:firstColumn="1" w:lastColumn="0" w:noHBand="0" w:noVBand="1"/>
      </w:tblPr>
      <w:tblGrid>
        <w:gridCol w:w="1434"/>
        <w:gridCol w:w="2054"/>
        <w:gridCol w:w="1313"/>
        <w:gridCol w:w="1921"/>
        <w:gridCol w:w="2386"/>
      </w:tblGrid>
      <w:tr w:rsidR="00AF29E5" w:rsidRPr="008D51A5" w:rsidTr="00AF29E5">
        <w:tc>
          <w:tcPr>
            <w:tcW w:w="9108" w:type="dxa"/>
            <w:gridSpan w:val="5"/>
            <w:shd w:val="clear" w:color="auto" w:fill="5F497A" w:themeFill="accent4" w:themeFillShade="BF"/>
          </w:tcPr>
          <w:p w:rsidR="00AF29E5" w:rsidRPr="008D51A5" w:rsidRDefault="00AF29E5"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Table 3: LOI2-QUEX-14-Phase 2 Summary</w:t>
            </w:r>
          </w:p>
        </w:tc>
      </w:tr>
      <w:tr w:rsidR="00AF29E5" w:rsidRPr="008D51A5" w:rsidTr="00AF29E5">
        <w:tc>
          <w:tcPr>
            <w:tcW w:w="1434" w:type="dxa"/>
            <w:shd w:val="clear" w:color="auto" w:fill="5F497A" w:themeFill="accent4" w:themeFillShade="BF"/>
          </w:tcPr>
          <w:p w:rsidR="00AF29E5" w:rsidRPr="008D51A5" w:rsidRDefault="00AF29E5"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Project Title</w:t>
            </w:r>
          </w:p>
        </w:tc>
        <w:tc>
          <w:tcPr>
            <w:tcW w:w="2054" w:type="dxa"/>
            <w:shd w:val="clear" w:color="auto" w:fill="5F497A" w:themeFill="accent4" w:themeFillShade="BF"/>
          </w:tcPr>
          <w:p w:rsidR="00AF29E5" w:rsidRPr="008D51A5" w:rsidRDefault="00AF29E5"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Purpose</w:t>
            </w:r>
          </w:p>
        </w:tc>
        <w:tc>
          <w:tcPr>
            <w:tcW w:w="1313" w:type="dxa"/>
            <w:shd w:val="clear" w:color="auto" w:fill="5F497A" w:themeFill="accent4" w:themeFillShade="BF"/>
          </w:tcPr>
          <w:p w:rsidR="00AF29E5" w:rsidRPr="008D51A5" w:rsidRDefault="00AF29E5"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Proposed Information Collection</w:t>
            </w:r>
          </w:p>
        </w:tc>
        <w:tc>
          <w:tcPr>
            <w:tcW w:w="1921" w:type="dxa"/>
            <w:shd w:val="clear" w:color="auto" w:fill="5F497A" w:themeFill="accent4" w:themeFillShade="BF"/>
          </w:tcPr>
          <w:p w:rsidR="00AF29E5" w:rsidRPr="008D51A5" w:rsidRDefault="00AF29E5"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Rational for Inclusion in Vanguard Study</w:t>
            </w:r>
          </w:p>
        </w:tc>
        <w:tc>
          <w:tcPr>
            <w:tcW w:w="2386" w:type="dxa"/>
            <w:shd w:val="clear" w:color="auto" w:fill="5F497A" w:themeFill="accent4" w:themeFillShade="BF"/>
          </w:tcPr>
          <w:p w:rsidR="00AF29E5" w:rsidRPr="008D51A5" w:rsidRDefault="00AF29E5" w:rsidP="00AF29E5">
            <w:pPr>
              <w:rPr>
                <w:rFonts w:asciiTheme="minorHAnsi" w:hAnsiTheme="minorHAnsi" w:cstheme="minorHAnsi"/>
                <w:b/>
                <w:color w:val="FFFFFF" w:themeColor="background1"/>
                <w:sz w:val="22"/>
                <w:szCs w:val="22"/>
              </w:rPr>
            </w:pPr>
            <w:r w:rsidRPr="008D51A5">
              <w:rPr>
                <w:rFonts w:asciiTheme="minorHAnsi" w:hAnsiTheme="minorHAnsi" w:cstheme="minorHAnsi"/>
                <w:b/>
                <w:color w:val="FFFFFF" w:themeColor="background1"/>
                <w:sz w:val="22"/>
                <w:szCs w:val="22"/>
              </w:rPr>
              <w:t>Respondent Burden Hours (annual)</w:t>
            </w:r>
          </w:p>
        </w:tc>
      </w:tr>
      <w:tr w:rsidR="00AF29E5" w:rsidRPr="008D51A5" w:rsidTr="00AF29E5">
        <w:tc>
          <w:tcPr>
            <w:tcW w:w="1434" w:type="dxa"/>
            <w:shd w:val="clear" w:color="auto" w:fill="E5DFEC" w:themeFill="accent4" w:themeFillTint="33"/>
          </w:tcPr>
          <w:p w:rsidR="00AF29E5" w:rsidRPr="008D51A5" w:rsidRDefault="00AF29E5" w:rsidP="00AF29E5">
            <w:pPr>
              <w:rPr>
                <w:rFonts w:asciiTheme="minorHAnsi" w:hAnsiTheme="minorHAnsi" w:cstheme="minorHAnsi"/>
                <w:sz w:val="22"/>
                <w:szCs w:val="22"/>
              </w:rPr>
            </w:pPr>
            <w:r w:rsidRPr="008D51A5">
              <w:rPr>
                <w:rFonts w:asciiTheme="minorHAnsi" w:hAnsiTheme="minorHAnsi" w:cstheme="minorHAnsi"/>
                <w:sz w:val="22"/>
                <w:szCs w:val="22"/>
              </w:rPr>
              <w:t>Improving Dietary Assessment in Infants and Children</w:t>
            </w:r>
          </w:p>
        </w:tc>
        <w:tc>
          <w:tcPr>
            <w:tcW w:w="2054" w:type="dxa"/>
            <w:shd w:val="clear" w:color="auto" w:fill="E5DFEC" w:themeFill="accent4" w:themeFillTint="33"/>
          </w:tcPr>
          <w:p w:rsidR="00AF29E5" w:rsidRPr="008D51A5" w:rsidRDefault="00AF29E5" w:rsidP="00AF29E5">
            <w:pPr>
              <w:rPr>
                <w:rFonts w:asciiTheme="minorHAnsi" w:hAnsiTheme="minorHAnsi" w:cstheme="minorHAnsi"/>
                <w:sz w:val="22"/>
                <w:szCs w:val="22"/>
              </w:rPr>
            </w:pPr>
            <w:r w:rsidRPr="008D51A5">
              <w:rPr>
                <w:rFonts w:asciiTheme="minorHAnsi" w:hAnsiTheme="minorHAnsi" w:cstheme="minorHAnsi"/>
                <w:sz w:val="22"/>
                <w:szCs w:val="22"/>
              </w:rPr>
              <w:t xml:space="preserve">To compare feasibility   acceptability   and cost of the Automated Self-Administered 24-hour Recall (ASA24) methods and Infant and Child Feeding Questionnaires. Additionally, measures of acculturation status will be evaluated.  </w:t>
            </w:r>
          </w:p>
        </w:tc>
        <w:tc>
          <w:tcPr>
            <w:tcW w:w="1313" w:type="dxa"/>
            <w:shd w:val="clear" w:color="auto" w:fill="E5DFEC" w:themeFill="accent4" w:themeFillTint="33"/>
          </w:tcPr>
          <w:p w:rsidR="00AF29E5" w:rsidRPr="008D51A5" w:rsidRDefault="00AF29E5" w:rsidP="00AF29E5">
            <w:pPr>
              <w:rPr>
                <w:rFonts w:asciiTheme="minorHAnsi" w:hAnsiTheme="minorHAnsi" w:cstheme="minorHAnsi"/>
                <w:sz w:val="22"/>
                <w:szCs w:val="22"/>
              </w:rPr>
            </w:pPr>
            <w:r w:rsidRPr="008D51A5">
              <w:rPr>
                <w:rFonts w:asciiTheme="minorHAnsi" w:hAnsiTheme="minorHAnsi" w:cstheme="minorHAnsi"/>
                <w:sz w:val="22"/>
                <w:szCs w:val="22"/>
              </w:rPr>
              <w:t>Multiple days of 24-hour dietary recall and ASA 24</w:t>
            </w:r>
          </w:p>
        </w:tc>
        <w:tc>
          <w:tcPr>
            <w:tcW w:w="1921" w:type="dxa"/>
            <w:shd w:val="clear" w:color="auto" w:fill="E5DFEC" w:themeFill="accent4" w:themeFillTint="33"/>
          </w:tcPr>
          <w:p w:rsidR="00AF29E5" w:rsidRPr="008D51A5" w:rsidRDefault="00AF29E5" w:rsidP="00AF29E5">
            <w:pPr>
              <w:rPr>
                <w:rFonts w:asciiTheme="minorHAnsi" w:hAnsiTheme="minorHAnsi" w:cstheme="minorHAnsi"/>
                <w:sz w:val="22"/>
                <w:szCs w:val="22"/>
              </w:rPr>
            </w:pPr>
            <w:r w:rsidRPr="008D51A5">
              <w:rPr>
                <w:rFonts w:asciiTheme="minorHAnsi" w:hAnsiTheme="minorHAnsi" w:cstheme="minorHAnsi"/>
                <w:sz w:val="22"/>
                <w:szCs w:val="22"/>
              </w:rPr>
              <w:t>Utilization of the Web-based ASA24 tool may reduce participant burden and will improve accuracy in participant response compared to the paper-based Infant and Child Feeding Questionnaires.</w:t>
            </w:r>
          </w:p>
        </w:tc>
        <w:tc>
          <w:tcPr>
            <w:tcW w:w="2386" w:type="dxa"/>
            <w:shd w:val="clear" w:color="auto" w:fill="E5DFEC" w:themeFill="accent4" w:themeFillTint="33"/>
          </w:tcPr>
          <w:p w:rsidR="00AF29E5" w:rsidRPr="008D51A5" w:rsidRDefault="0040436F" w:rsidP="00AF29E5">
            <w:pPr>
              <w:rPr>
                <w:rFonts w:asciiTheme="minorHAnsi" w:hAnsiTheme="minorHAnsi" w:cstheme="minorHAnsi"/>
                <w:sz w:val="22"/>
                <w:szCs w:val="22"/>
              </w:rPr>
            </w:pPr>
            <w:r w:rsidRPr="008D51A5">
              <w:rPr>
                <w:rFonts w:asciiTheme="minorHAnsi" w:hAnsiTheme="minorHAnsi" w:cstheme="minorHAnsi"/>
                <w:sz w:val="22"/>
                <w:szCs w:val="22"/>
              </w:rPr>
              <w:t>1,322</w:t>
            </w:r>
          </w:p>
        </w:tc>
      </w:tr>
    </w:tbl>
    <w:p w:rsidR="00AF29E5" w:rsidRPr="008D51A5" w:rsidRDefault="00AF29E5" w:rsidP="00AF29E5">
      <w:pPr>
        <w:rPr>
          <w:rFonts w:asciiTheme="minorHAnsi" w:hAnsiTheme="minorHAnsi" w:cstheme="minorHAnsi"/>
          <w:b/>
          <w:sz w:val="22"/>
          <w:szCs w:val="22"/>
        </w:rPr>
      </w:pPr>
    </w:p>
    <w:p w:rsidR="009166AE" w:rsidRPr="008D51A5" w:rsidRDefault="009166AE" w:rsidP="00AF29E5">
      <w:pPr>
        <w:rPr>
          <w:rFonts w:asciiTheme="minorHAnsi" w:hAnsiTheme="minorHAnsi" w:cstheme="minorHAnsi"/>
          <w:b/>
          <w:sz w:val="22"/>
          <w:szCs w:val="22"/>
        </w:rPr>
      </w:pPr>
      <w:r w:rsidRPr="008D51A5">
        <w:rPr>
          <w:rFonts w:asciiTheme="minorHAnsi" w:hAnsiTheme="minorHAnsi" w:cstheme="minorHAnsi"/>
          <w:b/>
          <w:sz w:val="22"/>
          <w:szCs w:val="22"/>
        </w:rPr>
        <w:t>List of Attachments</w:t>
      </w:r>
    </w:p>
    <w:p w:rsidR="00785748" w:rsidRPr="008D51A5" w:rsidRDefault="00785748"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Attach B1. LOI2-QUEX-14 OIRA Template</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2</w:t>
      </w:r>
      <w:r w:rsidR="003B2154" w:rsidRPr="008D51A5">
        <w:rPr>
          <w:rFonts w:asciiTheme="minorHAnsi" w:hAnsiTheme="minorHAnsi" w:cstheme="minorHAnsi"/>
          <w:sz w:val="22"/>
          <w:szCs w:val="22"/>
        </w:rPr>
        <w:t xml:space="preserve">. </w:t>
      </w:r>
      <w:r w:rsidRPr="008D51A5">
        <w:rPr>
          <w:rFonts w:asciiTheme="minorHAnsi" w:hAnsiTheme="minorHAnsi" w:cstheme="minorHAnsi"/>
          <w:sz w:val="22"/>
          <w:szCs w:val="22"/>
        </w:rPr>
        <w:t xml:space="preserve">LOI2-QUEX-14 Exemplar Consent Form </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3</w:t>
      </w:r>
      <w:r w:rsidR="003B2154" w:rsidRPr="008D51A5">
        <w:rPr>
          <w:rFonts w:asciiTheme="minorHAnsi" w:hAnsiTheme="minorHAnsi" w:cstheme="minorHAnsi"/>
          <w:sz w:val="22"/>
          <w:szCs w:val="22"/>
        </w:rPr>
        <w:t>.</w:t>
      </w:r>
      <w:r w:rsidRPr="008D51A5">
        <w:rPr>
          <w:rFonts w:asciiTheme="minorHAnsi" w:hAnsiTheme="minorHAnsi" w:cstheme="minorHAnsi"/>
          <w:sz w:val="22"/>
          <w:szCs w:val="22"/>
        </w:rPr>
        <w:t xml:space="preserve"> </w:t>
      </w:r>
      <w:r w:rsidR="003B2154" w:rsidRPr="008D51A5">
        <w:rPr>
          <w:rFonts w:asciiTheme="minorHAnsi" w:hAnsiTheme="minorHAnsi" w:cstheme="minorHAnsi"/>
          <w:sz w:val="22"/>
          <w:szCs w:val="22"/>
        </w:rPr>
        <w:t xml:space="preserve"> </w:t>
      </w:r>
      <w:r w:rsidRPr="008D51A5">
        <w:rPr>
          <w:rFonts w:asciiTheme="minorHAnsi" w:hAnsiTheme="minorHAnsi" w:cstheme="minorHAnsi"/>
          <w:sz w:val="22"/>
          <w:szCs w:val="22"/>
        </w:rPr>
        <w:t xml:space="preserve">LOI2-QUEX-14 SocioDemographics Questionnaire </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4</w:t>
      </w:r>
      <w:r w:rsidR="003B2154" w:rsidRPr="008D51A5">
        <w:rPr>
          <w:rFonts w:asciiTheme="minorHAnsi" w:hAnsiTheme="minorHAnsi" w:cstheme="minorHAnsi"/>
          <w:sz w:val="22"/>
          <w:szCs w:val="22"/>
        </w:rPr>
        <w:t>.</w:t>
      </w:r>
      <w:r w:rsidRPr="008D51A5">
        <w:rPr>
          <w:rFonts w:asciiTheme="minorHAnsi" w:hAnsiTheme="minorHAnsi" w:cstheme="minorHAnsi"/>
          <w:sz w:val="22"/>
          <w:szCs w:val="22"/>
        </w:rPr>
        <w:t xml:space="preserve"> </w:t>
      </w:r>
      <w:r w:rsidR="003B2154" w:rsidRPr="008D51A5">
        <w:rPr>
          <w:rFonts w:asciiTheme="minorHAnsi" w:hAnsiTheme="minorHAnsi" w:cstheme="minorHAnsi"/>
          <w:sz w:val="22"/>
          <w:szCs w:val="22"/>
        </w:rPr>
        <w:t xml:space="preserve"> </w:t>
      </w:r>
      <w:r w:rsidRPr="008D51A5">
        <w:rPr>
          <w:rFonts w:asciiTheme="minorHAnsi" w:hAnsiTheme="minorHAnsi" w:cstheme="minorHAnsi"/>
          <w:sz w:val="22"/>
          <w:szCs w:val="22"/>
        </w:rPr>
        <w:t xml:space="preserve">LOI2-QUEX-14 ASA24 Instructions </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5</w:t>
      </w:r>
      <w:r w:rsidR="003B2154" w:rsidRPr="008D51A5">
        <w:rPr>
          <w:rFonts w:asciiTheme="minorHAnsi" w:hAnsiTheme="minorHAnsi" w:cstheme="minorHAnsi"/>
          <w:sz w:val="22"/>
          <w:szCs w:val="22"/>
        </w:rPr>
        <w:t xml:space="preserve">. </w:t>
      </w:r>
      <w:r w:rsidRPr="008D51A5">
        <w:rPr>
          <w:rFonts w:asciiTheme="minorHAnsi" w:hAnsiTheme="minorHAnsi" w:cstheme="minorHAnsi"/>
          <w:sz w:val="22"/>
          <w:szCs w:val="22"/>
        </w:rPr>
        <w:t xml:space="preserve"> LOI2-QUEX-14 ASA24 Protocol </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6</w:t>
      </w:r>
      <w:r w:rsidR="003B2154" w:rsidRPr="008D51A5">
        <w:rPr>
          <w:rFonts w:asciiTheme="minorHAnsi" w:hAnsiTheme="minorHAnsi" w:cstheme="minorHAnsi"/>
          <w:sz w:val="22"/>
          <w:szCs w:val="22"/>
        </w:rPr>
        <w:t xml:space="preserve">. </w:t>
      </w:r>
      <w:r w:rsidRPr="008D51A5">
        <w:rPr>
          <w:rFonts w:asciiTheme="minorHAnsi" w:hAnsiTheme="minorHAnsi" w:cstheme="minorHAnsi"/>
          <w:sz w:val="22"/>
          <w:szCs w:val="22"/>
        </w:rPr>
        <w:t xml:space="preserve"> LOI2-QUEX-14 Food Diary Instructions-Parent</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7</w:t>
      </w:r>
      <w:r w:rsidR="003B2154" w:rsidRPr="008D51A5">
        <w:rPr>
          <w:rFonts w:asciiTheme="minorHAnsi" w:hAnsiTheme="minorHAnsi" w:cstheme="minorHAnsi"/>
          <w:sz w:val="22"/>
          <w:szCs w:val="22"/>
        </w:rPr>
        <w:t xml:space="preserve">. </w:t>
      </w:r>
      <w:r w:rsidRPr="008D51A5">
        <w:rPr>
          <w:rFonts w:asciiTheme="minorHAnsi" w:hAnsiTheme="minorHAnsi" w:cstheme="minorHAnsi"/>
          <w:sz w:val="22"/>
          <w:szCs w:val="22"/>
        </w:rPr>
        <w:t xml:space="preserve"> LOI2-QUEX-14 Infant Acceptability #1</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8</w:t>
      </w:r>
      <w:r w:rsidR="003B2154" w:rsidRPr="008D51A5">
        <w:rPr>
          <w:rFonts w:asciiTheme="minorHAnsi" w:hAnsiTheme="minorHAnsi" w:cstheme="minorHAnsi"/>
          <w:sz w:val="22"/>
          <w:szCs w:val="22"/>
        </w:rPr>
        <w:t>.</w:t>
      </w:r>
      <w:r w:rsidRPr="008D51A5">
        <w:rPr>
          <w:rFonts w:asciiTheme="minorHAnsi" w:hAnsiTheme="minorHAnsi" w:cstheme="minorHAnsi"/>
          <w:sz w:val="22"/>
          <w:szCs w:val="22"/>
        </w:rPr>
        <w:t xml:space="preserve"> </w:t>
      </w:r>
      <w:r w:rsidR="003B2154" w:rsidRPr="008D51A5">
        <w:rPr>
          <w:rFonts w:asciiTheme="minorHAnsi" w:hAnsiTheme="minorHAnsi" w:cstheme="minorHAnsi"/>
          <w:sz w:val="22"/>
          <w:szCs w:val="22"/>
        </w:rPr>
        <w:t xml:space="preserve"> </w:t>
      </w:r>
      <w:r w:rsidRPr="008D51A5">
        <w:rPr>
          <w:rFonts w:asciiTheme="minorHAnsi" w:hAnsiTheme="minorHAnsi" w:cstheme="minorHAnsi"/>
          <w:sz w:val="22"/>
          <w:szCs w:val="22"/>
        </w:rPr>
        <w:t>LOI2-QUEX-14 Infant Acceptability #2</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9</w:t>
      </w:r>
      <w:r w:rsidR="003B2154" w:rsidRPr="008D51A5">
        <w:rPr>
          <w:rFonts w:asciiTheme="minorHAnsi" w:hAnsiTheme="minorHAnsi" w:cstheme="minorHAnsi"/>
          <w:sz w:val="22"/>
          <w:szCs w:val="22"/>
        </w:rPr>
        <w:t>.</w:t>
      </w:r>
      <w:r w:rsidRPr="008D51A5">
        <w:rPr>
          <w:rFonts w:asciiTheme="minorHAnsi" w:hAnsiTheme="minorHAnsi" w:cstheme="minorHAnsi"/>
          <w:sz w:val="22"/>
          <w:szCs w:val="22"/>
        </w:rPr>
        <w:t xml:space="preserve"> </w:t>
      </w:r>
      <w:r w:rsidR="003B2154" w:rsidRPr="008D51A5">
        <w:rPr>
          <w:rFonts w:asciiTheme="minorHAnsi" w:hAnsiTheme="minorHAnsi" w:cstheme="minorHAnsi"/>
          <w:sz w:val="22"/>
          <w:szCs w:val="22"/>
        </w:rPr>
        <w:t xml:space="preserve"> </w:t>
      </w:r>
      <w:r w:rsidRPr="008D51A5">
        <w:rPr>
          <w:rFonts w:asciiTheme="minorHAnsi" w:hAnsiTheme="minorHAnsi" w:cstheme="minorHAnsi"/>
          <w:sz w:val="22"/>
          <w:szCs w:val="22"/>
        </w:rPr>
        <w:t>LOI2-QUEX-14 Child Acceptability #1</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10</w:t>
      </w:r>
      <w:r w:rsidR="003B2154" w:rsidRPr="008D51A5">
        <w:rPr>
          <w:rFonts w:asciiTheme="minorHAnsi" w:hAnsiTheme="minorHAnsi" w:cstheme="minorHAnsi"/>
          <w:sz w:val="22"/>
          <w:szCs w:val="22"/>
        </w:rPr>
        <w:t>.</w:t>
      </w:r>
      <w:r w:rsidRPr="008D51A5">
        <w:rPr>
          <w:rFonts w:asciiTheme="minorHAnsi" w:hAnsiTheme="minorHAnsi" w:cstheme="minorHAnsi"/>
          <w:sz w:val="22"/>
          <w:szCs w:val="22"/>
        </w:rPr>
        <w:t xml:space="preserve"> LOI2-QUEX-14 Child Acceptability #2</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11</w:t>
      </w:r>
      <w:r w:rsidR="003B2154" w:rsidRPr="008D51A5">
        <w:rPr>
          <w:rFonts w:asciiTheme="minorHAnsi" w:hAnsiTheme="minorHAnsi" w:cstheme="minorHAnsi"/>
          <w:sz w:val="22"/>
          <w:szCs w:val="22"/>
        </w:rPr>
        <w:t>.</w:t>
      </w:r>
      <w:r w:rsidRPr="008D51A5">
        <w:rPr>
          <w:rFonts w:asciiTheme="minorHAnsi" w:hAnsiTheme="minorHAnsi" w:cstheme="minorHAnsi"/>
          <w:sz w:val="22"/>
          <w:szCs w:val="22"/>
        </w:rPr>
        <w:t xml:space="preserve"> LOI2-QUEX-14 Infant Feeding Questionnaire</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lastRenderedPageBreak/>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12</w:t>
      </w:r>
      <w:r w:rsidR="003B2154" w:rsidRPr="008D51A5">
        <w:rPr>
          <w:rFonts w:asciiTheme="minorHAnsi" w:hAnsiTheme="minorHAnsi" w:cstheme="minorHAnsi"/>
          <w:sz w:val="22"/>
          <w:szCs w:val="22"/>
        </w:rPr>
        <w:t>.</w:t>
      </w:r>
      <w:r w:rsidRPr="008D51A5">
        <w:rPr>
          <w:rFonts w:asciiTheme="minorHAnsi" w:hAnsiTheme="minorHAnsi" w:cstheme="minorHAnsi"/>
          <w:sz w:val="22"/>
          <w:szCs w:val="22"/>
        </w:rPr>
        <w:t xml:space="preserve"> LOI2-QUEX-14 Child Food Questionnaire</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13</w:t>
      </w:r>
      <w:r w:rsidR="003B2154" w:rsidRPr="008D51A5">
        <w:rPr>
          <w:rFonts w:asciiTheme="minorHAnsi" w:hAnsiTheme="minorHAnsi" w:cstheme="minorHAnsi"/>
          <w:sz w:val="22"/>
          <w:szCs w:val="22"/>
        </w:rPr>
        <w:t>.</w:t>
      </w:r>
      <w:r w:rsidRPr="008D51A5">
        <w:rPr>
          <w:rFonts w:asciiTheme="minorHAnsi" w:hAnsiTheme="minorHAnsi" w:cstheme="minorHAnsi"/>
          <w:sz w:val="22"/>
          <w:szCs w:val="22"/>
        </w:rPr>
        <w:t xml:space="preserve"> LOI2-QUEX-14 IRB Approval Letters</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14</w:t>
      </w:r>
      <w:r w:rsidR="003B2154" w:rsidRPr="008D51A5">
        <w:rPr>
          <w:rFonts w:asciiTheme="minorHAnsi" w:hAnsiTheme="minorHAnsi" w:cstheme="minorHAnsi"/>
          <w:sz w:val="22"/>
          <w:szCs w:val="22"/>
        </w:rPr>
        <w:t>.</w:t>
      </w:r>
      <w:r w:rsidRPr="008D51A5">
        <w:rPr>
          <w:rFonts w:asciiTheme="minorHAnsi" w:hAnsiTheme="minorHAnsi" w:cstheme="minorHAnsi"/>
          <w:sz w:val="22"/>
          <w:szCs w:val="22"/>
        </w:rPr>
        <w:t xml:space="preserve"> LOI2-QUEX-14 Manual of Procedures</w:t>
      </w:r>
    </w:p>
    <w:p w:rsidR="00D37837"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15</w:t>
      </w:r>
      <w:r w:rsidR="003B2154" w:rsidRPr="008D51A5">
        <w:rPr>
          <w:rFonts w:asciiTheme="minorHAnsi" w:hAnsiTheme="minorHAnsi" w:cstheme="minorHAnsi"/>
          <w:sz w:val="22"/>
          <w:szCs w:val="22"/>
        </w:rPr>
        <w:t>.</w:t>
      </w:r>
      <w:r w:rsidRPr="008D51A5">
        <w:rPr>
          <w:rFonts w:asciiTheme="minorHAnsi" w:hAnsiTheme="minorHAnsi" w:cstheme="minorHAnsi"/>
          <w:sz w:val="22"/>
          <w:szCs w:val="22"/>
        </w:rPr>
        <w:t xml:space="preserve"> LOI2-QUEX-14 Exemplar Recruitment Flyer</w:t>
      </w:r>
    </w:p>
    <w:p w:rsidR="004864B8" w:rsidRPr="008D51A5" w:rsidRDefault="00D37837" w:rsidP="00AF29E5">
      <w:pPr>
        <w:pStyle w:val="ListParagraph"/>
        <w:tabs>
          <w:tab w:val="left" w:pos="180"/>
        </w:tabs>
        <w:ind w:left="0"/>
        <w:rPr>
          <w:rFonts w:asciiTheme="minorHAnsi" w:hAnsiTheme="minorHAnsi" w:cstheme="minorHAnsi"/>
          <w:sz w:val="22"/>
          <w:szCs w:val="22"/>
        </w:rPr>
      </w:pPr>
      <w:r w:rsidRPr="008D51A5">
        <w:rPr>
          <w:rFonts w:asciiTheme="minorHAnsi" w:hAnsiTheme="minorHAnsi" w:cstheme="minorHAnsi"/>
          <w:sz w:val="22"/>
          <w:szCs w:val="22"/>
        </w:rPr>
        <w:t xml:space="preserve">Attach </w:t>
      </w:r>
      <w:r w:rsidR="003B2154" w:rsidRPr="008D51A5">
        <w:rPr>
          <w:rFonts w:asciiTheme="minorHAnsi" w:hAnsiTheme="minorHAnsi" w:cstheme="minorHAnsi"/>
          <w:sz w:val="22"/>
          <w:szCs w:val="22"/>
        </w:rPr>
        <w:t>B</w:t>
      </w:r>
      <w:r w:rsidRPr="008D51A5">
        <w:rPr>
          <w:rFonts w:asciiTheme="minorHAnsi" w:hAnsiTheme="minorHAnsi" w:cstheme="minorHAnsi"/>
          <w:sz w:val="22"/>
          <w:szCs w:val="22"/>
        </w:rPr>
        <w:t>16</w:t>
      </w:r>
      <w:r w:rsidR="003B2154" w:rsidRPr="008D51A5">
        <w:rPr>
          <w:rFonts w:asciiTheme="minorHAnsi" w:hAnsiTheme="minorHAnsi" w:cstheme="minorHAnsi"/>
          <w:sz w:val="22"/>
          <w:szCs w:val="22"/>
        </w:rPr>
        <w:t>.</w:t>
      </w:r>
      <w:r w:rsidRPr="008D51A5">
        <w:rPr>
          <w:rFonts w:asciiTheme="minorHAnsi" w:hAnsiTheme="minorHAnsi" w:cstheme="minorHAnsi"/>
          <w:sz w:val="22"/>
          <w:szCs w:val="22"/>
        </w:rPr>
        <w:t xml:space="preserve"> L</w:t>
      </w:r>
      <w:r w:rsidR="00A50DE6" w:rsidRPr="008D51A5">
        <w:rPr>
          <w:rFonts w:asciiTheme="minorHAnsi" w:hAnsiTheme="minorHAnsi" w:cstheme="minorHAnsi"/>
          <w:sz w:val="22"/>
          <w:szCs w:val="22"/>
        </w:rPr>
        <w:t>OI2-QUEX-14 Recruitment Screener</w:t>
      </w:r>
    </w:p>
    <w:p w:rsidR="00E1678C" w:rsidRPr="008D51A5" w:rsidRDefault="00E1678C" w:rsidP="00AF29E5">
      <w:pPr>
        <w:pStyle w:val="ListParagraph"/>
        <w:tabs>
          <w:tab w:val="left" w:pos="180"/>
        </w:tabs>
        <w:ind w:left="0"/>
        <w:rPr>
          <w:rFonts w:asciiTheme="minorHAnsi" w:hAnsiTheme="minorHAnsi" w:cstheme="minorHAnsi"/>
          <w:sz w:val="22"/>
          <w:szCs w:val="22"/>
        </w:rPr>
      </w:pPr>
    </w:p>
    <w:p w:rsidR="00FF4CF2" w:rsidRPr="008D51A5" w:rsidRDefault="004928D3" w:rsidP="00AF29E5">
      <w:pPr>
        <w:rPr>
          <w:rFonts w:asciiTheme="minorHAnsi" w:hAnsiTheme="minorHAnsi" w:cstheme="minorHAnsi"/>
          <w:b/>
          <w:sz w:val="22"/>
          <w:szCs w:val="22"/>
        </w:rPr>
      </w:pPr>
      <w:r w:rsidRPr="008D51A5">
        <w:rPr>
          <w:rFonts w:asciiTheme="minorHAnsi" w:hAnsiTheme="minorHAnsi" w:cstheme="minorHAnsi"/>
          <w:b/>
          <w:sz w:val="22"/>
          <w:szCs w:val="22"/>
        </w:rPr>
        <w:t>2</w:t>
      </w:r>
      <w:r w:rsidR="00FF4CF2" w:rsidRPr="008D51A5">
        <w:rPr>
          <w:rFonts w:asciiTheme="minorHAnsi" w:hAnsiTheme="minorHAnsi" w:cstheme="minorHAnsi"/>
          <w:b/>
          <w:sz w:val="22"/>
          <w:szCs w:val="22"/>
        </w:rPr>
        <w:t>. Specimen Collection in the Provider-Based Sampling Cohort</w:t>
      </w:r>
    </w:p>
    <w:p w:rsidR="00FF4CF2" w:rsidRPr="008D51A5" w:rsidRDefault="00FF4CF2" w:rsidP="00AF29E5">
      <w:pPr>
        <w:rPr>
          <w:rFonts w:asciiTheme="minorHAnsi" w:hAnsiTheme="minorHAnsi" w:cstheme="minorHAnsi"/>
          <w:b/>
          <w:sz w:val="22"/>
          <w:szCs w:val="22"/>
        </w:rPr>
      </w:pPr>
    </w:p>
    <w:p w:rsidR="00D10742" w:rsidRPr="008D51A5" w:rsidRDefault="0012513D" w:rsidP="00C77A37">
      <w:pPr>
        <w:spacing w:line="276" w:lineRule="auto"/>
        <w:rPr>
          <w:rFonts w:asciiTheme="minorHAnsi" w:hAnsiTheme="minorHAnsi" w:cstheme="minorHAnsi"/>
          <w:sz w:val="22"/>
          <w:szCs w:val="22"/>
        </w:rPr>
      </w:pPr>
      <w:r w:rsidRPr="008D51A5">
        <w:rPr>
          <w:rFonts w:asciiTheme="minorHAnsi" w:hAnsiTheme="minorHAnsi" w:cstheme="minorHAnsi"/>
          <w:sz w:val="22"/>
          <w:szCs w:val="22"/>
        </w:rPr>
        <w:t>T</w:t>
      </w:r>
      <w:r w:rsidR="00FF4CF2" w:rsidRPr="008D51A5">
        <w:rPr>
          <w:rFonts w:asciiTheme="minorHAnsi" w:hAnsiTheme="minorHAnsi" w:cstheme="minorHAnsi"/>
          <w:sz w:val="22"/>
          <w:szCs w:val="22"/>
        </w:rPr>
        <w:t xml:space="preserve">he Provider-Based Sampling (PBS) Feasibility Study </w:t>
      </w:r>
      <w:r w:rsidRPr="008D51A5">
        <w:rPr>
          <w:rFonts w:asciiTheme="minorHAnsi" w:hAnsiTheme="minorHAnsi" w:cstheme="minorHAnsi"/>
          <w:sz w:val="22"/>
          <w:szCs w:val="22"/>
        </w:rPr>
        <w:t xml:space="preserve">is expected to yield an </w:t>
      </w:r>
      <w:r w:rsidR="00FF4CF2" w:rsidRPr="008D51A5">
        <w:rPr>
          <w:rFonts w:asciiTheme="minorHAnsi" w:hAnsiTheme="minorHAnsi" w:cstheme="minorHAnsi"/>
          <w:sz w:val="22"/>
          <w:szCs w:val="22"/>
        </w:rPr>
        <w:t>N=750 births</w:t>
      </w:r>
      <w:r w:rsidRPr="008D51A5">
        <w:rPr>
          <w:rFonts w:asciiTheme="minorHAnsi" w:hAnsiTheme="minorHAnsi" w:cstheme="minorHAnsi"/>
          <w:sz w:val="22"/>
          <w:szCs w:val="22"/>
        </w:rPr>
        <w:t xml:space="preserve"> from across the three Study Centers participating</w:t>
      </w:r>
      <w:r w:rsidR="00FF4CF2" w:rsidRPr="008D51A5">
        <w:rPr>
          <w:rFonts w:asciiTheme="minorHAnsi" w:hAnsiTheme="minorHAnsi" w:cstheme="minorHAnsi"/>
          <w:sz w:val="22"/>
          <w:szCs w:val="22"/>
        </w:rPr>
        <w:t>) (</w:t>
      </w:r>
      <w:hyperlink r:id="rId11" w:history="1">
        <w:r w:rsidR="00FF4CF2" w:rsidRPr="008D51A5">
          <w:rPr>
            <w:rStyle w:val="Hyperlink"/>
            <w:rFonts w:asciiTheme="minorHAnsi" w:hAnsiTheme="minorHAnsi" w:cstheme="minorHAnsi"/>
            <w:sz w:val="22"/>
            <w:szCs w:val="22"/>
          </w:rPr>
          <w:t>60-day FRN</w:t>
        </w:r>
      </w:hyperlink>
      <w:r w:rsidR="00FF4CF2" w:rsidRPr="008D51A5">
        <w:rPr>
          <w:rFonts w:asciiTheme="minorHAnsi" w:hAnsiTheme="minorHAnsi" w:cstheme="minorHAnsi"/>
          <w:sz w:val="22"/>
          <w:szCs w:val="22"/>
        </w:rPr>
        <w:t xml:space="preserve"> published on 1/30/2012 and </w:t>
      </w:r>
      <w:hyperlink r:id="rId12" w:history="1">
        <w:r w:rsidR="00FF4CF2" w:rsidRPr="008D51A5">
          <w:rPr>
            <w:rStyle w:val="Hyperlink"/>
            <w:rFonts w:asciiTheme="minorHAnsi" w:hAnsiTheme="minorHAnsi" w:cstheme="minorHAnsi"/>
            <w:sz w:val="22"/>
            <w:szCs w:val="22"/>
          </w:rPr>
          <w:t>30-day FRN</w:t>
        </w:r>
      </w:hyperlink>
      <w:r w:rsidR="00FF4CF2" w:rsidRPr="008D51A5">
        <w:rPr>
          <w:rFonts w:asciiTheme="minorHAnsi" w:hAnsiTheme="minorHAnsi" w:cstheme="minorHAnsi"/>
          <w:sz w:val="22"/>
          <w:szCs w:val="22"/>
        </w:rPr>
        <w:t xml:space="preserve"> published on 4/26/2012; approved by OIRA on 8/31/2012)</w:t>
      </w:r>
      <w:r w:rsidRPr="008D51A5">
        <w:rPr>
          <w:rFonts w:asciiTheme="minorHAnsi" w:hAnsiTheme="minorHAnsi" w:cstheme="minorHAnsi"/>
          <w:sz w:val="22"/>
          <w:szCs w:val="22"/>
        </w:rPr>
        <w:t xml:space="preserve">. </w:t>
      </w:r>
      <w:r w:rsidR="00F27DDD" w:rsidRPr="008D51A5">
        <w:rPr>
          <w:rFonts w:asciiTheme="minorHAnsi" w:hAnsiTheme="minorHAnsi" w:cstheme="minorHAnsi"/>
          <w:sz w:val="22"/>
          <w:szCs w:val="22"/>
        </w:rPr>
        <w:t xml:space="preserve"> </w:t>
      </w:r>
      <w:r w:rsidR="00FF4CF2" w:rsidRPr="008D51A5">
        <w:rPr>
          <w:rFonts w:asciiTheme="minorHAnsi" w:hAnsiTheme="minorHAnsi" w:cstheme="minorHAnsi"/>
          <w:sz w:val="22"/>
          <w:szCs w:val="22"/>
        </w:rPr>
        <w:t xml:space="preserve">The primary rationale for inclusion of biospecimen samples during the birth and immediate post-birth period in the PBS cohort is to expand our understanding surrounding the feasibility, acceptability, and cost of these collections in hospitals / birthing centers during or after the birth event. </w:t>
      </w:r>
    </w:p>
    <w:p w:rsidR="00110392" w:rsidRPr="008D51A5" w:rsidRDefault="00110392" w:rsidP="00C77A37">
      <w:pPr>
        <w:spacing w:line="276" w:lineRule="auto"/>
        <w:rPr>
          <w:rFonts w:asciiTheme="minorHAnsi" w:hAnsiTheme="minorHAnsi" w:cstheme="minorHAnsi"/>
          <w:sz w:val="22"/>
          <w:szCs w:val="22"/>
        </w:rPr>
      </w:pPr>
    </w:p>
    <w:p w:rsidR="00D10742" w:rsidRPr="008D51A5" w:rsidRDefault="00110392" w:rsidP="00C77A37">
      <w:pPr>
        <w:spacing w:line="276" w:lineRule="auto"/>
        <w:rPr>
          <w:rFonts w:asciiTheme="minorHAnsi" w:hAnsiTheme="minorHAnsi" w:cstheme="minorHAnsi"/>
          <w:sz w:val="22"/>
          <w:szCs w:val="22"/>
        </w:rPr>
      </w:pPr>
      <w:r w:rsidRPr="008D51A5">
        <w:rPr>
          <w:rFonts w:asciiTheme="minorHAnsi" w:hAnsiTheme="minorHAnsi" w:cstheme="minorHAnsi"/>
          <w:sz w:val="22"/>
          <w:szCs w:val="22"/>
        </w:rPr>
        <w:t>The NCS</w:t>
      </w:r>
      <w:r w:rsidR="00D10742" w:rsidRPr="008D51A5">
        <w:rPr>
          <w:rFonts w:asciiTheme="minorHAnsi" w:hAnsiTheme="minorHAnsi" w:cstheme="minorHAnsi"/>
          <w:sz w:val="22"/>
          <w:szCs w:val="22"/>
        </w:rPr>
        <w:t xml:space="preserve"> will be recruiting two groups of women: women prenatally at the provider location and women during their birthing event at hospital/birthing centers. The NCS will compare the rates of consent for specimen collection for women recruited in the provider setting compared to those women recruited in the hospital/birthing centers.  In the Initial Vanguard Study, our prior experience of biospecimen sample collection during the birth and immediate post-birth period (maternal blood, cord blood, placenta and umbilical cord, child heel stick and meconium) examined specimen collection primarily from women enrolled in the study prior to or during pregnancy with only about 1% recruited perinatally. </w:t>
      </w:r>
    </w:p>
    <w:p w:rsidR="00D10742" w:rsidRPr="008D51A5" w:rsidRDefault="00D10742" w:rsidP="00C77A37">
      <w:pPr>
        <w:spacing w:line="276" w:lineRule="auto"/>
        <w:rPr>
          <w:rFonts w:asciiTheme="minorHAnsi" w:hAnsiTheme="minorHAnsi" w:cstheme="minorHAnsi"/>
          <w:sz w:val="22"/>
          <w:szCs w:val="22"/>
        </w:rPr>
      </w:pPr>
    </w:p>
    <w:p w:rsidR="00D10742" w:rsidRPr="008D51A5" w:rsidRDefault="00D10742" w:rsidP="00C77A37">
      <w:pPr>
        <w:spacing w:line="276" w:lineRule="auto"/>
        <w:rPr>
          <w:rFonts w:asciiTheme="minorHAnsi" w:hAnsiTheme="minorHAnsi" w:cstheme="minorHAnsi"/>
          <w:sz w:val="22"/>
          <w:szCs w:val="22"/>
        </w:rPr>
      </w:pPr>
      <w:r w:rsidRPr="008D51A5">
        <w:rPr>
          <w:rFonts w:asciiTheme="minorHAnsi" w:hAnsiTheme="minorHAnsi" w:cstheme="minorHAnsi"/>
          <w:sz w:val="22"/>
          <w:szCs w:val="22"/>
        </w:rPr>
        <w:t xml:space="preserve">Yet, data and experience is lacking for specimen collection for those women enrolled at the hospital/birthing center for the birth event. We need to recruit both groups in PBS in order to compare specimen collection rates for those consented in the hospital to those consented in the provider setting. </w:t>
      </w:r>
    </w:p>
    <w:p w:rsidR="00D10742" w:rsidRPr="008D51A5" w:rsidRDefault="00D10742" w:rsidP="00C77A37">
      <w:pPr>
        <w:spacing w:line="276" w:lineRule="auto"/>
        <w:rPr>
          <w:rFonts w:asciiTheme="minorHAnsi" w:hAnsiTheme="minorHAnsi" w:cstheme="minorHAnsi"/>
          <w:sz w:val="22"/>
          <w:szCs w:val="22"/>
        </w:rPr>
      </w:pPr>
      <w:r w:rsidRPr="008D51A5">
        <w:rPr>
          <w:rFonts w:asciiTheme="minorHAnsi" w:hAnsiTheme="minorHAnsi" w:cstheme="minorHAnsi"/>
          <w:sz w:val="22"/>
          <w:szCs w:val="22"/>
        </w:rPr>
        <w:t xml:space="preserve">Additionally, this pilot study will guide the development of refined acquisition SOPs, coordination pathways between NCS and hospital / birthing center staff, and standardization surrounding transport and long-term storage. </w:t>
      </w:r>
    </w:p>
    <w:p w:rsidR="00D10742" w:rsidRPr="008D51A5" w:rsidRDefault="00D10742" w:rsidP="00AF29E5">
      <w:pPr>
        <w:rPr>
          <w:rFonts w:asciiTheme="minorHAnsi" w:hAnsiTheme="minorHAnsi" w:cstheme="minorHAnsi"/>
          <w:sz w:val="22"/>
          <w:szCs w:val="22"/>
        </w:rPr>
      </w:pPr>
    </w:p>
    <w:p w:rsidR="00FF4CF2" w:rsidRPr="008D51A5" w:rsidRDefault="00FF4CF2" w:rsidP="00C77A37">
      <w:pPr>
        <w:spacing w:line="276" w:lineRule="auto"/>
        <w:rPr>
          <w:rFonts w:asciiTheme="minorHAnsi" w:hAnsiTheme="minorHAnsi" w:cstheme="minorHAnsi"/>
          <w:sz w:val="22"/>
          <w:szCs w:val="22"/>
        </w:rPr>
      </w:pPr>
      <w:r w:rsidRPr="008D51A5">
        <w:rPr>
          <w:rFonts w:asciiTheme="minorHAnsi" w:hAnsiTheme="minorHAnsi" w:cstheme="minorHAnsi"/>
          <w:sz w:val="22"/>
          <w:szCs w:val="22"/>
        </w:rPr>
        <w:t>We propose collecting maternal blood</w:t>
      </w:r>
      <w:r w:rsidR="00E20BC6" w:rsidRPr="008D51A5">
        <w:rPr>
          <w:rFonts w:asciiTheme="minorHAnsi" w:hAnsiTheme="minorHAnsi" w:cstheme="minorHAnsi"/>
          <w:sz w:val="22"/>
          <w:szCs w:val="22"/>
        </w:rPr>
        <w:t xml:space="preserve">, </w:t>
      </w:r>
      <w:r w:rsidR="002E76C0" w:rsidRPr="008D51A5">
        <w:rPr>
          <w:rFonts w:asciiTheme="minorHAnsi" w:hAnsiTheme="minorHAnsi" w:cstheme="minorHAnsi"/>
          <w:sz w:val="22"/>
          <w:szCs w:val="22"/>
        </w:rPr>
        <w:t xml:space="preserve"> </w:t>
      </w:r>
      <w:r w:rsidR="00077105" w:rsidRPr="008D51A5">
        <w:rPr>
          <w:rFonts w:asciiTheme="minorHAnsi" w:hAnsiTheme="minorHAnsi" w:cstheme="minorHAnsi"/>
          <w:sz w:val="22"/>
          <w:szCs w:val="22"/>
        </w:rPr>
        <w:t>maternal</w:t>
      </w:r>
      <w:r w:rsidRPr="008D51A5">
        <w:rPr>
          <w:rFonts w:asciiTheme="minorHAnsi" w:hAnsiTheme="minorHAnsi" w:cstheme="minorHAnsi"/>
          <w:sz w:val="22"/>
          <w:szCs w:val="22"/>
        </w:rPr>
        <w:t xml:space="preserve"> urine, </w:t>
      </w:r>
      <w:r w:rsidR="002E76C0" w:rsidRPr="008D51A5">
        <w:rPr>
          <w:rFonts w:asciiTheme="minorHAnsi" w:hAnsiTheme="minorHAnsi" w:cstheme="minorHAnsi"/>
          <w:sz w:val="22"/>
          <w:szCs w:val="22"/>
        </w:rPr>
        <w:t>a second blood card from th</w:t>
      </w:r>
      <w:r w:rsidR="00077105" w:rsidRPr="008D51A5">
        <w:rPr>
          <w:rFonts w:asciiTheme="minorHAnsi" w:hAnsiTheme="minorHAnsi" w:cstheme="minorHAnsi"/>
          <w:sz w:val="22"/>
          <w:szCs w:val="22"/>
        </w:rPr>
        <w:t>e child heel stick</w:t>
      </w:r>
      <w:r w:rsidR="002E76C0" w:rsidRPr="008D51A5">
        <w:rPr>
          <w:rFonts w:asciiTheme="minorHAnsi" w:hAnsiTheme="minorHAnsi" w:cstheme="minorHAnsi"/>
          <w:sz w:val="22"/>
          <w:szCs w:val="22"/>
        </w:rPr>
        <w:t xml:space="preserve">, </w:t>
      </w:r>
      <w:r w:rsidRPr="008D51A5">
        <w:rPr>
          <w:rFonts w:asciiTheme="minorHAnsi" w:hAnsiTheme="minorHAnsi" w:cstheme="minorHAnsi"/>
          <w:sz w:val="22"/>
          <w:szCs w:val="22"/>
        </w:rPr>
        <w:t>cord blood</w:t>
      </w:r>
      <w:r w:rsidR="00B14E8E" w:rsidRPr="008D51A5">
        <w:rPr>
          <w:rFonts w:asciiTheme="minorHAnsi" w:hAnsiTheme="minorHAnsi" w:cstheme="minorHAnsi"/>
          <w:sz w:val="22"/>
          <w:szCs w:val="22"/>
        </w:rPr>
        <w:t xml:space="preserve"> and</w:t>
      </w:r>
      <w:r w:rsidRPr="008D51A5">
        <w:rPr>
          <w:rFonts w:asciiTheme="minorHAnsi" w:hAnsiTheme="minorHAnsi" w:cstheme="minorHAnsi"/>
          <w:sz w:val="22"/>
          <w:szCs w:val="22"/>
        </w:rPr>
        <w:t xml:space="preserve"> placenta </w:t>
      </w:r>
      <w:r w:rsidR="002E76C0" w:rsidRPr="008D51A5">
        <w:rPr>
          <w:rFonts w:asciiTheme="minorHAnsi" w:hAnsiTheme="minorHAnsi" w:cstheme="minorHAnsi"/>
          <w:sz w:val="22"/>
          <w:szCs w:val="22"/>
        </w:rPr>
        <w:t>tissue</w:t>
      </w:r>
      <w:r w:rsidRPr="008D51A5">
        <w:rPr>
          <w:rFonts w:asciiTheme="minorHAnsi" w:hAnsiTheme="minorHAnsi" w:cstheme="minorHAnsi"/>
          <w:sz w:val="22"/>
          <w:szCs w:val="22"/>
        </w:rPr>
        <w:t xml:space="preserve"> (or the entire placenta, if possible) </w:t>
      </w:r>
      <w:r w:rsidR="0016282B" w:rsidRPr="008D51A5">
        <w:rPr>
          <w:rFonts w:asciiTheme="minorHAnsi" w:hAnsiTheme="minorHAnsi" w:cstheme="minorHAnsi"/>
          <w:sz w:val="22"/>
          <w:szCs w:val="22"/>
        </w:rPr>
        <w:t xml:space="preserve">from </w:t>
      </w:r>
      <w:r w:rsidR="00F27DDD" w:rsidRPr="008D51A5">
        <w:rPr>
          <w:rFonts w:asciiTheme="minorHAnsi" w:hAnsiTheme="minorHAnsi" w:cstheme="minorHAnsi"/>
          <w:sz w:val="22"/>
          <w:szCs w:val="22"/>
        </w:rPr>
        <w:t>100 mother</w:t>
      </w:r>
      <w:r w:rsidR="00480D02" w:rsidRPr="008D51A5">
        <w:rPr>
          <w:rFonts w:asciiTheme="minorHAnsi" w:hAnsiTheme="minorHAnsi" w:cstheme="minorHAnsi"/>
          <w:sz w:val="22"/>
          <w:szCs w:val="22"/>
        </w:rPr>
        <w:t>/baby</w:t>
      </w:r>
      <w:r w:rsidR="00F27DDD" w:rsidRPr="008D51A5">
        <w:rPr>
          <w:rFonts w:asciiTheme="minorHAnsi" w:hAnsiTheme="minorHAnsi" w:cstheme="minorHAnsi"/>
          <w:sz w:val="22"/>
          <w:szCs w:val="22"/>
        </w:rPr>
        <w:t xml:space="preserve"> pairs</w:t>
      </w:r>
      <w:r w:rsidR="002E76C0" w:rsidRPr="008D51A5">
        <w:rPr>
          <w:rFonts w:asciiTheme="minorHAnsi" w:hAnsiTheme="minorHAnsi" w:cstheme="minorHAnsi"/>
          <w:sz w:val="22"/>
          <w:szCs w:val="22"/>
        </w:rPr>
        <w:t xml:space="preserve">, </w:t>
      </w:r>
      <w:r w:rsidRPr="008D51A5">
        <w:rPr>
          <w:rFonts w:asciiTheme="minorHAnsi" w:hAnsiTheme="minorHAnsi" w:cstheme="minorHAnsi"/>
          <w:sz w:val="22"/>
          <w:szCs w:val="22"/>
        </w:rPr>
        <w:t>for a total of 100 specimens of each specimen type (for m</w:t>
      </w:r>
      <w:r w:rsidR="002E76C0" w:rsidRPr="008D51A5">
        <w:rPr>
          <w:rFonts w:asciiTheme="minorHAnsi" w:hAnsiTheme="minorHAnsi" w:cstheme="minorHAnsi"/>
          <w:sz w:val="22"/>
          <w:szCs w:val="22"/>
        </w:rPr>
        <w:t>ore details, please see Attachment B</w:t>
      </w:r>
      <w:r w:rsidR="00077105" w:rsidRPr="008D51A5">
        <w:rPr>
          <w:rFonts w:asciiTheme="minorHAnsi" w:hAnsiTheme="minorHAnsi" w:cstheme="minorHAnsi"/>
          <w:sz w:val="22"/>
          <w:szCs w:val="22"/>
        </w:rPr>
        <w:t>17</w:t>
      </w:r>
      <w:r w:rsidR="002E76C0" w:rsidRPr="008D51A5">
        <w:rPr>
          <w:rFonts w:asciiTheme="minorHAnsi" w:hAnsiTheme="minorHAnsi" w:cstheme="minorHAnsi"/>
          <w:sz w:val="22"/>
          <w:szCs w:val="22"/>
        </w:rPr>
        <w:t xml:space="preserve">. </w:t>
      </w:r>
      <w:proofErr w:type="gramStart"/>
      <w:r w:rsidR="002E76C0" w:rsidRPr="008D51A5">
        <w:rPr>
          <w:rFonts w:asciiTheme="minorHAnsi" w:hAnsiTheme="minorHAnsi" w:cstheme="minorHAnsi"/>
          <w:sz w:val="22"/>
          <w:szCs w:val="22"/>
        </w:rPr>
        <w:t>Vanguard Pilot</w:t>
      </w:r>
      <w:r w:rsidRPr="008D51A5">
        <w:rPr>
          <w:rFonts w:asciiTheme="minorHAnsi" w:hAnsiTheme="minorHAnsi" w:cstheme="minorHAnsi"/>
          <w:sz w:val="22"/>
          <w:szCs w:val="22"/>
        </w:rPr>
        <w:t xml:space="preserve"> Study Biospecimen Collection Chart).</w:t>
      </w:r>
      <w:proofErr w:type="gramEnd"/>
      <w:r w:rsidRPr="008D51A5">
        <w:rPr>
          <w:rFonts w:asciiTheme="minorHAnsi" w:hAnsiTheme="minorHAnsi" w:cstheme="minorHAnsi"/>
          <w:sz w:val="22"/>
          <w:szCs w:val="22"/>
        </w:rPr>
        <w:t xml:space="preserve"> After 100 specimens of each type are acquired, specimen collection in PBS will cease.  Each of these collections will be performed by either the participating hospital or birthing center staff (default) or Study staff during routine collection procedures. The NCS will rely upon the hospital and birthing center processes currently in place and will receive the specimens ‘as is’.  Participating NCS Study Centers </w:t>
      </w:r>
      <w:r w:rsidR="00231636" w:rsidRPr="008D51A5">
        <w:rPr>
          <w:rFonts w:asciiTheme="minorHAnsi" w:hAnsiTheme="minorHAnsi" w:cstheme="minorHAnsi"/>
          <w:sz w:val="22"/>
          <w:szCs w:val="22"/>
        </w:rPr>
        <w:t xml:space="preserve">will develop </w:t>
      </w:r>
      <w:r w:rsidRPr="008D51A5">
        <w:rPr>
          <w:rFonts w:asciiTheme="minorHAnsi" w:hAnsiTheme="minorHAnsi" w:cstheme="minorHAnsi"/>
          <w:sz w:val="22"/>
          <w:szCs w:val="22"/>
        </w:rPr>
        <w:t>formal agreements with participating hospitals or birthing centers that will define the respective roles</w:t>
      </w:r>
      <w:r w:rsidR="00231636" w:rsidRPr="008D51A5">
        <w:rPr>
          <w:rFonts w:asciiTheme="minorHAnsi" w:hAnsiTheme="minorHAnsi" w:cstheme="minorHAnsi"/>
          <w:sz w:val="22"/>
          <w:szCs w:val="22"/>
        </w:rPr>
        <w:t>, expectations and potential burden on</w:t>
      </w:r>
      <w:r w:rsidRPr="008D51A5">
        <w:rPr>
          <w:rFonts w:asciiTheme="minorHAnsi" w:hAnsiTheme="minorHAnsi" w:cstheme="minorHAnsi"/>
          <w:sz w:val="22"/>
          <w:szCs w:val="22"/>
        </w:rPr>
        <w:t xml:space="preserve"> </w:t>
      </w:r>
      <w:r w:rsidR="00231636" w:rsidRPr="008D51A5">
        <w:rPr>
          <w:rFonts w:asciiTheme="minorHAnsi" w:hAnsiTheme="minorHAnsi" w:cstheme="minorHAnsi"/>
          <w:sz w:val="22"/>
          <w:szCs w:val="22"/>
        </w:rPr>
        <w:t>h</w:t>
      </w:r>
      <w:r w:rsidRPr="008D51A5">
        <w:rPr>
          <w:rFonts w:asciiTheme="minorHAnsi" w:hAnsiTheme="minorHAnsi" w:cstheme="minorHAnsi"/>
          <w:sz w:val="22"/>
          <w:szCs w:val="22"/>
        </w:rPr>
        <w:t>ospital / birthing center staff and Study Center staff in the processes of identification of eligible participants, participant provision of study related information, obtaining informed consent, collection of interview data, collection of medical record data, and collection of biospecimens</w:t>
      </w:r>
      <w:r w:rsidR="001153D9" w:rsidRPr="008D51A5">
        <w:rPr>
          <w:rFonts w:asciiTheme="minorHAnsi" w:hAnsiTheme="minorHAnsi" w:cstheme="minorHAnsi"/>
          <w:sz w:val="22"/>
          <w:szCs w:val="22"/>
        </w:rPr>
        <w:t xml:space="preserve">. Through the formal arrangements made by the study center with the hospitals, burden can be assessed by secondary </w:t>
      </w:r>
      <w:r w:rsidR="001153D9" w:rsidRPr="008D51A5">
        <w:rPr>
          <w:rFonts w:asciiTheme="minorHAnsi" w:hAnsiTheme="minorHAnsi" w:cstheme="minorHAnsi"/>
          <w:sz w:val="22"/>
          <w:szCs w:val="22"/>
        </w:rPr>
        <w:lastRenderedPageBreak/>
        <w:t xml:space="preserve">sources such as invoices; these figures can then be factored into the analysis of the feasibility and acceptability of collecting sample in hospitals at the time of birth.  We expect there to be variations in the case of individual Study Center and hospital combinations and are prepared to deal with this by tailored contractual </w:t>
      </w:r>
      <w:r w:rsidR="00102C05" w:rsidRPr="008D51A5">
        <w:rPr>
          <w:rFonts w:asciiTheme="minorHAnsi" w:hAnsiTheme="minorHAnsi" w:cstheme="minorHAnsi"/>
          <w:sz w:val="22"/>
          <w:szCs w:val="22"/>
        </w:rPr>
        <w:t>agreements</w:t>
      </w:r>
      <w:r w:rsidR="001153D9" w:rsidRPr="008D51A5">
        <w:rPr>
          <w:rFonts w:asciiTheme="minorHAnsi" w:hAnsiTheme="minorHAnsi" w:cstheme="minorHAnsi"/>
          <w:sz w:val="22"/>
          <w:szCs w:val="22"/>
        </w:rPr>
        <w:t xml:space="preserve">.  </w:t>
      </w:r>
      <w:r w:rsidRPr="008D51A5">
        <w:rPr>
          <w:rFonts w:asciiTheme="minorHAnsi" w:hAnsiTheme="minorHAnsi" w:cstheme="minorHAnsi"/>
          <w:sz w:val="22"/>
          <w:szCs w:val="22"/>
        </w:rPr>
        <w:t xml:space="preserve">These may vary in the case of individual Study Center and hospital combinations.  </w:t>
      </w:r>
    </w:p>
    <w:p w:rsidR="00FF4CF2" w:rsidRPr="008D51A5" w:rsidRDefault="00FF4CF2" w:rsidP="00AF29E5">
      <w:pPr>
        <w:rPr>
          <w:rFonts w:asciiTheme="minorHAnsi" w:hAnsiTheme="minorHAnsi" w:cstheme="minorHAnsi"/>
          <w:sz w:val="22"/>
          <w:szCs w:val="22"/>
        </w:rPr>
      </w:pPr>
    </w:p>
    <w:p w:rsidR="00E20BC6" w:rsidRPr="008D51A5" w:rsidRDefault="002B66D8" w:rsidP="00AF29E5">
      <w:pPr>
        <w:rPr>
          <w:rFonts w:asciiTheme="minorHAnsi" w:hAnsiTheme="minorHAnsi" w:cstheme="minorHAnsi"/>
          <w:b/>
          <w:i/>
          <w:sz w:val="22"/>
          <w:szCs w:val="22"/>
          <w:u w:val="single"/>
        </w:rPr>
      </w:pPr>
      <w:r w:rsidRPr="008D51A5">
        <w:rPr>
          <w:rFonts w:asciiTheme="minorHAnsi" w:hAnsiTheme="minorHAnsi" w:cstheme="minorHAnsi"/>
          <w:b/>
          <w:i/>
          <w:sz w:val="22"/>
          <w:szCs w:val="22"/>
          <w:u w:val="single"/>
        </w:rPr>
        <w:t xml:space="preserve">Consent Procedures: </w:t>
      </w:r>
      <w:r w:rsidR="00E20BC6" w:rsidRPr="008D51A5">
        <w:rPr>
          <w:rFonts w:asciiTheme="minorHAnsi" w:hAnsiTheme="minorHAnsi" w:cstheme="minorHAnsi"/>
          <w:b/>
          <w:i/>
          <w:sz w:val="22"/>
          <w:szCs w:val="22"/>
          <w:u w:val="single"/>
        </w:rPr>
        <w:t>Specimen Collection</w:t>
      </w:r>
      <w:r w:rsidR="00554A23" w:rsidRPr="008D51A5">
        <w:rPr>
          <w:rFonts w:asciiTheme="minorHAnsi" w:hAnsiTheme="minorHAnsi" w:cstheme="minorHAnsi"/>
          <w:b/>
          <w:i/>
          <w:sz w:val="22"/>
          <w:szCs w:val="22"/>
          <w:u w:val="single"/>
        </w:rPr>
        <w:t xml:space="preserve"> </w:t>
      </w:r>
    </w:p>
    <w:p w:rsidR="008E00AB" w:rsidRPr="008D51A5" w:rsidRDefault="00EF5960" w:rsidP="00C77A37">
      <w:pPr>
        <w:spacing w:line="276" w:lineRule="auto"/>
        <w:rPr>
          <w:rFonts w:ascii="Calibri" w:hAnsi="Calibri" w:cs="Calibri"/>
          <w:sz w:val="22"/>
          <w:szCs w:val="22"/>
        </w:rPr>
      </w:pPr>
      <w:r w:rsidRPr="008D51A5">
        <w:rPr>
          <w:rFonts w:ascii="Calibri" w:hAnsi="Calibri" w:cs="Calibri"/>
          <w:sz w:val="22"/>
          <w:szCs w:val="22"/>
        </w:rPr>
        <w:t xml:space="preserve">Informed consent for </w:t>
      </w:r>
      <w:r w:rsidR="008E00AB" w:rsidRPr="008D51A5">
        <w:rPr>
          <w:rFonts w:ascii="Calibri" w:hAnsi="Calibri" w:cs="Calibri"/>
          <w:sz w:val="22"/>
          <w:szCs w:val="22"/>
        </w:rPr>
        <w:t xml:space="preserve">sample collection </w:t>
      </w:r>
      <w:r w:rsidRPr="008D51A5">
        <w:rPr>
          <w:rFonts w:ascii="Calibri" w:hAnsi="Calibri" w:cs="Calibri"/>
          <w:sz w:val="22"/>
          <w:szCs w:val="22"/>
        </w:rPr>
        <w:t>will be administered during the birth hospitalization after the labor</w:t>
      </w:r>
      <w:r w:rsidR="008E00AB" w:rsidRPr="008D51A5">
        <w:rPr>
          <w:rFonts w:ascii="Calibri" w:hAnsi="Calibri" w:cs="Calibri"/>
          <w:sz w:val="22"/>
          <w:szCs w:val="22"/>
        </w:rPr>
        <w:t xml:space="preserve"> </w:t>
      </w:r>
      <w:r w:rsidR="000E1474" w:rsidRPr="008D51A5">
        <w:rPr>
          <w:rFonts w:ascii="Calibri" w:hAnsi="Calibri" w:cs="Calibri"/>
          <w:sz w:val="22"/>
          <w:szCs w:val="22"/>
        </w:rPr>
        <w:t>in the hospital/birthing center</w:t>
      </w:r>
      <w:r w:rsidRPr="008D51A5">
        <w:rPr>
          <w:rFonts w:ascii="Calibri" w:hAnsi="Calibri" w:cs="Calibri"/>
          <w:sz w:val="22"/>
          <w:szCs w:val="22"/>
        </w:rPr>
        <w:t xml:space="preserve"> </w:t>
      </w:r>
      <w:r w:rsidR="006F5ACF" w:rsidRPr="008D51A5">
        <w:rPr>
          <w:rFonts w:ascii="Calibri" w:hAnsi="Calibri" w:cs="Calibri"/>
          <w:sz w:val="22"/>
          <w:szCs w:val="22"/>
        </w:rPr>
        <w:t xml:space="preserve">or </w:t>
      </w:r>
      <w:r w:rsidR="000E1474" w:rsidRPr="008D51A5">
        <w:rPr>
          <w:rFonts w:ascii="Calibri" w:hAnsi="Calibri" w:cs="Calibri"/>
          <w:sz w:val="22"/>
          <w:szCs w:val="22"/>
        </w:rPr>
        <w:t xml:space="preserve">when </w:t>
      </w:r>
      <w:r w:rsidR="006F5ACF" w:rsidRPr="008D51A5">
        <w:rPr>
          <w:rFonts w:ascii="Calibri" w:hAnsi="Calibri" w:cs="Calibri"/>
          <w:sz w:val="22"/>
          <w:szCs w:val="22"/>
        </w:rPr>
        <w:t xml:space="preserve">previously recruited in the </w:t>
      </w:r>
      <w:r w:rsidR="006A1371" w:rsidRPr="008D51A5">
        <w:rPr>
          <w:rFonts w:ascii="Calibri" w:hAnsi="Calibri" w:cs="Calibri"/>
          <w:sz w:val="22"/>
          <w:szCs w:val="22"/>
        </w:rPr>
        <w:t>p</w:t>
      </w:r>
      <w:r w:rsidR="006F5ACF" w:rsidRPr="008D51A5">
        <w:rPr>
          <w:rFonts w:ascii="Calibri" w:hAnsi="Calibri" w:cs="Calibri"/>
          <w:sz w:val="22"/>
          <w:szCs w:val="22"/>
        </w:rPr>
        <w:t>rovider setting</w:t>
      </w:r>
      <w:r w:rsidRPr="008D51A5">
        <w:rPr>
          <w:rFonts w:ascii="Calibri" w:hAnsi="Calibri" w:cs="Calibri"/>
          <w:sz w:val="22"/>
          <w:szCs w:val="22"/>
        </w:rPr>
        <w:t xml:space="preserve">.  Informed consent will be administered </w:t>
      </w:r>
      <w:r w:rsidR="008E00AB" w:rsidRPr="008D51A5">
        <w:rPr>
          <w:rFonts w:ascii="Calibri" w:hAnsi="Calibri" w:cs="Calibri"/>
          <w:sz w:val="22"/>
          <w:szCs w:val="22"/>
        </w:rPr>
        <w:t>in-</w:t>
      </w:r>
      <w:r w:rsidRPr="008D51A5">
        <w:rPr>
          <w:rFonts w:ascii="Calibri" w:hAnsi="Calibri" w:cs="Calibri"/>
          <w:sz w:val="22"/>
          <w:szCs w:val="22"/>
        </w:rPr>
        <w:t xml:space="preserve">person if administration of the Provider-Based Sampling Eligibility Screener - Hospital </w:t>
      </w:r>
      <w:r w:rsidR="00CC0B17" w:rsidRPr="008D51A5">
        <w:rPr>
          <w:rFonts w:ascii="Calibri" w:hAnsi="Calibri" w:cs="Calibri"/>
          <w:sz w:val="22"/>
          <w:szCs w:val="22"/>
        </w:rPr>
        <w:t xml:space="preserve">(Approved by OIRA on </w:t>
      </w:r>
      <w:r w:rsidR="00C776B2" w:rsidRPr="008D51A5">
        <w:rPr>
          <w:rFonts w:ascii="Calibri" w:hAnsi="Calibri" w:cs="Calibri"/>
          <w:sz w:val="22"/>
          <w:szCs w:val="22"/>
        </w:rPr>
        <w:t>8/31/</w:t>
      </w:r>
      <w:r w:rsidR="00CC0B17" w:rsidRPr="008D51A5">
        <w:rPr>
          <w:rFonts w:ascii="Calibri" w:hAnsi="Calibri" w:cs="Calibri"/>
          <w:sz w:val="22"/>
          <w:szCs w:val="22"/>
        </w:rPr>
        <w:t xml:space="preserve"> 2012) </w:t>
      </w:r>
      <w:r w:rsidRPr="008D51A5">
        <w:rPr>
          <w:rFonts w:ascii="Calibri" w:hAnsi="Calibri" w:cs="Calibri"/>
          <w:sz w:val="22"/>
          <w:szCs w:val="22"/>
        </w:rPr>
        <w:t>identifies a woman who recently gave birth and is eligible to participate in the NCS.  Once an eligible woman is identified, data collectors will administer the PBS Participant Verification Birth Cohort Interview</w:t>
      </w:r>
      <w:r w:rsidR="00CC0B17" w:rsidRPr="008D51A5">
        <w:rPr>
          <w:rFonts w:ascii="Calibri" w:hAnsi="Calibri" w:cs="Calibri"/>
          <w:sz w:val="22"/>
          <w:szCs w:val="22"/>
        </w:rPr>
        <w:t xml:space="preserve"> (</w:t>
      </w:r>
      <w:r w:rsidR="0035782D" w:rsidRPr="008D51A5">
        <w:rPr>
          <w:rFonts w:ascii="Calibri" w:hAnsi="Calibri" w:cs="Calibri"/>
          <w:sz w:val="22"/>
          <w:szCs w:val="22"/>
        </w:rPr>
        <w:t>adapted from Participant Verification Interview, a</w:t>
      </w:r>
      <w:r w:rsidR="00CC0B17" w:rsidRPr="008D51A5">
        <w:rPr>
          <w:rFonts w:ascii="Calibri" w:hAnsi="Calibri" w:cs="Calibri"/>
          <w:sz w:val="22"/>
          <w:szCs w:val="22"/>
        </w:rPr>
        <w:t xml:space="preserve">pproved by OIRA on </w:t>
      </w:r>
      <w:r w:rsidR="00C776B2" w:rsidRPr="008D51A5">
        <w:rPr>
          <w:rFonts w:ascii="Calibri" w:hAnsi="Calibri" w:cs="Calibri"/>
          <w:sz w:val="22"/>
          <w:szCs w:val="22"/>
        </w:rPr>
        <w:t>8/</w:t>
      </w:r>
      <w:r w:rsidR="00CC0B17" w:rsidRPr="008D51A5">
        <w:rPr>
          <w:rFonts w:ascii="Calibri" w:hAnsi="Calibri" w:cs="Calibri"/>
          <w:sz w:val="22"/>
          <w:szCs w:val="22"/>
        </w:rPr>
        <w:t>31</w:t>
      </w:r>
      <w:r w:rsidR="00C776B2" w:rsidRPr="008D51A5">
        <w:rPr>
          <w:rFonts w:ascii="Calibri" w:hAnsi="Calibri" w:cs="Calibri"/>
          <w:sz w:val="22"/>
          <w:szCs w:val="22"/>
        </w:rPr>
        <w:t>/</w:t>
      </w:r>
      <w:r w:rsidR="00CC0B17" w:rsidRPr="008D51A5">
        <w:rPr>
          <w:rFonts w:ascii="Calibri" w:hAnsi="Calibri" w:cs="Calibri"/>
          <w:sz w:val="22"/>
          <w:szCs w:val="22"/>
        </w:rPr>
        <w:t>2012</w:t>
      </w:r>
      <w:r w:rsidR="0035782D" w:rsidRPr="008D51A5">
        <w:rPr>
          <w:rFonts w:ascii="Calibri" w:hAnsi="Calibri" w:cs="Calibri"/>
          <w:sz w:val="22"/>
          <w:szCs w:val="22"/>
        </w:rPr>
        <w:t xml:space="preserve">; Attach </w:t>
      </w:r>
      <w:r w:rsidR="00020BB2" w:rsidRPr="008D51A5">
        <w:rPr>
          <w:rFonts w:ascii="Calibri" w:hAnsi="Calibri" w:cs="Calibri"/>
          <w:sz w:val="22"/>
          <w:szCs w:val="22"/>
        </w:rPr>
        <w:t>B25</w:t>
      </w:r>
      <w:r w:rsidR="00563B67" w:rsidRPr="008D51A5">
        <w:rPr>
          <w:rFonts w:ascii="Calibri" w:hAnsi="Calibri" w:cs="Calibri"/>
          <w:sz w:val="22"/>
          <w:szCs w:val="22"/>
        </w:rPr>
        <w:t>.</w:t>
      </w:r>
      <w:r w:rsidR="00CC0B17" w:rsidRPr="008D51A5">
        <w:rPr>
          <w:rFonts w:ascii="Calibri" w:hAnsi="Calibri" w:cs="Calibri"/>
          <w:sz w:val="22"/>
          <w:szCs w:val="22"/>
        </w:rPr>
        <w:t xml:space="preserve">) </w:t>
      </w:r>
      <w:r w:rsidRPr="008D51A5">
        <w:rPr>
          <w:rFonts w:ascii="Calibri" w:hAnsi="Calibri" w:cs="Calibri"/>
          <w:sz w:val="22"/>
          <w:szCs w:val="22"/>
        </w:rPr>
        <w:t>to ensure the eligible woman is the legal guardian of the child, and, therefore, is able to provide informed consent for the child</w:t>
      </w:r>
      <w:r w:rsidRPr="008D51A5">
        <w:rPr>
          <w:rFonts w:ascii="Calibri" w:hAnsi="Calibri" w:cs="Calibri"/>
          <w:i/>
          <w:sz w:val="22"/>
          <w:szCs w:val="22"/>
        </w:rPr>
        <w:t>.</w:t>
      </w:r>
      <w:r w:rsidR="006F5ACF" w:rsidRPr="008D51A5">
        <w:rPr>
          <w:rFonts w:ascii="Calibri" w:hAnsi="Calibri" w:cs="Calibri"/>
          <w:i/>
          <w:sz w:val="22"/>
          <w:szCs w:val="22"/>
        </w:rPr>
        <w:t xml:space="preserve"> </w:t>
      </w:r>
      <w:r w:rsidR="006F5ACF" w:rsidRPr="008D51A5">
        <w:rPr>
          <w:rFonts w:ascii="Calibri" w:hAnsi="Calibri" w:cs="Calibri"/>
          <w:sz w:val="22"/>
          <w:szCs w:val="22"/>
        </w:rPr>
        <w:t xml:space="preserve">The appropriate consent forms </w:t>
      </w:r>
      <w:r w:rsidR="000E1474" w:rsidRPr="008D51A5">
        <w:rPr>
          <w:rFonts w:ascii="Calibri" w:hAnsi="Calibri" w:cs="Calibri"/>
          <w:sz w:val="22"/>
          <w:szCs w:val="22"/>
        </w:rPr>
        <w:t>will</w:t>
      </w:r>
      <w:r w:rsidR="006F5ACF" w:rsidRPr="008D51A5">
        <w:rPr>
          <w:rFonts w:ascii="Calibri" w:hAnsi="Calibri" w:cs="Calibri"/>
          <w:sz w:val="22"/>
          <w:szCs w:val="22"/>
        </w:rPr>
        <w:t xml:space="preserve"> be obtained during recruitment </w:t>
      </w:r>
      <w:r w:rsidR="000E1474" w:rsidRPr="008D51A5">
        <w:rPr>
          <w:rFonts w:ascii="Calibri" w:hAnsi="Calibri" w:cs="Calibri"/>
          <w:sz w:val="22"/>
          <w:szCs w:val="22"/>
        </w:rPr>
        <w:t xml:space="preserve">in the provider’s office </w:t>
      </w:r>
      <w:r w:rsidR="006F5ACF" w:rsidRPr="008D51A5">
        <w:rPr>
          <w:rFonts w:ascii="Calibri" w:hAnsi="Calibri" w:cs="Calibri"/>
          <w:sz w:val="22"/>
          <w:szCs w:val="22"/>
        </w:rPr>
        <w:t>for those participants recruited prior to the birth event.</w:t>
      </w:r>
      <w:r w:rsidRPr="008D51A5">
        <w:rPr>
          <w:rFonts w:ascii="Calibri" w:hAnsi="Calibri" w:cs="Calibri"/>
          <w:sz w:val="22"/>
          <w:szCs w:val="22"/>
        </w:rPr>
        <w:t xml:space="preserve"> </w:t>
      </w:r>
      <w:r w:rsidR="008E00AB" w:rsidRPr="008D51A5">
        <w:rPr>
          <w:rFonts w:ascii="Calibri" w:hAnsi="Calibri" w:cs="Calibri"/>
          <w:sz w:val="22"/>
          <w:szCs w:val="22"/>
        </w:rPr>
        <w:t xml:space="preserve"> Consent rates from the administration of the </w:t>
      </w:r>
      <w:r w:rsidR="00563B67" w:rsidRPr="008D51A5">
        <w:rPr>
          <w:rFonts w:ascii="Calibri" w:hAnsi="Calibri" w:cs="Calibri"/>
          <w:sz w:val="22"/>
          <w:szCs w:val="22"/>
        </w:rPr>
        <w:t>Parental Permission for Child’s Participation: (With Samples) (Approved OIRA on 8/31/</w:t>
      </w:r>
      <w:r w:rsidR="00883420" w:rsidRPr="008D51A5">
        <w:rPr>
          <w:rFonts w:ascii="Calibri" w:hAnsi="Calibri" w:cs="Calibri"/>
          <w:sz w:val="22"/>
          <w:szCs w:val="22"/>
        </w:rPr>
        <w:t>2012, R</w:t>
      </w:r>
      <w:r w:rsidR="00563B67" w:rsidRPr="008D51A5">
        <w:rPr>
          <w:rFonts w:ascii="Calibri" w:hAnsi="Calibri" w:cs="Calibri"/>
          <w:sz w:val="22"/>
          <w:szCs w:val="22"/>
        </w:rPr>
        <w:t>evised</w:t>
      </w:r>
      <w:r w:rsidR="00BE7B5E" w:rsidRPr="008D51A5">
        <w:rPr>
          <w:rFonts w:ascii="Calibri" w:hAnsi="Calibri" w:cs="Calibri"/>
          <w:sz w:val="22"/>
          <w:szCs w:val="22"/>
        </w:rPr>
        <w:t xml:space="preserve"> this S</w:t>
      </w:r>
      <w:r w:rsidR="00C16664" w:rsidRPr="008D51A5">
        <w:rPr>
          <w:rFonts w:ascii="Calibri" w:hAnsi="Calibri" w:cs="Calibri"/>
          <w:sz w:val="22"/>
          <w:szCs w:val="22"/>
        </w:rPr>
        <w:t>ubmission</w:t>
      </w:r>
      <w:r w:rsidR="00883420" w:rsidRPr="008D51A5">
        <w:rPr>
          <w:rFonts w:ascii="Calibri" w:hAnsi="Calibri" w:cs="Calibri"/>
          <w:sz w:val="22"/>
          <w:szCs w:val="22"/>
        </w:rPr>
        <w:t xml:space="preserve"> </w:t>
      </w:r>
      <w:r w:rsidR="00563B67" w:rsidRPr="008D51A5">
        <w:rPr>
          <w:rFonts w:ascii="Calibri" w:hAnsi="Calibri" w:cs="Calibri"/>
          <w:sz w:val="22"/>
          <w:szCs w:val="22"/>
        </w:rPr>
        <w:t xml:space="preserve">Attach B18.) </w:t>
      </w:r>
      <w:r w:rsidR="008E00AB" w:rsidRPr="008D51A5">
        <w:rPr>
          <w:rFonts w:ascii="Calibri" w:hAnsi="Calibri" w:cs="Calibri"/>
          <w:sz w:val="22"/>
          <w:szCs w:val="22"/>
        </w:rPr>
        <w:t>conducted in the hospital</w:t>
      </w:r>
      <w:r w:rsidR="000E1474" w:rsidRPr="008D51A5">
        <w:rPr>
          <w:rFonts w:ascii="Calibri" w:hAnsi="Calibri" w:cs="Calibri"/>
          <w:sz w:val="22"/>
          <w:szCs w:val="22"/>
        </w:rPr>
        <w:t>/birthing center</w:t>
      </w:r>
      <w:r w:rsidR="008E00AB" w:rsidRPr="008D51A5">
        <w:rPr>
          <w:rFonts w:ascii="Calibri" w:hAnsi="Calibri" w:cs="Calibri"/>
          <w:sz w:val="22"/>
          <w:szCs w:val="22"/>
        </w:rPr>
        <w:t xml:space="preserve"> will be compared to consent rates from the </w:t>
      </w:r>
      <w:r w:rsidR="000E1474" w:rsidRPr="008D51A5">
        <w:rPr>
          <w:rFonts w:ascii="Calibri" w:hAnsi="Calibri" w:cs="Calibri"/>
          <w:sz w:val="22"/>
          <w:szCs w:val="22"/>
        </w:rPr>
        <w:t>provider setting</w:t>
      </w:r>
      <w:r w:rsidR="008E00AB" w:rsidRPr="008D51A5">
        <w:rPr>
          <w:rFonts w:ascii="Calibri" w:hAnsi="Calibri" w:cs="Calibri"/>
          <w:sz w:val="22"/>
          <w:szCs w:val="22"/>
        </w:rPr>
        <w:t>.</w:t>
      </w:r>
    </w:p>
    <w:p w:rsidR="008E00AB" w:rsidRPr="008D51A5" w:rsidRDefault="008E00AB" w:rsidP="00CC0B17">
      <w:pPr>
        <w:rPr>
          <w:rFonts w:ascii="Calibri" w:hAnsi="Calibri" w:cs="Calibri"/>
          <w:sz w:val="22"/>
          <w:szCs w:val="22"/>
        </w:rPr>
      </w:pPr>
    </w:p>
    <w:p w:rsidR="00EF5960" w:rsidRPr="008D51A5" w:rsidRDefault="00EF5960" w:rsidP="00C77A37">
      <w:pPr>
        <w:spacing w:line="276" w:lineRule="auto"/>
        <w:rPr>
          <w:rFonts w:ascii="Calibri" w:hAnsi="Calibri" w:cs="Calibri"/>
          <w:sz w:val="22"/>
          <w:szCs w:val="22"/>
        </w:rPr>
      </w:pPr>
      <w:r w:rsidRPr="008D51A5">
        <w:rPr>
          <w:rFonts w:ascii="Calibri" w:hAnsi="Calibri" w:cs="Calibri"/>
          <w:sz w:val="22"/>
          <w:szCs w:val="22"/>
        </w:rPr>
        <w:t>To maintain privacy, data collectors will identify a private setting for the administration of the informed consent process and for all data collection done at the hospital</w:t>
      </w:r>
      <w:r w:rsidR="00991D0E" w:rsidRPr="008D51A5">
        <w:rPr>
          <w:rFonts w:ascii="Calibri" w:hAnsi="Calibri" w:cs="Calibri"/>
          <w:sz w:val="22"/>
          <w:szCs w:val="22"/>
        </w:rPr>
        <w:t xml:space="preserve"> / </w:t>
      </w:r>
      <w:r w:rsidRPr="008D51A5">
        <w:rPr>
          <w:rFonts w:ascii="Calibri" w:hAnsi="Calibri" w:cs="Calibri"/>
          <w:sz w:val="22"/>
          <w:szCs w:val="22"/>
        </w:rPr>
        <w:t>birthing center.</w:t>
      </w:r>
      <w:r w:rsidR="00C32C2F" w:rsidRPr="008D51A5">
        <w:rPr>
          <w:rFonts w:ascii="Calibri" w:hAnsi="Calibri" w:cs="Calibri"/>
          <w:sz w:val="22"/>
          <w:szCs w:val="22"/>
        </w:rPr>
        <w:t xml:space="preserve"> Biospecimens will only be obtained if the enrolled woman provides written informed consent to collect specimens from herself and the enrolled child.  If the participant does not provide written informed consent for some or all specimen collections, then the specimen(s) will not be collected.</w:t>
      </w:r>
    </w:p>
    <w:p w:rsidR="00EF5960" w:rsidRPr="008D51A5" w:rsidRDefault="00EF5960" w:rsidP="00CC0B17">
      <w:pPr>
        <w:pStyle w:val="SL-FlLftSgl"/>
        <w:spacing w:line="276" w:lineRule="auto"/>
        <w:rPr>
          <w:rFonts w:ascii="Calibri" w:hAnsi="Calibri" w:cs="Calibri"/>
          <w:sz w:val="22"/>
          <w:szCs w:val="22"/>
        </w:rPr>
      </w:pPr>
    </w:p>
    <w:p w:rsidR="00EF5960" w:rsidRPr="008D51A5" w:rsidRDefault="00EF5960" w:rsidP="00CC0B17">
      <w:pPr>
        <w:pStyle w:val="SL-FlLftSgl"/>
        <w:spacing w:line="276" w:lineRule="auto"/>
        <w:rPr>
          <w:rFonts w:ascii="Calibri" w:hAnsi="Calibri" w:cs="Calibri"/>
          <w:sz w:val="22"/>
          <w:szCs w:val="22"/>
        </w:rPr>
      </w:pPr>
      <w:r w:rsidRPr="008D51A5">
        <w:rPr>
          <w:rFonts w:ascii="Calibri" w:hAnsi="Calibri" w:cs="Calibri"/>
          <w:sz w:val="22"/>
          <w:szCs w:val="22"/>
          <w:u w:val="single"/>
        </w:rPr>
        <w:t xml:space="preserve">If biospecimens are </w:t>
      </w:r>
      <w:r w:rsidRPr="008D51A5">
        <w:rPr>
          <w:rFonts w:ascii="Calibri" w:hAnsi="Calibri" w:cs="Calibri"/>
          <w:i/>
          <w:sz w:val="22"/>
          <w:szCs w:val="22"/>
          <w:u w:val="single"/>
        </w:rPr>
        <w:t>not</w:t>
      </w:r>
      <w:r w:rsidRPr="008D51A5">
        <w:rPr>
          <w:rFonts w:ascii="Calibri" w:hAnsi="Calibri" w:cs="Calibri"/>
          <w:sz w:val="22"/>
          <w:szCs w:val="22"/>
          <w:u w:val="single"/>
        </w:rPr>
        <w:t xml:space="preserve"> collected</w:t>
      </w:r>
      <w:r w:rsidR="00C32C2F" w:rsidRPr="008D51A5">
        <w:rPr>
          <w:rFonts w:ascii="Calibri" w:hAnsi="Calibri" w:cs="Calibri"/>
          <w:sz w:val="22"/>
          <w:szCs w:val="22"/>
          <w:u w:val="single"/>
        </w:rPr>
        <w:t xml:space="preserve"> by the hospital / birthing center</w:t>
      </w:r>
      <w:r w:rsidRPr="008D51A5">
        <w:rPr>
          <w:rFonts w:ascii="Calibri" w:hAnsi="Calibri" w:cs="Calibri"/>
          <w:sz w:val="22"/>
          <w:szCs w:val="22"/>
        </w:rPr>
        <w:t>, data collectors will obtain written informed consent for the woman’s participation using the New Adult Informed Consent Form</w:t>
      </w:r>
      <w:r w:rsidR="00CC0B17" w:rsidRPr="008D51A5">
        <w:rPr>
          <w:rFonts w:ascii="Calibri" w:hAnsi="Calibri" w:cs="Calibri"/>
          <w:sz w:val="22"/>
          <w:szCs w:val="22"/>
        </w:rPr>
        <w:t xml:space="preserve"> (Approved by OIRA on </w:t>
      </w:r>
      <w:r w:rsidR="00C776B2" w:rsidRPr="008D51A5">
        <w:rPr>
          <w:rFonts w:ascii="Calibri" w:hAnsi="Calibri" w:cs="Calibri"/>
          <w:sz w:val="22"/>
          <w:szCs w:val="22"/>
        </w:rPr>
        <w:t>8/31/2012</w:t>
      </w:r>
      <w:r w:rsidR="00CC0B17" w:rsidRPr="008D51A5">
        <w:rPr>
          <w:rFonts w:ascii="Calibri" w:hAnsi="Calibri" w:cs="Calibri"/>
          <w:sz w:val="22"/>
          <w:szCs w:val="22"/>
        </w:rPr>
        <w:t>)</w:t>
      </w:r>
      <w:r w:rsidR="00C71DAE" w:rsidRPr="008D51A5">
        <w:rPr>
          <w:rFonts w:ascii="Calibri" w:hAnsi="Calibri" w:cs="Calibri"/>
          <w:sz w:val="22"/>
          <w:szCs w:val="22"/>
        </w:rPr>
        <w:t xml:space="preserve"> either at the hospital</w:t>
      </w:r>
      <w:r w:rsidR="000E1474" w:rsidRPr="008D51A5">
        <w:rPr>
          <w:rFonts w:ascii="Calibri" w:hAnsi="Calibri" w:cs="Calibri"/>
          <w:sz w:val="22"/>
          <w:szCs w:val="22"/>
        </w:rPr>
        <w:t>/birthing center</w:t>
      </w:r>
      <w:r w:rsidR="00C71DAE" w:rsidRPr="008D51A5">
        <w:rPr>
          <w:rFonts w:ascii="Calibri" w:hAnsi="Calibri" w:cs="Calibri"/>
          <w:sz w:val="22"/>
          <w:szCs w:val="22"/>
        </w:rPr>
        <w:t xml:space="preserve"> or previously during enrollment in the provider</w:t>
      </w:r>
      <w:r w:rsidR="00332379" w:rsidRPr="008D51A5">
        <w:rPr>
          <w:rFonts w:ascii="Calibri" w:hAnsi="Calibri" w:cs="Calibri"/>
          <w:sz w:val="22"/>
          <w:szCs w:val="22"/>
        </w:rPr>
        <w:t>’s office</w:t>
      </w:r>
      <w:r w:rsidRPr="008D51A5">
        <w:rPr>
          <w:rFonts w:ascii="Calibri" w:hAnsi="Calibri" w:cs="Calibri"/>
          <w:sz w:val="22"/>
          <w:szCs w:val="22"/>
        </w:rPr>
        <w:t>.  When administering the New Adult Informed Consent Form</w:t>
      </w:r>
      <w:r w:rsidR="00CC0B17" w:rsidRPr="008D51A5">
        <w:rPr>
          <w:rFonts w:ascii="Calibri" w:hAnsi="Calibri" w:cs="Calibri"/>
          <w:sz w:val="22"/>
          <w:szCs w:val="22"/>
        </w:rPr>
        <w:t xml:space="preserve"> (Approved by OIRA on </w:t>
      </w:r>
      <w:r w:rsidR="00C776B2" w:rsidRPr="008D51A5">
        <w:rPr>
          <w:rFonts w:ascii="Calibri" w:hAnsi="Calibri" w:cs="Calibri"/>
          <w:sz w:val="22"/>
          <w:szCs w:val="22"/>
        </w:rPr>
        <w:t>8/31/2012</w:t>
      </w:r>
      <w:r w:rsidR="00CC0B17" w:rsidRPr="008D51A5">
        <w:rPr>
          <w:rFonts w:ascii="Calibri" w:hAnsi="Calibri" w:cs="Calibri"/>
          <w:sz w:val="22"/>
          <w:szCs w:val="22"/>
        </w:rPr>
        <w:t>)</w:t>
      </w:r>
      <w:r w:rsidRPr="008D51A5">
        <w:rPr>
          <w:rFonts w:ascii="Calibri" w:hAnsi="Calibri" w:cs="Calibri"/>
          <w:sz w:val="22"/>
          <w:szCs w:val="22"/>
        </w:rPr>
        <w:t xml:space="preserve">, data collectors will also administer any required HIPAA authorizations.  Data collectors will then obtain written informed consent for the child’s participation through 6 months of age using the Parental Permission for Child’s Participation: Birth </w:t>
      </w:r>
      <w:r w:rsidR="000E1474" w:rsidRPr="008D51A5">
        <w:rPr>
          <w:rFonts w:ascii="Calibri" w:hAnsi="Calibri" w:cs="Calibri"/>
          <w:sz w:val="22"/>
          <w:szCs w:val="22"/>
        </w:rPr>
        <w:t>t</w:t>
      </w:r>
      <w:r w:rsidRPr="008D51A5">
        <w:rPr>
          <w:rFonts w:ascii="Calibri" w:hAnsi="Calibri" w:cs="Calibri"/>
          <w:sz w:val="22"/>
          <w:szCs w:val="22"/>
        </w:rPr>
        <w:t>hrough 6 Months of Age (Without Samples)</w:t>
      </w:r>
      <w:r w:rsidR="00FC1A8C" w:rsidRPr="008D51A5">
        <w:rPr>
          <w:rFonts w:ascii="Calibri" w:hAnsi="Calibri" w:cs="Calibri"/>
          <w:sz w:val="22"/>
          <w:szCs w:val="22"/>
        </w:rPr>
        <w:t xml:space="preserve">, </w:t>
      </w:r>
      <w:r w:rsidR="00C776B2" w:rsidRPr="008D51A5">
        <w:rPr>
          <w:rFonts w:ascii="Calibri" w:hAnsi="Calibri" w:cs="Calibri"/>
          <w:sz w:val="22"/>
          <w:szCs w:val="22"/>
        </w:rPr>
        <w:t>(</w:t>
      </w:r>
      <w:r w:rsidR="00FC1A8C" w:rsidRPr="008D51A5">
        <w:rPr>
          <w:rFonts w:ascii="Calibri" w:hAnsi="Calibri" w:cs="Calibri"/>
          <w:sz w:val="22"/>
          <w:szCs w:val="22"/>
        </w:rPr>
        <w:t xml:space="preserve">Approved by OIRA on </w:t>
      </w:r>
      <w:r w:rsidR="00C776B2" w:rsidRPr="008D51A5">
        <w:rPr>
          <w:rFonts w:ascii="Calibri" w:hAnsi="Calibri" w:cs="Calibri"/>
          <w:sz w:val="22"/>
          <w:szCs w:val="22"/>
        </w:rPr>
        <w:t>8/31/2012</w:t>
      </w:r>
      <w:r w:rsidR="00FC1A8C" w:rsidRPr="008D51A5">
        <w:rPr>
          <w:rFonts w:ascii="Calibri" w:hAnsi="Calibri" w:cs="Calibri"/>
          <w:sz w:val="22"/>
          <w:szCs w:val="22"/>
        </w:rPr>
        <w:t>)</w:t>
      </w:r>
      <w:r w:rsidRPr="008D51A5">
        <w:rPr>
          <w:rFonts w:ascii="Calibri" w:hAnsi="Calibri" w:cs="Calibri"/>
          <w:sz w:val="22"/>
          <w:szCs w:val="22"/>
        </w:rPr>
        <w:t xml:space="preserve">. Lastly, data collectors will present the </w:t>
      </w:r>
      <w:r w:rsidR="00E17C7C" w:rsidRPr="008D51A5">
        <w:rPr>
          <w:rFonts w:ascii="Calibri" w:hAnsi="Calibri" w:cs="Calibri"/>
          <w:sz w:val="22"/>
          <w:szCs w:val="22"/>
        </w:rPr>
        <w:t>Sample Collection</w:t>
      </w:r>
      <w:r w:rsidRPr="008D51A5">
        <w:rPr>
          <w:rFonts w:ascii="Calibri" w:hAnsi="Calibri" w:cs="Calibri"/>
          <w:sz w:val="22"/>
          <w:szCs w:val="22"/>
        </w:rPr>
        <w:t xml:space="preserve"> Visit Information </w:t>
      </w:r>
      <w:r w:rsidR="00E17C7C" w:rsidRPr="008D51A5">
        <w:rPr>
          <w:rFonts w:ascii="Calibri" w:hAnsi="Calibri" w:cs="Calibri"/>
          <w:sz w:val="22"/>
          <w:szCs w:val="22"/>
        </w:rPr>
        <w:t xml:space="preserve">Sheet </w:t>
      </w:r>
      <w:r w:rsidRPr="008D51A5">
        <w:rPr>
          <w:rFonts w:ascii="Calibri" w:hAnsi="Calibri" w:cs="Calibri"/>
          <w:sz w:val="22"/>
          <w:szCs w:val="22"/>
        </w:rPr>
        <w:t>Script</w:t>
      </w:r>
      <w:r w:rsidR="00BE7B5E" w:rsidRPr="008D51A5">
        <w:rPr>
          <w:rFonts w:ascii="Calibri" w:hAnsi="Calibri" w:cs="Calibri"/>
          <w:sz w:val="22"/>
          <w:szCs w:val="22"/>
        </w:rPr>
        <w:t>s</w:t>
      </w:r>
      <w:r w:rsidR="00FC1A8C" w:rsidRPr="008D51A5">
        <w:rPr>
          <w:rFonts w:ascii="Calibri" w:hAnsi="Calibri" w:cs="Calibri"/>
          <w:sz w:val="22"/>
          <w:szCs w:val="22"/>
        </w:rPr>
        <w:t xml:space="preserve"> (OMB 0925-0593, Approved by OIRA on </w:t>
      </w:r>
      <w:r w:rsidR="00C776B2" w:rsidRPr="008D51A5">
        <w:rPr>
          <w:rFonts w:ascii="Calibri" w:hAnsi="Calibri" w:cs="Calibri"/>
          <w:sz w:val="22"/>
          <w:szCs w:val="22"/>
        </w:rPr>
        <w:t>8/31/</w:t>
      </w:r>
      <w:r w:rsidR="00FC1A8C" w:rsidRPr="008D51A5">
        <w:rPr>
          <w:rFonts w:ascii="Calibri" w:hAnsi="Calibri" w:cs="Calibri"/>
          <w:sz w:val="22"/>
          <w:szCs w:val="22"/>
        </w:rPr>
        <w:t xml:space="preserve"> 2012</w:t>
      </w:r>
      <w:r w:rsidR="00BE7B5E" w:rsidRPr="008D51A5">
        <w:rPr>
          <w:rFonts w:ascii="Calibri" w:hAnsi="Calibri" w:cs="Calibri"/>
          <w:sz w:val="22"/>
          <w:szCs w:val="22"/>
        </w:rPr>
        <w:t>; Revised this Submission Attach B24.</w:t>
      </w:r>
      <w:r w:rsidR="00FC1A8C" w:rsidRPr="008D51A5">
        <w:rPr>
          <w:rFonts w:ascii="Calibri" w:hAnsi="Calibri" w:cs="Calibri"/>
          <w:sz w:val="22"/>
          <w:szCs w:val="22"/>
        </w:rPr>
        <w:t xml:space="preserve">) </w:t>
      </w:r>
      <w:r w:rsidRPr="008D51A5">
        <w:rPr>
          <w:rFonts w:ascii="Calibri" w:hAnsi="Calibri" w:cs="Calibri"/>
          <w:sz w:val="22"/>
          <w:szCs w:val="22"/>
        </w:rPr>
        <w:t>to obtain verbal permission for the PBS Birth Cohort Birth Event data collection activities.</w:t>
      </w:r>
    </w:p>
    <w:p w:rsidR="00EF5960" w:rsidRPr="008D51A5" w:rsidRDefault="00EF5960" w:rsidP="00CC0B17">
      <w:pPr>
        <w:pStyle w:val="SL-FlLftSgl"/>
        <w:spacing w:line="276" w:lineRule="auto"/>
        <w:rPr>
          <w:rFonts w:ascii="Calibri" w:hAnsi="Calibri" w:cs="Calibri"/>
          <w:sz w:val="22"/>
          <w:szCs w:val="22"/>
        </w:rPr>
      </w:pPr>
    </w:p>
    <w:p w:rsidR="0052481A" w:rsidRPr="008D51A5" w:rsidRDefault="00EF5960" w:rsidP="004E4D43">
      <w:pPr>
        <w:pStyle w:val="ListParagraph"/>
        <w:spacing w:line="276" w:lineRule="auto"/>
        <w:ind w:left="0"/>
        <w:contextualSpacing w:val="0"/>
        <w:rPr>
          <w:rFonts w:asciiTheme="minorHAnsi" w:hAnsiTheme="minorHAnsi" w:cstheme="minorHAnsi"/>
          <w:sz w:val="22"/>
          <w:szCs w:val="22"/>
        </w:rPr>
      </w:pPr>
      <w:r w:rsidRPr="008D51A5">
        <w:rPr>
          <w:rFonts w:ascii="Calibri" w:hAnsi="Calibri" w:cs="Calibri"/>
          <w:sz w:val="22"/>
          <w:szCs w:val="22"/>
          <w:u w:val="single"/>
        </w:rPr>
        <w:t>If biospecimens are collected</w:t>
      </w:r>
      <w:r w:rsidR="00C32C2F" w:rsidRPr="008D51A5">
        <w:rPr>
          <w:rFonts w:ascii="Calibri" w:hAnsi="Calibri" w:cs="Calibri"/>
          <w:sz w:val="22"/>
          <w:szCs w:val="22"/>
          <w:u w:val="single"/>
        </w:rPr>
        <w:t xml:space="preserve"> by the hospital / birthing center</w:t>
      </w:r>
      <w:r w:rsidRPr="008D51A5">
        <w:rPr>
          <w:rFonts w:ascii="Calibri" w:hAnsi="Calibri" w:cs="Calibri"/>
          <w:sz w:val="22"/>
          <w:szCs w:val="22"/>
        </w:rPr>
        <w:t xml:space="preserve">, data collectors will obtain written informed consent for the woman’s participation and sample collection permissions using </w:t>
      </w:r>
      <w:r w:rsidR="00FC1A8C" w:rsidRPr="008D51A5">
        <w:rPr>
          <w:rFonts w:ascii="Calibri" w:hAnsi="Calibri" w:cs="Calibri"/>
          <w:sz w:val="22"/>
          <w:szCs w:val="22"/>
        </w:rPr>
        <w:t xml:space="preserve">New Adult Informed Consent Form (Approved by OIRA on </w:t>
      </w:r>
      <w:r w:rsidR="00685F6B" w:rsidRPr="008D51A5">
        <w:rPr>
          <w:rFonts w:ascii="Calibri" w:hAnsi="Calibri" w:cs="Calibri"/>
          <w:sz w:val="22"/>
          <w:szCs w:val="22"/>
        </w:rPr>
        <w:t>8/31/2012</w:t>
      </w:r>
      <w:r w:rsidR="00FC1A8C" w:rsidRPr="008D51A5">
        <w:rPr>
          <w:rFonts w:ascii="Calibri" w:hAnsi="Calibri" w:cs="Calibri"/>
          <w:sz w:val="22"/>
          <w:szCs w:val="22"/>
        </w:rPr>
        <w:t>)</w:t>
      </w:r>
      <w:r w:rsidR="00C71DAE" w:rsidRPr="008D51A5">
        <w:rPr>
          <w:rFonts w:ascii="Calibri" w:hAnsi="Calibri" w:cs="Calibri"/>
          <w:sz w:val="22"/>
          <w:szCs w:val="22"/>
        </w:rPr>
        <w:t xml:space="preserve"> when the participant is enrolled</w:t>
      </w:r>
      <w:r w:rsidR="00FC1A8C" w:rsidRPr="008D51A5">
        <w:rPr>
          <w:rFonts w:ascii="Calibri" w:hAnsi="Calibri" w:cs="Calibri"/>
          <w:sz w:val="22"/>
          <w:szCs w:val="22"/>
        </w:rPr>
        <w:t xml:space="preserve"> </w:t>
      </w:r>
      <w:r w:rsidRPr="008D51A5">
        <w:rPr>
          <w:rFonts w:ascii="Calibri" w:hAnsi="Calibri" w:cs="Calibri"/>
          <w:sz w:val="22"/>
          <w:szCs w:val="22"/>
        </w:rPr>
        <w:t xml:space="preserve">and will administer any required HIPAA authorizations. Secondly, data collectors will present the </w:t>
      </w:r>
      <w:r w:rsidR="00BE7B5E" w:rsidRPr="008D51A5">
        <w:rPr>
          <w:rFonts w:ascii="Calibri" w:hAnsi="Calibri" w:cs="Calibri"/>
          <w:sz w:val="22"/>
          <w:szCs w:val="22"/>
        </w:rPr>
        <w:t xml:space="preserve">Sample Collection Visit Information Sheet Scripts </w:t>
      </w:r>
      <w:r w:rsidRPr="008D51A5">
        <w:rPr>
          <w:rFonts w:ascii="Calibri" w:hAnsi="Calibri" w:cs="Calibri"/>
          <w:sz w:val="22"/>
          <w:szCs w:val="22"/>
        </w:rPr>
        <w:t xml:space="preserve">to obtain verbal permission for the PBS Birth Cohort Birth </w:t>
      </w:r>
      <w:r w:rsidRPr="008D51A5">
        <w:rPr>
          <w:rFonts w:ascii="Calibri" w:hAnsi="Calibri" w:cs="Calibri"/>
          <w:sz w:val="22"/>
          <w:szCs w:val="22"/>
        </w:rPr>
        <w:lastRenderedPageBreak/>
        <w:t>Event data collection activities.  Data collectors will then obtain verbal consent for sample collections from the mother (i.e., adult blood and urine) using the Sample Collection Visit Information Sheet</w:t>
      </w:r>
      <w:r w:rsidR="00FC1A8C" w:rsidRPr="008D51A5">
        <w:rPr>
          <w:rFonts w:ascii="Calibri" w:hAnsi="Calibri" w:cs="Calibri"/>
          <w:i/>
          <w:sz w:val="22"/>
          <w:szCs w:val="22"/>
        </w:rPr>
        <w:t xml:space="preserve"> </w:t>
      </w:r>
      <w:r w:rsidR="00BE7B5E" w:rsidRPr="008D51A5">
        <w:rPr>
          <w:rFonts w:ascii="Calibri" w:hAnsi="Calibri" w:cs="Calibri"/>
          <w:sz w:val="22"/>
          <w:szCs w:val="22"/>
        </w:rPr>
        <w:t xml:space="preserve">Scripts. </w:t>
      </w:r>
      <w:r w:rsidRPr="008D51A5">
        <w:rPr>
          <w:rFonts w:ascii="Calibri" w:hAnsi="Calibri" w:cs="Calibri"/>
          <w:sz w:val="22"/>
          <w:szCs w:val="22"/>
        </w:rPr>
        <w:t>Finally, data collectors will obtain written informed consent for the child’s participation through 6 months of age and permissions for child sample collections (i.e., cord blood, placenta, and infant heel stick) using the Parental Permission for Child’s Participation: (With Samples)</w:t>
      </w:r>
      <w:r w:rsidR="00563B67" w:rsidRPr="008D51A5">
        <w:rPr>
          <w:rFonts w:ascii="Calibri" w:hAnsi="Calibri" w:cs="Calibri"/>
          <w:sz w:val="22"/>
          <w:szCs w:val="22"/>
        </w:rPr>
        <w:t>.</w:t>
      </w:r>
      <w:r w:rsidRPr="008D51A5">
        <w:rPr>
          <w:rFonts w:ascii="Calibri" w:hAnsi="Calibri" w:cs="Calibri"/>
          <w:sz w:val="22"/>
          <w:szCs w:val="22"/>
        </w:rPr>
        <w:t xml:space="preserve"> </w:t>
      </w:r>
    </w:p>
    <w:p w:rsidR="00EF5960" w:rsidRPr="008D51A5" w:rsidRDefault="00EF5960" w:rsidP="004E4D43">
      <w:pPr>
        <w:spacing w:line="276" w:lineRule="auto"/>
        <w:jc w:val="both"/>
        <w:rPr>
          <w:rFonts w:ascii="Calibri" w:hAnsi="Calibri" w:cs="Calibri"/>
          <w:sz w:val="22"/>
          <w:szCs w:val="22"/>
        </w:rPr>
      </w:pPr>
    </w:p>
    <w:p w:rsidR="00EF5960" w:rsidRPr="008D51A5" w:rsidRDefault="00554A23" w:rsidP="004E4D43">
      <w:pPr>
        <w:spacing w:line="276" w:lineRule="auto"/>
        <w:jc w:val="both"/>
        <w:rPr>
          <w:rFonts w:ascii="Calibri" w:hAnsi="Calibri" w:cs="Calibri"/>
          <w:b/>
          <w:i/>
          <w:sz w:val="22"/>
          <w:szCs w:val="22"/>
          <w:u w:val="single"/>
        </w:rPr>
      </w:pPr>
      <w:r w:rsidRPr="008D51A5">
        <w:rPr>
          <w:rFonts w:ascii="Calibri" w:hAnsi="Calibri" w:cs="Calibri"/>
          <w:b/>
          <w:i/>
          <w:sz w:val="22"/>
          <w:szCs w:val="22"/>
          <w:u w:val="single"/>
        </w:rPr>
        <w:t xml:space="preserve">Collection </w:t>
      </w:r>
      <w:r w:rsidR="00FB4D50" w:rsidRPr="008D51A5">
        <w:rPr>
          <w:rFonts w:ascii="Calibri" w:hAnsi="Calibri" w:cs="Calibri"/>
          <w:b/>
          <w:i/>
          <w:sz w:val="22"/>
          <w:szCs w:val="22"/>
          <w:u w:val="single"/>
        </w:rPr>
        <w:t>Procedures: Child</w:t>
      </w:r>
      <w:r w:rsidR="00EF5960" w:rsidRPr="008D51A5">
        <w:rPr>
          <w:rFonts w:ascii="Calibri" w:hAnsi="Calibri" w:cs="Calibri"/>
          <w:b/>
          <w:i/>
          <w:sz w:val="22"/>
          <w:szCs w:val="22"/>
          <w:u w:val="single"/>
        </w:rPr>
        <w:t xml:space="preserve"> Specimens</w:t>
      </w:r>
    </w:p>
    <w:p w:rsidR="00FC1A8C" w:rsidRPr="008D51A5" w:rsidRDefault="00554A23" w:rsidP="00F159A6">
      <w:pPr>
        <w:jc w:val="both"/>
        <w:rPr>
          <w:rFonts w:ascii="Calibri" w:hAnsi="Calibri" w:cs="Calibri"/>
          <w:sz w:val="22"/>
          <w:szCs w:val="22"/>
          <w:u w:val="single"/>
        </w:rPr>
      </w:pPr>
      <w:r w:rsidRPr="008D51A5">
        <w:rPr>
          <w:rFonts w:ascii="Calibri" w:hAnsi="Calibri" w:cs="Calibri"/>
          <w:sz w:val="22"/>
          <w:szCs w:val="22"/>
        </w:rPr>
        <w:tab/>
      </w:r>
      <w:r w:rsidRPr="008D51A5">
        <w:rPr>
          <w:rFonts w:asciiTheme="minorHAnsi" w:hAnsiTheme="minorHAnsi" w:cstheme="minorHAnsi"/>
          <w:b/>
          <w:sz w:val="22"/>
          <w:szCs w:val="22"/>
          <w:u w:val="single"/>
        </w:rPr>
        <w:t>Placenta and Cord Blood</w:t>
      </w:r>
      <w:r w:rsidRPr="008D51A5">
        <w:rPr>
          <w:rFonts w:ascii="Calibri" w:hAnsi="Calibri" w:cs="Calibri"/>
          <w:sz w:val="22"/>
          <w:szCs w:val="22"/>
          <w:u w:val="single"/>
        </w:rPr>
        <w:t xml:space="preserve"> </w:t>
      </w:r>
    </w:p>
    <w:p w:rsidR="004E4D43" w:rsidRPr="008D51A5" w:rsidRDefault="00EF5960" w:rsidP="0035782D">
      <w:pPr>
        <w:spacing w:line="276" w:lineRule="auto"/>
        <w:jc w:val="both"/>
        <w:rPr>
          <w:rFonts w:ascii="Calibri" w:hAnsi="Calibri" w:cs="Calibri"/>
          <w:sz w:val="22"/>
          <w:szCs w:val="22"/>
        </w:rPr>
      </w:pPr>
      <w:r w:rsidRPr="008D51A5">
        <w:rPr>
          <w:rFonts w:ascii="Calibri" w:hAnsi="Calibri" w:cs="Calibri"/>
          <w:sz w:val="22"/>
          <w:szCs w:val="22"/>
        </w:rPr>
        <w:t xml:space="preserve">The </w:t>
      </w:r>
      <w:r w:rsidRPr="008D51A5">
        <w:rPr>
          <w:rFonts w:ascii="Calibri" w:hAnsi="Calibri" w:cs="Calibri"/>
          <w:sz w:val="22"/>
          <w:szCs w:val="22"/>
          <w:u w:val="single"/>
        </w:rPr>
        <w:t>placenta and cord blood specimens</w:t>
      </w:r>
      <w:r w:rsidRPr="008D51A5">
        <w:rPr>
          <w:rFonts w:ascii="Calibri" w:hAnsi="Calibri" w:cs="Calibri"/>
          <w:sz w:val="22"/>
          <w:szCs w:val="22"/>
        </w:rPr>
        <w:t xml:space="preserve"> will only be collected retrospectively from hospitals routinely collecting and storing these specimens as part of clinical practice; data collectors will recover specimens collected by hospital staff during delivery.  Data collectors will locate and pick up stored placenta and cord blood specimens.  If stored placenta and/or cord blood specimens are unavailable, then the specimen(s) will </w:t>
      </w:r>
      <w:r w:rsidRPr="008D51A5">
        <w:rPr>
          <w:rFonts w:ascii="Calibri" w:hAnsi="Calibri" w:cs="Calibri"/>
          <w:i/>
          <w:sz w:val="22"/>
          <w:szCs w:val="22"/>
        </w:rPr>
        <w:t>not</w:t>
      </w:r>
      <w:r w:rsidRPr="008D51A5">
        <w:rPr>
          <w:rFonts w:ascii="Calibri" w:hAnsi="Calibri" w:cs="Calibri"/>
          <w:sz w:val="22"/>
          <w:szCs w:val="22"/>
        </w:rPr>
        <w:t xml:space="preserve"> be collected for the NCS.  Additionally, cord blood samples will not be obtained from women who are banking cord blood.  </w:t>
      </w:r>
      <w:r w:rsidR="0024050A" w:rsidRPr="008D51A5">
        <w:rPr>
          <w:rFonts w:ascii="Calibri" w:hAnsi="Calibri" w:cs="Calibri"/>
          <w:sz w:val="22"/>
          <w:szCs w:val="22"/>
        </w:rPr>
        <w:t>The figure</w:t>
      </w:r>
      <w:r w:rsidR="00FC1A8C" w:rsidRPr="008D51A5">
        <w:rPr>
          <w:rFonts w:ascii="Calibri" w:hAnsi="Calibri" w:cs="Calibri"/>
          <w:sz w:val="22"/>
          <w:szCs w:val="22"/>
        </w:rPr>
        <w:t xml:space="preserve"> below describes this process.</w:t>
      </w:r>
    </w:p>
    <w:p w:rsidR="0035782D" w:rsidRPr="008D51A5" w:rsidRDefault="0035782D" w:rsidP="0035782D">
      <w:pPr>
        <w:spacing w:line="276" w:lineRule="auto"/>
        <w:jc w:val="both"/>
        <w:rPr>
          <w:rFonts w:ascii="Calibri" w:hAnsi="Calibri" w:cs="Calibri"/>
          <w:sz w:val="22"/>
          <w:szCs w:val="22"/>
        </w:rPr>
      </w:pPr>
    </w:p>
    <w:p w:rsidR="00EF5960" w:rsidRPr="008D51A5" w:rsidRDefault="00EF5960" w:rsidP="00EF5960">
      <w:pPr>
        <w:jc w:val="center"/>
      </w:pPr>
      <w:r w:rsidRPr="008D51A5">
        <w:object w:dxaOrig="8860" w:dyaOrig="2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109.55pt" o:ole="">
            <v:imagedata r:id="rId13" o:title=""/>
          </v:shape>
          <o:OLEObject Type="Embed" ProgID="Visio.Drawing.11" ShapeID="_x0000_i1025" DrawAspect="Content" ObjectID="_1424254296" r:id="rId14"/>
        </w:object>
      </w:r>
    </w:p>
    <w:p w:rsidR="00B625B0" w:rsidRPr="008D51A5" w:rsidRDefault="00B625B0" w:rsidP="00EF5960">
      <w:pPr>
        <w:jc w:val="center"/>
        <w:rPr>
          <w:rFonts w:ascii="Arial" w:hAnsi="Arial" w:cs="Arial"/>
        </w:rPr>
      </w:pPr>
    </w:p>
    <w:p w:rsidR="0035782D" w:rsidRPr="008D51A5" w:rsidRDefault="0035782D" w:rsidP="00EF5960">
      <w:pPr>
        <w:jc w:val="center"/>
        <w:rPr>
          <w:rFonts w:ascii="Arial" w:hAnsi="Arial" w:cs="Arial"/>
        </w:rPr>
      </w:pPr>
    </w:p>
    <w:p w:rsidR="00EF5960" w:rsidRPr="008D51A5" w:rsidRDefault="00554A23" w:rsidP="00EF5960">
      <w:pPr>
        <w:jc w:val="both"/>
        <w:rPr>
          <w:rFonts w:ascii="Arial" w:hAnsi="Arial" w:cs="Arial"/>
          <w:u w:val="single"/>
        </w:rPr>
      </w:pPr>
      <w:r w:rsidRPr="008D51A5">
        <w:rPr>
          <w:rFonts w:ascii="Arial" w:hAnsi="Arial" w:cs="Arial"/>
        </w:rPr>
        <w:tab/>
      </w:r>
      <w:r w:rsidRPr="008D51A5">
        <w:rPr>
          <w:rFonts w:asciiTheme="minorHAnsi" w:hAnsiTheme="minorHAnsi" w:cstheme="minorHAnsi"/>
          <w:b/>
          <w:sz w:val="22"/>
          <w:szCs w:val="22"/>
          <w:u w:val="single"/>
        </w:rPr>
        <w:t>Infant Heel Stick</w:t>
      </w:r>
    </w:p>
    <w:p w:rsidR="00EF5960" w:rsidRPr="008D51A5" w:rsidRDefault="00EF5960" w:rsidP="004E4D43">
      <w:pPr>
        <w:spacing w:line="276" w:lineRule="auto"/>
        <w:jc w:val="both"/>
        <w:rPr>
          <w:rFonts w:asciiTheme="minorHAnsi" w:hAnsiTheme="minorHAnsi" w:cstheme="minorHAnsi"/>
          <w:sz w:val="22"/>
        </w:rPr>
      </w:pPr>
      <w:r w:rsidRPr="008D51A5">
        <w:rPr>
          <w:rFonts w:asciiTheme="minorHAnsi" w:hAnsiTheme="minorHAnsi" w:cstheme="minorHAnsi"/>
          <w:sz w:val="22"/>
        </w:rPr>
        <w:t xml:space="preserve">The </w:t>
      </w:r>
      <w:r w:rsidRPr="008D51A5">
        <w:rPr>
          <w:rFonts w:asciiTheme="minorHAnsi" w:hAnsiTheme="minorHAnsi" w:cstheme="minorHAnsi"/>
          <w:sz w:val="22"/>
          <w:u w:val="single"/>
        </w:rPr>
        <w:t>infant heel stick specimen</w:t>
      </w:r>
      <w:r w:rsidRPr="008D51A5">
        <w:rPr>
          <w:rFonts w:asciiTheme="minorHAnsi" w:hAnsiTheme="minorHAnsi" w:cstheme="minorHAnsi"/>
          <w:sz w:val="22"/>
        </w:rPr>
        <w:t xml:space="preserve"> will only be collected as part of routine hospital procedures; no additional heel punctures will be performed to collect this specimen.  Data collectors will work with hospital staff to obtain about 7 additional drops of the child’s blood during a routine heel stick.  If this specimen cannot be obtained during routine specimen collection, then this specimen will not be collected for the NCS.</w:t>
      </w:r>
      <w:r w:rsidR="00FC1A8C" w:rsidRPr="008D51A5">
        <w:rPr>
          <w:rFonts w:asciiTheme="minorHAnsi" w:hAnsiTheme="minorHAnsi" w:cstheme="minorHAnsi"/>
          <w:sz w:val="22"/>
        </w:rPr>
        <w:t xml:space="preserve"> </w:t>
      </w:r>
      <w:r w:rsidR="0024050A" w:rsidRPr="008D51A5">
        <w:rPr>
          <w:rFonts w:asciiTheme="minorHAnsi" w:hAnsiTheme="minorHAnsi" w:cstheme="minorHAnsi"/>
          <w:sz w:val="22"/>
        </w:rPr>
        <w:t>The figure</w:t>
      </w:r>
      <w:r w:rsidR="00FC1A8C" w:rsidRPr="008D51A5">
        <w:rPr>
          <w:rFonts w:asciiTheme="minorHAnsi" w:hAnsiTheme="minorHAnsi" w:cstheme="minorHAnsi"/>
          <w:sz w:val="22"/>
        </w:rPr>
        <w:t xml:space="preserve"> below describes this process.</w:t>
      </w:r>
    </w:p>
    <w:p w:rsidR="00EF5960" w:rsidRPr="008D51A5" w:rsidRDefault="00EF5960" w:rsidP="00EF5960">
      <w:pPr>
        <w:jc w:val="both"/>
        <w:rPr>
          <w:rFonts w:asciiTheme="minorHAnsi" w:hAnsiTheme="minorHAnsi" w:cstheme="minorHAnsi"/>
          <w:sz w:val="20"/>
        </w:rPr>
      </w:pPr>
    </w:p>
    <w:p w:rsidR="00EF5960" w:rsidRPr="008D51A5" w:rsidRDefault="00EF5960" w:rsidP="00EF5960">
      <w:pPr>
        <w:jc w:val="center"/>
        <w:rPr>
          <w:rFonts w:ascii="Arial" w:hAnsi="Arial" w:cs="Arial"/>
        </w:rPr>
      </w:pPr>
      <w:r w:rsidRPr="008D51A5">
        <w:object w:dxaOrig="8482" w:dyaOrig="2883">
          <v:shape id="_x0000_i1026" type="#_x0000_t75" style="width:422.6pt;height:2in" o:ole="">
            <v:imagedata r:id="rId15" o:title=""/>
          </v:shape>
          <o:OLEObject Type="Embed" ProgID="Visio.Drawing.11" ShapeID="_x0000_i1026" DrawAspect="Content" ObjectID="_1424254297" r:id="rId16"/>
        </w:object>
      </w:r>
    </w:p>
    <w:p w:rsidR="00EF5960" w:rsidRPr="008D51A5" w:rsidRDefault="00EF5960" w:rsidP="00EF5960">
      <w:pPr>
        <w:jc w:val="both"/>
        <w:rPr>
          <w:rFonts w:ascii="Arial" w:hAnsi="Arial" w:cs="Arial"/>
          <w:b/>
          <w:u w:val="single"/>
        </w:rPr>
      </w:pPr>
    </w:p>
    <w:p w:rsidR="00AB508A" w:rsidRPr="008D51A5" w:rsidRDefault="00AB508A" w:rsidP="00CC0B17">
      <w:pPr>
        <w:rPr>
          <w:rFonts w:ascii="Calibri" w:hAnsi="Calibri" w:cs="Calibri"/>
          <w:b/>
          <w:i/>
          <w:sz w:val="22"/>
          <w:szCs w:val="22"/>
          <w:u w:val="single"/>
        </w:rPr>
      </w:pPr>
    </w:p>
    <w:p w:rsidR="00EF5960" w:rsidRPr="008D51A5" w:rsidRDefault="00554A23" w:rsidP="00CC0B17">
      <w:pPr>
        <w:rPr>
          <w:rFonts w:ascii="Calibri" w:hAnsi="Calibri" w:cs="Calibri"/>
          <w:b/>
          <w:i/>
          <w:sz w:val="22"/>
          <w:szCs w:val="22"/>
          <w:u w:val="single"/>
        </w:rPr>
      </w:pPr>
      <w:r w:rsidRPr="008D51A5">
        <w:rPr>
          <w:rFonts w:ascii="Calibri" w:hAnsi="Calibri" w:cs="Calibri"/>
          <w:b/>
          <w:i/>
          <w:sz w:val="22"/>
          <w:szCs w:val="22"/>
          <w:u w:val="single"/>
        </w:rPr>
        <w:lastRenderedPageBreak/>
        <w:t xml:space="preserve">Collection </w:t>
      </w:r>
      <w:r w:rsidR="002A0C27" w:rsidRPr="008D51A5">
        <w:rPr>
          <w:rFonts w:ascii="Calibri" w:hAnsi="Calibri" w:cs="Calibri"/>
          <w:b/>
          <w:i/>
          <w:sz w:val="22"/>
          <w:szCs w:val="22"/>
          <w:u w:val="single"/>
        </w:rPr>
        <w:t>Procedures: Maternal</w:t>
      </w:r>
      <w:r w:rsidR="00EF5960" w:rsidRPr="008D51A5">
        <w:rPr>
          <w:rFonts w:ascii="Calibri" w:hAnsi="Calibri" w:cs="Calibri"/>
          <w:b/>
          <w:i/>
          <w:sz w:val="22"/>
          <w:szCs w:val="22"/>
          <w:u w:val="single"/>
        </w:rPr>
        <w:t xml:space="preserve"> Specimens</w:t>
      </w:r>
    </w:p>
    <w:p w:rsidR="004E4D43" w:rsidRPr="008D51A5" w:rsidRDefault="00554A23" w:rsidP="00F159A6">
      <w:pPr>
        <w:spacing w:line="276" w:lineRule="auto"/>
        <w:ind w:firstLine="720"/>
        <w:rPr>
          <w:rFonts w:asciiTheme="minorHAnsi" w:hAnsiTheme="minorHAnsi" w:cstheme="minorHAnsi"/>
          <w:sz w:val="22"/>
          <w:szCs w:val="22"/>
          <w:u w:val="single"/>
        </w:rPr>
      </w:pPr>
      <w:r w:rsidRPr="008D51A5">
        <w:rPr>
          <w:rFonts w:asciiTheme="minorHAnsi" w:hAnsiTheme="minorHAnsi" w:cstheme="minorHAnsi"/>
          <w:b/>
          <w:sz w:val="22"/>
          <w:szCs w:val="22"/>
          <w:u w:val="single"/>
        </w:rPr>
        <w:t>Maternal Blood</w:t>
      </w:r>
    </w:p>
    <w:p w:rsidR="00EF5960" w:rsidRPr="008D51A5" w:rsidRDefault="00EF5960" w:rsidP="004E4D43">
      <w:pPr>
        <w:spacing w:line="276" w:lineRule="auto"/>
        <w:rPr>
          <w:rFonts w:asciiTheme="minorHAnsi" w:hAnsiTheme="minorHAnsi" w:cstheme="minorHAnsi"/>
          <w:sz w:val="22"/>
          <w:szCs w:val="22"/>
        </w:rPr>
      </w:pPr>
      <w:r w:rsidRPr="008D51A5">
        <w:rPr>
          <w:rFonts w:asciiTheme="minorHAnsi" w:hAnsiTheme="minorHAnsi" w:cstheme="minorHAnsi"/>
          <w:sz w:val="22"/>
          <w:szCs w:val="22"/>
          <w:u w:val="single"/>
        </w:rPr>
        <w:t>Blood</w:t>
      </w:r>
      <w:r w:rsidRPr="008D51A5">
        <w:rPr>
          <w:rFonts w:asciiTheme="minorHAnsi" w:hAnsiTheme="minorHAnsi" w:cstheme="minorHAnsi"/>
          <w:sz w:val="22"/>
          <w:szCs w:val="22"/>
        </w:rPr>
        <w:t xml:space="preserve"> may be obtained either from stored hospital samples collected during the labor and delivery event or by collection of new specimens.  If a specimen the hospital collected before the baby’s birth is available, then data collectors will retrieve that specimen. If an existing blood sample is not readily available, a new blood draw will occur to obtain about 2 tablespoons of blood. Depending upon contractual arrangements with a given hospital, the blood specimen will be collected either by an NCS data collector or paid hospital staff during the birth hospitalization.  </w:t>
      </w:r>
      <w:r w:rsidR="0024050A" w:rsidRPr="008D51A5">
        <w:rPr>
          <w:rFonts w:asciiTheme="minorHAnsi" w:hAnsiTheme="minorHAnsi" w:cstheme="minorHAnsi"/>
          <w:sz w:val="22"/>
          <w:szCs w:val="22"/>
        </w:rPr>
        <w:t>The figure</w:t>
      </w:r>
      <w:r w:rsidR="00FC1A8C" w:rsidRPr="008D51A5">
        <w:rPr>
          <w:rFonts w:asciiTheme="minorHAnsi" w:hAnsiTheme="minorHAnsi" w:cstheme="minorHAnsi"/>
          <w:sz w:val="22"/>
          <w:szCs w:val="22"/>
        </w:rPr>
        <w:t xml:space="preserve"> below describes this process.</w:t>
      </w:r>
    </w:p>
    <w:p w:rsidR="00EF5960" w:rsidRPr="008D51A5" w:rsidRDefault="00EF5960" w:rsidP="00EF5960">
      <w:pPr>
        <w:jc w:val="both"/>
        <w:rPr>
          <w:rFonts w:asciiTheme="minorHAnsi" w:hAnsiTheme="minorHAnsi" w:cstheme="minorHAnsi"/>
          <w:b/>
          <w:sz w:val="22"/>
          <w:szCs w:val="22"/>
          <w:u w:val="single"/>
        </w:rPr>
      </w:pPr>
      <w:r w:rsidRPr="008D51A5">
        <w:rPr>
          <w:rFonts w:asciiTheme="minorHAnsi" w:hAnsiTheme="minorHAnsi" w:cstheme="minorHAnsi"/>
          <w:sz w:val="22"/>
          <w:szCs w:val="22"/>
        </w:rPr>
        <w:t xml:space="preserve"> </w:t>
      </w:r>
    </w:p>
    <w:p w:rsidR="00EF5960" w:rsidRPr="008D51A5" w:rsidRDefault="00EF5960" w:rsidP="00EF5960">
      <w:pPr>
        <w:jc w:val="center"/>
      </w:pPr>
      <w:r w:rsidRPr="008D51A5">
        <w:object w:dxaOrig="8665" w:dyaOrig="3095">
          <v:shape id="_x0000_i1027" type="#_x0000_t75" style="width:433.9pt;height:154.65pt" o:ole="">
            <v:imagedata r:id="rId17" o:title=""/>
          </v:shape>
          <o:OLEObject Type="Embed" ProgID="Visio.Drawing.11" ShapeID="_x0000_i1027" DrawAspect="Content" ObjectID="_1424254298" r:id="rId18"/>
        </w:object>
      </w:r>
    </w:p>
    <w:p w:rsidR="0052481A" w:rsidRPr="008D51A5" w:rsidRDefault="0052481A" w:rsidP="00FC1A8C">
      <w:pPr>
        <w:rPr>
          <w:rFonts w:asciiTheme="minorHAnsi" w:hAnsiTheme="minorHAnsi" w:cstheme="minorHAnsi"/>
          <w:sz w:val="22"/>
          <w:szCs w:val="22"/>
        </w:rPr>
      </w:pPr>
      <w:r w:rsidRPr="008D51A5">
        <w:rPr>
          <w:rFonts w:asciiTheme="minorHAnsi" w:hAnsiTheme="minorHAnsi" w:cstheme="minorHAnsi"/>
          <w:sz w:val="22"/>
          <w:szCs w:val="22"/>
        </w:rPr>
        <w:tab/>
      </w:r>
    </w:p>
    <w:p w:rsidR="00A73EF8" w:rsidRPr="008D51A5" w:rsidRDefault="0052481A" w:rsidP="00FC1A8C">
      <w:pPr>
        <w:rPr>
          <w:rFonts w:asciiTheme="minorHAnsi" w:hAnsiTheme="minorHAnsi" w:cstheme="minorHAnsi"/>
          <w:sz w:val="22"/>
          <w:szCs w:val="22"/>
        </w:rPr>
      </w:pPr>
      <w:r w:rsidRPr="008D51A5">
        <w:rPr>
          <w:rFonts w:asciiTheme="minorHAnsi" w:hAnsiTheme="minorHAnsi" w:cstheme="minorHAnsi"/>
          <w:sz w:val="22"/>
          <w:szCs w:val="22"/>
        </w:rPr>
        <w:tab/>
      </w:r>
    </w:p>
    <w:p w:rsidR="00A73EF8" w:rsidRPr="008D51A5" w:rsidRDefault="00A73EF8" w:rsidP="00FC1A8C">
      <w:pPr>
        <w:rPr>
          <w:rFonts w:asciiTheme="minorHAnsi" w:hAnsiTheme="minorHAnsi" w:cstheme="minorHAnsi"/>
          <w:sz w:val="22"/>
          <w:szCs w:val="22"/>
        </w:rPr>
      </w:pPr>
    </w:p>
    <w:p w:rsidR="00A73EF8" w:rsidRPr="008D51A5" w:rsidRDefault="00A73EF8" w:rsidP="00FC1A8C">
      <w:pPr>
        <w:rPr>
          <w:rFonts w:asciiTheme="minorHAnsi" w:hAnsiTheme="minorHAnsi" w:cstheme="minorHAnsi"/>
          <w:sz w:val="22"/>
          <w:szCs w:val="22"/>
        </w:rPr>
      </w:pPr>
    </w:p>
    <w:p w:rsidR="00A73EF8" w:rsidRPr="008D51A5" w:rsidRDefault="00A73EF8" w:rsidP="00FC1A8C">
      <w:pPr>
        <w:rPr>
          <w:rFonts w:asciiTheme="minorHAnsi" w:hAnsiTheme="minorHAnsi" w:cstheme="minorHAnsi"/>
          <w:sz w:val="22"/>
          <w:szCs w:val="22"/>
        </w:rPr>
      </w:pPr>
    </w:p>
    <w:p w:rsidR="0052481A" w:rsidRPr="008D51A5" w:rsidRDefault="004E4D43" w:rsidP="00A73EF8">
      <w:pPr>
        <w:ind w:firstLine="720"/>
        <w:rPr>
          <w:rFonts w:asciiTheme="minorHAnsi" w:hAnsiTheme="minorHAnsi" w:cstheme="minorHAnsi"/>
          <w:b/>
          <w:sz w:val="22"/>
          <w:szCs w:val="22"/>
          <w:u w:val="single"/>
        </w:rPr>
      </w:pPr>
      <w:r w:rsidRPr="008D51A5">
        <w:rPr>
          <w:rFonts w:asciiTheme="minorHAnsi" w:hAnsiTheme="minorHAnsi" w:cstheme="minorHAnsi"/>
          <w:b/>
          <w:sz w:val="22"/>
          <w:szCs w:val="22"/>
        </w:rPr>
        <w:t xml:space="preserve"> </w:t>
      </w:r>
      <w:r w:rsidR="0052481A" w:rsidRPr="008D51A5">
        <w:rPr>
          <w:rFonts w:asciiTheme="minorHAnsi" w:hAnsiTheme="minorHAnsi" w:cstheme="minorHAnsi"/>
          <w:b/>
          <w:sz w:val="22"/>
          <w:szCs w:val="22"/>
          <w:u w:val="single"/>
        </w:rPr>
        <w:t>Maternal Urine</w:t>
      </w:r>
    </w:p>
    <w:p w:rsidR="00FC1A8C" w:rsidRPr="008D51A5" w:rsidRDefault="00FC1A8C" w:rsidP="004E4D43">
      <w:pPr>
        <w:spacing w:line="276" w:lineRule="auto"/>
        <w:rPr>
          <w:rFonts w:asciiTheme="minorHAnsi" w:hAnsiTheme="minorHAnsi" w:cstheme="minorHAnsi"/>
          <w:sz w:val="22"/>
          <w:szCs w:val="22"/>
        </w:rPr>
      </w:pPr>
      <w:r w:rsidRPr="008D51A5">
        <w:rPr>
          <w:rFonts w:asciiTheme="minorHAnsi" w:hAnsiTheme="minorHAnsi" w:cstheme="minorHAnsi"/>
          <w:sz w:val="22"/>
          <w:szCs w:val="22"/>
          <w:u w:val="single"/>
        </w:rPr>
        <w:t>Urine</w:t>
      </w:r>
      <w:r w:rsidRPr="008D51A5">
        <w:rPr>
          <w:rFonts w:asciiTheme="minorHAnsi" w:hAnsiTheme="minorHAnsi" w:cstheme="minorHAnsi"/>
          <w:sz w:val="22"/>
          <w:szCs w:val="22"/>
        </w:rPr>
        <w:t xml:space="preserve"> may be obtained either from stored hospital samples collected during the labor and delivery event or by collection of new specimens during the birth hospitalization interview.  If a urine specimen is not readily available at the hospital, then participants will be provided with a collection cup and directions for collecting a fresh specimen</w:t>
      </w:r>
      <w:r w:rsidR="00C71DAE" w:rsidRPr="008D51A5">
        <w:rPr>
          <w:rFonts w:asciiTheme="minorHAnsi" w:hAnsiTheme="minorHAnsi" w:cstheme="minorHAnsi"/>
          <w:sz w:val="22"/>
          <w:szCs w:val="22"/>
        </w:rPr>
        <w:t>.</w:t>
      </w:r>
      <w:r w:rsidR="0024050A" w:rsidRPr="008D51A5">
        <w:rPr>
          <w:rFonts w:asciiTheme="minorHAnsi" w:hAnsiTheme="minorHAnsi" w:cstheme="minorHAnsi"/>
          <w:sz w:val="22"/>
          <w:szCs w:val="22"/>
        </w:rPr>
        <w:t xml:space="preserve"> The </w:t>
      </w:r>
      <w:r w:rsidR="00A300BC" w:rsidRPr="008D51A5">
        <w:rPr>
          <w:rFonts w:asciiTheme="minorHAnsi" w:hAnsiTheme="minorHAnsi" w:cstheme="minorHAnsi"/>
          <w:sz w:val="22"/>
          <w:szCs w:val="22"/>
        </w:rPr>
        <w:t>f</w:t>
      </w:r>
      <w:r w:rsidR="0024050A" w:rsidRPr="008D51A5">
        <w:rPr>
          <w:rFonts w:asciiTheme="minorHAnsi" w:hAnsiTheme="minorHAnsi" w:cstheme="minorHAnsi"/>
          <w:sz w:val="22"/>
          <w:szCs w:val="22"/>
        </w:rPr>
        <w:t>igure</w:t>
      </w:r>
      <w:r w:rsidR="0052481A" w:rsidRPr="008D51A5">
        <w:rPr>
          <w:rFonts w:asciiTheme="minorHAnsi" w:hAnsiTheme="minorHAnsi" w:cstheme="minorHAnsi"/>
          <w:sz w:val="22"/>
          <w:szCs w:val="22"/>
        </w:rPr>
        <w:t xml:space="preserve"> below describes this process. </w:t>
      </w:r>
    </w:p>
    <w:p w:rsidR="00EF5960" w:rsidRPr="008D51A5" w:rsidRDefault="00EF5960" w:rsidP="004E4D43">
      <w:pPr>
        <w:spacing w:line="276" w:lineRule="auto"/>
        <w:rPr>
          <w:rFonts w:ascii="Arial" w:hAnsi="Arial" w:cs="Arial"/>
          <w:u w:val="single"/>
        </w:rPr>
      </w:pPr>
    </w:p>
    <w:p w:rsidR="00EF5960" w:rsidRPr="008D51A5" w:rsidRDefault="00EF5960" w:rsidP="00EF5960">
      <w:pPr>
        <w:rPr>
          <w:rFonts w:asciiTheme="minorHAnsi" w:hAnsiTheme="minorHAnsi" w:cstheme="minorHAnsi"/>
          <w:sz w:val="22"/>
          <w:szCs w:val="22"/>
        </w:rPr>
      </w:pPr>
      <w:r w:rsidRPr="008D51A5">
        <w:object w:dxaOrig="8665" w:dyaOrig="3365">
          <v:shape id="_x0000_i1028" type="#_x0000_t75" style="width:433.9pt;height:165.9pt" o:ole="">
            <v:imagedata r:id="rId19" o:title=""/>
          </v:shape>
          <o:OLEObject Type="Embed" ProgID="Visio.Drawing.11" ShapeID="_x0000_i1028" DrawAspect="Content" ObjectID="_1424254299" r:id="rId20"/>
        </w:object>
      </w:r>
    </w:p>
    <w:p w:rsidR="009633FD" w:rsidRPr="008D51A5" w:rsidRDefault="009633FD" w:rsidP="00AF29E5">
      <w:pPr>
        <w:rPr>
          <w:rFonts w:asciiTheme="minorHAnsi" w:hAnsiTheme="minorHAnsi" w:cstheme="minorHAnsi"/>
          <w:sz w:val="22"/>
          <w:szCs w:val="22"/>
        </w:rPr>
      </w:pPr>
      <w:r w:rsidRPr="008D51A5">
        <w:rPr>
          <w:rFonts w:asciiTheme="minorHAnsi" w:hAnsiTheme="minorHAnsi" w:cstheme="minorHAnsi"/>
          <w:sz w:val="22"/>
          <w:szCs w:val="22"/>
        </w:rPr>
        <w:tab/>
      </w:r>
    </w:p>
    <w:p w:rsidR="004E4D43" w:rsidRPr="008D51A5" w:rsidRDefault="009633FD" w:rsidP="00AF29E5">
      <w:pPr>
        <w:rPr>
          <w:rFonts w:asciiTheme="minorHAnsi" w:hAnsiTheme="minorHAnsi" w:cstheme="minorHAnsi"/>
          <w:sz w:val="22"/>
          <w:szCs w:val="22"/>
          <w:u w:val="single"/>
        </w:rPr>
      </w:pPr>
      <w:r w:rsidRPr="008D51A5">
        <w:rPr>
          <w:rFonts w:asciiTheme="minorHAnsi" w:hAnsiTheme="minorHAnsi" w:cstheme="minorHAnsi"/>
          <w:sz w:val="22"/>
          <w:szCs w:val="22"/>
        </w:rPr>
        <w:lastRenderedPageBreak/>
        <w:tab/>
      </w:r>
      <w:r w:rsidR="00F159A6" w:rsidRPr="008D51A5">
        <w:rPr>
          <w:rFonts w:asciiTheme="minorHAnsi" w:hAnsiTheme="minorHAnsi" w:cstheme="minorHAnsi"/>
          <w:b/>
          <w:sz w:val="22"/>
          <w:szCs w:val="22"/>
          <w:u w:val="single"/>
        </w:rPr>
        <w:t>Interview Data Collection</w:t>
      </w:r>
    </w:p>
    <w:p w:rsidR="00FF4CF2" w:rsidRPr="008D51A5" w:rsidRDefault="009F6C7F" w:rsidP="0035782D">
      <w:pPr>
        <w:spacing w:line="276" w:lineRule="auto"/>
        <w:rPr>
          <w:rFonts w:asciiTheme="minorHAnsi" w:hAnsiTheme="minorHAnsi" w:cstheme="minorHAnsi"/>
          <w:sz w:val="22"/>
          <w:szCs w:val="22"/>
        </w:rPr>
      </w:pPr>
      <w:r w:rsidRPr="008D51A5">
        <w:rPr>
          <w:rFonts w:asciiTheme="minorHAnsi" w:hAnsiTheme="minorHAnsi" w:cstheme="minorHAnsi"/>
          <w:sz w:val="22"/>
          <w:szCs w:val="22"/>
        </w:rPr>
        <w:t>T</w:t>
      </w:r>
      <w:r w:rsidR="00FF4CF2" w:rsidRPr="008D51A5">
        <w:rPr>
          <w:rFonts w:asciiTheme="minorHAnsi" w:hAnsiTheme="minorHAnsi" w:cstheme="minorHAnsi"/>
          <w:sz w:val="22"/>
          <w:szCs w:val="22"/>
        </w:rPr>
        <w:t>he NCS proposes to administer a series of questionnaires pertaining to each specimen collected that will total 42 minutes of interview data</w:t>
      </w:r>
      <w:r w:rsidRPr="008D51A5">
        <w:rPr>
          <w:rFonts w:asciiTheme="minorHAnsi" w:hAnsiTheme="minorHAnsi" w:cstheme="minorHAnsi"/>
          <w:sz w:val="22"/>
          <w:szCs w:val="22"/>
        </w:rPr>
        <w:t xml:space="preserve"> from the mother</w:t>
      </w:r>
      <w:r w:rsidR="00B14E8E" w:rsidRPr="008D51A5">
        <w:rPr>
          <w:rFonts w:asciiTheme="minorHAnsi" w:hAnsiTheme="minorHAnsi" w:cstheme="minorHAnsi"/>
          <w:sz w:val="22"/>
          <w:szCs w:val="22"/>
        </w:rPr>
        <w:t xml:space="preserve"> (Attach B</w:t>
      </w:r>
      <w:r w:rsidR="00AB1866" w:rsidRPr="008D51A5">
        <w:rPr>
          <w:rFonts w:asciiTheme="minorHAnsi" w:hAnsiTheme="minorHAnsi" w:cstheme="minorHAnsi"/>
          <w:sz w:val="22"/>
          <w:szCs w:val="22"/>
        </w:rPr>
        <w:t>19</w:t>
      </w:r>
      <w:r w:rsidR="00844AA2" w:rsidRPr="008D51A5">
        <w:rPr>
          <w:rFonts w:asciiTheme="minorHAnsi" w:hAnsiTheme="minorHAnsi" w:cstheme="minorHAnsi"/>
          <w:sz w:val="22"/>
          <w:szCs w:val="22"/>
        </w:rPr>
        <w:t>.</w:t>
      </w:r>
      <w:r w:rsidR="00B14E8E" w:rsidRPr="008D51A5">
        <w:rPr>
          <w:rFonts w:asciiTheme="minorHAnsi" w:hAnsiTheme="minorHAnsi" w:cstheme="minorHAnsi"/>
          <w:sz w:val="22"/>
          <w:szCs w:val="22"/>
        </w:rPr>
        <w:t>-B</w:t>
      </w:r>
      <w:r w:rsidR="00AB1866" w:rsidRPr="008D51A5">
        <w:rPr>
          <w:rFonts w:asciiTheme="minorHAnsi" w:hAnsiTheme="minorHAnsi" w:cstheme="minorHAnsi"/>
          <w:sz w:val="22"/>
          <w:szCs w:val="22"/>
        </w:rPr>
        <w:t>23</w:t>
      </w:r>
      <w:r w:rsidR="00844AA2" w:rsidRPr="008D51A5">
        <w:rPr>
          <w:rFonts w:asciiTheme="minorHAnsi" w:hAnsiTheme="minorHAnsi" w:cstheme="minorHAnsi"/>
          <w:sz w:val="22"/>
          <w:szCs w:val="22"/>
        </w:rPr>
        <w:t>.</w:t>
      </w:r>
      <w:r w:rsidR="00B14E8E" w:rsidRPr="008D51A5">
        <w:rPr>
          <w:rFonts w:asciiTheme="minorHAnsi" w:hAnsiTheme="minorHAnsi" w:cstheme="minorHAnsi"/>
          <w:sz w:val="22"/>
          <w:szCs w:val="22"/>
        </w:rPr>
        <w:t>)</w:t>
      </w:r>
      <w:r w:rsidR="00E361A0" w:rsidRPr="008D51A5">
        <w:rPr>
          <w:rFonts w:asciiTheme="minorHAnsi" w:hAnsiTheme="minorHAnsi" w:cstheme="minorHAnsi"/>
          <w:sz w:val="22"/>
          <w:szCs w:val="22"/>
        </w:rPr>
        <w:t>.</w:t>
      </w:r>
      <w:r w:rsidR="00F159A6" w:rsidRPr="008D51A5">
        <w:rPr>
          <w:rFonts w:asciiTheme="minorHAnsi" w:hAnsiTheme="minorHAnsi" w:cstheme="minorHAnsi"/>
          <w:sz w:val="22"/>
          <w:szCs w:val="22"/>
        </w:rPr>
        <w:t xml:space="preserve"> If the specimen is unable to be collected</w:t>
      </w:r>
      <w:r w:rsidR="003408D6" w:rsidRPr="008D51A5">
        <w:rPr>
          <w:rFonts w:asciiTheme="minorHAnsi" w:hAnsiTheme="minorHAnsi" w:cstheme="minorHAnsi"/>
          <w:sz w:val="22"/>
          <w:szCs w:val="22"/>
        </w:rPr>
        <w:t>,</w:t>
      </w:r>
      <w:r w:rsidR="00F159A6" w:rsidRPr="008D51A5">
        <w:rPr>
          <w:rFonts w:asciiTheme="minorHAnsi" w:hAnsiTheme="minorHAnsi" w:cstheme="minorHAnsi"/>
          <w:sz w:val="22"/>
          <w:szCs w:val="22"/>
        </w:rPr>
        <w:t xml:space="preserve"> then the interview will not be administered to the participant. </w:t>
      </w:r>
      <w:r w:rsidR="001635ED" w:rsidRPr="008D51A5">
        <w:rPr>
          <w:rFonts w:asciiTheme="minorHAnsi" w:hAnsiTheme="minorHAnsi" w:cstheme="minorHAnsi"/>
          <w:sz w:val="22"/>
          <w:szCs w:val="22"/>
        </w:rPr>
        <w:t>The Biospecimen Adult Blood Instrument (Attach B</w:t>
      </w:r>
      <w:r w:rsidR="00AB1866" w:rsidRPr="008D51A5">
        <w:rPr>
          <w:rFonts w:asciiTheme="minorHAnsi" w:hAnsiTheme="minorHAnsi" w:cstheme="minorHAnsi"/>
          <w:sz w:val="22"/>
          <w:szCs w:val="22"/>
        </w:rPr>
        <w:t>19</w:t>
      </w:r>
      <w:r w:rsidR="00844AA2" w:rsidRPr="008D51A5">
        <w:rPr>
          <w:rFonts w:asciiTheme="minorHAnsi" w:hAnsiTheme="minorHAnsi" w:cstheme="minorHAnsi"/>
          <w:sz w:val="22"/>
          <w:szCs w:val="22"/>
        </w:rPr>
        <w:t>.</w:t>
      </w:r>
      <w:r w:rsidR="001635ED" w:rsidRPr="008D51A5">
        <w:rPr>
          <w:rFonts w:asciiTheme="minorHAnsi" w:hAnsiTheme="minorHAnsi" w:cstheme="minorHAnsi"/>
          <w:sz w:val="22"/>
          <w:szCs w:val="22"/>
        </w:rPr>
        <w:t>) and Biospecimen Adult Urine Instrument (Attach B</w:t>
      </w:r>
      <w:r w:rsidR="00AB1866" w:rsidRPr="008D51A5">
        <w:rPr>
          <w:rFonts w:asciiTheme="minorHAnsi" w:hAnsiTheme="minorHAnsi" w:cstheme="minorHAnsi"/>
          <w:sz w:val="22"/>
          <w:szCs w:val="22"/>
        </w:rPr>
        <w:t>20</w:t>
      </w:r>
      <w:r w:rsidR="00844AA2" w:rsidRPr="008D51A5">
        <w:rPr>
          <w:rFonts w:asciiTheme="minorHAnsi" w:hAnsiTheme="minorHAnsi" w:cstheme="minorHAnsi"/>
          <w:sz w:val="22"/>
          <w:szCs w:val="22"/>
        </w:rPr>
        <w:t>.</w:t>
      </w:r>
      <w:r w:rsidR="001635ED" w:rsidRPr="008D51A5">
        <w:rPr>
          <w:rFonts w:asciiTheme="minorHAnsi" w:hAnsiTheme="minorHAnsi" w:cstheme="minorHAnsi"/>
          <w:sz w:val="22"/>
          <w:szCs w:val="22"/>
        </w:rPr>
        <w:t>) collect necessary information including recent food consumption, previous issues with blood draws</w:t>
      </w:r>
      <w:r w:rsidR="0040436F" w:rsidRPr="008D51A5">
        <w:rPr>
          <w:rFonts w:asciiTheme="minorHAnsi" w:hAnsiTheme="minorHAnsi" w:cstheme="minorHAnsi"/>
          <w:sz w:val="22"/>
          <w:szCs w:val="22"/>
        </w:rPr>
        <w:t>,</w:t>
      </w:r>
      <w:r w:rsidR="001635ED" w:rsidRPr="008D51A5">
        <w:rPr>
          <w:rFonts w:asciiTheme="minorHAnsi" w:hAnsiTheme="minorHAnsi" w:cstheme="minorHAnsi"/>
          <w:sz w:val="22"/>
          <w:szCs w:val="22"/>
        </w:rPr>
        <w:t xml:space="preserve"> and other information that could impact the specimen or the collection of it. The Biospecimen Infant Blood Spot </w:t>
      </w:r>
      <w:r w:rsidR="00844AA2" w:rsidRPr="008D51A5">
        <w:rPr>
          <w:rFonts w:asciiTheme="minorHAnsi" w:hAnsiTheme="minorHAnsi" w:cstheme="minorHAnsi"/>
          <w:sz w:val="22"/>
          <w:szCs w:val="22"/>
        </w:rPr>
        <w:t xml:space="preserve">Instrument </w:t>
      </w:r>
      <w:r w:rsidR="001635ED" w:rsidRPr="008D51A5">
        <w:rPr>
          <w:rFonts w:asciiTheme="minorHAnsi" w:hAnsiTheme="minorHAnsi" w:cstheme="minorHAnsi"/>
          <w:sz w:val="22"/>
          <w:szCs w:val="22"/>
        </w:rPr>
        <w:t>(Attach B</w:t>
      </w:r>
      <w:r w:rsidR="00AB1866" w:rsidRPr="008D51A5">
        <w:rPr>
          <w:rFonts w:asciiTheme="minorHAnsi" w:hAnsiTheme="minorHAnsi" w:cstheme="minorHAnsi"/>
          <w:sz w:val="22"/>
          <w:szCs w:val="22"/>
        </w:rPr>
        <w:t>21</w:t>
      </w:r>
      <w:r w:rsidR="00844AA2" w:rsidRPr="008D51A5">
        <w:rPr>
          <w:rFonts w:asciiTheme="minorHAnsi" w:hAnsiTheme="minorHAnsi" w:cstheme="minorHAnsi"/>
          <w:sz w:val="22"/>
          <w:szCs w:val="22"/>
        </w:rPr>
        <w:t>.</w:t>
      </w:r>
      <w:r w:rsidR="001635ED" w:rsidRPr="008D51A5">
        <w:rPr>
          <w:rFonts w:asciiTheme="minorHAnsi" w:hAnsiTheme="minorHAnsi" w:cstheme="minorHAnsi"/>
          <w:sz w:val="22"/>
          <w:szCs w:val="22"/>
        </w:rPr>
        <w:t>), Biospecimen Cord Blood Instrument (Attach B</w:t>
      </w:r>
      <w:r w:rsidR="00AB1866" w:rsidRPr="008D51A5">
        <w:rPr>
          <w:rFonts w:asciiTheme="minorHAnsi" w:hAnsiTheme="minorHAnsi" w:cstheme="minorHAnsi"/>
          <w:sz w:val="22"/>
          <w:szCs w:val="22"/>
        </w:rPr>
        <w:t>22</w:t>
      </w:r>
      <w:r w:rsidR="00844AA2" w:rsidRPr="008D51A5">
        <w:rPr>
          <w:rFonts w:asciiTheme="minorHAnsi" w:hAnsiTheme="minorHAnsi" w:cstheme="minorHAnsi"/>
          <w:sz w:val="22"/>
          <w:szCs w:val="22"/>
        </w:rPr>
        <w:t>.</w:t>
      </w:r>
      <w:r w:rsidR="001635ED" w:rsidRPr="008D51A5">
        <w:rPr>
          <w:rFonts w:asciiTheme="minorHAnsi" w:hAnsiTheme="minorHAnsi" w:cstheme="minorHAnsi"/>
          <w:sz w:val="22"/>
          <w:szCs w:val="22"/>
        </w:rPr>
        <w:t>)</w:t>
      </w:r>
      <w:r w:rsidR="0040436F" w:rsidRPr="008D51A5">
        <w:rPr>
          <w:rFonts w:asciiTheme="minorHAnsi" w:hAnsiTheme="minorHAnsi" w:cstheme="minorHAnsi"/>
          <w:sz w:val="22"/>
          <w:szCs w:val="22"/>
        </w:rPr>
        <w:t>,</w:t>
      </w:r>
      <w:r w:rsidR="001635ED" w:rsidRPr="008D51A5">
        <w:rPr>
          <w:rFonts w:asciiTheme="minorHAnsi" w:hAnsiTheme="minorHAnsi" w:cstheme="minorHAnsi"/>
          <w:sz w:val="22"/>
          <w:szCs w:val="22"/>
        </w:rPr>
        <w:t xml:space="preserve"> and the Biospecimen Placenta Data Collection Instrument (Attach B</w:t>
      </w:r>
      <w:r w:rsidR="00AB1866" w:rsidRPr="008D51A5">
        <w:rPr>
          <w:rFonts w:asciiTheme="minorHAnsi" w:hAnsiTheme="minorHAnsi" w:cstheme="minorHAnsi"/>
          <w:sz w:val="22"/>
          <w:szCs w:val="22"/>
        </w:rPr>
        <w:t>23</w:t>
      </w:r>
      <w:r w:rsidR="00844AA2" w:rsidRPr="008D51A5">
        <w:rPr>
          <w:rFonts w:asciiTheme="minorHAnsi" w:hAnsiTheme="minorHAnsi" w:cstheme="minorHAnsi"/>
          <w:sz w:val="22"/>
          <w:szCs w:val="22"/>
        </w:rPr>
        <w:t>.</w:t>
      </w:r>
      <w:r w:rsidR="001635ED" w:rsidRPr="008D51A5">
        <w:rPr>
          <w:rFonts w:asciiTheme="minorHAnsi" w:hAnsiTheme="minorHAnsi" w:cstheme="minorHAnsi"/>
          <w:sz w:val="22"/>
          <w:szCs w:val="22"/>
        </w:rPr>
        <w:t xml:space="preserve">) will be completed by the NCS data collector regarding the sample collected (if no sample is collected, instrument will not be completed). </w:t>
      </w:r>
    </w:p>
    <w:p w:rsidR="009633FD" w:rsidRPr="008D51A5" w:rsidRDefault="009633FD" w:rsidP="00AF29E5">
      <w:pPr>
        <w:rPr>
          <w:rFonts w:asciiTheme="minorHAnsi" w:hAnsiTheme="minorHAnsi" w:cstheme="minorHAnsi"/>
          <w:b/>
          <w:sz w:val="22"/>
          <w:szCs w:val="22"/>
        </w:rPr>
      </w:pPr>
    </w:p>
    <w:p w:rsidR="002A4D65" w:rsidRPr="008D51A5" w:rsidRDefault="002A4D65" w:rsidP="00AF29E5">
      <w:pPr>
        <w:rPr>
          <w:rFonts w:asciiTheme="minorHAnsi" w:hAnsiTheme="minorHAnsi" w:cstheme="minorHAnsi"/>
          <w:b/>
          <w:sz w:val="22"/>
          <w:szCs w:val="22"/>
        </w:rPr>
      </w:pPr>
      <w:r w:rsidRPr="008D51A5">
        <w:rPr>
          <w:rFonts w:asciiTheme="minorHAnsi" w:hAnsiTheme="minorHAnsi" w:cstheme="minorHAnsi"/>
          <w:b/>
          <w:sz w:val="22"/>
          <w:szCs w:val="22"/>
        </w:rPr>
        <w:t>Estimates of Annual Hour Burden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530"/>
        <w:gridCol w:w="1350"/>
        <w:gridCol w:w="1620"/>
        <w:gridCol w:w="1500"/>
        <w:gridCol w:w="1560"/>
      </w:tblGrid>
      <w:tr w:rsidR="0040436F" w:rsidRPr="008D51A5" w:rsidTr="002A4D65">
        <w:trPr>
          <w:trHeight w:val="1007"/>
        </w:trPr>
        <w:tc>
          <w:tcPr>
            <w:tcW w:w="1908" w:type="dxa"/>
          </w:tcPr>
          <w:p w:rsidR="0040436F" w:rsidRPr="008D51A5" w:rsidRDefault="0040436F" w:rsidP="000026CF">
            <w:pPr>
              <w:tabs>
                <w:tab w:val="left" w:pos="450"/>
              </w:tabs>
              <w:rPr>
                <w:b/>
                <w:sz w:val="20"/>
              </w:rPr>
            </w:pPr>
            <w:r w:rsidRPr="008D51A5">
              <w:rPr>
                <w:b/>
                <w:sz w:val="20"/>
              </w:rPr>
              <w:t>Data Collection Activity</w:t>
            </w:r>
          </w:p>
        </w:tc>
        <w:tc>
          <w:tcPr>
            <w:tcW w:w="1530" w:type="dxa"/>
          </w:tcPr>
          <w:p w:rsidR="0040436F" w:rsidRPr="008D51A5" w:rsidRDefault="0040436F" w:rsidP="000026CF">
            <w:pPr>
              <w:tabs>
                <w:tab w:val="left" w:pos="450"/>
              </w:tabs>
              <w:rPr>
                <w:b/>
                <w:sz w:val="20"/>
              </w:rPr>
            </w:pPr>
            <w:r w:rsidRPr="008D51A5">
              <w:rPr>
                <w:b/>
                <w:sz w:val="20"/>
              </w:rPr>
              <w:t>Type of Respondent</w:t>
            </w:r>
          </w:p>
        </w:tc>
        <w:tc>
          <w:tcPr>
            <w:tcW w:w="1350" w:type="dxa"/>
          </w:tcPr>
          <w:p w:rsidR="0040436F" w:rsidRPr="008D51A5" w:rsidRDefault="0040436F" w:rsidP="000026CF">
            <w:pPr>
              <w:tabs>
                <w:tab w:val="left" w:pos="450"/>
              </w:tabs>
              <w:rPr>
                <w:b/>
                <w:sz w:val="20"/>
              </w:rPr>
            </w:pPr>
            <w:r w:rsidRPr="008D51A5">
              <w:rPr>
                <w:b/>
                <w:sz w:val="20"/>
              </w:rPr>
              <w:t>Estimated Number of Respondents</w:t>
            </w:r>
          </w:p>
        </w:tc>
        <w:tc>
          <w:tcPr>
            <w:tcW w:w="1620" w:type="dxa"/>
          </w:tcPr>
          <w:p w:rsidR="0040436F" w:rsidRPr="008D51A5" w:rsidRDefault="0040436F" w:rsidP="000026CF">
            <w:pPr>
              <w:tabs>
                <w:tab w:val="left" w:pos="450"/>
              </w:tabs>
              <w:rPr>
                <w:b/>
                <w:sz w:val="20"/>
              </w:rPr>
            </w:pPr>
            <w:r w:rsidRPr="008D51A5">
              <w:rPr>
                <w:b/>
                <w:sz w:val="20"/>
              </w:rPr>
              <w:t>Estimated Number of Responses per Respondent</w:t>
            </w:r>
          </w:p>
        </w:tc>
        <w:tc>
          <w:tcPr>
            <w:tcW w:w="1500" w:type="dxa"/>
          </w:tcPr>
          <w:p w:rsidR="0040436F" w:rsidRPr="008D51A5" w:rsidRDefault="0040436F" w:rsidP="000026CF">
            <w:pPr>
              <w:tabs>
                <w:tab w:val="left" w:pos="450"/>
              </w:tabs>
              <w:rPr>
                <w:b/>
                <w:sz w:val="20"/>
              </w:rPr>
            </w:pPr>
            <w:r w:rsidRPr="008D51A5">
              <w:rPr>
                <w:b/>
                <w:sz w:val="20"/>
              </w:rPr>
              <w:t>Average Burden Hours Per Response</w:t>
            </w:r>
          </w:p>
        </w:tc>
        <w:tc>
          <w:tcPr>
            <w:tcW w:w="1560" w:type="dxa"/>
          </w:tcPr>
          <w:p w:rsidR="0040436F" w:rsidRPr="008D51A5" w:rsidRDefault="0040436F" w:rsidP="000026CF">
            <w:pPr>
              <w:tabs>
                <w:tab w:val="left" w:pos="450"/>
              </w:tabs>
              <w:rPr>
                <w:b/>
                <w:sz w:val="20"/>
              </w:rPr>
            </w:pPr>
            <w:r w:rsidRPr="008D51A5">
              <w:rPr>
                <w:b/>
                <w:sz w:val="20"/>
              </w:rPr>
              <w:t>Estimated Total Annual Burden Hours</w:t>
            </w:r>
          </w:p>
        </w:tc>
      </w:tr>
      <w:tr w:rsidR="0040436F" w:rsidRPr="008D51A5" w:rsidTr="002A4D65">
        <w:tc>
          <w:tcPr>
            <w:tcW w:w="1908" w:type="dxa"/>
          </w:tcPr>
          <w:p w:rsidR="0040436F" w:rsidRPr="008D51A5" w:rsidRDefault="00522930" w:rsidP="000026CF">
            <w:pPr>
              <w:tabs>
                <w:tab w:val="left" w:pos="450"/>
              </w:tabs>
              <w:rPr>
                <w:sz w:val="20"/>
              </w:rPr>
            </w:pPr>
            <w:r w:rsidRPr="008D51A5">
              <w:rPr>
                <w:sz w:val="20"/>
              </w:rPr>
              <w:t>Questionnaires</w:t>
            </w:r>
            <w:r w:rsidR="006A1371" w:rsidRPr="008D51A5">
              <w:rPr>
                <w:sz w:val="20"/>
              </w:rPr>
              <w:t>*</w:t>
            </w:r>
          </w:p>
        </w:tc>
        <w:tc>
          <w:tcPr>
            <w:tcW w:w="1530" w:type="dxa"/>
          </w:tcPr>
          <w:p w:rsidR="0040436F" w:rsidRPr="008D51A5" w:rsidRDefault="00522930" w:rsidP="000026CF">
            <w:pPr>
              <w:tabs>
                <w:tab w:val="left" w:pos="450"/>
              </w:tabs>
              <w:rPr>
                <w:sz w:val="20"/>
              </w:rPr>
            </w:pPr>
            <w:r w:rsidRPr="008D51A5">
              <w:rPr>
                <w:sz w:val="20"/>
              </w:rPr>
              <w:t>Mothers</w:t>
            </w:r>
          </w:p>
        </w:tc>
        <w:tc>
          <w:tcPr>
            <w:tcW w:w="1350" w:type="dxa"/>
          </w:tcPr>
          <w:p w:rsidR="0040436F" w:rsidRPr="008D51A5" w:rsidRDefault="00522930" w:rsidP="000026CF">
            <w:pPr>
              <w:tabs>
                <w:tab w:val="left" w:pos="450"/>
              </w:tabs>
              <w:jc w:val="center"/>
              <w:rPr>
                <w:sz w:val="20"/>
              </w:rPr>
            </w:pPr>
            <w:r w:rsidRPr="008D51A5">
              <w:rPr>
                <w:sz w:val="20"/>
              </w:rPr>
              <w:t>100</w:t>
            </w:r>
          </w:p>
        </w:tc>
        <w:tc>
          <w:tcPr>
            <w:tcW w:w="1620" w:type="dxa"/>
          </w:tcPr>
          <w:p w:rsidR="0040436F" w:rsidRPr="008D51A5" w:rsidRDefault="0040436F" w:rsidP="002A4D65">
            <w:pPr>
              <w:tabs>
                <w:tab w:val="left" w:pos="450"/>
              </w:tabs>
              <w:jc w:val="center"/>
              <w:rPr>
                <w:sz w:val="20"/>
              </w:rPr>
            </w:pPr>
            <w:r w:rsidRPr="008D51A5">
              <w:rPr>
                <w:sz w:val="20"/>
              </w:rPr>
              <w:t>1</w:t>
            </w:r>
          </w:p>
        </w:tc>
        <w:tc>
          <w:tcPr>
            <w:tcW w:w="1500" w:type="dxa"/>
          </w:tcPr>
          <w:p w:rsidR="0040436F" w:rsidRPr="008D51A5" w:rsidRDefault="00522930" w:rsidP="006A1371">
            <w:pPr>
              <w:tabs>
                <w:tab w:val="left" w:pos="450"/>
              </w:tabs>
              <w:jc w:val="center"/>
              <w:rPr>
                <w:sz w:val="20"/>
              </w:rPr>
            </w:pPr>
            <w:r w:rsidRPr="008D51A5">
              <w:rPr>
                <w:sz w:val="20"/>
              </w:rPr>
              <w:t>4</w:t>
            </w:r>
            <w:r w:rsidR="006A1371" w:rsidRPr="008D51A5">
              <w:rPr>
                <w:sz w:val="20"/>
              </w:rPr>
              <w:t>2</w:t>
            </w:r>
            <w:r w:rsidR="0040436F" w:rsidRPr="008D51A5">
              <w:rPr>
                <w:sz w:val="20"/>
              </w:rPr>
              <w:t>/60</w:t>
            </w:r>
          </w:p>
        </w:tc>
        <w:tc>
          <w:tcPr>
            <w:tcW w:w="1560" w:type="dxa"/>
          </w:tcPr>
          <w:p w:rsidR="0040436F" w:rsidRPr="008D51A5" w:rsidRDefault="00AC419E" w:rsidP="006A1371">
            <w:pPr>
              <w:jc w:val="center"/>
              <w:rPr>
                <w:sz w:val="20"/>
              </w:rPr>
            </w:pPr>
            <w:r w:rsidRPr="008D51A5">
              <w:rPr>
                <w:sz w:val="20"/>
              </w:rPr>
              <w:t>7</w:t>
            </w:r>
            <w:r w:rsidR="006A1371" w:rsidRPr="008D51A5">
              <w:rPr>
                <w:sz w:val="20"/>
              </w:rPr>
              <w:t>0</w:t>
            </w:r>
          </w:p>
        </w:tc>
      </w:tr>
      <w:tr w:rsidR="0040436F" w:rsidRPr="008D51A5" w:rsidTr="002A4D65">
        <w:tc>
          <w:tcPr>
            <w:tcW w:w="1908" w:type="dxa"/>
          </w:tcPr>
          <w:p w:rsidR="0040436F" w:rsidRPr="008D51A5" w:rsidRDefault="00522930" w:rsidP="000026CF">
            <w:pPr>
              <w:tabs>
                <w:tab w:val="left" w:pos="450"/>
              </w:tabs>
              <w:rPr>
                <w:sz w:val="20"/>
              </w:rPr>
            </w:pPr>
            <w:r w:rsidRPr="008D51A5">
              <w:rPr>
                <w:sz w:val="20"/>
              </w:rPr>
              <w:t>Specimen Collection</w:t>
            </w:r>
            <w:r w:rsidR="00FA6E09" w:rsidRPr="008D51A5">
              <w:rPr>
                <w:sz w:val="20"/>
              </w:rPr>
              <w:t xml:space="preserve"> – Blood and Urine</w:t>
            </w:r>
          </w:p>
        </w:tc>
        <w:tc>
          <w:tcPr>
            <w:tcW w:w="1530" w:type="dxa"/>
          </w:tcPr>
          <w:p w:rsidR="0040436F" w:rsidRPr="008D51A5" w:rsidRDefault="00AB1866" w:rsidP="000026CF">
            <w:pPr>
              <w:tabs>
                <w:tab w:val="left" w:pos="450"/>
              </w:tabs>
              <w:rPr>
                <w:sz w:val="20"/>
              </w:rPr>
            </w:pPr>
            <w:r w:rsidRPr="008D51A5">
              <w:rPr>
                <w:sz w:val="20"/>
              </w:rPr>
              <w:t>Mothers</w:t>
            </w:r>
          </w:p>
        </w:tc>
        <w:tc>
          <w:tcPr>
            <w:tcW w:w="1350" w:type="dxa"/>
          </w:tcPr>
          <w:p w:rsidR="0040436F" w:rsidRPr="008D51A5" w:rsidDel="00780C1F" w:rsidRDefault="00522930" w:rsidP="000026CF">
            <w:pPr>
              <w:tabs>
                <w:tab w:val="left" w:pos="450"/>
              </w:tabs>
              <w:jc w:val="center"/>
              <w:rPr>
                <w:sz w:val="20"/>
              </w:rPr>
            </w:pPr>
            <w:r w:rsidRPr="008D51A5">
              <w:rPr>
                <w:sz w:val="20"/>
              </w:rPr>
              <w:t>100</w:t>
            </w:r>
          </w:p>
        </w:tc>
        <w:tc>
          <w:tcPr>
            <w:tcW w:w="1620" w:type="dxa"/>
          </w:tcPr>
          <w:p w:rsidR="0040436F" w:rsidRPr="008D51A5" w:rsidRDefault="0040436F" w:rsidP="002A4D65">
            <w:pPr>
              <w:tabs>
                <w:tab w:val="left" w:pos="450"/>
              </w:tabs>
              <w:jc w:val="center"/>
              <w:rPr>
                <w:sz w:val="20"/>
              </w:rPr>
            </w:pPr>
            <w:r w:rsidRPr="008D51A5">
              <w:rPr>
                <w:sz w:val="20"/>
              </w:rPr>
              <w:t>1</w:t>
            </w:r>
          </w:p>
        </w:tc>
        <w:tc>
          <w:tcPr>
            <w:tcW w:w="1500" w:type="dxa"/>
          </w:tcPr>
          <w:p w:rsidR="0040436F" w:rsidRPr="008D51A5" w:rsidRDefault="00FA6E09" w:rsidP="002A4D65">
            <w:pPr>
              <w:tabs>
                <w:tab w:val="left" w:pos="450"/>
              </w:tabs>
              <w:jc w:val="center"/>
              <w:rPr>
                <w:sz w:val="20"/>
              </w:rPr>
            </w:pPr>
            <w:r w:rsidRPr="008D51A5">
              <w:rPr>
                <w:sz w:val="20"/>
              </w:rPr>
              <w:t>10</w:t>
            </w:r>
            <w:r w:rsidR="0040436F" w:rsidRPr="008D51A5">
              <w:rPr>
                <w:sz w:val="20"/>
              </w:rPr>
              <w:t>/60</w:t>
            </w:r>
          </w:p>
        </w:tc>
        <w:tc>
          <w:tcPr>
            <w:tcW w:w="1560" w:type="dxa"/>
          </w:tcPr>
          <w:p w:rsidR="0040436F" w:rsidRPr="008D51A5" w:rsidRDefault="00FA6E09" w:rsidP="002A4D65">
            <w:pPr>
              <w:jc w:val="center"/>
              <w:rPr>
                <w:sz w:val="20"/>
              </w:rPr>
            </w:pPr>
            <w:r w:rsidRPr="008D51A5">
              <w:rPr>
                <w:sz w:val="20"/>
              </w:rPr>
              <w:t>17</w:t>
            </w:r>
          </w:p>
        </w:tc>
      </w:tr>
      <w:tr w:rsidR="00AB1866" w:rsidRPr="008D51A5" w:rsidTr="002A4D65">
        <w:trPr>
          <w:trHeight w:val="431"/>
        </w:trPr>
        <w:tc>
          <w:tcPr>
            <w:tcW w:w="1908" w:type="dxa"/>
          </w:tcPr>
          <w:p w:rsidR="00AB1866" w:rsidRPr="008D51A5" w:rsidRDefault="00AB1866" w:rsidP="000026CF">
            <w:pPr>
              <w:tabs>
                <w:tab w:val="left" w:pos="450"/>
              </w:tabs>
              <w:rPr>
                <w:sz w:val="20"/>
              </w:rPr>
            </w:pPr>
            <w:r w:rsidRPr="008D51A5">
              <w:rPr>
                <w:sz w:val="20"/>
              </w:rPr>
              <w:t>Specimen Collection</w:t>
            </w:r>
            <w:r w:rsidR="00FA6E09" w:rsidRPr="008D51A5">
              <w:rPr>
                <w:sz w:val="20"/>
              </w:rPr>
              <w:t xml:space="preserve"> – Heel Stick</w:t>
            </w:r>
          </w:p>
        </w:tc>
        <w:tc>
          <w:tcPr>
            <w:tcW w:w="1530" w:type="dxa"/>
          </w:tcPr>
          <w:p w:rsidR="00AB1866" w:rsidRPr="008D51A5" w:rsidRDefault="00FA6E09" w:rsidP="000026CF">
            <w:pPr>
              <w:tabs>
                <w:tab w:val="left" w:pos="450"/>
              </w:tabs>
              <w:rPr>
                <w:sz w:val="20"/>
              </w:rPr>
            </w:pPr>
            <w:r w:rsidRPr="008D51A5">
              <w:rPr>
                <w:sz w:val="20"/>
              </w:rPr>
              <w:t>Infants</w:t>
            </w:r>
          </w:p>
        </w:tc>
        <w:tc>
          <w:tcPr>
            <w:tcW w:w="1350" w:type="dxa"/>
          </w:tcPr>
          <w:p w:rsidR="00AB1866" w:rsidRPr="008D51A5" w:rsidRDefault="00FA6E09" w:rsidP="000026CF">
            <w:pPr>
              <w:tabs>
                <w:tab w:val="left" w:pos="450"/>
              </w:tabs>
              <w:jc w:val="center"/>
              <w:rPr>
                <w:sz w:val="20"/>
              </w:rPr>
            </w:pPr>
            <w:r w:rsidRPr="008D51A5">
              <w:rPr>
                <w:sz w:val="20"/>
              </w:rPr>
              <w:t>100</w:t>
            </w:r>
          </w:p>
        </w:tc>
        <w:tc>
          <w:tcPr>
            <w:tcW w:w="1620" w:type="dxa"/>
          </w:tcPr>
          <w:p w:rsidR="00AB1866" w:rsidRPr="008D51A5" w:rsidRDefault="00FA6E09" w:rsidP="002A4D65">
            <w:pPr>
              <w:tabs>
                <w:tab w:val="left" w:pos="450"/>
              </w:tabs>
              <w:jc w:val="center"/>
              <w:rPr>
                <w:sz w:val="20"/>
              </w:rPr>
            </w:pPr>
            <w:r w:rsidRPr="008D51A5">
              <w:rPr>
                <w:sz w:val="20"/>
              </w:rPr>
              <w:t>1</w:t>
            </w:r>
          </w:p>
        </w:tc>
        <w:tc>
          <w:tcPr>
            <w:tcW w:w="1500" w:type="dxa"/>
          </w:tcPr>
          <w:p w:rsidR="00AB1866" w:rsidRPr="008D51A5" w:rsidRDefault="00FA6E09" w:rsidP="002A4D65">
            <w:pPr>
              <w:tabs>
                <w:tab w:val="left" w:pos="450"/>
              </w:tabs>
              <w:jc w:val="center"/>
              <w:rPr>
                <w:sz w:val="20"/>
              </w:rPr>
            </w:pPr>
            <w:r w:rsidRPr="008D51A5">
              <w:rPr>
                <w:sz w:val="20"/>
              </w:rPr>
              <w:t>5/60</w:t>
            </w:r>
          </w:p>
        </w:tc>
        <w:tc>
          <w:tcPr>
            <w:tcW w:w="1560" w:type="dxa"/>
          </w:tcPr>
          <w:p w:rsidR="00AB1866" w:rsidRPr="008D51A5" w:rsidRDefault="0022381B" w:rsidP="002A4D65">
            <w:pPr>
              <w:jc w:val="center"/>
              <w:rPr>
                <w:sz w:val="20"/>
              </w:rPr>
            </w:pPr>
            <w:r w:rsidRPr="008D51A5">
              <w:rPr>
                <w:sz w:val="20"/>
              </w:rPr>
              <w:t>8</w:t>
            </w:r>
          </w:p>
        </w:tc>
      </w:tr>
      <w:tr w:rsidR="0040436F" w:rsidRPr="008D51A5" w:rsidTr="002A4D65">
        <w:trPr>
          <w:trHeight w:val="683"/>
        </w:trPr>
        <w:tc>
          <w:tcPr>
            <w:tcW w:w="1908" w:type="dxa"/>
          </w:tcPr>
          <w:p w:rsidR="0040436F" w:rsidRPr="008D51A5" w:rsidRDefault="00522930" w:rsidP="002A4D65">
            <w:pPr>
              <w:tabs>
                <w:tab w:val="left" w:pos="450"/>
              </w:tabs>
              <w:rPr>
                <w:sz w:val="20"/>
              </w:rPr>
            </w:pPr>
            <w:r w:rsidRPr="008D51A5">
              <w:rPr>
                <w:sz w:val="20"/>
              </w:rPr>
              <w:t>S</w:t>
            </w:r>
            <w:r w:rsidR="002A4D65" w:rsidRPr="008D51A5">
              <w:rPr>
                <w:sz w:val="20"/>
              </w:rPr>
              <w:t xml:space="preserve">pecimen Collection, </w:t>
            </w:r>
            <w:r w:rsidRPr="008D51A5">
              <w:rPr>
                <w:sz w:val="20"/>
              </w:rPr>
              <w:t>Storage</w:t>
            </w:r>
            <w:r w:rsidR="002A4D65" w:rsidRPr="008D51A5">
              <w:rPr>
                <w:sz w:val="20"/>
              </w:rPr>
              <w:t>, and Retrieval</w:t>
            </w:r>
            <w:r w:rsidRPr="008D51A5">
              <w:rPr>
                <w:sz w:val="20"/>
              </w:rPr>
              <w:t>*</w:t>
            </w:r>
            <w:r w:rsidR="006A1371" w:rsidRPr="008D51A5">
              <w:rPr>
                <w:sz w:val="20"/>
              </w:rPr>
              <w:t>*</w:t>
            </w:r>
          </w:p>
        </w:tc>
        <w:tc>
          <w:tcPr>
            <w:tcW w:w="1530" w:type="dxa"/>
          </w:tcPr>
          <w:p w:rsidR="0040436F" w:rsidRPr="008D51A5" w:rsidRDefault="00AB1866" w:rsidP="000026CF">
            <w:pPr>
              <w:tabs>
                <w:tab w:val="left" w:pos="450"/>
              </w:tabs>
              <w:rPr>
                <w:sz w:val="20"/>
              </w:rPr>
            </w:pPr>
            <w:r w:rsidRPr="008D51A5">
              <w:rPr>
                <w:sz w:val="20"/>
              </w:rPr>
              <w:t>Hospital staff</w:t>
            </w:r>
          </w:p>
        </w:tc>
        <w:tc>
          <w:tcPr>
            <w:tcW w:w="1350" w:type="dxa"/>
          </w:tcPr>
          <w:p w:rsidR="0040436F" w:rsidRPr="008D51A5" w:rsidRDefault="00FA6E09" w:rsidP="000026CF">
            <w:pPr>
              <w:tabs>
                <w:tab w:val="left" w:pos="450"/>
              </w:tabs>
              <w:jc w:val="center"/>
              <w:rPr>
                <w:sz w:val="20"/>
              </w:rPr>
            </w:pPr>
            <w:r w:rsidRPr="008D51A5">
              <w:rPr>
                <w:sz w:val="20"/>
              </w:rPr>
              <w:t>100</w:t>
            </w:r>
          </w:p>
        </w:tc>
        <w:tc>
          <w:tcPr>
            <w:tcW w:w="1620" w:type="dxa"/>
          </w:tcPr>
          <w:p w:rsidR="0040436F" w:rsidRPr="008D51A5" w:rsidRDefault="0040436F" w:rsidP="002A4D65">
            <w:pPr>
              <w:tabs>
                <w:tab w:val="left" w:pos="450"/>
              </w:tabs>
              <w:jc w:val="center"/>
              <w:rPr>
                <w:sz w:val="20"/>
              </w:rPr>
            </w:pPr>
            <w:r w:rsidRPr="008D51A5">
              <w:rPr>
                <w:sz w:val="20"/>
              </w:rPr>
              <w:t>1</w:t>
            </w:r>
          </w:p>
        </w:tc>
        <w:tc>
          <w:tcPr>
            <w:tcW w:w="1500" w:type="dxa"/>
          </w:tcPr>
          <w:p w:rsidR="0040436F" w:rsidRPr="008D51A5" w:rsidRDefault="0022381B" w:rsidP="002A4D65">
            <w:pPr>
              <w:tabs>
                <w:tab w:val="left" w:pos="450"/>
              </w:tabs>
              <w:jc w:val="center"/>
              <w:rPr>
                <w:sz w:val="20"/>
              </w:rPr>
            </w:pPr>
            <w:r w:rsidRPr="008D51A5">
              <w:rPr>
                <w:sz w:val="20"/>
              </w:rPr>
              <w:t>15</w:t>
            </w:r>
            <w:r w:rsidR="00FA6E09" w:rsidRPr="008D51A5">
              <w:rPr>
                <w:sz w:val="20"/>
              </w:rPr>
              <w:t>/60</w:t>
            </w:r>
          </w:p>
        </w:tc>
        <w:tc>
          <w:tcPr>
            <w:tcW w:w="1560" w:type="dxa"/>
          </w:tcPr>
          <w:p w:rsidR="0040436F" w:rsidRPr="008D51A5" w:rsidRDefault="0022381B" w:rsidP="002A4D65">
            <w:pPr>
              <w:jc w:val="center"/>
              <w:rPr>
                <w:sz w:val="20"/>
              </w:rPr>
            </w:pPr>
            <w:r w:rsidRPr="008D51A5">
              <w:rPr>
                <w:sz w:val="20"/>
              </w:rPr>
              <w:t>25</w:t>
            </w:r>
          </w:p>
        </w:tc>
      </w:tr>
      <w:tr w:rsidR="0040436F" w:rsidRPr="008D51A5" w:rsidTr="002A4D65">
        <w:tc>
          <w:tcPr>
            <w:tcW w:w="1908" w:type="dxa"/>
          </w:tcPr>
          <w:p w:rsidR="0040436F" w:rsidRPr="008D51A5" w:rsidRDefault="0040436F" w:rsidP="000026CF">
            <w:pPr>
              <w:tabs>
                <w:tab w:val="left" w:pos="450"/>
              </w:tabs>
              <w:rPr>
                <w:b/>
                <w:sz w:val="20"/>
              </w:rPr>
            </w:pPr>
            <w:r w:rsidRPr="008D51A5">
              <w:rPr>
                <w:b/>
                <w:sz w:val="20"/>
              </w:rPr>
              <w:t>TOTAL</w:t>
            </w:r>
          </w:p>
        </w:tc>
        <w:tc>
          <w:tcPr>
            <w:tcW w:w="1530" w:type="dxa"/>
          </w:tcPr>
          <w:p w:rsidR="0040436F" w:rsidRPr="008D51A5" w:rsidRDefault="0040436F" w:rsidP="000026CF">
            <w:pPr>
              <w:tabs>
                <w:tab w:val="left" w:pos="450"/>
              </w:tabs>
              <w:rPr>
                <w:b/>
                <w:sz w:val="20"/>
              </w:rPr>
            </w:pPr>
          </w:p>
        </w:tc>
        <w:tc>
          <w:tcPr>
            <w:tcW w:w="1350" w:type="dxa"/>
          </w:tcPr>
          <w:p w:rsidR="0040436F" w:rsidRPr="008D51A5" w:rsidRDefault="00522930" w:rsidP="000026CF">
            <w:pPr>
              <w:tabs>
                <w:tab w:val="left" w:pos="450"/>
              </w:tabs>
              <w:jc w:val="center"/>
              <w:rPr>
                <w:b/>
                <w:sz w:val="20"/>
              </w:rPr>
            </w:pPr>
            <w:r w:rsidRPr="008D51A5">
              <w:rPr>
                <w:b/>
                <w:sz w:val="20"/>
              </w:rPr>
              <w:t>300</w:t>
            </w:r>
          </w:p>
        </w:tc>
        <w:tc>
          <w:tcPr>
            <w:tcW w:w="1620" w:type="dxa"/>
          </w:tcPr>
          <w:p w:rsidR="0040436F" w:rsidRPr="008D51A5" w:rsidRDefault="0040436F" w:rsidP="000026CF">
            <w:pPr>
              <w:tabs>
                <w:tab w:val="left" w:pos="450"/>
              </w:tabs>
              <w:rPr>
                <w:b/>
                <w:sz w:val="20"/>
              </w:rPr>
            </w:pPr>
          </w:p>
        </w:tc>
        <w:tc>
          <w:tcPr>
            <w:tcW w:w="1500" w:type="dxa"/>
          </w:tcPr>
          <w:p w:rsidR="0040436F" w:rsidRPr="008D51A5" w:rsidRDefault="0040436F" w:rsidP="000026CF">
            <w:pPr>
              <w:tabs>
                <w:tab w:val="left" w:pos="450"/>
              </w:tabs>
              <w:rPr>
                <w:b/>
                <w:sz w:val="20"/>
              </w:rPr>
            </w:pPr>
          </w:p>
        </w:tc>
        <w:tc>
          <w:tcPr>
            <w:tcW w:w="1560" w:type="dxa"/>
          </w:tcPr>
          <w:p w:rsidR="0040436F" w:rsidRPr="008D51A5" w:rsidRDefault="006A1371" w:rsidP="006A1371">
            <w:pPr>
              <w:tabs>
                <w:tab w:val="left" w:pos="450"/>
              </w:tabs>
              <w:jc w:val="center"/>
              <w:rPr>
                <w:b/>
                <w:sz w:val="20"/>
              </w:rPr>
            </w:pPr>
            <w:r w:rsidRPr="008D51A5">
              <w:rPr>
                <w:b/>
                <w:sz w:val="20"/>
              </w:rPr>
              <w:t>120</w:t>
            </w:r>
          </w:p>
        </w:tc>
      </w:tr>
    </w:tbl>
    <w:p w:rsidR="006A1371" w:rsidRPr="008D51A5" w:rsidRDefault="006A1371" w:rsidP="00AF29E5">
      <w:pPr>
        <w:rPr>
          <w:rFonts w:asciiTheme="minorHAnsi" w:hAnsiTheme="minorHAnsi" w:cstheme="minorHAnsi"/>
          <w:sz w:val="22"/>
          <w:szCs w:val="22"/>
        </w:rPr>
      </w:pPr>
      <w:r w:rsidRPr="008D51A5">
        <w:rPr>
          <w:rFonts w:asciiTheme="minorHAnsi" w:hAnsiTheme="minorHAnsi" w:cstheme="minorHAnsi"/>
          <w:sz w:val="22"/>
          <w:szCs w:val="22"/>
        </w:rPr>
        <w:t xml:space="preserve">*The PBS </w:t>
      </w:r>
      <w:r w:rsidR="0035782D" w:rsidRPr="008D51A5">
        <w:rPr>
          <w:rFonts w:asciiTheme="minorHAnsi" w:hAnsiTheme="minorHAnsi" w:cstheme="minorHAnsi"/>
          <w:sz w:val="22"/>
          <w:szCs w:val="22"/>
        </w:rPr>
        <w:t xml:space="preserve">Participant Verification </w:t>
      </w:r>
      <w:r w:rsidRPr="008D51A5">
        <w:rPr>
          <w:rFonts w:asciiTheme="minorHAnsi" w:hAnsiTheme="minorHAnsi" w:cstheme="minorHAnsi"/>
          <w:sz w:val="22"/>
          <w:szCs w:val="22"/>
        </w:rPr>
        <w:t xml:space="preserve">Birth Cohort </w:t>
      </w:r>
      <w:r w:rsidR="00EF34E8" w:rsidRPr="008D51A5">
        <w:rPr>
          <w:rFonts w:asciiTheme="minorHAnsi" w:hAnsiTheme="minorHAnsi" w:cstheme="minorHAnsi"/>
          <w:sz w:val="22"/>
          <w:szCs w:val="22"/>
        </w:rPr>
        <w:t>Interview</w:t>
      </w:r>
      <w:r w:rsidRPr="008D51A5">
        <w:rPr>
          <w:rFonts w:asciiTheme="minorHAnsi" w:hAnsiTheme="minorHAnsi" w:cstheme="minorHAnsi"/>
          <w:sz w:val="22"/>
          <w:szCs w:val="22"/>
        </w:rPr>
        <w:t xml:space="preserve"> is a shortened version of the Participation </w:t>
      </w:r>
      <w:r w:rsidR="0035782D" w:rsidRPr="008D51A5">
        <w:rPr>
          <w:rFonts w:asciiTheme="minorHAnsi" w:hAnsiTheme="minorHAnsi" w:cstheme="minorHAnsi"/>
          <w:sz w:val="22"/>
          <w:szCs w:val="22"/>
        </w:rPr>
        <w:t xml:space="preserve">Verification </w:t>
      </w:r>
      <w:r w:rsidRPr="008D51A5">
        <w:rPr>
          <w:rFonts w:asciiTheme="minorHAnsi" w:hAnsiTheme="minorHAnsi" w:cstheme="minorHAnsi"/>
          <w:sz w:val="22"/>
          <w:szCs w:val="22"/>
        </w:rPr>
        <w:t>Questionnaire, for which sufficient participant burden has already been requested.</w:t>
      </w:r>
    </w:p>
    <w:p w:rsidR="0040436F" w:rsidRPr="00C7774A" w:rsidRDefault="00AB1866" w:rsidP="00AF29E5">
      <w:pPr>
        <w:rPr>
          <w:rFonts w:asciiTheme="minorHAnsi" w:hAnsiTheme="minorHAnsi" w:cstheme="minorHAnsi"/>
          <w:b/>
          <w:sz w:val="22"/>
          <w:szCs w:val="22"/>
        </w:rPr>
      </w:pPr>
      <w:r w:rsidRPr="008D51A5">
        <w:rPr>
          <w:rFonts w:asciiTheme="minorHAnsi" w:hAnsiTheme="minorHAnsi" w:cstheme="minorHAnsi"/>
          <w:b/>
          <w:sz w:val="22"/>
          <w:szCs w:val="22"/>
        </w:rPr>
        <w:t>*</w:t>
      </w:r>
      <w:r w:rsidR="006A1371" w:rsidRPr="008D51A5">
        <w:rPr>
          <w:rFonts w:asciiTheme="minorHAnsi" w:hAnsiTheme="minorHAnsi" w:cstheme="minorHAnsi"/>
          <w:b/>
          <w:sz w:val="22"/>
          <w:szCs w:val="22"/>
        </w:rPr>
        <w:t>*</w:t>
      </w:r>
      <w:r w:rsidRPr="008D51A5">
        <w:rPr>
          <w:rFonts w:asciiTheme="minorHAnsi" w:hAnsiTheme="minorHAnsi" w:cstheme="minorHAnsi"/>
          <w:sz w:val="22"/>
          <w:szCs w:val="22"/>
        </w:rPr>
        <w:t>We have requested the maximum potential burden to account for formal arrangements</w:t>
      </w:r>
      <w:r w:rsidR="00FA6E09" w:rsidRPr="008D51A5">
        <w:rPr>
          <w:rFonts w:asciiTheme="minorHAnsi" w:hAnsiTheme="minorHAnsi" w:cstheme="minorHAnsi"/>
          <w:sz w:val="22"/>
          <w:szCs w:val="22"/>
        </w:rPr>
        <w:t xml:space="preserve"> that result in the hospital staff member collecting and storing samples being paid by the NCS.</w:t>
      </w:r>
    </w:p>
    <w:p w:rsidR="00CC0B17" w:rsidRDefault="00CC0B17" w:rsidP="00AF29E5">
      <w:pPr>
        <w:rPr>
          <w:rFonts w:asciiTheme="minorHAnsi" w:hAnsiTheme="minorHAnsi" w:cstheme="minorHAnsi"/>
          <w:b/>
          <w:sz w:val="22"/>
          <w:szCs w:val="22"/>
        </w:rPr>
      </w:pPr>
    </w:p>
    <w:p w:rsidR="0035782D" w:rsidRDefault="0035782D" w:rsidP="00AF29E5">
      <w:pPr>
        <w:rPr>
          <w:rFonts w:asciiTheme="minorHAnsi" w:hAnsiTheme="minorHAnsi" w:cstheme="minorHAnsi"/>
          <w:b/>
          <w:sz w:val="22"/>
          <w:szCs w:val="22"/>
        </w:rPr>
      </w:pPr>
    </w:p>
    <w:p w:rsidR="002A4D65" w:rsidRDefault="002A4D65" w:rsidP="00AF29E5">
      <w:pPr>
        <w:rPr>
          <w:rFonts w:asciiTheme="minorHAnsi" w:hAnsiTheme="minorHAnsi" w:cstheme="minorHAnsi"/>
          <w:b/>
          <w:sz w:val="22"/>
          <w:szCs w:val="22"/>
        </w:rPr>
      </w:pPr>
      <w:r>
        <w:rPr>
          <w:rFonts w:asciiTheme="minorHAnsi" w:hAnsiTheme="minorHAnsi" w:cstheme="minorHAnsi"/>
          <w:b/>
          <w:sz w:val="22"/>
          <w:szCs w:val="22"/>
        </w:rPr>
        <w:t>Annualized Cost to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1440"/>
        <w:gridCol w:w="1620"/>
        <w:gridCol w:w="1590"/>
        <w:gridCol w:w="1650"/>
      </w:tblGrid>
      <w:tr w:rsidR="002A4D65" w:rsidRPr="00912743" w:rsidTr="000026CF">
        <w:tc>
          <w:tcPr>
            <w:tcW w:w="1638" w:type="dxa"/>
          </w:tcPr>
          <w:p w:rsidR="002A4D65" w:rsidRPr="00912743" w:rsidRDefault="002A4D65" w:rsidP="000026CF">
            <w:pPr>
              <w:tabs>
                <w:tab w:val="left" w:pos="450"/>
              </w:tabs>
              <w:rPr>
                <w:b/>
                <w:sz w:val="20"/>
              </w:rPr>
            </w:pPr>
            <w:r w:rsidRPr="00912743">
              <w:rPr>
                <w:b/>
                <w:sz w:val="20"/>
              </w:rPr>
              <w:t>Data Collection Activity</w:t>
            </w:r>
          </w:p>
        </w:tc>
        <w:tc>
          <w:tcPr>
            <w:tcW w:w="1440" w:type="dxa"/>
          </w:tcPr>
          <w:p w:rsidR="002A4D65" w:rsidRPr="00912743" w:rsidRDefault="002A4D65" w:rsidP="000026CF">
            <w:pPr>
              <w:tabs>
                <w:tab w:val="left" w:pos="450"/>
              </w:tabs>
              <w:rPr>
                <w:b/>
                <w:sz w:val="20"/>
              </w:rPr>
            </w:pPr>
            <w:r w:rsidRPr="00912743">
              <w:rPr>
                <w:b/>
                <w:sz w:val="20"/>
              </w:rPr>
              <w:t>Type of Respondent</w:t>
            </w:r>
          </w:p>
        </w:tc>
        <w:tc>
          <w:tcPr>
            <w:tcW w:w="1620" w:type="dxa"/>
          </w:tcPr>
          <w:p w:rsidR="002A4D65" w:rsidRPr="00912743" w:rsidRDefault="002A4D65" w:rsidP="000026CF">
            <w:pPr>
              <w:tabs>
                <w:tab w:val="left" w:pos="450"/>
              </w:tabs>
              <w:rPr>
                <w:b/>
                <w:sz w:val="20"/>
              </w:rPr>
            </w:pPr>
            <w:r w:rsidRPr="00912743">
              <w:rPr>
                <w:b/>
                <w:sz w:val="20"/>
              </w:rPr>
              <w:t xml:space="preserve"> Estimated Total Annual Burden Hours</w:t>
            </w:r>
          </w:p>
        </w:tc>
        <w:tc>
          <w:tcPr>
            <w:tcW w:w="1590" w:type="dxa"/>
          </w:tcPr>
          <w:p w:rsidR="002A4D65" w:rsidRPr="00912743" w:rsidRDefault="002A4D65" w:rsidP="000026CF">
            <w:pPr>
              <w:tabs>
                <w:tab w:val="left" w:pos="450"/>
              </w:tabs>
              <w:rPr>
                <w:b/>
                <w:sz w:val="20"/>
              </w:rPr>
            </w:pPr>
            <w:r w:rsidRPr="00912743">
              <w:rPr>
                <w:b/>
                <w:sz w:val="20"/>
              </w:rPr>
              <w:t>Hourly Wage Rate</w:t>
            </w:r>
          </w:p>
        </w:tc>
        <w:tc>
          <w:tcPr>
            <w:tcW w:w="1650" w:type="dxa"/>
          </w:tcPr>
          <w:p w:rsidR="002A4D65" w:rsidRPr="00912743" w:rsidRDefault="002A4D65" w:rsidP="000026CF">
            <w:pPr>
              <w:tabs>
                <w:tab w:val="left" w:pos="450"/>
              </w:tabs>
              <w:rPr>
                <w:b/>
                <w:sz w:val="20"/>
              </w:rPr>
            </w:pPr>
            <w:r w:rsidRPr="00912743">
              <w:rPr>
                <w:b/>
                <w:sz w:val="20"/>
              </w:rPr>
              <w:t>Respondent Cost</w:t>
            </w:r>
          </w:p>
        </w:tc>
      </w:tr>
      <w:tr w:rsidR="002A4D65" w:rsidRPr="00912743" w:rsidTr="000026CF">
        <w:tc>
          <w:tcPr>
            <w:tcW w:w="1638" w:type="dxa"/>
          </w:tcPr>
          <w:p w:rsidR="002A4D65" w:rsidRPr="00912743" w:rsidRDefault="002A4D65" w:rsidP="000026CF">
            <w:pPr>
              <w:tabs>
                <w:tab w:val="left" w:pos="450"/>
              </w:tabs>
              <w:rPr>
                <w:sz w:val="20"/>
              </w:rPr>
            </w:pPr>
            <w:r>
              <w:rPr>
                <w:sz w:val="20"/>
              </w:rPr>
              <w:t>Questionnaires</w:t>
            </w:r>
          </w:p>
        </w:tc>
        <w:tc>
          <w:tcPr>
            <w:tcW w:w="1440" w:type="dxa"/>
          </w:tcPr>
          <w:p w:rsidR="002A4D65" w:rsidRPr="00912743" w:rsidRDefault="002A4D65" w:rsidP="000026CF">
            <w:pPr>
              <w:tabs>
                <w:tab w:val="left" w:pos="450"/>
              </w:tabs>
              <w:rPr>
                <w:sz w:val="20"/>
              </w:rPr>
            </w:pPr>
            <w:r>
              <w:rPr>
                <w:sz w:val="20"/>
              </w:rPr>
              <w:t>Mothers</w:t>
            </w:r>
          </w:p>
        </w:tc>
        <w:tc>
          <w:tcPr>
            <w:tcW w:w="1620" w:type="dxa"/>
          </w:tcPr>
          <w:p w:rsidR="002A4D65" w:rsidRPr="00C62331" w:rsidRDefault="002A4D65" w:rsidP="00AA2BD3">
            <w:pPr>
              <w:tabs>
                <w:tab w:val="left" w:pos="450"/>
              </w:tabs>
              <w:jc w:val="center"/>
              <w:rPr>
                <w:sz w:val="20"/>
              </w:rPr>
            </w:pPr>
            <w:r w:rsidRPr="00C62331">
              <w:rPr>
                <w:sz w:val="20"/>
              </w:rPr>
              <w:t>7</w:t>
            </w:r>
            <w:r w:rsidR="006A1371">
              <w:rPr>
                <w:sz w:val="20"/>
              </w:rPr>
              <w:t>0</w:t>
            </w:r>
          </w:p>
        </w:tc>
        <w:tc>
          <w:tcPr>
            <w:tcW w:w="1590" w:type="dxa"/>
          </w:tcPr>
          <w:p w:rsidR="002A4D65" w:rsidRPr="00912743" w:rsidRDefault="002A4D65" w:rsidP="00AA2BD3">
            <w:pPr>
              <w:tabs>
                <w:tab w:val="left" w:pos="450"/>
              </w:tabs>
              <w:jc w:val="center"/>
              <w:rPr>
                <w:sz w:val="20"/>
              </w:rPr>
            </w:pPr>
            <w:r>
              <w:rPr>
                <w:sz w:val="20"/>
              </w:rPr>
              <w:t>$10/hr</w:t>
            </w:r>
          </w:p>
        </w:tc>
        <w:tc>
          <w:tcPr>
            <w:tcW w:w="1650" w:type="dxa"/>
          </w:tcPr>
          <w:p w:rsidR="002A4D65" w:rsidRPr="00912743" w:rsidRDefault="002A4D65" w:rsidP="00AA2BD3">
            <w:pPr>
              <w:tabs>
                <w:tab w:val="left" w:pos="450"/>
              </w:tabs>
              <w:jc w:val="center"/>
              <w:rPr>
                <w:sz w:val="20"/>
              </w:rPr>
            </w:pPr>
            <w:r>
              <w:rPr>
                <w:sz w:val="20"/>
              </w:rPr>
              <w:t>$7</w:t>
            </w:r>
            <w:r w:rsidR="006A1371">
              <w:rPr>
                <w:sz w:val="20"/>
              </w:rPr>
              <w:t>0</w:t>
            </w:r>
            <w:r>
              <w:rPr>
                <w:sz w:val="20"/>
              </w:rPr>
              <w:t>0.00</w:t>
            </w:r>
          </w:p>
        </w:tc>
      </w:tr>
      <w:tr w:rsidR="002A4D65" w:rsidRPr="00912743" w:rsidTr="000026CF">
        <w:tc>
          <w:tcPr>
            <w:tcW w:w="1638" w:type="dxa"/>
          </w:tcPr>
          <w:p w:rsidR="002A4D65" w:rsidRPr="00912743" w:rsidRDefault="002A4D65" w:rsidP="000026CF">
            <w:pPr>
              <w:tabs>
                <w:tab w:val="left" w:pos="450"/>
              </w:tabs>
              <w:rPr>
                <w:sz w:val="20"/>
              </w:rPr>
            </w:pPr>
            <w:r>
              <w:rPr>
                <w:sz w:val="20"/>
              </w:rPr>
              <w:t>Specimen Collection – Blood and Urine</w:t>
            </w:r>
          </w:p>
        </w:tc>
        <w:tc>
          <w:tcPr>
            <w:tcW w:w="1440" w:type="dxa"/>
          </w:tcPr>
          <w:p w:rsidR="002A4D65" w:rsidRPr="00912743" w:rsidRDefault="002A4D65" w:rsidP="000026CF">
            <w:pPr>
              <w:tabs>
                <w:tab w:val="left" w:pos="450"/>
              </w:tabs>
              <w:rPr>
                <w:sz w:val="20"/>
              </w:rPr>
            </w:pPr>
            <w:r>
              <w:rPr>
                <w:sz w:val="20"/>
              </w:rPr>
              <w:t>Mothers</w:t>
            </w:r>
          </w:p>
        </w:tc>
        <w:tc>
          <w:tcPr>
            <w:tcW w:w="1620" w:type="dxa"/>
          </w:tcPr>
          <w:p w:rsidR="002A4D65" w:rsidRPr="00C62331" w:rsidRDefault="002A4D65" w:rsidP="00AA2BD3">
            <w:pPr>
              <w:tabs>
                <w:tab w:val="left" w:pos="450"/>
              </w:tabs>
              <w:jc w:val="center"/>
              <w:rPr>
                <w:sz w:val="20"/>
              </w:rPr>
            </w:pPr>
            <w:r w:rsidRPr="00C62331">
              <w:rPr>
                <w:sz w:val="20"/>
              </w:rPr>
              <w:t>17</w:t>
            </w:r>
          </w:p>
        </w:tc>
        <w:tc>
          <w:tcPr>
            <w:tcW w:w="1590" w:type="dxa"/>
          </w:tcPr>
          <w:p w:rsidR="002A4D65" w:rsidRPr="00912743" w:rsidRDefault="002A4D65" w:rsidP="00AA2BD3">
            <w:pPr>
              <w:tabs>
                <w:tab w:val="left" w:pos="450"/>
              </w:tabs>
              <w:jc w:val="center"/>
              <w:rPr>
                <w:sz w:val="20"/>
              </w:rPr>
            </w:pPr>
            <w:r w:rsidRPr="00912743">
              <w:rPr>
                <w:sz w:val="20"/>
              </w:rPr>
              <w:t>$10/hr</w:t>
            </w:r>
          </w:p>
        </w:tc>
        <w:tc>
          <w:tcPr>
            <w:tcW w:w="1650" w:type="dxa"/>
          </w:tcPr>
          <w:p w:rsidR="002A4D65" w:rsidRPr="00912743" w:rsidRDefault="002A4D65" w:rsidP="00AA2BD3">
            <w:pPr>
              <w:tabs>
                <w:tab w:val="left" w:pos="450"/>
              </w:tabs>
              <w:jc w:val="center"/>
              <w:rPr>
                <w:sz w:val="20"/>
                <w:highlight w:val="yellow"/>
              </w:rPr>
            </w:pPr>
            <w:r w:rsidRPr="00912743">
              <w:rPr>
                <w:sz w:val="20"/>
              </w:rPr>
              <w:t>$</w:t>
            </w:r>
            <w:r>
              <w:rPr>
                <w:sz w:val="20"/>
              </w:rPr>
              <w:t>17</w:t>
            </w:r>
            <w:r w:rsidRPr="00912743">
              <w:rPr>
                <w:sz w:val="20"/>
              </w:rPr>
              <w:t>0</w:t>
            </w:r>
            <w:r>
              <w:rPr>
                <w:sz w:val="20"/>
              </w:rPr>
              <w:t>.00</w:t>
            </w:r>
          </w:p>
        </w:tc>
      </w:tr>
      <w:tr w:rsidR="002A4D65" w:rsidRPr="00912743" w:rsidTr="000026CF">
        <w:tc>
          <w:tcPr>
            <w:tcW w:w="1638" w:type="dxa"/>
          </w:tcPr>
          <w:p w:rsidR="002A4D65" w:rsidRDefault="002A4D65" w:rsidP="000026CF">
            <w:pPr>
              <w:tabs>
                <w:tab w:val="left" w:pos="450"/>
              </w:tabs>
              <w:rPr>
                <w:sz w:val="20"/>
              </w:rPr>
            </w:pPr>
            <w:r>
              <w:rPr>
                <w:sz w:val="20"/>
              </w:rPr>
              <w:t>Specimen Collection – Heel Stick</w:t>
            </w:r>
          </w:p>
        </w:tc>
        <w:tc>
          <w:tcPr>
            <w:tcW w:w="1440" w:type="dxa"/>
          </w:tcPr>
          <w:p w:rsidR="002A4D65" w:rsidRPr="00AA2BD3" w:rsidRDefault="002A4D65" w:rsidP="000026CF">
            <w:pPr>
              <w:tabs>
                <w:tab w:val="left" w:pos="450"/>
              </w:tabs>
              <w:rPr>
                <w:sz w:val="20"/>
              </w:rPr>
            </w:pPr>
            <w:r w:rsidRPr="00AA2BD3">
              <w:rPr>
                <w:sz w:val="20"/>
              </w:rPr>
              <w:t>Infants</w:t>
            </w:r>
          </w:p>
        </w:tc>
        <w:tc>
          <w:tcPr>
            <w:tcW w:w="1620" w:type="dxa"/>
          </w:tcPr>
          <w:p w:rsidR="002A4D65" w:rsidRPr="00AA2BD3" w:rsidRDefault="00AA2BD3" w:rsidP="00AA2BD3">
            <w:pPr>
              <w:tabs>
                <w:tab w:val="left" w:pos="450"/>
              </w:tabs>
              <w:jc w:val="center"/>
              <w:rPr>
                <w:sz w:val="20"/>
              </w:rPr>
            </w:pPr>
            <w:r w:rsidRPr="00AA2BD3">
              <w:rPr>
                <w:sz w:val="20"/>
              </w:rPr>
              <w:t>8</w:t>
            </w:r>
          </w:p>
        </w:tc>
        <w:tc>
          <w:tcPr>
            <w:tcW w:w="1590" w:type="dxa"/>
          </w:tcPr>
          <w:p w:rsidR="002A4D65" w:rsidRPr="00AA2BD3" w:rsidRDefault="002A4D65" w:rsidP="00AA2BD3">
            <w:pPr>
              <w:tabs>
                <w:tab w:val="left" w:pos="450"/>
              </w:tabs>
              <w:jc w:val="center"/>
              <w:rPr>
                <w:sz w:val="20"/>
              </w:rPr>
            </w:pPr>
            <w:r w:rsidRPr="00AA2BD3">
              <w:rPr>
                <w:sz w:val="20"/>
              </w:rPr>
              <w:t>$0/hr</w:t>
            </w:r>
          </w:p>
        </w:tc>
        <w:tc>
          <w:tcPr>
            <w:tcW w:w="1650" w:type="dxa"/>
          </w:tcPr>
          <w:p w:rsidR="002A4D65" w:rsidRPr="00AA2BD3" w:rsidRDefault="002A4D65" w:rsidP="00AA2BD3">
            <w:pPr>
              <w:tabs>
                <w:tab w:val="left" w:pos="450"/>
              </w:tabs>
              <w:jc w:val="center"/>
              <w:rPr>
                <w:sz w:val="20"/>
              </w:rPr>
            </w:pPr>
            <w:r w:rsidRPr="00AA2BD3">
              <w:rPr>
                <w:sz w:val="20"/>
              </w:rPr>
              <w:t>$0.00</w:t>
            </w:r>
          </w:p>
        </w:tc>
      </w:tr>
      <w:tr w:rsidR="002A4D65" w:rsidRPr="00912743" w:rsidTr="000026CF">
        <w:tc>
          <w:tcPr>
            <w:tcW w:w="1638" w:type="dxa"/>
          </w:tcPr>
          <w:p w:rsidR="002A4D65" w:rsidRPr="00912743" w:rsidRDefault="002A4D65" w:rsidP="000026CF">
            <w:pPr>
              <w:tabs>
                <w:tab w:val="left" w:pos="450"/>
              </w:tabs>
              <w:rPr>
                <w:sz w:val="20"/>
              </w:rPr>
            </w:pPr>
            <w:r>
              <w:rPr>
                <w:sz w:val="20"/>
              </w:rPr>
              <w:t>Specimen Collection, Storage, and Retrieval</w:t>
            </w:r>
          </w:p>
        </w:tc>
        <w:tc>
          <w:tcPr>
            <w:tcW w:w="1440" w:type="dxa"/>
          </w:tcPr>
          <w:p w:rsidR="002A4D65" w:rsidRPr="00AA2BD3" w:rsidRDefault="002A4D65" w:rsidP="000026CF">
            <w:pPr>
              <w:tabs>
                <w:tab w:val="left" w:pos="450"/>
              </w:tabs>
              <w:rPr>
                <w:sz w:val="20"/>
              </w:rPr>
            </w:pPr>
            <w:r w:rsidRPr="00AA2BD3">
              <w:rPr>
                <w:sz w:val="20"/>
              </w:rPr>
              <w:t>Hospital staff</w:t>
            </w:r>
          </w:p>
        </w:tc>
        <w:tc>
          <w:tcPr>
            <w:tcW w:w="1620" w:type="dxa"/>
          </w:tcPr>
          <w:p w:rsidR="002A4D65" w:rsidRPr="00AA2BD3" w:rsidRDefault="00AA2BD3" w:rsidP="00AA2BD3">
            <w:pPr>
              <w:tabs>
                <w:tab w:val="left" w:pos="450"/>
              </w:tabs>
              <w:jc w:val="center"/>
              <w:rPr>
                <w:sz w:val="20"/>
              </w:rPr>
            </w:pPr>
            <w:r w:rsidRPr="00AA2BD3">
              <w:rPr>
                <w:sz w:val="20"/>
              </w:rPr>
              <w:t>25</w:t>
            </w:r>
          </w:p>
        </w:tc>
        <w:tc>
          <w:tcPr>
            <w:tcW w:w="1590" w:type="dxa"/>
          </w:tcPr>
          <w:p w:rsidR="002A4D65" w:rsidRPr="00AA2BD3" w:rsidRDefault="002A4D65" w:rsidP="00AA2BD3">
            <w:pPr>
              <w:tabs>
                <w:tab w:val="left" w:pos="450"/>
              </w:tabs>
              <w:jc w:val="center"/>
              <w:rPr>
                <w:sz w:val="20"/>
              </w:rPr>
            </w:pPr>
            <w:r w:rsidRPr="00AA2BD3">
              <w:rPr>
                <w:sz w:val="20"/>
              </w:rPr>
              <w:t>$10/hr</w:t>
            </w:r>
          </w:p>
        </w:tc>
        <w:tc>
          <w:tcPr>
            <w:tcW w:w="1650" w:type="dxa"/>
          </w:tcPr>
          <w:p w:rsidR="002A4D65" w:rsidRPr="00AA2BD3" w:rsidRDefault="002A4D65" w:rsidP="00AA2BD3">
            <w:pPr>
              <w:tabs>
                <w:tab w:val="left" w:pos="450"/>
              </w:tabs>
              <w:jc w:val="center"/>
              <w:rPr>
                <w:sz w:val="20"/>
              </w:rPr>
            </w:pPr>
            <w:r w:rsidRPr="00AA2BD3">
              <w:rPr>
                <w:sz w:val="20"/>
              </w:rPr>
              <w:t>$</w:t>
            </w:r>
            <w:r w:rsidR="00AA2BD3" w:rsidRPr="00AA2BD3">
              <w:rPr>
                <w:sz w:val="20"/>
              </w:rPr>
              <w:t>250</w:t>
            </w:r>
            <w:r w:rsidRPr="00AA2BD3">
              <w:rPr>
                <w:sz w:val="20"/>
              </w:rPr>
              <w:t>.00</w:t>
            </w:r>
          </w:p>
        </w:tc>
      </w:tr>
      <w:tr w:rsidR="002A4D65" w:rsidRPr="00912743" w:rsidTr="000026CF">
        <w:tc>
          <w:tcPr>
            <w:tcW w:w="1638" w:type="dxa"/>
          </w:tcPr>
          <w:p w:rsidR="002A4D65" w:rsidRPr="00912743" w:rsidRDefault="002A4D65" w:rsidP="000026CF">
            <w:pPr>
              <w:tabs>
                <w:tab w:val="left" w:pos="450"/>
              </w:tabs>
              <w:rPr>
                <w:b/>
                <w:sz w:val="20"/>
              </w:rPr>
            </w:pPr>
            <w:r w:rsidRPr="00912743">
              <w:rPr>
                <w:b/>
                <w:sz w:val="20"/>
              </w:rPr>
              <w:t>TOTAL</w:t>
            </w:r>
          </w:p>
        </w:tc>
        <w:tc>
          <w:tcPr>
            <w:tcW w:w="1440" w:type="dxa"/>
          </w:tcPr>
          <w:p w:rsidR="002A4D65" w:rsidRPr="00AA2BD3" w:rsidRDefault="002A4D65" w:rsidP="000026CF">
            <w:pPr>
              <w:tabs>
                <w:tab w:val="left" w:pos="450"/>
              </w:tabs>
              <w:rPr>
                <w:sz w:val="20"/>
              </w:rPr>
            </w:pPr>
          </w:p>
        </w:tc>
        <w:tc>
          <w:tcPr>
            <w:tcW w:w="1620" w:type="dxa"/>
          </w:tcPr>
          <w:p w:rsidR="002A4D65" w:rsidRPr="00AA2BD3" w:rsidRDefault="00AA2BD3" w:rsidP="002A4D65">
            <w:pPr>
              <w:tabs>
                <w:tab w:val="left" w:pos="450"/>
              </w:tabs>
              <w:jc w:val="center"/>
              <w:rPr>
                <w:b/>
                <w:sz w:val="20"/>
              </w:rPr>
            </w:pPr>
            <w:r w:rsidRPr="00AA2BD3">
              <w:rPr>
                <w:b/>
                <w:sz w:val="20"/>
              </w:rPr>
              <w:t>1</w:t>
            </w:r>
            <w:r w:rsidR="00AC419E">
              <w:rPr>
                <w:b/>
                <w:sz w:val="20"/>
              </w:rPr>
              <w:t>2</w:t>
            </w:r>
            <w:r w:rsidR="006A1371">
              <w:rPr>
                <w:b/>
                <w:sz w:val="20"/>
              </w:rPr>
              <w:t>0</w:t>
            </w:r>
          </w:p>
        </w:tc>
        <w:tc>
          <w:tcPr>
            <w:tcW w:w="1590" w:type="dxa"/>
          </w:tcPr>
          <w:p w:rsidR="002A4D65" w:rsidRPr="00AA2BD3" w:rsidRDefault="002A4D65" w:rsidP="000026CF">
            <w:pPr>
              <w:tabs>
                <w:tab w:val="left" w:pos="450"/>
              </w:tabs>
              <w:rPr>
                <w:b/>
                <w:sz w:val="20"/>
              </w:rPr>
            </w:pPr>
          </w:p>
        </w:tc>
        <w:tc>
          <w:tcPr>
            <w:tcW w:w="1650" w:type="dxa"/>
          </w:tcPr>
          <w:p w:rsidR="002A4D65" w:rsidRPr="00AA2BD3" w:rsidRDefault="002A4D65" w:rsidP="00AA2BD3">
            <w:pPr>
              <w:tabs>
                <w:tab w:val="left" w:pos="450"/>
              </w:tabs>
              <w:jc w:val="center"/>
              <w:rPr>
                <w:b/>
                <w:sz w:val="20"/>
              </w:rPr>
            </w:pPr>
            <w:r w:rsidRPr="00AA2BD3">
              <w:rPr>
                <w:b/>
                <w:sz w:val="20"/>
              </w:rPr>
              <w:t>$</w:t>
            </w:r>
            <w:r w:rsidR="00AA2BD3" w:rsidRPr="00AA2BD3">
              <w:rPr>
                <w:b/>
                <w:sz w:val="20"/>
              </w:rPr>
              <w:t>1</w:t>
            </w:r>
            <w:r w:rsidR="00AA2BD3">
              <w:rPr>
                <w:b/>
                <w:sz w:val="20"/>
              </w:rPr>
              <w:t>1</w:t>
            </w:r>
            <w:r w:rsidR="006A1371">
              <w:rPr>
                <w:b/>
                <w:sz w:val="20"/>
              </w:rPr>
              <w:t>2</w:t>
            </w:r>
            <w:r w:rsidR="00AA2BD3" w:rsidRPr="00AA2BD3">
              <w:rPr>
                <w:b/>
                <w:sz w:val="20"/>
              </w:rPr>
              <w:t>0</w:t>
            </w:r>
            <w:r w:rsidRPr="00AA2BD3">
              <w:rPr>
                <w:b/>
                <w:sz w:val="20"/>
              </w:rPr>
              <w:t>.00</w:t>
            </w:r>
          </w:p>
        </w:tc>
      </w:tr>
    </w:tbl>
    <w:p w:rsidR="002A4D65" w:rsidRDefault="002A4D65" w:rsidP="00AF29E5">
      <w:pPr>
        <w:rPr>
          <w:rFonts w:asciiTheme="minorHAnsi" w:hAnsiTheme="minorHAnsi" w:cstheme="minorHAnsi"/>
          <w:b/>
          <w:sz w:val="22"/>
          <w:szCs w:val="22"/>
        </w:rPr>
      </w:pPr>
    </w:p>
    <w:p w:rsidR="00AB508A" w:rsidRDefault="00AB508A" w:rsidP="00AF29E5">
      <w:pPr>
        <w:rPr>
          <w:rFonts w:asciiTheme="minorHAnsi" w:hAnsiTheme="minorHAnsi" w:cstheme="minorHAnsi"/>
          <w:b/>
          <w:sz w:val="22"/>
          <w:szCs w:val="22"/>
        </w:rPr>
      </w:pPr>
    </w:p>
    <w:p w:rsidR="00AB508A" w:rsidRDefault="00AB508A" w:rsidP="00AF29E5">
      <w:pPr>
        <w:rPr>
          <w:rFonts w:asciiTheme="minorHAnsi" w:hAnsiTheme="minorHAnsi" w:cstheme="minorHAnsi"/>
          <w:b/>
          <w:sz w:val="22"/>
          <w:szCs w:val="22"/>
        </w:rPr>
      </w:pPr>
    </w:p>
    <w:p w:rsidR="00FF4CF2" w:rsidRPr="00C7774A" w:rsidRDefault="00FF4CF2" w:rsidP="00AF29E5">
      <w:pPr>
        <w:rPr>
          <w:rFonts w:asciiTheme="minorHAnsi" w:hAnsiTheme="minorHAnsi" w:cstheme="minorHAnsi"/>
          <w:b/>
          <w:sz w:val="22"/>
          <w:szCs w:val="22"/>
        </w:rPr>
      </w:pPr>
      <w:r w:rsidRPr="00C7774A">
        <w:rPr>
          <w:rFonts w:asciiTheme="minorHAnsi" w:hAnsiTheme="minorHAnsi" w:cstheme="minorHAnsi"/>
          <w:b/>
          <w:sz w:val="22"/>
          <w:szCs w:val="22"/>
        </w:rPr>
        <w:lastRenderedPageBreak/>
        <w:t>List of Attachments</w:t>
      </w:r>
    </w:p>
    <w:p w:rsidR="00FF4CF2" w:rsidRPr="00C7774A" w:rsidRDefault="00077105" w:rsidP="00AF29E5">
      <w:pPr>
        <w:pStyle w:val="ListParagraph"/>
        <w:ind w:left="0"/>
        <w:contextualSpacing w:val="0"/>
        <w:rPr>
          <w:rFonts w:asciiTheme="minorHAnsi" w:hAnsiTheme="minorHAnsi" w:cstheme="minorHAnsi"/>
          <w:sz w:val="22"/>
          <w:szCs w:val="22"/>
        </w:rPr>
      </w:pPr>
      <w:r w:rsidRPr="00C7774A">
        <w:rPr>
          <w:rFonts w:asciiTheme="minorHAnsi" w:hAnsiTheme="minorHAnsi" w:cstheme="minorHAnsi"/>
          <w:sz w:val="22"/>
          <w:szCs w:val="22"/>
        </w:rPr>
        <w:t>Attach B17. Vanguard Pilot Study Biospecimen Collection Chart</w:t>
      </w:r>
    </w:p>
    <w:p w:rsidR="00077105" w:rsidRPr="00C7774A" w:rsidRDefault="00E17C7C" w:rsidP="00AF29E5">
      <w:pPr>
        <w:pStyle w:val="ListParagraph"/>
        <w:ind w:left="0"/>
        <w:contextualSpacing w:val="0"/>
        <w:rPr>
          <w:rFonts w:asciiTheme="minorHAnsi" w:hAnsiTheme="minorHAnsi" w:cstheme="minorHAnsi"/>
          <w:sz w:val="22"/>
          <w:szCs w:val="22"/>
        </w:rPr>
      </w:pPr>
      <w:r>
        <w:rPr>
          <w:rFonts w:asciiTheme="minorHAnsi" w:hAnsiTheme="minorHAnsi" w:cstheme="minorHAnsi"/>
          <w:sz w:val="22"/>
          <w:szCs w:val="22"/>
        </w:rPr>
        <w:t>*</w:t>
      </w:r>
      <w:r w:rsidR="00077105" w:rsidRPr="00C7774A">
        <w:rPr>
          <w:rFonts w:asciiTheme="minorHAnsi" w:hAnsiTheme="minorHAnsi" w:cstheme="minorHAnsi"/>
          <w:sz w:val="22"/>
          <w:szCs w:val="22"/>
        </w:rPr>
        <w:t>Attach B18. Parental Permission for Child’s Participation – Birth</w:t>
      </w:r>
      <w:r w:rsidR="00417793">
        <w:rPr>
          <w:rFonts w:asciiTheme="minorHAnsi" w:hAnsiTheme="minorHAnsi" w:cstheme="minorHAnsi"/>
          <w:sz w:val="22"/>
          <w:szCs w:val="22"/>
        </w:rPr>
        <w:t xml:space="preserve"> Through 6 Months of Age (with S</w:t>
      </w:r>
      <w:r w:rsidR="00077105" w:rsidRPr="00C7774A">
        <w:rPr>
          <w:rFonts w:asciiTheme="minorHAnsi" w:hAnsiTheme="minorHAnsi" w:cstheme="minorHAnsi"/>
          <w:sz w:val="22"/>
          <w:szCs w:val="22"/>
        </w:rPr>
        <w:t>amples)</w:t>
      </w:r>
      <w:r w:rsidRPr="00E17C7C">
        <w:rPr>
          <w:rFonts w:asciiTheme="minorHAnsi" w:hAnsiTheme="minorHAnsi" w:cstheme="minorHAnsi"/>
          <w:sz w:val="22"/>
          <w:szCs w:val="22"/>
        </w:rPr>
        <w:t xml:space="preserve"> </w:t>
      </w:r>
    </w:p>
    <w:p w:rsidR="00077105" w:rsidRPr="00C7774A" w:rsidRDefault="00077105" w:rsidP="00AF29E5">
      <w:pPr>
        <w:pStyle w:val="ListParagraph"/>
        <w:ind w:left="0"/>
        <w:contextualSpacing w:val="0"/>
        <w:rPr>
          <w:rFonts w:asciiTheme="minorHAnsi" w:hAnsiTheme="minorHAnsi" w:cstheme="minorHAnsi"/>
          <w:sz w:val="22"/>
          <w:szCs w:val="22"/>
        </w:rPr>
      </w:pPr>
      <w:r w:rsidRPr="00C7774A">
        <w:rPr>
          <w:rFonts w:asciiTheme="minorHAnsi" w:hAnsiTheme="minorHAnsi" w:cstheme="minorHAnsi"/>
          <w:sz w:val="22"/>
          <w:szCs w:val="22"/>
        </w:rPr>
        <w:t>Attach B19. Biospecimen Adult Blood Instrument</w:t>
      </w:r>
    </w:p>
    <w:p w:rsidR="00077105" w:rsidRPr="00C7774A" w:rsidRDefault="00077105" w:rsidP="00AF29E5">
      <w:pPr>
        <w:pStyle w:val="ListParagraph"/>
        <w:ind w:left="0"/>
        <w:contextualSpacing w:val="0"/>
        <w:rPr>
          <w:rFonts w:asciiTheme="minorHAnsi" w:hAnsiTheme="minorHAnsi" w:cstheme="minorHAnsi"/>
          <w:sz w:val="22"/>
          <w:szCs w:val="22"/>
        </w:rPr>
      </w:pPr>
      <w:r w:rsidRPr="00C7774A">
        <w:rPr>
          <w:rFonts w:asciiTheme="minorHAnsi" w:hAnsiTheme="minorHAnsi" w:cstheme="minorHAnsi"/>
          <w:sz w:val="22"/>
          <w:szCs w:val="22"/>
        </w:rPr>
        <w:t>Attach B20. Biospecimen Adult Urine Instrument</w:t>
      </w:r>
    </w:p>
    <w:p w:rsidR="00077105" w:rsidRPr="00C7774A" w:rsidRDefault="00077105" w:rsidP="00AF29E5">
      <w:pPr>
        <w:pStyle w:val="ListParagraph"/>
        <w:ind w:left="0"/>
        <w:contextualSpacing w:val="0"/>
        <w:rPr>
          <w:rFonts w:asciiTheme="minorHAnsi" w:hAnsiTheme="minorHAnsi" w:cstheme="minorHAnsi"/>
          <w:sz w:val="22"/>
          <w:szCs w:val="22"/>
        </w:rPr>
      </w:pPr>
      <w:r w:rsidRPr="00C7774A">
        <w:rPr>
          <w:rFonts w:asciiTheme="minorHAnsi" w:hAnsiTheme="minorHAnsi" w:cstheme="minorHAnsi"/>
          <w:sz w:val="22"/>
          <w:szCs w:val="22"/>
        </w:rPr>
        <w:t>Attach B21. Biospecimen Infant Blood Spot Instrument</w:t>
      </w:r>
    </w:p>
    <w:p w:rsidR="00077105" w:rsidRPr="00C7774A" w:rsidRDefault="00077105" w:rsidP="00AF29E5">
      <w:pPr>
        <w:pStyle w:val="ListParagraph"/>
        <w:ind w:left="0"/>
        <w:contextualSpacing w:val="0"/>
        <w:rPr>
          <w:rFonts w:asciiTheme="minorHAnsi" w:hAnsiTheme="minorHAnsi" w:cstheme="minorHAnsi"/>
          <w:sz w:val="22"/>
          <w:szCs w:val="22"/>
        </w:rPr>
      </w:pPr>
      <w:r w:rsidRPr="00C7774A">
        <w:rPr>
          <w:rFonts w:asciiTheme="minorHAnsi" w:hAnsiTheme="minorHAnsi" w:cstheme="minorHAnsi"/>
          <w:sz w:val="22"/>
          <w:szCs w:val="22"/>
        </w:rPr>
        <w:t>Attach B22. Biospecimen Cord Blood Instrument</w:t>
      </w:r>
    </w:p>
    <w:p w:rsidR="00077105" w:rsidRPr="00C7774A" w:rsidRDefault="00077105" w:rsidP="00AF29E5">
      <w:pPr>
        <w:pStyle w:val="ListParagraph"/>
        <w:ind w:left="0"/>
        <w:contextualSpacing w:val="0"/>
        <w:rPr>
          <w:rFonts w:asciiTheme="minorHAnsi" w:hAnsiTheme="minorHAnsi" w:cstheme="minorHAnsi"/>
          <w:sz w:val="22"/>
          <w:szCs w:val="22"/>
        </w:rPr>
      </w:pPr>
      <w:r w:rsidRPr="00C7774A">
        <w:rPr>
          <w:rFonts w:asciiTheme="minorHAnsi" w:hAnsiTheme="minorHAnsi" w:cstheme="minorHAnsi"/>
          <w:sz w:val="22"/>
          <w:szCs w:val="22"/>
        </w:rPr>
        <w:t xml:space="preserve">Attach B23. Biospecimen Placenta Data Collection Instrument </w:t>
      </w:r>
    </w:p>
    <w:p w:rsidR="00134F5A" w:rsidRDefault="00E17C7C" w:rsidP="00AF29E5">
      <w:pPr>
        <w:pStyle w:val="ListParagraph"/>
        <w:ind w:left="0"/>
        <w:contextualSpacing w:val="0"/>
        <w:rPr>
          <w:rFonts w:asciiTheme="minorHAnsi" w:hAnsiTheme="minorHAnsi" w:cstheme="minorHAnsi"/>
          <w:sz w:val="22"/>
          <w:szCs w:val="22"/>
        </w:rPr>
      </w:pPr>
      <w:r>
        <w:rPr>
          <w:rFonts w:asciiTheme="minorHAnsi" w:hAnsiTheme="minorHAnsi" w:cstheme="minorHAnsi"/>
          <w:sz w:val="22"/>
          <w:szCs w:val="22"/>
        </w:rPr>
        <w:t>*</w:t>
      </w:r>
      <w:r w:rsidR="00134F5A" w:rsidRPr="00C7774A">
        <w:rPr>
          <w:rFonts w:asciiTheme="minorHAnsi" w:hAnsiTheme="minorHAnsi" w:cstheme="minorHAnsi"/>
          <w:sz w:val="22"/>
          <w:szCs w:val="22"/>
        </w:rPr>
        <w:t>Attach B24. Sample Collection Visit Information Sheet Scripts</w:t>
      </w:r>
      <w:r w:rsidR="00F159A6">
        <w:rPr>
          <w:rFonts w:asciiTheme="minorHAnsi" w:hAnsiTheme="minorHAnsi" w:cstheme="minorHAnsi"/>
          <w:sz w:val="22"/>
          <w:szCs w:val="22"/>
        </w:rPr>
        <w:t xml:space="preserve"> </w:t>
      </w:r>
    </w:p>
    <w:p w:rsidR="00E17C7C" w:rsidRDefault="00AA2BD3" w:rsidP="00E17C7C">
      <w:pPr>
        <w:pStyle w:val="ListParagraph"/>
        <w:ind w:left="0"/>
        <w:contextualSpacing w:val="0"/>
        <w:rPr>
          <w:rFonts w:asciiTheme="minorHAnsi" w:hAnsiTheme="minorHAnsi" w:cstheme="minorHAnsi"/>
          <w:sz w:val="22"/>
          <w:szCs w:val="22"/>
        </w:rPr>
      </w:pPr>
      <w:r>
        <w:rPr>
          <w:rFonts w:asciiTheme="minorHAnsi" w:hAnsiTheme="minorHAnsi" w:cstheme="minorHAnsi"/>
          <w:sz w:val="22"/>
          <w:szCs w:val="22"/>
        </w:rPr>
        <w:t xml:space="preserve">Attach </w:t>
      </w:r>
      <w:r w:rsidRPr="00020BB2">
        <w:rPr>
          <w:rFonts w:asciiTheme="minorHAnsi" w:hAnsiTheme="minorHAnsi" w:cstheme="minorHAnsi"/>
          <w:sz w:val="22"/>
          <w:szCs w:val="22"/>
        </w:rPr>
        <w:t>B2</w:t>
      </w:r>
      <w:r w:rsidR="00020BB2" w:rsidRPr="00020BB2">
        <w:rPr>
          <w:rFonts w:asciiTheme="minorHAnsi" w:hAnsiTheme="minorHAnsi" w:cstheme="minorHAnsi"/>
          <w:sz w:val="22"/>
          <w:szCs w:val="22"/>
        </w:rPr>
        <w:t>5</w:t>
      </w:r>
      <w:r>
        <w:rPr>
          <w:rFonts w:asciiTheme="minorHAnsi" w:hAnsiTheme="minorHAnsi" w:cstheme="minorHAnsi"/>
          <w:sz w:val="22"/>
          <w:szCs w:val="22"/>
        </w:rPr>
        <w:t xml:space="preserve">. </w:t>
      </w:r>
      <w:r w:rsidR="0035782D">
        <w:rPr>
          <w:rFonts w:asciiTheme="minorHAnsi" w:hAnsiTheme="minorHAnsi" w:cstheme="minorHAnsi"/>
          <w:sz w:val="22"/>
          <w:szCs w:val="22"/>
        </w:rPr>
        <w:t xml:space="preserve">PBS </w:t>
      </w:r>
      <w:r w:rsidR="0035782D" w:rsidRPr="006A1371">
        <w:rPr>
          <w:rFonts w:asciiTheme="minorHAnsi" w:hAnsiTheme="minorHAnsi" w:cstheme="minorHAnsi"/>
          <w:sz w:val="22"/>
          <w:szCs w:val="22"/>
        </w:rPr>
        <w:t xml:space="preserve">Participant Verification Birth Cohort </w:t>
      </w:r>
      <w:r w:rsidR="0035782D">
        <w:rPr>
          <w:rFonts w:asciiTheme="minorHAnsi" w:hAnsiTheme="minorHAnsi" w:cstheme="minorHAnsi"/>
          <w:sz w:val="22"/>
          <w:szCs w:val="22"/>
        </w:rPr>
        <w:t>Interview</w:t>
      </w:r>
      <w:r w:rsidR="0035782D" w:rsidRPr="006A1371">
        <w:rPr>
          <w:rFonts w:asciiTheme="minorHAnsi" w:hAnsiTheme="minorHAnsi" w:cstheme="minorHAnsi"/>
          <w:sz w:val="22"/>
          <w:szCs w:val="22"/>
        </w:rPr>
        <w:t xml:space="preserve"> </w:t>
      </w:r>
      <w:r>
        <w:rPr>
          <w:rFonts w:asciiTheme="minorHAnsi" w:hAnsiTheme="minorHAnsi" w:cstheme="minorHAnsi"/>
          <w:sz w:val="22"/>
          <w:szCs w:val="22"/>
        </w:rPr>
        <w:t>(extracts 3 questions – child’s name, sex, and legal guardian – from the app</w:t>
      </w:r>
      <w:r w:rsidR="00AC419E">
        <w:rPr>
          <w:rFonts w:asciiTheme="minorHAnsi" w:hAnsiTheme="minorHAnsi" w:cstheme="minorHAnsi"/>
          <w:sz w:val="22"/>
          <w:szCs w:val="22"/>
        </w:rPr>
        <w:t>roved Participant Verification)</w:t>
      </w:r>
    </w:p>
    <w:p w:rsidR="004E4D43" w:rsidRDefault="00E17C7C" w:rsidP="00AF29E5">
      <w:pPr>
        <w:pStyle w:val="ListParagraph"/>
        <w:tabs>
          <w:tab w:val="left" w:pos="180"/>
        </w:tabs>
        <w:ind w:left="0"/>
        <w:rPr>
          <w:rFonts w:asciiTheme="minorHAnsi" w:hAnsiTheme="minorHAnsi" w:cstheme="minorHAnsi"/>
          <w:sz w:val="22"/>
          <w:szCs w:val="22"/>
        </w:rPr>
      </w:pPr>
      <w:r>
        <w:rPr>
          <w:rFonts w:asciiTheme="minorHAnsi" w:hAnsiTheme="minorHAnsi" w:cstheme="minorHAnsi"/>
          <w:sz w:val="22"/>
          <w:szCs w:val="22"/>
        </w:rPr>
        <w:t>* Revised this Submission</w:t>
      </w:r>
    </w:p>
    <w:p w:rsidR="00E17C7C" w:rsidRPr="00C7774A" w:rsidRDefault="00E17C7C" w:rsidP="00AF29E5">
      <w:pPr>
        <w:pStyle w:val="ListParagraph"/>
        <w:tabs>
          <w:tab w:val="left" w:pos="180"/>
        </w:tabs>
        <w:ind w:left="0"/>
        <w:rPr>
          <w:rFonts w:asciiTheme="minorHAnsi" w:hAnsiTheme="minorHAnsi" w:cstheme="minorHAnsi"/>
          <w:sz w:val="22"/>
          <w:szCs w:val="22"/>
        </w:rPr>
      </w:pPr>
    </w:p>
    <w:tbl>
      <w:tblPr>
        <w:tblStyle w:val="TableGrid"/>
        <w:tblW w:w="10380" w:type="dxa"/>
        <w:tblInd w:w="-732" w:type="dxa"/>
        <w:tblLayout w:type="fixed"/>
        <w:tblLook w:val="04A0" w:firstRow="1" w:lastRow="0" w:firstColumn="1" w:lastColumn="0" w:noHBand="0" w:noVBand="1"/>
      </w:tblPr>
      <w:tblGrid>
        <w:gridCol w:w="1920"/>
        <w:gridCol w:w="2070"/>
        <w:gridCol w:w="1440"/>
        <w:gridCol w:w="1440"/>
        <w:gridCol w:w="1440"/>
        <w:gridCol w:w="1166"/>
        <w:gridCol w:w="904"/>
      </w:tblGrid>
      <w:tr w:rsidR="004864B8" w:rsidRPr="00C7774A" w:rsidTr="00885E2A">
        <w:tc>
          <w:tcPr>
            <w:tcW w:w="10380" w:type="dxa"/>
            <w:gridSpan w:val="7"/>
            <w:shd w:val="clear" w:color="auto" w:fill="5F497A" w:themeFill="accent4" w:themeFillShade="BF"/>
          </w:tcPr>
          <w:p w:rsidR="004864B8" w:rsidRPr="00C7774A" w:rsidRDefault="004864B8" w:rsidP="00AF29E5">
            <w:pPr>
              <w:rPr>
                <w:rFonts w:asciiTheme="minorHAnsi" w:hAnsiTheme="minorHAnsi" w:cstheme="minorHAnsi"/>
                <w:b/>
                <w:color w:val="FFFFFF" w:themeColor="background1"/>
                <w:sz w:val="22"/>
                <w:szCs w:val="22"/>
              </w:rPr>
            </w:pPr>
            <w:r w:rsidRPr="00C7774A">
              <w:rPr>
                <w:rFonts w:asciiTheme="minorHAnsi" w:hAnsiTheme="minorHAnsi" w:cstheme="minorHAnsi"/>
                <w:b/>
                <w:color w:val="FFFFFF" w:themeColor="background1"/>
                <w:sz w:val="22"/>
                <w:szCs w:val="22"/>
              </w:rPr>
              <w:t>T</w:t>
            </w:r>
            <w:r w:rsidR="00E0096F" w:rsidRPr="00C7774A">
              <w:rPr>
                <w:rFonts w:asciiTheme="minorHAnsi" w:hAnsiTheme="minorHAnsi" w:cstheme="minorHAnsi"/>
                <w:b/>
                <w:color w:val="FFFFFF" w:themeColor="background1"/>
                <w:sz w:val="22"/>
                <w:szCs w:val="22"/>
              </w:rPr>
              <w:t xml:space="preserve">able </w:t>
            </w:r>
            <w:r w:rsidR="00134F5A" w:rsidRPr="00C7774A">
              <w:rPr>
                <w:rFonts w:asciiTheme="minorHAnsi" w:hAnsiTheme="minorHAnsi" w:cstheme="minorHAnsi"/>
                <w:b/>
                <w:color w:val="FFFFFF" w:themeColor="background1"/>
                <w:sz w:val="22"/>
                <w:szCs w:val="22"/>
              </w:rPr>
              <w:t>4</w:t>
            </w:r>
            <w:r w:rsidRPr="00C7774A">
              <w:rPr>
                <w:rFonts w:asciiTheme="minorHAnsi" w:hAnsiTheme="minorHAnsi" w:cstheme="minorHAnsi"/>
                <w:b/>
                <w:color w:val="FFFFFF" w:themeColor="background1"/>
                <w:sz w:val="22"/>
                <w:szCs w:val="22"/>
              </w:rPr>
              <w:t>. Respondent Burden Table for Candidate Projects (OMB Collection # 0925-0593, Expiration Date 8/31/2014)</w:t>
            </w:r>
          </w:p>
        </w:tc>
      </w:tr>
      <w:tr w:rsidR="00ED1B2A" w:rsidRPr="00C7774A" w:rsidTr="0040436F">
        <w:tc>
          <w:tcPr>
            <w:tcW w:w="1920" w:type="dxa"/>
            <w:shd w:val="clear" w:color="auto" w:fill="5F497A" w:themeFill="accent4" w:themeFillShade="BF"/>
          </w:tcPr>
          <w:p w:rsidR="00ED1B2A" w:rsidRPr="00C7774A" w:rsidRDefault="00ED1B2A" w:rsidP="00AF29E5">
            <w:pPr>
              <w:pStyle w:val="ListParagraph"/>
              <w:tabs>
                <w:tab w:val="left" w:pos="180"/>
              </w:tabs>
              <w:ind w:left="0"/>
              <w:rPr>
                <w:rFonts w:asciiTheme="minorHAnsi" w:hAnsiTheme="minorHAnsi" w:cstheme="minorHAnsi"/>
                <w:b/>
                <w:color w:val="FFFFFF" w:themeColor="background1"/>
                <w:sz w:val="22"/>
                <w:szCs w:val="22"/>
              </w:rPr>
            </w:pPr>
            <w:r w:rsidRPr="00C7774A">
              <w:rPr>
                <w:rFonts w:asciiTheme="minorHAnsi" w:hAnsiTheme="minorHAnsi" w:cstheme="minorHAnsi"/>
                <w:b/>
                <w:color w:val="FFFFFF" w:themeColor="background1"/>
                <w:sz w:val="22"/>
                <w:szCs w:val="22"/>
              </w:rPr>
              <w:t>Formative Research Project Number</w:t>
            </w:r>
          </w:p>
        </w:tc>
        <w:tc>
          <w:tcPr>
            <w:tcW w:w="2070" w:type="dxa"/>
            <w:shd w:val="clear" w:color="auto" w:fill="5F497A" w:themeFill="accent4" w:themeFillShade="BF"/>
          </w:tcPr>
          <w:p w:rsidR="00ED1B2A" w:rsidRPr="00C7774A" w:rsidRDefault="00ED1B2A" w:rsidP="00AF29E5">
            <w:pPr>
              <w:pStyle w:val="ListParagraph"/>
              <w:tabs>
                <w:tab w:val="left" w:pos="180"/>
              </w:tabs>
              <w:ind w:left="0"/>
              <w:rPr>
                <w:rFonts w:asciiTheme="minorHAnsi" w:hAnsiTheme="minorHAnsi" w:cstheme="minorHAnsi"/>
                <w:b/>
                <w:color w:val="FFFFFF" w:themeColor="background1"/>
                <w:sz w:val="22"/>
                <w:szCs w:val="22"/>
              </w:rPr>
            </w:pPr>
            <w:r w:rsidRPr="00C7774A">
              <w:rPr>
                <w:rFonts w:asciiTheme="minorHAnsi" w:hAnsiTheme="minorHAnsi" w:cstheme="minorHAnsi"/>
                <w:b/>
                <w:color w:val="FFFFFF" w:themeColor="background1"/>
                <w:sz w:val="22"/>
                <w:szCs w:val="22"/>
              </w:rPr>
              <w:t>Project Title (Abbreviated)</w:t>
            </w:r>
          </w:p>
        </w:tc>
        <w:tc>
          <w:tcPr>
            <w:tcW w:w="1440" w:type="dxa"/>
            <w:shd w:val="clear" w:color="auto" w:fill="5F497A" w:themeFill="accent4" w:themeFillShade="BF"/>
          </w:tcPr>
          <w:p w:rsidR="00ED1B2A" w:rsidRPr="00C7774A" w:rsidRDefault="00ED1B2A" w:rsidP="00AF29E5">
            <w:pPr>
              <w:pStyle w:val="ListParagraph"/>
              <w:tabs>
                <w:tab w:val="left" w:pos="180"/>
              </w:tabs>
              <w:ind w:left="0"/>
              <w:rPr>
                <w:rFonts w:asciiTheme="minorHAnsi" w:hAnsiTheme="minorHAnsi" w:cstheme="minorHAnsi"/>
                <w:b/>
                <w:color w:val="FFFFFF" w:themeColor="background1"/>
                <w:sz w:val="22"/>
                <w:szCs w:val="22"/>
              </w:rPr>
            </w:pPr>
            <w:r w:rsidRPr="00C7774A">
              <w:rPr>
                <w:rFonts w:asciiTheme="minorHAnsi" w:hAnsiTheme="minorHAnsi" w:cstheme="minorHAnsi"/>
                <w:b/>
                <w:color w:val="FFFFFF" w:themeColor="background1"/>
                <w:sz w:val="22"/>
                <w:szCs w:val="22"/>
              </w:rPr>
              <w:t>Type of Respondent</w:t>
            </w:r>
          </w:p>
        </w:tc>
        <w:tc>
          <w:tcPr>
            <w:tcW w:w="1440" w:type="dxa"/>
            <w:shd w:val="clear" w:color="auto" w:fill="5F497A" w:themeFill="accent4" w:themeFillShade="BF"/>
          </w:tcPr>
          <w:p w:rsidR="00ED1B2A" w:rsidRPr="00C7774A" w:rsidRDefault="00ED1B2A" w:rsidP="00AF29E5">
            <w:pPr>
              <w:pStyle w:val="ListParagraph"/>
              <w:tabs>
                <w:tab w:val="left" w:pos="180"/>
              </w:tabs>
              <w:ind w:left="0"/>
              <w:rPr>
                <w:rFonts w:asciiTheme="minorHAnsi" w:hAnsiTheme="minorHAnsi" w:cstheme="minorHAnsi"/>
                <w:b/>
                <w:color w:val="FFFFFF" w:themeColor="background1"/>
                <w:sz w:val="22"/>
                <w:szCs w:val="22"/>
              </w:rPr>
            </w:pPr>
            <w:r w:rsidRPr="00C7774A">
              <w:rPr>
                <w:rFonts w:asciiTheme="minorHAnsi" w:hAnsiTheme="minorHAnsi" w:cstheme="minorHAnsi"/>
                <w:b/>
                <w:color w:val="FFFFFF" w:themeColor="background1"/>
                <w:sz w:val="22"/>
                <w:szCs w:val="22"/>
              </w:rPr>
              <w:t>Number of Respondents</w:t>
            </w:r>
          </w:p>
        </w:tc>
        <w:tc>
          <w:tcPr>
            <w:tcW w:w="1440" w:type="dxa"/>
            <w:shd w:val="clear" w:color="auto" w:fill="5F497A" w:themeFill="accent4" w:themeFillShade="BF"/>
          </w:tcPr>
          <w:p w:rsidR="00ED1B2A" w:rsidRPr="00C7774A" w:rsidRDefault="00ED1B2A" w:rsidP="00AF29E5">
            <w:pPr>
              <w:pStyle w:val="ListParagraph"/>
              <w:tabs>
                <w:tab w:val="left" w:pos="180"/>
              </w:tabs>
              <w:ind w:left="0"/>
              <w:rPr>
                <w:rFonts w:asciiTheme="minorHAnsi" w:hAnsiTheme="minorHAnsi" w:cstheme="minorHAnsi"/>
                <w:b/>
                <w:color w:val="FFFFFF" w:themeColor="background1"/>
                <w:sz w:val="22"/>
                <w:szCs w:val="22"/>
              </w:rPr>
            </w:pPr>
            <w:r w:rsidRPr="00C7774A">
              <w:rPr>
                <w:rFonts w:asciiTheme="minorHAnsi" w:hAnsiTheme="minorHAnsi" w:cstheme="minorHAnsi"/>
                <w:b/>
                <w:color w:val="FFFFFF" w:themeColor="background1"/>
                <w:sz w:val="22"/>
                <w:szCs w:val="22"/>
              </w:rPr>
              <w:t>Responses per Participant</w:t>
            </w:r>
          </w:p>
        </w:tc>
        <w:tc>
          <w:tcPr>
            <w:tcW w:w="1166" w:type="dxa"/>
            <w:shd w:val="clear" w:color="auto" w:fill="5F497A" w:themeFill="accent4" w:themeFillShade="BF"/>
          </w:tcPr>
          <w:p w:rsidR="00ED1B2A" w:rsidRPr="00C7774A" w:rsidRDefault="00ED1B2A" w:rsidP="00AF29E5">
            <w:pPr>
              <w:pStyle w:val="ListParagraph"/>
              <w:tabs>
                <w:tab w:val="left" w:pos="180"/>
              </w:tabs>
              <w:ind w:left="0"/>
              <w:rPr>
                <w:rFonts w:asciiTheme="minorHAnsi" w:hAnsiTheme="minorHAnsi" w:cstheme="minorHAnsi"/>
                <w:b/>
                <w:color w:val="FFFFFF" w:themeColor="background1"/>
                <w:sz w:val="22"/>
                <w:szCs w:val="22"/>
              </w:rPr>
            </w:pPr>
            <w:r w:rsidRPr="00C7774A">
              <w:rPr>
                <w:rFonts w:asciiTheme="minorHAnsi" w:hAnsiTheme="minorHAnsi" w:cstheme="minorHAnsi"/>
                <w:b/>
                <w:color w:val="FFFFFF" w:themeColor="background1"/>
                <w:sz w:val="22"/>
                <w:szCs w:val="22"/>
              </w:rPr>
              <w:t>Burden per Response (in hours)</w:t>
            </w:r>
          </w:p>
        </w:tc>
        <w:tc>
          <w:tcPr>
            <w:tcW w:w="904" w:type="dxa"/>
            <w:shd w:val="clear" w:color="auto" w:fill="5F497A" w:themeFill="accent4" w:themeFillShade="BF"/>
          </w:tcPr>
          <w:p w:rsidR="00ED1B2A" w:rsidRPr="00C7774A" w:rsidRDefault="00ED1B2A" w:rsidP="00AF29E5">
            <w:pPr>
              <w:pStyle w:val="ListParagraph"/>
              <w:tabs>
                <w:tab w:val="left" w:pos="180"/>
              </w:tabs>
              <w:ind w:left="0"/>
              <w:rPr>
                <w:rFonts w:asciiTheme="minorHAnsi" w:hAnsiTheme="minorHAnsi" w:cstheme="minorHAnsi"/>
                <w:b/>
                <w:color w:val="FFFFFF" w:themeColor="background1"/>
                <w:sz w:val="22"/>
                <w:szCs w:val="22"/>
              </w:rPr>
            </w:pPr>
            <w:r w:rsidRPr="00C7774A">
              <w:rPr>
                <w:rFonts w:asciiTheme="minorHAnsi" w:hAnsiTheme="minorHAnsi" w:cstheme="minorHAnsi"/>
                <w:b/>
                <w:color w:val="FFFFFF" w:themeColor="background1"/>
                <w:sz w:val="22"/>
                <w:szCs w:val="22"/>
              </w:rPr>
              <w:t>Total</w:t>
            </w:r>
          </w:p>
          <w:p w:rsidR="00ED1B2A" w:rsidRPr="00C7774A" w:rsidRDefault="00ED1B2A" w:rsidP="00AF29E5">
            <w:pPr>
              <w:pStyle w:val="ListParagraph"/>
              <w:tabs>
                <w:tab w:val="left" w:pos="180"/>
              </w:tabs>
              <w:ind w:left="0"/>
              <w:rPr>
                <w:rFonts w:asciiTheme="minorHAnsi" w:hAnsiTheme="minorHAnsi" w:cstheme="minorHAnsi"/>
                <w:b/>
                <w:color w:val="FFFFFF" w:themeColor="background1"/>
                <w:sz w:val="22"/>
                <w:szCs w:val="22"/>
              </w:rPr>
            </w:pPr>
            <w:r w:rsidRPr="00C7774A">
              <w:rPr>
                <w:rFonts w:asciiTheme="minorHAnsi" w:hAnsiTheme="minorHAnsi" w:cstheme="minorHAnsi"/>
                <w:b/>
                <w:color w:val="FFFFFF" w:themeColor="background1"/>
                <w:sz w:val="22"/>
                <w:szCs w:val="22"/>
              </w:rPr>
              <w:t>Hour Burden</w:t>
            </w:r>
          </w:p>
        </w:tc>
      </w:tr>
      <w:tr w:rsidR="00ED1B2A" w:rsidRPr="00C7774A" w:rsidTr="0040436F">
        <w:trPr>
          <w:trHeight w:val="547"/>
        </w:trPr>
        <w:tc>
          <w:tcPr>
            <w:tcW w:w="1920" w:type="dxa"/>
            <w:shd w:val="clear" w:color="auto" w:fill="E5DFEC" w:themeFill="accent4" w:themeFillTint="33"/>
            <w:vAlign w:val="bottom"/>
          </w:tcPr>
          <w:p w:rsidR="00ED1B2A" w:rsidRPr="00C7774A" w:rsidRDefault="00ED1B2A" w:rsidP="00AF29E5">
            <w:pPr>
              <w:pStyle w:val="ListParagraph"/>
              <w:tabs>
                <w:tab w:val="left" w:pos="180"/>
              </w:tabs>
              <w:ind w:left="0"/>
              <w:rPr>
                <w:rFonts w:asciiTheme="minorHAnsi" w:hAnsiTheme="minorHAnsi" w:cstheme="minorHAnsi"/>
                <w:sz w:val="22"/>
                <w:szCs w:val="22"/>
              </w:rPr>
            </w:pPr>
            <w:r w:rsidRPr="00C7774A">
              <w:rPr>
                <w:rFonts w:asciiTheme="minorHAnsi" w:hAnsiTheme="minorHAnsi" w:cstheme="minorHAnsi"/>
                <w:sz w:val="22"/>
                <w:szCs w:val="22"/>
              </w:rPr>
              <w:t>LOI2-QUEX-14</w:t>
            </w:r>
          </w:p>
        </w:tc>
        <w:tc>
          <w:tcPr>
            <w:tcW w:w="2070" w:type="dxa"/>
            <w:shd w:val="clear" w:color="auto" w:fill="E5DFEC" w:themeFill="accent4" w:themeFillTint="33"/>
            <w:vAlign w:val="bottom"/>
          </w:tcPr>
          <w:p w:rsidR="00ED1B2A" w:rsidRPr="00C7774A" w:rsidRDefault="00ED1B2A" w:rsidP="00AF29E5">
            <w:pPr>
              <w:pStyle w:val="ListParagraph"/>
              <w:tabs>
                <w:tab w:val="left" w:pos="180"/>
              </w:tabs>
              <w:ind w:left="0"/>
              <w:rPr>
                <w:rFonts w:asciiTheme="minorHAnsi" w:hAnsiTheme="minorHAnsi" w:cstheme="minorHAnsi"/>
                <w:sz w:val="22"/>
                <w:szCs w:val="22"/>
              </w:rPr>
            </w:pPr>
            <w:r w:rsidRPr="00C7774A">
              <w:rPr>
                <w:rFonts w:asciiTheme="minorHAnsi" w:hAnsiTheme="minorHAnsi" w:cstheme="minorHAnsi"/>
                <w:sz w:val="22"/>
                <w:szCs w:val="22"/>
              </w:rPr>
              <w:t>“Dietary Assessment in Young Infants and Children”</w:t>
            </w:r>
          </w:p>
        </w:tc>
        <w:tc>
          <w:tcPr>
            <w:tcW w:w="1440" w:type="dxa"/>
            <w:shd w:val="clear" w:color="auto" w:fill="E5DFEC" w:themeFill="accent4" w:themeFillTint="33"/>
            <w:vAlign w:val="bottom"/>
          </w:tcPr>
          <w:p w:rsidR="00ED1B2A" w:rsidRPr="00C7774A" w:rsidRDefault="00ED1B2A" w:rsidP="00AF29E5">
            <w:pPr>
              <w:pStyle w:val="ListParagraph"/>
              <w:tabs>
                <w:tab w:val="left" w:pos="180"/>
              </w:tabs>
              <w:ind w:left="0"/>
              <w:rPr>
                <w:rFonts w:asciiTheme="minorHAnsi" w:hAnsiTheme="minorHAnsi" w:cstheme="minorHAnsi"/>
                <w:sz w:val="22"/>
                <w:szCs w:val="22"/>
              </w:rPr>
            </w:pPr>
            <w:r w:rsidRPr="00C7774A">
              <w:rPr>
                <w:rFonts w:asciiTheme="minorHAnsi" w:hAnsiTheme="minorHAnsi" w:cstheme="minorHAnsi"/>
                <w:sz w:val="22"/>
                <w:szCs w:val="22"/>
              </w:rPr>
              <w:t>Mother / Child / Infant</w:t>
            </w:r>
          </w:p>
        </w:tc>
        <w:tc>
          <w:tcPr>
            <w:tcW w:w="1440" w:type="dxa"/>
            <w:shd w:val="clear" w:color="auto" w:fill="E5DFEC" w:themeFill="accent4" w:themeFillTint="33"/>
            <w:vAlign w:val="bottom"/>
          </w:tcPr>
          <w:p w:rsidR="00ED1B2A" w:rsidRPr="00C7774A" w:rsidRDefault="00ED1B2A" w:rsidP="00AF29E5">
            <w:pPr>
              <w:pStyle w:val="ListParagraph"/>
              <w:tabs>
                <w:tab w:val="left" w:pos="180"/>
              </w:tabs>
              <w:ind w:left="0"/>
              <w:rPr>
                <w:rFonts w:asciiTheme="minorHAnsi" w:hAnsiTheme="minorHAnsi" w:cstheme="minorHAnsi"/>
                <w:sz w:val="22"/>
                <w:szCs w:val="22"/>
              </w:rPr>
            </w:pPr>
            <w:r w:rsidRPr="00C7774A">
              <w:rPr>
                <w:rFonts w:asciiTheme="minorHAnsi" w:hAnsiTheme="minorHAnsi" w:cstheme="minorHAnsi"/>
                <w:sz w:val="22"/>
                <w:szCs w:val="22"/>
              </w:rPr>
              <w:t>610</w:t>
            </w:r>
          </w:p>
        </w:tc>
        <w:tc>
          <w:tcPr>
            <w:tcW w:w="1440" w:type="dxa"/>
            <w:shd w:val="clear" w:color="auto" w:fill="E5DFEC" w:themeFill="accent4" w:themeFillTint="33"/>
            <w:vAlign w:val="bottom"/>
          </w:tcPr>
          <w:p w:rsidR="00ED1B2A" w:rsidRPr="00C7774A" w:rsidRDefault="00ED1B2A" w:rsidP="00AF29E5">
            <w:pPr>
              <w:pStyle w:val="ListParagraph"/>
              <w:tabs>
                <w:tab w:val="left" w:pos="180"/>
              </w:tabs>
              <w:ind w:left="0"/>
              <w:rPr>
                <w:rFonts w:asciiTheme="minorHAnsi" w:hAnsiTheme="minorHAnsi" w:cstheme="minorHAnsi"/>
                <w:sz w:val="22"/>
                <w:szCs w:val="22"/>
              </w:rPr>
            </w:pPr>
            <w:r w:rsidRPr="00C7774A">
              <w:rPr>
                <w:rFonts w:asciiTheme="minorHAnsi" w:hAnsiTheme="minorHAnsi" w:cstheme="minorHAnsi"/>
                <w:sz w:val="22"/>
                <w:szCs w:val="22"/>
              </w:rPr>
              <w:t>14</w:t>
            </w:r>
          </w:p>
        </w:tc>
        <w:tc>
          <w:tcPr>
            <w:tcW w:w="1166" w:type="dxa"/>
            <w:shd w:val="clear" w:color="auto" w:fill="E5DFEC" w:themeFill="accent4" w:themeFillTint="33"/>
            <w:vAlign w:val="bottom"/>
          </w:tcPr>
          <w:p w:rsidR="00ED1B2A" w:rsidRPr="00C7774A" w:rsidRDefault="00ED1B2A" w:rsidP="00AF29E5">
            <w:pPr>
              <w:pStyle w:val="ListParagraph"/>
              <w:tabs>
                <w:tab w:val="left" w:pos="180"/>
              </w:tabs>
              <w:ind w:left="0"/>
              <w:rPr>
                <w:rFonts w:asciiTheme="minorHAnsi" w:hAnsiTheme="minorHAnsi" w:cstheme="minorHAnsi"/>
                <w:sz w:val="22"/>
                <w:szCs w:val="22"/>
              </w:rPr>
            </w:pPr>
            <w:r w:rsidRPr="00C7774A">
              <w:rPr>
                <w:rFonts w:asciiTheme="minorHAnsi" w:hAnsiTheme="minorHAnsi" w:cstheme="minorHAnsi"/>
                <w:sz w:val="22"/>
                <w:szCs w:val="22"/>
              </w:rPr>
              <w:t>9 / 60</w:t>
            </w:r>
          </w:p>
        </w:tc>
        <w:tc>
          <w:tcPr>
            <w:tcW w:w="904" w:type="dxa"/>
            <w:shd w:val="clear" w:color="auto" w:fill="E5DFEC" w:themeFill="accent4" w:themeFillTint="33"/>
            <w:vAlign w:val="bottom"/>
          </w:tcPr>
          <w:p w:rsidR="00ED1B2A" w:rsidRPr="00C7774A" w:rsidRDefault="00ED1B2A" w:rsidP="00AF29E5">
            <w:pPr>
              <w:pStyle w:val="ListParagraph"/>
              <w:ind w:left="0"/>
              <w:rPr>
                <w:rFonts w:asciiTheme="minorHAnsi" w:hAnsiTheme="minorHAnsi" w:cstheme="minorHAnsi"/>
                <w:sz w:val="22"/>
                <w:szCs w:val="22"/>
              </w:rPr>
            </w:pPr>
            <w:r w:rsidRPr="00C7774A">
              <w:rPr>
                <w:rFonts w:asciiTheme="minorHAnsi" w:hAnsiTheme="minorHAnsi" w:cstheme="minorHAnsi"/>
                <w:sz w:val="22"/>
                <w:szCs w:val="22"/>
              </w:rPr>
              <w:t>1,322</w:t>
            </w:r>
          </w:p>
        </w:tc>
      </w:tr>
      <w:tr w:rsidR="00ED1B2A" w:rsidRPr="00C7774A" w:rsidTr="0040436F">
        <w:tc>
          <w:tcPr>
            <w:tcW w:w="1920" w:type="dxa"/>
            <w:shd w:val="clear" w:color="auto" w:fill="E5DFEC" w:themeFill="accent4" w:themeFillTint="33"/>
            <w:vAlign w:val="bottom"/>
          </w:tcPr>
          <w:p w:rsidR="00ED1B2A" w:rsidRPr="00C7774A" w:rsidRDefault="00ED1B2A" w:rsidP="00AF29E5">
            <w:pPr>
              <w:pStyle w:val="ListParagraph"/>
              <w:tabs>
                <w:tab w:val="left" w:pos="180"/>
              </w:tabs>
              <w:ind w:left="0"/>
              <w:rPr>
                <w:rFonts w:asciiTheme="minorHAnsi" w:hAnsiTheme="minorHAnsi" w:cstheme="minorHAnsi"/>
                <w:sz w:val="22"/>
                <w:szCs w:val="22"/>
              </w:rPr>
            </w:pPr>
            <w:r w:rsidRPr="00C7774A">
              <w:rPr>
                <w:rFonts w:asciiTheme="minorHAnsi" w:hAnsiTheme="minorHAnsi" w:cstheme="minorHAnsi"/>
                <w:sz w:val="22"/>
                <w:szCs w:val="22"/>
              </w:rPr>
              <w:t>PBS BV First Specimen Collection</w:t>
            </w:r>
          </w:p>
        </w:tc>
        <w:tc>
          <w:tcPr>
            <w:tcW w:w="2070" w:type="dxa"/>
            <w:shd w:val="clear" w:color="auto" w:fill="E5DFEC" w:themeFill="accent4" w:themeFillTint="33"/>
            <w:vAlign w:val="bottom"/>
          </w:tcPr>
          <w:p w:rsidR="00ED1B2A" w:rsidRPr="00C7774A" w:rsidRDefault="00ED1B2A" w:rsidP="00AF29E5">
            <w:pPr>
              <w:pStyle w:val="ListParagraph"/>
              <w:tabs>
                <w:tab w:val="left" w:pos="180"/>
              </w:tabs>
              <w:ind w:left="0"/>
              <w:rPr>
                <w:rFonts w:asciiTheme="minorHAnsi" w:hAnsiTheme="minorHAnsi" w:cstheme="minorHAnsi"/>
                <w:sz w:val="22"/>
                <w:szCs w:val="22"/>
              </w:rPr>
            </w:pPr>
            <w:r w:rsidRPr="00C7774A">
              <w:rPr>
                <w:rFonts w:asciiTheme="minorHAnsi" w:hAnsiTheme="minorHAnsi" w:cstheme="minorHAnsi"/>
                <w:sz w:val="22"/>
                <w:szCs w:val="22"/>
              </w:rPr>
              <w:t>“Biospecimen Collection at Birth Visit in PBS Hospital-Based Cohort”</w:t>
            </w:r>
          </w:p>
        </w:tc>
        <w:tc>
          <w:tcPr>
            <w:tcW w:w="1440" w:type="dxa"/>
            <w:shd w:val="clear" w:color="auto" w:fill="E5DFEC" w:themeFill="accent4" w:themeFillTint="33"/>
            <w:vAlign w:val="bottom"/>
          </w:tcPr>
          <w:p w:rsidR="00ED1B2A" w:rsidRPr="00C7774A" w:rsidRDefault="00ED1B2A" w:rsidP="00AF29E5">
            <w:pPr>
              <w:pStyle w:val="ListParagraph"/>
              <w:tabs>
                <w:tab w:val="left" w:pos="180"/>
              </w:tabs>
              <w:ind w:left="0"/>
              <w:rPr>
                <w:rFonts w:asciiTheme="minorHAnsi" w:hAnsiTheme="minorHAnsi" w:cstheme="minorHAnsi"/>
                <w:sz w:val="22"/>
                <w:szCs w:val="22"/>
              </w:rPr>
            </w:pPr>
            <w:r w:rsidRPr="00C7774A">
              <w:rPr>
                <w:rFonts w:asciiTheme="minorHAnsi" w:hAnsiTheme="minorHAnsi" w:cstheme="minorHAnsi"/>
                <w:sz w:val="22"/>
                <w:szCs w:val="22"/>
              </w:rPr>
              <w:t xml:space="preserve">Mother / </w:t>
            </w:r>
            <w:r w:rsidR="007838CD" w:rsidRPr="00C7774A">
              <w:rPr>
                <w:rFonts w:asciiTheme="minorHAnsi" w:hAnsiTheme="minorHAnsi" w:cstheme="minorHAnsi"/>
                <w:sz w:val="22"/>
                <w:szCs w:val="22"/>
              </w:rPr>
              <w:t xml:space="preserve">Infant / </w:t>
            </w:r>
            <w:r w:rsidRPr="00C7774A">
              <w:rPr>
                <w:rFonts w:asciiTheme="minorHAnsi" w:hAnsiTheme="minorHAnsi" w:cstheme="minorHAnsi"/>
                <w:sz w:val="22"/>
                <w:szCs w:val="22"/>
              </w:rPr>
              <w:t>Hospital Staff</w:t>
            </w:r>
          </w:p>
        </w:tc>
        <w:tc>
          <w:tcPr>
            <w:tcW w:w="1440" w:type="dxa"/>
            <w:shd w:val="clear" w:color="auto" w:fill="E5DFEC" w:themeFill="accent4" w:themeFillTint="33"/>
            <w:vAlign w:val="bottom"/>
          </w:tcPr>
          <w:p w:rsidR="00ED1B2A" w:rsidRPr="00C7774A" w:rsidRDefault="00AD492B" w:rsidP="00AF29E5">
            <w:pPr>
              <w:pStyle w:val="ListParagraph"/>
              <w:tabs>
                <w:tab w:val="left" w:pos="180"/>
              </w:tabs>
              <w:ind w:left="0"/>
              <w:rPr>
                <w:rFonts w:asciiTheme="minorHAnsi" w:hAnsiTheme="minorHAnsi" w:cstheme="minorHAnsi"/>
                <w:sz w:val="22"/>
                <w:szCs w:val="22"/>
              </w:rPr>
            </w:pPr>
            <w:r w:rsidRPr="00C7774A">
              <w:rPr>
                <w:rFonts w:asciiTheme="minorHAnsi" w:hAnsiTheme="minorHAnsi" w:cstheme="minorHAnsi"/>
                <w:sz w:val="22"/>
                <w:szCs w:val="22"/>
              </w:rPr>
              <w:t>3</w:t>
            </w:r>
            <w:r w:rsidR="00ED1B2A" w:rsidRPr="00C7774A">
              <w:rPr>
                <w:rFonts w:asciiTheme="minorHAnsi" w:hAnsiTheme="minorHAnsi" w:cstheme="minorHAnsi"/>
                <w:sz w:val="22"/>
                <w:szCs w:val="22"/>
              </w:rPr>
              <w:t>00</w:t>
            </w:r>
          </w:p>
        </w:tc>
        <w:tc>
          <w:tcPr>
            <w:tcW w:w="1440" w:type="dxa"/>
            <w:shd w:val="clear" w:color="auto" w:fill="E5DFEC" w:themeFill="accent4" w:themeFillTint="33"/>
            <w:vAlign w:val="bottom"/>
          </w:tcPr>
          <w:p w:rsidR="00ED1B2A" w:rsidRPr="00C7774A" w:rsidRDefault="00AA2BD3" w:rsidP="00AF29E5">
            <w:pPr>
              <w:pStyle w:val="ListParagraph"/>
              <w:tabs>
                <w:tab w:val="left" w:pos="180"/>
              </w:tabs>
              <w:ind w:left="0"/>
              <w:rPr>
                <w:rFonts w:asciiTheme="minorHAnsi" w:hAnsiTheme="minorHAnsi" w:cstheme="minorHAnsi"/>
                <w:sz w:val="22"/>
                <w:szCs w:val="22"/>
              </w:rPr>
            </w:pPr>
            <w:r>
              <w:rPr>
                <w:rFonts w:asciiTheme="minorHAnsi" w:hAnsiTheme="minorHAnsi" w:cstheme="minorHAnsi"/>
                <w:sz w:val="22"/>
                <w:szCs w:val="22"/>
              </w:rPr>
              <w:t>1</w:t>
            </w:r>
            <w:r w:rsidR="00537DE7">
              <w:rPr>
                <w:rFonts w:asciiTheme="minorHAnsi" w:hAnsiTheme="minorHAnsi" w:cstheme="minorHAnsi"/>
                <w:sz w:val="22"/>
                <w:szCs w:val="22"/>
              </w:rPr>
              <w:t>.33</w:t>
            </w:r>
          </w:p>
        </w:tc>
        <w:tc>
          <w:tcPr>
            <w:tcW w:w="1166" w:type="dxa"/>
            <w:shd w:val="clear" w:color="auto" w:fill="E5DFEC" w:themeFill="accent4" w:themeFillTint="33"/>
            <w:vAlign w:val="bottom"/>
          </w:tcPr>
          <w:p w:rsidR="00ED1B2A" w:rsidRPr="00C7774A" w:rsidRDefault="0058720A" w:rsidP="00AF29E5">
            <w:pPr>
              <w:pStyle w:val="ListParagraph"/>
              <w:tabs>
                <w:tab w:val="left" w:pos="180"/>
              </w:tabs>
              <w:ind w:left="0"/>
              <w:rPr>
                <w:rFonts w:asciiTheme="minorHAnsi" w:hAnsiTheme="minorHAnsi" w:cstheme="minorHAnsi"/>
                <w:sz w:val="22"/>
                <w:szCs w:val="22"/>
              </w:rPr>
            </w:pPr>
            <w:r>
              <w:rPr>
                <w:rFonts w:asciiTheme="minorHAnsi" w:hAnsiTheme="minorHAnsi" w:cstheme="minorHAnsi"/>
                <w:sz w:val="22"/>
                <w:szCs w:val="22"/>
              </w:rPr>
              <w:t>1</w:t>
            </w:r>
            <w:r w:rsidR="00ED1B2A" w:rsidRPr="00C7774A">
              <w:rPr>
                <w:rFonts w:asciiTheme="minorHAnsi" w:hAnsiTheme="minorHAnsi" w:cstheme="minorHAnsi"/>
                <w:sz w:val="22"/>
                <w:szCs w:val="22"/>
              </w:rPr>
              <w:t>8 / 60</w:t>
            </w:r>
          </w:p>
        </w:tc>
        <w:tc>
          <w:tcPr>
            <w:tcW w:w="904" w:type="dxa"/>
            <w:shd w:val="clear" w:color="auto" w:fill="E5DFEC" w:themeFill="accent4" w:themeFillTint="33"/>
            <w:vAlign w:val="bottom"/>
          </w:tcPr>
          <w:p w:rsidR="00ED1B2A" w:rsidRPr="00C7774A" w:rsidRDefault="00AA2BD3" w:rsidP="00AF29E5">
            <w:pPr>
              <w:pStyle w:val="ListParagraph"/>
              <w:tabs>
                <w:tab w:val="left" w:pos="180"/>
              </w:tabs>
              <w:ind w:left="0"/>
              <w:rPr>
                <w:rFonts w:asciiTheme="minorHAnsi" w:hAnsiTheme="minorHAnsi" w:cstheme="minorHAnsi"/>
                <w:sz w:val="22"/>
                <w:szCs w:val="22"/>
              </w:rPr>
            </w:pPr>
            <w:r>
              <w:rPr>
                <w:rFonts w:asciiTheme="minorHAnsi" w:hAnsiTheme="minorHAnsi" w:cstheme="minorHAnsi"/>
                <w:sz w:val="22"/>
                <w:szCs w:val="22"/>
              </w:rPr>
              <w:t>1</w:t>
            </w:r>
            <w:r w:rsidR="0058720A">
              <w:rPr>
                <w:rFonts w:asciiTheme="minorHAnsi" w:hAnsiTheme="minorHAnsi" w:cstheme="minorHAnsi"/>
                <w:sz w:val="22"/>
                <w:szCs w:val="22"/>
              </w:rPr>
              <w:t>2</w:t>
            </w:r>
            <w:r w:rsidR="006A1371">
              <w:rPr>
                <w:rFonts w:asciiTheme="minorHAnsi" w:hAnsiTheme="minorHAnsi" w:cstheme="minorHAnsi"/>
                <w:sz w:val="22"/>
                <w:szCs w:val="22"/>
              </w:rPr>
              <w:t>0</w:t>
            </w:r>
          </w:p>
        </w:tc>
      </w:tr>
    </w:tbl>
    <w:p w:rsidR="004864B8" w:rsidRPr="00C7774A" w:rsidRDefault="004864B8" w:rsidP="00EA63CD">
      <w:pPr>
        <w:pStyle w:val="ListParagraph"/>
        <w:tabs>
          <w:tab w:val="left" w:pos="180"/>
        </w:tabs>
        <w:ind w:left="0"/>
        <w:rPr>
          <w:rFonts w:asciiTheme="minorHAnsi" w:hAnsiTheme="minorHAnsi" w:cstheme="minorHAnsi"/>
          <w:sz w:val="22"/>
          <w:szCs w:val="22"/>
        </w:rPr>
      </w:pPr>
    </w:p>
    <w:sectPr w:rsidR="004864B8" w:rsidRPr="00C7774A" w:rsidSect="006F404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37" w:rsidRDefault="00C77A37" w:rsidP="00E97CB9">
      <w:r>
        <w:separator/>
      </w:r>
    </w:p>
  </w:endnote>
  <w:endnote w:type="continuationSeparator" w:id="0">
    <w:p w:rsidR="00C77A37" w:rsidRDefault="00C77A37" w:rsidP="00E9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081532"/>
      <w:docPartObj>
        <w:docPartGallery w:val="Page Numbers (Bottom of Page)"/>
        <w:docPartUnique/>
      </w:docPartObj>
    </w:sdtPr>
    <w:sdtEndPr/>
    <w:sdtContent>
      <w:p w:rsidR="00C77A37" w:rsidRDefault="00C77A37">
        <w:pPr>
          <w:pStyle w:val="Footer"/>
          <w:jc w:val="center"/>
        </w:pPr>
        <w:r>
          <w:fldChar w:fldCharType="begin"/>
        </w:r>
        <w:r>
          <w:instrText xml:space="preserve"> PAGE   \* MERGEFORMAT </w:instrText>
        </w:r>
        <w:r>
          <w:fldChar w:fldCharType="separate"/>
        </w:r>
        <w:r w:rsidR="008D51A5">
          <w:rPr>
            <w:noProof/>
          </w:rPr>
          <w:t>1</w:t>
        </w:r>
        <w:r>
          <w:rPr>
            <w:noProof/>
          </w:rPr>
          <w:fldChar w:fldCharType="end"/>
        </w:r>
      </w:p>
    </w:sdtContent>
  </w:sdt>
  <w:p w:rsidR="00C77A37" w:rsidRDefault="00C77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37" w:rsidRDefault="00C77A37" w:rsidP="00E97CB9">
      <w:r>
        <w:separator/>
      </w:r>
    </w:p>
  </w:footnote>
  <w:footnote w:type="continuationSeparator" w:id="0">
    <w:p w:rsidR="00C77A37" w:rsidRDefault="00C77A37" w:rsidP="00E97CB9">
      <w:r>
        <w:continuationSeparator/>
      </w:r>
    </w:p>
  </w:footnote>
  <w:footnote w:id="1">
    <w:p w:rsidR="00C77A37" w:rsidRPr="00DB6681" w:rsidRDefault="00C77A37">
      <w:pPr>
        <w:pStyle w:val="FootnoteText"/>
        <w:rPr>
          <w:sz w:val="16"/>
          <w:szCs w:val="16"/>
        </w:rPr>
      </w:pPr>
      <w:proofErr w:type="gramStart"/>
      <w:r w:rsidRPr="00FE3693">
        <w:rPr>
          <w:sz w:val="16"/>
          <w:szCs w:val="16"/>
          <w:vertAlign w:val="superscript"/>
        </w:rPr>
        <w:t>1</w:t>
      </w:r>
      <w:hyperlink r:id="rId1" w:history="1">
        <w:r w:rsidRPr="00DB6681">
          <w:rPr>
            <w:rStyle w:val="Hyperlink"/>
            <w:sz w:val="16"/>
            <w:szCs w:val="16"/>
          </w:rPr>
          <w:t>http://www.nlm.nih.gov/medlineplus/ency/article/001488.htm</w:t>
        </w:r>
      </w:hyperlink>
      <w:r w:rsidRPr="00DB6681">
        <w:rPr>
          <w:sz w:val="16"/>
          <w:szCs w:val="16"/>
        </w:rPr>
        <w:t>.</w:t>
      </w:r>
      <w:proofErr w:type="gramEnd"/>
    </w:p>
  </w:footnote>
  <w:footnote w:id="2">
    <w:p w:rsidR="00C77A37" w:rsidRPr="00DB6681" w:rsidRDefault="00C77A37">
      <w:pPr>
        <w:pStyle w:val="FootnoteText"/>
        <w:rPr>
          <w:sz w:val="16"/>
          <w:szCs w:val="16"/>
        </w:rPr>
      </w:pPr>
      <w:r w:rsidRPr="00DB6681">
        <w:rPr>
          <w:rStyle w:val="FootnoteReference"/>
          <w:sz w:val="16"/>
          <w:szCs w:val="16"/>
        </w:rPr>
        <w:footnoteRef/>
      </w:r>
      <w:r w:rsidRPr="00DB6681">
        <w:rPr>
          <w:sz w:val="16"/>
          <w:szCs w:val="16"/>
        </w:rPr>
        <w:t xml:space="preserve"> </w:t>
      </w:r>
      <w:hyperlink r:id="rId2" w:history="1">
        <w:r w:rsidRPr="00DB6681">
          <w:rPr>
            <w:rStyle w:val="Hyperlink"/>
            <w:sz w:val="16"/>
            <w:szCs w:val="16"/>
          </w:rPr>
          <w:t>http://www.cdc.gov/nchs/data/databriefs/db16.htm</w:t>
        </w:r>
      </w:hyperlink>
      <w:r w:rsidRPr="00DB6681">
        <w:rPr>
          <w:sz w:val="16"/>
          <w:szCs w:val="16"/>
        </w:rPr>
        <w:t>.</w:t>
      </w:r>
    </w:p>
  </w:footnote>
  <w:footnote w:id="3">
    <w:p w:rsidR="00C77A37" w:rsidRPr="00DB6681" w:rsidRDefault="00C77A37">
      <w:pPr>
        <w:pStyle w:val="FootnoteText"/>
        <w:rPr>
          <w:sz w:val="16"/>
          <w:szCs w:val="16"/>
        </w:rPr>
      </w:pPr>
      <w:r w:rsidRPr="00DB6681">
        <w:rPr>
          <w:rStyle w:val="FootnoteReference"/>
          <w:sz w:val="16"/>
          <w:szCs w:val="16"/>
        </w:rPr>
        <w:footnoteRef/>
      </w:r>
      <w:r w:rsidRPr="00DB6681">
        <w:rPr>
          <w:sz w:val="16"/>
          <w:szCs w:val="16"/>
        </w:rPr>
        <w:t xml:space="preserve"> </w:t>
      </w:r>
      <w:hyperlink r:id="rId3" w:history="1">
        <w:r w:rsidRPr="00DB6681">
          <w:rPr>
            <w:rStyle w:val="Hyperlink"/>
            <w:sz w:val="16"/>
            <w:szCs w:val="16"/>
          </w:rPr>
          <w:t>http://esa.un.org/unpd/wpp/Excel-Data/mortality.htm</w:t>
        </w:r>
      </w:hyperlink>
      <w:r w:rsidRPr="00DB6681">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37B"/>
    <w:multiLevelType w:val="hybridMultilevel"/>
    <w:tmpl w:val="FF6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E0E8B"/>
    <w:multiLevelType w:val="hybridMultilevel"/>
    <w:tmpl w:val="D21E8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0208AC"/>
    <w:multiLevelType w:val="hybridMultilevel"/>
    <w:tmpl w:val="E962076C"/>
    <w:lvl w:ilvl="0" w:tplc="8A567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B62D1"/>
    <w:multiLevelType w:val="hybridMultilevel"/>
    <w:tmpl w:val="961A0D2E"/>
    <w:lvl w:ilvl="0" w:tplc="141A75C6">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31C29"/>
    <w:multiLevelType w:val="hybridMultilevel"/>
    <w:tmpl w:val="1CE0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3402E"/>
    <w:multiLevelType w:val="hybridMultilevel"/>
    <w:tmpl w:val="CFF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A5E44"/>
    <w:multiLevelType w:val="hybridMultilevel"/>
    <w:tmpl w:val="4E3A5C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7AE6805"/>
    <w:multiLevelType w:val="hybridMultilevel"/>
    <w:tmpl w:val="C3A2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BF6271"/>
    <w:multiLevelType w:val="hybridMultilevel"/>
    <w:tmpl w:val="1206E3C2"/>
    <w:lvl w:ilvl="0" w:tplc="7B469E6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C34FAC"/>
    <w:multiLevelType w:val="hybridMultilevel"/>
    <w:tmpl w:val="8DDEF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1F2AC3"/>
    <w:multiLevelType w:val="hybridMultilevel"/>
    <w:tmpl w:val="D23E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525EA4"/>
    <w:multiLevelType w:val="hybridMultilevel"/>
    <w:tmpl w:val="40509F76"/>
    <w:lvl w:ilvl="0" w:tplc="281E687E">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431D1A"/>
    <w:multiLevelType w:val="hybridMultilevel"/>
    <w:tmpl w:val="A8EE61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6476A6"/>
    <w:multiLevelType w:val="hybridMultilevel"/>
    <w:tmpl w:val="670EFC32"/>
    <w:lvl w:ilvl="0" w:tplc="E9CE366E">
      <w:start w:val="1"/>
      <w:numFmt w:val="upperLetter"/>
      <w:lvlText w:val="%1.1."/>
      <w:lvlJc w:val="left"/>
      <w:pPr>
        <w:tabs>
          <w:tab w:val="num" w:pos="630"/>
        </w:tabs>
        <w:ind w:left="63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FD7761"/>
    <w:multiLevelType w:val="hybridMultilevel"/>
    <w:tmpl w:val="CBE23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37D68"/>
    <w:multiLevelType w:val="hybridMultilevel"/>
    <w:tmpl w:val="0C9C0E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C417FB"/>
    <w:multiLevelType w:val="hybridMultilevel"/>
    <w:tmpl w:val="B4C0ACD0"/>
    <w:lvl w:ilvl="0" w:tplc="4E0A4BF0">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A00546"/>
    <w:multiLevelType w:val="hybridMultilevel"/>
    <w:tmpl w:val="E81E55DA"/>
    <w:lvl w:ilvl="0" w:tplc="A762D9BE">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8345E"/>
    <w:multiLevelType w:val="hybridMultilevel"/>
    <w:tmpl w:val="964A0DF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63947D4C"/>
    <w:multiLevelType w:val="hybridMultilevel"/>
    <w:tmpl w:val="E6AAB3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4665851"/>
    <w:multiLevelType w:val="hybridMultilevel"/>
    <w:tmpl w:val="FE721BD2"/>
    <w:lvl w:ilvl="0" w:tplc="0A220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30733E"/>
    <w:multiLevelType w:val="hybridMultilevel"/>
    <w:tmpl w:val="3F0635F6"/>
    <w:lvl w:ilvl="0" w:tplc="7B68E2B8">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967C9"/>
    <w:multiLevelType w:val="hybridMultilevel"/>
    <w:tmpl w:val="41C2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EA1261"/>
    <w:multiLevelType w:val="hybridMultilevel"/>
    <w:tmpl w:val="2F842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3F36D5"/>
    <w:multiLevelType w:val="hybridMultilevel"/>
    <w:tmpl w:val="33DE3360"/>
    <w:lvl w:ilvl="0" w:tplc="0204CDA2">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02730E"/>
    <w:multiLevelType w:val="hybridMultilevel"/>
    <w:tmpl w:val="48E4C8CA"/>
    <w:lvl w:ilvl="0" w:tplc="0409000F">
      <w:start w:val="1"/>
      <w:numFmt w:val="decimal"/>
      <w:lvlText w:val="%1."/>
      <w:lvlJc w:val="left"/>
      <w:pPr>
        <w:ind w:left="824" w:hanging="360"/>
      </w:pPr>
      <w:rPr>
        <w:rFont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nsid w:val="791B601C"/>
    <w:multiLevelType w:val="hybridMultilevel"/>
    <w:tmpl w:val="997CA1BA"/>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7">
    <w:nsid w:val="7DF62456"/>
    <w:multiLevelType w:val="hybridMultilevel"/>
    <w:tmpl w:val="069CF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320660"/>
    <w:multiLevelType w:val="hybridMultilevel"/>
    <w:tmpl w:val="7782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20"/>
  </w:num>
  <w:num w:numId="4">
    <w:abstractNumId w:val="24"/>
  </w:num>
  <w:num w:numId="5">
    <w:abstractNumId w:val="21"/>
  </w:num>
  <w:num w:numId="6">
    <w:abstractNumId w:val="17"/>
  </w:num>
  <w:num w:numId="7">
    <w:abstractNumId w:val="3"/>
  </w:num>
  <w:num w:numId="8">
    <w:abstractNumId w:val="7"/>
  </w:num>
  <w:num w:numId="9">
    <w:abstractNumId w:val="12"/>
  </w:num>
  <w:num w:numId="10">
    <w:abstractNumId w:val="0"/>
  </w:num>
  <w:num w:numId="11">
    <w:abstractNumId w:val="22"/>
  </w:num>
  <w:num w:numId="12">
    <w:abstractNumId w:val="28"/>
  </w:num>
  <w:num w:numId="13">
    <w:abstractNumId w:val="19"/>
  </w:num>
  <w:num w:numId="14">
    <w:abstractNumId w:val="14"/>
  </w:num>
  <w:num w:numId="15">
    <w:abstractNumId w:val="8"/>
  </w:num>
  <w:num w:numId="16">
    <w:abstractNumId w:val="16"/>
  </w:num>
  <w:num w:numId="17">
    <w:abstractNumId w:val="11"/>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3"/>
  </w:num>
  <w:num w:numId="21">
    <w:abstractNumId w:val="5"/>
  </w:num>
  <w:num w:numId="22">
    <w:abstractNumId w:val="1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
  </w:num>
  <w:num w:numId="26">
    <w:abstractNumId w:val="4"/>
  </w:num>
  <w:num w:numId="27">
    <w:abstractNumId w:val="26"/>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047"/>
    <w:rsid w:val="000003F0"/>
    <w:rsid w:val="0000185E"/>
    <w:rsid w:val="0000264A"/>
    <w:rsid w:val="000026CF"/>
    <w:rsid w:val="00005C48"/>
    <w:rsid w:val="00006600"/>
    <w:rsid w:val="0001027E"/>
    <w:rsid w:val="00014A71"/>
    <w:rsid w:val="00014BB0"/>
    <w:rsid w:val="00015447"/>
    <w:rsid w:val="000163D0"/>
    <w:rsid w:val="00020150"/>
    <w:rsid w:val="00020BB2"/>
    <w:rsid w:val="00023788"/>
    <w:rsid w:val="00027DE0"/>
    <w:rsid w:val="000301C9"/>
    <w:rsid w:val="000305D0"/>
    <w:rsid w:val="000305F7"/>
    <w:rsid w:val="00032333"/>
    <w:rsid w:val="00033310"/>
    <w:rsid w:val="000356FB"/>
    <w:rsid w:val="00044577"/>
    <w:rsid w:val="00045B4D"/>
    <w:rsid w:val="00047A6C"/>
    <w:rsid w:val="00050D48"/>
    <w:rsid w:val="0005247E"/>
    <w:rsid w:val="000532FD"/>
    <w:rsid w:val="00053E4C"/>
    <w:rsid w:val="00056AC1"/>
    <w:rsid w:val="00060070"/>
    <w:rsid w:val="00075694"/>
    <w:rsid w:val="00077105"/>
    <w:rsid w:val="000811EB"/>
    <w:rsid w:val="000827C9"/>
    <w:rsid w:val="00083D01"/>
    <w:rsid w:val="00083DE3"/>
    <w:rsid w:val="00087FBF"/>
    <w:rsid w:val="0009060A"/>
    <w:rsid w:val="00091C85"/>
    <w:rsid w:val="00092413"/>
    <w:rsid w:val="00092DBC"/>
    <w:rsid w:val="000972DF"/>
    <w:rsid w:val="0009734F"/>
    <w:rsid w:val="000A033C"/>
    <w:rsid w:val="000A0475"/>
    <w:rsid w:val="000A15D3"/>
    <w:rsid w:val="000A3726"/>
    <w:rsid w:val="000B1EEE"/>
    <w:rsid w:val="000B47F8"/>
    <w:rsid w:val="000B7F51"/>
    <w:rsid w:val="000C0C3A"/>
    <w:rsid w:val="000C6D55"/>
    <w:rsid w:val="000D01C8"/>
    <w:rsid w:val="000D0D54"/>
    <w:rsid w:val="000D44BD"/>
    <w:rsid w:val="000D6A65"/>
    <w:rsid w:val="000D7E2D"/>
    <w:rsid w:val="000E1474"/>
    <w:rsid w:val="000E74A4"/>
    <w:rsid w:val="000F0428"/>
    <w:rsid w:val="000F10C3"/>
    <w:rsid w:val="000F23D5"/>
    <w:rsid w:val="000F764C"/>
    <w:rsid w:val="00101384"/>
    <w:rsid w:val="00102C05"/>
    <w:rsid w:val="001075D1"/>
    <w:rsid w:val="00110392"/>
    <w:rsid w:val="0011180A"/>
    <w:rsid w:val="00112460"/>
    <w:rsid w:val="001129E2"/>
    <w:rsid w:val="00114035"/>
    <w:rsid w:val="00114441"/>
    <w:rsid w:val="00114EA6"/>
    <w:rsid w:val="001153D9"/>
    <w:rsid w:val="0011615C"/>
    <w:rsid w:val="0012043E"/>
    <w:rsid w:val="0012513D"/>
    <w:rsid w:val="001264C0"/>
    <w:rsid w:val="00126A30"/>
    <w:rsid w:val="00134BDA"/>
    <w:rsid w:val="00134F09"/>
    <w:rsid w:val="00134F5A"/>
    <w:rsid w:val="00137994"/>
    <w:rsid w:val="00140340"/>
    <w:rsid w:val="001445CC"/>
    <w:rsid w:val="001472A7"/>
    <w:rsid w:val="00150DB1"/>
    <w:rsid w:val="00153DF9"/>
    <w:rsid w:val="001553DA"/>
    <w:rsid w:val="001608FD"/>
    <w:rsid w:val="00161328"/>
    <w:rsid w:val="0016282B"/>
    <w:rsid w:val="00162FD4"/>
    <w:rsid w:val="001635ED"/>
    <w:rsid w:val="0016512E"/>
    <w:rsid w:val="001678BA"/>
    <w:rsid w:val="0017087E"/>
    <w:rsid w:val="00171A1A"/>
    <w:rsid w:val="00175985"/>
    <w:rsid w:val="001767D9"/>
    <w:rsid w:val="0018012F"/>
    <w:rsid w:val="00182DBC"/>
    <w:rsid w:val="001848EF"/>
    <w:rsid w:val="00196CFF"/>
    <w:rsid w:val="00196DA2"/>
    <w:rsid w:val="001A085B"/>
    <w:rsid w:val="001A0952"/>
    <w:rsid w:val="001A5874"/>
    <w:rsid w:val="001B0EB0"/>
    <w:rsid w:val="001B1D42"/>
    <w:rsid w:val="001B53A3"/>
    <w:rsid w:val="001B6EAA"/>
    <w:rsid w:val="001C4914"/>
    <w:rsid w:val="001C6F3B"/>
    <w:rsid w:val="001C73E7"/>
    <w:rsid w:val="001D2276"/>
    <w:rsid w:val="001D45B1"/>
    <w:rsid w:val="001D51A7"/>
    <w:rsid w:val="001E097C"/>
    <w:rsid w:val="001E1790"/>
    <w:rsid w:val="001F1B86"/>
    <w:rsid w:val="001F1EB9"/>
    <w:rsid w:val="001F3B64"/>
    <w:rsid w:val="001F4C87"/>
    <w:rsid w:val="001F6141"/>
    <w:rsid w:val="002021B4"/>
    <w:rsid w:val="0020286D"/>
    <w:rsid w:val="002051D0"/>
    <w:rsid w:val="00206B19"/>
    <w:rsid w:val="00207A4E"/>
    <w:rsid w:val="002107A7"/>
    <w:rsid w:val="0022381B"/>
    <w:rsid w:val="00224581"/>
    <w:rsid w:val="00224697"/>
    <w:rsid w:val="00225C37"/>
    <w:rsid w:val="00231636"/>
    <w:rsid w:val="002318DA"/>
    <w:rsid w:val="002344F9"/>
    <w:rsid w:val="0024027C"/>
    <w:rsid w:val="00240341"/>
    <w:rsid w:val="0024050A"/>
    <w:rsid w:val="00240EAB"/>
    <w:rsid w:val="002418BE"/>
    <w:rsid w:val="00241B0A"/>
    <w:rsid w:val="002469A4"/>
    <w:rsid w:val="002472DA"/>
    <w:rsid w:val="00247352"/>
    <w:rsid w:val="002475BE"/>
    <w:rsid w:val="0025072D"/>
    <w:rsid w:val="00250842"/>
    <w:rsid w:val="0025588A"/>
    <w:rsid w:val="00255A50"/>
    <w:rsid w:val="00256BB8"/>
    <w:rsid w:val="00261253"/>
    <w:rsid w:val="002624D0"/>
    <w:rsid w:val="002624DC"/>
    <w:rsid w:val="002678C3"/>
    <w:rsid w:val="002679E0"/>
    <w:rsid w:val="0027031B"/>
    <w:rsid w:val="00270419"/>
    <w:rsid w:val="0027536E"/>
    <w:rsid w:val="002770D7"/>
    <w:rsid w:val="00280317"/>
    <w:rsid w:val="00282FE2"/>
    <w:rsid w:val="00284B7D"/>
    <w:rsid w:val="00284EE2"/>
    <w:rsid w:val="00286716"/>
    <w:rsid w:val="00294158"/>
    <w:rsid w:val="002957DA"/>
    <w:rsid w:val="002A0C27"/>
    <w:rsid w:val="002A213B"/>
    <w:rsid w:val="002A3114"/>
    <w:rsid w:val="002A361D"/>
    <w:rsid w:val="002A444E"/>
    <w:rsid w:val="002A47C1"/>
    <w:rsid w:val="002A4ABD"/>
    <w:rsid w:val="002A4D65"/>
    <w:rsid w:val="002A5176"/>
    <w:rsid w:val="002A5382"/>
    <w:rsid w:val="002A6A82"/>
    <w:rsid w:val="002B4DD1"/>
    <w:rsid w:val="002B66D8"/>
    <w:rsid w:val="002B693C"/>
    <w:rsid w:val="002C285F"/>
    <w:rsid w:val="002C34F6"/>
    <w:rsid w:val="002C67B9"/>
    <w:rsid w:val="002C69E8"/>
    <w:rsid w:val="002D18A3"/>
    <w:rsid w:val="002D2875"/>
    <w:rsid w:val="002D48E5"/>
    <w:rsid w:val="002D6DAF"/>
    <w:rsid w:val="002D6EDA"/>
    <w:rsid w:val="002E168E"/>
    <w:rsid w:val="002E76C0"/>
    <w:rsid w:val="002F05D4"/>
    <w:rsid w:val="002F1327"/>
    <w:rsid w:val="002F29E2"/>
    <w:rsid w:val="002F2EDD"/>
    <w:rsid w:val="002F4DB6"/>
    <w:rsid w:val="002F59E6"/>
    <w:rsid w:val="0030116F"/>
    <w:rsid w:val="00301EAE"/>
    <w:rsid w:val="00304905"/>
    <w:rsid w:val="00304D51"/>
    <w:rsid w:val="003062F2"/>
    <w:rsid w:val="003100A8"/>
    <w:rsid w:val="00311ACC"/>
    <w:rsid w:val="00314862"/>
    <w:rsid w:val="0031776E"/>
    <w:rsid w:val="00320950"/>
    <w:rsid w:val="00324BD0"/>
    <w:rsid w:val="003265BC"/>
    <w:rsid w:val="003267F4"/>
    <w:rsid w:val="00330EAD"/>
    <w:rsid w:val="00332379"/>
    <w:rsid w:val="00337A77"/>
    <w:rsid w:val="003408D6"/>
    <w:rsid w:val="0034569C"/>
    <w:rsid w:val="00345FA9"/>
    <w:rsid w:val="00346ECE"/>
    <w:rsid w:val="00350203"/>
    <w:rsid w:val="00351058"/>
    <w:rsid w:val="00354470"/>
    <w:rsid w:val="003554E9"/>
    <w:rsid w:val="0035782D"/>
    <w:rsid w:val="003602C4"/>
    <w:rsid w:val="00361CD1"/>
    <w:rsid w:val="00363D54"/>
    <w:rsid w:val="00364478"/>
    <w:rsid w:val="003646CF"/>
    <w:rsid w:val="0037011B"/>
    <w:rsid w:val="00371354"/>
    <w:rsid w:val="003723F3"/>
    <w:rsid w:val="00374ED9"/>
    <w:rsid w:val="003754C7"/>
    <w:rsid w:val="00376BA7"/>
    <w:rsid w:val="0038101C"/>
    <w:rsid w:val="00382D55"/>
    <w:rsid w:val="00396539"/>
    <w:rsid w:val="003A2842"/>
    <w:rsid w:val="003B2154"/>
    <w:rsid w:val="003B42B3"/>
    <w:rsid w:val="003B633E"/>
    <w:rsid w:val="003B6698"/>
    <w:rsid w:val="003D1914"/>
    <w:rsid w:val="003D52CE"/>
    <w:rsid w:val="003D6E60"/>
    <w:rsid w:val="003D6F74"/>
    <w:rsid w:val="003D7AAB"/>
    <w:rsid w:val="003E2597"/>
    <w:rsid w:val="003E274F"/>
    <w:rsid w:val="003E317C"/>
    <w:rsid w:val="003E503C"/>
    <w:rsid w:val="003E56CC"/>
    <w:rsid w:val="003E634C"/>
    <w:rsid w:val="003E72EC"/>
    <w:rsid w:val="003F1D04"/>
    <w:rsid w:val="003F3290"/>
    <w:rsid w:val="003F4E0A"/>
    <w:rsid w:val="004001A1"/>
    <w:rsid w:val="00400646"/>
    <w:rsid w:val="00401888"/>
    <w:rsid w:val="0040436F"/>
    <w:rsid w:val="00404C64"/>
    <w:rsid w:val="00405065"/>
    <w:rsid w:val="00406EB3"/>
    <w:rsid w:val="004150CA"/>
    <w:rsid w:val="00417384"/>
    <w:rsid w:val="00417793"/>
    <w:rsid w:val="00421E6E"/>
    <w:rsid w:val="00422580"/>
    <w:rsid w:val="00423484"/>
    <w:rsid w:val="00423804"/>
    <w:rsid w:val="004238DF"/>
    <w:rsid w:val="004240FF"/>
    <w:rsid w:val="004269FB"/>
    <w:rsid w:val="00427119"/>
    <w:rsid w:val="0043065E"/>
    <w:rsid w:val="004309F9"/>
    <w:rsid w:val="00431198"/>
    <w:rsid w:val="004312D9"/>
    <w:rsid w:val="00432DDA"/>
    <w:rsid w:val="004338D1"/>
    <w:rsid w:val="00433AC2"/>
    <w:rsid w:val="00433E29"/>
    <w:rsid w:val="00434B5B"/>
    <w:rsid w:val="00436BFE"/>
    <w:rsid w:val="00446610"/>
    <w:rsid w:val="0045142A"/>
    <w:rsid w:val="0045247C"/>
    <w:rsid w:val="00452A51"/>
    <w:rsid w:val="0045466D"/>
    <w:rsid w:val="00456AAE"/>
    <w:rsid w:val="00456B7D"/>
    <w:rsid w:val="00456E99"/>
    <w:rsid w:val="00457315"/>
    <w:rsid w:val="00460722"/>
    <w:rsid w:val="004609C3"/>
    <w:rsid w:val="004612C4"/>
    <w:rsid w:val="00465573"/>
    <w:rsid w:val="004661DF"/>
    <w:rsid w:val="00470345"/>
    <w:rsid w:val="00470754"/>
    <w:rsid w:val="004738FA"/>
    <w:rsid w:val="004740DA"/>
    <w:rsid w:val="004761E7"/>
    <w:rsid w:val="00476488"/>
    <w:rsid w:val="0047666C"/>
    <w:rsid w:val="00477D53"/>
    <w:rsid w:val="0048021F"/>
    <w:rsid w:val="00480D02"/>
    <w:rsid w:val="00481245"/>
    <w:rsid w:val="00482AB9"/>
    <w:rsid w:val="004834C7"/>
    <w:rsid w:val="004834E6"/>
    <w:rsid w:val="004864B8"/>
    <w:rsid w:val="0048756A"/>
    <w:rsid w:val="0049091E"/>
    <w:rsid w:val="004928D3"/>
    <w:rsid w:val="00494274"/>
    <w:rsid w:val="004A0516"/>
    <w:rsid w:val="004A242F"/>
    <w:rsid w:val="004A25D7"/>
    <w:rsid w:val="004A2B36"/>
    <w:rsid w:val="004A6356"/>
    <w:rsid w:val="004A697D"/>
    <w:rsid w:val="004B0EB7"/>
    <w:rsid w:val="004B462F"/>
    <w:rsid w:val="004B4BCE"/>
    <w:rsid w:val="004B4F49"/>
    <w:rsid w:val="004B64F5"/>
    <w:rsid w:val="004C11EE"/>
    <w:rsid w:val="004C1586"/>
    <w:rsid w:val="004C21F4"/>
    <w:rsid w:val="004C6CE4"/>
    <w:rsid w:val="004D057C"/>
    <w:rsid w:val="004D0597"/>
    <w:rsid w:val="004D7AAE"/>
    <w:rsid w:val="004E1493"/>
    <w:rsid w:val="004E3A41"/>
    <w:rsid w:val="004E4892"/>
    <w:rsid w:val="004E4D43"/>
    <w:rsid w:val="004E6A4C"/>
    <w:rsid w:val="004E7081"/>
    <w:rsid w:val="004E7DB8"/>
    <w:rsid w:val="004F2679"/>
    <w:rsid w:val="004F3D25"/>
    <w:rsid w:val="00501470"/>
    <w:rsid w:val="00501EC8"/>
    <w:rsid w:val="00503E2A"/>
    <w:rsid w:val="005062EA"/>
    <w:rsid w:val="005105C9"/>
    <w:rsid w:val="00512B17"/>
    <w:rsid w:val="00520EF2"/>
    <w:rsid w:val="005221A1"/>
    <w:rsid w:val="00522930"/>
    <w:rsid w:val="005240CA"/>
    <w:rsid w:val="0052481A"/>
    <w:rsid w:val="00526E64"/>
    <w:rsid w:val="00531310"/>
    <w:rsid w:val="0053715F"/>
    <w:rsid w:val="00537DE7"/>
    <w:rsid w:val="0054106B"/>
    <w:rsid w:val="00541815"/>
    <w:rsid w:val="0054516D"/>
    <w:rsid w:val="00547DFF"/>
    <w:rsid w:val="005529EB"/>
    <w:rsid w:val="00554A23"/>
    <w:rsid w:val="00554E2E"/>
    <w:rsid w:val="005550DD"/>
    <w:rsid w:val="0055590B"/>
    <w:rsid w:val="00557724"/>
    <w:rsid w:val="005613BD"/>
    <w:rsid w:val="00563B67"/>
    <w:rsid w:val="00564063"/>
    <w:rsid w:val="005659B0"/>
    <w:rsid w:val="00576A10"/>
    <w:rsid w:val="0058720A"/>
    <w:rsid w:val="00587FB7"/>
    <w:rsid w:val="00591E50"/>
    <w:rsid w:val="00593A86"/>
    <w:rsid w:val="005A0228"/>
    <w:rsid w:val="005A4FEB"/>
    <w:rsid w:val="005A592C"/>
    <w:rsid w:val="005B180A"/>
    <w:rsid w:val="005B3757"/>
    <w:rsid w:val="005B40A0"/>
    <w:rsid w:val="005B4ABC"/>
    <w:rsid w:val="005C00BB"/>
    <w:rsid w:val="005C0EC5"/>
    <w:rsid w:val="005C2785"/>
    <w:rsid w:val="005C4478"/>
    <w:rsid w:val="005D4999"/>
    <w:rsid w:val="005D753F"/>
    <w:rsid w:val="005D75DB"/>
    <w:rsid w:val="005D790D"/>
    <w:rsid w:val="005E082C"/>
    <w:rsid w:val="005E0DE9"/>
    <w:rsid w:val="005E31D9"/>
    <w:rsid w:val="005E3E88"/>
    <w:rsid w:val="005F0C1E"/>
    <w:rsid w:val="005F526F"/>
    <w:rsid w:val="005F69B0"/>
    <w:rsid w:val="005F77DD"/>
    <w:rsid w:val="006001E1"/>
    <w:rsid w:val="006013E1"/>
    <w:rsid w:val="00601663"/>
    <w:rsid w:val="006028CB"/>
    <w:rsid w:val="006076B8"/>
    <w:rsid w:val="00614AE0"/>
    <w:rsid w:val="0062560F"/>
    <w:rsid w:val="00625685"/>
    <w:rsid w:val="00625714"/>
    <w:rsid w:val="00626C10"/>
    <w:rsid w:val="0063153E"/>
    <w:rsid w:val="00633970"/>
    <w:rsid w:val="006404DC"/>
    <w:rsid w:val="0064153C"/>
    <w:rsid w:val="00642A2F"/>
    <w:rsid w:val="00643330"/>
    <w:rsid w:val="00643855"/>
    <w:rsid w:val="0065034E"/>
    <w:rsid w:val="0065627E"/>
    <w:rsid w:val="0066134D"/>
    <w:rsid w:val="00665C2B"/>
    <w:rsid w:val="00666809"/>
    <w:rsid w:val="0067142B"/>
    <w:rsid w:val="006718FC"/>
    <w:rsid w:val="00671D18"/>
    <w:rsid w:val="00673CE3"/>
    <w:rsid w:val="006748CD"/>
    <w:rsid w:val="006749B5"/>
    <w:rsid w:val="006762E9"/>
    <w:rsid w:val="006763DB"/>
    <w:rsid w:val="00676D53"/>
    <w:rsid w:val="00680323"/>
    <w:rsid w:val="00682B3F"/>
    <w:rsid w:val="0068481E"/>
    <w:rsid w:val="00685867"/>
    <w:rsid w:val="00685F6B"/>
    <w:rsid w:val="0069208D"/>
    <w:rsid w:val="00692B27"/>
    <w:rsid w:val="0069326C"/>
    <w:rsid w:val="00693490"/>
    <w:rsid w:val="00695661"/>
    <w:rsid w:val="00695A53"/>
    <w:rsid w:val="006973D0"/>
    <w:rsid w:val="006A117B"/>
    <w:rsid w:val="006A1371"/>
    <w:rsid w:val="006A40BC"/>
    <w:rsid w:val="006B01F7"/>
    <w:rsid w:val="006B1DC3"/>
    <w:rsid w:val="006B3328"/>
    <w:rsid w:val="006C0F93"/>
    <w:rsid w:val="006C2298"/>
    <w:rsid w:val="006C7326"/>
    <w:rsid w:val="006D1063"/>
    <w:rsid w:val="006D2492"/>
    <w:rsid w:val="006D3581"/>
    <w:rsid w:val="006D4689"/>
    <w:rsid w:val="006D5410"/>
    <w:rsid w:val="006D5EF0"/>
    <w:rsid w:val="006E0BA8"/>
    <w:rsid w:val="006E30D9"/>
    <w:rsid w:val="006E724B"/>
    <w:rsid w:val="006F096A"/>
    <w:rsid w:val="006F1AA5"/>
    <w:rsid w:val="006F2D6C"/>
    <w:rsid w:val="006F2F4D"/>
    <w:rsid w:val="006F4043"/>
    <w:rsid w:val="006F45DF"/>
    <w:rsid w:val="006F4801"/>
    <w:rsid w:val="006F5ACF"/>
    <w:rsid w:val="006F7090"/>
    <w:rsid w:val="006F74BF"/>
    <w:rsid w:val="006F79C6"/>
    <w:rsid w:val="006F7B2F"/>
    <w:rsid w:val="00702472"/>
    <w:rsid w:val="00704918"/>
    <w:rsid w:val="007051B0"/>
    <w:rsid w:val="0070672A"/>
    <w:rsid w:val="00710500"/>
    <w:rsid w:val="00712D9E"/>
    <w:rsid w:val="00713139"/>
    <w:rsid w:val="00714E0B"/>
    <w:rsid w:val="00716D1A"/>
    <w:rsid w:val="00717BD7"/>
    <w:rsid w:val="00725A3F"/>
    <w:rsid w:val="00726CA0"/>
    <w:rsid w:val="0073191D"/>
    <w:rsid w:val="00737F02"/>
    <w:rsid w:val="007434DB"/>
    <w:rsid w:val="0074725F"/>
    <w:rsid w:val="0074750F"/>
    <w:rsid w:val="0075136B"/>
    <w:rsid w:val="007519D9"/>
    <w:rsid w:val="00752619"/>
    <w:rsid w:val="007541D0"/>
    <w:rsid w:val="00754271"/>
    <w:rsid w:val="00756655"/>
    <w:rsid w:val="00756BE1"/>
    <w:rsid w:val="0075722F"/>
    <w:rsid w:val="00757EF6"/>
    <w:rsid w:val="007600A4"/>
    <w:rsid w:val="00760866"/>
    <w:rsid w:val="007628E1"/>
    <w:rsid w:val="00764084"/>
    <w:rsid w:val="0076769B"/>
    <w:rsid w:val="00771A89"/>
    <w:rsid w:val="007838CD"/>
    <w:rsid w:val="00785748"/>
    <w:rsid w:val="007866D7"/>
    <w:rsid w:val="00787FB2"/>
    <w:rsid w:val="007907A8"/>
    <w:rsid w:val="00792EA1"/>
    <w:rsid w:val="0079316F"/>
    <w:rsid w:val="007934B2"/>
    <w:rsid w:val="00795667"/>
    <w:rsid w:val="00796A75"/>
    <w:rsid w:val="00797CEB"/>
    <w:rsid w:val="007A0DD4"/>
    <w:rsid w:val="007A1848"/>
    <w:rsid w:val="007A475B"/>
    <w:rsid w:val="007A5BF0"/>
    <w:rsid w:val="007A744B"/>
    <w:rsid w:val="007B12BB"/>
    <w:rsid w:val="007B42C9"/>
    <w:rsid w:val="007B46E1"/>
    <w:rsid w:val="007B730C"/>
    <w:rsid w:val="007C0CB3"/>
    <w:rsid w:val="007C4532"/>
    <w:rsid w:val="007C774E"/>
    <w:rsid w:val="007D08E2"/>
    <w:rsid w:val="007D0DF0"/>
    <w:rsid w:val="007D59C5"/>
    <w:rsid w:val="007D7598"/>
    <w:rsid w:val="007E3B09"/>
    <w:rsid w:val="007E3C07"/>
    <w:rsid w:val="007E4451"/>
    <w:rsid w:val="007E502E"/>
    <w:rsid w:val="007E5CA6"/>
    <w:rsid w:val="00800FB3"/>
    <w:rsid w:val="0080457D"/>
    <w:rsid w:val="00804C88"/>
    <w:rsid w:val="0081202E"/>
    <w:rsid w:val="00817D3A"/>
    <w:rsid w:val="00821064"/>
    <w:rsid w:val="008240BF"/>
    <w:rsid w:val="0082434B"/>
    <w:rsid w:val="00827520"/>
    <w:rsid w:val="00833745"/>
    <w:rsid w:val="00836DDC"/>
    <w:rsid w:val="00841454"/>
    <w:rsid w:val="00843623"/>
    <w:rsid w:val="00844AA2"/>
    <w:rsid w:val="00847160"/>
    <w:rsid w:val="00847708"/>
    <w:rsid w:val="00847794"/>
    <w:rsid w:val="00856300"/>
    <w:rsid w:val="00857892"/>
    <w:rsid w:val="00862EA3"/>
    <w:rsid w:val="008637FE"/>
    <w:rsid w:val="00865EE5"/>
    <w:rsid w:val="008664CC"/>
    <w:rsid w:val="008666C8"/>
    <w:rsid w:val="00873A89"/>
    <w:rsid w:val="00877326"/>
    <w:rsid w:val="00881B15"/>
    <w:rsid w:val="00883420"/>
    <w:rsid w:val="0088366B"/>
    <w:rsid w:val="00885E2A"/>
    <w:rsid w:val="00893628"/>
    <w:rsid w:val="00896793"/>
    <w:rsid w:val="0089732E"/>
    <w:rsid w:val="008A31D1"/>
    <w:rsid w:val="008A3530"/>
    <w:rsid w:val="008A4E9F"/>
    <w:rsid w:val="008A53E5"/>
    <w:rsid w:val="008A63C2"/>
    <w:rsid w:val="008B08EC"/>
    <w:rsid w:val="008B179D"/>
    <w:rsid w:val="008B26AD"/>
    <w:rsid w:val="008B4EEA"/>
    <w:rsid w:val="008B55B6"/>
    <w:rsid w:val="008B7A98"/>
    <w:rsid w:val="008C008B"/>
    <w:rsid w:val="008C043D"/>
    <w:rsid w:val="008D1443"/>
    <w:rsid w:val="008D33B5"/>
    <w:rsid w:val="008D35B7"/>
    <w:rsid w:val="008D51A5"/>
    <w:rsid w:val="008E00AB"/>
    <w:rsid w:val="008E13AC"/>
    <w:rsid w:val="008E2AF5"/>
    <w:rsid w:val="008E54A4"/>
    <w:rsid w:val="008E6810"/>
    <w:rsid w:val="008F27EE"/>
    <w:rsid w:val="008F2954"/>
    <w:rsid w:val="008F3773"/>
    <w:rsid w:val="008F3D7C"/>
    <w:rsid w:val="00901D77"/>
    <w:rsid w:val="00902D4D"/>
    <w:rsid w:val="00903D5E"/>
    <w:rsid w:val="00903FE7"/>
    <w:rsid w:val="0090442A"/>
    <w:rsid w:val="0090478B"/>
    <w:rsid w:val="00904BD9"/>
    <w:rsid w:val="009100FF"/>
    <w:rsid w:val="00910719"/>
    <w:rsid w:val="009166AE"/>
    <w:rsid w:val="0091722A"/>
    <w:rsid w:val="0092049B"/>
    <w:rsid w:val="00927543"/>
    <w:rsid w:val="0093163C"/>
    <w:rsid w:val="00934D67"/>
    <w:rsid w:val="00935378"/>
    <w:rsid w:val="00936ADD"/>
    <w:rsid w:val="00936CD9"/>
    <w:rsid w:val="00942662"/>
    <w:rsid w:val="0094341B"/>
    <w:rsid w:val="00943873"/>
    <w:rsid w:val="00946AA2"/>
    <w:rsid w:val="00953322"/>
    <w:rsid w:val="00954395"/>
    <w:rsid w:val="00956EA8"/>
    <w:rsid w:val="0096206A"/>
    <w:rsid w:val="00962C3D"/>
    <w:rsid w:val="009633FD"/>
    <w:rsid w:val="0096602E"/>
    <w:rsid w:val="009700DB"/>
    <w:rsid w:val="009705C4"/>
    <w:rsid w:val="00970FD6"/>
    <w:rsid w:val="0097127C"/>
    <w:rsid w:val="00971E9A"/>
    <w:rsid w:val="0097390C"/>
    <w:rsid w:val="00976920"/>
    <w:rsid w:val="00980B07"/>
    <w:rsid w:val="00981328"/>
    <w:rsid w:val="009816E1"/>
    <w:rsid w:val="009819F5"/>
    <w:rsid w:val="00983235"/>
    <w:rsid w:val="0099094F"/>
    <w:rsid w:val="0099179D"/>
    <w:rsid w:val="00991D0E"/>
    <w:rsid w:val="00992317"/>
    <w:rsid w:val="00992D30"/>
    <w:rsid w:val="00993653"/>
    <w:rsid w:val="00995CE8"/>
    <w:rsid w:val="00996F99"/>
    <w:rsid w:val="0099797B"/>
    <w:rsid w:val="009A2159"/>
    <w:rsid w:val="009A4119"/>
    <w:rsid w:val="009A5358"/>
    <w:rsid w:val="009A70D8"/>
    <w:rsid w:val="009A74BB"/>
    <w:rsid w:val="009B3E8A"/>
    <w:rsid w:val="009B513F"/>
    <w:rsid w:val="009B6050"/>
    <w:rsid w:val="009B7261"/>
    <w:rsid w:val="009C1EF0"/>
    <w:rsid w:val="009C2198"/>
    <w:rsid w:val="009C25E6"/>
    <w:rsid w:val="009D000C"/>
    <w:rsid w:val="009D0F66"/>
    <w:rsid w:val="009D1BD7"/>
    <w:rsid w:val="009D3678"/>
    <w:rsid w:val="009D5823"/>
    <w:rsid w:val="009E136D"/>
    <w:rsid w:val="009E1E7C"/>
    <w:rsid w:val="009E2184"/>
    <w:rsid w:val="009E21D1"/>
    <w:rsid w:val="009E409B"/>
    <w:rsid w:val="009E533A"/>
    <w:rsid w:val="009F07EF"/>
    <w:rsid w:val="009F08DB"/>
    <w:rsid w:val="009F2463"/>
    <w:rsid w:val="009F4BE9"/>
    <w:rsid w:val="009F4EAA"/>
    <w:rsid w:val="009F6C7F"/>
    <w:rsid w:val="00A07632"/>
    <w:rsid w:val="00A1319B"/>
    <w:rsid w:val="00A1420F"/>
    <w:rsid w:val="00A14D34"/>
    <w:rsid w:val="00A16595"/>
    <w:rsid w:val="00A22C2E"/>
    <w:rsid w:val="00A26968"/>
    <w:rsid w:val="00A300BC"/>
    <w:rsid w:val="00A31BA4"/>
    <w:rsid w:val="00A32353"/>
    <w:rsid w:val="00A32F3C"/>
    <w:rsid w:val="00A3434C"/>
    <w:rsid w:val="00A37743"/>
    <w:rsid w:val="00A40460"/>
    <w:rsid w:val="00A41E52"/>
    <w:rsid w:val="00A45908"/>
    <w:rsid w:val="00A46788"/>
    <w:rsid w:val="00A47C3C"/>
    <w:rsid w:val="00A50DE6"/>
    <w:rsid w:val="00A51CA2"/>
    <w:rsid w:val="00A52625"/>
    <w:rsid w:val="00A52F41"/>
    <w:rsid w:val="00A549F4"/>
    <w:rsid w:val="00A55586"/>
    <w:rsid w:val="00A56992"/>
    <w:rsid w:val="00A616EF"/>
    <w:rsid w:val="00A64068"/>
    <w:rsid w:val="00A65077"/>
    <w:rsid w:val="00A6585A"/>
    <w:rsid w:val="00A65C2F"/>
    <w:rsid w:val="00A71B4F"/>
    <w:rsid w:val="00A73196"/>
    <w:rsid w:val="00A73EF8"/>
    <w:rsid w:val="00A742DB"/>
    <w:rsid w:val="00A74B61"/>
    <w:rsid w:val="00A76256"/>
    <w:rsid w:val="00A802EE"/>
    <w:rsid w:val="00A80930"/>
    <w:rsid w:val="00A80B2E"/>
    <w:rsid w:val="00A80C98"/>
    <w:rsid w:val="00A85659"/>
    <w:rsid w:val="00A8570B"/>
    <w:rsid w:val="00A86206"/>
    <w:rsid w:val="00A9008B"/>
    <w:rsid w:val="00A94F1E"/>
    <w:rsid w:val="00AA0C4F"/>
    <w:rsid w:val="00AA2BD3"/>
    <w:rsid w:val="00AA2E16"/>
    <w:rsid w:val="00AA600E"/>
    <w:rsid w:val="00AA6693"/>
    <w:rsid w:val="00AB0A32"/>
    <w:rsid w:val="00AB1866"/>
    <w:rsid w:val="00AB274E"/>
    <w:rsid w:val="00AB2CBE"/>
    <w:rsid w:val="00AB4DF0"/>
    <w:rsid w:val="00AB508A"/>
    <w:rsid w:val="00AB6D2E"/>
    <w:rsid w:val="00AC419E"/>
    <w:rsid w:val="00AC464A"/>
    <w:rsid w:val="00AD492B"/>
    <w:rsid w:val="00AD4AEA"/>
    <w:rsid w:val="00AD5CFC"/>
    <w:rsid w:val="00AD694D"/>
    <w:rsid w:val="00AE0212"/>
    <w:rsid w:val="00AE2F91"/>
    <w:rsid w:val="00AE34F5"/>
    <w:rsid w:val="00AF29E5"/>
    <w:rsid w:val="00AF5A9B"/>
    <w:rsid w:val="00AF72F4"/>
    <w:rsid w:val="00AF7B08"/>
    <w:rsid w:val="00B00286"/>
    <w:rsid w:val="00B034B6"/>
    <w:rsid w:val="00B0617B"/>
    <w:rsid w:val="00B12831"/>
    <w:rsid w:val="00B12D8B"/>
    <w:rsid w:val="00B14737"/>
    <w:rsid w:val="00B14E8E"/>
    <w:rsid w:val="00B214FE"/>
    <w:rsid w:val="00B21565"/>
    <w:rsid w:val="00B24543"/>
    <w:rsid w:val="00B327BC"/>
    <w:rsid w:val="00B32A44"/>
    <w:rsid w:val="00B339D5"/>
    <w:rsid w:val="00B33F67"/>
    <w:rsid w:val="00B34EBE"/>
    <w:rsid w:val="00B361E2"/>
    <w:rsid w:val="00B366DF"/>
    <w:rsid w:val="00B37C86"/>
    <w:rsid w:val="00B44497"/>
    <w:rsid w:val="00B45DC6"/>
    <w:rsid w:val="00B4643D"/>
    <w:rsid w:val="00B54FE5"/>
    <w:rsid w:val="00B55673"/>
    <w:rsid w:val="00B55674"/>
    <w:rsid w:val="00B619AF"/>
    <w:rsid w:val="00B621D6"/>
    <w:rsid w:val="00B625B0"/>
    <w:rsid w:val="00B66B44"/>
    <w:rsid w:val="00B677A9"/>
    <w:rsid w:val="00B7247A"/>
    <w:rsid w:val="00B7437E"/>
    <w:rsid w:val="00B74F91"/>
    <w:rsid w:val="00B76208"/>
    <w:rsid w:val="00B81ED4"/>
    <w:rsid w:val="00B85AC8"/>
    <w:rsid w:val="00B877EB"/>
    <w:rsid w:val="00B93F08"/>
    <w:rsid w:val="00B94EC2"/>
    <w:rsid w:val="00B9606D"/>
    <w:rsid w:val="00B96AA3"/>
    <w:rsid w:val="00B96DBB"/>
    <w:rsid w:val="00B97334"/>
    <w:rsid w:val="00BA029B"/>
    <w:rsid w:val="00BA1228"/>
    <w:rsid w:val="00BA47D9"/>
    <w:rsid w:val="00BA7DB0"/>
    <w:rsid w:val="00BB313D"/>
    <w:rsid w:val="00BB3F79"/>
    <w:rsid w:val="00BB453A"/>
    <w:rsid w:val="00BC0A34"/>
    <w:rsid w:val="00BC1726"/>
    <w:rsid w:val="00BC284B"/>
    <w:rsid w:val="00BC2D1C"/>
    <w:rsid w:val="00BC2E8D"/>
    <w:rsid w:val="00BC3074"/>
    <w:rsid w:val="00BC32A2"/>
    <w:rsid w:val="00BC4A93"/>
    <w:rsid w:val="00BC5380"/>
    <w:rsid w:val="00BE26E3"/>
    <w:rsid w:val="00BE38EF"/>
    <w:rsid w:val="00BE3A11"/>
    <w:rsid w:val="00BE747D"/>
    <w:rsid w:val="00BE7B5E"/>
    <w:rsid w:val="00BF1A2B"/>
    <w:rsid w:val="00BF544C"/>
    <w:rsid w:val="00C01035"/>
    <w:rsid w:val="00C0590C"/>
    <w:rsid w:val="00C10326"/>
    <w:rsid w:val="00C14D4B"/>
    <w:rsid w:val="00C1604C"/>
    <w:rsid w:val="00C16664"/>
    <w:rsid w:val="00C16714"/>
    <w:rsid w:val="00C17156"/>
    <w:rsid w:val="00C17FA6"/>
    <w:rsid w:val="00C226CA"/>
    <w:rsid w:val="00C23799"/>
    <w:rsid w:val="00C25DF2"/>
    <w:rsid w:val="00C302B0"/>
    <w:rsid w:val="00C302F9"/>
    <w:rsid w:val="00C30E86"/>
    <w:rsid w:val="00C32C2F"/>
    <w:rsid w:val="00C4093A"/>
    <w:rsid w:val="00C423CB"/>
    <w:rsid w:val="00C437EA"/>
    <w:rsid w:val="00C51850"/>
    <w:rsid w:val="00C51BFC"/>
    <w:rsid w:val="00C523BF"/>
    <w:rsid w:val="00C52ABA"/>
    <w:rsid w:val="00C57EE3"/>
    <w:rsid w:val="00C62331"/>
    <w:rsid w:val="00C66FC7"/>
    <w:rsid w:val="00C672DC"/>
    <w:rsid w:val="00C7098B"/>
    <w:rsid w:val="00C71DAE"/>
    <w:rsid w:val="00C71EF7"/>
    <w:rsid w:val="00C72DB1"/>
    <w:rsid w:val="00C738C5"/>
    <w:rsid w:val="00C749D2"/>
    <w:rsid w:val="00C775D9"/>
    <w:rsid w:val="00C776B2"/>
    <w:rsid w:val="00C7774A"/>
    <w:rsid w:val="00C77A37"/>
    <w:rsid w:val="00C8055D"/>
    <w:rsid w:val="00C821A3"/>
    <w:rsid w:val="00C821D3"/>
    <w:rsid w:val="00C84288"/>
    <w:rsid w:val="00C85439"/>
    <w:rsid w:val="00C86B26"/>
    <w:rsid w:val="00C90C9F"/>
    <w:rsid w:val="00C91368"/>
    <w:rsid w:val="00CA7689"/>
    <w:rsid w:val="00CB0773"/>
    <w:rsid w:val="00CB41D2"/>
    <w:rsid w:val="00CC0B17"/>
    <w:rsid w:val="00CC222F"/>
    <w:rsid w:val="00CC611D"/>
    <w:rsid w:val="00CD1FD6"/>
    <w:rsid w:val="00CD2F2A"/>
    <w:rsid w:val="00CD3610"/>
    <w:rsid w:val="00CD6D15"/>
    <w:rsid w:val="00CE0174"/>
    <w:rsid w:val="00CE3D99"/>
    <w:rsid w:val="00CE5736"/>
    <w:rsid w:val="00CE5F64"/>
    <w:rsid w:val="00CF02F3"/>
    <w:rsid w:val="00CF26F9"/>
    <w:rsid w:val="00CF373A"/>
    <w:rsid w:val="00D068D2"/>
    <w:rsid w:val="00D0760F"/>
    <w:rsid w:val="00D077C3"/>
    <w:rsid w:val="00D10742"/>
    <w:rsid w:val="00D16A06"/>
    <w:rsid w:val="00D24310"/>
    <w:rsid w:val="00D30A2C"/>
    <w:rsid w:val="00D31A5C"/>
    <w:rsid w:val="00D37837"/>
    <w:rsid w:val="00D401FB"/>
    <w:rsid w:val="00D4299F"/>
    <w:rsid w:val="00D43F53"/>
    <w:rsid w:val="00D4504E"/>
    <w:rsid w:val="00D4740F"/>
    <w:rsid w:val="00D505F4"/>
    <w:rsid w:val="00D54F6D"/>
    <w:rsid w:val="00D701E2"/>
    <w:rsid w:val="00D720FB"/>
    <w:rsid w:val="00D731D6"/>
    <w:rsid w:val="00D844F6"/>
    <w:rsid w:val="00D856F7"/>
    <w:rsid w:val="00D876BD"/>
    <w:rsid w:val="00D87777"/>
    <w:rsid w:val="00D90E1C"/>
    <w:rsid w:val="00D913C2"/>
    <w:rsid w:val="00D92F76"/>
    <w:rsid w:val="00D96EFD"/>
    <w:rsid w:val="00D97EFE"/>
    <w:rsid w:val="00DA0E83"/>
    <w:rsid w:val="00DA27C3"/>
    <w:rsid w:val="00DA321E"/>
    <w:rsid w:val="00DA44E9"/>
    <w:rsid w:val="00DA5131"/>
    <w:rsid w:val="00DA713C"/>
    <w:rsid w:val="00DB06C8"/>
    <w:rsid w:val="00DB23A4"/>
    <w:rsid w:val="00DB23BD"/>
    <w:rsid w:val="00DB2ABB"/>
    <w:rsid w:val="00DB5406"/>
    <w:rsid w:val="00DB6681"/>
    <w:rsid w:val="00DB6C96"/>
    <w:rsid w:val="00DC0991"/>
    <w:rsid w:val="00DC1A0B"/>
    <w:rsid w:val="00DC200A"/>
    <w:rsid w:val="00DC5B89"/>
    <w:rsid w:val="00DC5F4E"/>
    <w:rsid w:val="00DC6A21"/>
    <w:rsid w:val="00DD3A00"/>
    <w:rsid w:val="00DE75FF"/>
    <w:rsid w:val="00DF26F7"/>
    <w:rsid w:val="00DF5252"/>
    <w:rsid w:val="00DF74D3"/>
    <w:rsid w:val="00E0096F"/>
    <w:rsid w:val="00E02F05"/>
    <w:rsid w:val="00E034CD"/>
    <w:rsid w:val="00E05AF2"/>
    <w:rsid w:val="00E103E5"/>
    <w:rsid w:val="00E1068C"/>
    <w:rsid w:val="00E12AD6"/>
    <w:rsid w:val="00E148D9"/>
    <w:rsid w:val="00E153B0"/>
    <w:rsid w:val="00E156C6"/>
    <w:rsid w:val="00E1586B"/>
    <w:rsid w:val="00E1678C"/>
    <w:rsid w:val="00E17C7C"/>
    <w:rsid w:val="00E209ED"/>
    <w:rsid w:val="00E20BC6"/>
    <w:rsid w:val="00E21E14"/>
    <w:rsid w:val="00E22E2D"/>
    <w:rsid w:val="00E27ACE"/>
    <w:rsid w:val="00E31764"/>
    <w:rsid w:val="00E33C19"/>
    <w:rsid w:val="00E346FE"/>
    <w:rsid w:val="00E361A0"/>
    <w:rsid w:val="00E3719F"/>
    <w:rsid w:val="00E41262"/>
    <w:rsid w:val="00E420FE"/>
    <w:rsid w:val="00E46E03"/>
    <w:rsid w:val="00E5087C"/>
    <w:rsid w:val="00E52810"/>
    <w:rsid w:val="00E57574"/>
    <w:rsid w:val="00E70871"/>
    <w:rsid w:val="00E728E1"/>
    <w:rsid w:val="00E737C6"/>
    <w:rsid w:val="00E802B9"/>
    <w:rsid w:val="00E81873"/>
    <w:rsid w:val="00E82BCF"/>
    <w:rsid w:val="00E8363C"/>
    <w:rsid w:val="00E85A2A"/>
    <w:rsid w:val="00E85DD4"/>
    <w:rsid w:val="00E90127"/>
    <w:rsid w:val="00E90899"/>
    <w:rsid w:val="00E91C6A"/>
    <w:rsid w:val="00E93B2B"/>
    <w:rsid w:val="00E97CB9"/>
    <w:rsid w:val="00EA0C1C"/>
    <w:rsid w:val="00EA18EC"/>
    <w:rsid w:val="00EA600C"/>
    <w:rsid w:val="00EA6068"/>
    <w:rsid w:val="00EA63CD"/>
    <w:rsid w:val="00EA661C"/>
    <w:rsid w:val="00EA7E8F"/>
    <w:rsid w:val="00EA7F93"/>
    <w:rsid w:val="00EB0739"/>
    <w:rsid w:val="00EB0977"/>
    <w:rsid w:val="00EC387A"/>
    <w:rsid w:val="00EC4791"/>
    <w:rsid w:val="00EC5CC4"/>
    <w:rsid w:val="00EC6F1B"/>
    <w:rsid w:val="00ED07DE"/>
    <w:rsid w:val="00ED1B2A"/>
    <w:rsid w:val="00ED45D6"/>
    <w:rsid w:val="00ED4AFD"/>
    <w:rsid w:val="00EE023E"/>
    <w:rsid w:val="00EE0E30"/>
    <w:rsid w:val="00EE1228"/>
    <w:rsid w:val="00EE43D1"/>
    <w:rsid w:val="00EE46D9"/>
    <w:rsid w:val="00EE5946"/>
    <w:rsid w:val="00EE76C9"/>
    <w:rsid w:val="00EE7FEA"/>
    <w:rsid w:val="00EF06FA"/>
    <w:rsid w:val="00EF0F99"/>
    <w:rsid w:val="00EF1150"/>
    <w:rsid w:val="00EF31D9"/>
    <w:rsid w:val="00EF34E8"/>
    <w:rsid w:val="00EF43A8"/>
    <w:rsid w:val="00EF4895"/>
    <w:rsid w:val="00EF5960"/>
    <w:rsid w:val="00EF7962"/>
    <w:rsid w:val="00EF7BEB"/>
    <w:rsid w:val="00F00BD6"/>
    <w:rsid w:val="00F02534"/>
    <w:rsid w:val="00F0275C"/>
    <w:rsid w:val="00F03AF6"/>
    <w:rsid w:val="00F05A92"/>
    <w:rsid w:val="00F06DCF"/>
    <w:rsid w:val="00F10890"/>
    <w:rsid w:val="00F10DB4"/>
    <w:rsid w:val="00F1192A"/>
    <w:rsid w:val="00F159A6"/>
    <w:rsid w:val="00F23269"/>
    <w:rsid w:val="00F23716"/>
    <w:rsid w:val="00F24EFC"/>
    <w:rsid w:val="00F25A6A"/>
    <w:rsid w:val="00F2759C"/>
    <w:rsid w:val="00F278D9"/>
    <w:rsid w:val="00F27DDD"/>
    <w:rsid w:val="00F330BF"/>
    <w:rsid w:val="00F33266"/>
    <w:rsid w:val="00F4094B"/>
    <w:rsid w:val="00F5181F"/>
    <w:rsid w:val="00F558C1"/>
    <w:rsid w:val="00F617E6"/>
    <w:rsid w:val="00F61A71"/>
    <w:rsid w:val="00F65E9C"/>
    <w:rsid w:val="00F67047"/>
    <w:rsid w:val="00F67A7C"/>
    <w:rsid w:val="00F7270B"/>
    <w:rsid w:val="00F75975"/>
    <w:rsid w:val="00F81D7A"/>
    <w:rsid w:val="00F81ED3"/>
    <w:rsid w:val="00F83AC1"/>
    <w:rsid w:val="00F84281"/>
    <w:rsid w:val="00F85CE9"/>
    <w:rsid w:val="00F872A2"/>
    <w:rsid w:val="00F93901"/>
    <w:rsid w:val="00F948B0"/>
    <w:rsid w:val="00FA3203"/>
    <w:rsid w:val="00FA4956"/>
    <w:rsid w:val="00FA57DE"/>
    <w:rsid w:val="00FA653E"/>
    <w:rsid w:val="00FA6E09"/>
    <w:rsid w:val="00FA6EDD"/>
    <w:rsid w:val="00FB301F"/>
    <w:rsid w:val="00FB3D11"/>
    <w:rsid w:val="00FB4D50"/>
    <w:rsid w:val="00FB62FA"/>
    <w:rsid w:val="00FC1A8C"/>
    <w:rsid w:val="00FC230D"/>
    <w:rsid w:val="00FC4944"/>
    <w:rsid w:val="00FD0361"/>
    <w:rsid w:val="00FD0A17"/>
    <w:rsid w:val="00FD1543"/>
    <w:rsid w:val="00FD28E8"/>
    <w:rsid w:val="00FD3BD3"/>
    <w:rsid w:val="00FD602B"/>
    <w:rsid w:val="00FD6D2E"/>
    <w:rsid w:val="00FD7042"/>
    <w:rsid w:val="00FD7F45"/>
    <w:rsid w:val="00FE0160"/>
    <w:rsid w:val="00FE241C"/>
    <w:rsid w:val="00FE3693"/>
    <w:rsid w:val="00FE56A3"/>
    <w:rsid w:val="00FF2212"/>
    <w:rsid w:val="00FF2406"/>
    <w:rsid w:val="00FF40AF"/>
    <w:rsid w:val="00FF4CF2"/>
    <w:rsid w:val="00FF5BCD"/>
    <w:rsid w:val="00FF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047"/>
    <w:pPr>
      <w:spacing w:after="0" w:line="240" w:lineRule="auto"/>
    </w:pPr>
    <w:rPr>
      <w:rFonts w:ascii="Times New Roman" w:eastAsia="Times" w:hAnsi="Times New Roman" w:cs="Times New Roman"/>
      <w:sz w:val="24"/>
      <w:szCs w:val="20"/>
    </w:rPr>
  </w:style>
  <w:style w:type="paragraph" w:styleId="Heading2">
    <w:name w:val="heading 2"/>
    <w:basedOn w:val="Normal"/>
    <w:next w:val="Normal"/>
    <w:link w:val="Heading2Char"/>
    <w:uiPriority w:val="99"/>
    <w:qFormat/>
    <w:rsid w:val="00AD694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047"/>
    <w:pPr>
      <w:ind w:left="720"/>
      <w:contextualSpacing/>
    </w:pPr>
  </w:style>
  <w:style w:type="paragraph" w:customStyle="1" w:styleId="Default">
    <w:name w:val="Default"/>
    <w:rsid w:val="00F67047"/>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PlainText">
    <w:name w:val="Plain Text"/>
    <w:basedOn w:val="Normal"/>
    <w:link w:val="PlainTextChar"/>
    <w:uiPriority w:val="99"/>
    <w:rsid w:val="00F67047"/>
    <w:rPr>
      <w:rFonts w:ascii="Courier New" w:eastAsia="Times New Roman" w:hAnsi="Courier New"/>
      <w:sz w:val="20"/>
    </w:rPr>
  </w:style>
  <w:style w:type="character" w:customStyle="1" w:styleId="PlainTextChar">
    <w:name w:val="Plain Text Char"/>
    <w:basedOn w:val="DefaultParagraphFont"/>
    <w:link w:val="PlainText"/>
    <w:uiPriority w:val="99"/>
    <w:rsid w:val="00F67047"/>
    <w:rPr>
      <w:rFonts w:ascii="Courier New" w:eastAsia="Times New Roman" w:hAnsi="Courier New" w:cs="Times New Roman"/>
      <w:sz w:val="20"/>
      <w:szCs w:val="20"/>
    </w:rPr>
  </w:style>
  <w:style w:type="paragraph" w:customStyle="1" w:styleId="Pa6">
    <w:name w:val="Pa6"/>
    <w:basedOn w:val="Default"/>
    <w:next w:val="Default"/>
    <w:rsid w:val="00F67047"/>
    <w:pPr>
      <w:widowControl w:val="0"/>
      <w:spacing w:after="80" w:line="321" w:lineRule="atLeast"/>
    </w:pPr>
    <w:rPr>
      <w:rFonts w:ascii="GillSans Light" w:eastAsia="Batang" w:hAnsi="GillSans Light"/>
      <w:color w:val="auto"/>
      <w:lang w:eastAsia="ko-KR"/>
    </w:rPr>
  </w:style>
  <w:style w:type="paragraph" w:customStyle="1" w:styleId="Pa8">
    <w:name w:val="Pa8"/>
    <w:basedOn w:val="Default"/>
    <w:next w:val="Default"/>
    <w:rsid w:val="00F67047"/>
    <w:pPr>
      <w:widowControl w:val="0"/>
      <w:spacing w:after="180" w:line="241" w:lineRule="atLeast"/>
    </w:pPr>
    <w:rPr>
      <w:rFonts w:ascii="GillSans Light" w:eastAsia="Batang" w:hAnsi="GillSans Light"/>
      <w:color w:val="auto"/>
      <w:lang w:eastAsia="ko-KR"/>
    </w:rPr>
  </w:style>
  <w:style w:type="paragraph" w:styleId="Header">
    <w:name w:val="header"/>
    <w:basedOn w:val="Normal"/>
    <w:link w:val="HeaderChar"/>
    <w:uiPriority w:val="99"/>
    <w:unhideWhenUsed/>
    <w:rsid w:val="00E97CB9"/>
    <w:pPr>
      <w:tabs>
        <w:tab w:val="center" w:pos="4680"/>
        <w:tab w:val="right" w:pos="9360"/>
      </w:tabs>
    </w:pPr>
  </w:style>
  <w:style w:type="character" w:customStyle="1" w:styleId="HeaderChar">
    <w:name w:val="Header Char"/>
    <w:basedOn w:val="DefaultParagraphFont"/>
    <w:link w:val="Header"/>
    <w:uiPriority w:val="99"/>
    <w:rsid w:val="00E97CB9"/>
    <w:rPr>
      <w:rFonts w:ascii="Times New Roman" w:eastAsia="Times" w:hAnsi="Times New Roman" w:cs="Times New Roman"/>
      <w:sz w:val="24"/>
      <w:szCs w:val="20"/>
    </w:rPr>
  </w:style>
  <w:style w:type="paragraph" w:styleId="Footer">
    <w:name w:val="footer"/>
    <w:basedOn w:val="Normal"/>
    <w:link w:val="FooterChar"/>
    <w:uiPriority w:val="99"/>
    <w:unhideWhenUsed/>
    <w:rsid w:val="00E97CB9"/>
    <w:pPr>
      <w:tabs>
        <w:tab w:val="center" w:pos="4680"/>
        <w:tab w:val="right" w:pos="9360"/>
      </w:tabs>
    </w:pPr>
  </w:style>
  <w:style w:type="character" w:customStyle="1" w:styleId="FooterChar">
    <w:name w:val="Footer Char"/>
    <w:basedOn w:val="DefaultParagraphFont"/>
    <w:link w:val="Footer"/>
    <w:uiPriority w:val="99"/>
    <w:rsid w:val="00E97CB9"/>
    <w:rPr>
      <w:rFonts w:ascii="Times New Roman" w:eastAsia="Times" w:hAnsi="Times New Roman" w:cs="Times New Roman"/>
      <w:sz w:val="24"/>
      <w:szCs w:val="20"/>
    </w:rPr>
  </w:style>
  <w:style w:type="paragraph" w:styleId="BalloonText">
    <w:name w:val="Balloon Text"/>
    <w:basedOn w:val="Normal"/>
    <w:link w:val="BalloonTextChar"/>
    <w:uiPriority w:val="99"/>
    <w:semiHidden/>
    <w:unhideWhenUsed/>
    <w:rsid w:val="00E97CB9"/>
    <w:rPr>
      <w:rFonts w:ascii="Tahoma" w:hAnsi="Tahoma" w:cs="Tahoma"/>
      <w:sz w:val="16"/>
      <w:szCs w:val="16"/>
    </w:rPr>
  </w:style>
  <w:style w:type="character" w:customStyle="1" w:styleId="BalloonTextChar">
    <w:name w:val="Balloon Text Char"/>
    <w:basedOn w:val="DefaultParagraphFont"/>
    <w:link w:val="BalloonText"/>
    <w:uiPriority w:val="99"/>
    <w:semiHidden/>
    <w:rsid w:val="00E97CB9"/>
    <w:rPr>
      <w:rFonts w:ascii="Tahoma" w:eastAsia="Times" w:hAnsi="Tahoma" w:cs="Tahoma"/>
      <w:sz w:val="16"/>
      <w:szCs w:val="16"/>
    </w:rPr>
  </w:style>
  <w:style w:type="character" w:styleId="CommentReference">
    <w:name w:val="annotation reference"/>
    <w:basedOn w:val="DefaultParagraphFont"/>
    <w:uiPriority w:val="99"/>
    <w:unhideWhenUsed/>
    <w:rsid w:val="00F23269"/>
    <w:rPr>
      <w:sz w:val="16"/>
      <w:szCs w:val="16"/>
    </w:rPr>
  </w:style>
  <w:style w:type="paragraph" w:styleId="CommentText">
    <w:name w:val="annotation text"/>
    <w:basedOn w:val="Normal"/>
    <w:link w:val="CommentTextChar"/>
    <w:uiPriority w:val="99"/>
    <w:unhideWhenUsed/>
    <w:rsid w:val="00F23269"/>
    <w:rPr>
      <w:sz w:val="20"/>
    </w:rPr>
  </w:style>
  <w:style w:type="character" w:customStyle="1" w:styleId="CommentTextChar">
    <w:name w:val="Comment Text Char"/>
    <w:basedOn w:val="DefaultParagraphFont"/>
    <w:link w:val="CommentText"/>
    <w:uiPriority w:val="99"/>
    <w:rsid w:val="00F23269"/>
    <w:rPr>
      <w:rFonts w:ascii="Times New Roman" w:eastAsia="Time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3269"/>
    <w:rPr>
      <w:b/>
      <w:bCs/>
    </w:rPr>
  </w:style>
  <w:style w:type="character" w:customStyle="1" w:styleId="CommentSubjectChar">
    <w:name w:val="Comment Subject Char"/>
    <w:basedOn w:val="CommentTextChar"/>
    <w:link w:val="CommentSubject"/>
    <w:uiPriority w:val="99"/>
    <w:semiHidden/>
    <w:rsid w:val="00F23269"/>
    <w:rPr>
      <w:rFonts w:ascii="Times New Roman" w:eastAsia="Times" w:hAnsi="Times New Roman" w:cs="Times New Roman"/>
      <w:b/>
      <w:bCs/>
      <w:sz w:val="20"/>
      <w:szCs w:val="20"/>
    </w:rPr>
  </w:style>
  <w:style w:type="character" w:customStyle="1" w:styleId="Heading2Char">
    <w:name w:val="Heading 2 Char"/>
    <w:basedOn w:val="DefaultParagraphFont"/>
    <w:link w:val="Heading2"/>
    <w:uiPriority w:val="99"/>
    <w:rsid w:val="00AD694D"/>
    <w:rPr>
      <w:rFonts w:ascii="Arial" w:eastAsia="Times New Roman" w:hAnsi="Arial" w:cs="Arial"/>
      <w:b/>
      <w:bCs/>
      <w:i/>
      <w:iCs/>
      <w:sz w:val="28"/>
      <w:szCs w:val="28"/>
    </w:rPr>
  </w:style>
  <w:style w:type="table" w:styleId="TableGrid">
    <w:name w:val="Table Grid"/>
    <w:basedOn w:val="TableNormal"/>
    <w:uiPriority w:val="59"/>
    <w:rsid w:val="002A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1-FirstLevelQuestion">
    <w:name w:val="Q1-First Level Question"/>
    <w:link w:val="Q1-FirstLevelQuestionChar"/>
    <w:rsid w:val="002A5382"/>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2A5382"/>
    <w:rPr>
      <w:rFonts w:ascii="Arial" w:eastAsia="Times New Roman" w:hAnsi="Arial" w:cs="Times New Roman"/>
      <w:b/>
      <w:sz w:val="24"/>
      <w:szCs w:val="24"/>
    </w:rPr>
  </w:style>
  <w:style w:type="paragraph" w:customStyle="1" w:styleId="A1-1stLeader">
    <w:name w:val="A1-1st Leader"/>
    <w:link w:val="A1-1stLeaderChar"/>
    <w:rsid w:val="002A5382"/>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2A5382"/>
    <w:rPr>
      <w:rFonts w:ascii="Arial" w:eastAsia="Times New Roman" w:hAnsi="Arial" w:cs="Times New Roman"/>
      <w:sz w:val="24"/>
      <w:szCs w:val="20"/>
    </w:rPr>
  </w:style>
  <w:style w:type="paragraph" w:customStyle="1" w:styleId="SL-FlLftSgl">
    <w:name w:val="SL-Fl Lft Sgl"/>
    <w:link w:val="SL-FlLftSglChar"/>
    <w:rsid w:val="002A5382"/>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2A5382"/>
    <w:rPr>
      <w:rFonts w:ascii="Arial" w:eastAsia="Times New Roman" w:hAnsi="Arial" w:cs="Times New Roman"/>
      <w:sz w:val="24"/>
      <w:szCs w:val="24"/>
    </w:rPr>
  </w:style>
  <w:style w:type="paragraph" w:customStyle="1" w:styleId="A7">
    <w:name w:val="A7"/>
    <w:basedOn w:val="A1-1stLeader"/>
    <w:link w:val="A7Char"/>
    <w:qFormat/>
    <w:rsid w:val="002A5382"/>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locked/>
    <w:rsid w:val="002A5382"/>
    <w:rPr>
      <w:rFonts w:ascii="Arial" w:eastAsia="Times New Roman" w:hAnsi="Arial" w:cs="Times New Roman"/>
      <w:sz w:val="24"/>
      <w:szCs w:val="20"/>
    </w:rPr>
  </w:style>
  <w:style w:type="paragraph" w:styleId="EndnoteText">
    <w:name w:val="endnote text"/>
    <w:basedOn w:val="Normal"/>
    <w:link w:val="EndnoteTextChar"/>
    <w:uiPriority w:val="99"/>
    <w:unhideWhenUsed/>
    <w:rsid w:val="005062EA"/>
    <w:rPr>
      <w:sz w:val="20"/>
    </w:rPr>
  </w:style>
  <w:style w:type="character" w:customStyle="1" w:styleId="EndnoteTextChar">
    <w:name w:val="Endnote Text Char"/>
    <w:basedOn w:val="DefaultParagraphFont"/>
    <w:link w:val="EndnoteText"/>
    <w:uiPriority w:val="99"/>
    <w:rsid w:val="005062EA"/>
    <w:rPr>
      <w:rFonts w:ascii="Times New Roman" w:eastAsia="Times" w:hAnsi="Times New Roman" w:cs="Times New Roman"/>
      <w:sz w:val="20"/>
      <w:szCs w:val="20"/>
    </w:rPr>
  </w:style>
  <w:style w:type="character" w:styleId="EndnoteReference">
    <w:name w:val="endnote reference"/>
    <w:basedOn w:val="DefaultParagraphFont"/>
    <w:uiPriority w:val="99"/>
    <w:unhideWhenUsed/>
    <w:rsid w:val="005062EA"/>
    <w:rPr>
      <w:vertAlign w:val="superscript"/>
    </w:rPr>
  </w:style>
  <w:style w:type="paragraph" w:styleId="FootnoteText">
    <w:name w:val="footnote text"/>
    <w:basedOn w:val="Normal"/>
    <w:link w:val="FootnoteTextChar"/>
    <w:uiPriority w:val="99"/>
    <w:semiHidden/>
    <w:unhideWhenUsed/>
    <w:rsid w:val="005062EA"/>
    <w:rPr>
      <w:sz w:val="20"/>
    </w:rPr>
  </w:style>
  <w:style w:type="character" w:customStyle="1" w:styleId="FootnoteTextChar">
    <w:name w:val="Footnote Text Char"/>
    <w:basedOn w:val="DefaultParagraphFont"/>
    <w:link w:val="FootnoteText"/>
    <w:uiPriority w:val="99"/>
    <w:semiHidden/>
    <w:rsid w:val="005062EA"/>
    <w:rPr>
      <w:rFonts w:ascii="Times New Roman" w:eastAsia="Times" w:hAnsi="Times New Roman" w:cs="Times New Roman"/>
      <w:sz w:val="20"/>
      <w:szCs w:val="20"/>
    </w:rPr>
  </w:style>
  <w:style w:type="character" w:styleId="FootnoteReference">
    <w:name w:val="footnote reference"/>
    <w:basedOn w:val="DefaultParagraphFont"/>
    <w:uiPriority w:val="99"/>
    <w:semiHidden/>
    <w:unhideWhenUsed/>
    <w:rsid w:val="005062EA"/>
    <w:rPr>
      <w:vertAlign w:val="superscript"/>
    </w:rPr>
  </w:style>
  <w:style w:type="character" w:styleId="Hyperlink">
    <w:name w:val="Hyperlink"/>
    <w:basedOn w:val="DefaultParagraphFont"/>
    <w:rsid w:val="00FA57DE"/>
    <w:rPr>
      <w:color w:val="0033CC"/>
      <w:u w:val="single"/>
    </w:rPr>
  </w:style>
  <w:style w:type="paragraph" w:customStyle="1" w:styleId="BHNormal">
    <w:name w:val="BHNormal"/>
    <w:qFormat/>
    <w:rsid w:val="00FA57DE"/>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8A4E9F"/>
    <w:rPr>
      <w:color w:val="800080" w:themeColor="followedHyperlink"/>
      <w:u w:val="single"/>
    </w:rPr>
  </w:style>
  <w:style w:type="paragraph" w:styleId="Revision">
    <w:name w:val="Revision"/>
    <w:hidden/>
    <w:uiPriority w:val="99"/>
    <w:semiHidden/>
    <w:rsid w:val="002E168E"/>
    <w:pPr>
      <w:spacing w:after="0" w:line="240" w:lineRule="auto"/>
    </w:pPr>
    <w:rPr>
      <w:rFonts w:ascii="Times New Roman" w:eastAsia="Times"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047"/>
    <w:pPr>
      <w:spacing w:after="0" w:line="240" w:lineRule="auto"/>
    </w:pPr>
    <w:rPr>
      <w:rFonts w:ascii="Times New Roman" w:eastAsia="Times" w:hAnsi="Times New Roman" w:cs="Times New Roman"/>
      <w:sz w:val="24"/>
      <w:szCs w:val="20"/>
    </w:rPr>
  </w:style>
  <w:style w:type="paragraph" w:styleId="Heading2">
    <w:name w:val="heading 2"/>
    <w:basedOn w:val="Normal"/>
    <w:next w:val="Normal"/>
    <w:link w:val="Heading2Char"/>
    <w:uiPriority w:val="99"/>
    <w:qFormat/>
    <w:rsid w:val="00AD694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047"/>
    <w:pPr>
      <w:ind w:left="720"/>
      <w:contextualSpacing/>
    </w:pPr>
  </w:style>
  <w:style w:type="paragraph" w:customStyle="1" w:styleId="Default">
    <w:name w:val="Default"/>
    <w:rsid w:val="00F67047"/>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PlainText">
    <w:name w:val="Plain Text"/>
    <w:basedOn w:val="Normal"/>
    <w:link w:val="PlainTextChar"/>
    <w:uiPriority w:val="99"/>
    <w:rsid w:val="00F67047"/>
    <w:rPr>
      <w:rFonts w:ascii="Courier New" w:eastAsia="Times New Roman" w:hAnsi="Courier New"/>
      <w:sz w:val="20"/>
    </w:rPr>
  </w:style>
  <w:style w:type="character" w:customStyle="1" w:styleId="PlainTextChar">
    <w:name w:val="Plain Text Char"/>
    <w:basedOn w:val="DefaultParagraphFont"/>
    <w:link w:val="PlainText"/>
    <w:uiPriority w:val="99"/>
    <w:rsid w:val="00F67047"/>
    <w:rPr>
      <w:rFonts w:ascii="Courier New" w:eastAsia="Times New Roman" w:hAnsi="Courier New" w:cs="Times New Roman"/>
      <w:sz w:val="20"/>
      <w:szCs w:val="20"/>
    </w:rPr>
  </w:style>
  <w:style w:type="paragraph" w:customStyle="1" w:styleId="Pa6">
    <w:name w:val="Pa6"/>
    <w:basedOn w:val="Default"/>
    <w:next w:val="Default"/>
    <w:rsid w:val="00F67047"/>
    <w:pPr>
      <w:widowControl w:val="0"/>
      <w:spacing w:after="80" w:line="321" w:lineRule="atLeast"/>
    </w:pPr>
    <w:rPr>
      <w:rFonts w:ascii="GillSans Light" w:eastAsia="Batang" w:hAnsi="GillSans Light"/>
      <w:color w:val="auto"/>
      <w:lang w:eastAsia="ko-KR"/>
    </w:rPr>
  </w:style>
  <w:style w:type="paragraph" w:customStyle="1" w:styleId="Pa8">
    <w:name w:val="Pa8"/>
    <w:basedOn w:val="Default"/>
    <w:next w:val="Default"/>
    <w:rsid w:val="00F67047"/>
    <w:pPr>
      <w:widowControl w:val="0"/>
      <w:spacing w:after="180" w:line="241" w:lineRule="atLeast"/>
    </w:pPr>
    <w:rPr>
      <w:rFonts w:ascii="GillSans Light" w:eastAsia="Batang" w:hAnsi="GillSans Light"/>
      <w:color w:val="auto"/>
      <w:lang w:eastAsia="ko-KR"/>
    </w:rPr>
  </w:style>
  <w:style w:type="paragraph" w:styleId="Header">
    <w:name w:val="header"/>
    <w:basedOn w:val="Normal"/>
    <w:link w:val="HeaderChar"/>
    <w:uiPriority w:val="99"/>
    <w:unhideWhenUsed/>
    <w:rsid w:val="00E97CB9"/>
    <w:pPr>
      <w:tabs>
        <w:tab w:val="center" w:pos="4680"/>
        <w:tab w:val="right" w:pos="9360"/>
      </w:tabs>
    </w:pPr>
  </w:style>
  <w:style w:type="character" w:customStyle="1" w:styleId="HeaderChar">
    <w:name w:val="Header Char"/>
    <w:basedOn w:val="DefaultParagraphFont"/>
    <w:link w:val="Header"/>
    <w:uiPriority w:val="99"/>
    <w:rsid w:val="00E97CB9"/>
    <w:rPr>
      <w:rFonts w:ascii="Times New Roman" w:eastAsia="Times" w:hAnsi="Times New Roman" w:cs="Times New Roman"/>
      <w:sz w:val="24"/>
      <w:szCs w:val="20"/>
    </w:rPr>
  </w:style>
  <w:style w:type="paragraph" w:styleId="Footer">
    <w:name w:val="footer"/>
    <w:basedOn w:val="Normal"/>
    <w:link w:val="FooterChar"/>
    <w:uiPriority w:val="99"/>
    <w:unhideWhenUsed/>
    <w:rsid w:val="00E97CB9"/>
    <w:pPr>
      <w:tabs>
        <w:tab w:val="center" w:pos="4680"/>
        <w:tab w:val="right" w:pos="9360"/>
      </w:tabs>
    </w:pPr>
  </w:style>
  <w:style w:type="character" w:customStyle="1" w:styleId="FooterChar">
    <w:name w:val="Footer Char"/>
    <w:basedOn w:val="DefaultParagraphFont"/>
    <w:link w:val="Footer"/>
    <w:uiPriority w:val="99"/>
    <w:rsid w:val="00E97CB9"/>
    <w:rPr>
      <w:rFonts w:ascii="Times New Roman" w:eastAsia="Times" w:hAnsi="Times New Roman" w:cs="Times New Roman"/>
      <w:sz w:val="24"/>
      <w:szCs w:val="20"/>
    </w:rPr>
  </w:style>
  <w:style w:type="paragraph" w:styleId="BalloonText">
    <w:name w:val="Balloon Text"/>
    <w:basedOn w:val="Normal"/>
    <w:link w:val="BalloonTextChar"/>
    <w:uiPriority w:val="99"/>
    <w:semiHidden/>
    <w:unhideWhenUsed/>
    <w:rsid w:val="00E97CB9"/>
    <w:rPr>
      <w:rFonts w:ascii="Tahoma" w:hAnsi="Tahoma" w:cs="Tahoma"/>
      <w:sz w:val="16"/>
      <w:szCs w:val="16"/>
    </w:rPr>
  </w:style>
  <w:style w:type="character" w:customStyle="1" w:styleId="BalloonTextChar">
    <w:name w:val="Balloon Text Char"/>
    <w:basedOn w:val="DefaultParagraphFont"/>
    <w:link w:val="BalloonText"/>
    <w:uiPriority w:val="99"/>
    <w:semiHidden/>
    <w:rsid w:val="00E97CB9"/>
    <w:rPr>
      <w:rFonts w:ascii="Tahoma" w:eastAsia="Times" w:hAnsi="Tahoma" w:cs="Tahoma"/>
      <w:sz w:val="16"/>
      <w:szCs w:val="16"/>
    </w:rPr>
  </w:style>
  <w:style w:type="character" w:styleId="CommentReference">
    <w:name w:val="annotation reference"/>
    <w:basedOn w:val="DefaultParagraphFont"/>
    <w:uiPriority w:val="99"/>
    <w:unhideWhenUsed/>
    <w:rsid w:val="00F23269"/>
    <w:rPr>
      <w:sz w:val="16"/>
      <w:szCs w:val="16"/>
    </w:rPr>
  </w:style>
  <w:style w:type="paragraph" w:styleId="CommentText">
    <w:name w:val="annotation text"/>
    <w:basedOn w:val="Normal"/>
    <w:link w:val="CommentTextChar"/>
    <w:uiPriority w:val="99"/>
    <w:unhideWhenUsed/>
    <w:rsid w:val="00F23269"/>
    <w:rPr>
      <w:sz w:val="20"/>
    </w:rPr>
  </w:style>
  <w:style w:type="character" w:customStyle="1" w:styleId="CommentTextChar">
    <w:name w:val="Comment Text Char"/>
    <w:basedOn w:val="DefaultParagraphFont"/>
    <w:link w:val="CommentText"/>
    <w:uiPriority w:val="99"/>
    <w:rsid w:val="00F23269"/>
    <w:rPr>
      <w:rFonts w:ascii="Times New Roman" w:eastAsia="Time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3269"/>
    <w:rPr>
      <w:b/>
      <w:bCs/>
    </w:rPr>
  </w:style>
  <w:style w:type="character" w:customStyle="1" w:styleId="CommentSubjectChar">
    <w:name w:val="Comment Subject Char"/>
    <w:basedOn w:val="CommentTextChar"/>
    <w:link w:val="CommentSubject"/>
    <w:uiPriority w:val="99"/>
    <w:semiHidden/>
    <w:rsid w:val="00F23269"/>
    <w:rPr>
      <w:rFonts w:ascii="Times New Roman" w:eastAsia="Times" w:hAnsi="Times New Roman" w:cs="Times New Roman"/>
      <w:b/>
      <w:bCs/>
      <w:sz w:val="20"/>
      <w:szCs w:val="20"/>
    </w:rPr>
  </w:style>
  <w:style w:type="character" w:customStyle="1" w:styleId="Heading2Char">
    <w:name w:val="Heading 2 Char"/>
    <w:basedOn w:val="DefaultParagraphFont"/>
    <w:link w:val="Heading2"/>
    <w:uiPriority w:val="99"/>
    <w:rsid w:val="00AD694D"/>
    <w:rPr>
      <w:rFonts w:ascii="Arial" w:eastAsia="Times New Roman" w:hAnsi="Arial" w:cs="Arial"/>
      <w:b/>
      <w:bCs/>
      <w:i/>
      <w:iCs/>
      <w:sz w:val="28"/>
      <w:szCs w:val="28"/>
    </w:rPr>
  </w:style>
  <w:style w:type="table" w:styleId="TableGrid">
    <w:name w:val="Table Grid"/>
    <w:basedOn w:val="TableNormal"/>
    <w:uiPriority w:val="59"/>
    <w:rsid w:val="002A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1-FirstLevelQuestion">
    <w:name w:val="Q1-First Level Question"/>
    <w:link w:val="Q1-FirstLevelQuestionChar"/>
    <w:rsid w:val="002A5382"/>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2A5382"/>
    <w:rPr>
      <w:rFonts w:ascii="Arial" w:eastAsia="Times New Roman" w:hAnsi="Arial" w:cs="Times New Roman"/>
      <w:b/>
      <w:sz w:val="24"/>
      <w:szCs w:val="24"/>
    </w:rPr>
  </w:style>
  <w:style w:type="paragraph" w:customStyle="1" w:styleId="A1-1stLeader">
    <w:name w:val="A1-1st Leader"/>
    <w:link w:val="A1-1stLeaderChar"/>
    <w:rsid w:val="002A5382"/>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2A5382"/>
    <w:rPr>
      <w:rFonts w:ascii="Arial" w:eastAsia="Times New Roman" w:hAnsi="Arial" w:cs="Times New Roman"/>
      <w:sz w:val="24"/>
      <w:szCs w:val="20"/>
    </w:rPr>
  </w:style>
  <w:style w:type="paragraph" w:customStyle="1" w:styleId="SL-FlLftSgl">
    <w:name w:val="SL-Fl Lft Sgl"/>
    <w:link w:val="SL-FlLftSglChar"/>
    <w:rsid w:val="002A5382"/>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2A5382"/>
    <w:rPr>
      <w:rFonts w:ascii="Arial" w:eastAsia="Times New Roman" w:hAnsi="Arial" w:cs="Times New Roman"/>
      <w:sz w:val="24"/>
      <w:szCs w:val="24"/>
    </w:rPr>
  </w:style>
  <w:style w:type="paragraph" w:customStyle="1" w:styleId="A7">
    <w:name w:val="A7"/>
    <w:basedOn w:val="A1-1stLeader"/>
    <w:link w:val="A7Char"/>
    <w:qFormat/>
    <w:rsid w:val="002A5382"/>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locked/>
    <w:rsid w:val="002A5382"/>
    <w:rPr>
      <w:rFonts w:ascii="Arial" w:eastAsia="Times New Roman" w:hAnsi="Arial" w:cs="Times New Roman"/>
      <w:sz w:val="24"/>
      <w:szCs w:val="20"/>
    </w:rPr>
  </w:style>
  <w:style w:type="paragraph" w:styleId="EndnoteText">
    <w:name w:val="endnote text"/>
    <w:basedOn w:val="Normal"/>
    <w:link w:val="EndnoteTextChar"/>
    <w:uiPriority w:val="99"/>
    <w:unhideWhenUsed/>
    <w:rsid w:val="005062EA"/>
    <w:rPr>
      <w:sz w:val="20"/>
    </w:rPr>
  </w:style>
  <w:style w:type="character" w:customStyle="1" w:styleId="EndnoteTextChar">
    <w:name w:val="Endnote Text Char"/>
    <w:basedOn w:val="DefaultParagraphFont"/>
    <w:link w:val="EndnoteText"/>
    <w:uiPriority w:val="99"/>
    <w:rsid w:val="005062EA"/>
    <w:rPr>
      <w:rFonts w:ascii="Times New Roman" w:eastAsia="Times" w:hAnsi="Times New Roman" w:cs="Times New Roman"/>
      <w:sz w:val="20"/>
      <w:szCs w:val="20"/>
    </w:rPr>
  </w:style>
  <w:style w:type="character" w:styleId="EndnoteReference">
    <w:name w:val="endnote reference"/>
    <w:basedOn w:val="DefaultParagraphFont"/>
    <w:uiPriority w:val="99"/>
    <w:unhideWhenUsed/>
    <w:rsid w:val="005062EA"/>
    <w:rPr>
      <w:vertAlign w:val="superscript"/>
    </w:rPr>
  </w:style>
  <w:style w:type="paragraph" w:styleId="FootnoteText">
    <w:name w:val="footnote text"/>
    <w:basedOn w:val="Normal"/>
    <w:link w:val="FootnoteTextChar"/>
    <w:uiPriority w:val="99"/>
    <w:semiHidden/>
    <w:unhideWhenUsed/>
    <w:rsid w:val="005062EA"/>
    <w:rPr>
      <w:sz w:val="20"/>
    </w:rPr>
  </w:style>
  <w:style w:type="character" w:customStyle="1" w:styleId="FootnoteTextChar">
    <w:name w:val="Footnote Text Char"/>
    <w:basedOn w:val="DefaultParagraphFont"/>
    <w:link w:val="FootnoteText"/>
    <w:uiPriority w:val="99"/>
    <w:semiHidden/>
    <w:rsid w:val="005062EA"/>
    <w:rPr>
      <w:rFonts w:ascii="Times New Roman" w:eastAsia="Times" w:hAnsi="Times New Roman" w:cs="Times New Roman"/>
      <w:sz w:val="20"/>
      <w:szCs w:val="20"/>
    </w:rPr>
  </w:style>
  <w:style w:type="character" w:styleId="FootnoteReference">
    <w:name w:val="footnote reference"/>
    <w:basedOn w:val="DefaultParagraphFont"/>
    <w:uiPriority w:val="99"/>
    <w:semiHidden/>
    <w:unhideWhenUsed/>
    <w:rsid w:val="005062EA"/>
    <w:rPr>
      <w:vertAlign w:val="superscript"/>
    </w:rPr>
  </w:style>
  <w:style w:type="character" w:styleId="Hyperlink">
    <w:name w:val="Hyperlink"/>
    <w:basedOn w:val="DefaultParagraphFont"/>
    <w:rsid w:val="00FA57DE"/>
    <w:rPr>
      <w:color w:val="0033CC"/>
      <w:u w:val="single"/>
    </w:rPr>
  </w:style>
  <w:style w:type="paragraph" w:customStyle="1" w:styleId="BHNormal">
    <w:name w:val="BHNormal"/>
    <w:qFormat/>
    <w:rsid w:val="00FA57DE"/>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8A4E9F"/>
    <w:rPr>
      <w:color w:val="800080" w:themeColor="followedHyperlink"/>
      <w:u w:val="single"/>
    </w:rPr>
  </w:style>
  <w:style w:type="paragraph" w:styleId="Revision">
    <w:name w:val="Revision"/>
    <w:hidden/>
    <w:uiPriority w:val="99"/>
    <w:semiHidden/>
    <w:rsid w:val="002E168E"/>
    <w:pPr>
      <w:spacing w:after="0" w:line="240" w:lineRule="auto"/>
    </w:pPr>
    <w:rPr>
      <w:rFonts w:ascii="Times New Roman" w:eastAsia="Times"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9424">
      <w:bodyDiv w:val="1"/>
      <w:marLeft w:val="0"/>
      <w:marRight w:val="0"/>
      <w:marTop w:val="0"/>
      <w:marBottom w:val="0"/>
      <w:divBdr>
        <w:top w:val="none" w:sz="0" w:space="0" w:color="auto"/>
        <w:left w:val="none" w:sz="0" w:space="0" w:color="auto"/>
        <w:bottom w:val="none" w:sz="0" w:space="0" w:color="auto"/>
        <w:right w:val="none" w:sz="0" w:space="0" w:color="auto"/>
      </w:divBdr>
    </w:div>
    <w:div w:id="143860779">
      <w:bodyDiv w:val="1"/>
      <w:marLeft w:val="0"/>
      <w:marRight w:val="0"/>
      <w:marTop w:val="0"/>
      <w:marBottom w:val="0"/>
      <w:divBdr>
        <w:top w:val="none" w:sz="0" w:space="0" w:color="auto"/>
        <w:left w:val="none" w:sz="0" w:space="0" w:color="auto"/>
        <w:bottom w:val="none" w:sz="0" w:space="0" w:color="auto"/>
        <w:right w:val="none" w:sz="0" w:space="0" w:color="auto"/>
      </w:divBdr>
    </w:div>
    <w:div w:id="151794163">
      <w:bodyDiv w:val="1"/>
      <w:marLeft w:val="0"/>
      <w:marRight w:val="0"/>
      <w:marTop w:val="0"/>
      <w:marBottom w:val="0"/>
      <w:divBdr>
        <w:top w:val="none" w:sz="0" w:space="0" w:color="auto"/>
        <w:left w:val="none" w:sz="0" w:space="0" w:color="auto"/>
        <w:bottom w:val="none" w:sz="0" w:space="0" w:color="auto"/>
        <w:right w:val="none" w:sz="0" w:space="0" w:color="auto"/>
      </w:divBdr>
    </w:div>
    <w:div w:id="246692737">
      <w:bodyDiv w:val="1"/>
      <w:marLeft w:val="0"/>
      <w:marRight w:val="0"/>
      <w:marTop w:val="0"/>
      <w:marBottom w:val="0"/>
      <w:divBdr>
        <w:top w:val="none" w:sz="0" w:space="0" w:color="auto"/>
        <w:left w:val="none" w:sz="0" w:space="0" w:color="auto"/>
        <w:bottom w:val="none" w:sz="0" w:space="0" w:color="auto"/>
        <w:right w:val="none" w:sz="0" w:space="0" w:color="auto"/>
      </w:divBdr>
    </w:div>
    <w:div w:id="279148585">
      <w:bodyDiv w:val="1"/>
      <w:marLeft w:val="0"/>
      <w:marRight w:val="0"/>
      <w:marTop w:val="0"/>
      <w:marBottom w:val="0"/>
      <w:divBdr>
        <w:top w:val="none" w:sz="0" w:space="0" w:color="auto"/>
        <w:left w:val="none" w:sz="0" w:space="0" w:color="auto"/>
        <w:bottom w:val="none" w:sz="0" w:space="0" w:color="auto"/>
        <w:right w:val="none" w:sz="0" w:space="0" w:color="auto"/>
      </w:divBdr>
    </w:div>
    <w:div w:id="474031175">
      <w:bodyDiv w:val="1"/>
      <w:marLeft w:val="0"/>
      <w:marRight w:val="0"/>
      <w:marTop w:val="0"/>
      <w:marBottom w:val="0"/>
      <w:divBdr>
        <w:top w:val="none" w:sz="0" w:space="0" w:color="auto"/>
        <w:left w:val="none" w:sz="0" w:space="0" w:color="auto"/>
        <w:bottom w:val="none" w:sz="0" w:space="0" w:color="auto"/>
        <w:right w:val="none" w:sz="0" w:space="0" w:color="auto"/>
      </w:divBdr>
    </w:div>
    <w:div w:id="489754119">
      <w:bodyDiv w:val="1"/>
      <w:marLeft w:val="0"/>
      <w:marRight w:val="0"/>
      <w:marTop w:val="0"/>
      <w:marBottom w:val="0"/>
      <w:divBdr>
        <w:top w:val="none" w:sz="0" w:space="0" w:color="auto"/>
        <w:left w:val="none" w:sz="0" w:space="0" w:color="auto"/>
        <w:bottom w:val="none" w:sz="0" w:space="0" w:color="auto"/>
        <w:right w:val="none" w:sz="0" w:space="0" w:color="auto"/>
      </w:divBdr>
    </w:div>
    <w:div w:id="1075588323">
      <w:bodyDiv w:val="1"/>
      <w:marLeft w:val="0"/>
      <w:marRight w:val="0"/>
      <w:marTop w:val="0"/>
      <w:marBottom w:val="0"/>
      <w:divBdr>
        <w:top w:val="none" w:sz="0" w:space="0" w:color="auto"/>
        <w:left w:val="none" w:sz="0" w:space="0" w:color="auto"/>
        <w:bottom w:val="none" w:sz="0" w:space="0" w:color="auto"/>
        <w:right w:val="none" w:sz="0" w:space="0" w:color="auto"/>
      </w:divBdr>
    </w:div>
    <w:div w:id="1123958059">
      <w:bodyDiv w:val="1"/>
      <w:marLeft w:val="0"/>
      <w:marRight w:val="0"/>
      <w:marTop w:val="0"/>
      <w:marBottom w:val="0"/>
      <w:divBdr>
        <w:top w:val="none" w:sz="0" w:space="0" w:color="auto"/>
        <w:left w:val="none" w:sz="0" w:space="0" w:color="auto"/>
        <w:bottom w:val="none" w:sz="0" w:space="0" w:color="auto"/>
        <w:right w:val="none" w:sz="0" w:space="0" w:color="auto"/>
      </w:divBdr>
    </w:div>
    <w:div w:id="1165436019">
      <w:bodyDiv w:val="1"/>
      <w:marLeft w:val="0"/>
      <w:marRight w:val="0"/>
      <w:marTop w:val="0"/>
      <w:marBottom w:val="0"/>
      <w:divBdr>
        <w:top w:val="none" w:sz="0" w:space="0" w:color="auto"/>
        <w:left w:val="none" w:sz="0" w:space="0" w:color="auto"/>
        <w:bottom w:val="none" w:sz="0" w:space="0" w:color="auto"/>
        <w:right w:val="none" w:sz="0" w:space="0" w:color="auto"/>
      </w:divBdr>
    </w:div>
    <w:div w:id="1198667498">
      <w:bodyDiv w:val="1"/>
      <w:marLeft w:val="0"/>
      <w:marRight w:val="0"/>
      <w:marTop w:val="0"/>
      <w:marBottom w:val="0"/>
      <w:divBdr>
        <w:top w:val="none" w:sz="0" w:space="0" w:color="auto"/>
        <w:left w:val="none" w:sz="0" w:space="0" w:color="auto"/>
        <w:bottom w:val="none" w:sz="0" w:space="0" w:color="auto"/>
        <w:right w:val="none" w:sz="0" w:space="0" w:color="auto"/>
      </w:divBdr>
    </w:div>
    <w:div w:id="1330209927">
      <w:bodyDiv w:val="1"/>
      <w:marLeft w:val="0"/>
      <w:marRight w:val="0"/>
      <w:marTop w:val="0"/>
      <w:marBottom w:val="0"/>
      <w:divBdr>
        <w:top w:val="none" w:sz="0" w:space="0" w:color="auto"/>
        <w:left w:val="none" w:sz="0" w:space="0" w:color="auto"/>
        <w:bottom w:val="none" w:sz="0" w:space="0" w:color="auto"/>
        <w:right w:val="none" w:sz="0" w:space="0" w:color="auto"/>
      </w:divBdr>
    </w:div>
    <w:div w:id="1341616183">
      <w:bodyDiv w:val="1"/>
      <w:marLeft w:val="0"/>
      <w:marRight w:val="0"/>
      <w:marTop w:val="0"/>
      <w:marBottom w:val="0"/>
      <w:divBdr>
        <w:top w:val="none" w:sz="0" w:space="0" w:color="auto"/>
        <w:left w:val="none" w:sz="0" w:space="0" w:color="auto"/>
        <w:bottom w:val="none" w:sz="0" w:space="0" w:color="auto"/>
        <w:right w:val="none" w:sz="0" w:space="0" w:color="auto"/>
      </w:divBdr>
    </w:div>
    <w:div w:id="1493712306">
      <w:bodyDiv w:val="1"/>
      <w:marLeft w:val="0"/>
      <w:marRight w:val="0"/>
      <w:marTop w:val="0"/>
      <w:marBottom w:val="0"/>
      <w:divBdr>
        <w:top w:val="none" w:sz="0" w:space="0" w:color="auto"/>
        <w:left w:val="none" w:sz="0" w:space="0" w:color="auto"/>
        <w:bottom w:val="none" w:sz="0" w:space="0" w:color="auto"/>
        <w:right w:val="none" w:sz="0" w:space="0" w:color="auto"/>
      </w:divBdr>
    </w:div>
    <w:div w:id="1621571947">
      <w:bodyDiv w:val="1"/>
      <w:marLeft w:val="0"/>
      <w:marRight w:val="0"/>
      <w:marTop w:val="0"/>
      <w:marBottom w:val="0"/>
      <w:divBdr>
        <w:top w:val="none" w:sz="0" w:space="0" w:color="auto"/>
        <w:left w:val="none" w:sz="0" w:space="0" w:color="auto"/>
        <w:bottom w:val="none" w:sz="0" w:space="0" w:color="auto"/>
        <w:right w:val="none" w:sz="0" w:space="0" w:color="auto"/>
      </w:divBdr>
    </w:div>
    <w:div w:id="1695813186">
      <w:bodyDiv w:val="1"/>
      <w:marLeft w:val="0"/>
      <w:marRight w:val="0"/>
      <w:marTop w:val="0"/>
      <w:marBottom w:val="0"/>
      <w:divBdr>
        <w:top w:val="none" w:sz="0" w:space="0" w:color="auto"/>
        <w:left w:val="none" w:sz="0" w:space="0" w:color="auto"/>
        <w:bottom w:val="none" w:sz="0" w:space="0" w:color="auto"/>
        <w:right w:val="none" w:sz="0" w:space="0" w:color="auto"/>
      </w:divBdr>
    </w:div>
    <w:div w:id="1709065166">
      <w:bodyDiv w:val="1"/>
      <w:marLeft w:val="0"/>
      <w:marRight w:val="0"/>
      <w:marTop w:val="0"/>
      <w:marBottom w:val="0"/>
      <w:divBdr>
        <w:top w:val="none" w:sz="0" w:space="0" w:color="auto"/>
        <w:left w:val="none" w:sz="0" w:space="0" w:color="auto"/>
        <w:bottom w:val="none" w:sz="0" w:space="0" w:color="auto"/>
        <w:right w:val="none" w:sz="0" w:space="0" w:color="auto"/>
      </w:divBdr>
    </w:div>
    <w:div w:id="1721711887">
      <w:bodyDiv w:val="1"/>
      <w:marLeft w:val="0"/>
      <w:marRight w:val="0"/>
      <w:marTop w:val="0"/>
      <w:marBottom w:val="0"/>
      <w:divBdr>
        <w:top w:val="none" w:sz="0" w:space="0" w:color="auto"/>
        <w:left w:val="none" w:sz="0" w:space="0" w:color="auto"/>
        <w:bottom w:val="none" w:sz="0" w:space="0" w:color="auto"/>
        <w:right w:val="none" w:sz="0" w:space="0" w:color="auto"/>
      </w:divBdr>
    </w:div>
    <w:div w:id="2017923120">
      <w:bodyDiv w:val="1"/>
      <w:marLeft w:val="0"/>
      <w:marRight w:val="0"/>
      <w:marTop w:val="0"/>
      <w:marBottom w:val="0"/>
      <w:divBdr>
        <w:top w:val="none" w:sz="0" w:space="0" w:color="auto"/>
        <w:left w:val="none" w:sz="0" w:space="0" w:color="auto"/>
        <w:bottom w:val="none" w:sz="0" w:space="0" w:color="auto"/>
        <w:right w:val="none" w:sz="0" w:space="0" w:color="auto"/>
      </w:divBdr>
    </w:div>
    <w:div w:id="2139833281">
      <w:bodyDiv w:val="1"/>
      <w:marLeft w:val="0"/>
      <w:marRight w:val="0"/>
      <w:marTop w:val="0"/>
      <w:marBottom w:val="0"/>
      <w:divBdr>
        <w:top w:val="none" w:sz="0" w:space="0" w:color="auto"/>
        <w:left w:val="none" w:sz="0" w:space="0" w:color="auto"/>
        <w:bottom w:val="none" w:sz="0" w:space="0" w:color="auto"/>
        <w:right w:val="none" w:sz="0" w:space="0" w:color="auto"/>
      </w:divBdr>
    </w:div>
    <w:div w:id="214237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po.gov/fdsys/pkg/FR-2012-04-26/pdf/2012-10113.pdf"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FR-2012-01-30/pdf/2012-1934.pdf"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riskfactor.cancer.gov/tools/instruments/asa24/" TargetMode="Externa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sa.un.org/unpd/wpp/Excel-Data/mortality.htm" TargetMode="External"/><Relationship Id="rId2" Type="http://schemas.openxmlformats.org/officeDocument/2006/relationships/hyperlink" Target="http://www.cdc.gov/nchs/data/databriefs/db16.htm" TargetMode="External"/><Relationship Id="rId1" Type="http://schemas.openxmlformats.org/officeDocument/2006/relationships/hyperlink" Target="http://www.nlm.nih.gov/medlineplus/ency/article/00148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53C3C-C295-4958-A190-7F0FDC18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4925</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32936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hashemip</cp:lastModifiedBy>
  <cp:revision>5</cp:revision>
  <cp:lastPrinted>2011-08-22T19:25:00Z</cp:lastPrinted>
  <dcterms:created xsi:type="dcterms:W3CDTF">2013-02-04T14:38:00Z</dcterms:created>
  <dcterms:modified xsi:type="dcterms:W3CDTF">2013-03-08T18:25:00Z</dcterms:modified>
</cp:coreProperties>
</file>