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A4" w:rsidRPr="008E1B5D" w:rsidRDefault="00060AA4" w:rsidP="00060AA4">
      <w:pPr>
        <w:spacing w:after="0" w:line="240" w:lineRule="auto"/>
        <w:rPr>
          <w:rFonts w:ascii="Georgia" w:hAnsi="Georgia" w:cs="Times New Roman"/>
          <w:b/>
        </w:rPr>
      </w:pPr>
      <w:r w:rsidRPr="008E1B5D">
        <w:rPr>
          <w:rFonts w:ascii="Georgia" w:hAnsi="Georgia" w:cs="Times New Roman"/>
          <w:b/>
        </w:rPr>
        <w:t xml:space="preserve">From: </w:t>
      </w:r>
      <w:r w:rsidR="00FD5357" w:rsidRPr="00FD5357">
        <w:rPr>
          <w:rFonts w:ascii="Georgia" w:hAnsi="Georgia" w:cs="Times New Roman"/>
        </w:rPr>
        <w:t>DHHS/CMS/OA/CCIIO/</w:t>
      </w:r>
      <w:r w:rsidR="001A6A7D" w:rsidRPr="003C7A68">
        <w:rPr>
          <w:rFonts w:ascii="Georgia" w:hAnsi="Georgia" w:cs="Times New Roman"/>
        </w:rPr>
        <w:t>Office of Health Insurance Exchanges</w:t>
      </w:r>
    </w:p>
    <w:p w:rsidR="00060AA4" w:rsidRPr="008E1B5D" w:rsidRDefault="00060AA4" w:rsidP="00060AA4">
      <w:pPr>
        <w:spacing w:after="0" w:line="240" w:lineRule="auto"/>
        <w:rPr>
          <w:rFonts w:ascii="Georgia" w:hAnsi="Georgia" w:cs="Times New Roman"/>
          <w:b/>
        </w:rPr>
      </w:pPr>
      <w:r w:rsidRPr="008E1B5D">
        <w:rPr>
          <w:rFonts w:ascii="Georgia" w:hAnsi="Georgia" w:cs="Times New Roman"/>
          <w:b/>
        </w:rPr>
        <w:t xml:space="preserve">To: </w:t>
      </w:r>
      <w:r w:rsidR="001A6A7D" w:rsidRPr="003C7A68">
        <w:rPr>
          <w:rFonts w:ascii="Georgia" w:hAnsi="Georgia" w:cs="Times New Roman"/>
        </w:rPr>
        <w:t>Office of Management and Budget</w:t>
      </w:r>
    </w:p>
    <w:p w:rsidR="00060AA4" w:rsidRDefault="00060AA4" w:rsidP="00060AA4">
      <w:pPr>
        <w:spacing w:after="0" w:line="240" w:lineRule="auto"/>
        <w:rPr>
          <w:rFonts w:ascii="Georgia" w:hAnsi="Georgia" w:cs="Times New Roman"/>
          <w:b/>
        </w:rPr>
      </w:pPr>
      <w:r w:rsidRPr="008E1B5D">
        <w:rPr>
          <w:rFonts w:ascii="Georgia" w:hAnsi="Georgia" w:cs="Times New Roman"/>
          <w:b/>
        </w:rPr>
        <w:t xml:space="preserve">Re: </w:t>
      </w:r>
      <w:r w:rsidR="003C7A68" w:rsidRPr="003C7A68">
        <w:rPr>
          <w:rFonts w:ascii="Georgia" w:hAnsi="Georgia" w:cs="Times New Roman"/>
        </w:rPr>
        <w:t>Proposed Revision to Notice of Action</w:t>
      </w:r>
      <w:r w:rsidR="003C7A68">
        <w:rPr>
          <w:rFonts w:ascii="Georgia" w:hAnsi="Georgia" w:cs="Times New Roman"/>
        </w:rPr>
        <w:t>:</w:t>
      </w:r>
      <w:r w:rsidR="003C7A68" w:rsidRPr="003C7A68">
        <w:rPr>
          <w:rFonts w:ascii="Georgia" w:hAnsi="Georgia" w:cs="Times New Roman"/>
        </w:rPr>
        <w:t xml:space="preserve"> </w:t>
      </w:r>
      <w:r w:rsidR="00733F7D">
        <w:rPr>
          <w:rFonts w:ascii="Georgia" w:hAnsi="Georgia" w:cs="Times New Roman"/>
        </w:rPr>
        <w:t xml:space="preserve">Blueprint for Approval of Affordable State-based Exchanges and State Partnership Exchanges (“Blueprint”) </w:t>
      </w:r>
      <w:r w:rsidR="003C7A68">
        <w:rPr>
          <w:rFonts w:ascii="Georgia" w:hAnsi="Georgia" w:cs="Times New Roman"/>
        </w:rPr>
        <w:t>(</w:t>
      </w:r>
      <w:r w:rsidR="001A6A7D" w:rsidRPr="003C7A68">
        <w:rPr>
          <w:rFonts w:ascii="Georgia" w:hAnsi="Georgia" w:cs="Times New Roman"/>
        </w:rPr>
        <w:t xml:space="preserve">OMB Control Number </w:t>
      </w:r>
      <w:r w:rsidR="00733F7D">
        <w:rPr>
          <w:rFonts w:ascii="Georgia" w:hAnsi="Georgia" w:cs="Times New Roman"/>
        </w:rPr>
        <w:t>0938-1172</w:t>
      </w:r>
      <w:r w:rsidR="001A6A7D" w:rsidRPr="003C7A68">
        <w:rPr>
          <w:rFonts w:ascii="Georgia" w:hAnsi="Georgia" w:cs="Times New Roman"/>
        </w:rPr>
        <w:t>)</w:t>
      </w:r>
    </w:p>
    <w:p w:rsidR="00733F7D" w:rsidRDefault="00733F7D" w:rsidP="00060AA4">
      <w:pPr>
        <w:spacing w:after="0" w:line="240" w:lineRule="auto"/>
        <w:rPr>
          <w:rFonts w:ascii="Georgia" w:hAnsi="Georgia" w:cs="Times New Roman"/>
          <w:b/>
        </w:rPr>
      </w:pPr>
    </w:p>
    <w:p w:rsidR="008E1B5D" w:rsidRPr="003C7A68" w:rsidRDefault="003C7A68" w:rsidP="00060AA4">
      <w:pPr>
        <w:spacing w:after="0" w:line="240" w:lineRule="auto"/>
        <w:rPr>
          <w:rFonts w:ascii="Georgia" w:hAnsi="Georgia" w:cs="Times New Roman"/>
        </w:rPr>
      </w:pPr>
      <w:r>
        <w:rPr>
          <w:rFonts w:ascii="Georgia" w:hAnsi="Georgia" w:cs="Times New Roman"/>
          <w:b/>
        </w:rPr>
        <w:t xml:space="preserve">Date: </w:t>
      </w:r>
      <w:r w:rsidR="00733F7D">
        <w:rPr>
          <w:rFonts w:ascii="Georgia" w:hAnsi="Georgia" w:cs="Times New Roman"/>
        </w:rPr>
        <w:t xml:space="preserve">November </w:t>
      </w:r>
      <w:r w:rsidR="000D73DE">
        <w:rPr>
          <w:rFonts w:ascii="Georgia" w:hAnsi="Georgia" w:cs="Times New Roman"/>
        </w:rPr>
        <w:t>15</w:t>
      </w:r>
      <w:r w:rsidR="00733F7D">
        <w:rPr>
          <w:rFonts w:ascii="Georgia" w:hAnsi="Georgia" w:cs="Times New Roman"/>
        </w:rPr>
        <w:t>, 2012</w:t>
      </w:r>
    </w:p>
    <w:p w:rsidR="00D468C0" w:rsidRPr="008E1B5D" w:rsidRDefault="000D73DE" w:rsidP="00060AA4">
      <w:pPr>
        <w:spacing w:after="0" w:line="240" w:lineRule="auto"/>
        <w:rPr>
          <w:rFonts w:ascii="Georgia" w:hAnsi="Georgia" w:cs="Times New Roman"/>
        </w:rPr>
      </w:pPr>
      <w:r>
        <w:rPr>
          <w:rFonts w:ascii="Georgia" w:hAnsi="Georgia" w:cs="Times New Roman"/>
        </w:rPr>
        <w:pict>
          <v:rect id="_x0000_i1025" style="width:0;height:1.5pt" o:hralign="center" o:hrstd="t" o:hr="t" fillcolor="#aca899" stroked="f"/>
        </w:pict>
      </w:r>
    </w:p>
    <w:p w:rsidR="008E1B5D" w:rsidRDefault="008E1B5D" w:rsidP="008E1B5D">
      <w:pPr>
        <w:spacing w:after="0"/>
        <w:rPr>
          <w:rFonts w:ascii="Georgia" w:hAnsi="Georgia" w:cs="Times New Roman"/>
        </w:rPr>
      </w:pPr>
    </w:p>
    <w:p w:rsidR="00733F7D" w:rsidRPr="006D3C90" w:rsidRDefault="00357196" w:rsidP="00733F7D">
      <w:pPr>
        <w:rPr>
          <w:rFonts w:ascii="Arial" w:hAnsi="Arial" w:cs="Arial"/>
        </w:rPr>
      </w:pPr>
      <w:r>
        <w:rPr>
          <w:rFonts w:ascii="Georgia" w:hAnsi="Georgia" w:cs="Times New Roman"/>
          <w:b/>
        </w:rPr>
        <w:t>Summary</w:t>
      </w:r>
      <w:r>
        <w:rPr>
          <w:rFonts w:ascii="Georgia" w:hAnsi="Georgia" w:cs="Times New Roman"/>
        </w:rPr>
        <w:br/>
      </w:r>
      <w:r w:rsidR="00733F7D" w:rsidRPr="006D3C90">
        <w:rPr>
          <w:rFonts w:ascii="Arial" w:hAnsi="Arial" w:cs="Arial"/>
        </w:rPr>
        <w:t>The Affordable Care Act establishes Affordable Insurance Exchanges (Exchanges) to provide individuals and small business employees with access to health insurance coverage beginning January 1, 2014.</w:t>
      </w:r>
      <w:r w:rsidR="00733F7D" w:rsidRPr="00803CA9">
        <w:rPr>
          <w:rStyle w:val="FootnoteReference"/>
          <w:rFonts w:ascii="Arial" w:hAnsi="Arial" w:cs="Arial"/>
        </w:rPr>
        <w:footnoteReference w:id="1"/>
      </w:r>
      <w:r w:rsidR="00733F7D" w:rsidRPr="006D3C90">
        <w:rPr>
          <w:rFonts w:ascii="Arial" w:hAnsi="Arial" w:cs="Arial"/>
        </w:rPr>
        <w:t xml:space="preserve">  </w:t>
      </w:r>
      <w:r w:rsidR="00733F7D">
        <w:rPr>
          <w:rFonts w:ascii="Arial" w:hAnsi="Arial" w:cs="Arial"/>
        </w:rPr>
        <w:t>An</w:t>
      </w:r>
      <w:r w:rsidR="00733F7D" w:rsidRPr="00B01C31">
        <w:rPr>
          <w:rFonts w:ascii="Arial" w:hAnsi="Arial" w:cs="Arial"/>
        </w:rPr>
        <w:t xml:space="preserve"> Exchange </w:t>
      </w:r>
      <w:r w:rsidR="00733F7D">
        <w:rPr>
          <w:rFonts w:ascii="Arial" w:hAnsi="Arial" w:cs="Arial"/>
        </w:rPr>
        <w:t xml:space="preserve">is an entity </w:t>
      </w:r>
      <w:r w:rsidR="00733F7D" w:rsidRPr="00B01C31">
        <w:rPr>
          <w:rFonts w:ascii="Arial" w:hAnsi="Arial" w:cs="Arial"/>
        </w:rPr>
        <w:t>that both facilitates the purchase</w:t>
      </w:r>
      <w:r w:rsidR="00733F7D" w:rsidRPr="004552CD">
        <w:rPr>
          <w:rFonts w:ascii="Arial" w:hAnsi="Arial" w:cs="Arial"/>
        </w:rPr>
        <w:t xml:space="preserve"> of Q</w:t>
      </w:r>
      <w:r w:rsidR="00733F7D">
        <w:rPr>
          <w:rFonts w:ascii="Arial" w:hAnsi="Arial" w:cs="Arial"/>
        </w:rPr>
        <w:t>ualified Health Plans (Q</w:t>
      </w:r>
      <w:r w:rsidR="00733F7D" w:rsidRPr="004552CD">
        <w:rPr>
          <w:rFonts w:ascii="Arial" w:hAnsi="Arial" w:cs="Arial"/>
        </w:rPr>
        <w:t>HP</w:t>
      </w:r>
      <w:r w:rsidR="00733F7D">
        <w:rPr>
          <w:rFonts w:ascii="Arial" w:hAnsi="Arial" w:cs="Arial"/>
        </w:rPr>
        <w:t>)</w:t>
      </w:r>
      <w:r w:rsidR="00733F7D" w:rsidRPr="004552CD">
        <w:rPr>
          <w:rFonts w:ascii="Arial" w:hAnsi="Arial" w:cs="Arial"/>
        </w:rPr>
        <w:t xml:space="preserve"> </w:t>
      </w:r>
      <w:r w:rsidR="00733F7D">
        <w:rPr>
          <w:rFonts w:ascii="Arial" w:hAnsi="Arial" w:cs="Arial"/>
        </w:rPr>
        <w:t>by qualified individuals and</w:t>
      </w:r>
      <w:r w:rsidR="00733F7D" w:rsidRPr="004552CD">
        <w:rPr>
          <w:rFonts w:ascii="Arial" w:hAnsi="Arial" w:cs="Arial"/>
        </w:rPr>
        <w:t xml:space="preserve"> provides for the establishment of a Small Business Health Options Program (SHOP), consistent with Affordable Care Act</w:t>
      </w:r>
      <w:r w:rsidR="00733F7D">
        <w:rPr>
          <w:rFonts w:ascii="Arial" w:hAnsi="Arial" w:cs="Arial"/>
        </w:rPr>
        <w:t xml:space="preserve"> </w:t>
      </w:r>
      <w:r w:rsidR="00733F7D" w:rsidRPr="004552CD">
        <w:rPr>
          <w:rFonts w:ascii="Arial" w:hAnsi="Arial" w:cs="Arial"/>
        </w:rPr>
        <w:t xml:space="preserve">1311(b) </w:t>
      </w:r>
      <w:r w:rsidR="00733F7D">
        <w:rPr>
          <w:rFonts w:ascii="Arial" w:hAnsi="Arial" w:cs="Arial"/>
        </w:rPr>
        <w:t>and 45 CFR 155.20</w:t>
      </w:r>
      <w:r w:rsidR="00733F7D" w:rsidRPr="004552CD">
        <w:rPr>
          <w:rFonts w:ascii="Arial" w:hAnsi="Arial" w:cs="Arial"/>
        </w:rPr>
        <w:t xml:space="preserve">.  </w:t>
      </w:r>
      <w:r w:rsidR="00733F7D" w:rsidRPr="006D3C90">
        <w:rPr>
          <w:rFonts w:ascii="Arial" w:hAnsi="Arial" w:cs="Arial"/>
        </w:rPr>
        <w:t xml:space="preserve">Exchanges will provide competitive marketplaces for individuals and small employers to directly compare </w:t>
      </w:r>
      <w:r w:rsidR="00733F7D">
        <w:rPr>
          <w:rFonts w:ascii="Arial" w:hAnsi="Arial" w:cs="Arial"/>
        </w:rPr>
        <w:t xml:space="preserve">and purchase </w:t>
      </w:r>
      <w:r w:rsidR="00733F7D" w:rsidRPr="006D3C90">
        <w:rPr>
          <w:rFonts w:ascii="Arial" w:hAnsi="Arial" w:cs="Arial"/>
        </w:rPr>
        <w:t>priv</w:t>
      </w:r>
      <w:r w:rsidR="00733F7D">
        <w:rPr>
          <w:rFonts w:ascii="Arial" w:hAnsi="Arial" w:cs="Arial"/>
        </w:rPr>
        <w:t xml:space="preserve">ate health insurance options based on </w:t>
      </w:r>
      <w:r w:rsidR="00733F7D" w:rsidRPr="006D3C90">
        <w:rPr>
          <w:rFonts w:ascii="Arial" w:hAnsi="Arial" w:cs="Arial"/>
        </w:rPr>
        <w:t xml:space="preserve">price, quality, and other factors.  </w:t>
      </w:r>
      <w:r w:rsidR="00733F7D">
        <w:rPr>
          <w:rFonts w:ascii="Arial" w:hAnsi="Arial" w:cs="Arial"/>
        </w:rPr>
        <w:t>Exchanges are integral to the Affordable Care Act’s goal of prohibiting discrimination against people with pre-existing conditions and insuring all Americans.</w:t>
      </w:r>
    </w:p>
    <w:p w:rsidR="00733F7D" w:rsidRDefault="00733F7D" w:rsidP="00733F7D">
      <w:pPr>
        <w:rPr>
          <w:rFonts w:ascii="Arial" w:hAnsi="Arial" w:cs="Arial"/>
        </w:rPr>
      </w:pPr>
      <w:r w:rsidRPr="006D3C90">
        <w:rPr>
          <w:rFonts w:ascii="Arial" w:hAnsi="Arial" w:cs="Arial"/>
        </w:rPr>
        <w:t xml:space="preserve">The Affordable Care Act </w:t>
      </w:r>
      <w:r>
        <w:rPr>
          <w:rFonts w:ascii="Arial" w:hAnsi="Arial" w:cs="Arial"/>
        </w:rPr>
        <w:t>provides S</w:t>
      </w:r>
      <w:r w:rsidRPr="00803CA9">
        <w:rPr>
          <w:rFonts w:ascii="Arial" w:hAnsi="Arial" w:cs="Arial"/>
        </w:rPr>
        <w:t>ta</w:t>
      </w:r>
      <w:r>
        <w:rPr>
          <w:rFonts w:ascii="Arial" w:hAnsi="Arial" w:cs="Arial"/>
        </w:rPr>
        <w:t>tes with significant flexibility in the design and operation of their Exchange to best meet the</w:t>
      </w:r>
      <w:r w:rsidRPr="00F83FE9">
        <w:rPr>
          <w:rFonts w:ascii="Arial" w:hAnsi="Arial" w:cs="Arial"/>
        </w:rPr>
        <w:t xml:space="preserve"> unique needs </w:t>
      </w:r>
      <w:r>
        <w:rPr>
          <w:rFonts w:ascii="Arial" w:hAnsi="Arial" w:cs="Arial"/>
        </w:rPr>
        <w:t>of their citizens and their marketplace.  States can choose to operate as a</w:t>
      </w:r>
      <w:r w:rsidRPr="00F83FE9">
        <w:rPr>
          <w:rFonts w:ascii="Arial" w:hAnsi="Arial" w:cs="Arial"/>
        </w:rPr>
        <w:t xml:space="preserve"> State-based </w:t>
      </w:r>
      <w:r>
        <w:rPr>
          <w:rFonts w:ascii="Arial" w:hAnsi="Arial" w:cs="Arial"/>
        </w:rPr>
        <w:t>Exchange, or</w:t>
      </w:r>
      <w:r w:rsidRPr="00F83FE9">
        <w:rPr>
          <w:rFonts w:ascii="Arial" w:hAnsi="Arial" w:cs="Arial"/>
        </w:rPr>
        <w:t xml:space="preserve"> the Secretary o</w:t>
      </w:r>
      <w:r>
        <w:rPr>
          <w:rFonts w:ascii="Arial" w:hAnsi="Arial" w:cs="Arial"/>
        </w:rPr>
        <w:t>f the Department of Health &amp; Human Services (HHS) will establish and operate a</w:t>
      </w:r>
      <w:r w:rsidRPr="00F83FE9">
        <w:rPr>
          <w:rFonts w:ascii="Arial" w:hAnsi="Arial" w:cs="Arial"/>
        </w:rPr>
        <w:t xml:space="preserve"> </w:t>
      </w:r>
      <w:r>
        <w:rPr>
          <w:rFonts w:ascii="Arial" w:hAnsi="Arial" w:cs="Arial"/>
        </w:rPr>
        <w:t>Federally-facilitated Exchange</w:t>
      </w:r>
      <w:r w:rsidRPr="00F83FE9">
        <w:rPr>
          <w:rFonts w:ascii="Arial" w:hAnsi="Arial" w:cs="Arial"/>
        </w:rPr>
        <w:t xml:space="preserve"> in any State that does not</w:t>
      </w:r>
      <w:r w:rsidRPr="00F27301">
        <w:rPr>
          <w:rFonts w:ascii="Arial" w:hAnsi="Arial" w:cs="Arial"/>
        </w:rPr>
        <w:t xml:space="preserve"> elect to operate a</w:t>
      </w:r>
      <w:r>
        <w:rPr>
          <w:rFonts w:ascii="Arial" w:hAnsi="Arial" w:cs="Arial"/>
        </w:rPr>
        <w:t xml:space="preserve"> State-based </w:t>
      </w:r>
      <w:r w:rsidRPr="00FD0C61">
        <w:rPr>
          <w:rFonts w:ascii="Arial" w:hAnsi="Arial" w:cs="Arial"/>
        </w:rPr>
        <w:t xml:space="preserve">Exchange.  In a Federally-facilitated Exchange, the State may pursue a State Partnership Exchange, </w:t>
      </w:r>
      <w:r w:rsidRPr="00605276">
        <w:rPr>
          <w:rFonts w:ascii="Arial" w:hAnsi="Arial" w:cs="Arial"/>
        </w:rPr>
        <w:t xml:space="preserve">where a State </w:t>
      </w:r>
      <w:r>
        <w:rPr>
          <w:rFonts w:ascii="Arial" w:hAnsi="Arial" w:cs="Arial"/>
        </w:rPr>
        <w:t>may administer and operate</w:t>
      </w:r>
      <w:r w:rsidRPr="00FD0C61">
        <w:rPr>
          <w:rFonts w:ascii="Arial" w:hAnsi="Arial" w:cs="Arial"/>
        </w:rPr>
        <w:t xml:space="preserve"> Exchange activities associated with plan management and/or consumer assistance.  States</w:t>
      </w:r>
      <w:r>
        <w:rPr>
          <w:rFonts w:ascii="Arial" w:hAnsi="Arial" w:cs="Arial"/>
        </w:rPr>
        <w:t xml:space="preserve"> that elect to participate in a State Partnership Exchange will administer these functions in both the individual and the small group market.  </w:t>
      </w:r>
    </w:p>
    <w:p w:rsidR="00733F7D" w:rsidRDefault="00733F7D" w:rsidP="00733F7D">
      <w:pPr>
        <w:rPr>
          <w:rFonts w:ascii="Arial" w:hAnsi="Arial" w:cs="Arial"/>
        </w:rPr>
      </w:pPr>
      <w:r w:rsidRPr="00DC77C4">
        <w:rPr>
          <w:rFonts w:ascii="Arial" w:hAnsi="Arial" w:cs="Arial"/>
        </w:rPr>
        <w:t>Regulations implementing the Affordable Care Act require HHS to Approve or Conditionally Approve State-based Exchanges no later than January 1, 2013, for operation in 2014.  In addition, the Affordable Care Act 1321(c)(1) (B)(ii)(I) directs the Secretary to make a determination regarding whether the State will operate reinsurance and/or</w:t>
      </w:r>
      <w:r>
        <w:rPr>
          <w:rFonts w:ascii="Arial" w:hAnsi="Arial" w:cs="Arial"/>
        </w:rPr>
        <w:t xml:space="preserve"> risk adjustment programs or will</w:t>
      </w:r>
      <w:r w:rsidRPr="00DC77C4">
        <w:rPr>
          <w:rFonts w:ascii="Arial" w:hAnsi="Arial" w:cs="Arial"/>
        </w:rPr>
        <w:t xml:space="preserve"> use Federal government services for these activities. To receive HHS Ap</w:t>
      </w:r>
      <w:r>
        <w:rPr>
          <w:rFonts w:ascii="Arial" w:hAnsi="Arial" w:cs="Arial"/>
        </w:rPr>
        <w:t>p</w:t>
      </w:r>
      <w:r w:rsidRPr="00DC77C4">
        <w:rPr>
          <w:rFonts w:ascii="Arial" w:hAnsi="Arial" w:cs="Arial"/>
        </w:rPr>
        <w:t xml:space="preserve">roval </w:t>
      </w:r>
      <w:r>
        <w:rPr>
          <w:rFonts w:ascii="Arial" w:hAnsi="Arial" w:cs="Arial"/>
        </w:rPr>
        <w:t xml:space="preserve">or Conditional Approval </w:t>
      </w:r>
      <w:r w:rsidRPr="00DC77C4">
        <w:rPr>
          <w:rFonts w:ascii="Arial" w:hAnsi="Arial" w:cs="Arial"/>
        </w:rPr>
        <w:t>for a State-based Exchange or a State Partnership Exchange, as well as reinsurance and risk adjustment programs</w:t>
      </w:r>
      <w:r>
        <w:rPr>
          <w:rStyle w:val="FootnoteReference"/>
          <w:rFonts w:ascii="Arial" w:hAnsi="Arial" w:cs="Arial"/>
        </w:rPr>
        <w:footnoteReference w:id="2"/>
      </w:r>
      <w:r w:rsidRPr="00DC77C4">
        <w:rPr>
          <w:rFonts w:ascii="Arial" w:hAnsi="Arial" w:cs="Arial"/>
        </w:rPr>
        <w:t xml:space="preserve">, a State must complete and submit an Exchange Blueprint that documents how </w:t>
      </w:r>
      <w:proofErr w:type="gramStart"/>
      <w:r w:rsidRPr="00DC77C4">
        <w:rPr>
          <w:rFonts w:ascii="Arial" w:hAnsi="Arial" w:cs="Arial"/>
        </w:rPr>
        <w:t>its</w:t>
      </w:r>
      <w:proofErr w:type="gramEnd"/>
      <w:r w:rsidRPr="00DC77C4">
        <w:rPr>
          <w:rFonts w:ascii="Arial" w:hAnsi="Arial" w:cs="Arial"/>
        </w:rPr>
        <w:t xml:space="preserve"> Exchange meets or will meet all legal and operational requirements associated with the model it chooses to pursue.  As part of its</w:t>
      </w:r>
      <w:r>
        <w:rPr>
          <w:rFonts w:ascii="Arial" w:hAnsi="Arial" w:cs="Arial"/>
        </w:rPr>
        <w:t xml:space="preserve"> Exchange Blueprint, a State will also </w:t>
      </w:r>
      <w:r w:rsidRPr="00F27301">
        <w:rPr>
          <w:rFonts w:ascii="Arial" w:hAnsi="Arial" w:cs="Arial"/>
        </w:rPr>
        <w:t>demo</w:t>
      </w:r>
      <w:r>
        <w:rPr>
          <w:rFonts w:ascii="Arial" w:hAnsi="Arial" w:cs="Arial"/>
        </w:rPr>
        <w:t>nstrate operational readiness to execute Exchange activities</w:t>
      </w:r>
      <w:r w:rsidRPr="00F27301">
        <w:rPr>
          <w:rFonts w:ascii="Arial" w:hAnsi="Arial" w:cs="Arial"/>
        </w:rPr>
        <w:t>.</w:t>
      </w:r>
      <w:r w:rsidRPr="00F27301">
        <w:rPr>
          <w:rStyle w:val="FootnoteReference"/>
          <w:rFonts w:ascii="Arial" w:hAnsi="Arial" w:cs="Arial"/>
        </w:rPr>
        <w:footnoteReference w:id="3"/>
      </w:r>
      <w:r w:rsidR="004E2ABE">
        <w:rPr>
          <w:rFonts w:ascii="Arial" w:hAnsi="Arial" w:cs="Arial"/>
        </w:rPr>
        <w:t xml:space="preserve"> The Exchange Blueprint has two components: 1) a Declaration Letter declaring the proposed State Model; and 2) a Blueprint Application. </w:t>
      </w:r>
    </w:p>
    <w:p w:rsidR="00733F7D" w:rsidRPr="00B80E65" w:rsidRDefault="00B01D09" w:rsidP="00733F7D">
      <w:pPr>
        <w:rPr>
          <w:rFonts w:ascii="Arial" w:hAnsi="Arial" w:cs="Arial"/>
        </w:rPr>
      </w:pPr>
      <w:r>
        <w:rPr>
          <w:rFonts w:ascii="Arial" w:hAnsi="Arial" w:cs="Arial"/>
        </w:rPr>
        <w:lastRenderedPageBreak/>
        <w:t xml:space="preserve">Currently, </w:t>
      </w:r>
      <w:r w:rsidR="00733F7D" w:rsidRPr="004552CD">
        <w:rPr>
          <w:rFonts w:ascii="Arial" w:hAnsi="Arial" w:cs="Arial"/>
        </w:rPr>
        <w:t xml:space="preserve">States </w:t>
      </w:r>
      <w:r w:rsidR="00733F7D">
        <w:rPr>
          <w:rFonts w:ascii="Arial" w:hAnsi="Arial" w:cs="Arial"/>
        </w:rPr>
        <w:t>seeking</w:t>
      </w:r>
      <w:r w:rsidR="00733F7D" w:rsidRPr="004552CD">
        <w:rPr>
          <w:rFonts w:ascii="Arial" w:hAnsi="Arial" w:cs="Arial"/>
        </w:rPr>
        <w:t xml:space="preserve"> </w:t>
      </w:r>
      <w:r w:rsidR="00733F7D">
        <w:rPr>
          <w:rFonts w:ascii="Arial" w:hAnsi="Arial" w:cs="Arial"/>
        </w:rPr>
        <w:t xml:space="preserve">to </w:t>
      </w:r>
      <w:r w:rsidR="00733F7D" w:rsidRPr="004552CD">
        <w:rPr>
          <w:rFonts w:ascii="Arial" w:hAnsi="Arial" w:cs="Arial"/>
        </w:rPr>
        <w:t xml:space="preserve">operate a </w:t>
      </w:r>
      <w:r w:rsidR="00733F7D">
        <w:rPr>
          <w:rFonts w:ascii="Arial" w:hAnsi="Arial" w:cs="Arial"/>
        </w:rPr>
        <w:t>State-based Exchange</w:t>
      </w:r>
      <w:r w:rsidR="00733F7D" w:rsidRPr="004552CD">
        <w:rPr>
          <w:rFonts w:ascii="Arial" w:hAnsi="Arial" w:cs="Arial"/>
        </w:rPr>
        <w:t xml:space="preserve"> </w:t>
      </w:r>
      <w:r w:rsidR="00733F7D" w:rsidRPr="00B80E65">
        <w:rPr>
          <w:rFonts w:ascii="Arial" w:hAnsi="Arial" w:cs="Arial"/>
        </w:rPr>
        <w:t>or electing to participate in a State Partnership Exchange must submit a complete Exchange Blueprint no later than 30 busin</w:t>
      </w:r>
      <w:r w:rsidR="00733F7D">
        <w:rPr>
          <w:rFonts w:ascii="Arial" w:hAnsi="Arial" w:cs="Arial"/>
        </w:rPr>
        <w:t>ess days prior to the required a</w:t>
      </w:r>
      <w:r w:rsidR="00733F7D" w:rsidRPr="00B80E65">
        <w:rPr>
          <w:rFonts w:ascii="Arial" w:hAnsi="Arial" w:cs="Arial"/>
        </w:rPr>
        <w:t>pproval date of January 1</w:t>
      </w:r>
      <w:r w:rsidR="00A74899">
        <w:rPr>
          <w:rFonts w:ascii="Arial" w:hAnsi="Arial" w:cs="Arial"/>
        </w:rPr>
        <w:t>, 2013</w:t>
      </w:r>
      <w:r w:rsidR="00733F7D" w:rsidRPr="00B80E65">
        <w:rPr>
          <w:rFonts w:ascii="Arial" w:hAnsi="Arial" w:cs="Arial"/>
        </w:rPr>
        <w:t xml:space="preserve"> (November 16, 2012</w:t>
      </w:r>
      <w:r w:rsidR="00733F7D">
        <w:rPr>
          <w:rFonts w:ascii="Arial" w:hAnsi="Arial" w:cs="Arial"/>
        </w:rPr>
        <w:t>,</w:t>
      </w:r>
      <w:r w:rsidR="00733F7D" w:rsidRPr="00D7387F">
        <w:rPr>
          <w:rFonts w:ascii="Arial" w:hAnsi="Arial" w:cs="Arial"/>
        </w:rPr>
        <w:t xml:space="preserve"> </w:t>
      </w:r>
      <w:r w:rsidR="00733F7D" w:rsidRPr="00B80E65">
        <w:rPr>
          <w:rFonts w:ascii="Arial" w:hAnsi="Arial" w:cs="Arial"/>
        </w:rPr>
        <w:t xml:space="preserve">for plan year 2014).  </w:t>
      </w:r>
    </w:p>
    <w:p w:rsidR="00357196" w:rsidRPr="008E1B5D" w:rsidRDefault="00733DE1" w:rsidP="00357196">
      <w:pPr>
        <w:spacing w:after="0"/>
        <w:rPr>
          <w:rFonts w:ascii="Georgia" w:hAnsi="Georgia" w:cs="Times New Roman"/>
        </w:rPr>
      </w:pPr>
      <w:r w:rsidRPr="008E1B5D">
        <w:rPr>
          <w:rFonts w:ascii="Georgia" w:hAnsi="Georgia" w:cs="Times New Roman"/>
        </w:rPr>
        <w:t>In the months following the publication of</w:t>
      </w:r>
      <w:r w:rsidR="007E2C88">
        <w:rPr>
          <w:rFonts w:ascii="Georgia" w:hAnsi="Georgia" w:cs="Times New Roman"/>
        </w:rPr>
        <w:t xml:space="preserve"> </w:t>
      </w:r>
      <w:r w:rsidR="00733F7D">
        <w:rPr>
          <w:rFonts w:ascii="Georgia" w:hAnsi="Georgia" w:cs="Times New Roman"/>
        </w:rPr>
        <w:t>the Blueprint</w:t>
      </w:r>
      <w:r w:rsidR="003D5738" w:rsidRPr="008E1B5D">
        <w:rPr>
          <w:rFonts w:ascii="Georgia" w:hAnsi="Georgia" w:cs="Times New Roman"/>
        </w:rPr>
        <w:t xml:space="preserve"> we have learned more about the</w:t>
      </w:r>
      <w:r w:rsidR="00733F7D">
        <w:rPr>
          <w:rFonts w:ascii="Georgia" w:hAnsi="Georgia" w:cs="Times New Roman"/>
        </w:rPr>
        <w:t xml:space="preserve"> business and operational decisions and</w:t>
      </w:r>
      <w:r w:rsidRPr="008E1B5D">
        <w:rPr>
          <w:rFonts w:ascii="Georgia" w:hAnsi="Georgia" w:cs="Times New Roman"/>
        </w:rPr>
        <w:t xml:space="preserve"> flexibility available to States as they work to establish Exchanges. </w:t>
      </w:r>
      <w:r w:rsidR="003D5738" w:rsidRPr="008E1B5D">
        <w:rPr>
          <w:rFonts w:ascii="Georgia" w:hAnsi="Georgia" w:cs="Times New Roman"/>
        </w:rPr>
        <w:t xml:space="preserve">As a result </w:t>
      </w:r>
      <w:r w:rsidR="00733F7D">
        <w:rPr>
          <w:rFonts w:ascii="Georgia" w:hAnsi="Georgia" w:cs="Times New Roman"/>
        </w:rPr>
        <w:t xml:space="preserve">we would like to change the Blueprint to expand the deadlines for both State-based Exchanges and State Partnership Exchanges to reflect changes in policy. </w:t>
      </w:r>
      <w:r w:rsidR="007E2C88">
        <w:rPr>
          <w:rFonts w:ascii="Georgia" w:hAnsi="Georgia" w:cs="Times New Roman"/>
        </w:rPr>
        <w:br/>
      </w:r>
      <w:r w:rsidR="007E2C88">
        <w:rPr>
          <w:rFonts w:ascii="Georgia" w:hAnsi="Georgia" w:cs="Times New Roman"/>
        </w:rPr>
        <w:br/>
        <w:t xml:space="preserve">We do not anticipate </w:t>
      </w:r>
      <w:r w:rsidR="00357196">
        <w:rPr>
          <w:rFonts w:ascii="Georgia" w:hAnsi="Georgia" w:cs="Times New Roman"/>
        </w:rPr>
        <w:t xml:space="preserve">that this amendment will result in </w:t>
      </w:r>
      <w:r w:rsidR="007E2C88">
        <w:rPr>
          <w:rFonts w:ascii="Georgia" w:hAnsi="Georgia" w:cs="Times New Roman"/>
        </w:rPr>
        <w:t xml:space="preserve">a significant change in the burden </w:t>
      </w:r>
      <w:r w:rsidR="00357196">
        <w:rPr>
          <w:rFonts w:ascii="Georgia" w:hAnsi="Georgia" w:cs="Times New Roman"/>
        </w:rPr>
        <w:t xml:space="preserve">to respondents.  </w:t>
      </w:r>
      <w:r w:rsidR="00357196" w:rsidRPr="008E1B5D">
        <w:rPr>
          <w:rFonts w:ascii="Georgia" w:hAnsi="Georgia" w:cs="Times New Roman"/>
        </w:rPr>
        <w:t xml:space="preserve">We are requesting that the PRA revision for this amendment be approved and issued by </w:t>
      </w:r>
      <w:r w:rsidR="00733F7D">
        <w:rPr>
          <w:rFonts w:ascii="Georgia" w:hAnsi="Georgia" w:cs="Times New Roman"/>
        </w:rPr>
        <w:t>November</w:t>
      </w:r>
      <w:r w:rsidR="000D73DE">
        <w:rPr>
          <w:rFonts w:ascii="Georgia" w:hAnsi="Georgia" w:cs="Times New Roman"/>
        </w:rPr>
        <w:t xml:space="preserve"> 15</w:t>
      </w:r>
      <w:r w:rsidR="00A76990">
        <w:rPr>
          <w:rFonts w:ascii="Georgia" w:hAnsi="Georgia" w:cs="Times New Roman"/>
        </w:rPr>
        <w:t>, 2012</w:t>
      </w:r>
      <w:r w:rsidR="00357196" w:rsidRPr="008E1B5D">
        <w:rPr>
          <w:rFonts w:ascii="Georgia" w:hAnsi="Georgia" w:cs="Times New Roman"/>
        </w:rPr>
        <w:t xml:space="preserve"> so that</w:t>
      </w:r>
      <w:r w:rsidR="00733F7D">
        <w:rPr>
          <w:rFonts w:ascii="Georgia" w:hAnsi="Georgia" w:cs="Times New Roman"/>
        </w:rPr>
        <w:t xml:space="preserve"> States are aware of the extended deadlines prior to the current due date of November 16</w:t>
      </w:r>
      <w:r w:rsidR="00733F7D" w:rsidRPr="00733F7D">
        <w:rPr>
          <w:rFonts w:ascii="Georgia" w:hAnsi="Georgia" w:cs="Times New Roman"/>
          <w:vertAlign w:val="superscript"/>
        </w:rPr>
        <w:t>th</w:t>
      </w:r>
      <w:r w:rsidR="00733F7D">
        <w:rPr>
          <w:rFonts w:ascii="Georgia" w:hAnsi="Georgia" w:cs="Times New Roman"/>
        </w:rPr>
        <w:t>, 2012.</w:t>
      </w:r>
      <w:r w:rsidR="00357196" w:rsidRPr="008E1B5D">
        <w:rPr>
          <w:rFonts w:ascii="Georgia" w:hAnsi="Georgia" w:cs="Times New Roman"/>
        </w:rPr>
        <w:t xml:space="preserve"> </w:t>
      </w:r>
    </w:p>
    <w:p w:rsidR="00733F7D" w:rsidRDefault="00733F7D" w:rsidP="00357196">
      <w:pPr>
        <w:spacing w:after="0"/>
        <w:rPr>
          <w:rFonts w:ascii="Georgia" w:hAnsi="Georgia" w:cs="Times New Roman"/>
          <w:b/>
        </w:rPr>
      </w:pPr>
    </w:p>
    <w:p w:rsidR="007E2C88" w:rsidRPr="007E2C88" w:rsidRDefault="007E2C88" w:rsidP="00357196">
      <w:pPr>
        <w:spacing w:after="0"/>
        <w:rPr>
          <w:rFonts w:ascii="Georgia" w:hAnsi="Georgia" w:cs="Times New Roman"/>
          <w:b/>
        </w:rPr>
      </w:pPr>
      <w:r>
        <w:rPr>
          <w:rFonts w:ascii="Georgia" w:hAnsi="Georgia" w:cs="Times New Roman"/>
          <w:b/>
        </w:rPr>
        <w:t>Amendments</w:t>
      </w:r>
    </w:p>
    <w:p w:rsidR="00341457" w:rsidRPr="008E1B5D" w:rsidRDefault="007E2C88" w:rsidP="008E1B5D">
      <w:pPr>
        <w:rPr>
          <w:rFonts w:ascii="Georgia" w:hAnsi="Georgia" w:cs="Times New Roman"/>
        </w:rPr>
      </w:pPr>
      <w:r>
        <w:rPr>
          <w:rFonts w:ascii="Georgia" w:hAnsi="Georgia" w:cs="Times New Roman"/>
        </w:rPr>
        <w:t>A</w:t>
      </w:r>
      <w:r w:rsidR="00341457" w:rsidRPr="008E1B5D">
        <w:rPr>
          <w:rFonts w:ascii="Georgia" w:hAnsi="Georgia" w:cs="Times New Roman"/>
        </w:rPr>
        <w:t>m</w:t>
      </w:r>
      <w:r w:rsidR="00C268B3">
        <w:rPr>
          <w:rFonts w:ascii="Georgia" w:hAnsi="Georgia" w:cs="Times New Roman"/>
        </w:rPr>
        <w:t>endments are needed around two</w:t>
      </w:r>
      <w:r w:rsidR="00341457" w:rsidRPr="008E1B5D">
        <w:rPr>
          <w:rFonts w:ascii="Georgia" w:hAnsi="Georgia" w:cs="Times New Roman"/>
        </w:rPr>
        <w:t xml:space="preserve"> issues</w:t>
      </w:r>
      <w:r w:rsidR="00876FE1" w:rsidRPr="008E1B5D">
        <w:rPr>
          <w:rFonts w:ascii="Georgia" w:hAnsi="Georgia" w:cs="Times New Roman"/>
        </w:rPr>
        <w:t xml:space="preserve">: </w:t>
      </w:r>
    </w:p>
    <w:p w:rsidR="00341457" w:rsidRPr="008E1B5D" w:rsidRDefault="00876FE1" w:rsidP="008E1B5D">
      <w:pPr>
        <w:spacing w:after="0"/>
        <w:ind w:left="720"/>
        <w:rPr>
          <w:rFonts w:ascii="Georgia" w:hAnsi="Georgia" w:cs="Times New Roman"/>
        </w:rPr>
      </w:pPr>
      <w:r w:rsidRPr="008E1B5D">
        <w:rPr>
          <w:rFonts w:ascii="Georgia" w:hAnsi="Georgia" w:cs="Times New Roman"/>
        </w:rPr>
        <w:t xml:space="preserve">1) Extending the </w:t>
      </w:r>
      <w:r w:rsidR="00733F7D">
        <w:rPr>
          <w:rFonts w:ascii="Georgia" w:hAnsi="Georgia" w:cs="Times New Roman"/>
        </w:rPr>
        <w:t xml:space="preserve">Blueprint </w:t>
      </w:r>
      <w:r w:rsidR="000D73DE">
        <w:rPr>
          <w:rFonts w:ascii="Georgia" w:hAnsi="Georgia" w:cs="Times New Roman"/>
        </w:rPr>
        <w:t>Declaration Letter</w:t>
      </w:r>
      <w:r w:rsidRPr="008E1B5D">
        <w:rPr>
          <w:rFonts w:ascii="Georgia" w:hAnsi="Georgia" w:cs="Times New Roman"/>
        </w:rPr>
        <w:t xml:space="preserve"> deadline </w:t>
      </w:r>
      <w:r w:rsidR="00733F7D">
        <w:rPr>
          <w:rFonts w:ascii="Georgia" w:hAnsi="Georgia" w:cs="Times New Roman"/>
        </w:rPr>
        <w:t>to December 14</w:t>
      </w:r>
      <w:r w:rsidR="00733F7D" w:rsidRPr="00733F7D">
        <w:rPr>
          <w:rFonts w:ascii="Georgia" w:hAnsi="Georgia" w:cs="Times New Roman"/>
          <w:vertAlign w:val="superscript"/>
        </w:rPr>
        <w:t>th</w:t>
      </w:r>
      <w:r w:rsidR="00733F7D">
        <w:rPr>
          <w:rFonts w:ascii="Georgia" w:hAnsi="Georgia" w:cs="Times New Roman"/>
        </w:rPr>
        <w:t>, 2012 for State-based Exchanges</w:t>
      </w:r>
    </w:p>
    <w:p w:rsidR="00341457" w:rsidRPr="008E1B5D" w:rsidRDefault="00341457" w:rsidP="008E1B5D">
      <w:pPr>
        <w:spacing w:after="0"/>
        <w:ind w:left="720"/>
        <w:rPr>
          <w:rFonts w:ascii="Georgia" w:hAnsi="Georgia" w:cs="Times New Roman"/>
        </w:rPr>
      </w:pPr>
    </w:p>
    <w:p w:rsidR="00357196" w:rsidRPr="008E1B5D" w:rsidRDefault="00357196" w:rsidP="00357196">
      <w:pPr>
        <w:spacing w:after="0"/>
        <w:ind w:left="720"/>
        <w:rPr>
          <w:rFonts w:ascii="Georgia" w:hAnsi="Georgia" w:cs="Times New Roman"/>
        </w:rPr>
      </w:pPr>
    </w:p>
    <w:p w:rsidR="00341457" w:rsidRPr="000D73DE" w:rsidRDefault="00614EFD" w:rsidP="008E1B5D">
      <w:pPr>
        <w:rPr>
          <w:rFonts w:ascii="Georgia" w:hAnsi="Georgia"/>
          <w:i/>
          <w:u w:val="single"/>
        </w:rPr>
      </w:pPr>
      <w:r w:rsidRPr="000D73DE">
        <w:rPr>
          <w:rFonts w:ascii="Georgia" w:hAnsi="Georgia" w:cs="Times New Roman"/>
          <w:i/>
          <w:u w:val="single"/>
        </w:rPr>
        <w:t>(1</w:t>
      </w:r>
      <w:r w:rsidRPr="000D73DE">
        <w:rPr>
          <w:rFonts w:ascii="Georgia" w:hAnsi="Georgia"/>
          <w:i/>
          <w:u w:val="single"/>
        </w:rPr>
        <w:t xml:space="preserve">) </w:t>
      </w:r>
      <w:r w:rsidR="000D73DE" w:rsidRPr="000D73DE">
        <w:rPr>
          <w:rFonts w:ascii="Georgia" w:hAnsi="Georgia" w:cs="Times New Roman"/>
          <w:i/>
          <w:u w:val="single"/>
        </w:rPr>
        <w:t>Extending the Blueprint Declaration Letter deadline to December 14</w:t>
      </w:r>
      <w:r w:rsidR="000D73DE" w:rsidRPr="000D73DE">
        <w:rPr>
          <w:rFonts w:ascii="Georgia" w:hAnsi="Georgia" w:cs="Times New Roman"/>
          <w:i/>
          <w:u w:val="single"/>
          <w:vertAlign w:val="superscript"/>
        </w:rPr>
        <w:t>th</w:t>
      </w:r>
      <w:r w:rsidR="000D73DE" w:rsidRPr="000D73DE">
        <w:rPr>
          <w:rFonts w:ascii="Georgia" w:hAnsi="Georgia" w:cs="Times New Roman"/>
          <w:i/>
          <w:u w:val="single"/>
        </w:rPr>
        <w:t>, 2012 for State-based Exchanges</w:t>
      </w:r>
    </w:p>
    <w:p w:rsidR="00876FE1" w:rsidRPr="008E1B5D" w:rsidRDefault="00281749" w:rsidP="008E1B5D">
      <w:pPr>
        <w:rPr>
          <w:rFonts w:ascii="Georgia" w:hAnsi="Georgia" w:cs="Times New Roman"/>
        </w:rPr>
      </w:pPr>
      <w:r w:rsidRPr="008E1B5D">
        <w:rPr>
          <w:rFonts w:ascii="Georgia" w:hAnsi="Georgia" w:cs="Times New Roman"/>
        </w:rPr>
        <w:t xml:space="preserve">Currently, CCIIO </w:t>
      </w:r>
      <w:r w:rsidR="00733F7D">
        <w:rPr>
          <w:rFonts w:ascii="Georgia" w:hAnsi="Georgia" w:cs="Times New Roman"/>
        </w:rPr>
        <w:t>requires States seeking to operate a State-based Exchange to submit a Declaration Letter by November 16</w:t>
      </w:r>
      <w:r w:rsidR="00733F7D" w:rsidRPr="00733F7D">
        <w:rPr>
          <w:rFonts w:ascii="Georgia" w:hAnsi="Georgia" w:cs="Times New Roman"/>
          <w:vertAlign w:val="superscript"/>
        </w:rPr>
        <w:t>th</w:t>
      </w:r>
      <w:r w:rsidR="00733F7D">
        <w:rPr>
          <w:rFonts w:ascii="Georgia" w:hAnsi="Georgia" w:cs="Times New Roman"/>
        </w:rPr>
        <w:t xml:space="preserve">, 2012 (30 business days prior to the statutory deadline of January 1, 2013). </w:t>
      </w:r>
    </w:p>
    <w:p w:rsidR="0098597E" w:rsidRPr="008E1B5D" w:rsidRDefault="008E1B5D" w:rsidP="008E1B5D">
      <w:pPr>
        <w:spacing w:after="0"/>
        <w:rPr>
          <w:rFonts w:ascii="Georgia" w:hAnsi="Georgia" w:cs="Times New Roman"/>
        </w:rPr>
      </w:pPr>
      <w:r>
        <w:rPr>
          <w:rFonts w:ascii="Georgia" w:hAnsi="Georgia" w:cs="Times New Roman"/>
        </w:rPr>
        <w:t>This amendment will extend</w:t>
      </w:r>
      <w:r w:rsidR="00552B56">
        <w:rPr>
          <w:rFonts w:ascii="Georgia" w:hAnsi="Georgia" w:cs="Times New Roman"/>
        </w:rPr>
        <w:t xml:space="preserve"> the</w:t>
      </w:r>
      <w:r w:rsidR="000D73DE">
        <w:rPr>
          <w:rFonts w:ascii="Georgia" w:hAnsi="Georgia" w:cs="Times New Roman"/>
        </w:rPr>
        <w:t xml:space="preserve"> Declaration Letter</w:t>
      </w:r>
      <w:r w:rsidR="00552B56">
        <w:rPr>
          <w:rFonts w:ascii="Georgia" w:hAnsi="Georgia" w:cs="Times New Roman"/>
        </w:rPr>
        <w:t xml:space="preserve"> deadline for</w:t>
      </w:r>
      <w:r w:rsidR="005B6D38">
        <w:rPr>
          <w:rFonts w:ascii="Georgia" w:hAnsi="Georgia" w:cs="Times New Roman"/>
        </w:rPr>
        <w:t xml:space="preserve"> the Blueprint Application to December 14</w:t>
      </w:r>
      <w:r w:rsidR="005B6D38" w:rsidRPr="005B6D38">
        <w:rPr>
          <w:rFonts w:ascii="Georgia" w:hAnsi="Georgia" w:cs="Times New Roman"/>
          <w:vertAlign w:val="superscript"/>
        </w:rPr>
        <w:t>th</w:t>
      </w:r>
      <w:r w:rsidR="005B6D38">
        <w:rPr>
          <w:rFonts w:ascii="Georgia" w:hAnsi="Georgia" w:cs="Times New Roman"/>
        </w:rPr>
        <w:t>, 2012</w:t>
      </w:r>
      <w:r w:rsidR="005B1BDE" w:rsidRPr="008E1B5D">
        <w:rPr>
          <w:rFonts w:ascii="Georgia" w:hAnsi="Georgia" w:cs="Times New Roman"/>
        </w:rPr>
        <w:t xml:space="preserve">. </w:t>
      </w:r>
      <w:r w:rsidR="00552B56">
        <w:rPr>
          <w:rFonts w:ascii="Georgia" w:hAnsi="Georgia" w:cs="Times New Roman"/>
        </w:rPr>
        <w:t xml:space="preserve"> </w:t>
      </w:r>
      <w:r w:rsidR="006E622E" w:rsidRPr="008E1B5D">
        <w:rPr>
          <w:rFonts w:ascii="Georgia" w:hAnsi="Georgia" w:cs="Times New Roman"/>
        </w:rPr>
        <w:t xml:space="preserve">Extending the </w:t>
      </w:r>
      <w:r w:rsidR="000D73DE">
        <w:rPr>
          <w:rFonts w:ascii="Georgia" w:hAnsi="Georgia" w:cs="Times New Roman"/>
        </w:rPr>
        <w:t xml:space="preserve">Declaration Letter </w:t>
      </w:r>
      <w:r w:rsidR="006E622E" w:rsidRPr="008E1B5D">
        <w:rPr>
          <w:rFonts w:ascii="Georgia" w:hAnsi="Georgia" w:cs="Times New Roman"/>
        </w:rPr>
        <w:t>deadline</w:t>
      </w:r>
      <w:r w:rsidR="008A0694" w:rsidRPr="008E1B5D">
        <w:rPr>
          <w:rFonts w:ascii="Georgia" w:hAnsi="Georgia" w:cs="Times New Roman"/>
        </w:rPr>
        <w:t xml:space="preserve"> </w:t>
      </w:r>
      <w:r w:rsidR="005B6D38">
        <w:rPr>
          <w:rFonts w:ascii="Georgia" w:hAnsi="Georgia" w:cs="Times New Roman"/>
        </w:rPr>
        <w:t xml:space="preserve">allows </w:t>
      </w:r>
      <w:r w:rsidR="006E622E" w:rsidRPr="008E1B5D">
        <w:rPr>
          <w:rFonts w:ascii="Georgia" w:hAnsi="Georgia" w:cs="Times New Roman"/>
        </w:rPr>
        <w:t>States</w:t>
      </w:r>
      <w:r w:rsidR="005B6D38">
        <w:rPr>
          <w:rFonts w:ascii="Georgia" w:hAnsi="Georgia" w:cs="Times New Roman"/>
        </w:rPr>
        <w:t xml:space="preserve"> seeking to be State-based Exchanges extra time to </w:t>
      </w:r>
      <w:r w:rsidR="000D73DE">
        <w:rPr>
          <w:rFonts w:ascii="Georgia" w:hAnsi="Georgia" w:cs="Times New Roman"/>
        </w:rPr>
        <w:t>review upcoming guidance and determine if they wish to operate a State-based Exchange</w:t>
      </w:r>
      <w:r w:rsidR="005B6D38">
        <w:rPr>
          <w:rFonts w:ascii="Georgia" w:hAnsi="Georgia" w:cs="Times New Roman"/>
        </w:rPr>
        <w:t xml:space="preserve">. </w:t>
      </w:r>
    </w:p>
    <w:p w:rsidR="000D73DE" w:rsidRDefault="000D73DE" w:rsidP="00357196">
      <w:pPr>
        <w:spacing w:after="0"/>
        <w:rPr>
          <w:rFonts w:ascii="Georgia" w:hAnsi="Georgia" w:cs="Times New Roman"/>
          <w:i/>
          <w:u w:val="single"/>
        </w:rPr>
      </w:pPr>
    </w:p>
    <w:p w:rsidR="00357196" w:rsidRPr="007E2C88" w:rsidRDefault="00357196" w:rsidP="00357196">
      <w:pPr>
        <w:spacing w:after="0"/>
        <w:rPr>
          <w:rFonts w:ascii="Georgia" w:hAnsi="Georgia" w:cs="Times New Roman"/>
          <w:b/>
        </w:rPr>
      </w:pPr>
      <w:r>
        <w:rPr>
          <w:rFonts w:ascii="Georgia" w:hAnsi="Georgia" w:cs="Times New Roman"/>
          <w:b/>
        </w:rPr>
        <w:t>Anticipated Burden Impact</w:t>
      </w:r>
    </w:p>
    <w:p w:rsidR="003C7A68" w:rsidRDefault="006056FA" w:rsidP="008E1B5D">
      <w:pPr>
        <w:spacing w:after="0"/>
        <w:rPr>
          <w:rFonts w:ascii="Georgia" w:hAnsi="Georgia" w:cs="Times New Roman"/>
        </w:rPr>
      </w:pPr>
      <w:r>
        <w:rPr>
          <w:rFonts w:ascii="Georgia" w:hAnsi="Georgia" w:cs="Times New Roman"/>
        </w:rPr>
        <w:br/>
      </w:r>
      <w:r w:rsidR="005A774F" w:rsidRPr="008E1B5D">
        <w:rPr>
          <w:rFonts w:ascii="Georgia" w:hAnsi="Georgia" w:cs="Times New Roman"/>
        </w:rPr>
        <w:t xml:space="preserve">The most significant change in this revision to the </w:t>
      </w:r>
      <w:r w:rsidR="00C268B3">
        <w:rPr>
          <w:rFonts w:ascii="Georgia" w:hAnsi="Georgia" w:cs="Times New Roman"/>
        </w:rPr>
        <w:t>Blueprint</w:t>
      </w:r>
      <w:r w:rsidR="005A774F" w:rsidRPr="008E1B5D">
        <w:rPr>
          <w:rFonts w:ascii="Georgia" w:hAnsi="Georgia" w:cs="Times New Roman"/>
        </w:rPr>
        <w:t xml:space="preserve"> extends the period of time during which CCIIO will accept </w:t>
      </w:r>
      <w:r w:rsidR="00C268B3">
        <w:rPr>
          <w:rFonts w:ascii="Georgia" w:hAnsi="Georgia" w:cs="Times New Roman"/>
        </w:rPr>
        <w:t>Declaration Letters</w:t>
      </w:r>
      <w:r w:rsidR="000D73DE">
        <w:rPr>
          <w:rFonts w:ascii="Georgia" w:hAnsi="Georgia" w:cs="Times New Roman"/>
        </w:rPr>
        <w:t xml:space="preserve"> for State-based Exchange</w:t>
      </w:r>
      <w:bookmarkStart w:id="0" w:name="_GoBack"/>
      <w:bookmarkEnd w:id="0"/>
      <w:r w:rsidR="005A774F" w:rsidRPr="008E1B5D">
        <w:rPr>
          <w:rFonts w:ascii="Georgia" w:hAnsi="Georgia" w:cs="Times New Roman"/>
        </w:rPr>
        <w:t xml:space="preserve">.  </w:t>
      </w:r>
      <w:r w:rsidR="00C268B3">
        <w:rPr>
          <w:rFonts w:ascii="Georgia" w:hAnsi="Georgia" w:cs="Times New Roman"/>
        </w:rPr>
        <w:t xml:space="preserve">This does not have any effect on the burden to States for submitting this information. </w:t>
      </w:r>
    </w:p>
    <w:p w:rsidR="003C7A68" w:rsidRPr="008E1B5D" w:rsidRDefault="003C7A68" w:rsidP="008E1B5D">
      <w:pPr>
        <w:spacing w:after="0"/>
        <w:rPr>
          <w:rFonts w:ascii="Georgia" w:hAnsi="Georgia" w:cs="Times New Roman"/>
        </w:rPr>
      </w:pPr>
    </w:p>
    <w:sectPr w:rsidR="003C7A68" w:rsidRPr="008E1B5D" w:rsidSect="001260C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99" w:rsidRDefault="00A74899" w:rsidP="00361B99">
      <w:pPr>
        <w:spacing w:after="0" w:line="240" w:lineRule="auto"/>
      </w:pPr>
      <w:r>
        <w:separator/>
      </w:r>
    </w:p>
  </w:endnote>
  <w:endnote w:type="continuationSeparator" w:id="0">
    <w:p w:rsidR="00A74899" w:rsidRDefault="00A74899" w:rsidP="0036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99" w:rsidRPr="00CF0EE4" w:rsidRDefault="00A74899" w:rsidP="00361B99">
    <w:pPr>
      <w:jc w:val="center"/>
      <w:rPr>
        <w:sz w:val="18"/>
        <w:szCs w:val="18"/>
      </w:rPr>
    </w:pPr>
    <w:r w:rsidRPr="00CF0EE4">
      <w:rPr>
        <w:sz w:val="18"/>
        <w:szCs w:val="18"/>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fullest extent of the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99" w:rsidRDefault="00A74899" w:rsidP="00361B99">
      <w:pPr>
        <w:spacing w:after="0" w:line="240" w:lineRule="auto"/>
      </w:pPr>
      <w:r>
        <w:separator/>
      </w:r>
    </w:p>
  </w:footnote>
  <w:footnote w:type="continuationSeparator" w:id="0">
    <w:p w:rsidR="00A74899" w:rsidRDefault="00A74899" w:rsidP="00361B99">
      <w:pPr>
        <w:spacing w:after="0" w:line="240" w:lineRule="auto"/>
      </w:pPr>
      <w:r>
        <w:continuationSeparator/>
      </w:r>
    </w:p>
  </w:footnote>
  <w:footnote w:id="1">
    <w:p w:rsidR="00A74899" w:rsidRPr="0056146B" w:rsidRDefault="00A74899" w:rsidP="00733F7D">
      <w:pPr>
        <w:pStyle w:val="FootnoteText"/>
        <w:rPr>
          <w:rFonts w:ascii="Arial" w:hAnsi="Arial" w:cs="Arial"/>
        </w:rPr>
      </w:pPr>
      <w:r w:rsidRPr="0056146B">
        <w:rPr>
          <w:rStyle w:val="FootnoteReference"/>
          <w:rFonts w:ascii="Arial" w:hAnsi="Arial" w:cs="Arial"/>
        </w:rPr>
        <w:footnoteRef/>
      </w:r>
      <w:r w:rsidRPr="0056146B">
        <w:rPr>
          <w:rFonts w:ascii="Arial" w:hAnsi="Arial" w:cs="Arial"/>
        </w:rPr>
        <w:t xml:space="preserve"> Affordable Care Act 1311(b)(1)</w:t>
      </w:r>
    </w:p>
  </w:footnote>
  <w:footnote w:id="2">
    <w:p w:rsidR="00A74899" w:rsidRPr="0056146B" w:rsidRDefault="00A74899" w:rsidP="00733F7D">
      <w:pPr>
        <w:pStyle w:val="FootnoteText"/>
        <w:rPr>
          <w:rFonts w:ascii="Arial" w:hAnsi="Arial" w:cs="Arial"/>
        </w:rPr>
      </w:pPr>
      <w:r w:rsidRPr="0056146B">
        <w:rPr>
          <w:rStyle w:val="FootnoteReference"/>
          <w:rFonts w:ascii="Arial" w:hAnsi="Arial" w:cs="Arial"/>
        </w:rPr>
        <w:footnoteRef/>
      </w:r>
      <w:r w:rsidRPr="0056146B">
        <w:rPr>
          <w:rFonts w:ascii="Arial" w:hAnsi="Arial" w:cs="Arial"/>
        </w:rPr>
        <w:t xml:space="preserve"> </w:t>
      </w:r>
      <w:r w:rsidRPr="0056146B">
        <w:rPr>
          <w:rFonts w:ascii="Arial" w:hAnsi="Arial" w:cs="Arial"/>
          <w:iCs/>
        </w:rPr>
        <w:t>Additional requirements for Risk Adjustment will be provided in the HHS Notice of Benefit and Payment Parameters.”</w:t>
      </w:r>
    </w:p>
  </w:footnote>
  <w:footnote w:id="3">
    <w:p w:rsidR="00A74899" w:rsidRDefault="00A74899" w:rsidP="00733F7D">
      <w:pPr>
        <w:pStyle w:val="FootnoteText"/>
      </w:pPr>
      <w:r w:rsidRPr="0056146B">
        <w:rPr>
          <w:rStyle w:val="FootnoteReference"/>
          <w:rFonts w:ascii="Arial" w:hAnsi="Arial" w:cs="Arial"/>
        </w:rPr>
        <w:footnoteRef/>
      </w:r>
      <w:r w:rsidRPr="0056146B">
        <w:rPr>
          <w:rFonts w:ascii="Arial" w:hAnsi="Arial" w:cs="Arial"/>
        </w:rPr>
        <w:t xml:space="preserve"> 45 CFR 155.105, Establishment of Exchanges and Qualified Health Plans; Exchange Standards for Employers, 77 FR 18310, 18446 (Mar. 27, 2012)</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DCB"/>
    <w:multiLevelType w:val="hybridMultilevel"/>
    <w:tmpl w:val="6A2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631"/>
    <w:multiLevelType w:val="hybridMultilevel"/>
    <w:tmpl w:val="E0F010D2"/>
    <w:lvl w:ilvl="0" w:tplc="88A23CAC">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4149D1"/>
    <w:multiLevelType w:val="hybridMultilevel"/>
    <w:tmpl w:val="4A9A88EA"/>
    <w:lvl w:ilvl="0" w:tplc="05F04B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D83D2F"/>
    <w:multiLevelType w:val="hybridMultilevel"/>
    <w:tmpl w:val="C3260AD0"/>
    <w:lvl w:ilvl="0" w:tplc="DD6C2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B4F8C"/>
    <w:multiLevelType w:val="hybridMultilevel"/>
    <w:tmpl w:val="4A9A88EA"/>
    <w:lvl w:ilvl="0" w:tplc="05F04B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FF5AB1"/>
    <w:multiLevelType w:val="hybridMultilevel"/>
    <w:tmpl w:val="21D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D51FA"/>
    <w:multiLevelType w:val="hybridMultilevel"/>
    <w:tmpl w:val="6DFA7F40"/>
    <w:lvl w:ilvl="0" w:tplc="8D929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622E14"/>
    <w:multiLevelType w:val="hybridMultilevel"/>
    <w:tmpl w:val="BF9E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07"/>
    <w:rsid w:val="0000488B"/>
    <w:rsid w:val="000576B9"/>
    <w:rsid w:val="00060AA4"/>
    <w:rsid w:val="000A00F6"/>
    <w:rsid w:val="000A086C"/>
    <w:rsid w:val="000B2E0B"/>
    <w:rsid w:val="000B3AFB"/>
    <w:rsid w:val="000C52BA"/>
    <w:rsid w:val="000D73DE"/>
    <w:rsid w:val="00100492"/>
    <w:rsid w:val="00124192"/>
    <w:rsid w:val="001260C1"/>
    <w:rsid w:val="00137616"/>
    <w:rsid w:val="001820E1"/>
    <w:rsid w:val="001A6A7D"/>
    <w:rsid w:val="001C695E"/>
    <w:rsid w:val="001F6CF2"/>
    <w:rsid w:val="002113DB"/>
    <w:rsid w:val="00211992"/>
    <w:rsid w:val="002438F7"/>
    <w:rsid w:val="00255877"/>
    <w:rsid w:val="00281749"/>
    <w:rsid w:val="002E642E"/>
    <w:rsid w:val="002F1954"/>
    <w:rsid w:val="0031430C"/>
    <w:rsid w:val="003376B6"/>
    <w:rsid w:val="00341457"/>
    <w:rsid w:val="00357196"/>
    <w:rsid w:val="00361B99"/>
    <w:rsid w:val="00376A49"/>
    <w:rsid w:val="00394595"/>
    <w:rsid w:val="003A0307"/>
    <w:rsid w:val="003A341B"/>
    <w:rsid w:val="003B7B26"/>
    <w:rsid w:val="003C7A68"/>
    <w:rsid w:val="003D5738"/>
    <w:rsid w:val="003E7E2A"/>
    <w:rsid w:val="003F3890"/>
    <w:rsid w:val="004116CE"/>
    <w:rsid w:val="00431DF8"/>
    <w:rsid w:val="0045004C"/>
    <w:rsid w:val="00461C79"/>
    <w:rsid w:val="00494CE9"/>
    <w:rsid w:val="00496047"/>
    <w:rsid w:val="004A51E9"/>
    <w:rsid w:val="004E2ABE"/>
    <w:rsid w:val="004F3211"/>
    <w:rsid w:val="005170A0"/>
    <w:rsid w:val="00545A83"/>
    <w:rsid w:val="00552B56"/>
    <w:rsid w:val="005A774F"/>
    <w:rsid w:val="005B1BDE"/>
    <w:rsid w:val="005B5321"/>
    <w:rsid w:val="005B6D38"/>
    <w:rsid w:val="005E327F"/>
    <w:rsid w:val="005E79D9"/>
    <w:rsid w:val="006056FA"/>
    <w:rsid w:val="00613BFE"/>
    <w:rsid w:val="00614EFD"/>
    <w:rsid w:val="00630DD1"/>
    <w:rsid w:val="00652417"/>
    <w:rsid w:val="00662094"/>
    <w:rsid w:val="00687050"/>
    <w:rsid w:val="00693232"/>
    <w:rsid w:val="006967B3"/>
    <w:rsid w:val="006C329B"/>
    <w:rsid w:val="006E622E"/>
    <w:rsid w:val="00711D6C"/>
    <w:rsid w:val="0072227D"/>
    <w:rsid w:val="00733DE1"/>
    <w:rsid w:val="00733F7D"/>
    <w:rsid w:val="007360A4"/>
    <w:rsid w:val="007771A0"/>
    <w:rsid w:val="00780E5B"/>
    <w:rsid w:val="007824A8"/>
    <w:rsid w:val="007A7275"/>
    <w:rsid w:val="007B292D"/>
    <w:rsid w:val="007E2C88"/>
    <w:rsid w:val="0085099F"/>
    <w:rsid w:val="00865D12"/>
    <w:rsid w:val="00876FE1"/>
    <w:rsid w:val="00880ECF"/>
    <w:rsid w:val="00881285"/>
    <w:rsid w:val="008A0694"/>
    <w:rsid w:val="008C5902"/>
    <w:rsid w:val="008D66C5"/>
    <w:rsid w:val="008E1B5D"/>
    <w:rsid w:val="0098597E"/>
    <w:rsid w:val="009B1FD0"/>
    <w:rsid w:val="00A1443E"/>
    <w:rsid w:val="00A17662"/>
    <w:rsid w:val="00A24EF4"/>
    <w:rsid w:val="00A46FEF"/>
    <w:rsid w:val="00A6269B"/>
    <w:rsid w:val="00A67B63"/>
    <w:rsid w:val="00A74899"/>
    <w:rsid w:val="00A76990"/>
    <w:rsid w:val="00A9537A"/>
    <w:rsid w:val="00AA232F"/>
    <w:rsid w:val="00AA3D25"/>
    <w:rsid w:val="00AD221B"/>
    <w:rsid w:val="00AD34AC"/>
    <w:rsid w:val="00AD51C7"/>
    <w:rsid w:val="00B01D09"/>
    <w:rsid w:val="00B56D1B"/>
    <w:rsid w:val="00B936FC"/>
    <w:rsid w:val="00BB1C0D"/>
    <w:rsid w:val="00BE3D03"/>
    <w:rsid w:val="00C268B3"/>
    <w:rsid w:val="00C31E7E"/>
    <w:rsid w:val="00C41004"/>
    <w:rsid w:val="00CC652D"/>
    <w:rsid w:val="00D468C0"/>
    <w:rsid w:val="00DA657A"/>
    <w:rsid w:val="00DD2B57"/>
    <w:rsid w:val="00DE3CCB"/>
    <w:rsid w:val="00DE4991"/>
    <w:rsid w:val="00E569A7"/>
    <w:rsid w:val="00ED6C77"/>
    <w:rsid w:val="00EE0240"/>
    <w:rsid w:val="00F06BAB"/>
    <w:rsid w:val="00F22747"/>
    <w:rsid w:val="00F50E04"/>
    <w:rsid w:val="00F53477"/>
    <w:rsid w:val="00F71953"/>
    <w:rsid w:val="00F927E1"/>
    <w:rsid w:val="00FA0628"/>
    <w:rsid w:val="00FC36C5"/>
    <w:rsid w:val="00FD5357"/>
    <w:rsid w:val="00FD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6C"/>
    <w:pPr>
      <w:spacing w:after="0" w:line="240" w:lineRule="auto"/>
      <w:ind w:left="720"/>
    </w:pPr>
    <w:rPr>
      <w:rFonts w:ascii="Calibri" w:hAnsi="Calibri" w:cs="Times New Roman"/>
    </w:rPr>
  </w:style>
  <w:style w:type="paragraph" w:styleId="PlainText">
    <w:name w:val="Plain Text"/>
    <w:basedOn w:val="Normal"/>
    <w:link w:val="PlainTextChar"/>
    <w:uiPriority w:val="99"/>
    <w:unhideWhenUsed/>
    <w:rsid w:val="003F38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3890"/>
    <w:rPr>
      <w:rFonts w:ascii="Consolas" w:hAnsi="Consolas"/>
      <w:sz w:val="21"/>
      <w:szCs w:val="21"/>
    </w:rPr>
  </w:style>
  <w:style w:type="paragraph" w:styleId="Header">
    <w:name w:val="header"/>
    <w:basedOn w:val="Normal"/>
    <w:link w:val="HeaderChar"/>
    <w:uiPriority w:val="99"/>
    <w:semiHidden/>
    <w:unhideWhenUsed/>
    <w:rsid w:val="00361B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B99"/>
  </w:style>
  <w:style w:type="paragraph" w:styleId="Footer">
    <w:name w:val="footer"/>
    <w:basedOn w:val="Normal"/>
    <w:link w:val="FooterChar"/>
    <w:uiPriority w:val="99"/>
    <w:unhideWhenUsed/>
    <w:rsid w:val="0036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99"/>
  </w:style>
  <w:style w:type="paragraph" w:styleId="BalloonText">
    <w:name w:val="Balloon Text"/>
    <w:basedOn w:val="Normal"/>
    <w:link w:val="BalloonTextChar"/>
    <w:uiPriority w:val="99"/>
    <w:semiHidden/>
    <w:unhideWhenUsed/>
    <w:rsid w:val="0036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99"/>
    <w:rPr>
      <w:rFonts w:ascii="Tahoma" w:hAnsi="Tahoma" w:cs="Tahoma"/>
      <w:sz w:val="16"/>
      <w:szCs w:val="16"/>
    </w:rPr>
  </w:style>
  <w:style w:type="table" w:styleId="TableGrid">
    <w:name w:val="Table Grid"/>
    <w:basedOn w:val="TableNormal"/>
    <w:uiPriority w:val="59"/>
    <w:rsid w:val="00057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3211"/>
    <w:rPr>
      <w:sz w:val="16"/>
      <w:szCs w:val="16"/>
    </w:rPr>
  </w:style>
  <w:style w:type="paragraph" w:styleId="CommentText">
    <w:name w:val="annotation text"/>
    <w:basedOn w:val="Normal"/>
    <w:link w:val="CommentTextChar"/>
    <w:uiPriority w:val="99"/>
    <w:semiHidden/>
    <w:unhideWhenUsed/>
    <w:rsid w:val="004F3211"/>
    <w:pPr>
      <w:spacing w:line="240" w:lineRule="auto"/>
    </w:pPr>
    <w:rPr>
      <w:sz w:val="20"/>
      <w:szCs w:val="20"/>
    </w:rPr>
  </w:style>
  <w:style w:type="character" w:customStyle="1" w:styleId="CommentTextChar">
    <w:name w:val="Comment Text Char"/>
    <w:basedOn w:val="DefaultParagraphFont"/>
    <w:link w:val="CommentText"/>
    <w:uiPriority w:val="99"/>
    <w:semiHidden/>
    <w:rsid w:val="004F3211"/>
    <w:rPr>
      <w:sz w:val="20"/>
      <w:szCs w:val="20"/>
    </w:rPr>
  </w:style>
  <w:style w:type="paragraph" w:styleId="CommentSubject">
    <w:name w:val="annotation subject"/>
    <w:basedOn w:val="CommentText"/>
    <w:next w:val="CommentText"/>
    <w:link w:val="CommentSubjectChar"/>
    <w:uiPriority w:val="99"/>
    <w:semiHidden/>
    <w:unhideWhenUsed/>
    <w:rsid w:val="004F3211"/>
    <w:rPr>
      <w:b/>
      <w:bCs/>
    </w:rPr>
  </w:style>
  <w:style w:type="character" w:customStyle="1" w:styleId="CommentSubjectChar">
    <w:name w:val="Comment Subject Char"/>
    <w:basedOn w:val="CommentTextChar"/>
    <w:link w:val="CommentSubject"/>
    <w:uiPriority w:val="99"/>
    <w:semiHidden/>
    <w:rsid w:val="004F3211"/>
    <w:rPr>
      <w:b/>
      <w:bCs/>
      <w:sz w:val="20"/>
      <w:szCs w:val="20"/>
    </w:rPr>
  </w:style>
  <w:style w:type="paragraph" w:styleId="FootnoteText">
    <w:name w:val="footnote text"/>
    <w:basedOn w:val="Normal"/>
    <w:link w:val="FootnoteTextChar"/>
    <w:uiPriority w:val="99"/>
    <w:semiHidden/>
    <w:unhideWhenUsed/>
    <w:rsid w:val="00733F7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33F7D"/>
    <w:rPr>
      <w:rFonts w:eastAsiaTheme="minorHAnsi"/>
      <w:sz w:val="20"/>
      <w:szCs w:val="20"/>
    </w:rPr>
  </w:style>
  <w:style w:type="character" w:styleId="FootnoteReference">
    <w:name w:val="footnote reference"/>
    <w:basedOn w:val="DefaultParagraphFont"/>
    <w:uiPriority w:val="99"/>
    <w:semiHidden/>
    <w:unhideWhenUsed/>
    <w:rsid w:val="00733F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6C"/>
    <w:pPr>
      <w:spacing w:after="0" w:line="240" w:lineRule="auto"/>
      <w:ind w:left="720"/>
    </w:pPr>
    <w:rPr>
      <w:rFonts w:ascii="Calibri" w:hAnsi="Calibri" w:cs="Times New Roman"/>
    </w:rPr>
  </w:style>
  <w:style w:type="paragraph" w:styleId="PlainText">
    <w:name w:val="Plain Text"/>
    <w:basedOn w:val="Normal"/>
    <w:link w:val="PlainTextChar"/>
    <w:uiPriority w:val="99"/>
    <w:unhideWhenUsed/>
    <w:rsid w:val="003F38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3890"/>
    <w:rPr>
      <w:rFonts w:ascii="Consolas" w:hAnsi="Consolas"/>
      <w:sz w:val="21"/>
      <w:szCs w:val="21"/>
    </w:rPr>
  </w:style>
  <w:style w:type="paragraph" w:styleId="Header">
    <w:name w:val="header"/>
    <w:basedOn w:val="Normal"/>
    <w:link w:val="HeaderChar"/>
    <w:uiPriority w:val="99"/>
    <w:semiHidden/>
    <w:unhideWhenUsed/>
    <w:rsid w:val="00361B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B99"/>
  </w:style>
  <w:style w:type="paragraph" w:styleId="Footer">
    <w:name w:val="footer"/>
    <w:basedOn w:val="Normal"/>
    <w:link w:val="FooterChar"/>
    <w:uiPriority w:val="99"/>
    <w:unhideWhenUsed/>
    <w:rsid w:val="0036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99"/>
  </w:style>
  <w:style w:type="paragraph" w:styleId="BalloonText">
    <w:name w:val="Balloon Text"/>
    <w:basedOn w:val="Normal"/>
    <w:link w:val="BalloonTextChar"/>
    <w:uiPriority w:val="99"/>
    <w:semiHidden/>
    <w:unhideWhenUsed/>
    <w:rsid w:val="0036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99"/>
    <w:rPr>
      <w:rFonts w:ascii="Tahoma" w:hAnsi="Tahoma" w:cs="Tahoma"/>
      <w:sz w:val="16"/>
      <w:szCs w:val="16"/>
    </w:rPr>
  </w:style>
  <w:style w:type="table" w:styleId="TableGrid">
    <w:name w:val="Table Grid"/>
    <w:basedOn w:val="TableNormal"/>
    <w:uiPriority w:val="59"/>
    <w:rsid w:val="00057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3211"/>
    <w:rPr>
      <w:sz w:val="16"/>
      <w:szCs w:val="16"/>
    </w:rPr>
  </w:style>
  <w:style w:type="paragraph" w:styleId="CommentText">
    <w:name w:val="annotation text"/>
    <w:basedOn w:val="Normal"/>
    <w:link w:val="CommentTextChar"/>
    <w:uiPriority w:val="99"/>
    <w:semiHidden/>
    <w:unhideWhenUsed/>
    <w:rsid w:val="004F3211"/>
    <w:pPr>
      <w:spacing w:line="240" w:lineRule="auto"/>
    </w:pPr>
    <w:rPr>
      <w:sz w:val="20"/>
      <w:szCs w:val="20"/>
    </w:rPr>
  </w:style>
  <w:style w:type="character" w:customStyle="1" w:styleId="CommentTextChar">
    <w:name w:val="Comment Text Char"/>
    <w:basedOn w:val="DefaultParagraphFont"/>
    <w:link w:val="CommentText"/>
    <w:uiPriority w:val="99"/>
    <w:semiHidden/>
    <w:rsid w:val="004F3211"/>
    <w:rPr>
      <w:sz w:val="20"/>
      <w:szCs w:val="20"/>
    </w:rPr>
  </w:style>
  <w:style w:type="paragraph" w:styleId="CommentSubject">
    <w:name w:val="annotation subject"/>
    <w:basedOn w:val="CommentText"/>
    <w:next w:val="CommentText"/>
    <w:link w:val="CommentSubjectChar"/>
    <w:uiPriority w:val="99"/>
    <w:semiHidden/>
    <w:unhideWhenUsed/>
    <w:rsid w:val="004F3211"/>
    <w:rPr>
      <w:b/>
      <w:bCs/>
    </w:rPr>
  </w:style>
  <w:style w:type="character" w:customStyle="1" w:styleId="CommentSubjectChar">
    <w:name w:val="Comment Subject Char"/>
    <w:basedOn w:val="CommentTextChar"/>
    <w:link w:val="CommentSubject"/>
    <w:uiPriority w:val="99"/>
    <w:semiHidden/>
    <w:rsid w:val="004F3211"/>
    <w:rPr>
      <w:b/>
      <w:bCs/>
      <w:sz w:val="20"/>
      <w:szCs w:val="20"/>
    </w:rPr>
  </w:style>
  <w:style w:type="paragraph" w:styleId="FootnoteText">
    <w:name w:val="footnote text"/>
    <w:basedOn w:val="Normal"/>
    <w:link w:val="FootnoteTextChar"/>
    <w:uiPriority w:val="99"/>
    <w:semiHidden/>
    <w:unhideWhenUsed/>
    <w:rsid w:val="00733F7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33F7D"/>
    <w:rPr>
      <w:rFonts w:eastAsiaTheme="minorHAnsi"/>
      <w:sz w:val="20"/>
      <w:szCs w:val="20"/>
    </w:rPr>
  </w:style>
  <w:style w:type="character" w:styleId="FootnoteReference">
    <w:name w:val="footnote reference"/>
    <w:basedOn w:val="DefaultParagraphFont"/>
    <w:uiPriority w:val="99"/>
    <w:semiHidden/>
    <w:unhideWhenUsed/>
    <w:rsid w:val="00733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76799">
      <w:bodyDiv w:val="1"/>
      <w:marLeft w:val="0"/>
      <w:marRight w:val="0"/>
      <w:marTop w:val="0"/>
      <w:marBottom w:val="0"/>
      <w:divBdr>
        <w:top w:val="none" w:sz="0" w:space="0" w:color="auto"/>
        <w:left w:val="none" w:sz="0" w:space="0" w:color="auto"/>
        <w:bottom w:val="none" w:sz="0" w:space="0" w:color="auto"/>
        <w:right w:val="none" w:sz="0" w:space="0" w:color="auto"/>
      </w:divBdr>
    </w:div>
    <w:div w:id="1345282967">
      <w:bodyDiv w:val="1"/>
      <w:marLeft w:val="0"/>
      <w:marRight w:val="0"/>
      <w:marTop w:val="0"/>
      <w:marBottom w:val="0"/>
      <w:divBdr>
        <w:top w:val="none" w:sz="0" w:space="0" w:color="auto"/>
        <w:left w:val="none" w:sz="0" w:space="0" w:color="auto"/>
        <w:bottom w:val="none" w:sz="0" w:space="0" w:color="auto"/>
        <w:right w:val="none" w:sz="0" w:space="0" w:color="auto"/>
      </w:divBdr>
    </w:div>
    <w:div w:id="1840583460">
      <w:bodyDiv w:val="1"/>
      <w:marLeft w:val="0"/>
      <w:marRight w:val="0"/>
      <w:marTop w:val="0"/>
      <w:marBottom w:val="0"/>
      <w:divBdr>
        <w:top w:val="none" w:sz="0" w:space="0" w:color="auto"/>
        <w:left w:val="none" w:sz="0" w:space="0" w:color="auto"/>
        <w:bottom w:val="none" w:sz="0" w:space="0" w:color="auto"/>
        <w:right w:val="none" w:sz="0" w:space="0" w:color="auto"/>
      </w:divBdr>
    </w:div>
    <w:div w:id="21148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SARAH SUMMER</cp:lastModifiedBy>
  <cp:revision>3</cp:revision>
  <cp:lastPrinted>2011-10-12T14:13:00Z</cp:lastPrinted>
  <dcterms:created xsi:type="dcterms:W3CDTF">2012-11-15T20:26:00Z</dcterms:created>
  <dcterms:modified xsi:type="dcterms:W3CDTF">2012-11-15T20:28:00Z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1095598353</vt:i4>
  </property>
  <property fmtid="{D5CDD505-2E9C-101B-9397-08002B2CF9AE}" pid="3" name="_NewReviewCycle">
    <vt:lpwstr/>
  </property>
  <property fmtid="{D5CDD505-2E9C-101B-9397-08002B2CF9AE}" pid="4" name="_EmailSubject">
    <vt:lpwstr>Blueprint Amendment PRA Forms</vt:lpwstr>
  </property>
  <property fmtid="{D5CDD505-2E9C-101B-9397-08002B2CF9AE}" pid="5" name="_AuthorEmail">
    <vt:lpwstr>sarah.summer@cms.hhs.gov</vt:lpwstr>
  </property>
  <property fmtid="{D5CDD505-2E9C-101B-9397-08002B2CF9AE}" pid="6" name="_AuthorEmailDisplayName">
    <vt:lpwstr>Summer, Sarah M. (CMS/CCIIO)</vt:lpwstr>
  </property>
  <property fmtid="{D5CDD505-2E9C-101B-9397-08002B2CF9AE}" pid="7" name="_PreviousAdHocReviewCycleID">
    <vt:i4>148412079</vt:i4>
  </property>
</Properties>
</file>