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25C52" w14:textId="77777777" w:rsidR="008F7BAC" w:rsidRPr="00985F06" w:rsidRDefault="008F7BAC" w:rsidP="008F7BAC">
      <w:pPr>
        <w:spacing w:after="0"/>
        <w:jc w:val="center"/>
        <w:rPr>
          <w:rFonts w:cs="Times New Roman"/>
          <w:b/>
          <w:szCs w:val="24"/>
        </w:rPr>
      </w:pPr>
      <w:r w:rsidRPr="00985F06">
        <w:rPr>
          <w:rFonts w:cs="Times New Roman"/>
          <w:b/>
          <w:szCs w:val="24"/>
        </w:rPr>
        <w:t>MEMORANDUM</w:t>
      </w:r>
    </w:p>
    <w:p w14:paraId="7EBC8A01" w14:textId="77777777" w:rsidR="008F7BAC" w:rsidRPr="00985F06" w:rsidRDefault="008F7BAC" w:rsidP="008F7BAC">
      <w:pPr>
        <w:spacing w:after="0"/>
        <w:jc w:val="center"/>
        <w:rPr>
          <w:rFonts w:cs="Times New Roman"/>
          <w:b/>
          <w:szCs w:val="24"/>
        </w:rPr>
      </w:pPr>
    </w:p>
    <w:p w14:paraId="22074EDD" w14:textId="77777777" w:rsidR="008F7BAC" w:rsidRPr="00985F06" w:rsidRDefault="008F7BAC" w:rsidP="008F7BAC">
      <w:pPr>
        <w:spacing w:after="0"/>
        <w:rPr>
          <w:rFonts w:cs="Times New Roman"/>
          <w:szCs w:val="24"/>
        </w:rPr>
      </w:pPr>
      <w:r w:rsidRPr="00985F06">
        <w:rPr>
          <w:rFonts w:cs="Times New Roman"/>
          <w:b/>
          <w:szCs w:val="24"/>
        </w:rPr>
        <w:t>MEMORANDUM TO:</w:t>
      </w:r>
      <w:r w:rsidRPr="00985F06">
        <w:rPr>
          <w:rFonts w:cs="Times New Roman"/>
          <w:b/>
          <w:szCs w:val="24"/>
        </w:rPr>
        <w:tab/>
      </w:r>
      <w:r w:rsidRPr="00985F06">
        <w:rPr>
          <w:rFonts w:cs="Times New Roman"/>
          <w:szCs w:val="24"/>
        </w:rPr>
        <w:t xml:space="preserve">Shelly </w:t>
      </w:r>
      <w:proofErr w:type="spellStart"/>
      <w:r w:rsidRPr="00985F06">
        <w:rPr>
          <w:rFonts w:cs="Times New Roman"/>
          <w:szCs w:val="24"/>
        </w:rPr>
        <w:t>Wilkie</w:t>
      </w:r>
      <w:proofErr w:type="spellEnd"/>
      <w:r w:rsidRPr="00985F06">
        <w:rPr>
          <w:rFonts w:cs="Times New Roman"/>
          <w:szCs w:val="24"/>
        </w:rPr>
        <w:t xml:space="preserve"> Martinez</w:t>
      </w:r>
    </w:p>
    <w:p w14:paraId="0D692990"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Official of Statistical and Science Policy</w:t>
      </w:r>
    </w:p>
    <w:p w14:paraId="166C3269"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Office of Management and Budget</w:t>
      </w:r>
    </w:p>
    <w:p w14:paraId="4FD6A95B" w14:textId="77777777" w:rsidR="008F7BAC" w:rsidRPr="00985F06" w:rsidRDefault="008F7BAC" w:rsidP="008F7BAC">
      <w:pPr>
        <w:spacing w:after="0"/>
        <w:rPr>
          <w:rFonts w:cs="Times New Roman"/>
          <w:szCs w:val="24"/>
        </w:rPr>
      </w:pPr>
    </w:p>
    <w:p w14:paraId="792BDF46" w14:textId="77777777" w:rsidR="008F7BAC" w:rsidRPr="00985F06" w:rsidRDefault="008F7BAC" w:rsidP="008F7BAC">
      <w:pPr>
        <w:spacing w:after="0"/>
        <w:rPr>
          <w:rFonts w:cs="Times New Roman"/>
          <w:szCs w:val="24"/>
        </w:rPr>
      </w:pPr>
      <w:r w:rsidRPr="00985F06">
        <w:rPr>
          <w:rFonts w:cs="Times New Roman"/>
          <w:b/>
          <w:szCs w:val="24"/>
        </w:rPr>
        <w:t>THROUGH:</w:t>
      </w:r>
      <w:r w:rsidRPr="00985F06">
        <w:rPr>
          <w:rFonts w:cs="Times New Roman"/>
          <w:b/>
          <w:szCs w:val="24"/>
        </w:rPr>
        <w:tab/>
      </w:r>
      <w:r w:rsidRPr="00985F06">
        <w:rPr>
          <w:rFonts w:cs="Times New Roman"/>
          <w:b/>
          <w:szCs w:val="24"/>
        </w:rPr>
        <w:tab/>
      </w:r>
      <w:r w:rsidRPr="00985F06">
        <w:rPr>
          <w:rFonts w:cs="Times New Roman"/>
          <w:b/>
          <w:szCs w:val="24"/>
        </w:rPr>
        <w:tab/>
      </w:r>
      <w:r w:rsidRPr="00985F06">
        <w:rPr>
          <w:rFonts w:cs="Times New Roman"/>
          <w:szCs w:val="24"/>
        </w:rPr>
        <w:t>Lynn Murray</w:t>
      </w:r>
    </w:p>
    <w:p w14:paraId="23216AC1"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Clearance Officer</w:t>
      </w:r>
    </w:p>
    <w:p w14:paraId="54093E5C"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Justice Management Division</w:t>
      </w:r>
    </w:p>
    <w:p w14:paraId="01AA3DDF"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r>
    </w:p>
    <w:p w14:paraId="7B143D72"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William J. Sabol, Ph.D.</w:t>
      </w:r>
    </w:p>
    <w:p w14:paraId="52862969"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Acting Director</w:t>
      </w:r>
    </w:p>
    <w:p w14:paraId="7FEF9534"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Bureau of Justice Statistics</w:t>
      </w:r>
    </w:p>
    <w:p w14:paraId="253BF9F5" w14:textId="77777777" w:rsidR="008F7BAC" w:rsidRPr="00985F06" w:rsidRDefault="008F7BAC" w:rsidP="008F7BAC">
      <w:pPr>
        <w:spacing w:after="0"/>
        <w:rPr>
          <w:rFonts w:cs="Times New Roman"/>
          <w:szCs w:val="24"/>
        </w:rPr>
      </w:pPr>
    </w:p>
    <w:p w14:paraId="08F0EE78" w14:textId="77777777" w:rsidR="008F7BAC" w:rsidRPr="00985F06" w:rsidRDefault="008F7BAC" w:rsidP="008F7BAC">
      <w:pPr>
        <w:spacing w:after="0"/>
        <w:rPr>
          <w:rFonts w:cs="Times New Roman"/>
          <w:szCs w:val="24"/>
        </w:rPr>
      </w:pPr>
      <w:r w:rsidRPr="00985F06">
        <w:rPr>
          <w:rFonts w:cs="Times New Roman"/>
          <w:b/>
          <w:szCs w:val="24"/>
        </w:rPr>
        <w:t>FROM:</w:t>
      </w:r>
      <w:r w:rsidRPr="00985F06">
        <w:rPr>
          <w:rFonts w:cs="Times New Roman"/>
          <w:b/>
          <w:szCs w:val="24"/>
        </w:rPr>
        <w:tab/>
      </w:r>
      <w:r w:rsidRPr="00985F06">
        <w:rPr>
          <w:rFonts w:cs="Times New Roman"/>
          <w:b/>
          <w:szCs w:val="24"/>
        </w:rPr>
        <w:tab/>
      </w:r>
      <w:r w:rsidRPr="00985F06">
        <w:rPr>
          <w:rFonts w:cs="Times New Roman"/>
          <w:b/>
          <w:szCs w:val="24"/>
        </w:rPr>
        <w:tab/>
      </w:r>
      <w:r w:rsidRPr="00985F06">
        <w:rPr>
          <w:rFonts w:cs="Times New Roman"/>
          <w:szCs w:val="24"/>
        </w:rPr>
        <w:t>Howard Snyder</w:t>
      </w:r>
    </w:p>
    <w:p w14:paraId="1DF9297E"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Deputy Director</w:t>
      </w:r>
    </w:p>
    <w:p w14:paraId="7AB98D94" w14:textId="77777777" w:rsidR="008F7BAC" w:rsidRPr="00985F06" w:rsidRDefault="008F7BAC" w:rsidP="008F7BAC">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Bureau of Justice Statistics</w:t>
      </w:r>
    </w:p>
    <w:p w14:paraId="3B79598E" w14:textId="77777777" w:rsidR="008F7BAC" w:rsidRPr="00985F06" w:rsidRDefault="008F7BAC" w:rsidP="008F7BAC">
      <w:pPr>
        <w:spacing w:after="0"/>
        <w:rPr>
          <w:rFonts w:cs="Times New Roman"/>
          <w:szCs w:val="24"/>
        </w:rPr>
      </w:pPr>
    </w:p>
    <w:p w14:paraId="396D80EA" w14:textId="1B188095" w:rsidR="008F7BAC" w:rsidRPr="00985F06" w:rsidRDefault="008F7BAC" w:rsidP="008F7BAC">
      <w:pPr>
        <w:spacing w:after="0"/>
        <w:rPr>
          <w:rFonts w:cs="Times New Roman"/>
          <w:szCs w:val="24"/>
        </w:rPr>
      </w:pPr>
      <w:r w:rsidRPr="00985F06">
        <w:rPr>
          <w:rFonts w:cs="Times New Roman"/>
          <w:b/>
          <w:szCs w:val="24"/>
        </w:rPr>
        <w:t>DATE:</w:t>
      </w:r>
      <w:r w:rsidRPr="00985F06">
        <w:rPr>
          <w:rFonts w:cs="Times New Roman"/>
          <w:b/>
          <w:szCs w:val="24"/>
        </w:rPr>
        <w:tab/>
      </w:r>
      <w:r w:rsidRPr="00985F06">
        <w:rPr>
          <w:rFonts w:cs="Times New Roman"/>
          <w:b/>
          <w:szCs w:val="24"/>
        </w:rPr>
        <w:tab/>
      </w:r>
      <w:r w:rsidRPr="00985F06">
        <w:rPr>
          <w:rFonts w:cs="Times New Roman"/>
          <w:b/>
          <w:szCs w:val="24"/>
        </w:rPr>
        <w:tab/>
      </w:r>
      <w:r>
        <w:rPr>
          <w:rFonts w:cs="Times New Roman"/>
          <w:szCs w:val="24"/>
        </w:rPr>
        <w:t xml:space="preserve">December </w:t>
      </w:r>
      <w:r w:rsidR="0019068B">
        <w:rPr>
          <w:rFonts w:cs="Times New Roman"/>
          <w:szCs w:val="24"/>
        </w:rPr>
        <w:t>17</w:t>
      </w:r>
      <w:bookmarkStart w:id="0" w:name="_GoBack"/>
      <w:bookmarkEnd w:id="0"/>
      <w:r w:rsidRPr="00985F06">
        <w:rPr>
          <w:rFonts w:cs="Times New Roman"/>
          <w:szCs w:val="24"/>
        </w:rPr>
        <w:t>, 2013</w:t>
      </w:r>
    </w:p>
    <w:p w14:paraId="38F7732A" w14:textId="77777777" w:rsidR="008F7BAC" w:rsidRPr="00985F06" w:rsidRDefault="008F7BAC" w:rsidP="008F7BAC">
      <w:pPr>
        <w:spacing w:after="0"/>
        <w:rPr>
          <w:rFonts w:cs="Times New Roman"/>
          <w:szCs w:val="24"/>
        </w:rPr>
      </w:pPr>
    </w:p>
    <w:p w14:paraId="0809EA27" w14:textId="6856401E" w:rsidR="008F7BAC" w:rsidRPr="00172285" w:rsidRDefault="008F7BAC" w:rsidP="008F7BAC">
      <w:pPr>
        <w:spacing w:after="0"/>
        <w:ind w:left="2880" w:hanging="2880"/>
        <w:rPr>
          <w:rFonts w:cs="Times New Roman"/>
          <w:szCs w:val="24"/>
        </w:rPr>
      </w:pPr>
      <w:r w:rsidRPr="00985F06">
        <w:rPr>
          <w:rFonts w:cs="Times New Roman"/>
          <w:b/>
          <w:szCs w:val="24"/>
        </w:rPr>
        <w:t>SUBJECT:</w:t>
      </w:r>
      <w:r w:rsidRPr="00985F06">
        <w:rPr>
          <w:rFonts w:cs="Times New Roman"/>
          <w:b/>
          <w:szCs w:val="24"/>
        </w:rPr>
        <w:tab/>
      </w:r>
      <w:r w:rsidRPr="00985F06">
        <w:rPr>
          <w:rFonts w:cs="Times New Roman"/>
          <w:szCs w:val="24"/>
        </w:rPr>
        <w:t xml:space="preserve">BJS request for OMB Clearance to </w:t>
      </w:r>
      <w:r>
        <w:rPr>
          <w:rFonts w:cs="Times New Roman"/>
          <w:szCs w:val="24"/>
        </w:rPr>
        <w:t xml:space="preserve">conduct a survey on select criminal justice agencies responsible for the processing and management of pretrial defendants within the U.S through the National Pretrial Reporting Program (NPRP) under the generic clearance agreement OMB Number </w:t>
      </w:r>
      <w:r w:rsidRPr="00E2405C">
        <w:rPr>
          <w:rFonts w:cs="Times New Roman"/>
          <w:szCs w:val="24"/>
        </w:rPr>
        <w:t>1121-0339</w:t>
      </w:r>
      <w:r w:rsidRPr="00985F06">
        <w:rPr>
          <w:rFonts w:cs="Times New Roman"/>
          <w:szCs w:val="24"/>
        </w:rPr>
        <w:t xml:space="preserve">.  </w:t>
      </w:r>
    </w:p>
    <w:p w14:paraId="2E7582F0" w14:textId="77777777" w:rsidR="008F7BAC" w:rsidRDefault="008F7BAC" w:rsidP="008F7BAC">
      <w:pPr>
        <w:pStyle w:val="Heading1"/>
        <w:pBdr>
          <w:bottom w:val="single" w:sz="4" w:space="1" w:color="auto"/>
        </w:pBdr>
        <w:spacing w:before="0" w:line="240" w:lineRule="auto"/>
      </w:pPr>
    </w:p>
    <w:p w14:paraId="15EC8AD7" w14:textId="6FAB958C" w:rsidR="00B77EBB" w:rsidRDefault="00B77EBB" w:rsidP="00B77EBB">
      <w:pPr>
        <w:pStyle w:val="Heading1"/>
      </w:pPr>
      <w:r w:rsidRPr="008F7BAC">
        <w:t>Introduction</w:t>
      </w:r>
      <w:r>
        <w:t xml:space="preserve"> </w:t>
      </w:r>
    </w:p>
    <w:p w14:paraId="793A6981" w14:textId="545CBFA8" w:rsidR="003717A0" w:rsidRDefault="003717A0">
      <w:pPr>
        <w:rPr>
          <w:rFonts w:cs="Times New Roman"/>
          <w:szCs w:val="24"/>
        </w:rPr>
      </w:pPr>
      <w:r>
        <w:rPr>
          <w:rFonts w:cs="Times New Roman"/>
          <w:szCs w:val="24"/>
        </w:rPr>
        <w:t xml:space="preserve">The Bureau of Justice Statistics (BJS) is planning to conduct a </w:t>
      </w:r>
      <w:r w:rsidR="00603C9A">
        <w:rPr>
          <w:rFonts w:cs="Times New Roman"/>
          <w:szCs w:val="24"/>
        </w:rPr>
        <w:t xml:space="preserve">survey on </w:t>
      </w:r>
      <w:r>
        <w:rPr>
          <w:rFonts w:cs="Times New Roman"/>
          <w:szCs w:val="24"/>
        </w:rPr>
        <w:t>select criminal justice agencies responsible for the processing and management of pretrial defendants within the United States</w:t>
      </w:r>
      <w:r w:rsidR="003D6124">
        <w:rPr>
          <w:rFonts w:cs="Times New Roman"/>
          <w:szCs w:val="24"/>
        </w:rPr>
        <w:t xml:space="preserve"> (U.S.)</w:t>
      </w:r>
      <w:r>
        <w:rPr>
          <w:rFonts w:cs="Times New Roman"/>
          <w:szCs w:val="24"/>
        </w:rPr>
        <w:t xml:space="preserve"> through a project titled the National Pretrial Reporting Program (NPRP). </w:t>
      </w:r>
      <w:r w:rsidR="00AA504A">
        <w:rPr>
          <w:rFonts w:cs="Times New Roman"/>
          <w:szCs w:val="24"/>
        </w:rPr>
        <w:t xml:space="preserve">Prior to the implementation of this project, BJS intends to </w:t>
      </w:r>
      <w:r w:rsidR="00E15242">
        <w:rPr>
          <w:rFonts w:cs="Times New Roman"/>
          <w:szCs w:val="24"/>
        </w:rPr>
        <w:t xml:space="preserve">assess the feasibility of collecting </w:t>
      </w:r>
      <w:r>
        <w:rPr>
          <w:rFonts w:cs="Times New Roman"/>
          <w:szCs w:val="24"/>
        </w:rPr>
        <w:t>nationally representative data about the pretrial population</w:t>
      </w:r>
      <w:r w:rsidR="00E15242">
        <w:rPr>
          <w:rFonts w:cs="Times New Roman"/>
          <w:szCs w:val="24"/>
        </w:rPr>
        <w:t>. The assessment will be conducted through the</w:t>
      </w:r>
      <w:r w:rsidR="00B32CE7">
        <w:rPr>
          <w:rFonts w:cs="Times New Roman"/>
          <w:szCs w:val="24"/>
        </w:rPr>
        <w:t xml:space="preserve"> fielding </w:t>
      </w:r>
      <w:r w:rsidR="00E15242">
        <w:rPr>
          <w:rFonts w:cs="Times New Roman"/>
          <w:szCs w:val="24"/>
        </w:rPr>
        <w:t xml:space="preserve">of </w:t>
      </w:r>
      <w:r w:rsidR="00603C9A">
        <w:rPr>
          <w:rFonts w:cs="Times New Roman"/>
          <w:szCs w:val="24"/>
        </w:rPr>
        <w:t xml:space="preserve">a </w:t>
      </w:r>
      <w:r w:rsidR="00B32CE7">
        <w:rPr>
          <w:rFonts w:cs="Times New Roman"/>
          <w:szCs w:val="24"/>
        </w:rPr>
        <w:t xml:space="preserve">prototype </w:t>
      </w:r>
      <w:r w:rsidR="00B736EB">
        <w:rPr>
          <w:rFonts w:cs="Times New Roman"/>
          <w:szCs w:val="24"/>
        </w:rPr>
        <w:t xml:space="preserve">survey. Not only will this project inform BJS </w:t>
      </w:r>
      <w:r w:rsidR="00504AE7">
        <w:rPr>
          <w:rFonts w:cs="Times New Roman"/>
          <w:szCs w:val="24"/>
        </w:rPr>
        <w:t>about</w:t>
      </w:r>
      <w:r w:rsidR="00B736EB">
        <w:rPr>
          <w:rFonts w:cs="Times New Roman"/>
          <w:szCs w:val="24"/>
        </w:rPr>
        <w:t xml:space="preserve"> the feasibility </w:t>
      </w:r>
      <w:r w:rsidR="00603C9A">
        <w:rPr>
          <w:rFonts w:cs="Times New Roman"/>
          <w:szCs w:val="24"/>
        </w:rPr>
        <w:t xml:space="preserve">of </w:t>
      </w:r>
      <w:r w:rsidR="004C5B03">
        <w:rPr>
          <w:rFonts w:cs="Times New Roman"/>
          <w:szCs w:val="24"/>
        </w:rPr>
        <w:t xml:space="preserve">developing </w:t>
      </w:r>
      <w:r w:rsidR="00B736EB">
        <w:rPr>
          <w:rFonts w:cs="Times New Roman"/>
          <w:szCs w:val="24"/>
        </w:rPr>
        <w:t xml:space="preserve">nationally representative </w:t>
      </w:r>
      <w:r w:rsidR="004C5B03">
        <w:rPr>
          <w:rFonts w:cs="Times New Roman"/>
          <w:szCs w:val="24"/>
        </w:rPr>
        <w:t xml:space="preserve">statistics about </w:t>
      </w:r>
      <w:r w:rsidR="00B736EB">
        <w:rPr>
          <w:rFonts w:cs="Times New Roman"/>
          <w:szCs w:val="24"/>
        </w:rPr>
        <w:t xml:space="preserve">pretrial case processing, </w:t>
      </w:r>
      <w:r w:rsidR="00B64795">
        <w:rPr>
          <w:rFonts w:cs="Times New Roman"/>
          <w:szCs w:val="24"/>
        </w:rPr>
        <w:t xml:space="preserve">but </w:t>
      </w:r>
      <w:r w:rsidR="00504AE7">
        <w:rPr>
          <w:rFonts w:cs="Times New Roman"/>
          <w:szCs w:val="24"/>
        </w:rPr>
        <w:t>it will also help</w:t>
      </w:r>
      <w:r w:rsidR="00603C9A">
        <w:rPr>
          <w:rFonts w:cs="Times New Roman"/>
          <w:szCs w:val="24"/>
        </w:rPr>
        <w:t xml:space="preserve"> BJS </w:t>
      </w:r>
      <w:r w:rsidR="00504AE7">
        <w:rPr>
          <w:rFonts w:cs="Times New Roman"/>
          <w:szCs w:val="24"/>
        </w:rPr>
        <w:t>to</w:t>
      </w:r>
      <w:r w:rsidR="00603C9A">
        <w:rPr>
          <w:rFonts w:cs="Times New Roman"/>
          <w:szCs w:val="24"/>
        </w:rPr>
        <w:t xml:space="preserve"> identify challenges and strategies to successfully</w:t>
      </w:r>
      <w:r w:rsidR="00E15242">
        <w:rPr>
          <w:rFonts w:cs="Times New Roman"/>
          <w:szCs w:val="24"/>
        </w:rPr>
        <w:t xml:space="preserve"> and efficiently</w:t>
      </w:r>
      <w:r w:rsidR="00603C9A">
        <w:rPr>
          <w:rFonts w:cs="Times New Roman"/>
          <w:szCs w:val="24"/>
        </w:rPr>
        <w:t xml:space="preserve"> f</w:t>
      </w:r>
      <w:r>
        <w:rPr>
          <w:rFonts w:cs="Times New Roman"/>
          <w:szCs w:val="24"/>
        </w:rPr>
        <w:t xml:space="preserve">ield such a data collection program </w:t>
      </w:r>
      <w:r w:rsidR="008B1F30">
        <w:rPr>
          <w:rFonts w:cs="Times New Roman"/>
          <w:szCs w:val="24"/>
        </w:rPr>
        <w:t>at the national level</w:t>
      </w:r>
      <w:r w:rsidR="00B736EB">
        <w:rPr>
          <w:rFonts w:cs="Times New Roman"/>
          <w:szCs w:val="24"/>
        </w:rPr>
        <w:t>.</w:t>
      </w:r>
      <w:r w:rsidR="0050225A">
        <w:rPr>
          <w:rFonts w:cs="Times New Roman"/>
          <w:szCs w:val="24"/>
        </w:rPr>
        <w:t xml:space="preserve"> </w:t>
      </w:r>
      <w:r w:rsidR="008B1F30">
        <w:rPr>
          <w:rFonts w:cs="Times New Roman"/>
          <w:szCs w:val="24"/>
        </w:rPr>
        <w:t xml:space="preserve"> </w:t>
      </w:r>
    </w:p>
    <w:p w14:paraId="50EE798A" w14:textId="77777777" w:rsidR="00603C9A" w:rsidRDefault="00603C9A" w:rsidP="00603C9A">
      <w:pPr>
        <w:pStyle w:val="Heading1"/>
      </w:pPr>
      <w:r>
        <w:t xml:space="preserve">Background </w:t>
      </w:r>
    </w:p>
    <w:p w14:paraId="67B990C0" w14:textId="12D8126C" w:rsidR="007C3EA0" w:rsidRDefault="003966B7">
      <w:pPr>
        <w:rPr>
          <w:rFonts w:cs="Times New Roman"/>
          <w:szCs w:val="24"/>
        </w:rPr>
      </w:pPr>
      <w:r w:rsidRPr="00263770">
        <w:rPr>
          <w:rFonts w:cs="Times New Roman"/>
          <w:szCs w:val="24"/>
        </w:rPr>
        <w:t>T</w:t>
      </w:r>
      <w:r w:rsidR="002137F3" w:rsidRPr="00263770">
        <w:rPr>
          <w:rFonts w:cs="Times New Roman"/>
          <w:szCs w:val="24"/>
        </w:rPr>
        <w:t xml:space="preserve">he </w:t>
      </w:r>
      <w:r w:rsidR="00CA5D8D">
        <w:rPr>
          <w:rFonts w:cs="Times New Roman"/>
          <w:szCs w:val="24"/>
        </w:rPr>
        <w:t>number of individuals in jail</w:t>
      </w:r>
      <w:r w:rsidR="002137F3" w:rsidRPr="00263770">
        <w:rPr>
          <w:rFonts w:cs="Times New Roman"/>
          <w:szCs w:val="24"/>
        </w:rPr>
        <w:t xml:space="preserve"> in the </w:t>
      </w:r>
      <w:r w:rsidR="003D6124">
        <w:rPr>
          <w:rFonts w:cs="Times New Roman"/>
          <w:szCs w:val="24"/>
        </w:rPr>
        <w:t>U.S.</w:t>
      </w:r>
      <w:r w:rsidR="00CA5D8D">
        <w:rPr>
          <w:rFonts w:cs="Times New Roman"/>
          <w:szCs w:val="24"/>
        </w:rPr>
        <w:t xml:space="preserve"> has risen</w:t>
      </w:r>
      <w:r w:rsidR="002137F3" w:rsidRPr="00263770">
        <w:rPr>
          <w:rFonts w:cs="Times New Roman"/>
          <w:szCs w:val="24"/>
        </w:rPr>
        <w:t xml:space="preserve"> dramatically</w:t>
      </w:r>
      <w:r w:rsidRPr="00263770">
        <w:rPr>
          <w:rFonts w:cs="Times New Roman"/>
          <w:szCs w:val="24"/>
        </w:rPr>
        <w:t xml:space="preserve"> over the past two decades</w:t>
      </w:r>
      <w:r w:rsidR="00263770">
        <w:rPr>
          <w:rFonts w:cs="Times New Roman"/>
          <w:szCs w:val="24"/>
        </w:rPr>
        <w:t>; b</w:t>
      </w:r>
      <w:r w:rsidRPr="00263770">
        <w:rPr>
          <w:rFonts w:cs="Times New Roman"/>
          <w:szCs w:val="24"/>
        </w:rPr>
        <w:t>etween</w:t>
      </w:r>
      <w:r w:rsidR="00075A1E" w:rsidRPr="00263770">
        <w:rPr>
          <w:rFonts w:cs="Times New Roman"/>
          <w:szCs w:val="24"/>
        </w:rPr>
        <w:t xml:space="preserve"> 1990 and 2008</w:t>
      </w:r>
      <w:r w:rsidR="002137F3" w:rsidRPr="00263770">
        <w:rPr>
          <w:rFonts w:cs="Times New Roman"/>
          <w:szCs w:val="24"/>
        </w:rPr>
        <w:t xml:space="preserve">, </w:t>
      </w:r>
      <w:r w:rsidR="0046334E">
        <w:rPr>
          <w:rFonts w:cs="Times New Roman"/>
          <w:szCs w:val="24"/>
        </w:rPr>
        <w:t>the daily jail population</w:t>
      </w:r>
      <w:r w:rsidRPr="00263770">
        <w:rPr>
          <w:rFonts w:cs="Times New Roman"/>
          <w:szCs w:val="24"/>
        </w:rPr>
        <w:t xml:space="preserve"> </w:t>
      </w:r>
      <w:r w:rsidR="00CA5D8D">
        <w:rPr>
          <w:rFonts w:cs="Times New Roman"/>
          <w:szCs w:val="24"/>
        </w:rPr>
        <w:t>grew</w:t>
      </w:r>
      <w:r w:rsidRPr="00263770">
        <w:rPr>
          <w:rFonts w:cs="Times New Roman"/>
          <w:szCs w:val="24"/>
        </w:rPr>
        <w:t xml:space="preserve"> </w:t>
      </w:r>
      <w:r w:rsidR="002137F3" w:rsidRPr="00263770">
        <w:rPr>
          <w:rFonts w:cs="Times New Roman"/>
          <w:szCs w:val="24"/>
        </w:rPr>
        <w:t xml:space="preserve">from </w:t>
      </w:r>
      <w:r w:rsidR="003F37A1" w:rsidRPr="00263770">
        <w:rPr>
          <w:rFonts w:cs="Times New Roman"/>
          <w:szCs w:val="24"/>
        </w:rPr>
        <w:t>about</w:t>
      </w:r>
      <w:r w:rsidR="002137F3" w:rsidRPr="00263770">
        <w:rPr>
          <w:rFonts w:cs="Times New Roman"/>
          <w:szCs w:val="24"/>
        </w:rPr>
        <w:t xml:space="preserve"> </w:t>
      </w:r>
      <w:r w:rsidR="003F37A1" w:rsidRPr="00263770">
        <w:rPr>
          <w:rFonts w:cs="Times New Roman"/>
          <w:szCs w:val="24"/>
        </w:rPr>
        <w:t xml:space="preserve">400,000 inmates to </w:t>
      </w:r>
      <w:r w:rsidR="003F37A1" w:rsidRPr="00263770">
        <w:rPr>
          <w:rFonts w:cs="Times New Roman"/>
          <w:szCs w:val="24"/>
        </w:rPr>
        <w:lastRenderedPageBreak/>
        <w:t>approximately 800,000 (Minton 2011)</w:t>
      </w:r>
      <w:r w:rsidR="00E64DB7" w:rsidRPr="00E64DB7">
        <w:rPr>
          <w:rStyle w:val="FootnoteReference"/>
          <w:rFonts w:cs="Times New Roman"/>
          <w:szCs w:val="24"/>
        </w:rPr>
        <w:t xml:space="preserve"> </w:t>
      </w:r>
      <w:r w:rsidR="00E64DB7">
        <w:rPr>
          <w:rStyle w:val="FootnoteReference"/>
          <w:rFonts w:cs="Times New Roman"/>
          <w:szCs w:val="24"/>
        </w:rPr>
        <w:footnoteReference w:id="1"/>
      </w:r>
      <w:r w:rsidR="003F37A1" w:rsidRPr="00263770">
        <w:rPr>
          <w:rFonts w:cs="Times New Roman"/>
          <w:szCs w:val="24"/>
        </w:rPr>
        <w:t>.</w:t>
      </w:r>
      <w:r w:rsidR="00E15242">
        <w:rPr>
          <w:rFonts w:cs="Times New Roman"/>
          <w:szCs w:val="24"/>
        </w:rPr>
        <w:t xml:space="preserve"> </w:t>
      </w:r>
      <w:r w:rsidR="003F37A1" w:rsidRPr="00263770">
        <w:rPr>
          <w:rFonts w:cs="Times New Roman"/>
          <w:szCs w:val="24"/>
        </w:rPr>
        <w:t xml:space="preserve">Much of this growth </w:t>
      </w:r>
      <w:r w:rsidR="002B6057">
        <w:rPr>
          <w:rFonts w:cs="Times New Roman"/>
          <w:szCs w:val="24"/>
        </w:rPr>
        <w:t>has been</w:t>
      </w:r>
      <w:r w:rsidR="003F37A1" w:rsidRPr="00263770">
        <w:rPr>
          <w:rFonts w:cs="Times New Roman"/>
          <w:szCs w:val="24"/>
        </w:rPr>
        <w:t xml:space="preserve"> driven by </w:t>
      </w:r>
      <w:r w:rsidR="00F40063">
        <w:rPr>
          <w:rFonts w:cs="Times New Roman"/>
          <w:szCs w:val="24"/>
        </w:rPr>
        <w:t xml:space="preserve">the </w:t>
      </w:r>
      <w:r w:rsidR="003F37A1" w:rsidRPr="00263770">
        <w:rPr>
          <w:rFonts w:cs="Times New Roman"/>
          <w:szCs w:val="24"/>
        </w:rPr>
        <w:t xml:space="preserve">increasing number of defendants held in jail </w:t>
      </w:r>
      <w:r w:rsidR="00191D82">
        <w:rPr>
          <w:rFonts w:cs="Times New Roman"/>
          <w:szCs w:val="24"/>
        </w:rPr>
        <w:t xml:space="preserve">while awaiting </w:t>
      </w:r>
      <w:r w:rsidR="003F37A1" w:rsidRPr="00263770">
        <w:rPr>
          <w:rFonts w:cs="Times New Roman"/>
          <w:szCs w:val="24"/>
        </w:rPr>
        <w:t xml:space="preserve">trial. </w:t>
      </w:r>
      <w:r w:rsidR="00506469">
        <w:rPr>
          <w:rFonts w:cs="Times New Roman"/>
          <w:szCs w:val="24"/>
        </w:rPr>
        <w:t>Although</w:t>
      </w:r>
      <w:r w:rsidR="003F37A1" w:rsidRPr="00263770">
        <w:rPr>
          <w:rFonts w:cs="Times New Roman"/>
          <w:szCs w:val="24"/>
        </w:rPr>
        <w:t xml:space="preserve"> jail populations </w:t>
      </w:r>
      <w:r w:rsidR="00191D82">
        <w:rPr>
          <w:rFonts w:cs="Times New Roman"/>
          <w:szCs w:val="24"/>
        </w:rPr>
        <w:t>were</w:t>
      </w:r>
      <w:r w:rsidR="003F37A1" w:rsidRPr="00263770">
        <w:rPr>
          <w:rFonts w:cs="Times New Roman"/>
          <w:szCs w:val="24"/>
        </w:rPr>
        <w:t xml:space="preserve"> split</w:t>
      </w:r>
      <w:r w:rsidRPr="00263770">
        <w:rPr>
          <w:rFonts w:cs="Times New Roman"/>
          <w:szCs w:val="24"/>
        </w:rPr>
        <w:t xml:space="preserve"> </w:t>
      </w:r>
      <w:r w:rsidR="002B6057">
        <w:rPr>
          <w:rFonts w:cs="Times New Roman"/>
          <w:szCs w:val="24"/>
        </w:rPr>
        <w:t xml:space="preserve">fairly </w:t>
      </w:r>
      <w:r w:rsidRPr="00263770">
        <w:rPr>
          <w:rFonts w:cs="Times New Roman"/>
          <w:szCs w:val="24"/>
        </w:rPr>
        <w:t>evenly</w:t>
      </w:r>
      <w:r w:rsidR="003F37A1" w:rsidRPr="00263770">
        <w:rPr>
          <w:rFonts w:cs="Times New Roman"/>
          <w:szCs w:val="24"/>
        </w:rPr>
        <w:t xml:space="preserve"> between sentenced and pretrial inmates</w:t>
      </w:r>
      <w:r w:rsidR="000A36B1">
        <w:rPr>
          <w:rFonts w:cs="Times New Roman"/>
          <w:szCs w:val="24"/>
        </w:rPr>
        <w:t xml:space="preserve"> until the mid-1990s</w:t>
      </w:r>
      <w:r w:rsidR="003F37A1" w:rsidRPr="00263770">
        <w:rPr>
          <w:rFonts w:cs="Times New Roman"/>
          <w:szCs w:val="24"/>
        </w:rPr>
        <w:t xml:space="preserve">, </w:t>
      </w:r>
      <w:r w:rsidR="009D4A07" w:rsidRPr="00263770">
        <w:rPr>
          <w:rFonts w:cs="Times New Roman"/>
          <w:szCs w:val="24"/>
        </w:rPr>
        <w:t xml:space="preserve">pretrial </w:t>
      </w:r>
      <w:r w:rsidRPr="00263770">
        <w:rPr>
          <w:rFonts w:cs="Times New Roman"/>
          <w:szCs w:val="24"/>
        </w:rPr>
        <w:t xml:space="preserve">defendants </w:t>
      </w:r>
      <w:r w:rsidR="00263770" w:rsidRPr="00263770">
        <w:rPr>
          <w:rFonts w:cs="Times New Roman"/>
          <w:szCs w:val="24"/>
        </w:rPr>
        <w:t xml:space="preserve">now </w:t>
      </w:r>
      <w:r w:rsidRPr="00263770">
        <w:rPr>
          <w:rFonts w:cs="Times New Roman"/>
          <w:szCs w:val="24"/>
        </w:rPr>
        <w:t>comprise 61 percent</w:t>
      </w:r>
      <w:r w:rsidR="00263770" w:rsidRPr="00263770">
        <w:rPr>
          <w:rFonts w:cs="Times New Roman"/>
          <w:szCs w:val="24"/>
        </w:rPr>
        <w:t xml:space="preserve"> of all inmates in local jails (Minton 20</w:t>
      </w:r>
      <w:r w:rsidR="004B251F">
        <w:rPr>
          <w:rFonts w:cs="Times New Roman"/>
          <w:szCs w:val="24"/>
        </w:rPr>
        <w:t>11).</w:t>
      </w:r>
      <w:r w:rsidR="007C3EA0" w:rsidRPr="007C3EA0">
        <w:rPr>
          <w:rFonts w:cs="Times New Roman"/>
          <w:szCs w:val="24"/>
        </w:rPr>
        <w:t xml:space="preserve"> </w:t>
      </w:r>
      <w:r w:rsidR="00654B36">
        <w:rPr>
          <w:rFonts w:cs="Times New Roman"/>
          <w:szCs w:val="24"/>
        </w:rPr>
        <w:t xml:space="preserve">This </w:t>
      </w:r>
      <w:r w:rsidR="007C3EA0">
        <w:rPr>
          <w:rFonts w:cs="Times New Roman"/>
          <w:szCs w:val="24"/>
        </w:rPr>
        <w:t xml:space="preserve">burgeoning </w:t>
      </w:r>
      <w:r w:rsidR="008512BF">
        <w:rPr>
          <w:rFonts w:cs="Times New Roman"/>
          <w:szCs w:val="24"/>
        </w:rPr>
        <w:t>jail population</w:t>
      </w:r>
      <w:r w:rsidR="007C3EA0" w:rsidRPr="00263770">
        <w:rPr>
          <w:rFonts w:cs="Times New Roman"/>
          <w:szCs w:val="24"/>
        </w:rPr>
        <w:t xml:space="preserve"> </w:t>
      </w:r>
      <w:r w:rsidR="007C3EA0">
        <w:rPr>
          <w:rFonts w:cs="Times New Roman"/>
          <w:szCs w:val="24"/>
        </w:rPr>
        <w:t xml:space="preserve">has resulted in a growing burden to taxpayers. Housing pretrial defendants in jail is a major contributor to these escalating costs; according to the Florida Sheriff’s Association, for example, keeping pretrial </w:t>
      </w:r>
      <w:r w:rsidR="00B64795">
        <w:rPr>
          <w:rFonts w:cs="Times New Roman"/>
          <w:szCs w:val="24"/>
        </w:rPr>
        <w:t xml:space="preserve">defendants </w:t>
      </w:r>
      <w:r w:rsidR="007C3EA0">
        <w:rPr>
          <w:rFonts w:cs="Times New Roman"/>
          <w:szCs w:val="24"/>
        </w:rPr>
        <w:t xml:space="preserve">in thirty of Florida’s county jails costs taxpayers almost one billion dollars annually. </w:t>
      </w:r>
    </w:p>
    <w:p w14:paraId="5C750981" w14:textId="3F84C548" w:rsidR="00E169F6" w:rsidRDefault="00E169F6">
      <w:pPr>
        <w:rPr>
          <w:rFonts w:cs="Times New Roman"/>
          <w:szCs w:val="24"/>
        </w:rPr>
      </w:pPr>
      <w:r>
        <w:rPr>
          <w:rFonts w:cs="Times New Roman"/>
          <w:szCs w:val="24"/>
        </w:rPr>
        <w:t xml:space="preserve">In addition, </w:t>
      </w:r>
      <w:r>
        <w:t>the pretrial stage of the criminal justice system is an important process in which the outcomes of a criminal case are influenced by the decisions of judges, prosecutors, defense attorneys, and jail administrators. Therefore, understanding pretrial decision-making and case processing is relevant to several criminal justice actors and agencies, thereby providing a clear justification for this project.</w:t>
      </w:r>
    </w:p>
    <w:p w14:paraId="54F30BFC" w14:textId="238231D8" w:rsidR="006873C4" w:rsidRDefault="000A7511" w:rsidP="006873C4">
      <w:pPr>
        <w:rPr>
          <w:rFonts w:cs="Times New Roman"/>
          <w:szCs w:val="24"/>
        </w:rPr>
      </w:pPr>
      <w:r>
        <w:rPr>
          <w:rFonts w:cs="Times New Roman"/>
          <w:szCs w:val="24"/>
        </w:rPr>
        <w:t xml:space="preserve">Given </w:t>
      </w:r>
      <w:r w:rsidR="00583CF6">
        <w:rPr>
          <w:rFonts w:cs="Times New Roman"/>
          <w:szCs w:val="24"/>
        </w:rPr>
        <w:t>these</w:t>
      </w:r>
      <w:r w:rsidR="00941AB4">
        <w:rPr>
          <w:rFonts w:cs="Times New Roman"/>
          <w:szCs w:val="24"/>
        </w:rPr>
        <w:t xml:space="preserve"> ramifications for the management of jail populations</w:t>
      </w:r>
      <w:r w:rsidR="00E169F6">
        <w:rPr>
          <w:rFonts w:cs="Times New Roman"/>
          <w:szCs w:val="24"/>
        </w:rPr>
        <w:t>, the importance on case outcomes,</w:t>
      </w:r>
      <w:r w:rsidR="0046334E">
        <w:rPr>
          <w:rFonts w:cs="Times New Roman"/>
          <w:szCs w:val="24"/>
        </w:rPr>
        <w:t xml:space="preserve"> </w:t>
      </w:r>
      <w:r w:rsidR="00077CA9">
        <w:rPr>
          <w:rFonts w:cs="Times New Roman"/>
          <w:szCs w:val="24"/>
        </w:rPr>
        <w:t>and</w:t>
      </w:r>
      <w:r>
        <w:rPr>
          <w:rFonts w:cs="Times New Roman"/>
          <w:szCs w:val="24"/>
        </w:rPr>
        <w:t xml:space="preserve"> the </w:t>
      </w:r>
      <w:r w:rsidR="00583CF6">
        <w:rPr>
          <w:rFonts w:cs="Times New Roman"/>
          <w:szCs w:val="24"/>
        </w:rPr>
        <w:t>rising</w:t>
      </w:r>
      <w:r>
        <w:rPr>
          <w:rFonts w:cs="Times New Roman"/>
          <w:szCs w:val="24"/>
        </w:rPr>
        <w:t xml:space="preserve"> cost to taxpayers, the growth of the pretrial population </w:t>
      </w:r>
      <w:r w:rsidR="00F40063">
        <w:rPr>
          <w:rFonts w:cs="Times New Roman"/>
          <w:szCs w:val="24"/>
        </w:rPr>
        <w:t>has become a major area of concern for policymakers, practitioners, academics, and the general public.</w:t>
      </w:r>
      <w:r w:rsidR="00583CF6">
        <w:rPr>
          <w:rFonts w:cs="Times New Roman"/>
          <w:szCs w:val="24"/>
        </w:rPr>
        <w:t xml:space="preserve"> H</w:t>
      </w:r>
      <w:r w:rsidR="00941AB4">
        <w:rPr>
          <w:rFonts w:cs="Times New Roman"/>
          <w:szCs w:val="24"/>
        </w:rPr>
        <w:t xml:space="preserve">owever, </w:t>
      </w:r>
      <w:r w:rsidR="00654B36">
        <w:rPr>
          <w:rFonts w:cs="Times New Roman"/>
          <w:szCs w:val="24"/>
        </w:rPr>
        <w:t xml:space="preserve">there is no nationally representative data available that </w:t>
      </w:r>
      <w:r>
        <w:rPr>
          <w:rFonts w:cs="Times New Roman"/>
          <w:szCs w:val="24"/>
        </w:rPr>
        <w:t>could shed</w:t>
      </w:r>
      <w:r w:rsidR="00077CA9">
        <w:rPr>
          <w:rFonts w:cs="Times New Roman"/>
          <w:szCs w:val="24"/>
        </w:rPr>
        <w:t xml:space="preserve"> light on</w:t>
      </w:r>
      <w:r w:rsidR="00191D82">
        <w:rPr>
          <w:rFonts w:cs="Times New Roman"/>
          <w:szCs w:val="24"/>
        </w:rPr>
        <w:t xml:space="preserve"> </w:t>
      </w:r>
      <w:r w:rsidR="00654B36">
        <w:rPr>
          <w:rFonts w:cs="Times New Roman"/>
          <w:szCs w:val="24"/>
        </w:rPr>
        <w:t xml:space="preserve">the processing of pretrial cases </w:t>
      </w:r>
      <w:r w:rsidR="00B64795">
        <w:rPr>
          <w:rFonts w:cs="Times New Roman"/>
          <w:szCs w:val="24"/>
        </w:rPr>
        <w:t xml:space="preserve">and </w:t>
      </w:r>
      <w:r w:rsidR="00191D82">
        <w:rPr>
          <w:rFonts w:cs="Times New Roman"/>
          <w:szCs w:val="24"/>
        </w:rPr>
        <w:t>cost-effective</w:t>
      </w:r>
      <w:r w:rsidR="00077CA9">
        <w:rPr>
          <w:rFonts w:cs="Times New Roman"/>
          <w:szCs w:val="24"/>
        </w:rPr>
        <w:t xml:space="preserve"> </w:t>
      </w:r>
      <w:r w:rsidR="00654B36">
        <w:rPr>
          <w:rFonts w:cs="Times New Roman"/>
          <w:szCs w:val="24"/>
        </w:rPr>
        <w:t>ways of managing pretrial populations.</w:t>
      </w:r>
      <w:r w:rsidR="00AA504A">
        <w:rPr>
          <w:rFonts w:cs="Times New Roman"/>
          <w:szCs w:val="24"/>
        </w:rPr>
        <w:t xml:space="preserve"> </w:t>
      </w:r>
      <w:r w:rsidR="00077CA9">
        <w:rPr>
          <w:rFonts w:cs="Times New Roman"/>
          <w:szCs w:val="24"/>
        </w:rPr>
        <w:t xml:space="preserve">The only </w:t>
      </w:r>
      <w:r w:rsidR="006619FC">
        <w:rPr>
          <w:rFonts w:cs="Times New Roman"/>
          <w:szCs w:val="24"/>
        </w:rPr>
        <w:t xml:space="preserve">systematic data collection effort </w:t>
      </w:r>
      <w:r w:rsidR="00583CF6">
        <w:rPr>
          <w:rFonts w:cs="Times New Roman"/>
          <w:szCs w:val="24"/>
        </w:rPr>
        <w:t xml:space="preserve">that captures information on </w:t>
      </w:r>
      <w:r w:rsidR="00F41FD4">
        <w:rPr>
          <w:rFonts w:cs="Times New Roman"/>
          <w:szCs w:val="24"/>
        </w:rPr>
        <w:t xml:space="preserve">pretrial processing </w:t>
      </w:r>
      <w:r w:rsidR="006619FC">
        <w:rPr>
          <w:rFonts w:cs="Times New Roman"/>
          <w:szCs w:val="24"/>
        </w:rPr>
        <w:t xml:space="preserve">from multiple jurisdictions </w:t>
      </w:r>
      <w:r>
        <w:rPr>
          <w:rFonts w:cs="Times New Roman"/>
          <w:szCs w:val="24"/>
        </w:rPr>
        <w:t xml:space="preserve">is </w:t>
      </w:r>
      <w:r w:rsidR="00603C9A">
        <w:rPr>
          <w:rFonts w:cs="Times New Roman"/>
          <w:szCs w:val="24"/>
        </w:rPr>
        <w:t xml:space="preserve">BJS’s </w:t>
      </w:r>
      <w:r>
        <w:rPr>
          <w:rFonts w:cs="Times New Roman"/>
          <w:szCs w:val="24"/>
        </w:rPr>
        <w:t>State Court Processing Statistics (SCPS)</w:t>
      </w:r>
      <w:r w:rsidR="00603C9A">
        <w:rPr>
          <w:rFonts w:cs="Times New Roman"/>
          <w:szCs w:val="24"/>
        </w:rPr>
        <w:t xml:space="preserve"> program, which </w:t>
      </w:r>
      <w:r w:rsidR="00086009">
        <w:rPr>
          <w:rFonts w:cs="Times New Roman"/>
          <w:szCs w:val="24"/>
        </w:rPr>
        <w:t>collects data on felony case processing in 40 of the 75 largest counties in the country</w:t>
      </w:r>
      <w:r w:rsidR="00654B36">
        <w:rPr>
          <w:rFonts w:cs="Times New Roman"/>
          <w:szCs w:val="24"/>
        </w:rPr>
        <w:t xml:space="preserve">. </w:t>
      </w:r>
      <w:r w:rsidR="006619FC">
        <w:rPr>
          <w:rFonts w:cs="Times New Roman"/>
          <w:szCs w:val="24"/>
        </w:rPr>
        <w:t xml:space="preserve">However, </w:t>
      </w:r>
      <w:r w:rsidR="006873C4">
        <w:rPr>
          <w:rFonts w:cs="Times New Roman"/>
          <w:szCs w:val="24"/>
        </w:rPr>
        <w:t xml:space="preserve">SCPS does not provide </w:t>
      </w:r>
      <w:r w:rsidR="006619FC">
        <w:rPr>
          <w:rFonts w:cs="Times New Roman"/>
          <w:szCs w:val="24"/>
        </w:rPr>
        <w:t xml:space="preserve">detailed </w:t>
      </w:r>
      <w:r w:rsidR="006873C4">
        <w:rPr>
          <w:rFonts w:cs="Times New Roman"/>
          <w:szCs w:val="24"/>
        </w:rPr>
        <w:t xml:space="preserve">data that </w:t>
      </w:r>
      <w:r w:rsidR="0065471B">
        <w:rPr>
          <w:rFonts w:cs="Times New Roman"/>
          <w:szCs w:val="24"/>
        </w:rPr>
        <w:t xml:space="preserve">are </w:t>
      </w:r>
      <w:r w:rsidR="006873C4">
        <w:rPr>
          <w:rFonts w:cs="Times New Roman"/>
          <w:szCs w:val="24"/>
        </w:rPr>
        <w:t>relevant to recent developments in the pretrial field</w:t>
      </w:r>
      <w:r w:rsidR="00504AE7">
        <w:rPr>
          <w:rFonts w:cs="Times New Roman"/>
          <w:szCs w:val="24"/>
        </w:rPr>
        <w:t>,</w:t>
      </w:r>
      <w:r w:rsidR="00887F79">
        <w:rPr>
          <w:rFonts w:cs="Times New Roman"/>
          <w:szCs w:val="24"/>
        </w:rPr>
        <w:t xml:space="preserve"> such as </w:t>
      </w:r>
      <w:r w:rsidR="006873C4">
        <w:rPr>
          <w:rFonts w:cs="Times New Roman"/>
          <w:szCs w:val="24"/>
        </w:rPr>
        <w:t>pretrial diversion</w:t>
      </w:r>
      <w:r w:rsidR="00887F79">
        <w:rPr>
          <w:rFonts w:cs="Times New Roman"/>
          <w:szCs w:val="24"/>
        </w:rPr>
        <w:t>/</w:t>
      </w:r>
      <w:r w:rsidR="006873C4">
        <w:rPr>
          <w:rFonts w:cs="Times New Roman"/>
          <w:szCs w:val="24"/>
        </w:rPr>
        <w:t>supervision programs</w:t>
      </w:r>
      <w:r w:rsidR="00887F79">
        <w:rPr>
          <w:rFonts w:cs="Times New Roman"/>
          <w:szCs w:val="24"/>
        </w:rPr>
        <w:t xml:space="preserve"> and evidence-based practice in pretrial case processing. </w:t>
      </w:r>
    </w:p>
    <w:p w14:paraId="0B1FB484" w14:textId="5D8B809A" w:rsidR="00DB4E0E" w:rsidRDefault="006873C4" w:rsidP="00DB4E0E">
      <w:pPr>
        <w:rPr>
          <w:rFonts w:cs="Times New Roman"/>
          <w:szCs w:val="24"/>
        </w:rPr>
      </w:pPr>
      <w:r>
        <w:rPr>
          <w:rFonts w:cs="Times New Roman"/>
          <w:szCs w:val="24"/>
        </w:rPr>
        <w:t xml:space="preserve">Furthermore, </w:t>
      </w:r>
      <w:r w:rsidR="00887F79">
        <w:rPr>
          <w:rFonts w:cs="Times New Roman"/>
          <w:szCs w:val="24"/>
        </w:rPr>
        <w:t>SCPS do</w:t>
      </w:r>
      <w:r w:rsidR="00B64795">
        <w:rPr>
          <w:rFonts w:cs="Times New Roman"/>
          <w:szCs w:val="24"/>
        </w:rPr>
        <w:t>es</w:t>
      </w:r>
      <w:r w:rsidR="00887F79">
        <w:rPr>
          <w:rFonts w:cs="Times New Roman"/>
          <w:szCs w:val="24"/>
        </w:rPr>
        <w:t xml:space="preserve"> not include </w:t>
      </w:r>
      <w:r>
        <w:rPr>
          <w:rFonts w:cs="Times New Roman"/>
          <w:szCs w:val="24"/>
        </w:rPr>
        <w:t>small or midsized jurisdictions</w:t>
      </w:r>
      <w:r w:rsidR="00887F79">
        <w:rPr>
          <w:rFonts w:cs="Times New Roman"/>
          <w:szCs w:val="24"/>
        </w:rPr>
        <w:t xml:space="preserve">, lacking the capability of </w:t>
      </w:r>
      <w:r w:rsidR="0065471B">
        <w:rPr>
          <w:rFonts w:cs="Times New Roman"/>
          <w:szCs w:val="24"/>
        </w:rPr>
        <w:t xml:space="preserve">producing </w:t>
      </w:r>
      <w:r w:rsidR="00887F79">
        <w:rPr>
          <w:rFonts w:cs="Times New Roman"/>
          <w:szCs w:val="24"/>
        </w:rPr>
        <w:t xml:space="preserve">national or regional estimates about pretrial detention or case processing. </w:t>
      </w:r>
      <w:r>
        <w:rPr>
          <w:rFonts w:cs="Times New Roman"/>
          <w:szCs w:val="24"/>
        </w:rPr>
        <w:t xml:space="preserve">It also </w:t>
      </w:r>
      <w:r w:rsidR="00E813A1">
        <w:rPr>
          <w:rFonts w:cs="Times New Roman"/>
          <w:szCs w:val="24"/>
        </w:rPr>
        <w:t xml:space="preserve">focuses </w:t>
      </w:r>
      <w:r>
        <w:rPr>
          <w:rFonts w:cs="Times New Roman"/>
          <w:szCs w:val="24"/>
        </w:rPr>
        <w:t xml:space="preserve">exclusively </w:t>
      </w:r>
      <w:r w:rsidR="00E813A1">
        <w:rPr>
          <w:rFonts w:cs="Times New Roman"/>
          <w:szCs w:val="24"/>
        </w:rPr>
        <w:t>on felony defendants</w:t>
      </w:r>
      <w:r>
        <w:rPr>
          <w:rFonts w:cs="Times New Roman"/>
          <w:szCs w:val="24"/>
        </w:rPr>
        <w:t xml:space="preserve">, thereby providing </w:t>
      </w:r>
      <w:r w:rsidR="00E813A1">
        <w:rPr>
          <w:rFonts w:cs="Times New Roman"/>
          <w:szCs w:val="24"/>
        </w:rPr>
        <w:t xml:space="preserve">no information about misdemeanants, who constitute the vast majority of </w:t>
      </w:r>
      <w:r w:rsidR="00F8296C">
        <w:rPr>
          <w:rFonts w:cs="Times New Roman"/>
          <w:szCs w:val="24"/>
        </w:rPr>
        <w:t>arrestees each year.</w:t>
      </w:r>
      <w:r w:rsidR="00AA504A">
        <w:rPr>
          <w:rFonts w:cs="Times New Roman"/>
          <w:szCs w:val="24"/>
        </w:rPr>
        <w:t xml:space="preserve"> </w:t>
      </w:r>
      <w:r w:rsidR="0011499D">
        <w:rPr>
          <w:rFonts w:cs="Times New Roman"/>
          <w:szCs w:val="24"/>
        </w:rPr>
        <w:t xml:space="preserve">NPRP </w:t>
      </w:r>
      <w:r w:rsidR="0065471B">
        <w:rPr>
          <w:rFonts w:cs="Times New Roman"/>
          <w:szCs w:val="24"/>
        </w:rPr>
        <w:t xml:space="preserve">will address these limitations and provide </w:t>
      </w:r>
      <w:r w:rsidR="00563F1C">
        <w:rPr>
          <w:rFonts w:cs="Times New Roman"/>
          <w:szCs w:val="24"/>
        </w:rPr>
        <w:t xml:space="preserve">crucial </w:t>
      </w:r>
      <w:r w:rsidR="00DB4E0E">
        <w:rPr>
          <w:rFonts w:cs="Times New Roman"/>
          <w:szCs w:val="24"/>
        </w:rPr>
        <w:t xml:space="preserve">information to identify current trends and issues in the processing of pretrial cases. </w:t>
      </w:r>
    </w:p>
    <w:p w14:paraId="5A5CE9FE" w14:textId="77777777" w:rsidR="00DB4E0E" w:rsidRDefault="00DB4E0E" w:rsidP="00DB4E0E">
      <w:pPr>
        <w:pStyle w:val="Heading1"/>
      </w:pPr>
      <w:r>
        <w:t>Request for Developmental Work</w:t>
      </w:r>
    </w:p>
    <w:p w14:paraId="6F8E82D2" w14:textId="29EA8865" w:rsidR="005251BC" w:rsidRDefault="004B0763" w:rsidP="00262C93">
      <w:pPr>
        <w:rPr>
          <w:rFonts w:cs="Times New Roman"/>
          <w:szCs w:val="24"/>
        </w:rPr>
      </w:pPr>
      <w:r>
        <w:t xml:space="preserve">BJS plans to engage in development research for the NPRP project under the generic clearance (OMB number 1121-0339). </w:t>
      </w:r>
      <w:r w:rsidR="00DD3212">
        <w:rPr>
          <w:rFonts w:cs="Times New Roman"/>
          <w:szCs w:val="24"/>
        </w:rPr>
        <w:t xml:space="preserve">Given that BJS cannot fully predict how the national data collection program </w:t>
      </w:r>
      <w:r w:rsidR="00165DB0">
        <w:rPr>
          <w:rFonts w:cs="Times New Roman"/>
          <w:szCs w:val="24"/>
        </w:rPr>
        <w:t xml:space="preserve">on pretrial case processing </w:t>
      </w:r>
      <w:r w:rsidR="00DD3212">
        <w:rPr>
          <w:rFonts w:cs="Times New Roman"/>
          <w:szCs w:val="24"/>
        </w:rPr>
        <w:t xml:space="preserve">should be structured and implemented </w:t>
      </w:r>
      <w:r w:rsidR="00165DB0">
        <w:rPr>
          <w:rFonts w:cs="Times New Roman"/>
          <w:szCs w:val="24"/>
        </w:rPr>
        <w:t xml:space="preserve">to achieve the accurate and timely collection of data, it is important to </w:t>
      </w:r>
      <w:r w:rsidR="00262C93">
        <w:rPr>
          <w:rFonts w:cs="Times New Roman"/>
          <w:szCs w:val="24"/>
        </w:rPr>
        <w:t xml:space="preserve">evaluate the feasibility of the NPRP project by canvassing jurisdictional capacities to report on detailed pretrial </w:t>
      </w:r>
      <w:r w:rsidR="00A76BA0">
        <w:rPr>
          <w:rFonts w:cs="Times New Roman"/>
          <w:szCs w:val="24"/>
        </w:rPr>
        <w:t xml:space="preserve">data. </w:t>
      </w:r>
      <w:r w:rsidR="00D23321">
        <w:rPr>
          <w:rFonts w:cs="Times New Roman"/>
          <w:szCs w:val="24"/>
        </w:rPr>
        <w:t xml:space="preserve">The results </w:t>
      </w:r>
      <w:r w:rsidR="003D6124">
        <w:rPr>
          <w:rFonts w:cs="Times New Roman"/>
          <w:szCs w:val="24"/>
        </w:rPr>
        <w:t xml:space="preserve">will </w:t>
      </w:r>
      <w:r w:rsidR="00D23321">
        <w:rPr>
          <w:rFonts w:cs="Times New Roman"/>
          <w:szCs w:val="24"/>
        </w:rPr>
        <w:t>inform the development of an effective design for a future iteration of NPRP data collection.</w:t>
      </w:r>
    </w:p>
    <w:p w14:paraId="493DB557" w14:textId="670DDCF4" w:rsidR="00B57A16" w:rsidRDefault="00814D99" w:rsidP="0011499D">
      <w:pPr>
        <w:rPr>
          <w:rFonts w:cs="Times New Roman"/>
          <w:szCs w:val="24"/>
        </w:rPr>
      </w:pPr>
      <w:r>
        <w:rPr>
          <w:rFonts w:cs="Times New Roman"/>
          <w:szCs w:val="24"/>
        </w:rPr>
        <w:lastRenderedPageBreak/>
        <w:t xml:space="preserve">BJS </w:t>
      </w:r>
      <w:r w:rsidR="00D23321">
        <w:rPr>
          <w:rFonts w:cs="Times New Roman"/>
          <w:szCs w:val="24"/>
        </w:rPr>
        <w:t>ha</w:t>
      </w:r>
      <w:r w:rsidR="00EA08BE">
        <w:rPr>
          <w:rFonts w:cs="Times New Roman"/>
          <w:szCs w:val="24"/>
        </w:rPr>
        <w:t>s</w:t>
      </w:r>
      <w:r w:rsidR="00D23321">
        <w:rPr>
          <w:rFonts w:cs="Times New Roman"/>
          <w:szCs w:val="24"/>
        </w:rPr>
        <w:t xml:space="preserve"> developed a preliminary study to assess the feasibility of gathering pr</w:t>
      </w:r>
      <w:r w:rsidR="00A5763E">
        <w:rPr>
          <w:rFonts w:cs="Times New Roman"/>
          <w:szCs w:val="24"/>
        </w:rPr>
        <w:t>e</w:t>
      </w:r>
      <w:r w:rsidR="00D23321">
        <w:rPr>
          <w:rFonts w:cs="Times New Roman"/>
          <w:szCs w:val="24"/>
        </w:rPr>
        <w:t>t</w:t>
      </w:r>
      <w:r w:rsidR="00A5763E">
        <w:rPr>
          <w:rFonts w:cs="Times New Roman"/>
          <w:szCs w:val="24"/>
        </w:rPr>
        <w:t>r</w:t>
      </w:r>
      <w:r w:rsidR="00D23321">
        <w:rPr>
          <w:rFonts w:cs="Times New Roman"/>
          <w:szCs w:val="24"/>
        </w:rPr>
        <w:t>ial data from jurisdictions through</w:t>
      </w:r>
      <w:r w:rsidR="003D6124">
        <w:rPr>
          <w:rFonts w:cs="Times New Roman"/>
          <w:szCs w:val="24"/>
        </w:rPr>
        <w:t>out</w:t>
      </w:r>
      <w:r w:rsidR="00D23321">
        <w:rPr>
          <w:rFonts w:cs="Times New Roman"/>
          <w:szCs w:val="24"/>
        </w:rPr>
        <w:t xml:space="preserve"> the U.S. This feasibility study </w:t>
      </w:r>
      <w:r w:rsidR="00B57A16">
        <w:rPr>
          <w:rFonts w:cs="Times New Roman"/>
          <w:szCs w:val="24"/>
        </w:rPr>
        <w:t xml:space="preserve">is called the </w:t>
      </w:r>
      <w:r w:rsidR="00B57A16" w:rsidRPr="00B57A16">
        <w:rPr>
          <w:rFonts w:cs="Times New Roman"/>
          <w:szCs w:val="24"/>
        </w:rPr>
        <w:t>Jurisdictional Capacity Survey (JCS)</w:t>
      </w:r>
      <w:r w:rsidR="00B57A16">
        <w:rPr>
          <w:rFonts w:cs="Times New Roman"/>
          <w:szCs w:val="24"/>
        </w:rPr>
        <w:t xml:space="preserve">. </w:t>
      </w:r>
      <w:r w:rsidR="003D6124">
        <w:rPr>
          <w:rFonts w:cs="Times New Roman"/>
          <w:szCs w:val="24"/>
        </w:rPr>
        <w:t xml:space="preserve">The study </w:t>
      </w:r>
      <w:r w:rsidR="00B57A16">
        <w:rPr>
          <w:rFonts w:cs="Times New Roman"/>
          <w:szCs w:val="24"/>
        </w:rPr>
        <w:t>began by</w:t>
      </w:r>
      <w:r w:rsidR="005251BC">
        <w:rPr>
          <w:rFonts w:cs="Times New Roman"/>
          <w:szCs w:val="24"/>
        </w:rPr>
        <w:t xml:space="preserve"> </w:t>
      </w:r>
      <w:r w:rsidR="00864C95">
        <w:rPr>
          <w:rFonts w:cs="Times New Roman"/>
          <w:szCs w:val="24"/>
        </w:rPr>
        <w:t>conferr</w:t>
      </w:r>
      <w:r w:rsidR="00EA08BE">
        <w:rPr>
          <w:rFonts w:cs="Times New Roman"/>
          <w:szCs w:val="24"/>
        </w:rPr>
        <w:t>ing</w:t>
      </w:r>
      <w:r w:rsidR="00864C95">
        <w:rPr>
          <w:rFonts w:cs="Times New Roman"/>
          <w:szCs w:val="24"/>
        </w:rPr>
        <w:t xml:space="preserve"> with </w:t>
      </w:r>
      <w:r w:rsidR="00232D6D">
        <w:rPr>
          <w:rFonts w:cs="Times New Roman"/>
          <w:szCs w:val="24"/>
        </w:rPr>
        <w:t xml:space="preserve">leading </w:t>
      </w:r>
      <w:r w:rsidR="007B0426">
        <w:rPr>
          <w:rFonts w:cs="Times New Roman"/>
          <w:szCs w:val="24"/>
        </w:rPr>
        <w:t>experts and practitioners</w:t>
      </w:r>
      <w:r w:rsidR="00232D6D">
        <w:rPr>
          <w:rFonts w:cs="Times New Roman"/>
          <w:szCs w:val="24"/>
        </w:rPr>
        <w:t xml:space="preserve"> in the field of pretrial justice</w:t>
      </w:r>
      <w:r w:rsidR="007B0426">
        <w:rPr>
          <w:rFonts w:cs="Times New Roman"/>
          <w:szCs w:val="24"/>
        </w:rPr>
        <w:t>, including the National Institute of Correction</w:t>
      </w:r>
      <w:r w:rsidR="005839C1">
        <w:rPr>
          <w:rFonts w:cs="Times New Roman"/>
          <w:szCs w:val="24"/>
        </w:rPr>
        <w:t xml:space="preserve"> (NIC)</w:t>
      </w:r>
      <w:r w:rsidR="007B0426">
        <w:rPr>
          <w:rFonts w:cs="Times New Roman"/>
          <w:szCs w:val="24"/>
        </w:rPr>
        <w:t>’s Pretrial Executives Network and the National Association of Pretrial Services Agency</w:t>
      </w:r>
      <w:r w:rsidR="00B57A16">
        <w:rPr>
          <w:rFonts w:cs="Times New Roman"/>
          <w:szCs w:val="24"/>
        </w:rPr>
        <w:t>. The input from</w:t>
      </w:r>
      <w:r w:rsidR="00EA08BE">
        <w:rPr>
          <w:rFonts w:cs="Times New Roman"/>
          <w:szCs w:val="24"/>
        </w:rPr>
        <w:t xml:space="preserve"> </w:t>
      </w:r>
      <w:r w:rsidR="00B57A16">
        <w:rPr>
          <w:rFonts w:cs="Times New Roman"/>
          <w:szCs w:val="24"/>
        </w:rPr>
        <w:t xml:space="preserve">this group led to the </w:t>
      </w:r>
      <w:r w:rsidR="007B0426">
        <w:rPr>
          <w:rFonts w:cs="Times New Roman"/>
          <w:szCs w:val="24"/>
        </w:rPr>
        <w:t>develop</w:t>
      </w:r>
      <w:r w:rsidR="00B57A16">
        <w:rPr>
          <w:rFonts w:cs="Times New Roman"/>
          <w:szCs w:val="24"/>
        </w:rPr>
        <w:t>ment of</w:t>
      </w:r>
      <w:r w:rsidR="007B0426">
        <w:rPr>
          <w:rFonts w:cs="Times New Roman"/>
          <w:szCs w:val="24"/>
        </w:rPr>
        <w:t xml:space="preserve"> </w:t>
      </w:r>
      <w:r w:rsidR="003D6124">
        <w:rPr>
          <w:rFonts w:cs="Times New Roman"/>
          <w:szCs w:val="24"/>
        </w:rPr>
        <w:t>the JCS</w:t>
      </w:r>
      <w:r w:rsidR="007B0426">
        <w:rPr>
          <w:rFonts w:cs="Times New Roman"/>
          <w:szCs w:val="24"/>
        </w:rPr>
        <w:t xml:space="preserve"> </w:t>
      </w:r>
      <w:r w:rsidR="00EA08BE">
        <w:rPr>
          <w:rFonts w:cs="Times New Roman"/>
          <w:szCs w:val="24"/>
        </w:rPr>
        <w:t>design</w:t>
      </w:r>
      <w:r w:rsidR="00232D6D">
        <w:rPr>
          <w:rFonts w:cs="Times New Roman"/>
          <w:szCs w:val="24"/>
        </w:rPr>
        <w:t xml:space="preserve">. </w:t>
      </w:r>
    </w:p>
    <w:p w14:paraId="5F62989B" w14:textId="1822B86C" w:rsidR="009144F3" w:rsidRDefault="007B0426" w:rsidP="0011499D">
      <w:pPr>
        <w:rPr>
          <w:rFonts w:cs="Times New Roman"/>
          <w:szCs w:val="24"/>
        </w:rPr>
      </w:pPr>
      <w:r>
        <w:rPr>
          <w:rFonts w:cs="Times New Roman"/>
          <w:szCs w:val="24"/>
        </w:rPr>
        <w:t xml:space="preserve">This </w:t>
      </w:r>
      <w:r w:rsidR="00EA08BE">
        <w:rPr>
          <w:rFonts w:cs="Times New Roman"/>
          <w:szCs w:val="24"/>
        </w:rPr>
        <w:t xml:space="preserve">document </w:t>
      </w:r>
      <w:r w:rsidR="003D6124">
        <w:rPr>
          <w:rFonts w:cs="Times New Roman"/>
          <w:szCs w:val="24"/>
        </w:rPr>
        <w:t xml:space="preserve">is </w:t>
      </w:r>
      <w:r w:rsidR="00EA08BE">
        <w:rPr>
          <w:rFonts w:cs="Times New Roman"/>
          <w:szCs w:val="24"/>
        </w:rPr>
        <w:t xml:space="preserve">a </w:t>
      </w:r>
      <w:r>
        <w:rPr>
          <w:rFonts w:cs="Times New Roman"/>
          <w:szCs w:val="24"/>
        </w:rPr>
        <w:t xml:space="preserve">request </w:t>
      </w:r>
      <w:r w:rsidR="00CD6BE3">
        <w:rPr>
          <w:rFonts w:cs="Times New Roman"/>
          <w:szCs w:val="24"/>
        </w:rPr>
        <w:t xml:space="preserve">to OMB </w:t>
      </w:r>
      <w:r>
        <w:rPr>
          <w:rFonts w:cs="Times New Roman"/>
          <w:szCs w:val="24"/>
        </w:rPr>
        <w:t xml:space="preserve">for developmental research under </w:t>
      </w:r>
      <w:smartTag w:uri="urn:schemas-microsoft-com:office:smarttags" w:element="stockticker">
        <w:r>
          <w:rPr>
            <w:rFonts w:cs="Times New Roman"/>
            <w:szCs w:val="24"/>
          </w:rPr>
          <w:t>BJS</w:t>
        </w:r>
      </w:smartTag>
      <w:r>
        <w:rPr>
          <w:rFonts w:cs="Times New Roman"/>
          <w:szCs w:val="24"/>
        </w:rPr>
        <w:t xml:space="preserve">’s generic clearance </w:t>
      </w:r>
      <w:r w:rsidR="00936E3C">
        <w:rPr>
          <w:rFonts w:cs="Times New Roman"/>
          <w:szCs w:val="24"/>
        </w:rPr>
        <w:t xml:space="preserve">and </w:t>
      </w:r>
      <w:r>
        <w:rPr>
          <w:rFonts w:cs="Times New Roman"/>
          <w:szCs w:val="24"/>
        </w:rPr>
        <w:t xml:space="preserve">seeks permission to field test </w:t>
      </w:r>
      <w:r w:rsidR="005251BC">
        <w:rPr>
          <w:rFonts w:cs="Times New Roman"/>
          <w:szCs w:val="24"/>
        </w:rPr>
        <w:t xml:space="preserve">the </w:t>
      </w:r>
      <w:smartTag w:uri="urn:schemas-microsoft-com:office:smarttags" w:element="stockticker">
        <w:r>
          <w:rPr>
            <w:rFonts w:cs="Times New Roman"/>
            <w:szCs w:val="24"/>
          </w:rPr>
          <w:t>JCS</w:t>
        </w:r>
      </w:smartTag>
      <w:r>
        <w:rPr>
          <w:rFonts w:cs="Times New Roman"/>
          <w:szCs w:val="24"/>
        </w:rPr>
        <w:t xml:space="preserve"> </w:t>
      </w:r>
      <w:r w:rsidR="003749EC">
        <w:rPr>
          <w:rFonts w:cs="Times New Roman"/>
          <w:szCs w:val="24"/>
        </w:rPr>
        <w:t>(</w:t>
      </w:r>
      <w:r w:rsidR="00215185">
        <w:rPr>
          <w:rFonts w:cs="Times New Roman"/>
          <w:szCs w:val="24"/>
        </w:rPr>
        <w:t>a</w:t>
      </w:r>
      <w:r w:rsidR="00E503C0">
        <w:rPr>
          <w:rFonts w:cs="Times New Roman"/>
          <w:szCs w:val="24"/>
        </w:rPr>
        <w:t xml:space="preserve">ttachment </w:t>
      </w:r>
      <w:r w:rsidR="003749EC">
        <w:rPr>
          <w:rFonts w:cs="Times New Roman"/>
          <w:szCs w:val="24"/>
        </w:rPr>
        <w:t xml:space="preserve">A) </w:t>
      </w:r>
      <w:r w:rsidR="00AA5B15">
        <w:rPr>
          <w:rFonts w:cs="Times New Roman"/>
          <w:szCs w:val="24"/>
        </w:rPr>
        <w:t>in 75</w:t>
      </w:r>
      <w:r w:rsidR="00705C9A">
        <w:rPr>
          <w:rFonts w:cs="Times New Roman"/>
          <w:szCs w:val="24"/>
        </w:rPr>
        <w:t xml:space="preserve"> jurisdictions </w:t>
      </w:r>
      <w:r w:rsidR="00BF5BD7">
        <w:rPr>
          <w:rFonts w:cs="Times New Roman"/>
          <w:szCs w:val="24"/>
        </w:rPr>
        <w:t xml:space="preserve">to </w:t>
      </w:r>
      <w:r w:rsidR="00864C95">
        <w:rPr>
          <w:rFonts w:cs="Times New Roman"/>
          <w:szCs w:val="24"/>
        </w:rPr>
        <w:t xml:space="preserve">(a) </w:t>
      </w:r>
      <w:r w:rsidR="005251BC">
        <w:rPr>
          <w:rFonts w:cs="Times New Roman"/>
          <w:szCs w:val="24"/>
        </w:rPr>
        <w:t xml:space="preserve">assess the feasibility of collecting nationally representative data on pretrial case processing and </w:t>
      </w:r>
      <w:r w:rsidR="00864C95">
        <w:rPr>
          <w:rFonts w:cs="Times New Roman"/>
          <w:szCs w:val="24"/>
        </w:rPr>
        <w:t xml:space="preserve">(b) </w:t>
      </w:r>
      <w:r w:rsidR="005251BC">
        <w:rPr>
          <w:rFonts w:cs="Times New Roman"/>
          <w:szCs w:val="24"/>
        </w:rPr>
        <w:t xml:space="preserve">identify strategies to encourage survey participation from local criminal justice agencies. </w:t>
      </w:r>
      <w:r w:rsidR="00864C95">
        <w:rPr>
          <w:rFonts w:cs="Times New Roman"/>
          <w:szCs w:val="24"/>
        </w:rPr>
        <w:t xml:space="preserve">The generic clearance will </w:t>
      </w:r>
      <w:r w:rsidR="00AA5B15">
        <w:rPr>
          <w:rFonts w:cs="Times New Roman"/>
          <w:szCs w:val="24"/>
        </w:rPr>
        <w:t>provide</w:t>
      </w:r>
      <w:r w:rsidR="00864C95">
        <w:rPr>
          <w:rFonts w:cs="Times New Roman"/>
          <w:szCs w:val="24"/>
        </w:rPr>
        <w:t xml:space="preserve"> </w:t>
      </w:r>
      <w:smartTag w:uri="urn:schemas-microsoft-com:office:smarttags" w:element="stockticker">
        <w:r w:rsidR="00864C95">
          <w:rPr>
            <w:rFonts w:cs="Times New Roman"/>
            <w:szCs w:val="24"/>
          </w:rPr>
          <w:t>BJS</w:t>
        </w:r>
      </w:smartTag>
      <w:r w:rsidR="00864C95">
        <w:rPr>
          <w:rFonts w:cs="Times New Roman"/>
          <w:szCs w:val="24"/>
        </w:rPr>
        <w:t xml:space="preserve"> with a means to meet the obligations of the Paperwork Reduction Act of 1995 (</w:t>
      </w:r>
      <w:smartTag w:uri="urn:schemas-microsoft-com:office:smarttags" w:element="stockticker">
        <w:r w:rsidR="00864C95">
          <w:rPr>
            <w:rFonts w:cs="Times New Roman"/>
            <w:szCs w:val="24"/>
          </w:rPr>
          <w:t>PRA</w:t>
        </w:r>
      </w:smartTag>
      <w:r w:rsidR="00864C95">
        <w:rPr>
          <w:rFonts w:cs="Times New Roman"/>
          <w:szCs w:val="24"/>
        </w:rPr>
        <w:t xml:space="preserve">). </w:t>
      </w:r>
      <w:r w:rsidR="005251BC">
        <w:rPr>
          <w:rFonts w:cs="Times New Roman"/>
          <w:szCs w:val="24"/>
        </w:rPr>
        <w:t xml:space="preserve">The following sections describe proposed plans </w:t>
      </w:r>
      <w:r>
        <w:rPr>
          <w:rFonts w:cs="Times New Roman"/>
          <w:szCs w:val="24"/>
        </w:rPr>
        <w:t xml:space="preserve">and methods </w:t>
      </w:r>
      <w:r w:rsidR="005251BC">
        <w:rPr>
          <w:rFonts w:cs="Times New Roman"/>
          <w:szCs w:val="24"/>
        </w:rPr>
        <w:t xml:space="preserve">to field the </w:t>
      </w:r>
      <w:smartTag w:uri="urn:schemas-microsoft-com:office:smarttags" w:element="stockticker">
        <w:r w:rsidR="005251BC">
          <w:rPr>
            <w:rFonts w:cs="Times New Roman"/>
            <w:szCs w:val="24"/>
          </w:rPr>
          <w:t>JCS</w:t>
        </w:r>
      </w:smartTag>
      <w:r w:rsidR="009144F3">
        <w:rPr>
          <w:rFonts w:cs="Times New Roman"/>
          <w:szCs w:val="24"/>
        </w:rPr>
        <w:t xml:space="preserve">. </w:t>
      </w:r>
    </w:p>
    <w:p w14:paraId="451A1EE8" w14:textId="472CFF8C" w:rsidR="009F0F0D" w:rsidRPr="00411CBF" w:rsidRDefault="009F0F0D" w:rsidP="0011499D">
      <w:pPr>
        <w:rPr>
          <w:rFonts w:cs="Times New Roman"/>
          <w:szCs w:val="24"/>
          <w:u w:val="single"/>
        </w:rPr>
      </w:pPr>
      <w:r w:rsidRPr="00411CBF">
        <w:rPr>
          <w:rFonts w:cs="Times New Roman"/>
          <w:szCs w:val="24"/>
          <w:u w:val="single"/>
        </w:rPr>
        <w:t xml:space="preserve">Task </w:t>
      </w:r>
      <w:r w:rsidR="008D5F3C">
        <w:rPr>
          <w:rFonts w:cs="Times New Roman"/>
          <w:szCs w:val="24"/>
          <w:u w:val="single"/>
        </w:rPr>
        <w:t>1</w:t>
      </w:r>
      <w:r w:rsidR="009144F3" w:rsidRPr="00411CBF">
        <w:rPr>
          <w:rFonts w:cs="Times New Roman"/>
          <w:szCs w:val="24"/>
          <w:u w:val="single"/>
        </w:rPr>
        <w:t xml:space="preserve">: </w:t>
      </w:r>
      <w:r w:rsidRPr="00411CBF">
        <w:rPr>
          <w:rFonts w:cs="Times New Roman"/>
          <w:szCs w:val="24"/>
          <w:u w:val="single"/>
        </w:rPr>
        <w:t xml:space="preserve">Identify the points of contact </w:t>
      </w:r>
    </w:p>
    <w:p w14:paraId="24546E09" w14:textId="04365486" w:rsidR="008D5F3C" w:rsidRDefault="000C3B48" w:rsidP="00780819">
      <w:r>
        <w:rPr>
          <w:rFonts w:cs="Times New Roman"/>
          <w:szCs w:val="24"/>
        </w:rPr>
        <w:t xml:space="preserve">The JCS will be administered through several steps. First, it </w:t>
      </w:r>
      <w:r w:rsidR="00BF5BD7">
        <w:rPr>
          <w:rFonts w:cs="Times New Roman"/>
          <w:szCs w:val="24"/>
        </w:rPr>
        <w:t>will be</w:t>
      </w:r>
      <w:r>
        <w:rPr>
          <w:rFonts w:cs="Times New Roman"/>
          <w:szCs w:val="24"/>
        </w:rPr>
        <w:t xml:space="preserve"> necessary to identify</w:t>
      </w:r>
      <w:r w:rsidR="003D503B">
        <w:rPr>
          <w:rFonts w:cs="Times New Roman"/>
          <w:szCs w:val="24"/>
        </w:rPr>
        <w:t xml:space="preserve"> the points of contact (POC</w:t>
      </w:r>
      <w:r w:rsidR="00815ECB">
        <w:rPr>
          <w:rFonts w:cs="Times New Roman"/>
          <w:szCs w:val="24"/>
        </w:rPr>
        <w:t>s</w:t>
      </w:r>
      <w:r w:rsidR="003D503B">
        <w:rPr>
          <w:rFonts w:cs="Times New Roman"/>
          <w:szCs w:val="24"/>
        </w:rPr>
        <w:t>) with responsibili</w:t>
      </w:r>
      <w:r w:rsidR="00B95652">
        <w:rPr>
          <w:rFonts w:cs="Times New Roman"/>
          <w:szCs w:val="24"/>
        </w:rPr>
        <w:t>ty for completing the JCS</w:t>
      </w:r>
      <w:r w:rsidR="00E64DB7">
        <w:rPr>
          <w:rFonts w:cs="Times New Roman"/>
          <w:szCs w:val="24"/>
        </w:rPr>
        <w:t xml:space="preserve">. </w:t>
      </w:r>
      <w:r w:rsidR="00BF5BD7">
        <w:t>Wide</w:t>
      </w:r>
      <w:r w:rsidR="001E57CB">
        <w:t xml:space="preserve"> </w:t>
      </w:r>
      <w:r w:rsidR="002173E2" w:rsidRPr="002173E2">
        <w:t xml:space="preserve">variation </w:t>
      </w:r>
      <w:r w:rsidR="00BF5BD7">
        <w:t>exists</w:t>
      </w:r>
      <w:r w:rsidR="0020089C">
        <w:t xml:space="preserve"> across </w:t>
      </w:r>
      <w:r w:rsidR="00E503C0">
        <w:t>jurisdictions</w:t>
      </w:r>
      <w:r w:rsidR="00BF5BD7">
        <w:t xml:space="preserve"> </w:t>
      </w:r>
      <w:r w:rsidR="002173E2" w:rsidRPr="002173E2">
        <w:t xml:space="preserve">in terms of how pretrial functions </w:t>
      </w:r>
      <w:r w:rsidR="001E57CB">
        <w:t>are carried out.</w:t>
      </w:r>
      <w:r w:rsidR="002173E2" w:rsidRPr="002173E2">
        <w:t xml:space="preserve"> Some jurisdictions have a single, dedicated entity </w:t>
      </w:r>
      <w:r w:rsidR="00B95652">
        <w:t>responsible for the processing and management of pretrial cases. In other jurisdictions, pretrial functions may be shared among a few local criminal justice ag</w:t>
      </w:r>
      <w:r w:rsidR="001F1632">
        <w:t xml:space="preserve">encies. </w:t>
      </w:r>
      <w:r w:rsidR="006E2982">
        <w:t>T</w:t>
      </w:r>
      <w:r w:rsidR="00BF5BD7">
        <w:t>herefore, t</w:t>
      </w:r>
      <w:r w:rsidR="006E2982">
        <w:t xml:space="preserve">his task involves collecting information </w:t>
      </w:r>
      <w:r w:rsidR="004B03F2">
        <w:t xml:space="preserve">about the local structure of the criminal justice system and contacting local </w:t>
      </w:r>
      <w:r w:rsidR="008F0E5D">
        <w:t xml:space="preserve">criminal justice agencies, including </w:t>
      </w:r>
      <w:r w:rsidR="00E81759">
        <w:t>court personnel, sheriff and jail officials, and</w:t>
      </w:r>
      <w:r w:rsidR="00A6498B">
        <w:t>/or</w:t>
      </w:r>
      <w:r w:rsidR="00E81759">
        <w:t xml:space="preserve"> pretrial agencies, </w:t>
      </w:r>
      <w:r w:rsidR="008F0E5D">
        <w:t>to identify the most appropriate person(s)</w:t>
      </w:r>
      <w:r w:rsidR="00A6498B">
        <w:t xml:space="preserve"> to complete the JCS.</w:t>
      </w:r>
      <w:r w:rsidR="00607E50">
        <w:t xml:space="preserve"> </w:t>
      </w:r>
    </w:p>
    <w:p w14:paraId="5AB92DB5" w14:textId="3881E589" w:rsidR="00272779" w:rsidRDefault="008D5F3C" w:rsidP="00780819">
      <w:r>
        <w:t xml:space="preserve">To this end, the project team has sampled 75 </w:t>
      </w:r>
      <w:r w:rsidRPr="00F5467B">
        <w:t xml:space="preserve">jurisdictions </w:t>
      </w:r>
      <w:r>
        <w:t>to</w:t>
      </w:r>
      <w:r w:rsidRPr="00F5467B">
        <w:t xml:space="preserve"> participate in the JCS</w:t>
      </w:r>
      <w:r>
        <w:t xml:space="preserve"> through </w:t>
      </w:r>
      <w:r w:rsidRPr="00F5467B">
        <w:t xml:space="preserve">purposive </w:t>
      </w:r>
      <w:r>
        <w:t xml:space="preserve">sampling that </w:t>
      </w:r>
      <w:r w:rsidRPr="00F5467B">
        <w:t>capture</w:t>
      </w:r>
      <w:r>
        <w:t>s</w:t>
      </w:r>
      <w:r w:rsidRPr="00F5467B">
        <w:t xml:space="preserve"> heterogeneity on </w:t>
      </w:r>
      <w:r>
        <w:t xml:space="preserve">key features, such as the size of jurisdictions and a dedicated pretrial program, </w:t>
      </w:r>
      <w:r w:rsidRPr="00F5467B">
        <w:t xml:space="preserve">related to jurisdictional ability to provide </w:t>
      </w:r>
      <w:r>
        <w:t xml:space="preserve">detailed </w:t>
      </w:r>
      <w:r w:rsidRPr="00F5467B">
        <w:t>pretrial data</w:t>
      </w:r>
      <w:r>
        <w:t>.</w:t>
      </w:r>
      <w:r w:rsidR="004512F0">
        <w:t xml:space="preserve"> </w:t>
      </w:r>
      <w:r w:rsidR="00AE2CB2">
        <w:t xml:space="preserve"> Jurisdictions are generally counties or cities, and respondents can include multiple agencies.  </w:t>
      </w:r>
      <w:r w:rsidR="004512F0">
        <w:t xml:space="preserve">Table 1 shows the number of </w:t>
      </w:r>
      <w:r w:rsidR="00FD24D2">
        <w:t xml:space="preserve">sampled </w:t>
      </w:r>
      <w:r w:rsidR="004512F0">
        <w:t xml:space="preserve">jurisdictions for each of 18 strata, reflecting </w:t>
      </w:r>
      <w:r w:rsidR="000B1BE4">
        <w:t xml:space="preserve">the </w:t>
      </w:r>
      <w:r w:rsidR="005E6867">
        <w:t xml:space="preserve">heterogeneity of </w:t>
      </w:r>
      <w:r w:rsidR="004512F0">
        <w:t>jurisdiction</w:t>
      </w:r>
      <w:r w:rsidR="000B1BE4">
        <w:t xml:space="preserve">al sizes and </w:t>
      </w:r>
      <w:r w:rsidR="00FD24D2">
        <w:t xml:space="preserve">pretrial </w:t>
      </w:r>
      <w:r w:rsidR="000B1BE4">
        <w:t>features</w:t>
      </w:r>
      <w:r w:rsidR="00304C21">
        <w:t xml:space="preserve"> characterized by </w:t>
      </w:r>
      <w:r w:rsidR="00FD24D2">
        <w:t>the availability of pretrial programs and the use of commercial bails</w:t>
      </w:r>
      <w:r w:rsidR="004512F0">
        <w:t xml:space="preserve">.  </w:t>
      </w:r>
    </w:p>
    <w:p w14:paraId="4B1B44D7" w14:textId="77777777" w:rsidR="005E6867" w:rsidRDefault="005E6867" w:rsidP="000B1BE4">
      <w:pPr>
        <w:pStyle w:val="NoSpacing"/>
      </w:pPr>
    </w:p>
    <w:p w14:paraId="702CC4AB" w14:textId="1EFB6BCA" w:rsidR="005E6867" w:rsidRDefault="005E6867" w:rsidP="00201F92">
      <w:pPr>
        <w:spacing w:after="0"/>
      </w:pPr>
      <w:r>
        <w:t xml:space="preserve">Table 1. </w:t>
      </w:r>
      <w:r w:rsidR="000E4638">
        <w:t xml:space="preserve">Proposed </w:t>
      </w:r>
      <w:r>
        <w:t>Sampling Strata</w:t>
      </w:r>
    </w:p>
    <w:tbl>
      <w:tblPr>
        <w:tblStyle w:val="ListTable31"/>
        <w:tblW w:w="8101" w:type="dxa"/>
        <w:tblLook w:val="04A0" w:firstRow="1" w:lastRow="0" w:firstColumn="1" w:lastColumn="0" w:noHBand="0" w:noVBand="1"/>
      </w:tblPr>
      <w:tblGrid>
        <w:gridCol w:w="1743"/>
        <w:gridCol w:w="1743"/>
        <w:gridCol w:w="3007"/>
        <w:gridCol w:w="1608"/>
      </w:tblGrid>
      <w:tr w:rsidR="004512F0" w:rsidRPr="0019366A" w14:paraId="32076256" w14:textId="77777777" w:rsidTr="002E1685">
        <w:trPr>
          <w:cnfStyle w:val="100000000000" w:firstRow="1" w:lastRow="0" w:firstColumn="0" w:lastColumn="0" w:oddVBand="0" w:evenVBand="0" w:oddHBand="0" w:evenHBand="0" w:firstRowFirstColumn="0" w:firstRowLastColumn="0" w:lastRowFirstColumn="0" w:lastRowLastColumn="0"/>
          <w:trHeight w:val="318"/>
        </w:trPr>
        <w:tc>
          <w:tcPr>
            <w:cnfStyle w:val="001000000100" w:firstRow="0" w:lastRow="0" w:firstColumn="1" w:lastColumn="0" w:oddVBand="0" w:evenVBand="0" w:oddHBand="0" w:evenHBand="0" w:firstRowFirstColumn="1" w:firstRowLastColumn="0" w:lastRowFirstColumn="0" w:lastRowLastColumn="0"/>
            <w:tcW w:w="1743" w:type="dxa"/>
            <w:noWrap/>
            <w:vAlign w:val="center"/>
            <w:hideMark/>
          </w:tcPr>
          <w:p w14:paraId="19321DA8" w14:textId="443D188B" w:rsidR="004512F0" w:rsidRPr="004512F0" w:rsidRDefault="004512F0" w:rsidP="00201F92">
            <w:pPr>
              <w:jc w:val="center"/>
              <w:rPr>
                <w:rFonts w:eastAsia="Times New Roman" w:cs="Times New Roman"/>
                <w:szCs w:val="24"/>
                <w:lang w:eastAsia="ko-KR"/>
              </w:rPr>
            </w:pPr>
            <w:r w:rsidRPr="004512F0">
              <w:rPr>
                <w:rFonts w:eastAsia="Times New Roman" w:cs="Times New Roman"/>
                <w:szCs w:val="24"/>
                <w:lang w:eastAsia="ko-KR"/>
              </w:rPr>
              <w:t>Jurisdiction Size</w:t>
            </w:r>
          </w:p>
        </w:tc>
        <w:tc>
          <w:tcPr>
            <w:tcW w:w="1743" w:type="dxa"/>
            <w:noWrap/>
            <w:vAlign w:val="center"/>
            <w:hideMark/>
          </w:tcPr>
          <w:p w14:paraId="32A87E90" w14:textId="77777777" w:rsidR="004512F0" w:rsidRPr="004512F0" w:rsidRDefault="004512F0" w:rsidP="00201F9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ko-KR"/>
              </w:rPr>
            </w:pPr>
            <w:r w:rsidRPr="004512F0">
              <w:rPr>
                <w:rFonts w:eastAsia="Times New Roman" w:cs="Times New Roman"/>
                <w:szCs w:val="24"/>
                <w:lang w:eastAsia="ko-KR"/>
              </w:rPr>
              <w:t>Pretrial Program</w:t>
            </w:r>
          </w:p>
        </w:tc>
        <w:tc>
          <w:tcPr>
            <w:tcW w:w="3007" w:type="dxa"/>
            <w:noWrap/>
            <w:vAlign w:val="center"/>
            <w:hideMark/>
          </w:tcPr>
          <w:p w14:paraId="050C3910" w14:textId="77777777" w:rsidR="004512F0" w:rsidRPr="004512F0" w:rsidRDefault="004512F0" w:rsidP="00201F9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ko-KR"/>
              </w:rPr>
            </w:pPr>
            <w:r w:rsidRPr="004512F0">
              <w:rPr>
                <w:rFonts w:eastAsia="Times New Roman" w:cs="Times New Roman"/>
                <w:szCs w:val="24"/>
                <w:lang w:eastAsia="ko-KR"/>
              </w:rPr>
              <w:t>Commercial Bail Use</w:t>
            </w:r>
          </w:p>
        </w:tc>
        <w:tc>
          <w:tcPr>
            <w:tcW w:w="1608" w:type="dxa"/>
            <w:noWrap/>
            <w:vAlign w:val="center"/>
            <w:hideMark/>
          </w:tcPr>
          <w:p w14:paraId="40F5D55F" w14:textId="7EF1E9C0" w:rsidR="004512F0" w:rsidRPr="004512F0" w:rsidRDefault="00201F92" w:rsidP="00201F9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ko-KR"/>
              </w:rPr>
            </w:pPr>
            <w:r>
              <w:rPr>
                <w:rFonts w:eastAsia="Times New Roman" w:cs="Times New Roman"/>
                <w:szCs w:val="24"/>
                <w:lang w:eastAsia="ko-KR"/>
              </w:rPr>
              <w:t xml:space="preserve">Number </w:t>
            </w:r>
            <w:r w:rsidR="004512F0" w:rsidRPr="004512F0">
              <w:rPr>
                <w:rFonts w:eastAsia="Times New Roman" w:cs="Times New Roman"/>
                <w:szCs w:val="24"/>
                <w:lang w:eastAsia="ko-KR"/>
              </w:rPr>
              <w:t>of Jurisdictions</w:t>
            </w:r>
          </w:p>
        </w:tc>
      </w:tr>
      <w:tr w:rsidR="00201F92" w:rsidRPr="004512F0" w14:paraId="525BA7C1" w14:textId="77777777" w:rsidTr="002E168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743" w:type="dxa"/>
            <w:noWrap/>
            <w:hideMark/>
          </w:tcPr>
          <w:p w14:paraId="60543DAE"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Small</w:t>
            </w:r>
          </w:p>
        </w:tc>
        <w:tc>
          <w:tcPr>
            <w:tcW w:w="1743" w:type="dxa"/>
            <w:noWrap/>
            <w:hideMark/>
          </w:tcPr>
          <w:p w14:paraId="1ACF1E25"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Unavailable</w:t>
            </w:r>
          </w:p>
        </w:tc>
        <w:tc>
          <w:tcPr>
            <w:tcW w:w="3007" w:type="dxa"/>
            <w:noWrap/>
            <w:hideMark/>
          </w:tcPr>
          <w:p w14:paraId="16C4346E"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001C2247"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02D4B3B3"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213F662B"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183F3353"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4BA0B75E"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6FA75E2C"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59C08457"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34FE9B4A"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269847BE"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3B05170B"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4D51E4BA"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6A805BAE"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49A1F677"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65790C8B"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Available</w:t>
            </w:r>
          </w:p>
        </w:tc>
        <w:tc>
          <w:tcPr>
            <w:tcW w:w="3007" w:type="dxa"/>
            <w:noWrap/>
            <w:hideMark/>
          </w:tcPr>
          <w:p w14:paraId="6FE31E1D"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770734C5"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08584158"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594A14A0"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0A0625FB"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28EBB838"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7607125C"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70740954"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3CCF926E"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0231480D"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37A5D624"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7014FE7E"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3</w:t>
            </w:r>
          </w:p>
        </w:tc>
      </w:tr>
      <w:tr w:rsidR="00201F92" w:rsidRPr="004512F0" w14:paraId="5159A9A8"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2E96C88A"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Medium</w:t>
            </w:r>
          </w:p>
        </w:tc>
        <w:tc>
          <w:tcPr>
            <w:tcW w:w="1743" w:type="dxa"/>
            <w:noWrap/>
            <w:hideMark/>
          </w:tcPr>
          <w:p w14:paraId="699814B2"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Unavailable</w:t>
            </w:r>
          </w:p>
        </w:tc>
        <w:tc>
          <w:tcPr>
            <w:tcW w:w="3007" w:type="dxa"/>
            <w:noWrap/>
            <w:hideMark/>
          </w:tcPr>
          <w:p w14:paraId="0A5EE435"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75657C2C"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4C421D8B"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77CE6DAA"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45521894"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7985CF7C"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1D75D391"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725173A1"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1F743C5C"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493C4740"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28863413"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3F887DDE"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77BD3DB8"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39CDDA5B"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lastRenderedPageBreak/>
              <w:t> </w:t>
            </w:r>
          </w:p>
        </w:tc>
        <w:tc>
          <w:tcPr>
            <w:tcW w:w="1743" w:type="dxa"/>
            <w:noWrap/>
            <w:hideMark/>
          </w:tcPr>
          <w:p w14:paraId="293E9A12"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Available</w:t>
            </w:r>
          </w:p>
        </w:tc>
        <w:tc>
          <w:tcPr>
            <w:tcW w:w="3007" w:type="dxa"/>
            <w:noWrap/>
            <w:hideMark/>
          </w:tcPr>
          <w:p w14:paraId="61A9632D"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3A4EAFDB"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7869977A"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31F5C1E4"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3C1C2005"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1E0531A4"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484E218A"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4CE7C99E"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05E51630"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4090F472"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13FE9E6C"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2A104304"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4</w:t>
            </w:r>
          </w:p>
        </w:tc>
      </w:tr>
      <w:tr w:rsidR="00201F92" w:rsidRPr="004512F0" w14:paraId="46E2F648"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732E9214"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Large</w:t>
            </w:r>
          </w:p>
        </w:tc>
        <w:tc>
          <w:tcPr>
            <w:tcW w:w="1743" w:type="dxa"/>
            <w:noWrap/>
            <w:hideMark/>
          </w:tcPr>
          <w:p w14:paraId="5CA707BE"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Unavailable</w:t>
            </w:r>
          </w:p>
        </w:tc>
        <w:tc>
          <w:tcPr>
            <w:tcW w:w="3007" w:type="dxa"/>
            <w:noWrap/>
            <w:hideMark/>
          </w:tcPr>
          <w:p w14:paraId="0EE0F53E"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672D109B"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01F92" w:rsidRPr="004512F0" w14:paraId="4574539E"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0C0EF82F"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3553D640"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6C4F3169"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35277305"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01F92" w:rsidRPr="004512F0" w14:paraId="45C356D1"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1AB8B535"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3B0C7FCE"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698FDB99"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4EE86DA6"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01F92" w:rsidRPr="004512F0" w14:paraId="0484BC76"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71E65DC6"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2DA86A92"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Available</w:t>
            </w:r>
          </w:p>
        </w:tc>
        <w:tc>
          <w:tcPr>
            <w:tcW w:w="3007" w:type="dxa"/>
            <w:noWrap/>
            <w:hideMark/>
          </w:tcPr>
          <w:p w14:paraId="310D1D69"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w:t>
            </w:r>
          </w:p>
        </w:tc>
        <w:tc>
          <w:tcPr>
            <w:tcW w:w="1608" w:type="dxa"/>
            <w:noWrap/>
            <w:hideMark/>
          </w:tcPr>
          <w:p w14:paraId="5F2E0BBA"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01F92" w:rsidRPr="004512F0" w14:paraId="37DE510D"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733E9ED4"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44603269"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397AC8AD"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Allowed but Rarely Used</w:t>
            </w:r>
          </w:p>
        </w:tc>
        <w:tc>
          <w:tcPr>
            <w:tcW w:w="1608" w:type="dxa"/>
            <w:noWrap/>
            <w:hideMark/>
          </w:tcPr>
          <w:p w14:paraId="36716938" w14:textId="77777777"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01F92" w:rsidRPr="004512F0" w14:paraId="4F5B0C29" w14:textId="77777777" w:rsidTr="002E1685">
        <w:trPr>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66D8330A" w14:textId="77777777" w:rsidR="004512F0" w:rsidRPr="004512F0" w:rsidRDefault="004512F0" w:rsidP="004512F0">
            <w:pPr>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1743" w:type="dxa"/>
            <w:noWrap/>
            <w:hideMark/>
          </w:tcPr>
          <w:p w14:paraId="0F2B063D"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 </w:t>
            </w:r>
          </w:p>
        </w:tc>
        <w:tc>
          <w:tcPr>
            <w:tcW w:w="3007" w:type="dxa"/>
            <w:noWrap/>
            <w:hideMark/>
          </w:tcPr>
          <w:p w14:paraId="009B1274" w14:textId="77777777" w:rsidR="004512F0" w:rsidRPr="004512F0" w:rsidRDefault="004512F0" w:rsidP="004512F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Not Allowed</w:t>
            </w:r>
          </w:p>
        </w:tc>
        <w:tc>
          <w:tcPr>
            <w:tcW w:w="1608" w:type="dxa"/>
            <w:noWrap/>
            <w:hideMark/>
          </w:tcPr>
          <w:p w14:paraId="581F99C5" w14:textId="77777777" w:rsidR="004512F0" w:rsidRPr="004512F0" w:rsidRDefault="004512F0" w:rsidP="004512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5</w:t>
            </w:r>
          </w:p>
        </w:tc>
      </w:tr>
      <w:tr w:rsidR="002E1685" w:rsidRPr="004512F0" w14:paraId="78B25A2C" w14:textId="77777777" w:rsidTr="002E168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43" w:type="dxa"/>
            <w:noWrap/>
            <w:hideMark/>
          </w:tcPr>
          <w:p w14:paraId="5D6DA440" w14:textId="1E3DFCE3" w:rsidR="004512F0" w:rsidRPr="004512F0" w:rsidRDefault="005E6867" w:rsidP="005E6867">
            <w:pPr>
              <w:rPr>
                <w:rFonts w:eastAsia="Times New Roman" w:cs="Times New Roman"/>
                <w:color w:val="000000"/>
                <w:szCs w:val="24"/>
                <w:lang w:eastAsia="ko-KR"/>
              </w:rPr>
            </w:pPr>
            <w:r w:rsidRPr="0019366A">
              <w:rPr>
                <w:rFonts w:eastAsia="Times New Roman" w:cs="Times New Roman"/>
                <w:color w:val="000000"/>
                <w:szCs w:val="24"/>
                <w:lang w:eastAsia="ko-KR"/>
              </w:rPr>
              <w:t>Total</w:t>
            </w:r>
          </w:p>
        </w:tc>
        <w:tc>
          <w:tcPr>
            <w:tcW w:w="1743" w:type="dxa"/>
            <w:noWrap/>
            <w:hideMark/>
          </w:tcPr>
          <w:p w14:paraId="52432190" w14:textId="77777777" w:rsidR="004512F0" w:rsidRPr="004512F0" w:rsidRDefault="004512F0" w:rsidP="004512F0">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ko-KR"/>
              </w:rPr>
            </w:pPr>
          </w:p>
        </w:tc>
        <w:tc>
          <w:tcPr>
            <w:tcW w:w="3007" w:type="dxa"/>
            <w:noWrap/>
            <w:hideMark/>
          </w:tcPr>
          <w:p w14:paraId="746B63E1" w14:textId="02E557F3" w:rsidR="004512F0" w:rsidRPr="004512F0" w:rsidRDefault="004512F0" w:rsidP="004512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p>
        </w:tc>
        <w:tc>
          <w:tcPr>
            <w:tcW w:w="1608" w:type="dxa"/>
            <w:noWrap/>
            <w:hideMark/>
          </w:tcPr>
          <w:p w14:paraId="56E3B562" w14:textId="5B12FF9F" w:rsidR="004512F0" w:rsidRPr="004512F0" w:rsidRDefault="004512F0" w:rsidP="005E686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ko-KR"/>
              </w:rPr>
            </w:pPr>
            <w:r w:rsidRPr="004512F0">
              <w:rPr>
                <w:rFonts w:eastAsia="Times New Roman" w:cs="Times New Roman"/>
                <w:color w:val="000000"/>
                <w:szCs w:val="24"/>
                <w:lang w:eastAsia="ko-KR"/>
              </w:rPr>
              <w:t>7</w:t>
            </w:r>
            <w:r w:rsidR="005E6867" w:rsidRPr="0019366A">
              <w:rPr>
                <w:rFonts w:eastAsia="Times New Roman" w:cs="Times New Roman"/>
                <w:color w:val="000000"/>
                <w:szCs w:val="24"/>
                <w:lang w:eastAsia="ko-KR"/>
              </w:rPr>
              <w:t>2</w:t>
            </w:r>
          </w:p>
        </w:tc>
      </w:tr>
    </w:tbl>
    <w:p w14:paraId="6F3340BF" w14:textId="77777777" w:rsidR="00272779" w:rsidRDefault="00272779" w:rsidP="00780819"/>
    <w:p w14:paraId="3EA7A5CB" w14:textId="3D4F4D2B" w:rsidR="00607E50" w:rsidRDefault="0019366A" w:rsidP="00780819">
      <w:r>
        <w:t xml:space="preserve">In addition to </w:t>
      </w:r>
      <w:r w:rsidR="00DD483F">
        <w:t xml:space="preserve">the </w:t>
      </w:r>
      <w:r>
        <w:t xml:space="preserve">jurisdictions sampled through </w:t>
      </w:r>
      <w:r w:rsidR="00304C21">
        <w:t xml:space="preserve">this stratification </w:t>
      </w:r>
      <w:r>
        <w:t xml:space="preserve">(n=72), the project team will include a few additional jurisdictions that are </w:t>
      </w:r>
      <w:r w:rsidR="00520815">
        <w:t xml:space="preserve">uniquely distinctive </w:t>
      </w:r>
      <w:r w:rsidR="003960E6">
        <w:rPr>
          <w:rStyle w:val="st"/>
        </w:rPr>
        <w:t xml:space="preserve">(e.g., the State of </w:t>
      </w:r>
      <w:r>
        <w:rPr>
          <w:rStyle w:val="st"/>
        </w:rPr>
        <w:t>Kentucky</w:t>
      </w:r>
      <w:r w:rsidR="003960E6">
        <w:rPr>
          <w:rStyle w:val="st"/>
        </w:rPr>
        <w:t xml:space="preserve"> – a state-level pretrial justice system; the District of Columbia – a federal independent pretrial agency</w:t>
      </w:r>
      <w:r w:rsidR="006F227B">
        <w:rPr>
          <w:rStyle w:val="st"/>
        </w:rPr>
        <w:t>; and the City of New York – a private corporation responsible for providing pretrial services</w:t>
      </w:r>
      <w:r w:rsidR="00DF054A">
        <w:rPr>
          <w:rStyle w:val="st"/>
        </w:rPr>
        <w:t xml:space="preserve"> in the most populous city in the United States</w:t>
      </w:r>
      <w:r w:rsidR="003960E6">
        <w:rPr>
          <w:rStyle w:val="st"/>
        </w:rPr>
        <w:t>).</w:t>
      </w:r>
      <w:r w:rsidR="00304C21">
        <w:rPr>
          <w:rStyle w:val="st"/>
        </w:rPr>
        <w:t xml:space="preserve"> </w:t>
      </w:r>
      <w:r w:rsidR="00607E50">
        <w:t>On behalf of BJS, the Urban Institute and its partners</w:t>
      </w:r>
      <w:r w:rsidR="00780819">
        <w:t xml:space="preserve">, </w:t>
      </w:r>
      <w:r w:rsidR="00780819">
        <w:rPr>
          <w:szCs w:val="24"/>
        </w:rPr>
        <w:t xml:space="preserve">the </w:t>
      </w:r>
      <w:r w:rsidR="00E169F6">
        <w:rPr>
          <w:szCs w:val="24"/>
        </w:rPr>
        <w:t>Pretrial Justice Institute</w:t>
      </w:r>
      <w:r w:rsidR="00780819">
        <w:rPr>
          <w:szCs w:val="24"/>
        </w:rPr>
        <w:t xml:space="preserve"> and the </w:t>
      </w:r>
      <w:r w:rsidR="00780819">
        <w:rPr>
          <w:rFonts w:cs="Times New Roman"/>
          <w:szCs w:val="24"/>
        </w:rPr>
        <w:t>National Association of Pretrial Services Agency</w:t>
      </w:r>
      <w:r w:rsidR="00F23A35">
        <w:rPr>
          <w:rFonts w:cs="Times New Roman"/>
          <w:szCs w:val="24"/>
        </w:rPr>
        <w:t xml:space="preserve"> (NAPSA)</w:t>
      </w:r>
      <w:r w:rsidR="00780819">
        <w:rPr>
          <w:rFonts w:cs="Times New Roman"/>
          <w:szCs w:val="24"/>
        </w:rPr>
        <w:t xml:space="preserve">, </w:t>
      </w:r>
      <w:r w:rsidR="00607E50">
        <w:t xml:space="preserve">will </w:t>
      </w:r>
      <w:r w:rsidR="00780819">
        <w:t xml:space="preserve">reach out to local agencies </w:t>
      </w:r>
      <w:r w:rsidR="008D5F3C">
        <w:t xml:space="preserve">in those jurisdictions </w:t>
      </w:r>
      <w:r w:rsidR="00780819">
        <w:t xml:space="preserve">via telephone and identify the POC in each jurisdiction. </w:t>
      </w:r>
      <w:r w:rsidR="00AE2CB2">
        <w:t xml:space="preserve"> </w:t>
      </w:r>
      <w:r w:rsidR="00F23A35">
        <w:t>Many of these contacts are already known by NAPSA.  Those contact</w:t>
      </w:r>
      <w:r w:rsidR="002D077B">
        <w:t>s</w:t>
      </w:r>
      <w:r w:rsidR="00F23A35">
        <w:t xml:space="preserve"> will be asked for contacts at other agencies within their jurisdiction that have pretrial data.</w:t>
      </w:r>
    </w:p>
    <w:p w14:paraId="1052215E" w14:textId="39D6BA09" w:rsidR="008B3C1A" w:rsidRDefault="00620AF8" w:rsidP="00620AF8">
      <w:pPr>
        <w:rPr>
          <w:rFonts w:eastAsiaTheme="minorEastAsia"/>
          <w:szCs w:val="24"/>
        </w:rPr>
      </w:pPr>
      <w:r>
        <w:rPr>
          <w:rFonts w:eastAsiaTheme="minorEastAsia"/>
          <w:szCs w:val="24"/>
        </w:rPr>
        <w:t xml:space="preserve">Once the POCs are identified, an invitation </w:t>
      </w:r>
      <w:r w:rsidRPr="00100D18">
        <w:rPr>
          <w:rFonts w:eastAsiaTheme="minorEastAsia"/>
          <w:szCs w:val="24"/>
        </w:rPr>
        <w:t xml:space="preserve">letter </w:t>
      </w:r>
      <w:r w:rsidR="00215185">
        <w:rPr>
          <w:rFonts w:eastAsiaTheme="minorEastAsia"/>
          <w:szCs w:val="24"/>
        </w:rPr>
        <w:t xml:space="preserve">(attachment B) </w:t>
      </w:r>
      <w:r w:rsidRPr="00100D18">
        <w:rPr>
          <w:rFonts w:eastAsiaTheme="minorEastAsia"/>
          <w:szCs w:val="24"/>
        </w:rPr>
        <w:t>will</w:t>
      </w:r>
      <w:r>
        <w:rPr>
          <w:rFonts w:eastAsiaTheme="minorEastAsia"/>
          <w:szCs w:val="24"/>
        </w:rPr>
        <w:t xml:space="preserve"> be mailed to them. </w:t>
      </w:r>
      <w:r w:rsidR="00E67CDB">
        <w:rPr>
          <w:rFonts w:eastAsiaTheme="minorEastAsia"/>
          <w:szCs w:val="24"/>
        </w:rPr>
        <w:t xml:space="preserve"> </w:t>
      </w:r>
      <w:r>
        <w:rPr>
          <w:rFonts w:eastAsiaTheme="minorEastAsia"/>
          <w:szCs w:val="24"/>
        </w:rPr>
        <w:t xml:space="preserve">The letter will explain the purpose of the project and </w:t>
      </w:r>
      <w:r w:rsidR="00BF5BD7">
        <w:rPr>
          <w:rFonts w:eastAsiaTheme="minorEastAsia"/>
          <w:szCs w:val="24"/>
        </w:rPr>
        <w:t>will be accompanied by</w:t>
      </w:r>
      <w:r>
        <w:rPr>
          <w:rFonts w:eastAsiaTheme="minorEastAsia"/>
          <w:szCs w:val="24"/>
        </w:rPr>
        <w:t xml:space="preserve"> a letter of endorsement from the National Association of Pretrial Services Agency</w:t>
      </w:r>
      <w:r w:rsidR="00E67CDB">
        <w:rPr>
          <w:rFonts w:eastAsiaTheme="minorEastAsia"/>
          <w:szCs w:val="24"/>
        </w:rPr>
        <w:t xml:space="preserve"> and the National Association of Counties</w:t>
      </w:r>
      <w:r>
        <w:rPr>
          <w:rFonts w:eastAsiaTheme="minorEastAsia"/>
          <w:szCs w:val="24"/>
        </w:rPr>
        <w:t>. The invitation letter will provide the URL to the web survey and instructions on how to complete the survey.</w:t>
      </w:r>
      <w:r w:rsidR="00E67CDB">
        <w:rPr>
          <w:rFonts w:eastAsiaTheme="minorEastAsia"/>
          <w:szCs w:val="24"/>
        </w:rPr>
        <w:t xml:space="preserve"> </w:t>
      </w:r>
      <w:r>
        <w:rPr>
          <w:rFonts w:eastAsiaTheme="minorEastAsia"/>
          <w:szCs w:val="24"/>
        </w:rPr>
        <w:t xml:space="preserve">Furthermore, it will contain the toll-free number and e-mail address for the project so that respondents may contact BJS or its data collection agent (Urban Institute) with questions or for assistance. </w:t>
      </w:r>
    </w:p>
    <w:p w14:paraId="6ABCD867" w14:textId="7DABCF85" w:rsidR="009F0F0D" w:rsidRPr="00411CBF" w:rsidRDefault="009F0F0D" w:rsidP="009F0F0D">
      <w:pPr>
        <w:rPr>
          <w:rFonts w:cs="Times New Roman"/>
          <w:szCs w:val="24"/>
          <w:u w:val="single"/>
        </w:rPr>
      </w:pPr>
      <w:r w:rsidRPr="00411CBF">
        <w:rPr>
          <w:rFonts w:cs="Times New Roman"/>
          <w:szCs w:val="24"/>
          <w:u w:val="single"/>
        </w:rPr>
        <w:t xml:space="preserve">Task </w:t>
      </w:r>
      <w:r w:rsidR="008D5F3C">
        <w:rPr>
          <w:rFonts w:cs="Times New Roman"/>
          <w:szCs w:val="24"/>
          <w:u w:val="single"/>
        </w:rPr>
        <w:t>2</w:t>
      </w:r>
      <w:r w:rsidR="009144F3" w:rsidRPr="00411CBF">
        <w:rPr>
          <w:rFonts w:cs="Times New Roman"/>
          <w:szCs w:val="24"/>
          <w:u w:val="single"/>
        </w:rPr>
        <w:t xml:space="preserve">: </w:t>
      </w:r>
      <w:r w:rsidRPr="00411CBF">
        <w:rPr>
          <w:rFonts w:cs="Times New Roman"/>
          <w:szCs w:val="24"/>
          <w:u w:val="single"/>
        </w:rPr>
        <w:t>Conduct online survey data collection</w:t>
      </w:r>
    </w:p>
    <w:p w14:paraId="69C6DE2D" w14:textId="5E0BDD8E" w:rsidR="00EB79F7" w:rsidRDefault="00E503C0" w:rsidP="00620AF8">
      <w:r>
        <w:t xml:space="preserve">Task </w:t>
      </w:r>
      <w:r w:rsidR="00815ECB">
        <w:t xml:space="preserve">2 </w:t>
      </w:r>
      <w:r>
        <w:t xml:space="preserve">involves the deployment of the survey. </w:t>
      </w:r>
      <w:r w:rsidR="00E67CDB">
        <w:t xml:space="preserve"> </w:t>
      </w:r>
      <w:r w:rsidR="00620AF8" w:rsidRPr="00620AF8">
        <w:t xml:space="preserve">The </w:t>
      </w:r>
      <w:r w:rsidR="00967F13">
        <w:t>online survey</w:t>
      </w:r>
      <w:r w:rsidR="00967F13">
        <w:rPr>
          <w:rStyle w:val="FootnoteReference"/>
        </w:rPr>
        <w:footnoteReference w:id="2"/>
      </w:r>
      <w:r w:rsidR="00967F13">
        <w:t xml:space="preserve"> </w:t>
      </w:r>
      <w:r w:rsidR="00EB79F7" w:rsidRPr="00620AF8">
        <w:t xml:space="preserve">consists of 36 questions </w:t>
      </w:r>
      <w:r w:rsidR="0020089C">
        <w:t>across</w:t>
      </w:r>
      <w:r w:rsidR="00EB79F7" w:rsidRPr="00620AF8">
        <w:t xml:space="preserve"> seven sections</w:t>
      </w:r>
      <w:r w:rsidR="00E1057B">
        <w:t xml:space="preserve"> (A-G)</w:t>
      </w:r>
      <w:r w:rsidR="00EB79F7" w:rsidRPr="00620AF8">
        <w:t xml:space="preserve">. </w:t>
      </w:r>
      <w:r w:rsidR="00E1057B" w:rsidRPr="00B20C7E">
        <w:rPr>
          <w:b/>
        </w:rPr>
        <w:t>Sections A</w:t>
      </w:r>
      <w:r w:rsidR="00E1057B">
        <w:t xml:space="preserve"> and </w:t>
      </w:r>
      <w:r w:rsidR="00E1057B" w:rsidRPr="00B20C7E">
        <w:rPr>
          <w:b/>
        </w:rPr>
        <w:t>B</w:t>
      </w:r>
      <w:r w:rsidR="00EB79F7" w:rsidRPr="00620AF8">
        <w:t xml:space="preserve"> ask for background information about the agency for which the point of contact works and how the pretrial population is defined by this agency. </w:t>
      </w:r>
      <w:r w:rsidR="00E1057B" w:rsidRPr="00B20C7E">
        <w:rPr>
          <w:b/>
        </w:rPr>
        <w:t>Section C</w:t>
      </w:r>
      <w:r w:rsidR="00EB79F7" w:rsidRPr="00620AF8">
        <w:t xml:space="preserve"> gathers information about </w:t>
      </w:r>
      <w:r w:rsidR="00CA11E7">
        <w:t xml:space="preserve">pretrial </w:t>
      </w:r>
      <w:r w:rsidR="00EB79F7" w:rsidRPr="00620AF8">
        <w:t xml:space="preserve">services provided and release mechanisms offered to the pretrial population through this agency. </w:t>
      </w:r>
      <w:r w:rsidR="00E67CDB">
        <w:t xml:space="preserve"> </w:t>
      </w:r>
      <w:r w:rsidR="00E1057B" w:rsidRPr="00B20C7E">
        <w:rPr>
          <w:b/>
        </w:rPr>
        <w:t>Sections D-F</w:t>
      </w:r>
      <w:r w:rsidR="00EB79F7" w:rsidRPr="00620AF8">
        <w:t xml:space="preserve"> are designed to measure each jurisdiction’s ability to </w:t>
      </w:r>
      <w:r w:rsidR="00286DF6">
        <w:t>extract</w:t>
      </w:r>
      <w:r w:rsidR="00286DF6" w:rsidRPr="00620AF8">
        <w:t xml:space="preserve"> </w:t>
      </w:r>
      <w:r w:rsidR="00EB79F7" w:rsidRPr="00620AF8">
        <w:t xml:space="preserve">and manipulate data on the pretrial population and may require inter-agency collaboration to complete. </w:t>
      </w:r>
      <w:r w:rsidR="00E67CDB">
        <w:t xml:space="preserve"> </w:t>
      </w:r>
      <w:r w:rsidR="00E1057B" w:rsidRPr="00B20C7E">
        <w:rPr>
          <w:b/>
        </w:rPr>
        <w:t>Section D</w:t>
      </w:r>
      <w:r w:rsidR="00EB79F7" w:rsidRPr="00620AF8">
        <w:t xml:space="preserve"> </w:t>
      </w:r>
      <w:r w:rsidR="00CA11E7">
        <w:t xml:space="preserve">assesses the caseload of pretrial defendants by the type of release and offense severity. </w:t>
      </w:r>
      <w:r w:rsidR="00E67CDB">
        <w:t xml:space="preserve"> </w:t>
      </w:r>
    </w:p>
    <w:p w14:paraId="00DAAFE8" w14:textId="77777777" w:rsidR="008B3C1A" w:rsidRDefault="008B3C1A" w:rsidP="008B3C1A">
      <w:r w:rsidRPr="00B20C7E">
        <w:rPr>
          <w:b/>
        </w:rPr>
        <w:t>Section E</w:t>
      </w:r>
      <w:r w:rsidRPr="00620AF8">
        <w:t xml:space="preserve"> focuses on pretrial misconduct and asks agencies to provide information on re</w:t>
      </w:r>
      <w:r>
        <w:t>-</w:t>
      </w:r>
      <w:r w:rsidRPr="00620AF8">
        <w:t xml:space="preserve">arrest, violation, and court appearance rates. </w:t>
      </w:r>
      <w:r w:rsidRPr="00B20C7E">
        <w:rPr>
          <w:b/>
        </w:rPr>
        <w:t>Section F</w:t>
      </w:r>
      <w:r>
        <w:t xml:space="preserve"> </w:t>
      </w:r>
      <w:r w:rsidRPr="00620AF8">
        <w:t xml:space="preserve">tests jurisdictions’ ability to provide data on pretrial subpopulations by asking for the number of defendants who were detained, failed to </w:t>
      </w:r>
      <w:r w:rsidRPr="00620AF8">
        <w:lastRenderedPageBreak/>
        <w:t xml:space="preserve">appear in court, and </w:t>
      </w:r>
      <w:r>
        <w:t xml:space="preserve">were </w:t>
      </w:r>
      <w:r w:rsidRPr="00620AF8">
        <w:t xml:space="preserve">arrested for a new crime by age, race, gender, offense charged, release type, and prior criminal history. Finally, </w:t>
      </w:r>
      <w:r>
        <w:rPr>
          <w:b/>
        </w:rPr>
        <w:t>S</w:t>
      </w:r>
      <w:r w:rsidRPr="00B20C7E">
        <w:rPr>
          <w:b/>
        </w:rPr>
        <w:t>ection G</w:t>
      </w:r>
      <w:r w:rsidRPr="00620AF8">
        <w:t xml:space="preserve"> provides a space for any comments, concerns, or clarifications. </w:t>
      </w:r>
      <w:r>
        <w:t>Table 2 provides a quick summary of each section.</w:t>
      </w:r>
    </w:p>
    <w:p w14:paraId="0D4660BB" w14:textId="77777777" w:rsidR="00D769E4" w:rsidRDefault="00D769E4" w:rsidP="005F3139">
      <w:pPr>
        <w:pStyle w:val="NoSpacing"/>
      </w:pPr>
    </w:p>
    <w:p w14:paraId="5FF9AD7D" w14:textId="0D0C6135" w:rsidR="00D769E4" w:rsidRPr="004765E4" w:rsidRDefault="004765E4" w:rsidP="00D769E4">
      <w:pPr>
        <w:spacing w:after="0"/>
      </w:pPr>
      <w:r w:rsidRPr="004765E4">
        <w:t xml:space="preserve">Table </w:t>
      </w:r>
      <w:r w:rsidR="008B3C1A">
        <w:t>2</w:t>
      </w:r>
      <w:r w:rsidR="00D769E4" w:rsidRPr="004765E4">
        <w:t>. Summary of NPRP JCS</w:t>
      </w:r>
    </w:p>
    <w:tbl>
      <w:tblPr>
        <w:tblStyle w:val="ListTable31"/>
        <w:tblW w:w="0" w:type="auto"/>
        <w:tblLook w:val="04A0" w:firstRow="1" w:lastRow="0" w:firstColumn="1" w:lastColumn="0" w:noHBand="0" w:noVBand="1"/>
      </w:tblPr>
      <w:tblGrid>
        <w:gridCol w:w="1163"/>
        <w:gridCol w:w="2381"/>
        <w:gridCol w:w="1233"/>
        <w:gridCol w:w="4603"/>
      </w:tblGrid>
      <w:tr w:rsidR="00D769E4" w:rsidRPr="004765E4" w14:paraId="3D842223" w14:textId="77777777" w:rsidTr="00397997">
        <w:trPr>
          <w:cnfStyle w:val="100000000000" w:firstRow="1" w:lastRow="0" w:firstColumn="0" w:lastColumn="0" w:oddVBand="0" w:evenVBand="0" w:oddHBand="0" w:evenHBand="0" w:firstRowFirstColumn="0" w:firstRowLastColumn="0" w:lastRowFirstColumn="0" w:lastRowLastColumn="0"/>
          <w:trHeight w:val="632"/>
        </w:trPr>
        <w:tc>
          <w:tcPr>
            <w:cnfStyle w:val="001000000100" w:firstRow="0" w:lastRow="0" w:firstColumn="1" w:lastColumn="0" w:oddVBand="0" w:evenVBand="0" w:oddHBand="0" w:evenHBand="0" w:firstRowFirstColumn="1" w:firstRowLastColumn="0" w:lastRowFirstColumn="0" w:lastRowLastColumn="0"/>
            <w:tcW w:w="1163" w:type="dxa"/>
            <w:vAlign w:val="center"/>
          </w:tcPr>
          <w:p w14:paraId="08818029" w14:textId="176BF671" w:rsidR="00D769E4" w:rsidRPr="004765E4" w:rsidRDefault="00D769E4" w:rsidP="00F9379F">
            <w:pPr>
              <w:rPr>
                <w:b w:val="0"/>
                <w:bCs w:val="0"/>
                <w:color w:val="auto"/>
              </w:rPr>
            </w:pPr>
            <w:r w:rsidRPr="004765E4">
              <w:t>Section</w:t>
            </w:r>
          </w:p>
        </w:tc>
        <w:tc>
          <w:tcPr>
            <w:tcW w:w="2381" w:type="dxa"/>
            <w:vAlign w:val="center"/>
          </w:tcPr>
          <w:p w14:paraId="6B1E6003" w14:textId="77777777" w:rsidR="00D769E4" w:rsidRPr="004765E4" w:rsidRDefault="00D769E4" w:rsidP="00F9379F">
            <w:pPr>
              <w:cnfStyle w:val="100000000000" w:firstRow="1" w:lastRow="0" w:firstColumn="0" w:lastColumn="0" w:oddVBand="0" w:evenVBand="0" w:oddHBand="0" w:evenHBand="0" w:firstRowFirstColumn="0" w:firstRowLastColumn="0" w:lastRowFirstColumn="0" w:lastRowLastColumn="0"/>
              <w:rPr>
                <w:b w:val="0"/>
                <w:bCs w:val="0"/>
                <w:color w:val="auto"/>
              </w:rPr>
            </w:pPr>
            <w:r w:rsidRPr="004765E4">
              <w:t>Domain</w:t>
            </w:r>
          </w:p>
        </w:tc>
        <w:tc>
          <w:tcPr>
            <w:tcW w:w="1233" w:type="dxa"/>
            <w:vAlign w:val="center"/>
          </w:tcPr>
          <w:p w14:paraId="075638FF" w14:textId="23DA03C0" w:rsidR="00D769E4" w:rsidRPr="004765E4" w:rsidRDefault="00D769E4" w:rsidP="00F9379F">
            <w:pPr>
              <w:cnfStyle w:val="100000000000" w:firstRow="1" w:lastRow="0" w:firstColumn="0" w:lastColumn="0" w:oddVBand="0" w:evenVBand="0" w:oddHBand="0" w:evenHBand="0" w:firstRowFirstColumn="0" w:firstRowLastColumn="0" w:lastRowFirstColumn="0" w:lastRowLastColumn="0"/>
              <w:rPr>
                <w:b w:val="0"/>
                <w:bCs w:val="0"/>
                <w:color w:val="auto"/>
              </w:rPr>
            </w:pPr>
            <w:r w:rsidRPr="004765E4">
              <w:t>N of items</w:t>
            </w:r>
          </w:p>
        </w:tc>
        <w:tc>
          <w:tcPr>
            <w:tcW w:w="4603" w:type="dxa"/>
            <w:vAlign w:val="center"/>
          </w:tcPr>
          <w:p w14:paraId="11D54351" w14:textId="77777777" w:rsidR="00D769E4" w:rsidRPr="004765E4" w:rsidRDefault="00D769E4" w:rsidP="00F9379F">
            <w:pPr>
              <w:cnfStyle w:val="100000000000" w:firstRow="1" w:lastRow="0" w:firstColumn="0" w:lastColumn="0" w:oddVBand="0" w:evenVBand="0" w:oddHBand="0" w:evenHBand="0" w:firstRowFirstColumn="0" w:firstRowLastColumn="0" w:lastRowFirstColumn="0" w:lastRowLastColumn="0"/>
              <w:rPr>
                <w:b w:val="0"/>
                <w:bCs w:val="0"/>
                <w:color w:val="auto"/>
              </w:rPr>
            </w:pPr>
            <w:r w:rsidRPr="004765E4">
              <w:t>Description</w:t>
            </w:r>
          </w:p>
        </w:tc>
      </w:tr>
      <w:tr w:rsidR="005831E8" w:rsidRPr="004765E4" w14:paraId="55BB0FB3" w14:textId="77777777" w:rsidTr="00397997">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111E7CE6" w14:textId="77777777" w:rsidR="005831E8" w:rsidRPr="004765E4" w:rsidRDefault="005831E8" w:rsidP="00F9379F">
            <w:r>
              <w:t>A</w:t>
            </w:r>
          </w:p>
        </w:tc>
        <w:tc>
          <w:tcPr>
            <w:tcW w:w="2381" w:type="dxa"/>
            <w:vAlign w:val="center"/>
          </w:tcPr>
          <w:p w14:paraId="59AA3169" w14:textId="77777777" w:rsidR="005831E8" w:rsidRPr="004765E4" w:rsidRDefault="005831E8" w:rsidP="00F9379F">
            <w:pPr>
              <w:cnfStyle w:val="000000100000" w:firstRow="0" w:lastRow="0" w:firstColumn="0" w:lastColumn="0" w:oddVBand="0" w:evenVBand="0" w:oddHBand="1" w:evenHBand="0" w:firstRowFirstColumn="0" w:firstRowLastColumn="0" w:lastRowFirstColumn="0" w:lastRowLastColumn="0"/>
            </w:pPr>
            <w:r w:rsidRPr="004765E4">
              <w:t>Pretrial Organization</w:t>
            </w:r>
          </w:p>
        </w:tc>
        <w:tc>
          <w:tcPr>
            <w:tcW w:w="1233" w:type="dxa"/>
            <w:vAlign w:val="center"/>
          </w:tcPr>
          <w:p w14:paraId="71366946" w14:textId="77777777" w:rsidR="005831E8" w:rsidRPr="004765E4" w:rsidRDefault="005831E8" w:rsidP="00F9379F">
            <w:pPr>
              <w:cnfStyle w:val="000000100000" w:firstRow="0" w:lastRow="0" w:firstColumn="0" w:lastColumn="0" w:oddVBand="0" w:evenVBand="0" w:oddHBand="1" w:evenHBand="0" w:firstRowFirstColumn="0" w:firstRowLastColumn="0" w:lastRowFirstColumn="0" w:lastRowLastColumn="0"/>
            </w:pPr>
            <w:r w:rsidRPr="004765E4">
              <w:t>2</w:t>
            </w:r>
          </w:p>
        </w:tc>
        <w:tc>
          <w:tcPr>
            <w:tcW w:w="4603" w:type="dxa"/>
            <w:vAlign w:val="center"/>
          </w:tcPr>
          <w:p w14:paraId="4F71A45B" w14:textId="77777777" w:rsidR="005831E8" w:rsidRPr="004765E4" w:rsidRDefault="005831E8" w:rsidP="00F9379F">
            <w:pPr>
              <w:cnfStyle w:val="000000100000" w:firstRow="0" w:lastRow="0" w:firstColumn="0" w:lastColumn="0" w:oddVBand="0" w:evenVBand="0" w:oddHBand="1" w:evenHBand="0" w:firstRowFirstColumn="0" w:firstRowLastColumn="0" w:lastRowFirstColumn="0" w:lastRowLastColumn="0"/>
            </w:pPr>
            <w:r>
              <w:t xml:space="preserve">Background information about agency  </w:t>
            </w:r>
          </w:p>
        </w:tc>
      </w:tr>
      <w:tr w:rsidR="005831E8" w:rsidRPr="004765E4" w14:paraId="77E3536E" w14:textId="77777777" w:rsidTr="00397997">
        <w:trPr>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04561B4D" w14:textId="77777777" w:rsidR="005831E8" w:rsidRPr="004765E4" w:rsidRDefault="005831E8" w:rsidP="00F9379F">
            <w:r>
              <w:t>B</w:t>
            </w:r>
          </w:p>
        </w:tc>
        <w:tc>
          <w:tcPr>
            <w:tcW w:w="2381" w:type="dxa"/>
            <w:vAlign w:val="center"/>
          </w:tcPr>
          <w:p w14:paraId="76620135" w14:textId="77777777"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Pretrial Population</w:t>
            </w:r>
          </w:p>
        </w:tc>
        <w:tc>
          <w:tcPr>
            <w:tcW w:w="1233" w:type="dxa"/>
            <w:vAlign w:val="center"/>
          </w:tcPr>
          <w:p w14:paraId="28D53CDA" w14:textId="77777777"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4</w:t>
            </w:r>
          </w:p>
        </w:tc>
        <w:tc>
          <w:tcPr>
            <w:tcW w:w="4603" w:type="dxa"/>
            <w:vAlign w:val="center"/>
          </w:tcPr>
          <w:p w14:paraId="178C2E92" w14:textId="77777777"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Background information about pretrial population</w:t>
            </w:r>
          </w:p>
        </w:tc>
      </w:tr>
      <w:tr w:rsidR="005831E8" w:rsidRPr="004765E4" w14:paraId="1A0E4B48" w14:textId="77777777" w:rsidTr="00397997">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67048C3C" w14:textId="77777777" w:rsidR="005831E8" w:rsidRPr="004765E4" w:rsidRDefault="005831E8" w:rsidP="00F9379F">
            <w:r>
              <w:t>C</w:t>
            </w:r>
          </w:p>
        </w:tc>
        <w:tc>
          <w:tcPr>
            <w:tcW w:w="2381" w:type="dxa"/>
            <w:vAlign w:val="center"/>
          </w:tcPr>
          <w:p w14:paraId="3484BB94" w14:textId="77777777" w:rsidR="005831E8" w:rsidRPr="004765E4" w:rsidRDefault="005831E8" w:rsidP="00F9379F">
            <w:pPr>
              <w:cnfStyle w:val="000000100000" w:firstRow="0" w:lastRow="0" w:firstColumn="0" w:lastColumn="0" w:oddVBand="0" w:evenVBand="0" w:oddHBand="1" w:evenHBand="0" w:firstRowFirstColumn="0" w:firstRowLastColumn="0" w:lastRowFirstColumn="0" w:lastRowLastColumn="0"/>
            </w:pPr>
            <w:r>
              <w:t xml:space="preserve">Pretrial Functions </w:t>
            </w:r>
          </w:p>
        </w:tc>
        <w:tc>
          <w:tcPr>
            <w:tcW w:w="1233" w:type="dxa"/>
            <w:vAlign w:val="center"/>
          </w:tcPr>
          <w:p w14:paraId="631CF82D" w14:textId="77777777" w:rsidR="005831E8" w:rsidRPr="004765E4" w:rsidRDefault="005831E8" w:rsidP="00F9379F">
            <w:pPr>
              <w:cnfStyle w:val="000000100000" w:firstRow="0" w:lastRow="0" w:firstColumn="0" w:lastColumn="0" w:oddVBand="0" w:evenVBand="0" w:oddHBand="1" w:evenHBand="0" w:firstRowFirstColumn="0" w:firstRowLastColumn="0" w:lastRowFirstColumn="0" w:lastRowLastColumn="0"/>
            </w:pPr>
            <w:r>
              <w:t>4</w:t>
            </w:r>
          </w:p>
        </w:tc>
        <w:tc>
          <w:tcPr>
            <w:tcW w:w="4603" w:type="dxa"/>
            <w:vAlign w:val="center"/>
          </w:tcPr>
          <w:p w14:paraId="6969C743" w14:textId="77777777" w:rsidR="005831E8" w:rsidRPr="004765E4" w:rsidRDefault="00005A6C" w:rsidP="00F9379F">
            <w:pPr>
              <w:cnfStyle w:val="000000100000" w:firstRow="0" w:lastRow="0" w:firstColumn="0" w:lastColumn="0" w:oddVBand="0" w:evenVBand="0" w:oddHBand="1" w:evenHBand="0" w:firstRowFirstColumn="0" w:firstRowLastColumn="0" w:lastRowFirstColumn="0" w:lastRowLastColumn="0"/>
            </w:pPr>
            <w:r>
              <w:t>Information about a</w:t>
            </w:r>
            <w:r w:rsidR="005831E8">
              <w:t xml:space="preserve">ssessments and types of release used by jurisdiction </w:t>
            </w:r>
          </w:p>
        </w:tc>
      </w:tr>
      <w:tr w:rsidR="005831E8" w:rsidRPr="00D769E4" w14:paraId="34336C82" w14:textId="77777777" w:rsidTr="00397997">
        <w:trPr>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316AB8E3" w14:textId="77777777" w:rsidR="005831E8" w:rsidRPr="004765E4" w:rsidRDefault="005831E8" w:rsidP="00F9379F">
            <w:r>
              <w:t>D</w:t>
            </w:r>
          </w:p>
        </w:tc>
        <w:tc>
          <w:tcPr>
            <w:tcW w:w="2381" w:type="dxa"/>
            <w:vAlign w:val="center"/>
          </w:tcPr>
          <w:p w14:paraId="6643AAFD" w14:textId="2DA3B6AE"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Pretrial Release Decision</w:t>
            </w:r>
            <w:r w:rsidR="00815ECB">
              <w:t>s</w:t>
            </w:r>
          </w:p>
        </w:tc>
        <w:tc>
          <w:tcPr>
            <w:tcW w:w="1233" w:type="dxa"/>
            <w:vAlign w:val="center"/>
          </w:tcPr>
          <w:p w14:paraId="4D039389" w14:textId="77777777"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9</w:t>
            </w:r>
          </w:p>
        </w:tc>
        <w:tc>
          <w:tcPr>
            <w:tcW w:w="4603" w:type="dxa"/>
            <w:vAlign w:val="center"/>
          </w:tcPr>
          <w:p w14:paraId="1D3FD0A1" w14:textId="77777777" w:rsidR="005831E8" w:rsidRPr="004765E4" w:rsidRDefault="005831E8" w:rsidP="00F9379F">
            <w:pPr>
              <w:cnfStyle w:val="000000000000" w:firstRow="0" w:lastRow="0" w:firstColumn="0" w:lastColumn="0" w:oddVBand="0" w:evenVBand="0" w:oddHBand="0" w:evenHBand="0" w:firstRowFirstColumn="0" w:firstRowLastColumn="0" w:lastRowFirstColumn="0" w:lastRowLastColumn="0"/>
            </w:pPr>
            <w:r>
              <w:t xml:space="preserve">Data on detention and release, including information on type of release and detention mechanisms used </w:t>
            </w:r>
          </w:p>
        </w:tc>
      </w:tr>
      <w:tr w:rsidR="005831E8" w14:paraId="54C4B015" w14:textId="77777777" w:rsidTr="00397997">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33D67DA9" w14:textId="77777777" w:rsidR="005831E8" w:rsidRDefault="005831E8" w:rsidP="00F9379F">
            <w:r>
              <w:t>E</w:t>
            </w:r>
          </w:p>
        </w:tc>
        <w:tc>
          <w:tcPr>
            <w:tcW w:w="2381" w:type="dxa"/>
            <w:vAlign w:val="center"/>
          </w:tcPr>
          <w:p w14:paraId="469F8C58" w14:textId="77777777" w:rsidR="005831E8" w:rsidRDefault="005831E8" w:rsidP="00F9379F">
            <w:pPr>
              <w:cnfStyle w:val="000000100000" w:firstRow="0" w:lastRow="0" w:firstColumn="0" w:lastColumn="0" w:oddVBand="0" w:evenVBand="0" w:oddHBand="1" w:evenHBand="0" w:firstRowFirstColumn="0" w:firstRowLastColumn="0" w:lastRowFirstColumn="0" w:lastRowLastColumn="0"/>
            </w:pPr>
            <w:r>
              <w:t>Pretrial Misconduct Section</w:t>
            </w:r>
          </w:p>
        </w:tc>
        <w:tc>
          <w:tcPr>
            <w:tcW w:w="1233" w:type="dxa"/>
            <w:vAlign w:val="center"/>
          </w:tcPr>
          <w:p w14:paraId="71D7DE89" w14:textId="77777777" w:rsidR="005831E8" w:rsidRDefault="005831E8" w:rsidP="00F9379F">
            <w:pPr>
              <w:cnfStyle w:val="000000100000" w:firstRow="0" w:lastRow="0" w:firstColumn="0" w:lastColumn="0" w:oddVBand="0" w:evenVBand="0" w:oddHBand="1" w:evenHBand="0" w:firstRowFirstColumn="0" w:firstRowLastColumn="0" w:lastRowFirstColumn="0" w:lastRowLastColumn="0"/>
            </w:pPr>
            <w:r>
              <w:t>3</w:t>
            </w:r>
          </w:p>
        </w:tc>
        <w:tc>
          <w:tcPr>
            <w:tcW w:w="4603" w:type="dxa"/>
            <w:vAlign w:val="center"/>
          </w:tcPr>
          <w:p w14:paraId="0181346B" w14:textId="259334E3" w:rsidR="005831E8" w:rsidRDefault="005831E8" w:rsidP="00F9379F">
            <w:pPr>
              <w:cnfStyle w:val="000000100000" w:firstRow="0" w:lastRow="0" w:firstColumn="0" w:lastColumn="0" w:oddVBand="0" w:evenVBand="0" w:oddHBand="1" w:evenHBand="0" w:firstRowFirstColumn="0" w:firstRowLastColumn="0" w:lastRowFirstColumn="0" w:lastRowLastColumn="0"/>
            </w:pPr>
            <w:r>
              <w:t xml:space="preserve">Data on failure to appear, </w:t>
            </w:r>
            <w:r w:rsidR="00815ECB">
              <w:t>re-</w:t>
            </w:r>
            <w:r>
              <w:t xml:space="preserve">arrest, and violations </w:t>
            </w:r>
          </w:p>
        </w:tc>
      </w:tr>
      <w:tr w:rsidR="005831E8" w14:paraId="2F2294C7" w14:textId="77777777" w:rsidTr="00397997">
        <w:trPr>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18A3ECD9" w14:textId="77777777" w:rsidR="005831E8" w:rsidRDefault="005831E8" w:rsidP="00F9379F">
            <w:r>
              <w:t>F</w:t>
            </w:r>
          </w:p>
        </w:tc>
        <w:tc>
          <w:tcPr>
            <w:tcW w:w="2381" w:type="dxa"/>
            <w:vAlign w:val="center"/>
          </w:tcPr>
          <w:p w14:paraId="63C21041" w14:textId="77777777" w:rsidR="005831E8" w:rsidRDefault="005831E8" w:rsidP="00F9379F">
            <w:pPr>
              <w:cnfStyle w:val="000000000000" w:firstRow="0" w:lastRow="0" w:firstColumn="0" w:lastColumn="0" w:oddVBand="0" w:evenVBand="0" w:oddHBand="0" w:evenHBand="0" w:firstRowFirstColumn="0" w:firstRowLastColumn="0" w:lastRowFirstColumn="0" w:lastRowLastColumn="0"/>
            </w:pPr>
            <w:r>
              <w:t>Pretrial Subpopulation Breakdown</w:t>
            </w:r>
          </w:p>
        </w:tc>
        <w:tc>
          <w:tcPr>
            <w:tcW w:w="1233" w:type="dxa"/>
            <w:vAlign w:val="center"/>
          </w:tcPr>
          <w:p w14:paraId="26F67C22" w14:textId="77777777" w:rsidR="005831E8" w:rsidRDefault="00005A6C" w:rsidP="00F9379F">
            <w:pPr>
              <w:cnfStyle w:val="000000000000" w:firstRow="0" w:lastRow="0" w:firstColumn="0" w:lastColumn="0" w:oddVBand="0" w:evenVBand="0" w:oddHBand="0" w:evenHBand="0" w:firstRowFirstColumn="0" w:firstRowLastColumn="0" w:lastRowFirstColumn="0" w:lastRowLastColumn="0"/>
            </w:pPr>
            <w:r>
              <w:t>7</w:t>
            </w:r>
          </w:p>
        </w:tc>
        <w:tc>
          <w:tcPr>
            <w:tcW w:w="4603" w:type="dxa"/>
            <w:vAlign w:val="center"/>
          </w:tcPr>
          <w:p w14:paraId="5904FB1E" w14:textId="77777777" w:rsidR="005831E8" w:rsidRDefault="00CB25DB" w:rsidP="00F9379F">
            <w:pPr>
              <w:cnfStyle w:val="000000000000" w:firstRow="0" w:lastRow="0" w:firstColumn="0" w:lastColumn="0" w:oddVBand="0" w:evenVBand="0" w:oddHBand="0" w:evenHBand="0" w:firstRowFirstColumn="0" w:firstRowLastColumn="0" w:lastRowFirstColumn="0" w:lastRowLastColumn="0"/>
            </w:pPr>
            <w:r>
              <w:t xml:space="preserve">Data on detention and misconduct by demographics, criminal history, and types of release </w:t>
            </w:r>
          </w:p>
        </w:tc>
      </w:tr>
      <w:tr w:rsidR="00005A6C" w14:paraId="50F9E4B3" w14:textId="77777777" w:rsidTr="00397997">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5CB258D4" w14:textId="77777777" w:rsidR="00005A6C" w:rsidRDefault="00005A6C" w:rsidP="00F9379F">
            <w:r>
              <w:t>G</w:t>
            </w:r>
          </w:p>
        </w:tc>
        <w:tc>
          <w:tcPr>
            <w:tcW w:w="2381" w:type="dxa"/>
            <w:vAlign w:val="center"/>
          </w:tcPr>
          <w:p w14:paraId="4106A23E" w14:textId="77777777" w:rsidR="00005A6C" w:rsidRDefault="00005A6C" w:rsidP="00F9379F">
            <w:pPr>
              <w:cnfStyle w:val="000000100000" w:firstRow="0" w:lastRow="0" w:firstColumn="0" w:lastColumn="0" w:oddVBand="0" w:evenVBand="0" w:oddHBand="1" w:evenHBand="0" w:firstRowFirstColumn="0" w:firstRowLastColumn="0" w:lastRowFirstColumn="0" w:lastRowLastColumn="0"/>
            </w:pPr>
            <w:r>
              <w:t xml:space="preserve">General Comments </w:t>
            </w:r>
          </w:p>
        </w:tc>
        <w:tc>
          <w:tcPr>
            <w:tcW w:w="1233" w:type="dxa"/>
            <w:vAlign w:val="center"/>
          </w:tcPr>
          <w:p w14:paraId="368B0D93" w14:textId="77777777" w:rsidR="00005A6C" w:rsidRDefault="00005A6C" w:rsidP="00F9379F">
            <w:pPr>
              <w:cnfStyle w:val="000000100000" w:firstRow="0" w:lastRow="0" w:firstColumn="0" w:lastColumn="0" w:oddVBand="0" w:evenVBand="0" w:oddHBand="1" w:evenHBand="0" w:firstRowFirstColumn="0" w:firstRowLastColumn="0" w:lastRowFirstColumn="0" w:lastRowLastColumn="0"/>
            </w:pPr>
            <w:r>
              <w:t>1</w:t>
            </w:r>
          </w:p>
        </w:tc>
        <w:tc>
          <w:tcPr>
            <w:tcW w:w="4603" w:type="dxa"/>
            <w:vAlign w:val="center"/>
          </w:tcPr>
          <w:p w14:paraId="0F948D35" w14:textId="77777777" w:rsidR="00005A6C" w:rsidRDefault="00005A6C" w:rsidP="00F9379F">
            <w:pPr>
              <w:cnfStyle w:val="000000100000" w:firstRow="0" w:lastRow="0" w:firstColumn="0" w:lastColumn="0" w:oddVBand="0" w:evenVBand="0" w:oddHBand="1" w:evenHBand="0" w:firstRowFirstColumn="0" w:firstRowLastColumn="0" w:lastRowFirstColumn="0" w:lastRowLastColumn="0"/>
            </w:pPr>
            <w:r>
              <w:t>Space for comments, suggestions, and clarifications</w:t>
            </w:r>
          </w:p>
        </w:tc>
      </w:tr>
    </w:tbl>
    <w:p w14:paraId="1DC77495" w14:textId="77777777" w:rsidR="00D769E4" w:rsidRDefault="00D769E4" w:rsidP="00620AF8"/>
    <w:p w14:paraId="07D02B89" w14:textId="668D043A" w:rsidR="00EB79F7" w:rsidRPr="00620AF8" w:rsidRDefault="00EB79F7" w:rsidP="00620AF8">
      <w:r w:rsidRPr="00620AF8">
        <w:t xml:space="preserve">The design of the </w:t>
      </w:r>
      <w:r w:rsidR="00A6714A">
        <w:t xml:space="preserve">JCS </w:t>
      </w:r>
      <w:r w:rsidRPr="00620AF8">
        <w:t>reflects its aim to gather detailed information on the feasibility of collecting</w:t>
      </w:r>
      <w:r w:rsidR="008372C7">
        <w:t xml:space="preserve"> </w:t>
      </w:r>
      <w:r w:rsidR="008372C7" w:rsidRPr="00780819">
        <w:rPr>
          <w:b/>
          <w:i/>
        </w:rPr>
        <w:t>aggregate</w:t>
      </w:r>
      <w:r w:rsidRPr="00620AF8">
        <w:t xml:space="preserve"> pretrial data </w:t>
      </w:r>
      <w:r w:rsidR="008372C7">
        <w:t>for a random sample of</w:t>
      </w:r>
      <w:r w:rsidR="008372C7" w:rsidRPr="00620AF8">
        <w:t xml:space="preserve"> </w:t>
      </w:r>
      <w:r w:rsidRPr="00620AF8">
        <w:t>jurisdictions</w:t>
      </w:r>
      <w:r w:rsidR="005D6F03">
        <w:t xml:space="preserve"> in the future</w:t>
      </w:r>
      <w:r w:rsidRPr="00620AF8">
        <w:t xml:space="preserve">. Each of the questions in </w:t>
      </w:r>
      <w:r w:rsidR="00E1057B">
        <w:t>Sections D-F</w:t>
      </w:r>
      <w:r w:rsidRPr="00620AF8">
        <w:t xml:space="preserve"> allow</w:t>
      </w:r>
      <w:r w:rsidR="00CA11E7">
        <w:t>s</w:t>
      </w:r>
      <w:r w:rsidRPr="00620AF8">
        <w:t xml:space="preserve"> agencies to provide estimates </w:t>
      </w:r>
      <w:r w:rsidR="00CA11E7">
        <w:t xml:space="preserve">when precise figures are unavailable. </w:t>
      </w:r>
      <w:r w:rsidRPr="00620AF8">
        <w:t xml:space="preserve">Each of the questions in these sections also asks agencies to report on the </w:t>
      </w:r>
      <w:r w:rsidR="00E1057B">
        <w:t>time required</w:t>
      </w:r>
      <w:r w:rsidRPr="00620AF8">
        <w:t xml:space="preserve"> to </w:t>
      </w:r>
      <w:r w:rsidR="00E1057B">
        <w:t>retrieve the</w:t>
      </w:r>
      <w:r w:rsidRPr="00620AF8">
        <w:t xml:space="preserve"> data and the challenges experienced while doing so. These features of the survey will help </w:t>
      </w:r>
      <w:r w:rsidR="005D6F03">
        <w:t>BJS</w:t>
      </w:r>
      <w:r w:rsidR="005D6F03" w:rsidRPr="00620AF8">
        <w:t xml:space="preserve"> </w:t>
      </w:r>
      <w:r w:rsidRPr="00620AF8">
        <w:t xml:space="preserve">identify the </w:t>
      </w:r>
      <w:r w:rsidR="008372C7">
        <w:t xml:space="preserve">breadth of the </w:t>
      </w:r>
      <w:r w:rsidRPr="00620AF8">
        <w:t xml:space="preserve">data elements that jurisdictions can and cannot collect, the effort required to report on data, and the reasons why data for certain measures are not available. </w:t>
      </w:r>
    </w:p>
    <w:p w14:paraId="68FE4132" w14:textId="69CB1CB8" w:rsidR="00A14D7E" w:rsidRDefault="00CA11E7" w:rsidP="00620AF8">
      <w:pPr>
        <w:rPr>
          <w:rFonts w:eastAsiaTheme="minorEastAsia"/>
        </w:rPr>
      </w:pPr>
      <w:r>
        <w:t>Once the POCs submit the JCS, the project team will review survey responses and follow up to resolve open issues</w:t>
      </w:r>
      <w:r w:rsidR="005D6F03">
        <w:t xml:space="preserve"> that may arise</w:t>
      </w:r>
      <w:r w:rsidR="00967F13">
        <w:t xml:space="preserve"> (</w:t>
      </w:r>
      <w:r w:rsidR="00215185">
        <w:t xml:space="preserve">see </w:t>
      </w:r>
      <w:r w:rsidR="00967F13">
        <w:t xml:space="preserve">attachment </w:t>
      </w:r>
      <w:r w:rsidR="00215185">
        <w:t>C for follow up protocol</w:t>
      </w:r>
      <w:r w:rsidR="00967F13">
        <w:t>)</w:t>
      </w:r>
      <w:r>
        <w:t>.</w:t>
      </w:r>
      <w:r w:rsidR="00A14D7E">
        <w:t xml:space="preserve"> The project staff will also contact </w:t>
      </w:r>
      <w:r w:rsidR="00620AF8">
        <w:rPr>
          <w:rFonts w:eastAsiaTheme="minorEastAsia"/>
        </w:rPr>
        <w:t xml:space="preserve">jurisdictions </w:t>
      </w:r>
      <w:r w:rsidR="00A14D7E">
        <w:rPr>
          <w:rFonts w:eastAsiaTheme="minorEastAsia"/>
        </w:rPr>
        <w:t>via e</w:t>
      </w:r>
      <w:r w:rsidR="00815ECB">
        <w:rPr>
          <w:rFonts w:eastAsiaTheme="minorEastAsia"/>
        </w:rPr>
        <w:t>-</w:t>
      </w:r>
      <w:r w:rsidR="00A14D7E">
        <w:rPr>
          <w:rFonts w:eastAsiaTheme="minorEastAsia"/>
        </w:rPr>
        <w:t xml:space="preserve">mail and telephone </w:t>
      </w:r>
      <w:r w:rsidR="00620AF8">
        <w:rPr>
          <w:rFonts w:eastAsiaTheme="minorEastAsia"/>
        </w:rPr>
        <w:t>that do not complete the survey</w:t>
      </w:r>
      <w:r w:rsidR="00A14D7E">
        <w:rPr>
          <w:rFonts w:eastAsiaTheme="minorEastAsia"/>
        </w:rPr>
        <w:t xml:space="preserve"> to </w:t>
      </w:r>
      <w:r w:rsidR="00620AF8">
        <w:rPr>
          <w:rFonts w:eastAsiaTheme="minorEastAsia"/>
        </w:rPr>
        <w:t>prompt them to do so</w:t>
      </w:r>
      <w:r w:rsidR="00E64DB7">
        <w:rPr>
          <w:rFonts w:eastAsiaTheme="minorEastAsia"/>
        </w:rPr>
        <w:t xml:space="preserve">. </w:t>
      </w:r>
      <w:r w:rsidR="00A14D7E">
        <w:rPr>
          <w:rFonts w:eastAsiaTheme="minorEastAsia"/>
        </w:rPr>
        <w:t xml:space="preserve">Thank you notes (attachment D) will be sent to jurisdictions upon survey completion. </w:t>
      </w:r>
    </w:p>
    <w:p w14:paraId="49D6CEAF" w14:textId="18770E22" w:rsidR="00EB79F7" w:rsidRPr="003A53AB" w:rsidRDefault="00EB79F7" w:rsidP="00EB79F7">
      <w:pPr>
        <w:rPr>
          <w:rFonts w:cs="Times New Roman"/>
          <w:szCs w:val="24"/>
          <w:u w:val="single"/>
        </w:rPr>
      </w:pPr>
      <w:r w:rsidRPr="003A53AB">
        <w:rPr>
          <w:rFonts w:cs="Times New Roman"/>
          <w:szCs w:val="24"/>
          <w:u w:val="single"/>
        </w:rPr>
        <w:t xml:space="preserve">Task </w:t>
      </w:r>
      <w:r w:rsidR="008D5F3C">
        <w:rPr>
          <w:rFonts w:cs="Times New Roman"/>
          <w:szCs w:val="24"/>
          <w:u w:val="single"/>
        </w:rPr>
        <w:t>3</w:t>
      </w:r>
      <w:r w:rsidRPr="003A53AB">
        <w:rPr>
          <w:rFonts w:cs="Times New Roman"/>
          <w:szCs w:val="24"/>
          <w:u w:val="single"/>
        </w:rPr>
        <w:t xml:space="preserve">: Summarize Survey Data and Debrief </w:t>
      </w:r>
    </w:p>
    <w:p w14:paraId="30835A20" w14:textId="03A08C3F" w:rsidR="005D6F03" w:rsidRDefault="00EB79F7" w:rsidP="00EB79F7">
      <w:pPr>
        <w:rPr>
          <w:rFonts w:cs="Times New Roman"/>
          <w:szCs w:val="24"/>
        </w:rPr>
      </w:pPr>
      <w:r>
        <w:rPr>
          <w:rFonts w:cs="Times New Roman"/>
          <w:szCs w:val="24"/>
        </w:rPr>
        <w:t xml:space="preserve">The </w:t>
      </w:r>
      <w:r w:rsidR="005B17E0">
        <w:rPr>
          <w:rFonts w:cs="Times New Roman"/>
          <w:szCs w:val="24"/>
        </w:rPr>
        <w:t xml:space="preserve">objective of </w:t>
      </w:r>
      <w:r w:rsidR="005D6F03">
        <w:rPr>
          <w:rFonts w:cs="Times New Roman"/>
          <w:szCs w:val="24"/>
        </w:rPr>
        <w:t xml:space="preserve">Task </w:t>
      </w:r>
      <w:r w:rsidR="00815ECB">
        <w:rPr>
          <w:rFonts w:cs="Times New Roman"/>
          <w:szCs w:val="24"/>
        </w:rPr>
        <w:t xml:space="preserve">3 </w:t>
      </w:r>
      <w:r w:rsidR="00967F13">
        <w:rPr>
          <w:rFonts w:cs="Times New Roman"/>
          <w:szCs w:val="24"/>
        </w:rPr>
        <w:t xml:space="preserve">is </w:t>
      </w:r>
      <w:r w:rsidR="005B17E0">
        <w:rPr>
          <w:rFonts w:cs="Times New Roman"/>
          <w:szCs w:val="24"/>
        </w:rPr>
        <w:t xml:space="preserve">to compile and </w:t>
      </w:r>
      <w:r w:rsidR="008372C7">
        <w:rPr>
          <w:rFonts w:cs="Times New Roman"/>
          <w:szCs w:val="24"/>
        </w:rPr>
        <w:t xml:space="preserve">assess </w:t>
      </w:r>
      <w:r w:rsidR="005B17E0">
        <w:rPr>
          <w:rFonts w:cs="Times New Roman"/>
          <w:szCs w:val="24"/>
        </w:rPr>
        <w:t xml:space="preserve">the NPRP JCS responses. </w:t>
      </w:r>
      <w:r w:rsidR="00967F13">
        <w:rPr>
          <w:rFonts w:cs="Times New Roman"/>
          <w:szCs w:val="24"/>
        </w:rPr>
        <w:t>F</w:t>
      </w:r>
      <w:r>
        <w:rPr>
          <w:rFonts w:cs="Times New Roman"/>
          <w:szCs w:val="24"/>
        </w:rPr>
        <w:t>indings</w:t>
      </w:r>
      <w:r w:rsidR="00967F13">
        <w:rPr>
          <w:rFonts w:cs="Times New Roman"/>
          <w:szCs w:val="24"/>
        </w:rPr>
        <w:t xml:space="preserve"> generated from the review of the data and process</w:t>
      </w:r>
      <w:r>
        <w:rPr>
          <w:rFonts w:cs="Times New Roman"/>
          <w:szCs w:val="24"/>
        </w:rPr>
        <w:t xml:space="preserve"> will be used to assist in the </w:t>
      </w:r>
      <w:r w:rsidR="005B17E0">
        <w:rPr>
          <w:rFonts w:cs="Times New Roman"/>
          <w:szCs w:val="24"/>
        </w:rPr>
        <w:t xml:space="preserve">refinement </w:t>
      </w:r>
      <w:r>
        <w:rPr>
          <w:rFonts w:cs="Times New Roman"/>
          <w:szCs w:val="24"/>
        </w:rPr>
        <w:t xml:space="preserve">of data collection instruments and sampling methodologies for producing </w:t>
      </w:r>
      <w:r w:rsidR="005B17E0">
        <w:rPr>
          <w:rFonts w:cs="Times New Roman"/>
          <w:szCs w:val="24"/>
        </w:rPr>
        <w:t xml:space="preserve">nationally representative </w:t>
      </w:r>
      <w:r>
        <w:rPr>
          <w:rFonts w:cs="Times New Roman"/>
          <w:szCs w:val="24"/>
        </w:rPr>
        <w:t xml:space="preserve">pretrial </w:t>
      </w:r>
      <w:r>
        <w:rPr>
          <w:rFonts w:cs="Times New Roman"/>
          <w:szCs w:val="24"/>
        </w:rPr>
        <w:lastRenderedPageBreak/>
        <w:t>statistics</w:t>
      </w:r>
      <w:r w:rsidR="005B17E0">
        <w:rPr>
          <w:rFonts w:cs="Times New Roman"/>
          <w:szCs w:val="24"/>
        </w:rPr>
        <w:t>.</w:t>
      </w:r>
      <w:r>
        <w:rPr>
          <w:rFonts w:cs="Times New Roman"/>
          <w:szCs w:val="24"/>
        </w:rPr>
        <w:t xml:space="preserve"> </w:t>
      </w:r>
      <w:r w:rsidR="005B17E0">
        <w:rPr>
          <w:rFonts w:cs="Times New Roman"/>
          <w:szCs w:val="24"/>
        </w:rPr>
        <w:t xml:space="preserve">The project team </w:t>
      </w:r>
      <w:r>
        <w:rPr>
          <w:rFonts w:cs="Times New Roman"/>
          <w:szCs w:val="24"/>
        </w:rPr>
        <w:t xml:space="preserve">will also consult </w:t>
      </w:r>
      <w:r w:rsidR="005B17E0">
        <w:rPr>
          <w:rFonts w:cs="Times New Roman"/>
          <w:szCs w:val="24"/>
        </w:rPr>
        <w:t xml:space="preserve">members of the </w:t>
      </w:r>
      <w:r>
        <w:rPr>
          <w:rFonts w:cs="Times New Roman"/>
          <w:szCs w:val="24"/>
        </w:rPr>
        <w:t xml:space="preserve">NIC’s Pretrial Executive Network </w:t>
      </w:r>
      <w:r w:rsidR="005B17E0">
        <w:rPr>
          <w:rFonts w:cs="Times New Roman"/>
          <w:szCs w:val="24"/>
        </w:rPr>
        <w:t xml:space="preserve">who have participated in the NPRP JCS to </w:t>
      </w:r>
      <w:r>
        <w:rPr>
          <w:rFonts w:cs="Times New Roman"/>
          <w:szCs w:val="24"/>
        </w:rPr>
        <w:t>solicit additional feedback, which will help develop strategies for encouraging survey participation</w:t>
      </w:r>
      <w:r w:rsidR="005839C1">
        <w:rPr>
          <w:rFonts w:cs="Times New Roman"/>
          <w:szCs w:val="24"/>
        </w:rPr>
        <w:t xml:space="preserve">. </w:t>
      </w:r>
    </w:p>
    <w:p w14:paraId="62561E44" w14:textId="1824C270" w:rsidR="005D6F03" w:rsidRDefault="00EB79F7" w:rsidP="005D6F03">
      <w:pPr>
        <w:rPr>
          <w:rFonts w:cs="Times New Roman"/>
          <w:szCs w:val="24"/>
        </w:rPr>
      </w:pPr>
      <w:r>
        <w:rPr>
          <w:rFonts w:cs="Times New Roman"/>
          <w:szCs w:val="24"/>
        </w:rPr>
        <w:t xml:space="preserve">The findings from the survey and the feedback will be compiled into the </w:t>
      </w:r>
      <w:r w:rsidRPr="00B20C7E">
        <w:rPr>
          <w:rFonts w:cs="Times New Roman"/>
          <w:i/>
          <w:szCs w:val="24"/>
        </w:rPr>
        <w:t>NPRP Design and Development Report</w:t>
      </w:r>
      <w:r>
        <w:rPr>
          <w:rFonts w:cs="Times New Roman"/>
          <w:szCs w:val="24"/>
        </w:rPr>
        <w:t>, which will highlight the survey’s findings and include different sampling design recommendations</w:t>
      </w:r>
      <w:r w:rsidR="00E64DB7">
        <w:rPr>
          <w:rFonts w:cs="Times New Roman"/>
          <w:szCs w:val="24"/>
        </w:rPr>
        <w:t xml:space="preserve">. </w:t>
      </w:r>
      <w:r w:rsidR="005D6F03">
        <w:rPr>
          <w:rFonts w:cs="Times New Roman"/>
          <w:szCs w:val="24"/>
        </w:rPr>
        <w:t>The report will discuss the feasibility of developing national statistics on various aspects of pretrial case processing and the burden ass</w:t>
      </w:r>
      <w:r w:rsidR="00F1141C">
        <w:rPr>
          <w:rFonts w:cs="Times New Roman"/>
          <w:szCs w:val="24"/>
        </w:rPr>
        <w:t>ociated with each survey domain, such as</w:t>
      </w:r>
      <w:r w:rsidR="005D6F03">
        <w:rPr>
          <w:rFonts w:cs="Times New Roman"/>
          <w:szCs w:val="24"/>
        </w:rPr>
        <w:t xml:space="preserve"> the caseload of pretrial defendant</w:t>
      </w:r>
      <w:r w:rsidR="00F1141C">
        <w:rPr>
          <w:rFonts w:cs="Times New Roman"/>
          <w:szCs w:val="24"/>
        </w:rPr>
        <w:t>s, pretrial misconduct outcomes, the probability of detention given initial hearing, the length of detention,</w:t>
      </w:r>
      <w:r w:rsidR="00056AB1">
        <w:rPr>
          <w:rFonts w:cs="Times New Roman"/>
          <w:szCs w:val="24"/>
        </w:rPr>
        <w:t xml:space="preserve"> type of release,</w:t>
      </w:r>
      <w:r w:rsidR="00F1141C">
        <w:rPr>
          <w:rFonts w:cs="Times New Roman"/>
          <w:szCs w:val="24"/>
        </w:rPr>
        <w:t xml:space="preserve"> and the characteristics of persons detained</w:t>
      </w:r>
      <w:r w:rsidR="005D6F03">
        <w:rPr>
          <w:rFonts w:cs="Times New Roman"/>
          <w:szCs w:val="24"/>
        </w:rPr>
        <w:t xml:space="preserve">. This report will also provide an action plan with details on how to encourage participation as well as an implementation plan. </w:t>
      </w:r>
      <w:r w:rsidR="00256A4B">
        <w:rPr>
          <w:rFonts w:cs="Times New Roman"/>
          <w:szCs w:val="24"/>
        </w:rPr>
        <w:t xml:space="preserve"> </w:t>
      </w:r>
      <w:r w:rsidR="00EE4F10">
        <w:rPr>
          <w:rFonts w:cs="Times New Roman"/>
          <w:szCs w:val="24"/>
        </w:rPr>
        <w:t xml:space="preserve">There is no intention to estimate population parameters with any level of precision.  Instead, the data will be assessed to determine how to tailor the field approach (in the sense of </w:t>
      </w:r>
      <w:proofErr w:type="spellStart"/>
      <w:r w:rsidR="00EE4F10">
        <w:rPr>
          <w:rFonts w:cs="Times New Roman"/>
          <w:szCs w:val="24"/>
        </w:rPr>
        <w:t>Dillman’s</w:t>
      </w:r>
      <w:proofErr w:type="spellEnd"/>
      <w:r w:rsidR="00EE4F10">
        <w:rPr>
          <w:rFonts w:cs="Times New Roman"/>
          <w:szCs w:val="24"/>
        </w:rPr>
        <w:t xml:space="preserve"> total design method) to various “segments” of jurisdictions.  This in turn will facilitate the development of efficient field protocols as well as refined cost and burden estimates for use in the design of the actual NPRP effort.  As jurisdictions were strategically chosen to represent many different types of pretrial release systems, the results from these different types can be used to estimate the feasibility of a nationally representative collection.  </w:t>
      </w:r>
      <w:r w:rsidR="00F1420B">
        <w:rPr>
          <w:rFonts w:cs="Times New Roman"/>
          <w:szCs w:val="24"/>
        </w:rPr>
        <w:t>The level of effort and ability to respond to the survey for each type of jurisdiction can be applied to similarly situated jurisdiction</w:t>
      </w:r>
      <w:r w:rsidR="00A324E1">
        <w:rPr>
          <w:rFonts w:cs="Times New Roman"/>
          <w:szCs w:val="24"/>
        </w:rPr>
        <w:t>s</w:t>
      </w:r>
      <w:r w:rsidR="00F1420B">
        <w:rPr>
          <w:rFonts w:cs="Times New Roman"/>
          <w:szCs w:val="24"/>
        </w:rPr>
        <w:t xml:space="preserve"> not in this survey.  </w:t>
      </w:r>
      <w:r w:rsidR="00F1141C">
        <w:rPr>
          <w:rFonts w:cs="Times New Roman"/>
          <w:szCs w:val="24"/>
        </w:rPr>
        <w:t>This information can also be applied to the total cost to field a nationally representative survey.</w:t>
      </w:r>
    </w:p>
    <w:p w14:paraId="2F0DE498" w14:textId="77777777" w:rsidR="00D769E4" w:rsidRPr="00005A6C" w:rsidRDefault="00023D73" w:rsidP="00005A6C">
      <w:pPr>
        <w:pStyle w:val="Heading1"/>
      </w:pPr>
      <w:r>
        <w:t>Expected Burden to Complete the NPRP JCS Survey</w:t>
      </w:r>
    </w:p>
    <w:p w14:paraId="6E23D6BC" w14:textId="5686965C" w:rsidR="005D129F" w:rsidRDefault="00FD0613" w:rsidP="005D129F">
      <w:pPr>
        <w:rPr>
          <w:rFonts w:eastAsiaTheme="minorEastAsia"/>
          <w:szCs w:val="24"/>
        </w:rPr>
      </w:pPr>
      <w:r>
        <w:t xml:space="preserve">The NPRP JCS is designed to </w:t>
      </w:r>
      <w:r w:rsidR="00E330E0">
        <w:t>be completed online. We expect that most respondents will make use of the online survey application</w:t>
      </w:r>
      <w:r w:rsidR="00283FD8">
        <w:t xml:space="preserve">. </w:t>
      </w:r>
      <w:r w:rsidR="00902A6F">
        <w:t>The online survey application</w:t>
      </w:r>
      <w:r w:rsidR="00283FD8">
        <w:t xml:space="preserve"> will </w:t>
      </w:r>
      <w:r w:rsidR="00C76D7B">
        <w:t xml:space="preserve">allow for </w:t>
      </w:r>
      <w:r>
        <w:t>multi-session, non-sequential completion of the survey instrument.</w:t>
      </w:r>
      <w:r w:rsidR="00C76D7B">
        <w:t xml:space="preserve"> As we anticipate that </w:t>
      </w:r>
      <w:r w:rsidR="00DC2A2B">
        <w:t>most</w:t>
      </w:r>
      <w:r w:rsidR="00C76D7B">
        <w:t xml:space="preserve"> respondents will need to seek out multiple information sources within their organizations</w:t>
      </w:r>
      <w:r w:rsidR="00F009AE">
        <w:t xml:space="preserve">, such flexibility in completing the NPRP JCS will facilitate data entry. It will also </w:t>
      </w:r>
      <w:r>
        <w:t xml:space="preserve">reduce the burden by allowing </w:t>
      </w:r>
      <w:r w:rsidR="00F009AE">
        <w:t xml:space="preserve">survey respondents </w:t>
      </w:r>
      <w:r>
        <w:t xml:space="preserve">to </w:t>
      </w:r>
      <w:r w:rsidR="00DB70E5">
        <w:t>collect and provide information at their convenience.</w:t>
      </w:r>
      <w:r w:rsidR="002F706E">
        <w:t xml:space="preserve"> </w:t>
      </w:r>
      <w:r w:rsidR="00F009AE">
        <w:t xml:space="preserve">In addition, the online survey application will have </w:t>
      </w:r>
      <w:r w:rsidR="00C76D7B">
        <w:t>tracking functions to effectively manage survey responses</w:t>
      </w:r>
      <w:r w:rsidR="00E2039A">
        <w:t xml:space="preserve">, and we will </w:t>
      </w:r>
      <w:r w:rsidR="00E2039A">
        <w:rPr>
          <w:rFonts w:eastAsiaTheme="minorEastAsia"/>
          <w:szCs w:val="24"/>
        </w:rPr>
        <w:t>provide a toll-free number and e</w:t>
      </w:r>
      <w:r w:rsidR="00EC2F86">
        <w:rPr>
          <w:rFonts w:eastAsiaTheme="minorEastAsia"/>
          <w:szCs w:val="24"/>
        </w:rPr>
        <w:t>-</w:t>
      </w:r>
      <w:r w:rsidR="00E2039A">
        <w:rPr>
          <w:rFonts w:eastAsiaTheme="minorEastAsia"/>
          <w:szCs w:val="24"/>
        </w:rPr>
        <w:t xml:space="preserve">mail address </w:t>
      </w:r>
      <w:r w:rsidR="005D129F">
        <w:rPr>
          <w:rFonts w:eastAsiaTheme="minorEastAsia"/>
          <w:szCs w:val="24"/>
        </w:rPr>
        <w:t xml:space="preserve">so that respondents may contact BJS or its data collection agent (Urban Institute) with questions or for assistance. </w:t>
      </w:r>
    </w:p>
    <w:p w14:paraId="767D60D3" w14:textId="68FC2982" w:rsidR="00B06171" w:rsidRDefault="00E2039A" w:rsidP="00E2039A">
      <w:pPr>
        <w:rPr>
          <w:rFonts w:eastAsiaTheme="minorEastAsia"/>
          <w:szCs w:val="24"/>
        </w:rPr>
      </w:pPr>
      <w:r>
        <w:rPr>
          <w:rFonts w:eastAsiaTheme="minorEastAsia"/>
          <w:szCs w:val="24"/>
        </w:rPr>
        <w:t xml:space="preserve">The draft NPRP JCS was pilot tested with several </w:t>
      </w:r>
      <w:r w:rsidR="00B06171">
        <w:rPr>
          <w:rFonts w:eastAsiaTheme="minorEastAsia"/>
          <w:szCs w:val="24"/>
        </w:rPr>
        <w:t>jurisdictions as listed below:</w:t>
      </w:r>
      <w:r>
        <w:rPr>
          <w:rFonts w:eastAsiaTheme="minorEastAsia"/>
          <w:szCs w:val="24"/>
        </w:rPr>
        <w:t xml:space="preserve"> </w:t>
      </w:r>
    </w:p>
    <w:p w14:paraId="4EFCCDC6" w14:textId="53C86E36" w:rsidR="00B06171" w:rsidRPr="00B06171" w:rsidRDefault="00B06171" w:rsidP="00B06171">
      <w:pPr>
        <w:spacing w:after="0"/>
        <w:ind w:firstLine="720"/>
      </w:pPr>
      <w:r w:rsidRPr="00B06171">
        <w:t>Jacksonville Sheriff’s Office, Florida</w:t>
      </w:r>
    </w:p>
    <w:p w14:paraId="4B38DE17" w14:textId="5749BCDB" w:rsidR="00B06171" w:rsidRPr="00B06171" w:rsidRDefault="00B06171" w:rsidP="00B06171">
      <w:pPr>
        <w:spacing w:after="0"/>
        <w:ind w:firstLine="720"/>
      </w:pPr>
      <w:r w:rsidRPr="00B06171">
        <w:t>La Crosse County Chemical Health and Justice Sanctions, Wisconsin</w:t>
      </w:r>
    </w:p>
    <w:p w14:paraId="779B7D03" w14:textId="29ADCB7A" w:rsidR="00B06171" w:rsidRPr="00B06171" w:rsidRDefault="00B06171" w:rsidP="00B06171">
      <w:pPr>
        <w:spacing w:after="0"/>
        <w:ind w:firstLine="720"/>
      </w:pPr>
      <w:r w:rsidRPr="00B06171">
        <w:t xml:space="preserve">Pretrial Services, </w:t>
      </w:r>
      <w:r>
        <w:t xml:space="preserve">San Diego Superior Court, California </w:t>
      </w:r>
    </w:p>
    <w:p w14:paraId="57B4ABCB" w14:textId="04BE35E6" w:rsidR="00B06171" w:rsidRPr="00B06171" w:rsidRDefault="00B06171" w:rsidP="00B06171">
      <w:pPr>
        <w:spacing w:after="0"/>
        <w:ind w:firstLine="720"/>
      </w:pPr>
      <w:r w:rsidRPr="00B06171">
        <w:t xml:space="preserve">Santa Barbara Superior Court Pretrial Services Division, </w:t>
      </w:r>
      <w:r>
        <w:t>California</w:t>
      </w:r>
    </w:p>
    <w:p w14:paraId="1E2EF394" w14:textId="13651537" w:rsidR="00B06171" w:rsidRPr="00B06171" w:rsidRDefault="00B06171" w:rsidP="00B06171">
      <w:pPr>
        <w:ind w:firstLine="720"/>
      </w:pPr>
      <w:r w:rsidRPr="00B06171">
        <w:t>Davidson County Sheriff's Office</w:t>
      </w:r>
      <w:r>
        <w:t>, T</w:t>
      </w:r>
      <w:r w:rsidRPr="00B06171">
        <w:t>ennessee</w:t>
      </w:r>
    </w:p>
    <w:p w14:paraId="21DB0C9B" w14:textId="1A55387C" w:rsidR="00A00393" w:rsidRDefault="00B06171" w:rsidP="00E2039A">
      <w:r>
        <w:rPr>
          <w:rFonts w:eastAsiaTheme="minorEastAsia"/>
          <w:szCs w:val="24"/>
        </w:rPr>
        <w:t xml:space="preserve">These </w:t>
      </w:r>
      <w:r w:rsidR="00E2039A">
        <w:rPr>
          <w:rFonts w:eastAsiaTheme="minorEastAsia"/>
          <w:szCs w:val="24"/>
        </w:rPr>
        <w:t>agencies range in size</w:t>
      </w:r>
      <w:r>
        <w:rPr>
          <w:rFonts w:eastAsiaTheme="minorEastAsia"/>
          <w:szCs w:val="24"/>
        </w:rPr>
        <w:t xml:space="preserve">, </w:t>
      </w:r>
      <w:r w:rsidR="00E2039A">
        <w:rPr>
          <w:rFonts w:eastAsiaTheme="minorEastAsia"/>
          <w:szCs w:val="24"/>
        </w:rPr>
        <w:t>region</w:t>
      </w:r>
      <w:r>
        <w:rPr>
          <w:rFonts w:eastAsiaTheme="minorEastAsia"/>
          <w:szCs w:val="24"/>
        </w:rPr>
        <w:t>, and</w:t>
      </w:r>
      <w:r w:rsidR="00B51B9D">
        <w:rPr>
          <w:rFonts w:eastAsiaTheme="minorEastAsia"/>
          <w:szCs w:val="24"/>
        </w:rPr>
        <w:t xml:space="preserve"> organizational structure</w:t>
      </w:r>
      <w:r w:rsidR="00E2039A">
        <w:rPr>
          <w:rFonts w:eastAsiaTheme="minorEastAsia"/>
          <w:szCs w:val="24"/>
        </w:rPr>
        <w:t xml:space="preserve">. </w:t>
      </w:r>
      <w:r w:rsidR="00E2039A">
        <w:t>Respondents were asked to complete the survey</w:t>
      </w:r>
      <w:r w:rsidR="00D7168B">
        <w:t xml:space="preserve"> and provide </w:t>
      </w:r>
      <w:r w:rsidR="00A00393">
        <w:t xml:space="preserve">additional </w:t>
      </w:r>
      <w:r w:rsidR="00D7168B">
        <w:t xml:space="preserve">comments or suggestions regarding </w:t>
      </w:r>
      <w:r w:rsidR="00E2039A">
        <w:t>the clarity of survey questions</w:t>
      </w:r>
      <w:r w:rsidR="00D7168B">
        <w:t xml:space="preserve">.  As part of the NPRP JCS, they were also asked to provide time burden estimates for completing the survey. </w:t>
      </w:r>
      <w:r w:rsidR="00A00393">
        <w:t xml:space="preserve">We conducted a follow-up interview with them via phone, as needed, to clarify any issues or misinformation. </w:t>
      </w:r>
    </w:p>
    <w:p w14:paraId="10E8E933" w14:textId="1E24351F" w:rsidR="00005A6C" w:rsidRPr="00005A6C" w:rsidRDefault="00D769E4" w:rsidP="00B20C7E">
      <w:r>
        <w:rPr>
          <w:rFonts w:cs="Times New Roman"/>
          <w:szCs w:val="24"/>
        </w:rPr>
        <w:lastRenderedPageBreak/>
        <w:t>The estimated maximum time to complete the JCS</w:t>
      </w:r>
      <w:r w:rsidR="00012276">
        <w:rPr>
          <w:rFonts w:cs="Times New Roman"/>
          <w:szCs w:val="24"/>
        </w:rPr>
        <w:t xml:space="preserve"> (Tasks </w:t>
      </w:r>
      <w:r w:rsidR="00EC2F86">
        <w:rPr>
          <w:rFonts w:cs="Times New Roman"/>
          <w:szCs w:val="24"/>
        </w:rPr>
        <w:t>1</w:t>
      </w:r>
      <w:r w:rsidR="00012276">
        <w:rPr>
          <w:rFonts w:cs="Times New Roman"/>
          <w:szCs w:val="24"/>
        </w:rPr>
        <w:t xml:space="preserve"> and </w:t>
      </w:r>
      <w:r w:rsidR="00EC2F86">
        <w:rPr>
          <w:rFonts w:cs="Times New Roman"/>
          <w:szCs w:val="24"/>
        </w:rPr>
        <w:t>2</w:t>
      </w:r>
      <w:r w:rsidR="00012276">
        <w:rPr>
          <w:rFonts w:cs="Times New Roman"/>
          <w:szCs w:val="24"/>
        </w:rPr>
        <w:t>)</w:t>
      </w:r>
      <w:r>
        <w:rPr>
          <w:rFonts w:cs="Times New Roman"/>
          <w:szCs w:val="24"/>
        </w:rPr>
        <w:t xml:space="preserve"> </w:t>
      </w:r>
      <w:r w:rsidR="00012276">
        <w:rPr>
          <w:rFonts w:cs="Times New Roman"/>
          <w:szCs w:val="24"/>
        </w:rPr>
        <w:t xml:space="preserve">and survey debriefing (Task </w:t>
      </w:r>
      <w:r w:rsidR="00EC2F86">
        <w:rPr>
          <w:rFonts w:cs="Times New Roman"/>
          <w:szCs w:val="24"/>
        </w:rPr>
        <w:t>3</w:t>
      </w:r>
      <w:r w:rsidR="00012276">
        <w:rPr>
          <w:rFonts w:cs="Times New Roman"/>
          <w:szCs w:val="24"/>
        </w:rPr>
        <w:t xml:space="preserve">) </w:t>
      </w:r>
      <w:r w:rsidR="005D6F03">
        <w:rPr>
          <w:rFonts w:cs="Times New Roman"/>
          <w:szCs w:val="24"/>
        </w:rPr>
        <w:t xml:space="preserve">across all </w:t>
      </w:r>
      <w:r w:rsidR="00423B51">
        <w:rPr>
          <w:rFonts w:cs="Times New Roman"/>
          <w:szCs w:val="24"/>
        </w:rPr>
        <w:t xml:space="preserve">respondents in all </w:t>
      </w:r>
      <w:r w:rsidR="005D6F03">
        <w:rPr>
          <w:rFonts w:cs="Times New Roman"/>
          <w:szCs w:val="24"/>
        </w:rPr>
        <w:t xml:space="preserve">jurisdictions participating the survey </w:t>
      </w:r>
      <w:r>
        <w:rPr>
          <w:rFonts w:cs="Times New Roman"/>
          <w:szCs w:val="24"/>
        </w:rPr>
        <w:t>is</w:t>
      </w:r>
      <w:r w:rsidR="00E63452">
        <w:rPr>
          <w:rFonts w:cs="Times New Roman"/>
          <w:szCs w:val="24"/>
        </w:rPr>
        <w:t xml:space="preserve"> 1,</w:t>
      </w:r>
      <w:r w:rsidR="00905AE2">
        <w:rPr>
          <w:rFonts w:cs="Times New Roman"/>
          <w:szCs w:val="24"/>
        </w:rPr>
        <w:t xml:space="preserve">050 </w:t>
      </w:r>
      <w:r>
        <w:rPr>
          <w:rFonts w:cs="Times New Roman"/>
          <w:szCs w:val="24"/>
        </w:rPr>
        <w:t xml:space="preserve">hours. The burden hour estimates are divided across </w:t>
      </w:r>
      <w:r w:rsidR="00012276">
        <w:rPr>
          <w:rFonts w:cs="Times New Roman"/>
          <w:szCs w:val="24"/>
        </w:rPr>
        <w:t xml:space="preserve">the </w:t>
      </w:r>
      <w:r>
        <w:rPr>
          <w:rFonts w:cs="Times New Roman"/>
          <w:szCs w:val="24"/>
        </w:rPr>
        <w:t>three tasks</w:t>
      </w:r>
      <w:r w:rsidR="00012276">
        <w:rPr>
          <w:rFonts w:cs="Times New Roman"/>
          <w:szCs w:val="24"/>
        </w:rPr>
        <w:t>,</w:t>
      </w:r>
      <w:r>
        <w:rPr>
          <w:rFonts w:cs="Times New Roman"/>
          <w:szCs w:val="24"/>
        </w:rPr>
        <w:t xml:space="preserve"> including identification of points of contact (</w:t>
      </w:r>
      <w:r w:rsidR="00E63452">
        <w:rPr>
          <w:rFonts w:cs="Times New Roman"/>
          <w:szCs w:val="24"/>
        </w:rPr>
        <w:t>75</w:t>
      </w:r>
      <w:r>
        <w:rPr>
          <w:rFonts w:cs="Times New Roman"/>
          <w:szCs w:val="24"/>
        </w:rPr>
        <w:t xml:space="preserve"> hours), </w:t>
      </w:r>
      <w:r w:rsidR="00012276">
        <w:rPr>
          <w:rFonts w:cs="Times New Roman"/>
          <w:szCs w:val="24"/>
        </w:rPr>
        <w:t xml:space="preserve">survey data collection </w:t>
      </w:r>
      <w:r>
        <w:rPr>
          <w:rFonts w:cs="Times New Roman"/>
          <w:szCs w:val="24"/>
        </w:rPr>
        <w:t>(</w:t>
      </w:r>
      <w:r w:rsidR="0056130B">
        <w:rPr>
          <w:rFonts w:cs="Times New Roman"/>
          <w:szCs w:val="24"/>
        </w:rPr>
        <w:t>900</w:t>
      </w:r>
      <w:r>
        <w:rPr>
          <w:rFonts w:cs="Times New Roman"/>
          <w:szCs w:val="24"/>
        </w:rPr>
        <w:t xml:space="preserve"> hours), and </w:t>
      </w:r>
      <w:r w:rsidR="00012276">
        <w:rPr>
          <w:rFonts w:cs="Times New Roman"/>
          <w:szCs w:val="24"/>
        </w:rPr>
        <w:t xml:space="preserve">survey debriefing </w:t>
      </w:r>
      <w:r>
        <w:rPr>
          <w:rFonts w:cs="Times New Roman"/>
          <w:szCs w:val="24"/>
        </w:rPr>
        <w:t>(</w:t>
      </w:r>
      <w:r w:rsidR="0056130B">
        <w:rPr>
          <w:rFonts w:cs="Times New Roman"/>
          <w:szCs w:val="24"/>
        </w:rPr>
        <w:t>75</w:t>
      </w:r>
      <w:r>
        <w:rPr>
          <w:rFonts w:cs="Times New Roman"/>
          <w:szCs w:val="24"/>
        </w:rPr>
        <w:t xml:space="preserve"> hours). The burden hour estimates are based on </w:t>
      </w:r>
      <w:r w:rsidR="00A81520">
        <w:rPr>
          <w:rFonts w:cs="Times New Roman"/>
          <w:szCs w:val="24"/>
        </w:rPr>
        <w:t xml:space="preserve">the pilot-testing results, </w:t>
      </w:r>
      <w:r w:rsidR="00BA0004">
        <w:rPr>
          <w:rFonts w:cs="Times New Roman"/>
          <w:szCs w:val="24"/>
        </w:rPr>
        <w:t xml:space="preserve">feedback from </w:t>
      </w:r>
      <w:r w:rsidR="00E63452">
        <w:rPr>
          <w:rFonts w:cs="Times New Roman"/>
          <w:szCs w:val="24"/>
        </w:rPr>
        <w:t>the NIC’s Pretrial Executives Network</w:t>
      </w:r>
      <w:r w:rsidR="00905AE2">
        <w:rPr>
          <w:rFonts w:cs="Times New Roman"/>
          <w:szCs w:val="24"/>
        </w:rPr>
        <w:t xml:space="preserve">, and </w:t>
      </w:r>
      <w:r w:rsidR="00A81520">
        <w:rPr>
          <w:rFonts w:cs="Times New Roman"/>
          <w:szCs w:val="24"/>
        </w:rPr>
        <w:t xml:space="preserve">prior experience collecting similar nationwide data. </w:t>
      </w:r>
      <w:r w:rsidR="005D6F03">
        <w:rPr>
          <w:rFonts w:cs="Times New Roman"/>
          <w:szCs w:val="24"/>
        </w:rPr>
        <w:t xml:space="preserve">Table </w:t>
      </w:r>
      <w:r w:rsidR="008B3C1A">
        <w:rPr>
          <w:rFonts w:cs="Times New Roman"/>
          <w:szCs w:val="24"/>
        </w:rPr>
        <w:t>3</w:t>
      </w:r>
      <w:r w:rsidR="005D6F03">
        <w:rPr>
          <w:rFonts w:cs="Times New Roman"/>
          <w:szCs w:val="24"/>
        </w:rPr>
        <w:t xml:space="preserve"> summarizes the expected burden estimates</w:t>
      </w:r>
      <w:r w:rsidR="00E64DB7">
        <w:rPr>
          <w:rFonts w:cs="Times New Roman"/>
          <w:szCs w:val="24"/>
        </w:rPr>
        <w:t xml:space="preserve">. </w:t>
      </w:r>
    </w:p>
    <w:p w14:paraId="5247131B" w14:textId="36624CBD" w:rsidR="00E63452" w:rsidRDefault="00E63452" w:rsidP="00E63452">
      <w:pPr>
        <w:spacing w:after="0"/>
        <w:rPr>
          <w:rFonts w:cs="Times New Roman"/>
          <w:szCs w:val="24"/>
        </w:rPr>
      </w:pPr>
      <w:r>
        <w:rPr>
          <w:rFonts w:cs="Times New Roman"/>
          <w:szCs w:val="24"/>
        </w:rPr>
        <w:t xml:space="preserve">Table </w:t>
      </w:r>
      <w:r w:rsidR="008B3C1A">
        <w:rPr>
          <w:rFonts w:cs="Times New Roman"/>
          <w:szCs w:val="24"/>
        </w:rPr>
        <w:t>3</w:t>
      </w:r>
      <w:r>
        <w:rPr>
          <w:rFonts w:cs="Times New Roman"/>
          <w:szCs w:val="24"/>
        </w:rPr>
        <w:t>. Expected Burden to Provide NPRP JCS Data</w:t>
      </w:r>
    </w:p>
    <w:tbl>
      <w:tblPr>
        <w:tblStyle w:val="ListTable31"/>
        <w:tblW w:w="9530" w:type="dxa"/>
        <w:tblLook w:val="04A0" w:firstRow="1" w:lastRow="0" w:firstColumn="1" w:lastColumn="0" w:noHBand="0" w:noVBand="1"/>
      </w:tblPr>
      <w:tblGrid>
        <w:gridCol w:w="3340"/>
        <w:gridCol w:w="2098"/>
        <w:gridCol w:w="4092"/>
      </w:tblGrid>
      <w:tr w:rsidR="00E63452" w:rsidRPr="00E63452" w14:paraId="380C715E" w14:textId="77777777" w:rsidTr="00383AB5">
        <w:trPr>
          <w:cnfStyle w:val="100000000000" w:firstRow="1" w:lastRow="0" w:firstColumn="0" w:lastColumn="0" w:oddVBand="0" w:evenVBand="0" w:oddHBand="0" w:evenHBand="0" w:firstRowFirstColumn="0" w:firstRowLastColumn="0" w:lastRowFirstColumn="0" w:lastRowLastColumn="0"/>
          <w:trHeight w:val="605"/>
        </w:trPr>
        <w:tc>
          <w:tcPr>
            <w:cnfStyle w:val="001000000100" w:firstRow="0" w:lastRow="0" w:firstColumn="1" w:lastColumn="0" w:oddVBand="0" w:evenVBand="0" w:oddHBand="0" w:evenHBand="0" w:firstRowFirstColumn="1" w:firstRowLastColumn="0" w:lastRowFirstColumn="0" w:lastRowLastColumn="0"/>
            <w:tcW w:w="3340" w:type="dxa"/>
            <w:vAlign w:val="center"/>
            <w:hideMark/>
          </w:tcPr>
          <w:p w14:paraId="0BB4DAE3" w14:textId="782F8B91" w:rsidR="00D769E4" w:rsidRPr="00E63452" w:rsidRDefault="00012276" w:rsidP="00383AB5">
            <w:pPr>
              <w:jc w:val="right"/>
            </w:pPr>
            <w:r w:rsidRPr="00E63452">
              <w:t>Tasks</w:t>
            </w:r>
          </w:p>
        </w:tc>
        <w:tc>
          <w:tcPr>
            <w:tcW w:w="2098" w:type="dxa"/>
            <w:vAlign w:val="center"/>
            <w:hideMark/>
          </w:tcPr>
          <w:p w14:paraId="343DF568" w14:textId="36A94740" w:rsidR="00D769E4" w:rsidRPr="00E63452" w:rsidRDefault="00D769E4" w:rsidP="00423B51">
            <w:pPr>
              <w:jc w:val="right"/>
              <w:cnfStyle w:val="100000000000" w:firstRow="1" w:lastRow="0" w:firstColumn="0" w:lastColumn="0" w:oddVBand="0" w:evenVBand="0" w:oddHBand="0" w:evenHBand="0" w:firstRowFirstColumn="0" w:firstRowLastColumn="0" w:lastRowFirstColumn="0" w:lastRowLastColumn="0"/>
            </w:pPr>
            <w:r w:rsidRPr="00E63452">
              <w:t xml:space="preserve">Average burden per </w:t>
            </w:r>
            <w:r w:rsidR="00423B51">
              <w:t>respondents</w:t>
            </w:r>
          </w:p>
        </w:tc>
        <w:tc>
          <w:tcPr>
            <w:tcW w:w="4092" w:type="dxa"/>
            <w:tcBorders>
              <w:bottom w:val="single" w:sz="4" w:space="0" w:color="000000" w:themeColor="text1"/>
            </w:tcBorders>
            <w:vAlign w:val="center"/>
            <w:hideMark/>
          </w:tcPr>
          <w:p w14:paraId="47FC6070" w14:textId="77777777" w:rsidR="00D769E4" w:rsidRPr="00E63452" w:rsidRDefault="00D769E4" w:rsidP="00383AB5">
            <w:pPr>
              <w:jc w:val="right"/>
              <w:cnfStyle w:val="100000000000" w:firstRow="1" w:lastRow="0" w:firstColumn="0" w:lastColumn="0" w:oddVBand="0" w:evenVBand="0" w:oddHBand="0" w:evenHBand="0" w:firstRowFirstColumn="0" w:firstRowLastColumn="0" w:lastRowFirstColumn="0" w:lastRowLastColumn="0"/>
            </w:pPr>
            <w:r w:rsidRPr="00E63452">
              <w:t>Total estimated burden hours</w:t>
            </w:r>
          </w:p>
        </w:tc>
      </w:tr>
      <w:tr w:rsidR="00D769E4" w:rsidRPr="00E63452" w14:paraId="398E887D" w14:textId="77777777" w:rsidTr="00383AB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340" w:type="dxa"/>
            <w:vAlign w:val="center"/>
            <w:hideMark/>
          </w:tcPr>
          <w:p w14:paraId="50660454" w14:textId="77777777" w:rsidR="00D769E4" w:rsidRPr="0067447D" w:rsidRDefault="00D769E4" w:rsidP="00383AB5">
            <w:pPr>
              <w:jc w:val="right"/>
              <w:rPr>
                <w:b w:val="0"/>
              </w:rPr>
            </w:pPr>
            <w:r w:rsidRPr="0067447D">
              <w:rPr>
                <w:b w:val="0"/>
              </w:rPr>
              <w:t>Identifying points of contact to complete survey instrument</w:t>
            </w:r>
          </w:p>
        </w:tc>
        <w:tc>
          <w:tcPr>
            <w:tcW w:w="2098" w:type="dxa"/>
            <w:vAlign w:val="center"/>
            <w:hideMark/>
          </w:tcPr>
          <w:p w14:paraId="74C0FAE8" w14:textId="530A40D8" w:rsidR="00D769E4" w:rsidRPr="0067447D" w:rsidRDefault="00012276" w:rsidP="00383AB5">
            <w:pPr>
              <w:jc w:val="right"/>
              <w:cnfStyle w:val="000000100000" w:firstRow="0" w:lastRow="0" w:firstColumn="0" w:lastColumn="0" w:oddVBand="0" w:evenVBand="0" w:oddHBand="1" w:evenHBand="0" w:firstRowFirstColumn="0" w:firstRowLastColumn="0" w:lastRowFirstColumn="0" w:lastRowLastColumn="0"/>
            </w:pPr>
            <w:r w:rsidRPr="0067447D">
              <w:t>1</w:t>
            </w:r>
            <w:r w:rsidR="00D769E4" w:rsidRPr="0067447D">
              <w:t xml:space="preserve"> hour</w:t>
            </w:r>
          </w:p>
        </w:tc>
        <w:tc>
          <w:tcPr>
            <w:tcW w:w="4092" w:type="dxa"/>
            <w:tcBorders>
              <w:right w:val="single" w:sz="4" w:space="0" w:color="auto"/>
            </w:tcBorders>
            <w:vAlign w:val="center"/>
          </w:tcPr>
          <w:p w14:paraId="2A6681CE" w14:textId="2E5D6AD0" w:rsidR="00D769E4" w:rsidRPr="0067447D" w:rsidRDefault="00012276" w:rsidP="00423B51">
            <w:pPr>
              <w:jc w:val="right"/>
              <w:cnfStyle w:val="000000100000" w:firstRow="0" w:lastRow="0" w:firstColumn="0" w:lastColumn="0" w:oddVBand="0" w:evenVBand="0" w:oddHBand="1" w:evenHBand="0" w:firstRowFirstColumn="0" w:firstRowLastColumn="0" w:lastRowFirstColumn="0" w:lastRowLastColumn="0"/>
            </w:pPr>
            <w:r w:rsidRPr="0067447D">
              <w:t xml:space="preserve">1 hour x 75 </w:t>
            </w:r>
            <w:r w:rsidR="00423B51">
              <w:t>respondents</w:t>
            </w:r>
            <w:r w:rsidRPr="0067447D">
              <w:t xml:space="preserve"> = 75</w:t>
            </w:r>
          </w:p>
        </w:tc>
      </w:tr>
      <w:tr w:rsidR="00D769E4" w:rsidRPr="00E63452" w14:paraId="31810AFE" w14:textId="77777777" w:rsidTr="00383AB5">
        <w:trPr>
          <w:trHeight w:val="605"/>
        </w:trPr>
        <w:tc>
          <w:tcPr>
            <w:cnfStyle w:val="001000000000" w:firstRow="0" w:lastRow="0" w:firstColumn="1" w:lastColumn="0" w:oddVBand="0" w:evenVBand="0" w:oddHBand="0" w:evenHBand="0" w:firstRowFirstColumn="0" w:firstRowLastColumn="0" w:lastRowFirstColumn="0" w:lastRowLastColumn="0"/>
            <w:tcW w:w="3340" w:type="dxa"/>
            <w:vAlign w:val="center"/>
            <w:hideMark/>
          </w:tcPr>
          <w:p w14:paraId="2C16F648" w14:textId="77777777" w:rsidR="00D769E4" w:rsidRPr="0067447D" w:rsidRDefault="00012276" w:rsidP="00383AB5">
            <w:pPr>
              <w:jc w:val="right"/>
              <w:rPr>
                <w:b w:val="0"/>
              </w:rPr>
            </w:pPr>
            <w:r w:rsidRPr="0067447D">
              <w:rPr>
                <w:b w:val="0"/>
              </w:rPr>
              <w:t>Survey data collection</w:t>
            </w:r>
          </w:p>
        </w:tc>
        <w:tc>
          <w:tcPr>
            <w:tcW w:w="2098" w:type="dxa"/>
            <w:vAlign w:val="center"/>
            <w:hideMark/>
          </w:tcPr>
          <w:p w14:paraId="07F2FDF4" w14:textId="19C10D34" w:rsidR="00D769E4" w:rsidRPr="0067447D" w:rsidRDefault="00423B51" w:rsidP="00383AB5">
            <w:pPr>
              <w:jc w:val="right"/>
              <w:cnfStyle w:val="000000000000" w:firstRow="0" w:lastRow="0" w:firstColumn="0" w:lastColumn="0" w:oddVBand="0" w:evenVBand="0" w:oddHBand="0" w:evenHBand="0" w:firstRowFirstColumn="0" w:firstRowLastColumn="0" w:lastRowFirstColumn="0" w:lastRowLastColumn="0"/>
            </w:pPr>
            <w:r>
              <w:t>4</w:t>
            </w:r>
            <w:r w:rsidR="00012276" w:rsidRPr="0067447D">
              <w:t xml:space="preserve"> hours</w:t>
            </w:r>
          </w:p>
        </w:tc>
        <w:tc>
          <w:tcPr>
            <w:tcW w:w="4092" w:type="dxa"/>
            <w:tcBorders>
              <w:right w:val="single" w:sz="4" w:space="0" w:color="auto"/>
            </w:tcBorders>
            <w:vAlign w:val="center"/>
          </w:tcPr>
          <w:p w14:paraId="10052C4C" w14:textId="2087C84E" w:rsidR="00D769E4" w:rsidRPr="0067447D" w:rsidRDefault="00423B51" w:rsidP="00423B51">
            <w:pPr>
              <w:jc w:val="right"/>
              <w:cnfStyle w:val="000000000000" w:firstRow="0" w:lastRow="0" w:firstColumn="0" w:lastColumn="0" w:oddVBand="0" w:evenVBand="0" w:oddHBand="0" w:evenHBand="0" w:firstRowFirstColumn="0" w:firstRowLastColumn="0" w:lastRowFirstColumn="0" w:lastRowLastColumn="0"/>
            </w:pPr>
            <w:r>
              <w:t>4 hours x 22</w:t>
            </w:r>
            <w:r w:rsidR="00012276" w:rsidRPr="0067447D">
              <w:t xml:space="preserve">5 </w:t>
            </w:r>
            <w:r>
              <w:t>respondents</w:t>
            </w:r>
            <w:r w:rsidR="00012276" w:rsidRPr="0067447D">
              <w:t xml:space="preserve"> = </w:t>
            </w:r>
            <w:r w:rsidR="00A00393">
              <w:t>900</w:t>
            </w:r>
          </w:p>
        </w:tc>
      </w:tr>
      <w:tr w:rsidR="00D769E4" w:rsidRPr="00E63452" w14:paraId="2B47E1CF" w14:textId="77777777" w:rsidTr="00383AB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340" w:type="dxa"/>
            <w:vAlign w:val="center"/>
            <w:hideMark/>
          </w:tcPr>
          <w:p w14:paraId="3E8F92A2" w14:textId="390A935E" w:rsidR="00D769E4" w:rsidRPr="0067447D" w:rsidRDefault="00012276" w:rsidP="00383AB5">
            <w:pPr>
              <w:jc w:val="right"/>
              <w:rPr>
                <w:b w:val="0"/>
              </w:rPr>
            </w:pPr>
            <w:r w:rsidRPr="0067447D">
              <w:rPr>
                <w:b w:val="0"/>
              </w:rPr>
              <w:t>Survey debriefing</w:t>
            </w:r>
          </w:p>
        </w:tc>
        <w:tc>
          <w:tcPr>
            <w:tcW w:w="2098" w:type="dxa"/>
            <w:vAlign w:val="center"/>
            <w:hideMark/>
          </w:tcPr>
          <w:p w14:paraId="24F91AF5" w14:textId="77777777" w:rsidR="00D769E4" w:rsidRPr="0067447D" w:rsidRDefault="00D769E4" w:rsidP="00383AB5">
            <w:pPr>
              <w:jc w:val="right"/>
              <w:cnfStyle w:val="000000100000" w:firstRow="0" w:lastRow="0" w:firstColumn="0" w:lastColumn="0" w:oddVBand="0" w:evenVBand="0" w:oddHBand="1" w:evenHBand="0" w:firstRowFirstColumn="0" w:firstRowLastColumn="0" w:lastRowFirstColumn="0" w:lastRowLastColumn="0"/>
            </w:pPr>
            <w:r w:rsidRPr="0067447D">
              <w:t>1 hour</w:t>
            </w:r>
          </w:p>
        </w:tc>
        <w:tc>
          <w:tcPr>
            <w:tcW w:w="4092" w:type="dxa"/>
            <w:tcBorders>
              <w:right w:val="single" w:sz="4" w:space="0" w:color="auto"/>
            </w:tcBorders>
            <w:vAlign w:val="center"/>
          </w:tcPr>
          <w:p w14:paraId="038BF523" w14:textId="710A1E72" w:rsidR="00D769E4" w:rsidRPr="0067447D" w:rsidRDefault="00012276" w:rsidP="00423B51">
            <w:pPr>
              <w:jc w:val="right"/>
              <w:cnfStyle w:val="000000100000" w:firstRow="0" w:lastRow="0" w:firstColumn="0" w:lastColumn="0" w:oddVBand="0" w:evenVBand="0" w:oddHBand="1" w:evenHBand="0" w:firstRowFirstColumn="0" w:firstRowLastColumn="0" w:lastRowFirstColumn="0" w:lastRowLastColumn="0"/>
            </w:pPr>
            <w:r w:rsidRPr="0067447D">
              <w:t xml:space="preserve">1 hour x </w:t>
            </w:r>
            <w:r w:rsidR="0056130B">
              <w:t>75</w:t>
            </w:r>
            <w:r w:rsidRPr="0067447D">
              <w:t xml:space="preserve"> </w:t>
            </w:r>
            <w:r w:rsidR="00423B51">
              <w:t>respondents</w:t>
            </w:r>
            <w:r w:rsidRPr="0067447D">
              <w:t xml:space="preserve"> = </w:t>
            </w:r>
            <w:r w:rsidR="0056130B">
              <w:t>75</w:t>
            </w:r>
          </w:p>
        </w:tc>
      </w:tr>
      <w:tr w:rsidR="00D769E4" w:rsidRPr="00E63452" w14:paraId="669CB4B6" w14:textId="77777777" w:rsidTr="00383AB5">
        <w:trPr>
          <w:trHeight w:val="605"/>
        </w:trPr>
        <w:tc>
          <w:tcPr>
            <w:cnfStyle w:val="001000000000" w:firstRow="0" w:lastRow="0" w:firstColumn="1" w:lastColumn="0" w:oddVBand="0" w:evenVBand="0" w:oddHBand="0" w:evenHBand="0" w:firstRowFirstColumn="0" w:firstRowLastColumn="0" w:lastRowFirstColumn="0" w:lastRowLastColumn="0"/>
            <w:tcW w:w="9530" w:type="dxa"/>
            <w:gridSpan w:val="3"/>
            <w:tcBorders>
              <w:bottom w:val="single" w:sz="4" w:space="0" w:color="000000" w:themeColor="text1"/>
              <w:right w:val="single" w:sz="4" w:space="0" w:color="auto"/>
            </w:tcBorders>
            <w:vAlign w:val="center"/>
          </w:tcPr>
          <w:p w14:paraId="7FAE8E79" w14:textId="54EA3D6B" w:rsidR="00D769E4" w:rsidRPr="0067447D" w:rsidRDefault="00D769E4" w:rsidP="00383AB5">
            <w:pPr>
              <w:jc w:val="right"/>
              <w:rPr>
                <w:b w:val="0"/>
              </w:rPr>
            </w:pPr>
            <w:r w:rsidRPr="0067447D">
              <w:rPr>
                <w:b w:val="0"/>
              </w:rPr>
              <w:t xml:space="preserve">Total Respondent Burden = </w:t>
            </w:r>
            <w:r w:rsidR="0056130B">
              <w:rPr>
                <w:b w:val="0"/>
              </w:rPr>
              <w:t>1,050</w:t>
            </w:r>
            <w:r w:rsidRPr="0067447D">
              <w:rPr>
                <w:b w:val="0"/>
              </w:rPr>
              <w:t xml:space="preserve"> hours</w:t>
            </w:r>
          </w:p>
        </w:tc>
      </w:tr>
    </w:tbl>
    <w:p w14:paraId="5377DCF7" w14:textId="77777777" w:rsidR="00D769E4" w:rsidRDefault="00BA0004" w:rsidP="00BA0004">
      <w:pPr>
        <w:pStyle w:val="Heading1"/>
      </w:pPr>
      <w:r>
        <w:t xml:space="preserve">Human Subjects Research applicability </w:t>
      </w:r>
    </w:p>
    <w:p w14:paraId="3864C47A" w14:textId="11B536EC" w:rsidR="00D769E4" w:rsidRDefault="00BA0004" w:rsidP="001C4CEC">
      <w:pPr>
        <w:rPr>
          <w:szCs w:val="24"/>
        </w:rPr>
      </w:pPr>
      <w:r w:rsidRPr="00BA0004">
        <w:t>§45 CFR 46.10</w:t>
      </w:r>
      <w:r w:rsidR="001C4CEC">
        <w:t xml:space="preserve">2 defines a human subject as a living individual </w:t>
      </w:r>
      <w:r w:rsidRPr="00BA0004">
        <w:t xml:space="preserve">about whom </w:t>
      </w:r>
      <w:r w:rsidR="001C4CEC">
        <w:t xml:space="preserve">an investigator conducting research </w:t>
      </w:r>
      <w:r w:rsidRPr="00BA0004">
        <w:t>obtains data through intervention or interaction with an individual or with</w:t>
      </w:r>
      <w:r>
        <w:t xml:space="preserve"> </w:t>
      </w:r>
      <w:r w:rsidRPr="00BA0004">
        <w:t>his/her identifiable private information</w:t>
      </w:r>
      <w:r w:rsidR="001C4CEC">
        <w:t xml:space="preserve">. </w:t>
      </w:r>
      <w:r w:rsidR="00005A6C">
        <w:t>Since the</w:t>
      </w:r>
      <w:r w:rsidR="001C4CEC">
        <w:t xml:space="preserve"> JCS collects information about the operation of criminal justice agencies, not about criminal justice professionals or pretrial defendants as individual</w:t>
      </w:r>
      <w:r w:rsidR="00005A6C">
        <w:t>s</w:t>
      </w:r>
      <w:r w:rsidR="001C4CEC">
        <w:t xml:space="preserve">, the </w:t>
      </w:r>
      <w:r>
        <w:rPr>
          <w:szCs w:val="24"/>
        </w:rPr>
        <w:t xml:space="preserve">Urban Institute’s </w:t>
      </w:r>
      <w:r w:rsidR="00D769E4">
        <w:rPr>
          <w:szCs w:val="24"/>
        </w:rPr>
        <w:t>Institutional Review Board determined that the activities associated with data collection for this project are not considered human subjects research.</w:t>
      </w:r>
    </w:p>
    <w:p w14:paraId="778F17AF" w14:textId="77777777" w:rsidR="00126CC2" w:rsidRDefault="00126CC2">
      <w:pPr>
        <w:spacing w:line="276" w:lineRule="auto"/>
        <w:rPr>
          <w:rFonts w:eastAsiaTheme="majorEastAsia" w:cstheme="majorBidi"/>
          <w:b/>
          <w:bCs/>
          <w:caps/>
          <w:szCs w:val="28"/>
        </w:rPr>
      </w:pPr>
      <w:r>
        <w:br w:type="page"/>
      </w:r>
    </w:p>
    <w:p w14:paraId="3EBCD1EB" w14:textId="196CA1FD" w:rsidR="008817AA" w:rsidRPr="008817AA" w:rsidRDefault="008817AA" w:rsidP="008817AA">
      <w:pPr>
        <w:pStyle w:val="Heading1"/>
      </w:pPr>
      <w:r w:rsidRPr="008817AA">
        <w:lastRenderedPageBreak/>
        <w:t xml:space="preserve">CONTACT INFORMATION </w:t>
      </w:r>
    </w:p>
    <w:p w14:paraId="790179F0" w14:textId="40BC9948" w:rsidR="004D4192" w:rsidRDefault="004D4192" w:rsidP="004D4192">
      <w:pPr>
        <w:rPr>
          <w:rFonts w:cs="Times New Roman"/>
          <w:szCs w:val="24"/>
        </w:rPr>
      </w:pPr>
      <w:r>
        <w:rPr>
          <w:rFonts w:cs="Times New Roman"/>
          <w:szCs w:val="24"/>
        </w:rPr>
        <w:t xml:space="preserve">The contact </w:t>
      </w:r>
      <w:r w:rsidR="009B33DD">
        <w:rPr>
          <w:rFonts w:cs="Times New Roman"/>
          <w:szCs w:val="24"/>
        </w:rPr>
        <w:t>people</w:t>
      </w:r>
      <w:r>
        <w:rPr>
          <w:rFonts w:cs="Times New Roman"/>
          <w:szCs w:val="24"/>
        </w:rPr>
        <w:t xml:space="preserve"> for questions regarding data collection and aspects o</w:t>
      </w:r>
      <w:r w:rsidR="009B33DD">
        <w:rPr>
          <w:rFonts w:cs="Times New Roman"/>
          <w:szCs w:val="24"/>
        </w:rPr>
        <w:t>f the design of this research are</w:t>
      </w:r>
      <w:r>
        <w:rPr>
          <w:rFonts w:cs="Times New Roman"/>
          <w:szCs w:val="24"/>
        </w:rPr>
        <w:t xml:space="preserve"> listed below</w:t>
      </w:r>
      <w:r w:rsidR="00D6405B">
        <w:rPr>
          <w:rFonts w:cs="Times New Roman"/>
          <w:szCs w:val="24"/>
        </w:rPr>
        <w:t>:</w:t>
      </w:r>
      <w:r>
        <w:rPr>
          <w:rFonts w:cs="Times New Roman"/>
          <w:szCs w:val="24"/>
        </w:rPr>
        <w:t xml:space="preserve"> </w:t>
      </w:r>
    </w:p>
    <w:p w14:paraId="7E24F0CC" w14:textId="656008ED" w:rsidR="009B33DD" w:rsidRDefault="009B33DD" w:rsidP="009B33DD">
      <w:pPr>
        <w:spacing w:after="0"/>
        <w:rPr>
          <w:rFonts w:cs="Times New Roman"/>
          <w:szCs w:val="24"/>
        </w:rPr>
      </w:pPr>
      <w:r>
        <w:rPr>
          <w:rFonts w:cs="Times New Roman"/>
          <w:szCs w:val="24"/>
        </w:rPr>
        <w:tab/>
        <w:t>Howard Snyder, Ph.D.</w:t>
      </w:r>
    </w:p>
    <w:p w14:paraId="7ABC8A17" w14:textId="1F160215" w:rsidR="009B33DD" w:rsidRDefault="009B33DD" w:rsidP="009B33DD">
      <w:pPr>
        <w:spacing w:after="0"/>
        <w:rPr>
          <w:rFonts w:cs="Times New Roman"/>
          <w:szCs w:val="24"/>
        </w:rPr>
      </w:pPr>
      <w:r>
        <w:rPr>
          <w:rFonts w:cs="Times New Roman"/>
          <w:szCs w:val="24"/>
        </w:rPr>
        <w:tab/>
        <w:t>Deputy Director</w:t>
      </w:r>
    </w:p>
    <w:p w14:paraId="443ACEA2" w14:textId="2F87F3E1" w:rsidR="009B33DD" w:rsidRDefault="009B33DD" w:rsidP="009B33DD">
      <w:pPr>
        <w:spacing w:after="0"/>
        <w:rPr>
          <w:rFonts w:cs="Times New Roman"/>
          <w:szCs w:val="24"/>
        </w:rPr>
      </w:pPr>
      <w:r>
        <w:rPr>
          <w:rFonts w:cs="Times New Roman"/>
          <w:szCs w:val="24"/>
        </w:rPr>
        <w:tab/>
        <w:t>Bureau of Justice Statistics</w:t>
      </w:r>
    </w:p>
    <w:p w14:paraId="7211CA39" w14:textId="57AF0702" w:rsidR="009B33DD" w:rsidRDefault="009B33DD" w:rsidP="009B33DD">
      <w:pPr>
        <w:spacing w:after="0"/>
        <w:rPr>
          <w:rFonts w:cs="Times New Roman"/>
          <w:szCs w:val="24"/>
        </w:rPr>
      </w:pPr>
      <w:r>
        <w:rPr>
          <w:rFonts w:cs="Times New Roman"/>
          <w:szCs w:val="24"/>
        </w:rPr>
        <w:tab/>
        <w:t>U.S. Department of Justice</w:t>
      </w:r>
    </w:p>
    <w:p w14:paraId="5FE10CA5" w14:textId="3C67353D" w:rsidR="009B33DD" w:rsidRDefault="009B33DD" w:rsidP="009B33DD">
      <w:pPr>
        <w:spacing w:after="0"/>
        <w:rPr>
          <w:rFonts w:cs="Times New Roman"/>
          <w:szCs w:val="24"/>
        </w:rPr>
      </w:pPr>
      <w:r>
        <w:rPr>
          <w:rFonts w:cs="Times New Roman"/>
          <w:szCs w:val="24"/>
        </w:rPr>
        <w:tab/>
        <w:t>810 7</w:t>
      </w:r>
      <w:r w:rsidRPr="009B33DD">
        <w:rPr>
          <w:rFonts w:cs="Times New Roman"/>
          <w:szCs w:val="24"/>
          <w:vertAlign w:val="superscript"/>
        </w:rPr>
        <w:t>th</w:t>
      </w:r>
      <w:r>
        <w:rPr>
          <w:rFonts w:cs="Times New Roman"/>
          <w:szCs w:val="24"/>
        </w:rPr>
        <w:t xml:space="preserve"> Street NW, Room 2326</w:t>
      </w:r>
    </w:p>
    <w:p w14:paraId="382D4971" w14:textId="5EE4CE57" w:rsidR="009B33DD" w:rsidRDefault="009B33DD" w:rsidP="009B33DD">
      <w:pPr>
        <w:spacing w:after="0"/>
        <w:rPr>
          <w:rFonts w:cs="Times New Roman"/>
          <w:szCs w:val="24"/>
        </w:rPr>
      </w:pPr>
      <w:r>
        <w:rPr>
          <w:rFonts w:cs="Times New Roman"/>
          <w:szCs w:val="24"/>
        </w:rPr>
        <w:tab/>
        <w:t>Washington, DC 20531</w:t>
      </w:r>
    </w:p>
    <w:p w14:paraId="600FF2DC" w14:textId="7AFBF0B1" w:rsidR="009B33DD" w:rsidRDefault="009B33DD" w:rsidP="009B33DD">
      <w:pPr>
        <w:spacing w:after="0"/>
        <w:rPr>
          <w:rFonts w:cs="Times New Roman"/>
          <w:szCs w:val="24"/>
        </w:rPr>
      </w:pPr>
      <w:r>
        <w:rPr>
          <w:rFonts w:cs="Times New Roman"/>
          <w:szCs w:val="24"/>
        </w:rPr>
        <w:tab/>
        <w:t>Office Phone: (202) 616-8305</w:t>
      </w:r>
    </w:p>
    <w:p w14:paraId="6FBE84DC" w14:textId="759BCD67" w:rsidR="009B33DD" w:rsidRDefault="009B33DD" w:rsidP="009B33DD">
      <w:pPr>
        <w:spacing w:after="0"/>
        <w:rPr>
          <w:rFonts w:cs="Times New Roman"/>
          <w:szCs w:val="24"/>
        </w:rPr>
      </w:pPr>
      <w:r>
        <w:rPr>
          <w:rFonts w:cs="Times New Roman"/>
          <w:szCs w:val="24"/>
        </w:rPr>
        <w:tab/>
        <w:t>E-Mail: Howard.Snyder@usdoj.gov</w:t>
      </w:r>
    </w:p>
    <w:p w14:paraId="2E0A917D" w14:textId="77777777" w:rsidR="009B33DD" w:rsidRDefault="009B33DD" w:rsidP="009B33DD">
      <w:pPr>
        <w:spacing w:after="0"/>
        <w:rPr>
          <w:rFonts w:cs="Times New Roman"/>
          <w:szCs w:val="24"/>
        </w:rPr>
      </w:pPr>
    </w:p>
    <w:p w14:paraId="203D67CE" w14:textId="77777777" w:rsidR="004D4192" w:rsidRPr="005F3139" w:rsidRDefault="002B4BC9" w:rsidP="00D6405B">
      <w:pPr>
        <w:pStyle w:val="NoSpacing"/>
        <w:ind w:left="720"/>
      </w:pPr>
      <w:r w:rsidRPr="005F3139">
        <w:t>Tracey Kyckelhahn, Ph.D.</w:t>
      </w:r>
      <w:r w:rsidRPr="005F3139">
        <w:br/>
        <w:t>Statistician</w:t>
      </w:r>
      <w:r w:rsidRPr="005F3139">
        <w:br/>
        <w:t>Bureau of Justice Statistics</w:t>
      </w:r>
      <w:r w:rsidRPr="005F3139">
        <w:br/>
        <w:t>U.S. Department of Justice</w:t>
      </w:r>
      <w:r w:rsidRPr="005F3139">
        <w:br/>
        <w:t>810 7th Street NW, Room 2401</w:t>
      </w:r>
      <w:r w:rsidRPr="005F3139">
        <w:br/>
        <w:t>Washington, DC 20531</w:t>
      </w:r>
    </w:p>
    <w:p w14:paraId="247BB78A" w14:textId="355B410F" w:rsidR="002B4BC9" w:rsidRPr="005F3139" w:rsidRDefault="004D4192" w:rsidP="00D6405B">
      <w:pPr>
        <w:pStyle w:val="NoSpacing"/>
        <w:ind w:left="720"/>
      </w:pPr>
      <w:r w:rsidRPr="005F3139">
        <w:t xml:space="preserve">Office </w:t>
      </w:r>
      <w:r w:rsidRPr="00A64E26">
        <w:t xml:space="preserve">Phone: </w:t>
      </w:r>
      <w:r w:rsidR="00A64E26" w:rsidRPr="00A64E26">
        <w:t>(202) 353-7381</w:t>
      </w:r>
    </w:p>
    <w:p w14:paraId="70C84CFF" w14:textId="393CE1B4" w:rsidR="004D4192" w:rsidRPr="005F3139" w:rsidRDefault="004D4192" w:rsidP="00D6405B">
      <w:pPr>
        <w:pStyle w:val="NoSpacing"/>
        <w:ind w:left="720"/>
      </w:pPr>
      <w:r w:rsidRPr="005F3139">
        <w:t xml:space="preserve">E-Mail: </w:t>
      </w:r>
      <w:r w:rsidR="002B4BC9" w:rsidRPr="005F3139">
        <w:t>Tracey.Kyckelhahn@usdoj.gov</w:t>
      </w:r>
    </w:p>
    <w:p w14:paraId="438E85E3" w14:textId="77777777" w:rsidR="008817AA" w:rsidRDefault="008817AA">
      <w:pPr>
        <w:spacing w:line="276" w:lineRule="auto"/>
      </w:pPr>
    </w:p>
    <w:p w14:paraId="59BF3A23" w14:textId="77777777" w:rsidR="00CA66BC" w:rsidRDefault="00CA66BC">
      <w:pPr>
        <w:spacing w:line="276" w:lineRule="auto"/>
      </w:pPr>
    </w:p>
    <w:p w14:paraId="182624B6" w14:textId="77777777" w:rsidR="00CA66BC" w:rsidRDefault="00CA66BC">
      <w:pPr>
        <w:spacing w:line="276" w:lineRule="auto"/>
      </w:pPr>
    </w:p>
    <w:p w14:paraId="0A5B2559" w14:textId="77777777" w:rsidR="00CA66BC" w:rsidRDefault="00CA66BC">
      <w:pPr>
        <w:spacing w:line="276" w:lineRule="auto"/>
      </w:pPr>
    </w:p>
    <w:p w14:paraId="06B7F1AD" w14:textId="77777777" w:rsidR="00CA66BC" w:rsidRDefault="00CA66BC" w:rsidP="00CA66BC">
      <w:pPr>
        <w:spacing w:after="0"/>
        <w:rPr>
          <w:rFonts w:cs="Times New Roman"/>
          <w:b/>
        </w:rPr>
      </w:pPr>
      <w:r w:rsidRPr="00CA66BC">
        <w:rPr>
          <w:rFonts w:cs="Times New Roman"/>
          <w:b/>
        </w:rPr>
        <w:t xml:space="preserve">APPENDICES </w:t>
      </w:r>
    </w:p>
    <w:p w14:paraId="65B488E4" w14:textId="77777777" w:rsidR="00CA66BC" w:rsidRPr="00CA66BC" w:rsidRDefault="00CA66BC" w:rsidP="00CA66BC">
      <w:pPr>
        <w:spacing w:after="0"/>
        <w:rPr>
          <w:rFonts w:cs="Times New Roman"/>
          <w:b/>
        </w:rPr>
      </w:pPr>
    </w:p>
    <w:p w14:paraId="366BDC54" w14:textId="77777777" w:rsidR="00CA66BC" w:rsidRPr="00CA66BC" w:rsidRDefault="00CA66BC" w:rsidP="00CA66BC">
      <w:pPr>
        <w:pStyle w:val="ListParagraph"/>
        <w:numPr>
          <w:ilvl w:val="0"/>
          <w:numId w:val="4"/>
        </w:numPr>
        <w:spacing w:after="0"/>
        <w:rPr>
          <w:rFonts w:cs="Times New Roman"/>
        </w:rPr>
      </w:pPr>
      <w:r w:rsidRPr="00CA66BC">
        <w:rPr>
          <w:rFonts w:cs="Times New Roman"/>
        </w:rPr>
        <w:t>National Pretrial Reporting Program Jurisdictional Capacity Survey (JCS)</w:t>
      </w:r>
    </w:p>
    <w:p w14:paraId="62F056E2" w14:textId="77777777" w:rsidR="00CA66BC" w:rsidRPr="00CA66BC" w:rsidRDefault="00CA66BC" w:rsidP="00CA66BC">
      <w:pPr>
        <w:pStyle w:val="ListParagraph"/>
        <w:numPr>
          <w:ilvl w:val="0"/>
          <w:numId w:val="4"/>
        </w:numPr>
        <w:spacing w:after="0"/>
        <w:rPr>
          <w:rFonts w:cs="Times New Roman"/>
        </w:rPr>
      </w:pPr>
      <w:r w:rsidRPr="00CA66BC">
        <w:rPr>
          <w:rFonts w:cs="Times New Roman"/>
        </w:rPr>
        <w:t>Initial Contact Protocol</w:t>
      </w:r>
    </w:p>
    <w:p w14:paraId="39420A2C" w14:textId="77777777" w:rsidR="00CA66BC" w:rsidRPr="00CA66BC" w:rsidRDefault="00CA66BC" w:rsidP="00CA66BC">
      <w:pPr>
        <w:pStyle w:val="ListParagraph"/>
        <w:numPr>
          <w:ilvl w:val="0"/>
          <w:numId w:val="4"/>
        </w:numPr>
        <w:spacing w:after="0"/>
        <w:rPr>
          <w:rFonts w:cs="Times New Roman"/>
        </w:rPr>
      </w:pPr>
      <w:r w:rsidRPr="00CA66BC">
        <w:rPr>
          <w:rFonts w:cs="Times New Roman"/>
        </w:rPr>
        <w:t>Official Invitation Letter to Participate in JCS</w:t>
      </w:r>
    </w:p>
    <w:p w14:paraId="358D0D4E" w14:textId="77777777" w:rsidR="00CA66BC" w:rsidRPr="00CA66BC" w:rsidRDefault="00CA66BC" w:rsidP="00CA66BC">
      <w:pPr>
        <w:pStyle w:val="ListParagraph"/>
        <w:numPr>
          <w:ilvl w:val="0"/>
          <w:numId w:val="4"/>
        </w:numPr>
        <w:spacing w:after="0"/>
        <w:rPr>
          <w:rFonts w:cs="Times New Roman"/>
        </w:rPr>
      </w:pPr>
      <w:r w:rsidRPr="00CA66BC">
        <w:rPr>
          <w:rFonts w:cs="Times New Roman"/>
        </w:rPr>
        <w:t>Follow-Up Phone Call/Email</w:t>
      </w:r>
    </w:p>
    <w:p w14:paraId="7F444292" w14:textId="7D07BC5C" w:rsidR="00CA66BC" w:rsidRPr="00CA66BC" w:rsidRDefault="00CA66BC" w:rsidP="00CA66BC">
      <w:pPr>
        <w:pStyle w:val="ListParagraph"/>
        <w:numPr>
          <w:ilvl w:val="0"/>
          <w:numId w:val="4"/>
        </w:numPr>
        <w:spacing w:after="0"/>
        <w:rPr>
          <w:rFonts w:cs="Times New Roman"/>
        </w:rPr>
      </w:pPr>
      <w:r w:rsidRPr="00CA66BC">
        <w:rPr>
          <w:rFonts w:cs="Times New Roman"/>
        </w:rPr>
        <w:t xml:space="preserve">Thank You </w:t>
      </w:r>
      <w:r w:rsidR="00E64CD0">
        <w:rPr>
          <w:rFonts w:cs="Times New Roman"/>
        </w:rPr>
        <w:t>Postcard/Email</w:t>
      </w:r>
    </w:p>
    <w:p w14:paraId="78BAE80D" w14:textId="77777777" w:rsidR="00CA66BC" w:rsidRPr="00CA66BC" w:rsidRDefault="00CA66BC" w:rsidP="00CA66BC">
      <w:pPr>
        <w:pStyle w:val="ListParagraph"/>
        <w:numPr>
          <w:ilvl w:val="0"/>
          <w:numId w:val="4"/>
        </w:numPr>
        <w:spacing w:after="0"/>
        <w:rPr>
          <w:rFonts w:cs="Times New Roman"/>
        </w:rPr>
      </w:pPr>
      <w:r w:rsidRPr="00CA66BC">
        <w:rPr>
          <w:rFonts w:cs="Times New Roman"/>
        </w:rPr>
        <w:t xml:space="preserve">Debriefing Protocol </w:t>
      </w:r>
    </w:p>
    <w:p w14:paraId="37B94EA7" w14:textId="77777777" w:rsidR="00C83051" w:rsidRPr="00CA66BC" w:rsidRDefault="00C83051" w:rsidP="005F3139">
      <w:pPr>
        <w:pStyle w:val="NoSpacing"/>
        <w:rPr>
          <w:noProof/>
        </w:rPr>
      </w:pPr>
    </w:p>
    <w:p w14:paraId="044F0B8E" w14:textId="77777777" w:rsidR="00215185" w:rsidRPr="00CA66BC" w:rsidRDefault="00215185" w:rsidP="001C4CEC"/>
    <w:p w14:paraId="11438514" w14:textId="77777777" w:rsidR="00215185" w:rsidRDefault="00215185" w:rsidP="001C4CEC"/>
    <w:sectPr w:rsidR="00215185" w:rsidSect="002B4BC9">
      <w:head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04333" w14:textId="77777777" w:rsidR="00A6420C" w:rsidRDefault="00A6420C" w:rsidP="009F0F0D">
      <w:pPr>
        <w:spacing w:after="0"/>
      </w:pPr>
      <w:r>
        <w:separator/>
      </w:r>
    </w:p>
  </w:endnote>
  <w:endnote w:type="continuationSeparator" w:id="0">
    <w:p w14:paraId="6E2F6AE8" w14:textId="77777777" w:rsidR="00A6420C" w:rsidRDefault="00A6420C" w:rsidP="009F0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12FCE" w14:textId="77777777" w:rsidR="00A6420C" w:rsidRDefault="00A6420C" w:rsidP="009F0F0D">
      <w:pPr>
        <w:spacing w:after="0"/>
      </w:pPr>
      <w:r>
        <w:separator/>
      </w:r>
    </w:p>
  </w:footnote>
  <w:footnote w:type="continuationSeparator" w:id="0">
    <w:p w14:paraId="52BAF8CE" w14:textId="77777777" w:rsidR="00A6420C" w:rsidRDefault="00A6420C" w:rsidP="009F0F0D">
      <w:pPr>
        <w:spacing w:after="0"/>
      </w:pPr>
      <w:r>
        <w:continuationSeparator/>
      </w:r>
    </w:p>
  </w:footnote>
  <w:footnote w:id="1">
    <w:p w14:paraId="6C16E727" w14:textId="77777777" w:rsidR="00815ECB" w:rsidRDefault="00815ECB" w:rsidP="00E64DB7">
      <w:r>
        <w:rPr>
          <w:rStyle w:val="FootnoteReference"/>
        </w:rPr>
        <w:footnoteRef/>
      </w:r>
      <w:r>
        <w:t xml:space="preserve"> </w:t>
      </w:r>
      <w:r w:rsidRPr="00BE0F38">
        <w:rPr>
          <w:sz w:val="20"/>
          <w:szCs w:val="20"/>
        </w:rPr>
        <w:t xml:space="preserve">Minton, T. D. 2011. </w:t>
      </w:r>
      <w:r w:rsidRPr="00BE0F38">
        <w:rPr>
          <w:i/>
          <w:sz w:val="20"/>
          <w:szCs w:val="20"/>
        </w:rPr>
        <w:t xml:space="preserve">Jail Inmates at Midyear2011- Statistical Tables. </w:t>
      </w:r>
      <w:r w:rsidRPr="00BE0F38">
        <w:rPr>
          <w:sz w:val="20"/>
          <w:szCs w:val="20"/>
        </w:rPr>
        <w:t>Washington, D.C.: Bureau of Justice Statistics, Office of Justice Programs, U.S. Department of Justice.</w:t>
      </w:r>
      <w:r>
        <w:t xml:space="preserve"> </w:t>
      </w:r>
    </w:p>
  </w:footnote>
  <w:footnote w:id="2">
    <w:p w14:paraId="13278B30" w14:textId="100F6FA0" w:rsidR="00815ECB" w:rsidRDefault="00815ECB">
      <w:pPr>
        <w:pStyle w:val="FootnoteText"/>
      </w:pPr>
      <w:r>
        <w:rPr>
          <w:rStyle w:val="FootnoteReference"/>
        </w:rPr>
        <w:footnoteRef/>
      </w:r>
      <w:r>
        <w:t xml:space="preserve"> A paper version of the survey will be available upon request.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2"/>
      </w:rPr>
      <w:id w:val="2020338873"/>
      <w:docPartObj>
        <w:docPartGallery w:val="Page Numbers (Top of Page)"/>
        <w:docPartUnique/>
      </w:docPartObj>
    </w:sdtPr>
    <w:sdtEndPr>
      <w:rPr>
        <w:noProof/>
        <w:color w:val="7F7F7F" w:themeColor="text1" w:themeTint="80"/>
      </w:rPr>
    </w:sdtEndPr>
    <w:sdtContent>
      <w:p w14:paraId="409C778D" w14:textId="77777777" w:rsidR="00815ECB" w:rsidRPr="00383AB5" w:rsidRDefault="00815ECB">
        <w:pPr>
          <w:pStyle w:val="Header"/>
          <w:jc w:val="right"/>
          <w:rPr>
            <w:rFonts w:cs="Times New Roman"/>
            <w:color w:val="7F7F7F" w:themeColor="text1" w:themeTint="80"/>
            <w:sz w:val="22"/>
          </w:rPr>
        </w:pPr>
        <w:r w:rsidRPr="00383AB5">
          <w:rPr>
            <w:rFonts w:cs="Times New Roman"/>
            <w:color w:val="7F7F7F" w:themeColor="text1" w:themeTint="80"/>
            <w:sz w:val="22"/>
          </w:rPr>
          <w:t>BJS/National Pretrial Reporting Program Jurisdictional Capacity Survey</w:t>
        </w:r>
        <w:r w:rsidRPr="00383AB5">
          <w:rPr>
            <w:rFonts w:cs="Times New Roman"/>
            <w:color w:val="7F7F7F" w:themeColor="text1" w:themeTint="80"/>
            <w:sz w:val="22"/>
          </w:rPr>
          <w:tab/>
        </w:r>
        <w:r w:rsidRPr="00383AB5">
          <w:rPr>
            <w:rFonts w:cs="Times New Roman"/>
            <w:color w:val="7F7F7F" w:themeColor="text1" w:themeTint="80"/>
            <w:sz w:val="22"/>
          </w:rPr>
          <w:fldChar w:fldCharType="begin"/>
        </w:r>
        <w:r w:rsidRPr="00383AB5">
          <w:rPr>
            <w:rFonts w:cs="Times New Roman"/>
            <w:color w:val="7F7F7F" w:themeColor="text1" w:themeTint="80"/>
            <w:sz w:val="22"/>
          </w:rPr>
          <w:instrText xml:space="preserve"> PAGE   \* MERGEFORMAT </w:instrText>
        </w:r>
        <w:r w:rsidRPr="00383AB5">
          <w:rPr>
            <w:rFonts w:cs="Times New Roman"/>
            <w:color w:val="7F7F7F" w:themeColor="text1" w:themeTint="80"/>
            <w:sz w:val="22"/>
          </w:rPr>
          <w:fldChar w:fldCharType="separate"/>
        </w:r>
        <w:r w:rsidR="0019068B">
          <w:rPr>
            <w:rFonts w:cs="Times New Roman"/>
            <w:noProof/>
            <w:color w:val="7F7F7F" w:themeColor="text1" w:themeTint="80"/>
            <w:sz w:val="22"/>
          </w:rPr>
          <w:t>6</w:t>
        </w:r>
        <w:r w:rsidRPr="00383AB5">
          <w:rPr>
            <w:rFonts w:cs="Times New Roman"/>
            <w:noProof/>
            <w:color w:val="7F7F7F" w:themeColor="text1" w:themeTint="80"/>
            <w:sz w:val="22"/>
          </w:rPr>
          <w:fldChar w:fldCharType="end"/>
        </w:r>
      </w:p>
    </w:sdtContent>
  </w:sdt>
  <w:p w14:paraId="4DA33D8E" w14:textId="77777777" w:rsidR="00815ECB" w:rsidRPr="00F5467B" w:rsidRDefault="00815ECB">
    <w:pPr>
      <w:pStyle w:val="Header"/>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325"/>
    <w:multiLevelType w:val="hybridMultilevel"/>
    <w:tmpl w:val="63841524"/>
    <w:lvl w:ilvl="0" w:tplc="FAFE97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0244"/>
    <w:multiLevelType w:val="hybridMultilevel"/>
    <w:tmpl w:val="AE3A8D34"/>
    <w:lvl w:ilvl="0" w:tplc="B1D0F5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B6080"/>
    <w:multiLevelType w:val="hybridMultilevel"/>
    <w:tmpl w:val="0E72A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C5A14"/>
    <w:multiLevelType w:val="hybridMultilevel"/>
    <w:tmpl w:val="1360ADD6"/>
    <w:lvl w:ilvl="0" w:tplc="0CEC2D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03"/>
    <w:rsid w:val="00005A6C"/>
    <w:rsid w:val="0001023D"/>
    <w:rsid w:val="00012276"/>
    <w:rsid w:val="00023378"/>
    <w:rsid w:val="00023A70"/>
    <w:rsid w:val="00023D73"/>
    <w:rsid w:val="0005012D"/>
    <w:rsid w:val="00055CA0"/>
    <w:rsid w:val="00056AB1"/>
    <w:rsid w:val="00061FDB"/>
    <w:rsid w:val="00064008"/>
    <w:rsid w:val="000706F2"/>
    <w:rsid w:val="00075A1E"/>
    <w:rsid w:val="00077CA9"/>
    <w:rsid w:val="00086009"/>
    <w:rsid w:val="00090CD5"/>
    <w:rsid w:val="000938D8"/>
    <w:rsid w:val="000978F7"/>
    <w:rsid w:val="000A09BD"/>
    <w:rsid w:val="000A1BB5"/>
    <w:rsid w:val="000A36B1"/>
    <w:rsid w:val="000A66DF"/>
    <w:rsid w:val="000A7511"/>
    <w:rsid w:val="000B18AA"/>
    <w:rsid w:val="000B1BE4"/>
    <w:rsid w:val="000B357B"/>
    <w:rsid w:val="000B4A76"/>
    <w:rsid w:val="000C3B48"/>
    <w:rsid w:val="000C47EE"/>
    <w:rsid w:val="000C489B"/>
    <w:rsid w:val="000E4638"/>
    <w:rsid w:val="000F0E81"/>
    <w:rsid w:val="000F109E"/>
    <w:rsid w:val="00100D18"/>
    <w:rsid w:val="001145C0"/>
    <w:rsid w:val="0011499D"/>
    <w:rsid w:val="0011749B"/>
    <w:rsid w:val="00126CC2"/>
    <w:rsid w:val="001313AE"/>
    <w:rsid w:val="00165DB0"/>
    <w:rsid w:val="0016650E"/>
    <w:rsid w:val="0017040D"/>
    <w:rsid w:val="0019068B"/>
    <w:rsid w:val="00191D82"/>
    <w:rsid w:val="0019366A"/>
    <w:rsid w:val="001B134D"/>
    <w:rsid w:val="001B36E8"/>
    <w:rsid w:val="001C4CEC"/>
    <w:rsid w:val="001D2926"/>
    <w:rsid w:val="001D483A"/>
    <w:rsid w:val="001E1993"/>
    <w:rsid w:val="001E57CB"/>
    <w:rsid w:val="001F0A44"/>
    <w:rsid w:val="001F0BBD"/>
    <w:rsid w:val="001F1632"/>
    <w:rsid w:val="001F40CF"/>
    <w:rsid w:val="0020089C"/>
    <w:rsid w:val="00201F92"/>
    <w:rsid w:val="002137F3"/>
    <w:rsid w:val="00215185"/>
    <w:rsid w:val="002173E2"/>
    <w:rsid w:val="00220D57"/>
    <w:rsid w:val="00232D6D"/>
    <w:rsid w:val="002568F6"/>
    <w:rsid w:val="00256A4B"/>
    <w:rsid w:val="00262C93"/>
    <w:rsid w:val="00263770"/>
    <w:rsid w:val="00272779"/>
    <w:rsid w:val="00273E06"/>
    <w:rsid w:val="00283FD8"/>
    <w:rsid w:val="00286DF6"/>
    <w:rsid w:val="00293766"/>
    <w:rsid w:val="002A15FB"/>
    <w:rsid w:val="002B4571"/>
    <w:rsid w:val="002B4B0B"/>
    <w:rsid w:val="002B4BC9"/>
    <w:rsid w:val="002B6057"/>
    <w:rsid w:val="002B7996"/>
    <w:rsid w:val="002D077B"/>
    <w:rsid w:val="002E1685"/>
    <w:rsid w:val="002E1A9E"/>
    <w:rsid w:val="002F706E"/>
    <w:rsid w:val="002F7D6A"/>
    <w:rsid w:val="00300626"/>
    <w:rsid w:val="00304C21"/>
    <w:rsid w:val="00356F32"/>
    <w:rsid w:val="0036436D"/>
    <w:rsid w:val="003717A0"/>
    <w:rsid w:val="003749EC"/>
    <w:rsid w:val="00383AB5"/>
    <w:rsid w:val="003859F3"/>
    <w:rsid w:val="00385FA1"/>
    <w:rsid w:val="003960E6"/>
    <w:rsid w:val="003966B7"/>
    <w:rsid w:val="00397997"/>
    <w:rsid w:val="003A033A"/>
    <w:rsid w:val="003A2E35"/>
    <w:rsid w:val="003A53AB"/>
    <w:rsid w:val="003B309A"/>
    <w:rsid w:val="003C27A4"/>
    <w:rsid w:val="003D503B"/>
    <w:rsid w:val="003D6124"/>
    <w:rsid w:val="003E5CCF"/>
    <w:rsid w:val="003F00B7"/>
    <w:rsid w:val="003F24F8"/>
    <w:rsid w:val="003F37A1"/>
    <w:rsid w:val="00411CBF"/>
    <w:rsid w:val="00423B51"/>
    <w:rsid w:val="004512F0"/>
    <w:rsid w:val="0046334E"/>
    <w:rsid w:val="00473F71"/>
    <w:rsid w:val="004765E4"/>
    <w:rsid w:val="004844F0"/>
    <w:rsid w:val="004B03F2"/>
    <w:rsid w:val="004B0763"/>
    <w:rsid w:val="004B15BB"/>
    <w:rsid w:val="004B251F"/>
    <w:rsid w:val="004B2FFD"/>
    <w:rsid w:val="004C4BC5"/>
    <w:rsid w:val="004C5B03"/>
    <w:rsid w:val="004D19B0"/>
    <w:rsid w:val="004D4192"/>
    <w:rsid w:val="004E0EBA"/>
    <w:rsid w:val="004E21C9"/>
    <w:rsid w:val="004F064E"/>
    <w:rsid w:val="0050225A"/>
    <w:rsid w:val="00504AE7"/>
    <w:rsid w:val="00506469"/>
    <w:rsid w:val="00507952"/>
    <w:rsid w:val="0052017C"/>
    <w:rsid w:val="00520815"/>
    <w:rsid w:val="005251BC"/>
    <w:rsid w:val="00541CC3"/>
    <w:rsid w:val="005507CF"/>
    <w:rsid w:val="0056130B"/>
    <w:rsid w:val="00563F1C"/>
    <w:rsid w:val="00581A35"/>
    <w:rsid w:val="00582FC4"/>
    <w:rsid w:val="005831E8"/>
    <w:rsid w:val="005839C1"/>
    <w:rsid w:val="00583CF6"/>
    <w:rsid w:val="00595AAC"/>
    <w:rsid w:val="005B0726"/>
    <w:rsid w:val="005B17E0"/>
    <w:rsid w:val="005B36EC"/>
    <w:rsid w:val="005B77CA"/>
    <w:rsid w:val="005C53B5"/>
    <w:rsid w:val="005C5B2A"/>
    <w:rsid w:val="005D129F"/>
    <w:rsid w:val="005D6F03"/>
    <w:rsid w:val="005D707C"/>
    <w:rsid w:val="005E0BDF"/>
    <w:rsid w:val="005E6867"/>
    <w:rsid w:val="005F3139"/>
    <w:rsid w:val="00603C9A"/>
    <w:rsid w:val="00607E50"/>
    <w:rsid w:val="00620AF8"/>
    <w:rsid w:val="00634D19"/>
    <w:rsid w:val="00653ED0"/>
    <w:rsid w:val="0065471B"/>
    <w:rsid w:val="00654B36"/>
    <w:rsid w:val="00660776"/>
    <w:rsid w:val="006619FC"/>
    <w:rsid w:val="0067447D"/>
    <w:rsid w:val="006807AB"/>
    <w:rsid w:val="006873C4"/>
    <w:rsid w:val="00692D5B"/>
    <w:rsid w:val="006A0E0C"/>
    <w:rsid w:val="006A2964"/>
    <w:rsid w:val="006A384C"/>
    <w:rsid w:val="006B296F"/>
    <w:rsid w:val="006C075D"/>
    <w:rsid w:val="006D269B"/>
    <w:rsid w:val="006E2982"/>
    <w:rsid w:val="006E7103"/>
    <w:rsid w:val="006E7DBB"/>
    <w:rsid w:val="006F227B"/>
    <w:rsid w:val="00700236"/>
    <w:rsid w:val="00705C9A"/>
    <w:rsid w:val="007102AE"/>
    <w:rsid w:val="00713A0E"/>
    <w:rsid w:val="00754B36"/>
    <w:rsid w:val="007641C7"/>
    <w:rsid w:val="00780819"/>
    <w:rsid w:val="007863BD"/>
    <w:rsid w:val="007937DC"/>
    <w:rsid w:val="00793F73"/>
    <w:rsid w:val="00794E8C"/>
    <w:rsid w:val="00795B13"/>
    <w:rsid w:val="007B0426"/>
    <w:rsid w:val="007C1287"/>
    <w:rsid w:val="007C3EA0"/>
    <w:rsid w:val="007E686B"/>
    <w:rsid w:val="008112C1"/>
    <w:rsid w:val="00814D99"/>
    <w:rsid w:val="00815ECB"/>
    <w:rsid w:val="008207F3"/>
    <w:rsid w:val="008372C7"/>
    <w:rsid w:val="008512BF"/>
    <w:rsid w:val="00864C95"/>
    <w:rsid w:val="008817AA"/>
    <w:rsid w:val="00887F79"/>
    <w:rsid w:val="008A15EE"/>
    <w:rsid w:val="008B1F30"/>
    <w:rsid w:val="008B3C1A"/>
    <w:rsid w:val="008C788A"/>
    <w:rsid w:val="008C7F1E"/>
    <w:rsid w:val="008D2A3E"/>
    <w:rsid w:val="008D5F3C"/>
    <w:rsid w:val="008E5784"/>
    <w:rsid w:val="008F0E5D"/>
    <w:rsid w:val="008F7BAC"/>
    <w:rsid w:val="00902059"/>
    <w:rsid w:val="00902A6F"/>
    <w:rsid w:val="00905AE2"/>
    <w:rsid w:val="009144F3"/>
    <w:rsid w:val="00936E3C"/>
    <w:rsid w:val="00941003"/>
    <w:rsid w:val="00941AB4"/>
    <w:rsid w:val="00945B59"/>
    <w:rsid w:val="0096157A"/>
    <w:rsid w:val="00966AB1"/>
    <w:rsid w:val="00967F13"/>
    <w:rsid w:val="00985968"/>
    <w:rsid w:val="00997C0B"/>
    <w:rsid w:val="009A3295"/>
    <w:rsid w:val="009B33DD"/>
    <w:rsid w:val="009D4A07"/>
    <w:rsid w:val="009E7A5D"/>
    <w:rsid w:val="009F0F0D"/>
    <w:rsid w:val="009F2726"/>
    <w:rsid w:val="00A00393"/>
    <w:rsid w:val="00A14D7E"/>
    <w:rsid w:val="00A324E1"/>
    <w:rsid w:val="00A5763E"/>
    <w:rsid w:val="00A6420C"/>
    <w:rsid w:val="00A6498B"/>
    <w:rsid w:val="00A64E26"/>
    <w:rsid w:val="00A6714A"/>
    <w:rsid w:val="00A76BA0"/>
    <w:rsid w:val="00A81520"/>
    <w:rsid w:val="00A91A70"/>
    <w:rsid w:val="00AA504A"/>
    <w:rsid w:val="00AA5B15"/>
    <w:rsid w:val="00AA62F3"/>
    <w:rsid w:val="00AC5DD9"/>
    <w:rsid w:val="00AD711E"/>
    <w:rsid w:val="00AE02E1"/>
    <w:rsid w:val="00AE25A3"/>
    <w:rsid w:val="00AE2CB2"/>
    <w:rsid w:val="00B06171"/>
    <w:rsid w:val="00B20C7E"/>
    <w:rsid w:val="00B32CE7"/>
    <w:rsid w:val="00B34DFF"/>
    <w:rsid w:val="00B51B9D"/>
    <w:rsid w:val="00B57A16"/>
    <w:rsid w:val="00B57B7C"/>
    <w:rsid w:val="00B64795"/>
    <w:rsid w:val="00B73177"/>
    <w:rsid w:val="00B736EB"/>
    <w:rsid w:val="00B77EBB"/>
    <w:rsid w:val="00B95652"/>
    <w:rsid w:val="00B95AE8"/>
    <w:rsid w:val="00BA0004"/>
    <w:rsid w:val="00BA51F2"/>
    <w:rsid w:val="00BC210D"/>
    <w:rsid w:val="00BF5BD7"/>
    <w:rsid w:val="00C02789"/>
    <w:rsid w:val="00C22D36"/>
    <w:rsid w:val="00C24A48"/>
    <w:rsid w:val="00C76D7B"/>
    <w:rsid w:val="00C83051"/>
    <w:rsid w:val="00C9405C"/>
    <w:rsid w:val="00CA04E8"/>
    <w:rsid w:val="00CA11E7"/>
    <w:rsid w:val="00CA5D8D"/>
    <w:rsid w:val="00CA66BC"/>
    <w:rsid w:val="00CB1B78"/>
    <w:rsid w:val="00CB25DB"/>
    <w:rsid w:val="00CD6BE3"/>
    <w:rsid w:val="00CE6867"/>
    <w:rsid w:val="00D01EE7"/>
    <w:rsid w:val="00D124CE"/>
    <w:rsid w:val="00D16F80"/>
    <w:rsid w:val="00D21D81"/>
    <w:rsid w:val="00D23321"/>
    <w:rsid w:val="00D4104B"/>
    <w:rsid w:val="00D43BA8"/>
    <w:rsid w:val="00D57AB4"/>
    <w:rsid w:val="00D62448"/>
    <w:rsid w:val="00D6405B"/>
    <w:rsid w:val="00D65AC7"/>
    <w:rsid w:val="00D7168B"/>
    <w:rsid w:val="00D769E4"/>
    <w:rsid w:val="00D77266"/>
    <w:rsid w:val="00DB4A7B"/>
    <w:rsid w:val="00DB4E0E"/>
    <w:rsid w:val="00DB70E5"/>
    <w:rsid w:val="00DC2A2B"/>
    <w:rsid w:val="00DD3212"/>
    <w:rsid w:val="00DD483F"/>
    <w:rsid w:val="00DE6F8E"/>
    <w:rsid w:val="00DF054A"/>
    <w:rsid w:val="00E004E8"/>
    <w:rsid w:val="00E1057B"/>
    <w:rsid w:val="00E15242"/>
    <w:rsid w:val="00E169F6"/>
    <w:rsid w:val="00E2039A"/>
    <w:rsid w:val="00E330E0"/>
    <w:rsid w:val="00E503C0"/>
    <w:rsid w:val="00E6104F"/>
    <w:rsid w:val="00E614FB"/>
    <w:rsid w:val="00E63452"/>
    <w:rsid w:val="00E64CD0"/>
    <w:rsid w:val="00E64DB7"/>
    <w:rsid w:val="00E67CDB"/>
    <w:rsid w:val="00E71879"/>
    <w:rsid w:val="00E813A1"/>
    <w:rsid w:val="00E81759"/>
    <w:rsid w:val="00EA08BE"/>
    <w:rsid w:val="00EB3551"/>
    <w:rsid w:val="00EB79F7"/>
    <w:rsid w:val="00EC2F86"/>
    <w:rsid w:val="00EE4F10"/>
    <w:rsid w:val="00F009AE"/>
    <w:rsid w:val="00F0380C"/>
    <w:rsid w:val="00F0577B"/>
    <w:rsid w:val="00F10838"/>
    <w:rsid w:val="00F1141C"/>
    <w:rsid w:val="00F1420B"/>
    <w:rsid w:val="00F21BB1"/>
    <w:rsid w:val="00F23A35"/>
    <w:rsid w:val="00F3769B"/>
    <w:rsid w:val="00F40063"/>
    <w:rsid w:val="00F41FD4"/>
    <w:rsid w:val="00F436F4"/>
    <w:rsid w:val="00F53FFA"/>
    <w:rsid w:val="00F5467B"/>
    <w:rsid w:val="00F62922"/>
    <w:rsid w:val="00F64E20"/>
    <w:rsid w:val="00F8296C"/>
    <w:rsid w:val="00F90025"/>
    <w:rsid w:val="00F9379F"/>
    <w:rsid w:val="00F9530D"/>
    <w:rsid w:val="00FA6C10"/>
    <w:rsid w:val="00FC256A"/>
    <w:rsid w:val="00FD0613"/>
    <w:rsid w:val="00FD24D2"/>
    <w:rsid w:val="00FE2B8E"/>
    <w:rsid w:val="00FE3C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0E28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7B"/>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6807AB"/>
    <w:pPr>
      <w:keepNext/>
      <w:keepLines/>
      <w:spacing w:before="480" w:after="0" w:line="480" w:lineRule="auto"/>
      <w:outlineLvl w:val="0"/>
    </w:pPr>
    <w:rPr>
      <w:rFonts w:eastAsiaTheme="majorEastAsia" w:cstheme="majorBidi"/>
      <w:b/>
      <w:bCs/>
      <w:caps/>
      <w:szCs w:val="28"/>
    </w:rPr>
  </w:style>
  <w:style w:type="paragraph" w:styleId="Heading3">
    <w:name w:val="heading 3"/>
    <w:basedOn w:val="Normal"/>
    <w:next w:val="Normal"/>
    <w:link w:val="Heading3Char"/>
    <w:uiPriority w:val="9"/>
    <w:semiHidden/>
    <w:unhideWhenUsed/>
    <w:qFormat/>
    <w:rsid w:val="0019366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7C"/>
    <w:pPr>
      <w:ind w:left="720"/>
      <w:contextualSpacing/>
    </w:pPr>
  </w:style>
  <w:style w:type="character" w:styleId="CommentReference">
    <w:name w:val="annotation reference"/>
    <w:basedOn w:val="DefaultParagraphFont"/>
    <w:uiPriority w:val="99"/>
    <w:semiHidden/>
    <w:unhideWhenUsed/>
    <w:rsid w:val="00F40063"/>
    <w:rPr>
      <w:sz w:val="16"/>
      <w:szCs w:val="16"/>
    </w:rPr>
  </w:style>
  <w:style w:type="paragraph" w:styleId="CommentText">
    <w:name w:val="annotation text"/>
    <w:basedOn w:val="Normal"/>
    <w:link w:val="CommentTextChar"/>
    <w:uiPriority w:val="99"/>
    <w:semiHidden/>
    <w:unhideWhenUsed/>
    <w:rsid w:val="00F40063"/>
    <w:rPr>
      <w:sz w:val="20"/>
      <w:szCs w:val="20"/>
    </w:rPr>
  </w:style>
  <w:style w:type="character" w:customStyle="1" w:styleId="CommentTextChar">
    <w:name w:val="Comment Text Char"/>
    <w:basedOn w:val="DefaultParagraphFont"/>
    <w:link w:val="CommentText"/>
    <w:uiPriority w:val="99"/>
    <w:semiHidden/>
    <w:rsid w:val="00F40063"/>
    <w:rPr>
      <w:sz w:val="20"/>
      <w:szCs w:val="20"/>
    </w:rPr>
  </w:style>
  <w:style w:type="paragraph" w:styleId="CommentSubject">
    <w:name w:val="annotation subject"/>
    <w:basedOn w:val="CommentText"/>
    <w:next w:val="CommentText"/>
    <w:link w:val="CommentSubjectChar"/>
    <w:uiPriority w:val="99"/>
    <w:semiHidden/>
    <w:unhideWhenUsed/>
    <w:rsid w:val="00F40063"/>
    <w:rPr>
      <w:b/>
      <w:bCs/>
    </w:rPr>
  </w:style>
  <w:style w:type="character" w:customStyle="1" w:styleId="CommentSubjectChar">
    <w:name w:val="Comment Subject Char"/>
    <w:basedOn w:val="CommentTextChar"/>
    <w:link w:val="CommentSubject"/>
    <w:uiPriority w:val="99"/>
    <w:semiHidden/>
    <w:rsid w:val="00F40063"/>
    <w:rPr>
      <w:b/>
      <w:bCs/>
      <w:sz w:val="20"/>
      <w:szCs w:val="20"/>
    </w:rPr>
  </w:style>
  <w:style w:type="paragraph" w:styleId="BalloonText">
    <w:name w:val="Balloon Text"/>
    <w:basedOn w:val="Normal"/>
    <w:link w:val="BalloonTextChar"/>
    <w:uiPriority w:val="99"/>
    <w:semiHidden/>
    <w:unhideWhenUsed/>
    <w:rsid w:val="00F400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63"/>
    <w:rPr>
      <w:rFonts w:ascii="Tahoma" w:hAnsi="Tahoma" w:cs="Tahoma"/>
      <w:sz w:val="16"/>
      <w:szCs w:val="16"/>
    </w:rPr>
  </w:style>
  <w:style w:type="character" w:customStyle="1" w:styleId="Heading1Char">
    <w:name w:val="Heading 1 Char"/>
    <w:basedOn w:val="DefaultParagraphFont"/>
    <w:link w:val="Heading1"/>
    <w:uiPriority w:val="9"/>
    <w:rsid w:val="006807AB"/>
    <w:rPr>
      <w:rFonts w:ascii="Times New Roman" w:eastAsiaTheme="majorEastAsia" w:hAnsi="Times New Roman" w:cstheme="majorBidi"/>
      <w:b/>
      <w:bCs/>
      <w:caps/>
      <w:sz w:val="24"/>
      <w:szCs w:val="28"/>
    </w:rPr>
  </w:style>
  <w:style w:type="paragraph" w:customStyle="1" w:styleId="Default">
    <w:name w:val="Default"/>
    <w:rsid w:val="005251B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F0F0D"/>
    <w:pPr>
      <w:tabs>
        <w:tab w:val="center" w:pos="4680"/>
        <w:tab w:val="right" w:pos="9360"/>
      </w:tabs>
      <w:spacing w:after="0"/>
    </w:pPr>
  </w:style>
  <w:style w:type="character" w:customStyle="1" w:styleId="HeaderChar">
    <w:name w:val="Header Char"/>
    <w:basedOn w:val="DefaultParagraphFont"/>
    <w:link w:val="Header"/>
    <w:uiPriority w:val="99"/>
    <w:rsid w:val="009F0F0D"/>
  </w:style>
  <w:style w:type="paragraph" w:styleId="Footer">
    <w:name w:val="footer"/>
    <w:basedOn w:val="Normal"/>
    <w:link w:val="FooterChar"/>
    <w:uiPriority w:val="99"/>
    <w:unhideWhenUsed/>
    <w:rsid w:val="009F0F0D"/>
    <w:pPr>
      <w:tabs>
        <w:tab w:val="center" w:pos="4680"/>
        <w:tab w:val="right" w:pos="9360"/>
      </w:tabs>
      <w:spacing w:after="0"/>
    </w:pPr>
  </w:style>
  <w:style w:type="character" w:customStyle="1" w:styleId="FooterChar">
    <w:name w:val="Footer Char"/>
    <w:basedOn w:val="DefaultParagraphFont"/>
    <w:link w:val="Footer"/>
    <w:uiPriority w:val="99"/>
    <w:rsid w:val="009F0F0D"/>
  </w:style>
  <w:style w:type="character" w:styleId="Emphasis">
    <w:name w:val="Emphasis"/>
    <w:basedOn w:val="DefaultParagraphFont"/>
    <w:uiPriority w:val="20"/>
    <w:qFormat/>
    <w:rsid w:val="000F0E81"/>
    <w:rPr>
      <w:i/>
      <w:iCs/>
    </w:rPr>
  </w:style>
  <w:style w:type="paragraph" w:customStyle="1" w:styleId="NORCBullet3TextArial">
    <w:name w:val="NORC Bullet 3 Text (Arial)"/>
    <w:basedOn w:val="Normal"/>
    <w:qFormat/>
    <w:rsid w:val="001D2926"/>
    <w:pPr>
      <w:spacing w:after="0" w:line="360" w:lineRule="auto"/>
      <w:ind w:left="1440"/>
    </w:pPr>
    <w:rPr>
      <w:rFonts w:ascii="Arial" w:eastAsia="Times New Roman" w:hAnsi="Arial" w:cs="Times New Roman"/>
      <w:sz w:val="22"/>
      <w:szCs w:val="20"/>
    </w:rPr>
  </w:style>
  <w:style w:type="table" w:styleId="TableGrid">
    <w:name w:val="Table Grid"/>
    <w:basedOn w:val="TableNormal"/>
    <w:uiPriority w:val="59"/>
    <w:rsid w:val="00D769E4"/>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0004"/>
    <w:rPr>
      <w:strike w:val="0"/>
      <w:dstrike w:val="0"/>
      <w:color w:val="0000FF"/>
      <w:u w:val="none"/>
      <w:effect w:val="none"/>
    </w:rPr>
  </w:style>
  <w:style w:type="table" w:customStyle="1" w:styleId="ListTable31">
    <w:name w:val="List Table 31"/>
    <w:basedOn w:val="TableNormal"/>
    <w:uiPriority w:val="48"/>
    <w:rsid w:val="0067447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2B4BC9"/>
    <w:pPr>
      <w:spacing w:after="0" w:line="240" w:lineRule="auto"/>
    </w:pPr>
    <w:rPr>
      <w:rFonts w:ascii="Times New Roman" w:hAnsi="Times New Roman"/>
      <w:sz w:val="24"/>
    </w:rPr>
  </w:style>
  <w:style w:type="paragraph" w:styleId="Revision">
    <w:name w:val="Revision"/>
    <w:hidden/>
    <w:uiPriority w:val="99"/>
    <w:semiHidden/>
    <w:rsid w:val="00581A35"/>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967F13"/>
    <w:pPr>
      <w:spacing w:after="0"/>
    </w:pPr>
    <w:rPr>
      <w:sz w:val="20"/>
      <w:szCs w:val="20"/>
    </w:rPr>
  </w:style>
  <w:style w:type="character" w:customStyle="1" w:styleId="FootnoteTextChar">
    <w:name w:val="Footnote Text Char"/>
    <w:basedOn w:val="DefaultParagraphFont"/>
    <w:link w:val="FootnoteText"/>
    <w:uiPriority w:val="99"/>
    <w:rsid w:val="00967F13"/>
    <w:rPr>
      <w:rFonts w:ascii="Times New Roman" w:hAnsi="Times New Roman"/>
      <w:sz w:val="20"/>
      <w:szCs w:val="20"/>
    </w:rPr>
  </w:style>
  <w:style w:type="character" w:styleId="FootnoteReference">
    <w:name w:val="footnote reference"/>
    <w:basedOn w:val="DefaultParagraphFont"/>
    <w:uiPriority w:val="99"/>
    <w:semiHidden/>
    <w:unhideWhenUsed/>
    <w:rsid w:val="00967F13"/>
    <w:rPr>
      <w:vertAlign w:val="superscript"/>
    </w:rPr>
  </w:style>
  <w:style w:type="character" w:customStyle="1" w:styleId="st">
    <w:name w:val="st"/>
    <w:basedOn w:val="DefaultParagraphFont"/>
    <w:rsid w:val="0019366A"/>
  </w:style>
  <w:style w:type="character" w:customStyle="1" w:styleId="Heading3Char">
    <w:name w:val="Heading 3 Char"/>
    <w:basedOn w:val="DefaultParagraphFont"/>
    <w:link w:val="Heading3"/>
    <w:uiPriority w:val="9"/>
    <w:semiHidden/>
    <w:rsid w:val="0019366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7B"/>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6807AB"/>
    <w:pPr>
      <w:keepNext/>
      <w:keepLines/>
      <w:spacing w:before="480" w:after="0" w:line="480" w:lineRule="auto"/>
      <w:outlineLvl w:val="0"/>
    </w:pPr>
    <w:rPr>
      <w:rFonts w:eastAsiaTheme="majorEastAsia" w:cstheme="majorBidi"/>
      <w:b/>
      <w:bCs/>
      <w:caps/>
      <w:szCs w:val="28"/>
    </w:rPr>
  </w:style>
  <w:style w:type="paragraph" w:styleId="Heading3">
    <w:name w:val="heading 3"/>
    <w:basedOn w:val="Normal"/>
    <w:next w:val="Normal"/>
    <w:link w:val="Heading3Char"/>
    <w:uiPriority w:val="9"/>
    <w:semiHidden/>
    <w:unhideWhenUsed/>
    <w:qFormat/>
    <w:rsid w:val="0019366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7C"/>
    <w:pPr>
      <w:ind w:left="720"/>
      <w:contextualSpacing/>
    </w:pPr>
  </w:style>
  <w:style w:type="character" w:styleId="CommentReference">
    <w:name w:val="annotation reference"/>
    <w:basedOn w:val="DefaultParagraphFont"/>
    <w:uiPriority w:val="99"/>
    <w:semiHidden/>
    <w:unhideWhenUsed/>
    <w:rsid w:val="00F40063"/>
    <w:rPr>
      <w:sz w:val="16"/>
      <w:szCs w:val="16"/>
    </w:rPr>
  </w:style>
  <w:style w:type="paragraph" w:styleId="CommentText">
    <w:name w:val="annotation text"/>
    <w:basedOn w:val="Normal"/>
    <w:link w:val="CommentTextChar"/>
    <w:uiPriority w:val="99"/>
    <w:semiHidden/>
    <w:unhideWhenUsed/>
    <w:rsid w:val="00F40063"/>
    <w:rPr>
      <w:sz w:val="20"/>
      <w:szCs w:val="20"/>
    </w:rPr>
  </w:style>
  <w:style w:type="character" w:customStyle="1" w:styleId="CommentTextChar">
    <w:name w:val="Comment Text Char"/>
    <w:basedOn w:val="DefaultParagraphFont"/>
    <w:link w:val="CommentText"/>
    <w:uiPriority w:val="99"/>
    <w:semiHidden/>
    <w:rsid w:val="00F40063"/>
    <w:rPr>
      <w:sz w:val="20"/>
      <w:szCs w:val="20"/>
    </w:rPr>
  </w:style>
  <w:style w:type="paragraph" w:styleId="CommentSubject">
    <w:name w:val="annotation subject"/>
    <w:basedOn w:val="CommentText"/>
    <w:next w:val="CommentText"/>
    <w:link w:val="CommentSubjectChar"/>
    <w:uiPriority w:val="99"/>
    <w:semiHidden/>
    <w:unhideWhenUsed/>
    <w:rsid w:val="00F40063"/>
    <w:rPr>
      <w:b/>
      <w:bCs/>
    </w:rPr>
  </w:style>
  <w:style w:type="character" w:customStyle="1" w:styleId="CommentSubjectChar">
    <w:name w:val="Comment Subject Char"/>
    <w:basedOn w:val="CommentTextChar"/>
    <w:link w:val="CommentSubject"/>
    <w:uiPriority w:val="99"/>
    <w:semiHidden/>
    <w:rsid w:val="00F40063"/>
    <w:rPr>
      <w:b/>
      <w:bCs/>
      <w:sz w:val="20"/>
      <w:szCs w:val="20"/>
    </w:rPr>
  </w:style>
  <w:style w:type="paragraph" w:styleId="BalloonText">
    <w:name w:val="Balloon Text"/>
    <w:basedOn w:val="Normal"/>
    <w:link w:val="BalloonTextChar"/>
    <w:uiPriority w:val="99"/>
    <w:semiHidden/>
    <w:unhideWhenUsed/>
    <w:rsid w:val="00F400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63"/>
    <w:rPr>
      <w:rFonts w:ascii="Tahoma" w:hAnsi="Tahoma" w:cs="Tahoma"/>
      <w:sz w:val="16"/>
      <w:szCs w:val="16"/>
    </w:rPr>
  </w:style>
  <w:style w:type="character" w:customStyle="1" w:styleId="Heading1Char">
    <w:name w:val="Heading 1 Char"/>
    <w:basedOn w:val="DefaultParagraphFont"/>
    <w:link w:val="Heading1"/>
    <w:uiPriority w:val="9"/>
    <w:rsid w:val="006807AB"/>
    <w:rPr>
      <w:rFonts w:ascii="Times New Roman" w:eastAsiaTheme="majorEastAsia" w:hAnsi="Times New Roman" w:cstheme="majorBidi"/>
      <w:b/>
      <w:bCs/>
      <w:caps/>
      <w:sz w:val="24"/>
      <w:szCs w:val="28"/>
    </w:rPr>
  </w:style>
  <w:style w:type="paragraph" w:customStyle="1" w:styleId="Default">
    <w:name w:val="Default"/>
    <w:rsid w:val="005251B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F0F0D"/>
    <w:pPr>
      <w:tabs>
        <w:tab w:val="center" w:pos="4680"/>
        <w:tab w:val="right" w:pos="9360"/>
      </w:tabs>
      <w:spacing w:after="0"/>
    </w:pPr>
  </w:style>
  <w:style w:type="character" w:customStyle="1" w:styleId="HeaderChar">
    <w:name w:val="Header Char"/>
    <w:basedOn w:val="DefaultParagraphFont"/>
    <w:link w:val="Header"/>
    <w:uiPriority w:val="99"/>
    <w:rsid w:val="009F0F0D"/>
  </w:style>
  <w:style w:type="paragraph" w:styleId="Footer">
    <w:name w:val="footer"/>
    <w:basedOn w:val="Normal"/>
    <w:link w:val="FooterChar"/>
    <w:uiPriority w:val="99"/>
    <w:unhideWhenUsed/>
    <w:rsid w:val="009F0F0D"/>
    <w:pPr>
      <w:tabs>
        <w:tab w:val="center" w:pos="4680"/>
        <w:tab w:val="right" w:pos="9360"/>
      </w:tabs>
      <w:spacing w:after="0"/>
    </w:pPr>
  </w:style>
  <w:style w:type="character" w:customStyle="1" w:styleId="FooterChar">
    <w:name w:val="Footer Char"/>
    <w:basedOn w:val="DefaultParagraphFont"/>
    <w:link w:val="Footer"/>
    <w:uiPriority w:val="99"/>
    <w:rsid w:val="009F0F0D"/>
  </w:style>
  <w:style w:type="character" w:styleId="Emphasis">
    <w:name w:val="Emphasis"/>
    <w:basedOn w:val="DefaultParagraphFont"/>
    <w:uiPriority w:val="20"/>
    <w:qFormat/>
    <w:rsid w:val="000F0E81"/>
    <w:rPr>
      <w:i/>
      <w:iCs/>
    </w:rPr>
  </w:style>
  <w:style w:type="paragraph" w:customStyle="1" w:styleId="NORCBullet3TextArial">
    <w:name w:val="NORC Bullet 3 Text (Arial)"/>
    <w:basedOn w:val="Normal"/>
    <w:qFormat/>
    <w:rsid w:val="001D2926"/>
    <w:pPr>
      <w:spacing w:after="0" w:line="360" w:lineRule="auto"/>
      <w:ind w:left="1440"/>
    </w:pPr>
    <w:rPr>
      <w:rFonts w:ascii="Arial" w:eastAsia="Times New Roman" w:hAnsi="Arial" w:cs="Times New Roman"/>
      <w:sz w:val="22"/>
      <w:szCs w:val="20"/>
    </w:rPr>
  </w:style>
  <w:style w:type="table" w:styleId="TableGrid">
    <w:name w:val="Table Grid"/>
    <w:basedOn w:val="TableNormal"/>
    <w:uiPriority w:val="59"/>
    <w:rsid w:val="00D769E4"/>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0004"/>
    <w:rPr>
      <w:strike w:val="0"/>
      <w:dstrike w:val="0"/>
      <w:color w:val="0000FF"/>
      <w:u w:val="none"/>
      <w:effect w:val="none"/>
    </w:rPr>
  </w:style>
  <w:style w:type="table" w:customStyle="1" w:styleId="ListTable31">
    <w:name w:val="List Table 31"/>
    <w:basedOn w:val="TableNormal"/>
    <w:uiPriority w:val="48"/>
    <w:rsid w:val="0067447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2B4BC9"/>
    <w:pPr>
      <w:spacing w:after="0" w:line="240" w:lineRule="auto"/>
    </w:pPr>
    <w:rPr>
      <w:rFonts w:ascii="Times New Roman" w:hAnsi="Times New Roman"/>
      <w:sz w:val="24"/>
    </w:rPr>
  </w:style>
  <w:style w:type="paragraph" w:styleId="Revision">
    <w:name w:val="Revision"/>
    <w:hidden/>
    <w:uiPriority w:val="99"/>
    <w:semiHidden/>
    <w:rsid w:val="00581A35"/>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967F13"/>
    <w:pPr>
      <w:spacing w:after="0"/>
    </w:pPr>
    <w:rPr>
      <w:sz w:val="20"/>
      <w:szCs w:val="20"/>
    </w:rPr>
  </w:style>
  <w:style w:type="character" w:customStyle="1" w:styleId="FootnoteTextChar">
    <w:name w:val="Footnote Text Char"/>
    <w:basedOn w:val="DefaultParagraphFont"/>
    <w:link w:val="FootnoteText"/>
    <w:uiPriority w:val="99"/>
    <w:rsid w:val="00967F13"/>
    <w:rPr>
      <w:rFonts w:ascii="Times New Roman" w:hAnsi="Times New Roman"/>
      <w:sz w:val="20"/>
      <w:szCs w:val="20"/>
    </w:rPr>
  </w:style>
  <w:style w:type="character" w:styleId="FootnoteReference">
    <w:name w:val="footnote reference"/>
    <w:basedOn w:val="DefaultParagraphFont"/>
    <w:uiPriority w:val="99"/>
    <w:semiHidden/>
    <w:unhideWhenUsed/>
    <w:rsid w:val="00967F13"/>
    <w:rPr>
      <w:vertAlign w:val="superscript"/>
    </w:rPr>
  </w:style>
  <w:style w:type="character" w:customStyle="1" w:styleId="st">
    <w:name w:val="st"/>
    <w:basedOn w:val="DefaultParagraphFont"/>
    <w:rsid w:val="0019366A"/>
  </w:style>
  <w:style w:type="character" w:customStyle="1" w:styleId="Heading3Char">
    <w:name w:val="Heading 3 Char"/>
    <w:basedOn w:val="DefaultParagraphFont"/>
    <w:link w:val="Heading3"/>
    <w:uiPriority w:val="9"/>
    <w:semiHidden/>
    <w:rsid w:val="001936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173">
      <w:bodyDiv w:val="1"/>
      <w:marLeft w:val="0"/>
      <w:marRight w:val="0"/>
      <w:marTop w:val="0"/>
      <w:marBottom w:val="0"/>
      <w:divBdr>
        <w:top w:val="none" w:sz="0" w:space="0" w:color="auto"/>
        <w:left w:val="none" w:sz="0" w:space="0" w:color="auto"/>
        <w:bottom w:val="none" w:sz="0" w:space="0" w:color="auto"/>
        <w:right w:val="none" w:sz="0" w:space="0" w:color="auto"/>
      </w:divBdr>
    </w:div>
    <w:div w:id="558899875">
      <w:bodyDiv w:val="1"/>
      <w:marLeft w:val="0"/>
      <w:marRight w:val="0"/>
      <w:marTop w:val="0"/>
      <w:marBottom w:val="0"/>
      <w:divBdr>
        <w:top w:val="none" w:sz="0" w:space="0" w:color="auto"/>
        <w:left w:val="none" w:sz="0" w:space="0" w:color="auto"/>
        <w:bottom w:val="none" w:sz="0" w:space="0" w:color="auto"/>
        <w:right w:val="none" w:sz="0" w:space="0" w:color="auto"/>
      </w:divBdr>
    </w:div>
    <w:div w:id="633171221">
      <w:bodyDiv w:val="1"/>
      <w:marLeft w:val="0"/>
      <w:marRight w:val="0"/>
      <w:marTop w:val="0"/>
      <w:marBottom w:val="0"/>
      <w:divBdr>
        <w:top w:val="none" w:sz="0" w:space="0" w:color="auto"/>
        <w:left w:val="none" w:sz="0" w:space="0" w:color="auto"/>
        <w:bottom w:val="none" w:sz="0" w:space="0" w:color="auto"/>
        <w:right w:val="none" w:sz="0" w:space="0" w:color="auto"/>
      </w:divBdr>
    </w:div>
    <w:div w:id="914630058">
      <w:bodyDiv w:val="1"/>
      <w:marLeft w:val="0"/>
      <w:marRight w:val="0"/>
      <w:marTop w:val="0"/>
      <w:marBottom w:val="0"/>
      <w:divBdr>
        <w:top w:val="none" w:sz="0" w:space="0" w:color="auto"/>
        <w:left w:val="none" w:sz="0" w:space="0" w:color="auto"/>
        <w:bottom w:val="none" w:sz="0" w:space="0" w:color="auto"/>
        <w:right w:val="none" w:sz="0" w:space="0" w:color="auto"/>
      </w:divBdr>
    </w:div>
    <w:div w:id="996152718">
      <w:bodyDiv w:val="1"/>
      <w:marLeft w:val="0"/>
      <w:marRight w:val="0"/>
      <w:marTop w:val="0"/>
      <w:marBottom w:val="0"/>
      <w:divBdr>
        <w:top w:val="none" w:sz="0" w:space="0" w:color="auto"/>
        <w:left w:val="none" w:sz="0" w:space="0" w:color="auto"/>
        <w:bottom w:val="none" w:sz="0" w:space="0" w:color="auto"/>
        <w:right w:val="none" w:sz="0" w:space="0" w:color="auto"/>
      </w:divBdr>
    </w:div>
    <w:div w:id="1140999080">
      <w:bodyDiv w:val="1"/>
      <w:marLeft w:val="0"/>
      <w:marRight w:val="0"/>
      <w:marTop w:val="0"/>
      <w:marBottom w:val="0"/>
      <w:divBdr>
        <w:top w:val="none" w:sz="0" w:space="0" w:color="auto"/>
        <w:left w:val="none" w:sz="0" w:space="0" w:color="auto"/>
        <w:bottom w:val="none" w:sz="0" w:space="0" w:color="auto"/>
        <w:right w:val="none" w:sz="0" w:space="0" w:color="auto"/>
      </w:divBdr>
    </w:div>
    <w:div w:id="1725716462">
      <w:bodyDiv w:val="1"/>
      <w:marLeft w:val="0"/>
      <w:marRight w:val="0"/>
      <w:marTop w:val="0"/>
      <w:marBottom w:val="0"/>
      <w:divBdr>
        <w:top w:val="none" w:sz="0" w:space="0" w:color="auto"/>
        <w:left w:val="none" w:sz="0" w:space="0" w:color="auto"/>
        <w:bottom w:val="none" w:sz="0" w:space="0" w:color="auto"/>
        <w:right w:val="none" w:sz="0" w:space="0" w:color="auto"/>
      </w:divBdr>
    </w:div>
    <w:div w:id="1766069483">
      <w:bodyDiv w:val="1"/>
      <w:marLeft w:val="0"/>
      <w:marRight w:val="0"/>
      <w:marTop w:val="0"/>
      <w:marBottom w:val="0"/>
      <w:divBdr>
        <w:top w:val="none" w:sz="0" w:space="0" w:color="auto"/>
        <w:left w:val="none" w:sz="0" w:space="0" w:color="auto"/>
        <w:bottom w:val="none" w:sz="0" w:space="0" w:color="auto"/>
        <w:right w:val="none" w:sz="0" w:space="0" w:color="auto"/>
      </w:divBdr>
    </w:div>
    <w:div w:id="190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B914-3B92-4746-B3CD-9EA99276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KiDeuk</dc:creator>
  <cp:lastModifiedBy>adamsd</cp:lastModifiedBy>
  <cp:revision>3</cp:revision>
  <cp:lastPrinted>2013-12-11T15:44:00Z</cp:lastPrinted>
  <dcterms:created xsi:type="dcterms:W3CDTF">2013-12-17T15:34:00Z</dcterms:created>
  <dcterms:modified xsi:type="dcterms:W3CDTF">2013-12-17T15:34:00Z</dcterms:modified>
</cp:coreProperties>
</file>