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BDE" w:rsidRDefault="004A0BDE" w:rsidP="00E50489">
      <w:pPr>
        <w:rPr>
          <w:rFonts w:ascii="Times New Roman" w:hAnsi="Times New Roman" w:cs="Times New Roman"/>
        </w:rPr>
      </w:pPr>
    </w:p>
    <w:p w:rsidR="00E50489" w:rsidRPr="004A0BDE" w:rsidRDefault="00E50489" w:rsidP="00E50489">
      <w:pPr>
        <w:rPr>
          <w:rFonts w:ascii="Times New Roman" w:hAnsi="Times New Roman" w:cs="Times New Roman"/>
        </w:rPr>
      </w:pPr>
      <w:r w:rsidRPr="004A0BDE">
        <w:rPr>
          <w:rFonts w:ascii="Times New Roman" w:hAnsi="Times New Roman" w:cs="Times New Roman"/>
        </w:rPr>
        <w:t>Contract No.: ED-IES-12-C-0004</w:t>
      </w:r>
    </w:p>
    <w:p w:rsidR="00E50489" w:rsidRDefault="00E50489" w:rsidP="00E50489"/>
    <w:p w:rsidR="004A0BDE" w:rsidRDefault="004A0BDE" w:rsidP="00E50489"/>
    <w:p w:rsidR="00B6393D" w:rsidRDefault="00B6393D" w:rsidP="00E50489"/>
    <w:p w:rsidR="004A0BDE" w:rsidRDefault="004A0BDE" w:rsidP="00E50489"/>
    <w:p w:rsidR="004A0BDE" w:rsidRDefault="004A0BDE" w:rsidP="00E50489"/>
    <w:p w:rsidR="00F418C1" w:rsidRDefault="00E50489" w:rsidP="004A0BDE">
      <w:pPr>
        <w:spacing w:after="0"/>
        <w:ind w:left="2880"/>
        <w:rPr>
          <w:rFonts w:ascii="Times New Roman" w:hAnsi="Times New Roman" w:cs="Times New Roman"/>
          <w:b/>
          <w:sz w:val="32"/>
          <w:szCs w:val="32"/>
        </w:rPr>
      </w:pPr>
      <w:r w:rsidRPr="004A0BDE">
        <w:rPr>
          <w:rFonts w:ascii="Times New Roman" w:hAnsi="Times New Roman" w:cs="Times New Roman"/>
          <w:b/>
          <w:sz w:val="32"/>
          <w:szCs w:val="32"/>
        </w:rPr>
        <w:t>Supporting Justification</w:t>
      </w:r>
    </w:p>
    <w:p w:rsidR="00F418C1" w:rsidRDefault="00F418C1" w:rsidP="004A0BDE">
      <w:pPr>
        <w:spacing w:after="0"/>
        <w:ind w:left="2880"/>
        <w:rPr>
          <w:rFonts w:ascii="Times New Roman" w:hAnsi="Times New Roman" w:cs="Times New Roman"/>
          <w:b/>
          <w:sz w:val="32"/>
          <w:szCs w:val="32"/>
        </w:rPr>
      </w:pPr>
      <w:proofErr w:type="gramStart"/>
      <w:r>
        <w:rPr>
          <w:rFonts w:ascii="Times New Roman" w:hAnsi="Times New Roman" w:cs="Times New Roman"/>
          <w:b/>
          <w:sz w:val="32"/>
          <w:szCs w:val="32"/>
        </w:rPr>
        <w:t>f</w:t>
      </w:r>
      <w:r w:rsidR="00E50489" w:rsidRPr="004A0BDE">
        <w:rPr>
          <w:rFonts w:ascii="Times New Roman" w:hAnsi="Times New Roman" w:cs="Times New Roman"/>
          <w:b/>
          <w:sz w:val="32"/>
          <w:szCs w:val="32"/>
        </w:rPr>
        <w:t>or</w:t>
      </w:r>
      <w:proofErr w:type="gramEnd"/>
      <w:r>
        <w:rPr>
          <w:rFonts w:ascii="Times New Roman" w:hAnsi="Times New Roman" w:cs="Times New Roman"/>
          <w:b/>
          <w:sz w:val="32"/>
          <w:szCs w:val="32"/>
        </w:rPr>
        <w:t xml:space="preserve"> </w:t>
      </w:r>
      <w:r w:rsidR="00E50489" w:rsidRPr="004A0BDE">
        <w:rPr>
          <w:rFonts w:ascii="Times New Roman" w:hAnsi="Times New Roman" w:cs="Times New Roman"/>
          <w:b/>
          <w:sz w:val="32"/>
          <w:szCs w:val="32"/>
        </w:rPr>
        <w:t xml:space="preserve">OMB Clearance of a </w:t>
      </w:r>
    </w:p>
    <w:p w:rsidR="00F418C1" w:rsidRDefault="00E50489" w:rsidP="004A0BDE">
      <w:pPr>
        <w:spacing w:after="0"/>
        <w:ind w:left="2880"/>
        <w:rPr>
          <w:rFonts w:ascii="Times New Roman" w:hAnsi="Times New Roman" w:cs="Times New Roman"/>
          <w:b/>
          <w:sz w:val="32"/>
          <w:szCs w:val="32"/>
        </w:rPr>
      </w:pPr>
      <w:r w:rsidRPr="004A0BDE">
        <w:rPr>
          <w:rFonts w:ascii="Times New Roman" w:hAnsi="Times New Roman" w:cs="Times New Roman"/>
          <w:b/>
          <w:sz w:val="32"/>
          <w:szCs w:val="32"/>
        </w:rPr>
        <w:t>Needs</w:t>
      </w:r>
      <w:r w:rsidR="00F418C1">
        <w:rPr>
          <w:rFonts w:ascii="Times New Roman" w:hAnsi="Times New Roman" w:cs="Times New Roman"/>
          <w:b/>
          <w:sz w:val="32"/>
          <w:szCs w:val="32"/>
        </w:rPr>
        <w:t xml:space="preserve"> </w:t>
      </w:r>
      <w:r w:rsidRPr="004A0BDE">
        <w:rPr>
          <w:rFonts w:ascii="Times New Roman" w:hAnsi="Times New Roman" w:cs="Times New Roman"/>
          <w:b/>
          <w:sz w:val="32"/>
          <w:szCs w:val="32"/>
        </w:rPr>
        <w:t>Sensing Survey</w:t>
      </w:r>
    </w:p>
    <w:p w:rsidR="00F418C1" w:rsidRDefault="00E50489" w:rsidP="004A0BDE">
      <w:pPr>
        <w:spacing w:after="0"/>
        <w:ind w:left="2880"/>
        <w:rPr>
          <w:rFonts w:ascii="Times New Roman" w:hAnsi="Times New Roman" w:cs="Times New Roman"/>
          <w:b/>
          <w:sz w:val="32"/>
          <w:szCs w:val="32"/>
        </w:rPr>
      </w:pPr>
      <w:proofErr w:type="gramStart"/>
      <w:r w:rsidRPr="004A0BDE">
        <w:rPr>
          <w:rFonts w:ascii="Times New Roman" w:hAnsi="Times New Roman" w:cs="Times New Roman"/>
          <w:b/>
          <w:sz w:val="32"/>
          <w:szCs w:val="32"/>
        </w:rPr>
        <w:t>under</w:t>
      </w:r>
      <w:proofErr w:type="gramEnd"/>
      <w:r w:rsidR="004A0BDE">
        <w:rPr>
          <w:rFonts w:ascii="Times New Roman" w:hAnsi="Times New Roman" w:cs="Times New Roman"/>
          <w:b/>
          <w:sz w:val="32"/>
          <w:szCs w:val="32"/>
        </w:rPr>
        <w:t xml:space="preserve"> the</w:t>
      </w:r>
      <w:r w:rsidR="00F418C1">
        <w:rPr>
          <w:rFonts w:ascii="Times New Roman" w:hAnsi="Times New Roman" w:cs="Times New Roman"/>
          <w:b/>
          <w:sz w:val="32"/>
          <w:szCs w:val="32"/>
        </w:rPr>
        <w:t xml:space="preserve"> </w:t>
      </w:r>
      <w:r w:rsidRPr="004A0BDE">
        <w:rPr>
          <w:rFonts w:ascii="Times New Roman" w:hAnsi="Times New Roman" w:cs="Times New Roman"/>
          <w:b/>
          <w:sz w:val="32"/>
          <w:szCs w:val="32"/>
        </w:rPr>
        <w:t>Regional</w:t>
      </w:r>
    </w:p>
    <w:p w:rsidR="00F418C1" w:rsidRDefault="00E50489" w:rsidP="00F418C1">
      <w:pPr>
        <w:spacing w:after="0"/>
        <w:ind w:left="2880"/>
        <w:rPr>
          <w:rFonts w:ascii="Times New Roman" w:hAnsi="Times New Roman" w:cs="Times New Roman"/>
          <w:b/>
          <w:sz w:val="32"/>
          <w:szCs w:val="32"/>
        </w:rPr>
      </w:pPr>
      <w:r w:rsidRPr="004A0BDE">
        <w:rPr>
          <w:rFonts w:ascii="Times New Roman" w:hAnsi="Times New Roman" w:cs="Times New Roman"/>
          <w:b/>
          <w:sz w:val="32"/>
          <w:szCs w:val="32"/>
        </w:rPr>
        <w:t>Educational</w:t>
      </w:r>
      <w:r w:rsidR="00F418C1">
        <w:rPr>
          <w:rFonts w:ascii="Times New Roman" w:hAnsi="Times New Roman" w:cs="Times New Roman"/>
          <w:b/>
          <w:sz w:val="32"/>
          <w:szCs w:val="32"/>
        </w:rPr>
        <w:t xml:space="preserve"> </w:t>
      </w:r>
      <w:r w:rsidRPr="004A0BDE">
        <w:rPr>
          <w:rFonts w:ascii="Times New Roman" w:hAnsi="Times New Roman" w:cs="Times New Roman"/>
          <w:b/>
          <w:sz w:val="32"/>
          <w:szCs w:val="32"/>
        </w:rPr>
        <w:t>Laboratory</w:t>
      </w:r>
    </w:p>
    <w:p w:rsidR="00E50489" w:rsidRPr="004A0BDE" w:rsidRDefault="00E50489" w:rsidP="00F418C1">
      <w:pPr>
        <w:spacing w:after="0"/>
        <w:ind w:left="2880"/>
        <w:rPr>
          <w:rFonts w:ascii="Times New Roman" w:hAnsi="Times New Roman" w:cs="Times New Roman"/>
          <w:b/>
          <w:sz w:val="32"/>
          <w:szCs w:val="32"/>
        </w:rPr>
      </w:pPr>
      <w:r w:rsidRPr="004A0BDE">
        <w:rPr>
          <w:rFonts w:ascii="Times New Roman" w:hAnsi="Times New Roman" w:cs="Times New Roman"/>
          <w:b/>
          <w:sz w:val="32"/>
          <w:szCs w:val="32"/>
        </w:rPr>
        <w:t>Program (REL)</w:t>
      </w:r>
    </w:p>
    <w:p w:rsidR="00E50489" w:rsidRPr="004A0BDE" w:rsidRDefault="00E50489" w:rsidP="00E50489">
      <w:pPr>
        <w:ind w:left="2880"/>
        <w:rPr>
          <w:rFonts w:ascii="Times New Roman" w:hAnsi="Times New Roman" w:cs="Times New Roman"/>
          <w:b/>
          <w:i/>
          <w:sz w:val="32"/>
          <w:szCs w:val="32"/>
        </w:rPr>
      </w:pPr>
      <w:r w:rsidRPr="004A0BDE">
        <w:rPr>
          <w:rFonts w:ascii="Times New Roman" w:hAnsi="Times New Roman" w:cs="Times New Roman"/>
          <w:b/>
          <w:i/>
          <w:sz w:val="32"/>
          <w:szCs w:val="32"/>
        </w:rPr>
        <w:t xml:space="preserve">Section </w:t>
      </w:r>
      <w:r w:rsidR="00EB3BE8">
        <w:rPr>
          <w:rFonts w:ascii="Times New Roman" w:hAnsi="Times New Roman" w:cs="Times New Roman"/>
          <w:b/>
          <w:i/>
          <w:sz w:val="32"/>
          <w:szCs w:val="32"/>
        </w:rPr>
        <w:t>B</w:t>
      </w:r>
    </w:p>
    <w:p w:rsidR="00E32E1D" w:rsidRPr="004A0BDE" w:rsidRDefault="00E50489" w:rsidP="00E50489">
      <w:pPr>
        <w:ind w:left="2880"/>
        <w:rPr>
          <w:rFonts w:ascii="Times New Roman" w:hAnsi="Times New Roman" w:cs="Times New Roman"/>
          <w:sz w:val="28"/>
          <w:szCs w:val="28"/>
        </w:rPr>
      </w:pPr>
      <w:r w:rsidRPr="004A0BDE">
        <w:rPr>
          <w:rFonts w:ascii="Times New Roman" w:hAnsi="Times New Roman" w:cs="Times New Roman"/>
          <w:b/>
          <w:i/>
          <w:sz w:val="28"/>
          <w:szCs w:val="28"/>
        </w:rPr>
        <w:t>June, 2012</w:t>
      </w:r>
    </w:p>
    <w:p w:rsidR="00E50489" w:rsidRDefault="00E50489" w:rsidP="00E50489">
      <w:pPr>
        <w:rPr>
          <w:rFonts w:ascii="Times New Roman" w:hAnsi="Times New Roman" w:cs="Times New Roman"/>
          <w:sz w:val="24"/>
          <w:szCs w:val="24"/>
        </w:rPr>
      </w:pPr>
    </w:p>
    <w:p w:rsidR="00E50489" w:rsidRDefault="00E50489" w:rsidP="00E50489">
      <w:pPr>
        <w:rPr>
          <w:rFonts w:ascii="Times New Roman" w:hAnsi="Times New Roman" w:cs="Times New Roman"/>
          <w:sz w:val="24"/>
          <w:szCs w:val="24"/>
        </w:rPr>
      </w:pPr>
    </w:p>
    <w:p w:rsidR="00E50489" w:rsidRDefault="00E50489" w:rsidP="00E50489">
      <w:pPr>
        <w:rPr>
          <w:rFonts w:ascii="Times New Roman" w:hAnsi="Times New Roman" w:cs="Times New Roman"/>
          <w:sz w:val="24"/>
          <w:szCs w:val="24"/>
        </w:rPr>
      </w:pPr>
    </w:p>
    <w:p w:rsidR="004A0BDE" w:rsidRDefault="004A0BDE" w:rsidP="00E50489">
      <w:pPr>
        <w:rPr>
          <w:rFonts w:ascii="Times New Roman" w:hAnsi="Times New Roman" w:cs="Times New Roman"/>
          <w:sz w:val="24"/>
          <w:szCs w:val="24"/>
        </w:rPr>
      </w:pPr>
    </w:p>
    <w:p w:rsidR="00E50489" w:rsidRDefault="00E50489" w:rsidP="00E50489">
      <w:pPr>
        <w:rPr>
          <w:rFonts w:ascii="Times New Roman" w:hAnsi="Times New Roman" w:cs="Times New Roman"/>
          <w:sz w:val="24"/>
          <w:szCs w:val="24"/>
        </w:rPr>
      </w:pPr>
    </w:p>
    <w:p w:rsidR="004A0BDE" w:rsidRPr="004A0BDE" w:rsidRDefault="00E50489" w:rsidP="004A0BDE">
      <w:pPr>
        <w:rPr>
          <w:rFonts w:ascii="Times New Roman" w:hAnsi="Times New Roman" w:cs="Times New Roman"/>
          <w:sz w:val="24"/>
          <w:szCs w:val="24"/>
        </w:rPr>
      </w:pPr>
      <w:r w:rsidRPr="00E50489">
        <w:rPr>
          <w:rFonts w:ascii="Times New Roman" w:hAnsi="Times New Roman" w:cs="Times New Roman"/>
          <w:sz w:val="24"/>
          <w:szCs w:val="24"/>
        </w:rPr>
        <w:t>Submitted to:</w:t>
      </w:r>
      <w:r w:rsidR="004A0BDE">
        <w:rPr>
          <w:rFonts w:ascii="Times New Roman" w:hAnsi="Times New Roman" w:cs="Times New Roman"/>
          <w:sz w:val="24"/>
          <w:szCs w:val="24"/>
        </w:rPr>
        <w:tab/>
      </w:r>
      <w:r w:rsidR="004A0BDE">
        <w:rPr>
          <w:rFonts w:ascii="Times New Roman" w:hAnsi="Times New Roman" w:cs="Times New Roman"/>
          <w:sz w:val="24"/>
          <w:szCs w:val="24"/>
        </w:rPr>
        <w:tab/>
      </w:r>
      <w:r w:rsidR="004A0BDE">
        <w:rPr>
          <w:rFonts w:ascii="Times New Roman" w:hAnsi="Times New Roman" w:cs="Times New Roman"/>
          <w:sz w:val="24"/>
          <w:szCs w:val="24"/>
        </w:rPr>
        <w:tab/>
      </w:r>
      <w:r w:rsidR="004A0BDE">
        <w:rPr>
          <w:rFonts w:ascii="Times New Roman" w:hAnsi="Times New Roman" w:cs="Times New Roman"/>
          <w:sz w:val="24"/>
          <w:szCs w:val="24"/>
        </w:rPr>
        <w:tab/>
      </w:r>
      <w:r w:rsidR="004A0BDE">
        <w:rPr>
          <w:rFonts w:ascii="Times New Roman" w:hAnsi="Times New Roman" w:cs="Times New Roman"/>
          <w:sz w:val="24"/>
          <w:szCs w:val="24"/>
        </w:rPr>
        <w:tab/>
      </w:r>
      <w:r w:rsidR="004A0BDE">
        <w:rPr>
          <w:rFonts w:ascii="Times New Roman" w:hAnsi="Times New Roman" w:cs="Times New Roman"/>
          <w:sz w:val="24"/>
          <w:szCs w:val="24"/>
        </w:rPr>
        <w:tab/>
      </w:r>
      <w:r w:rsidR="004A0BDE" w:rsidRPr="004A0BDE">
        <w:rPr>
          <w:rFonts w:ascii="Times New Roman" w:hAnsi="Times New Roman" w:cs="Times New Roman"/>
          <w:sz w:val="24"/>
          <w:szCs w:val="24"/>
        </w:rPr>
        <w:t>Submitted by:</w:t>
      </w:r>
    </w:p>
    <w:p w:rsidR="00E50489" w:rsidRPr="00E50489" w:rsidRDefault="00E50489" w:rsidP="004A0BDE">
      <w:pPr>
        <w:spacing w:after="0"/>
        <w:ind w:firstLine="720"/>
        <w:rPr>
          <w:rFonts w:ascii="Times New Roman" w:hAnsi="Times New Roman" w:cs="Times New Roman"/>
          <w:sz w:val="24"/>
          <w:szCs w:val="24"/>
        </w:rPr>
      </w:pPr>
      <w:r w:rsidRPr="00E50489">
        <w:rPr>
          <w:rFonts w:ascii="Times New Roman" w:hAnsi="Times New Roman" w:cs="Times New Roman"/>
          <w:sz w:val="24"/>
          <w:szCs w:val="24"/>
        </w:rPr>
        <w:t>U.S. Department of Education</w:t>
      </w:r>
      <w:r w:rsidR="004A0BDE">
        <w:rPr>
          <w:rFonts w:ascii="Times New Roman" w:hAnsi="Times New Roman" w:cs="Times New Roman"/>
          <w:sz w:val="24"/>
          <w:szCs w:val="24"/>
        </w:rPr>
        <w:tab/>
      </w:r>
      <w:r w:rsidR="004A0BDE">
        <w:rPr>
          <w:rFonts w:ascii="Times New Roman" w:hAnsi="Times New Roman" w:cs="Times New Roman"/>
          <w:sz w:val="24"/>
          <w:szCs w:val="24"/>
        </w:rPr>
        <w:tab/>
      </w:r>
      <w:r w:rsidR="004A0BDE">
        <w:rPr>
          <w:rFonts w:ascii="Times New Roman" w:hAnsi="Times New Roman" w:cs="Times New Roman"/>
          <w:sz w:val="24"/>
          <w:szCs w:val="24"/>
        </w:rPr>
        <w:tab/>
        <w:t>American Institutes for Research</w:t>
      </w:r>
    </w:p>
    <w:p w:rsidR="00E50489" w:rsidRPr="00E50489" w:rsidRDefault="00E50489" w:rsidP="004A0BDE">
      <w:pPr>
        <w:spacing w:after="0"/>
        <w:ind w:firstLine="720"/>
        <w:rPr>
          <w:rFonts w:ascii="Times New Roman" w:hAnsi="Times New Roman" w:cs="Times New Roman"/>
          <w:sz w:val="24"/>
          <w:szCs w:val="24"/>
        </w:rPr>
      </w:pPr>
      <w:r w:rsidRPr="00E50489">
        <w:rPr>
          <w:rFonts w:ascii="Times New Roman" w:hAnsi="Times New Roman" w:cs="Times New Roman"/>
          <w:sz w:val="24"/>
          <w:szCs w:val="24"/>
        </w:rPr>
        <w:t>Institute of Education Sciences</w:t>
      </w:r>
      <w:r w:rsidR="00365AB7">
        <w:rPr>
          <w:rFonts w:ascii="Times New Roman" w:hAnsi="Times New Roman" w:cs="Times New Roman"/>
          <w:sz w:val="24"/>
          <w:szCs w:val="24"/>
        </w:rPr>
        <w:tab/>
      </w:r>
      <w:r w:rsidR="00365AB7">
        <w:rPr>
          <w:rFonts w:ascii="Times New Roman" w:hAnsi="Times New Roman" w:cs="Times New Roman"/>
          <w:sz w:val="24"/>
          <w:szCs w:val="24"/>
        </w:rPr>
        <w:tab/>
      </w:r>
      <w:r w:rsidR="00365AB7">
        <w:rPr>
          <w:rFonts w:ascii="Times New Roman" w:hAnsi="Times New Roman" w:cs="Times New Roman"/>
          <w:sz w:val="24"/>
          <w:szCs w:val="24"/>
        </w:rPr>
        <w:tab/>
      </w:r>
      <w:r w:rsidR="00794515">
        <w:rPr>
          <w:rFonts w:ascii="Times New Roman" w:hAnsi="Times New Roman" w:cs="Times New Roman"/>
          <w:sz w:val="24"/>
          <w:szCs w:val="24"/>
        </w:rPr>
        <w:t>1120 E. Diehl Road, Suite 200</w:t>
      </w:r>
    </w:p>
    <w:p w:rsidR="00E50489" w:rsidRPr="00E50489" w:rsidRDefault="00E50489" w:rsidP="004A0BDE">
      <w:pPr>
        <w:spacing w:after="0"/>
        <w:ind w:firstLine="720"/>
        <w:rPr>
          <w:rFonts w:ascii="Times New Roman" w:hAnsi="Times New Roman" w:cs="Times New Roman"/>
          <w:sz w:val="24"/>
          <w:szCs w:val="24"/>
        </w:rPr>
      </w:pPr>
      <w:r w:rsidRPr="00E50489">
        <w:rPr>
          <w:rFonts w:ascii="Times New Roman" w:hAnsi="Times New Roman" w:cs="Times New Roman"/>
          <w:sz w:val="24"/>
          <w:szCs w:val="24"/>
        </w:rPr>
        <w:t>555 New Jersey Ave., NW, Rm. 308</w:t>
      </w:r>
      <w:r w:rsidR="00365AB7">
        <w:rPr>
          <w:rFonts w:ascii="Times New Roman" w:hAnsi="Times New Roman" w:cs="Times New Roman"/>
          <w:sz w:val="24"/>
          <w:szCs w:val="24"/>
        </w:rPr>
        <w:tab/>
      </w:r>
      <w:r w:rsidR="00365AB7">
        <w:rPr>
          <w:rFonts w:ascii="Times New Roman" w:hAnsi="Times New Roman" w:cs="Times New Roman"/>
          <w:sz w:val="24"/>
          <w:szCs w:val="24"/>
        </w:rPr>
        <w:tab/>
      </w:r>
      <w:r w:rsidR="00365AB7">
        <w:rPr>
          <w:rFonts w:ascii="Times New Roman" w:hAnsi="Times New Roman" w:cs="Times New Roman"/>
          <w:sz w:val="24"/>
          <w:szCs w:val="24"/>
        </w:rPr>
        <w:tab/>
      </w:r>
      <w:r w:rsidR="00794515">
        <w:rPr>
          <w:rFonts w:ascii="Times New Roman" w:hAnsi="Times New Roman" w:cs="Times New Roman"/>
          <w:sz w:val="24"/>
          <w:szCs w:val="24"/>
        </w:rPr>
        <w:t>Naperville, IL 60563</w:t>
      </w:r>
    </w:p>
    <w:p w:rsidR="00E50489" w:rsidRPr="00E50489" w:rsidRDefault="00E50489" w:rsidP="004A0BDE">
      <w:pPr>
        <w:spacing w:after="0"/>
        <w:ind w:firstLine="720"/>
        <w:rPr>
          <w:rFonts w:ascii="Times New Roman" w:hAnsi="Times New Roman" w:cs="Times New Roman"/>
          <w:sz w:val="24"/>
          <w:szCs w:val="24"/>
        </w:rPr>
      </w:pPr>
      <w:r w:rsidRPr="00E50489">
        <w:rPr>
          <w:rFonts w:ascii="Times New Roman" w:hAnsi="Times New Roman" w:cs="Times New Roman"/>
          <w:sz w:val="24"/>
          <w:szCs w:val="24"/>
        </w:rPr>
        <w:t>Washington, DC 20208</w:t>
      </w:r>
      <w:r w:rsidR="00365AB7">
        <w:rPr>
          <w:rFonts w:ascii="Times New Roman" w:hAnsi="Times New Roman" w:cs="Times New Roman"/>
          <w:sz w:val="24"/>
          <w:szCs w:val="24"/>
        </w:rPr>
        <w:tab/>
      </w:r>
      <w:r w:rsidR="00365AB7">
        <w:rPr>
          <w:rFonts w:ascii="Times New Roman" w:hAnsi="Times New Roman" w:cs="Times New Roman"/>
          <w:sz w:val="24"/>
          <w:szCs w:val="24"/>
        </w:rPr>
        <w:tab/>
      </w:r>
      <w:r w:rsidR="00365AB7">
        <w:rPr>
          <w:rFonts w:ascii="Times New Roman" w:hAnsi="Times New Roman" w:cs="Times New Roman"/>
          <w:sz w:val="24"/>
          <w:szCs w:val="24"/>
        </w:rPr>
        <w:tab/>
      </w:r>
      <w:r w:rsidR="00365AB7">
        <w:rPr>
          <w:rFonts w:ascii="Times New Roman" w:hAnsi="Times New Roman" w:cs="Times New Roman"/>
          <w:sz w:val="24"/>
          <w:szCs w:val="24"/>
        </w:rPr>
        <w:tab/>
      </w:r>
      <w:r w:rsidR="00794515">
        <w:rPr>
          <w:rFonts w:ascii="Times New Roman" w:hAnsi="Times New Roman" w:cs="Times New Roman"/>
          <w:sz w:val="24"/>
          <w:szCs w:val="24"/>
        </w:rPr>
        <w:t>(630) 649-6563</w:t>
      </w:r>
    </w:p>
    <w:p w:rsidR="00E50489" w:rsidRDefault="00E50489" w:rsidP="004A0BDE">
      <w:pPr>
        <w:spacing w:after="0"/>
        <w:ind w:firstLine="720"/>
        <w:rPr>
          <w:rFonts w:ascii="Times New Roman" w:hAnsi="Times New Roman" w:cs="Times New Roman"/>
          <w:sz w:val="24"/>
          <w:szCs w:val="24"/>
        </w:rPr>
      </w:pPr>
      <w:r w:rsidRPr="00E50489">
        <w:rPr>
          <w:rFonts w:ascii="Times New Roman" w:hAnsi="Times New Roman" w:cs="Times New Roman"/>
          <w:sz w:val="24"/>
          <w:szCs w:val="24"/>
        </w:rPr>
        <w:t>(202) 208-7078</w:t>
      </w:r>
    </w:p>
    <w:p w:rsidR="00E32E1D" w:rsidRDefault="00E32E1D" w:rsidP="00E32E1D">
      <w:pPr>
        <w:spacing w:after="0"/>
        <w:rPr>
          <w:rFonts w:ascii="Times New Roman" w:hAnsi="Times New Roman" w:cs="Times New Roman"/>
          <w:sz w:val="24"/>
          <w:szCs w:val="24"/>
        </w:rPr>
      </w:pPr>
    </w:p>
    <w:p w:rsidR="00097797" w:rsidRDefault="00097797" w:rsidP="00097797">
      <w:pPr>
        <w:spacing w:after="0"/>
        <w:ind w:left="360"/>
        <w:rPr>
          <w:rFonts w:ascii="Times New Roman" w:hAnsi="Times New Roman" w:cs="Times New Roman"/>
          <w:sz w:val="24"/>
          <w:szCs w:val="24"/>
        </w:rPr>
      </w:pPr>
      <w:r>
        <w:rPr>
          <w:rFonts w:ascii="Times New Roman" w:hAnsi="Times New Roman" w:cs="Times New Roman"/>
          <w:sz w:val="24"/>
          <w:szCs w:val="24"/>
        </w:rPr>
        <w:t>Project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Project Director:</w:t>
      </w:r>
    </w:p>
    <w:p w:rsidR="00097797" w:rsidRDefault="00B6393D">
      <w:pPr>
        <w:rPr>
          <w:rFonts w:ascii="Times New Roman" w:hAnsi="Times New Roman" w:cs="Times New Roman"/>
          <w:sz w:val="24"/>
          <w:szCs w:val="24"/>
        </w:rPr>
      </w:pPr>
      <w:r>
        <w:rPr>
          <w:rFonts w:ascii="Times New Roman" w:hAnsi="Times New Roman" w:cs="Times New Roman"/>
          <w:sz w:val="24"/>
          <w:szCs w:val="24"/>
        </w:rPr>
        <w:tab/>
      </w:r>
      <w:proofErr w:type="gramStart"/>
      <w:r w:rsidR="00794515">
        <w:rPr>
          <w:rFonts w:ascii="Times New Roman" w:hAnsi="Times New Roman" w:cs="Times New Roman"/>
          <w:sz w:val="24"/>
          <w:szCs w:val="24"/>
        </w:rPr>
        <w:t xml:space="preserve">Christopher Boccanfuso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4515">
        <w:rPr>
          <w:rFonts w:ascii="Times New Roman" w:hAnsi="Times New Roman" w:cs="Times New Roman"/>
          <w:sz w:val="24"/>
          <w:szCs w:val="24"/>
        </w:rPr>
        <w:t xml:space="preserve">     </w:t>
      </w:r>
      <w:r w:rsidR="001432C8">
        <w:rPr>
          <w:rFonts w:ascii="Times New Roman" w:hAnsi="Times New Roman" w:cs="Times New Roman"/>
          <w:sz w:val="24"/>
          <w:szCs w:val="24"/>
        </w:rPr>
        <w:tab/>
      </w:r>
      <w:r>
        <w:rPr>
          <w:rFonts w:ascii="Times New Roman" w:hAnsi="Times New Roman" w:cs="Times New Roman"/>
          <w:sz w:val="24"/>
          <w:szCs w:val="24"/>
        </w:rPr>
        <w:t>Matt Dawson, Ph.D.</w:t>
      </w:r>
      <w:proofErr w:type="gramEnd"/>
      <w:r w:rsidR="00097797">
        <w:rPr>
          <w:rFonts w:ascii="Times New Roman" w:hAnsi="Times New Roman" w:cs="Times New Roman"/>
          <w:sz w:val="24"/>
          <w:szCs w:val="24"/>
        </w:rPr>
        <w:br w:type="page"/>
      </w:r>
    </w:p>
    <w:p w:rsidR="00097797" w:rsidRPr="00EC2F88" w:rsidRDefault="00097797" w:rsidP="00097797">
      <w:pPr>
        <w:spacing w:after="0"/>
        <w:jc w:val="center"/>
        <w:rPr>
          <w:rFonts w:ascii="Times New Roman" w:hAnsi="Times New Roman" w:cs="Times New Roman"/>
          <w:b/>
          <w:sz w:val="24"/>
          <w:szCs w:val="24"/>
        </w:rPr>
      </w:pPr>
      <w:r w:rsidRPr="00EC2F88">
        <w:rPr>
          <w:rFonts w:ascii="Times New Roman" w:hAnsi="Times New Roman" w:cs="Times New Roman"/>
          <w:b/>
          <w:sz w:val="24"/>
          <w:szCs w:val="24"/>
        </w:rPr>
        <w:lastRenderedPageBreak/>
        <w:t>CONTENTS</w:t>
      </w:r>
    </w:p>
    <w:p w:rsidR="00097797" w:rsidRPr="00097797" w:rsidRDefault="00097797" w:rsidP="00097797">
      <w:pPr>
        <w:spacing w:after="0"/>
        <w:jc w:val="center"/>
        <w:rPr>
          <w:rFonts w:ascii="Times New Roman" w:hAnsi="Times New Roman" w:cs="Times New Roman"/>
          <w:sz w:val="24"/>
          <w:szCs w:val="24"/>
        </w:rPr>
      </w:pPr>
    </w:p>
    <w:p w:rsidR="00097797" w:rsidRDefault="00097797" w:rsidP="00097797">
      <w:pPr>
        <w:spacing w:after="0"/>
        <w:ind w:left="7920" w:firstLine="720"/>
        <w:rPr>
          <w:rFonts w:ascii="Times New Roman" w:hAnsi="Times New Roman" w:cs="Times New Roman"/>
          <w:b/>
          <w:sz w:val="24"/>
          <w:szCs w:val="24"/>
        </w:rPr>
      </w:pPr>
      <w:r w:rsidRPr="00EC2F88">
        <w:rPr>
          <w:rFonts w:ascii="Times New Roman" w:hAnsi="Times New Roman" w:cs="Times New Roman"/>
          <w:b/>
          <w:sz w:val="24"/>
          <w:szCs w:val="24"/>
        </w:rPr>
        <w:t>Page</w:t>
      </w:r>
    </w:p>
    <w:p w:rsidR="00EC2F88" w:rsidRPr="00EC2F88" w:rsidRDefault="00EC2F88" w:rsidP="00EC2F88">
      <w:pPr>
        <w:spacing w:after="0" w:line="240" w:lineRule="auto"/>
        <w:ind w:left="7920" w:firstLine="720"/>
        <w:rPr>
          <w:rFonts w:ascii="Times New Roman" w:hAnsi="Times New Roman" w:cs="Times New Roman"/>
          <w:b/>
          <w:sz w:val="24"/>
          <w:szCs w:val="24"/>
        </w:rPr>
      </w:pPr>
    </w:p>
    <w:p w:rsidR="00EB3BE8" w:rsidRDefault="00EB3BE8" w:rsidP="00EB3BE8">
      <w:pPr>
        <w:tabs>
          <w:tab w:val="left" w:pos="720"/>
          <w:tab w:val="right" w:leader="dot" w:pos="9000"/>
        </w:tabs>
        <w:spacing w:after="0"/>
        <w:rPr>
          <w:rFonts w:ascii="Times New Roman" w:hAnsi="Times New Roman" w:cs="Times New Roman"/>
          <w:sz w:val="24"/>
          <w:szCs w:val="24"/>
        </w:rPr>
      </w:pPr>
      <w:r>
        <w:rPr>
          <w:rFonts w:ascii="Times New Roman" w:hAnsi="Times New Roman" w:cs="Times New Roman"/>
          <w:sz w:val="24"/>
          <w:szCs w:val="24"/>
        </w:rPr>
        <w:t>B</w:t>
      </w:r>
      <w:r w:rsidR="00097797">
        <w:rPr>
          <w:rFonts w:ascii="Times New Roman" w:hAnsi="Times New Roman" w:cs="Times New Roman"/>
          <w:sz w:val="24"/>
          <w:szCs w:val="24"/>
        </w:rPr>
        <w:t>.</w:t>
      </w:r>
      <w:r w:rsidR="00097797">
        <w:rPr>
          <w:rFonts w:ascii="Times New Roman" w:hAnsi="Times New Roman" w:cs="Times New Roman"/>
          <w:sz w:val="24"/>
          <w:szCs w:val="24"/>
        </w:rPr>
        <w:tab/>
      </w:r>
      <w:r w:rsidRPr="00EB3BE8">
        <w:rPr>
          <w:rFonts w:ascii="Times New Roman" w:hAnsi="Times New Roman" w:cs="Times New Roman"/>
          <w:sz w:val="24"/>
          <w:szCs w:val="24"/>
        </w:rPr>
        <w:t>COLLECTION OF INFORMATION EMPLOYING STATISTICAL</w:t>
      </w:r>
    </w:p>
    <w:p w:rsidR="00097797" w:rsidRDefault="00EB3BE8" w:rsidP="00EB3BE8">
      <w:pPr>
        <w:tabs>
          <w:tab w:val="left" w:pos="720"/>
          <w:tab w:val="right" w:leader="dot" w:pos="9000"/>
        </w:tabs>
        <w:spacing w:after="0"/>
        <w:rPr>
          <w:rFonts w:ascii="Times New Roman" w:hAnsi="Times New Roman" w:cs="Times New Roman"/>
          <w:sz w:val="24"/>
          <w:szCs w:val="24"/>
        </w:rPr>
      </w:pPr>
      <w:r>
        <w:rPr>
          <w:rFonts w:ascii="Times New Roman" w:hAnsi="Times New Roman" w:cs="Times New Roman"/>
          <w:sz w:val="24"/>
          <w:szCs w:val="24"/>
        </w:rPr>
        <w:tab/>
      </w:r>
      <w:r w:rsidRPr="00EB3BE8">
        <w:rPr>
          <w:rFonts w:ascii="Times New Roman" w:hAnsi="Times New Roman" w:cs="Times New Roman"/>
          <w:sz w:val="24"/>
          <w:szCs w:val="24"/>
        </w:rPr>
        <w:t>METHODS</w:t>
      </w:r>
      <w:r w:rsidR="00457C8B">
        <w:rPr>
          <w:rFonts w:ascii="Times New Roman" w:hAnsi="Times New Roman" w:cs="Times New Roman"/>
          <w:sz w:val="24"/>
          <w:szCs w:val="24"/>
        </w:rPr>
        <w:t xml:space="preserve"> </w:t>
      </w:r>
      <w:r w:rsidR="00FD6315">
        <w:rPr>
          <w:rFonts w:ascii="Times New Roman" w:hAnsi="Times New Roman" w:cs="Times New Roman"/>
          <w:sz w:val="24"/>
          <w:szCs w:val="24"/>
        </w:rPr>
        <w:tab/>
      </w:r>
      <w:r w:rsidR="00097797" w:rsidRPr="00097797">
        <w:rPr>
          <w:rFonts w:ascii="Times New Roman" w:hAnsi="Times New Roman" w:cs="Times New Roman"/>
          <w:sz w:val="24"/>
          <w:szCs w:val="24"/>
        </w:rPr>
        <w:t>1</w:t>
      </w:r>
    </w:p>
    <w:p w:rsidR="00EC2F88" w:rsidRPr="00097797" w:rsidRDefault="00EC2F88" w:rsidP="00EC2F88">
      <w:pPr>
        <w:spacing w:after="0" w:line="240" w:lineRule="auto"/>
        <w:rPr>
          <w:rFonts w:ascii="Times New Roman" w:hAnsi="Times New Roman" w:cs="Times New Roman"/>
          <w:sz w:val="24"/>
          <w:szCs w:val="24"/>
        </w:rPr>
      </w:pP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EB3BE8" w:rsidRPr="00EB3BE8">
        <w:rPr>
          <w:rFonts w:ascii="Times New Roman" w:hAnsi="Times New Roman" w:cs="Times New Roman"/>
          <w:sz w:val="24"/>
          <w:szCs w:val="24"/>
        </w:rPr>
        <w:t>Respondent Universe and Sampling Methods</w:t>
      </w:r>
      <w:r w:rsidR="00FD6315">
        <w:rPr>
          <w:rFonts w:ascii="Times New Roman" w:hAnsi="Times New Roman" w:cs="Times New Roman"/>
          <w:sz w:val="24"/>
          <w:szCs w:val="24"/>
        </w:rPr>
        <w:t xml:space="preserve"> </w:t>
      </w:r>
      <w:r w:rsidR="00FD6315">
        <w:rPr>
          <w:rFonts w:ascii="Times New Roman" w:hAnsi="Times New Roman" w:cs="Times New Roman"/>
          <w:sz w:val="24"/>
          <w:szCs w:val="24"/>
        </w:rPr>
        <w:tab/>
      </w:r>
      <w:r w:rsidR="00407551">
        <w:rPr>
          <w:rFonts w:ascii="Times New Roman" w:hAnsi="Times New Roman" w:cs="Times New Roman"/>
          <w:sz w:val="24"/>
          <w:szCs w:val="24"/>
        </w:rPr>
        <w:t>1</w:t>
      </w:r>
    </w:p>
    <w:p w:rsidR="00EB3BE8" w:rsidRDefault="00097797" w:rsidP="00EB3BE8">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2. </w:t>
      </w:r>
      <w:r>
        <w:rPr>
          <w:rFonts w:ascii="Times New Roman" w:hAnsi="Times New Roman" w:cs="Times New Roman"/>
          <w:sz w:val="24"/>
          <w:szCs w:val="24"/>
        </w:rPr>
        <w:tab/>
      </w:r>
      <w:r w:rsidR="00EB3BE8" w:rsidRPr="00EB3BE8">
        <w:rPr>
          <w:rFonts w:ascii="Times New Roman" w:hAnsi="Times New Roman" w:cs="Times New Roman"/>
          <w:sz w:val="24"/>
          <w:szCs w:val="24"/>
        </w:rPr>
        <w:t>Statistical Methods for Sample Selection and Degree of Accuracy</w:t>
      </w:r>
    </w:p>
    <w:p w:rsidR="00097797" w:rsidRPr="00097797" w:rsidRDefault="00EB3BE8" w:rsidP="00EB3BE8">
      <w:pPr>
        <w:tabs>
          <w:tab w:val="left" w:pos="720"/>
          <w:tab w:val="left" w:pos="1260"/>
          <w:tab w:val="right" w:leader="dot" w:pos="9000"/>
        </w:tabs>
        <w:spacing w:after="0"/>
        <w:ind w:firstLine="720"/>
        <w:rPr>
          <w:rFonts w:ascii="Times New Roman" w:hAnsi="Times New Roman" w:cs="Times New Roman"/>
          <w:sz w:val="24"/>
          <w:szCs w:val="24"/>
        </w:rPr>
      </w:pPr>
      <w:r>
        <w:rPr>
          <w:rFonts w:ascii="Times New Roman" w:hAnsi="Times New Roman" w:cs="Times New Roman"/>
          <w:sz w:val="24"/>
          <w:szCs w:val="24"/>
        </w:rPr>
        <w:tab/>
      </w:r>
      <w:r w:rsidRPr="00EB3BE8">
        <w:rPr>
          <w:rFonts w:ascii="Times New Roman" w:hAnsi="Times New Roman" w:cs="Times New Roman"/>
          <w:sz w:val="24"/>
          <w:szCs w:val="24"/>
        </w:rPr>
        <w:t>Needed</w:t>
      </w:r>
      <w:r w:rsidR="00FD6315">
        <w:rPr>
          <w:rFonts w:ascii="Times New Roman" w:hAnsi="Times New Roman" w:cs="Times New Roman"/>
          <w:sz w:val="24"/>
          <w:szCs w:val="24"/>
        </w:rPr>
        <w:t xml:space="preserve"> </w:t>
      </w:r>
      <w:r w:rsidR="00FD6315">
        <w:rPr>
          <w:rFonts w:ascii="Times New Roman" w:hAnsi="Times New Roman" w:cs="Times New Roman"/>
          <w:sz w:val="24"/>
          <w:szCs w:val="24"/>
        </w:rPr>
        <w:tab/>
      </w:r>
      <w:r w:rsidR="00407551">
        <w:rPr>
          <w:rFonts w:ascii="Times New Roman" w:hAnsi="Times New Roman" w:cs="Times New Roman"/>
          <w:sz w:val="24"/>
          <w:szCs w:val="24"/>
        </w:rPr>
        <w:t>2</w:t>
      </w:r>
    </w:p>
    <w:p w:rsidR="00097797" w:rsidRPr="00097797" w:rsidRDefault="00097797" w:rsidP="00EB3BE8">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3. </w:t>
      </w:r>
      <w:r>
        <w:rPr>
          <w:rFonts w:ascii="Times New Roman" w:hAnsi="Times New Roman" w:cs="Times New Roman"/>
          <w:sz w:val="24"/>
          <w:szCs w:val="24"/>
        </w:rPr>
        <w:tab/>
      </w:r>
      <w:r w:rsidR="00EB3BE8" w:rsidRPr="00EB3BE8">
        <w:rPr>
          <w:rFonts w:ascii="Times New Roman" w:hAnsi="Times New Roman" w:cs="Times New Roman"/>
          <w:sz w:val="24"/>
          <w:szCs w:val="24"/>
        </w:rPr>
        <w:t>Methods to Maximize Response Rates and to Deal with Nonresponse</w:t>
      </w:r>
      <w:r w:rsidR="00EB3BE8">
        <w:rPr>
          <w:rFonts w:ascii="Times New Roman" w:hAnsi="Times New Roman" w:cs="Times New Roman"/>
          <w:sz w:val="24"/>
          <w:szCs w:val="24"/>
        </w:rPr>
        <w:t xml:space="preserve"> </w:t>
      </w:r>
      <w:r w:rsidR="00FD6315">
        <w:rPr>
          <w:rFonts w:ascii="Times New Roman" w:hAnsi="Times New Roman" w:cs="Times New Roman"/>
          <w:sz w:val="24"/>
          <w:szCs w:val="24"/>
        </w:rPr>
        <w:tab/>
      </w:r>
      <w:r w:rsidR="00407551">
        <w:rPr>
          <w:rFonts w:ascii="Times New Roman" w:hAnsi="Times New Roman" w:cs="Times New Roman"/>
          <w:sz w:val="24"/>
          <w:szCs w:val="24"/>
        </w:rPr>
        <w:t>3</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4. </w:t>
      </w:r>
      <w:r>
        <w:rPr>
          <w:rFonts w:ascii="Times New Roman" w:hAnsi="Times New Roman" w:cs="Times New Roman"/>
          <w:sz w:val="24"/>
          <w:szCs w:val="24"/>
        </w:rPr>
        <w:tab/>
      </w:r>
      <w:r w:rsidR="00EB3BE8" w:rsidRPr="00EB3BE8">
        <w:rPr>
          <w:rFonts w:ascii="Times New Roman" w:hAnsi="Times New Roman" w:cs="Times New Roman"/>
          <w:sz w:val="24"/>
          <w:szCs w:val="24"/>
        </w:rPr>
        <w:t>Tests of Procedures and Methods to Be Undertaken</w:t>
      </w:r>
      <w:r w:rsidRPr="00097797">
        <w:rPr>
          <w:rFonts w:ascii="Times New Roman" w:hAnsi="Times New Roman" w:cs="Times New Roman"/>
          <w:sz w:val="24"/>
          <w:szCs w:val="24"/>
        </w:rPr>
        <w:t xml:space="preserve"> </w:t>
      </w:r>
      <w:r w:rsidR="00FD6315">
        <w:rPr>
          <w:rFonts w:ascii="Times New Roman" w:hAnsi="Times New Roman" w:cs="Times New Roman"/>
          <w:sz w:val="24"/>
          <w:szCs w:val="24"/>
        </w:rPr>
        <w:tab/>
      </w:r>
      <w:r w:rsidR="00407551">
        <w:rPr>
          <w:rFonts w:ascii="Times New Roman" w:hAnsi="Times New Roman" w:cs="Times New Roman"/>
          <w:sz w:val="24"/>
          <w:szCs w:val="24"/>
        </w:rPr>
        <w:t>4</w:t>
      </w:r>
    </w:p>
    <w:p w:rsidR="00097797" w:rsidRPr="00097797" w:rsidRDefault="00097797" w:rsidP="00FD6315">
      <w:pPr>
        <w:tabs>
          <w:tab w:val="left" w:pos="720"/>
          <w:tab w:val="left" w:pos="1260"/>
          <w:tab w:val="right" w:leader="dot" w:pos="9000"/>
        </w:tabs>
        <w:spacing w:after="0"/>
        <w:ind w:firstLine="720"/>
        <w:rPr>
          <w:rFonts w:ascii="Times New Roman" w:hAnsi="Times New Roman" w:cs="Times New Roman"/>
          <w:sz w:val="24"/>
          <w:szCs w:val="24"/>
        </w:rPr>
      </w:pPr>
      <w:r w:rsidRPr="00097797">
        <w:rPr>
          <w:rFonts w:ascii="Times New Roman" w:hAnsi="Times New Roman" w:cs="Times New Roman"/>
          <w:sz w:val="24"/>
          <w:szCs w:val="24"/>
        </w:rPr>
        <w:t xml:space="preserve">5. </w:t>
      </w:r>
      <w:r>
        <w:rPr>
          <w:rFonts w:ascii="Times New Roman" w:hAnsi="Times New Roman" w:cs="Times New Roman"/>
          <w:sz w:val="24"/>
          <w:szCs w:val="24"/>
        </w:rPr>
        <w:tab/>
      </w:r>
      <w:r w:rsidR="00EB3BE8" w:rsidRPr="00EB3BE8">
        <w:rPr>
          <w:rFonts w:ascii="Times New Roman" w:hAnsi="Times New Roman" w:cs="Times New Roman"/>
          <w:sz w:val="24"/>
          <w:szCs w:val="24"/>
        </w:rPr>
        <w:t>Individuals Consulted on Statistical Aspects of the Design</w:t>
      </w:r>
      <w:r w:rsidR="00FD6315">
        <w:rPr>
          <w:rFonts w:ascii="Times New Roman" w:hAnsi="Times New Roman" w:cs="Times New Roman"/>
          <w:sz w:val="24"/>
          <w:szCs w:val="24"/>
        </w:rPr>
        <w:t xml:space="preserve"> </w:t>
      </w:r>
      <w:r w:rsidR="00FD6315">
        <w:rPr>
          <w:rFonts w:ascii="Times New Roman" w:hAnsi="Times New Roman" w:cs="Times New Roman"/>
          <w:sz w:val="24"/>
          <w:szCs w:val="24"/>
        </w:rPr>
        <w:tab/>
      </w:r>
      <w:r w:rsidR="00407551">
        <w:rPr>
          <w:rFonts w:ascii="Times New Roman" w:hAnsi="Times New Roman" w:cs="Times New Roman"/>
          <w:sz w:val="24"/>
          <w:szCs w:val="24"/>
        </w:rPr>
        <w:t>4</w:t>
      </w:r>
    </w:p>
    <w:p w:rsidR="00097797" w:rsidRPr="00097797" w:rsidRDefault="00097797" w:rsidP="00097797">
      <w:pPr>
        <w:spacing w:after="0"/>
        <w:ind w:firstLine="720"/>
        <w:rPr>
          <w:rFonts w:ascii="Times New Roman" w:hAnsi="Times New Roman" w:cs="Times New Roman"/>
          <w:sz w:val="24"/>
          <w:szCs w:val="24"/>
        </w:rPr>
      </w:pPr>
    </w:p>
    <w:p w:rsidR="00D77ECC" w:rsidRDefault="00D77ECC" w:rsidP="00D77ECC">
      <w:pPr>
        <w:spacing w:after="0"/>
        <w:rPr>
          <w:rFonts w:ascii="Times New Roman" w:hAnsi="Times New Roman" w:cs="Times New Roman"/>
          <w:sz w:val="24"/>
          <w:szCs w:val="24"/>
        </w:rPr>
      </w:pPr>
    </w:p>
    <w:p w:rsidR="00BA046A" w:rsidRPr="000605E8" w:rsidRDefault="000605E8" w:rsidP="00DD60D8">
      <w:pPr>
        <w:tabs>
          <w:tab w:val="left" w:pos="720"/>
          <w:tab w:val="right" w:leader="dot" w:pos="9000"/>
        </w:tabs>
        <w:spacing w:after="0"/>
        <w:rPr>
          <w:rFonts w:ascii="Times New Roman" w:hAnsi="Times New Roman" w:cs="Times New Roman"/>
          <w:sz w:val="24"/>
          <w:szCs w:val="24"/>
        </w:rPr>
      </w:pPr>
      <w:r>
        <w:rPr>
          <w:rFonts w:ascii="Times New Roman" w:hAnsi="Times New Roman" w:cs="Times New Roman"/>
          <w:b/>
          <w:sz w:val="24"/>
          <w:szCs w:val="24"/>
        </w:rPr>
        <w:tab/>
      </w:r>
      <w:r w:rsidRPr="000605E8">
        <w:rPr>
          <w:rFonts w:ascii="Times New Roman" w:hAnsi="Times New Roman" w:cs="Times New Roman"/>
          <w:sz w:val="24"/>
          <w:szCs w:val="24"/>
        </w:rPr>
        <w:t>REFERENCES</w:t>
      </w:r>
      <w:r w:rsidR="00407551">
        <w:rPr>
          <w:rFonts w:ascii="Times New Roman" w:hAnsi="Times New Roman" w:cs="Times New Roman"/>
          <w:sz w:val="24"/>
          <w:szCs w:val="24"/>
        </w:rPr>
        <w:tab/>
        <w:t>5</w:t>
      </w:r>
    </w:p>
    <w:p w:rsidR="000605E8" w:rsidRPr="00BA046A" w:rsidRDefault="000605E8" w:rsidP="00BA046A">
      <w:pPr>
        <w:spacing w:after="0"/>
        <w:rPr>
          <w:rFonts w:ascii="Times New Roman" w:hAnsi="Times New Roman" w:cs="Times New Roman"/>
          <w:b/>
          <w:sz w:val="24"/>
          <w:szCs w:val="24"/>
        </w:rPr>
      </w:pPr>
    </w:p>
    <w:p w:rsidR="00BA046A" w:rsidRDefault="00BA046A" w:rsidP="00BA046A">
      <w:pPr>
        <w:spacing w:after="0"/>
        <w:rPr>
          <w:rFonts w:ascii="Times New Roman" w:hAnsi="Times New Roman" w:cs="Times New Roman"/>
          <w:sz w:val="24"/>
          <w:szCs w:val="24"/>
        </w:rPr>
      </w:pPr>
    </w:p>
    <w:p w:rsidR="00BA046A" w:rsidRPr="00BA046A" w:rsidRDefault="00BA046A" w:rsidP="00BA046A">
      <w:pPr>
        <w:spacing w:after="0"/>
        <w:jc w:val="center"/>
        <w:rPr>
          <w:rFonts w:ascii="Times New Roman" w:hAnsi="Times New Roman" w:cs="Times New Roman"/>
          <w:b/>
          <w:sz w:val="24"/>
          <w:szCs w:val="24"/>
        </w:rPr>
      </w:pPr>
      <w:r w:rsidRPr="00BA046A">
        <w:rPr>
          <w:rFonts w:ascii="Times New Roman" w:hAnsi="Times New Roman" w:cs="Times New Roman"/>
          <w:b/>
          <w:sz w:val="24"/>
          <w:szCs w:val="24"/>
        </w:rPr>
        <w:t>TABLES AND FIGURES</w:t>
      </w:r>
    </w:p>
    <w:p w:rsidR="00BA046A" w:rsidRDefault="00BA046A" w:rsidP="00BA046A">
      <w:pPr>
        <w:spacing w:after="0"/>
        <w:rPr>
          <w:rFonts w:ascii="Times New Roman" w:hAnsi="Times New Roman" w:cs="Times New Roman"/>
          <w:sz w:val="24"/>
          <w:szCs w:val="24"/>
        </w:rPr>
      </w:pPr>
    </w:p>
    <w:p w:rsidR="00BA046A" w:rsidRDefault="00BA046A" w:rsidP="00BA046A">
      <w:pPr>
        <w:spacing w:after="0"/>
        <w:rPr>
          <w:rFonts w:ascii="Times New Roman" w:hAnsi="Times New Roman" w:cs="Times New Roman"/>
          <w:b/>
          <w:sz w:val="24"/>
          <w:szCs w:val="24"/>
        </w:rPr>
      </w:pPr>
      <w:r w:rsidRPr="00BA046A">
        <w:rPr>
          <w:rFonts w:ascii="Times New Roman" w:hAnsi="Times New Roman" w:cs="Times New Roman"/>
          <w:b/>
          <w:sz w:val="24"/>
          <w:szCs w:val="24"/>
        </w:rPr>
        <w:t xml:space="preserve">Tables </w:t>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r>
      <w:r w:rsidRPr="00BA046A">
        <w:rPr>
          <w:rFonts w:ascii="Times New Roman" w:hAnsi="Times New Roman" w:cs="Times New Roman"/>
          <w:b/>
          <w:sz w:val="24"/>
          <w:szCs w:val="24"/>
        </w:rPr>
        <w:tab/>
        <w:t>Page</w:t>
      </w:r>
    </w:p>
    <w:p w:rsidR="00BA046A" w:rsidRPr="00BA046A" w:rsidRDefault="00BA046A" w:rsidP="00BA046A">
      <w:pPr>
        <w:spacing w:after="0"/>
        <w:rPr>
          <w:rFonts w:ascii="Times New Roman" w:hAnsi="Times New Roman" w:cs="Times New Roman"/>
          <w:b/>
          <w:sz w:val="24"/>
          <w:szCs w:val="24"/>
        </w:rPr>
      </w:pPr>
    </w:p>
    <w:p w:rsidR="00BA046A" w:rsidRDefault="00D0524B" w:rsidP="00D0524B">
      <w:pPr>
        <w:tabs>
          <w:tab w:val="left" w:pos="288"/>
          <w:tab w:val="left" w:pos="720"/>
          <w:tab w:val="right" w:leader="dot" w:pos="9000"/>
        </w:tabs>
        <w:spacing w:after="0"/>
        <w:rPr>
          <w:rFonts w:ascii="Times New Roman" w:hAnsi="Times New Roman" w:cs="Times New Roman"/>
          <w:sz w:val="24"/>
          <w:szCs w:val="24"/>
        </w:rPr>
      </w:pPr>
      <w:r>
        <w:rPr>
          <w:rFonts w:ascii="Times New Roman" w:hAnsi="Times New Roman" w:cs="Times New Roman"/>
          <w:sz w:val="24"/>
          <w:szCs w:val="24"/>
        </w:rPr>
        <w:tab/>
      </w:r>
      <w:r w:rsidR="00BA046A" w:rsidRPr="00BA046A">
        <w:rPr>
          <w:rFonts w:ascii="Times New Roman" w:hAnsi="Times New Roman" w:cs="Times New Roman"/>
          <w:sz w:val="24"/>
          <w:szCs w:val="24"/>
        </w:rPr>
        <w:t xml:space="preserve">1 </w:t>
      </w:r>
      <w:r w:rsidR="00BA046A">
        <w:rPr>
          <w:rFonts w:ascii="Times New Roman" w:hAnsi="Times New Roman" w:cs="Times New Roman"/>
          <w:sz w:val="24"/>
          <w:szCs w:val="24"/>
        </w:rPr>
        <w:tab/>
      </w:r>
      <w:r w:rsidR="00972F03" w:rsidRPr="00972F03">
        <w:rPr>
          <w:rFonts w:ascii="Times New Roman" w:hAnsi="Times New Roman" w:cs="Times New Roman"/>
          <w:sz w:val="24"/>
          <w:szCs w:val="24"/>
        </w:rPr>
        <w:t>Potential Respondent Universe</w:t>
      </w:r>
      <w:r>
        <w:rPr>
          <w:rFonts w:ascii="Times New Roman" w:hAnsi="Times New Roman" w:cs="Times New Roman"/>
          <w:sz w:val="24"/>
          <w:szCs w:val="24"/>
        </w:rPr>
        <w:t xml:space="preserve"> </w:t>
      </w:r>
      <w:r>
        <w:rPr>
          <w:rFonts w:ascii="Times New Roman" w:hAnsi="Times New Roman" w:cs="Times New Roman"/>
          <w:sz w:val="24"/>
          <w:szCs w:val="24"/>
        </w:rPr>
        <w:tab/>
        <w:t>1</w:t>
      </w:r>
    </w:p>
    <w:p w:rsidR="004755E5" w:rsidRDefault="00EC2F88">
      <w:pPr>
        <w:rPr>
          <w:rFonts w:ascii="Times New Roman" w:hAnsi="Times New Roman" w:cs="Times New Roman"/>
          <w:sz w:val="24"/>
          <w:szCs w:val="24"/>
        </w:rPr>
        <w:sectPr w:rsidR="004755E5">
          <w:pgSz w:w="12240" w:h="15840"/>
          <w:pgMar w:top="1440" w:right="1440" w:bottom="1440" w:left="1440" w:header="720" w:footer="720" w:gutter="0"/>
          <w:cols w:space="720"/>
          <w:docGrid w:linePitch="360"/>
        </w:sectPr>
      </w:pPr>
      <w:r>
        <w:rPr>
          <w:rFonts w:ascii="Times New Roman" w:hAnsi="Times New Roman" w:cs="Times New Roman"/>
          <w:sz w:val="24"/>
          <w:szCs w:val="24"/>
        </w:rPr>
        <w:br w:type="page"/>
      </w:r>
    </w:p>
    <w:p w:rsidR="00EC2F88" w:rsidRPr="00EC2F88" w:rsidRDefault="00EC2F88" w:rsidP="00EC2F88">
      <w:pPr>
        <w:spacing w:after="0" w:line="240" w:lineRule="auto"/>
        <w:jc w:val="center"/>
        <w:rPr>
          <w:rFonts w:ascii="Times New Roman" w:hAnsi="Times New Roman" w:cs="Times New Roman"/>
          <w:b/>
          <w:caps/>
          <w:sz w:val="28"/>
          <w:szCs w:val="28"/>
        </w:rPr>
      </w:pPr>
      <w:r w:rsidRPr="00EC2F88">
        <w:rPr>
          <w:rFonts w:ascii="Times New Roman" w:hAnsi="Times New Roman" w:cs="Times New Roman"/>
          <w:b/>
          <w:caps/>
          <w:sz w:val="28"/>
          <w:szCs w:val="28"/>
        </w:rPr>
        <w:lastRenderedPageBreak/>
        <w:t>Supporting Statement</w:t>
      </w:r>
    </w:p>
    <w:p w:rsidR="00EC2F88" w:rsidRDefault="00EC2F88" w:rsidP="00EC2F88">
      <w:pPr>
        <w:spacing w:after="0" w:line="240" w:lineRule="auto"/>
        <w:jc w:val="center"/>
        <w:rPr>
          <w:rFonts w:ascii="Times New Roman" w:hAnsi="Times New Roman" w:cs="Times New Roman"/>
          <w:b/>
          <w:sz w:val="28"/>
          <w:szCs w:val="28"/>
        </w:rPr>
      </w:pPr>
      <w:r w:rsidRPr="00EC2F88">
        <w:rPr>
          <w:rFonts w:ascii="Times New Roman" w:hAnsi="Times New Roman" w:cs="Times New Roman"/>
          <w:b/>
          <w:caps/>
          <w:sz w:val="28"/>
          <w:szCs w:val="28"/>
        </w:rPr>
        <w:t>Request for OMB Clearance of a Needs Sensing Survey under the Regional Educational Laboratory Program (REL)</w:t>
      </w:r>
    </w:p>
    <w:p w:rsidR="00EC2F88" w:rsidRDefault="00EC2F88" w:rsidP="00EC2F88">
      <w:pPr>
        <w:spacing w:after="0"/>
        <w:rPr>
          <w:rFonts w:ascii="Times New Roman" w:hAnsi="Times New Roman" w:cs="Times New Roman"/>
          <w:b/>
          <w:sz w:val="28"/>
          <w:szCs w:val="28"/>
        </w:rPr>
      </w:pPr>
    </w:p>
    <w:p w:rsidR="00CB7DF7" w:rsidRDefault="00CB7DF7" w:rsidP="00EC2F88">
      <w:pPr>
        <w:spacing w:after="0"/>
        <w:rPr>
          <w:rFonts w:ascii="Times New Roman" w:hAnsi="Times New Roman" w:cs="Times New Roman"/>
          <w:b/>
          <w:sz w:val="28"/>
          <w:szCs w:val="28"/>
        </w:rPr>
      </w:pPr>
    </w:p>
    <w:p w:rsidR="008B6D66" w:rsidRDefault="008B6D66" w:rsidP="008B6D66">
      <w:pPr>
        <w:spacing w:after="0"/>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b/>
          <w:sz w:val="24"/>
          <w:szCs w:val="24"/>
        </w:rPr>
        <w:tab/>
      </w:r>
      <w:r w:rsidRPr="008B6D66">
        <w:rPr>
          <w:rFonts w:ascii="Times New Roman" w:hAnsi="Times New Roman" w:cs="Times New Roman"/>
          <w:b/>
          <w:sz w:val="24"/>
          <w:szCs w:val="24"/>
        </w:rPr>
        <w:t>COLLECTION OF INFORMATION EMPLOYING STATISTICAL METHODS</w:t>
      </w:r>
    </w:p>
    <w:p w:rsidR="008B6D66" w:rsidRPr="008B6D66" w:rsidRDefault="008B6D66" w:rsidP="008B6D66">
      <w:pPr>
        <w:spacing w:after="0"/>
        <w:rPr>
          <w:rFonts w:ascii="Times New Roman" w:hAnsi="Times New Roman" w:cs="Times New Roman"/>
          <w:b/>
          <w:sz w:val="24"/>
          <w:szCs w:val="24"/>
        </w:rPr>
      </w:pPr>
    </w:p>
    <w:p w:rsidR="002016C0" w:rsidRPr="002016C0" w:rsidRDefault="008B6D66" w:rsidP="008B6D66">
      <w:pPr>
        <w:tabs>
          <w:tab w:val="left" w:pos="540"/>
        </w:tabs>
        <w:spacing w:after="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8B6D66">
        <w:rPr>
          <w:rFonts w:ascii="Times New Roman" w:hAnsi="Times New Roman" w:cs="Times New Roman"/>
          <w:b/>
          <w:sz w:val="24"/>
          <w:szCs w:val="24"/>
        </w:rPr>
        <w:t>Respondent Universe and Sampling Methods</w:t>
      </w:r>
    </w:p>
    <w:p w:rsidR="002016C0" w:rsidRDefault="002016C0" w:rsidP="00EC2F88">
      <w:pPr>
        <w:spacing w:after="0"/>
        <w:rPr>
          <w:rFonts w:ascii="Times New Roman" w:hAnsi="Times New Roman" w:cs="Times New Roman"/>
          <w:sz w:val="24"/>
          <w:szCs w:val="24"/>
        </w:rPr>
      </w:pPr>
    </w:p>
    <w:p w:rsidR="008B6D66" w:rsidRPr="008B6D66" w:rsidRDefault="008B6D66" w:rsidP="008B6D66">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8B6D66">
        <w:rPr>
          <w:rFonts w:ascii="Times New Roman" w:hAnsi="Times New Roman" w:cs="Times New Roman"/>
          <w:sz w:val="24"/>
          <w:szCs w:val="24"/>
        </w:rPr>
        <w:t>NORC at the University of Chicago considered a number of sampling approaches, including the Probability Proportional to Size (PPS) sampling approach it has used successfully in previous similar projects.  However, since REL Midwest specified sampling targets and because the structure involves specific regions and subgroups which would not be well served by a multi-stage sampling approach, a different plan for data sampling is being employed.  NORC will purchase updated population lists from a vendor who specializes in collecting information on the education community and will draw samples of 400 individuals from each of the seven states specified.  These 400 individuals will be chosen to reflect as far as possible equal N from each of the four specified subgroups</w:t>
      </w:r>
      <w:r w:rsidR="009A41D4">
        <w:rPr>
          <w:rFonts w:ascii="Times New Roman" w:hAnsi="Times New Roman" w:cs="Times New Roman"/>
          <w:sz w:val="24"/>
          <w:szCs w:val="24"/>
        </w:rPr>
        <w:t xml:space="preserve"> (teachers, district administrators, principals, school board members)</w:t>
      </w:r>
      <w:r w:rsidRPr="008B6D66">
        <w:rPr>
          <w:rFonts w:ascii="Times New Roman" w:hAnsi="Times New Roman" w:cs="Times New Roman"/>
          <w:sz w:val="24"/>
          <w:szCs w:val="24"/>
        </w:rPr>
        <w:t>. Samples will be adjusted based on availability within subgroup categories.</w:t>
      </w:r>
    </w:p>
    <w:p w:rsidR="008B6D66" w:rsidRPr="008B6D66" w:rsidRDefault="008B6D66" w:rsidP="008B6D66">
      <w:pPr>
        <w:contextualSpacing/>
        <w:rPr>
          <w:rFonts w:ascii="Times New Roman" w:hAnsi="Times New Roman" w:cs="Times New Roman"/>
          <w:b/>
          <w:noProof/>
          <w:sz w:val="24"/>
          <w:szCs w:val="24"/>
        </w:rPr>
      </w:pPr>
      <w:r w:rsidRPr="008B6D66">
        <w:rPr>
          <w:rFonts w:ascii="Times New Roman" w:hAnsi="Times New Roman" w:cs="Times New Roman"/>
          <w:b/>
          <w:noProof/>
          <w:sz w:val="24"/>
          <w:szCs w:val="24"/>
        </w:rPr>
        <w:t xml:space="preserve">Table </w:t>
      </w:r>
      <w:r w:rsidR="00972F03">
        <w:rPr>
          <w:rFonts w:ascii="Times New Roman" w:hAnsi="Times New Roman" w:cs="Times New Roman"/>
          <w:b/>
          <w:noProof/>
          <w:sz w:val="24"/>
          <w:szCs w:val="24"/>
        </w:rPr>
        <w:t>1</w:t>
      </w:r>
      <w:r w:rsidRPr="008B6D66">
        <w:rPr>
          <w:rFonts w:ascii="Times New Roman" w:hAnsi="Times New Roman" w:cs="Times New Roman"/>
          <w:b/>
          <w:noProof/>
          <w:sz w:val="24"/>
          <w:szCs w:val="24"/>
        </w:rPr>
        <w:t>: Potential Respondent Universe</w:t>
      </w:r>
    </w:p>
    <w:tbl>
      <w:tblPr>
        <w:tblStyle w:val="TableGrid"/>
        <w:tblW w:w="0" w:type="auto"/>
        <w:tblInd w:w="202" w:type="dxa"/>
        <w:tblLayout w:type="fixed"/>
        <w:tblLook w:val="04A0" w:firstRow="1" w:lastRow="0" w:firstColumn="1" w:lastColumn="0" w:noHBand="0" w:noVBand="1"/>
      </w:tblPr>
      <w:tblGrid>
        <w:gridCol w:w="1143"/>
        <w:gridCol w:w="1728"/>
        <w:gridCol w:w="1728"/>
        <w:gridCol w:w="1718"/>
        <w:gridCol w:w="1728"/>
      </w:tblGrid>
      <w:tr w:rsidR="008B6D66" w:rsidRPr="001B1A80" w:rsidTr="008B6D66">
        <w:trPr>
          <w:trHeight w:val="300"/>
        </w:trPr>
        <w:tc>
          <w:tcPr>
            <w:tcW w:w="1143" w:type="dxa"/>
            <w:vAlign w:val="center"/>
            <w:hideMark/>
          </w:tcPr>
          <w:p w:rsidR="008B6D66" w:rsidRPr="001B1A80" w:rsidRDefault="008B6D66" w:rsidP="008B6D66">
            <w:pPr>
              <w:contextualSpacing/>
              <w:jc w:val="center"/>
              <w:rPr>
                <w:b/>
                <w:bCs/>
                <w:noProof/>
              </w:rPr>
            </w:pPr>
            <w:r>
              <w:rPr>
                <w:b/>
                <w:bCs/>
                <w:noProof/>
              </w:rPr>
              <w:t>State</w:t>
            </w:r>
          </w:p>
        </w:tc>
        <w:tc>
          <w:tcPr>
            <w:tcW w:w="1728" w:type="dxa"/>
            <w:vAlign w:val="center"/>
            <w:hideMark/>
          </w:tcPr>
          <w:p w:rsidR="008B6D66" w:rsidRPr="001B1A80" w:rsidRDefault="008B6D66" w:rsidP="008B6D66">
            <w:pPr>
              <w:contextualSpacing/>
              <w:jc w:val="center"/>
              <w:rPr>
                <w:b/>
                <w:bCs/>
                <w:noProof/>
              </w:rPr>
            </w:pPr>
            <w:r w:rsidRPr="001B1A80">
              <w:rPr>
                <w:b/>
                <w:bCs/>
                <w:noProof/>
              </w:rPr>
              <w:t>T</w:t>
            </w:r>
            <w:r>
              <w:rPr>
                <w:b/>
                <w:bCs/>
                <w:noProof/>
              </w:rPr>
              <w:t>eachers*</w:t>
            </w:r>
          </w:p>
        </w:tc>
        <w:tc>
          <w:tcPr>
            <w:tcW w:w="1728" w:type="dxa"/>
            <w:vAlign w:val="center"/>
            <w:hideMark/>
          </w:tcPr>
          <w:p w:rsidR="008B6D66" w:rsidRPr="001B1A80" w:rsidRDefault="008B6D66" w:rsidP="008B6D66">
            <w:pPr>
              <w:contextualSpacing/>
              <w:jc w:val="center"/>
              <w:rPr>
                <w:b/>
                <w:bCs/>
                <w:noProof/>
              </w:rPr>
            </w:pPr>
            <w:r>
              <w:rPr>
                <w:b/>
                <w:bCs/>
                <w:noProof/>
              </w:rPr>
              <w:t>District Administrators*</w:t>
            </w:r>
          </w:p>
        </w:tc>
        <w:tc>
          <w:tcPr>
            <w:tcW w:w="1718" w:type="dxa"/>
            <w:vAlign w:val="center"/>
            <w:hideMark/>
          </w:tcPr>
          <w:p w:rsidR="008B6D66" w:rsidRPr="001B1A80" w:rsidRDefault="008B6D66" w:rsidP="008B6D66">
            <w:pPr>
              <w:contextualSpacing/>
              <w:jc w:val="center"/>
              <w:rPr>
                <w:b/>
                <w:bCs/>
                <w:noProof/>
              </w:rPr>
            </w:pPr>
            <w:r>
              <w:rPr>
                <w:b/>
                <w:bCs/>
                <w:noProof/>
              </w:rPr>
              <w:t>Principals*</w:t>
            </w:r>
          </w:p>
        </w:tc>
        <w:tc>
          <w:tcPr>
            <w:tcW w:w="1728" w:type="dxa"/>
            <w:vAlign w:val="center"/>
          </w:tcPr>
          <w:p w:rsidR="008B6D66" w:rsidRDefault="008B6D66" w:rsidP="008B6D66">
            <w:pPr>
              <w:contextualSpacing/>
              <w:jc w:val="center"/>
              <w:rPr>
                <w:b/>
                <w:bCs/>
                <w:noProof/>
              </w:rPr>
            </w:pPr>
            <w:r>
              <w:rPr>
                <w:b/>
                <w:bCs/>
                <w:noProof/>
              </w:rPr>
              <w:t>School Board Members**</w:t>
            </w:r>
          </w:p>
        </w:tc>
      </w:tr>
      <w:tr w:rsidR="008B6D66" w:rsidRPr="001B1A80" w:rsidTr="008B6D66">
        <w:trPr>
          <w:trHeight w:val="300"/>
        </w:trPr>
        <w:tc>
          <w:tcPr>
            <w:tcW w:w="1143" w:type="dxa"/>
            <w:vAlign w:val="center"/>
            <w:hideMark/>
          </w:tcPr>
          <w:p w:rsidR="008B6D66" w:rsidRPr="001B1A80" w:rsidRDefault="008B6D66" w:rsidP="008B6D66">
            <w:pPr>
              <w:contextualSpacing/>
              <w:jc w:val="center"/>
              <w:rPr>
                <w:noProof/>
              </w:rPr>
            </w:pPr>
            <w:r w:rsidRPr="001B1A80">
              <w:rPr>
                <w:noProof/>
              </w:rPr>
              <w:t>IA</w:t>
            </w:r>
          </w:p>
        </w:tc>
        <w:tc>
          <w:tcPr>
            <w:tcW w:w="1728" w:type="dxa"/>
            <w:vAlign w:val="center"/>
            <w:hideMark/>
          </w:tcPr>
          <w:p w:rsidR="008B6D66" w:rsidRPr="001B1A80" w:rsidRDefault="008B6D66" w:rsidP="008B6D66">
            <w:pPr>
              <w:contextualSpacing/>
              <w:jc w:val="center"/>
              <w:rPr>
                <w:noProof/>
              </w:rPr>
            </w:pPr>
            <w:r>
              <w:rPr>
                <w:noProof/>
              </w:rPr>
              <w:t>35,842</w:t>
            </w:r>
          </w:p>
        </w:tc>
        <w:tc>
          <w:tcPr>
            <w:tcW w:w="1728" w:type="dxa"/>
            <w:vAlign w:val="center"/>
            <w:hideMark/>
          </w:tcPr>
          <w:p w:rsidR="008B6D66" w:rsidRPr="001B1A80" w:rsidRDefault="008B6D66" w:rsidP="008B6D66">
            <w:pPr>
              <w:contextualSpacing/>
              <w:jc w:val="center"/>
              <w:rPr>
                <w:noProof/>
              </w:rPr>
            </w:pPr>
            <w:r w:rsidRPr="001B1A80">
              <w:rPr>
                <w:noProof/>
              </w:rPr>
              <w:t>871</w:t>
            </w:r>
          </w:p>
        </w:tc>
        <w:tc>
          <w:tcPr>
            <w:tcW w:w="1718" w:type="dxa"/>
            <w:vAlign w:val="center"/>
            <w:hideMark/>
          </w:tcPr>
          <w:p w:rsidR="008B6D66" w:rsidRPr="001B1A80" w:rsidRDefault="008B6D66" w:rsidP="008B6D66">
            <w:pPr>
              <w:contextualSpacing/>
              <w:jc w:val="center"/>
              <w:rPr>
                <w:noProof/>
              </w:rPr>
            </w:pPr>
            <w:r>
              <w:rPr>
                <w:noProof/>
              </w:rPr>
              <w:t>1,792</w:t>
            </w:r>
          </w:p>
        </w:tc>
        <w:tc>
          <w:tcPr>
            <w:tcW w:w="1728" w:type="dxa"/>
            <w:vAlign w:val="center"/>
          </w:tcPr>
          <w:p w:rsidR="008B6D66" w:rsidRPr="001B1A80" w:rsidRDefault="008B6D66" w:rsidP="008B6D66">
            <w:pPr>
              <w:contextualSpacing/>
              <w:jc w:val="center"/>
              <w:rPr>
                <w:noProof/>
              </w:rPr>
            </w:pPr>
            <w:r>
              <w:rPr>
                <w:noProof/>
              </w:rPr>
              <w:t>119</w:t>
            </w:r>
          </w:p>
        </w:tc>
      </w:tr>
      <w:tr w:rsidR="008B6D66" w:rsidRPr="001B1A80" w:rsidTr="008B6D66">
        <w:trPr>
          <w:trHeight w:val="300"/>
        </w:trPr>
        <w:tc>
          <w:tcPr>
            <w:tcW w:w="1143" w:type="dxa"/>
            <w:vAlign w:val="center"/>
            <w:hideMark/>
          </w:tcPr>
          <w:p w:rsidR="008B6D66" w:rsidRPr="001B1A80" w:rsidRDefault="008B6D66" w:rsidP="008B6D66">
            <w:pPr>
              <w:contextualSpacing/>
              <w:jc w:val="center"/>
              <w:rPr>
                <w:noProof/>
              </w:rPr>
            </w:pPr>
            <w:r w:rsidRPr="001B1A80">
              <w:rPr>
                <w:noProof/>
              </w:rPr>
              <w:t>IL</w:t>
            </w:r>
          </w:p>
        </w:tc>
        <w:tc>
          <w:tcPr>
            <w:tcW w:w="1728" w:type="dxa"/>
            <w:vAlign w:val="center"/>
            <w:hideMark/>
          </w:tcPr>
          <w:p w:rsidR="008B6D66" w:rsidRPr="001B1A80" w:rsidRDefault="008B6D66" w:rsidP="008B6D66">
            <w:pPr>
              <w:contextualSpacing/>
              <w:jc w:val="center"/>
              <w:rPr>
                <w:noProof/>
              </w:rPr>
            </w:pPr>
            <w:r>
              <w:rPr>
                <w:noProof/>
              </w:rPr>
              <w:t>138,482</w:t>
            </w:r>
          </w:p>
        </w:tc>
        <w:tc>
          <w:tcPr>
            <w:tcW w:w="1728" w:type="dxa"/>
            <w:vAlign w:val="center"/>
            <w:hideMark/>
          </w:tcPr>
          <w:p w:rsidR="008B6D66" w:rsidRPr="001B1A80" w:rsidRDefault="008B6D66" w:rsidP="008B6D66">
            <w:pPr>
              <w:contextualSpacing/>
              <w:jc w:val="center"/>
              <w:rPr>
                <w:noProof/>
              </w:rPr>
            </w:pPr>
            <w:r>
              <w:rPr>
                <w:noProof/>
              </w:rPr>
              <w:t>2,653</w:t>
            </w:r>
          </w:p>
        </w:tc>
        <w:tc>
          <w:tcPr>
            <w:tcW w:w="1718" w:type="dxa"/>
            <w:vAlign w:val="center"/>
            <w:hideMark/>
          </w:tcPr>
          <w:p w:rsidR="008B6D66" w:rsidRPr="001B1A80" w:rsidRDefault="008B6D66" w:rsidP="008B6D66">
            <w:pPr>
              <w:contextualSpacing/>
              <w:jc w:val="center"/>
              <w:rPr>
                <w:noProof/>
              </w:rPr>
            </w:pPr>
            <w:r>
              <w:rPr>
                <w:noProof/>
              </w:rPr>
              <w:t>7,451</w:t>
            </w:r>
          </w:p>
        </w:tc>
        <w:tc>
          <w:tcPr>
            <w:tcW w:w="1728" w:type="dxa"/>
            <w:vAlign w:val="center"/>
          </w:tcPr>
          <w:p w:rsidR="008B6D66" w:rsidRPr="001B1A80" w:rsidRDefault="008B6D66" w:rsidP="008B6D66">
            <w:pPr>
              <w:contextualSpacing/>
              <w:jc w:val="center"/>
              <w:rPr>
                <w:noProof/>
              </w:rPr>
            </w:pPr>
            <w:r>
              <w:rPr>
                <w:noProof/>
              </w:rPr>
              <w:t>248</w:t>
            </w:r>
          </w:p>
        </w:tc>
      </w:tr>
      <w:tr w:rsidR="008B6D66" w:rsidRPr="001B1A80" w:rsidTr="008B6D66">
        <w:trPr>
          <w:trHeight w:val="300"/>
        </w:trPr>
        <w:tc>
          <w:tcPr>
            <w:tcW w:w="1143" w:type="dxa"/>
            <w:vAlign w:val="center"/>
            <w:hideMark/>
          </w:tcPr>
          <w:p w:rsidR="008B6D66" w:rsidRPr="001B1A80" w:rsidRDefault="008B6D66" w:rsidP="008B6D66">
            <w:pPr>
              <w:contextualSpacing/>
              <w:jc w:val="center"/>
              <w:rPr>
                <w:noProof/>
              </w:rPr>
            </w:pPr>
            <w:r w:rsidRPr="001B1A80">
              <w:rPr>
                <w:noProof/>
              </w:rPr>
              <w:t>IN</w:t>
            </w:r>
          </w:p>
        </w:tc>
        <w:tc>
          <w:tcPr>
            <w:tcW w:w="1728" w:type="dxa"/>
            <w:vAlign w:val="center"/>
            <w:hideMark/>
          </w:tcPr>
          <w:p w:rsidR="008B6D66" w:rsidRPr="001B1A80" w:rsidRDefault="008B6D66" w:rsidP="008B6D66">
            <w:pPr>
              <w:contextualSpacing/>
              <w:jc w:val="center"/>
              <w:rPr>
                <w:noProof/>
              </w:rPr>
            </w:pPr>
            <w:r>
              <w:rPr>
                <w:noProof/>
              </w:rPr>
              <w:t>62,258</w:t>
            </w:r>
          </w:p>
        </w:tc>
        <w:tc>
          <w:tcPr>
            <w:tcW w:w="1728" w:type="dxa"/>
            <w:vAlign w:val="center"/>
            <w:hideMark/>
          </w:tcPr>
          <w:p w:rsidR="008B6D66" w:rsidRPr="001B1A80" w:rsidRDefault="008B6D66" w:rsidP="008B6D66">
            <w:pPr>
              <w:contextualSpacing/>
              <w:jc w:val="center"/>
              <w:rPr>
                <w:noProof/>
              </w:rPr>
            </w:pPr>
            <w:r>
              <w:rPr>
                <w:noProof/>
              </w:rPr>
              <w:t>1,132</w:t>
            </w:r>
          </w:p>
        </w:tc>
        <w:tc>
          <w:tcPr>
            <w:tcW w:w="1718" w:type="dxa"/>
            <w:vAlign w:val="center"/>
            <w:hideMark/>
          </w:tcPr>
          <w:p w:rsidR="008B6D66" w:rsidRPr="001B1A80" w:rsidRDefault="008B6D66" w:rsidP="008B6D66">
            <w:pPr>
              <w:contextualSpacing/>
              <w:jc w:val="center"/>
              <w:rPr>
                <w:noProof/>
              </w:rPr>
            </w:pPr>
            <w:r>
              <w:rPr>
                <w:noProof/>
              </w:rPr>
              <w:t>3,187</w:t>
            </w:r>
          </w:p>
        </w:tc>
        <w:tc>
          <w:tcPr>
            <w:tcW w:w="1728" w:type="dxa"/>
            <w:vAlign w:val="center"/>
          </w:tcPr>
          <w:p w:rsidR="008B6D66" w:rsidRPr="001B1A80" w:rsidRDefault="008B6D66" w:rsidP="008B6D66">
            <w:pPr>
              <w:contextualSpacing/>
              <w:jc w:val="center"/>
              <w:rPr>
                <w:noProof/>
              </w:rPr>
            </w:pPr>
            <w:r>
              <w:rPr>
                <w:noProof/>
              </w:rPr>
              <w:t>76</w:t>
            </w:r>
          </w:p>
        </w:tc>
      </w:tr>
      <w:tr w:rsidR="008B6D66" w:rsidRPr="001B1A80" w:rsidTr="008B6D66">
        <w:trPr>
          <w:trHeight w:val="300"/>
        </w:trPr>
        <w:tc>
          <w:tcPr>
            <w:tcW w:w="1143" w:type="dxa"/>
            <w:vAlign w:val="center"/>
            <w:hideMark/>
          </w:tcPr>
          <w:p w:rsidR="008B6D66" w:rsidRPr="001B1A80" w:rsidRDefault="008B6D66" w:rsidP="008B6D66">
            <w:pPr>
              <w:contextualSpacing/>
              <w:jc w:val="center"/>
              <w:rPr>
                <w:noProof/>
              </w:rPr>
            </w:pPr>
            <w:r w:rsidRPr="001B1A80">
              <w:rPr>
                <w:noProof/>
              </w:rPr>
              <w:t>MI</w:t>
            </w:r>
          </w:p>
        </w:tc>
        <w:tc>
          <w:tcPr>
            <w:tcW w:w="1728" w:type="dxa"/>
            <w:vAlign w:val="center"/>
            <w:hideMark/>
          </w:tcPr>
          <w:p w:rsidR="008B6D66" w:rsidRPr="001B1A80" w:rsidRDefault="008B6D66" w:rsidP="008B6D66">
            <w:pPr>
              <w:contextualSpacing/>
              <w:jc w:val="center"/>
              <w:rPr>
                <w:noProof/>
              </w:rPr>
            </w:pPr>
            <w:r>
              <w:rPr>
                <w:noProof/>
              </w:rPr>
              <w:t>92,691</w:t>
            </w:r>
          </w:p>
        </w:tc>
        <w:tc>
          <w:tcPr>
            <w:tcW w:w="1728" w:type="dxa"/>
            <w:vAlign w:val="center"/>
            <w:hideMark/>
          </w:tcPr>
          <w:p w:rsidR="008B6D66" w:rsidRPr="001B1A80" w:rsidRDefault="008B6D66" w:rsidP="008B6D66">
            <w:pPr>
              <w:contextualSpacing/>
              <w:jc w:val="center"/>
              <w:rPr>
                <w:noProof/>
              </w:rPr>
            </w:pPr>
            <w:r>
              <w:rPr>
                <w:noProof/>
              </w:rPr>
              <w:t>3,304</w:t>
            </w:r>
          </w:p>
        </w:tc>
        <w:tc>
          <w:tcPr>
            <w:tcW w:w="1718" w:type="dxa"/>
            <w:vAlign w:val="center"/>
            <w:hideMark/>
          </w:tcPr>
          <w:p w:rsidR="008B6D66" w:rsidRPr="001B1A80" w:rsidRDefault="008B6D66" w:rsidP="008B6D66">
            <w:pPr>
              <w:contextualSpacing/>
              <w:jc w:val="center"/>
              <w:rPr>
                <w:noProof/>
              </w:rPr>
            </w:pPr>
            <w:r>
              <w:rPr>
                <w:noProof/>
              </w:rPr>
              <w:t>4,868</w:t>
            </w:r>
          </w:p>
        </w:tc>
        <w:tc>
          <w:tcPr>
            <w:tcW w:w="1728" w:type="dxa"/>
            <w:vAlign w:val="center"/>
          </w:tcPr>
          <w:p w:rsidR="008B6D66" w:rsidRPr="001B1A80" w:rsidRDefault="008B6D66" w:rsidP="008B6D66">
            <w:pPr>
              <w:contextualSpacing/>
              <w:jc w:val="center"/>
              <w:rPr>
                <w:noProof/>
              </w:rPr>
            </w:pPr>
            <w:r>
              <w:rPr>
                <w:noProof/>
              </w:rPr>
              <w:t>424</w:t>
            </w:r>
          </w:p>
        </w:tc>
      </w:tr>
      <w:tr w:rsidR="008B6D66" w:rsidRPr="001B1A80" w:rsidTr="008B6D66">
        <w:trPr>
          <w:trHeight w:val="300"/>
        </w:trPr>
        <w:tc>
          <w:tcPr>
            <w:tcW w:w="1143" w:type="dxa"/>
            <w:vAlign w:val="center"/>
            <w:hideMark/>
          </w:tcPr>
          <w:p w:rsidR="008B6D66" w:rsidRPr="001B1A80" w:rsidRDefault="008B6D66" w:rsidP="008B6D66">
            <w:pPr>
              <w:contextualSpacing/>
              <w:jc w:val="center"/>
              <w:rPr>
                <w:noProof/>
              </w:rPr>
            </w:pPr>
            <w:r w:rsidRPr="001B1A80">
              <w:rPr>
                <w:noProof/>
              </w:rPr>
              <w:t>MN</w:t>
            </w:r>
          </w:p>
        </w:tc>
        <w:tc>
          <w:tcPr>
            <w:tcW w:w="1728" w:type="dxa"/>
            <w:vAlign w:val="center"/>
            <w:hideMark/>
          </w:tcPr>
          <w:p w:rsidR="008B6D66" w:rsidRPr="001B1A80" w:rsidRDefault="008B6D66" w:rsidP="008B6D66">
            <w:pPr>
              <w:contextualSpacing/>
              <w:jc w:val="center"/>
              <w:rPr>
                <w:noProof/>
              </w:rPr>
            </w:pPr>
            <w:r>
              <w:rPr>
                <w:noProof/>
              </w:rPr>
              <w:t>52,839</w:t>
            </w:r>
          </w:p>
        </w:tc>
        <w:tc>
          <w:tcPr>
            <w:tcW w:w="1728" w:type="dxa"/>
            <w:vAlign w:val="center"/>
            <w:hideMark/>
          </w:tcPr>
          <w:p w:rsidR="008B6D66" w:rsidRPr="001B1A80" w:rsidRDefault="008B6D66" w:rsidP="008B6D66">
            <w:pPr>
              <w:contextualSpacing/>
              <w:jc w:val="center"/>
              <w:rPr>
                <w:noProof/>
              </w:rPr>
            </w:pPr>
            <w:r>
              <w:rPr>
                <w:noProof/>
              </w:rPr>
              <w:t>2,058</w:t>
            </w:r>
          </w:p>
        </w:tc>
        <w:tc>
          <w:tcPr>
            <w:tcW w:w="1718" w:type="dxa"/>
            <w:vAlign w:val="center"/>
            <w:hideMark/>
          </w:tcPr>
          <w:p w:rsidR="008B6D66" w:rsidRPr="001B1A80" w:rsidRDefault="008B6D66" w:rsidP="008B6D66">
            <w:pPr>
              <w:contextualSpacing/>
              <w:jc w:val="center"/>
              <w:rPr>
                <w:noProof/>
              </w:rPr>
            </w:pPr>
            <w:r>
              <w:rPr>
                <w:noProof/>
              </w:rPr>
              <w:t>2,094</w:t>
            </w:r>
          </w:p>
        </w:tc>
        <w:tc>
          <w:tcPr>
            <w:tcW w:w="1728" w:type="dxa"/>
            <w:vAlign w:val="center"/>
          </w:tcPr>
          <w:p w:rsidR="008B6D66" w:rsidRPr="001B1A80" w:rsidRDefault="008B6D66" w:rsidP="008B6D66">
            <w:pPr>
              <w:contextualSpacing/>
              <w:jc w:val="center"/>
              <w:rPr>
                <w:noProof/>
              </w:rPr>
            </w:pPr>
            <w:r>
              <w:rPr>
                <w:noProof/>
              </w:rPr>
              <w:t>248</w:t>
            </w:r>
          </w:p>
        </w:tc>
      </w:tr>
      <w:tr w:rsidR="008B6D66" w:rsidRPr="001B1A80" w:rsidTr="008B6D66">
        <w:trPr>
          <w:trHeight w:val="300"/>
        </w:trPr>
        <w:tc>
          <w:tcPr>
            <w:tcW w:w="1143" w:type="dxa"/>
            <w:vAlign w:val="center"/>
            <w:hideMark/>
          </w:tcPr>
          <w:p w:rsidR="008B6D66" w:rsidRPr="001B1A80" w:rsidRDefault="008B6D66" w:rsidP="008B6D66">
            <w:pPr>
              <w:contextualSpacing/>
              <w:jc w:val="center"/>
              <w:rPr>
                <w:noProof/>
              </w:rPr>
            </w:pPr>
            <w:r w:rsidRPr="001B1A80">
              <w:rPr>
                <w:noProof/>
              </w:rPr>
              <w:t>OH</w:t>
            </w:r>
          </w:p>
        </w:tc>
        <w:tc>
          <w:tcPr>
            <w:tcW w:w="1728" w:type="dxa"/>
            <w:vAlign w:val="center"/>
            <w:hideMark/>
          </w:tcPr>
          <w:p w:rsidR="008B6D66" w:rsidRPr="001B1A80" w:rsidRDefault="008B6D66" w:rsidP="008B6D66">
            <w:pPr>
              <w:contextualSpacing/>
              <w:jc w:val="center"/>
              <w:rPr>
                <w:noProof/>
              </w:rPr>
            </w:pPr>
            <w:r>
              <w:rPr>
                <w:noProof/>
              </w:rPr>
              <w:t>111,377</w:t>
            </w:r>
          </w:p>
        </w:tc>
        <w:tc>
          <w:tcPr>
            <w:tcW w:w="1728" w:type="dxa"/>
            <w:vAlign w:val="center"/>
            <w:hideMark/>
          </w:tcPr>
          <w:p w:rsidR="008B6D66" w:rsidRPr="001B1A80" w:rsidRDefault="008B6D66" w:rsidP="008B6D66">
            <w:pPr>
              <w:contextualSpacing/>
              <w:jc w:val="center"/>
              <w:rPr>
                <w:noProof/>
              </w:rPr>
            </w:pPr>
            <w:r>
              <w:rPr>
                <w:noProof/>
              </w:rPr>
              <w:t>2,079</w:t>
            </w:r>
          </w:p>
        </w:tc>
        <w:tc>
          <w:tcPr>
            <w:tcW w:w="1718" w:type="dxa"/>
            <w:vAlign w:val="center"/>
            <w:hideMark/>
          </w:tcPr>
          <w:p w:rsidR="008B6D66" w:rsidRPr="001B1A80" w:rsidRDefault="008B6D66" w:rsidP="008B6D66">
            <w:pPr>
              <w:contextualSpacing/>
              <w:jc w:val="center"/>
              <w:rPr>
                <w:noProof/>
              </w:rPr>
            </w:pPr>
            <w:r>
              <w:rPr>
                <w:noProof/>
              </w:rPr>
              <w:t>5,057</w:t>
            </w:r>
          </w:p>
        </w:tc>
        <w:tc>
          <w:tcPr>
            <w:tcW w:w="1728" w:type="dxa"/>
            <w:vAlign w:val="center"/>
          </w:tcPr>
          <w:p w:rsidR="008B6D66" w:rsidRPr="001B1A80" w:rsidRDefault="008B6D66" w:rsidP="008B6D66">
            <w:pPr>
              <w:contextualSpacing/>
              <w:jc w:val="center"/>
              <w:rPr>
                <w:noProof/>
              </w:rPr>
            </w:pPr>
            <w:r>
              <w:rPr>
                <w:noProof/>
              </w:rPr>
              <w:t>433</w:t>
            </w:r>
          </w:p>
        </w:tc>
      </w:tr>
      <w:tr w:rsidR="008B6D66" w:rsidRPr="001B1A80" w:rsidTr="008B6D66">
        <w:trPr>
          <w:trHeight w:val="300"/>
        </w:trPr>
        <w:tc>
          <w:tcPr>
            <w:tcW w:w="1143" w:type="dxa"/>
            <w:vAlign w:val="center"/>
            <w:hideMark/>
          </w:tcPr>
          <w:p w:rsidR="008B6D66" w:rsidRPr="001B1A80" w:rsidRDefault="008B6D66" w:rsidP="008B6D66">
            <w:pPr>
              <w:contextualSpacing/>
              <w:jc w:val="center"/>
              <w:rPr>
                <w:noProof/>
              </w:rPr>
            </w:pPr>
            <w:r w:rsidRPr="001B1A80">
              <w:rPr>
                <w:noProof/>
              </w:rPr>
              <w:t>WI</w:t>
            </w:r>
          </w:p>
        </w:tc>
        <w:tc>
          <w:tcPr>
            <w:tcW w:w="1728" w:type="dxa"/>
            <w:vAlign w:val="center"/>
            <w:hideMark/>
          </w:tcPr>
          <w:p w:rsidR="008B6D66" w:rsidRPr="001B1A80" w:rsidRDefault="008B6D66" w:rsidP="008B6D66">
            <w:pPr>
              <w:contextualSpacing/>
              <w:jc w:val="center"/>
              <w:rPr>
                <w:noProof/>
              </w:rPr>
            </w:pPr>
            <w:r>
              <w:rPr>
                <w:noProof/>
              </w:rPr>
              <w:t>58,425</w:t>
            </w:r>
          </w:p>
        </w:tc>
        <w:tc>
          <w:tcPr>
            <w:tcW w:w="1728" w:type="dxa"/>
            <w:vAlign w:val="center"/>
            <w:hideMark/>
          </w:tcPr>
          <w:p w:rsidR="008B6D66" w:rsidRPr="001B1A80" w:rsidRDefault="008B6D66" w:rsidP="008B6D66">
            <w:pPr>
              <w:contextualSpacing/>
              <w:jc w:val="center"/>
              <w:rPr>
                <w:noProof/>
              </w:rPr>
            </w:pPr>
            <w:r w:rsidRPr="001B1A80">
              <w:rPr>
                <w:noProof/>
              </w:rPr>
              <w:t>963</w:t>
            </w:r>
          </w:p>
        </w:tc>
        <w:tc>
          <w:tcPr>
            <w:tcW w:w="1718" w:type="dxa"/>
            <w:vAlign w:val="center"/>
            <w:hideMark/>
          </w:tcPr>
          <w:p w:rsidR="008B6D66" w:rsidRPr="001B1A80" w:rsidRDefault="008B6D66" w:rsidP="008B6D66">
            <w:pPr>
              <w:contextualSpacing/>
              <w:jc w:val="center"/>
              <w:rPr>
                <w:noProof/>
              </w:rPr>
            </w:pPr>
            <w:r>
              <w:rPr>
                <w:noProof/>
              </w:rPr>
              <w:t>2,477</w:t>
            </w:r>
          </w:p>
        </w:tc>
        <w:tc>
          <w:tcPr>
            <w:tcW w:w="1728" w:type="dxa"/>
            <w:vAlign w:val="center"/>
          </w:tcPr>
          <w:p w:rsidR="008B6D66" w:rsidRPr="001B1A80" w:rsidRDefault="008B6D66" w:rsidP="008B6D66">
            <w:pPr>
              <w:contextualSpacing/>
              <w:jc w:val="center"/>
              <w:rPr>
                <w:noProof/>
              </w:rPr>
            </w:pPr>
            <w:r>
              <w:rPr>
                <w:noProof/>
              </w:rPr>
              <w:t>102</w:t>
            </w:r>
          </w:p>
        </w:tc>
      </w:tr>
      <w:tr w:rsidR="008B6D66" w:rsidRPr="001B1A80" w:rsidTr="008B6D66">
        <w:trPr>
          <w:trHeight w:val="300"/>
        </w:trPr>
        <w:tc>
          <w:tcPr>
            <w:tcW w:w="1143" w:type="dxa"/>
            <w:vAlign w:val="center"/>
          </w:tcPr>
          <w:p w:rsidR="008B6D66" w:rsidRPr="001B1A80" w:rsidRDefault="008B6D66" w:rsidP="008B6D66">
            <w:pPr>
              <w:contextualSpacing/>
              <w:jc w:val="center"/>
              <w:rPr>
                <w:noProof/>
              </w:rPr>
            </w:pPr>
            <w:r>
              <w:rPr>
                <w:noProof/>
              </w:rPr>
              <w:t>Total</w:t>
            </w:r>
          </w:p>
        </w:tc>
        <w:tc>
          <w:tcPr>
            <w:tcW w:w="1728" w:type="dxa"/>
            <w:vAlign w:val="center"/>
          </w:tcPr>
          <w:p w:rsidR="008B6D66" w:rsidRDefault="008B6D66" w:rsidP="008B6D66">
            <w:pPr>
              <w:contextualSpacing/>
              <w:jc w:val="center"/>
              <w:rPr>
                <w:noProof/>
              </w:rPr>
            </w:pPr>
            <w:r>
              <w:rPr>
                <w:noProof/>
              </w:rPr>
              <w:t>551,916</w:t>
            </w:r>
          </w:p>
        </w:tc>
        <w:tc>
          <w:tcPr>
            <w:tcW w:w="1728" w:type="dxa"/>
            <w:vAlign w:val="center"/>
          </w:tcPr>
          <w:p w:rsidR="008B6D66" w:rsidRPr="001B1A80" w:rsidRDefault="008B6D66" w:rsidP="008B6D66">
            <w:pPr>
              <w:contextualSpacing/>
              <w:jc w:val="center"/>
              <w:rPr>
                <w:noProof/>
              </w:rPr>
            </w:pPr>
            <w:r w:rsidRPr="00085B6D">
              <w:rPr>
                <w:noProof/>
              </w:rPr>
              <w:t>13,060</w:t>
            </w:r>
          </w:p>
        </w:tc>
        <w:tc>
          <w:tcPr>
            <w:tcW w:w="1718" w:type="dxa"/>
            <w:vAlign w:val="center"/>
          </w:tcPr>
          <w:p w:rsidR="008B6D66" w:rsidRDefault="008B6D66" w:rsidP="008B6D66">
            <w:pPr>
              <w:contextualSpacing/>
              <w:jc w:val="center"/>
              <w:rPr>
                <w:noProof/>
              </w:rPr>
            </w:pPr>
            <w:r w:rsidRPr="00085B6D">
              <w:rPr>
                <w:noProof/>
              </w:rPr>
              <w:t>26,926</w:t>
            </w:r>
          </w:p>
        </w:tc>
        <w:tc>
          <w:tcPr>
            <w:tcW w:w="1728" w:type="dxa"/>
            <w:vAlign w:val="center"/>
          </w:tcPr>
          <w:p w:rsidR="008B6D66" w:rsidRPr="001B1A80" w:rsidRDefault="008B6D66" w:rsidP="008B6D66">
            <w:pPr>
              <w:contextualSpacing/>
              <w:jc w:val="center"/>
              <w:rPr>
                <w:noProof/>
              </w:rPr>
            </w:pPr>
            <w:r>
              <w:rPr>
                <w:noProof/>
              </w:rPr>
              <w:t>1,650</w:t>
            </w:r>
          </w:p>
        </w:tc>
      </w:tr>
    </w:tbl>
    <w:p w:rsidR="008B6D66" w:rsidRDefault="008B6D66" w:rsidP="008B6D66">
      <w:pPr>
        <w:contextualSpacing/>
        <w:rPr>
          <w:noProof/>
        </w:rPr>
      </w:pPr>
      <w:r w:rsidRPr="00401013">
        <w:rPr>
          <w:noProof/>
        </w:rPr>
        <w:t xml:space="preserve">  </w:t>
      </w:r>
      <w:r>
        <w:rPr>
          <w:noProof/>
        </w:rPr>
        <w:t>Source: *Common Core of Data (2009-10); **Agile Education Data</w:t>
      </w:r>
    </w:p>
    <w:p w:rsidR="008B6D66" w:rsidRPr="008B6D66" w:rsidRDefault="008B6D66" w:rsidP="008B6D66">
      <w:pPr>
        <w:tabs>
          <w:tab w:val="left" w:pos="540"/>
          <w:tab w:val="left" w:pos="720"/>
        </w:tabs>
        <w:spacing w:after="0" w:line="480" w:lineRule="auto"/>
        <w:rPr>
          <w:rFonts w:ascii="Times New Roman" w:hAnsi="Times New Roman" w:cs="Times New Roman"/>
          <w:sz w:val="24"/>
          <w:szCs w:val="24"/>
        </w:rPr>
      </w:pPr>
    </w:p>
    <w:p w:rsidR="004A2AFF" w:rsidRDefault="008B6D66" w:rsidP="008B6D66">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Pr="008B6D66">
        <w:rPr>
          <w:rFonts w:ascii="Times New Roman" w:hAnsi="Times New Roman" w:cs="Times New Roman"/>
          <w:sz w:val="24"/>
          <w:szCs w:val="24"/>
        </w:rPr>
        <w:t xml:space="preserve">The database of educators being leased provides over 100 characteristic variables describing sample members.  These are of varying importance across the four subpopulations.  NORC will work with REL Midwest to determine the best sets of characteristics to use to stratify each subsample.  The database will be divided into the four subsets, </w:t>
      </w:r>
      <w:proofErr w:type="gramStart"/>
      <w:r w:rsidRPr="008B6D66">
        <w:rPr>
          <w:rFonts w:ascii="Times New Roman" w:hAnsi="Times New Roman" w:cs="Times New Roman"/>
          <w:sz w:val="24"/>
          <w:szCs w:val="24"/>
        </w:rPr>
        <w:t>then</w:t>
      </w:r>
      <w:proofErr w:type="gramEnd"/>
      <w:r w:rsidRPr="008B6D66">
        <w:rPr>
          <w:rFonts w:ascii="Times New Roman" w:hAnsi="Times New Roman" w:cs="Times New Roman"/>
          <w:sz w:val="24"/>
          <w:szCs w:val="24"/>
        </w:rPr>
        <w:t xml:space="preserve"> sorted by the chosen characteristics within subset so that the randomly sampled respondents from each subset will be implicitly stratified by the characteristics chosen for each subset, resulting in a sample in which the characteristics are present in the proportions in which they are present in the underlying population.  Recognizing the importance of rural education to the study, NORC can assess the possibility of “oversampling” rural respondents, realizing that: (a) the potential for larger rural samples may be more feasible in some states than in others and that, (b) such oversampling on rural </w:t>
      </w:r>
      <w:proofErr w:type="spellStart"/>
      <w:r w:rsidRPr="008B6D66">
        <w:rPr>
          <w:rFonts w:ascii="Times New Roman" w:hAnsi="Times New Roman" w:cs="Times New Roman"/>
          <w:sz w:val="24"/>
          <w:szCs w:val="24"/>
        </w:rPr>
        <w:t>urbanicity</w:t>
      </w:r>
      <w:proofErr w:type="spellEnd"/>
      <w:r w:rsidRPr="008B6D66">
        <w:rPr>
          <w:rFonts w:ascii="Times New Roman" w:hAnsi="Times New Roman" w:cs="Times New Roman"/>
          <w:sz w:val="24"/>
          <w:szCs w:val="24"/>
        </w:rPr>
        <w:t xml:space="preserve"> will require a smaller sample on some other characteristic.</w:t>
      </w:r>
    </w:p>
    <w:p w:rsidR="002016C0" w:rsidRDefault="002016C0" w:rsidP="00A853D8">
      <w:pPr>
        <w:tabs>
          <w:tab w:val="left" w:pos="540"/>
          <w:tab w:val="left" w:pos="720"/>
        </w:tabs>
        <w:spacing w:after="0"/>
        <w:rPr>
          <w:rFonts w:ascii="Times New Roman" w:hAnsi="Times New Roman" w:cs="Times New Roman"/>
          <w:sz w:val="24"/>
          <w:szCs w:val="24"/>
        </w:rPr>
      </w:pPr>
    </w:p>
    <w:p w:rsidR="004A2AFF" w:rsidRDefault="008B6D66" w:rsidP="00A853D8">
      <w:pPr>
        <w:tabs>
          <w:tab w:val="left" w:pos="540"/>
          <w:tab w:val="left" w:pos="720"/>
        </w:tabs>
        <w:spacing w:after="0"/>
        <w:rPr>
          <w:rFonts w:ascii="Times New Roman" w:hAnsi="Times New Roman" w:cs="Times New Roman"/>
          <w:b/>
          <w:sz w:val="24"/>
          <w:szCs w:val="24"/>
        </w:rPr>
      </w:pPr>
      <w:r w:rsidRPr="008B6D66">
        <w:rPr>
          <w:rFonts w:ascii="Times New Roman" w:hAnsi="Times New Roman" w:cs="Times New Roman"/>
          <w:b/>
          <w:sz w:val="24"/>
          <w:szCs w:val="24"/>
        </w:rPr>
        <w:t xml:space="preserve">2. </w:t>
      </w:r>
      <w:r>
        <w:rPr>
          <w:rFonts w:ascii="Times New Roman" w:hAnsi="Times New Roman" w:cs="Times New Roman"/>
          <w:b/>
          <w:sz w:val="24"/>
          <w:szCs w:val="24"/>
        </w:rPr>
        <w:tab/>
      </w:r>
      <w:r w:rsidRPr="008B6D66">
        <w:rPr>
          <w:rFonts w:ascii="Times New Roman" w:hAnsi="Times New Roman" w:cs="Times New Roman"/>
          <w:b/>
          <w:sz w:val="24"/>
          <w:szCs w:val="24"/>
        </w:rPr>
        <w:t>Statistical Methods for Sample Selection and Degree of Accuracy Needed</w:t>
      </w:r>
    </w:p>
    <w:p w:rsidR="004A2AFF" w:rsidRDefault="004A2AFF" w:rsidP="00A853D8">
      <w:pPr>
        <w:tabs>
          <w:tab w:val="left" w:pos="540"/>
          <w:tab w:val="left" w:pos="720"/>
        </w:tabs>
        <w:spacing w:after="0"/>
        <w:rPr>
          <w:rFonts w:ascii="Times New Roman" w:hAnsi="Times New Roman" w:cs="Times New Roman"/>
          <w:b/>
          <w:sz w:val="24"/>
          <w:szCs w:val="24"/>
        </w:rPr>
      </w:pPr>
    </w:p>
    <w:p w:rsidR="007C521A" w:rsidRPr="007C521A" w:rsidRDefault="00A8415E" w:rsidP="007C521A">
      <w:pPr>
        <w:tabs>
          <w:tab w:val="left" w:pos="540"/>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7C521A" w:rsidRPr="007C521A">
        <w:rPr>
          <w:rFonts w:ascii="Times New Roman" w:hAnsi="Times New Roman" w:cs="Times New Roman"/>
          <w:sz w:val="24"/>
          <w:szCs w:val="24"/>
        </w:rPr>
        <w:t xml:space="preserve">The power of a statistical test is its probability of correctly rejecting a null hypothesis; it indicates the likelihood that one will be able to detect a difference when the difference exists between groups. Power analysis is often done prior to a study in order to understand the likelihood of making a Type II error (failing to detect a difference that exists). Full response from this net sample of (100 per subgroup) x (4 subgroups) x (7 states) = 2,800 was assessed for the resulting power to detect independent differences in proportions between subgroups using the techniques set forth in Cohen’s </w:t>
      </w:r>
      <w:r w:rsidR="007C521A" w:rsidRPr="007C521A">
        <w:rPr>
          <w:rFonts w:ascii="Times New Roman" w:hAnsi="Times New Roman" w:cs="Times New Roman"/>
          <w:i/>
          <w:sz w:val="24"/>
          <w:szCs w:val="24"/>
        </w:rPr>
        <w:t>Statistical Power Analysis for the Behavioral Sciences</w:t>
      </w:r>
      <w:r w:rsidR="007C521A" w:rsidRPr="007C521A">
        <w:rPr>
          <w:rFonts w:ascii="Times New Roman" w:hAnsi="Times New Roman" w:cs="Times New Roman"/>
          <w:sz w:val="24"/>
          <w:szCs w:val="24"/>
        </w:rPr>
        <w:t xml:space="preserve"> (1988).  The power to detect a moderate effect size would be approximately 85% with a response rate between 80-100% but would drop to as low as 75% with a 60% response rate.  Similar estimates of power would correspond to the detection of differences between correlation coefficients.  </w:t>
      </w:r>
    </w:p>
    <w:p w:rsidR="00881BB5" w:rsidRDefault="007C521A" w:rsidP="007C521A">
      <w:pPr>
        <w:tabs>
          <w:tab w:val="left" w:pos="540"/>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Pr="007C521A">
        <w:rPr>
          <w:rFonts w:ascii="Times New Roman" w:hAnsi="Times New Roman" w:cs="Times New Roman"/>
          <w:sz w:val="24"/>
          <w:szCs w:val="24"/>
        </w:rPr>
        <w:t>Because power fluctuates with sample size, NORC will conduct a power analysis with t</w:t>
      </w:r>
      <w:r>
        <w:rPr>
          <w:rFonts w:ascii="Times New Roman" w:hAnsi="Times New Roman" w:cs="Times New Roman"/>
          <w:sz w:val="24"/>
          <w:szCs w:val="24"/>
        </w:rPr>
        <w:t xml:space="preserve">he actual resulting data and </w:t>
      </w:r>
      <w:r w:rsidR="00C66071">
        <w:rPr>
          <w:rFonts w:ascii="Times New Roman" w:hAnsi="Times New Roman" w:cs="Times New Roman"/>
          <w:sz w:val="24"/>
          <w:szCs w:val="24"/>
        </w:rPr>
        <w:t>report the magnitude and significance</w:t>
      </w:r>
      <w:r w:rsidR="00D254EE">
        <w:rPr>
          <w:rFonts w:ascii="Times New Roman" w:hAnsi="Times New Roman" w:cs="Times New Roman"/>
          <w:sz w:val="24"/>
          <w:szCs w:val="24"/>
        </w:rPr>
        <w:t xml:space="preserve"> </w:t>
      </w:r>
      <w:bookmarkStart w:id="0" w:name="_GoBack"/>
      <w:bookmarkEnd w:id="0"/>
      <w:r w:rsidRPr="007C521A">
        <w:rPr>
          <w:rFonts w:ascii="Times New Roman" w:hAnsi="Times New Roman" w:cs="Times New Roman"/>
          <w:sz w:val="24"/>
          <w:szCs w:val="24"/>
        </w:rPr>
        <w:t>of any observed differences in survey responses. Furthermore</w:t>
      </w:r>
      <w:r>
        <w:rPr>
          <w:rFonts w:ascii="Times New Roman" w:hAnsi="Times New Roman" w:cs="Times New Roman"/>
          <w:sz w:val="24"/>
          <w:szCs w:val="24"/>
        </w:rPr>
        <w:t>,</w:t>
      </w:r>
      <w:r w:rsidRPr="007C521A">
        <w:rPr>
          <w:rFonts w:ascii="Times New Roman" w:hAnsi="Times New Roman" w:cs="Times New Roman"/>
          <w:sz w:val="24"/>
          <w:szCs w:val="24"/>
        </w:rPr>
        <w:t xml:space="preserve"> the results of all analyses, both on the overall sample and on subgroups, will be reported in compliance with NCES Statistical Standard 5-1.  If the sampling constraints in the subgroups within states described above lead to reduced sample sizes and the power analyses confirm that caution in interpretation is imperative, the guidelines described in NCES Statistical Standard 5-1-5.5 will apply.   Statistical design consultant for this data collection is NORC Senior Survey Methodologist Bernard </w:t>
      </w:r>
      <w:proofErr w:type="spellStart"/>
      <w:r w:rsidRPr="007C521A">
        <w:rPr>
          <w:rFonts w:ascii="Times New Roman" w:hAnsi="Times New Roman" w:cs="Times New Roman"/>
          <w:sz w:val="24"/>
          <w:szCs w:val="24"/>
        </w:rPr>
        <w:t>Dugoni</w:t>
      </w:r>
      <w:proofErr w:type="spellEnd"/>
      <w:r w:rsidRPr="007C521A">
        <w:rPr>
          <w:rFonts w:ascii="Times New Roman" w:hAnsi="Times New Roman" w:cs="Times New Roman"/>
          <w:sz w:val="24"/>
          <w:szCs w:val="24"/>
        </w:rPr>
        <w:t>, PhD (773-256-6193).</w:t>
      </w:r>
    </w:p>
    <w:p w:rsidR="00CD473E" w:rsidRPr="00CD473E" w:rsidRDefault="007C521A" w:rsidP="0072509E">
      <w:pPr>
        <w:tabs>
          <w:tab w:val="left" w:pos="540"/>
          <w:tab w:val="left" w:pos="720"/>
        </w:tabs>
        <w:spacing w:after="0" w:line="480" w:lineRule="auto"/>
        <w:ind w:left="547" w:hanging="547"/>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Pr="007C521A">
        <w:rPr>
          <w:rFonts w:ascii="Times New Roman" w:hAnsi="Times New Roman" w:cs="Times New Roman"/>
          <w:b/>
          <w:sz w:val="24"/>
          <w:szCs w:val="24"/>
        </w:rPr>
        <w:t>Methods to Maximize Response Rates and to Deal with Nonresponse</w:t>
      </w:r>
    </w:p>
    <w:p w:rsidR="007C521A" w:rsidRPr="007C521A" w:rsidRDefault="00A8415E" w:rsidP="007C521A">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7C521A" w:rsidRPr="007C521A">
        <w:rPr>
          <w:rFonts w:ascii="Times New Roman" w:hAnsi="Times New Roman" w:cs="Times New Roman"/>
          <w:sz w:val="24"/>
          <w:szCs w:val="24"/>
        </w:rPr>
        <w:t xml:space="preserve">NORC will employ a modified version of </w:t>
      </w:r>
      <w:proofErr w:type="spellStart"/>
      <w:r w:rsidR="007C521A" w:rsidRPr="007C521A">
        <w:rPr>
          <w:rFonts w:ascii="Times New Roman" w:hAnsi="Times New Roman" w:cs="Times New Roman"/>
          <w:sz w:val="24"/>
          <w:szCs w:val="24"/>
        </w:rPr>
        <w:t>Dillman’s</w:t>
      </w:r>
      <w:proofErr w:type="spellEnd"/>
      <w:r w:rsidR="007C521A" w:rsidRPr="007C521A">
        <w:rPr>
          <w:rFonts w:ascii="Times New Roman" w:hAnsi="Times New Roman" w:cs="Times New Roman"/>
          <w:sz w:val="24"/>
          <w:szCs w:val="24"/>
        </w:rPr>
        <w:t xml:space="preserve"> (2007) tailored design method in an effort to optimize response rates.</w:t>
      </w:r>
      <w:r w:rsidR="007C521A">
        <w:rPr>
          <w:rFonts w:ascii="Times New Roman" w:hAnsi="Times New Roman" w:cs="Times New Roman"/>
          <w:sz w:val="24"/>
          <w:szCs w:val="24"/>
        </w:rPr>
        <w:t xml:space="preserve"> </w:t>
      </w:r>
      <w:r w:rsidR="007C521A" w:rsidRPr="007C521A">
        <w:rPr>
          <w:rFonts w:ascii="Times New Roman" w:hAnsi="Times New Roman" w:cs="Times New Roman"/>
          <w:sz w:val="24"/>
          <w:szCs w:val="24"/>
        </w:rPr>
        <w:t xml:space="preserve">Members of each sample will </w:t>
      </w:r>
      <w:r w:rsidR="007C521A">
        <w:rPr>
          <w:rFonts w:ascii="Times New Roman" w:hAnsi="Times New Roman" w:cs="Times New Roman"/>
          <w:sz w:val="24"/>
          <w:szCs w:val="24"/>
        </w:rPr>
        <w:t xml:space="preserve">first </w:t>
      </w:r>
      <w:r w:rsidR="007C521A" w:rsidRPr="007C521A">
        <w:rPr>
          <w:rFonts w:ascii="Times New Roman" w:hAnsi="Times New Roman" w:cs="Times New Roman"/>
          <w:sz w:val="24"/>
          <w:szCs w:val="24"/>
        </w:rPr>
        <w:t xml:space="preserve">receive an advance letter explaining the goals of the survey and the process by which individuals were selected. Respondents will be notified that participation is voluntary but will also be assured that neither individual identifiers nor individually identifiable results will be disclosed.  Members of each sample will receive instructions for accessing and completing the survey or for opting out of the study, and contact information for NORC staff </w:t>
      </w:r>
      <w:proofErr w:type="gramStart"/>
      <w:r w:rsidR="007C521A" w:rsidRPr="007C521A">
        <w:rPr>
          <w:rFonts w:ascii="Times New Roman" w:hAnsi="Times New Roman" w:cs="Times New Roman"/>
          <w:sz w:val="24"/>
          <w:szCs w:val="24"/>
        </w:rPr>
        <w:t>who</w:t>
      </w:r>
      <w:proofErr w:type="gramEnd"/>
      <w:r w:rsidR="007C521A" w:rsidRPr="007C521A">
        <w:rPr>
          <w:rFonts w:ascii="Times New Roman" w:hAnsi="Times New Roman" w:cs="Times New Roman"/>
          <w:sz w:val="24"/>
          <w:szCs w:val="24"/>
        </w:rPr>
        <w:t xml:space="preserve"> can answer questions about and, if necessary, assist respondents who experience difficulty completing the survey.  Individuals who refuse to participate on initial contact will be replaced by a randomly selected case with the same demographic profile as the original case where possible.  Please note that we do not intend to refresh the sample for replacement of those who refuse after non-response follow-up or do not respond.</w:t>
      </w:r>
    </w:p>
    <w:p w:rsidR="004A2AFF" w:rsidRDefault="007C521A" w:rsidP="007C521A">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7C521A">
        <w:rPr>
          <w:rFonts w:ascii="Times New Roman" w:hAnsi="Times New Roman" w:cs="Times New Roman"/>
          <w:sz w:val="24"/>
          <w:szCs w:val="24"/>
        </w:rPr>
        <w:t xml:space="preserve">Two weeks after the start of data collection, NORC will prompt survey non-respondents by mailing a postcard urging them to complete the survey at their earliest convenience.  In addition, </w:t>
      </w:r>
      <w:r w:rsidRPr="007C521A">
        <w:rPr>
          <w:rFonts w:ascii="Times New Roman" w:hAnsi="Times New Roman" w:cs="Times New Roman"/>
          <w:sz w:val="24"/>
          <w:szCs w:val="24"/>
        </w:rPr>
        <w:lastRenderedPageBreak/>
        <w:t xml:space="preserve">NORC will send a total of up to four (4) e-mail prompts to non-respondents, encouraging them to participate.  Each e-mail prompt will consist of an embedded link to the survey as well as the respondent’s personalized PIN and password.  Response rates to Web surveys vary widely. AIR has indicated that prior REL Midwest need sensing activities (mixed mode Web and telephone surveys) achieved final response rates as high as 65%. </w:t>
      </w:r>
      <w:r w:rsidR="001432C8" w:rsidRPr="001432C8">
        <w:rPr>
          <w:rFonts w:ascii="Times New Roman" w:hAnsi="Times New Roman" w:cs="Times New Roman"/>
          <w:sz w:val="24"/>
          <w:szCs w:val="24"/>
        </w:rPr>
        <w:t xml:space="preserve">The response rate for this needs assessment survey is expected to be higher since the number of items has been reduced by approximately 1/3 and since the number of responses per item has been lowered by having the majority of questions use binary versus </w:t>
      </w:r>
      <w:proofErr w:type="spellStart"/>
      <w:r w:rsidR="001432C8" w:rsidRPr="001432C8">
        <w:rPr>
          <w:rFonts w:ascii="Times New Roman" w:hAnsi="Times New Roman" w:cs="Times New Roman"/>
          <w:sz w:val="24"/>
          <w:szCs w:val="24"/>
        </w:rPr>
        <w:t>Likert</w:t>
      </w:r>
      <w:proofErr w:type="spellEnd"/>
      <w:r w:rsidR="001432C8" w:rsidRPr="001432C8">
        <w:rPr>
          <w:rFonts w:ascii="Times New Roman" w:hAnsi="Times New Roman" w:cs="Times New Roman"/>
          <w:sz w:val="24"/>
          <w:szCs w:val="24"/>
        </w:rPr>
        <w:t xml:space="preserve"> scaled choices. In addition to reducing respondent burden</w:t>
      </w:r>
      <w:r w:rsidR="007C2653">
        <w:rPr>
          <w:rFonts w:ascii="Times New Roman" w:hAnsi="Times New Roman" w:cs="Times New Roman"/>
          <w:sz w:val="24"/>
          <w:szCs w:val="24"/>
        </w:rPr>
        <w:t xml:space="preserve">, </w:t>
      </w:r>
      <w:r>
        <w:rPr>
          <w:rFonts w:ascii="Times New Roman" w:hAnsi="Times New Roman" w:cs="Times New Roman"/>
          <w:sz w:val="24"/>
          <w:szCs w:val="24"/>
        </w:rPr>
        <w:t xml:space="preserve">NORC </w:t>
      </w:r>
      <w:r w:rsidR="007C2653">
        <w:rPr>
          <w:rFonts w:ascii="Times New Roman" w:hAnsi="Times New Roman" w:cs="Times New Roman"/>
          <w:sz w:val="24"/>
          <w:szCs w:val="24"/>
        </w:rPr>
        <w:t>devoted much of the first quarter of the contract</w:t>
      </w:r>
      <w:r>
        <w:rPr>
          <w:rFonts w:ascii="Times New Roman" w:hAnsi="Times New Roman" w:cs="Times New Roman"/>
          <w:sz w:val="24"/>
          <w:szCs w:val="24"/>
        </w:rPr>
        <w:t xml:space="preserve"> collaborat</w:t>
      </w:r>
      <w:r w:rsidR="007C2653">
        <w:rPr>
          <w:rFonts w:ascii="Times New Roman" w:hAnsi="Times New Roman" w:cs="Times New Roman"/>
          <w:sz w:val="24"/>
          <w:szCs w:val="24"/>
        </w:rPr>
        <w:t>ing with REL Midwest</w:t>
      </w:r>
      <w:r>
        <w:rPr>
          <w:rFonts w:ascii="Times New Roman" w:hAnsi="Times New Roman" w:cs="Times New Roman"/>
          <w:sz w:val="24"/>
          <w:szCs w:val="24"/>
        </w:rPr>
        <w:t xml:space="preserve"> on </w:t>
      </w:r>
      <w:r w:rsidR="007C2653">
        <w:rPr>
          <w:rFonts w:ascii="Times New Roman" w:hAnsi="Times New Roman" w:cs="Times New Roman"/>
          <w:sz w:val="24"/>
          <w:szCs w:val="24"/>
        </w:rPr>
        <w:t>instrument development</w:t>
      </w:r>
      <w:r>
        <w:rPr>
          <w:rFonts w:ascii="Times New Roman" w:hAnsi="Times New Roman" w:cs="Times New Roman"/>
          <w:sz w:val="24"/>
          <w:szCs w:val="24"/>
        </w:rPr>
        <w:t xml:space="preserve"> to ensure a</w:t>
      </w:r>
      <w:r w:rsidRPr="007C521A">
        <w:rPr>
          <w:rFonts w:ascii="Times New Roman" w:hAnsi="Times New Roman" w:cs="Times New Roman"/>
          <w:sz w:val="24"/>
          <w:szCs w:val="24"/>
        </w:rPr>
        <w:t xml:space="preserve"> maxim</w:t>
      </w:r>
      <w:r>
        <w:rPr>
          <w:rFonts w:ascii="Times New Roman" w:hAnsi="Times New Roman" w:cs="Times New Roman"/>
          <w:sz w:val="24"/>
          <w:szCs w:val="24"/>
        </w:rPr>
        <w:t>um</w:t>
      </w:r>
      <w:r w:rsidRPr="007C521A">
        <w:rPr>
          <w:rFonts w:ascii="Times New Roman" w:hAnsi="Times New Roman" w:cs="Times New Roman"/>
          <w:sz w:val="24"/>
          <w:szCs w:val="24"/>
        </w:rPr>
        <w:t xml:space="preserve"> response rate by focusing </w:t>
      </w:r>
      <w:r w:rsidR="007C2653">
        <w:rPr>
          <w:rFonts w:ascii="Times New Roman" w:hAnsi="Times New Roman" w:cs="Times New Roman"/>
          <w:sz w:val="24"/>
          <w:szCs w:val="24"/>
        </w:rPr>
        <w:t xml:space="preserve">survey questions </w:t>
      </w:r>
      <w:r w:rsidRPr="007C521A">
        <w:rPr>
          <w:rFonts w:ascii="Times New Roman" w:hAnsi="Times New Roman" w:cs="Times New Roman"/>
          <w:sz w:val="24"/>
          <w:szCs w:val="24"/>
        </w:rPr>
        <w:t>on issues of keen interest to educators in the Midwest, which the literature suggests influence decisions to participate and to complete a survey.</w:t>
      </w:r>
      <w:r w:rsidR="001432C8">
        <w:rPr>
          <w:rFonts w:ascii="Times New Roman" w:hAnsi="Times New Roman" w:cs="Times New Roman"/>
          <w:sz w:val="24"/>
          <w:szCs w:val="24"/>
        </w:rPr>
        <w:t xml:space="preserve"> </w:t>
      </w:r>
      <w:r w:rsidR="001432C8" w:rsidRPr="001432C8">
        <w:rPr>
          <w:rFonts w:ascii="Times New Roman" w:hAnsi="Times New Roman" w:cs="Times New Roman"/>
          <w:sz w:val="24"/>
          <w:szCs w:val="24"/>
        </w:rPr>
        <w:t>REL Midwest</w:t>
      </w:r>
      <w:r w:rsidR="00E45905">
        <w:rPr>
          <w:rFonts w:ascii="Times New Roman" w:hAnsi="Times New Roman" w:cs="Times New Roman"/>
          <w:sz w:val="24"/>
          <w:szCs w:val="24"/>
        </w:rPr>
        <w:t xml:space="preserve"> staff at AIR</w:t>
      </w:r>
      <w:r w:rsidR="001432C8" w:rsidRPr="001432C8">
        <w:rPr>
          <w:rFonts w:ascii="Times New Roman" w:hAnsi="Times New Roman" w:cs="Times New Roman"/>
          <w:sz w:val="24"/>
          <w:szCs w:val="24"/>
        </w:rPr>
        <w:t xml:space="preserve"> will also collaborate with NORC prior to and during administration of the survey in a variety of initiatives to elicit the target 80% rate of cooperation. For example, REL Midwest will identify opportunities to provide respondent populations with information about the importance of the survey and the value placed on respondents’ assessments of regional needs and the supports REL Midwest can provide. This may include notices in </w:t>
      </w:r>
      <w:r w:rsidR="00E45905">
        <w:rPr>
          <w:rFonts w:ascii="Times New Roman" w:hAnsi="Times New Roman" w:cs="Times New Roman"/>
          <w:sz w:val="24"/>
          <w:szCs w:val="24"/>
        </w:rPr>
        <w:t>REL Midwest’s electronic newsletter and providing SEAs and state-level professional associations with brief announcement language to include in their correspondence with practitioners</w:t>
      </w:r>
      <w:r w:rsidR="001432C8" w:rsidRPr="001432C8">
        <w:rPr>
          <w:rFonts w:ascii="Times New Roman" w:hAnsi="Times New Roman" w:cs="Times New Roman"/>
          <w:sz w:val="24"/>
          <w:szCs w:val="24"/>
        </w:rPr>
        <w:t>. Similar methods will be used to support NORC nonresponse follow-up.</w:t>
      </w:r>
    </w:p>
    <w:p w:rsidR="006D2B20" w:rsidRDefault="006D2B20" w:rsidP="00A853D8">
      <w:pPr>
        <w:tabs>
          <w:tab w:val="left" w:pos="540"/>
          <w:tab w:val="left" w:pos="720"/>
        </w:tabs>
        <w:spacing w:after="0" w:line="240" w:lineRule="auto"/>
        <w:rPr>
          <w:rFonts w:ascii="Times New Roman" w:hAnsi="Times New Roman" w:cs="Times New Roman"/>
          <w:b/>
          <w:sz w:val="24"/>
          <w:szCs w:val="24"/>
        </w:rPr>
      </w:pPr>
    </w:p>
    <w:p w:rsidR="007033C6" w:rsidRPr="007033C6" w:rsidRDefault="00EB12CC" w:rsidP="00A853D8">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Pr="00EB12CC">
        <w:rPr>
          <w:rFonts w:ascii="Times New Roman" w:hAnsi="Times New Roman" w:cs="Times New Roman"/>
          <w:b/>
          <w:sz w:val="24"/>
          <w:szCs w:val="24"/>
        </w:rPr>
        <w:t>Tests of Procedures and Methods to Be Undertaken</w:t>
      </w:r>
    </w:p>
    <w:p w:rsidR="007033C6" w:rsidRDefault="00A8415E" w:rsidP="00A8415E">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EB12CC">
        <w:rPr>
          <w:rFonts w:ascii="Times New Roman" w:hAnsi="Times New Roman" w:cs="Times New Roman"/>
          <w:sz w:val="24"/>
          <w:szCs w:val="24"/>
        </w:rPr>
        <w:t>No pretests were conducted with the survey instrument.</w:t>
      </w:r>
      <w:r w:rsidR="007033C6" w:rsidRPr="007033C6">
        <w:rPr>
          <w:rFonts w:ascii="Times New Roman" w:hAnsi="Times New Roman" w:cs="Times New Roman"/>
          <w:sz w:val="24"/>
          <w:szCs w:val="24"/>
        </w:rPr>
        <w:t xml:space="preserve"> </w:t>
      </w:r>
    </w:p>
    <w:p w:rsidR="006D2B20" w:rsidRDefault="006D2B20" w:rsidP="00A853D8">
      <w:pPr>
        <w:tabs>
          <w:tab w:val="left" w:pos="540"/>
          <w:tab w:val="left" w:pos="720"/>
        </w:tabs>
        <w:spacing w:after="0" w:line="240" w:lineRule="auto"/>
        <w:rPr>
          <w:rFonts w:ascii="Times New Roman" w:hAnsi="Times New Roman" w:cs="Times New Roman"/>
          <w:b/>
          <w:sz w:val="24"/>
          <w:szCs w:val="24"/>
        </w:rPr>
      </w:pPr>
    </w:p>
    <w:p w:rsidR="001432C8" w:rsidRDefault="001432C8" w:rsidP="00A853D8">
      <w:pPr>
        <w:tabs>
          <w:tab w:val="left" w:pos="540"/>
          <w:tab w:val="left" w:pos="720"/>
        </w:tabs>
        <w:spacing w:after="0" w:line="480" w:lineRule="auto"/>
        <w:rPr>
          <w:rFonts w:ascii="Times New Roman" w:hAnsi="Times New Roman" w:cs="Times New Roman"/>
          <w:b/>
          <w:sz w:val="24"/>
          <w:szCs w:val="24"/>
        </w:rPr>
      </w:pPr>
    </w:p>
    <w:p w:rsidR="001432C8" w:rsidRDefault="001432C8" w:rsidP="00A853D8">
      <w:pPr>
        <w:tabs>
          <w:tab w:val="left" w:pos="540"/>
          <w:tab w:val="left" w:pos="720"/>
        </w:tabs>
        <w:spacing w:after="0" w:line="480" w:lineRule="auto"/>
        <w:rPr>
          <w:rFonts w:ascii="Times New Roman" w:hAnsi="Times New Roman" w:cs="Times New Roman"/>
          <w:b/>
          <w:sz w:val="24"/>
          <w:szCs w:val="24"/>
        </w:rPr>
      </w:pPr>
    </w:p>
    <w:p w:rsidR="007033C6" w:rsidRPr="007033C6" w:rsidRDefault="00EB12CC" w:rsidP="00A853D8">
      <w:pPr>
        <w:tabs>
          <w:tab w:val="left" w:pos="540"/>
          <w:tab w:val="left" w:pos="720"/>
        </w:tabs>
        <w:spacing w:after="0" w:line="480" w:lineRule="auto"/>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r>
      <w:r w:rsidRPr="00EB12CC">
        <w:rPr>
          <w:rFonts w:ascii="Times New Roman" w:hAnsi="Times New Roman" w:cs="Times New Roman"/>
          <w:b/>
          <w:sz w:val="24"/>
          <w:szCs w:val="24"/>
        </w:rPr>
        <w:t>Individuals Consulted on Statistical Aspects of the Design</w:t>
      </w:r>
    </w:p>
    <w:p w:rsidR="007033C6" w:rsidRDefault="00A8415E" w:rsidP="00D53E59">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EB12CC" w:rsidRPr="00EB12CC">
        <w:rPr>
          <w:rFonts w:ascii="Times New Roman" w:hAnsi="Times New Roman" w:cs="Times New Roman"/>
          <w:sz w:val="24"/>
          <w:szCs w:val="24"/>
        </w:rPr>
        <w:t>The following individuals were consulted on the statistical</w:t>
      </w:r>
      <w:r w:rsidR="00F76EDD">
        <w:rPr>
          <w:rFonts w:ascii="Times New Roman" w:hAnsi="Times New Roman" w:cs="Times New Roman"/>
          <w:sz w:val="24"/>
          <w:szCs w:val="24"/>
        </w:rPr>
        <w:t>, data collection, and analytic</w:t>
      </w:r>
      <w:r w:rsidR="00EB12CC" w:rsidRPr="00EB12CC">
        <w:rPr>
          <w:rFonts w:ascii="Times New Roman" w:hAnsi="Times New Roman" w:cs="Times New Roman"/>
          <w:sz w:val="24"/>
          <w:szCs w:val="24"/>
        </w:rPr>
        <w:t xml:space="preserve"> aspects of the </w:t>
      </w:r>
      <w:r w:rsidR="00D53E59">
        <w:rPr>
          <w:rFonts w:ascii="Times New Roman" w:hAnsi="Times New Roman" w:cs="Times New Roman"/>
          <w:sz w:val="24"/>
          <w:szCs w:val="24"/>
        </w:rPr>
        <w:t>Needs Sensing Survey:</w:t>
      </w:r>
    </w:p>
    <w:p w:rsidR="00D53E59" w:rsidRDefault="00D53E59" w:rsidP="00D53E59">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Dr. Bernard </w:t>
      </w:r>
      <w:proofErr w:type="spellStart"/>
      <w:r>
        <w:rPr>
          <w:rFonts w:ascii="Times New Roman" w:hAnsi="Times New Roman" w:cs="Times New Roman"/>
          <w:sz w:val="24"/>
          <w:szCs w:val="24"/>
        </w:rPr>
        <w:t>Dugoni</w:t>
      </w:r>
      <w:proofErr w:type="spellEnd"/>
      <w:r>
        <w:rPr>
          <w:rFonts w:ascii="Times New Roman" w:hAnsi="Times New Roman" w:cs="Times New Roman"/>
          <w:sz w:val="24"/>
          <w:szCs w:val="24"/>
        </w:rPr>
        <w:t>, Senior Survey Methodologist, NORC at the University of Chicago</w:t>
      </w:r>
    </w:p>
    <w:p w:rsidR="004E2AC6" w:rsidRDefault="004E2AC6" w:rsidP="00D53E59">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Dr. Raymond </w:t>
      </w:r>
      <w:proofErr w:type="spellStart"/>
      <w:r>
        <w:rPr>
          <w:rFonts w:ascii="Times New Roman" w:hAnsi="Times New Roman" w:cs="Times New Roman"/>
          <w:sz w:val="24"/>
          <w:szCs w:val="24"/>
        </w:rPr>
        <w:t>Lodato</w:t>
      </w:r>
      <w:proofErr w:type="spellEnd"/>
      <w:r>
        <w:rPr>
          <w:rFonts w:ascii="Times New Roman" w:hAnsi="Times New Roman" w:cs="Times New Roman"/>
          <w:sz w:val="24"/>
          <w:szCs w:val="24"/>
        </w:rPr>
        <w:t>, Senior Survey Director, NORC at the University of Chicago</w:t>
      </w:r>
    </w:p>
    <w:p w:rsidR="00D53E59" w:rsidRDefault="00D53E59" w:rsidP="00D53E59">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Dr. Eric C. </w:t>
      </w:r>
      <w:proofErr w:type="spellStart"/>
      <w:r>
        <w:rPr>
          <w:rFonts w:ascii="Times New Roman" w:hAnsi="Times New Roman" w:cs="Times New Roman"/>
          <w:sz w:val="24"/>
          <w:szCs w:val="24"/>
        </w:rPr>
        <w:t>Hedberg</w:t>
      </w:r>
      <w:proofErr w:type="spellEnd"/>
      <w:r>
        <w:rPr>
          <w:rFonts w:ascii="Times New Roman" w:hAnsi="Times New Roman" w:cs="Times New Roman"/>
          <w:sz w:val="24"/>
          <w:szCs w:val="24"/>
        </w:rPr>
        <w:t>, Senior Research Scientist, NORC at the University of Chicago</w:t>
      </w:r>
    </w:p>
    <w:p w:rsidR="00DC4BE8" w:rsidRDefault="00D53E59" w:rsidP="00D53E59">
      <w:pPr>
        <w:tabs>
          <w:tab w:val="left" w:pos="54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t>Dr. Kevin L. Brown, Senior Research Scientist, NORC at the University of Chicago</w:t>
      </w:r>
    </w:p>
    <w:p w:rsidR="00DC4BE8" w:rsidRDefault="00DC4BE8">
      <w:pPr>
        <w:rPr>
          <w:rFonts w:ascii="Times New Roman" w:hAnsi="Times New Roman" w:cs="Times New Roman"/>
          <w:sz w:val="24"/>
          <w:szCs w:val="24"/>
        </w:rPr>
      </w:pPr>
      <w:r>
        <w:rPr>
          <w:rFonts w:ascii="Times New Roman" w:hAnsi="Times New Roman" w:cs="Times New Roman"/>
          <w:sz w:val="24"/>
          <w:szCs w:val="24"/>
        </w:rPr>
        <w:br w:type="page"/>
      </w:r>
    </w:p>
    <w:p w:rsidR="00D53E59" w:rsidRDefault="00DC4BE8" w:rsidP="00DC4BE8">
      <w:pPr>
        <w:tabs>
          <w:tab w:val="left" w:pos="540"/>
          <w:tab w:val="left" w:pos="720"/>
        </w:tabs>
        <w:spacing w:after="0" w:line="480" w:lineRule="auto"/>
        <w:jc w:val="center"/>
        <w:rPr>
          <w:rFonts w:ascii="Times New Roman" w:hAnsi="Times New Roman" w:cs="Times New Roman"/>
          <w:sz w:val="24"/>
          <w:szCs w:val="24"/>
        </w:rPr>
      </w:pPr>
      <w:r w:rsidRPr="00DC4BE8">
        <w:rPr>
          <w:rFonts w:ascii="Times New Roman" w:hAnsi="Times New Roman" w:cs="Times New Roman"/>
          <w:b/>
          <w:sz w:val="24"/>
          <w:szCs w:val="24"/>
        </w:rPr>
        <w:lastRenderedPageBreak/>
        <w:t>REFERENCES</w:t>
      </w:r>
    </w:p>
    <w:p w:rsidR="00DC4BE8" w:rsidRDefault="00DC4BE8" w:rsidP="00DC4BE8">
      <w:pPr>
        <w:tabs>
          <w:tab w:val="left" w:pos="540"/>
          <w:tab w:val="left" w:pos="720"/>
        </w:tabs>
        <w:spacing w:after="0" w:line="480" w:lineRule="auto"/>
        <w:jc w:val="center"/>
        <w:rPr>
          <w:rFonts w:ascii="Times New Roman" w:hAnsi="Times New Roman" w:cs="Times New Roman"/>
          <w:sz w:val="24"/>
          <w:szCs w:val="24"/>
        </w:rPr>
      </w:pPr>
    </w:p>
    <w:p w:rsidR="00CB7DF7" w:rsidRDefault="00CB7DF7" w:rsidP="00CB7DF7">
      <w:pPr>
        <w:tabs>
          <w:tab w:val="left" w:pos="540"/>
          <w:tab w:val="left" w:pos="720"/>
        </w:tabs>
        <w:spacing w:after="0" w:line="240" w:lineRule="auto"/>
        <w:ind w:left="547" w:hanging="547"/>
        <w:rPr>
          <w:rFonts w:ascii="Times New Roman" w:hAnsi="Times New Roman" w:cs="Times New Roman"/>
          <w:sz w:val="24"/>
          <w:szCs w:val="24"/>
        </w:rPr>
      </w:pPr>
      <w:r>
        <w:rPr>
          <w:rFonts w:ascii="Times New Roman" w:hAnsi="Times New Roman" w:cs="Times New Roman"/>
          <w:sz w:val="24"/>
          <w:szCs w:val="24"/>
        </w:rPr>
        <w:t xml:space="preserve">Cohen, Jacob. </w:t>
      </w:r>
      <w:proofErr w:type="gramStart"/>
      <w:r>
        <w:rPr>
          <w:rFonts w:ascii="Times New Roman" w:hAnsi="Times New Roman" w:cs="Times New Roman"/>
          <w:sz w:val="24"/>
          <w:szCs w:val="24"/>
        </w:rPr>
        <w:t xml:space="preserve">(1988). </w:t>
      </w:r>
      <w:r w:rsidRPr="00CB7DF7">
        <w:rPr>
          <w:rFonts w:ascii="Times New Roman" w:hAnsi="Times New Roman" w:cs="Times New Roman"/>
          <w:i/>
          <w:sz w:val="24"/>
          <w:szCs w:val="24"/>
        </w:rPr>
        <w:t>Statistical Power Analysis for the Behavioral Sciences</w:t>
      </w:r>
      <w:r>
        <w:rPr>
          <w:rFonts w:ascii="Times New Roman" w:hAnsi="Times New Roman" w:cs="Times New Roman"/>
          <w:sz w:val="24"/>
          <w:szCs w:val="24"/>
        </w:rPr>
        <w:t xml:space="preserve"> (2nd Edition</w:t>
      </w:r>
      <w:r w:rsidRPr="00CB7DF7">
        <w:rPr>
          <w:rFonts w:ascii="Times New Roman" w:hAnsi="Times New Roman" w:cs="Times New Roman"/>
          <w:sz w:val="24"/>
          <w:szCs w:val="24"/>
        </w:rPr>
        <w:t>).</w:t>
      </w:r>
      <w:proofErr w:type="gramEnd"/>
      <w:r w:rsidRPr="00CB7DF7">
        <w:rPr>
          <w:rFonts w:ascii="Times New Roman" w:hAnsi="Times New Roman" w:cs="Times New Roman"/>
          <w:sz w:val="24"/>
          <w:szCs w:val="24"/>
        </w:rPr>
        <w:t xml:space="preserve"> Hillsdale, NJ: Lawrence </w:t>
      </w:r>
      <w:proofErr w:type="spellStart"/>
      <w:r w:rsidRPr="00CB7DF7">
        <w:rPr>
          <w:rFonts w:ascii="Times New Roman" w:hAnsi="Times New Roman" w:cs="Times New Roman"/>
          <w:sz w:val="24"/>
          <w:szCs w:val="24"/>
        </w:rPr>
        <w:t>Earlbaum</w:t>
      </w:r>
      <w:proofErr w:type="spellEnd"/>
      <w:r w:rsidRPr="00CB7DF7">
        <w:rPr>
          <w:rFonts w:ascii="Times New Roman" w:hAnsi="Times New Roman" w:cs="Times New Roman"/>
          <w:sz w:val="24"/>
          <w:szCs w:val="24"/>
        </w:rPr>
        <w:t xml:space="preserve"> Associates</w:t>
      </w:r>
    </w:p>
    <w:p w:rsidR="00CB7DF7" w:rsidRDefault="00CB7DF7" w:rsidP="00CB7DF7">
      <w:pPr>
        <w:tabs>
          <w:tab w:val="left" w:pos="540"/>
          <w:tab w:val="left" w:pos="720"/>
        </w:tabs>
        <w:spacing w:after="0" w:line="240" w:lineRule="auto"/>
        <w:ind w:left="547" w:hanging="547"/>
        <w:rPr>
          <w:rFonts w:ascii="Times New Roman" w:hAnsi="Times New Roman" w:cs="Times New Roman"/>
          <w:sz w:val="24"/>
          <w:szCs w:val="24"/>
        </w:rPr>
      </w:pPr>
    </w:p>
    <w:p w:rsidR="00DC4BE8" w:rsidRDefault="005A5DF2" w:rsidP="00CB7DF7">
      <w:pPr>
        <w:tabs>
          <w:tab w:val="left" w:pos="540"/>
          <w:tab w:val="left" w:pos="720"/>
        </w:tabs>
        <w:spacing w:after="0" w:line="240" w:lineRule="auto"/>
        <w:ind w:left="547" w:hanging="547"/>
        <w:rPr>
          <w:rFonts w:ascii="Times New Roman" w:hAnsi="Times New Roman" w:cs="Times New Roman"/>
          <w:sz w:val="24"/>
          <w:szCs w:val="24"/>
        </w:rPr>
      </w:pPr>
      <w:proofErr w:type="spellStart"/>
      <w:r w:rsidRPr="005A5DF2">
        <w:rPr>
          <w:rFonts w:ascii="Times New Roman" w:hAnsi="Times New Roman" w:cs="Times New Roman"/>
          <w:sz w:val="24"/>
          <w:szCs w:val="24"/>
        </w:rPr>
        <w:t>Dillman</w:t>
      </w:r>
      <w:proofErr w:type="spellEnd"/>
      <w:r w:rsidRPr="005A5DF2">
        <w:rPr>
          <w:rFonts w:ascii="Times New Roman" w:hAnsi="Times New Roman" w:cs="Times New Roman"/>
          <w:sz w:val="24"/>
          <w:szCs w:val="24"/>
        </w:rPr>
        <w:t xml:space="preserve">, Don A. </w:t>
      </w:r>
      <w:r w:rsidR="00CB7DF7">
        <w:rPr>
          <w:rFonts w:ascii="Times New Roman" w:hAnsi="Times New Roman" w:cs="Times New Roman"/>
          <w:sz w:val="24"/>
          <w:szCs w:val="24"/>
        </w:rPr>
        <w:t>(</w:t>
      </w:r>
      <w:r w:rsidRPr="005A5DF2">
        <w:rPr>
          <w:rFonts w:ascii="Times New Roman" w:hAnsi="Times New Roman" w:cs="Times New Roman"/>
          <w:sz w:val="24"/>
          <w:szCs w:val="24"/>
        </w:rPr>
        <w:t>2007</w:t>
      </w:r>
      <w:r w:rsidR="00CB7DF7">
        <w:rPr>
          <w:rFonts w:ascii="Times New Roman" w:hAnsi="Times New Roman" w:cs="Times New Roman"/>
          <w:sz w:val="24"/>
          <w:szCs w:val="24"/>
        </w:rPr>
        <w:t>)</w:t>
      </w:r>
      <w:r w:rsidRPr="005A5DF2">
        <w:rPr>
          <w:rFonts w:ascii="Times New Roman" w:hAnsi="Times New Roman" w:cs="Times New Roman"/>
          <w:sz w:val="24"/>
          <w:szCs w:val="24"/>
        </w:rPr>
        <w:t xml:space="preserve">. </w:t>
      </w:r>
      <w:r w:rsidRPr="00CB7DF7">
        <w:rPr>
          <w:rFonts w:ascii="Times New Roman" w:hAnsi="Times New Roman" w:cs="Times New Roman"/>
          <w:i/>
          <w:sz w:val="24"/>
          <w:szCs w:val="24"/>
        </w:rPr>
        <w:t>Mail and Internet Surveys: The Tailored Design</w:t>
      </w:r>
      <w:r w:rsidR="00CB7DF7">
        <w:rPr>
          <w:rFonts w:ascii="Times New Roman" w:hAnsi="Times New Roman" w:cs="Times New Roman"/>
          <w:i/>
          <w:sz w:val="24"/>
          <w:szCs w:val="24"/>
        </w:rPr>
        <w:t xml:space="preserve"> Method </w:t>
      </w:r>
      <w:r w:rsidR="00CB7DF7" w:rsidRPr="00CB7DF7">
        <w:rPr>
          <w:rFonts w:ascii="Times New Roman" w:hAnsi="Times New Roman" w:cs="Times New Roman"/>
          <w:i/>
          <w:sz w:val="24"/>
          <w:szCs w:val="24"/>
        </w:rPr>
        <w:t>-- 2007 Update with New Internet, Visual, and Mixed-Mode Guide</w:t>
      </w:r>
      <w:r w:rsidRPr="005A5DF2">
        <w:rPr>
          <w:rFonts w:ascii="Times New Roman" w:hAnsi="Times New Roman" w:cs="Times New Roman"/>
          <w:sz w:val="24"/>
          <w:szCs w:val="24"/>
        </w:rPr>
        <w:t xml:space="preserve"> </w:t>
      </w:r>
      <w:r w:rsidR="00CB7DF7">
        <w:rPr>
          <w:rFonts w:ascii="Times New Roman" w:hAnsi="Times New Roman" w:cs="Times New Roman"/>
          <w:sz w:val="24"/>
          <w:szCs w:val="24"/>
        </w:rPr>
        <w:t>(2nd</w:t>
      </w:r>
      <w:r w:rsidRPr="005A5DF2">
        <w:rPr>
          <w:rFonts w:ascii="Times New Roman" w:hAnsi="Times New Roman" w:cs="Times New Roman"/>
          <w:sz w:val="24"/>
          <w:szCs w:val="24"/>
        </w:rPr>
        <w:t xml:space="preserve"> Edition</w:t>
      </w:r>
      <w:r w:rsidR="00CB7DF7">
        <w:rPr>
          <w:rFonts w:ascii="Times New Roman" w:hAnsi="Times New Roman" w:cs="Times New Roman"/>
          <w:sz w:val="24"/>
          <w:szCs w:val="24"/>
        </w:rPr>
        <w:t>)</w:t>
      </w:r>
      <w:r w:rsidRPr="005A5DF2">
        <w:rPr>
          <w:rFonts w:ascii="Times New Roman" w:hAnsi="Times New Roman" w:cs="Times New Roman"/>
          <w:sz w:val="24"/>
          <w:szCs w:val="24"/>
        </w:rPr>
        <w:t>. John Wiley: Hoboken, NJ.</w:t>
      </w:r>
    </w:p>
    <w:p w:rsidR="009C1005" w:rsidRDefault="009C1005" w:rsidP="00CB7DF7">
      <w:pPr>
        <w:tabs>
          <w:tab w:val="left" w:pos="540"/>
          <w:tab w:val="left" w:pos="720"/>
        </w:tabs>
        <w:spacing w:after="0" w:line="240" w:lineRule="auto"/>
        <w:ind w:left="547" w:hanging="547"/>
        <w:rPr>
          <w:rFonts w:ascii="Times New Roman" w:hAnsi="Times New Roman" w:cs="Times New Roman"/>
          <w:sz w:val="24"/>
          <w:szCs w:val="24"/>
        </w:rPr>
      </w:pPr>
    </w:p>
    <w:p w:rsidR="009C1005" w:rsidRDefault="009C1005" w:rsidP="009C1005">
      <w:pPr>
        <w:tabs>
          <w:tab w:val="left" w:pos="540"/>
          <w:tab w:val="left" w:pos="720"/>
        </w:tabs>
        <w:spacing w:after="0" w:line="240" w:lineRule="auto"/>
        <w:ind w:left="547" w:hanging="547"/>
        <w:rPr>
          <w:rFonts w:ascii="Times New Roman" w:hAnsi="Times New Roman" w:cs="Times New Roman"/>
          <w:sz w:val="24"/>
          <w:szCs w:val="24"/>
        </w:rPr>
      </w:pPr>
      <w:proofErr w:type="gramStart"/>
      <w:r w:rsidRPr="009C1005">
        <w:rPr>
          <w:rFonts w:ascii="Times New Roman" w:hAnsi="Times New Roman" w:cs="Times New Roman"/>
          <w:sz w:val="24"/>
          <w:szCs w:val="24"/>
        </w:rPr>
        <w:t>National Center for Education Statistics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(200</w:t>
      </w:r>
      <w:r w:rsidR="00F42F82">
        <w:rPr>
          <w:rFonts w:ascii="Times New Roman" w:hAnsi="Times New Roman" w:cs="Times New Roman"/>
          <w:sz w:val="24"/>
          <w:szCs w:val="24"/>
        </w:rPr>
        <w:t>3</w:t>
      </w:r>
      <w:r>
        <w:rPr>
          <w:rFonts w:ascii="Times New Roman" w:hAnsi="Times New Roman" w:cs="Times New Roman"/>
          <w:sz w:val="24"/>
          <w:szCs w:val="24"/>
        </w:rPr>
        <w:t xml:space="preserve">). </w:t>
      </w:r>
      <w:r w:rsidRPr="009C1005">
        <w:rPr>
          <w:rFonts w:ascii="Times New Roman" w:hAnsi="Times New Roman" w:cs="Times New Roman"/>
          <w:i/>
          <w:sz w:val="24"/>
          <w:szCs w:val="24"/>
        </w:rPr>
        <w:t>NCES Statistical Standards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U.S. Department of Education, Washington, DC.</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March 2012 from </w:t>
      </w:r>
      <w:hyperlink r:id="rId8" w:history="1">
        <w:r w:rsidRPr="00B010CD">
          <w:rPr>
            <w:rStyle w:val="Hyperlink"/>
            <w:rFonts w:ascii="Times New Roman" w:hAnsi="Times New Roman" w:cs="Times New Roman"/>
            <w:sz w:val="24"/>
            <w:szCs w:val="24"/>
          </w:rPr>
          <w:t>http://nces.ed.gov/pubs2003/2003601.pdf</w:t>
        </w:r>
      </w:hyperlink>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CB7DF7" w:rsidRDefault="00CB7DF7" w:rsidP="00CB7DF7">
      <w:pPr>
        <w:tabs>
          <w:tab w:val="left" w:pos="540"/>
          <w:tab w:val="left" w:pos="720"/>
        </w:tabs>
        <w:spacing w:after="0" w:line="240" w:lineRule="auto"/>
        <w:ind w:left="547" w:hanging="547"/>
        <w:rPr>
          <w:rFonts w:ascii="Times New Roman" w:hAnsi="Times New Roman" w:cs="Times New Roman"/>
          <w:sz w:val="24"/>
          <w:szCs w:val="24"/>
        </w:rPr>
      </w:pPr>
    </w:p>
    <w:p w:rsidR="00CB7DF7" w:rsidRPr="00DC4BE8" w:rsidRDefault="00CB7DF7" w:rsidP="00CB7DF7">
      <w:pPr>
        <w:tabs>
          <w:tab w:val="left" w:pos="540"/>
          <w:tab w:val="left" w:pos="720"/>
        </w:tabs>
        <w:spacing w:after="0" w:line="240" w:lineRule="auto"/>
        <w:ind w:left="547" w:hanging="547"/>
        <w:rPr>
          <w:rFonts w:ascii="Times New Roman" w:hAnsi="Times New Roman" w:cs="Times New Roman"/>
          <w:sz w:val="24"/>
          <w:szCs w:val="24"/>
        </w:rPr>
      </w:pPr>
    </w:p>
    <w:p w:rsidR="006D2B20" w:rsidRDefault="006D2B20" w:rsidP="00A853D8">
      <w:pPr>
        <w:tabs>
          <w:tab w:val="left" w:pos="540"/>
          <w:tab w:val="left" w:pos="720"/>
        </w:tabs>
        <w:spacing w:after="0" w:line="240" w:lineRule="auto"/>
        <w:rPr>
          <w:rFonts w:ascii="Times New Roman" w:hAnsi="Times New Roman" w:cs="Times New Roman"/>
          <w:b/>
          <w:sz w:val="24"/>
          <w:szCs w:val="24"/>
        </w:rPr>
      </w:pPr>
    </w:p>
    <w:p w:rsidR="00B8054D" w:rsidRPr="00FF4DDC" w:rsidRDefault="00B8054D" w:rsidP="00B8054D">
      <w:pPr>
        <w:spacing w:after="0" w:line="480" w:lineRule="auto"/>
        <w:rPr>
          <w:rFonts w:ascii="Times New Roman" w:hAnsi="Times New Roman" w:cs="Times New Roman"/>
          <w:sz w:val="24"/>
          <w:szCs w:val="24"/>
        </w:rPr>
      </w:pPr>
    </w:p>
    <w:sectPr w:rsidR="00B8054D" w:rsidRPr="00FF4DDC" w:rsidSect="004755E5">
      <w:head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69B" w:rsidRDefault="0011669B" w:rsidP="004755E5">
      <w:pPr>
        <w:spacing w:after="0" w:line="240" w:lineRule="auto"/>
      </w:pPr>
      <w:r>
        <w:separator/>
      </w:r>
    </w:p>
  </w:endnote>
  <w:endnote w:type="continuationSeparator" w:id="0">
    <w:p w:rsidR="0011669B" w:rsidRDefault="0011669B" w:rsidP="0047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69B" w:rsidRDefault="0011669B" w:rsidP="004755E5">
      <w:pPr>
        <w:spacing w:after="0" w:line="240" w:lineRule="auto"/>
      </w:pPr>
      <w:r>
        <w:separator/>
      </w:r>
    </w:p>
  </w:footnote>
  <w:footnote w:type="continuationSeparator" w:id="0">
    <w:p w:rsidR="0011669B" w:rsidRDefault="0011669B" w:rsidP="00475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 w:val="24"/>
        <w:szCs w:val="24"/>
      </w:rPr>
      <w:id w:val="1966995660"/>
      <w:docPartObj>
        <w:docPartGallery w:val="Page Numbers (Top of Page)"/>
        <w:docPartUnique/>
      </w:docPartObj>
    </w:sdtPr>
    <w:sdtEndPr>
      <w:rPr>
        <w:noProof/>
      </w:rPr>
    </w:sdtEndPr>
    <w:sdtContent>
      <w:p w:rsidR="00A83397" w:rsidRPr="004755E5" w:rsidRDefault="00A83397">
        <w:pPr>
          <w:pStyle w:val="Header"/>
          <w:jc w:val="right"/>
          <w:rPr>
            <w:rFonts w:ascii="Times New Roman" w:hAnsi="Times New Roman" w:cs="Times New Roman"/>
            <w:i/>
            <w:sz w:val="24"/>
            <w:szCs w:val="24"/>
          </w:rPr>
        </w:pPr>
        <w:proofErr w:type="spellStart"/>
        <w:r w:rsidRPr="004755E5">
          <w:rPr>
            <w:rFonts w:ascii="Times New Roman" w:hAnsi="Times New Roman" w:cs="Times New Roman"/>
            <w:i/>
            <w:sz w:val="24"/>
            <w:szCs w:val="24"/>
          </w:rPr>
          <w:t>Pg</w:t>
        </w:r>
        <w:proofErr w:type="spellEnd"/>
        <w:r w:rsidRPr="004755E5">
          <w:rPr>
            <w:rFonts w:ascii="Times New Roman" w:hAnsi="Times New Roman" w:cs="Times New Roman"/>
            <w:i/>
            <w:sz w:val="24"/>
            <w:szCs w:val="24"/>
          </w:rPr>
          <w:t xml:space="preserve"> </w:t>
        </w:r>
        <w:r w:rsidR="00DD40A9" w:rsidRPr="004755E5">
          <w:rPr>
            <w:rFonts w:ascii="Times New Roman" w:hAnsi="Times New Roman" w:cs="Times New Roman"/>
            <w:i/>
            <w:sz w:val="24"/>
            <w:szCs w:val="24"/>
          </w:rPr>
          <w:fldChar w:fldCharType="begin"/>
        </w:r>
        <w:r w:rsidRPr="004755E5">
          <w:rPr>
            <w:rFonts w:ascii="Times New Roman" w:hAnsi="Times New Roman" w:cs="Times New Roman"/>
            <w:i/>
            <w:sz w:val="24"/>
            <w:szCs w:val="24"/>
          </w:rPr>
          <w:instrText xml:space="preserve"> PAGE   \* MERGEFORMAT </w:instrText>
        </w:r>
        <w:r w:rsidR="00DD40A9" w:rsidRPr="004755E5">
          <w:rPr>
            <w:rFonts w:ascii="Times New Roman" w:hAnsi="Times New Roman" w:cs="Times New Roman"/>
            <w:i/>
            <w:sz w:val="24"/>
            <w:szCs w:val="24"/>
          </w:rPr>
          <w:fldChar w:fldCharType="separate"/>
        </w:r>
        <w:r w:rsidR="00D254EE">
          <w:rPr>
            <w:rFonts w:ascii="Times New Roman" w:hAnsi="Times New Roman" w:cs="Times New Roman"/>
            <w:i/>
            <w:noProof/>
            <w:sz w:val="24"/>
            <w:szCs w:val="24"/>
          </w:rPr>
          <w:t>3</w:t>
        </w:r>
        <w:r w:rsidR="00DD40A9" w:rsidRPr="004755E5">
          <w:rPr>
            <w:rFonts w:ascii="Times New Roman" w:hAnsi="Times New Roman" w:cs="Times New Roman"/>
            <w:i/>
            <w:noProof/>
            <w:sz w:val="24"/>
            <w:szCs w:val="24"/>
          </w:rPr>
          <w:fldChar w:fldCharType="end"/>
        </w:r>
      </w:p>
    </w:sdtContent>
  </w:sdt>
  <w:p w:rsidR="00A83397" w:rsidRDefault="00A833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C5C4E"/>
    <w:multiLevelType w:val="hybridMultilevel"/>
    <w:tmpl w:val="70AABD0E"/>
    <w:lvl w:ilvl="0" w:tplc="7B76CA8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7887D31"/>
    <w:multiLevelType w:val="hybridMultilevel"/>
    <w:tmpl w:val="434C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3F04BD"/>
    <w:multiLevelType w:val="hybridMultilevel"/>
    <w:tmpl w:val="80606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696922"/>
    <w:multiLevelType w:val="hybridMultilevel"/>
    <w:tmpl w:val="128E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89"/>
    <w:rsid w:val="000605E8"/>
    <w:rsid w:val="000963D4"/>
    <w:rsid w:val="00097797"/>
    <w:rsid w:val="0011669B"/>
    <w:rsid w:val="001241AA"/>
    <w:rsid w:val="001432C8"/>
    <w:rsid w:val="001800D2"/>
    <w:rsid w:val="001D5C00"/>
    <w:rsid w:val="002016C0"/>
    <w:rsid w:val="002068C2"/>
    <w:rsid w:val="00283FEE"/>
    <w:rsid w:val="00296F88"/>
    <w:rsid w:val="00306FEA"/>
    <w:rsid w:val="00365AB7"/>
    <w:rsid w:val="0038530E"/>
    <w:rsid w:val="003A3DD3"/>
    <w:rsid w:val="003C3A30"/>
    <w:rsid w:val="003F1FE1"/>
    <w:rsid w:val="00407551"/>
    <w:rsid w:val="0044144D"/>
    <w:rsid w:val="00457C8B"/>
    <w:rsid w:val="004755E5"/>
    <w:rsid w:val="00477117"/>
    <w:rsid w:val="004A0BDE"/>
    <w:rsid w:val="004A2AFF"/>
    <w:rsid w:val="004E2AC6"/>
    <w:rsid w:val="00554496"/>
    <w:rsid w:val="005A5DF2"/>
    <w:rsid w:val="0062677C"/>
    <w:rsid w:val="00696587"/>
    <w:rsid w:val="006D2B20"/>
    <w:rsid w:val="007033C6"/>
    <w:rsid w:val="0072509E"/>
    <w:rsid w:val="00794515"/>
    <w:rsid w:val="007C2653"/>
    <w:rsid w:val="007C521A"/>
    <w:rsid w:val="007D6F34"/>
    <w:rsid w:val="00825E5C"/>
    <w:rsid w:val="00881BB5"/>
    <w:rsid w:val="008B6D66"/>
    <w:rsid w:val="008F5914"/>
    <w:rsid w:val="00972F03"/>
    <w:rsid w:val="009A41D4"/>
    <w:rsid w:val="009C1005"/>
    <w:rsid w:val="009E2821"/>
    <w:rsid w:val="00A2174E"/>
    <w:rsid w:val="00A83397"/>
    <w:rsid w:val="00A8415E"/>
    <w:rsid w:val="00A853D8"/>
    <w:rsid w:val="00B25BFE"/>
    <w:rsid w:val="00B6393D"/>
    <w:rsid w:val="00B7703B"/>
    <w:rsid w:val="00B8054D"/>
    <w:rsid w:val="00BA046A"/>
    <w:rsid w:val="00BF4EAE"/>
    <w:rsid w:val="00C66071"/>
    <w:rsid w:val="00CB5997"/>
    <w:rsid w:val="00CB79EB"/>
    <w:rsid w:val="00CB7DF7"/>
    <w:rsid w:val="00CD473E"/>
    <w:rsid w:val="00D01BD3"/>
    <w:rsid w:val="00D0498F"/>
    <w:rsid w:val="00D0524B"/>
    <w:rsid w:val="00D254EE"/>
    <w:rsid w:val="00D35D93"/>
    <w:rsid w:val="00D53E59"/>
    <w:rsid w:val="00D77ECC"/>
    <w:rsid w:val="00DC4BE8"/>
    <w:rsid w:val="00DD40A9"/>
    <w:rsid w:val="00DD60D8"/>
    <w:rsid w:val="00DE0361"/>
    <w:rsid w:val="00E00924"/>
    <w:rsid w:val="00E32E1D"/>
    <w:rsid w:val="00E341B7"/>
    <w:rsid w:val="00E45905"/>
    <w:rsid w:val="00E50489"/>
    <w:rsid w:val="00EB12CC"/>
    <w:rsid w:val="00EB1ABF"/>
    <w:rsid w:val="00EB31F7"/>
    <w:rsid w:val="00EB3BE8"/>
    <w:rsid w:val="00EB7A5F"/>
    <w:rsid w:val="00EC2F88"/>
    <w:rsid w:val="00F37671"/>
    <w:rsid w:val="00F40780"/>
    <w:rsid w:val="00F418C1"/>
    <w:rsid w:val="00F42F82"/>
    <w:rsid w:val="00F76EDD"/>
    <w:rsid w:val="00FC280A"/>
    <w:rsid w:val="00FD6315"/>
    <w:rsid w:val="00FF4D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3DD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AFF"/>
    <w:pPr>
      <w:ind w:left="720"/>
      <w:contextualSpacing/>
    </w:pPr>
  </w:style>
  <w:style w:type="character" w:customStyle="1" w:styleId="Heading1Char">
    <w:name w:val="Heading 1 Char"/>
    <w:basedOn w:val="DefaultParagraphFont"/>
    <w:link w:val="Heading1"/>
    <w:uiPriority w:val="9"/>
    <w:rsid w:val="003A3DD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B3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5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5E5"/>
  </w:style>
  <w:style w:type="paragraph" w:styleId="Footer">
    <w:name w:val="footer"/>
    <w:basedOn w:val="Normal"/>
    <w:link w:val="FooterChar"/>
    <w:uiPriority w:val="99"/>
    <w:unhideWhenUsed/>
    <w:rsid w:val="00475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5E5"/>
  </w:style>
  <w:style w:type="character" w:styleId="Hyperlink">
    <w:name w:val="Hyperlink"/>
    <w:basedOn w:val="DefaultParagraphFont"/>
    <w:uiPriority w:val="99"/>
    <w:unhideWhenUsed/>
    <w:rsid w:val="009C1005"/>
    <w:rPr>
      <w:color w:val="0000FF" w:themeColor="hyperlink"/>
      <w:u w:val="single"/>
    </w:rPr>
  </w:style>
  <w:style w:type="character" w:styleId="CommentReference">
    <w:name w:val="annotation reference"/>
    <w:basedOn w:val="DefaultParagraphFont"/>
    <w:uiPriority w:val="99"/>
    <w:semiHidden/>
    <w:unhideWhenUsed/>
    <w:rsid w:val="009A41D4"/>
    <w:rPr>
      <w:sz w:val="16"/>
      <w:szCs w:val="16"/>
    </w:rPr>
  </w:style>
  <w:style w:type="paragraph" w:styleId="CommentText">
    <w:name w:val="annotation text"/>
    <w:basedOn w:val="Normal"/>
    <w:link w:val="CommentTextChar"/>
    <w:uiPriority w:val="99"/>
    <w:semiHidden/>
    <w:unhideWhenUsed/>
    <w:rsid w:val="009A41D4"/>
    <w:pPr>
      <w:spacing w:line="240" w:lineRule="auto"/>
    </w:pPr>
    <w:rPr>
      <w:sz w:val="20"/>
      <w:szCs w:val="20"/>
    </w:rPr>
  </w:style>
  <w:style w:type="character" w:customStyle="1" w:styleId="CommentTextChar">
    <w:name w:val="Comment Text Char"/>
    <w:basedOn w:val="DefaultParagraphFont"/>
    <w:link w:val="CommentText"/>
    <w:uiPriority w:val="99"/>
    <w:semiHidden/>
    <w:rsid w:val="009A41D4"/>
    <w:rPr>
      <w:sz w:val="20"/>
      <w:szCs w:val="20"/>
    </w:rPr>
  </w:style>
  <w:style w:type="paragraph" w:styleId="CommentSubject">
    <w:name w:val="annotation subject"/>
    <w:basedOn w:val="CommentText"/>
    <w:next w:val="CommentText"/>
    <w:link w:val="CommentSubjectChar"/>
    <w:uiPriority w:val="99"/>
    <w:semiHidden/>
    <w:unhideWhenUsed/>
    <w:rsid w:val="009A41D4"/>
    <w:rPr>
      <w:b/>
      <w:bCs/>
    </w:rPr>
  </w:style>
  <w:style w:type="character" w:customStyle="1" w:styleId="CommentSubjectChar">
    <w:name w:val="Comment Subject Char"/>
    <w:basedOn w:val="CommentTextChar"/>
    <w:link w:val="CommentSubject"/>
    <w:uiPriority w:val="99"/>
    <w:semiHidden/>
    <w:rsid w:val="009A41D4"/>
    <w:rPr>
      <w:b/>
      <w:bCs/>
      <w:sz w:val="20"/>
      <w:szCs w:val="20"/>
    </w:rPr>
  </w:style>
  <w:style w:type="paragraph" w:styleId="BalloonText">
    <w:name w:val="Balloon Text"/>
    <w:basedOn w:val="Normal"/>
    <w:link w:val="BalloonTextChar"/>
    <w:uiPriority w:val="99"/>
    <w:semiHidden/>
    <w:unhideWhenUsed/>
    <w:rsid w:val="009A4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1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3DD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AFF"/>
    <w:pPr>
      <w:ind w:left="720"/>
      <w:contextualSpacing/>
    </w:pPr>
  </w:style>
  <w:style w:type="character" w:customStyle="1" w:styleId="Heading1Char">
    <w:name w:val="Heading 1 Char"/>
    <w:basedOn w:val="DefaultParagraphFont"/>
    <w:link w:val="Heading1"/>
    <w:uiPriority w:val="9"/>
    <w:rsid w:val="003A3DD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B3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5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5E5"/>
  </w:style>
  <w:style w:type="paragraph" w:styleId="Footer">
    <w:name w:val="footer"/>
    <w:basedOn w:val="Normal"/>
    <w:link w:val="FooterChar"/>
    <w:uiPriority w:val="99"/>
    <w:unhideWhenUsed/>
    <w:rsid w:val="00475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5E5"/>
  </w:style>
  <w:style w:type="character" w:styleId="Hyperlink">
    <w:name w:val="Hyperlink"/>
    <w:basedOn w:val="DefaultParagraphFont"/>
    <w:uiPriority w:val="99"/>
    <w:unhideWhenUsed/>
    <w:rsid w:val="009C1005"/>
    <w:rPr>
      <w:color w:val="0000FF" w:themeColor="hyperlink"/>
      <w:u w:val="single"/>
    </w:rPr>
  </w:style>
  <w:style w:type="character" w:styleId="CommentReference">
    <w:name w:val="annotation reference"/>
    <w:basedOn w:val="DefaultParagraphFont"/>
    <w:uiPriority w:val="99"/>
    <w:semiHidden/>
    <w:unhideWhenUsed/>
    <w:rsid w:val="009A41D4"/>
    <w:rPr>
      <w:sz w:val="16"/>
      <w:szCs w:val="16"/>
    </w:rPr>
  </w:style>
  <w:style w:type="paragraph" w:styleId="CommentText">
    <w:name w:val="annotation text"/>
    <w:basedOn w:val="Normal"/>
    <w:link w:val="CommentTextChar"/>
    <w:uiPriority w:val="99"/>
    <w:semiHidden/>
    <w:unhideWhenUsed/>
    <w:rsid w:val="009A41D4"/>
    <w:pPr>
      <w:spacing w:line="240" w:lineRule="auto"/>
    </w:pPr>
    <w:rPr>
      <w:sz w:val="20"/>
      <w:szCs w:val="20"/>
    </w:rPr>
  </w:style>
  <w:style w:type="character" w:customStyle="1" w:styleId="CommentTextChar">
    <w:name w:val="Comment Text Char"/>
    <w:basedOn w:val="DefaultParagraphFont"/>
    <w:link w:val="CommentText"/>
    <w:uiPriority w:val="99"/>
    <w:semiHidden/>
    <w:rsid w:val="009A41D4"/>
    <w:rPr>
      <w:sz w:val="20"/>
      <w:szCs w:val="20"/>
    </w:rPr>
  </w:style>
  <w:style w:type="paragraph" w:styleId="CommentSubject">
    <w:name w:val="annotation subject"/>
    <w:basedOn w:val="CommentText"/>
    <w:next w:val="CommentText"/>
    <w:link w:val="CommentSubjectChar"/>
    <w:uiPriority w:val="99"/>
    <w:semiHidden/>
    <w:unhideWhenUsed/>
    <w:rsid w:val="009A41D4"/>
    <w:rPr>
      <w:b/>
      <w:bCs/>
    </w:rPr>
  </w:style>
  <w:style w:type="character" w:customStyle="1" w:styleId="CommentSubjectChar">
    <w:name w:val="Comment Subject Char"/>
    <w:basedOn w:val="CommentTextChar"/>
    <w:link w:val="CommentSubject"/>
    <w:uiPriority w:val="99"/>
    <w:semiHidden/>
    <w:rsid w:val="009A41D4"/>
    <w:rPr>
      <w:b/>
      <w:bCs/>
      <w:sz w:val="20"/>
      <w:szCs w:val="20"/>
    </w:rPr>
  </w:style>
  <w:style w:type="paragraph" w:styleId="BalloonText">
    <w:name w:val="Balloon Text"/>
    <w:basedOn w:val="Normal"/>
    <w:link w:val="BalloonTextChar"/>
    <w:uiPriority w:val="99"/>
    <w:semiHidden/>
    <w:unhideWhenUsed/>
    <w:rsid w:val="009A4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1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ces.ed.gov/pubs2003/2003601.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brown-kevin</dc:creator>
  <cp:lastModifiedBy>Axt, Kathy</cp:lastModifiedBy>
  <cp:revision>4</cp:revision>
  <dcterms:created xsi:type="dcterms:W3CDTF">2012-10-31T19:23:00Z</dcterms:created>
  <dcterms:modified xsi:type="dcterms:W3CDTF">2012-10-31T19:24:00Z</dcterms:modified>
</cp:coreProperties>
</file>