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CBF" w:rsidRDefault="005C3CBF" w:rsidP="00FD66F1">
      <w:pPr>
        <w:spacing w:after="0"/>
        <w:jc w:val="center"/>
        <w:rPr>
          <w:rFonts w:ascii="Times New Roman" w:hAnsi="Times New Roman"/>
          <w:sz w:val="24"/>
          <w:szCs w:val="24"/>
        </w:rPr>
      </w:pPr>
      <w:r>
        <w:rPr>
          <w:rFonts w:ascii="Times New Roman" w:hAnsi="Times New Roman"/>
          <w:sz w:val="24"/>
          <w:szCs w:val="24"/>
        </w:rPr>
        <w:t>Supporting Statement</w:t>
      </w:r>
    </w:p>
    <w:p w:rsidR="005C3CBF" w:rsidRDefault="005C3CBF" w:rsidP="00FD66F1">
      <w:pPr>
        <w:spacing w:after="0"/>
        <w:jc w:val="center"/>
        <w:rPr>
          <w:rFonts w:ascii="Times New Roman" w:hAnsi="Times New Roman"/>
          <w:b/>
          <w:sz w:val="24"/>
          <w:szCs w:val="24"/>
        </w:rPr>
      </w:pPr>
      <w:r>
        <w:rPr>
          <w:rFonts w:ascii="Times New Roman" w:hAnsi="Times New Roman"/>
          <w:b/>
          <w:sz w:val="24"/>
          <w:szCs w:val="24"/>
        </w:rPr>
        <w:t>FERC-732, Electric Rate Schedule and Tariffs: Long-Term Firm Transmission Rights in Organized Electricity Markets</w:t>
      </w:r>
    </w:p>
    <w:p w:rsidR="005C3CBF" w:rsidRDefault="005C3CBF" w:rsidP="00FD66F1">
      <w:pPr>
        <w:spacing w:after="0"/>
        <w:jc w:val="center"/>
        <w:rPr>
          <w:rFonts w:ascii="Times New Roman" w:hAnsi="Times New Roman"/>
          <w:sz w:val="24"/>
          <w:szCs w:val="24"/>
        </w:rPr>
      </w:pPr>
    </w:p>
    <w:p w:rsidR="005C3CBF" w:rsidRDefault="005C3CBF" w:rsidP="00FD66F1">
      <w:pPr>
        <w:spacing w:after="0"/>
        <w:rPr>
          <w:rFonts w:ascii="Times New Roman" w:hAnsi="Times New Roman"/>
          <w:sz w:val="24"/>
          <w:szCs w:val="24"/>
        </w:rPr>
      </w:pPr>
      <w:r w:rsidRPr="00767313">
        <w:rPr>
          <w:rFonts w:ascii="Times New Roman" w:hAnsi="Times New Roman"/>
          <w:sz w:val="24"/>
          <w:szCs w:val="24"/>
        </w:rPr>
        <w:t>The Federal Energy Regulatory Commission (Commission or FERC) requests that the Office of Management and Budget (</w:t>
      </w:r>
      <w:r>
        <w:rPr>
          <w:rFonts w:ascii="Times New Roman" w:hAnsi="Times New Roman"/>
          <w:sz w:val="24"/>
          <w:szCs w:val="24"/>
        </w:rPr>
        <w:t>OMB) review and approve FERC-732</w:t>
      </w:r>
      <w:r w:rsidRPr="00767313">
        <w:rPr>
          <w:rFonts w:ascii="Times New Roman" w:hAnsi="Times New Roman"/>
          <w:sz w:val="24"/>
          <w:szCs w:val="24"/>
        </w:rPr>
        <w:t>,</w:t>
      </w:r>
      <w:r w:rsidRPr="00705A65">
        <w:t xml:space="preserve"> </w:t>
      </w:r>
      <w:r w:rsidRPr="00705A65">
        <w:rPr>
          <w:rFonts w:ascii="Times New Roman" w:hAnsi="Times New Roman"/>
          <w:sz w:val="24"/>
          <w:szCs w:val="24"/>
        </w:rPr>
        <w:t>Electric Rate Schedule and Tariffs: Long-Term Firm Transmission Rights in Organized Electricity Markets</w:t>
      </w:r>
      <w:r w:rsidRPr="00767313">
        <w:rPr>
          <w:rFonts w:ascii="Times New Roman" w:hAnsi="Times New Roman"/>
          <w:sz w:val="24"/>
          <w:szCs w:val="24"/>
        </w:rPr>
        <w:t>, fo</w:t>
      </w:r>
      <w:r>
        <w:rPr>
          <w:rFonts w:ascii="Times New Roman" w:hAnsi="Times New Roman"/>
          <w:sz w:val="24"/>
          <w:szCs w:val="24"/>
        </w:rPr>
        <w:t>r a three year period.  FERC-732 (OMB Control No. 1902-0245</w:t>
      </w:r>
      <w:r w:rsidRPr="00767313">
        <w:rPr>
          <w:rFonts w:ascii="Times New Roman" w:hAnsi="Times New Roman"/>
          <w:sz w:val="24"/>
          <w:szCs w:val="24"/>
        </w:rPr>
        <w:t>) is an existing Co</w:t>
      </w:r>
      <w:r>
        <w:rPr>
          <w:rFonts w:ascii="Times New Roman" w:hAnsi="Times New Roman"/>
          <w:sz w:val="24"/>
          <w:szCs w:val="24"/>
        </w:rPr>
        <w:t>mmission data collection (reporting</w:t>
      </w:r>
      <w:r w:rsidRPr="00767313">
        <w:rPr>
          <w:rFonts w:ascii="Times New Roman" w:hAnsi="Times New Roman"/>
          <w:sz w:val="24"/>
          <w:szCs w:val="24"/>
        </w:rPr>
        <w:t xml:space="preserve"> requirements), as stated </w:t>
      </w:r>
      <w:r w:rsidRPr="00F25173">
        <w:rPr>
          <w:rFonts w:ascii="Times New Roman" w:hAnsi="Times New Roman"/>
          <w:sz w:val="24"/>
          <w:szCs w:val="24"/>
        </w:rPr>
        <w:t>by 18 Code of Federal Regulations (CFR) 42.</w:t>
      </w:r>
    </w:p>
    <w:p w:rsidR="005C3CBF" w:rsidRDefault="005C3CBF" w:rsidP="00FD66F1">
      <w:pPr>
        <w:spacing w:after="0"/>
        <w:rPr>
          <w:rFonts w:ascii="Times New Roman" w:hAnsi="Times New Roman"/>
          <w:sz w:val="24"/>
          <w:szCs w:val="24"/>
        </w:rPr>
      </w:pPr>
    </w:p>
    <w:p w:rsidR="005C3CBF" w:rsidRPr="00EB3E6F" w:rsidRDefault="005C3CBF" w:rsidP="00A72E7B">
      <w:pPr>
        <w:pStyle w:val="ListParagraph"/>
        <w:numPr>
          <w:ilvl w:val="0"/>
          <w:numId w:val="21"/>
        </w:numPr>
        <w:spacing w:after="0"/>
        <w:ind w:left="360"/>
        <w:rPr>
          <w:rFonts w:ascii="Times New Roman" w:hAnsi="Times New Roman"/>
          <w:b/>
          <w:sz w:val="24"/>
          <w:szCs w:val="24"/>
        </w:rPr>
      </w:pPr>
      <w:r w:rsidRPr="00EB3E6F">
        <w:rPr>
          <w:rFonts w:ascii="Times New Roman" w:hAnsi="Times New Roman"/>
          <w:b/>
          <w:sz w:val="24"/>
          <w:szCs w:val="24"/>
        </w:rPr>
        <w:t>CIRCUMSTANCES THAT MAKE THE COLLECTION OF INFORMATION NECESSARY</w:t>
      </w:r>
    </w:p>
    <w:p w:rsidR="005C3CBF" w:rsidRDefault="005C3CBF" w:rsidP="00EB3E6F">
      <w:pPr>
        <w:spacing w:after="0"/>
        <w:rPr>
          <w:rFonts w:ascii="Times New Roman" w:hAnsi="Times New Roman"/>
          <w:sz w:val="24"/>
          <w:szCs w:val="24"/>
        </w:rPr>
      </w:pPr>
    </w:p>
    <w:p w:rsidR="005C3CBF" w:rsidRPr="00CC5CE1" w:rsidRDefault="005C3CBF" w:rsidP="00CC5CE1">
      <w:pPr>
        <w:autoSpaceDE w:val="0"/>
        <w:autoSpaceDN w:val="0"/>
        <w:adjustRightInd w:val="0"/>
        <w:spacing w:after="0" w:line="240" w:lineRule="auto"/>
        <w:rPr>
          <w:rFonts w:ascii="Times New Roman" w:hAnsi="Times New Roman"/>
          <w:sz w:val="24"/>
          <w:szCs w:val="24"/>
        </w:rPr>
      </w:pPr>
      <w:r w:rsidRPr="00CC5CE1">
        <w:rPr>
          <w:rFonts w:ascii="Times New Roman" w:hAnsi="Times New Roman"/>
          <w:sz w:val="24"/>
          <w:szCs w:val="24"/>
        </w:rPr>
        <w:t>To encourage investment in transmission infrastructure, the Commission requires all Regional Transmission Organizations (RTOs), Independent Service Operators (ISOs), independent transmission providers, or other independent transmission organizations to make available long-term firm transmission rights to load-serving entities (LSEs).  The Commission implemented this policy with Order No. 681, Order No. 681-A  and Order No. 681-B, following direction provided by Con</w:t>
      </w:r>
      <w:r w:rsidR="002410B0">
        <w:rPr>
          <w:rFonts w:ascii="Times New Roman" w:hAnsi="Times New Roman"/>
          <w:sz w:val="24"/>
          <w:szCs w:val="24"/>
        </w:rPr>
        <w:t>gress in EPAct 2005, Title VII S</w:t>
      </w:r>
      <w:r w:rsidRPr="00CC5CE1">
        <w:rPr>
          <w:rFonts w:ascii="Times New Roman" w:hAnsi="Times New Roman"/>
          <w:sz w:val="24"/>
          <w:szCs w:val="24"/>
        </w:rPr>
        <w:t>ection 1233 (b).  A summary and needed clarification to the Commission’s policy for long-term firm transmiss</w:t>
      </w:r>
      <w:bookmarkStart w:id="0" w:name="_GoBack"/>
      <w:bookmarkEnd w:id="0"/>
      <w:r w:rsidRPr="00CC5CE1">
        <w:rPr>
          <w:rFonts w:ascii="Times New Roman" w:hAnsi="Times New Roman"/>
          <w:sz w:val="24"/>
          <w:szCs w:val="24"/>
        </w:rPr>
        <w:t xml:space="preserve">ion rights is </w:t>
      </w:r>
      <w:r>
        <w:rPr>
          <w:rFonts w:ascii="Times New Roman" w:hAnsi="Times New Roman"/>
          <w:sz w:val="24"/>
          <w:szCs w:val="24"/>
        </w:rPr>
        <w:t>posted in the OMB clearance package.</w:t>
      </w:r>
    </w:p>
    <w:p w:rsidR="005C3CBF" w:rsidRPr="00CC5CE1" w:rsidRDefault="005C3CBF" w:rsidP="00CC5CE1">
      <w:pPr>
        <w:autoSpaceDE w:val="0"/>
        <w:autoSpaceDN w:val="0"/>
        <w:adjustRightInd w:val="0"/>
        <w:spacing w:after="0" w:line="240" w:lineRule="auto"/>
        <w:rPr>
          <w:rFonts w:ascii="Times New Roman" w:hAnsi="Times New Roman"/>
          <w:sz w:val="24"/>
          <w:szCs w:val="24"/>
        </w:rPr>
      </w:pPr>
    </w:p>
    <w:p w:rsidR="005C3CBF" w:rsidRPr="00CC5CE1" w:rsidRDefault="005C3CBF" w:rsidP="00CC5CE1">
      <w:pPr>
        <w:autoSpaceDE w:val="0"/>
        <w:autoSpaceDN w:val="0"/>
        <w:adjustRightInd w:val="0"/>
        <w:spacing w:after="0" w:line="240" w:lineRule="auto"/>
        <w:rPr>
          <w:rFonts w:ascii="Times New Roman" w:hAnsi="Times New Roman"/>
          <w:sz w:val="24"/>
          <w:szCs w:val="24"/>
        </w:rPr>
      </w:pPr>
      <w:r w:rsidRPr="00CC5CE1">
        <w:rPr>
          <w:rFonts w:ascii="Times New Roman" w:hAnsi="Times New Roman"/>
          <w:sz w:val="24"/>
          <w:szCs w:val="24"/>
        </w:rPr>
        <w:t>To ensure that long-term firm transmission rights are made available in organized markets, the Commission requires that RTOs, ISOs, independent transmission providers, or other independent transmission organizations submit tariff sheets and rate schedules that make available long-term firm transmission rights, or alternatively, an explanation of how their current tariff and rate schedule provide for long-term firm transmission rights</w:t>
      </w:r>
      <w:r>
        <w:rPr>
          <w:rFonts w:ascii="Times New Roman" w:hAnsi="Times New Roman"/>
          <w:sz w:val="24"/>
          <w:szCs w:val="24"/>
        </w:rPr>
        <w:t>.</w:t>
      </w:r>
      <w:r w:rsidRPr="00CC5CE1">
        <w:rPr>
          <w:rStyle w:val="FootnoteReference"/>
          <w:rFonts w:ascii="Times New Roman" w:hAnsi="Times New Roman"/>
          <w:sz w:val="24"/>
          <w:szCs w:val="24"/>
          <w:vertAlign w:val="superscript"/>
        </w:rPr>
        <w:footnoteReference w:id="1"/>
      </w:r>
      <w:r w:rsidRPr="00CC5CE1">
        <w:rPr>
          <w:rFonts w:ascii="Times New Roman" w:hAnsi="Times New Roman"/>
          <w:sz w:val="24"/>
          <w:szCs w:val="24"/>
        </w:rPr>
        <w:t xml:space="preserve"> </w:t>
      </w:r>
      <w:r>
        <w:rPr>
          <w:rFonts w:ascii="Times New Roman" w:hAnsi="Times New Roman"/>
          <w:sz w:val="24"/>
          <w:szCs w:val="24"/>
        </w:rPr>
        <w:t xml:space="preserve"> </w:t>
      </w:r>
      <w:r w:rsidRPr="00CC5CE1">
        <w:rPr>
          <w:rFonts w:ascii="Times New Roman" w:hAnsi="Times New Roman"/>
          <w:sz w:val="24"/>
          <w:szCs w:val="24"/>
        </w:rPr>
        <w:t xml:space="preserve">These long-term firm transmission rights made available to transmission customers must satisfy each of the guidelines for long-term firm transmission rights set forth in </w:t>
      </w:r>
      <w:bookmarkStart w:id="1" w:name="OLE_LINK5"/>
      <w:r w:rsidRPr="00CC5CE1">
        <w:rPr>
          <w:rFonts w:ascii="Times New Roman" w:hAnsi="Times New Roman"/>
          <w:sz w:val="24"/>
          <w:szCs w:val="24"/>
        </w:rPr>
        <w:t xml:space="preserve">18 CFR 42.1(d) </w:t>
      </w:r>
      <w:bookmarkEnd w:id="1"/>
      <w:r w:rsidRPr="00CC5CE1">
        <w:rPr>
          <w:rFonts w:ascii="Times New Roman" w:hAnsi="Times New Roman"/>
          <w:sz w:val="24"/>
          <w:szCs w:val="24"/>
        </w:rPr>
        <w:t xml:space="preserve">in order to comply with Commission requirements.  </w:t>
      </w:r>
    </w:p>
    <w:p w:rsidR="005C3CBF" w:rsidRPr="00CC5CE1" w:rsidRDefault="005C3CBF" w:rsidP="00CC5CE1">
      <w:pPr>
        <w:autoSpaceDE w:val="0"/>
        <w:autoSpaceDN w:val="0"/>
        <w:adjustRightInd w:val="0"/>
        <w:spacing w:after="0" w:line="240" w:lineRule="auto"/>
        <w:rPr>
          <w:rFonts w:ascii="Times New Roman" w:hAnsi="Times New Roman"/>
          <w:sz w:val="24"/>
          <w:szCs w:val="24"/>
        </w:rPr>
      </w:pPr>
    </w:p>
    <w:p w:rsidR="005C3CBF" w:rsidRPr="00CC5CE1" w:rsidRDefault="005C3CBF" w:rsidP="001E46A0">
      <w:pPr>
        <w:autoSpaceDE w:val="0"/>
        <w:autoSpaceDN w:val="0"/>
        <w:adjustRightInd w:val="0"/>
        <w:spacing w:after="0" w:line="240" w:lineRule="auto"/>
        <w:rPr>
          <w:rFonts w:ascii="Times New Roman" w:hAnsi="Times New Roman"/>
          <w:sz w:val="24"/>
          <w:szCs w:val="24"/>
        </w:rPr>
      </w:pPr>
      <w:r w:rsidRPr="00CC5CE1">
        <w:rPr>
          <w:rFonts w:ascii="Times New Roman" w:hAnsi="Times New Roman"/>
          <w:sz w:val="24"/>
          <w:szCs w:val="24"/>
        </w:rPr>
        <w:t>All existing RTOs and ISOs were required to submit the applicable tariff sheets and rate schedules and have done so.  However, FERC-732 requirements in 18 CFR 42.1(d) continue to apply to any transmission organization approved by the Commission after January 29, 2007.  Therefore, a small burden for this reporting requirement remains to ensure FERC is compliant with related Congressional requirements in EPAct 2005.</w:t>
      </w:r>
    </w:p>
    <w:p w:rsidR="005C3CBF" w:rsidRPr="00EB3E6F" w:rsidRDefault="005C3CBF" w:rsidP="003D2990">
      <w:pPr>
        <w:spacing w:after="0"/>
        <w:rPr>
          <w:rFonts w:ascii="Times New Roman" w:hAnsi="Times New Roman"/>
          <w:sz w:val="24"/>
          <w:szCs w:val="24"/>
        </w:rPr>
      </w:pPr>
    </w:p>
    <w:p w:rsidR="005C3CBF" w:rsidRPr="00EB3E6F" w:rsidRDefault="005C3CBF" w:rsidP="00A72E7B">
      <w:pPr>
        <w:pStyle w:val="ListParagraph"/>
        <w:numPr>
          <w:ilvl w:val="0"/>
          <w:numId w:val="21"/>
        </w:numPr>
        <w:spacing w:after="0"/>
        <w:ind w:left="360"/>
        <w:rPr>
          <w:rFonts w:ascii="Times New Roman" w:hAnsi="Times New Roman"/>
          <w:b/>
          <w:sz w:val="24"/>
          <w:szCs w:val="24"/>
        </w:rPr>
      </w:pPr>
      <w:r w:rsidRPr="00EB3E6F">
        <w:rPr>
          <w:rFonts w:ascii="Times New Roman" w:hAnsi="Times New Roman"/>
          <w:b/>
          <w:sz w:val="24"/>
          <w:szCs w:val="24"/>
        </w:rPr>
        <w:t>HOW, BY WHOM, AND FOR WHAT PURPOSE THE INFORMATION IS TO BE USED AND THE CONSEQUENCES OF NOT COLLECTING THE INFORMATION</w:t>
      </w:r>
    </w:p>
    <w:p w:rsidR="005C3CBF" w:rsidRPr="00116779" w:rsidRDefault="005C3CBF" w:rsidP="00116779">
      <w:pPr>
        <w:spacing w:after="0"/>
        <w:rPr>
          <w:rFonts w:ascii="Times New Roman" w:hAnsi="Times New Roman"/>
          <w:sz w:val="24"/>
          <w:szCs w:val="24"/>
        </w:rPr>
      </w:pPr>
    </w:p>
    <w:p w:rsidR="005C3CBF" w:rsidRPr="00CC5CE1" w:rsidRDefault="005C3CBF" w:rsidP="00CC5CE1">
      <w:pPr>
        <w:autoSpaceDE w:val="0"/>
        <w:autoSpaceDN w:val="0"/>
        <w:adjustRightInd w:val="0"/>
        <w:spacing w:after="0" w:line="240" w:lineRule="auto"/>
        <w:rPr>
          <w:rFonts w:ascii="Times New Roman" w:hAnsi="Times New Roman"/>
          <w:sz w:val="24"/>
          <w:szCs w:val="24"/>
        </w:rPr>
      </w:pPr>
      <w:r w:rsidRPr="00CC5CE1">
        <w:rPr>
          <w:rFonts w:ascii="Times New Roman" w:hAnsi="Times New Roman"/>
          <w:sz w:val="24"/>
          <w:szCs w:val="24"/>
        </w:rPr>
        <w:t xml:space="preserve">The Commission will use the tariff sheets and rate schedules submitted by transmission organizations in accordance with this requirement to ensure that the transmission organizations </w:t>
      </w:r>
      <w:r w:rsidRPr="00CC5CE1">
        <w:rPr>
          <w:rFonts w:ascii="Times New Roman" w:hAnsi="Times New Roman"/>
          <w:sz w:val="24"/>
          <w:szCs w:val="24"/>
        </w:rPr>
        <w:lastRenderedPageBreak/>
        <w:t xml:space="preserve">make available long-term firm transmission rights in a way that is compliant with FERC procedures to implement Congressional EPAct 2005 policy.  Failure to collect this information would prevent the Commission from complying with Congressional mandates related to long-term firm transmission rights in transmission organizations.  </w:t>
      </w:r>
    </w:p>
    <w:p w:rsidR="005C3CBF" w:rsidRPr="00EB3E6F" w:rsidRDefault="005C3CBF" w:rsidP="00EB3E6F">
      <w:pPr>
        <w:spacing w:after="0"/>
        <w:rPr>
          <w:rFonts w:ascii="Times New Roman" w:hAnsi="Times New Roman"/>
          <w:sz w:val="24"/>
          <w:szCs w:val="24"/>
        </w:rPr>
      </w:pPr>
    </w:p>
    <w:p w:rsidR="005C3CBF" w:rsidRPr="00EB3E6F" w:rsidRDefault="005C3CBF" w:rsidP="00A72E7B">
      <w:pPr>
        <w:pStyle w:val="ListParagraph"/>
        <w:numPr>
          <w:ilvl w:val="0"/>
          <w:numId w:val="21"/>
        </w:numPr>
        <w:spacing w:after="0"/>
        <w:ind w:left="360"/>
        <w:rPr>
          <w:rFonts w:ascii="Times New Roman" w:hAnsi="Times New Roman"/>
          <w:b/>
          <w:sz w:val="24"/>
          <w:szCs w:val="24"/>
        </w:rPr>
      </w:pPr>
      <w:r w:rsidRPr="00EB3E6F">
        <w:rPr>
          <w:rFonts w:ascii="Times New Roman" w:hAnsi="Times New Roman"/>
          <w:b/>
          <w:sz w:val="24"/>
          <w:szCs w:val="24"/>
        </w:rPr>
        <w:t>DESCRIBE ANY CONSIDERATION OF THE USE OF IMPROVED INFORMATION TECHNOLOGY TO REDUCE THE BURDEN AND TECHNICAL OR LEGAL OBSTACLES TO REDUCING BURDEN</w:t>
      </w:r>
    </w:p>
    <w:p w:rsidR="005C3CBF" w:rsidRDefault="005C3CBF" w:rsidP="00EB3E6F">
      <w:pPr>
        <w:spacing w:after="0"/>
        <w:rPr>
          <w:rFonts w:ascii="Times New Roman" w:hAnsi="Times New Roman"/>
          <w:sz w:val="24"/>
          <w:szCs w:val="24"/>
        </w:rPr>
      </w:pPr>
    </w:p>
    <w:p w:rsidR="005C3CBF" w:rsidRPr="00CC5CE1" w:rsidRDefault="005C3CBF" w:rsidP="00CC5CE1">
      <w:pPr>
        <w:tabs>
          <w:tab w:val="left" w:pos="720"/>
        </w:tabs>
        <w:autoSpaceDE w:val="0"/>
        <w:autoSpaceDN w:val="0"/>
        <w:adjustRightInd w:val="0"/>
        <w:spacing w:after="0" w:line="240" w:lineRule="auto"/>
        <w:rPr>
          <w:rFonts w:ascii="Times New Roman" w:hAnsi="Times New Roman"/>
          <w:sz w:val="24"/>
          <w:szCs w:val="24"/>
        </w:rPr>
      </w:pPr>
      <w:r w:rsidRPr="00CC5CE1">
        <w:rPr>
          <w:rFonts w:ascii="Times New Roman" w:hAnsi="Times New Roman"/>
          <w:sz w:val="24"/>
          <w:szCs w:val="24"/>
        </w:rPr>
        <w:t xml:space="preserve">The Commission has an ongoing effort to reduce the burden related to this information collection by applying improved information technology.  To this end, the Commission has developed the capability of entities to file electronically documents with the Commission via the Internet.  </w:t>
      </w:r>
    </w:p>
    <w:p w:rsidR="005C3CBF" w:rsidRPr="00CC5CE1" w:rsidRDefault="005C3CBF" w:rsidP="00CC5CE1">
      <w:pPr>
        <w:tabs>
          <w:tab w:val="left" w:pos="720"/>
        </w:tabs>
        <w:autoSpaceDE w:val="0"/>
        <w:autoSpaceDN w:val="0"/>
        <w:adjustRightInd w:val="0"/>
        <w:spacing w:after="0" w:line="240" w:lineRule="auto"/>
        <w:rPr>
          <w:rFonts w:ascii="Times New Roman" w:hAnsi="Times New Roman"/>
          <w:sz w:val="24"/>
          <w:szCs w:val="24"/>
        </w:rPr>
      </w:pPr>
    </w:p>
    <w:p w:rsidR="005C3CBF" w:rsidRPr="00CC5CE1" w:rsidRDefault="005C3CBF" w:rsidP="00CC5CE1">
      <w:pPr>
        <w:tabs>
          <w:tab w:val="left" w:pos="720"/>
        </w:tabs>
        <w:autoSpaceDE w:val="0"/>
        <w:autoSpaceDN w:val="0"/>
        <w:adjustRightInd w:val="0"/>
        <w:spacing w:after="0" w:line="240" w:lineRule="auto"/>
        <w:rPr>
          <w:rFonts w:ascii="Times New Roman" w:hAnsi="Times New Roman"/>
          <w:sz w:val="24"/>
          <w:szCs w:val="24"/>
        </w:rPr>
      </w:pPr>
      <w:r w:rsidRPr="00CC5CE1">
        <w:rPr>
          <w:rFonts w:ascii="Times New Roman" w:hAnsi="Times New Roman"/>
          <w:sz w:val="24"/>
          <w:szCs w:val="24"/>
        </w:rPr>
        <w:t>In 2008, the Commission issued Order No. 714,</w:t>
      </w:r>
      <w:r w:rsidRPr="00CC5CE1">
        <w:rPr>
          <w:rFonts w:ascii="Times New Roman" w:hAnsi="Times New Roman"/>
          <w:b/>
          <w:sz w:val="24"/>
          <w:szCs w:val="24"/>
          <w:vertAlign w:val="superscript"/>
        </w:rPr>
        <w:footnoteReference w:id="2"/>
      </w:r>
      <w:r w:rsidRPr="00CC5CE1">
        <w:rPr>
          <w:rFonts w:ascii="Times New Roman" w:hAnsi="Times New Roman"/>
          <w:sz w:val="24"/>
          <w:szCs w:val="24"/>
        </w:rPr>
        <w:t xml:space="preserve"> which revised its regulations to require that all tariffs, tariff revisions</w:t>
      </w:r>
      <w:r>
        <w:rPr>
          <w:rFonts w:ascii="Times New Roman" w:hAnsi="Times New Roman"/>
          <w:sz w:val="24"/>
          <w:szCs w:val="24"/>
        </w:rPr>
        <w:t>,</w:t>
      </w:r>
      <w:r w:rsidRPr="00CC5CE1">
        <w:rPr>
          <w:rFonts w:ascii="Times New Roman" w:hAnsi="Times New Roman"/>
          <w:sz w:val="24"/>
          <w:szCs w:val="24"/>
        </w:rPr>
        <w:t xml:space="preserve"> and rate change applications for public utilities, natural gas pipelines, oil pipelines and power administrations</w:t>
      </w:r>
      <w:r w:rsidR="00163EFA">
        <w:rPr>
          <w:rFonts w:ascii="Times New Roman" w:hAnsi="Times New Roman"/>
          <w:sz w:val="24"/>
          <w:szCs w:val="24"/>
        </w:rPr>
        <w:t>,</w:t>
      </w:r>
      <w:r w:rsidRPr="00CC5CE1">
        <w:rPr>
          <w:rFonts w:ascii="Times New Roman" w:hAnsi="Times New Roman"/>
          <w:sz w:val="24"/>
          <w:szCs w:val="24"/>
        </w:rPr>
        <w:t xml:space="preserve"> be filed electronically starting in April 2010.  The </w:t>
      </w:r>
      <w:proofErr w:type="spellStart"/>
      <w:r w:rsidRPr="00CC5CE1">
        <w:rPr>
          <w:rFonts w:ascii="Times New Roman" w:hAnsi="Times New Roman"/>
          <w:sz w:val="24"/>
          <w:szCs w:val="24"/>
        </w:rPr>
        <w:t>eTariff</w:t>
      </w:r>
      <w:proofErr w:type="spellEnd"/>
      <w:r w:rsidRPr="00CC5CE1">
        <w:rPr>
          <w:rFonts w:ascii="Times New Roman" w:hAnsi="Times New Roman"/>
          <w:sz w:val="24"/>
          <w:szCs w:val="24"/>
        </w:rPr>
        <w:t xml:space="preserve"> filing process and system reflect standards FERC developed in conjunction with the North American Energy Standards Board.  Therefore, entities that file tariff-related FERC-732 data </w:t>
      </w:r>
      <w:r>
        <w:rPr>
          <w:rFonts w:ascii="Times New Roman" w:hAnsi="Times New Roman"/>
          <w:sz w:val="24"/>
          <w:szCs w:val="24"/>
        </w:rPr>
        <w:t>possess the ability to embed</w:t>
      </w:r>
      <w:r w:rsidRPr="00CC5CE1">
        <w:rPr>
          <w:rFonts w:ascii="Times New Roman" w:hAnsi="Times New Roman"/>
          <w:sz w:val="24"/>
          <w:szCs w:val="24"/>
        </w:rPr>
        <w:t xml:space="preserve"> the information within the XML schema of the new </w:t>
      </w:r>
      <w:proofErr w:type="spellStart"/>
      <w:r w:rsidRPr="00CC5CE1">
        <w:rPr>
          <w:rFonts w:ascii="Times New Roman" w:hAnsi="Times New Roman"/>
          <w:sz w:val="24"/>
          <w:szCs w:val="24"/>
        </w:rPr>
        <w:t>eTariff</w:t>
      </w:r>
      <w:proofErr w:type="spellEnd"/>
      <w:r w:rsidRPr="00CC5CE1">
        <w:rPr>
          <w:rFonts w:ascii="Times New Roman" w:hAnsi="Times New Roman"/>
          <w:sz w:val="24"/>
          <w:szCs w:val="24"/>
        </w:rPr>
        <w:t xml:space="preserve"> system.   Providing FERC-732 filers with the </w:t>
      </w:r>
      <w:proofErr w:type="spellStart"/>
      <w:r w:rsidRPr="00CC5CE1">
        <w:rPr>
          <w:rFonts w:ascii="Times New Roman" w:hAnsi="Times New Roman"/>
          <w:sz w:val="24"/>
          <w:szCs w:val="24"/>
        </w:rPr>
        <w:t>eTariff</w:t>
      </w:r>
      <w:proofErr w:type="spellEnd"/>
      <w:r w:rsidRPr="00CC5CE1">
        <w:rPr>
          <w:rFonts w:ascii="Times New Roman" w:hAnsi="Times New Roman"/>
          <w:sz w:val="24"/>
          <w:szCs w:val="24"/>
        </w:rPr>
        <w:t xml:space="preserve"> system for submitting tariff-related information has reduced the Commission’s physical storage needs and has reduced document processing time.  The </w:t>
      </w:r>
      <w:proofErr w:type="spellStart"/>
      <w:r w:rsidRPr="00CC5CE1">
        <w:rPr>
          <w:rFonts w:ascii="Times New Roman" w:hAnsi="Times New Roman"/>
          <w:sz w:val="24"/>
          <w:szCs w:val="24"/>
        </w:rPr>
        <w:t>eTariff</w:t>
      </w:r>
      <w:proofErr w:type="spellEnd"/>
      <w:r w:rsidRPr="00CC5CE1">
        <w:rPr>
          <w:rFonts w:ascii="Times New Roman" w:hAnsi="Times New Roman"/>
          <w:sz w:val="24"/>
          <w:szCs w:val="24"/>
        </w:rPr>
        <w:t xml:space="preserve"> system has also made tracking documents easier and reduced the costs regulated entities who file FERC-732 data incur in mailing and courier fees.  Furthermore, the </w:t>
      </w:r>
      <w:proofErr w:type="spellStart"/>
      <w:r w:rsidRPr="00CC5CE1">
        <w:rPr>
          <w:rFonts w:ascii="Times New Roman" w:hAnsi="Times New Roman"/>
          <w:sz w:val="24"/>
          <w:szCs w:val="24"/>
        </w:rPr>
        <w:t>eTariff</w:t>
      </w:r>
      <w:proofErr w:type="spellEnd"/>
      <w:r w:rsidRPr="00CC5CE1">
        <w:rPr>
          <w:rFonts w:ascii="Times New Roman" w:hAnsi="Times New Roman"/>
          <w:sz w:val="24"/>
          <w:szCs w:val="24"/>
        </w:rPr>
        <w:t xml:space="preserve"> system allows FERC-732 tariffs to be accessed, downloaded, and printed by multiple parties at the same time.  Moreover, </w:t>
      </w:r>
      <w:proofErr w:type="spellStart"/>
      <w:r w:rsidRPr="00CC5CE1">
        <w:rPr>
          <w:rFonts w:ascii="Times New Roman" w:hAnsi="Times New Roman"/>
          <w:sz w:val="24"/>
          <w:szCs w:val="24"/>
        </w:rPr>
        <w:t>eTariff</w:t>
      </w:r>
      <w:proofErr w:type="spellEnd"/>
      <w:r w:rsidRPr="00CC5CE1">
        <w:rPr>
          <w:rFonts w:ascii="Times New Roman" w:hAnsi="Times New Roman"/>
          <w:sz w:val="24"/>
          <w:szCs w:val="24"/>
        </w:rPr>
        <w:t xml:space="preserve"> automatically sends filers an email indicating their filing has arrived at FERC and whether or not</w:t>
      </w:r>
      <w:r>
        <w:rPr>
          <w:rFonts w:ascii="Times New Roman" w:hAnsi="Times New Roman"/>
          <w:sz w:val="24"/>
          <w:szCs w:val="24"/>
        </w:rPr>
        <w:t xml:space="preserve"> the Commission accepted the filing</w:t>
      </w:r>
      <w:r w:rsidRPr="00CC5CE1">
        <w:rPr>
          <w:rFonts w:ascii="Times New Roman" w:hAnsi="Times New Roman"/>
          <w:sz w:val="24"/>
          <w:szCs w:val="24"/>
        </w:rPr>
        <w:t>.  All FERC-732 filings a</w:t>
      </w:r>
      <w:r>
        <w:rPr>
          <w:rFonts w:ascii="Times New Roman" w:hAnsi="Times New Roman"/>
          <w:sz w:val="24"/>
          <w:szCs w:val="24"/>
        </w:rPr>
        <w:t>re also available in electronic format with</w:t>
      </w:r>
      <w:r w:rsidRPr="00CC5CE1">
        <w:rPr>
          <w:rFonts w:ascii="Times New Roman" w:hAnsi="Times New Roman"/>
          <w:sz w:val="24"/>
          <w:szCs w:val="24"/>
        </w:rPr>
        <w:t>in FERC’s eLibrary.</w:t>
      </w:r>
    </w:p>
    <w:p w:rsidR="005C3CBF" w:rsidRPr="00EB3E6F" w:rsidRDefault="005C3CBF" w:rsidP="00E65CE0">
      <w:pPr>
        <w:spacing w:after="0"/>
        <w:rPr>
          <w:rFonts w:ascii="Times New Roman" w:hAnsi="Times New Roman"/>
          <w:sz w:val="24"/>
          <w:szCs w:val="24"/>
        </w:rPr>
      </w:pPr>
    </w:p>
    <w:p w:rsidR="005C3CBF" w:rsidRPr="00EB3E6F" w:rsidRDefault="005C3CBF" w:rsidP="00A72E7B">
      <w:pPr>
        <w:pStyle w:val="ListParagraph"/>
        <w:numPr>
          <w:ilvl w:val="0"/>
          <w:numId w:val="21"/>
        </w:numPr>
        <w:spacing w:after="0"/>
        <w:ind w:left="360"/>
        <w:rPr>
          <w:rFonts w:ascii="Times New Roman" w:hAnsi="Times New Roman"/>
          <w:b/>
          <w:sz w:val="24"/>
          <w:szCs w:val="24"/>
        </w:rPr>
      </w:pPr>
      <w:r w:rsidRPr="00EB3E6F">
        <w:rPr>
          <w:rFonts w:ascii="Times New Roman" w:hAnsi="Times New Roman"/>
          <w:b/>
          <w:sz w:val="24"/>
          <w:szCs w:val="24"/>
        </w:rPr>
        <w:t>DESCRIBE EFFORTS TO IDENTIF DUPLICATION AND SHOW SPECIFICALLY WHY ANY SIMILAR INFORMATION ALREADY AVAILABLE CANNOT BE USED OR MODIFIED FOR USE FOR THE PURPOSE(S) DESCRIBED IN INSTRUCTION NO. 2</w:t>
      </w:r>
    </w:p>
    <w:p w:rsidR="005C3CBF" w:rsidRDefault="005C3CBF" w:rsidP="00EB3E6F">
      <w:pPr>
        <w:spacing w:after="0"/>
        <w:rPr>
          <w:rFonts w:ascii="Times New Roman" w:hAnsi="Times New Roman"/>
          <w:sz w:val="24"/>
          <w:szCs w:val="24"/>
        </w:rPr>
      </w:pPr>
    </w:p>
    <w:p w:rsidR="005C3CBF" w:rsidRDefault="005C3CBF" w:rsidP="00571C5E">
      <w:pPr>
        <w:spacing w:after="0"/>
        <w:rPr>
          <w:rFonts w:ascii="Times New Roman" w:hAnsi="Times New Roman"/>
          <w:sz w:val="24"/>
          <w:szCs w:val="24"/>
        </w:rPr>
      </w:pPr>
      <w:r w:rsidRPr="0086457D">
        <w:rPr>
          <w:rFonts w:ascii="Times New Roman" w:hAnsi="Times New Roman"/>
          <w:sz w:val="24"/>
          <w:szCs w:val="24"/>
        </w:rPr>
        <w:t>The Commission published a not</w:t>
      </w:r>
      <w:r>
        <w:rPr>
          <w:rFonts w:ascii="Times New Roman" w:hAnsi="Times New Roman"/>
          <w:sz w:val="24"/>
          <w:szCs w:val="24"/>
        </w:rPr>
        <w:t>ice in the Federal Register</w:t>
      </w:r>
      <w:r w:rsidRPr="00226C74">
        <w:rPr>
          <w:rStyle w:val="FootnoteReference"/>
          <w:rFonts w:ascii="Times New Roman" w:hAnsi="Times New Roman"/>
          <w:sz w:val="24"/>
          <w:szCs w:val="24"/>
          <w:vertAlign w:val="superscript"/>
        </w:rPr>
        <w:footnoteReference w:id="3"/>
      </w:r>
      <w:r w:rsidRPr="0086457D">
        <w:rPr>
          <w:rFonts w:ascii="Times New Roman" w:hAnsi="Times New Roman"/>
          <w:sz w:val="24"/>
          <w:szCs w:val="24"/>
        </w:rPr>
        <w:t xml:space="preserve"> to help identify any duplicatio</w:t>
      </w:r>
      <w:r>
        <w:rPr>
          <w:rFonts w:ascii="Times New Roman" w:hAnsi="Times New Roman"/>
          <w:sz w:val="24"/>
          <w:szCs w:val="24"/>
        </w:rPr>
        <w:t>n of the information in FERC-732</w:t>
      </w:r>
      <w:r w:rsidRPr="00E65CE0">
        <w:rPr>
          <w:rFonts w:ascii="Times New Roman" w:hAnsi="Times New Roman"/>
          <w:sz w:val="24"/>
          <w:szCs w:val="24"/>
        </w:rPr>
        <w:t xml:space="preserve">.  The Commission received no comments </w:t>
      </w:r>
      <w:r>
        <w:rPr>
          <w:rFonts w:ascii="Times New Roman" w:hAnsi="Times New Roman"/>
          <w:sz w:val="24"/>
          <w:szCs w:val="24"/>
        </w:rPr>
        <w:t>regarding this collection</w:t>
      </w:r>
      <w:r w:rsidRPr="0086457D">
        <w:rPr>
          <w:rFonts w:ascii="Times New Roman" w:hAnsi="Times New Roman"/>
          <w:sz w:val="24"/>
          <w:szCs w:val="24"/>
        </w:rPr>
        <w:t xml:space="preserve">.  No similar information can be used or modified. </w:t>
      </w:r>
      <w:r w:rsidR="00163EFA">
        <w:rPr>
          <w:rFonts w:ascii="Times New Roman" w:hAnsi="Times New Roman"/>
          <w:sz w:val="24"/>
          <w:szCs w:val="24"/>
        </w:rPr>
        <w:t xml:space="preserve"> </w:t>
      </w:r>
      <w:r w:rsidRPr="0086457D">
        <w:rPr>
          <w:rFonts w:ascii="Times New Roman" w:hAnsi="Times New Roman"/>
          <w:sz w:val="24"/>
          <w:szCs w:val="24"/>
        </w:rPr>
        <w:t xml:space="preserve">There are no other Federal agencies responsible for </w:t>
      </w:r>
      <w:r>
        <w:rPr>
          <w:rFonts w:ascii="Times New Roman" w:hAnsi="Times New Roman"/>
          <w:sz w:val="24"/>
          <w:szCs w:val="24"/>
        </w:rPr>
        <w:t>providing</w:t>
      </w:r>
      <w:r w:rsidRPr="00BE1A50">
        <w:rPr>
          <w:rFonts w:ascii="Times New Roman" w:hAnsi="Times New Roman"/>
          <w:sz w:val="24"/>
          <w:szCs w:val="24"/>
        </w:rPr>
        <w:t xml:space="preserve"> information on the availability of firm l</w:t>
      </w:r>
      <w:r>
        <w:rPr>
          <w:rFonts w:ascii="Times New Roman" w:hAnsi="Times New Roman"/>
          <w:sz w:val="24"/>
          <w:szCs w:val="24"/>
        </w:rPr>
        <w:t>ong-term transmission rights.  FERC-732 is</w:t>
      </w:r>
      <w:r w:rsidRPr="00BE1A50">
        <w:rPr>
          <w:rFonts w:ascii="Times New Roman" w:hAnsi="Times New Roman"/>
          <w:sz w:val="24"/>
          <w:szCs w:val="24"/>
        </w:rPr>
        <w:t xml:space="preserve"> a necessary information collection in order for the Commission to remain in compli</w:t>
      </w:r>
      <w:r>
        <w:rPr>
          <w:rFonts w:ascii="Times New Roman" w:hAnsi="Times New Roman"/>
          <w:sz w:val="24"/>
          <w:szCs w:val="24"/>
        </w:rPr>
        <w:t>ance with EPAct 2005 mandates.</w:t>
      </w:r>
    </w:p>
    <w:p w:rsidR="005C3CBF" w:rsidRPr="00EB3E6F" w:rsidRDefault="005C3CBF" w:rsidP="00EB3E6F">
      <w:pPr>
        <w:spacing w:after="0"/>
        <w:rPr>
          <w:rFonts w:ascii="Times New Roman" w:hAnsi="Times New Roman"/>
          <w:sz w:val="24"/>
          <w:szCs w:val="24"/>
        </w:rPr>
      </w:pPr>
    </w:p>
    <w:p w:rsidR="005C3CBF" w:rsidRPr="00EB3E6F" w:rsidRDefault="005C3CBF" w:rsidP="00A72E7B">
      <w:pPr>
        <w:pStyle w:val="ListParagraph"/>
        <w:numPr>
          <w:ilvl w:val="0"/>
          <w:numId w:val="21"/>
        </w:numPr>
        <w:spacing w:after="0"/>
        <w:ind w:left="360"/>
        <w:rPr>
          <w:rFonts w:ascii="Times New Roman" w:hAnsi="Times New Roman"/>
          <w:b/>
          <w:sz w:val="24"/>
          <w:szCs w:val="24"/>
        </w:rPr>
      </w:pPr>
      <w:r w:rsidRPr="00EB3E6F">
        <w:rPr>
          <w:rFonts w:ascii="Times New Roman" w:hAnsi="Times New Roman"/>
          <w:b/>
          <w:sz w:val="24"/>
          <w:szCs w:val="24"/>
        </w:rPr>
        <w:lastRenderedPageBreak/>
        <w:t>METHODS USED TO MINIMIZE THE BURDEN IN COLLECTION OF INFORMATION INVOLVING SMALL ENTITIES</w:t>
      </w:r>
    </w:p>
    <w:p w:rsidR="005C3CBF" w:rsidRDefault="005C3CBF" w:rsidP="00EB3E6F">
      <w:pPr>
        <w:spacing w:after="0"/>
        <w:rPr>
          <w:rFonts w:ascii="Times New Roman" w:hAnsi="Times New Roman"/>
          <w:sz w:val="24"/>
          <w:szCs w:val="24"/>
        </w:rPr>
      </w:pPr>
    </w:p>
    <w:p w:rsidR="005C3CBF" w:rsidRDefault="005C3CBF" w:rsidP="00571C5E">
      <w:pPr>
        <w:spacing w:after="0"/>
        <w:rPr>
          <w:rFonts w:ascii="Times New Roman" w:hAnsi="Times New Roman"/>
          <w:sz w:val="24"/>
          <w:szCs w:val="24"/>
        </w:rPr>
      </w:pPr>
      <w:r>
        <w:rPr>
          <w:rFonts w:ascii="Times New Roman" w:hAnsi="Times New Roman"/>
          <w:sz w:val="24"/>
          <w:szCs w:val="24"/>
        </w:rPr>
        <w:t xml:space="preserve">The Commission attempts to impose the least burden possible upon respondents in any requirements for data and any requisite filings made.  With specific regard to the FERC-732, it is unlikely that any small entities will respond to this information collection.  Transmission organizations are typically not small entities. </w:t>
      </w:r>
    </w:p>
    <w:p w:rsidR="005C3CBF" w:rsidRPr="00EB3E6F" w:rsidRDefault="005C3CBF" w:rsidP="00EB3E6F">
      <w:pPr>
        <w:spacing w:after="0"/>
        <w:rPr>
          <w:rFonts w:ascii="Times New Roman" w:hAnsi="Times New Roman"/>
          <w:sz w:val="24"/>
          <w:szCs w:val="24"/>
        </w:rPr>
      </w:pPr>
    </w:p>
    <w:p w:rsidR="005C3CBF" w:rsidRPr="00D80FBD" w:rsidRDefault="005C3CBF" w:rsidP="00A72E7B">
      <w:pPr>
        <w:pStyle w:val="ListParagraph"/>
        <w:numPr>
          <w:ilvl w:val="0"/>
          <w:numId w:val="21"/>
        </w:numPr>
        <w:spacing w:after="0"/>
        <w:ind w:left="360"/>
        <w:rPr>
          <w:rFonts w:ascii="Times New Roman" w:hAnsi="Times New Roman"/>
          <w:b/>
          <w:sz w:val="24"/>
          <w:szCs w:val="24"/>
        </w:rPr>
      </w:pPr>
      <w:r w:rsidRPr="00D80FBD">
        <w:rPr>
          <w:rFonts w:ascii="Times New Roman" w:hAnsi="Times New Roman"/>
          <w:b/>
          <w:sz w:val="24"/>
          <w:szCs w:val="24"/>
        </w:rPr>
        <w:t>CONSEQUENCE TO FEDERAL PROGRAM IF COLLECTION WERE CONDUCTED LESS FREQUENTLY</w:t>
      </w:r>
    </w:p>
    <w:p w:rsidR="005C3CBF" w:rsidRDefault="005C3CBF" w:rsidP="00EB3E6F">
      <w:pPr>
        <w:spacing w:after="0"/>
        <w:rPr>
          <w:rFonts w:ascii="Times New Roman" w:hAnsi="Times New Roman"/>
          <w:sz w:val="24"/>
          <w:szCs w:val="24"/>
        </w:rPr>
      </w:pPr>
    </w:p>
    <w:p w:rsidR="005C3CBF" w:rsidRDefault="005C3CBF" w:rsidP="00EB3E6F">
      <w:pPr>
        <w:spacing w:after="0"/>
        <w:rPr>
          <w:rFonts w:ascii="Times New Roman" w:hAnsi="Times New Roman"/>
          <w:sz w:val="24"/>
          <w:szCs w:val="24"/>
        </w:rPr>
      </w:pPr>
      <w:r w:rsidRPr="00D1199A">
        <w:rPr>
          <w:rFonts w:ascii="Times New Roman" w:hAnsi="Times New Roman"/>
          <w:sz w:val="24"/>
          <w:szCs w:val="24"/>
        </w:rPr>
        <w:t>The requirement for transmission organizations to submit tar</w:t>
      </w:r>
      <w:r>
        <w:rPr>
          <w:rFonts w:ascii="Times New Roman" w:hAnsi="Times New Roman"/>
          <w:sz w:val="24"/>
          <w:szCs w:val="24"/>
        </w:rPr>
        <w:t>iff sheets and rate schedules that</w:t>
      </w:r>
      <w:r w:rsidRPr="00D1199A">
        <w:rPr>
          <w:rFonts w:ascii="Times New Roman" w:hAnsi="Times New Roman"/>
          <w:sz w:val="24"/>
          <w:szCs w:val="24"/>
        </w:rPr>
        <w:t xml:space="preserve"> comply with EPAct 2005 requirements </w:t>
      </w:r>
      <w:r>
        <w:rPr>
          <w:rFonts w:ascii="Times New Roman" w:hAnsi="Times New Roman"/>
          <w:sz w:val="24"/>
          <w:szCs w:val="24"/>
        </w:rPr>
        <w:t xml:space="preserve">for </w:t>
      </w:r>
      <w:r w:rsidRPr="00D1199A">
        <w:rPr>
          <w:rFonts w:ascii="Times New Roman" w:hAnsi="Times New Roman"/>
          <w:sz w:val="24"/>
          <w:szCs w:val="24"/>
        </w:rPr>
        <w:t>mak</w:t>
      </w:r>
      <w:r>
        <w:rPr>
          <w:rFonts w:ascii="Times New Roman" w:hAnsi="Times New Roman"/>
          <w:sz w:val="24"/>
          <w:szCs w:val="24"/>
        </w:rPr>
        <w:t>ing</w:t>
      </w:r>
      <w:r w:rsidRPr="00D1199A">
        <w:rPr>
          <w:rFonts w:ascii="Times New Roman" w:hAnsi="Times New Roman"/>
          <w:sz w:val="24"/>
          <w:szCs w:val="24"/>
        </w:rPr>
        <w:t xml:space="preserve"> available long-term firm transmission rights is a one-time filing requirement.  Collecting the information less frequently would mean not collecting the information at all.  If the information were not collected, the Commission would be unable to monitor the availability of long-term firm transmission rights in wholesale electric markets</w:t>
      </w:r>
      <w:r>
        <w:rPr>
          <w:rFonts w:ascii="Times New Roman" w:hAnsi="Times New Roman"/>
          <w:sz w:val="24"/>
          <w:szCs w:val="24"/>
        </w:rPr>
        <w:t>.</w:t>
      </w:r>
    </w:p>
    <w:p w:rsidR="005C3CBF" w:rsidRPr="00EB3E6F" w:rsidRDefault="005C3CBF" w:rsidP="00EB3E6F">
      <w:pPr>
        <w:spacing w:after="0"/>
        <w:rPr>
          <w:rFonts w:ascii="Times New Roman" w:hAnsi="Times New Roman"/>
          <w:sz w:val="24"/>
          <w:szCs w:val="24"/>
        </w:rPr>
      </w:pPr>
    </w:p>
    <w:p w:rsidR="005C3CBF" w:rsidRPr="00D80FBD" w:rsidRDefault="005C3CBF" w:rsidP="00A72E7B">
      <w:pPr>
        <w:pStyle w:val="ListParagraph"/>
        <w:numPr>
          <w:ilvl w:val="0"/>
          <w:numId w:val="21"/>
        </w:numPr>
        <w:spacing w:after="0"/>
        <w:ind w:left="360"/>
        <w:rPr>
          <w:rFonts w:ascii="Times New Roman" w:hAnsi="Times New Roman"/>
          <w:b/>
          <w:sz w:val="24"/>
          <w:szCs w:val="24"/>
        </w:rPr>
      </w:pPr>
      <w:r w:rsidRPr="00D80FBD">
        <w:rPr>
          <w:rFonts w:ascii="Times New Roman" w:hAnsi="Times New Roman"/>
          <w:b/>
          <w:sz w:val="24"/>
          <w:szCs w:val="24"/>
        </w:rPr>
        <w:t>EXPLAIN ANY SPECIAL CIRCUMSTANCES RELATING TO THE INFORMATION COLLECTION</w:t>
      </w:r>
    </w:p>
    <w:p w:rsidR="005C3CBF" w:rsidRDefault="005C3CBF" w:rsidP="00EB3E6F">
      <w:pPr>
        <w:spacing w:after="0"/>
        <w:rPr>
          <w:rFonts w:ascii="Times New Roman" w:hAnsi="Times New Roman"/>
          <w:sz w:val="24"/>
          <w:szCs w:val="24"/>
        </w:rPr>
      </w:pPr>
    </w:p>
    <w:p w:rsidR="005C3CBF" w:rsidRPr="00CA59C3" w:rsidRDefault="005C3CBF" w:rsidP="00C84FE6">
      <w:pPr>
        <w:spacing w:after="0"/>
        <w:rPr>
          <w:rFonts w:ascii="Times New Roman" w:hAnsi="Times New Roman"/>
          <w:sz w:val="24"/>
          <w:szCs w:val="24"/>
        </w:rPr>
      </w:pPr>
      <w:r>
        <w:rPr>
          <w:rFonts w:ascii="Times New Roman" w:hAnsi="Times New Roman"/>
          <w:sz w:val="24"/>
          <w:szCs w:val="24"/>
        </w:rPr>
        <w:t>The information collection</w:t>
      </w:r>
      <w:r w:rsidRPr="00C84FE6">
        <w:rPr>
          <w:rFonts w:ascii="Times New Roman" w:hAnsi="Times New Roman"/>
          <w:sz w:val="24"/>
          <w:szCs w:val="24"/>
        </w:rPr>
        <w:t xml:space="preserve"> meets all of OMB's section 1320.5 requirements.  </w:t>
      </w:r>
    </w:p>
    <w:p w:rsidR="005C3CBF" w:rsidRPr="00EB3E6F" w:rsidRDefault="005C3CBF" w:rsidP="00EB3E6F">
      <w:pPr>
        <w:spacing w:after="0"/>
        <w:rPr>
          <w:rFonts w:ascii="Times New Roman" w:hAnsi="Times New Roman"/>
          <w:sz w:val="24"/>
          <w:szCs w:val="24"/>
        </w:rPr>
      </w:pPr>
    </w:p>
    <w:p w:rsidR="005C3CBF" w:rsidRPr="00D80FBD" w:rsidRDefault="005C3CBF" w:rsidP="00A72E7B">
      <w:pPr>
        <w:pStyle w:val="ListParagraph"/>
        <w:numPr>
          <w:ilvl w:val="0"/>
          <w:numId w:val="21"/>
        </w:numPr>
        <w:spacing w:after="0"/>
        <w:ind w:left="360"/>
        <w:rPr>
          <w:rFonts w:ascii="Times New Roman" w:hAnsi="Times New Roman"/>
          <w:b/>
          <w:sz w:val="24"/>
          <w:szCs w:val="24"/>
        </w:rPr>
      </w:pPr>
      <w:r w:rsidRPr="00D80FBD">
        <w:rPr>
          <w:rFonts w:ascii="Times New Roman" w:hAnsi="Times New Roman"/>
          <w:b/>
          <w:sz w:val="24"/>
          <w:szCs w:val="24"/>
        </w:rPr>
        <w:t>DESCRIBE EFFORTS TO CONSULT OUTSIDE THE AGENCY: SUMMARIZE PUBLIC COMMENTS AND THE AGENCY’S RESPONSE</w:t>
      </w:r>
    </w:p>
    <w:p w:rsidR="005C3CBF" w:rsidRDefault="005C3CBF" w:rsidP="00EB3E6F">
      <w:pPr>
        <w:spacing w:after="0"/>
        <w:rPr>
          <w:rFonts w:ascii="Times New Roman" w:hAnsi="Times New Roman"/>
          <w:sz w:val="24"/>
          <w:szCs w:val="24"/>
        </w:rPr>
      </w:pPr>
    </w:p>
    <w:p w:rsidR="005C3CBF" w:rsidRDefault="005C3CBF" w:rsidP="00C84FE6">
      <w:pPr>
        <w:spacing w:after="0"/>
        <w:rPr>
          <w:rFonts w:ascii="Times New Roman" w:hAnsi="Times New Roman"/>
          <w:sz w:val="24"/>
          <w:szCs w:val="24"/>
        </w:rPr>
      </w:pPr>
      <w:r w:rsidRPr="00C84FE6">
        <w:rPr>
          <w:rFonts w:ascii="Times New Roman" w:hAnsi="Times New Roman"/>
          <w:sz w:val="24"/>
          <w:szCs w:val="24"/>
        </w:rPr>
        <w:t>In a</w:t>
      </w:r>
      <w:r>
        <w:rPr>
          <w:rFonts w:ascii="Times New Roman" w:hAnsi="Times New Roman"/>
          <w:sz w:val="24"/>
          <w:szCs w:val="24"/>
        </w:rPr>
        <w:t>ccordance with OMB requirements</w:t>
      </w:r>
      <w:r w:rsidRPr="00C84FE6">
        <w:rPr>
          <w:rFonts w:ascii="Times New Roman" w:hAnsi="Times New Roman"/>
          <w:sz w:val="24"/>
          <w:szCs w:val="24"/>
        </w:rPr>
        <w:t>, the Commission published a 60-day notice</w:t>
      </w:r>
      <w:bookmarkStart w:id="2" w:name="_Ref332712251"/>
      <w:r>
        <w:rPr>
          <w:rFonts w:ascii="Times New Roman" w:hAnsi="Times New Roman"/>
          <w:sz w:val="24"/>
          <w:szCs w:val="24"/>
        </w:rPr>
        <w:t>.</w:t>
      </w:r>
      <w:r w:rsidRPr="007164EF">
        <w:rPr>
          <w:rStyle w:val="FootnoteReference"/>
          <w:rFonts w:ascii="Times New Roman" w:hAnsi="Times New Roman"/>
          <w:sz w:val="24"/>
          <w:szCs w:val="24"/>
          <w:vertAlign w:val="superscript"/>
        </w:rPr>
        <w:footnoteReference w:id="4"/>
      </w:r>
      <w:bookmarkEnd w:id="2"/>
      <w:r>
        <w:rPr>
          <w:rFonts w:ascii="Times New Roman" w:hAnsi="Times New Roman"/>
          <w:sz w:val="24"/>
          <w:szCs w:val="24"/>
        </w:rPr>
        <w:t xml:space="preserve">  </w:t>
      </w:r>
      <w:r w:rsidRPr="00C84FE6">
        <w:rPr>
          <w:rFonts w:ascii="Times New Roman" w:hAnsi="Times New Roman"/>
          <w:sz w:val="24"/>
          <w:szCs w:val="24"/>
        </w:rPr>
        <w:t xml:space="preserve">Within the public notice, the Commission noted that it would be requesting a three-year extension of the public reporting burden with no change to the existing requirements concerning the collection of </w:t>
      </w:r>
      <w:r>
        <w:rPr>
          <w:rFonts w:ascii="Times New Roman" w:hAnsi="Times New Roman"/>
          <w:sz w:val="24"/>
          <w:szCs w:val="24"/>
        </w:rPr>
        <w:t>data.  The Commission received no comments</w:t>
      </w:r>
      <w:r w:rsidRPr="00C84FE6">
        <w:rPr>
          <w:rFonts w:ascii="Times New Roman" w:hAnsi="Times New Roman"/>
          <w:sz w:val="24"/>
          <w:szCs w:val="24"/>
        </w:rPr>
        <w:t>.</w:t>
      </w:r>
    </w:p>
    <w:p w:rsidR="005C3CBF" w:rsidRPr="00EB3E6F" w:rsidRDefault="005C3CBF" w:rsidP="00EB3E6F">
      <w:pPr>
        <w:spacing w:after="0"/>
        <w:rPr>
          <w:rFonts w:ascii="Times New Roman" w:hAnsi="Times New Roman"/>
          <w:sz w:val="24"/>
          <w:szCs w:val="24"/>
        </w:rPr>
      </w:pPr>
    </w:p>
    <w:p w:rsidR="005C3CBF" w:rsidRPr="00D80FBD" w:rsidRDefault="005C3CBF" w:rsidP="00A72E7B">
      <w:pPr>
        <w:pStyle w:val="ListParagraph"/>
        <w:numPr>
          <w:ilvl w:val="0"/>
          <w:numId w:val="21"/>
        </w:numPr>
        <w:spacing w:after="0"/>
        <w:ind w:left="360"/>
        <w:rPr>
          <w:rFonts w:ascii="Times New Roman" w:hAnsi="Times New Roman"/>
          <w:b/>
          <w:sz w:val="24"/>
          <w:szCs w:val="24"/>
        </w:rPr>
      </w:pPr>
      <w:r w:rsidRPr="00D80FBD">
        <w:rPr>
          <w:rFonts w:ascii="Times New Roman" w:hAnsi="Times New Roman"/>
          <w:b/>
          <w:sz w:val="24"/>
          <w:szCs w:val="24"/>
        </w:rPr>
        <w:t>EXPLAIN ANY PAYMENT OR GIFTS TO RESPONDENTS</w:t>
      </w:r>
    </w:p>
    <w:p w:rsidR="005C3CBF" w:rsidRDefault="005C3CBF" w:rsidP="00D80FBD">
      <w:pPr>
        <w:spacing w:after="0"/>
        <w:rPr>
          <w:rFonts w:ascii="Times New Roman" w:hAnsi="Times New Roman"/>
          <w:sz w:val="24"/>
          <w:szCs w:val="24"/>
        </w:rPr>
      </w:pPr>
    </w:p>
    <w:p w:rsidR="005C3CBF" w:rsidRDefault="005C3CBF" w:rsidP="00F12DC2">
      <w:pPr>
        <w:spacing w:after="0"/>
        <w:rPr>
          <w:rFonts w:ascii="Times New Roman" w:hAnsi="Times New Roman"/>
          <w:sz w:val="24"/>
          <w:szCs w:val="24"/>
        </w:rPr>
      </w:pPr>
      <w:r w:rsidRPr="00C84FE6">
        <w:rPr>
          <w:rFonts w:ascii="Times New Roman" w:hAnsi="Times New Roman"/>
          <w:sz w:val="24"/>
          <w:szCs w:val="24"/>
        </w:rPr>
        <w:t>There are no payments or gifts to FE</w:t>
      </w:r>
      <w:r>
        <w:rPr>
          <w:rFonts w:ascii="Times New Roman" w:hAnsi="Times New Roman"/>
          <w:sz w:val="24"/>
          <w:szCs w:val="24"/>
        </w:rPr>
        <w:t>RC-732</w:t>
      </w:r>
      <w:r w:rsidRPr="00C84FE6">
        <w:rPr>
          <w:rFonts w:ascii="Times New Roman" w:hAnsi="Times New Roman"/>
          <w:sz w:val="24"/>
          <w:szCs w:val="24"/>
        </w:rPr>
        <w:t xml:space="preserve"> respondents.</w:t>
      </w:r>
    </w:p>
    <w:p w:rsidR="005C3CBF" w:rsidRPr="00D80FBD" w:rsidRDefault="005C3CBF" w:rsidP="00D80FBD">
      <w:pPr>
        <w:spacing w:after="0"/>
        <w:rPr>
          <w:rFonts w:ascii="Times New Roman" w:hAnsi="Times New Roman"/>
          <w:sz w:val="24"/>
          <w:szCs w:val="24"/>
        </w:rPr>
      </w:pPr>
    </w:p>
    <w:p w:rsidR="005C3CBF" w:rsidRPr="00D80FBD" w:rsidRDefault="005C3CBF" w:rsidP="00A72E7B">
      <w:pPr>
        <w:pStyle w:val="ListParagraph"/>
        <w:numPr>
          <w:ilvl w:val="0"/>
          <w:numId w:val="21"/>
        </w:numPr>
        <w:spacing w:after="0"/>
        <w:ind w:left="360"/>
        <w:rPr>
          <w:rFonts w:ascii="Times New Roman" w:hAnsi="Times New Roman"/>
          <w:b/>
          <w:sz w:val="24"/>
          <w:szCs w:val="24"/>
        </w:rPr>
      </w:pPr>
      <w:r w:rsidRPr="00D80FBD">
        <w:rPr>
          <w:rFonts w:ascii="Times New Roman" w:hAnsi="Times New Roman"/>
          <w:b/>
          <w:sz w:val="24"/>
          <w:szCs w:val="24"/>
        </w:rPr>
        <w:t>DESCRIBE ANY ASSURANCE OF CONFIDENTIALITY PROVIDED TO RESPONDENTS</w:t>
      </w:r>
    </w:p>
    <w:p w:rsidR="005C3CBF" w:rsidRDefault="005C3CBF" w:rsidP="00D80FBD">
      <w:pPr>
        <w:spacing w:after="0"/>
        <w:rPr>
          <w:rFonts w:ascii="Times New Roman" w:hAnsi="Times New Roman"/>
          <w:sz w:val="24"/>
          <w:szCs w:val="24"/>
        </w:rPr>
      </w:pPr>
    </w:p>
    <w:p w:rsidR="005C3CBF" w:rsidRDefault="005C3CBF" w:rsidP="008A21A4">
      <w:pPr>
        <w:spacing w:after="0"/>
        <w:rPr>
          <w:rFonts w:ascii="Times New Roman" w:hAnsi="Times New Roman"/>
          <w:sz w:val="24"/>
          <w:szCs w:val="24"/>
        </w:rPr>
      </w:pPr>
      <w:r>
        <w:rPr>
          <w:rFonts w:ascii="Times New Roman" w:hAnsi="Times New Roman"/>
          <w:sz w:val="24"/>
          <w:szCs w:val="24"/>
        </w:rPr>
        <w:lastRenderedPageBreak/>
        <w:t>The Commission does not consider</w:t>
      </w:r>
      <w:r w:rsidRPr="00C84FE6">
        <w:rPr>
          <w:rFonts w:ascii="Times New Roman" w:hAnsi="Times New Roman"/>
          <w:sz w:val="24"/>
          <w:szCs w:val="24"/>
        </w:rPr>
        <w:t xml:space="preserve"> the i</w:t>
      </w:r>
      <w:r>
        <w:rPr>
          <w:rFonts w:ascii="Times New Roman" w:hAnsi="Times New Roman"/>
          <w:sz w:val="24"/>
          <w:szCs w:val="24"/>
        </w:rPr>
        <w:t>nformation collected in FERC-732</w:t>
      </w:r>
      <w:r w:rsidRPr="00C84FE6">
        <w:rPr>
          <w:rFonts w:ascii="Times New Roman" w:hAnsi="Times New Roman"/>
          <w:sz w:val="24"/>
          <w:szCs w:val="24"/>
        </w:rPr>
        <w:t xml:space="preserve"> filings to be</w:t>
      </w:r>
      <w:r>
        <w:rPr>
          <w:rFonts w:ascii="Times New Roman" w:hAnsi="Times New Roman"/>
          <w:sz w:val="24"/>
          <w:szCs w:val="24"/>
        </w:rPr>
        <w:t xml:space="preserve"> confidential</w:t>
      </w:r>
      <w:r w:rsidRPr="00C84FE6">
        <w:rPr>
          <w:rFonts w:ascii="Times New Roman" w:hAnsi="Times New Roman"/>
          <w:sz w:val="24"/>
          <w:szCs w:val="24"/>
        </w:rPr>
        <w:t xml:space="preserve">. </w:t>
      </w:r>
      <w:r>
        <w:rPr>
          <w:rFonts w:ascii="Times New Roman" w:hAnsi="Times New Roman"/>
          <w:sz w:val="24"/>
          <w:szCs w:val="24"/>
        </w:rPr>
        <w:t xml:space="preserve"> However, the filer may request privileged treatment of a filing that may contain information harmful to the competitive posture of the applicant if released to the general public.</w:t>
      </w:r>
      <w:r w:rsidRPr="007164EF">
        <w:rPr>
          <w:rStyle w:val="FootnoteReference"/>
          <w:rFonts w:ascii="Times New Roman" w:hAnsi="Times New Roman"/>
          <w:sz w:val="24"/>
          <w:szCs w:val="24"/>
          <w:vertAlign w:val="superscript"/>
        </w:rPr>
        <w:footnoteReference w:id="5"/>
      </w:r>
      <w:r w:rsidRPr="00C84FE6">
        <w:rPr>
          <w:rFonts w:ascii="Times New Roman" w:hAnsi="Times New Roman"/>
          <w:sz w:val="24"/>
          <w:szCs w:val="24"/>
        </w:rPr>
        <w:t xml:space="preserve">  </w:t>
      </w:r>
    </w:p>
    <w:p w:rsidR="005C3CBF" w:rsidRPr="00D80FBD" w:rsidRDefault="005C3CBF" w:rsidP="00D80FBD">
      <w:pPr>
        <w:spacing w:after="0"/>
        <w:rPr>
          <w:rFonts w:ascii="Times New Roman" w:hAnsi="Times New Roman"/>
          <w:sz w:val="24"/>
          <w:szCs w:val="24"/>
        </w:rPr>
      </w:pPr>
    </w:p>
    <w:p w:rsidR="005C3CBF" w:rsidRPr="00D80FBD" w:rsidRDefault="005C3CBF" w:rsidP="00A72E7B">
      <w:pPr>
        <w:pStyle w:val="ListParagraph"/>
        <w:numPr>
          <w:ilvl w:val="0"/>
          <w:numId w:val="21"/>
        </w:numPr>
        <w:spacing w:after="0"/>
        <w:ind w:left="360"/>
        <w:rPr>
          <w:rFonts w:ascii="Times New Roman" w:hAnsi="Times New Roman"/>
          <w:b/>
          <w:sz w:val="24"/>
          <w:szCs w:val="24"/>
        </w:rPr>
      </w:pPr>
      <w:r w:rsidRPr="00D80FBD">
        <w:rPr>
          <w:rFonts w:ascii="Times New Roman" w:hAnsi="Times New Roman"/>
          <w:b/>
          <w:sz w:val="24"/>
          <w:szCs w:val="24"/>
        </w:rPr>
        <w:t>PROVIDE ADDITIONAL JUSTIFICATION FOR ANY QUESTIONS OF A SENSITIVE NATURE</w:t>
      </w:r>
    </w:p>
    <w:p w:rsidR="005C3CBF" w:rsidRDefault="005C3CBF" w:rsidP="00D80FBD">
      <w:pPr>
        <w:spacing w:after="0"/>
        <w:rPr>
          <w:rFonts w:ascii="Times New Roman" w:hAnsi="Times New Roman"/>
          <w:sz w:val="24"/>
          <w:szCs w:val="24"/>
        </w:rPr>
      </w:pPr>
    </w:p>
    <w:p w:rsidR="005C3CBF" w:rsidRDefault="005C3CBF" w:rsidP="008A21A4">
      <w:pPr>
        <w:spacing w:after="0"/>
        <w:rPr>
          <w:rFonts w:ascii="Times New Roman" w:hAnsi="Times New Roman"/>
          <w:sz w:val="24"/>
          <w:szCs w:val="24"/>
        </w:rPr>
      </w:pPr>
      <w:r w:rsidRPr="00C84FE6">
        <w:rPr>
          <w:rFonts w:ascii="Times New Roman" w:hAnsi="Times New Roman"/>
          <w:sz w:val="24"/>
          <w:szCs w:val="24"/>
        </w:rPr>
        <w:t>The Commissi</w:t>
      </w:r>
      <w:r>
        <w:rPr>
          <w:rFonts w:ascii="Times New Roman" w:hAnsi="Times New Roman"/>
          <w:sz w:val="24"/>
          <w:szCs w:val="24"/>
        </w:rPr>
        <w:t xml:space="preserve">on considers the </w:t>
      </w:r>
      <w:r w:rsidRPr="00C84FE6">
        <w:rPr>
          <w:rFonts w:ascii="Times New Roman" w:hAnsi="Times New Roman"/>
          <w:sz w:val="24"/>
          <w:szCs w:val="24"/>
        </w:rPr>
        <w:t>que</w:t>
      </w:r>
      <w:r>
        <w:rPr>
          <w:rFonts w:ascii="Times New Roman" w:hAnsi="Times New Roman"/>
          <w:sz w:val="24"/>
          <w:szCs w:val="24"/>
        </w:rPr>
        <w:t>stions within the FERC-732 neither sensitive in nature nor private.</w:t>
      </w:r>
    </w:p>
    <w:p w:rsidR="005C3CBF" w:rsidRPr="00D80FBD" w:rsidRDefault="005C3CBF" w:rsidP="00D80FBD">
      <w:pPr>
        <w:spacing w:after="0"/>
        <w:rPr>
          <w:rFonts w:ascii="Times New Roman" w:hAnsi="Times New Roman"/>
          <w:sz w:val="24"/>
          <w:szCs w:val="24"/>
        </w:rPr>
      </w:pPr>
    </w:p>
    <w:p w:rsidR="005C3CBF" w:rsidRPr="00D80FBD" w:rsidRDefault="005C3CBF" w:rsidP="00A72E7B">
      <w:pPr>
        <w:pStyle w:val="ListParagraph"/>
        <w:numPr>
          <w:ilvl w:val="0"/>
          <w:numId w:val="21"/>
        </w:numPr>
        <w:spacing w:after="0"/>
        <w:ind w:left="360"/>
        <w:rPr>
          <w:rFonts w:ascii="Times New Roman" w:hAnsi="Times New Roman"/>
          <w:b/>
          <w:sz w:val="24"/>
          <w:szCs w:val="24"/>
        </w:rPr>
      </w:pPr>
      <w:r w:rsidRPr="00D80FBD">
        <w:rPr>
          <w:rFonts w:ascii="Times New Roman" w:hAnsi="Times New Roman"/>
          <w:b/>
          <w:sz w:val="24"/>
          <w:szCs w:val="24"/>
        </w:rPr>
        <w:t>ESTIMATED BURDEN OF COLLECTION OF INFORMATION</w:t>
      </w:r>
    </w:p>
    <w:p w:rsidR="005C3CBF" w:rsidRDefault="005C3CBF" w:rsidP="00D80FBD">
      <w:pPr>
        <w:spacing w:after="0"/>
        <w:rPr>
          <w:rFonts w:ascii="Times New Roman" w:hAnsi="Times New Roman"/>
          <w:sz w:val="24"/>
          <w:szCs w:val="24"/>
        </w:rPr>
      </w:pPr>
    </w:p>
    <w:p w:rsidR="005C3CBF" w:rsidRDefault="005C3CBF" w:rsidP="00D80FBD">
      <w:pPr>
        <w:spacing w:after="0"/>
        <w:rPr>
          <w:rFonts w:ascii="Times New Roman" w:hAnsi="Times New Roman"/>
          <w:sz w:val="24"/>
          <w:szCs w:val="24"/>
        </w:rPr>
      </w:pPr>
      <w:r>
        <w:rPr>
          <w:rFonts w:ascii="Times New Roman" w:hAnsi="Times New Roman"/>
          <w:sz w:val="24"/>
          <w:szCs w:val="24"/>
        </w:rPr>
        <w:t>The Commission estimates the Public Reporting Burden for this information collection as:</w:t>
      </w:r>
    </w:p>
    <w:tbl>
      <w:tblPr>
        <w:tblpPr w:leftFromText="180" w:rightFromText="180" w:vertAnchor="text" w:horzAnchor="margin" w:tblpX="36" w:tblpY="229"/>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530"/>
        <w:gridCol w:w="1620"/>
        <w:gridCol w:w="1530"/>
        <w:gridCol w:w="1620"/>
        <w:gridCol w:w="1260"/>
      </w:tblGrid>
      <w:tr w:rsidR="005C3CBF" w:rsidRPr="006B2EAA" w:rsidTr="005F1C3C">
        <w:trPr>
          <w:trHeight w:val="347"/>
        </w:trPr>
        <w:tc>
          <w:tcPr>
            <w:tcW w:w="9288" w:type="dxa"/>
            <w:gridSpan w:val="6"/>
            <w:shd w:val="clear" w:color="auto" w:fill="D9D9D9"/>
            <w:vAlign w:val="center"/>
          </w:tcPr>
          <w:p w:rsidR="005C3CBF" w:rsidRPr="006B2EAA" w:rsidRDefault="005C3CBF" w:rsidP="00EB06F5">
            <w:pPr>
              <w:spacing w:after="0" w:line="240" w:lineRule="auto"/>
              <w:jc w:val="center"/>
              <w:rPr>
                <w:rFonts w:ascii="Times New Roman" w:hAnsi="Times New Roman"/>
                <w:b/>
                <w:sz w:val="24"/>
                <w:szCs w:val="24"/>
              </w:rPr>
            </w:pPr>
            <w:r w:rsidRPr="006B2EAA">
              <w:rPr>
                <w:rFonts w:ascii="Times New Roman" w:hAnsi="Times New Roman"/>
                <w:b/>
                <w:sz w:val="24"/>
                <w:szCs w:val="24"/>
              </w:rPr>
              <w:t xml:space="preserve">FERC-732: </w:t>
            </w:r>
            <w:r w:rsidRPr="006B2EAA">
              <w:rPr>
                <w:rFonts w:ascii="Times New Roman" w:hAnsi="Times New Roman"/>
                <w:b/>
                <w:bCs/>
                <w:sz w:val="24"/>
                <w:szCs w:val="24"/>
              </w:rPr>
              <w:t xml:space="preserve"> </w:t>
            </w:r>
            <w:r w:rsidRPr="006B2EAA">
              <w:rPr>
                <w:rFonts w:ascii="Times New Roman" w:hAnsi="Times New Roman"/>
                <w:b/>
                <w:sz w:val="24"/>
                <w:szCs w:val="24"/>
              </w:rPr>
              <w:t xml:space="preserve"> Electric Rate Schedule and Tariffs: Long-Term Firm Transmission Rights in Organized Electricity Markets</w:t>
            </w:r>
          </w:p>
        </w:tc>
      </w:tr>
      <w:tr w:rsidR="005C3CBF" w:rsidRPr="006B2EAA" w:rsidTr="00C42D79">
        <w:trPr>
          <w:trHeight w:val="1250"/>
        </w:trPr>
        <w:tc>
          <w:tcPr>
            <w:tcW w:w="1728" w:type="dxa"/>
            <w:shd w:val="clear" w:color="auto" w:fill="D9D9D9"/>
            <w:vAlign w:val="bottom"/>
          </w:tcPr>
          <w:p w:rsidR="005C3CBF" w:rsidRPr="006B2EAA" w:rsidRDefault="005C3CBF" w:rsidP="00D80FBD">
            <w:pPr>
              <w:spacing w:after="0" w:line="240" w:lineRule="auto"/>
              <w:rPr>
                <w:rFonts w:ascii="Times New Roman" w:hAnsi="Times New Roman"/>
                <w:b/>
                <w:sz w:val="24"/>
                <w:szCs w:val="24"/>
              </w:rPr>
            </w:pPr>
          </w:p>
        </w:tc>
        <w:tc>
          <w:tcPr>
            <w:tcW w:w="1530" w:type="dxa"/>
            <w:shd w:val="clear" w:color="auto" w:fill="D9D9D9"/>
            <w:vAlign w:val="bottom"/>
          </w:tcPr>
          <w:p w:rsidR="005C3CBF" w:rsidRPr="006B2EAA" w:rsidRDefault="005C3CBF" w:rsidP="00D80FBD">
            <w:pPr>
              <w:spacing w:after="0" w:line="240" w:lineRule="auto"/>
              <w:jc w:val="center"/>
              <w:rPr>
                <w:rFonts w:ascii="Times New Roman" w:hAnsi="Times New Roman"/>
                <w:b/>
                <w:sz w:val="24"/>
                <w:szCs w:val="24"/>
              </w:rPr>
            </w:pPr>
            <w:r w:rsidRPr="006B2EAA">
              <w:rPr>
                <w:rFonts w:ascii="Times New Roman" w:hAnsi="Times New Roman"/>
                <w:b/>
                <w:sz w:val="24"/>
                <w:szCs w:val="24"/>
              </w:rPr>
              <w:t>Number of Respondents</w:t>
            </w:r>
          </w:p>
          <w:p w:rsidR="005C3CBF" w:rsidRPr="006B2EAA" w:rsidRDefault="005C3CBF" w:rsidP="00D80FBD">
            <w:pPr>
              <w:spacing w:after="0" w:line="240" w:lineRule="auto"/>
              <w:jc w:val="center"/>
              <w:rPr>
                <w:rFonts w:ascii="Times New Roman" w:hAnsi="Times New Roman"/>
                <w:b/>
                <w:sz w:val="24"/>
                <w:szCs w:val="24"/>
              </w:rPr>
            </w:pPr>
            <w:r w:rsidRPr="006B2EAA">
              <w:rPr>
                <w:rFonts w:ascii="Times New Roman" w:hAnsi="Times New Roman"/>
                <w:b/>
                <w:sz w:val="24"/>
                <w:szCs w:val="24"/>
              </w:rPr>
              <w:t>(A)</w:t>
            </w:r>
          </w:p>
        </w:tc>
        <w:tc>
          <w:tcPr>
            <w:tcW w:w="1620" w:type="dxa"/>
            <w:shd w:val="clear" w:color="auto" w:fill="D9D9D9"/>
            <w:vAlign w:val="bottom"/>
          </w:tcPr>
          <w:p w:rsidR="005C3CBF" w:rsidRPr="006B2EAA" w:rsidRDefault="005C3CBF" w:rsidP="00D80FBD">
            <w:pPr>
              <w:spacing w:after="0" w:line="240" w:lineRule="auto"/>
              <w:jc w:val="center"/>
              <w:rPr>
                <w:rFonts w:ascii="Times New Roman" w:hAnsi="Times New Roman"/>
                <w:b/>
                <w:sz w:val="24"/>
                <w:szCs w:val="24"/>
              </w:rPr>
            </w:pPr>
            <w:r w:rsidRPr="006B2EAA">
              <w:rPr>
                <w:rFonts w:ascii="Times New Roman" w:hAnsi="Times New Roman"/>
                <w:b/>
                <w:sz w:val="24"/>
                <w:szCs w:val="24"/>
              </w:rPr>
              <w:t>Number of Responses Per Respondent</w:t>
            </w:r>
          </w:p>
          <w:p w:rsidR="005C3CBF" w:rsidRPr="006B2EAA" w:rsidRDefault="005C3CBF" w:rsidP="00D80FBD">
            <w:pPr>
              <w:spacing w:after="0" w:line="240" w:lineRule="auto"/>
              <w:jc w:val="center"/>
              <w:rPr>
                <w:rFonts w:ascii="Times New Roman" w:hAnsi="Times New Roman"/>
                <w:b/>
                <w:sz w:val="24"/>
                <w:szCs w:val="24"/>
              </w:rPr>
            </w:pPr>
            <w:r w:rsidRPr="006B2EAA">
              <w:rPr>
                <w:rFonts w:ascii="Times New Roman" w:hAnsi="Times New Roman"/>
                <w:b/>
                <w:sz w:val="24"/>
                <w:szCs w:val="24"/>
              </w:rPr>
              <w:t>(B)</w:t>
            </w:r>
          </w:p>
        </w:tc>
        <w:tc>
          <w:tcPr>
            <w:tcW w:w="1530" w:type="dxa"/>
            <w:shd w:val="clear" w:color="auto" w:fill="D9D9D9"/>
            <w:vAlign w:val="bottom"/>
          </w:tcPr>
          <w:p w:rsidR="005C3CBF" w:rsidRPr="006B2EAA" w:rsidRDefault="005C3CBF" w:rsidP="00D80FBD">
            <w:pPr>
              <w:spacing w:after="0" w:line="240" w:lineRule="auto"/>
              <w:jc w:val="center"/>
              <w:rPr>
                <w:rFonts w:ascii="Times New Roman" w:hAnsi="Times New Roman"/>
                <w:b/>
                <w:sz w:val="24"/>
                <w:szCs w:val="24"/>
              </w:rPr>
            </w:pPr>
            <w:r w:rsidRPr="006B2EAA">
              <w:rPr>
                <w:rFonts w:ascii="Times New Roman" w:hAnsi="Times New Roman"/>
                <w:b/>
                <w:sz w:val="24"/>
                <w:szCs w:val="24"/>
              </w:rPr>
              <w:t>Total Number of Responses</w:t>
            </w:r>
          </w:p>
          <w:p w:rsidR="005C3CBF" w:rsidRPr="006B2EAA" w:rsidRDefault="005C3CBF" w:rsidP="00D80FBD">
            <w:pPr>
              <w:spacing w:after="0" w:line="240" w:lineRule="auto"/>
              <w:jc w:val="center"/>
              <w:rPr>
                <w:rFonts w:ascii="Times New Roman" w:hAnsi="Times New Roman"/>
                <w:b/>
                <w:sz w:val="24"/>
                <w:szCs w:val="24"/>
              </w:rPr>
            </w:pPr>
            <w:r w:rsidRPr="006B2EAA">
              <w:rPr>
                <w:rFonts w:ascii="Times New Roman" w:hAnsi="Times New Roman"/>
                <w:b/>
                <w:sz w:val="24"/>
                <w:szCs w:val="24"/>
              </w:rPr>
              <w:t>(A)x(B)=(C)</w:t>
            </w:r>
          </w:p>
        </w:tc>
        <w:tc>
          <w:tcPr>
            <w:tcW w:w="1620" w:type="dxa"/>
            <w:shd w:val="clear" w:color="auto" w:fill="D9D9D9"/>
            <w:vAlign w:val="bottom"/>
          </w:tcPr>
          <w:p w:rsidR="005C3CBF" w:rsidRPr="006B2EAA" w:rsidRDefault="005C3CBF" w:rsidP="00D80FBD">
            <w:pPr>
              <w:spacing w:after="0" w:line="240" w:lineRule="auto"/>
              <w:jc w:val="center"/>
              <w:rPr>
                <w:rFonts w:ascii="Times New Roman" w:hAnsi="Times New Roman"/>
                <w:b/>
                <w:sz w:val="24"/>
                <w:szCs w:val="24"/>
              </w:rPr>
            </w:pPr>
            <w:r w:rsidRPr="006B2EAA">
              <w:rPr>
                <w:rFonts w:ascii="Times New Roman" w:hAnsi="Times New Roman"/>
                <w:b/>
                <w:sz w:val="24"/>
                <w:szCs w:val="24"/>
              </w:rPr>
              <w:t>Average Burden Hours per Response</w:t>
            </w:r>
          </w:p>
          <w:p w:rsidR="005C3CBF" w:rsidRPr="006B2EAA" w:rsidRDefault="005C3CBF" w:rsidP="00D80FBD">
            <w:pPr>
              <w:spacing w:after="0" w:line="240" w:lineRule="auto"/>
              <w:jc w:val="center"/>
              <w:rPr>
                <w:rFonts w:ascii="Times New Roman" w:hAnsi="Times New Roman"/>
                <w:b/>
                <w:sz w:val="24"/>
                <w:szCs w:val="24"/>
              </w:rPr>
            </w:pPr>
            <w:r w:rsidRPr="006B2EAA">
              <w:rPr>
                <w:rFonts w:ascii="Times New Roman" w:hAnsi="Times New Roman"/>
                <w:b/>
                <w:sz w:val="24"/>
                <w:szCs w:val="24"/>
              </w:rPr>
              <w:t>(D)</w:t>
            </w:r>
          </w:p>
        </w:tc>
        <w:tc>
          <w:tcPr>
            <w:tcW w:w="1260" w:type="dxa"/>
            <w:shd w:val="clear" w:color="auto" w:fill="D9D9D9"/>
            <w:vAlign w:val="bottom"/>
          </w:tcPr>
          <w:p w:rsidR="005C3CBF" w:rsidRPr="006B2EAA" w:rsidRDefault="005C3CBF" w:rsidP="00D80FBD">
            <w:pPr>
              <w:spacing w:after="0" w:line="240" w:lineRule="auto"/>
              <w:jc w:val="center"/>
              <w:rPr>
                <w:rFonts w:ascii="Times New Roman" w:hAnsi="Times New Roman"/>
                <w:b/>
                <w:sz w:val="24"/>
                <w:szCs w:val="24"/>
              </w:rPr>
            </w:pPr>
            <w:r w:rsidRPr="006B2EAA">
              <w:rPr>
                <w:rFonts w:ascii="Times New Roman" w:hAnsi="Times New Roman"/>
                <w:b/>
                <w:sz w:val="24"/>
                <w:szCs w:val="24"/>
              </w:rPr>
              <w:t>Estimated Total Annual Burden</w:t>
            </w:r>
          </w:p>
          <w:p w:rsidR="005C3CBF" w:rsidRPr="006B2EAA" w:rsidRDefault="005C3CBF" w:rsidP="00D80FBD">
            <w:pPr>
              <w:spacing w:after="0" w:line="240" w:lineRule="auto"/>
              <w:jc w:val="center"/>
              <w:rPr>
                <w:rFonts w:ascii="Times New Roman" w:hAnsi="Times New Roman"/>
                <w:b/>
                <w:sz w:val="24"/>
                <w:szCs w:val="24"/>
              </w:rPr>
            </w:pPr>
            <w:r w:rsidRPr="006B2EAA">
              <w:rPr>
                <w:rFonts w:ascii="Times New Roman" w:hAnsi="Times New Roman"/>
                <w:b/>
                <w:sz w:val="24"/>
                <w:szCs w:val="24"/>
              </w:rPr>
              <w:t>(C)x(D)</w:t>
            </w:r>
          </w:p>
        </w:tc>
      </w:tr>
      <w:tr w:rsidR="005C3CBF" w:rsidRPr="006B2EAA" w:rsidTr="00C42D79">
        <w:tc>
          <w:tcPr>
            <w:tcW w:w="1728" w:type="dxa"/>
          </w:tcPr>
          <w:p w:rsidR="005C3CBF" w:rsidRPr="006B2EAA" w:rsidRDefault="005C3CBF" w:rsidP="008B0D56">
            <w:pPr>
              <w:spacing w:after="0" w:line="240" w:lineRule="auto"/>
              <w:rPr>
                <w:rFonts w:ascii="Times New Roman" w:hAnsi="Times New Roman"/>
                <w:sz w:val="24"/>
                <w:szCs w:val="24"/>
              </w:rPr>
            </w:pPr>
            <w:r>
              <w:rPr>
                <w:rFonts w:ascii="Times New Roman" w:hAnsi="Times New Roman"/>
                <w:sz w:val="24"/>
                <w:szCs w:val="24"/>
              </w:rPr>
              <w:t>Transmission Organization</w:t>
            </w:r>
            <w:r w:rsidR="008B0D56">
              <w:rPr>
                <w:rFonts w:ascii="Times New Roman" w:hAnsi="Times New Roman"/>
                <w:sz w:val="24"/>
                <w:szCs w:val="24"/>
              </w:rPr>
              <w:t>s</w:t>
            </w:r>
            <w:r w:rsidR="008B0D56" w:rsidRPr="008B0D56">
              <w:rPr>
                <w:rStyle w:val="FootnoteReference"/>
                <w:rFonts w:ascii="Times New Roman" w:hAnsi="Times New Roman"/>
                <w:sz w:val="24"/>
                <w:szCs w:val="24"/>
                <w:vertAlign w:val="superscript"/>
              </w:rPr>
              <w:footnoteReference w:id="6"/>
            </w:r>
            <w:r>
              <w:rPr>
                <w:rFonts w:ascii="Times New Roman" w:hAnsi="Times New Roman"/>
                <w:sz w:val="24"/>
                <w:szCs w:val="24"/>
              </w:rPr>
              <w:t xml:space="preserve"> </w:t>
            </w:r>
          </w:p>
        </w:tc>
        <w:tc>
          <w:tcPr>
            <w:tcW w:w="1530" w:type="dxa"/>
            <w:vAlign w:val="bottom"/>
          </w:tcPr>
          <w:p w:rsidR="005C3CBF" w:rsidRPr="00D80FBD" w:rsidRDefault="005C3CBF" w:rsidP="00D80FBD">
            <w:pPr>
              <w:pStyle w:val="LegalFormat"/>
              <w:numPr>
                <w:ilvl w:val="0"/>
                <w:numId w:val="0"/>
              </w:numPr>
              <w:spacing w:line="240" w:lineRule="auto"/>
              <w:jc w:val="right"/>
              <w:rPr>
                <w:sz w:val="24"/>
                <w:u w:val="none"/>
              </w:rPr>
            </w:pPr>
            <w:r>
              <w:rPr>
                <w:sz w:val="24"/>
                <w:u w:val="none"/>
              </w:rPr>
              <w:t>1</w:t>
            </w:r>
          </w:p>
        </w:tc>
        <w:tc>
          <w:tcPr>
            <w:tcW w:w="1620" w:type="dxa"/>
            <w:vAlign w:val="bottom"/>
          </w:tcPr>
          <w:p w:rsidR="005C3CBF" w:rsidRPr="00D80FBD" w:rsidRDefault="005C3CBF" w:rsidP="00D80FBD">
            <w:pPr>
              <w:pStyle w:val="LegalFormat"/>
              <w:numPr>
                <w:ilvl w:val="0"/>
                <w:numId w:val="0"/>
              </w:numPr>
              <w:spacing w:line="240" w:lineRule="auto"/>
              <w:jc w:val="right"/>
              <w:rPr>
                <w:sz w:val="24"/>
                <w:u w:val="none"/>
              </w:rPr>
            </w:pPr>
            <w:r>
              <w:rPr>
                <w:sz w:val="24"/>
                <w:u w:val="none"/>
              </w:rPr>
              <w:t>1</w:t>
            </w:r>
          </w:p>
        </w:tc>
        <w:tc>
          <w:tcPr>
            <w:tcW w:w="1530" w:type="dxa"/>
            <w:vAlign w:val="bottom"/>
          </w:tcPr>
          <w:p w:rsidR="005C3CBF" w:rsidRPr="00D80FBD" w:rsidRDefault="005C3CBF" w:rsidP="00D80FBD">
            <w:pPr>
              <w:pStyle w:val="LegalFormat"/>
              <w:numPr>
                <w:ilvl w:val="0"/>
                <w:numId w:val="0"/>
              </w:numPr>
              <w:spacing w:line="240" w:lineRule="auto"/>
              <w:jc w:val="right"/>
              <w:rPr>
                <w:sz w:val="24"/>
                <w:u w:val="none"/>
              </w:rPr>
            </w:pPr>
            <w:r>
              <w:rPr>
                <w:sz w:val="24"/>
                <w:u w:val="none"/>
              </w:rPr>
              <w:t>1</w:t>
            </w:r>
          </w:p>
        </w:tc>
        <w:tc>
          <w:tcPr>
            <w:tcW w:w="1620" w:type="dxa"/>
            <w:vAlign w:val="bottom"/>
          </w:tcPr>
          <w:p w:rsidR="005C3CBF" w:rsidRPr="00D80FBD" w:rsidRDefault="005C3CBF" w:rsidP="00D80FBD">
            <w:pPr>
              <w:pStyle w:val="LegalFormat"/>
              <w:numPr>
                <w:ilvl w:val="0"/>
                <w:numId w:val="0"/>
              </w:numPr>
              <w:spacing w:line="240" w:lineRule="auto"/>
              <w:jc w:val="right"/>
              <w:rPr>
                <w:sz w:val="24"/>
                <w:u w:val="none"/>
              </w:rPr>
            </w:pPr>
            <w:r>
              <w:rPr>
                <w:sz w:val="24"/>
                <w:u w:val="none"/>
              </w:rPr>
              <w:t>1,180</w:t>
            </w:r>
          </w:p>
        </w:tc>
        <w:tc>
          <w:tcPr>
            <w:tcW w:w="1260" w:type="dxa"/>
            <w:vAlign w:val="bottom"/>
          </w:tcPr>
          <w:p w:rsidR="005C3CBF" w:rsidRPr="00D80FBD" w:rsidRDefault="005C3CBF" w:rsidP="00D80FBD">
            <w:pPr>
              <w:pStyle w:val="LegalFormat"/>
              <w:numPr>
                <w:ilvl w:val="0"/>
                <w:numId w:val="0"/>
              </w:numPr>
              <w:spacing w:line="240" w:lineRule="auto"/>
              <w:jc w:val="right"/>
              <w:rPr>
                <w:sz w:val="24"/>
                <w:u w:val="none"/>
              </w:rPr>
            </w:pPr>
            <w:r>
              <w:rPr>
                <w:sz w:val="24"/>
                <w:u w:val="none"/>
              </w:rPr>
              <w:t>1,180</w:t>
            </w:r>
          </w:p>
        </w:tc>
      </w:tr>
    </w:tbl>
    <w:p w:rsidR="005C3CBF" w:rsidRDefault="005C3CBF" w:rsidP="00D80FBD">
      <w:pPr>
        <w:spacing w:after="0"/>
        <w:rPr>
          <w:rFonts w:ascii="Times New Roman" w:hAnsi="Times New Roman"/>
          <w:sz w:val="24"/>
          <w:szCs w:val="24"/>
        </w:rPr>
      </w:pPr>
    </w:p>
    <w:p w:rsidR="005C3CBF" w:rsidRDefault="005C3CBF" w:rsidP="00D80FBD">
      <w:pPr>
        <w:spacing w:after="0"/>
        <w:rPr>
          <w:rFonts w:ascii="Times New Roman" w:hAnsi="Times New Roman"/>
          <w:sz w:val="24"/>
          <w:szCs w:val="24"/>
        </w:rPr>
      </w:pPr>
      <w:r>
        <w:rPr>
          <w:rFonts w:ascii="Times New Roman" w:hAnsi="Times New Roman"/>
          <w:sz w:val="24"/>
          <w:szCs w:val="24"/>
        </w:rPr>
        <w:t>The following table shows the labor cost associated with the burden hours.</w:t>
      </w:r>
    </w:p>
    <w:p w:rsidR="005C3CBF" w:rsidRDefault="005C3CBF" w:rsidP="00D80FBD">
      <w:pPr>
        <w:spacing w:after="0"/>
        <w:rPr>
          <w:rFonts w:ascii="Times New Roman" w:hAnsi="Times New Roman"/>
          <w:sz w:val="24"/>
          <w:szCs w:val="24"/>
        </w:rPr>
      </w:pPr>
    </w:p>
    <w:tbl>
      <w:tblPr>
        <w:tblW w:w="9288" w:type="dxa"/>
        <w:tblBorders>
          <w:top w:val="single" w:sz="4" w:space="0" w:color="auto"/>
          <w:left w:val="single" w:sz="4" w:space="0" w:color="auto"/>
          <w:bottom w:val="single" w:sz="6"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871"/>
        <w:gridCol w:w="2385"/>
        <w:gridCol w:w="2062"/>
        <w:gridCol w:w="2970"/>
      </w:tblGrid>
      <w:tr w:rsidR="005C3CBF" w:rsidRPr="006B2EAA" w:rsidTr="005F1C3C">
        <w:trPr>
          <w:trHeight w:val="395"/>
          <w:tblHeader/>
        </w:trPr>
        <w:tc>
          <w:tcPr>
            <w:tcW w:w="1871" w:type="dxa"/>
            <w:tcBorders>
              <w:top w:val="single" w:sz="4" w:space="0" w:color="auto"/>
            </w:tcBorders>
            <w:shd w:val="clear" w:color="auto" w:fill="D9D9D9"/>
            <w:vAlign w:val="bottom"/>
          </w:tcPr>
          <w:p w:rsidR="005C3CBF" w:rsidRPr="006B2EAA" w:rsidRDefault="005C3CBF" w:rsidP="005F1C3C">
            <w:pPr>
              <w:spacing w:after="0" w:line="240" w:lineRule="auto"/>
              <w:jc w:val="center"/>
              <w:rPr>
                <w:rFonts w:ascii="Times New Roman" w:hAnsi="Times New Roman"/>
                <w:b/>
                <w:bCs/>
                <w:sz w:val="24"/>
                <w:szCs w:val="24"/>
              </w:rPr>
            </w:pPr>
            <w:r w:rsidRPr="006B2EAA">
              <w:rPr>
                <w:rFonts w:ascii="Times New Roman" w:hAnsi="Times New Roman"/>
                <w:b/>
                <w:bCs/>
                <w:sz w:val="24"/>
                <w:szCs w:val="24"/>
              </w:rPr>
              <w:t>FERC-732</w:t>
            </w:r>
          </w:p>
        </w:tc>
        <w:tc>
          <w:tcPr>
            <w:tcW w:w="2385" w:type="dxa"/>
            <w:tcBorders>
              <w:top w:val="single" w:sz="4" w:space="0" w:color="auto"/>
            </w:tcBorders>
            <w:shd w:val="clear" w:color="auto" w:fill="D9D9D9"/>
            <w:vAlign w:val="bottom"/>
          </w:tcPr>
          <w:p w:rsidR="005C3CBF" w:rsidRPr="006B2EAA" w:rsidRDefault="005C3CBF" w:rsidP="005F1C3C">
            <w:pPr>
              <w:spacing w:after="0" w:line="240" w:lineRule="auto"/>
              <w:jc w:val="center"/>
              <w:rPr>
                <w:rFonts w:ascii="Times New Roman" w:hAnsi="Times New Roman"/>
                <w:b/>
                <w:bCs/>
                <w:sz w:val="24"/>
                <w:szCs w:val="24"/>
              </w:rPr>
            </w:pPr>
            <w:r w:rsidRPr="006B2EAA">
              <w:rPr>
                <w:rFonts w:ascii="Times New Roman" w:hAnsi="Times New Roman"/>
                <w:b/>
                <w:bCs/>
                <w:sz w:val="24"/>
                <w:szCs w:val="24"/>
              </w:rPr>
              <w:t xml:space="preserve">Annual Burden Hours </w:t>
            </w:r>
          </w:p>
          <w:p w:rsidR="005C3CBF" w:rsidRPr="006B2EAA" w:rsidRDefault="005C3CBF" w:rsidP="005F1C3C">
            <w:pPr>
              <w:spacing w:after="0" w:line="240" w:lineRule="auto"/>
              <w:jc w:val="center"/>
              <w:rPr>
                <w:rFonts w:ascii="Times New Roman" w:hAnsi="Times New Roman"/>
                <w:b/>
                <w:bCs/>
                <w:sz w:val="24"/>
                <w:szCs w:val="24"/>
              </w:rPr>
            </w:pPr>
            <w:r w:rsidRPr="006B2EAA">
              <w:rPr>
                <w:rFonts w:ascii="Times New Roman" w:hAnsi="Times New Roman"/>
                <w:b/>
                <w:bCs/>
                <w:sz w:val="24"/>
                <w:szCs w:val="24"/>
              </w:rPr>
              <w:t>(1)</w:t>
            </w:r>
          </w:p>
        </w:tc>
        <w:tc>
          <w:tcPr>
            <w:tcW w:w="2062" w:type="dxa"/>
            <w:tcBorders>
              <w:top w:val="single" w:sz="4" w:space="0" w:color="auto"/>
            </w:tcBorders>
            <w:shd w:val="clear" w:color="auto" w:fill="D9D9D9"/>
            <w:vAlign w:val="bottom"/>
          </w:tcPr>
          <w:p w:rsidR="005C3CBF" w:rsidRPr="006B2EAA" w:rsidRDefault="005C3CBF" w:rsidP="005F1C3C">
            <w:pPr>
              <w:spacing w:after="0" w:line="240" w:lineRule="auto"/>
              <w:jc w:val="center"/>
              <w:rPr>
                <w:rFonts w:ascii="Times New Roman" w:hAnsi="Times New Roman"/>
                <w:b/>
                <w:bCs/>
                <w:sz w:val="24"/>
                <w:szCs w:val="24"/>
              </w:rPr>
            </w:pPr>
            <w:r w:rsidRPr="006B2EAA">
              <w:rPr>
                <w:rFonts w:ascii="Times New Roman" w:hAnsi="Times New Roman"/>
                <w:b/>
                <w:bCs/>
                <w:sz w:val="24"/>
                <w:szCs w:val="24"/>
              </w:rPr>
              <w:t>Estimated Hourly Cost ($)</w:t>
            </w:r>
          </w:p>
          <w:p w:rsidR="005C3CBF" w:rsidRPr="006B2EAA" w:rsidRDefault="005C3CBF" w:rsidP="005F1C3C">
            <w:pPr>
              <w:spacing w:after="0" w:line="240" w:lineRule="auto"/>
              <w:jc w:val="center"/>
              <w:rPr>
                <w:rFonts w:ascii="Times New Roman" w:hAnsi="Times New Roman"/>
                <w:b/>
                <w:bCs/>
                <w:sz w:val="24"/>
                <w:szCs w:val="24"/>
              </w:rPr>
            </w:pPr>
            <w:r w:rsidRPr="006B2EAA">
              <w:rPr>
                <w:rFonts w:ascii="Times New Roman" w:hAnsi="Times New Roman"/>
                <w:b/>
                <w:bCs/>
                <w:sz w:val="24"/>
                <w:szCs w:val="24"/>
              </w:rPr>
              <w:t>(2)</w:t>
            </w:r>
          </w:p>
        </w:tc>
        <w:tc>
          <w:tcPr>
            <w:tcW w:w="2970" w:type="dxa"/>
            <w:tcBorders>
              <w:top w:val="single" w:sz="4" w:space="0" w:color="auto"/>
            </w:tcBorders>
            <w:shd w:val="clear" w:color="auto" w:fill="D9D9D9"/>
            <w:vAlign w:val="bottom"/>
          </w:tcPr>
          <w:p w:rsidR="005C3CBF" w:rsidRPr="006B2EAA" w:rsidRDefault="005C3CBF" w:rsidP="005F1C3C">
            <w:pPr>
              <w:spacing w:after="0" w:line="240" w:lineRule="auto"/>
              <w:jc w:val="center"/>
              <w:rPr>
                <w:rFonts w:ascii="Times New Roman" w:hAnsi="Times New Roman"/>
                <w:b/>
                <w:bCs/>
                <w:sz w:val="24"/>
                <w:szCs w:val="24"/>
              </w:rPr>
            </w:pPr>
            <w:r w:rsidRPr="006B2EAA">
              <w:rPr>
                <w:rFonts w:ascii="Times New Roman" w:hAnsi="Times New Roman"/>
                <w:b/>
                <w:bCs/>
                <w:sz w:val="24"/>
                <w:szCs w:val="24"/>
              </w:rPr>
              <w:t>Estimated Total  Annual Cost to Respondents ($)</w:t>
            </w:r>
          </w:p>
          <w:p w:rsidR="005C3CBF" w:rsidRPr="006B2EAA" w:rsidRDefault="005C3CBF" w:rsidP="005F1C3C">
            <w:pPr>
              <w:spacing w:after="0" w:line="240" w:lineRule="auto"/>
              <w:jc w:val="center"/>
              <w:rPr>
                <w:rFonts w:ascii="Times New Roman" w:hAnsi="Times New Roman"/>
                <w:b/>
                <w:bCs/>
                <w:sz w:val="24"/>
                <w:szCs w:val="24"/>
              </w:rPr>
            </w:pPr>
            <w:r w:rsidRPr="006B2EAA">
              <w:rPr>
                <w:rFonts w:ascii="Times New Roman" w:hAnsi="Times New Roman"/>
                <w:b/>
                <w:bCs/>
                <w:sz w:val="24"/>
                <w:szCs w:val="24"/>
              </w:rPr>
              <w:t>(1) X (2)</w:t>
            </w:r>
          </w:p>
        </w:tc>
      </w:tr>
      <w:tr w:rsidR="005C3CBF" w:rsidRPr="006B2EAA" w:rsidTr="005F1C3C">
        <w:trPr>
          <w:trHeight w:val="395"/>
        </w:trPr>
        <w:tc>
          <w:tcPr>
            <w:tcW w:w="1871" w:type="dxa"/>
            <w:vAlign w:val="center"/>
          </w:tcPr>
          <w:p w:rsidR="005C3CBF" w:rsidRPr="006B2EAA" w:rsidRDefault="005C3CBF" w:rsidP="005F1C3C">
            <w:pPr>
              <w:spacing w:after="0" w:line="240" w:lineRule="auto"/>
              <w:jc w:val="center"/>
              <w:rPr>
                <w:rFonts w:ascii="Times New Roman" w:hAnsi="Times New Roman"/>
                <w:sz w:val="24"/>
                <w:szCs w:val="24"/>
              </w:rPr>
            </w:pPr>
          </w:p>
        </w:tc>
        <w:tc>
          <w:tcPr>
            <w:tcW w:w="2385" w:type="dxa"/>
            <w:vAlign w:val="center"/>
          </w:tcPr>
          <w:p w:rsidR="005C3CBF" w:rsidRPr="006B2EAA" w:rsidRDefault="005C3CBF" w:rsidP="005F1C3C">
            <w:pPr>
              <w:spacing w:after="0" w:line="240" w:lineRule="auto"/>
              <w:jc w:val="right"/>
              <w:rPr>
                <w:rFonts w:ascii="Times New Roman" w:hAnsi="Times New Roman"/>
                <w:sz w:val="24"/>
                <w:szCs w:val="24"/>
              </w:rPr>
            </w:pPr>
            <w:r w:rsidRPr="006B2EAA">
              <w:rPr>
                <w:rFonts w:ascii="Times New Roman" w:hAnsi="Times New Roman"/>
                <w:sz w:val="24"/>
                <w:szCs w:val="24"/>
              </w:rPr>
              <w:t>1,180</w:t>
            </w:r>
          </w:p>
        </w:tc>
        <w:tc>
          <w:tcPr>
            <w:tcW w:w="2062" w:type="dxa"/>
            <w:vAlign w:val="center"/>
          </w:tcPr>
          <w:p w:rsidR="005C3CBF" w:rsidRPr="006B2EAA" w:rsidRDefault="005C3CBF" w:rsidP="005F1C3C">
            <w:pPr>
              <w:spacing w:after="0" w:line="240" w:lineRule="auto"/>
              <w:jc w:val="right"/>
              <w:rPr>
                <w:rFonts w:ascii="Times New Roman" w:hAnsi="Times New Roman"/>
                <w:sz w:val="24"/>
                <w:szCs w:val="24"/>
              </w:rPr>
            </w:pPr>
            <w:r w:rsidRPr="006B2EAA">
              <w:rPr>
                <w:rFonts w:ascii="Times New Roman" w:hAnsi="Times New Roman"/>
                <w:sz w:val="24"/>
                <w:szCs w:val="24"/>
              </w:rPr>
              <w:t>$69.01</w:t>
            </w:r>
            <w:r w:rsidRPr="006B2EAA">
              <w:rPr>
                <w:rStyle w:val="FootnoteReference"/>
                <w:rFonts w:ascii="Times New Roman" w:hAnsi="Times New Roman"/>
                <w:sz w:val="24"/>
                <w:szCs w:val="24"/>
                <w:vertAlign w:val="superscript"/>
              </w:rPr>
              <w:footnoteReference w:id="7"/>
            </w:r>
          </w:p>
        </w:tc>
        <w:tc>
          <w:tcPr>
            <w:tcW w:w="2970" w:type="dxa"/>
            <w:vAlign w:val="center"/>
          </w:tcPr>
          <w:p w:rsidR="005C3CBF" w:rsidRPr="006B2EAA" w:rsidRDefault="005C3CBF" w:rsidP="005F1C3C">
            <w:pPr>
              <w:spacing w:after="0" w:line="240" w:lineRule="auto"/>
              <w:jc w:val="right"/>
              <w:rPr>
                <w:rFonts w:ascii="Times New Roman" w:hAnsi="Times New Roman"/>
                <w:sz w:val="24"/>
                <w:szCs w:val="24"/>
              </w:rPr>
            </w:pPr>
            <w:r w:rsidRPr="006B2EAA">
              <w:rPr>
                <w:rFonts w:ascii="Times New Roman" w:hAnsi="Times New Roman"/>
                <w:sz w:val="24"/>
                <w:szCs w:val="24"/>
              </w:rPr>
              <w:t>$81,431.68</w:t>
            </w:r>
          </w:p>
        </w:tc>
      </w:tr>
    </w:tbl>
    <w:p w:rsidR="005C3CBF" w:rsidRPr="00D80FBD" w:rsidRDefault="005C3CBF" w:rsidP="00D80FBD">
      <w:pPr>
        <w:spacing w:after="0"/>
        <w:rPr>
          <w:rFonts w:ascii="Times New Roman" w:hAnsi="Times New Roman"/>
          <w:sz w:val="24"/>
          <w:szCs w:val="24"/>
        </w:rPr>
      </w:pPr>
    </w:p>
    <w:p w:rsidR="005C3CBF" w:rsidRPr="00C42D79" w:rsidRDefault="005C3CBF" w:rsidP="00E636D7">
      <w:pPr>
        <w:pStyle w:val="ListParagraph"/>
        <w:numPr>
          <w:ilvl w:val="0"/>
          <w:numId w:val="21"/>
        </w:numPr>
        <w:spacing w:after="0"/>
        <w:ind w:left="360"/>
        <w:rPr>
          <w:rFonts w:ascii="Times New Roman" w:hAnsi="Times New Roman"/>
          <w:b/>
          <w:sz w:val="24"/>
          <w:szCs w:val="24"/>
        </w:rPr>
      </w:pPr>
      <w:r w:rsidRPr="00414F32">
        <w:rPr>
          <w:rFonts w:ascii="Times New Roman" w:hAnsi="Times New Roman"/>
          <w:b/>
          <w:sz w:val="24"/>
          <w:szCs w:val="24"/>
        </w:rPr>
        <w:t>ESTIMATE OF THE TOTAL ANNUAL COST BURDEN TO RESPONDENTS</w:t>
      </w:r>
    </w:p>
    <w:p w:rsidR="005C3CBF" w:rsidRDefault="005C3CBF" w:rsidP="00E636D7">
      <w:pPr>
        <w:spacing w:after="0"/>
        <w:rPr>
          <w:rFonts w:ascii="Times New Roman" w:hAnsi="Times New Roman"/>
          <w:sz w:val="24"/>
          <w:szCs w:val="24"/>
        </w:rPr>
      </w:pPr>
    </w:p>
    <w:p w:rsidR="005C3CBF" w:rsidRPr="006D607B" w:rsidRDefault="005C3CBF" w:rsidP="00E636D7">
      <w:pPr>
        <w:spacing w:after="0"/>
        <w:rPr>
          <w:rFonts w:ascii="Times New Roman" w:hAnsi="Times New Roman"/>
          <w:sz w:val="24"/>
          <w:szCs w:val="24"/>
        </w:rPr>
      </w:pPr>
      <w:r w:rsidRPr="006D607B">
        <w:rPr>
          <w:rFonts w:ascii="Times New Roman" w:hAnsi="Times New Roman"/>
          <w:sz w:val="24"/>
          <w:szCs w:val="24"/>
        </w:rPr>
        <w:t>Total Capital and Start-up cost: $0</w:t>
      </w:r>
    </w:p>
    <w:p w:rsidR="005C3CBF" w:rsidRDefault="005C3CBF" w:rsidP="00E636D7">
      <w:pPr>
        <w:spacing w:after="0"/>
        <w:rPr>
          <w:rFonts w:ascii="Times New Roman" w:hAnsi="Times New Roman"/>
          <w:sz w:val="24"/>
          <w:szCs w:val="24"/>
        </w:rPr>
      </w:pPr>
      <w:r w:rsidRPr="006D607B">
        <w:rPr>
          <w:rFonts w:ascii="Times New Roman" w:hAnsi="Times New Roman"/>
          <w:sz w:val="24"/>
          <w:szCs w:val="24"/>
        </w:rPr>
        <w:t>Total Operation, Maintenance, and Purchase of Services: $0</w:t>
      </w:r>
    </w:p>
    <w:p w:rsidR="005C3CBF" w:rsidRPr="00E636D7" w:rsidRDefault="005C3CBF" w:rsidP="00E636D7">
      <w:pPr>
        <w:spacing w:after="0"/>
        <w:rPr>
          <w:rFonts w:ascii="Times New Roman" w:hAnsi="Times New Roman"/>
          <w:sz w:val="24"/>
          <w:szCs w:val="24"/>
        </w:rPr>
      </w:pPr>
    </w:p>
    <w:p w:rsidR="005C3CBF" w:rsidRPr="001F5574" w:rsidRDefault="005C3CBF" w:rsidP="0053287C">
      <w:pPr>
        <w:pStyle w:val="ListParagraph"/>
        <w:numPr>
          <w:ilvl w:val="0"/>
          <w:numId w:val="21"/>
        </w:numPr>
        <w:spacing w:after="0"/>
        <w:ind w:left="360"/>
        <w:rPr>
          <w:rFonts w:ascii="Times New Roman" w:hAnsi="Times New Roman"/>
          <w:b/>
          <w:sz w:val="24"/>
          <w:szCs w:val="24"/>
        </w:rPr>
      </w:pPr>
      <w:r w:rsidRPr="00414F32">
        <w:rPr>
          <w:rFonts w:ascii="Times New Roman" w:hAnsi="Times New Roman"/>
          <w:b/>
          <w:sz w:val="24"/>
          <w:szCs w:val="24"/>
        </w:rPr>
        <w:t>ESTIMATED ANNUALIZED COST TO FEDERAL GOVERNMENT</w:t>
      </w:r>
    </w:p>
    <w:p w:rsidR="005C3CBF" w:rsidRDefault="005C3CBF" w:rsidP="00A276F5">
      <w:pPr>
        <w:spacing w:after="0"/>
        <w:rPr>
          <w:rFonts w:ascii="Times New Roman" w:hAnsi="Times New Roman"/>
          <w:sz w:val="24"/>
          <w:szCs w:val="24"/>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5C3CBF" w:rsidRPr="006B2EAA" w:rsidTr="005F1C3C">
        <w:tc>
          <w:tcPr>
            <w:tcW w:w="3182" w:type="dxa"/>
            <w:shd w:val="clear" w:color="auto" w:fill="CCCCCC"/>
          </w:tcPr>
          <w:p w:rsidR="005C3CBF" w:rsidRPr="006B2EAA" w:rsidRDefault="005C3CBF" w:rsidP="00A276F5">
            <w:pPr>
              <w:spacing w:after="0" w:line="240" w:lineRule="auto"/>
              <w:rPr>
                <w:rFonts w:ascii="Times New Roman" w:hAnsi="Times New Roman"/>
                <w:sz w:val="24"/>
                <w:szCs w:val="24"/>
              </w:rPr>
            </w:pPr>
          </w:p>
        </w:tc>
        <w:tc>
          <w:tcPr>
            <w:tcW w:w="3201" w:type="dxa"/>
            <w:shd w:val="clear" w:color="auto" w:fill="CCCCCC"/>
          </w:tcPr>
          <w:p w:rsidR="005C3CBF" w:rsidRPr="006B2EAA" w:rsidRDefault="005C3CBF" w:rsidP="00A276F5">
            <w:pPr>
              <w:spacing w:after="0" w:line="240" w:lineRule="auto"/>
              <w:rPr>
                <w:rFonts w:ascii="Times New Roman" w:hAnsi="Times New Roman"/>
                <w:b/>
                <w:sz w:val="24"/>
                <w:szCs w:val="24"/>
              </w:rPr>
            </w:pPr>
            <w:r w:rsidRPr="006B2EAA">
              <w:rPr>
                <w:rFonts w:ascii="Times New Roman" w:hAnsi="Times New Roman"/>
                <w:b/>
                <w:sz w:val="24"/>
                <w:szCs w:val="24"/>
              </w:rPr>
              <w:t xml:space="preserve">Number of Employees </w:t>
            </w:r>
            <w:r w:rsidRPr="006B2EAA">
              <w:rPr>
                <w:rFonts w:ascii="Times New Roman" w:hAnsi="Times New Roman"/>
                <w:b/>
                <w:sz w:val="24"/>
                <w:szCs w:val="24"/>
              </w:rPr>
              <w:lastRenderedPageBreak/>
              <w:t>(FTEs)</w:t>
            </w:r>
          </w:p>
        </w:tc>
        <w:tc>
          <w:tcPr>
            <w:tcW w:w="2995" w:type="dxa"/>
            <w:shd w:val="clear" w:color="auto" w:fill="CCCCCC"/>
          </w:tcPr>
          <w:p w:rsidR="005C3CBF" w:rsidRPr="006B2EAA" w:rsidRDefault="005C3CBF" w:rsidP="00A276F5">
            <w:pPr>
              <w:spacing w:after="0" w:line="240" w:lineRule="auto"/>
              <w:rPr>
                <w:rFonts w:ascii="Times New Roman" w:hAnsi="Times New Roman"/>
                <w:b/>
                <w:sz w:val="24"/>
                <w:szCs w:val="24"/>
              </w:rPr>
            </w:pPr>
            <w:r w:rsidRPr="006B2EAA">
              <w:rPr>
                <w:rFonts w:ascii="Times New Roman" w:hAnsi="Times New Roman"/>
                <w:b/>
                <w:sz w:val="24"/>
                <w:szCs w:val="24"/>
              </w:rPr>
              <w:lastRenderedPageBreak/>
              <w:t xml:space="preserve">Estimated Annual Federal </w:t>
            </w:r>
            <w:r w:rsidRPr="006B2EAA">
              <w:rPr>
                <w:rFonts w:ascii="Times New Roman" w:hAnsi="Times New Roman"/>
                <w:b/>
                <w:sz w:val="24"/>
                <w:szCs w:val="24"/>
              </w:rPr>
              <w:lastRenderedPageBreak/>
              <w:t>Cost</w:t>
            </w:r>
          </w:p>
        </w:tc>
      </w:tr>
      <w:tr w:rsidR="005C3CBF" w:rsidRPr="006B2EAA" w:rsidTr="005F1C3C">
        <w:tc>
          <w:tcPr>
            <w:tcW w:w="3182" w:type="dxa"/>
          </w:tcPr>
          <w:p w:rsidR="005C3CBF" w:rsidRPr="006B2EAA" w:rsidRDefault="005C3CBF" w:rsidP="00A276F5">
            <w:pPr>
              <w:spacing w:after="0" w:line="240" w:lineRule="auto"/>
              <w:rPr>
                <w:rFonts w:ascii="Times New Roman" w:hAnsi="Times New Roman"/>
                <w:sz w:val="24"/>
                <w:szCs w:val="24"/>
              </w:rPr>
            </w:pPr>
            <w:r w:rsidRPr="006B2EAA">
              <w:rPr>
                <w:rFonts w:ascii="Times New Roman" w:hAnsi="Times New Roman"/>
                <w:sz w:val="24"/>
                <w:szCs w:val="24"/>
              </w:rPr>
              <w:lastRenderedPageBreak/>
              <w:t>Analysis and Processing of filings</w:t>
            </w:r>
            <w:r w:rsidRPr="006B2EAA">
              <w:rPr>
                <w:rStyle w:val="FootnoteReference"/>
                <w:rFonts w:ascii="Times New Roman" w:hAnsi="Times New Roman"/>
                <w:sz w:val="24"/>
                <w:szCs w:val="24"/>
                <w:vertAlign w:val="superscript"/>
              </w:rPr>
              <w:footnoteReference w:id="8"/>
            </w:r>
          </w:p>
        </w:tc>
        <w:tc>
          <w:tcPr>
            <w:tcW w:w="3201" w:type="dxa"/>
            <w:vAlign w:val="center"/>
          </w:tcPr>
          <w:p w:rsidR="005C3CBF" w:rsidRPr="006B2EAA" w:rsidRDefault="005C3CBF" w:rsidP="00C108BB">
            <w:pPr>
              <w:spacing w:after="0" w:line="240" w:lineRule="auto"/>
              <w:jc w:val="right"/>
              <w:rPr>
                <w:rFonts w:ascii="Times New Roman" w:hAnsi="Times New Roman"/>
                <w:sz w:val="24"/>
                <w:szCs w:val="24"/>
              </w:rPr>
            </w:pPr>
            <w:r w:rsidRPr="006B2EAA">
              <w:rPr>
                <w:rFonts w:ascii="Times New Roman" w:hAnsi="Times New Roman"/>
                <w:sz w:val="24"/>
                <w:szCs w:val="24"/>
              </w:rPr>
              <w:t>0.2</w:t>
            </w:r>
            <w:r w:rsidRPr="006B2EAA">
              <w:rPr>
                <w:rStyle w:val="FootnoteReference"/>
                <w:rFonts w:ascii="Times New Roman" w:hAnsi="Times New Roman"/>
                <w:sz w:val="24"/>
                <w:szCs w:val="24"/>
                <w:vertAlign w:val="superscript"/>
              </w:rPr>
              <w:footnoteReference w:id="9"/>
            </w:r>
          </w:p>
        </w:tc>
        <w:tc>
          <w:tcPr>
            <w:tcW w:w="2995" w:type="dxa"/>
            <w:vAlign w:val="center"/>
          </w:tcPr>
          <w:p w:rsidR="005C3CBF" w:rsidRPr="006B2EAA" w:rsidRDefault="005C3CBF" w:rsidP="00A276F5">
            <w:pPr>
              <w:spacing w:after="0" w:line="240" w:lineRule="auto"/>
              <w:jc w:val="right"/>
              <w:rPr>
                <w:rFonts w:ascii="Times New Roman" w:hAnsi="Times New Roman"/>
                <w:sz w:val="24"/>
                <w:szCs w:val="24"/>
              </w:rPr>
            </w:pPr>
            <w:r w:rsidRPr="006B2EAA">
              <w:rPr>
                <w:rFonts w:ascii="Times New Roman" w:hAnsi="Times New Roman"/>
                <w:sz w:val="24"/>
                <w:szCs w:val="24"/>
              </w:rPr>
              <w:t>$2,870</w:t>
            </w:r>
          </w:p>
        </w:tc>
      </w:tr>
      <w:tr w:rsidR="005C3CBF" w:rsidRPr="006B2EAA" w:rsidTr="005F1C3C">
        <w:tc>
          <w:tcPr>
            <w:tcW w:w="3182" w:type="dxa"/>
          </w:tcPr>
          <w:p w:rsidR="005C3CBF" w:rsidRPr="006B2EAA" w:rsidRDefault="005C3CBF" w:rsidP="00A276F5">
            <w:pPr>
              <w:spacing w:after="0" w:line="240" w:lineRule="auto"/>
              <w:rPr>
                <w:rFonts w:ascii="Times New Roman" w:hAnsi="Times New Roman"/>
                <w:sz w:val="24"/>
                <w:szCs w:val="24"/>
              </w:rPr>
            </w:pPr>
            <w:r w:rsidRPr="006B2EAA">
              <w:rPr>
                <w:rFonts w:ascii="Times New Roman" w:hAnsi="Times New Roman"/>
                <w:sz w:val="24"/>
                <w:szCs w:val="24"/>
              </w:rPr>
              <w:t>PRA</w:t>
            </w:r>
            <w:r w:rsidRPr="006B2EAA">
              <w:rPr>
                <w:rStyle w:val="FootnoteReference"/>
                <w:rFonts w:ascii="Times New Roman" w:hAnsi="Times New Roman"/>
                <w:sz w:val="24"/>
                <w:szCs w:val="24"/>
                <w:vertAlign w:val="superscript"/>
              </w:rPr>
              <w:footnoteReference w:id="10"/>
            </w:r>
            <w:r w:rsidRPr="006B2EAA">
              <w:rPr>
                <w:rFonts w:ascii="Times New Roman" w:hAnsi="Times New Roman"/>
                <w:sz w:val="24"/>
                <w:szCs w:val="24"/>
              </w:rPr>
              <w:t xml:space="preserve"> Administrative Cost</w:t>
            </w:r>
            <w:r w:rsidRPr="006B2EAA">
              <w:rPr>
                <w:rStyle w:val="FootnoteReference"/>
                <w:rFonts w:ascii="Times New Roman" w:hAnsi="Times New Roman"/>
                <w:sz w:val="24"/>
                <w:szCs w:val="24"/>
                <w:vertAlign w:val="superscript"/>
              </w:rPr>
              <w:footnoteReference w:id="11"/>
            </w:r>
          </w:p>
        </w:tc>
        <w:tc>
          <w:tcPr>
            <w:tcW w:w="3201" w:type="dxa"/>
            <w:vMerge w:val="restart"/>
            <w:shd w:val="clear" w:color="auto" w:fill="D9D9D9"/>
            <w:vAlign w:val="center"/>
          </w:tcPr>
          <w:p w:rsidR="005C3CBF" w:rsidRPr="006B2EAA" w:rsidRDefault="005C3CBF" w:rsidP="005F1C3C">
            <w:pPr>
              <w:spacing w:after="0" w:line="240" w:lineRule="auto"/>
              <w:jc w:val="right"/>
              <w:rPr>
                <w:rFonts w:ascii="Times New Roman" w:hAnsi="Times New Roman"/>
                <w:sz w:val="24"/>
                <w:szCs w:val="24"/>
              </w:rPr>
            </w:pPr>
          </w:p>
        </w:tc>
        <w:tc>
          <w:tcPr>
            <w:tcW w:w="2995" w:type="dxa"/>
            <w:vAlign w:val="center"/>
          </w:tcPr>
          <w:p w:rsidR="005C3CBF" w:rsidRPr="006B2EAA" w:rsidRDefault="005C3CBF" w:rsidP="00EA31AE">
            <w:pPr>
              <w:spacing w:after="0" w:line="240" w:lineRule="auto"/>
              <w:jc w:val="right"/>
              <w:rPr>
                <w:rFonts w:ascii="Times New Roman" w:hAnsi="Times New Roman"/>
                <w:sz w:val="24"/>
                <w:szCs w:val="24"/>
              </w:rPr>
            </w:pPr>
            <w:r w:rsidRPr="006B2EAA">
              <w:rPr>
                <w:rFonts w:ascii="Times New Roman" w:hAnsi="Times New Roman"/>
                <w:sz w:val="24"/>
                <w:szCs w:val="24"/>
              </w:rPr>
              <w:t>$1,588</w:t>
            </w:r>
          </w:p>
        </w:tc>
      </w:tr>
      <w:tr w:rsidR="005C3CBF" w:rsidRPr="006B2EAA" w:rsidTr="005F1C3C">
        <w:tc>
          <w:tcPr>
            <w:tcW w:w="3182" w:type="dxa"/>
          </w:tcPr>
          <w:p w:rsidR="005C3CBF" w:rsidRPr="006B2EAA" w:rsidRDefault="005C3CBF" w:rsidP="00A276F5">
            <w:pPr>
              <w:spacing w:after="0" w:line="240" w:lineRule="auto"/>
              <w:rPr>
                <w:rFonts w:ascii="Times New Roman" w:hAnsi="Times New Roman"/>
                <w:b/>
                <w:sz w:val="24"/>
                <w:szCs w:val="24"/>
              </w:rPr>
            </w:pPr>
            <w:r w:rsidRPr="006B2EAA">
              <w:rPr>
                <w:rFonts w:ascii="Times New Roman" w:hAnsi="Times New Roman"/>
                <w:b/>
                <w:sz w:val="24"/>
                <w:szCs w:val="24"/>
              </w:rPr>
              <w:t>FERC Total</w:t>
            </w:r>
          </w:p>
        </w:tc>
        <w:tc>
          <w:tcPr>
            <w:tcW w:w="3201" w:type="dxa"/>
            <w:vMerge/>
            <w:shd w:val="clear" w:color="auto" w:fill="D9D9D9"/>
            <w:vAlign w:val="center"/>
          </w:tcPr>
          <w:p w:rsidR="005C3CBF" w:rsidRPr="006B2EAA" w:rsidRDefault="005C3CBF" w:rsidP="005F1C3C">
            <w:pPr>
              <w:spacing w:after="0" w:line="240" w:lineRule="auto"/>
              <w:jc w:val="right"/>
              <w:rPr>
                <w:rFonts w:ascii="Times New Roman" w:hAnsi="Times New Roman"/>
                <w:sz w:val="24"/>
                <w:szCs w:val="24"/>
              </w:rPr>
            </w:pPr>
          </w:p>
        </w:tc>
        <w:tc>
          <w:tcPr>
            <w:tcW w:w="2995" w:type="dxa"/>
            <w:vAlign w:val="center"/>
          </w:tcPr>
          <w:p w:rsidR="005C3CBF" w:rsidRPr="006B2EAA" w:rsidRDefault="005C3CBF" w:rsidP="00A276F5">
            <w:pPr>
              <w:spacing w:after="0" w:line="240" w:lineRule="auto"/>
              <w:jc w:val="right"/>
              <w:rPr>
                <w:rFonts w:ascii="Times New Roman" w:hAnsi="Times New Roman"/>
                <w:sz w:val="24"/>
                <w:szCs w:val="24"/>
              </w:rPr>
            </w:pPr>
            <w:r w:rsidRPr="006B2EAA">
              <w:rPr>
                <w:rFonts w:ascii="Times New Roman" w:hAnsi="Times New Roman"/>
                <w:sz w:val="24"/>
                <w:szCs w:val="24"/>
              </w:rPr>
              <w:t>$4,458</w:t>
            </w:r>
          </w:p>
        </w:tc>
      </w:tr>
    </w:tbl>
    <w:p w:rsidR="005C3CBF" w:rsidRDefault="005C3CBF" w:rsidP="00A276F5">
      <w:pPr>
        <w:spacing w:after="0"/>
        <w:rPr>
          <w:rFonts w:ascii="Times New Roman" w:hAnsi="Times New Roman"/>
          <w:sz w:val="24"/>
          <w:szCs w:val="24"/>
        </w:rPr>
      </w:pPr>
    </w:p>
    <w:p w:rsidR="005C3CBF" w:rsidRDefault="005C3CBF" w:rsidP="00A276F5">
      <w:pPr>
        <w:spacing w:after="0"/>
        <w:rPr>
          <w:rFonts w:ascii="Times New Roman" w:hAnsi="Times New Roman"/>
          <w:sz w:val="24"/>
          <w:szCs w:val="24"/>
        </w:rPr>
      </w:pPr>
      <w:r>
        <w:rPr>
          <w:rFonts w:ascii="Times New Roman" w:hAnsi="Times New Roman"/>
          <w:sz w:val="24"/>
          <w:szCs w:val="24"/>
        </w:rPr>
        <w:t>The Commission bases its estimate of the “Analysis and Processing of filings” cost to the Federal Government on salaries and benefits for professional and clerical support.  This estimated cost represents staff analysis, decision-making, and review of any actual filings submitted in response to the information collection.</w:t>
      </w:r>
    </w:p>
    <w:p w:rsidR="005C3CBF" w:rsidRPr="00A276F5" w:rsidRDefault="005C3CBF" w:rsidP="00A276F5">
      <w:pPr>
        <w:spacing w:after="0"/>
        <w:rPr>
          <w:rFonts w:ascii="Times New Roman" w:hAnsi="Times New Roman"/>
          <w:sz w:val="24"/>
          <w:szCs w:val="24"/>
        </w:rPr>
      </w:pPr>
    </w:p>
    <w:p w:rsidR="005C3CBF" w:rsidRPr="00414F32" w:rsidRDefault="005C3CBF" w:rsidP="00A72E7B">
      <w:pPr>
        <w:pStyle w:val="ListParagraph"/>
        <w:numPr>
          <w:ilvl w:val="0"/>
          <w:numId w:val="21"/>
        </w:numPr>
        <w:spacing w:after="0"/>
        <w:ind w:left="360"/>
        <w:rPr>
          <w:rFonts w:ascii="Times New Roman" w:hAnsi="Times New Roman"/>
          <w:b/>
          <w:sz w:val="24"/>
          <w:szCs w:val="24"/>
        </w:rPr>
      </w:pPr>
      <w:r w:rsidRPr="00414F32">
        <w:rPr>
          <w:rFonts w:ascii="Times New Roman" w:hAnsi="Times New Roman"/>
          <w:b/>
          <w:sz w:val="24"/>
          <w:szCs w:val="24"/>
        </w:rPr>
        <w:t>REASONS FOR CHANGES IN BURDEN INCLUDING THE NEED FOR ANY INCREASE</w:t>
      </w:r>
    </w:p>
    <w:p w:rsidR="005C3CBF" w:rsidRDefault="005C3CBF" w:rsidP="00A276F5">
      <w:pPr>
        <w:spacing w:after="0"/>
        <w:rPr>
          <w:rFonts w:ascii="Times New Roman" w:hAnsi="Times New Roman"/>
          <w:sz w:val="24"/>
          <w:szCs w:val="24"/>
        </w:rPr>
      </w:pPr>
    </w:p>
    <w:p w:rsidR="005C3CBF" w:rsidRPr="0006511E" w:rsidRDefault="005C3CBF" w:rsidP="0006511E">
      <w:pPr>
        <w:spacing w:after="0"/>
        <w:rPr>
          <w:rFonts w:ascii="Times New Roman" w:hAnsi="Times New Roman"/>
          <w:sz w:val="24"/>
          <w:szCs w:val="24"/>
        </w:rPr>
      </w:pPr>
      <w:r w:rsidRPr="0006511E">
        <w:rPr>
          <w:rFonts w:ascii="Times New Roman" w:hAnsi="Times New Roman"/>
          <w:sz w:val="24"/>
          <w:szCs w:val="24"/>
        </w:rPr>
        <w:t xml:space="preserve">The estimated burden for this information collection has decreased, as all </w:t>
      </w:r>
      <w:r>
        <w:rPr>
          <w:rFonts w:ascii="Times New Roman" w:hAnsi="Times New Roman"/>
          <w:sz w:val="24"/>
          <w:szCs w:val="24"/>
        </w:rPr>
        <w:t xml:space="preserve">6 </w:t>
      </w:r>
      <w:r w:rsidRPr="0006511E">
        <w:rPr>
          <w:rFonts w:ascii="Times New Roman" w:hAnsi="Times New Roman"/>
          <w:sz w:val="24"/>
          <w:szCs w:val="24"/>
        </w:rPr>
        <w:t>existing tran</w:t>
      </w:r>
      <w:r w:rsidR="00F25173">
        <w:rPr>
          <w:rFonts w:ascii="Times New Roman" w:hAnsi="Times New Roman"/>
          <w:sz w:val="24"/>
          <w:szCs w:val="24"/>
        </w:rPr>
        <w:t>smission organizations with day-</w:t>
      </w:r>
      <w:r w:rsidRPr="0006511E">
        <w:rPr>
          <w:rFonts w:ascii="Times New Roman" w:hAnsi="Times New Roman"/>
          <w:sz w:val="24"/>
          <w:szCs w:val="24"/>
        </w:rPr>
        <w:t xml:space="preserve">ahead markets </w:t>
      </w:r>
      <w:r>
        <w:rPr>
          <w:rFonts w:ascii="Times New Roman" w:hAnsi="Times New Roman"/>
          <w:sz w:val="24"/>
          <w:szCs w:val="24"/>
        </w:rPr>
        <w:t xml:space="preserve">met the one-time filing requirement of the FERC-732 and </w:t>
      </w:r>
      <w:r w:rsidRPr="0006511E">
        <w:rPr>
          <w:rFonts w:ascii="Times New Roman" w:hAnsi="Times New Roman"/>
          <w:sz w:val="24"/>
          <w:szCs w:val="24"/>
        </w:rPr>
        <w:t xml:space="preserve">are in compliance with </w:t>
      </w:r>
      <w:r>
        <w:rPr>
          <w:rFonts w:ascii="Times New Roman" w:hAnsi="Times New Roman"/>
          <w:sz w:val="24"/>
          <w:szCs w:val="24"/>
        </w:rPr>
        <w:t>related FERC regulations</w:t>
      </w:r>
      <w:r w:rsidRPr="0006511E">
        <w:rPr>
          <w:rFonts w:ascii="Times New Roman" w:hAnsi="Times New Roman"/>
          <w:sz w:val="24"/>
          <w:szCs w:val="24"/>
        </w:rPr>
        <w:t xml:space="preserve">.  </w:t>
      </w:r>
      <w:r>
        <w:rPr>
          <w:rFonts w:ascii="Times New Roman" w:hAnsi="Times New Roman"/>
          <w:sz w:val="24"/>
          <w:szCs w:val="24"/>
        </w:rPr>
        <w:t xml:space="preserve">Because </w:t>
      </w:r>
      <w:r w:rsidRPr="0006511E">
        <w:rPr>
          <w:rFonts w:ascii="Times New Roman" w:hAnsi="Times New Roman"/>
          <w:sz w:val="24"/>
          <w:szCs w:val="24"/>
        </w:rPr>
        <w:t>this remains a one-time filing requirement</w:t>
      </w:r>
      <w:r>
        <w:rPr>
          <w:rFonts w:ascii="Times New Roman" w:hAnsi="Times New Roman"/>
          <w:sz w:val="24"/>
          <w:szCs w:val="24"/>
        </w:rPr>
        <w:t xml:space="preserve"> for transmission organization</w:t>
      </w:r>
      <w:r w:rsidR="00601286">
        <w:rPr>
          <w:rFonts w:ascii="Times New Roman" w:hAnsi="Times New Roman"/>
          <w:sz w:val="24"/>
          <w:szCs w:val="24"/>
        </w:rPr>
        <w:t>s</w:t>
      </w:r>
      <w:r w:rsidRPr="0006511E">
        <w:rPr>
          <w:rFonts w:ascii="Times New Roman" w:hAnsi="Times New Roman"/>
          <w:sz w:val="24"/>
          <w:szCs w:val="24"/>
        </w:rPr>
        <w:t xml:space="preserve">, the burden </w:t>
      </w:r>
      <w:r>
        <w:rPr>
          <w:rFonts w:ascii="Times New Roman" w:hAnsi="Times New Roman"/>
          <w:sz w:val="24"/>
          <w:szCs w:val="24"/>
        </w:rPr>
        <w:t xml:space="preserve">associated with this data collections </w:t>
      </w:r>
      <w:r w:rsidRPr="0006511E">
        <w:rPr>
          <w:rFonts w:ascii="Times New Roman" w:hAnsi="Times New Roman"/>
          <w:sz w:val="24"/>
          <w:szCs w:val="24"/>
        </w:rPr>
        <w:t xml:space="preserve">will result only if </w:t>
      </w:r>
      <w:r>
        <w:rPr>
          <w:rFonts w:ascii="Times New Roman" w:hAnsi="Times New Roman"/>
          <w:sz w:val="24"/>
          <w:szCs w:val="24"/>
        </w:rPr>
        <w:t xml:space="preserve">a new transmission organization enters FERC jurisdiction.  </w:t>
      </w:r>
      <w:r w:rsidRPr="0006511E">
        <w:rPr>
          <w:rFonts w:ascii="Times New Roman" w:hAnsi="Times New Roman"/>
          <w:sz w:val="24"/>
          <w:szCs w:val="24"/>
        </w:rPr>
        <w:t xml:space="preserve">One response for one new transmission organization is being used as a placeholder for a possible application from </w:t>
      </w:r>
      <w:r>
        <w:rPr>
          <w:rFonts w:ascii="Times New Roman" w:hAnsi="Times New Roman"/>
          <w:sz w:val="24"/>
          <w:szCs w:val="24"/>
        </w:rPr>
        <w:t xml:space="preserve">such </w:t>
      </w:r>
      <w:r w:rsidRPr="0006511E">
        <w:rPr>
          <w:rFonts w:ascii="Times New Roman" w:hAnsi="Times New Roman"/>
          <w:sz w:val="24"/>
          <w:szCs w:val="24"/>
        </w:rPr>
        <w:t>a new transmission organization with a</w:t>
      </w:r>
      <w:r w:rsidR="00B40603">
        <w:rPr>
          <w:rFonts w:ascii="Times New Roman" w:hAnsi="Times New Roman"/>
          <w:sz w:val="24"/>
          <w:szCs w:val="24"/>
        </w:rPr>
        <w:t>n organized electricity market.</w:t>
      </w:r>
    </w:p>
    <w:p w:rsidR="005C3CBF" w:rsidRDefault="005C3CBF" w:rsidP="0057700F">
      <w:pPr>
        <w:spacing w:after="0"/>
        <w:rPr>
          <w:rFonts w:ascii="Times New Roman" w:hAnsi="Times New Roman"/>
          <w:sz w:val="24"/>
          <w:szCs w:val="24"/>
        </w:rPr>
      </w:pPr>
    </w:p>
    <w:p w:rsidR="005C3CBF" w:rsidRDefault="005C3CBF" w:rsidP="0057700F">
      <w:pPr>
        <w:spacing w:after="0"/>
        <w:rPr>
          <w:rFonts w:ascii="Times New Roman" w:hAnsi="Times New Roman"/>
          <w:sz w:val="24"/>
          <w:szCs w:val="24"/>
        </w:rPr>
      </w:pPr>
      <w:r>
        <w:rPr>
          <w:rFonts w:ascii="Times New Roman" w:hAnsi="Times New Roman"/>
          <w:sz w:val="24"/>
          <w:szCs w:val="24"/>
        </w:rPr>
        <w:t>The table below illustrates the aggregate burden and corresponding changes.</w:t>
      </w:r>
    </w:p>
    <w:p w:rsidR="005C3CBF" w:rsidRDefault="005C3CBF" w:rsidP="0057700F">
      <w:pPr>
        <w:spacing w:after="0"/>
        <w:rPr>
          <w:rFonts w:ascii="Times New Roman" w:hAnsi="Times New Roman"/>
          <w:sz w:val="24"/>
          <w:szCs w:val="24"/>
        </w:rPr>
      </w:pPr>
      <w:r>
        <w:rPr>
          <w:rFonts w:ascii="Times New Roman" w:hAnsi="Times New Roman"/>
          <w:sz w:val="24"/>
          <w:szCs w:val="24"/>
        </w:rPr>
        <w:t xml:space="preserve"> </w:t>
      </w:r>
    </w:p>
    <w:p w:rsidR="005C3CBF" w:rsidRDefault="005C3CBF" w:rsidP="00A276F5">
      <w:pPr>
        <w:spacing w:after="0"/>
        <w:rPr>
          <w:rFonts w:ascii="Times New Roman" w:hAnsi="Times New Roman"/>
          <w:sz w:val="24"/>
          <w:szCs w:val="24"/>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5C3CBF" w:rsidRPr="006B2EAA" w:rsidTr="005F1C3C">
        <w:trPr>
          <w:trHeight w:val="870"/>
        </w:trPr>
        <w:tc>
          <w:tcPr>
            <w:tcW w:w="2679" w:type="dxa"/>
            <w:shd w:val="clear" w:color="auto" w:fill="D9D9D9"/>
            <w:vAlign w:val="bottom"/>
          </w:tcPr>
          <w:p w:rsidR="005C3CBF" w:rsidRPr="006B2EAA" w:rsidRDefault="005C3CBF" w:rsidP="005F1C3C">
            <w:pPr>
              <w:spacing w:after="0" w:line="240" w:lineRule="auto"/>
              <w:jc w:val="center"/>
              <w:rPr>
                <w:rFonts w:ascii="Times New Roman" w:hAnsi="Times New Roman"/>
                <w:b/>
                <w:sz w:val="24"/>
                <w:szCs w:val="24"/>
              </w:rPr>
            </w:pPr>
            <w:r w:rsidRPr="006B2EAA">
              <w:rPr>
                <w:rFonts w:ascii="Times New Roman" w:hAnsi="Times New Roman"/>
                <w:b/>
                <w:sz w:val="24"/>
                <w:szCs w:val="24"/>
              </w:rPr>
              <w:t>FERC-732</w:t>
            </w:r>
          </w:p>
        </w:tc>
        <w:tc>
          <w:tcPr>
            <w:tcW w:w="1461" w:type="dxa"/>
            <w:shd w:val="clear" w:color="auto" w:fill="D9D9D9"/>
            <w:vAlign w:val="bottom"/>
          </w:tcPr>
          <w:p w:rsidR="005C3CBF" w:rsidRPr="006B2EAA" w:rsidRDefault="005C3CBF" w:rsidP="005F1C3C">
            <w:pPr>
              <w:spacing w:after="0" w:line="240" w:lineRule="auto"/>
              <w:jc w:val="center"/>
              <w:rPr>
                <w:rFonts w:ascii="Times New Roman" w:hAnsi="Times New Roman"/>
                <w:b/>
                <w:sz w:val="24"/>
                <w:szCs w:val="24"/>
              </w:rPr>
            </w:pPr>
            <w:r w:rsidRPr="006B2EAA">
              <w:rPr>
                <w:rFonts w:ascii="Times New Roman" w:hAnsi="Times New Roman"/>
                <w:b/>
                <w:sz w:val="24"/>
                <w:szCs w:val="24"/>
              </w:rPr>
              <w:t>Total Request</w:t>
            </w:r>
          </w:p>
        </w:tc>
        <w:tc>
          <w:tcPr>
            <w:tcW w:w="1620" w:type="dxa"/>
            <w:shd w:val="clear" w:color="auto" w:fill="D9D9D9"/>
            <w:vAlign w:val="bottom"/>
          </w:tcPr>
          <w:p w:rsidR="005C3CBF" w:rsidRPr="006B2EAA" w:rsidRDefault="005C3CBF" w:rsidP="005F1C3C">
            <w:pPr>
              <w:spacing w:after="0" w:line="240" w:lineRule="auto"/>
              <w:jc w:val="center"/>
              <w:rPr>
                <w:rFonts w:ascii="Times New Roman" w:hAnsi="Times New Roman"/>
                <w:b/>
                <w:sz w:val="24"/>
                <w:szCs w:val="24"/>
              </w:rPr>
            </w:pPr>
            <w:r w:rsidRPr="006B2EAA">
              <w:rPr>
                <w:rFonts w:ascii="Times New Roman" w:hAnsi="Times New Roman"/>
                <w:b/>
                <w:sz w:val="24"/>
                <w:szCs w:val="24"/>
              </w:rPr>
              <w:t>Previously Approved</w:t>
            </w:r>
          </w:p>
        </w:tc>
        <w:tc>
          <w:tcPr>
            <w:tcW w:w="1800" w:type="dxa"/>
            <w:shd w:val="clear" w:color="auto" w:fill="D9D9D9"/>
            <w:vAlign w:val="bottom"/>
          </w:tcPr>
          <w:p w:rsidR="005C3CBF" w:rsidRPr="006B2EAA" w:rsidRDefault="005C3CBF" w:rsidP="005F1C3C">
            <w:pPr>
              <w:spacing w:after="0" w:line="240" w:lineRule="auto"/>
              <w:jc w:val="center"/>
              <w:rPr>
                <w:rFonts w:ascii="Times New Roman" w:hAnsi="Times New Roman"/>
                <w:b/>
                <w:sz w:val="24"/>
                <w:szCs w:val="24"/>
              </w:rPr>
            </w:pPr>
            <w:r w:rsidRPr="006B2EAA">
              <w:rPr>
                <w:rFonts w:ascii="Times New Roman" w:hAnsi="Times New Roman"/>
                <w:b/>
                <w:sz w:val="24"/>
                <w:szCs w:val="24"/>
              </w:rPr>
              <w:t>Change due to Adjustment in Estimate</w:t>
            </w:r>
          </w:p>
        </w:tc>
        <w:tc>
          <w:tcPr>
            <w:tcW w:w="1800" w:type="dxa"/>
            <w:shd w:val="clear" w:color="auto" w:fill="D9D9D9"/>
            <w:vAlign w:val="bottom"/>
          </w:tcPr>
          <w:p w:rsidR="005C3CBF" w:rsidRPr="006B2EAA" w:rsidRDefault="005C3CBF" w:rsidP="005F1C3C">
            <w:pPr>
              <w:spacing w:after="0" w:line="240" w:lineRule="auto"/>
              <w:jc w:val="center"/>
              <w:rPr>
                <w:rFonts w:ascii="Times New Roman" w:hAnsi="Times New Roman"/>
                <w:b/>
                <w:sz w:val="24"/>
                <w:szCs w:val="24"/>
              </w:rPr>
            </w:pPr>
            <w:r w:rsidRPr="006B2EAA">
              <w:rPr>
                <w:rFonts w:ascii="Times New Roman" w:hAnsi="Times New Roman"/>
                <w:b/>
                <w:sz w:val="24"/>
                <w:szCs w:val="24"/>
              </w:rPr>
              <w:t>Change Due to Agency Discretion</w:t>
            </w:r>
          </w:p>
        </w:tc>
      </w:tr>
      <w:tr w:rsidR="005C3CBF" w:rsidRPr="006B2EAA" w:rsidTr="005F1C3C">
        <w:trPr>
          <w:trHeight w:val="591"/>
        </w:trPr>
        <w:tc>
          <w:tcPr>
            <w:tcW w:w="2679" w:type="dxa"/>
          </w:tcPr>
          <w:p w:rsidR="005C3CBF" w:rsidRPr="006B2EAA" w:rsidRDefault="005C3CBF" w:rsidP="005F1C3C">
            <w:pPr>
              <w:spacing w:after="0" w:line="240" w:lineRule="auto"/>
              <w:jc w:val="center"/>
              <w:rPr>
                <w:rFonts w:ascii="Times New Roman" w:hAnsi="Times New Roman"/>
                <w:sz w:val="24"/>
                <w:szCs w:val="24"/>
              </w:rPr>
            </w:pPr>
            <w:r w:rsidRPr="006B2EAA">
              <w:rPr>
                <w:rFonts w:ascii="Times New Roman" w:hAnsi="Times New Roman"/>
                <w:sz w:val="24"/>
                <w:szCs w:val="24"/>
              </w:rPr>
              <w:t>Annual Number of Responses</w:t>
            </w:r>
          </w:p>
        </w:tc>
        <w:tc>
          <w:tcPr>
            <w:tcW w:w="1461" w:type="dxa"/>
            <w:vAlign w:val="center"/>
          </w:tcPr>
          <w:p w:rsidR="005C3CBF" w:rsidRPr="006B2EAA" w:rsidRDefault="005C3CBF" w:rsidP="005F1C3C">
            <w:pPr>
              <w:spacing w:after="0" w:line="240" w:lineRule="auto"/>
              <w:jc w:val="right"/>
              <w:rPr>
                <w:rFonts w:ascii="Times New Roman" w:hAnsi="Times New Roman"/>
                <w:sz w:val="24"/>
                <w:szCs w:val="24"/>
              </w:rPr>
            </w:pPr>
            <w:r w:rsidRPr="006B2EAA">
              <w:rPr>
                <w:rFonts w:ascii="Times New Roman" w:hAnsi="Times New Roman"/>
                <w:sz w:val="24"/>
                <w:szCs w:val="24"/>
              </w:rPr>
              <w:t>1</w:t>
            </w:r>
          </w:p>
        </w:tc>
        <w:tc>
          <w:tcPr>
            <w:tcW w:w="1620" w:type="dxa"/>
            <w:vAlign w:val="center"/>
          </w:tcPr>
          <w:p w:rsidR="005C3CBF" w:rsidRPr="006B2EAA" w:rsidRDefault="005C3CBF" w:rsidP="005F1C3C">
            <w:pPr>
              <w:spacing w:after="0" w:line="240" w:lineRule="auto"/>
              <w:jc w:val="right"/>
              <w:rPr>
                <w:rFonts w:ascii="Times New Roman" w:hAnsi="Times New Roman"/>
                <w:sz w:val="24"/>
                <w:szCs w:val="24"/>
              </w:rPr>
            </w:pPr>
            <w:r w:rsidRPr="006B2EAA">
              <w:rPr>
                <w:rFonts w:ascii="Times New Roman" w:hAnsi="Times New Roman"/>
                <w:sz w:val="24"/>
                <w:szCs w:val="24"/>
              </w:rPr>
              <w:t>6</w:t>
            </w:r>
          </w:p>
        </w:tc>
        <w:tc>
          <w:tcPr>
            <w:tcW w:w="1800" w:type="dxa"/>
            <w:vAlign w:val="center"/>
          </w:tcPr>
          <w:p w:rsidR="005C3CBF" w:rsidRPr="006B2EAA" w:rsidRDefault="005C3CBF" w:rsidP="003C0EF8">
            <w:pPr>
              <w:spacing w:after="0" w:line="240" w:lineRule="auto"/>
              <w:jc w:val="right"/>
              <w:rPr>
                <w:rFonts w:ascii="Times New Roman" w:hAnsi="Times New Roman"/>
                <w:sz w:val="24"/>
                <w:szCs w:val="24"/>
              </w:rPr>
            </w:pPr>
            <w:r w:rsidRPr="006B2EAA">
              <w:rPr>
                <w:rFonts w:ascii="Times New Roman" w:hAnsi="Times New Roman"/>
                <w:sz w:val="24"/>
                <w:szCs w:val="24"/>
              </w:rPr>
              <w:t>-5</w:t>
            </w:r>
          </w:p>
        </w:tc>
        <w:tc>
          <w:tcPr>
            <w:tcW w:w="1800" w:type="dxa"/>
            <w:vAlign w:val="center"/>
          </w:tcPr>
          <w:p w:rsidR="005C3CBF" w:rsidRPr="006B2EAA" w:rsidRDefault="005C3CBF" w:rsidP="005F1C3C">
            <w:pPr>
              <w:spacing w:after="0" w:line="240" w:lineRule="auto"/>
              <w:jc w:val="right"/>
              <w:rPr>
                <w:rFonts w:ascii="Times New Roman" w:hAnsi="Times New Roman"/>
                <w:sz w:val="24"/>
                <w:szCs w:val="24"/>
              </w:rPr>
            </w:pPr>
            <w:r w:rsidRPr="006B2EAA">
              <w:rPr>
                <w:rFonts w:ascii="Times New Roman" w:hAnsi="Times New Roman"/>
                <w:sz w:val="24"/>
                <w:szCs w:val="24"/>
              </w:rPr>
              <w:t>0</w:t>
            </w:r>
          </w:p>
        </w:tc>
      </w:tr>
      <w:tr w:rsidR="005C3CBF" w:rsidRPr="006B2EAA" w:rsidTr="005F1C3C">
        <w:trPr>
          <w:trHeight w:val="575"/>
        </w:trPr>
        <w:tc>
          <w:tcPr>
            <w:tcW w:w="2679" w:type="dxa"/>
          </w:tcPr>
          <w:p w:rsidR="005C3CBF" w:rsidRPr="006B2EAA" w:rsidRDefault="005C3CBF" w:rsidP="005F1C3C">
            <w:pPr>
              <w:spacing w:after="0" w:line="240" w:lineRule="auto"/>
              <w:jc w:val="center"/>
              <w:rPr>
                <w:rFonts w:ascii="Times New Roman" w:hAnsi="Times New Roman"/>
                <w:sz w:val="24"/>
                <w:szCs w:val="24"/>
              </w:rPr>
            </w:pPr>
            <w:r w:rsidRPr="006B2EAA">
              <w:rPr>
                <w:rFonts w:ascii="Times New Roman" w:hAnsi="Times New Roman"/>
                <w:sz w:val="24"/>
                <w:szCs w:val="24"/>
              </w:rPr>
              <w:t>Annual Time Burden (</w:t>
            </w:r>
            <w:proofErr w:type="spellStart"/>
            <w:r w:rsidRPr="006B2EAA">
              <w:rPr>
                <w:rFonts w:ascii="Times New Roman" w:hAnsi="Times New Roman"/>
                <w:sz w:val="24"/>
                <w:szCs w:val="24"/>
              </w:rPr>
              <w:t>Hr</w:t>
            </w:r>
            <w:proofErr w:type="spellEnd"/>
            <w:r w:rsidRPr="006B2EAA">
              <w:rPr>
                <w:rFonts w:ascii="Times New Roman" w:hAnsi="Times New Roman"/>
                <w:sz w:val="24"/>
                <w:szCs w:val="24"/>
              </w:rPr>
              <w:t>)</w:t>
            </w:r>
          </w:p>
        </w:tc>
        <w:tc>
          <w:tcPr>
            <w:tcW w:w="1461" w:type="dxa"/>
            <w:vAlign w:val="center"/>
          </w:tcPr>
          <w:p w:rsidR="005C3CBF" w:rsidRPr="006B2EAA" w:rsidRDefault="005C3CBF" w:rsidP="005F1C3C">
            <w:pPr>
              <w:spacing w:after="0" w:line="240" w:lineRule="auto"/>
              <w:jc w:val="right"/>
              <w:rPr>
                <w:rFonts w:ascii="Times New Roman" w:hAnsi="Times New Roman"/>
                <w:sz w:val="24"/>
                <w:szCs w:val="24"/>
              </w:rPr>
            </w:pPr>
            <w:r w:rsidRPr="006B2EAA">
              <w:rPr>
                <w:rFonts w:ascii="Times New Roman" w:hAnsi="Times New Roman"/>
                <w:sz w:val="24"/>
                <w:szCs w:val="24"/>
              </w:rPr>
              <w:t>1,180</w:t>
            </w:r>
          </w:p>
        </w:tc>
        <w:tc>
          <w:tcPr>
            <w:tcW w:w="1620" w:type="dxa"/>
            <w:vAlign w:val="center"/>
          </w:tcPr>
          <w:p w:rsidR="005C3CBF" w:rsidRPr="006B2EAA" w:rsidRDefault="005C3CBF" w:rsidP="005F1C3C">
            <w:pPr>
              <w:spacing w:after="0" w:line="240" w:lineRule="auto"/>
              <w:jc w:val="right"/>
              <w:rPr>
                <w:rFonts w:ascii="Times New Roman" w:hAnsi="Times New Roman"/>
                <w:sz w:val="24"/>
                <w:szCs w:val="24"/>
              </w:rPr>
            </w:pPr>
            <w:r w:rsidRPr="006B2EAA">
              <w:rPr>
                <w:rFonts w:ascii="Times New Roman" w:hAnsi="Times New Roman"/>
                <w:sz w:val="24"/>
                <w:szCs w:val="24"/>
              </w:rPr>
              <w:t>1,192</w:t>
            </w:r>
          </w:p>
        </w:tc>
        <w:tc>
          <w:tcPr>
            <w:tcW w:w="1800" w:type="dxa"/>
            <w:vAlign w:val="center"/>
          </w:tcPr>
          <w:p w:rsidR="005C3CBF" w:rsidRPr="006B2EAA" w:rsidRDefault="005C3CBF" w:rsidP="003C0EF8">
            <w:pPr>
              <w:spacing w:after="0" w:line="240" w:lineRule="auto"/>
              <w:jc w:val="right"/>
              <w:rPr>
                <w:rFonts w:ascii="Times New Roman" w:hAnsi="Times New Roman"/>
                <w:sz w:val="24"/>
                <w:szCs w:val="24"/>
              </w:rPr>
            </w:pPr>
            <w:r w:rsidRPr="006B2EAA">
              <w:rPr>
                <w:rFonts w:ascii="Times New Roman" w:hAnsi="Times New Roman"/>
                <w:sz w:val="24"/>
                <w:szCs w:val="24"/>
              </w:rPr>
              <w:t>-12</w:t>
            </w:r>
          </w:p>
        </w:tc>
        <w:tc>
          <w:tcPr>
            <w:tcW w:w="1800" w:type="dxa"/>
            <w:vAlign w:val="center"/>
          </w:tcPr>
          <w:p w:rsidR="005C3CBF" w:rsidRPr="006B2EAA" w:rsidRDefault="005C3CBF" w:rsidP="005F1C3C">
            <w:pPr>
              <w:spacing w:after="0" w:line="240" w:lineRule="auto"/>
              <w:jc w:val="right"/>
              <w:rPr>
                <w:rFonts w:ascii="Times New Roman" w:hAnsi="Times New Roman"/>
                <w:sz w:val="24"/>
                <w:szCs w:val="24"/>
              </w:rPr>
            </w:pPr>
            <w:r w:rsidRPr="006B2EAA">
              <w:rPr>
                <w:rFonts w:ascii="Times New Roman" w:hAnsi="Times New Roman"/>
                <w:sz w:val="24"/>
                <w:szCs w:val="24"/>
              </w:rPr>
              <w:t>0</w:t>
            </w:r>
          </w:p>
        </w:tc>
      </w:tr>
      <w:tr w:rsidR="005C3CBF" w:rsidRPr="006B2EAA" w:rsidTr="005F1C3C">
        <w:trPr>
          <w:trHeight w:val="295"/>
        </w:trPr>
        <w:tc>
          <w:tcPr>
            <w:tcW w:w="2679" w:type="dxa"/>
          </w:tcPr>
          <w:p w:rsidR="005C3CBF" w:rsidRPr="006B2EAA" w:rsidRDefault="005C3CBF" w:rsidP="005F1C3C">
            <w:pPr>
              <w:spacing w:after="0" w:line="240" w:lineRule="auto"/>
              <w:jc w:val="center"/>
              <w:rPr>
                <w:rFonts w:ascii="Times New Roman" w:hAnsi="Times New Roman"/>
                <w:sz w:val="24"/>
                <w:szCs w:val="24"/>
              </w:rPr>
            </w:pPr>
            <w:r w:rsidRPr="006B2EAA">
              <w:rPr>
                <w:rFonts w:ascii="Times New Roman" w:hAnsi="Times New Roman"/>
                <w:sz w:val="24"/>
                <w:szCs w:val="24"/>
              </w:rPr>
              <w:t>Annual Cost Burden ($)</w:t>
            </w:r>
          </w:p>
        </w:tc>
        <w:tc>
          <w:tcPr>
            <w:tcW w:w="1461" w:type="dxa"/>
            <w:vAlign w:val="center"/>
          </w:tcPr>
          <w:p w:rsidR="005C3CBF" w:rsidRPr="006B2EAA" w:rsidRDefault="005C3CBF" w:rsidP="0094624A">
            <w:pPr>
              <w:spacing w:after="0" w:line="240" w:lineRule="auto"/>
              <w:jc w:val="right"/>
              <w:rPr>
                <w:rFonts w:ascii="Times New Roman" w:hAnsi="Times New Roman"/>
                <w:sz w:val="24"/>
                <w:szCs w:val="24"/>
              </w:rPr>
            </w:pPr>
            <w:r w:rsidRPr="006B2EAA">
              <w:rPr>
                <w:rFonts w:ascii="Times New Roman" w:hAnsi="Times New Roman"/>
                <w:sz w:val="24"/>
                <w:szCs w:val="24"/>
              </w:rPr>
              <w:t>$0</w:t>
            </w:r>
          </w:p>
        </w:tc>
        <w:tc>
          <w:tcPr>
            <w:tcW w:w="1620" w:type="dxa"/>
            <w:vAlign w:val="center"/>
          </w:tcPr>
          <w:p w:rsidR="005C3CBF" w:rsidRPr="006B2EAA" w:rsidRDefault="005C3CBF" w:rsidP="0094624A">
            <w:pPr>
              <w:spacing w:after="0" w:line="240" w:lineRule="auto"/>
              <w:jc w:val="right"/>
              <w:rPr>
                <w:rFonts w:ascii="Times New Roman" w:hAnsi="Times New Roman"/>
                <w:sz w:val="24"/>
                <w:szCs w:val="24"/>
              </w:rPr>
            </w:pPr>
            <w:r w:rsidRPr="006B2EAA">
              <w:rPr>
                <w:rFonts w:ascii="Times New Roman" w:hAnsi="Times New Roman"/>
                <w:sz w:val="24"/>
                <w:szCs w:val="24"/>
              </w:rPr>
              <w:t>$73,524</w:t>
            </w:r>
          </w:p>
        </w:tc>
        <w:tc>
          <w:tcPr>
            <w:tcW w:w="1800" w:type="dxa"/>
            <w:vAlign w:val="center"/>
          </w:tcPr>
          <w:p w:rsidR="005C3CBF" w:rsidRPr="006B2EAA" w:rsidRDefault="005C3CBF" w:rsidP="003C0EF8">
            <w:pPr>
              <w:spacing w:after="0" w:line="240" w:lineRule="auto"/>
              <w:jc w:val="right"/>
              <w:rPr>
                <w:rFonts w:ascii="Times New Roman" w:hAnsi="Times New Roman"/>
                <w:sz w:val="24"/>
                <w:szCs w:val="24"/>
              </w:rPr>
            </w:pPr>
            <w:r w:rsidRPr="006B2EAA">
              <w:rPr>
                <w:rFonts w:ascii="Times New Roman" w:hAnsi="Times New Roman"/>
                <w:sz w:val="24"/>
                <w:szCs w:val="24"/>
              </w:rPr>
              <w:t>-$73,524</w:t>
            </w:r>
          </w:p>
        </w:tc>
        <w:tc>
          <w:tcPr>
            <w:tcW w:w="1800" w:type="dxa"/>
            <w:vAlign w:val="center"/>
          </w:tcPr>
          <w:p w:rsidR="005C3CBF" w:rsidRPr="006B2EAA" w:rsidRDefault="005C3CBF" w:rsidP="005F1C3C">
            <w:pPr>
              <w:spacing w:after="0" w:line="240" w:lineRule="auto"/>
              <w:jc w:val="right"/>
              <w:rPr>
                <w:rFonts w:ascii="Times New Roman" w:hAnsi="Times New Roman"/>
                <w:sz w:val="24"/>
                <w:szCs w:val="24"/>
              </w:rPr>
            </w:pPr>
            <w:r w:rsidRPr="006B2EAA">
              <w:rPr>
                <w:rFonts w:ascii="Times New Roman" w:hAnsi="Times New Roman"/>
                <w:sz w:val="24"/>
                <w:szCs w:val="24"/>
              </w:rPr>
              <w:t>$0</w:t>
            </w:r>
          </w:p>
        </w:tc>
      </w:tr>
    </w:tbl>
    <w:p w:rsidR="005C3CBF" w:rsidRDefault="005C3CBF" w:rsidP="00A276F5">
      <w:pPr>
        <w:spacing w:after="0"/>
        <w:rPr>
          <w:rFonts w:ascii="Times New Roman" w:hAnsi="Times New Roman"/>
          <w:sz w:val="24"/>
          <w:szCs w:val="24"/>
        </w:rPr>
      </w:pPr>
    </w:p>
    <w:p w:rsidR="005C3CBF" w:rsidRDefault="005C3CBF" w:rsidP="00A276F5">
      <w:pPr>
        <w:spacing w:after="0"/>
        <w:rPr>
          <w:rFonts w:ascii="Times New Roman" w:hAnsi="Times New Roman"/>
          <w:sz w:val="24"/>
          <w:szCs w:val="24"/>
        </w:rPr>
      </w:pPr>
      <w:r>
        <w:rPr>
          <w:rFonts w:ascii="Times New Roman" w:hAnsi="Times New Roman"/>
          <w:sz w:val="24"/>
          <w:szCs w:val="24"/>
        </w:rPr>
        <w:t xml:space="preserve">OMB’s guidance is that </w:t>
      </w:r>
      <w:r w:rsidRPr="0041113E">
        <w:rPr>
          <w:rFonts w:ascii="Times New Roman" w:hAnsi="Times New Roman"/>
          <w:sz w:val="24"/>
          <w:szCs w:val="24"/>
        </w:rPr>
        <w:t>any burden reported in ho</w:t>
      </w:r>
      <w:r>
        <w:rPr>
          <w:rFonts w:ascii="Times New Roman" w:hAnsi="Times New Roman"/>
          <w:sz w:val="24"/>
          <w:szCs w:val="24"/>
        </w:rPr>
        <w:t xml:space="preserve">urs </w:t>
      </w:r>
      <w:r w:rsidRPr="0041113E">
        <w:rPr>
          <w:rFonts w:ascii="Times New Roman" w:hAnsi="Times New Roman"/>
          <w:sz w:val="24"/>
          <w:szCs w:val="24"/>
        </w:rPr>
        <w:t xml:space="preserve">should not </w:t>
      </w:r>
      <w:r>
        <w:rPr>
          <w:rFonts w:ascii="Times New Roman" w:hAnsi="Times New Roman"/>
          <w:sz w:val="24"/>
          <w:szCs w:val="24"/>
        </w:rPr>
        <w:t xml:space="preserve">be </w:t>
      </w:r>
      <w:r w:rsidRPr="0041113E">
        <w:rPr>
          <w:rFonts w:ascii="Times New Roman" w:hAnsi="Times New Roman"/>
          <w:sz w:val="24"/>
          <w:szCs w:val="24"/>
        </w:rPr>
        <w:t>report</w:t>
      </w:r>
      <w:r>
        <w:rPr>
          <w:rFonts w:ascii="Times New Roman" w:hAnsi="Times New Roman"/>
          <w:sz w:val="24"/>
          <w:szCs w:val="24"/>
        </w:rPr>
        <w:t>ed</w:t>
      </w:r>
      <w:r w:rsidRPr="0041113E">
        <w:rPr>
          <w:rFonts w:ascii="Times New Roman" w:hAnsi="Times New Roman"/>
          <w:sz w:val="24"/>
          <w:szCs w:val="24"/>
        </w:rPr>
        <w:t xml:space="preserve"> as a dollar cost</w:t>
      </w:r>
      <w:r>
        <w:rPr>
          <w:rFonts w:ascii="Times New Roman" w:hAnsi="Times New Roman"/>
          <w:sz w:val="24"/>
          <w:szCs w:val="24"/>
        </w:rPr>
        <w:t>.</w:t>
      </w:r>
      <w:r w:rsidRPr="004236FE">
        <w:rPr>
          <w:rStyle w:val="FootnoteReference"/>
          <w:rFonts w:ascii="Times New Roman" w:hAnsi="Times New Roman"/>
          <w:sz w:val="24"/>
          <w:szCs w:val="24"/>
          <w:vertAlign w:val="superscript"/>
        </w:rPr>
        <w:footnoteReference w:id="12"/>
      </w:r>
      <w:r>
        <w:rPr>
          <w:rFonts w:ascii="Times New Roman" w:hAnsi="Times New Roman"/>
          <w:sz w:val="24"/>
          <w:szCs w:val="24"/>
        </w:rPr>
        <w:t xml:space="preserve">  </w:t>
      </w:r>
    </w:p>
    <w:p w:rsidR="005C3CBF" w:rsidRDefault="005C3CBF" w:rsidP="00A276F5">
      <w:pPr>
        <w:spacing w:after="0"/>
        <w:rPr>
          <w:rFonts w:ascii="Times New Roman" w:hAnsi="Times New Roman"/>
          <w:sz w:val="24"/>
          <w:szCs w:val="24"/>
        </w:rPr>
      </w:pPr>
      <w:r>
        <w:rPr>
          <w:rFonts w:ascii="Times New Roman" w:hAnsi="Times New Roman"/>
          <w:sz w:val="24"/>
          <w:szCs w:val="24"/>
        </w:rPr>
        <w:lastRenderedPageBreak/>
        <w:t>In this 2012 clearance package for the FERC-732</w:t>
      </w:r>
      <w:r w:rsidRPr="0041113E">
        <w:rPr>
          <w:rFonts w:ascii="Times New Roman" w:hAnsi="Times New Roman"/>
          <w:sz w:val="24"/>
          <w:szCs w:val="24"/>
        </w:rPr>
        <w:t xml:space="preserve">, the cost to industry is </w:t>
      </w:r>
      <w:r>
        <w:rPr>
          <w:rFonts w:ascii="Times New Roman" w:hAnsi="Times New Roman"/>
          <w:sz w:val="24"/>
          <w:szCs w:val="24"/>
        </w:rPr>
        <w:t xml:space="preserve">calculated </w:t>
      </w:r>
      <w:r w:rsidRPr="0041113E">
        <w:rPr>
          <w:rFonts w:ascii="Times New Roman" w:hAnsi="Times New Roman"/>
          <w:sz w:val="24"/>
          <w:szCs w:val="24"/>
        </w:rPr>
        <w:t xml:space="preserve">using the unit of burden hours.  </w:t>
      </w:r>
      <w:r>
        <w:rPr>
          <w:rFonts w:ascii="Times New Roman" w:hAnsi="Times New Roman"/>
          <w:sz w:val="24"/>
          <w:szCs w:val="24"/>
        </w:rPr>
        <w:t>Commission staff</w:t>
      </w:r>
      <w:r w:rsidRPr="0041113E">
        <w:rPr>
          <w:rFonts w:ascii="Times New Roman" w:hAnsi="Times New Roman"/>
          <w:sz w:val="24"/>
          <w:szCs w:val="24"/>
        </w:rPr>
        <w:t xml:space="preserve"> </w:t>
      </w:r>
      <w:r>
        <w:rPr>
          <w:rFonts w:ascii="Times New Roman" w:hAnsi="Times New Roman"/>
          <w:sz w:val="24"/>
          <w:szCs w:val="24"/>
        </w:rPr>
        <w:t xml:space="preserve">has </w:t>
      </w:r>
      <w:r w:rsidRPr="0041113E">
        <w:rPr>
          <w:rFonts w:ascii="Times New Roman" w:hAnsi="Times New Roman"/>
          <w:sz w:val="24"/>
          <w:szCs w:val="24"/>
        </w:rPr>
        <w:t>corrected the industry’s annual cost burden within the ROCIS metadata to show that the</w:t>
      </w:r>
      <w:r>
        <w:rPr>
          <w:rFonts w:ascii="Times New Roman" w:hAnsi="Times New Roman"/>
          <w:sz w:val="24"/>
          <w:szCs w:val="24"/>
        </w:rPr>
        <w:t>re</w:t>
      </w:r>
      <w:r w:rsidRPr="0041113E">
        <w:rPr>
          <w:rFonts w:ascii="Times New Roman" w:hAnsi="Times New Roman"/>
          <w:sz w:val="24"/>
          <w:szCs w:val="24"/>
        </w:rPr>
        <w:t xml:space="preserve"> </w:t>
      </w:r>
      <w:r>
        <w:rPr>
          <w:rFonts w:ascii="Times New Roman" w:hAnsi="Times New Roman"/>
          <w:sz w:val="24"/>
          <w:szCs w:val="24"/>
        </w:rPr>
        <w:t xml:space="preserve">are </w:t>
      </w:r>
      <w:r w:rsidRPr="0041113E">
        <w:rPr>
          <w:rFonts w:ascii="Times New Roman" w:hAnsi="Times New Roman"/>
          <w:sz w:val="24"/>
          <w:szCs w:val="24"/>
        </w:rPr>
        <w:t>no cost</w:t>
      </w:r>
      <w:r w:rsidR="00F25173">
        <w:rPr>
          <w:rFonts w:ascii="Times New Roman" w:hAnsi="Times New Roman"/>
          <w:sz w:val="24"/>
          <w:szCs w:val="24"/>
        </w:rPr>
        <w:t>s</w:t>
      </w:r>
      <w:r w:rsidRPr="0041113E">
        <w:rPr>
          <w:rFonts w:ascii="Times New Roman" w:hAnsi="Times New Roman"/>
          <w:sz w:val="24"/>
          <w:szCs w:val="24"/>
        </w:rPr>
        <w:t xml:space="preserve"> </w:t>
      </w:r>
      <w:r>
        <w:rPr>
          <w:rFonts w:ascii="Times New Roman" w:hAnsi="Times New Roman"/>
          <w:sz w:val="24"/>
          <w:szCs w:val="24"/>
        </w:rPr>
        <w:t xml:space="preserve">associated </w:t>
      </w:r>
      <w:r w:rsidRPr="0041113E">
        <w:rPr>
          <w:rFonts w:ascii="Times New Roman" w:hAnsi="Times New Roman"/>
          <w:sz w:val="24"/>
          <w:szCs w:val="24"/>
        </w:rPr>
        <w:t xml:space="preserve">to capital investment or other non-labor costs.  </w:t>
      </w:r>
      <w:r>
        <w:rPr>
          <w:rFonts w:ascii="Times New Roman" w:hAnsi="Times New Roman"/>
          <w:sz w:val="24"/>
          <w:szCs w:val="24"/>
        </w:rPr>
        <w:t>The Commission estimates t</w:t>
      </w:r>
      <w:r w:rsidRPr="0041113E">
        <w:rPr>
          <w:rFonts w:ascii="Times New Roman" w:hAnsi="Times New Roman"/>
          <w:sz w:val="24"/>
          <w:szCs w:val="24"/>
        </w:rPr>
        <w:t xml:space="preserve">he monetary cost related to the burden hours in #13 (above).  </w:t>
      </w:r>
      <w:r>
        <w:rPr>
          <w:rFonts w:ascii="Times New Roman" w:hAnsi="Times New Roman"/>
          <w:sz w:val="24"/>
          <w:szCs w:val="24"/>
        </w:rPr>
        <w:t>The format, label, and definitions of the preceding table follow the ROCIS system’s “ICR Summary of Burden” for the meta-data.</w:t>
      </w:r>
    </w:p>
    <w:p w:rsidR="005C3CBF" w:rsidRPr="00A276F5" w:rsidRDefault="005C3CBF" w:rsidP="00A276F5">
      <w:pPr>
        <w:spacing w:after="0"/>
        <w:rPr>
          <w:rFonts w:ascii="Times New Roman" w:hAnsi="Times New Roman"/>
          <w:sz w:val="24"/>
          <w:szCs w:val="24"/>
        </w:rPr>
      </w:pPr>
    </w:p>
    <w:p w:rsidR="005C3CBF" w:rsidRPr="00414F32" w:rsidRDefault="005C3CBF" w:rsidP="00A72E7B">
      <w:pPr>
        <w:pStyle w:val="ListParagraph"/>
        <w:numPr>
          <w:ilvl w:val="0"/>
          <w:numId w:val="21"/>
        </w:numPr>
        <w:spacing w:after="0"/>
        <w:ind w:left="360"/>
        <w:rPr>
          <w:rFonts w:ascii="Times New Roman" w:hAnsi="Times New Roman"/>
          <w:b/>
          <w:sz w:val="24"/>
          <w:szCs w:val="24"/>
        </w:rPr>
      </w:pPr>
      <w:r w:rsidRPr="00414F32">
        <w:rPr>
          <w:rFonts w:ascii="Times New Roman" w:hAnsi="Times New Roman"/>
          <w:b/>
          <w:sz w:val="24"/>
          <w:szCs w:val="24"/>
        </w:rPr>
        <w:t>TIME SCHEDULE FOR PUBLICATION OF DATA</w:t>
      </w:r>
    </w:p>
    <w:p w:rsidR="005C3CBF" w:rsidRDefault="005C3CBF" w:rsidP="00414F32">
      <w:pPr>
        <w:spacing w:after="0"/>
        <w:rPr>
          <w:rFonts w:ascii="Times New Roman" w:hAnsi="Times New Roman"/>
          <w:sz w:val="24"/>
          <w:szCs w:val="24"/>
        </w:rPr>
      </w:pPr>
    </w:p>
    <w:p w:rsidR="005C3CBF" w:rsidRDefault="005C3CBF" w:rsidP="0057700F">
      <w:pPr>
        <w:spacing w:after="0"/>
        <w:rPr>
          <w:rFonts w:ascii="Times New Roman" w:hAnsi="Times New Roman"/>
          <w:sz w:val="24"/>
          <w:szCs w:val="24"/>
        </w:rPr>
      </w:pPr>
      <w:r w:rsidRPr="00BE1A50">
        <w:rPr>
          <w:rFonts w:ascii="Times New Roman" w:hAnsi="Times New Roman"/>
          <w:sz w:val="24"/>
          <w:szCs w:val="24"/>
        </w:rPr>
        <w:t xml:space="preserve">Copies of the filings are made available to the public through the </w:t>
      </w:r>
      <w:proofErr w:type="spellStart"/>
      <w:r w:rsidRPr="00BE1A50">
        <w:rPr>
          <w:rFonts w:ascii="Times New Roman" w:hAnsi="Times New Roman"/>
          <w:sz w:val="24"/>
          <w:szCs w:val="24"/>
        </w:rPr>
        <w:t>eTari</w:t>
      </w:r>
      <w:r>
        <w:rPr>
          <w:rFonts w:ascii="Times New Roman" w:hAnsi="Times New Roman"/>
          <w:sz w:val="24"/>
          <w:szCs w:val="24"/>
        </w:rPr>
        <w:t>ff</w:t>
      </w:r>
      <w:proofErr w:type="spellEnd"/>
      <w:r>
        <w:rPr>
          <w:rFonts w:ascii="Times New Roman" w:hAnsi="Times New Roman"/>
          <w:sz w:val="24"/>
          <w:szCs w:val="24"/>
        </w:rPr>
        <w:t xml:space="preserve"> Public Viewer and eLibrary.  </w:t>
      </w:r>
      <w:r w:rsidRPr="001F5574">
        <w:rPr>
          <w:rFonts w:ascii="Times New Roman" w:hAnsi="Times New Roman"/>
          <w:sz w:val="24"/>
          <w:szCs w:val="24"/>
        </w:rPr>
        <w:t>There</w:t>
      </w:r>
      <w:r>
        <w:rPr>
          <w:rFonts w:ascii="Times New Roman" w:hAnsi="Times New Roman"/>
          <w:sz w:val="24"/>
          <w:szCs w:val="24"/>
        </w:rPr>
        <w:t xml:space="preserve"> are no tabulating, statistical, </w:t>
      </w:r>
      <w:r w:rsidRPr="001F5574">
        <w:rPr>
          <w:rFonts w:ascii="Times New Roman" w:hAnsi="Times New Roman"/>
          <w:sz w:val="24"/>
          <w:szCs w:val="24"/>
        </w:rPr>
        <w:t xml:space="preserve">tabulating analysis or publication plans for </w:t>
      </w:r>
      <w:r>
        <w:rPr>
          <w:rFonts w:ascii="Times New Roman" w:hAnsi="Times New Roman"/>
          <w:sz w:val="24"/>
          <w:szCs w:val="24"/>
        </w:rPr>
        <w:t>FERC-732 data</w:t>
      </w:r>
      <w:r w:rsidRPr="001F5574">
        <w:rPr>
          <w:rFonts w:ascii="Times New Roman" w:hAnsi="Times New Roman"/>
          <w:sz w:val="24"/>
          <w:szCs w:val="24"/>
        </w:rPr>
        <w:t>.  The</w:t>
      </w:r>
      <w:r>
        <w:rPr>
          <w:rFonts w:ascii="Times New Roman" w:hAnsi="Times New Roman"/>
          <w:sz w:val="24"/>
          <w:szCs w:val="24"/>
        </w:rPr>
        <w:t xml:space="preserve"> Commission uses the</w:t>
      </w:r>
      <w:r w:rsidRPr="001F5574">
        <w:rPr>
          <w:rFonts w:ascii="Times New Roman" w:hAnsi="Times New Roman"/>
          <w:sz w:val="24"/>
          <w:szCs w:val="24"/>
        </w:rPr>
        <w:t xml:space="preserve"> data for regulatory purposes only.</w:t>
      </w:r>
      <w:r>
        <w:rPr>
          <w:rFonts w:ascii="Times New Roman" w:hAnsi="Times New Roman"/>
          <w:sz w:val="24"/>
          <w:szCs w:val="24"/>
        </w:rPr>
        <w:t xml:space="preserve">  </w:t>
      </w:r>
    </w:p>
    <w:p w:rsidR="005C3CBF" w:rsidRPr="00414F32" w:rsidRDefault="005C3CBF" w:rsidP="00414F32">
      <w:pPr>
        <w:spacing w:after="0"/>
        <w:rPr>
          <w:rFonts w:ascii="Times New Roman" w:hAnsi="Times New Roman"/>
          <w:sz w:val="24"/>
          <w:szCs w:val="24"/>
        </w:rPr>
      </w:pPr>
    </w:p>
    <w:p w:rsidR="005C3CBF" w:rsidRPr="00414F32" w:rsidRDefault="005C3CBF" w:rsidP="00A72E7B">
      <w:pPr>
        <w:pStyle w:val="ListParagraph"/>
        <w:numPr>
          <w:ilvl w:val="0"/>
          <w:numId w:val="21"/>
        </w:numPr>
        <w:spacing w:after="0"/>
        <w:ind w:left="360"/>
        <w:rPr>
          <w:rFonts w:ascii="Times New Roman" w:hAnsi="Times New Roman"/>
          <w:b/>
          <w:sz w:val="24"/>
          <w:szCs w:val="24"/>
        </w:rPr>
      </w:pPr>
      <w:r w:rsidRPr="00414F32">
        <w:rPr>
          <w:rFonts w:ascii="Times New Roman" w:hAnsi="Times New Roman"/>
          <w:b/>
          <w:sz w:val="24"/>
          <w:szCs w:val="24"/>
        </w:rPr>
        <w:t>DISPLAY OF EXPIRATION DATE</w:t>
      </w:r>
    </w:p>
    <w:p w:rsidR="005C3CBF" w:rsidRDefault="005C3CBF" w:rsidP="00414F32">
      <w:pPr>
        <w:spacing w:after="0"/>
        <w:rPr>
          <w:rFonts w:ascii="Times New Roman" w:hAnsi="Times New Roman"/>
          <w:sz w:val="24"/>
          <w:szCs w:val="24"/>
        </w:rPr>
      </w:pPr>
    </w:p>
    <w:p w:rsidR="005C3CBF" w:rsidRDefault="005C3CBF" w:rsidP="0057700F">
      <w:pPr>
        <w:spacing w:after="0"/>
        <w:rPr>
          <w:rFonts w:ascii="Times New Roman" w:hAnsi="Times New Roman"/>
          <w:sz w:val="24"/>
          <w:szCs w:val="24"/>
        </w:rPr>
      </w:pPr>
      <w:r w:rsidRPr="00E15F00">
        <w:rPr>
          <w:rFonts w:ascii="Times New Roman" w:hAnsi="Times New Roman"/>
          <w:sz w:val="24"/>
          <w:szCs w:val="24"/>
        </w:rPr>
        <w:t>It is not appropriate to display the expirat</w:t>
      </w:r>
      <w:r>
        <w:rPr>
          <w:rFonts w:ascii="Times New Roman" w:hAnsi="Times New Roman"/>
          <w:sz w:val="24"/>
          <w:szCs w:val="24"/>
        </w:rPr>
        <w:t>ion date for OMB approval of this</w:t>
      </w:r>
      <w:r w:rsidRPr="00E15F00">
        <w:rPr>
          <w:rFonts w:ascii="Times New Roman" w:hAnsi="Times New Roman"/>
          <w:sz w:val="24"/>
          <w:szCs w:val="24"/>
        </w:rPr>
        <w:t xml:space="preserve"> information collection.  The Commission does not collect the information on a standard form which would facilitate the display of the expiration date for OMB approval.</w:t>
      </w:r>
    </w:p>
    <w:p w:rsidR="005C3CBF" w:rsidRPr="00414F32" w:rsidRDefault="005C3CBF" w:rsidP="00414F32">
      <w:pPr>
        <w:spacing w:after="0"/>
        <w:rPr>
          <w:rFonts w:ascii="Times New Roman" w:hAnsi="Times New Roman"/>
          <w:sz w:val="24"/>
          <w:szCs w:val="24"/>
        </w:rPr>
      </w:pPr>
    </w:p>
    <w:p w:rsidR="005C3CBF" w:rsidRDefault="005C3CBF" w:rsidP="00A72E7B">
      <w:pPr>
        <w:pStyle w:val="ListParagraph"/>
        <w:numPr>
          <w:ilvl w:val="0"/>
          <w:numId w:val="21"/>
        </w:numPr>
        <w:spacing w:after="0"/>
        <w:ind w:left="360"/>
        <w:rPr>
          <w:rFonts w:ascii="Times New Roman" w:hAnsi="Times New Roman"/>
          <w:b/>
          <w:sz w:val="24"/>
          <w:szCs w:val="24"/>
        </w:rPr>
      </w:pPr>
      <w:r w:rsidRPr="00414F32">
        <w:rPr>
          <w:rFonts w:ascii="Times New Roman" w:hAnsi="Times New Roman"/>
          <w:b/>
          <w:sz w:val="24"/>
          <w:szCs w:val="24"/>
        </w:rPr>
        <w:t>EXCEPTIONS TO THE CERTIFICATION STATEMENT</w:t>
      </w:r>
    </w:p>
    <w:p w:rsidR="005C3CBF" w:rsidRDefault="005C3CBF" w:rsidP="0057700F">
      <w:pPr>
        <w:spacing w:after="0"/>
        <w:rPr>
          <w:rFonts w:ascii="Times New Roman" w:hAnsi="Times New Roman"/>
          <w:b/>
          <w:sz w:val="24"/>
          <w:szCs w:val="24"/>
        </w:rPr>
      </w:pPr>
    </w:p>
    <w:p w:rsidR="005C3CBF" w:rsidRPr="007A2F92" w:rsidRDefault="005C3CBF" w:rsidP="007A2F92">
      <w:pPr>
        <w:spacing w:after="0"/>
        <w:rPr>
          <w:rFonts w:ascii="Times New Roman" w:hAnsi="Times New Roman"/>
          <w:sz w:val="24"/>
          <w:szCs w:val="24"/>
        </w:rPr>
      </w:pPr>
      <w:r w:rsidRPr="001F5574">
        <w:rPr>
          <w:rFonts w:ascii="Times New Roman" w:hAnsi="Times New Roman"/>
          <w:sz w:val="24"/>
          <w:szCs w:val="24"/>
        </w:rPr>
        <w:t>Commission does not use the data collected for this reporting requirement for statistical purposes.  Therefore, the Commission does not use as stated in item (</w:t>
      </w:r>
      <w:proofErr w:type="spellStart"/>
      <w:r w:rsidRPr="001F5574">
        <w:rPr>
          <w:rFonts w:ascii="Times New Roman" w:hAnsi="Times New Roman"/>
          <w:sz w:val="24"/>
          <w:szCs w:val="24"/>
        </w:rPr>
        <w:t>i</w:t>
      </w:r>
      <w:proofErr w:type="spellEnd"/>
      <w:r w:rsidRPr="001F5574">
        <w:rPr>
          <w:rFonts w:ascii="Times New Roman" w:hAnsi="Times New Roman"/>
          <w:sz w:val="24"/>
          <w:szCs w:val="24"/>
        </w:rPr>
        <w:t xml:space="preserve">) of the certification to OMB "effective and efficient statistical survey methodology."  The information collected is case specific to each </w:t>
      </w:r>
      <w:r>
        <w:rPr>
          <w:rFonts w:ascii="Times New Roman" w:hAnsi="Times New Roman"/>
          <w:sz w:val="24"/>
          <w:szCs w:val="24"/>
        </w:rPr>
        <w:t>FERC-732 filing</w:t>
      </w:r>
      <w:r w:rsidRPr="001F5574">
        <w:rPr>
          <w:rFonts w:ascii="Times New Roman" w:hAnsi="Times New Roman"/>
          <w:sz w:val="24"/>
          <w:szCs w:val="24"/>
        </w:rPr>
        <w:t>.</w:t>
      </w:r>
    </w:p>
    <w:sectPr w:rsidR="005C3CBF" w:rsidRPr="007A2F92" w:rsidSect="00EC774B">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3EFA" w:rsidRDefault="00163EFA" w:rsidP="00FD66F1">
      <w:pPr>
        <w:spacing w:after="0" w:line="240" w:lineRule="auto"/>
      </w:pPr>
      <w:r>
        <w:separator/>
      </w:r>
    </w:p>
  </w:endnote>
  <w:endnote w:type="continuationSeparator" w:id="0">
    <w:p w:rsidR="00163EFA" w:rsidRDefault="00163EFA" w:rsidP="00FD6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3EFA" w:rsidRDefault="00163EFA" w:rsidP="00FD66F1">
      <w:pPr>
        <w:spacing w:after="0" w:line="240" w:lineRule="auto"/>
      </w:pPr>
      <w:r>
        <w:separator/>
      </w:r>
    </w:p>
  </w:footnote>
  <w:footnote w:type="continuationSeparator" w:id="0">
    <w:p w:rsidR="00163EFA" w:rsidRDefault="00163EFA" w:rsidP="00FD66F1">
      <w:pPr>
        <w:spacing w:after="0" w:line="240" w:lineRule="auto"/>
      </w:pPr>
      <w:r>
        <w:continuationSeparator/>
      </w:r>
    </w:p>
  </w:footnote>
  <w:footnote w:id="1">
    <w:p w:rsidR="00163EFA" w:rsidRPr="008B0D56" w:rsidRDefault="00163EFA">
      <w:pPr>
        <w:pStyle w:val="FootnoteText"/>
      </w:pPr>
      <w:r w:rsidRPr="008B0D56">
        <w:rPr>
          <w:rStyle w:val="FootnoteReference"/>
          <w:vertAlign w:val="superscript"/>
        </w:rPr>
        <w:footnoteRef/>
      </w:r>
      <w:r w:rsidRPr="008B0D56">
        <w:rPr>
          <w:vertAlign w:val="superscript"/>
        </w:rPr>
        <w:t xml:space="preserve"> </w:t>
      </w:r>
      <w:r w:rsidRPr="008B0D56">
        <w:t>18 CFR 42.1</w:t>
      </w:r>
    </w:p>
  </w:footnote>
  <w:footnote w:id="2">
    <w:p w:rsidR="00163EFA" w:rsidRPr="008B0D56" w:rsidRDefault="00163EFA" w:rsidP="00CC5CE1">
      <w:pPr>
        <w:pStyle w:val="FootnoteText"/>
      </w:pPr>
      <w:r w:rsidRPr="008B0D56">
        <w:rPr>
          <w:rStyle w:val="FootnoteReference"/>
          <w:vertAlign w:val="superscript"/>
        </w:rPr>
        <w:footnoteRef/>
      </w:r>
      <w:r w:rsidRPr="008B0D56">
        <w:t xml:space="preserve"> </w:t>
      </w:r>
      <w:r w:rsidRPr="008B0D56">
        <w:rPr>
          <w:u w:val="single"/>
        </w:rPr>
        <w:t>Electronic Tariff Filings</w:t>
      </w:r>
      <w:r w:rsidRPr="008B0D56">
        <w:t xml:space="preserve">, Order No. 714, 73 FR 57,515–57,538, (October 3, 2008). </w:t>
      </w:r>
    </w:p>
    <w:p w:rsidR="00163EFA" w:rsidRPr="008B0D56" w:rsidRDefault="00163EFA" w:rsidP="00CC5CE1">
      <w:pPr>
        <w:pStyle w:val="FootnoteText"/>
      </w:pPr>
    </w:p>
  </w:footnote>
  <w:footnote w:id="3">
    <w:p w:rsidR="00163EFA" w:rsidRPr="008B0D56" w:rsidRDefault="00163EFA">
      <w:pPr>
        <w:pStyle w:val="FootnoteText"/>
      </w:pPr>
      <w:r w:rsidRPr="008B0D56">
        <w:rPr>
          <w:rStyle w:val="FootnoteReference"/>
          <w:vertAlign w:val="superscript"/>
        </w:rPr>
        <w:footnoteRef/>
      </w:r>
      <w:r w:rsidRPr="008B0D56">
        <w:rPr>
          <w:vertAlign w:val="superscript"/>
        </w:rPr>
        <w:t xml:space="preserve"> </w:t>
      </w:r>
      <w:r w:rsidRPr="008B0D56">
        <w:t>7</w:t>
      </w:r>
      <w:r>
        <w:t>7</w:t>
      </w:r>
      <w:r w:rsidRPr="008B0D56">
        <w:t xml:space="preserve"> FR </w:t>
      </w:r>
      <w:r>
        <w:t>58</w:t>
      </w:r>
      <w:r w:rsidRPr="008B0D56">
        <w:t>,</w:t>
      </w:r>
      <w:r>
        <w:t>116</w:t>
      </w:r>
      <w:r w:rsidRPr="008B0D56">
        <w:t xml:space="preserve"> (September </w:t>
      </w:r>
      <w:r>
        <w:t>19</w:t>
      </w:r>
      <w:r w:rsidRPr="008B0D56">
        <w:t>, 2012)</w:t>
      </w:r>
    </w:p>
  </w:footnote>
  <w:footnote w:id="4">
    <w:p w:rsidR="00163EFA" w:rsidRPr="008B0D56" w:rsidRDefault="00163EFA">
      <w:pPr>
        <w:pStyle w:val="FootnoteText"/>
      </w:pPr>
      <w:r w:rsidRPr="008B0D56">
        <w:rPr>
          <w:rStyle w:val="FootnoteReference"/>
        </w:rPr>
        <w:footnoteRef/>
      </w:r>
      <w:r w:rsidRPr="008B0D56">
        <w:t xml:space="preserve"> 77 FR 58116</w:t>
      </w:r>
    </w:p>
  </w:footnote>
  <w:footnote w:id="5">
    <w:p w:rsidR="00163EFA" w:rsidRPr="008B0D56" w:rsidRDefault="00163EFA">
      <w:pPr>
        <w:pStyle w:val="FootnoteText"/>
      </w:pPr>
      <w:r w:rsidRPr="008B0D56">
        <w:rPr>
          <w:rStyle w:val="FootnoteReference"/>
        </w:rPr>
        <w:footnoteRef/>
      </w:r>
      <w:r w:rsidRPr="008B0D56">
        <w:t xml:space="preserve"> 18 CFR 388.112</w:t>
      </w:r>
    </w:p>
  </w:footnote>
  <w:footnote w:id="6">
    <w:p w:rsidR="00163EFA" w:rsidRPr="008B0D56" w:rsidRDefault="00163EFA">
      <w:pPr>
        <w:pStyle w:val="FootnoteText"/>
      </w:pPr>
      <w:r w:rsidRPr="008B0D56">
        <w:rPr>
          <w:rStyle w:val="FootnoteReference"/>
        </w:rPr>
        <w:footnoteRef/>
      </w:r>
      <w:r w:rsidRPr="008B0D56">
        <w:t xml:space="preserve"> </w:t>
      </w:r>
      <w:r>
        <w:t>Those r</w:t>
      </w:r>
      <w:r w:rsidRPr="008B0D56">
        <w:t>equired to file schedule</w:t>
      </w:r>
      <w:r>
        <w:t>s</w:t>
      </w:r>
      <w:r w:rsidRPr="008B0D56">
        <w:t xml:space="preserve"> and tariff</w:t>
      </w:r>
      <w:r>
        <w:t>s</w:t>
      </w:r>
      <w:r w:rsidRPr="008B0D56">
        <w:t xml:space="preserve"> related to long-term firm transmission rights in its organized markets</w:t>
      </w:r>
    </w:p>
  </w:footnote>
  <w:footnote w:id="7">
    <w:p w:rsidR="00163EFA" w:rsidRPr="008B0D56" w:rsidRDefault="00163EFA">
      <w:pPr>
        <w:pStyle w:val="FootnoteText"/>
      </w:pPr>
      <w:r w:rsidRPr="008B0D56">
        <w:rPr>
          <w:rStyle w:val="FootnoteReference"/>
        </w:rPr>
        <w:footnoteRef/>
      </w:r>
      <w:r w:rsidRPr="008B0D56">
        <w:t xml:space="preserve"> This figure is rounded to the nearest cent</w:t>
      </w:r>
    </w:p>
  </w:footnote>
  <w:footnote w:id="8">
    <w:p w:rsidR="00163EFA" w:rsidRPr="008B0D56" w:rsidRDefault="00163EFA" w:rsidP="00A276F5">
      <w:pPr>
        <w:pStyle w:val="FootnoteText"/>
      </w:pPr>
      <w:r w:rsidRPr="008B0D56">
        <w:rPr>
          <w:rStyle w:val="FootnoteReference"/>
        </w:rPr>
        <w:footnoteRef/>
      </w:r>
      <w:r w:rsidRPr="008B0D56">
        <w:t xml:space="preserve"> Based upon 2012 FTE average salary ($143,540)</w:t>
      </w:r>
    </w:p>
  </w:footnote>
  <w:footnote w:id="9">
    <w:p w:rsidR="00163EFA" w:rsidRPr="008B0D56" w:rsidRDefault="00163EFA">
      <w:pPr>
        <w:pStyle w:val="FootnoteText"/>
      </w:pPr>
      <w:r w:rsidRPr="008B0D56">
        <w:rPr>
          <w:rStyle w:val="FootnoteReference"/>
        </w:rPr>
        <w:footnoteRef/>
      </w:r>
      <w:r w:rsidRPr="008B0D56">
        <w:t xml:space="preserve"> Commission estimates this figure at 40 hours of total effort; approximately 0.019 FTE</w:t>
      </w:r>
    </w:p>
  </w:footnote>
  <w:footnote w:id="10">
    <w:p w:rsidR="00163EFA" w:rsidRPr="008B0D56" w:rsidRDefault="00163EFA">
      <w:pPr>
        <w:pStyle w:val="FootnoteText"/>
      </w:pPr>
      <w:r w:rsidRPr="008B0D56">
        <w:rPr>
          <w:rStyle w:val="FootnoteReference"/>
        </w:rPr>
        <w:footnoteRef/>
      </w:r>
      <w:r w:rsidRPr="008B0D56">
        <w:t xml:space="preserve"> Paperwork Reduction Act of 1995 (PRA)</w:t>
      </w:r>
    </w:p>
  </w:footnote>
  <w:footnote w:id="11">
    <w:p w:rsidR="00163EFA" w:rsidRPr="008B0D56" w:rsidRDefault="00163EFA" w:rsidP="00EA31AE">
      <w:pPr>
        <w:pStyle w:val="FootnoteText"/>
      </w:pPr>
      <w:r w:rsidRPr="008B0D56">
        <w:rPr>
          <w:rStyle w:val="FootnoteReference"/>
        </w:rPr>
        <w:footnoteRef/>
      </w:r>
      <w:r w:rsidRPr="008B0D56">
        <w:t xml:space="preserve"> Based upon 24 hours of Commission staff time/effort</w:t>
      </w:r>
    </w:p>
  </w:footnote>
  <w:footnote w:id="12">
    <w:p w:rsidR="00163EFA" w:rsidRPr="008B0D56" w:rsidRDefault="00163EFA">
      <w:pPr>
        <w:pStyle w:val="FootnoteText"/>
      </w:pPr>
      <w:r w:rsidRPr="008B0D56">
        <w:rPr>
          <w:rStyle w:val="FootnoteReference"/>
        </w:rPr>
        <w:footnoteRef/>
      </w:r>
      <w:r w:rsidRPr="008B0D56">
        <w:t xml:space="preserve"> </w:t>
      </w:r>
      <w:hyperlink r:id="rId1" w:history="1">
        <w:r w:rsidRPr="008B0D56">
          <w:rPr>
            <w:rStyle w:val="Hyperlink"/>
          </w:rPr>
          <w:t>https://www.rocis.gov/rocis/jsp/common/ROCIS_HOW_TO_Guide_for_AGENCY_Users_of_ICR_Module-03192012_v2.pdf</w:t>
        </w:r>
      </w:hyperlink>
      <w:r w:rsidRPr="008B0D56">
        <w:t>, p.37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EFA" w:rsidRPr="002A322E" w:rsidRDefault="00163EFA">
    <w:pPr>
      <w:pStyle w:val="Header"/>
      <w:rPr>
        <w:rFonts w:ascii="Times New Roman" w:hAnsi="Times New Roman"/>
        <w:sz w:val="24"/>
        <w:szCs w:val="24"/>
      </w:rPr>
    </w:pPr>
    <w:r>
      <w:rPr>
        <w:rFonts w:ascii="Times New Roman" w:hAnsi="Times New Roman"/>
        <w:sz w:val="24"/>
        <w:szCs w:val="24"/>
      </w:rPr>
      <w:t>FERC-732 (OMB Control No. 1902-0245)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436CD1C"/>
    <w:lvl w:ilvl="0">
      <w:start w:val="1"/>
      <w:numFmt w:val="decimal"/>
      <w:pStyle w:val="ListBullet3"/>
      <w:lvlText w:val="%1."/>
      <w:lvlJc w:val="left"/>
      <w:pPr>
        <w:tabs>
          <w:tab w:val="num" w:pos="1800"/>
        </w:tabs>
        <w:ind w:left="1800" w:hanging="360"/>
      </w:pPr>
      <w:rPr>
        <w:rFonts w:cs="Times New Roman"/>
      </w:rPr>
    </w:lvl>
  </w:abstractNum>
  <w:abstractNum w:abstractNumId="1">
    <w:nsid w:val="FFFFFF7D"/>
    <w:multiLevelType w:val="singleLevel"/>
    <w:tmpl w:val="11542E00"/>
    <w:lvl w:ilvl="0">
      <w:start w:val="1"/>
      <w:numFmt w:val="decimal"/>
      <w:pStyle w:val="ListBullet2"/>
      <w:lvlText w:val="%1."/>
      <w:lvlJc w:val="left"/>
      <w:pPr>
        <w:tabs>
          <w:tab w:val="num" w:pos="1440"/>
        </w:tabs>
        <w:ind w:left="1440" w:hanging="360"/>
      </w:pPr>
      <w:rPr>
        <w:rFonts w:cs="Times New Roman"/>
      </w:rPr>
    </w:lvl>
  </w:abstractNum>
  <w:abstractNum w:abstractNumId="2">
    <w:nsid w:val="FFFFFF7E"/>
    <w:multiLevelType w:val="singleLevel"/>
    <w:tmpl w:val="CC046D52"/>
    <w:lvl w:ilvl="0">
      <w:start w:val="1"/>
      <w:numFmt w:val="decimal"/>
      <w:pStyle w:val="ListBullet"/>
      <w:lvlText w:val="%1."/>
      <w:lvlJc w:val="left"/>
      <w:pPr>
        <w:tabs>
          <w:tab w:val="num" w:pos="1080"/>
        </w:tabs>
        <w:ind w:left="1080" w:hanging="360"/>
      </w:pPr>
      <w:rPr>
        <w:rFonts w:cs="Times New Roman"/>
      </w:rPr>
    </w:lvl>
  </w:abstractNum>
  <w:abstractNum w:abstractNumId="3">
    <w:nsid w:val="FFFFFF7F"/>
    <w:multiLevelType w:val="singleLevel"/>
    <w:tmpl w:val="2D50A70E"/>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C9DC7C5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EF4F80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2CAABA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386D20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04E2BE6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ECDC437C"/>
    <w:lvl w:ilvl="0">
      <w:start w:val="1"/>
      <w:numFmt w:val="bullet"/>
      <w:lvlText w:val=""/>
      <w:lvlJc w:val="left"/>
      <w:pPr>
        <w:tabs>
          <w:tab w:val="num" w:pos="360"/>
        </w:tabs>
        <w:ind w:left="360" w:hanging="360"/>
      </w:pPr>
      <w:rPr>
        <w:rFonts w:ascii="Symbol" w:hAnsi="Symbol" w:hint="default"/>
      </w:rPr>
    </w:lvl>
  </w:abstractNum>
  <w:abstractNum w:abstractNumId="10">
    <w:nsid w:val="0B19636A"/>
    <w:multiLevelType w:val="hybridMultilevel"/>
    <w:tmpl w:val="32FC5DAE"/>
    <w:lvl w:ilvl="0" w:tplc="04090001">
      <w:start w:val="1"/>
      <w:numFmt w:val="bullet"/>
      <w:pStyle w:val="ListNumber5"/>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EC72697"/>
    <w:multiLevelType w:val="hybridMultilevel"/>
    <w:tmpl w:val="48B48014"/>
    <w:lvl w:ilvl="0" w:tplc="8084D1A6">
      <w:start w:val="1"/>
      <w:numFmt w:val="decimal"/>
      <w:pStyle w:val="ListNumber4"/>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33156D43"/>
    <w:multiLevelType w:val="multilevel"/>
    <w:tmpl w:val="B140707E"/>
    <w:lvl w:ilvl="0">
      <w:start w:val="1"/>
      <w:numFmt w:val="decimal"/>
      <w:pStyle w:val="ListContinue"/>
      <w:lvlText w:val="%1."/>
      <w:lvlJc w:val="left"/>
      <w:pPr>
        <w:tabs>
          <w:tab w:val="num" w:pos="360"/>
        </w:tabs>
        <w:ind w:left="360" w:hanging="360"/>
      </w:pPr>
      <w:rPr>
        <w:rFonts w:cs="Times New Roman" w:hint="default"/>
        <w:b w:val="0"/>
      </w:rPr>
    </w:lvl>
    <w:lvl w:ilvl="1">
      <w:start w:val="1"/>
      <w:numFmt w:val="decimal"/>
      <w:lvlText w:val="%2."/>
      <w:lvlJc w:val="left"/>
      <w:pPr>
        <w:tabs>
          <w:tab w:val="num" w:pos="720"/>
        </w:tabs>
        <w:ind w:left="720" w:hanging="360"/>
      </w:pPr>
      <w:rPr>
        <w:rFonts w:cs="Times New Roman" w:hint="default"/>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decimal"/>
      <w:lvlText w:val="%8."/>
      <w:lvlJc w:val="left"/>
      <w:pPr>
        <w:tabs>
          <w:tab w:val="num" w:pos="2880"/>
        </w:tabs>
        <w:ind w:left="2880" w:hanging="360"/>
      </w:pPr>
      <w:rPr>
        <w:rFonts w:cs="Times New Roman" w:hint="default"/>
      </w:rPr>
    </w:lvl>
    <w:lvl w:ilvl="8">
      <w:start w:val="1"/>
      <w:numFmt w:val="decimal"/>
      <w:lvlText w:val="%9."/>
      <w:lvlJc w:val="left"/>
      <w:pPr>
        <w:tabs>
          <w:tab w:val="num" w:pos="3240"/>
        </w:tabs>
        <w:ind w:left="3240" w:hanging="360"/>
      </w:pPr>
      <w:rPr>
        <w:rFonts w:cs="Times New Roman" w:hint="default"/>
      </w:rPr>
    </w:lvl>
  </w:abstractNum>
  <w:abstractNum w:abstractNumId="13">
    <w:nsid w:val="4FCC1895"/>
    <w:multiLevelType w:val="hybridMultilevel"/>
    <w:tmpl w:val="632C2E0E"/>
    <w:lvl w:ilvl="0" w:tplc="0409000F">
      <w:start w:val="1"/>
      <w:numFmt w:val="decimal"/>
      <w:pStyle w:val="ListBullet4"/>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53D13B06"/>
    <w:multiLevelType w:val="hybridMultilevel"/>
    <w:tmpl w:val="09462A0E"/>
    <w:lvl w:ilvl="0" w:tplc="04090001">
      <w:start w:val="1"/>
      <w:numFmt w:val="bullet"/>
      <w:pStyle w:val="ListNumber3"/>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B260868"/>
    <w:multiLevelType w:val="hybridMultilevel"/>
    <w:tmpl w:val="FF063818"/>
    <w:lvl w:ilvl="0" w:tplc="04090001">
      <w:start w:val="1"/>
      <w:numFmt w:val="bullet"/>
      <w:pStyle w:val="ListNumber"/>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72835CA"/>
    <w:multiLevelType w:val="hybridMultilevel"/>
    <w:tmpl w:val="63342012"/>
    <w:lvl w:ilvl="0" w:tplc="04090001">
      <w:start w:val="1"/>
      <w:numFmt w:val="bullet"/>
      <w:pStyle w:val="ListNumber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3"/>
  </w:num>
  <w:num w:numId="22">
    <w:abstractNumId w:val="12"/>
  </w:num>
  <w:num w:numId="23">
    <w:abstractNumId w:val="15"/>
  </w:num>
  <w:num w:numId="24">
    <w:abstractNumId w:val="16"/>
  </w:num>
  <w:num w:numId="25">
    <w:abstractNumId w:val="14"/>
  </w:num>
  <w:num w:numId="26">
    <w:abstractNumId w:val="11"/>
  </w:num>
  <w:num w:numId="27">
    <w:abstractNumId w:val="1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6F1"/>
    <w:rsid w:val="00005C25"/>
    <w:rsid w:val="00035845"/>
    <w:rsid w:val="0006511E"/>
    <w:rsid w:val="0007328D"/>
    <w:rsid w:val="000A2EC8"/>
    <w:rsid w:val="000B0C37"/>
    <w:rsid w:val="000B781F"/>
    <w:rsid w:val="0010564C"/>
    <w:rsid w:val="00116779"/>
    <w:rsid w:val="00143103"/>
    <w:rsid w:val="00163EFA"/>
    <w:rsid w:val="00181727"/>
    <w:rsid w:val="00185730"/>
    <w:rsid w:val="00187FAB"/>
    <w:rsid w:val="001A6397"/>
    <w:rsid w:val="001E0063"/>
    <w:rsid w:val="001E46A0"/>
    <w:rsid w:val="001F11D3"/>
    <w:rsid w:val="001F2FD1"/>
    <w:rsid w:val="001F5574"/>
    <w:rsid w:val="00220CF1"/>
    <w:rsid w:val="00226C74"/>
    <w:rsid w:val="002354CE"/>
    <w:rsid w:val="002410B0"/>
    <w:rsid w:val="0026674D"/>
    <w:rsid w:val="00267B09"/>
    <w:rsid w:val="00284093"/>
    <w:rsid w:val="002A271A"/>
    <w:rsid w:val="002A322E"/>
    <w:rsid w:val="00331121"/>
    <w:rsid w:val="003B669D"/>
    <w:rsid w:val="003C0EF8"/>
    <w:rsid w:val="003C2060"/>
    <w:rsid w:val="003C6A9D"/>
    <w:rsid w:val="003D2990"/>
    <w:rsid w:val="003D3823"/>
    <w:rsid w:val="003F643B"/>
    <w:rsid w:val="0041113E"/>
    <w:rsid w:val="00414F32"/>
    <w:rsid w:val="004236FE"/>
    <w:rsid w:val="004A1685"/>
    <w:rsid w:val="004C4C89"/>
    <w:rsid w:val="004E0464"/>
    <w:rsid w:val="004F6977"/>
    <w:rsid w:val="00522F69"/>
    <w:rsid w:val="0053287C"/>
    <w:rsid w:val="00566E7C"/>
    <w:rsid w:val="00571C5E"/>
    <w:rsid w:val="005738D0"/>
    <w:rsid w:val="0057700F"/>
    <w:rsid w:val="005876C7"/>
    <w:rsid w:val="005A2149"/>
    <w:rsid w:val="005A2792"/>
    <w:rsid w:val="005B77CE"/>
    <w:rsid w:val="005C3CBF"/>
    <w:rsid w:val="005D04EF"/>
    <w:rsid w:val="005F1C3C"/>
    <w:rsid w:val="00601286"/>
    <w:rsid w:val="006166FA"/>
    <w:rsid w:val="006632B9"/>
    <w:rsid w:val="00664BC0"/>
    <w:rsid w:val="00672E19"/>
    <w:rsid w:val="00690136"/>
    <w:rsid w:val="00696062"/>
    <w:rsid w:val="006B2EAA"/>
    <w:rsid w:val="006D607B"/>
    <w:rsid w:val="006E1C0F"/>
    <w:rsid w:val="00705A65"/>
    <w:rsid w:val="007164EF"/>
    <w:rsid w:val="00724C52"/>
    <w:rsid w:val="00767313"/>
    <w:rsid w:val="007737B1"/>
    <w:rsid w:val="00773AEB"/>
    <w:rsid w:val="00782870"/>
    <w:rsid w:val="00787670"/>
    <w:rsid w:val="007A2F92"/>
    <w:rsid w:val="007E7C0F"/>
    <w:rsid w:val="007F3E06"/>
    <w:rsid w:val="00826017"/>
    <w:rsid w:val="008619E1"/>
    <w:rsid w:val="0086457D"/>
    <w:rsid w:val="00876F75"/>
    <w:rsid w:val="008A21A4"/>
    <w:rsid w:val="008A22DB"/>
    <w:rsid w:val="008B0D56"/>
    <w:rsid w:val="008C288D"/>
    <w:rsid w:val="008E61CE"/>
    <w:rsid w:val="008E70CD"/>
    <w:rsid w:val="008F7B0C"/>
    <w:rsid w:val="00906893"/>
    <w:rsid w:val="00913A8B"/>
    <w:rsid w:val="00931806"/>
    <w:rsid w:val="00932B29"/>
    <w:rsid w:val="0094624A"/>
    <w:rsid w:val="0096365B"/>
    <w:rsid w:val="00970FE4"/>
    <w:rsid w:val="00972D7A"/>
    <w:rsid w:val="00991531"/>
    <w:rsid w:val="009A0F6A"/>
    <w:rsid w:val="009C3198"/>
    <w:rsid w:val="009D6740"/>
    <w:rsid w:val="009E1190"/>
    <w:rsid w:val="009F1251"/>
    <w:rsid w:val="009F1894"/>
    <w:rsid w:val="00A1158C"/>
    <w:rsid w:val="00A276F5"/>
    <w:rsid w:val="00A50033"/>
    <w:rsid w:val="00A72E7B"/>
    <w:rsid w:val="00A83085"/>
    <w:rsid w:val="00A9638D"/>
    <w:rsid w:val="00A96B65"/>
    <w:rsid w:val="00AC6FA0"/>
    <w:rsid w:val="00AC7B2E"/>
    <w:rsid w:val="00AD3DE5"/>
    <w:rsid w:val="00AD7361"/>
    <w:rsid w:val="00B15847"/>
    <w:rsid w:val="00B40603"/>
    <w:rsid w:val="00BA1C7D"/>
    <w:rsid w:val="00BA3C9E"/>
    <w:rsid w:val="00BA7C56"/>
    <w:rsid w:val="00BB048A"/>
    <w:rsid w:val="00BC11B1"/>
    <w:rsid w:val="00BE1A50"/>
    <w:rsid w:val="00C01698"/>
    <w:rsid w:val="00C108BB"/>
    <w:rsid w:val="00C246F9"/>
    <w:rsid w:val="00C24FEA"/>
    <w:rsid w:val="00C42BB2"/>
    <w:rsid w:val="00C42D79"/>
    <w:rsid w:val="00C510DD"/>
    <w:rsid w:val="00C84FE6"/>
    <w:rsid w:val="00CA59C3"/>
    <w:rsid w:val="00CB2792"/>
    <w:rsid w:val="00CC5CE1"/>
    <w:rsid w:val="00CD4E43"/>
    <w:rsid w:val="00D1199A"/>
    <w:rsid w:val="00D46243"/>
    <w:rsid w:val="00D7332D"/>
    <w:rsid w:val="00D758B6"/>
    <w:rsid w:val="00D80FBD"/>
    <w:rsid w:val="00D940DB"/>
    <w:rsid w:val="00DC4E36"/>
    <w:rsid w:val="00E105BF"/>
    <w:rsid w:val="00E11CA6"/>
    <w:rsid w:val="00E14565"/>
    <w:rsid w:val="00E15F00"/>
    <w:rsid w:val="00E20612"/>
    <w:rsid w:val="00E44F77"/>
    <w:rsid w:val="00E636D7"/>
    <w:rsid w:val="00E637E0"/>
    <w:rsid w:val="00E65CE0"/>
    <w:rsid w:val="00E66729"/>
    <w:rsid w:val="00E87A4F"/>
    <w:rsid w:val="00E94FFC"/>
    <w:rsid w:val="00EA31AE"/>
    <w:rsid w:val="00EB06F5"/>
    <w:rsid w:val="00EB3E6F"/>
    <w:rsid w:val="00EB7488"/>
    <w:rsid w:val="00EC774B"/>
    <w:rsid w:val="00ED5560"/>
    <w:rsid w:val="00EE359C"/>
    <w:rsid w:val="00EF35DC"/>
    <w:rsid w:val="00EF5F66"/>
    <w:rsid w:val="00F10526"/>
    <w:rsid w:val="00F12DC2"/>
    <w:rsid w:val="00F152DF"/>
    <w:rsid w:val="00F2118F"/>
    <w:rsid w:val="00F25173"/>
    <w:rsid w:val="00F62F79"/>
    <w:rsid w:val="00F966DC"/>
    <w:rsid w:val="00FB1323"/>
    <w:rsid w:val="00FD63F3"/>
    <w:rsid w:val="00FD6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EC774B"/>
    <w:pPr>
      <w:spacing w:after="200" w:line="276" w:lineRule="auto"/>
    </w:pPr>
  </w:style>
  <w:style w:type="paragraph" w:styleId="Heading1">
    <w:name w:val="heading 1"/>
    <w:basedOn w:val="Normal"/>
    <w:next w:val="Normal"/>
    <w:link w:val="Heading1Char"/>
    <w:uiPriority w:val="99"/>
    <w:qFormat/>
    <w:rsid w:val="00D758B6"/>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rsid w:val="00D758B6"/>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9"/>
    <w:qFormat/>
    <w:rsid w:val="00D758B6"/>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9"/>
    <w:qFormat/>
    <w:rsid w:val="00D758B6"/>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9"/>
    <w:qFormat/>
    <w:rsid w:val="00D758B6"/>
    <w:pPr>
      <w:keepNext/>
      <w:keepLines/>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9"/>
    <w:qFormat/>
    <w:rsid w:val="00D758B6"/>
    <w:pPr>
      <w:keepNext/>
      <w:keepLines/>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9"/>
    <w:qFormat/>
    <w:rsid w:val="00D758B6"/>
    <w:pPr>
      <w:keepNext/>
      <w:keepLines/>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9"/>
    <w:qFormat/>
    <w:rsid w:val="00D758B6"/>
    <w:pPr>
      <w:keepNext/>
      <w:keepLines/>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9"/>
    <w:qFormat/>
    <w:rsid w:val="00D758B6"/>
    <w:pPr>
      <w:keepNext/>
      <w:keepLines/>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758B6"/>
    <w:rPr>
      <w:rFonts w:ascii="Cambria" w:hAnsi="Cambria" w:cs="Times New Roman"/>
      <w:b/>
      <w:bCs/>
      <w:color w:val="365F91"/>
      <w:sz w:val="28"/>
      <w:szCs w:val="28"/>
    </w:rPr>
  </w:style>
  <w:style w:type="character" w:customStyle="1" w:styleId="Heading2Char">
    <w:name w:val="Heading 2 Char"/>
    <w:basedOn w:val="DefaultParagraphFont"/>
    <w:link w:val="Heading2"/>
    <w:uiPriority w:val="99"/>
    <w:semiHidden/>
    <w:locked/>
    <w:rsid w:val="00D758B6"/>
    <w:rPr>
      <w:rFonts w:ascii="Cambria" w:hAnsi="Cambria" w:cs="Times New Roman"/>
      <w:b/>
      <w:bCs/>
      <w:color w:val="4F81BD"/>
      <w:sz w:val="26"/>
      <w:szCs w:val="26"/>
    </w:rPr>
  </w:style>
  <w:style w:type="character" w:customStyle="1" w:styleId="Heading3Char">
    <w:name w:val="Heading 3 Char"/>
    <w:basedOn w:val="DefaultParagraphFont"/>
    <w:link w:val="Heading3"/>
    <w:uiPriority w:val="99"/>
    <w:semiHidden/>
    <w:locked/>
    <w:rsid w:val="00D758B6"/>
    <w:rPr>
      <w:rFonts w:ascii="Cambria" w:hAnsi="Cambria" w:cs="Times New Roman"/>
      <w:b/>
      <w:bCs/>
      <w:color w:val="4F81BD"/>
    </w:rPr>
  </w:style>
  <w:style w:type="character" w:customStyle="1" w:styleId="Heading4Char">
    <w:name w:val="Heading 4 Char"/>
    <w:basedOn w:val="DefaultParagraphFont"/>
    <w:link w:val="Heading4"/>
    <w:uiPriority w:val="99"/>
    <w:semiHidden/>
    <w:locked/>
    <w:rsid w:val="00D758B6"/>
    <w:rPr>
      <w:rFonts w:ascii="Cambria" w:hAnsi="Cambria" w:cs="Times New Roman"/>
      <w:b/>
      <w:bCs/>
      <w:i/>
      <w:iCs/>
      <w:color w:val="4F81BD"/>
    </w:rPr>
  </w:style>
  <w:style w:type="character" w:customStyle="1" w:styleId="Heading5Char">
    <w:name w:val="Heading 5 Char"/>
    <w:basedOn w:val="DefaultParagraphFont"/>
    <w:link w:val="Heading5"/>
    <w:uiPriority w:val="99"/>
    <w:semiHidden/>
    <w:locked/>
    <w:rsid w:val="00D758B6"/>
    <w:rPr>
      <w:rFonts w:ascii="Cambria" w:hAnsi="Cambria" w:cs="Times New Roman"/>
      <w:color w:val="243F60"/>
    </w:rPr>
  </w:style>
  <w:style w:type="character" w:customStyle="1" w:styleId="Heading6Char">
    <w:name w:val="Heading 6 Char"/>
    <w:basedOn w:val="DefaultParagraphFont"/>
    <w:link w:val="Heading6"/>
    <w:uiPriority w:val="99"/>
    <w:semiHidden/>
    <w:locked/>
    <w:rsid w:val="00D758B6"/>
    <w:rPr>
      <w:rFonts w:ascii="Cambria" w:hAnsi="Cambria" w:cs="Times New Roman"/>
      <w:i/>
      <w:iCs/>
      <w:color w:val="243F60"/>
    </w:rPr>
  </w:style>
  <w:style w:type="character" w:customStyle="1" w:styleId="Heading7Char">
    <w:name w:val="Heading 7 Char"/>
    <w:basedOn w:val="DefaultParagraphFont"/>
    <w:link w:val="Heading7"/>
    <w:uiPriority w:val="99"/>
    <w:semiHidden/>
    <w:locked/>
    <w:rsid w:val="00D758B6"/>
    <w:rPr>
      <w:rFonts w:ascii="Cambria" w:hAnsi="Cambria" w:cs="Times New Roman"/>
      <w:i/>
      <w:iCs/>
      <w:color w:val="404040"/>
    </w:rPr>
  </w:style>
  <w:style w:type="character" w:customStyle="1" w:styleId="Heading8Char">
    <w:name w:val="Heading 8 Char"/>
    <w:basedOn w:val="DefaultParagraphFont"/>
    <w:link w:val="Heading8"/>
    <w:uiPriority w:val="99"/>
    <w:semiHidden/>
    <w:locked/>
    <w:rsid w:val="00D758B6"/>
    <w:rPr>
      <w:rFonts w:ascii="Cambria" w:hAnsi="Cambria" w:cs="Times New Roman"/>
      <w:color w:val="404040"/>
      <w:sz w:val="20"/>
      <w:szCs w:val="20"/>
    </w:rPr>
  </w:style>
  <w:style w:type="character" w:customStyle="1" w:styleId="Heading9Char">
    <w:name w:val="Heading 9 Char"/>
    <w:basedOn w:val="DefaultParagraphFont"/>
    <w:link w:val="Heading9"/>
    <w:uiPriority w:val="99"/>
    <w:semiHidden/>
    <w:locked/>
    <w:rsid w:val="00D758B6"/>
    <w:rPr>
      <w:rFonts w:ascii="Cambria" w:hAnsi="Cambria" w:cs="Times New Roman"/>
      <w:i/>
      <w:iCs/>
      <w:color w:val="404040"/>
      <w:sz w:val="20"/>
      <w:szCs w:val="20"/>
    </w:rPr>
  </w:style>
  <w:style w:type="paragraph" w:styleId="Header">
    <w:name w:val="header"/>
    <w:basedOn w:val="Normal"/>
    <w:link w:val="HeaderChar"/>
    <w:uiPriority w:val="99"/>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FD66F1"/>
    <w:rPr>
      <w:rFonts w:cs="Times New Roman"/>
    </w:rPr>
  </w:style>
  <w:style w:type="paragraph" w:styleId="Footer">
    <w:name w:val="footer"/>
    <w:basedOn w:val="Normal"/>
    <w:link w:val="FooterChar"/>
    <w:uiPriority w:val="99"/>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FD66F1"/>
    <w:rPr>
      <w:rFonts w:cs="Times New Roman"/>
    </w:rPr>
  </w:style>
  <w:style w:type="paragraph" w:styleId="BalloonText">
    <w:name w:val="Balloon Text"/>
    <w:basedOn w:val="Normal"/>
    <w:link w:val="BalloonTextChar"/>
    <w:uiPriority w:val="99"/>
    <w:semiHidden/>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D66F1"/>
    <w:rPr>
      <w:rFonts w:ascii="Tahoma" w:hAnsi="Tahoma" w:cs="Tahoma"/>
      <w:sz w:val="16"/>
      <w:szCs w:val="16"/>
    </w:rPr>
  </w:style>
  <w:style w:type="paragraph" w:styleId="ListParagraph">
    <w:name w:val="List Paragraph"/>
    <w:basedOn w:val="Normal"/>
    <w:uiPriority w:val="99"/>
    <w:qFormat/>
    <w:rsid w:val="00A72E7B"/>
    <w:pPr>
      <w:ind w:left="720"/>
      <w:contextualSpacing/>
    </w:pPr>
  </w:style>
  <w:style w:type="paragraph" w:styleId="ListContinue">
    <w:name w:val="List Continue"/>
    <w:basedOn w:val="Normal"/>
    <w:uiPriority w:val="99"/>
    <w:rsid w:val="00D80FBD"/>
    <w:pPr>
      <w:numPr>
        <w:numId w:val="22"/>
      </w:numPr>
      <w:spacing w:after="120" w:line="480" w:lineRule="auto"/>
    </w:pPr>
    <w:rPr>
      <w:rFonts w:ascii="Times New Roman" w:eastAsia="Times New Roman" w:hAnsi="Times New Roman"/>
      <w:sz w:val="26"/>
      <w:szCs w:val="24"/>
    </w:rPr>
  </w:style>
  <w:style w:type="paragraph" w:customStyle="1" w:styleId="LegalFormat">
    <w:name w:val="Legal Format"/>
    <w:basedOn w:val="ListContinue"/>
    <w:uiPriority w:val="99"/>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
    <w:basedOn w:val="DefaultParagraphFont"/>
    <w:uiPriority w:val="99"/>
    <w:rsid w:val="00E636D7"/>
    <w:rPr>
      <w:rFonts w:cs="Times New Roman"/>
    </w:rPr>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
    <w:basedOn w:val="Normal"/>
    <w:link w:val="FootnoteTextChar1"/>
    <w:uiPriority w:val="99"/>
    <w:semiHidden/>
    <w:rsid w:val="00E636D7"/>
    <w:pPr>
      <w:widowControl w:val="0"/>
      <w:autoSpaceDE w:val="0"/>
      <w:autoSpaceDN w:val="0"/>
      <w:adjustRightInd w:val="0"/>
      <w:spacing w:after="0" w:line="240" w:lineRule="auto"/>
    </w:pPr>
    <w:rPr>
      <w:rFonts w:ascii="Times New Roman" w:eastAsia="Times New Roman" w:hAnsi="Times New Roman"/>
      <w:sz w:val="20"/>
      <w:szCs w:val="20"/>
    </w:rPr>
  </w:style>
  <w:style w:type="character" w:customStyle="1" w:styleId="FootnoteTextChar">
    <w:name w:val="Footnote Text Char"/>
    <w:aliases w:val="Footnote Text Char2 Char Char,Footnote Text Char Char1 Char Char,Footnote Text Char1 Char Char Char Char,Footnote Text Char Char Char Char Char Char,Footnote Text Char1 Char Char Char Char Char Char Char Char,ft Char,fn Char"/>
    <w:basedOn w:val="DefaultParagraphFont"/>
    <w:uiPriority w:val="99"/>
    <w:semiHidden/>
    <w:rsid w:val="00E636D7"/>
    <w:rPr>
      <w:rFonts w:cs="Times New Roman"/>
      <w:sz w:val="20"/>
      <w:szCs w:val="20"/>
    </w:rPr>
  </w:style>
  <w:style w:type="character" w:customStyle="1" w:styleId="FootnoteTextChar1">
    <w:name w:val="Footnote Text Char1"/>
    <w:aliases w:val="Footnote Text Char2 Char Char1,Footnote Text Char Char1 Char Char1,Footnote Text Char1 Char Char Char Char1,Footnote Text Char Char Char Char Char Char1,Footnote Text Char1 Char Char Char Char Char Char Char Char1,ft Char1,fn Char1"/>
    <w:link w:val="FootnoteText"/>
    <w:uiPriority w:val="99"/>
    <w:locked/>
    <w:rsid w:val="00E636D7"/>
    <w:rPr>
      <w:rFonts w:ascii="Times New Roman" w:hAnsi="Times New Roman"/>
      <w:sz w:val="20"/>
    </w:rPr>
  </w:style>
  <w:style w:type="character" w:styleId="CommentReference">
    <w:name w:val="annotation reference"/>
    <w:basedOn w:val="DefaultParagraphFont"/>
    <w:uiPriority w:val="99"/>
    <w:semiHidden/>
    <w:rsid w:val="0057700F"/>
    <w:rPr>
      <w:rFonts w:cs="Times New Roman"/>
      <w:sz w:val="16"/>
      <w:szCs w:val="16"/>
    </w:rPr>
  </w:style>
  <w:style w:type="paragraph" w:styleId="CommentText">
    <w:name w:val="annotation text"/>
    <w:basedOn w:val="Normal"/>
    <w:link w:val="CommentTextChar"/>
    <w:uiPriority w:val="99"/>
    <w:semiHidden/>
    <w:rsid w:val="0057700F"/>
    <w:pPr>
      <w:spacing w:line="240" w:lineRule="auto"/>
    </w:pPr>
    <w:rPr>
      <w:sz w:val="20"/>
      <w:szCs w:val="20"/>
    </w:rPr>
  </w:style>
  <w:style w:type="character" w:customStyle="1" w:styleId="CommentTextChar">
    <w:name w:val="Comment Text Char"/>
    <w:basedOn w:val="DefaultParagraphFont"/>
    <w:link w:val="CommentText"/>
    <w:uiPriority w:val="99"/>
    <w:semiHidden/>
    <w:locked/>
    <w:rsid w:val="0057700F"/>
    <w:rPr>
      <w:rFonts w:cs="Times New Roman"/>
      <w:sz w:val="20"/>
      <w:szCs w:val="20"/>
    </w:rPr>
  </w:style>
  <w:style w:type="paragraph" w:styleId="CommentSubject">
    <w:name w:val="annotation subject"/>
    <w:basedOn w:val="CommentText"/>
    <w:next w:val="CommentText"/>
    <w:link w:val="CommentSubjectChar"/>
    <w:uiPriority w:val="99"/>
    <w:semiHidden/>
    <w:rsid w:val="0057700F"/>
    <w:rPr>
      <w:b/>
      <w:bCs/>
    </w:rPr>
  </w:style>
  <w:style w:type="character" w:customStyle="1" w:styleId="CommentSubjectChar">
    <w:name w:val="Comment Subject Char"/>
    <w:basedOn w:val="CommentTextChar"/>
    <w:link w:val="CommentSubject"/>
    <w:uiPriority w:val="99"/>
    <w:semiHidden/>
    <w:locked/>
    <w:rsid w:val="0057700F"/>
    <w:rPr>
      <w:rFonts w:cs="Times New Roman"/>
      <w:b/>
      <w:bCs/>
      <w:sz w:val="20"/>
      <w:szCs w:val="20"/>
    </w:rPr>
  </w:style>
  <w:style w:type="character" w:styleId="Hyperlink">
    <w:name w:val="Hyperlink"/>
    <w:basedOn w:val="DefaultParagraphFont"/>
    <w:uiPriority w:val="99"/>
    <w:rsid w:val="00116779"/>
    <w:rPr>
      <w:rFonts w:cs="Times New Roman"/>
      <w:color w:val="0000FF"/>
      <w:u w:val="single"/>
    </w:rPr>
  </w:style>
  <w:style w:type="character" w:styleId="FollowedHyperlink">
    <w:name w:val="FollowedHyperlink"/>
    <w:basedOn w:val="DefaultParagraphFont"/>
    <w:uiPriority w:val="99"/>
    <w:semiHidden/>
    <w:rsid w:val="004236FE"/>
    <w:rPr>
      <w:rFonts w:cs="Times New Roman"/>
      <w:color w:val="800080"/>
      <w:u w:val="single"/>
    </w:rPr>
  </w:style>
  <w:style w:type="paragraph" w:styleId="Bibliography">
    <w:name w:val="Bibliography"/>
    <w:basedOn w:val="Normal"/>
    <w:next w:val="Normal"/>
    <w:uiPriority w:val="99"/>
    <w:semiHidden/>
    <w:rsid w:val="00D758B6"/>
  </w:style>
  <w:style w:type="paragraph" w:styleId="BlockText">
    <w:name w:val="Block Text"/>
    <w:basedOn w:val="Normal"/>
    <w:uiPriority w:val="99"/>
    <w:semiHidden/>
    <w:rsid w:val="00D758B6"/>
    <w:pPr>
      <w:pBdr>
        <w:top w:val="single" w:sz="2" w:space="10" w:color="4F81BD" w:shadow="1"/>
        <w:left w:val="single" w:sz="2" w:space="10" w:color="4F81BD" w:shadow="1"/>
        <w:bottom w:val="single" w:sz="2" w:space="10" w:color="4F81BD" w:shadow="1"/>
        <w:right w:val="single" w:sz="2" w:space="10" w:color="4F81BD" w:shadow="1"/>
      </w:pBdr>
      <w:ind w:left="1152" w:right="1152"/>
    </w:pPr>
    <w:rPr>
      <w:rFonts w:eastAsia="Times New Roman"/>
      <w:i/>
      <w:iCs/>
      <w:color w:val="4F81BD"/>
    </w:rPr>
  </w:style>
  <w:style w:type="paragraph" w:styleId="BodyText">
    <w:name w:val="Body Text"/>
    <w:basedOn w:val="Normal"/>
    <w:link w:val="BodyTextChar"/>
    <w:uiPriority w:val="99"/>
    <w:semiHidden/>
    <w:rsid w:val="00D758B6"/>
    <w:pPr>
      <w:spacing w:after="120"/>
    </w:pPr>
  </w:style>
  <w:style w:type="character" w:customStyle="1" w:styleId="BodyTextChar">
    <w:name w:val="Body Text Char"/>
    <w:basedOn w:val="DefaultParagraphFont"/>
    <w:link w:val="BodyText"/>
    <w:uiPriority w:val="99"/>
    <w:semiHidden/>
    <w:locked/>
    <w:rsid w:val="00D758B6"/>
    <w:rPr>
      <w:rFonts w:cs="Times New Roman"/>
    </w:rPr>
  </w:style>
  <w:style w:type="paragraph" w:styleId="BodyText2">
    <w:name w:val="Body Text 2"/>
    <w:basedOn w:val="Normal"/>
    <w:link w:val="BodyText2Char"/>
    <w:uiPriority w:val="99"/>
    <w:semiHidden/>
    <w:rsid w:val="00D758B6"/>
    <w:pPr>
      <w:spacing w:after="120" w:line="480" w:lineRule="auto"/>
    </w:pPr>
  </w:style>
  <w:style w:type="character" w:customStyle="1" w:styleId="BodyText2Char">
    <w:name w:val="Body Text 2 Char"/>
    <w:basedOn w:val="DefaultParagraphFont"/>
    <w:link w:val="BodyText2"/>
    <w:uiPriority w:val="99"/>
    <w:semiHidden/>
    <w:locked/>
    <w:rsid w:val="00D758B6"/>
    <w:rPr>
      <w:rFonts w:cs="Times New Roman"/>
    </w:rPr>
  </w:style>
  <w:style w:type="paragraph" w:styleId="BodyText3">
    <w:name w:val="Body Text 3"/>
    <w:basedOn w:val="Normal"/>
    <w:link w:val="BodyText3Char"/>
    <w:uiPriority w:val="99"/>
    <w:semiHidden/>
    <w:rsid w:val="00D758B6"/>
    <w:pPr>
      <w:spacing w:after="120"/>
    </w:pPr>
    <w:rPr>
      <w:sz w:val="16"/>
      <w:szCs w:val="16"/>
    </w:rPr>
  </w:style>
  <w:style w:type="character" w:customStyle="1" w:styleId="BodyText3Char">
    <w:name w:val="Body Text 3 Char"/>
    <w:basedOn w:val="DefaultParagraphFont"/>
    <w:link w:val="BodyText3"/>
    <w:uiPriority w:val="99"/>
    <w:semiHidden/>
    <w:locked/>
    <w:rsid w:val="00D758B6"/>
    <w:rPr>
      <w:rFonts w:cs="Times New Roman"/>
      <w:sz w:val="16"/>
      <w:szCs w:val="16"/>
    </w:rPr>
  </w:style>
  <w:style w:type="paragraph" w:styleId="BodyTextFirstIndent">
    <w:name w:val="Body Text First Indent"/>
    <w:basedOn w:val="BodyText"/>
    <w:link w:val="BodyTextFirstIndentChar"/>
    <w:uiPriority w:val="99"/>
    <w:semiHidden/>
    <w:rsid w:val="00D758B6"/>
    <w:pPr>
      <w:spacing w:after="200"/>
      <w:ind w:firstLine="360"/>
    </w:pPr>
  </w:style>
  <w:style w:type="character" w:customStyle="1" w:styleId="BodyTextFirstIndentChar">
    <w:name w:val="Body Text First Indent Char"/>
    <w:basedOn w:val="BodyTextChar"/>
    <w:link w:val="BodyTextFirstIndent"/>
    <w:uiPriority w:val="99"/>
    <w:semiHidden/>
    <w:locked/>
    <w:rsid w:val="00D758B6"/>
    <w:rPr>
      <w:rFonts w:cs="Times New Roman"/>
    </w:rPr>
  </w:style>
  <w:style w:type="paragraph" w:styleId="BodyTextIndent">
    <w:name w:val="Body Text Indent"/>
    <w:basedOn w:val="Normal"/>
    <w:link w:val="BodyTextIndentChar"/>
    <w:uiPriority w:val="99"/>
    <w:semiHidden/>
    <w:rsid w:val="00D758B6"/>
    <w:pPr>
      <w:spacing w:after="120"/>
      <w:ind w:left="360"/>
    </w:pPr>
  </w:style>
  <w:style w:type="character" w:customStyle="1" w:styleId="BodyTextIndentChar">
    <w:name w:val="Body Text Indent Char"/>
    <w:basedOn w:val="DefaultParagraphFont"/>
    <w:link w:val="BodyTextIndent"/>
    <w:uiPriority w:val="99"/>
    <w:semiHidden/>
    <w:locked/>
    <w:rsid w:val="00D758B6"/>
    <w:rPr>
      <w:rFonts w:cs="Times New Roman"/>
    </w:rPr>
  </w:style>
  <w:style w:type="paragraph" w:styleId="BodyTextFirstIndent2">
    <w:name w:val="Body Text First Indent 2"/>
    <w:basedOn w:val="BodyTextIndent"/>
    <w:link w:val="BodyTextFirstIndent2Char"/>
    <w:uiPriority w:val="99"/>
    <w:semiHidden/>
    <w:rsid w:val="00D758B6"/>
    <w:pPr>
      <w:spacing w:after="200"/>
      <w:ind w:firstLine="360"/>
    </w:pPr>
  </w:style>
  <w:style w:type="character" w:customStyle="1" w:styleId="BodyTextFirstIndent2Char">
    <w:name w:val="Body Text First Indent 2 Char"/>
    <w:basedOn w:val="BodyTextIndentChar"/>
    <w:link w:val="BodyTextFirstIndent2"/>
    <w:uiPriority w:val="99"/>
    <w:semiHidden/>
    <w:locked/>
    <w:rsid w:val="00D758B6"/>
    <w:rPr>
      <w:rFonts w:cs="Times New Roman"/>
    </w:rPr>
  </w:style>
  <w:style w:type="paragraph" w:styleId="BodyTextIndent2">
    <w:name w:val="Body Text Indent 2"/>
    <w:basedOn w:val="Normal"/>
    <w:link w:val="BodyTextIndent2Char"/>
    <w:uiPriority w:val="99"/>
    <w:semiHidden/>
    <w:rsid w:val="00D758B6"/>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D758B6"/>
    <w:rPr>
      <w:rFonts w:cs="Times New Roman"/>
    </w:rPr>
  </w:style>
  <w:style w:type="paragraph" w:styleId="BodyTextIndent3">
    <w:name w:val="Body Text Indent 3"/>
    <w:basedOn w:val="Normal"/>
    <w:link w:val="BodyTextIndent3Char"/>
    <w:uiPriority w:val="99"/>
    <w:semiHidden/>
    <w:rsid w:val="00D758B6"/>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sid w:val="00D758B6"/>
    <w:rPr>
      <w:rFonts w:cs="Times New Roman"/>
      <w:sz w:val="16"/>
      <w:szCs w:val="16"/>
    </w:rPr>
  </w:style>
  <w:style w:type="paragraph" w:styleId="Caption">
    <w:name w:val="caption"/>
    <w:basedOn w:val="Normal"/>
    <w:next w:val="Normal"/>
    <w:uiPriority w:val="99"/>
    <w:qFormat/>
    <w:rsid w:val="00D758B6"/>
    <w:pPr>
      <w:spacing w:line="240" w:lineRule="auto"/>
    </w:pPr>
    <w:rPr>
      <w:b/>
      <w:bCs/>
      <w:color w:val="4F81BD"/>
      <w:sz w:val="18"/>
      <w:szCs w:val="18"/>
    </w:rPr>
  </w:style>
  <w:style w:type="paragraph" w:styleId="Closing">
    <w:name w:val="Closing"/>
    <w:basedOn w:val="Normal"/>
    <w:link w:val="ClosingChar"/>
    <w:uiPriority w:val="99"/>
    <w:semiHidden/>
    <w:rsid w:val="00D758B6"/>
    <w:pPr>
      <w:spacing w:after="0" w:line="240" w:lineRule="auto"/>
      <w:ind w:left="4320"/>
    </w:pPr>
  </w:style>
  <w:style w:type="character" w:customStyle="1" w:styleId="ClosingChar">
    <w:name w:val="Closing Char"/>
    <w:basedOn w:val="DefaultParagraphFont"/>
    <w:link w:val="Closing"/>
    <w:uiPriority w:val="99"/>
    <w:semiHidden/>
    <w:locked/>
    <w:rsid w:val="00D758B6"/>
    <w:rPr>
      <w:rFonts w:cs="Times New Roman"/>
    </w:rPr>
  </w:style>
  <w:style w:type="paragraph" w:styleId="Date">
    <w:name w:val="Date"/>
    <w:basedOn w:val="Normal"/>
    <w:next w:val="Normal"/>
    <w:link w:val="DateChar"/>
    <w:uiPriority w:val="99"/>
    <w:semiHidden/>
    <w:rsid w:val="00D758B6"/>
  </w:style>
  <w:style w:type="character" w:customStyle="1" w:styleId="DateChar">
    <w:name w:val="Date Char"/>
    <w:basedOn w:val="DefaultParagraphFont"/>
    <w:link w:val="Date"/>
    <w:uiPriority w:val="99"/>
    <w:semiHidden/>
    <w:locked/>
    <w:rsid w:val="00D758B6"/>
    <w:rPr>
      <w:rFonts w:cs="Times New Roman"/>
    </w:rPr>
  </w:style>
  <w:style w:type="paragraph" w:styleId="DocumentMap">
    <w:name w:val="Document Map"/>
    <w:basedOn w:val="Normal"/>
    <w:link w:val="DocumentMapChar"/>
    <w:uiPriority w:val="99"/>
    <w:semiHidden/>
    <w:rsid w:val="00D758B6"/>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D758B6"/>
    <w:rPr>
      <w:rFonts w:ascii="Tahoma" w:hAnsi="Tahoma" w:cs="Tahoma"/>
      <w:sz w:val="16"/>
      <w:szCs w:val="16"/>
    </w:rPr>
  </w:style>
  <w:style w:type="paragraph" w:styleId="E-mailSignature">
    <w:name w:val="E-mail Signature"/>
    <w:basedOn w:val="Normal"/>
    <w:link w:val="E-mailSignatureChar"/>
    <w:uiPriority w:val="99"/>
    <w:semiHidden/>
    <w:rsid w:val="00D758B6"/>
    <w:pPr>
      <w:spacing w:after="0" w:line="240" w:lineRule="auto"/>
    </w:pPr>
  </w:style>
  <w:style w:type="character" w:customStyle="1" w:styleId="E-mailSignatureChar">
    <w:name w:val="E-mail Signature Char"/>
    <w:basedOn w:val="DefaultParagraphFont"/>
    <w:link w:val="E-mailSignature"/>
    <w:uiPriority w:val="99"/>
    <w:semiHidden/>
    <w:locked/>
    <w:rsid w:val="00D758B6"/>
    <w:rPr>
      <w:rFonts w:cs="Times New Roman"/>
    </w:rPr>
  </w:style>
  <w:style w:type="paragraph" w:styleId="EndnoteText">
    <w:name w:val="endnote text"/>
    <w:basedOn w:val="Normal"/>
    <w:link w:val="EndnoteTextChar"/>
    <w:uiPriority w:val="99"/>
    <w:semiHidden/>
    <w:rsid w:val="00D758B6"/>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D758B6"/>
    <w:rPr>
      <w:rFonts w:cs="Times New Roman"/>
      <w:sz w:val="20"/>
      <w:szCs w:val="20"/>
    </w:rPr>
  </w:style>
  <w:style w:type="paragraph" w:styleId="EnvelopeAddress">
    <w:name w:val="envelope address"/>
    <w:basedOn w:val="Normal"/>
    <w:uiPriority w:val="99"/>
    <w:semiHidden/>
    <w:rsid w:val="00D758B6"/>
    <w:pPr>
      <w:framePr w:w="7920" w:h="1980" w:hRule="exact" w:hSpace="180" w:wrap="auto" w:hAnchor="page" w:xAlign="center" w:yAlign="bottom"/>
      <w:spacing w:after="0" w:line="240" w:lineRule="auto"/>
      <w:ind w:left="2880"/>
    </w:pPr>
    <w:rPr>
      <w:rFonts w:ascii="Cambria" w:eastAsia="Times New Roman" w:hAnsi="Cambria"/>
      <w:sz w:val="24"/>
      <w:szCs w:val="24"/>
    </w:rPr>
  </w:style>
  <w:style w:type="paragraph" w:styleId="EnvelopeReturn">
    <w:name w:val="envelope return"/>
    <w:basedOn w:val="Normal"/>
    <w:uiPriority w:val="99"/>
    <w:semiHidden/>
    <w:rsid w:val="00D758B6"/>
    <w:pPr>
      <w:spacing w:after="0" w:line="240" w:lineRule="auto"/>
    </w:pPr>
    <w:rPr>
      <w:rFonts w:ascii="Cambria" w:eastAsia="Times New Roman" w:hAnsi="Cambria"/>
      <w:sz w:val="20"/>
      <w:szCs w:val="20"/>
    </w:rPr>
  </w:style>
  <w:style w:type="paragraph" w:styleId="HTMLAddress">
    <w:name w:val="HTML Address"/>
    <w:basedOn w:val="Normal"/>
    <w:link w:val="HTMLAddressChar"/>
    <w:uiPriority w:val="99"/>
    <w:semiHidden/>
    <w:rsid w:val="00D758B6"/>
    <w:pPr>
      <w:spacing w:after="0" w:line="240" w:lineRule="auto"/>
    </w:pPr>
    <w:rPr>
      <w:i/>
      <w:iCs/>
    </w:rPr>
  </w:style>
  <w:style w:type="character" w:customStyle="1" w:styleId="HTMLAddressChar">
    <w:name w:val="HTML Address Char"/>
    <w:basedOn w:val="DefaultParagraphFont"/>
    <w:link w:val="HTMLAddress"/>
    <w:uiPriority w:val="99"/>
    <w:semiHidden/>
    <w:locked/>
    <w:rsid w:val="00D758B6"/>
    <w:rPr>
      <w:rFonts w:cs="Times New Roman"/>
      <w:i/>
      <w:iCs/>
    </w:rPr>
  </w:style>
  <w:style w:type="paragraph" w:styleId="HTMLPreformatted">
    <w:name w:val="HTML Preformatted"/>
    <w:basedOn w:val="Normal"/>
    <w:link w:val="HTMLPreformattedChar"/>
    <w:uiPriority w:val="99"/>
    <w:semiHidden/>
    <w:rsid w:val="00D758B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locked/>
    <w:rsid w:val="00D758B6"/>
    <w:rPr>
      <w:rFonts w:ascii="Consolas" w:hAnsi="Consolas" w:cs="Times New Roman"/>
      <w:sz w:val="20"/>
      <w:szCs w:val="20"/>
    </w:rPr>
  </w:style>
  <w:style w:type="paragraph" w:styleId="Index1">
    <w:name w:val="index 1"/>
    <w:basedOn w:val="Normal"/>
    <w:next w:val="Normal"/>
    <w:uiPriority w:val="99"/>
    <w:semiHidden/>
    <w:rsid w:val="00D758B6"/>
    <w:pPr>
      <w:spacing w:after="0" w:line="240" w:lineRule="auto"/>
      <w:ind w:left="220" w:hanging="220"/>
    </w:pPr>
  </w:style>
  <w:style w:type="paragraph" w:styleId="Index2">
    <w:name w:val="index 2"/>
    <w:basedOn w:val="Normal"/>
    <w:next w:val="Normal"/>
    <w:uiPriority w:val="99"/>
    <w:semiHidden/>
    <w:rsid w:val="00D758B6"/>
    <w:pPr>
      <w:spacing w:after="0" w:line="240" w:lineRule="auto"/>
      <w:ind w:left="440" w:hanging="220"/>
    </w:pPr>
  </w:style>
  <w:style w:type="paragraph" w:styleId="Index3">
    <w:name w:val="index 3"/>
    <w:basedOn w:val="Normal"/>
    <w:next w:val="Normal"/>
    <w:uiPriority w:val="99"/>
    <w:semiHidden/>
    <w:rsid w:val="00D758B6"/>
    <w:pPr>
      <w:spacing w:after="0" w:line="240" w:lineRule="auto"/>
      <w:ind w:left="660" w:hanging="220"/>
    </w:pPr>
  </w:style>
  <w:style w:type="paragraph" w:styleId="Index4">
    <w:name w:val="index 4"/>
    <w:basedOn w:val="Normal"/>
    <w:next w:val="Normal"/>
    <w:uiPriority w:val="99"/>
    <w:semiHidden/>
    <w:rsid w:val="00D758B6"/>
    <w:pPr>
      <w:spacing w:after="0" w:line="240" w:lineRule="auto"/>
      <w:ind w:left="880" w:hanging="220"/>
    </w:pPr>
  </w:style>
  <w:style w:type="paragraph" w:styleId="Index5">
    <w:name w:val="index 5"/>
    <w:basedOn w:val="Normal"/>
    <w:next w:val="Normal"/>
    <w:uiPriority w:val="99"/>
    <w:semiHidden/>
    <w:rsid w:val="00D758B6"/>
    <w:pPr>
      <w:spacing w:after="0" w:line="240" w:lineRule="auto"/>
      <w:ind w:left="1100" w:hanging="220"/>
    </w:pPr>
  </w:style>
  <w:style w:type="paragraph" w:styleId="Index6">
    <w:name w:val="index 6"/>
    <w:basedOn w:val="Normal"/>
    <w:next w:val="Normal"/>
    <w:uiPriority w:val="99"/>
    <w:semiHidden/>
    <w:rsid w:val="00D758B6"/>
    <w:pPr>
      <w:spacing w:after="0" w:line="240" w:lineRule="auto"/>
      <w:ind w:left="1320" w:hanging="220"/>
    </w:pPr>
  </w:style>
  <w:style w:type="paragraph" w:styleId="Index7">
    <w:name w:val="index 7"/>
    <w:basedOn w:val="Normal"/>
    <w:next w:val="Normal"/>
    <w:uiPriority w:val="99"/>
    <w:semiHidden/>
    <w:rsid w:val="00D758B6"/>
    <w:pPr>
      <w:spacing w:after="0" w:line="240" w:lineRule="auto"/>
      <w:ind w:left="1540" w:hanging="220"/>
    </w:pPr>
  </w:style>
  <w:style w:type="paragraph" w:styleId="Index8">
    <w:name w:val="index 8"/>
    <w:basedOn w:val="Normal"/>
    <w:next w:val="Normal"/>
    <w:uiPriority w:val="99"/>
    <w:semiHidden/>
    <w:rsid w:val="00D758B6"/>
    <w:pPr>
      <w:spacing w:after="0" w:line="240" w:lineRule="auto"/>
      <w:ind w:left="1760" w:hanging="220"/>
    </w:pPr>
  </w:style>
  <w:style w:type="paragraph" w:styleId="Index9">
    <w:name w:val="index 9"/>
    <w:basedOn w:val="Normal"/>
    <w:next w:val="Normal"/>
    <w:uiPriority w:val="99"/>
    <w:semiHidden/>
    <w:rsid w:val="00D758B6"/>
    <w:pPr>
      <w:spacing w:after="0" w:line="240" w:lineRule="auto"/>
      <w:ind w:left="1980" w:hanging="220"/>
    </w:pPr>
  </w:style>
  <w:style w:type="paragraph" w:styleId="IndexHeading">
    <w:name w:val="index heading"/>
    <w:basedOn w:val="Normal"/>
    <w:next w:val="Index1"/>
    <w:uiPriority w:val="99"/>
    <w:semiHidden/>
    <w:rsid w:val="00D758B6"/>
    <w:rPr>
      <w:rFonts w:ascii="Cambria" w:eastAsia="Times New Roman" w:hAnsi="Cambria"/>
      <w:b/>
      <w:bCs/>
    </w:rPr>
  </w:style>
  <w:style w:type="paragraph" w:styleId="IntenseQuote">
    <w:name w:val="Intense Quote"/>
    <w:basedOn w:val="Normal"/>
    <w:next w:val="Normal"/>
    <w:link w:val="IntenseQuoteChar"/>
    <w:uiPriority w:val="99"/>
    <w:qFormat/>
    <w:rsid w:val="00D758B6"/>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99"/>
    <w:locked/>
    <w:rsid w:val="00D758B6"/>
    <w:rPr>
      <w:rFonts w:cs="Times New Roman"/>
      <w:b/>
      <w:bCs/>
      <w:i/>
      <w:iCs/>
      <w:color w:val="4F81BD"/>
    </w:rPr>
  </w:style>
  <w:style w:type="paragraph" w:styleId="List">
    <w:name w:val="List"/>
    <w:basedOn w:val="Normal"/>
    <w:uiPriority w:val="99"/>
    <w:semiHidden/>
    <w:rsid w:val="00D758B6"/>
    <w:pPr>
      <w:ind w:left="360" w:hanging="360"/>
      <w:contextualSpacing/>
    </w:pPr>
  </w:style>
  <w:style w:type="paragraph" w:styleId="List2">
    <w:name w:val="List 2"/>
    <w:basedOn w:val="Normal"/>
    <w:uiPriority w:val="99"/>
    <w:semiHidden/>
    <w:rsid w:val="00D758B6"/>
    <w:pPr>
      <w:ind w:left="720" w:hanging="360"/>
      <w:contextualSpacing/>
    </w:pPr>
  </w:style>
  <w:style w:type="paragraph" w:styleId="List3">
    <w:name w:val="List 3"/>
    <w:basedOn w:val="Normal"/>
    <w:uiPriority w:val="99"/>
    <w:semiHidden/>
    <w:rsid w:val="00D758B6"/>
    <w:pPr>
      <w:ind w:left="1080" w:hanging="360"/>
      <w:contextualSpacing/>
    </w:pPr>
  </w:style>
  <w:style w:type="paragraph" w:styleId="List4">
    <w:name w:val="List 4"/>
    <w:basedOn w:val="Normal"/>
    <w:uiPriority w:val="99"/>
    <w:semiHidden/>
    <w:rsid w:val="00D758B6"/>
    <w:pPr>
      <w:ind w:left="1440" w:hanging="360"/>
      <w:contextualSpacing/>
    </w:pPr>
  </w:style>
  <w:style w:type="paragraph" w:styleId="List5">
    <w:name w:val="List 5"/>
    <w:basedOn w:val="Normal"/>
    <w:uiPriority w:val="99"/>
    <w:semiHidden/>
    <w:rsid w:val="00D758B6"/>
    <w:pPr>
      <w:ind w:left="1800" w:hanging="360"/>
      <w:contextualSpacing/>
    </w:pPr>
  </w:style>
  <w:style w:type="paragraph" w:styleId="ListBullet">
    <w:name w:val="List Bullet"/>
    <w:basedOn w:val="Normal"/>
    <w:uiPriority w:val="99"/>
    <w:semiHidden/>
    <w:rsid w:val="00D758B6"/>
    <w:pPr>
      <w:numPr>
        <w:numId w:val="18"/>
      </w:numPr>
      <w:tabs>
        <w:tab w:val="clear" w:pos="1080"/>
        <w:tab w:val="num" w:pos="360"/>
      </w:tabs>
      <w:ind w:left="360"/>
      <w:contextualSpacing/>
    </w:pPr>
  </w:style>
  <w:style w:type="paragraph" w:styleId="ListBullet2">
    <w:name w:val="List Bullet 2"/>
    <w:basedOn w:val="Normal"/>
    <w:uiPriority w:val="99"/>
    <w:semiHidden/>
    <w:rsid w:val="00D758B6"/>
    <w:pPr>
      <w:numPr>
        <w:numId w:val="19"/>
      </w:numPr>
      <w:tabs>
        <w:tab w:val="clear" w:pos="1440"/>
        <w:tab w:val="num" w:pos="720"/>
      </w:tabs>
      <w:ind w:left="720"/>
      <w:contextualSpacing/>
    </w:pPr>
  </w:style>
  <w:style w:type="paragraph" w:styleId="ListBullet3">
    <w:name w:val="List Bullet 3"/>
    <w:basedOn w:val="Normal"/>
    <w:uiPriority w:val="99"/>
    <w:semiHidden/>
    <w:rsid w:val="00D758B6"/>
    <w:pPr>
      <w:numPr>
        <w:numId w:val="20"/>
      </w:numPr>
      <w:tabs>
        <w:tab w:val="clear" w:pos="1800"/>
        <w:tab w:val="num" w:pos="1080"/>
      </w:tabs>
      <w:ind w:left="1080"/>
      <w:contextualSpacing/>
    </w:pPr>
  </w:style>
  <w:style w:type="paragraph" w:styleId="ListBullet4">
    <w:name w:val="List Bullet 4"/>
    <w:basedOn w:val="Normal"/>
    <w:uiPriority w:val="99"/>
    <w:semiHidden/>
    <w:rsid w:val="00D758B6"/>
    <w:pPr>
      <w:numPr>
        <w:numId w:val="21"/>
      </w:numPr>
      <w:tabs>
        <w:tab w:val="num" w:pos="1440"/>
      </w:tabs>
      <w:ind w:left="1440"/>
      <w:contextualSpacing/>
    </w:pPr>
  </w:style>
  <w:style w:type="paragraph" w:styleId="ListBullet5">
    <w:name w:val="List Bullet 5"/>
    <w:basedOn w:val="Normal"/>
    <w:uiPriority w:val="99"/>
    <w:semiHidden/>
    <w:rsid w:val="00D758B6"/>
    <w:pPr>
      <w:tabs>
        <w:tab w:val="num" w:pos="1800"/>
      </w:tabs>
      <w:ind w:left="1800" w:hanging="360"/>
      <w:contextualSpacing/>
    </w:pPr>
  </w:style>
  <w:style w:type="paragraph" w:styleId="ListContinue2">
    <w:name w:val="List Continue 2"/>
    <w:basedOn w:val="Normal"/>
    <w:uiPriority w:val="99"/>
    <w:semiHidden/>
    <w:rsid w:val="00D758B6"/>
    <w:pPr>
      <w:spacing w:after="120"/>
      <w:ind w:left="720"/>
      <w:contextualSpacing/>
    </w:pPr>
  </w:style>
  <w:style w:type="paragraph" w:styleId="ListContinue3">
    <w:name w:val="List Continue 3"/>
    <w:basedOn w:val="Normal"/>
    <w:uiPriority w:val="99"/>
    <w:semiHidden/>
    <w:rsid w:val="00D758B6"/>
    <w:pPr>
      <w:spacing w:after="120"/>
      <w:ind w:left="1080"/>
      <w:contextualSpacing/>
    </w:pPr>
  </w:style>
  <w:style w:type="paragraph" w:styleId="ListContinue4">
    <w:name w:val="List Continue 4"/>
    <w:basedOn w:val="Normal"/>
    <w:uiPriority w:val="99"/>
    <w:semiHidden/>
    <w:rsid w:val="00D758B6"/>
    <w:pPr>
      <w:spacing w:after="120"/>
      <w:ind w:left="1440"/>
      <w:contextualSpacing/>
    </w:pPr>
  </w:style>
  <w:style w:type="paragraph" w:styleId="ListContinue5">
    <w:name w:val="List Continue 5"/>
    <w:basedOn w:val="Normal"/>
    <w:uiPriority w:val="99"/>
    <w:semiHidden/>
    <w:rsid w:val="00D758B6"/>
    <w:pPr>
      <w:spacing w:after="120"/>
      <w:ind w:left="1800"/>
      <w:contextualSpacing/>
    </w:pPr>
  </w:style>
  <w:style w:type="paragraph" w:styleId="ListNumber">
    <w:name w:val="List Number"/>
    <w:basedOn w:val="Normal"/>
    <w:uiPriority w:val="99"/>
    <w:semiHidden/>
    <w:rsid w:val="00D758B6"/>
    <w:pPr>
      <w:numPr>
        <w:numId w:val="23"/>
      </w:numPr>
      <w:tabs>
        <w:tab w:val="num" w:pos="360"/>
      </w:tabs>
      <w:ind w:left="360"/>
      <w:contextualSpacing/>
    </w:pPr>
  </w:style>
  <w:style w:type="paragraph" w:styleId="ListNumber2">
    <w:name w:val="List Number 2"/>
    <w:basedOn w:val="Normal"/>
    <w:uiPriority w:val="99"/>
    <w:semiHidden/>
    <w:rsid w:val="00D758B6"/>
    <w:pPr>
      <w:numPr>
        <w:numId w:val="24"/>
      </w:numPr>
      <w:tabs>
        <w:tab w:val="num" w:pos="720"/>
      </w:tabs>
      <w:contextualSpacing/>
    </w:pPr>
  </w:style>
  <w:style w:type="paragraph" w:styleId="ListNumber3">
    <w:name w:val="List Number 3"/>
    <w:basedOn w:val="Normal"/>
    <w:uiPriority w:val="99"/>
    <w:semiHidden/>
    <w:rsid w:val="00D758B6"/>
    <w:pPr>
      <w:numPr>
        <w:numId w:val="25"/>
      </w:numPr>
      <w:tabs>
        <w:tab w:val="num" w:pos="1080"/>
      </w:tabs>
      <w:ind w:left="1080"/>
      <w:contextualSpacing/>
    </w:pPr>
  </w:style>
  <w:style w:type="paragraph" w:styleId="ListNumber4">
    <w:name w:val="List Number 4"/>
    <w:basedOn w:val="Normal"/>
    <w:uiPriority w:val="99"/>
    <w:semiHidden/>
    <w:rsid w:val="00D758B6"/>
    <w:pPr>
      <w:numPr>
        <w:numId w:val="26"/>
      </w:numPr>
      <w:tabs>
        <w:tab w:val="num" w:pos="1440"/>
      </w:tabs>
      <w:ind w:left="1440"/>
      <w:contextualSpacing/>
    </w:pPr>
  </w:style>
  <w:style w:type="paragraph" w:styleId="ListNumber5">
    <w:name w:val="List Number 5"/>
    <w:basedOn w:val="Normal"/>
    <w:uiPriority w:val="99"/>
    <w:semiHidden/>
    <w:rsid w:val="00D758B6"/>
    <w:pPr>
      <w:numPr>
        <w:numId w:val="27"/>
      </w:numPr>
      <w:tabs>
        <w:tab w:val="num" w:pos="1800"/>
      </w:tabs>
      <w:ind w:left="1800"/>
      <w:contextualSpacing/>
    </w:pPr>
  </w:style>
  <w:style w:type="paragraph" w:styleId="MacroText">
    <w:name w:val="macro"/>
    <w:link w:val="MacroTextChar"/>
    <w:uiPriority w:val="99"/>
    <w:semiHidden/>
    <w:rsid w:val="00D758B6"/>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sz w:val="20"/>
      <w:szCs w:val="20"/>
    </w:rPr>
  </w:style>
  <w:style w:type="character" w:customStyle="1" w:styleId="MacroTextChar">
    <w:name w:val="Macro Text Char"/>
    <w:basedOn w:val="DefaultParagraphFont"/>
    <w:link w:val="MacroText"/>
    <w:uiPriority w:val="99"/>
    <w:semiHidden/>
    <w:locked/>
    <w:rsid w:val="00D758B6"/>
    <w:rPr>
      <w:rFonts w:ascii="Consolas" w:hAnsi="Consolas" w:cs="Times New Roman"/>
      <w:lang w:val="en-US" w:eastAsia="en-US" w:bidi="ar-SA"/>
    </w:rPr>
  </w:style>
  <w:style w:type="paragraph" w:styleId="MessageHeader">
    <w:name w:val="Message Header"/>
    <w:basedOn w:val="Normal"/>
    <w:link w:val="MessageHeaderChar"/>
    <w:uiPriority w:val="99"/>
    <w:semiHidden/>
    <w:rsid w:val="00D758B6"/>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Cambria" w:eastAsia="Times New Roman" w:hAnsi="Cambria"/>
      <w:sz w:val="24"/>
      <w:szCs w:val="24"/>
    </w:rPr>
  </w:style>
  <w:style w:type="character" w:customStyle="1" w:styleId="MessageHeaderChar">
    <w:name w:val="Message Header Char"/>
    <w:basedOn w:val="DefaultParagraphFont"/>
    <w:link w:val="MessageHeader"/>
    <w:uiPriority w:val="99"/>
    <w:semiHidden/>
    <w:locked/>
    <w:rsid w:val="00D758B6"/>
    <w:rPr>
      <w:rFonts w:ascii="Cambria" w:hAnsi="Cambria" w:cs="Times New Roman"/>
      <w:sz w:val="24"/>
      <w:szCs w:val="24"/>
      <w:shd w:val="pct20" w:color="auto" w:fill="auto"/>
    </w:rPr>
  </w:style>
  <w:style w:type="paragraph" w:styleId="NoSpacing">
    <w:name w:val="No Spacing"/>
    <w:uiPriority w:val="99"/>
    <w:qFormat/>
    <w:rsid w:val="00D758B6"/>
  </w:style>
  <w:style w:type="paragraph" w:styleId="NormalWeb">
    <w:name w:val="Normal (Web)"/>
    <w:basedOn w:val="Normal"/>
    <w:uiPriority w:val="99"/>
    <w:semiHidden/>
    <w:rsid w:val="00D758B6"/>
    <w:rPr>
      <w:rFonts w:ascii="Times New Roman" w:hAnsi="Times New Roman"/>
      <w:sz w:val="24"/>
      <w:szCs w:val="24"/>
    </w:rPr>
  </w:style>
  <w:style w:type="paragraph" w:styleId="NormalIndent">
    <w:name w:val="Normal Indent"/>
    <w:basedOn w:val="Normal"/>
    <w:uiPriority w:val="99"/>
    <w:semiHidden/>
    <w:rsid w:val="00D758B6"/>
    <w:pPr>
      <w:ind w:left="720"/>
    </w:pPr>
  </w:style>
  <w:style w:type="paragraph" w:styleId="NoteHeading">
    <w:name w:val="Note Heading"/>
    <w:basedOn w:val="Normal"/>
    <w:next w:val="Normal"/>
    <w:link w:val="NoteHeadingChar"/>
    <w:uiPriority w:val="99"/>
    <w:semiHidden/>
    <w:rsid w:val="00D758B6"/>
    <w:pPr>
      <w:spacing w:after="0" w:line="240" w:lineRule="auto"/>
    </w:pPr>
  </w:style>
  <w:style w:type="character" w:customStyle="1" w:styleId="NoteHeadingChar">
    <w:name w:val="Note Heading Char"/>
    <w:basedOn w:val="DefaultParagraphFont"/>
    <w:link w:val="NoteHeading"/>
    <w:uiPriority w:val="99"/>
    <w:semiHidden/>
    <w:locked/>
    <w:rsid w:val="00D758B6"/>
    <w:rPr>
      <w:rFonts w:cs="Times New Roman"/>
    </w:rPr>
  </w:style>
  <w:style w:type="paragraph" w:styleId="PlainText">
    <w:name w:val="Plain Text"/>
    <w:basedOn w:val="Normal"/>
    <w:link w:val="PlainTextChar"/>
    <w:uiPriority w:val="99"/>
    <w:semiHidden/>
    <w:rsid w:val="00D758B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locked/>
    <w:rsid w:val="00D758B6"/>
    <w:rPr>
      <w:rFonts w:ascii="Consolas" w:hAnsi="Consolas" w:cs="Times New Roman"/>
      <w:sz w:val="21"/>
      <w:szCs w:val="21"/>
    </w:rPr>
  </w:style>
  <w:style w:type="paragraph" w:styleId="Quote">
    <w:name w:val="Quote"/>
    <w:basedOn w:val="Normal"/>
    <w:next w:val="Normal"/>
    <w:link w:val="QuoteChar"/>
    <w:uiPriority w:val="99"/>
    <w:qFormat/>
    <w:rsid w:val="00D758B6"/>
    <w:rPr>
      <w:i/>
      <w:iCs/>
      <w:color w:val="000000"/>
    </w:rPr>
  </w:style>
  <w:style w:type="character" w:customStyle="1" w:styleId="QuoteChar">
    <w:name w:val="Quote Char"/>
    <w:basedOn w:val="DefaultParagraphFont"/>
    <w:link w:val="Quote"/>
    <w:uiPriority w:val="99"/>
    <w:locked/>
    <w:rsid w:val="00D758B6"/>
    <w:rPr>
      <w:rFonts w:cs="Times New Roman"/>
      <w:i/>
      <w:iCs/>
      <w:color w:val="000000"/>
    </w:rPr>
  </w:style>
  <w:style w:type="paragraph" w:styleId="Salutation">
    <w:name w:val="Salutation"/>
    <w:basedOn w:val="Normal"/>
    <w:next w:val="Normal"/>
    <w:link w:val="SalutationChar"/>
    <w:uiPriority w:val="99"/>
    <w:semiHidden/>
    <w:rsid w:val="00D758B6"/>
  </w:style>
  <w:style w:type="character" w:customStyle="1" w:styleId="SalutationChar">
    <w:name w:val="Salutation Char"/>
    <w:basedOn w:val="DefaultParagraphFont"/>
    <w:link w:val="Salutation"/>
    <w:uiPriority w:val="99"/>
    <w:semiHidden/>
    <w:locked/>
    <w:rsid w:val="00D758B6"/>
    <w:rPr>
      <w:rFonts w:cs="Times New Roman"/>
    </w:rPr>
  </w:style>
  <w:style w:type="paragraph" w:styleId="Signature">
    <w:name w:val="Signature"/>
    <w:basedOn w:val="Normal"/>
    <w:link w:val="SignatureChar"/>
    <w:uiPriority w:val="99"/>
    <w:semiHidden/>
    <w:rsid w:val="00D758B6"/>
    <w:pPr>
      <w:spacing w:after="0" w:line="240" w:lineRule="auto"/>
      <w:ind w:left="4320"/>
    </w:pPr>
  </w:style>
  <w:style w:type="character" w:customStyle="1" w:styleId="SignatureChar">
    <w:name w:val="Signature Char"/>
    <w:basedOn w:val="DefaultParagraphFont"/>
    <w:link w:val="Signature"/>
    <w:uiPriority w:val="99"/>
    <w:semiHidden/>
    <w:locked/>
    <w:rsid w:val="00D758B6"/>
    <w:rPr>
      <w:rFonts w:cs="Times New Roman"/>
    </w:rPr>
  </w:style>
  <w:style w:type="paragraph" w:styleId="Subtitle">
    <w:name w:val="Subtitle"/>
    <w:basedOn w:val="Normal"/>
    <w:next w:val="Normal"/>
    <w:link w:val="SubtitleChar"/>
    <w:uiPriority w:val="99"/>
    <w:qFormat/>
    <w:rsid w:val="00D758B6"/>
    <w:pPr>
      <w:numPr>
        <w:ilvl w:val="1"/>
      </w:numPr>
    </w:pPr>
    <w:rPr>
      <w:rFonts w:ascii="Cambria" w:eastAsia="Times New Roman" w:hAnsi="Cambria"/>
      <w:i/>
      <w:iCs/>
      <w:color w:val="4F81BD"/>
      <w:spacing w:val="15"/>
      <w:sz w:val="24"/>
      <w:szCs w:val="24"/>
    </w:rPr>
  </w:style>
  <w:style w:type="character" w:customStyle="1" w:styleId="SubtitleChar">
    <w:name w:val="Subtitle Char"/>
    <w:basedOn w:val="DefaultParagraphFont"/>
    <w:link w:val="Subtitle"/>
    <w:uiPriority w:val="99"/>
    <w:locked/>
    <w:rsid w:val="00D758B6"/>
    <w:rPr>
      <w:rFonts w:ascii="Cambria" w:hAnsi="Cambria" w:cs="Times New Roman"/>
      <w:i/>
      <w:iCs/>
      <w:color w:val="4F81BD"/>
      <w:spacing w:val="15"/>
      <w:sz w:val="24"/>
      <w:szCs w:val="24"/>
    </w:rPr>
  </w:style>
  <w:style w:type="paragraph" w:styleId="TableofAuthorities">
    <w:name w:val="table of authorities"/>
    <w:basedOn w:val="Normal"/>
    <w:next w:val="Normal"/>
    <w:uiPriority w:val="99"/>
    <w:semiHidden/>
    <w:rsid w:val="00D758B6"/>
    <w:pPr>
      <w:spacing w:after="0"/>
      <w:ind w:left="220" w:hanging="220"/>
    </w:pPr>
  </w:style>
  <w:style w:type="paragraph" w:styleId="TableofFigures">
    <w:name w:val="table of figures"/>
    <w:basedOn w:val="Normal"/>
    <w:next w:val="Normal"/>
    <w:uiPriority w:val="99"/>
    <w:semiHidden/>
    <w:rsid w:val="00D758B6"/>
    <w:pPr>
      <w:spacing w:after="0"/>
    </w:pPr>
  </w:style>
  <w:style w:type="paragraph" w:styleId="Title">
    <w:name w:val="Title"/>
    <w:basedOn w:val="Normal"/>
    <w:next w:val="Normal"/>
    <w:link w:val="TitleChar"/>
    <w:uiPriority w:val="99"/>
    <w:qFormat/>
    <w:rsid w:val="00D758B6"/>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99"/>
    <w:locked/>
    <w:rsid w:val="00D758B6"/>
    <w:rPr>
      <w:rFonts w:ascii="Cambria" w:hAnsi="Cambria" w:cs="Times New Roman"/>
      <w:color w:val="17365D"/>
      <w:spacing w:val="5"/>
      <w:kern w:val="28"/>
      <w:sz w:val="52"/>
      <w:szCs w:val="52"/>
    </w:rPr>
  </w:style>
  <w:style w:type="paragraph" w:styleId="TOAHeading">
    <w:name w:val="toa heading"/>
    <w:basedOn w:val="Normal"/>
    <w:next w:val="Normal"/>
    <w:uiPriority w:val="99"/>
    <w:semiHidden/>
    <w:rsid w:val="00D758B6"/>
    <w:pPr>
      <w:spacing w:before="120"/>
    </w:pPr>
    <w:rPr>
      <w:rFonts w:ascii="Cambria" w:eastAsia="Times New Roman" w:hAnsi="Cambria"/>
      <w:b/>
      <w:bCs/>
      <w:sz w:val="24"/>
      <w:szCs w:val="24"/>
    </w:rPr>
  </w:style>
  <w:style w:type="paragraph" w:styleId="TOC1">
    <w:name w:val="toc 1"/>
    <w:basedOn w:val="Normal"/>
    <w:next w:val="Normal"/>
    <w:uiPriority w:val="99"/>
    <w:semiHidden/>
    <w:rsid w:val="00D758B6"/>
    <w:pPr>
      <w:spacing w:after="100"/>
    </w:pPr>
  </w:style>
  <w:style w:type="paragraph" w:styleId="TOC2">
    <w:name w:val="toc 2"/>
    <w:basedOn w:val="Normal"/>
    <w:next w:val="Normal"/>
    <w:uiPriority w:val="99"/>
    <w:semiHidden/>
    <w:rsid w:val="00D758B6"/>
    <w:pPr>
      <w:spacing w:after="100"/>
      <w:ind w:left="220"/>
    </w:pPr>
  </w:style>
  <w:style w:type="paragraph" w:styleId="TOC3">
    <w:name w:val="toc 3"/>
    <w:basedOn w:val="Normal"/>
    <w:next w:val="Normal"/>
    <w:uiPriority w:val="99"/>
    <w:semiHidden/>
    <w:rsid w:val="00D758B6"/>
    <w:pPr>
      <w:spacing w:after="100"/>
      <w:ind w:left="440"/>
    </w:pPr>
  </w:style>
  <w:style w:type="paragraph" w:styleId="TOC4">
    <w:name w:val="toc 4"/>
    <w:basedOn w:val="Normal"/>
    <w:next w:val="Normal"/>
    <w:uiPriority w:val="99"/>
    <w:semiHidden/>
    <w:rsid w:val="00D758B6"/>
    <w:pPr>
      <w:spacing w:after="100"/>
      <w:ind w:left="660"/>
    </w:pPr>
  </w:style>
  <w:style w:type="paragraph" w:styleId="TOC5">
    <w:name w:val="toc 5"/>
    <w:basedOn w:val="Normal"/>
    <w:next w:val="Normal"/>
    <w:uiPriority w:val="99"/>
    <w:semiHidden/>
    <w:rsid w:val="00D758B6"/>
    <w:pPr>
      <w:spacing w:after="100"/>
      <w:ind w:left="880"/>
    </w:pPr>
  </w:style>
  <w:style w:type="paragraph" w:styleId="TOC6">
    <w:name w:val="toc 6"/>
    <w:basedOn w:val="Normal"/>
    <w:next w:val="Normal"/>
    <w:uiPriority w:val="99"/>
    <w:semiHidden/>
    <w:rsid w:val="00D758B6"/>
    <w:pPr>
      <w:spacing w:after="100"/>
      <w:ind w:left="1100"/>
    </w:pPr>
  </w:style>
  <w:style w:type="paragraph" w:styleId="TOC7">
    <w:name w:val="toc 7"/>
    <w:basedOn w:val="Normal"/>
    <w:next w:val="Normal"/>
    <w:uiPriority w:val="99"/>
    <w:semiHidden/>
    <w:rsid w:val="00D758B6"/>
    <w:pPr>
      <w:spacing w:after="100"/>
      <w:ind w:left="1320"/>
    </w:pPr>
  </w:style>
  <w:style w:type="paragraph" w:styleId="TOC8">
    <w:name w:val="toc 8"/>
    <w:basedOn w:val="Normal"/>
    <w:next w:val="Normal"/>
    <w:uiPriority w:val="99"/>
    <w:semiHidden/>
    <w:rsid w:val="00D758B6"/>
    <w:pPr>
      <w:spacing w:after="100"/>
      <w:ind w:left="1540"/>
    </w:pPr>
  </w:style>
  <w:style w:type="paragraph" w:styleId="TOC9">
    <w:name w:val="toc 9"/>
    <w:basedOn w:val="Normal"/>
    <w:next w:val="Normal"/>
    <w:uiPriority w:val="99"/>
    <w:semiHidden/>
    <w:rsid w:val="00D758B6"/>
    <w:pPr>
      <w:spacing w:after="100"/>
      <w:ind w:left="1760"/>
    </w:pPr>
  </w:style>
  <w:style w:type="paragraph" w:styleId="TOCHeading">
    <w:name w:val="TOC Heading"/>
    <w:basedOn w:val="Heading1"/>
    <w:next w:val="Normal"/>
    <w:uiPriority w:val="99"/>
    <w:qFormat/>
    <w:rsid w:val="00D758B6"/>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EC774B"/>
    <w:pPr>
      <w:spacing w:after="200" w:line="276" w:lineRule="auto"/>
    </w:pPr>
  </w:style>
  <w:style w:type="paragraph" w:styleId="Heading1">
    <w:name w:val="heading 1"/>
    <w:basedOn w:val="Normal"/>
    <w:next w:val="Normal"/>
    <w:link w:val="Heading1Char"/>
    <w:uiPriority w:val="99"/>
    <w:qFormat/>
    <w:rsid w:val="00D758B6"/>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rsid w:val="00D758B6"/>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9"/>
    <w:qFormat/>
    <w:rsid w:val="00D758B6"/>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9"/>
    <w:qFormat/>
    <w:rsid w:val="00D758B6"/>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9"/>
    <w:qFormat/>
    <w:rsid w:val="00D758B6"/>
    <w:pPr>
      <w:keepNext/>
      <w:keepLines/>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9"/>
    <w:qFormat/>
    <w:rsid w:val="00D758B6"/>
    <w:pPr>
      <w:keepNext/>
      <w:keepLines/>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9"/>
    <w:qFormat/>
    <w:rsid w:val="00D758B6"/>
    <w:pPr>
      <w:keepNext/>
      <w:keepLines/>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9"/>
    <w:qFormat/>
    <w:rsid w:val="00D758B6"/>
    <w:pPr>
      <w:keepNext/>
      <w:keepLines/>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9"/>
    <w:qFormat/>
    <w:rsid w:val="00D758B6"/>
    <w:pPr>
      <w:keepNext/>
      <w:keepLines/>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758B6"/>
    <w:rPr>
      <w:rFonts w:ascii="Cambria" w:hAnsi="Cambria" w:cs="Times New Roman"/>
      <w:b/>
      <w:bCs/>
      <w:color w:val="365F91"/>
      <w:sz w:val="28"/>
      <w:szCs w:val="28"/>
    </w:rPr>
  </w:style>
  <w:style w:type="character" w:customStyle="1" w:styleId="Heading2Char">
    <w:name w:val="Heading 2 Char"/>
    <w:basedOn w:val="DefaultParagraphFont"/>
    <w:link w:val="Heading2"/>
    <w:uiPriority w:val="99"/>
    <w:semiHidden/>
    <w:locked/>
    <w:rsid w:val="00D758B6"/>
    <w:rPr>
      <w:rFonts w:ascii="Cambria" w:hAnsi="Cambria" w:cs="Times New Roman"/>
      <w:b/>
      <w:bCs/>
      <w:color w:val="4F81BD"/>
      <w:sz w:val="26"/>
      <w:szCs w:val="26"/>
    </w:rPr>
  </w:style>
  <w:style w:type="character" w:customStyle="1" w:styleId="Heading3Char">
    <w:name w:val="Heading 3 Char"/>
    <w:basedOn w:val="DefaultParagraphFont"/>
    <w:link w:val="Heading3"/>
    <w:uiPriority w:val="99"/>
    <w:semiHidden/>
    <w:locked/>
    <w:rsid w:val="00D758B6"/>
    <w:rPr>
      <w:rFonts w:ascii="Cambria" w:hAnsi="Cambria" w:cs="Times New Roman"/>
      <w:b/>
      <w:bCs/>
      <w:color w:val="4F81BD"/>
    </w:rPr>
  </w:style>
  <w:style w:type="character" w:customStyle="1" w:styleId="Heading4Char">
    <w:name w:val="Heading 4 Char"/>
    <w:basedOn w:val="DefaultParagraphFont"/>
    <w:link w:val="Heading4"/>
    <w:uiPriority w:val="99"/>
    <w:semiHidden/>
    <w:locked/>
    <w:rsid w:val="00D758B6"/>
    <w:rPr>
      <w:rFonts w:ascii="Cambria" w:hAnsi="Cambria" w:cs="Times New Roman"/>
      <w:b/>
      <w:bCs/>
      <w:i/>
      <w:iCs/>
      <w:color w:val="4F81BD"/>
    </w:rPr>
  </w:style>
  <w:style w:type="character" w:customStyle="1" w:styleId="Heading5Char">
    <w:name w:val="Heading 5 Char"/>
    <w:basedOn w:val="DefaultParagraphFont"/>
    <w:link w:val="Heading5"/>
    <w:uiPriority w:val="99"/>
    <w:semiHidden/>
    <w:locked/>
    <w:rsid w:val="00D758B6"/>
    <w:rPr>
      <w:rFonts w:ascii="Cambria" w:hAnsi="Cambria" w:cs="Times New Roman"/>
      <w:color w:val="243F60"/>
    </w:rPr>
  </w:style>
  <w:style w:type="character" w:customStyle="1" w:styleId="Heading6Char">
    <w:name w:val="Heading 6 Char"/>
    <w:basedOn w:val="DefaultParagraphFont"/>
    <w:link w:val="Heading6"/>
    <w:uiPriority w:val="99"/>
    <w:semiHidden/>
    <w:locked/>
    <w:rsid w:val="00D758B6"/>
    <w:rPr>
      <w:rFonts w:ascii="Cambria" w:hAnsi="Cambria" w:cs="Times New Roman"/>
      <w:i/>
      <w:iCs/>
      <w:color w:val="243F60"/>
    </w:rPr>
  </w:style>
  <w:style w:type="character" w:customStyle="1" w:styleId="Heading7Char">
    <w:name w:val="Heading 7 Char"/>
    <w:basedOn w:val="DefaultParagraphFont"/>
    <w:link w:val="Heading7"/>
    <w:uiPriority w:val="99"/>
    <w:semiHidden/>
    <w:locked/>
    <w:rsid w:val="00D758B6"/>
    <w:rPr>
      <w:rFonts w:ascii="Cambria" w:hAnsi="Cambria" w:cs="Times New Roman"/>
      <w:i/>
      <w:iCs/>
      <w:color w:val="404040"/>
    </w:rPr>
  </w:style>
  <w:style w:type="character" w:customStyle="1" w:styleId="Heading8Char">
    <w:name w:val="Heading 8 Char"/>
    <w:basedOn w:val="DefaultParagraphFont"/>
    <w:link w:val="Heading8"/>
    <w:uiPriority w:val="99"/>
    <w:semiHidden/>
    <w:locked/>
    <w:rsid w:val="00D758B6"/>
    <w:rPr>
      <w:rFonts w:ascii="Cambria" w:hAnsi="Cambria" w:cs="Times New Roman"/>
      <w:color w:val="404040"/>
      <w:sz w:val="20"/>
      <w:szCs w:val="20"/>
    </w:rPr>
  </w:style>
  <w:style w:type="character" w:customStyle="1" w:styleId="Heading9Char">
    <w:name w:val="Heading 9 Char"/>
    <w:basedOn w:val="DefaultParagraphFont"/>
    <w:link w:val="Heading9"/>
    <w:uiPriority w:val="99"/>
    <w:semiHidden/>
    <w:locked/>
    <w:rsid w:val="00D758B6"/>
    <w:rPr>
      <w:rFonts w:ascii="Cambria" w:hAnsi="Cambria" w:cs="Times New Roman"/>
      <w:i/>
      <w:iCs/>
      <w:color w:val="404040"/>
      <w:sz w:val="20"/>
      <w:szCs w:val="20"/>
    </w:rPr>
  </w:style>
  <w:style w:type="paragraph" w:styleId="Header">
    <w:name w:val="header"/>
    <w:basedOn w:val="Normal"/>
    <w:link w:val="HeaderChar"/>
    <w:uiPriority w:val="99"/>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FD66F1"/>
    <w:rPr>
      <w:rFonts w:cs="Times New Roman"/>
    </w:rPr>
  </w:style>
  <w:style w:type="paragraph" w:styleId="Footer">
    <w:name w:val="footer"/>
    <w:basedOn w:val="Normal"/>
    <w:link w:val="FooterChar"/>
    <w:uiPriority w:val="99"/>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FD66F1"/>
    <w:rPr>
      <w:rFonts w:cs="Times New Roman"/>
    </w:rPr>
  </w:style>
  <w:style w:type="paragraph" w:styleId="BalloonText">
    <w:name w:val="Balloon Text"/>
    <w:basedOn w:val="Normal"/>
    <w:link w:val="BalloonTextChar"/>
    <w:uiPriority w:val="99"/>
    <w:semiHidden/>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D66F1"/>
    <w:rPr>
      <w:rFonts w:ascii="Tahoma" w:hAnsi="Tahoma" w:cs="Tahoma"/>
      <w:sz w:val="16"/>
      <w:szCs w:val="16"/>
    </w:rPr>
  </w:style>
  <w:style w:type="paragraph" w:styleId="ListParagraph">
    <w:name w:val="List Paragraph"/>
    <w:basedOn w:val="Normal"/>
    <w:uiPriority w:val="99"/>
    <w:qFormat/>
    <w:rsid w:val="00A72E7B"/>
    <w:pPr>
      <w:ind w:left="720"/>
      <w:contextualSpacing/>
    </w:pPr>
  </w:style>
  <w:style w:type="paragraph" w:styleId="ListContinue">
    <w:name w:val="List Continue"/>
    <w:basedOn w:val="Normal"/>
    <w:uiPriority w:val="99"/>
    <w:rsid w:val="00D80FBD"/>
    <w:pPr>
      <w:numPr>
        <w:numId w:val="22"/>
      </w:numPr>
      <w:spacing w:after="120" w:line="480" w:lineRule="auto"/>
    </w:pPr>
    <w:rPr>
      <w:rFonts w:ascii="Times New Roman" w:eastAsia="Times New Roman" w:hAnsi="Times New Roman"/>
      <w:sz w:val="26"/>
      <w:szCs w:val="24"/>
    </w:rPr>
  </w:style>
  <w:style w:type="paragraph" w:customStyle="1" w:styleId="LegalFormat">
    <w:name w:val="Legal Format"/>
    <w:basedOn w:val="ListContinue"/>
    <w:uiPriority w:val="99"/>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
    <w:basedOn w:val="DefaultParagraphFont"/>
    <w:uiPriority w:val="99"/>
    <w:rsid w:val="00E636D7"/>
    <w:rPr>
      <w:rFonts w:cs="Times New Roman"/>
    </w:rPr>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
    <w:basedOn w:val="Normal"/>
    <w:link w:val="FootnoteTextChar1"/>
    <w:uiPriority w:val="99"/>
    <w:semiHidden/>
    <w:rsid w:val="00E636D7"/>
    <w:pPr>
      <w:widowControl w:val="0"/>
      <w:autoSpaceDE w:val="0"/>
      <w:autoSpaceDN w:val="0"/>
      <w:adjustRightInd w:val="0"/>
      <w:spacing w:after="0" w:line="240" w:lineRule="auto"/>
    </w:pPr>
    <w:rPr>
      <w:rFonts w:ascii="Times New Roman" w:eastAsia="Times New Roman" w:hAnsi="Times New Roman"/>
      <w:sz w:val="20"/>
      <w:szCs w:val="20"/>
    </w:rPr>
  </w:style>
  <w:style w:type="character" w:customStyle="1" w:styleId="FootnoteTextChar">
    <w:name w:val="Footnote Text Char"/>
    <w:aliases w:val="Footnote Text Char2 Char Char,Footnote Text Char Char1 Char Char,Footnote Text Char1 Char Char Char Char,Footnote Text Char Char Char Char Char Char,Footnote Text Char1 Char Char Char Char Char Char Char Char,ft Char,fn Char"/>
    <w:basedOn w:val="DefaultParagraphFont"/>
    <w:uiPriority w:val="99"/>
    <w:semiHidden/>
    <w:rsid w:val="00E636D7"/>
    <w:rPr>
      <w:rFonts w:cs="Times New Roman"/>
      <w:sz w:val="20"/>
      <w:szCs w:val="20"/>
    </w:rPr>
  </w:style>
  <w:style w:type="character" w:customStyle="1" w:styleId="FootnoteTextChar1">
    <w:name w:val="Footnote Text Char1"/>
    <w:aliases w:val="Footnote Text Char2 Char Char1,Footnote Text Char Char1 Char Char1,Footnote Text Char1 Char Char Char Char1,Footnote Text Char Char Char Char Char Char1,Footnote Text Char1 Char Char Char Char Char Char Char Char1,ft Char1,fn Char1"/>
    <w:link w:val="FootnoteText"/>
    <w:uiPriority w:val="99"/>
    <w:locked/>
    <w:rsid w:val="00E636D7"/>
    <w:rPr>
      <w:rFonts w:ascii="Times New Roman" w:hAnsi="Times New Roman"/>
      <w:sz w:val="20"/>
    </w:rPr>
  </w:style>
  <w:style w:type="character" w:styleId="CommentReference">
    <w:name w:val="annotation reference"/>
    <w:basedOn w:val="DefaultParagraphFont"/>
    <w:uiPriority w:val="99"/>
    <w:semiHidden/>
    <w:rsid w:val="0057700F"/>
    <w:rPr>
      <w:rFonts w:cs="Times New Roman"/>
      <w:sz w:val="16"/>
      <w:szCs w:val="16"/>
    </w:rPr>
  </w:style>
  <w:style w:type="paragraph" w:styleId="CommentText">
    <w:name w:val="annotation text"/>
    <w:basedOn w:val="Normal"/>
    <w:link w:val="CommentTextChar"/>
    <w:uiPriority w:val="99"/>
    <w:semiHidden/>
    <w:rsid w:val="0057700F"/>
    <w:pPr>
      <w:spacing w:line="240" w:lineRule="auto"/>
    </w:pPr>
    <w:rPr>
      <w:sz w:val="20"/>
      <w:szCs w:val="20"/>
    </w:rPr>
  </w:style>
  <w:style w:type="character" w:customStyle="1" w:styleId="CommentTextChar">
    <w:name w:val="Comment Text Char"/>
    <w:basedOn w:val="DefaultParagraphFont"/>
    <w:link w:val="CommentText"/>
    <w:uiPriority w:val="99"/>
    <w:semiHidden/>
    <w:locked/>
    <w:rsid w:val="0057700F"/>
    <w:rPr>
      <w:rFonts w:cs="Times New Roman"/>
      <w:sz w:val="20"/>
      <w:szCs w:val="20"/>
    </w:rPr>
  </w:style>
  <w:style w:type="paragraph" w:styleId="CommentSubject">
    <w:name w:val="annotation subject"/>
    <w:basedOn w:val="CommentText"/>
    <w:next w:val="CommentText"/>
    <w:link w:val="CommentSubjectChar"/>
    <w:uiPriority w:val="99"/>
    <w:semiHidden/>
    <w:rsid w:val="0057700F"/>
    <w:rPr>
      <w:b/>
      <w:bCs/>
    </w:rPr>
  </w:style>
  <w:style w:type="character" w:customStyle="1" w:styleId="CommentSubjectChar">
    <w:name w:val="Comment Subject Char"/>
    <w:basedOn w:val="CommentTextChar"/>
    <w:link w:val="CommentSubject"/>
    <w:uiPriority w:val="99"/>
    <w:semiHidden/>
    <w:locked/>
    <w:rsid w:val="0057700F"/>
    <w:rPr>
      <w:rFonts w:cs="Times New Roman"/>
      <w:b/>
      <w:bCs/>
      <w:sz w:val="20"/>
      <w:szCs w:val="20"/>
    </w:rPr>
  </w:style>
  <w:style w:type="character" w:styleId="Hyperlink">
    <w:name w:val="Hyperlink"/>
    <w:basedOn w:val="DefaultParagraphFont"/>
    <w:uiPriority w:val="99"/>
    <w:rsid w:val="00116779"/>
    <w:rPr>
      <w:rFonts w:cs="Times New Roman"/>
      <w:color w:val="0000FF"/>
      <w:u w:val="single"/>
    </w:rPr>
  </w:style>
  <w:style w:type="character" w:styleId="FollowedHyperlink">
    <w:name w:val="FollowedHyperlink"/>
    <w:basedOn w:val="DefaultParagraphFont"/>
    <w:uiPriority w:val="99"/>
    <w:semiHidden/>
    <w:rsid w:val="004236FE"/>
    <w:rPr>
      <w:rFonts w:cs="Times New Roman"/>
      <w:color w:val="800080"/>
      <w:u w:val="single"/>
    </w:rPr>
  </w:style>
  <w:style w:type="paragraph" w:styleId="Bibliography">
    <w:name w:val="Bibliography"/>
    <w:basedOn w:val="Normal"/>
    <w:next w:val="Normal"/>
    <w:uiPriority w:val="99"/>
    <w:semiHidden/>
    <w:rsid w:val="00D758B6"/>
  </w:style>
  <w:style w:type="paragraph" w:styleId="BlockText">
    <w:name w:val="Block Text"/>
    <w:basedOn w:val="Normal"/>
    <w:uiPriority w:val="99"/>
    <w:semiHidden/>
    <w:rsid w:val="00D758B6"/>
    <w:pPr>
      <w:pBdr>
        <w:top w:val="single" w:sz="2" w:space="10" w:color="4F81BD" w:shadow="1"/>
        <w:left w:val="single" w:sz="2" w:space="10" w:color="4F81BD" w:shadow="1"/>
        <w:bottom w:val="single" w:sz="2" w:space="10" w:color="4F81BD" w:shadow="1"/>
        <w:right w:val="single" w:sz="2" w:space="10" w:color="4F81BD" w:shadow="1"/>
      </w:pBdr>
      <w:ind w:left="1152" w:right="1152"/>
    </w:pPr>
    <w:rPr>
      <w:rFonts w:eastAsia="Times New Roman"/>
      <w:i/>
      <w:iCs/>
      <w:color w:val="4F81BD"/>
    </w:rPr>
  </w:style>
  <w:style w:type="paragraph" w:styleId="BodyText">
    <w:name w:val="Body Text"/>
    <w:basedOn w:val="Normal"/>
    <w:link w:val="BodyTextChar"/>
    <w:uiPriority w:val="99"/>
    <w:semiHidden/>
    <w:rsid w:val="00D758B6"/>
    <w:pPr>
      <w:spacing w:after="120"/>
    </w:pPr>
  </w:style>
  <w:style w:type="character" w:customStyle="1" w:styleId="BodyTextChar">
    <w:name w:val="Body Text Char"/>
    <w:basedOn w:val="DefaultParagraphFont"/>
    <w:link w:val="BodyText"/>
    <w:uiPriority w:val="99"/>
    <w:semiHidden/>
    <w:locked/>
    <w:rsid w:val="00D758B6"/>
    <w:rPr>
      <w:rFonts w:cs="Times New Roman"/>
    </w:rPr>
  </w:style>
  <w:style w:type="paragraph" w:styleId="BodyText2">
    <w:name w:val="Body Text 2"/>
    <w:basedOn w:val="Normal"/>
    <w:link w:val="BodyText2Char"/>
    <w:uiPriority w:val="99"/>
    <w:semiHidden/>
    <w:rsid w:val="00D758B6"/>
    <w:pPr>
      <w:spacing w:after="120" w:line="480" w:lineRule="auto"/>
    </w:pPr>
  </w:style>
  <w:style w:type="character" w:customStyle="1" w:styleId="BodyText2Char">
    <w:name w:val="Body Text 2 Char"/>
    <w:basedOn w:val="DefaultParagraphFont"/>
    <w:link w:val="BodyText2"/>
    <w:uiPriority w:val="99"/>
    <w:semiHidden/>
    <w:locked/>
    <w:rsid w:val="00D758B6"/>
    <w:rPr>
      <w:rFonts w:cs="Times New Roman"/>
    </w:rPr>
  </w:style>
  <w:style w:type="paragraph" w:styleId="BodyText3">
    <w:name w:val="Body Text 3"/>
    <w:basedOn w:val="Normal"/>
    <w:link w:val="BodyText3Char"/>
    <w:uiPriority w:val="99"/>
    <w:semiHidden/>
    <w:rsid w:val="00D758B6"/>
    <w:pPr>
      <w:spacing w:after="120"/>
    </w:pPr>
    <w:rPr>
      <w:sz w:val="16"/>
      <w:szCs w:val="16"/>
    </w:rPr>
  </w:style>
  <w:style w:type="character" w:customStyle="1" w:styleId="BodyText3Char">
    <w:name w:val="Body Text 3 Char"/>
    <w:basedOn w:val="DefaultParagraphFont"/>
    <w:link w:val="BodyText3"/>
    <w:uiPriority w:val="99"/>
    <w:semiHidden/>
    <w:locked/>
    <w:rsid w:val="00D758B6"/>
    <w:rPr>
      <w:rFonts w:cs="Times New Roman"/>
      <w:sz w:val="16"/>
      <w:szCs w:val="16"/>
    </w:rPr>
  </w:style>
  <w:style w:type="paragraph" w:styleId="BodyTextFirstIndent">
    <w:name w:val="Body Text First Indent"/>
    <w:basedOn w:val="BodyText"/>
    <w:link w:val="BodyTextFirstIndentChar"/>
    <w:uiPriority w:val="99"/>
    <w:semiHidden/>
    <w:rsid w:val="00D758B6"/>
    <w:pPr>
      <w:spacing w:after="200"/>
      <w:ind w:firstLine="360"/>
    </w:pPr>
  </w:style>
  <w:style w:type="character" w:customStyle="1" w:styleId="BodyTextFirstIndentChar">
    <w:name w:val="Body Text First Indent Char"/>
    <w:basedOn w:val="BodyTextChar"/>
    <w:link w:val="BodyTextFirstIndent"/>
    <w:uiPriority w:val="99"/>
    <w:semiHidden/>
    <w:locked/>
    <w:rsid w:val="00D758B6"/>
    <w:rPr>
      <w:rFonts w:cs="Times New Roman"/>
    </w:rPr>
  </w:style>
  <w:style w:type="paragraph" w:styleId="BodyTextIndent">
    <w:name w:val="Body Text Indent"/>
    <w:basedOn w:val="Normal"/>
    <w:link w:val="BodyTextIndentChar"/>
    <w:uiPriority w:val="99"/>
    <w:semiHidden/>
    <w:rsid w:val="00D758B6"/>
    <w:pPr>
      <w:spacing w:after="120"/>
      <w:ind w:left="360"/>
    </w:pPr>
  </w:style>
  <w:style w:type="character" w:customStyle="1" w:styleId="BodyTextIndentChar">
    <w:name w:val="Body Text Indent Char"/>
    <w:basedOn w:val="DefaultParagraphFont"/>
    <w:link w:val="BodyTextIndent"/>
    <w:uiPriority w:val="99"/>
    <w:semiHidden/>
    <w:locked/>
    <w:rsid w:val="00D758B6"/>
    <w:rPr>
      <w:rFonts w:cs="Times New Roman"/>
    </w:rPr>
  </w:style>
  <w:style w:type="paragraph" w:styleId="BodyTextFirstIndent2">
    <w:name w:val="Body Text First Indent 2"/>
    <w:basedOn w:val="BodyTextIndent"/>
    <w:link w:val="BodyTextFirstIndent2Char"/>
    <w:uiPriority w:val="99"/>
    <w:semiHidden/>
    <w:rsid w:val="00D758B6"/>
    <w:pPr>
      <w:spacing w:after="200"/>
      <w:ind w:firstLine="360"/>
    </w:pPr>
  </w:style>
  <w:style w:type="character" w:customStyle="1" w:styleId="BodyTextFirstIndent2Char">
    <w:name w:val="Body Text First Indent 2 Char"/>
    <w:basedOn w:val="BodyTextIndentChar"/>
    <w:link w:val="BodyTextFirstIndent2"/>
    <w:uiPriority w:val="99"/>
    <w:semiHidden/>
    <w:locked/>
    <w:rsid w:val="00D758B6"/>
    <w:rPr>
      <w:rFonts w:cs="Times New Roman"/>
    </w:rPr>
  </w:style>
  <w:style w:type="paragraph" w:styleId="BodyTextIndent2">
    <w:name w:val="Body Text Indent 2"/>
    <w:basedOn w:val="Normal"/>
    <w:link w:val="BodyTextIndent2Char"/>
    <w:uiPriority w:val="99"/>
    <w:semiHidden/>
    <w:rsid w:val="00D758B6"/>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D758B6"/>
    <w:rPr>
      <w:rFonts w:cs="Times New Roman"/>
    </w:rPr>
  </w:style>
  <w:style w:type="paragraph" w:styleId="BodyTextIndent3">
    <w:name w:val="Body Text Indent 3"/>
    <w:basedOn w:val="Normal"/>
    <w:link w:val="BodyTextIndent3Char"/>
    <w:uiPriority w:val="99"/>
    <w:semiHidden/>
    <w:rsid w:val="00D758B6"/>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sid w:val="00D758B6"/>
    <w:rPr>
      <w:rFonts w:cs="Times New Roman"/>
      <w:sz w:val="16"/>
      <w:szCs w:val="16"/>
    </w:rPr>
  </w:style>
  <w:style w:type="paragraph" w:styleId="Caption">
    <w:name w:val="caption"/>
    <w:basedOn w:val="Normal"/>
    <w:next w:val="Normal"/>
    <w:uiPriority w:val="99"/>
    <w:qFormat/>
    <w:rsid w:val="00D758B6"/>
    <w:pPr>
      <w:spacing w:line="240" w:lineRule="auto"/>
    </w:pPr>
    <w:rPr>
      <w:b/>
      <w:bCs/>
      <w:color w:val="4F81BD"/>
      <w:sz w:val="18"/>
      <w:szCs w:val="18"/>
    </w:rPr>
  </w:style>
  <w:style w:type="paragraph" w:styleId="Closing">
    <w:name w:val="Closing"/>
    <w:basedOn w:val="Normal"/>
    <w:link w:val="ClosingChar"/>
    <w:uiPriority w:val="99"/>
    <w:semiHidden/>
    <w:rsid w:val="00D758B6"/>
    <w:pPr>
      <w:spacing w:after="0" w:line="240" w:lineRule="auto"/>
      <w:ind w:left="4320"/>
    </w:pPr>
  </w:style>
  <w:style w:type="character" w:customStyle="1" w:styleId="ClosingChar">
    <w:name w:val="Closing Char"/>
    <w:basedOn w:val="DefaultParagraphFont"/>
    <w:link w:val="Closing"/>
    <w:uiPriority w:val="99"/>
    <w:semiHidden/>
    <w:locked/>
    <w:rsid w:val="00D758B6"/>
    <w:rPr>
      <w:rFonts w:cs="Times New Roman"/>
    </w:rPr>
  </w:style>
  <w:style w:type="paragraph" w:styleId="Date">
    <w:name w:val="Date"/>
    <w:basedOn w:val="Normal"/>
    <w:next w:val="Normal"/>
    <w:link w:val="DateChar"/>
    <w:uiPriority w:val="99"/>
    <w:semiHidden/>
    <w:rsid w:val="00D758B6"/>
  </w:style>
  <w:style w:type="character" w:customStyle="1" w:styleId="DateChar">
    <w:name w:val="Date Char"/>
    <w:basedOn w:val="DefaultParagraphFont"/>
    <w:link w:val="Date"/>
    <w:uiPriority w:val="99"/>
    <w:semiHidden/>
    <w:locked/>
    <w:rsid w:val="00D758B6"/>
    <w:rPr>
      <w:rFonts w:cs="Times New Roman"/>
    </w:rPr>
  </w:style>
  <w:style w:type="paragraph" w:styleId="DocumentMap">
    <w:name w:val="Document Map"/>
    <w:basedOn w:val="Normal"/>
    <w:link w:val="DocumentMapChar"/>
    <w:uiPriority w:val="99"/>
    <w:semiHidden/>
    <w:rsid w:val="00D758B6"/>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D758B6"/>
    <w:rPr>
      <w:rFonts w:ascii="Tahoma" w:hAnsi="Tahoma" w:cs="Tahoma"/>
      <w:sz w:val="16"/>
      <w:szCs w:val="16"/>
    </w:rPr>
  </w:style>
  <w:style w:type="paragraph" w:styleId="E-mailSignature">
    <w:name w:val="E-mail Signature"/>
    <w:basedOn w:val="Normal"/>
    <w:link w:val="E-mailSignatureChar"/>
    <w:uiPriority w:val="99"/>
    <w:semiHidden/>
    <w:rsid w:val="00D758B6"/>
    <w:pPr>
      <w:spacing w:after="0" w:line="240" w:lineRule="auto"/>
    </w:pPr>
  </w:style>
  <w:style w:type="character" w:customStyle="1" w:styleId="E-mailSignatureChar">
    <w:name w:val="E-mail Signature Char"/>
    <w:basedOn w:val="DefaultParagraphFont"/>
    <w:link w:val="E-mailSignature"/>
    <w:uiPriority w:val="99"/>
    <w:semiHidden/>
    <w:locked/>
    <w:rsid w:val="00D758B6"/>
    <w:rPr>
      <w:rFonts w:cs="Times New Roman"/>
    </w:rPr>
  </w:style>
  <w:style w:type="paragraph" w:styleId="EndnoteText">
    <w:name w:val="endnote text"/>
    <w:basedOn w:val="Normal"/>
    <w:link w:val="EndnoteTextChar"/>
    <w:uiPriority w:val="99"/>
    <w:semiHidden/>
    <w:rsid w:val="00D758B6"/>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D758B6"/>
    <w:rPr>
      <w:rFonts w:cs="Times New Roman"/>
      <w:sz w:val="20"/>
      <w:szCs w:val="20"/>
    </w:rPr>
  </w:style>
  <w:style w:type="paragraph" w:styleId="EnvelopeAddress">
    <w:name w:val="envelope address"/>
    <w:basedOn w:val="Normal"/>
    <w:uiPriority w:val="99"/>
    <w:semiHidden/>
    <w:rsid w:val="00D758B6"/>
    <w:pPr>
      <w:framePr w:w="7920" w:h="1980" w:hRule="exact" w:hSpace="180" w:wrap="auto" w:hAnchor="page" w:xAlign="center" w:yAlign="bottom"/>
      <w:spacing w:after="0" w:line="240" w:lineRule="auto"/>
      <w:ind w:left="2880"/>
    </w:pPr>
    <w:rPr>
      <w:rFonts w:ascii="Cambria" w:eastAsia="Times New Roman" w:hAnsi="Cambria"/>
      <w:sz w:val="24"/>
      <w:szCs w:val="24"/>
    </w:rPr>
  </w:style>
  <w:style w:type="paragraph" w:styleId="EnvelopeReturn">
    <w:name w:val="envelope return"/>
    <w:basedOn w:val="Normal"/>
    <w:uiPriority w:val="99"/>
    <w:semiHidden/>
    <w:rsid w:val="00D758B6"/>
    <w:pPr>
      <w:spacing w:after="0" w:line="240" w:lineRule="auto"/>
    </w:pPr>
    <w:rPr>
      <w:rFonts w:ascii="Cambria" w:eastAsia="Times New Roman" w:hAnsi="Cambria"/>
      <w:sz w:val="20"/>
      <w:szCs w:val="20"/>
    </w:rPr>
  </w:style>
  <w:style w:type="paragraph" w:styleId="HTMLAddress">
    <w:name w:val="HTML Address"/>
    <w:basedOn w:val="Normal"/>
    <w:link w:val="HTMLAddressChar"/>
    <w:uiPriority w:val="99"/>
    <w:semiHidden/>
    <w:rsid w:val="00D758B6"/>
    <w:pPr>
      <w:spacing w:after="0" w:line="240" w:lineRule="auto"/>
    </w:pPr>
    <w:rPr>
      <w:i/>
      <w:iCs/>
    </w:rPr>
  </w:style>
  <w:style w:type="character" w:customStyle="1" w:styleId="HTMLAddressChar">
    <w:name w:val="HTML Address Char"/>
    <w:basedOn w:val="DefaultParagraphFont"/>
    <w:link w:val="HTMLAddress"/>
    <w:uiPriority w:val="99"/>
    <w:semiHidden/>
    <w:locked/>
    <w:rsid w:val="00D758B6"/>
    <w:rPr>
      <w:rFonts w:cs="Times New Roman"/>
      <w:i/>
      <w:iCs/>
    </w:rPr>
  </w:style>
  <w:style w:type="paragraph" w:styleId="HTMLPreformatted">
    <w:name w:val="HTML Preformatted"/>
    <w:basedOn w:val="Normal"/>
    <w:link w:val="HTMLPreformattedChar"/>
    <w:uiPriority w:val="99"/>
    <w:semiHidden/>
    <w:rsid w:val="00D758B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locked/>
    <w:rsid w:val="00D758B6"/>
    <w:rPr>
      <w:rFonts w:ascii="Consolas" w:hAnsi="Consolas" w:cs="Times New Roman"/>
      <w:sz w:val="20"/>
      <w:szCs w:val="20"/>
    </w:rPr>
  </w:style>
  <w:style w:type="paragraph" w:styleId="Index1">
    <w:name w:val="index 1"/>
    <w:basedOn w:val="Normal"/>
    <w:next w:val="Normal"/>
    <w:uiPriority w:val="99"/>
    <w:semiHidden/>
    <w:rsid w:val="00D758B6"/>
    <w:pPr>
      <w:spacing w:after="0" w:line="240" w:lineRule="auto"/>
      <w:ind w:left="220" w:hanging="220"/>
    </w:pPr>
  </w:style>
  <w:style w:type="paragraph" w:styleId="Index2">
    <w:name w:val="index 2"/>
    <w:basedOn w:val="Normal"/>
    <w:next w:val="Normal"/>
    <w:uiPriority w:val="99"/>
    <w:semiHidden/>
    <w:rsid w:val="00D758B6"/>
    <w:pPr>
      <w:spacing w:after="0" w:line="240" w:lineRule="auto"/>
      <w:ind w:left="440" w:hanging="220"/>
    </w:pPr>
  </w:style>
  <w:style w:type="paragraph" w:styleId="Index3">
    <w:name w:val="index 3"/>
    <w:basedOn w:val="Normal"/>
    <w:next w:val="Normal"/>
    <w:uiPriority w:val="99"/>
    <w:semiHidden/>
    <w:rsid w:val="00D758B6"/>
    <w:pPr>
      <w:spacing w:after="0" w:line="240" w:lineRule="auto"/>
      <w:ind w:left="660" w:hanging="220"/>
    </w:pPr>
  </w:style>
  <w:style w:type="paragraph" w:styleId="Index4">
    <w:name w:val="index 4"/>
    <w:basedOn w:val="Normal"/>
    <w:next w:val="Normal"/>
    <w:uiPriority w:val="99"/>
    <w:semiHidden/>
    <w:rsid w:val="00D758B6"/>
    <w:pPr>
      <w:spacing w:after="0" w:line="240" w:lineRule="auto"/>
      <w:ind w:left="880" w:hanging="220"/>
    </w:pPr>
  </w:style>
  <w:style w:type="paragraph" w:styleId="Index5">
    <w:name w:val="index 5"/>
    <w:basedOn w:val="Normal"/>
    <w:next w:val="Normal"/>
    <w:uiPriority w:val="99"/>
    <w:semiHidden/>
    <w:rsid w:val="00D758B6"/>
    <w:pPr>
      <w:spacing w:after="0" w:line="240" w:lineRule="auto"/>
      <w:ind w:left="1100" w:hanging="220"/>
    </w:pPr>
  </w:style>
  <w:style w:type="paragraph" w:styleId="Index6">
    <w:name w:val="index 6"/>
    <w:basedOn w:val="Normal"/>
    <w:next w:val="Normal"/>
    <w:uiPriority w:val="99"/>
    <w:semiHidden/>
    <w:rsid w:val="00D758B6"/>
    <w:pPr>
      <w:spacing w:after="0" w:line="240" w:lineRule="auto"/>
      <w:ind w:left="1320" w:hanging="220"/>
    </w:pPr>
  </w:style>
  <w:style w:type="paragraph" w:styleId="Index7">
    <w:name w:val="index 7"/>
    <w:basedOn w:val="Normal"/>
    <w:next w:val="Normal"/>
    <w:uiPriority w:val="99"/>
    <w:semiHidden/>
    <w:rsid w:val="00D758B6"/>
    <w:pPr>
      <w:spacing w:after="0" w:line="240" w:lineRule="auto"/>
      <w:ind w:left="1540" w:hanging="220"/>
    </w:pPr>
  </w:style>
  <w:style w:type="paragraph" w:styleId="Index8">
    <w:name w:val="index 8"/>
    <w:basedOn w:val="Normal"/>
    <w:next w:val="Normal"/>
    <w:uiPriority w:val="99"/>
    <w:semiHidden/>
    <w:rsid w:val="00D758B6"/>
    <w:pPr>
      <w:spacing w:after="0" w:line="240" w:lineRule="auto"/>
      <w:ind w:left="1760" w:hanging="220"/>
    </w:pPr>
  </w:style>
  <w:style w:type="paragraph" w:styleId="Index9">
    <w:name w:val="index 9"/>
    <w:basedOn w:val="Normal"/>
    <w:next w:val="Normal"/>
    <w:uiPriority w:val="99"/>
    <w:semiHidden/>
    <w:rsid w:val="00D758B6"/>
    <w:pPr>
      <w:spacing w:after="0" w:line="240" w:lineRule="auto"/>
      <w:ind w:left="1980" w:hanging="220"/>
    </w:pPr>
  </w:style>
  <w:style w:type="paragraph" w:styleId="IndexHeading">
    <w:name w:val="index heading"/>
    <w:basedOn w:val="Normal"/>
    <w:next w:val="Index1"/>
    <w:uiPriority w:val="99"/>
    <w:semiHidden/>
    <w:rsid w:val="00D758B6"/>
    <w:rPr>
      <w:rFonts w:ascii="Cambria" w:eastAsia="Times New Roman" w:hAnsi="Cambria"/>
      <w:b/>
      <w:bCs/>
    </w:rPr>
  </w:style>
  <w:style w:type="paragraph" w:styleId="IntenseQuote">
    <w:name w:val="Intense Quote"/>
    <w:basedOn w:val="Normal"/>
    <w:next w:val="Normal"/>
    <w:link w:val="IntenseQuoteChar"/>
    <w:uiPriority w:val="99"/>
    <w:qFormat/>
    <w:rsid w:val="00D758B6"/>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99"/>
    <w:locked/>
    <w:rsid w:val="00D758B6"/>
    <w:rPr>
      <w:rFonts w:cs="Times New Roman"/>
      <w:b/>
      <w:bCs/>
      <w:i/>
      <w:iCs/>
      <w:color w:val="4F81BD"/>
    </w:rPr>
  </w:style>
  <w:style w:type="paragraph" w:styleId="List">
    <w:name w:val="List"/>
    <w:basedOn w:val="Normal"/>
    <w:uiPriority w:val="99"/>
    <w:semiHidden/>
    <w:rsid w:val="00D758B6"/>
    <w:pPr>
      <w:ind w:left="360" w:hanging="360"/>
      <w:contextualSpacing/>
    </w:pPr>
  </w:style>
  <w:style w:type="paragraph" w:styleId="List2">
    <w:name w:val="List 2"/>
    <w:basedOn w:val="Normal"/>
    <w:uiPriority w:val="99"/>
    <w:semiHidden/>
    <w:rsid w:val="00D758B6"/>
    <w:pPr>
      <w:ind w:left="720" w:hanging="360"/>
      <w:contextualSpacing/>
    </w:pPr>
  </w:style>
  <w:style w:type="paragraph" w:styleId="List3">
    <w:name w:val="List 3"/>
    <w:basedOn w:val="Normal"/>
    <w:uiPriority w:val="99"/>
    <w:semiHidden/>
    <w:rsid w:val="00D758B6"/>
    <w:pPr>
      <w:ind w:left="1080" w:hanging="360"/>
      <w:contextualSpacing/>
    </w:pPr>
  </w:style>
  <w:style w:type="paragraph" w:styleId="List4">
    <w:name w:val="List 4"/>
    <w:basedOn w:val="Normal"/>
    <w:uiPriority w:val="99"/>
    <w:semiHidden/>
    <w:rsid w:val="00D758B6"/>
    <w:pPr>
      <w:ind w:left="1440" w:hanging="360"/>
      <w:contextualSpacing/>
    </w:pPr>
  </w:style>
  <w:style w:type="paragraph" w:styleId="List5">
    <w:name w:val="List 5"/>
    <w:basedOn w:val="Normal"/>
    <w:uiPriority w:val="99"/>
    <w:semiHidden/>
    <w:rsid w:val="00D758B6"/>
    <w:pPr>
      <w:ind w:left="1800" w:hanging="360"/>
      <w:contextualSpacing/>
    </w:pPr>
  </w:style>
  <w:style w:type="paragraph" w:styleId="ListBullet">
    <w:name w:val="List Bullet"/>
    <w:basedOn w:val="Normal"/>
    <w:uiPriority w:val="99"/>
    <w:semiHidden/>
    <w:rsid w:val="00D758B6"/>
    <w:pPr>
      <w:numPr>
        <w:numId w:val="18"/>
      </w:numPr>
      <w:tabs>
        <w:tab w:val="clear" w:pos="1080"/>
        <w:tab w:val="num" w:pos="360"/>
      </w:tabs>
      <w:ind w:left="360"/>
      <w:contextualSpacing/>
    </w:pPr>
  </w:style>
  <w:style w:type="paragraph" w:styleId="ListBullet2">
    <w:name w:val="List Bullet 2"/>
    <w:basedOn w:val="Normal"/>
    <w:uiPriority w:val="99"/>
    <w:semiHidden/>
    <w:rsid w:val="00D758B6"/>
    <w:pPr>
      <w:numPr>
        <w:numId w:val="19"/>
      </w:numPr>
      <w:tabs>
        <w:tab w:val="clear" w:pos="1440"/>
        <w:tab w:val="num" w:pos="720"/>
      </w:tabs>
      <w:ind w:left="720"/>
      <w:contextualSpacing/>
    </w:pPr>
  </w:style>
  <w:style w:type="paragraph" w:styleId="ListBullet3">
    <w:name w:val="List Bullet 3"/>
    <w:basedOn w:val="Normal"/>
    <w:uiPriority w:val="99"/>
    <w:semiHidden/>
    <w:rsid w:val="00D758B6"/>
    <w:pPr>
      <w:numPr>
        <w:numId w:val="20"/>
      </w:numPr>
      <w:tabs>
        <w:tab w:val="clear" w:pos="1800"/>
        <w:tab w:val="num" w:pos="1080"/>
      </w:tabs>
      <w:ind w:left="1080"/>
      <w:contextualSpacing/>
    </w:pPr>
  </w:style>
  <w:style w:type="paragraph" w:styleId="ListBullet4">
    <w:name w:val="List Bullet 4"/>
    <w:basedOn w:val="Normal"/>
    <w:uiPriority w:val="99"/>
    <w:semiHidden/>
    <w:rsid w:val="00D758B6"/>
    <w:pPr>
      <w:numPr>
        <w:numId w:val="21"/>
      </w:numPr>
      <w:tabs>
        <w:tab w:val="num" w:pos="1440"/>
      </w:tabs>
      <w:ind w:left="1440"/>
      <w:contextualSpacing/>
    </w:pPr>
  </w:style>
  <w:style w:type="paragraph" w:styleId="ListBullet5">
    <w:name w:val="List Bullet 5"/>
    <w:basedOn w:val="Normal"/>
    <w:uiPriority w:val="99"/>
    <w:semiHidden/>
    <w:rsid w:val="00D758B6"/>
    <w:pPr>
      <w:tabs>
        <w:tab w:val="num" w:pos="1800"/>
      </w:tabs>
      <w:ind w:left="1800" w:hanging="360"/>
      <w:contextualSpacing/>
    </w:pPr>
  </w:style>
  <w:style w:type="paragraph" w:styleId="ListContinue2">
    <w:name w:val="List Continue 2"/>
    <w:basedOn w:val="Normal"/>
    <w:uiPriority w:val="99"/>
    <w:semiHidden/>
    <w:rsid w:val="00D758B6"/>
    <w:pPr>
      <w:spacing w:after="120"/>
      <w:ind w:left="720"/>
      <w:contextualSpacing/>
    </w:pPr>
  </w:style>
  <w:style w:type="paragraph" w:styleId="ListContinue3">
    <w:name w:val="List Continue 3"/>
    <w:basedOn w:val="Normal"/>
    <w:uiPriority w:val="99"/>
    <w:semiHidden/>
    <w:rsid w:val="00D758B6"/>
    <w:pPr>
      <w:spacing w:after="120"/>
      <w:ind w:left="1080"/>
      <w:contextualSpacing/>
    </w:pPr>
  </w:style>
  <w:style w:type="paragraph" w:styleId="ListContinue4">
    <w:name w:val="List Continue 4"/>
    <w:basedOn w:val="Normal"/>
    <w:uiPriority w:val="99"/>
    <w:semiHidden/>
    <w:rsid w:val="00D758B6"/>
    <w:pPr>
      <w:spacing w:after="120"/>
      <w:ind w:left="1440"/>
      <w:contextualSpacing/>
    </w:pPr>
  </w:style>
  <w:style w:type="paragraph" w:styleId="ListContinue5">
    <w:name w:val="List Continue 5"/>
    <w:basedOn w:val="Normal"/>
    <w:uiPriority w:val="99"/>
    <w:semiHidden/>
    <w:rsid w:val="00D758B6"/>
    <w:pPr>
      <w:spacing w:after="120"/>
      <w:ind w:left="1800"/>
      <w:contextualSpacing/>
    </w:pPr>
  </w:style>
  <w:style w:type="paragraph" w:styleId="ListNumber">
    <w:name w:val="List Number"/>
    <w:basedOn w:val="Normal"/>
    <w:uiPriority w:val="99"/>
    <w:semiHidden/>
    <w:rsid w:val="00D758B6"/>
    <w:pPr>
      <w:numPr>
        <w:numId w:val="23"/>
      </w:numPr>
      <w:tabs>
        <w:tab w:val="num" w:pos="360"/>
      </w:tabs>
      <w:ind w:left="360"/>
      <w:contextualSpacing/>
    </w:pPr>
  </w:style>
  <w:style w:type="paragraph" w:styleId="ListNumber2">
    <w:name w:val="List Number 2"/>
    <w:basedOn w:val="Normal"/>
    <w:uiPriority w:val="99"/>
    <w:semiHidden/>
    <w:rsid w:val="00D758B6"/>
    <w:pPr>
      <w:numPr>
        <w:numId w:val="24"/>
      </w:numPr>
      <w:tabs>
        <w:tab w:val="num" w:pos="720"/>
      </w:tabs>
      <w:contextualSpacing/>
    </w:pPr>
  </w:style>
  <w:style w:type="paragraph" w:styleId="ListNumber3">
    <w:name w:val="List Number 3"/>
    <w:basedOn w:val="Normal"/>
    <w:uiPriority w:val="99"/>
    <w:semiHidden/>
    <w:rsid w:val="00D758B6"/>
    <w:pPr>
      <w:numPr>
        <w:numId w:val="25"/>
      </w:numPr>
      <w:tabs>
        <w:tab w:val="num" w:pos="1080"/>
      </w:tabs>
      <w:ind w:left="1080"/>
      <w:contextualSpacing/>
    </w:pPr>
  </w:style>
  <w:style w:type="paragraph" w:styleId="ListNumber4">
    <w:name w:val="List Number 4"/>
    <w:basedOn w:val="Normal"/>
    <w:uiPriority w:val="99"/>
    <w:semiHidden/>
    <w:rsid w:val="00D758B6"/>
    <w:pPr>
      <w:numPr>
        <w:numId w:val="26"/>
      </w:numPr>
      <w:tabs>
        <w:tab w:val="num" w:pos="1440"/>
      </w:tabs>
      <w:ind w:left="1440"/>
      <w:contextualSpacing/>
    </w:pPr>
  </w:style>
  <w:style w:type="paragraph" w:styleId="ListNumber5">
    <w:name w:val="List Number 5"/>
    <w:basedOn w:val="Normal"/>
    <w:uiPriority w:val="99"/>
    <w:semiHidden/>
    <w:rsid w:val="00D758B6"/>
    <w:pPr>
      <w:numPr>
        <w:numId w:val="27"/>
      </w:numPr>
      <w:tabs>
        <w:tab w:val="num" w:pos="1800"/>
      </w:tabs>
      <w:ind w:left="1800"/>
      <w:contextualSpacing/>
    </w:pPr>
  </w:style>
  <w:style w:type="paragraph" w:styleId="MacroText">
    <w:name w:val="macro"/>
    <w:link w:val="MacroTextChar"/>
    <w:uiPriority w:val="99"/>
    <w:semiHidden/>
    <w:rsid w:val="00D758B6"/>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sz w:val="20"/>
      <w:szCs w:val="20"/>
    </w:rPr>
  </w:style>
  <w:style w:type="character" w:customStyle="1" w:styleId="MacroTextChar">
    <w:name w:val="Macro Text Char"/>
    <w:basedOn w:val="DefaultParagraphFont"/>
    <w:link w:val="MacroText"/>
    <w:uiPriority w:val="99"/>
    <w:semiHidden/>
    <w:locked/>
    <w:rsid w:val="00D758B6"/>
    <w:rPr>
      <w:rFonts w:ascii="Consolas" w:hAnsi="Consolas" w:cs="Times New Roman"/>
      <w:lang w:val="en-US" w:eastAsia="en-US" w:bidi="ar-SA"/>
    </w:rPr>
  </w:style>
  <w:style w:type="paragraph" w:styleId="MessageHeader">
    <w:name w:val="Message Header"/>
    <w:basedOn w:val="Normal"/>
    <w:link w:val="MessageHeaderChar"/>
    <w:uiPriority w:val="99"/>
    <w:semiHidden/>
    <w:rsid w:val="00D758B6"/>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Cambria" w:eastAsia="Times New Roman" w:hAnsi="Cambria"/>
      <w:sz w:val="24"/>
      <w:szCs w:val="24"/>
    </w:rPr>
  </w:style>
  <w:style w:type="character" w:customStyle="1" w:styleId="MessageHeaderChar">
    <w:name w:val="Message Header Char"/>
    <w:basedOn w:val="DefaultParagraphFont"/>
    <w:link w:val="MessageHeader"/>
    <w:uiPriority w:val="99"/>
    <w:semiHidden/>
    <w:locked/>
    <w:rsid w:val="00D758B6"/>
    <w:rPr>
      <w:rFonts w:ascii="Cambria" w:hAnsi="Cambria" w:cs="Times New Roman"/>
      <w:sz w:val="24"/>
      <w:szCs w:val="24"/>
      <w:shd w:val="pct20" w:color="auto" w:fill="auto"/>
    </w:rPr>
  </w:style>
  <w:style w:type="paragraph" w:styleId="NoSpacing">
    <w:name w:val="No Spacing"/>
    <w:uiPriority w:val="99"/>
    <w:qFormat/>
    <w:rsid w:val="00D758B6"/>
  </w:style>
  <w:style w:type="paragraph" w:styleId="NormalWeb">
    <w:name w:val="Normal (Web)"/>
    <w:basedOn w:val="Normal"/>
    <w:uiPriority w:val="99"/>
    <w:semiHidden/>
    <w:rsid w:val="00D758B6"/>
    <w:rPr>
      <w:rFonts w:ascii="Times New Roman" w:hAnsi="Times New Roman"/>
      <w:sz w:val="24"/>
      <w:szCs w:val="24"/>
    </w:rPr>
  </w:style>
  <w:style w:type="paragraph" w:styleId="NormalIndent">
    <w:name w:val="Normal Indent"/>
    <w:basedOn w:val="Normal"/>
    <w:uiPriority w:val="99"/>
    <w:semiHidden/>
    <w:rsid w:val="00D758B6"/>
    <w:pPr>
      <w:ind w:left="720"/>
    </w:pPr>
  </w:style>
  <w:style w:type="paragraph" w:styleId="NoteHeading">
    <w:name w:val="Note Heading"/>
    <w:basedOn w:val="Normal"/>
    <w:next w:val="Normal"/>
    <w:link w:val="NoteHeadingChar"/>
    <w:uiPriority w:val="99"/>
    <w:semiHidden/>
    <w:rsid w:val="00D758B6"/>
    <w:pPr>
      <w:spacing w:after="0" w:line="240" w:lineRule="auto"/>
    </w:pPr>
  </w:style>
  <w:style w:type="character" w:customStyle="1" w:styleId="NoteHeadingChar">
    <w:name w:val="Note Heading Char"/>
    <w:basedOn w:val="DefaultParagraphFont"/>
    <w:link w:val="NoteHeading"/>
    <w:uiPriority w:val="99"/>
    <w:semiHidden/>
    <w:locked/>
    <w:rsid w:val="00D758B6"/>
    <w:rPr>
      <w:rFonts w:cs="Times New Roman"/>
    </w:rPr>
  </w:style>
  <w:style w:type="paragraph" w:styleId="PlainText">
    <w:name w:val="Plain Text"/>
    <w:basedOn w:val="Normal"/>
    <w:link w:val="PlainTextChar"/>
    <w:uiPriority w:val="99"/>
    <w:semiHidden/>
    <w:rsid w:val="00D758B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locked/>
    <w:rsid w:val="00D758B6"/>
    <w:rPr>
      <w:rFonts w:ascii="Consolas" w:hAnsi="Consolas" w:cs="Times New Roman"/>
      <w:sz w:val="21"/>
      <w:szCs w:val="21"/>
    </w:rPr>
  </w:style>
  <w:style w:type="paragraph" w:styleId="Quote">
    <w:name w:val="Quote"/>
    <w:basedOn w:val="Normal"/>
    <w:next w:val="Normal"/>
    <w:link w:val="QuoteChar"/>
    <w:uiPriority w:val="99"/>
    <w:qFormat/>
    <w:rsid w:val="00D758B6"/>
    <w:rPr>
      <w:i/>
      <w:iCs/>
      <w:color w:val="000000"/>
    </w:rPr>
  </w:style>
  <w:style w:type="character" w:customStyle="1" w:styleId="QuoteChar">
    <w:name w:val="Quote Char"/>
    <w:basedOn w:val="DefaultParagraphFont"/>
    <w:link w:val="Quote"/>
    <w:uiPriority w:val="99"/>
    <w:locked/>
    <w:rsid w:val="00D758B6"/>
    <w:rPr>
      <w:rFonts w:cs="Times New Roman"/>
      <w:i/>
      <w:iCs/>
      <w:color w:val="000000"/>
    </w:rPr>
  </w:style>
  <w:style w:type="paragraph" w:styleId="Salutation">
    <w:name w:val="Salutation"/>
    <w:basedOn w:val="Normal"/>
    <w:next w:val="Normal"/>
    <w:link w:val="SalutationChar"/>
    <w:uiPriority w:val="99"/>
    <w:semiHidden/>
    <w:rsid w:val="00D758B6"/>
  </w:style>
  <w:style w:type="character" w:customStyle="1" w:styleId="SalutationChar">
    <w:name w:val="Salutation Char"/>
    <w:basedOn w:val="DefaultParagraphFont"/>
    <w:link w:val="Salutation"/>
    <w:uiPriority w:val="99"/>
    <w:semiHidden/>
    <w:locked/>
    <w:rsid w:val="00D758B6"/>
    <w:rPr>
      <w:rFonts w:cs="Times New Roman"/>
    </w:rPr>
  </w:style>
  <w:style w:type="paragraph" w:styleId="Signature">
    <w:name w:val="Signature"/>
    <w:basedOn w:val="Normal"/>
    <w:link w:val="SignatureChar"/>
    <w:uiPriority w:val="99"/>
    <w:semiHidden/>
    <w:rsid w:val="00D758B6"/>
    <w:pPr>
      <w:spacing w:after="0" w:line="240" w:lineRule="auto"/>
      <w:ind w:left="4320"/>
    </w:pPr>
  </w:style>
  <w:style w:type="character" w:customStyle="1" w:styleId="SignatureChar">
    <w:name w:val="Signature Char"/>
    <w:basedOn w:val="DefaultParagraphFont"/>
    <w:link w:val="Signature"/>
    <w:uiPriority w:val="99"/>
    <w:semiHidden/>
    <w:locked/>
    <w:rsid w:val="00D758B6"/>
    <w:rPr>
      <w:rFonts w:cs="Times New Roman"/>
    </w:rPr>
  </w:style>
  <w:style w:type="paragraph" w:styleId="Subtitle">
    <w:name w:val="Subtitle"/>
    <w:basedOn w:val="Normal"/>
    <w:next w:val="Normal"/>
    <w:link w:val="SubtitleChar"/>
    <w:uiPriority w:val="99"/>
    <w:qFormat/>
    <w:rsid w:val="00D758B6"/>
    <w:pPr>
      <w:numPr>
        <w:ilvl w:val="1"/>
      </w:numPr>
    </w:pPr>
    <w:rPr>
      <w:rFonts w:ascii="Cambria" w:eastAsia="Times New Roman" w:hAnsi="Cambria"/>
      <w:i/>
      <w:iCs/>
      <w:color w:val="4F81BD"/>
      <w:spacing w:val="15"/>
      <w:sz w:val="24"/>
      <w:szCs w:val="24"/>
    </w:rPr>
  </w:style>
  <w:style w:type="character" w:customStyle="1" w:styleId="SubtitleChar">
    <w:name w:val="Subtitle Char"/>
    <w:basedOn w:val="DefaultParagraphFont"/>
    <w:link w:val="Subtitle"/>
    <w:uiPriority w:val="99"/>
    <w:locked/>
    <w:rsid w:val="00D758B6"/>
    <w:rPr>
      <w:rFonts w:ascii="Cambria" w:hAnsi="Cambria" w:cs="Times New Roman"/>
      <w:i/>
      <w:iCs/>
      <w:color w:val="4F81BD"/>
      <w:spacing w:val="15"/>
      <w:sz w:val="24"/>
      <w:szCs w:val="24"/>
    </w:rPr>
  </w:style>
  <w:style w:type="paragraph" w:styleId="TableofAuthorities">
    <w:name w:val="table of authorities"/>
    <w:basedOn w:val="Normal"/>
    <w:next w:val="Normal"/>
    <w:uiPriority w:val="99"/>
    <w:semiHidden/>
    <w:rsid w:val="00D758B6"/>
    <w:pPr>
      <w:spacing w:after="0"/>
      <w:ind w:left="220" w:hanging="220"/>
    </w:pPr>
  </w:style>
  <w:style w:type="paragraph" w:styleId="TableofFigures">
    <w:name w:val="table of figures"/>
    <w:basedOn w:val="Normal"/>
    <w:next w:val="Normal"/>
    <w:uiPriority w:val="99"/>
    <w:semiHidden/>
    <w:rsid w:val="00D758B6"/>
    <w:pPr>
      <w:spacing w:after="0"/>
    </w:pPr>
  </w:style>
  <w:style w:type="paragraph" w:styleId="Title">
    <w:name w:val="Title"/>
    <w:basedOn w:val="Normal"/>
    <w:next w:val="Normal"/>
    <w:link w:val="TitleChar"/>
    <w:uiPriority w:val="99"/>
    <w:qFormat/>
    <w:rsid w:val="00D758B6"/>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99"/>
    <w:locked/>
    <w:rsid w:val="00D758B6"/>
    <w:rPr>
      <w:rFonts w:ascii="Cambria" w:hAnsi="Cambria" w:cs="Times New Roman"/>
      <w:color w:val="17365D"/>
      <w:spacing w:val="5"/>
      <w:kern w:val="28"/>
      <w:sz w:val="52"/>
      <w:szCs w:val="52"/>
    </w:rPr>
  </w:style>
  <w:style w:type="paragraph" w:styleId="TOAHeading">
    <w:name w:val="toa heading"/>
    <w:basedOn w:val="Normal"/>
    <w:next w:val="Normal"/>
    <w:uiPriority w:val="99"/>
    <w:semiHidden/>
    <w:rsid w:val="00D758B6"/>
    <w:pPr>
      <w:spacing w:before="120"/>
    </w:pPr>
    <w:rPr>
      <w:rFonts w:ascii="Cambria" w:eastAsia="Times New Roman" w:hAnsi="Cambria"/>
      <w:b/>
      <w:bCs/>
      <w:sz w:val="24"/>
      <w:szCs w:val="24"/>
    </w:rPr>
  </w:style>
  <w:style w:type="paragraph" w:styleId="TOC1">
    <w:name w:val="toc 1"/>
    <w:basedOn w:val="Normal"/>
    <w:next w:val="Normal"/>
    <w:uiPriority w:val="99"/>
    <w:semiHidden/>
    <w:rsid w:val="00D758B6"/>
    <w:pPr>
      <w:spacing w:after="100"/>
    </w:pPr>
  </w:style>
  <w:style w:type="paragraph" w:styleId="TOC2">
    <w:name w:val="toc 2"/>
    <w:basedOn w:val="Normal"/>
    <w:next w:val="Normal"/>
    <w:uiPriority w:val="99"/>
    <w:semiHidden/>
    <w:rsid w:val="00D758B6"/>
    <w:pPr>
      <w:spacing w:after="100"/>
      <w:ind w:left="220"/>
    </w:pPr>
  </w:style>
  <w:style w:type="paragraph" w:styleId="TOC3">
    <w:name w:val="toc 3"/>
    <w:basedOn w:val="Normal"/>
    <w:next w:val="Normal"/>
    <w:uiPriority w:val="99"/>
    <w:semiHidden/>
    <w:rsid w:val="00D758B6"/>
    <w:pPr>
      <w:spacing w:after="100"/>
      <w:ind w:left="440"/>
    </w:pPr>
  </w:style>
  <w:style w:type="paragraph" w:styleId="TOC4">
    <w:name w:val="toc 4"/>
    <w:basedOn w:val="Normal"/>
    <w:next w:val="Normal"/>
    <w:uiPriority w:val="99"/>
    <w:semiHidden/>
    <w:rsid w:val="00D758B6"/>
    <w:pPr>
      <w:spacing w:after="100"/>
      <w:ind w:left="660"/>
    </w:pPr>
  </w:style>
  <w:style w:type="paragraph" w:styleId="TOC5">
    <w:name w:val="toc 5"/>
    <w:basedOn w:val="Normal"/>
    <w:next w:val="Normal"/>
    <w:uiPriority w:val="99"/>
    <w:semiHidden/>
    <w:rsid w:val="00D758B6"/>
    <w:pPr>
      <w:spacing w:after="100"/>
      <w:ind w:left="880"/>
    </w:pPr>
  </w:style>
  <w:style w:type="paragraph" w:styleId="TOC6">
    <w:name w:val="toc 6"/>
    <w:basedOn w:val="Normal"/>
    <w:next w:val="Normal"/>
    <w:uiPriority w:val="99"/>
    <w:semiHidden/>
    <w:rsid w:val="00D758B6"/>
    <w:pPr>
      <w:spacing w:after="100"/>
      <w:ind w:left="1100"/>
    </w:pPr>
  </w:style>
  <w:style w:type="paragraph" w:styleId="TOC7">
    <w:name w:val="toc 7"/>
    <w:basedOn w:val="Normal"/>
    <w:next w:val="Normal"/>
    <w:uiPriority w:val="99"/>
    <w:semiHidden/>
    <w:rsid w:val="00D758B6"/>
    <w:pPr>
      <w:spacing w:after="100"/>
      <w:ind w:left="1320"/>
    </w:pPr>
  </w:style>
  <w:style w:type="paragraph" w:styleId="TOC8">
    <w:name w:val="toc 8"/>
    <w:basedOn w:val="Normal"/>
    <w:next w:val="Normal"/>
    <w:uiPriority w:val="99"/>
    <w:semiHidden/>
    <w:rsid w:val="00D758B6"/>
    <w:pPr>
      <w:spacing w:after="100"/>
      <w:ind w:left="1540"/>
    </w:pPr>
  </w:style>
  <w:style w:type="paragraph" w:styleId="TOC9">
    <w:name w:val="toc 9"/>
    <w:basedOn w:val="Normal"/>
    <w:next w:val="Normal"/>
    <w:uiPriority w:val="99"/>
    <w:semiHidden/>
    <w:rsid w:val="00D758B6"/>
    <w:pPr>
      <w:spacing w:after="100"/>
      <w:ind w:left="1760"/>
    </w:pPr>
  </w:style>
  <w:style w:type="paragraph" w:styleId="TOCHeading">
    <w:name w:val="TOC Heading"/>
    <w:basedOn w:val="Heading1"/>
    <w:next w:val="Normal"/>
    <w:uiPriority w:val="99"/>
    <w:qFormat/>
    <w:rsid w:val="00D758B6"/>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rocis.gov/rocis/jsp/common/ROCIS_HOW_TO_Guide_for_AGENCY_Users_of_ICR_Module-03192012_v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6</Pages>
  <Words>1681</Words>
  <Characters>9945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FERC</Company>
  <LinksUpToDate>false</LinksUpToDate>
  <CharactersWithSpaces>11603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ferc</dc:creator>
  <cp:lastModifiedBy>Anthony May</cp:lastModifiedBy>
  <cp:revision>6</cp:revision>
  <cp:lastPrinted>2012-12-03T17:48:00Z</cp:lastPrinted>
  <dcterms:created xsi:type="dcterms:W3CDTF">2012-12-03T17:53:00Z</dcterms:created>
  <dcterms:modified xsi:type="dcterms:W3CDTF">2012-12-17T19:05:00Z</dcterms:modified>
</cp:coreProperties>
</file>