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A7" w:rsidRDefault="00975B76" w:rsidP="003736D7">
      <w:pPr>
        <w:contextualSpacing/>
        <w:jc w:val="center"/>
        <w:outlineLvl w:val="0"/>
        <w:rPr>
          <w:rFonts w:ascii="Calibri" w:hAnsi="Calibri"/>
        </w:rPr>
      </w:pPr>
      <w:r>
        <w:rPr>
          <w:rFonts w:ascii="Calibri" w:hAnsi="Calibri"/>
        </w:rPr>
        <w:t>11/1/2012</w:t>
      </w:r>
    </w:p>
    <w:p w:rsidR="004F37EE" w:rsidRPr="00E03D70" w:rsidRDefault="004F37EE" w:rsidP="004F37EE">
      <w:pPr>
        <w:contextualSpacing/>
        <w:jc w:val="center"/>
        <w:rPr>
          <w:rFonts w:ascii="Calibri" w:hAnsi="Calibri"/>
        </w:rPr>
      </w:pPr>
    </w:p>
    <w:p w:rsidR="003B2FA7" w:rsidRPr="00E03D70" w:rsidRDefault="003B2FA7" w:rsidP="003B2FA7">
      <w:pPr>
        <w:contextualSpacing/>
        <w:jc w:val="center"/>
        <w:rPr>
          <w:rFonts w:ascii="Calibri" w:hAnsi="Calibri"/>
        </w:rPr>
      </w:pPr>
    </w:p>
    <w:p w:rsidR="003B2FA7" w:rsidRPr="00E03D70" w:rsidRDefault="006F6C8F" w:rsidP="003736D7">
      <w:pPr>
        <w:contextualSpacing/>
        <w:outlineLvl w:val="0"/>
        <w:rPr>
          <w:rFonts w:ascii="Calibri" w:hAnsi="Calibri"/>
        </w:rPr>
      </w:pPr>
      <w:r>
        <w:rPr>
          <w:rFonts w:ascii="Calibri" w:hAnsi="Calibri"/>
        </w:rPr>
        <w:t>MEMORANDUM FOR</w:t>
      </w:r>
      <w:r w:rsidR="0008613E">
        <w:rPr>
          <w:rFonts w:ascii="Calibri" w:hAnsi="Calibri"/>
        </w:rPr>
        <w:t xml:space="preserve"> </w:t>
      </w:r>
      <w:bookmarkStart w:id="0" w:name="Text1"/>
      <w:r w:rsidR="00C11368">
        <w:rPr>
          <w:rFonts w:ascii="Calibri" w:hAnsi="Calibri"/>
        </w:rPr>
        <w:t>Chad Whiteman</w:t>
      </w:r>
      <w:bookmarkEnd w:id="0"/>
    </w:p>
    <w:p w:rsidR="003B2FA7" w:rsidRDefault="005A0C0F" w:rsidP="003B2FA7">
      <w:pPr>
        <w:contextualSpacing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11368">
        <w:rPr>
          <w:rFonts w:ascii="Calibri" w:hAnsi="Calibri"/>
        </w:rPr>
        <w:t>Policy Analyst</w:t>
      </w:r>
    </w:p>
    <w:p w:rsidR="00975B76" w:rsidRPr="00E03D70" w:rsidRDefault="00975B76" w:rsidP="003B2FA7">
      <w:pPr>
        <w:contextualSpacing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Office of Management and Budget</w:t>
      </w:r>
    </w:p>
    <w:p w:rsidR="004F37EE" w:rsidRDefault="004F37EE" w:rsidP="006F6C8F">
      <w:pPr>
        <w:tabs>
          <w:tab w:val="left" w:pos="2160"/>
        </w:tabs>
        <w:contextualSpacing/>
        <w:rPr>
          <w:rFonts w:ascii="Calibri" w:hAnsi="Calibri"/>
        </w:rPr>
      </w:pPr>
    </w:p>
    <w:p w:rsidR="005A0C0F" w:rsidRPr="005A0C0F" w:rsidRDefault="003B2FA7" w:rsidP="005A0C0F">
      <w:pPr>
        <w:tabs>
          <w:tab w:val="left" w:pos="2160"/>
        </w:tabs>
        <w:contextualSpacing/>
        <w:outlineLvl w:val="0"/>
        <w:rPr>
          <w:rFonts w:ascii="Calibri" w:hAnsi="Calibri"/>
        </w:rPr>
      </w:pPr>
      <w:r w:rsidRPr="00E03D70">
        <w:rPr>
          <w:rFonts w:ascii="Calibri" w:hAnsi="Calibri"/>
        </w:rPr>
        <w:t>FROM:</w:t>
      </w:r>
      <w:r w:rsidRPr="00E03D70">
        <w:rPr>
          <w:rFonts w:ascii="Calibri" w:hAnsi="Calibri"/>
        </w:rPr>
        <w:tab/>
      </w:r>
      <w:r w:rsidR="00AA2590">
        <w:rPr>
          <w:rFonts w:ascii="Calibri" w:hAnsi="Calibri"/>
        </w:rPr>
        <w:t>A</w:t>
      </w:r>
      <w:r w:rsidR="00C11368">
        <w:rPr>
          <w:rFonts w:ascii="Calibri" w:hAnsi="Calibri"/>
        </w:rPr>
        <w:t>dam</w:t>
      </w:r>
      <w:r w:rsidR="00AA2590">
        <w:rPr>
          <w:rFonts w:ascii="Calibri" w:hAnsi="Calibri"/>
        </w:rPr>
        <w:t xml:space="preserve"> S</w:t>
      </w:r>
      <w:r w:rsidR="00C11368">
        <w:rPr>
          <w:rFonts w:ascii="Calibri" w:hAnsi="Calibri"/>
        </w:rPr>
        <w:t>ieminski</w:t>
      </w:r>
    </w:p>
    <w:p w:rsidR="005A0C0F" w:rsidRPr="005A0C0F" w:rsidRDefault="005A0C0F" w:rsidP="005A0C0F">
      <w:pPr>
        <w:tabs>
          <w:tab w:val="left" w:pos="2160"/>
        </w:tabs>
        <w:contextualSpacing/>
        <w:outlineLvl w:val="0"/>
        <w:rPr>
          <w:rFonts w:ascii="Calibri" w:hAnsi="Calibri"/>
        </w:rPr>
      </w:pPr>
      <w:r w:rsidRPr="005A0C0F">
        <w:rPr>
          <w:rFonts w:ascii="Calibri" w:hAnsi="Calibri"/>
        </w:rPr>
        <w:tab/>
        <w:t>A</w:t>
      </w:r>
      <w:r w:rsidR="00C11368">
        <w:rPr>
          <w:rFonts w:ascii="Calibri" w:hAnsi="Calibri"/>
        </w:rPr>
        <w:t>dministrator</w:t>
      </w:r>
    </w:p>
    <w:p w:rsidR="003B2FA7" w:rsidRPr="005A0C0F" w:rsidRDefault="005A0C0F" w:rsidP="005A0C0F">
      <w:pPr>
        <w:tabs>
          <w:tab w:val="left" w:pos="2160"/>
        </w:tabs>
        <w:contextualSpacing/>
        <w:outlineLvl w:val="0"/>
        <w:rPr>
          <w:rFonts w:ascii="Calibri" w:hAnsi="Calibri"/>
        </w:rPr>
      </w:pPr>
      <w:r w:rsidRPr="005A0C0F">
        <w:rPr>
          <w:rFonts w:ascii="Calibri" w:hAnsi="Calibri"/>
        </w:rPr>
        <w:tab/>
      </w:r>
      <w:r w:rsidR="00C11368">
        <w:rPr>
          <w:rFonts w:ascii="Calibri" w:hAnsi="Calibri"/>
        </w:rPr>
        <w:t xml:space="preserve">U.S. </w:t>
      </w:r>
      <w:r w:rsidRPr="005A0C0F">
        <w:rPr>
          <w:rFonts w:ascii="Calibri" w:hAnsi="Calibri"/>
        </w:rPr>
        <w:t>E</w:t>
      </w:r>
      <w:r w:rsidR="00C11368">
        <w:rPr>
          <w:rFonts w:ascii="Calibri" w:hAnsi="Calibri"/>
        </w:rPr>
        <w:t>nergy</w:t>
      </w:r>
      <w:r w:rsidRPr="005A0C0F">
        <w:rPr>
          <w:rFonts w:ascii="Calibri" w:hAnsi="Calibri"/>
        </w:rPr>
        <w:t xml:space="preserve"> I</w:t>
      </w:r>
      <w:r w:rsidR="00C11368">
        <w:rPr>
          <w:rFonts w:ascii="Calibri" w:hAnsi="Calibri"/>
        </w:rPr>
        <w:t>nformation</w:t>
      </w:r>
      <w:r w:rsidRPr="005A0C0F">
        <w:rPr>
          <w:rFonts w:ascii="Calibri" w:hAnsi="Calibri"/>
        </w:rPr>
        <w:t xml:space="preserve"> A</w:t>
      </w:r>
      <w:r w:rsidR="00C11368">
        <w:rPr>
          <w:rFonts w:ascii="Calibri" w:hAnsi="Calibri"/>
        </w:rPr>
        <w:t>dministration</w:t>
      </w:r>
    </w:p>
    <w:p w:rsidR="009C72C1" w:rsidRPr="00E03D70" w:rsidRDefault="004F37EE" w:rsidP="003736D7">
      <w:pPr>
        <w:tabs>
          <w:tab w:val="left" w:pos="2160"/>
        </w:tabs>
        <w:contextualSpacing/>
        <w:outlineLvl w:val="0"/>
        <w:rPr>
          <w:rFonts w:ascii="Calibri" w:hAnsi="Calibri"/>
        </w:rPr>
      </w:pPr>
      <w:r>
        <w:rPr>
          <w:rFonts w:ascii="Calibri" w:hAnsi="Calibri"/>
        </w:rPr>
        <w:tab/>
      </w:r>
    </w:p>
    <w:p w:rsidR="003B2FA7" w:rsidRPr="00E03D70" w:rsidRDefault="003B2FA7" w:rsidP="00C11368">
      <w:pPr>
        <w:tabs>
          <w:tab w:val="left" w:pos="2160"/>
        </w:tabs>
        <w:ind w:left="2160" w:hanging="2160"/>
        <w:contextualSpacing/>
        <w:rPr>
          <w:rFonts w:ascii="Calibri" w:hAnsi="Calibri"/>
        </w:rPr>
      </w:pPr>
      <w:r w:rsidRPr="00E03D70">
        <w:rPr>
          <w:rFonts w:ascii="Calibri" w:hAnsi="Calibri"/>
        </w:rPr>
        <w:t>SUBJECT:</w:t>
      </w:r>
      <w:r w:rsidRPr="00E03D70">
        <w:rPr>
          <w:rFonts w:ascii="Calibri" w:hAnsi="Calibri"/>
        </w:rPr>
        <w:tab/>
      </w:r>
      <w:bookmarkStart w:id="1" w:name="Text6"/>
      <w:r w:rsidR="00C11368">
        <w:rPr>
          <w:rFonts w:ascii="Calibri" w:hAnsi="Calibri"/>
        </w:rPr>
        <w:t>Estimating Vehicle Fuel Supply in the New York Metropolitan Area.</w:t>
      </w:r>
      <w:bookmarkEnd w:id="1"/>
      <w:r w:rsidR="00156B7B" w:rsidRPr="00E03D70">
        <w:rPr>
          <w:rFonts w:ascii="Calibri" w:hAnsi="Calibri"/>
        </w:rPr>
        <w:t xml:space="preserve"> </w:t>
      </w:r>
    </w:p>
    <w:p w:rsidR="003B2FA7" w:rsidRPr="00E03D70" w:rsidRDefault="003B2FA7" w:rsidP="003B2FA7">
      <w:pPr>
        <w:contextualSpacing/>
        <w:rPr>
          <w:rFonts w:ascii="Calibri" w:hAnsi="Calibri"/>
        </w:rPr>
      </w:pPr>
    </w:p>
    <w:p w:rsidR="000D5B45" w:rsidRDefault="00AA2590" w:rsidP="003B2FA7">
      <w:pPr>
        <w:contextualSpacing/>
        <w:rPr>
          <w:rFonts w:ascii="Calibri" w:hAnsi="Calibri"/>
        </w:rPr>
      </w:pPr>
      <w:r>
        <w:rPr>
          <w:rFonts w:ascii="Calibri" w:hAnsi="Calibri"/>
        </w:rPr>
        <w:t xml:space="preserve">The Energy Information Administration (EIA) </w:t>
      </w:r>
      <w:r w:rsidR="00C455D4">
        <w:rPr>
          <w:rFonts w:ascii="Calibri" w:hAnsi="Calibri"/>
        </w:rPr>
        <w:t>requests</w:t>
      </w:r>
      <w:r w:rsidR="004718F6">
        <w:rPr>
          <w:rFonts w:ascii="Calibri" w:hAnsi="Calibri"/>
        </w:rPr>
        <w:t xml:space="preserve"> that</w:t>
      </w:r>
      <w:r>
        <w:rPr>
          <w:rFonts w:ascii="Calibri" w:hAnsi="Calibri"/>
        </w:rPr>
        <w:t xml:space="preserve"> the Office of Management and Budget </w:t>
      </w:r>
      <w:r w:rsidR="007878D5">
        <w:rPr>
          <w:rFonts w:ascii="Calibri" w:hAnsi="Calibri"/>
        </w:rPr>
        <w:t xml:space="preserve">(OMB) </w:t>
      </w:r>
      <w:r w:rsidR="004718F6">
        <w:rPr>
          <w:rFonts w:ascii="Calibri" w:hAnsi="Calibri"/>
        </w:rPr>
        <w:t>approve a non-substantive change to the existing approved collection with OMB control number 1905-0174 for</w:t>
      </w:r>
      <w:r>
        <w:rPr>
          <w:rFonts w:ascii="Calibri" w:hAnsi="Calibri"/>
        </w:rPr>
        <w:t xml:space="preserve"> </w:t>
      </w:r>
      <w:r w:rsidR="000230A9">
        <w:rPr>
          <w:rFonts w:ascii="Calibri" w:hAnsi="Calibri"/>
        </w:rPr>
        <w:t xml:space="preserve">modification </w:t>
      </w:r>
      <w:r>
        <w:rPr>
          <w:rFonts w:ascii="Calibri" w:hAnsi="Calibri"/>
        </w:rPr>
        <w:t>in collection frequency</w:t>
      </w:r>
      <w:r w:rsidR="000230A9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0230A9">
        <w:rPr>
          <w:rFonts w:ascii="Calibri" w:hAnsi="Calibri"/>
        </w:rPr>
        <w:t xml:space="preserve">and </w:t>
      </w:r>
      <w:r w:rsidR="0011046A">
        <w:rPr>
          <w:rFonts w:ascii="Calibri" w:hAnsi="Calibri"/>
        </w:rPr>
        <w:t xml:space="preserve">the addition of two </w:t>
      </w:r>
      <w:r w:rsidR="000230A9">
        <w:rPr>
          <w:rFonts w:ascii="Calibri" w:hAnsi="Calibri"/>
        </w:rPr>
        <w:t xml:space="preserve">questions </w:t>
      </w:r>
      <w:r w:rsidR="00C11368">
        <w:rPr>
          <w:rFonts w:ascii="Calibri" w:hAnsi="Calibri"/>
        </w:rPr>
        <w:t xml:space="preserve">for </w:t>
      </w:r>
      <w:r w:rsidR="000E308D">
        <w:rPr>
          <w:rFonts w:ascii="Calibri" w:hAnsi="Calibri"/>
        </w:rPr>
        <w:t xml:space="preserve">Form </w:t>
      </w:r>
      <w:r w:rsidR="00C11368">
        <w:rPr>
          <w:rFonts w:ascii="Calibri" w:hAnsi="Calibri"/>
        </w:rPr>
        <w:t xml:space="preserve">EIA-878, “Motor Gasoline Price Survey” to assess vehicle fuel supply conditions from the damage from Hurricane Sandy.  This hurricane struck the U.S. East Coast on Monday October 29, 2012.   </w:t>
      </w:r>
      <w:r w:rsidR="009E5969">
        <w:rPr>
          <w:rFonts w:ascii="Calibri" w:hAnsi="Calibri"/>
        </w:rPr>
        <w:t>The</w:t>
      </w:r>
      <w:r w:rsidR="000E308D">
        <w:rPr>
          <w:rFonts w:ascii="Calibri" w:hAnsi="Calibri"/>
        </w:rPr>
        <w:t xml:space="preserve"> weekly survey use</w:t>
      </w:r>
      <w:r w:rsidR="009E5969">
        <w:rPr>
          <w:rFonts w:ascii="Calibri" w:hAnsi="Calibri"/>
        </w:rPr>
        <w:t>s</w:t>
      </w:r>
      <w:r w:rsidR="000E308D">
        <w:rPr>
          <w:rFonts w:ascii="Calibri" w:hAnsi="Calibri"/>
        </w:rPr>
        <w:t xml:space="preserve"> </w:t>
      </w:r>
      <w:r w:rsidR="009E5969">
        <w:rPr>
          <w:rFonts w:ascii="Calibri" w:hAnsi="Calibri"/>
        </w:rPr>
        <w:t xml:space="preserve">a </w:t>
      </w:r>
      <w:r w:rsidR="000E308D">
        <w:rPr>
          <w:rFonts w:ascii="Calibri" w:hAnsi="Calibri"/>
        </w:rPr>
        <w:t xml:space="preserve">sample to generate statistical estimates. There are </w:t>
      </w:r>
      <w:r w:rsidR="0095407F">
        <w:rPr>
          <w:rFonts w:ascii="Calibri" w:hAnsi="Calibri"/>
        </w:rPr>
        <w:t>800</w:t>
      </w:r>
      <w:r w:rsidR="000E308D">
        <w:rPr>
          <w:rFonts w:ascii="Calibri" w:hAnsi="Calibri"/>
        </w:rPr>
        <w:t xml:space="preserve"> respondents in the EIA-878 sample</w:t>
      </w:r>
      <w:r w:rsidR="00367717">
        <w:rPr>
          <w:rFonts w:ascii="Calibri" w:hAnsi="Calibri"/>
        </w:rPr>
        <w:t xml:space="preserve">, but this request would affect only </w:t>
      </w:r>
      <w:bookmarkStart w:id="2" w:name="_GoBack"/>
      <w:bookmarkEnd w:id="2"/>
      <w:r w:rsidR="00367717">
        <w:rPr>
          <w:rFonts w:ascii="Calibri" w:hAnsi="Calibri"/>
        </w:rPr>
        <w:t>the 30 respondents in the New York Metropolitan Area</w:t>
      </w:r>
      <w:r w:rsidR="009E5969">
        <w:rPr>
          <w:rFonts w:ascii="Calibri" w:hAnsi="Calibri"/>
        </w:rPr>
        <w:t>.</w:t>
      </w:r>
    </w:p>
    <w:p w:rsidR="00374A19" w:rsidRDefault="00374A19" w:rsidP="003B2FA7">
      <w:pPr>
        <w:contextualSpacing/>
        <w:rPr>
          <w:rFonts w:ascii="Calibri" w:hAnsi="Calibri"/>
        </w:rPr>
      </w:pPr>
    </w:p>
    <w:p w:rsidR="00285409" w:rsidRPr="003F31F2" w:rsidRDefault="00285409" w:rsidP="00285409">
      <w:pPr>
        <w:contextualSpacing/>
        <w:rPr>
          <w:rFonts w:ascii="Calibri" w:hAnsi="Calibri"/>
          <w:u w:val="single"/>
        </w:rPr>
      </w:pPr>
      <w:r w:rsidRPr="003F31F2">
        <w:rPr>
          <w:rFonts w:ascii="Calibri" w:hAnsi="Calibri"/>
          <w:u w:val="single"/>
        </w:rPr>
        <w:t>Respondents</w:t>
      </w:r>
    </w:p>
    <w:p w:rsidR="00374A19" w:rsidRDefault="00593417" w:rsidP="00B220DF">
      <w:pPr>
        <w:contextualSpacing/>
        <w:rPr>
          <w:rFonts w:ascii="Calibri" w:hAnsi="Calibri"/>
        </w:rPr>
      </w:pPr>
      <w:r>
        <w:rPr>
          <w:rFonts w:ascii="Calibri" w:hAnsi="Calibri"/>
        </w:rPr>
        <w:t>Selected retailers of fuel would</w:t>
      </w:r>
      <w:r w:rsidR="00374A19">
        <w:rPr>
          <w:rFonts w:ascii="Calibri" w:hAnsi="Calibri"/>
        </w:rPr>
        <w:t xml:space="preserve"> consist of those currently in the sample that are</w:t>
      </w:r>
      <w:r w:rsidR="007878D5">
        <w:rPr>
          <w:rFonts w:ascii="Calibri" w:hAnsi="Calibri"/>
        </w:rPr>
        <w:t xml:space="preserve"> located</w:t>
      </w:r>
      <w:r w:rsidR="00374A19">
        <w:rPr>
          <w:rFonts w:ascii="Calibri" w:hAnsi="Calibri"/>
        </w:rPr>
        <w:t xml:space="preserve"> in the New York Metropolitan Area</w:t>
      </w:r>
      <w:r w:rsidR="009E5969">
        <w:rPr>
          <w:rFonts w:ascii="Calibri" w:hAnsi="Calibri"/>
        </w:rPr>
        <w:t>.</w:t>
      </w:r>
      <w:r w:rsidR="00374A19">
        <w:rPr>
          <w:rFonts w:ascii="Calibri" w:hAnsi="Calibri"/>
        </w:rPr>
        <w:t xml:space="preserve">  </w:t>
      </w:r>
    </w:p>
    <w:p w:rsidR="00285409" w:rsidRDefault="00285409" w:rsidP="00B220DF">
      <w:pPr>
        <w:contextualSpacing/>
        <w:rPr>
          <w:rFonts w:ascii="Calibri" w:hAnsi="Calibri"/>
          <w:b/>
          <w:u w:val="single"/>
        </w:rPr>
      </w:pPr>
    </w:p>
    <w:p w:rsidR="00285409" w:rsidRDefault="00285409" w:rsidP="00B220DF">
      <w:pPr>
        <w:contextualSpacing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Frequency of Survey Submissions</w:t>
      </w:r>
    </w:p>
    <w:p w:rsidR="004F0C27" w:rsidRDefault="00C455D4" w:rsidP="00B220DF">
      <w:pPr>
        <w:contextualSpacing/>
        <w:rPr>
          <w:rFonts w:ascii="Calibri" w:hAnsi="Calibri"/>
        </w:rPr>
      </w:pPr>
      <w:r>
        <w:rPr>
          <w:rFonts w:ascii="Calibri" w:hAnsi="Calibri"/>
        </w:rPr>
        <w:t>Data collection would</w:t>
      </w:r>
      <w:r w:rsidR="003F31F2">
        <w:rPr>
          <w:rFonts w:ascii="Calibri" w:hAnsi="Calibri"/>
        </w:rPr>
        <w:t xml:space="preserve"> begin on </w:t>
      </w:r>
      <w:r w:rsidR="004F0C27">
        <w:rPr>
          <w:rFonts w:ascii="Calibri" w:hAnsi="Calibri"/>
        </w:rPr>
        <w:t xml:space="preserve">November 2, </w:t>
      </w:r>
      <w:r w:rsidR="003F31F2">
        <w:rPr>
          <w:rFonts w:ascii="Calibri" w:hAnsi="Calibri"/>
        </w:rPr>
        <w:t>2012</w:t>
      </w:r>
      <w:r>
        <w:rPr>
          <w:rFonts w:ascii="Calibri" w:hAnsi="Calibri"/>
        </w:rPr>
        <w:t>, and would</w:t>
      </w:r>
      <w:r w:rsidR="003F31F2">
        <w:rPr>
          <w:rFonts w:ascii="Calibri" w:hAnsi="Calibri"/>
        </w:rPr>
        <w:t xml:space="preserve"> be conducted </w:t>
      </w:r>
      <w:r w:rsidR="00285409">
        <w:rPr>
          <w:rFonts w:ascii="Calibri" w:hAnsi="Calibri"/>
        </w:rPr>
        <w:t xml:space="preserve">daily </w:t>
      </w:r>
      <w:r w:rsidR="003F31F2">
        <w:rPr>
          <w:rFonts w:ascii="Calibri" w:hAnsi="Calibri"/>
        </w:rPr>
        <w:t xml:space="preserve">for up </w:t>
      </w:r>
      <w:proofErr w:type="gramStart"/>
      <w:r w:rsidR="003F31F2">
        <w:rPr>
          <w:rFonts w:ascii="Calibri" w:hAnsi="Calibri"/>
        </w:rPr>
        <w:t>to</w:t>
      </w:r>
      <w:proofErr w:type="gramEnd"/>
      <w:r w:rsidR="003F31F2">
        <w:rPr>
          <w:rFonts w:ascii="Calibri" w:hAnsi="Calibri"/>
        </w:rPr>
        <w:t xml:space="preserve"> </w:t>
      </w:r>
      <w:r w:rsidR="00285409">
        <w:rPr>
          <w:rFonts w:ascii="Calibri" w:hAnsi="Calibri"/>
        </w:rPr>
        <w:t>twen</w:t>
      </w:r>
      <w:r w:rsidR="007A2012">
        <w:rPr>
          <w:rFonts w:ascii="Calibri" w:hAnsi="Calibri"/>
        </w:rPr>
        <w:t xml:space="preserve">ty </w:t>
      </w:r>
      <w:r w:rsidR="00285409">
        <w:rPr>
          <w:rFonts w:ascii="Calibri" w:hAnsi="Calibri"/>
        </w:rPr>
        <w:t>days.  Data collection w</w:t>
      </w:r>
      <w:r>
        <w:rPr>
          <w:rFonts w:ascii="Calibri" w:hAnsi="Calibri"/>
        </w:rPr>
        <w:t>ould</w:t>
      </w:r>
      <w:r w:rsidR="00285409">
        <w:rPr>
          <w:rFonts w:ascii="Calibri" w:hAnsi="Calibri"/>
        </w:rPr>
        <w:t xml:space="preserve"> be primarily by telephone or electronic mail.  </w:t>
      </w:r>
      <w:r>
        <w:rPr>
          <w:rFonts w:ascii="Calibri" w:hAnsi="Calibri"/>
        </w:rPr>
        <w:t>The data would</w:t>
      </w:r>
      <w:r w:rsidR="003F31F2">
        <w:rPr>
          <w:rFonts w:ascii="Calibri" w:hAnsi="Calibri"/>
        </w:rPr>
        <w:t xml:space="preserve"> be collected from the retailers in the affected area until they are operating at normal levels.  On or be</w:t>
      </w:r>
      <w:r>
        <w:rPr>
          <w:rFonts w:ascii="Calibri" w:hAnsi="Calibri"/>
        </w:rPr>
        <w:t>fore November 16, 2012, EIA would</w:t>
      </w:r>
      <w:r w:rsidR="003F31F2">
        <w:rPr>
          <w:rFonts w:ascii="Calibri" w:hAnsi="Calibri"/>
        </w:rPr>
        <w:t xml:space="preserve"> reassess fuel supply disruptions </w:t>
      </w:r>
      <w:r w:rsidR="003F31F2" w:rsidRPr="0095407F">
        <w:rPr>
          <w:rFonts w:ascii="Calibri" w:hAnsi="Calibri"/>
        </w:rPr>
        <w:t xml:space="preserve">caused by Hurricane Sandy and determine if it is necessary to collect data for an additional period of time and send </w:t>
      </w:r>
      <w:r>
        <w:rPr>
          <w:rFonts w:ascii="Calibri" w:hAnsi="Calibri"/>
        </w:rPr>
        <w:t>a supplemental request</w:t>
      </w:r>
      <w:r w:rsidR="003F31F2" w:rsidRPr="0095407F">
        <w:rPr>
          <w:rFonts w:ascii="Calibri" w:hAnsi="Calibri"/>
        </w:rPr>
        <w:t xml:space="preserve"> to OMB.  If EIA finds that less frequent data collection satisfies the need for information about the rec</w:t>
      </w:r>
      <w:r>
        <w:rPr>
          <w:rFonts w:ascii="Calibri" w:hAnsi="Calibri"/>
        </w:rPr>
        <w:t>overy of fuel retailers, we would</w:t>
      </w:r>
      <w:r w:rsidR="003F31F2" w:rsidRPr="0095407F">
        <w:rPr>
          <w:rFonts w:ascii="Calibri" w:hAnsi="Calibri"/>
        </w:rPr>
        <w:t xml:space="preserve"> reduce the frequency of data collection.  </w:t>
      </w:r>
    </w:p>
    <w:p w:rsidR="00374A19" w:rsidRPr="0095407F" w:rsidRDefault="004F0C27" w:rsidP="004F0C27">
      <w:pPr>
        <w:ind w:firstLine="720"/>
        <w:contextualSpacing/>
        <w:rPr>
          <w:rFonts w:ascii="Calibri" w:hAnsi="Calibri"/>
          <w:u w:val="single"/>
        </w:rPr>
      </w:pPr>
      <w:r>
        <w:rPr>
          <w:rFonts w:ascii="Calibri" w:hAnsi="Calibri"/>
        </w:rPr>
        <w:t xml:space="preserve">There is precedent for conducting this survey on a daily basis during </w:t>
      </w:r>
      <w:r w:rsidR="00E616AF">
        <w:rPr>
          <w:rFonts w:ascii="Calibri" w:hAnsi="Calibri"/>
        </w:rPr>
        <w:t>emergency periods</w:t>
      </w:r>
      <w:r>
        <w:rPr>
          <w:rFonts w:ascii="Calibri" w:hAnsi="Calibri"/>
        </w:rPr>
        <w:t xml:space="preserve">.  </w:t>
      </w:r>
      <w:r w:rsidR="00BF2124" w:rsidRPr="0095407F">
        <w:rPr>
          <w:rFonts w:ascii="Calibri" w:hAnsi="Calibri"/>
        </w:rPr>
        <w:t>The EIA-878 survey provided daily estimates from April 29, 1996</w:t>
      </w:r>
      <w:r w:rsidR="00C455D4">
        <w:rPr>
          <w:rFonts w:ascii="Calibri" w:hAnsi="Calibri"/>
        </w:rPr>
        <w:t>,</w:t>
      </w:r>
      <w:r w:rsidR="00BF2124" w:rsidRPr="0095407F">
        <w:rPr>
          <w:rFonts w:ascii="Calibri" w:hAnsi="Calibri"/>
        </w:rPr>
        <w:t xml:space="preserve"> through August 2, 1996</w:t>
      </w:r>
      <w:r w:rsidR="00C455D4">
        <w:rPr>
          <w:rFonts w:ascii="Calibri" w:hAnsi="Calibri"/>
        </w:rPr>
        <w:t>,</w:t>
      </w:r>
      <w:r w:rsidR="00BF2124" w:rsidRPr="0095407F">
        <w:rPr>
          <w:rFonts w:ascii="Calibri" w:hAnsi="Calibri"/>
        </w:rPr>
        <w:t xml:space="preserve"> to Congress, Federal officials, and the transportation industry in order to m</w:t>
      </w:r>
      <w:r w:rsidR="00C455D4">
        <w:rPr>
          <w:rFonts w:ascii="Calibri" w:hAnsi="Calibri"/>
        </w:rPr>
        <w:t>onitor</w:t>
      </w:r>
      <w:r w:rsidR="00BF2124" w:rsidRPr="0095407F">
        <w:rPr>
          <w:rFonts w:ascii="Calibri" w:hAnsi="Calibri"/>
        </w:rPr>
        <w:t xml:space="preserve"> rapid price increases at both regional and national levels.   During the 1991 Iraq war, the data were used by Congress and Federal officials to monitor the retail price of </w:t>
      </w:r>
      <w:r w:rsidR="00BF2124" w:rsidRPr="0095407F">
        <w:rPr>
          <w:rFonts w:ascii="Calibri" w:hAnsi="Calibri"/>
        </w:rPr>
        <w:lastRenderedPageBreak/>
        <w:t xml:space="preserve">gasoline on a daily basis.  The New York State Energy Research Development Authority uses the EIA-878 retail gasoline price estimates for New York State to monitor supply conditions and price levels in the </w:t>
      </w:r>
      <w:r w:rsidR="00C455D4">
        <w:rPr>
          <w:rFonts w:ascii="Calibri" w:hAnsi="Calibri"/>
        </w:rPr>
        <w:t>S</w:t>
      </w:r>
      <w:r w:rsidR="00BF2124" w:rsidRPr="0095407F">
        <w:rPr>
          <w:rFonts w:ascii="Calibri" w:hAnsi="Calibri"/>
        </w:rPr>
        <w:t>tate.</w:t>
      </w:r>
    </w:p>
    <w:p w:rsidR="00C11368" w:rsidRDefault="00C11368" w:rsidP="00B220DF">
      <w:pPr>
        <w:contextualSpacing/>
        <w:rPr>
          <w:rFonts w:ascii="Calibri" w:hAnsi="Calibri"/>
        </w:rPr>
      </w:pPr>
    </w:p>
    <w:p w:rsidR="003F31F2" w:rsidRDefault="003F31F2" w:rsidP="00B220DF">
      <w:pPr>
        <w:contextualSpacing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Burden</w:t>
      </w:r>
    </w:p>
    <w:p w:rsidR="003F31F2" w:rsidRDefault="003F31F2" w:rsidP="00B220DF">
      <w:pPr>
        <w:contextualSpacing/>
        <w:rPr>
          <w:rFonts w:ascii="Calibri" w:hAnsi="Calibri"/>
        </w:rPr>
      </w:pPr>
      <w:r>
        <w:rPr>
          <w:rFonts w:ascii="Calibri" w:hAnsi="Calibri"/>
        </w:rPr>
        <w:t xml:space="preserve">The total </w:t>
      </w:r>
      <w:r w:rsidR="00C455D4">
        <w:rPr>
          <w:rFonts w:ascii="Calibri" w:hAnsi="Calibri"/>
        </w:rPr>
        <w:t xml:space="preserve">additional </w:t>
      </w:r>
      <w:r>
        <w:rPr>
          <w:rFonts w:ascii="Calibri" w:hAnsi="Calibri"/>
        </w:rPr>
        <w:t xml:space="preserve">burden is estimated to be </w:t>
      </w:r>
      <w:r w:rsidR="009E5969">
        <w:rPr>
          <w:rFonts w:ascii="Calibri" w:hAnsi="Calibri"/>
        </w:rPr>
        <w:t>30</w:t>
      </w:r>
      <w:r w:rsidR="000D3CB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hours, i.e., .05 hours per retailer times 20 days times </w:t>
      </w:r>
      <w:r w:rsidR="000D3CBA">
        <w:rPr>
          <w:rFonts w:ascii="Calibri" w:hAnsi="Calibri"/>
        </w:rPr>
        <w:t>30</w:t>
      </w:r>
      <w:r>
        <w:rPr>
          <w:rFonts w:ascii="Calibri" w:hAnsi="Calibri"/>
        </w:rPr>
        <w:t xml:space="preserve"> retailers.  The estimated total </w:t>
      </w:r>
      <w:r w:rsidR="00C455D4">
        <w:rPr>
          <w:rFonts w:ascii="Calibri" w:hAnsi="Calibri"/>
        </w:rPr>
        <w:t xml:space="preserve">additional </w:t>
      </w:r>
      <w:r>
        <w:rPr>
          <w:rFonts w:ascii="Calibri" w:hAnsi="Calibri"/>
        </w:rPr>
        <w:t>cost to respondents for the burden hours is estimated to be $</w:t>
      </w:r>
      <w:r w:rsidR="009E5969">
        <w:rPr>
          <w:rFonts w:ascii="Calibri" w:hAnsi="Calibri"/>
        </w:rPr>
        <w:t>2</w:t>
      </w:r>
      <w:r>
        <w:rPr>
          <w:rFonts w:ascii="Calibri" w:hAnsi="Calibri"/>
        </w:rPr>
        <w:t>,</w:t>
      </w:r>
      <w:r w:rsidR="000D3CBA">
        <w:rPr>
          <w:rFonts w:ascii="Calibri" w:hAnsi="Calibri"/>
        </w:rPr>
        <w:t>0</w:t>
      </w:r>
      <w:r w:rsidR="009E5969">
        <w:rPr>
          <w:rFonts w:ascii="Calibri" w:hAnsi="Calibri"/>
        </w:rPr>
        <w:t>32</w:t>
      </w:r>
      <w:r>
        <w:rPr>
          <w:rFonts w:ascii="Calibri" w:hAnsi="Calibri"/>
        </w:rPr>
        <w:t xml:space="preserve"> dollars, i.e., </w:t>
      </w:r>
      <w:r w:rsidR="009E5969">
        <w:rPr>
          <w:rFonts w:ascii="Calibri" w:hAnsi="Calibri"/>
        </w:rPr>
        <w:t>30</w:t>
      </w:r>
      <w:r>
        <w:rPr>
          <w:rFonts w:ascii="Calibri" w:hAnsi="Calibri"/>
        </w:rPr>
        <w:t xml:space="preserve"> hours times </w:t>
      </w:r>
      <w:r w:rsidR="00022565">
        <w:rPr>
          <w:rFonts w:ascii="Calibri" w:hAnsi="Calibri"/>
        </w:rPr>
        <w:t>$</w:t>
      </w:r>
      <w:r>
        <w:rPr>
          <w:rFonts w:ascii="Calibri" w:hAnsi="Calibri"/>
        </w:rPr>
        <w:t>67.74 per hour (The average loaded salary plus benefits for an EIA employee is $67.74 per hour).  In fact, the actual burden to respondents may be less, because no data collection is necessary once supplies have stabilized to normal levels in the region.</w:t>
      </w:r>
    </w:p>
    <w:p w:rsidR="003F31F2" w:rsidRDefault="003F31F2" w:rsidP="00B220DF">
      <w:pPr>
        <w:contextualSpacing/>
        <w:rPr>
          <w:rFonts w:ascii="Calibri" w:hAnsi="Calibri"/>
        </w:rPr>
      </w:pPr>
    </w:p>
    <w:p w:rsidR="003F31F2" w:rsidRDefault="00E616AF" w:rsidP="00B220DF">
      <w:pPr>
        <w:contextualSpacing/>
        <w:rPr>
          <w:rFonts w:ascii="Calibri" w:hAnsi="Calibri"/>
        </w:rPr>
      </w:pPr>
      <w:proofErr w:type="gramStart"/>
      <w:r>
        <w:rPr>
          <w:rFonts w:ascii="Calibri" w:hAnsi="Calibri"/>
        </w:rPr>
        <w:t>Table 1</w:t>
      </w:r>
      <w:r w:rsidR="003F31F2">
        <w:rPr>
          <w:rFonts w:ascii="Calibri" w:hAnsi="Calibri"/>
        </w:rPr>
        <w:t>.</w:t>
      </w:r>
      <w:proofErr w:type="gramEnd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6"/>
        <w:gridCol w:w="1566"/>
        <w:gridCol w:w="1566"/>
        <w:gridCol w:w="1566"/>
        <w:gridCol w:w="1566"/>
      </w:tblGrid>
      <w:tr w:rsidR="003F31F2" w:rsidRPr="0051054E" w:rsidTr="0051054E">
        <w:tc>
          <w:tcPr>
            <w:tcW w:w="1566" w:type="dxa"/>
          </w:tcPr>
          <w:p w:rsidR="003F31F2" w:rsidRPr="0051054E" w:rsidRDefault="003F31F2" w:rsidP="0051054E">
            <w:pPr>
              <w:contextualSpacing/>
              <w:jc w:val="center"/>
              <w:rPr>
                <w:rFonts w:ascii="Calibri" w:hAnsi="Calibri"/>
              </w:rPr>
            </w:pPr>
            <w:r w:rsidRPr="0051054E">
              <w:rPr>
                <w:rFonts w:ascii="Calibri" w:hAnsi="Calibri"/>
              </w:rPr>
              <w:t xml:space="preserve">Number of </w:t>
            </w:r>
            <w:r w:rsidR="00EF55CC" w:rsidRPr="0051054E">
              <w:rPr>
                <w:rFonts w:ascii="Calibri" w:hAnsi="Calibri"/>
              </w:rPr>
              <w:t>Retailers</w:t>
            </w:r>
          </w:p>
        </w:tc>
        <w:tc>
          <w:tcPr>
            <w:tcW w:w="1566" w:type="dxa"/>
          </w:tcPr>
          <w:p w:rsidR="003F31F2" w:rsidRPr="0051054E" w:rsidRDefault="003F31F2" w:rsidP="0051054E">
            <w:pPr>
              <w:contextualSpacing/>
              <w:jc w:val="center"/>
              <w:rPr>
                <w:rFonts w:ascii="Calibri" w:hAnsi="Calibri"/>
              </w:rPr>
            </w:pPr>
            <w:r w:rsidRPr="0051054E">
              <w:rPr>
                <w:rFonts w:ascii="Calibri" w:hAnsi="Calibri"/>
              </w:rPr>
              <w:t>Burden Hours</w:t>
            </w:r>
          </w:p>
        </w:tc>
        <w:tc>
          <w:tcPr>
            <w:tcW w:w="1566" w:type="dxa"/>
          </w:tcPr>
          <w:p w:rsidR="003F31F2" w:rsidRPr="0051054E" w:rsidRDefault="003F31F2" w:rsidP="0051054E">
            <w:pPr>
              <w:contextualSpacing/>
              <w:jc w:val="center"/>
              <w:rPr>
                <w:rFonts w:ascii="Calibri" w:hAnsi="Calibri"/>
              </w:rPr>
            </w:pPr>
            <w:r w:rsidRPr="0051054E">
              <w:rPr>
                <w:rFonts w:ascii="Calibri" w:hAnsi="Calibri"/>
              </w:rPr>
              <w:t>Frequency</w:t>
            </w:r>
          </w:p>
        </w:tc>
        <w:tc>
          <w:tcPr>
            <w:tcW w:w="1566" w:type="dxa"/>
          </w:tcPr>
          <w:p w:rsidR="003F31F2" w:rsidRPr="0051054E" w:rsidRDefault="003F31F2" w:rsidP="0051054E">
            <w:pPr>
              <w:contextualSpacing/>
              <w:jc w:val="center"/>
              <w:rPr>
                <w:rFonts w:ascii="Calibri" w:hAnsi="Calibri"/>
              </w:rPr>
            </w:pPr>
            <w:r w:rsidRPr="0051054E">
              <w:rPr>
                <w:rFonts w:ascii="Calibri" w:hAnsi="Calibri"/>
              </w:rPr>
              <w:t>Duration</w:t>
            </w:r>
          </w:p>
        </w:tc>
        <w:tc>
          <w:tcPr>
            <w:tcW w:w="1566" w:type="dxa"/>
          </w:tcPr>
          <w:p w:rsidR="003F31F2" w:rsidRPr="0051054E" w:rsidRDefault="003F31F2" w:rsidP="0051054E">
            <w:pPr>
              <w:contextualSpacing/>
              <w:jc w:val="center"/>
              <w:rPr>
                <w:rFonts w:ascii="Calibri" w:hAnsi="Calibri"/>
              </w:rPr>
            </w:pPr>
            <w:r w:rsidRPr="0051054E">
              <w:rPr>
                <w:rFonts w:ascii="Calibri" w:hAnsi="Calibri"/>
              </w:rPr>
              <w:t>Total Burden Hours</w:t>
            </w:r>
          </w:p>
        </w:tc>
      </w:tr>
      <w:tr w:rsidR="003F31F2" w:rsidRPr="0051054E" w:rsidTr="0051054E">
        <w:tc>
          <w:tcPr>
            <w:tcW w:w="1566" w:type="dxa"/>
          </w:tcPr>
          <w:p w:rsidR="003F31F2" w:rsidRPr="0051054E" w:rsidRDefault="000D3CBA" w:rsidP="00B220DF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30</w:t>
            </w:r>
          </w:p>
        </w:tc>
        <w:tc>
          <w:tcPr>
            <w:tcW w:w="1566" w:type="dxa"/>
          </w:tcPr>
          <w:p w:rsidR="003F31F2" w:rsidRPr="0051054E" w:rsidRDefault="000D3CBA" w:rsidP="00B220DF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.05</w:t>
            </w:r>
          </w:p>
        </w:tc>
        <w:tc>
          <w:tcPr>
            <w:tcW w:w="1566" w:type="dxa"/>
          </w:tcPr>
          <w:p w:rsidR="003F31F2" w:rsidRPr="0051054E" w:rsidRDefault="003F31F2" w:rsidP="00B220DF">
            <w:pPr>
              <w:contextualSpacing/>
              <w:rPr>
                <w:rFonts w:ascii="Calibri" w:hAnsi="Calibri"/>
              </w:rPr>
            </w:pPr>
            <w:r w:rsidRPr="0051054E">
              <w:rPr>
                <w:rFonts w:ascii="Calibri" w:hAnsi="Calibri"/>
              </w:rPr>
              <w:t>Daily</w:t>
            </w:r>
          </w:p>
        </w:tc>
        <w:tc>
          <w:tcPr>
            <w:tcW w:w="1566" w:type="dxa"/>
          </w:tcPr>
          <w:p w:rsidR="003F31F2" w:rsidRPr="0051054E" w:rsidRDefault="003F31F2" w:rsidP="00B220DF">
            <w:pPr>
              <w:contextualSpacing/>
              <w:rPr>
                <w:rFonts w:ascii="Calibri" w:hAnsi="Calibri"/>
              </w:rPr>
            </w:pPr>
            <w:r w:rsidRPr="0051054E">
              <w:rPr>
                <w:rFonts w:ascii="Calibri" w:hAnsi="Calibri"/>
              </w:rPr>
              <w:t>20 Days</w:t>
            </w:r>
          </w:p>
        </w:tc>
        <w:tc>
          <w:tcPr>
            <w:tcW w:w="1566" w:type="dxa"/>
          </w:tcPr>
          <w:p w:rsidR="003F31F2" w:rsidRPr="0051054E" w:rsidRDefault="000D3CBA" w:rsidP="009E5969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9E5969">
              <w:rPr>
                <w:rFonts w:ascii="Calibri" w:hAnsi="Calibri"/>
              </w:rPr>
              <w:t>30</w:t>
            </w:r>
          </w:p>
        </w:tc>
      </w:tr>
    </w:tbl>
    <w:p w:rsidR="003F31F2" w:rsidRDefault="003F31F2" w:rsidP="00B220DF">
      <w:pPr>
        <w:contextualSpacing/>
        <w:rPr>
          <w:rFonts w:ascii="Calibri" w:hAnsi="Calibri"/>
        </w:rPr>
      </w:pPr>
    </w:p>
    <w:p w:rsidR="00D53748" w:rsidRPr="00D53748" w:rsidRDefault="00D53748" w:rsidP="00022565">
      <w:pPr>
        <w:contextualSpacing/>
        <w:rPr>
          <w:rFonts w:ascii="Calibri" w:hAnsi="Calibri"/>
        </w:rPr>
      </w:pPr>
      <w:r>
        <w:rPr>
          <w:rFonts w:ascii="Calibri" w:hAnsi="Calibri"/>
        </w:rPr>
        <w:t xml:space="preserve">This request reflects an absolute change of </w:t>
      </w:r>
      <w:r w:rsidR="009E5969">
        <w:rPr>
          <w:rFonts w:ascii="Calibri" w:hAnsi="Calibri"/>
        </w:rPr>
        <w:t>30</w:t>
      </w:r>
      <w:r>
        <w:rPr>
          <w:rFonts w:ascii="Calibri" w:hAnsi="Calibri"/>
        </w:rPr>
        <w:t xml:space="preserve"> burden hours.</w:t>
      </w:r>
    </w:p>
    <w:p w:rsidR="00D53748" w:rsidRDefault="00D53748" w:rsidP="00022565">
      <w:pPr>
        <w:contextualSpacing/>
        <w:rPr>
          <w:rFonts w:ascii="Calibri" w:hAnsi="Calibri"/>
          <w:u w:val="single"/>
        </w:rPr>
      </w:pPr>
    </w:p>
    <w:p w:rsidR="00022565" w:rsidRDefault="00022565" w:rsidP="00022565">
      <w:pPr>
        <w:contextualSpacing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Modification of Collection</w:t>
      </w:r>
    </w:p>
    <w:p w:rsidR="00022565" w:rsidRDefault="00C455D4" w:rsidP="00022565">
      <w:pPr>
        <w:contextualSpacing/>
        <w:rPr>
          <w:rFonts w:ascii="Calibri" w:hAnsi="Calibri"/>
        </w:rPr>
      </w:pPr>
      <w:r>
        <w:rPr>
          <w:rFonts w:ascii="Calibri" w:hAnsi="Calibri"/>
        </w:rPr>
        <w:t>The collections would</w:t>
      </w:r>
      <w:r w:rsidR="00022565">
        <w:rPr>
          <w:rFonts w:ascii="Calibri" w:hAnsi="Calibri"/>
        </w:rPr>
        <w:t xml:space="preserve"> consist of the existing questions already cleared and an additional </w:t>
      </w:r>
      <w:r w:rsidR="004F0C27">
        <w:rPr>
          <w:rFonts w:ascii="Calibri" w:hAnsi="Calibri"/>
        </w:rPr>
        <w:t>two multi-part</w:t>
      </w:r>
      <w:r w:rsidR="00022565">
        <w:rPr>
          <w:rFonts w:ascii="Calibri" w:hAnsi="Calibri"/>
        </w:rPr>
        <w:t xml:space="preserve"> questions:</w:t>
      </w:r>
    </w:p>
    <w:p w:rsidR="004F0C27" w:rsidRDefault="004F0C27" w:rsidP="00022565">
      <w:pPr>
        <w:contextualSpacing/>
        <w:rPr>
          <w:rFonts w:ascii="Calibri" w:hAnsi="Calibri"/>
        </w:rPr>
      </w:pPr>
    </w:p>
    <w:p w:rsidR="004F0C27" w:rsidRDefault="004F0C27" w:rsidP="004F0C27">
      <w:r>
        <w:t xml:space="preserve">1. Currently, does your station have any gasoline available for customers to purchase?  </w:t>
      </w:r>
    </w:p>
    <w:p w:rsidR="004F0C27" w:rsidRDefault="004F0C27" w:rsidP="004F0C27">
      <w:pPr>
        <w:pStyle w:val="ListParagraph"/>
        <w:numPr>
          <w:ilvl w:val="0"/>
          <w:numId w:val="2"/>
        </w:numPr>
      </w:pPr>
      <w:r>
        <w:t>Yes [Go to 1a]</w:t>
      </w:r>
    </w:p>
    <w:p w:rsidR="004F0C27" w:rsidRDefault="004F0C27" w:rsidP="004F0C27">
      <w:pPr>
        <w:pStyle w:val="ListParagraph"/>
        <w:numPr>
          <w:ilvl w:val="0"/>
          <w:numId w:val="2"/>
        </w:numPr>
      </w:pPr>
      <w:r>
        <w:t>No [Go to 1c]</w:t>
      </w:r>
    </w:p>
    <w:p w:rsidR="004F0C27" w:rsidRDefault="004F0C27" w:rsidP="004F0C27">
      <w:proofErr w:type="gramStart"/>
      <w:r>
        <w:t>1a. Do you think your station will have gasoline available for customers to purchase during the next 24 hours?</w:t>
      </w:r>
      <w:proofErr w:type="gramEnd"/>
    </w:p>
    <w:p w:rsidR="004F0C27" w:rsidRDefault="004F0C27" w:rsidP="004F0C27">
      <w:pPr>
        <w:pStyle w:val="ListParagraph"/>
        <w:numPr>
          <w:ilvl w:val="0"/>
          <w:numId w:val="3"/>
        </w:numPr>
      </w:pPr>
      <w:r>
        <w:t>Yes [Go to 2]</w:t>
      </w:r>
    </w:p>
    <w:p w:rsidR="004F0C27" w:rsidRDefault="004F0C27" w:rsidP="004F0C27">
      <w:pPr>
        <w:pStyle w:val="ListParagraph"/>
        <w:numPr>
          <w:ilvl w:val="0"/>
          <w:numId w:val="3"/>
        </w:numPr>
      </w:pPr>
      <w:r>
        <w:t>No [Go to 1b]</w:t>
      </w:r>
    </w:p>
    <w:p w:rsidR="004F0C27" w:rsidRDefault="004F0C27" w:rsidP="004F0C27">
      <w:r>
        <w:t xml:space="preserve">1b. </w:t>
      </w:r>
      <w:proofErr w:type="gramStart"/>
      <w:r>
        <w:t>Why</w:t>
      </w:r>
      <w:proofErr w:type="gramEnd"/>
      <w:r>
        <w:t xml:space="preserve"> don’t you think your station will have gasoline available for customers to purchase during the next 24 hours?</w:t>
      </w:r>
    </w:p>
    <w:p w:rsidR="004F0C27" w:rsidRDefault="004F0C27" w:rsidP="004F0C27">
      <w:pPr>
        <w:pStyle w:val="ListParagraph"/>
        <w:numPr>
          <w:ilvl w:val="0"/>
          <w:numId w:val="6"/>
        </w:numPr>
      </w:pPr>
      <w:r>
        <w:t>[Open ended]  [Potential Prompts: Loss of electricity, run out of gasoline for customers to purchase, other] [Go to 2]</w:t>
      </w:r>
    </w:p>
    <w:p w:rsidR="004F0C27" w:rsidRDefault="004F0C27" w:rsidP="004F0C27">
      <w:r>
        <w:t xml:space="preserve">1c. </w:t>
      </w:r>
      <w:proofErr w:type="gramStart"/>
      <w:r>
        <w:t>Why</w:t>
      </w:r>
      <w:proofErr w:type="gramEnd"/>
      <w:r>
        <w:t xml:space="preserve"> doesn’t your station have any gasoline available for customers to purchase? </w:t>
      </w:r>
    </w:p>
    <w:p w:rsidR="004F0C27" w:rsidRDefault="004F0C27" w:rsidP="004F0C27">
      <w:pPr>
        <w:pStyle w:val="ListParagraph"/>
        <w:numPr>
          <w:ilvl w:val="0"/>
          <w:numId w:val="4"/>
        </w:numPr>
      </w:pPr>
      <w:r>
        <w:t>[Open ended] [Potential Prompts: No gasoline to sell, no electricity, damage to pumping equipment/station, other] [Go to 1d]</w:t>
      </w:r>
    </w:p>
    <w:p w:rsidR="004F0C27" w:rsidRDefault="004F0C27" w:rsidP="004F0C27"/>
    <w:p w:rsidR="004F0C27" w:rsidRDefault="004F0C27" w:rsidP="004F0C27">
      <w:r>
        <w:lastRenderedPageBreak/>
        <w:t xml:space="preserve">1d. </w:t>
      </w:r>
      <w:proofErr w:type="gramStart"/>
      <w:r>
        <w:t>What</w:t>
      </w:r>
      <w:proofErr w:type="gramEnd"/>
      <w:r>
        <w:t xml:space="preserve"> day do you think your station will have gasoline available for customers to purchase? </w:t>
      </w:r>
    </w:p>
    <w:p w:rsidR="004F0C27" w:rsidRDefault="004F0C27" w:rsidP="004F0C27">
      <w:pPr>
        <w:pStyle w:val="ListParagraph"/>
        <w:numPr>
          <w:ilvl w:val="0"/>
          <w:numId w:val="5"/>
        </w:numPr>
      </w:pPr>
      <w:r>
        <w:t>[specific date, estimate okay] [Go to 2]</w:t>
      </w:r>
    </w:p>
    <w:p w:rsidR="00C455D4" w:rsidRDefault="00C455D4" w:rsidP="00C455D4">
      <w:pPr>
        <w:pStyle w:val="ListParagraph"/>
      </w:pPr>
    </w:p>
    <w:p w:rsidR="004F0C27" w:rsidRDefault="004F0C27" w:rsidP="004F0C27">
      <w:r>
        <w:t xml:space="preserve">2. Currently, does your station have any diesel available for customers to purchase?  </w:t>
      </w:r>
    </w:p>
    <w:p w:rsidR="004F0C27" w:rsidRDefault="004F0C27" w:rsidP="004F0C27">
      <w:pPr>
        <w:pStyle w:val="ListParagraph"/>
        <w:numPr>
          <w:ilvl w:val="0"/>
          <w:numId w:val="11"/>
        </w:numPr>
      </w:pPr>
      <w:r>
        <w:t>Yes [Go to 2a]</w:t>
      </w:r>
    </w:p>
    <w:p w:rsidR="004F0C27" w:rsidRDefault="004F0C27" w:rsidP="004F0C27">
      <w:pPr>
        <w:pStyle w:val="ListParagraph"/>
        <w:numPr>
          <w:ilvl w:val="0"/>
          <w:numId w:val="11"/>
        </w:numPr>
      </w:pPr>
      <w:r>
        <w:t>No [Go to 2c]</w:t>
      </w:r>
    </w:p>
    <w:p w:rsidR="004F0C27" w:rsidRDefault="004F0C27" w:rsidP="004F0C27">
      <w:proofErr w:type="gramStart"/>
      <w:r>
        <w:t>2a. Do you think your station will have diesel available for customers to purchase during the next 24 hours?</w:t>
      </w:r>
      <w:proofErr w:type="gramEnd"/>
    </w:p>
    <w:p w:rsidR="004F0C27" w:rsidRDefault="004F0C27" w:rsidP="004F0C27">
      <w:pPr>
        <w:pStyle w:val="ListParagraph"/>
        <w:numPr>
          <w:ilvl w:val="0"/>
          <w:numId w:val="10"/>
        </w:numPr>
      </w:pPr>
      <w:r>
        <w:t>Yes [Go to 3]</w:t>
      </w:r>
    </w:p>
    <w:p w:rsidR="004F0C27" w:rsidRDefault="004F0C27" w:rsidP="004F0C27">
      <w:pPr>
        <w:pStyle w:val="ListParagraph"/>
        <w:numPr>
          <w:ilvl w:val="0"/>
          <w:numId w:val="10"/>
        </w:numPr>
      </w:pPr>
      <w:r>
        <w:t>No [Go to 2b]</w:t>
      </w:r>
    </w:p>
    <w:p w:rsidR="004F0C27" w:rsidRDefault="004F0C27" w:rsidP="004F0C27">
      <w:r>
        <w:t xml:space="preserve">2b. </w:t>
      </w:r>
      <w:proofErr w:type="gramStart"/>
      <w:r>
        <w:t>Why</w:t>
      </w:r>
      <w:proofErr w:type="gramEnd"/>
      <w:r>
        <w:t xml:space="preserve"> don’t you think your station will have diesel available for customers to purchase during the next 24 hours?</w:t>
      </w:r>
    </w:p>
    <w:p w:rsidR="004F0C27" w:rsidRDefault="004F0C27" w:rsidP="004F0C27">
      <w:pPr>
        <w:pStyle w:val="ListParagraph"/>
        <w:numPr>
          <w:ilvl w:val="0"/>
          <w:numId w:val="7"/>
        </w:numPr>
      </w:pPr>
      <w:r>
        <w:t>[Open ended]  [Potential Prompts: Loss of electricity, run out of diesel for customers to purchase, other] [Go to 3]</w:t>
      </w:r>
    </w:p>
    <w:p w:rsidR="004F0C27" w:rsidRDefault="004F0C27" w:rsidP="004F0C27">
      <w:r>
        <w:t xml:space="preserve">2c. </w:t>
      </w:r>
      <w:proofErr w:type="gramStart"/>
      <w:r>
        <w:t>Why</w:t>
      </w:r>
      <w:proofErr w:type="gramEnd"/>
      <w:r>
        <w:t xml:space="preserve"> doesn’t your station have any diesel available for customers to purchase? </w:t>
      </w:r>
    </w:p>
    <w:p w:rsidR="004F0C27" w:rsidRDefault="004F0C27" w:rsidP="004F0C27">
      <w:pPr>
        <w:pStyle w:val="ListParagraph"/>
        <w:numPr>
          <w:ilvl w:val="0"/>
          <w:numId w:val="8"/>
        </w:numPr>
      </w:pPr>
      <w:r>
        <w:t>[Open ended] [Potential Prompts: No diesel to sell, no electricity, damage to pumping equipment/station, other] [Go to 2d]</w:t>
      </w:r>
    </w:p>
    <w:p w:rsidR="004F0C27" w:rsidRDefault="004F0C27" w:rsidP="004F0C27">
      <w:r>
        <w:t xml:space="preserve">2d. </w:t>
      </w:r>
      <w:proofErr w:type="gramStart"/>
      <w:r>
        <w:t>What</w:t>
      </w:r>
      <w:proofErr w:type="gramEnd"/>
      <w:r>
        <w:t xml:space="preserve"> day do you think your station will have diesel available for customers to purchase? </w:t>
      </w:r>
    </w:p>
    <w:p w:rsidR="004F0C27" w:rsidRDefault="004F0C27" w:rsidP="004F0C27">
      <w:pPr>
        <w:pStyle w:val="ListParagraph"/>
        <w:numPr>
          <w:ilvl w:val="0"/>
          <w:numId w:val="9"/>
        </w:numPr>
      </w:pPr>
      <w:r>
        <w:t>[specific date, estimate okay] [Go to 3]</w:t>
      </w:r>
    </w:p>
    <w:p w:rsidR="00D2274C" w:rsidRDefault="00D2274C" w:rsidP="00D2274C">
      <w:pPr>
        <w:contextualSpacing/>
        <w:rPr>
          <w:rFonts w:ascii="Calibri" w:hAnsi="Calibri"/>
        </w:rPr>
      </w:pPr>
    </w:p>
    <w:p w:rsidR="00D2274C" w:rsidRDefault="00D2274C" w:rsidP="00D2274C">
      <w:pPr>
        <w:contextualSpacing/>
        <w:rPr>
          <w:rFonts w:ascii="Calibri" w:hAnsi="Calibri"/>
        </w:rPr>
      </w:pPr>
      <w:r>
        <w:rPr>
          <w:rFonts w:ascii="Calibri" w:hAnsi="Calibri"/>
        </w:rPr>
        <w:t>We do not anti</w:t>
      </w:r>
      <w:r w:rsidR="00593417">
        <w:rPr>
          <w:rFonts w:ascii="Calibri" w:hAnsi="Calibri"/>
        </w:rPr>
        <w:t>cipate that these questions would</w:t>
      </w:r>
      <w:r>
        <w:rPr>
          <w:rFonts w:ascii="Calibri" w:hAnsi="Calibri"/>
        </w:rPr>
        <w:t xml:space="preserve"> significantly add to the respondent burden</w:t>
      </w:r>
      <w:r w:rsidR="004B55B5">
        <w:rPr>
          <w:rFonts w:ascii="Calibri" w:hAnsi="Calibri"/>
        </w:rPr>
        <w:t xml:space="preserve"> because the requested information is consistent with the record keeping practices of the respondents and can easily be retrieved from their existing </w:t>
      </w:r>
      <w:r w:rsidR="0095407F">
        <w:rPr>
          <w:rFonts w:ascii="Calibri" w:hAnsi="Calibri"/>
        </w:rPr>
        <w:t>records;</w:t>
      </w:r>
      <w:r w:rsidR="004B55B5">
        <w:rPr>
          <w:rFonts w:ascii="Calibri" w:hAnsi="Calibri"/>
        </w:rPr>
        <w:t xml:space="preserve"> therefore we </w:t>
      </w:r>
      <w:r w:rsidR="007F750A">
        <w:rPr>
          <w:rFonts w:ascii="Calibri" w:hAnsi="Calibri"/>
        </w:rPr>
        <w:t>would</w:t>
      </w:r>
      <w:r w:rsidR="00BE66D1">
        <w:rPr>
          <w:rFonts w:ascii="Calibri" w:hAnsi="Calibri"/>
        </w:rPr>
        <w:t xml:space="preserve"> continue to use the 0.05 hour estimate</w:t>
      </w:r>
      <w:r>
        <w:rPr>
          <w:rFonts w:ascii="Calibri" w:hAnsi="Calibri"/>
        </w:rPr>
        <w:t xml:space="preserve">.  </w:t>
      </w:r>
    </w:p>
    <w:p w:rsidR="00022565" w:rsidRDefault="00022565" w:rsidP="00022565">
      <w:pPr>
        <w:contextualSpacing/>
        <w:rPr>
          <w:rFonts w:ascii="Calibri" w:hAnsi="Calibri"/>
        </w:rPr>
      </w:pPr>
    </w:p>
    <w:p w:rsidR="000E308D" w:rsidRPr="004F0C27" w:rsidRDefault="000E308D" w:rsidP="00022565">
      <w:pPr>
        <w:contextualSpacing/>
        <w:rPr>
          <w:rFonts w:asciiTheme="minorHAnsi" w:hAnsiTheme="minorHAnsi"/>
          <w:u w:val="single"/>
        </w:rPr>
      </w:pPr>
      <w:r w:rsidRPr="004F0C27">
        <w:rPr>
          <w:rFonts w:asciiTheme="minorHAnsi" w:hAnsiTheme="minorHAnsi"/>
          <w:u w:val="single"/>
        </w:rPr>
        <w:t>Provisions for Confidentiality of Information</w:t>
      </w:r>
    </w:p>
    <w:p w:rsidR="000E308D" w:rsidRPr="0095407F" w:rsidRDefault="000E308D" w:rsidP="00022565">
      <w:pPr>
        <w:contextualSpacing/>
        <w:rPr>
          <w:rFonts w:asciiTheme="minorHAnsi" w:hAnsiTheme="minorHAnsi"/>
          <w:color w:val="000000"/>
        </w:rPr>
      </w:pPr>
      <w:r w:rsidRPr="0095407F">
        <w:rPr>
          <w:rFonts w:asciiTheme="minorHAnsi" w:hAnsiTheme="minorHAnsi"/>
          <w:color w:val="000000"/>
        </w:rPr>
        <w:t xml:space="preserve">The information reported on Forms EIA-878 </w:t>
      </w:r>
      <w:r w:rsidR="00C455D4">
        <w:rPr>
          <w:rFonts w:asciiTheme="minorHAnsi" w:hAnsiTheme="minorHAnsi"/>
          <w:color w:val="000000"/>
        </w:rPr>
        <w:t>is</w:t>
      </w:r>
      <w:r w:rsidRPr="0095407F">
        <w:rPr>
          <w:rFonts w:asciiTheme="minorHAnsi" w:hAnsiTheme="minorHAnsi"/>
          <w:color w:val="000000"/>
        </w:rPr>
        <w:t xml:space="preserve"> currently </w:t>
      </w:r>
      <w:r w:rsidR="00D21E51" w:rsidRPr="0095407F">
        <w:rPr>
          <w:rFonts w:asciiTheme="minorHAnsi" w:hAnsiTheme="minorHAnsi"/>
          <w:color w:val="000000"/>
        </w:rPr>
        <w:t>protected</w:t>
      </w:r>
      <w:r w:rsidRPr="0095407F">
        <w:rPr>
          <w:rFonts w:asciiTheme="minorHAnsi" w:hAnsiTheme="minorHAnsi"/>
          <w:color w:val="000000"/>
        </w:rPr>
        <w:t xml:space="preserve"> as confidential in accordance with the Confidential Information Protection and Statistical Efficiency Act of 2002 (CIPSEA) and  used solely for</w:t>
      </w:r>
      <w:r w:rsidR="007F750A">
        <w:rPr>
          <w:rFonts w:asciiTheme="minorHAnsi" w:hAnsiTheme="minorHAnsi"/>
          <w:color w:val="000000"/>
        </w:rPr>
        <w:t xml:space="preserve"> statistical purposes.  EIA would</w:t>
      </w:r>
      <w:r w:rsidRPr="0095407F">
        <w:rPr>
          <w:rFonts w:asciiTheme="minorHAnsi" w:hAnsiTheme="minorHAnsi"/>
          <w:color w:val="000000"/>
        </w:rPr>
        <w:t xml:space="preserve"> protect the additional information</w:t>
      </w:r>
      <w:r w:rsidR="007F750A">
        <w:rPr>
          <w:rFonts w:asciiTheme="minorHAnsi" w:hAnsiTheme="minorHAnsi"/>
          <w:color w:val="000000"/>
        </w:rPr>
        <w:t xml:space="preserve"> collected under CIPSEA and would</w:t>
      </w:r>
      <w:r w:rsidRPr="0095407F">
        <w:rPr>
          <w:rFonts w:asciiTheme="minorHAnsi" w:hAnsiTheme="minorHAnsi"/>
          <w:color w:val="000000"/>
        </w:rPr>
        <w:t xml:space="preserve"> protect the </w:t>
      </w:r>
      <w:proofErr w:type="spellStart"/>
      <w:r w:rsidRPr="0095407F">
        <w:rPr>
          <w:rFonts w:asciiTheme="minorHAnsi" w:hAnsiTheme="minorHAnsi"/>
          <w:color w:val="000000"/>
        </w:rPr>
        <w:t>identifiability</w:t>
      </w:r>
      <w:proofErr w:type="spellEnd"/>
      <w:r w:rsidRPr="0095407F">
        <w:rPr>
          <w:rFonts w:asciiTheme="minorHAnsi" w:hAnsiTheme="minorHAnsi"/>
          <w:color w:val="000000"/>
        </w:rPr>
        <w:t xml:space="preserve"> of the respondents in any public release of information.</w:t>
      </w:r>
    </w:p>
    <w:p w:rsidR="000E308D" w:rsidRPr="0095407F" w:rsidRDefault="000E308D" w:rsidP="00022565">
      <w:pPr>
        <w:contextualSpacing/>
        <w:rPr>
          <w:rFonts w:asciiTheme="minorHAnsi" w:hAnsiTheme="minorHAnsi"/>
        </w:rPr>
      </w:pPr>
    </w:p>
    <w:p w:rsidR="003F31F2" w:rsidRPr="0095407F" w:rsidRDefault="003F31F2" w:rsidP="00022565">
      <w:pPr>
        <w:contextualSpacing/>
        <w:rPr>
          <w:rFonts w:ascii="Calibri" w:hAnsi="Calibri"/>
          <w:u w:val="single"/>
        </w:rPr>
      </w:pPr>
      <w:r w:rsidRPr="0095407F">
        <w:rPr>
          <w:rFonts w:ascii="Calibri" w:hAnsi="Calibri"/>
          <w:u w:val="single"/>
        </w:rPr>
        <w:t>Publication</w:t>
      </w:r>
    </w:p>
    <w:p w:rsidR="00FB1CB4" w:rsidRPr="0095407F" w:rsidRDefault="003F31F2" w:rsidP="00B220DF">
      <w:pPr>
        <w:contextualSpacing/>
        <w:rPr>
          <w:rFonts w:ascii="Calibri" w:hAnsi="Calibri"/>
        </w:rPr>
      </w:pPr>
      <w:r w:rsidRPr="0095407F">
        <w:rPr>
          <w:rFonts w:ascii="Calibri" w:hAnsi="Calibri"/>
        </w:rPr>
        <w:t>Upon receipt of th</w:t>
      </w:r>
      <w:r w:rsidR="00C455D4">
        <w:rPr>
          <w:rFonts w:ascii="Calibri" w:hAnsi="Calibri"/>
        </w:rPr>
        <w:t>e data from the EIA-878 EIA would</w:t>
      </w:r>
      <w:r w:rsidRPr="0095407F">
        <w:rPr>
          <w:rFonts w:ascii="Calibri" w:hAnsi="Calibri"/>
        </w:rPr>
        <w:t xml:space="preserve"> </w:t>
      </w:r>
      <w:r w:rsidR="004F0C27">
        <w:rPr>
          <w:rFonts w:ascii="Calibri" w:hAnsi="Calibri"/>
        </w:rPr>
        <w:t xml:space="preserve">publish the aggregate statistics. </w:t>
      </w:r>
      <w:r w:rsidR="004B55B5" w:rsidRPr="0095407F">
        <w:rPr>
          <w:rFonts w:ascii="Calibri" w:hAnsi="Calibri"/>
        </w:rPr>
        <w:t xml:space="preserve"> The Secretary of Energy routinely uses EIA-878 data to monitor regional price levels and relies on the data in his reports to the Congress and the White House.</w:t>
      </w:r>
      <w:r w:rsidR="00FB1CB4" w:rsidRPr="0095407F">
        <w:rPr>
          <w:rFonts w:ascii="Calibri" w:hAnsi="Calibri"/>
        </w:rPr>
        <w:t xml:space="preserve"> </w:t>
      </w:r>
      <w:r w:rsidR="00C455D4">
        <w:rPr>
          <w:rFonts w:ascii="Calibri" w:hAnsi="Calibri"/>
        </w:rPr>
        <w:t>EIA would</w:t>
      </w:r>
      <w:r w:rsidR="00F52FF6" w:rsidRPr="0095407F">
        <w:rPr>
          <w:rFonts w:ascii="Calibri" w:hAnsi="Calibri"/>
        </w:rPr>
        <w:t xml:space="preserve"> </w:t>
      </w:r>
      <w:r w:rsidR="00F52FF6" w:rsidRPr="0095407F">
        <w:rPr>
          <w:rFonts w:ascii="Calibri" w:hAnsi="Calibri"/>
        </w:rPr>
        <w:lastRenderedPageBreak/>
        <w:t>cond</w:t>
      </w:r>
      <w:r w:rsidR="00C455D4">
        <w:rPr>
          <w:rFonts w:ascii="Calibri" w:hAnsi="Calibri"/>
        </w:rPr>
        <w:t>uct</w:t>
      </w:r>
      <w:r w:rsidR="00F52FF6" w:rsidRPr="0095407F">
        <w:rPr>
          <w:rFonts w:ascii="Calibri" w:hAnsi="Calibri"/>
        </w:rPr>
        <w:t xml:space="preserve"> this collection to better inform </w:t>
      </w:r>
      <w:r w:rsidR="004F0C27">
        <w:rPr>
          <w:rFonts w:ascii="Calibri" w:hAnsi="Calibri"/>
        </w:rPr>
        <w:t xml:space="preserve">the government as it relates to vehicle fuel supply conditions </w:t>
      </w:r>
      <w:r w:rsidR="00C455D4">
        <w:rPr>
          <w:rFonts w:ascii="Calibri" w:hAnsi="Calibri"/>
        </w:rPr>
        <w:t>as an outgrowth of</w:t>
      </w:r>
      <w:r w:rsidR="004F0C27">
        <w:rPr>
          <w:rFonts w:ascii="Calibri" w:hAnsi="Calibri"/>
        </w:rPr>
        <w:t xml:space="preserve"> the damage from Hurricane Sandy.</w:t>
      </w:r>
      <w:r w:rsidR="00F52FF6" w:rsidRPr="0095407F">
        <w:rPr>
          <w:rFonts w:ascii="Calibri" w:hAnsi="Calibri"/>
        </w:rPr>
        <w:t xml:space="preserve">  </w:t>
      </w:r>
    </w:p>
    <w:p w:rsidR="00442661" w:rsidRPr="003F31F2" w:rsidRDefault="00442661" w:rsidP="00B220DF">
      <w:pPr>
        <w:contextualSpacing/>
        <w:rPr>
          <w:rFonts w:ascii="Calibri" w:hAnsi="Calibri"/>
        </w:rPr>
      </w:pPr>
    </w:p>
    <w:p w:rsidR="00B220DF" w:rsidRPr="00442661" w:rsidRDefault="00B220DF" w:rsidP="00CD6F10">
      <w:pPr>
        <w:contextualSpacing/>
        <w:outlineLvl w:val="0"/>
        <w:rPr>
          <w:rFonts w:ascii="Calibri" w:hAnsi="Calibri"/>
          <w:b/>
        </w:rPr>
      </w:pPr>
    </w:p>
    <w:sectPr w:rsidR="00B220DF" w:rsidRPr="00442661" w:rsidSect="004F37EE">
      <w:footerReference w:type="even" r:id="rId8"/>
      <w:footerReference w:type="default" r:id="rId9"/>
      <w:pgSz w:w="12240" w:h="15840" w:code="1"/>
      <w:pgMar w:top="1944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012" w:rsidRDefault="007A2012">
      <w:r>
        <w:separator/>
      </w:r>
    </w:p>
  </w:endnote>
  <w:endnote w:type="continuationSeparator" w:id="0">
    <w:p w:rsidR="007A2012" w:rsidRDefault="007A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12" w:rsidRDefault="001022C3" w:rsidP="003B2F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20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2012" w:rsidRDefault="007A20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12" w:rsidRDefault="001022C3" w:rsidP="003B2F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20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618">
      <w:rPr>
        <w:rStyle w:val="PageNumber"/>
        <w:noProof/>
      </w:rPr>
      <w:t>4</w:t>
    </w:r>
    <w:r>
      <w:rPr>
        <w:rStyle w:val="PageNumber"/>
      </w:rPr>
      <w:fldChar w:fldCharType="end"/>
    </w:r>
  </w:p>
  <w:p w:rsidR="007A2012" w:rsidRDefault="007A20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012" w:rsidRDefault="007A2012">
      <w:r>
        <w:separator/>
      </w:r>
    </w:p>
  </w:footnote>
  <w:footnote w:type="continuationSeparator" w:id="0">
    <w:p w:rsidR="007A2012" w:rsidRDefault="007A2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FE4"/>
    <w:multiLevelType w:val="hybridMultilevel"/>
    <w:tmpl w:val="7FA0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612CD"/>
    <w:multiLevelType w:val="hybridMultilevel"/>
    <w:tmpl w:val="7FA0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643CC"/>
    <w:multiLevelType w:val="hybridMultilevel"/>
    <w:tmpl w:val="5E00B4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54ED6"/>
    <w:multiLevelType w:val="hybridMultilevel"/>
    <w:tmpl w:val="7FA0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70CEB"/>
    <w:multiLevelType w:val="hybridMultilevel"/>
    <w:tmpl w:val="A7F62D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022F4"/>
    <w:multiLevelType w:val="hybridMultilevel"/>
    <w:tmpl w:val="5E00B4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051C5"/>
    <w:multiLevelType w:val="hybridMultilevel"/>
    <w:tmpl w:val="4ADC28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877F2"/>
    <w:multiLevelType w:val="hybridMultilevel"/>
    <w:tmpl w:val="A7F62D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F63AB"/>
    <w:multiLevelType w:val="hybridMultilevel"/>
    <w:tmpl w:val="01649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F43C4"/>
    <w:multiLevelType w:val="hybridMultilevel"/>
    <w:tmpl w:val="5E00B4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C139C"/>
    <w:multiLevelType w:val="hybridMultilevel"/>
    <w:tmpl w:val="7FA0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B706E"/>
    <w:rsid w:val="0001338E"/>
    <w:rsid w:val="00022565"/>
    <w:rsid w:val="000230A9"/>
    <w:rsid w:val="0008613E"/>
    <w:rsid w:val="000A0B73"/>
    <w:rsid w:val="000D3CBA"/>
    <w:rsid w:val="000D5B45"/>
    <w:rsid w:val="000E308D"/>
    <w:rsid w:val="000F3179"/>
    <w:rsid w:val="000F5A02"/>
    <w:rsid w:val="001022C3"/>
    <w:rsid w:val="0011046A"/>
    <w:rsid w:val="001431F0"/>
    <w:rsid w:val="00156B7B"/>
    <w:rsid w:val="00177663"/>
    <w:rsid w:val="001875FB"/>
    <w:rsid w:val="001F6620"/>
    <w:rsid w:val="002073C0"/>
    <w:rsid w:val="00264228"/>
    <w:rsid w:val="00285409"/>
    <w:rsid w:val="002C7354"/>
    <w:rsid w:val="002F1BB1"/>
    <w:rsid w:val="003048FA"/>
    <w:rsid w:val="003513A0"/>
    <w:rsid w:val="003569A6"/>
    <w:rsid w:val="00367717"/>
    <w:rsid w:val="003736D7"/>
    <w:rsid w:val="00374A19"/>
    <w:rsid w:val="003A26B5"/>
    <w:rsid w:val="003B2FA7"/>
    <w:rsid w:val="003F31F2"/>
    <w:rsid w:val="00407FE5"/>
    <w:rsid w:val="00427DE4"/>
    <w:rsid w:val="00430069"/>
    <w:rsid w:val="004363DF"/>
    <w:rsid w:val="00442661"/>
    <w:rsid w:val="004718F6"/>
    <w:rsid w:val="004A245D"/>
    <w:rsid w:val="004B55B5"/>
    <w:rsid w:val="004C7E62"/>
    <w:rsid w:val="004F0C27"/>
    <w:rsid w:val="004F37EE"/>
    <w:rsid w:val="004F6EB1"/>
    <w:rsid w:val="0051054E"/>
    <w:rsid w:val="00521448"/>
    <w:rsid w:val="00524F22"/>
    <w:rsid w:val="0056743C"/>
    <w:rsid w:val="00593417"/>
    <w:rsid w:val="005A0C0F"/>
    <w:rsid w:val="005B7EAB"/>
    <w:rsid w:val="00604822"/>
    <w:rsid w:val="00640F8D"/>
    <w:rsid w:val="00663E6D"/>
    <w:rsid w:val="006974B6"/>
    <w:rsid w:val="00697ED8"/>
    <w:rsid w:val="006E76BA"/>
    <w:rsid w:val="006F6C8F"/>
    <w:rsid w:val="00716DE9"/>
    <w:rsid w:val="007312BE"/>
    <w:rsid w:val="00757920"/>
    <w:rsid w:val="007620FB"/>
    <w:rsid w:val="00763291"/>
    <w:rsid w:val="00770578"/>
    <w:rsid w:val="007878D5"/>
    <w:rsid w:val="007A2012"/>
    <w:rsid w:val="007B292D"/>
    <w:rsid w:val="007F750A"/>
    <w:rsid w:val="00832618"/>
    <w:rsid w:val="00846F0B"/>
    <w:rsid w:val="00847239"/>
    <w:rsid w:val="00896377"/>
    <w:rsid w:val="008B7FC7"/>
    <w:rsid w:val="009111D9"/>
    <w:rsid w:val="009345CD"/>
    <w:rsid w:val="00934608"/>
    <w:rsid w:val="009423B9"/>
    <w:rsid w:val="0095407F"/>
    <w:rsid w:val="00964B1F"/>
    <w:rsid w:val="00975B76"/>
    <w:rsid w:val="00987523"/>
    <w:rsid w:val="00991EB8"/>
    <w:rsid w:val="009B0544"/>
    <w:rsid w:val="009C72C1"/>
    <w:rsid w:val="009E5969"/>
    <w:rsid w:val="00A263CF"/>
    <w:rsid w:val="00A4246C"/>
    <w:rsid w:val="00A71A71"/>
    <w:rsid w:val="00AA2590"/>
    <w:rsid w:val="00AB26F7"/>
    <w:rsid w:val="00AC5BCE"/>
    <w:rsid w:val="00B1216D"/>
    <w:rsid w:val="00B220DF"/>
    <w:rsid w:val="00B31391"/>
    <w:rsid w:val="00B35CC6"/>
    <w:rsid w:val="00BE66D1"/>
    <w:rsid w:val="00BF2124"/>
    <w:rsid w:val="00BF565B"/>
    <w:rsid w:val="00C11368"/>
    <w:rsid w:val="00C16F27"/>
    <w:rsid w:val="00C455D4"/>
    <w:rsid w:val="00C963DB"/>
    <w:rsid w:val="00CC7A07"/>
    <w:rsid w:val="00CD6F10"/>
    <w:rsid w:val="00D04D84"/>
    <w:rsid w:val="00D17956"/>
    <w:rsid w:val="00D21E51"/>
    <w:rsid w:val="00D2274C"/>
    <w:rsid w:val="00D53748"/>
    <w:rsid w:val="00DB36DB"/>
    <w:rsid w:val="00DC5527"/>
    <w:rsid w:val="00E03D70"/>
    <w:rsid w:val="00E128F4"/>
    <w:rsid w:val="00E319A7"/>
    <w:rsid w:val="00E458B1"/>
    <w:rsid w:val="00E616AF"/>
    <w:rsid w:val="00E63504"/>
    <w:rsid w:val="00E8238F"/>
    <w:rsid w:val="00E860E9"/>
    <w:rsid w:val="00E8682E"/>
    <w:rsid w:val="00EB706E"/>
    <w:rsid w:val="00EC0FBA"/>
    <w:rsid w:val="00EF55CC"/>
    <w:rsid w:val="00F47DE3"/>
    <w:rsid w:val="00F52FF6"/>
    <w:rsid w:val="00F9755A"/>
    <w:rsid w:val="00FA7F14"/>
    <w:rsid w:val="00FB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6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D7F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FB6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D7FB6"/>
  </w:style>
  <w:style w:type="paragraph" w:styleId="Title">
    <w:name w:val="Title"/>
    <w:basedOn w:val="Normal"/>
    <w:link w:val="TitleChar"/>
    <w:qFormat/>
    <w:rsid w:val="003D2454"/>
    <w:pPr>
      <w:spacing w:after="0"/>
      <w:jc w:val="center"/>
    </w:pPr>
    <w:rPr>
      <w:rFonts w:ascii="Times New Roman" w:eastAsia="Times New Roman" w:hAnsi="Times New Roman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3D2454"/>
    <w:rPr>
      <w:rFonts w:ascii="Times New Roman" w:eastAsia="Times New Roman" w:hAnsi="Times New Roman"/>
      <w:b/>
      <w:smallCaps/>
      <w:sz w:val="28"/>
      <w:szCs w:val="24"/>
    </w:rPr>
  </w:style>
  <w:style w:type="paragraph" w:styleId="Header">
    <w:name w:val="header"/>
    <w:basedOn w:val="Normal"/>
    <w:rsid w:val="000F3179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08613E"/>
    <w:rPr>
      <w:color w:val="800080"/>
      <w:u w:val="single"/>
    </w:rPr>
  </w:style>
  <w:style w:type="paragraph" w:styleId="DocumentMap">
    <w:name w:val="Document Map"/>
    <w:basedOn w:val="Normal"/>
    <w:semiHidden/>
    <w:rsid w:val="003736D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285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F5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6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6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6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6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C27"/>
    <w:pPr>
      <w:spacing w:after="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6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D7F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FB6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D7FB6"/>
  </w:style>
  <w:style w:type="paragraph" w:styleId="Title">
    <w:name w:val="Title"/>
    <w:basedOn w:val="Normal"/>
    <w:link w:val="TitleChar"/>
    <w:qFormat/>
    <w:rsid w:val="003D2454"/>
    <w:pPr>
      <w:spacing w:after="0"/>
      <w:jc w:val="center"/>
    </w:pPr>
    <w:rPr>
      <w:rFonts w:ascii="Times New Roman" w:eastAsia="Times New Roman" w:hAnsi="Times New Roman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3D2454"/>
    <w:rPr>
      <w:rFonts w:ascii="Times New Roman" w:eastAsia="Times New Roman" w:hAnsi="Times New Roman"/>
      <w:b/>
      <w:smallCaps/>
      <w:sz w:val="28"/>
      <w:szCs w:val="24"/>
    </w:rPr>
  </w:style>
  <w:style w:type="paragraph" w:styleId="Header">
    <w:name w:val="header"/>
    <w:basedOn w:val="Normal"/>
    <w:rsid w:val="000F3179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08613E"/>
    <w:rPr>
      <w:color w:val="800080"/>
      <w:u w:val="single"/>
    </w:rPr>
  </w:style>
  <w:style w:type="paragraph" w:styleId="DocumentMap">
    <w:name w:val="Document Map"/>
    <w:basedOn w:val="Normal"/>
    <w:semiHidden/>
    <w:rsid w:val="003736D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285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F5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6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6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6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6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C27"/>
    <w:pPr>
      <w:spacing w:after="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AB02-1023-4BF7-AA93-7585E9D4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5153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WHITE HOUSE</vt:lpstr>
    </vt:vector>
  </TitlesOfParts>
  <Company>Humanity United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WHITE HOUSE</dc:title>
  <dc:creator>Peter Rundlet</dc:creator>
  <cp:lastModifiedBy>JWO</cp:lastModifiedBy>
  <cp:revision>2</cp:revision>
  <cp:lastPrinted>2012-11-01T21:42:00Z</cp:lastPrinted>
  <dcterms:created xsi:type="dcterms:W3CDTF">2012-11-01T23:46:00Z</dcterms:created>
  <dcterms:modified xsi:type="dcterms:W3CDTF">2012-11-01T23:46:00Z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