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64E" w:rsidRDefault="00C768F9" w:rsidP="0044464E">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Text Box 2" o:spid="_x0000_s1026" type="#_x0000_t202" style="position:absolute;margin-left:156.95pt;margin-top:.8pt;width:301.35pt;height:119.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">
            <v:textbox>
              <w:txbxContent>
                <w:p w:rsidR="009D567C" w:rsidRDefault="009D567C" w:rsidP="0044464E">
                  <w:pPr>
                    <w:rPr>
                      <w:b/>
                      <w:sz w:val="28"/>
                      <w:szCs w:val="28"/>
                    </w:rPr>
                  </w:pPr>
                </w:p>
                <w:p w:rsidR="009D567C" w:rsidRDefault="009D567C" w:rsidP="0044464E">
                  <w:pPr>
                    <w:rPr>
                      <w:b/>
                      <w:sz w:val="28"/>
                      <w:szCs w:val="28"/>
                    </w:rPr>
                  </w:pPr>
                </w:p>
                <w:p w:rsidR="009D567C" w:rsidRPr="006139D7" w:rsidRDefault="009D567C" w:rsidP="0044464E">
                  <w:pPr>
                    <w:rPr>
                      <w:b/>
                      <w:sz w:val="28"/>
                      <w:szCs w:val="28"/>
                    </w:rPr>
                  </w:pPr>
                  <w:r w:rsidRPr="006139D7">
                    <w:rPr>
                      <w:b/>
                      <w:sz w:val="28"/>
                      <w:szCs w:val="28"/>
                    </w:rPr>
                    <w:t>U.S. Energy Information Administration</w:t>
                  </w:r>
                </w:p>
                <w:p w:rsidR="009D567C" w:rsidRPr="00473B96" w:rsidRDefault="009D567C" w:rsidP="0044464E">
                  <w:pPr>
                    <w:rPr>
                      <w:b/>
                      <w:szCs w:val="24"/>
                    </w:rPr>
                  </w:pPr>
                  <w:r w:rsidRPr="00473B96">
                    <w:rPr>
                      <w:b/>
                      <w:szCs w:val="24"/>
                    </w:rPr>
                    <w:t>Office of Energy Statistics</w:t>
                  </w:r>
                </w:p>
                <w:p w:rsidR="009D567C" w:rsidRPr="00473B96" w:rsidRDefault="009D567C" w:rsidP="0044464E">
                  <w:pPr>
                    <w:rPr>
                      <w:b/>
                      <w:szCs w:val="24"/>
                    </w:rPr>
                  </w:pPr>
                  <w:r w:rsidRPr="00473B96">
                    <w:rPr>
                      <w:b/>
                      <w:szCs w:val="24"/>
                    </w:rPr>
                    <w:t>Office of Energy Consumption and Efficiency Statistics</w:t>
                  </w:r>
                </w:p>
              </w:txbxContent>
            </v:textbox>
          </v:shape>
        </w:pict>
      </w:r>
      <w:r w:rsidR="0044464E">
        <w:rPr>
          <w:noProof/>
        </w:rPr>
        <w:drawing>
          <wp:inline distT="0" distB="0" distL="0" distR="0">
            <wp:extent cx="1819275" cy="1399442"/>
            <wp:effectExtent l="19050" t="0" r="9525" b="0"/>
            <wp:docPr id="1" name="Picture 1" descr="http://taz/neic/Intranet2007/images/eia_logos/just%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just%20EIA%20logo.jpg"/>
                    <pic:cNvPicPr>
                      <a:picLocks noChangeAspect="1" noChangeArrowheads="1"/>
                    </pic:cNvPicPr>
                  </pic:nvPicPr>
                  <pic:blipFill>
                    <a:blip r:embed="rId8" cstate="print"/>
                    <a:srcRect/>
                    <a:stretch>
                      <a:fillRect/>
                    </a:stretch>
                  </pic:blipFill>
                  <pic:spPr bwMode="auto">
                    <a:xfrm>
                      <a:off x="0" y="0"/>
                      <a:ext cx="1819275" cy="1399442"/>
                    </a:xfrm>
                    <a:prstGeom prst="rect">
                      <a:avLst/>
                    </a:prstGeom>
                    <a:noFill/>
                    <a:ln w="9525">
                      <a:noFill/>
                      <a:miter lim="800000"/>
                      <a:headEnd/>
                      <a:tailEnd/>
                    </a:ln>
                  </pic:spPr>
                </pic:pic>
              </a:graphicData>
            </a:graphic>
          </wp:inline>
        </w:drawing>
      </w:r>
    </w:p>
    <w:p w:rsidR="0044464E" w:rsidRDefault="0044464E" w:rsidP="0044464E">
      <w:pPr>
        <w:ind w:left="4320"/>
      </w:pPr>
    </w:p>
    <w:p w:rsidR="0044464E" w:rsidRDefault="0044464E" w:rsidP="0044464E">
      <w:pPr>
        <w:rPr>
          <w:rFonts w:ascii="Arial Black" w:hAnsi="Arial Black"/>
          <w:sz w:val="28"/>
        </w:rPr>
      </w:pPr>
    </w:p>
    <w:p w:rsidR="0044464E" w:rsidRPr="006139D7" w:rsidRDefault="0044464E" w:rsidP="0044464E">
      <w:pPr>
        <w:rPr>
          <w:b/>
          <w:sz w:val="36"/>
          <w:szCs w:val="36"/>
        </w:rPr>
      </w:pPr>
      <w:r w:rsidRPr="006139D7">
        <w:rPr>
          <w:b/>
          <w:sz w:val="36"/>
          <w:szCs w:val="36"/>
        </w:rPr>
        <w:t>Supporting Statement for Survey Clearance</w:t>
      </w:r>
    </w:p>
    <w:p w:rsidR="0044464E" w:rsidRDefault="0044464E" w:rsidP="0044464E">
      <w:pPr>
        <w:rPr>
          <w:b/>
          <w:sz w:val="28"/>
          <w:szCs w:val="28"/>
        </w:rPr>
      </w:pPr>
    </w:p>
    <w:p w:rsidR="0044464E" w:rsidRDefault="0044464E" w:rsidP="0044464E">
      <w:pPr>
        <w:rPr>
          <w:b/>
          <w:i/>
          <w:sz w:val="36"/>
          <w:szCs w:val="36"/>
        </w:rPr>
      </w:pPr>
      <w:r>
        <w:rPr>
          <w:b/>
          <w:sz w:val="36"/>
          <w:szCs w:val="36"/>
        </w:rPr>
        <w:t xml:space="preserve">Form EIA-886, </w:t>
      </w:r>
      <w:r w:rsidRPr="00514CCA">
        <w:rPr>
          <w:b/>
          <w:i/>
          <w:sz w:val="36"/>
          <w:szCs w:val="36"/>
        </w:rPr>
        <w:t xml:space="preserve">Annual </w:t>
      </w:r>
      <w:r>
        <w:rPr>
          <w:b/>
          <w:i/>
          <w:sz w:val="36"/>
          <w:szCs w:val="36"/>
        </w:rPr>
        <w:t xml:space="preserve">Survey of </w:t>
      </w:r>
      <w:r w:rsidRPr="00514CCA">
        <w:rPr>
          <w:b/>
          <w:i/>
          <w:sz w:val="36"/>
          <w:szCs w:val="36"/>
        </w:rPr>
        <w:t>Al</w:t>
      </w:r>
      <w:r>
        <w:rPr>
          <w:b/>
          <w:i/>
          <w:sz w:val="36"/>
          <w:szCs w:val="36"/>
        </w:rPr>
        <w:t>ternative Fueled Vehicles</w:t>
      </w:r>
    </w:p>
    <w:p w:rsidR="0044464E" w:rsidRDefault="0044464E" w:rsidP="0044464E">
      <w:pPr>
        <w:rPr>
          <w:b/>
          <w:sz w:val="36"/>
          <w:szCs w:val="36"/>
        </w:rPr>
      </w:pPr>
      <w:r>
        <w:rPr>
          <w:b/>
          <w:sz w:val="36"/>
          <w:szCs w:val="36"/>
        </w:rPr>
        <w:t>OMB 1905-0191</w:t>
      </w:r>
    </w:p>
    <w:p w:rsidR="0044464E" w:rsidRDefault="0044464E" w:rsidP="0044464E">
      <w:pPr>
        <w:rPr>
          <w:b/>
          <w:sz w:val="36"/>
          <w:szCs w:val="36"/>
        </w:rPr>
      </w:pPr>
    </w:p>
    <w:p w:rsidR="0044464E" w:rsidRDefault="0044464E" w:rsidP="0044464E">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8"/>
      </w:tblGrid>
      <w:tr w:rsidR="0044464E" w:rsidRPr="006139D7" w:rsidTr="005F1439">
        <w:tc>
          <w:tcPr>
            <w:tcW w:w="7488" w:type="dxa"/>
            <w:vAlign w:val="center"/>
          </w:tcPr>
          <w:p w:rsidR="0044464E" w:rsidRPr="006139D7" w:rsidRDefault="0044464E" w:rsidP="005F1439">
            <w:pPr>
              <w:spacing w:before="240" w:after="240"/>
              <w:rPr>
                <w:b/>
                <w:sz w:val="32"/>
                <w:szCs w:val="32"/>
              </w:rPr>
            </w:pPr>
            <w:r>
              <w:rPr>
                <w:b/>
                <w:sz w:val="32"/>
                <w:szCs w:val="32"/>
              </w:rPr>
              <w:t xml:space="preserve">Part A: </w:t>
            </w:r>
            <w:r w:rsidRPr="00514CCA">
              <w:rPr>
                <w:b/>
                <w:sz w:val="32"/>
                <w:szCs w:val="32"/>
              </w:rPr>
              <w:t>Background and Proposal</w:t>
            </w:r>
          </w:p>
        </w:tc>
      </w:tr>
    </w:tbl>
    <w:p w:rsidR="0044464E" w:rsidRPr="006139D7" w:rsidRDefault="0044464E" w:rsidP="0044464E"/>
    <w:p w:rsidR="0044464E" w:rsidRPr="006139D7" w:rsidRDefault="0044464E" w:rsidP="0044464E"/>
    <w:p w:rsidR="0044464E" w:rsidRPr="001B2EA7" w:rsidRDefault="0044464E" w:rsidP="0044464E">
      <w:pPr>
        <w:rPr>
          <w:b/>
          <w:szCs w:val="24"/>
        </w:rPr>
      </w:pPr>
      <w:r w:rsidRPr="001B2EA7">
        <w:rPr>
          <w:b/>
          <w:szCs w:val="24"/>
        </w:rPr>
        <w:t xml:space="preserve">Original Date: </w:t>
      </w:r>
      <w:r w:rsidR="00615BBB">
        <w:rPr>
          <w:b/>
          <w:szCs w:val="24"/>
        </w:rPr>
        <w:t>November</w:t>
      </w:r>
      <w:r w:rsidRPr="001B2EA7">
        <w:rPr>
          <w:b/>
          <w:szCs w:val="24"/>
        </w:rPr>
        <w:t xml:space="preserve"> 2012</w:t>
      </w:r>
    </w:p>
    <w:p w:rsidR="0044464E" w:rsidRPr="006139D7" w:rsidRDefault="0044464E" w:rsidP="0044464E"/>
    <w:p w:rsidR="0044464E" w:rsidRDefault="0044464E" w:rsidP="0044464E">
      <w:pPr>
        <w:sectPr w:rsidR="0044464E" w:rsidSect="0044464E">
          <w:pgSz w:w="12240" w:h="15840"/>
          <w:pgMar w:top="1440" w:right="1440" w:bottom="1440" w:left="1440" w:header="720" w:footer="1973" w:gutter="0"/>
          <w:cols w:space="720"/>
          <w:noEndnote/>
        </w:sectPr>
      </w:pPr>
    </w:p>
    <w:p w:rsidR="00F86D2E" w:rsidRDefault="00F04F7B" w:rsidP="00F04F7B">
      <w:pPr>
        <w:pStyle w:val="Title"/>
        <w:widowControl/>
        <w:tabs>
          <w:tab w:val="clear" w:pos="5112"/>
          <w:tab w:val="clear" w:pos="5760"/>
          <w:tab w:val="clear" w:pos="6480"/>
          <w:tab w:val="clear" w:pos="7200"/>
          <w:tab w:val="clear" w:pos="7920"/>
          <w:tab w:val="clear" w:pos="8640"/>
          <w:tab w:val="clear" w:pos="9360"/>
          <w:tab w:val="right" w:pos="10080"/>
        </w:tabs>
        <w:jc w:val="left"/>
        <w:rPr>
          <w:b/>
        </w:rPr>
      </w:pPr>
      <w:r>
        <w:rPr>
          <w:b/>
        </w:rPr>
        <w:lastRenderedPageBreak/>
        <w:t>EIA-886, Annual Survey of Alternative Fueled Vehicles</w:t>
      </w:r>
      <w:r>
        <w:rPr>
          <w:b/>
        </w:rPr>
        <w:tab/>
        <w:t>Supporting Statement, Part A</w:t>
      </w:r>
    </w:p>
    <w:sdt>
      <w:sdtPr>
        <w:rPr>
          <w:rFonts w:eastAsia="Times New Roman"/>
          <w:b w:val="0"/>
          <w:bCs w:val="0"/>
          <w:sz w:val="24"/>
          <w:szCs w:val="20"/>
        </w:rPr>
        <w:id w:val="859912470"/>
        <w:docPartObj>
          <w:docPartGallery w:val="Table of Contents"/>
          <w:docPartUnique/>
        </w:docPartObj>
      </w:sdtPr>
      <w:sdtContent>
        <w:p w:rsidR="00F86D2E" w:rsidRDefault="00F86D2E" w:rsidP="009E1ECB">
          <w:pPr>
            <w:pStyle w:val="TOCHeading"/>
          </w:pPr>
          <w:r>
            <w:t>Table of Contents</w:t>
          </w:r>
        </w:p>
        <w:p w:rsidR="00F04F7B" w:rsidRPr="00F04F7B" w:rsidRDefault="00F04F7B" w:rsidP="00F04F7B"/>
        <w:p w:rsidR="00615BBB" w:rsidRDefault="00C768F9" w:rsidP="00615BBB">
          <w:pPr>
            <w:pStyle w:val="TOC1"/>
            <w:spacing w:before="200" w:after="200"/>
            <w:rPr>
              <w:rFonts w:asciiTheme="minorHAnsi" w:eastAsiaTheme="minorEastAsia" w:hAnsiTheme="minorHAnsi" w:cstheme="minorBidi"/>
              <w:noProof/>
              <w:sz w:val="22"/>
              <w:szCs w:val="22"/>
            </w:rPr>
          </w:pPr>
          <w:r>
            <w:fldChar w:fldCharType="begin"/>
          </w:r>
          <w:r w:rsidR="00F86D2E">
            <w:instrText xml:space="preserve"> TOC \o "1-3" \h \z \u </w:instrText>
          </w:r>
          <w:r>
            <w:fldChar w:fldCharType="separate"/>
          </w:r>
          <w:hyperlink w:anchor="_Toc341193732" w:history="1">
            <w:r w:rsidR="00615BBB" w:rsidRPr="00A237EA">
              <w:rPr>
                <w:rStyle w:val="Hyperlink"/>
                <w:noProof/>
              </w:rPr>
              <w:t>INTRODUCTION</w:t>
            </w:r>
            <w:r w:rsidR="00615BBB">
              <w:rPr>
                <w:noProof/>
                <w:webHidden/>
              </w:rPr>
              <w:tab/>
            </w:r>
            <w:r>
              <w:rPr>
                <w:noProof/>
                <w:webHidden/>
              </w:rPr>
              <w:fldChar w:fldCharType="begin"/>
            </w:r>
            <w:r w:rsidR="00615BBB">
              <w:rPr>
                <w:noProof/>
                <w:webHidden/>
              </w:rPr>
              <w:instrText xml:space="preserve"> PAGEREF _Toc341193732 \h </w:instrText>
            </w:r>
            <w:r>
              <w:rPr>
                <w:noProof/>
                <w:webHidden/>
              </w:rPr>
            </w:r>
            <w:r>
              <w:rPr>
                <w:noProof/>
                <w:webHidden/>
              </w:rPr>
              <w:fldChar w:fldCharType="separate"/>
            </w:r>
            <w:r w:rsidR="00615BBB">
              <w:rPr>
                <w:noProof/>
                <w:webHidden/>
              </w:rPr>
              <w:t>1</w:t>
            </w:r>
            <w:r>
              <w:rPr>
                <w:noProof/>
                <w:webHidden/>
              </w:rPr>
              <w:fldChar w:fldCharType="end"/>
            </w:r>
          </w:hyperlink>
        </w:p>
        <w:p w:rsidR="00615BBB" w:rsidRDefault="00C768F9" w:rsidP="00615BBB">
          <w:pPr>
            <w:pStyle w:val="TOC1"/>
            <w:spacing w:before="200" w:after="200"/>
            <w:rPr>
              <w:rFonts w:asciiTheme="minorHAnsi" w:eastAsiaTheme="minorEastAsia" w:hAnsiTheme="minorHAnsi" w:cstheme="minorBidi"/>
              <w:noProof/>
              <w:sz w:val="22"/>
              <w:szCs w:val="22"/>
            </w:rPr>
          </w:pPr>
          <w:hyperlink w:anchor="_Toc341193733" w:history="1">
            <w:r w:rsidR="00615BBB" w:rsidRPr="00A237EA">
              <w:rPr>
                <w:rStyle w:val="Hyperlink"/>
                <w:noProof/>
              </w:rPr>
              <w:t>SUMMARY OF PROPOSED CHANGES</w:t>
            </w:r>
            <w:r w:rsidR="00615BBB">
              <w:rPr>
                <w:noProof/>
                <w:webHidden/>
              </w:rPr>
              <w:tab/>
            </w:r>
            <w:r>
              <w:rPr>
                <w:noProof/>
                <w:webHidden/>
              </w:rPr>
              <w:fldChar w:fldCharType="begin"/>
            </w:r>
            <w:r w:rsidR="00615BBB">
              <w:rPr>
                <w:noProof/>
                <w:webHidden/>
              </w:rPr>
              <w:instrText xml:space="preserve"> PAGEREF _Toc341193733 \h </w:instrText>
            </w:r>
            <w:r>
              <w:rPr>
                <w:noProof/>
                <w:webHidden/>
              </w:rPr>
            </w:r>
            <w:r>
              <w:rPr>
                <w:noProof/>
                <w:webHidden/>
              </w:rPr>
              <w:fldChar w:fldCharType="separate"/>
            </w:r>
            <w:r w:rsidR="00615BBB">
              <w:rPr>
                <w:noProof/>
                <w:webHidden/>
              </w:rPr>
              <w:t>2</w:t>
            </w:r>
            <w:r>
              <w:rPr>
                <w:noProof/>
                <w:webHidden/>
              </w:rPr>
              <w:fldChar w:fldCharType="end"/>
            </w:r>
          </w:hyperlink>
        </w:p>
        <w:p w:rsidR="00615BBB" w:rsidRDefault="00C768F9" w:rsidP="00615BBB">
          <w:pPr>
            <w:pStyle w:val="TOC1"/>
            <w:spacing w:before="200" w:after="200"/>
            <w:rPr>
              <w:rFonts w:asciiTheme="minorHAnsi" w:eastAsiaTheme="minorEastAsia" w:hAnsiTheme="minorHAnsi" w:cstheme="minorBidi"/>
              <w:noProof/>
              <w:sz w:val="22"/>
              <w:szCs w:val="22"/>
            </w:rPr>
          </w:pPr>
          <w:hyperlink w:anchor="_Toc341193734" w:history="1">
            <w:r w:rsidR="00615BBB" w:rsidRPr="00A237EA">
              <w:rPr>
                <w:rStyle w:val="Hyperlink"/>
                <w:noProof/>
              </w:rPr>
              <w:t>A. JUSTIFICATION</w:t>
            </w:r>
            <w:r w:rsidR="00615BBB">
              <w:rPr>
                <w:noProof/>
                <w:webHidden/>
              </w:rPr>
              <w:tab/>
            </w:r>
            <w:r>
              <w:rPr>
                <w:noProof/>
                <w:webHidden/>
              </w:rPr>
              <w:fldChar w:fldCharType="begin"/>
            </w:r>
            <w:r w:rsidR="00615BBB">
              <w:rPr>
                <w:noProof/>
                <w:webHidden/>
              </w:rPr>
              <w:instrText xml:space="preserve"> PAGEREF _Toc341193734 \h </w:instrText>
            </w:r>
            <w:r>
              <w:rPr>
                <w:noProof/>
                <w:webHidden/>
              </w:rPr>
            </w:r>
            <w:r>
              <w:rPr>
                <w:noProof/>
                <w:webHidden/>
              </w:rPr>
              <w:fldChar w:fldCharType="separate"/>
            </w:r>
            <w:r w:rsidR="00615BBB">
              <w:rPr>
                <w:noProof/>
                <w:webHidden/>
              </w:rPr>
              <w:t>3</w:t>
            </w:r>
            <w:r>
              <w:rPr>
                <w:noProof/>
                <w:webHidden/>
              </w:rPr>
              <w:fldChar w:fldCharType="end"/>
            </w:r>
          </w:hyperlink>
        </w:p>
        <w:p w:rsidR="00615BBB" w:rsidRDefault="00C768F9" w:rsidP="00615BBB">
          <w:pPr>
            <w:pStyle w:val="TOC2"/>
            <w:spacing w:before="200" w:after="200"/>
            <w:rPr>
              <w:rFonts w:asciiTheme="minorHAnsi" w:eastAsiaTheme="minorEastAsia" w:hAnsiTheme="minorHAnsi" w:cstheme="minorBidi"/>
              <w:noProof/>
              <w:sz w:val="22"/>
              <w:szCs w:val="22"/>
            </w:rPr>
          </w:pPr>
          <w:hyperlink w:anchor="_Toc341193735" w:history="1">
            <w:r w:rsidR="00615BBB" w:rsidRPr="00A237EA">
              <w:rPr>
                <w:rStyle w:val="Hyperlink"/>
                <w:noProof/>
              </w:rPr>
              <w:t>1.</w:t>
            </w:r>
            <w:r w:rsidR="00615BBB">
              <w:rPr>
                <w:rFonts w:asciiTheme="minorHAnsi" w:eastAsiaTheme="minorEastAsia" w:hAnsiTheme="minorHAnsi" w:cstheme="minorBidi"/>
                <w:noProof/>
                <w:sz w:val="22"/>
                <w:szCs w:val="22"/>
              </w:rPr>
              <w:tab/>
            </w:r>
            <w:r w:rsidR="00615BBB" w:rsidRPr="00A237EA">
              <w:rPr>
                <w:rStyle w:val="Hyperlink"/>
                <w:noProof/>
              </w:rPr>
              <w:t>Legal Authority</w:t>
            </w:r>
            <w:r w:rsidR="00615BBB">
              <w:rPr>
                <w:noProof/>
                <w:webHidden/>
              </w:rPr>
              <w:tab/>
            </w:r>
            <w:r>
              <w:rPr>
                <w:noProof/>
                <w:webHidden/>
              </w:rPr>
              <w:fldChar w:fldCharType="begin"/>
            </w:r>
            <w:r w:rsidR="00615BBB">
              <w:rPr>
                <w:noProof/>
                <w:webHidden/>
              </w:rPr>
              <w:instrText xml:space="preserve"> PAGEREF _Toc341193735 \h </w:instrText>
            </w:r>
            <w:r>
              <w:rPr>
                <w:noProof/>
                <w:webHidden/>
              </w:rPr>
            </w:r>
            <w:r>
              <w:rPr>
                <w:noProof/>
                <w:webHidden/>
              </w:rPr>
              <w:fldChar w:fldCharType="separate"/>
            </w:r>
            <w:r w:rsidR="00615BBB">
              <w:rPr>
                <w:noProof/>
                <w:webHidden/>
              </w:rPr>
              <w:t>3</w:t>
            </w:r>
            <w:r>
              <w:rPr>
                <w:noProof/>
                <w:webHidden/>
              </w:rPr>
              <w:fldChar w:fldCharType="end"/>
            </w:r>
          </w:hyperlink>
        </w:p>
        <w:p w:rsidR="00615BBB" w:rsidRDefault="00C768F9" w:rsidP="00615BBB">
          <w:pPr>
            <w:pStyle w:val="TOC2"/>
            <w:spacing w:before="200" w:after="200"/>
            <w:rPr>
              <w:rFonts w:asciiTheme="minorHAnsi" w:eastAsiaTheme="minorEastAsia" w:hAnsiTheme="minorHAnsi" w:cstheme="minorBidi"/>
              <w:noProof/>
              <w:sz w:val="22"/>
              <w:szCs w:val="22"/>
            </w:rPr>
          </w:pPr>
          <w:hyperlink w:anchor="_Toc341193736" w:history="1">
            <w:r w:rsidR="00615BBB" w:rsidRPr="00A237EA">
              <w:rPr>
                <w:rStyle w:val="Hyperlink"/>
                <w:noProof/>
              </w:rPr>
              <w:t>2.</w:t>
            </w:r>
            <w:r w:rsidR="00615BBB">
              <w:rPr>
                <w:rFonts w:asciiTheme="minorHAnsi" w:eastAsiaTheme="minorEastAsia" w:hAnsiTheme="minorHAnsi" w:cstheme="minorBidi"/>
                <w:noProof/>
                <w:sz w:val="22"/>
                <w:szCs w:val="22"/>
              </w:rPr>
              <w:tab/>
            </w:r>
            <w:r w:rsidR="00615BBB" w:rsidRPr="00A237EA">
              <w:rPr>
                <w:rStyle w:val="Hyperlink"/>
                <w:noProof/>
              </w:rPr>
              <w:t>Needs for and Uses of the Data</w:t>
            </w:r>
            <w:r w:rsidR="00615BBB">
              <w:rPr>
                <w:noProof/>
                <w:webHidden/>
              </w:rPr>
              <w:tab/>
            </w:r>
            <w:r>
              <w:rPr>
                <w:noProof/>
                <w:webHidden/>
              </w:rPr>
              <w:fldChar w:fldCharType="begin"/>
            </w:r>
            <w:r w:rsidR="00615BBB">
              <w:rPr>
                <w:noProof/>
                <w:webHidden/>
              </w:rPr>
              <w:instrText xml:space="preserve"> PAGEREF _Toc341193736 \h </w:instrText>
            </w:r>
            <w:r>
              <w:rPr>
                <w:noProof/>
                <w:webHidden/>
              </w:rPr>
            </w:r>
            <w:r>
              <w:rPr>
                <w:noProof/>
                <w:webHidden/>
              </w:rPr>
              <w:fldChar w:fldCharType="separate"/>
            </w:r>
            <w:r w:rsidR="00615BBB">
              <w:rPr>
                <w:noProof/>
                <w:webHidden/>
              </w:rPr>
              <w:t>3</w:t>
            </w:r>
            <w:r>
              <w:rPr>
                <w:noProof/>
                <w:webHidden/>
              </w:rPr>
              <w:fldChar w:fldCharType="end"/>
            </w:r>
          </w:hyperlink>
        </w:p>
        <w:p w:rsidR="00615BBB" w:rsidRDefault="00C768F9" w:rsidP="00615BBB">
          <w:pPr>
            <w:pStyle w:val="TOC2"/>
            <w:spacing w:before="200" w:after="200"/>
            <w:rPr>
              <w:rFonts w:asciiTheme="minorHAnsi" w:eastAsiaTheme="minorEastAsia" w:hAnsiTheme="minorHAnsi" w:cstheme="minorBidi"/>
              <w:noProof/>
              <w:sz w:val="22"/>
              <w:szCs w:val="22"/>
            </w:rPr>
          </w:pPr>
          <w:hyperlink w:anchor="_Toc341193737" w:history="1">
            <w:r w:rsidR="00615BBB" w:rsidRPr="00A237EA">
              <w:rPr>
                <w:rStyle w:val="Hyperlink"/>
                <w:noProof/>
              </w:rPr>
              <w:t>3.</w:t>
            </w:r>
            <w:r w:rsidR="00615BBB">
              <w:rPr>
                <w:rFonts w:asciiTheme="minorHAnsi" w:eastAsiaTheme="minorEastAsia" w:hAnsiTheme="minorHAnsi" w:cstheme="minorBidi"/>
                <w:noProof/>
                <w:sz w:val="22"/>
                <w:szCs w:val="22"/>
              </w:rPr>
              <w:tab/>
            </w:r>
            <w:r w:rsidR="00615BBB" w:rsidRPr="00A237EA">
              <w:rPr>
                <w:rStyle w:val="Hyperlink"/>
                <w:noProof/>
              </w:rPr>
              <w:t>Use of Information Technology</w:t>
            </w:r>
            <w:r w:rsidR="00615BBB">
              <w:rPr>
                <w:noProof/>
                <w:webHidden/>
              </w:rPr>
              <w:tab/>
            </w:r>
            <w:r>
              <w:rPr>
                <w:noProof/>
                <w:webHidden/>
              </w:rPr>
              <w:fldChar w:fldCharType="begin"/>
            </w:r>
            <w:r w:rsidR="00615BBB">
              <w:rPr>
                <w:noProof/>
                <w:webHidden/>
              </w:rPr>
              <w:instrText xml:space="preserve"> PAGEREF _Toc341193737 \h </w:instrText>
            </w:r>
            <w:r>
              <w:rPr>
                <w:noProof/>
                <w:webHidden/>
              </w:rPr>
            </w:r>
            <w:r>
              <w:rPr>
                <w:noProof/>
                <w:webHidden/>
              </w:rPr>
              <w:fldChar w:fldCharType="separate"/>
            </w:r>
            <w:r w:rsidR="00615BBB">
              <w:rPr>
                <w:noProof/>
                <w:webHidden/>
              </w:rPr>
              <w:t>4</w:t>
            </w:r>
            <w:r>
              <w:rPr>
                <w:noProof/>
                <w:webHidden/>
              </w:rPr>
              <w:fldChar w:fldCharType="end"/>
            </w:r>
          </w:hyperlink>
        </w:p>
        <w:p w:rsidR="00615BBB" w:rsidRDefault="00C768F9" w:rsidP="00615BBB">
          <w:pPr>
            <w:pStyle w:val="TOC2"/>
            <w:spacing w:before="200" w:after="200"/>
            <w:rPr>
              <w:rFonts w:asciiTheme="minorHAnsi" w:eastAsiaTheme="minorEastAsia" w:hAnsiTheme="minorHAnsi" w:cstheme="minorBidi"/>
              <w:noProof/>
              <w:sz w:val="22"/>
              <w:szCs w:val="22"/>
            </w:rPr>
          </w:pPr>
          <w:hyperlink w:anchor="_Toc341193738" w:history="1">
            <w:r w:rsidR="00615BBB" w:rsidRPr="00A237EA">
              <w:rPr>
                <w:rStyle w:val="Hyperlink"/>
                <w:noProof/>
              </w:rPr>
              <w:t>4.</w:t>
            </w:r>
            <w:r w:rsidR="00615BBB">
              <w:rPr>
                <w:rFonts w:asciiTheme="minorHAnsi" w:eastAsiaTheme="minorEastAsia" w:hAnsiTheme="minorHAnsi" w:cstheme="minorBidi"/>
                <w:noProof/>
                <w:sz w:val="22"/>
                <w:szCs w:val="22"/>
              </w:rPr>
              <w:tab/>
            </w:r>
            <w:r w:rsidR="00615BBB" w:rsidRPr="00A237EA">
              <w:rPr>
                <w:rStyle w:val="Hyperlink"/>
                <w:noProof/>
              </w:rPr>
              <w:t>Efforts to Reduce Duplication</w:t>
            </w:r>
            <w:r w:rsidR="00615BBB">
              <w:rPr>
                <w:noProof/>
                <w:webHidden/>
              </w:rPr>
              <w:tab/>
            </w:r>
            <w:r>
              <w:rPr>
                <w:noProof/>
                <w:webHidden/>
              </w:rPr>
              <w:fldChar w:fldCharType="begin"/>
            </w:r>
            <w:r w:rsidR="00615BBB">
              <w:rPr>
                <w:noProof/>
                <w:webHidden/>
              </w:rPr>
              <w:instrText xml:space="preserve"> PAGEREF _Toc341193738 \h </w:instrText>
            </w:r>
            <w:r>
              <w:rPr>
                <w:noProof/>
                <w:webHidden/>
              </w:rPr>
            </w:r>
            <w:r>
              <w:rPr>
                <w:noProof/>
                <w:webHidden/>
              </w:rPr>
              <w:fldChar w:fldCharType="separate"/>
            </w:r>
            <w:r w:rsidR="00615BBB">
              <w:rPr>
                <w:noProof/>
                <w:webHidden/>
              </w:rPr>
              <w:t>5</w:t>
            </w:r>
            <w:r>
              <w:rPr>
                <w:noProof/>
                <w:webHidden/>
              </w:rPr>
              <w:fldChar w:fldCharType="end"/>
            </w:r>
          </w:hyperlink>
        </w:p>
        <w:p w:rsidR="00615BBB" w:rsidRDefault="00C768F9" w:rsidP="00615BBB">
          <w:pPr>
            <w:pStyle w:val="TOC2"/>
            <w:spacing w:before="200" w:after="200"/>
            <w:rPr>
              <w:rFonts w:asciiTheme="minorHAnsi" w:eastAsiaTheme="minorEastAsia" w:hAnsiTheme="minorHAnsi" w:cstheme="minorBidi"/>
              <w:noProof/>
              <w:sz w:val="22"/>
              <w:szCs w:val="22"/>
            </w:rPr>
          </w:pPr>
          <w:hyperlink w:anchor="_Toc341193739" w:history="1">
            <w:r w:rsidR="00615BBB" w:rsidRPr="00A237EA">
              <w:rPr>
                <w:rStyle w:val="Hyperlink"/>
                <w:noProof/>
              </w:rPr>
              <w:t>5.</w:t>
            </w:r>
            <w:r w:rsidR="00615BBB">
              <w:rPr>
                <w:rFonts w:asciiTheme="minorHAnsi" w:eastAsiaTheme="minorEastAsia" w:hAnsiTheme="minorHAnsi" w:cstheme="minorBidi"/>
                <w:noProof/>
                <w:sz w:val="22"/>
                <w:szCs w:val="22"/>
              </w:rPr>
              <w:tab/>
            </w:r>
            <w:r w:rsidR="00615BBB" w:rsidRPr="00A237EA">
              <w:rPr>
                <w:rStyle w:val="Hyperlink"/>
                <w:noProof/>
              </w:rPr>
              <w:t>Reducing Burden on Small Business</w:t>
            </w:r>
            <w:r w:rsidR="00615BBB">
              <w:rPr>
                <w:noProof/>
                <w:webHidden/>
              </w:rPr>
              <w:tab/>
            </w:r>
            <w:r>
              <w:rPr>
                <w:noProof/>
                <w:webHidden/>
              </w:rPr>
              <w:fldChar w:fldCharType="begin"/>
            </w:r>
            <w:r w:rsidR="00615BBB">
              <w:rPr>
                <w:noProof/>
                <w:webHidden/>
              </w:rPr>
              <w:instrText xml:space="preserve"> PAGEREF _Toc341193739 \h </w:instrText>
            </w:r>
            <w:r>
              <w:rPr>
                <w:noProof/>
                <w:webHidden/>
              </w:rPr>
            </w:r>
            <w:r>
              <w:rPr>
                <w:noProof/>
                <w:webHidden/>
              </w:rPr>
              <w:fldChar w:fldCharType="separate"/>
            </w:r>
            <w:r w:rsidR="00615BBB">
              <w:rPr>
                <w:noProof/>
                <w:webHidden/>
              </w:rPr>
              <w:t>7</w:t>
            </w:r>
            <w:r>
              <w:rPr>
                <w:noProof/>
                <w:webHidden/>
              </w:rPr>
              <w:fldChar w:fldCharType="end"/>
            </w:r>
          </w:hyperlink>
        </w:p>
        <w:p w:rsidR="00615BBB" w:rsidRDefault="00C768F9" w:rsidP="00615BBB">
          <w:pPr>
            <w:pStyle w:val="TOC2"/>
            <w:spacing w:before="200" w:after="200"/>
            <w:rPr>
              <w:rFonts w:asciiTheme="minorHAnsi" w:eastAsiaTheme="minorEastAsia" w:hAnsiTheme="minorHAnsi" w:cstheme="minorBidi"/>
              <w:noProof/>
              <w:sz w:val="22"/>
              <w:szCs w:val="22"/>
            </w:rPr>
          </w:pPr>
          <w:hyperlink w:anchor="_Toc341193740" w:history="1">
            <w:r w:rsidR="00615BBB" w:rsidRPr="00A237EA">
              <w:rPr>
                <w:rStyle w:val="Hyperlink"/>
                <w:noProof/>
              </w:rPr>
              <w:t>6.</w:t>
            </w:r>
            <w:r w:rsidR="00615BBB">
              <w:rPr>
                <w:rFonts w:asciiTheme="minorHAnsi" w:eastAsiaTheme="minorEastAsia" w:hAnsiTheme="minorHAnsi" w:cstheme="minorBidi"/>
                <w:noProof/>
                <w:sz w:val="22"/>
                <w:szCs w:val="22"/>
              </w:rPr>
              <w:tab/>
            </w:r>
            <w:r w:rsidR="00615BBB" w:rsidRPr="00A237EA">
              <w:rPr>
                <w:rStyle w:val="Hyperlink"/>
                <w:noProof/>
              </w:rPr>
              <w:t>Consequences of Collecting Data Less Frequently</w:t>
            </w:r>
            <w:r w:rsidR="00615BBB">
              <w:rPr>
                <w:noProof/>
                <w:webHidden/>
              </w:rPr>
              <w:tab/>
            </w:r>
            <w:r>
              <w:rPr>
                <w:noProof/>
                <w:webHidden/>
              </w:rPr>
              <w:fldChar w:fldCharType="begin"/>
            </w:r>
            <w:r w:rsidR="00615BBB">
              <w:rPr>
                <w:noProof/>
                <w:webHidden/>
              </w:rPr>
              <w:instrText xml:space="preserve"> PAGEREF _Toc341193740 \h </w:instrText>
            </w:r>
            <w:r>
              <w:rPr>
                <w:noProof/>
                <w:webHidden/>
              </w:rPr>
            </w:r>
            <w:r>
              <w:rPr>
                <w:noProof/>
                <w:webHidden/>
              </w:rPr>
              <w:fldChar w:fldCharType="separate"/>
            </w:r>
            <w:r w:rsidR="00615BBB">
              <w:rPr>
                <w:noProof/>
                <w:webHidden/>
              </w:rPr>
              <w:t>7</w:t>
            </w:r>
            <w:r>
              <w:rPr>
                <w:noProof/>
                <w:webHidden/>
              </w:rPr>
              <w:fldChar w:fldCharType="end"/>
            </w:r>
          </w:hyperlink>
        </w:p>
        <w:p w:rsidR="00615BBB" w:rsidRDefault="00C768F9" w:rsidP="00615BBB">
          <w:pPr>
            <w:pStyle w:val="TOC2"/>
            <w:spacing w:before="200" w:after="200"/>
            <w:rPr>
              <w:rFonts w:asciiTheme="minorHAnsi" w:eastAsiaTheme="minorEastAsia" w:hAnsiTheme="minorHAnsi" w:cstheme="minorBidi"/>
              <w:noProof/>
              <w:sz w:val="22"/>
              <w:szCs w:val="22"/>
            </w:rPr>
          </w:pPr>
          <w:hyperlink w:anchor="_Toc341193741" w:history="1">
            <w:r w:rsidR="00615BBB" w:rsidRPr="00A237EA">
              <w:rPr>
                <w:rStyle w:val="Hyperlink"/>
                <w:noProof/>
              </w:rPr>
              <w:t>7.</w:t>
            </w:r>
            <w:r w:rsidR="00615BBB">
              <w:rPr>
                <w:rFonts w:asciiTheme="minorHAnsi" w:eastAsiaTheme="minorEastAsia" w:hAnsiTheme="minorHAnsi" w:cstheme="minorBidi"/>
                <w:noProof/>
                <w:sz w:val="22"/>
                <w:szCs w:val="22"/>
              </w:rPr>
              <w:tab/>
            </w:r>
            <w:r w:rsidR="00615BBB" w:rsidRPr="00A237EA">
              <w:rPr>
                <w:rStyle w:val="Hyperlink"/>
                <w:noProof/>
              </w:rPr>
              <w:t>Compliance with 5CFR 1320.5</w:t>
            </w:r>
            <w:r w:rsidR="00615BBB">
              <w:rPr>
                <w:noProof/>
                <w:webHidden/>
              </w:rPr>
              <w:tab/>
            </w:r>
            <w:r>
              <w:rPr>
                <w:noProof/>
                <w:webHidden/>
              </w:rPr>
              <w:fldChar w:fldCharType="begin"/>
            </w:r>
            <w:r w:rsidR="00615BBB">
              <w:rPr>
                <w:noProof/>
                <w:webHidden/>
              </w:rPr>
              <w:instrText xml:space="preserve"> PAGEREF _Toc341193741 \h </w:instrText>
            </w:r>
            <w:r>
              <w:rPr>
                <w:noProof/>
                <w:webHidden/>
              </w:rPr>
            </w:r>
            <w:r>
              <w:rPr>
                <w:noProof/>
                <w:webHidden/>
              </w:rPr>
              <w:fldChar w:fldCharType="separate"/>
            </w:r>
            <w:r w:rsidR="00615BBB">
              <w:rPr>
                <w:noProof/>
                <w:webHidden/>
              </w:rPr>
              <w:t>8</w:t>
            </w:r>
            <w:r>
              <w:rPr>
                <w:noProof/>
                <w:webHidden/>
              </w:rPr>
              <w:fldChar w:fldCharType="end"/>
            </w:r>
          </w:hyperlink>
        </w:p>
        <w:p w:rsidR="00615BBB" w:rsidRDefault="00C768F9" w:rsidP="00615BBB">
          <w:pPr>
            <w:pStyle w:val="TOC2"/>
            <w:spacing w:before="200" w:after="200"/>
            <w:rPr>
              <w:rFonts w:asciiTheme="minorHAnsi" w:eastAsiaTheme="minorEastAsia" w:hAnsiTheme="minorHAnsi" w:cstheme="minorBidi"/>
              <w:noProof/>
              <w:sz w:val="22"/>
              <w:szCs w:val="22"/>
            </w:rPr>
          </w:pPr>
          <w:hyperlink w:anchor="_Toc341193742" w:history="1">
            <w:r w:rsidR="00615BBB" w:rsidRPr="00A237EA">
              <w:rPr>
                <w:rStyle w:val="Hyperlink"/>
                <w:noProof/>
              </w:rPr>
              <w:t>8.</w:t>
            </w:r>
            <w:r w:rsidR="00615BBB">
              <w:rPr>
                <w:rFonts w:asciiTheme="minorHAnsi" w:eastAsiaTheme="minorEastAsia" w:hAnsiTheme="minorHAnsi" w:cstheme="minorBidi"/>
                <w:noProof/>
                <w:sz w:val="22"/>
                <w:szCs w:val="22"/>
              </w:rPr>
              <w:tab/>
            </w:r>
            <w:r w:rsidR="00615BBB" w:rsidRPr="00A237EA">
              <w:rPr>
                <w:rStyle w:val="Hyperlink"/>
                <w:noProof/>
              </w:rPr>
              <w:t>Special Circumstances</w:t>
            </w:r>
            <w:r w:rsidR="00615BBB">
              <w:rPr>
                <w:noProof/>
                <w:webHidden/>
              </w:rPr>
              <w:tab/>
            </w:r>
            <w:r>
              <w:rPr>
                <w:noProof/>
                <w:webHidden/>
              </w:rPr>
              <w:fldChar w:fldCharType="begin"/>
            </w:r>
            <w:r w:rsidR="00615BBB">
              <w:rPr>
                <w:noProof/>
                <w:webHidden/>
              </w:rPr>
              <w:instrText xml:space="preserve"> PAGEREF _Toc341193742 \h </w:instrText>
            </w:r>
            <w:r>
              <w:rPr>
                <w:noProof/>
                <w:webHidden/>
              </w:rPr>
            </w:r>
            <w:r>
              <w:rPr>
                <w:noProof/>
                <w:webHidden/>
              </w:rPr>
              <w:fldChar w:fldCharType="separate"/>
            </w:r>
            <w:r w:rsidR="00615BBB">
              <w:rPr>
                <w:noProof/>
                <w:webHidden/>
              </w:rPr>
              <w:t>8</w:t>
            </w:r>
            <w:r>
              <w:rPr>
                <w:noProof/>
                <w:webHidden/>
              </w:rPr>
              <w:fldChar w:fldCharType="end"/>
            </w:r>
          </w:hyperlink>
        </w:p>
        <w:p w:rsidR="00615BBB" w:rsidRDefault="00C768F9" w:rsidP="00615BBB">
          <w:pPr>
            <w:pStyle w:val="TOC2"/>
            <w:spacing w:before="200" w:after="200"/>
            <w:rPr>
              <w:rFonts w:asciiTheme="minorHAnsi" w:eastAsiaTheme="minorEastAsia" w:hAnsiTheme="minorHAnsi" w:cstheme="minorBidi"/>
              <w:noProof/>
              <w:sz w:val="22"/>
              <w:szCs w:val="22"/>
            </w:rPr>
          </w:pPr>
          <w:hyperlink w:anchor="_Toc341193743" w:history="1">
            <w:r w:rsidR="00615BBB" w:rsidRPr="00A237EA">
              <w:rPr>
                <w:rStyle w:val="Hyperlink"/>
                <w:noProof/>
              </w:rPr>
              <w:t>9.</w:t>
            </w:r>
            <w:r w:rsidR="00615BBB">
              <w:rPr>
                <w:rFonts w:asciiTheme="minorHAnsi" w:eastAsiaTheme="minorEastAsia" w:hAnsiTheme="minorHAnsi" w:cstheme="minorBidi"/>
                <w:noProof/>
                <w:sz w:val="22"/>
                <w:szCs w:val="22"/>
              </w:rPr>
              <w:tab/>
            </w:r>
            <w:r w:rsidR="00615BBB" w:rsidRPr="00A237EA">
              <w:rPr>
                <w:rStyle w:val="Hyperlink"/>
                <w:noProof/>
              </w:rPr>
              <w:t>Summary of Consultations Outside the Agency</w:t>
            </w:r>
            <w:r w:rsidR="00615BBB">
              <w:rPr>
                <w:noProof/>
                <w:webHidden/>
              </w:rPr>
              <w:tab/>
            </w:r>
            <w:r>
              <w:rPr>
                <w:noProof/>
                <w:webHidden/>
              </w:rPr>
              <w:fldChar w:fldCharType="begin"/>
            </w:r>
            <w:r w:rsidR="00615BBB">
              <w:rPr>
                <w:noProof/>
                <w:webHidden/>
              </w:rPr>
              <w:instrText xml:space="preserve"> PAGEREF _Toc341193743 \h </w:instrText>
            </w:r>
            <w:r>
              <w:rPr>
                <w:noProof/>
                <w:webHidden/>
              </w:rPr>
            </w:r>
            <w:r>
              <w:rPr>
                <w:noProof/>
                <w:webHidden/>
              </w:rPr>
              <w:fldChar w:fldCharType="separate"/>
            </w:r>
            <w:r w:rsidR="00615BBB">
              <w:rPr>
                <w:noProof/>
                <w:webHidden/>
              </w:rPr>
              <w:t>8</w:t>
            </w:r>
            <w:r>
              <w:rPr>
                <w:noProof/>
                <w:webHidden/>
              </w:rPr>
              <w:fldChar w:fldCharType="end"/>
            </w:r>
          </w:hyperlink>
        </w:p>
        <w:p w:rsidR="00615BBB" w:rsidRDefault="00C768F9" w:rsidP="00615BBB">
          <w:pPr>
            <w:pStyle w:val="TOC2"/>
            <w:spacing w:before="200" w:after="200"/>
            <w:rPr>
              <w:rFonts w:asciiTheme="minorHAnsi" w:eastAsiaTheme="minorEastAsia" w:hAnsiTheme="minorHAnsi" w:cstheme="minorBidi"/>
              <w:noProof/>
              <w:sz w:val="22"/>
              <w:szCs w:val="22"/>
            </w:rPr>
          </w:pPr>
          <w:hyperlink w:anchor="_Toc341193744" w:history="1">
            <w:r w:rsidR="00615BBB" w:rsidRPr="00A237EA">
              <w:rPr>
                <w:rStyle w:val="Hyperlink"/>
                <w:noProof/>
              </w:rPr>
              <w:t>10.</w:t>
            </w:r>
            <w:r w:rsidR="00615BBB">
              <w:rPr>
                <w:rFonts w:asciiTheme="minorHAnsi" w:eastAsiaTheme="minorEastAsia" w:hAnsiTheme="minorHAnsi" w:cstheme="minorBidi"/>
                <w:noProof/>
                <w:sz w:val="22"/>
                <w:szCs w:val="22"/>
              </w:rPr>
              <w:tab/>
            </w:r>
            <w:r w:rsidR="00615BBB" w:rsidRPr="00A237EA">
              <w:rPr>
                <w:rStyle w:val="Hyperlink"/>
                <w:noProof/>
              </w:rPr>
              <w:t>Remuneration</w:t>
            </w:r>
            <w:r w:rsidR="00615BBB">
              <w:rPr>
                <w:noProof/>
                <w:webHidden/>
              </w:rPr>
              <w:tab/>
            </w:r>
            <w:r>
              <w:rPr>
                <w:noProof/>
                <w:webHidden/>
              </w:rPr>
              <w:fldChar w:fldCharType="begin"/>
            </w:r>
            <w:r w:rsidR="00615BBB">
              <w:rPr>
                <w:noProof/>
                <w:webHidden/>
              </w:rPr>
              <w:instrText xml:space="preserve"> PAGEREF _Toc341193744 \h </w:instrText>
            </w:r>
            <w:r>
              <w:rPr>
                <w:noProof/>
                <w:webHidden/>
              </w:rPr>
            </w:r>
            <w:r>
              <w:rPr>
                <w:noProof/>
                <w:webHidden/>
              </w:rPr>
              <w:fldChar w:fldCharType="separate"/>
            </w:r>
            <w:r w:rsidR="00615BBB">
              <w:rPr>
                <w:noProof/>
                <w:webHidden/>
              </w:rPr>
              <w:t>8</w:t>
            </w:r>
            <w:r>
              <w:rPr>
                <w:noProof/>
                <w:webHidden/>
              </w:rPr>
              <w:fldChar w:fldCharType="end"/>
            </w:r>
          </w:hyperlink>
        </w:p>
        <w:p w:rsidR="00615BBB" w:rsidRDefault="00C768F9" w:rsidP="00615BBB">
          <w:pPr>
            <w:pStyle w:val="TOC2"/>
            <w:spacing w:before="200" w:after="200"/>
            <w:rPr>
              <w:rFonts w:asciiTheme="minorHAnsi" w:eastAsiaTheme="minorEastAsia" w:hAnsiTheme="minorHAnsi" w:cstheme="minorBidi"/>
              <w:noProof/>
              <w:sz w:val="22"/>
              <w:szCs w:val="22"/>
            </w:rPr>
          </w:pPr>
          <w:hyperlink w:anchor="_Toc341193745" w:history="1">
            <w:r w:rsidR="00615BBB" w:rsidRPr="00A237EA">
              <w:rPr>
                <w:rStyle w:val="Hyperlink"/>
                <w:noProof/>
              </w:rPr>
              <w:t>11.</w:t>
            </w:r>
            <w:r w:rsidR="00615BBB">
              <w:rPr>
                <w:rFonts w:asciiTheme="minorHAnsi" w:eastAsiaTheme="minorEastAsia" w:hAnsiTheme="minorHAnsi" w:cstheme="minorBidi"/>
                <w:noProof/>
                <w:sz w:val="22"/>
                <w:szCs w:val="22"/>
              </w:rPr>
              <w:tab/>
            </w:r>
            <w:r w:rsidR="00615BBB" w:rsidRPr="00A237EA">
              <w:rPr>
                <w:rStyle w:val="Hyperlink"/>
                <w:noProof/>
              </w:rPr>
              <w:t>Disclosure of Information</w:t>
            </w:r>
            <w:r w:rsidR="00615BBB">
              <w:rPr>
                <w:noProof/>
                <w:webHidden/>
              </w:rPr>
              <w:tab/>
            </w:r>
            <w:r>
              <w:rPr>
                <w:noProof/>
                <w:webHidden/>
              </w:rPr>
              <w:fldChar w:fldCharType="begin"/>
            </w:r>
            <w:r w:rsidR="00615BBB">
              <w:rPr>
                <w:noProof/>
                <w:webHidden/>
              </w:rPr>
              <w:instrText xml:space="preserve"> PAGEREF _Toc341193745 \h </w:instrText>
            </w:r>
            <w:r>
              <w:rPr>
                <w:noProof/>
                <w:webHidden/>
              </w:rPr>
            </w:r>
            <w:r>
              <w:rPr>
                <w:noProof/>
                <w:webHidden/>
              </w:rPr>
              <w:fldChar w:fldCharType="separate"/>
            </w:r>
            <w:r w:rsidR="00615BBB">
              <w:rPr>
                <w:noProof/>
                <w:webHidden/>
              </w:rPr>
              <w:t>8</w:t>
            </w:r>
            <w:r>
              <w:rPr>
                <w:noProof/>
                <w:webHidden/>
              </w:rPr>
              <w:fldChar w:fldCharType="end"/>
            </w:r>
          </w:hyperlink>
        </w:p>
        <w:p w:rsidR="00615BBB" w:rsidRDefault="00C768F9" w:rsidP="00615BBB">
          <w:pPr>
            <w:pStyle w:val="TOC2"/>
            <w:spacing w:before="200" w:after="200"/>
            <w:rPr>
              <w:rFonts w:asciiTheme="minorHAnsi" w:eastAsiaTheme="minorEastAsia" w:hAnsiTheme="minorHAnsi" w:cstheme="minorBidi"/>
              <w:noProof/>
              <w:sz w:val="22"/>
              <w:szCs w:val="22"/>
            </w:rPr>
          </w:pPr>
          <w:hyperlink w:anchor="_Toc341193746" w:history="1">
            <w:r w:rsidR="00615BBB" w:rsidRPr="00A237EA">
              <w:rPr>
                <w:rStyle w:val="Hyperlink"/>
                <w:noProof/>
              </w:rPr>
              <w:t>12.</w:t>
            </w:r>
            <w:r w:rsidR="00615BBB">
              <w:rPr>
                <w:rFonts w:asciiTheme="minorHAnsi" w:eastAsiaTheme="minorEastAsia" w:hAnsiTheme="minorHAnsi" w:cstheme="minorBidi"/>
                <w:noProof/>
                <w:sz w:val="22"/>
                <w:szCs w:val="22"/>
              </w:rPr>
              <w:tab/>
            </w:r>
            <w:r w:rsidR="00615BBB" w:rsidRPr="00A237EA">
              <w:rPr>
                <w:rStyle w:val="Hyperlink"/>
                <w:noProof/>
              </w:rPr>
              <w:t>Justification for Sensitive Questions</w:t>
            </w:r>
            <w:r w:rsidR="00615BBB">
              <w:rPr>
                <w:noProof/>
                <w:webHidden/>
              </w:rPr>
              <w:tab/>
            </w:r>
            <w:r>
              <w:rPr>
                <w:noProof/>
                <w:webHidden/>
              </w:rPr>
              <w:fldChar w:fldCharType="begin"/>
            </w:r>
            <w:r w:rsidR="00615BBB">
              <w:rPr>
                <w:noProof/>
                <w:webHidden/>
              </w:rPr>
              <w:instrText xml:space="preserve"> PAGEREF _Toc341193746 \h </w:instrText>
            </w:r>
            <w:r>
              <w:rPr>
                <w:noProof/>
                <w:webHidden/>
              </w:rPr>
            </w:r>
            <w:r>
              <w:rPr>
                <w:noProof/>
                <w:webHidden/>
              </w:rPr>
              <w:fldChar w:fldCharType="separate"/>
            </w:r>
            <w:r w:rsidR="00615BBB">
              <w:rPr>
                <w:noProof/>
                <w:webHidden/>
              </w:rPr>
              <w:t>9</w:t>
            </w:r>
            <w:r>
              <w:rPr>
                <w:noProof/>
                <w:webHidden/>
              </w:rPr>
              <w:fldChar w:fldCharType="end"/>
            </w:r>
          </w:hyperlink>
        </w:p>
        <w:p w:rsidR="00615BBB" w:rsidRDefault="00C768F9" w:rsidP="00615BBB">
          <w:pPr>
            <w:pStyle w:val="TOC2"/>
            <w:spacing w:before="200" w:after="200"/>
            <w:rPr>
              <w:rFonts w:asciiTheme="minorHAnsi" w:eastAsiaTheme="minorEastAsia" w:hAnsiTheme="minorHAnsi" w:cstheme="minorBidi"/>
              <w:noProof/>
              <w:sz w:val="22"/>
              <w:szCs w:val="22"/>
            </w:rPr>
          </w:pPr>
          <w:hyperlink w:anchor="_Toc341193747" w:history="1">
            <w:r w:rsidR="00615BBB" w:rsidRPr="00A237EA">
              <w:rPr>
                <w:rStyle w:val="Hyperlink"/>
                <w:noProof/>
              </w:rPr>
              <w:t>13.</w:t>
            </w:r>
            <w:r w:rsidR="00615BBB">
              <w:rPr>
                <w:rFonts w:asciiTheme="minorHAnsi" w:eastAsiaTheme="minorEastAsia" w:hAnsiTheme="minorHAnsi" w:cstheme="minorBidi"/>
                <w:noProof/>
                <w:sz w:val="22"/>
                <w:szCs w:val="22"/>
              </w:rPr>
              <w:tab/>
            </w:r>
            <w:r w:rsidR="00615BBB" w:rsidRPr="00A237EA">
              <w:rPr>
                <w:rStyle w:val="Hyperlink"/>
                <w:noProof/>
              </w:rPr>
              <w:t>Reporting Burden Estimates</w:t>
            </w:r>
            <w:r w:rsidR="00615BBB">
              <w:rPr>
                <w:noProof/>
                <w:webHidden/>
              </w:rPr>
              <w:tab/>
            </w:r>
            <w:r>
              <w:rPr>
                <w:noProof/>
                <w:webHidden/>
              </w:rPr>
              <w:fldChar w:fldCharType="begin"/>
            </w:r>
            <w:r w:rsidR="00615BBB">
              <w:rPr>
                <w:noProof/>
                <w:webHidden/>
              </w:rPr>
              <w:instrText xml:space="preserve"> PAGEREF _Toc341193747 \h </w:instrText>
            </w:r>
            <w:r>
              <w:rPr>
                <w:noProof/>
                <w:webHidden/>
              </w:rPr>
            </w:r>
            <w:r>
              <w:rPr>
                <w:noProof/>
                <w:webHidden/>
              </w:rPr>
              <w:fldChar w:fldCharType="separate"/>
            </w:r>
            <w:r w:rsidR="00615BBB">
              <w:rPr>
                <w:noProof/>
                <w:webHidden/>
              </w:rPr>
              <w:t>9</w:t>
            </w:r>
            <w:r>
              <w:rPr>
                <w:noProof/>
                <w:webHidden/>
              </w:rPr>
              <w:fldChar w:fldCharType="end"/>
            </w:r>
          </w:hyperlink>
        </w:p>
        <w:p w:rsidR="00615BBB" w:rsidRDefault="00C768F9" w:rsidP="00615BBB">
          <w:pPr>
            <w:pStyle w:val="TOC2"/>
            <w:spacing w:before="200" w:after="200"/>
            <w:rPr>
              <w:rFonts w:asciiTheme="minorHAnsi" w:eastAsiaTheme="minorEastAsia" w:hAnsiTheme="minorHAnsi" w:cstheme="minorBidi"/>
              <w:noProof/>
              <w:sz w:val="22"/>
              <w:szCs w:val="22"/>
            </w:rPr>
          </w:pPr>
          <w:hyperlink w:anchor="_Toc341193748" w:history="1">
            <w:r w:rsidR="00615BBB" w:rsidRPr="00A237EA">
              <w:rPr>
                <w:rStyle w:val="Hyperlink"/>
                <w:noProof/>
              </w:rPr>
              <w:t>14.</w:t>
            </w:r>
            <w:r w:rsidR="00615BBB">
              <w:rPr>
                <w:rFonts w:asciiTheme="minorHAnsi" w:eastAsiaTheme="minorEastAsia" w:hAnsiTheme="minorHAnsi" w:cstheme="minorBidi"/>
                <w:noProof/>
                <w:sz w:val="22"/>
                <w:szCs w:val="22"/>
              </w:rPr>
              <w:tab/>
            </w:r>
            <w:r w:rsidR="00615BBB" w:rsidRPr="00A237EA">
              <w:rPr>
                <w:rStyle w:val="Hyperlink"/>
                <w:noProof/>
              </w:rPr>
              <w:t>Total Annual Cost to Respondents</w:t>
            </w:r>
            <w:r w:rsidR="00615BBB">
              <w:rPr>
                <w:noProof/>
                <w:webHidden/>
              </w:rPr>
              <w:tab/>
            </w:r>
            <w:r>
              <w:rPr>
                <w:noProof/>
                <w:webHidden/>
              </w:rPr>
              <w:fldChar w:fldCharType="begin"/>
            </w:r>
            <w:r w:rsidR="00615BBB">
              <w:rPr>
                <w:noProof/>
                <w:webHidden/>
              </w:rPr>
              <w:instrText xml:space="preserve"> PAGEREF _Toc341193748 \h </w:instrText>
            </w:r>
            <w:r>
              <w:rPr>
                <w:noProof/>
                <w:webHidden/>
              </w:rPr>
            </w:r>
            <w:r>
              <w:rPr>
                <w:noProof/>
                <w:webHidden/>
              </w:rPr>
              <w:fldChar w:fldCharType="separate"/>
            </w:r>
            <w:r w:rsidR="00615BBB">
              <w:rPr>
                <w:noProof/>
                <w:webHidden/>
              </w:rPr>
              <w:t>9</w:t>
            </w:r>
            <w:r>
              <w:rPr>
                <w:noProof/>
                <w:webHidden/>
              </w:rPr>
              <w:fldChar w:fldCharType="end"/>
            </w:r>
          </w:hyperlink>
        </w:p>
        <w:p w:rsidR="00615BBB" w:rsidRDefault="00C768F9" w:rsidP="00615BBB">
          <w:pPr>
            <w:pStyle w:val="TOC2"/>
            <w:spacing w:before="200" w:after="200"/>
            <w:rPr>
              <w:rFonts w:asciiTheme="minorHAnsi" w:eastAsiaTheme="minorEastAsia" w:hAnsiTheme="minorHAnsi" w:cstheme="minorBidi"/>
              <w:noProof/>
              <w:sz w:val="22"/>
              <w:szCs w:val="22"/>
            </w:rPr>
          </w:pPr>
          <w:hyperlink w:anchor="_Toc341193749" w:history="1">
            <w:r w:rsidR="00615BBB" w:rsidRPr="00A237EA">
              <w:rPr>
                <w:rStyle w:val="Hyperlink"/>
                <w:noProof/>
              </w:rPr>
              <w:t>15.</w:t>
            </w:r>
            <w:r w:rsidR="00615BBB">
              <w:rPr>
                <w:rFonts w:asciiTheme="minorHAnsi" w:eastAsiaTheme="minorEastAsia" w:hAnsiTheme="minorHAnsi" w:cstheme="minorBidi"/>
                <w:noProof/>
                <w:sz w:val="22"/>
                <w:szCs w:val="22"/>
              </w:rPr>
              <w:tab/>
            </w:r>
            <w:r w:rsidR="00615BBB" w:rsidRPr="00A237EA">
              <w:rPr>
                <w:rStyle w:val="Hyperlink"/>
                <w:noProof/>
              </w:rPr>
              <w:t>Estimate of Cost to the Federal Government</w:t>
            </w:r>
            <w:r w:rsidR="00615BBB">
              <w:rPr>
                <w:noProof/>
                <w:webHidden/>
              </w:rPr>
              <w:tab/>
            </w:r>
            <w:r>
              <w:rPr>
                <w:noProof/>
                <w:webHidden/>
              </w:rPr>
              <w:fldChar w:fldCharType="begin"/>
            </w:r>
            <w:r w:rsidR="00615BBB">
              <w:rPr>
                <w:noProof/>
                <w:webHidden/>
              </w:rPr>
              <w:instrText xml:space="preserve"> PAGEREF _Toc341193749 \h </w:instrText>
            </w:r>
            <w:r>
              <w:rPr>
                <w:noProof/>
                <w:webHidden/>
              </w:rPr>
            </w:r>
            <w:r>
              <w:rPr>
                <w:noProof/>
                <w:webHidden/>
              </w:rPr>
              <w:fldChar w:fldCharType="separate"/>
            </w:r>
            <w:r w:rsidR="00615BBB">
              <w:rPr>
                <w:noProof/>
                <w:webHidden/>
              </w:rPr>
              <w:t>9</w:t>
            </w:r>
            <w:r>
              <w:rPr>
                <w:noProof/>
                <w:webHidden/>
              </w:rPr>
              <w:fldChar w:fldCharType="end"/>
            </w:r>
          </w:hyperlink>
        </w:p>
        <w:p w:rsidR="00615BBB" w:rsidRDefault="00C768F9" w:rsidP="00615BBB">
          <w:pPr>
            <w:pStyle w:val="TOC2"/>
            <w:spacing w:before="200" w:after="200"/>
            <w:rPr>
              <w:rFonts w:asciiTheme="minorHAnsi" w:eastAsiaTheme="minorEastAsia" w:hAnsiTheme="minorHAnsi" w:cstheme="minorBidi"/>
              <w:noProof/>
              <w:sz w:val="22"/>
              <w:szCs w:val="22"/>
            </w:rPr>
          </w:pPr>
          <w:hyperlink w:anchor="_Toc341193750" w:history="1">
            <w:r w:rsidR="00615BBB" w:rsidRPr="00A237EA">
              <w:rPr>
                <w:rStyle w:val="Hyperlink"/>
                <w:noProof/>
              </w:rPr>
              <w:t>16.</w:t>
            </w:r>
            <w:r w:rsidR="00615BBB">
              <w:rPr>
                <w:rFonts w:asciiTheme="minorHAnsi" w:eastAsiaTheme="minorEastAsia" w:hAnsiTheme="minorHAnsi" w:cstheme="minorBidi"/>
                <w:noProof/>
                <w:sz w:val="22"/>
                <w:szCs w:val="22"/>
              </w:rPr>
              <w:tab/>
            </w:r>
            <w:r w:rsidR="00615BBB" w:rsidRPr="00A237EA">
              <w:rPr>
                <w:rStyle w:val="Hyperlink"/>
                <w:noProof/>
              </w:rPr>
              <w:t>Changes in Respondent Burden</w:t>
            </w:r>
            <w:r w:rsidR="00615BBB">
              <w:rPr>
                <w:noProof/>
                <w:webHidden/>
              </w:rPr>
              <w:tab/>
            </w:r>
            <w:r>
              <w:rPr>
                <w:noProof/>
                <w:webHidden/>
              </w:rPr>
              <w:fldChar w:fldCharType="begin"/>
            </w:r>
            <w:r w:rsidR="00615BBB">
              <w:rPr>
                <w:noProof/>
                <w:webHidden/>
              </w:rPr>
              <w:instrText xml:space="preserve"> PAGEREF _Toc341193750 \h </w:instrText>
            </w:r>
            <w:r>
              <w:rPr>
                <w:noProof/>
                <w:webHidden/>
              </w:rPr>
            </w:r>
            <w:r>
              <w:rPr>
                <w:noProof/>
                <w:webHidden/>
              </w:rPr>
              <w:fldChar w:fldCharType="separate"/>
            </w:r>
            <w:r w:rsidR="00615BBB">
              <w:rPr>
                <w:noProof/>
                <w:webHidden/>
              </w:rPr>
              <w:t>9</w:t>
            </w:r>
            <w:r>
              <w:rPr>
                <w:noProof/>
                <w:webHidden/>
              </w:rPr>
              <w:fldChar w:fldCharType="end"/>
            </w:r>
          </w:hyperlink>
        </w:p>
        <w:p w:rsidR="00615BBB" w:rsidRDefault="00C768F9" w:rsidP="00615BBB">
          <w:pPr>
            <w:pStyle w:val="TOC2"/>
            <w:spacing w:before="200" w:after="200"/>
            <w:rPr>
              <w:rFonts w:asciiTheme="minorHAnsi" w:eastAsiaTheme="minorEastAsia" w:hAnsiTheme="minorHAnsi" w:cstheme="minorBidi"/>
              <w:noProof/>
              <w:sz w:val="22"/>
              <w:szCs w:val="22"/>
            </w:rPr>
          </w:pPr>
          <w:hyperlink w:anchor="_Toc341193751" w:history="1">
            <w:r w:rsidR="00615BBB" w:rsidRPr="00A237EA">
              <w:rPr>
                <w:rStyle w:val="Hyperlink"/>
                <w:noProof/>
              </w:rPr>
              <w:t>17.</w:t>
            </w:r>
            <w:r w:rsidR="00615BBB">
              <w:rPr>
                <w:rFonts w:asciiTheme="minorHAnsi" w:eastAsiaTheme="minorEastAsia" w:hAnsiTheme="minorHAnsi" w:cstheme="minorBidi"/>
                <w:noProof/>
                <w:sz w:val="22"/>
                <w:szCs w:val="22"/>
              </w:rPr>
              <w:tab/>
            </w:r>
            <w:r w:rsidR="00615BBB" w:rsidRPr="00A237EA">
              <w:rPr>
                <w:rStyle w:val="Hyperlink"/>
                <w:noProof/>
              </w:rPr>
              <w:t>Schedule for Collecting and Publishing Data</w:t>
            </w:r>
            <w:r w:rsidR="00615BBB">
              <w:rPr>
                <w:noProof/>
                <w:webHidden/>
              </w:rPr>
              <w:tab/>
            </w:r>
            <w:r>
              <w:rPr>
                <w:noProof/>
                <w:webHidden/>
              </w:rPr>
              <w:fldChar w:fldCharType="begin"/>
            </w:r>
            <w:r w:rsidR="00615BBB">
              <w:rPr>
                <w:noProof/>
                <w:webHidden/>
              </w:rPr>
              <w:instrText xml:space="preserve"> PAGEREF _Toc341193751 \h </w:instrText>
            </w:r>
            <w:r>
              <w:rPr>
                <w:noProof/>
                <w:webHidden/>
              </w:rPr>
            </w:r>
            <w:r>
              <w:rPr>
                <w:noProof/>
                <w:webHidden/>
              </w:rPr>
              <w:fldChar w:fldCharType="separate"/>
            </w:r>
            <w:r w:rsidR="00615BBB">
              <w:rPr>
                <w:noProof/>
                <w:webHidden/>
              </w:rPr>
              <w:t>11</w:t>
            </w:r>
            <w:r>
              <w:rPr>
                <w:noProof/>
                <w:webHidden/>
              </w:rPr>
              <w:fldChar w:fldCharType="end"/>
            </w:r>
          </w:hyperlink>
        </w:p>
        <w:p w:rsidR="00615BBB" w:rsidRDefault="00C768F9" w:rsidP="00615BBB">
          <w:pPr>
            <w:pStyle w:val="TOC2"/>
            <w:spacing w:before="200" w:after="200"/>
            <w:rPr>
              <w:rFonts w:asciiTheme="minorHAnsi" w:eastAsiaTheme="minorEastAsia" w:hAnsiTheme="minorHAnsi" w:cstheme="minorBidi"/>
              <w:noProof/>
              <w:sz w:val="22"/>
              <w:szCs w:val="22"/>
            </w:rPr>
          </w:pPr>
          <w:hyperlink w:anchor="_Toc341193752" w:history="1">
            <w:r w:rsidR="00615BBB" w:rsidRPr="00A237EA">
              <w:rPr>
                <w:rStyle w:val="Hyperlink"/>
                <w:noProof/>
              </w:rPr>
              <w:t>18.</w:t>
            </w:r>
            <w:r w:rsidR="00615BBB">
              <w:rPr>
                <w:rFonts w:asciiTheme="minorHAnsi" w:eastAsiaTheme="minorEastAsia" w:hAnsiTheme="minorHAnsi" w:cstheme="minorBidi"/>
                <w:noProof/>
                <w:sz w:val="22"/>
                <w:szCs w:val="22"/>
              </w:rPr>
              <w:tab/>
            </w:r>
            <w:r w:rsidR="00615BBB" w:rsidRPr="00A237EA">
              <w:rPr>
                <w:rStyle w:val="Hyperlink"/>
                <w:noProof/>
              </w:rPr>
              <w:t>OMB Number and Expiration Date</w:t>
            </w:r>
            <w:r w:rsidR="00615BBB">
              <w:rPr>
                <w:noProof/>
                <w:webHidden/>
              </w:rPr>
              <w:tab/>
            </w:r>
            <w:r>
              <w:rPr>
                <w:noProof/>
                <w:webHidden/>
              </w:rPr>
              <w:fldChar w:fldCharType="begin"/>
            </w:r>
            <w:r w:rsidR="00615BBB">
              <w:rPr>
                <w:noProof/>
                <w:webHidden/>
              </w:rPr>
              <w:instrText xml:space="preserve"> PAGEREF _Toc341193752 \h </w:instrText>
            </w:r>
            <w:r>
              <w:rPr>
                <w:noProof/>
                <w:webHidden/>
              </w:rPr>
            </w:r>
            <w:r>
              <w:rPr>
                <w:noProof/>
                <w:webHidden/>
              </w:rPr>
              <w:fldChar w:fldCharType="separate"/>
            </w:r>
            <w:r w:rsidR="00615BBB">
              <w:rPr>
                <w:noProof/>
                <w:webHidden/>
              </w:rPr>
              <w:t>1</w:t>
            </w:r>
            <w:r w:rsidR="00132ACD">
              <w:rPr>
                <w:noProof/>
                <w:webHidden/>
              </w:rPr>
              <w:t>2</w:t>
            </w:r>
            <w:r>
              <w:rPr>
                <w:noProof/>
                <w:webHidden/>
              </w:rPr>
              <w:fldChar w:fldCharType="end"/>
            </w:r>
          </w:hyperlink>
        </w:p>
        <w:p w:rsidR="00F86D2E" w:rsidRDefault="00C768F9" w:rsidP="00615BBB">
          <w:pPr>
            <w:spacing w:before="200" w:after="200"/>
            <w:rPr>
              <w:b/>
            </w:rPr>
          </w:pPr>
          <w:r>
            <w:fldChar w:fldCharType="end"/>
          </w:r>
        </w:p>
      </w:sdtContent>
    </w:sdt>
    <w:p w:rsidR="00F86D2E" w:rsidRDefault="00F86D2E" w:rsidP="00F86D2E">
      <w:pPr>
        <w:pStyle w:val="Title"/>
        <w:widowControl/>
        <w:tabs>
          <w:tab w:val="left" w:pos="6120"/>
        </w:tabs>
        <w:jc w:val="left"/>
        <w:rPr>
          <w:b/>
        </w:rPr>
      </w:pPr>
    </w:p>
    <w:p w:rsidR="00F86D2E" w:rsidRDefault="00F86D2E" w:rsidP="00F86D2E">
      <w:pPr>
        <w:pStyle w:val="Title"/>
        <w:widowControl/>
        <w:tabs>
          <w:tab w:val="left" w:pos="6120"/>
        </w:tabs>
        <w:jc w:val="left"/>
        <w:rPr>
          <w:b/>
        </w:rPr>
        <w:sectPr w:rsidR="00F86D2E" w:rsidSect="00473B96">
          <w:footerReference w:type="default" r:id="rId9"/>
          <w:footerReference w:type="first" r:id="rId10"/>
          <w:pgSz w:w="12240" w:h="15840" w:code="1"/>
          <w:pgMar w:top="720" w:right="1890" w:bottom="720" w:left="1440" w:header="720" w:footer="1973" w:gutter="0"/>
          <w:pgNumType w:start="1"/>
          <w:cols w:space="720"/>
          <w:noEndnote/>
          <w:docGrid w:linePitch="272"/>
        </w:sectPr>
      </w:pPr>
    </w:p>
    <w:p w:rsidR="0044464E" w:rsidRPr="009E1ECB" w:rsidRDefault="0044464E" w:rsidP="007B15BA">
      <w:pPr>
        <w:pStyle w:val="Heading1"/>
      </w:pPr>
      <w:bookmarkStart w:id="0" w:name="_Toc341193732"/>
      <w:r w:rsidRPr="009E1ECB">
        <w:lastRenderedPageBreak/>
        <w:t>INTRODUCTION</w:t>
      </w:r>
      <w:bookmarkEnd w:id="0"/>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rsidRPr="006D16C9">
        <w:t xml:space="preserve">The U.S. Energy Information Administration (EIA) is the statistical and analytical agency within the U.S. Department of Energy (DOE).  It collects, analyzes, and disseminates independent and impartial energy information to promote sound policymaking, efficient markets, and public understanding regarding energy and its interaction with the economy and the environment.  The </w:t>
      </w:r>
      <w:r>
        <w:t xml:space="preserve">Form EIA-886, </w:t>
      </w:r>
      <w:r w:rsidRPr="006D16C9">
        <w:rPr>
          <w:i/>
        </w:rPr>
        <w:t>Annual Survey of Alternative</w:t>
      </w:r>
      <w:r w:rsidR="007F3CB9">
        <w:rPr>
          <w:i/>
        </w:rPr>
        <w:t xml:space="preserve"> </w:t>
      </w:r>
      <w:r w:rsidRPr="006D16C9">
        <w:rPr>
          <w:i/>
        </w:rPr>
        <w:t>Fueled Vehicles</w:t>
      </w:r>
      <w:r>
        <w:t xml:space="preserve"> (OMB No. 1905-0191), </w:t>
      </w:r>
      <w:r w:rsidRPr="006D16C9">
        <w:t>discussed in this document</w:t>
      </w:r>
      <w:r>
        <w:t>, is</w:t>
      </w:r>
      <w:r w:rsidRPr="006D16C9">
        <w:t xml:space="preserve"> part of this com</w:t>
      </w:r>
      <w:r>
        <w:t>prehensive energy data program.</w:t>
      </w:r>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rsidRPr="00F216A4">
        <w:rPr>
          <w:szCs w:val="24"/>
        </w:rPr>
        <w:t>The objectives of th</w:t>
      </w:r>
      <w:r>
        <w:rPr>
          <w:szCs w:val="24"/>
        </w:rPr>
        <w:t>e Form EIA-886 data collection</w:t>
      </w:r>
      <w:r w:rsidRPr="00F216A4">
        <w:rPr>
          <w:i/>
          <w:szCs w:val="24"/>
        </w:rPr>
        <w:t xml:space="preserve"> </w:t>
      </w:r>
      <w:r w:rsidRPr="00F216A4">
        <w:rPr>
          <w:szCs w:val="24"/>
        </w:rPr>
        <w:t>are to</w:t>
      </w:r>
      <w:r>
        <w:rPr>
          <w:szCs w:val="24"/>
        </w:rPr>
        <w:t xml:space="preserve"> (1) c</w:t>
      </w:r>
      <w:r w:rsidRPr="00F216A4">
        <w:rPr>
          <w:szCs w:val="24"/>
        </w:rPr>
        <w:t xml:space="preserve">omply with Section 503 of the Energy Policy Act of 1992 (EPACT92) that requires EIA to report on specific aspects of alternative fueled vehicles </w:t>
      </w:r>
      <w:r>
        <w:rPr>
          <w:szCs w:val="24"/>
        </w:rPr>
        <w:t xml:space="preserve">(AFVs) </w:t>
      </w:r>
      <w:r w:rsidRPr="00F216A4">
        <w:rPr>
          <w:szCs w:val="24"/>
        </w:rPr>
        <w:t>and alternative transportation fuels</w:t>
      </w:r>
      <w:r>
        <w:rPr>
          <w:szCs w:val="24"/>
        </w:rPr>
        <w:t xml:space="preserve"> (ATFs); (2) </w:t>
      </w:r>
      <w:r w:rsidR="009A7A78">
        <w:rPr>
          <w:szCs w:val="24"/>
        </w:rPr>
        <w:t>respond to</w:t>
      </w:r>
      <w:r w:rsidR="009A7A78" w:rsidRPr="00F216A4">
        <w:rPr>
          <w:szCs w:val="24"/>
        </w:rPr>
        <w:t xml:space="preserve"> </w:t>
      </w:r>
      <w:r w:rsidRPr="00F216A4">
        <w:rPr>
          <w:szCs w:val="24"/>
        </w:rPr>
        <w:t xml:space="preserve">public requests for information on </w:t>
      </w:r>
      <w:r>
        <w:rPr>
          <w:szCs w:val="24"/>
        </w:rPr>
        <w:t>A</w:t>
      </w:r>
      <w:r w:rsidRPr="00F216A4">
        <w:rPr>
          <w:szCs w:val="24"/>
        </w:rPr>
        <w:t>FVs and ATFs; and</w:t>
      </w:r>
      <w:r>
        <w:rPr>
          <w:szCs w:val="24"/>
        </w:rPr>
        <w:t xml:space="preserve"> (3) p</w:t>
      </w:r>
      <w:r w:rsidRPr="00F216A4">
        <w:rPr>
          <w:szCs w:val="24"/>
        </w:rPr>
        <w:t xml:space="preserve">rovide Congress with a measure of the extent to which the objectives </w:t>
      </w:r>
      <w:r>
        <w:rPr>
          <w:szCs w:val="24"/>
        </w:rPr>
        <w:t>of EPACT92 are being achieved</w:t>
      </w:r>
      <w:r w:rsidRPr="00DF5FFA">
        <w:t>.</w:t>
      </w:r>
    </w:p>
    <w:p w:rsidR="0044464E" w:rsidRDefault="0044464E" w:rsidP="007B15BA">
      <w:pPr>
        <w:spacing w:before="240"/>
        <w:rPr>
          <w:szCs w:val="24"/>
        </w:rPr>
      </w:pPr>
      <w:r>
        <w:rPr>
          <w:bCs/>
          <w:szCs w:val="24"/>
        </w:rPr>
        <w:t>An a</w:t>
      </w:r>
      <w:r w:rsidRPr="003276C5">
        <w:rPr>
          <w:bCs/>
          <w:szCs w:val="24"/>
        </w:rPr>
        <w:t xml:space="preserve">lternative fueled vehicle </w:t>
      </w:r>
      <w:r>
        <w:rPr>
          <w:bCs/>
          <w:szCs w:val="24"/>
        </w:rPr>
        <w:t xml:space="preserve">is defined as an </w:t>
      </w:r>
      <w:r w:rsidRPr="003276C5">
        <w:rPr>
          <w:szCs w:val="24"/>
        </w:rPr>
        <w:t>on</w:t>
      </w:r>
      <w:r>
        <w:rPr>
          <w:szCs w:val="24"/>
        </w:rPr>
        <w:t>-</w:t>
      </w:r>
      <w:r w:rsidRPr="003276C5">
        <w:rPr>
          <w:szCs w:val="24"/>
        </w:rPr>
        <w:t xml:space="preserve">road vehicle designed to operate on an </w:t>
      </w:r>
      <w:r>
        <w:rPr>
          <w:szCs w:val="24"/>
        </w:rPr>
        <w:t>a</w:t>
      </w:r>
      <w:r w:rsidRPr="003276C5">
        <w:rPr>
          <w:szCs w:val="24"/>
        </w:rPr>
        <w:t>lternative fuel</w:t>
      </w:r>
      <w:r>
        <w:rPr>
          <w:szCs w:val="24"/>
        </w:rPr>
        <w:t xml:space="preserve"> </w:t>
      </w:r>
      <w:r w:rsidRPr="003276C5">
        <w:rPr>
          <w:szCs w:val="24"/>
        </w:rPr>
        <w:t>(e.g., compressed natural gas, methane blend, electricity).  The vehicle can be either a dedicated vehicle designed to operate exclusively on alternative fuel or a non</w:t>
      </w:r>
      <w:r>
        <w:rPr>
          <w:szCs w:val="24"/>
        </w:rPr>
        <w:t>-</w:t>
      </w:r>
      <w:r w:rsidRPr="003276C5">
        <w:rPr>
          <w:szCs w:val="24"/>
        </w:rPr>
        <w:t xml:space="preserve">dedicated vehicle designed to operate on </w:t>
      </w:r>
      <w:r>
        <w:rPr>
          <w:szCs w:val="24"/>
        </w:rPr>
        <w:t xml:space="preserve">both </w:t>
      </w:r>
      <w:r w:rsidRPr="003276C5">
        <w:rPr>
          <w:szCs w:val="24"/>
        </w:rPr>
        <w:t>alternative</w:t>
      </w:r>
      <w:r>
        <w:rPr>
          <w:szCs w:val="24"/>
        </w:rPr>
        <w:t xml:space="preserve"> fuel and traditional fuel.</w:t>
      </w:r>
    </w:p>
    <w:p w:rsidR="0044464E" w:rsidRPr="00F2572D" w:rsidRDefault="0044464E" w:rsidP="007B15BA">
      <w:pPr>
        <w:spacing w:before="240"/>
        <w:rPr>
          <w:szCs w:val="24"/>
        </w:rPr>
      </w:pPr>
      <w:r w:rsidRPr="00F2572D">
        <w:rPr>
          <w:szCs w:val="24"/>
        </w:rPr>
        <w:t>Alternative fuels for transportation applications include the following:</w:t>
      </w:r>
    </w:p>
    <w:p w:rsidR="0044464E" w:rsidRDefault="009A7A78" w:rsidP="007B15BA">
      <w:pPr>
        <w:pStyle w:val="ListParagraph"/>
        <w:numPr>
          <w:ilvl w:val="0"/>
          <w:numId w:val="6"/>
        </w:numPr>
        <w:spacing w:before="120"/>
        <w:contextualSpacing w:val="0"/>
        <w:rPr>
          <w:szCs w:val="24"/>
        </w:rPr>
      </w:pPr>
      <w:r>
        <w:rPr>
          <w:szCs w:val="24"/>
        </w:rPr>
        <w:t>M</w:t>
      </w:r>
      <w:r w:rsidR="0044464E" w:rsidRPr="00177ADA">
        <w:rPr>
          <w:szCs w:val="24"/>
        </w:rPr>
        <w:t>ethanol</w:t>
      </w:r>
    </w:p>
    <w:p w:rsidR="0044464E" w:rsidRDefault="009A7A78" w:rsidP="007B15BA">
      <w:pPr>
        <w:pStyle w:val="ListParagraph"/>
        <w:numPr>
          <w:ilvl w:val="0"/>
          <w:numId w:val="6"/>
        </w:numPr>
        <w:spacing w:before="120"/>
        <w:contextualSpacing w:val="0"/>
        <w:rPr>
          <w:szCs w:val="24"/>
        </w:rPr>
      </w:pPr>
      <w:r>
        <w:rPr>
          <w:szCs w:val="24"/>
        </w:rPr>
        <w:t>D</w:t>
      </w:r>
      <w:r w:rsidR="0044464E" w:rsidRPr="00177ADA">
        <w:rPr>
          <w:szCs w:val="24"/>
        </w:rPr>
        <w:t>enatured ethanol, and other alcohols</w:t>
      </w:r>
    </w:p>
    <w:p w:rsidR="0044464E" w:rsidRDefault="009A7A78" w:rsidP="007B15BA">
      <w:pPr>
        <w:pStyle w:val="ListParagraph"/>
        <w:numPr>
          <w:ilvl w:val="0"/>
          <w:numId w:val="6"/>
        </w:numPr>
        <w:spacing w:before="120"/>
        <w:contextualSpacing w:val="0"/>
        <w:rPr>
          <w:szCs w:val="24"/>
        </w:rPr>
      </w:pPr>
      <w:r>
        <w:rPr>
          <w:szCs w:val="24"/>
        </w:rPr>
        <w:t>F</w:t>
      </w:r>
      <w:r w:rsidR="0044464E" w:rsidRPr="00177ADA">
        <w:rPr>
          <w:szCs w:val="24"/>
        </w:rPr>
        <w:t xml:space="preserve">uel mixtures containing 85 percent or more by volume of methanol, denatured ethanol, </w:t>
      </w:r>
      <w:r w:rsidR="0044464E">
        <w:rPr>
          <w:szCs w:val="24"/>
        </w:rPr>
        <w:t>a</w:t>
      </w:r>
      <w:r w:rsidR="0044464E" w:rsidRPr="00177ADA">
        <w:rPr>
          <w:szCs w:val="24"/>
        </w:rPr>
        <w:t>nd other alcohols with gasoline or other fuels</w:t>
      </w:r>
    </w:p>
    <w:p w:rsidR="0044464E" w:rsidRDefault="009A7A78" w:rsidP="007B15BA">
      <w:pPr>
        <w:pStyle w:val="ListParagraph"/>
        <w:numPr>
          <w:ilvl w:val="0"/>
          <w:numId w:val="6"/>
        </w:numPr>
        <w:spacing w:before="120"/>
        <w:contextualSpacing w:val="0"/>
        <w:rPr>
          <w:szCs w:val="24"/>
        </w:rPr>
      </w:pPr>
      <w:r>
        <w:rPr>
          <w:szCs w:val="24"/>
        </w:rPr>
        <w:t>N</w:t>
      </w:r>
      <w:r w:rsidR="0044464E" w:rsidRPr="00177ADA">
        <w:rPr>
          <w:szCs w:val="24"/>
        </w:rPr>
        <w:t>atural gas</w:t>
      </w:r>
      <w:r w:rsidR="0044464E">
        <w:rPr>
          <w:szCs w:val="24"/>
        </w:rPr>
        <w:t xml:space="preserve">, </w:t>
      </w:r>
      <w:r w:rsidR="0044464E" w:rsidRPr="00177ADA">
        <w:rPr>
          <w:szCs w:val="24"/>
        </w:rPr>
        <w:t>including compressed and liquefied natural gas</w:t>
      </w:r>
    </w:p>
    <w:p w:rsidR="0044464E" w:rsidRDefault="009A7A78" w:rsidP="007B15BA">
      <w:pPr>
        <w:pStyle w:val="ListParagraph"/>
        <w:numPr>
          <w:ilvl w:val="0"/>
          <w:numId w:val="6"/>
        </w:numPr>
        <w:spacing w:before="120"/>
        <w:contextualSpacing w:val="0"/>
        <w:rPr>
          <w:szCs w:val="24"/>
        </w:rPr>
      </w:pPr>
      <w:r>
        <w:rPr>
          <w:szCs w:val="24"/>
        </w:rPr>
        <w:t>L</w:t>
      </w:r>
      <w:r w:rsidR="0044464E" w:rsidRPr="00177ADA">
        <w:rPr>
          <w:szCs w:val="24"/>
        </w:rPr>
        <w:t>iquefied petroleum gas (propane)</w:t>
      </w:r>
    </w:p>
    <w:p w:rsidR="0044464E" w:rsidRDefault="009A7A78" w:rsidP="007B15BA">
      <w:pPr>
        <w:pStyle w:val="ListParagraph"/>
        <w:numPr>
          <w:ilvl w:val="0"/>
          <w:numId w:val="6"/>
        </w:numPr>
        <w:spacing w:before="120"/>
        <w:contextualSpacing w:val="0"/>
        <w:rPr>
          <w:szCs w:val="24"/>
        </w:rPr>
      </w:pPr>
      <w:r>
        <w:rPr>
          <w:szCs w:val="24"/>
        </w:rPr>
        <w:t>H</w:t>
      </w:r>
      <w:r w:rsidR="0044464E" w:rsidRPr="00177ADA">
        <w:rPr>
          <w:szCs w:val="24"/>
        </w:rPr>
        <w:t>ydrogen</w:t>
      </w:r>
    </w:p>
    <w:p w:rsidR="0044464E" w:rsidRDefault="009A7A78" w:rsidP="007B15BA">
      <w:pPr>
        <w:pStyle w:val="ListParagraph"/>
        <w:numPr>
          <w:ilvl w:val="0"/>
          <w:numId w:val="6"/>
        </w:numPr>
        <w:spacing w:before="120"/>
        <w:contextualSpacing w:val="0"/>
        <w:rPr>
          <w:szCs w:val="24"/>
        </w:rPr>
      </w:pPr>
      <w:r>
        <w:rPr>
          <w:szCs w:val="24"/>
        </w:rPr>
        <w:t>C</w:t>
      </w:r>
      <w:r w:rsidR="0044464E" w:rsidRPr="00177ADA">
        <w:rPr>
          <w:szCs w:val="24"/>
        </w:rPr>
        <w:t>oal-derived liquid fuels</w:t>
      </w:r>
    </w:p>
    <w:p w:rsidR="0044464E" w:rsidRDefault="009A7A78" w:rsidP="007B15BA">
      <w:pPr>
        <w:pStyle w:val="ListParagraph"/>
        <w:numPr>
          <w:ilvl w:val="0"/>
          <w:numId w:val="6"/>
        </w:numPr>
        <w:spacing w:before="120"/>
        <w:contextualSpacing w:val="0"/>
        <w:rPr>
          <w:szCs w:val="24"/>
        </w:rPr>
      </w:pPr>
      <w:r>
        <w:rPr>
          <w:szCs w:val="24"/>
        </w:rPr>
        <w:t>N</w:t>
      </w:r>
      <w:r w:rsidR="0044464E">
        <w:rPr>
          <w:szCs w:val="24"/>
        </w:rPr>
        <w:t xml:space="preserve">on-alcohol </w:t>
      </w:r>
      <w:r w:rsidR="0044464E" w:rsidRPr="00177ADA">
        <w:rPr>
          <w:szCs w:val="24"/>
        </w:rPr>
        <w:t>fuels derived from biological materials (</w:t>
      </w:r>
      <w:r w:rsidR="0044464E">
        <w:rPr>
          <w:szCs w:val="24"/>
        </w:rPr>
        <w:t xml:space="preserve">e.g., </w:t>
      </w:r>
      <w:r w:rsidR="0044464E" w:rsidRPr="00177ADA">
        <w:rPr>
          <w:szCs w:val="24"/>
        </w:rPr>
        <w:t>biofuels</w:t>
      </w:r>
      <w:r w:rsidR="0044464E">
        <w:rPr>
          <w:szCs w:val="24"/>
        </w:rPr>
        <w:t>,</w:t>
      </w:r>
      <w:r w:rsidR="0044464E" w:rsidRPr="00177ADA">
        <w:rPr>
          <w:szCs w:val="24"/>
        </w:rPr>
        <w:t xml:space="preserve"> such as soy diesel fuel)</w:t>
      </w:r>
    </w:p>
    <w:p w:rsidR="0044464E" w:rsidRDefault="009A7A78" w:rsidP="007B15BA">
      <w:pPr>
        <w:pStyle w:val="ListParagraph"/>
        <w:numPr>
          <w:ilvl w:val="0"/>
          <w:numId w:val="6"/>
        </w:numPr>
        <w:spacing w:before="120"/>
        <w:contextualSpacing w:val="0"/>
        <w:rPr>
          <w:szCs w:val="24"/>
        </w:rPr>
      </w:pPr>
      <w:r>
        <w:rPr>
          <w:szCs w:val="24"/>
        </w:rPr>
        <w:t>E</w:t>
      </w:r>
      <w:r w:rsidR="0044464E" w:rsidRPr="00177ADA">
        <w:rPr>
          <w:szCs w:val="24"/>
        </w:rPr>
        <w:t>lectricity</w:t>
      </w:r>
      <w:r w:rsidR="0044464E">
        <w:rPr>
          <w:szCs w:val="24"/>
        </w:rPr>
        <w:t>,</w:t>
      </w:r>
      <w:r w:rsidR="0044464E" w:rsidRPr="00177ADA">
        <w:rPr>
          <w:szCs w:val="24"/>
        </w:rPr>
        <w:t xml:space="preserve"> including electricity from solar energy</w:t>
      </w:r>
    </w:p>
    <w:p w:rsidR="0044464E" w:rsidRPr="00F2572D" w:rsidRDefault="0044464E" w:rsidP="007B15BA">
      <w:pPr>
        <w:spacing w:before="120"/>
        <w:ind w:left="360" w:firstLine="45"/>
        <w:rPr>
          <w:szCs w:val="24"/>
        </w:rPr>
      </w:pPr>
    </w:p>
    <w:p w:rsidR="0044464E" w:rsidRPr="00B124C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t xml:space="preserve">As a basis for estimating total AFV inventory and alternative fuel use in the United States, the </w:t>
      </w:r>
      <w:r w:rsidRPr="001D4659">
        <w:t>Form EIA-886 is an annual surve</w:t>
      </w:r>
      <w:r>
        <w:t>y that collects information about:</w:t>
      </w:r>
    </w:p>
    <w:p w:rsidR="007B15BA" w:rsidRDefault="0044464E" w:rsidP="007B15BA">
      <w:pPr>
        <w:pStyle w:val="ListParagraph"/>
        <w:numPr>
          <w:ilvl w:val="0"/>
          <w:numId w:val="8"/>
        </w:numPr>
        <w:spacing w:before="120"/>
        <w:contextualSpacing w:val="0"/>
        <w:rPr>
          <w:szCs w:val="24"/>
        </w:rPr>
      </w:pPr>
      <w:r w:rsidRPr="007B15BA">
        <w:rPr>
          <w:szCs w:val="24"/>
        </w:rPr>
        <w:t xml:space="preserve">The number and type of alternative fueled vehicles and other advanced technology vehicles that vehicle suppliers </w:t>
      </w:r>
      <w:r w:rsidR="006A7AA5">
        <w:rPr>
          <w:szCs w:val="24"/>
        </w:rPr>
        <w:t>‘</w:t>
      </w:r>
      <w:r w:rsidRPr="007B15BA">
        <w:rPr>
          <w:szCs w:val="24"/>
        </w:rPr>
        <w:t>made available</w:t>
      </w:r>
      <w:r w:rsidR="006A7AA5">
        <w:rPr>
          <w:szCs w:val="24"/>
        </w:rPr>
        <w:t>’</w:t>
      </w:r>
      <w:r w:rsidRPr="007B15BA">
        <w:rPr>
          <w:szCs w:val="24"/>
        </w:rPr>
        <w:t xml:space="preserve"> in the </w:t>
      </w:r>
      <w:r w:rsidR="00086A97">
        <w:rPr>
          <w:szCs w:val="24"/>
        </w:rPr>
        <w:t xml:space="preserve">reporting </w:t>
      </w:r>
      <w:r w:rsidRPr="007B15BA">
        <w:rPr>
          <w:szCs w:val="24"/>
        </w:rPr>
        <w:t xml:space="preserve">year and plan to make available in the </w:t>
      </w:r>
      <w:r w:rsidR="00086A97">
        <w:rPr>
          <w:szCs w:val="24"/>
        </w:rPr>
        <w:t>current</w:t>
      </w:r>
      <w:r w:rsidRPr="007B15BA">
        <w:rPr>
          <w:szCs w:val="24"/>
        </w:rPr>
        <w:t xml:space="preserve"> calendar year.  </w:t>
      </w:r>
      <w:r w:rsidR="009A7A78" w:rsidRPr="007B15BA">
        <w:rPr>
          <w:szCs w:val="24"/>
        </w:rPr>
        <w:t xml:space="preserve">The term “made available” means the vehicle either was delivered for the first time to a dealer, leasing company, or end user; was </w:t>
      </w:r>
      <w:r w:rsidR="009A7A78" w:rsidRPr="007B15BA">
        <w:rPr>
          <w:szCs w:val="24"/>
        </w:rPr>
        <w:lastRenderedPageBreak/>
        <w:t>available for delivery to a dealer, leasing company, or end user; or was otherwise placed “in use” during the reporting period</w:t>
      </w:r>
      <w:r w:rsidR="006A7AA5">
        <w:rPr>
          <w:szCs w:val="24"/>
        </w:rPr>
        <w:t xml:space="preserve">. </w:t>
      </w:r>
      <w:r w:rsidR="009A7A78">
        <w:rPr>
          <w:szCs w:val="24"/>
        </w:rPr>
        <w:t xml:space="preserve"> </w:t>
      </w:r>
      <w:r w:rsidRPr="007B15BA">
        <w:rPr>
          <w:szCs w:val="24"/>
        </w:rPr>
        <w:t>Advanced technology vehicles include hybrid electric vehicles</w:t>
      </w:r>
      <w:r w:rsidR="005256AA">
        <w:rPr>
          <w:szCs w:val="24"/>
        </w:rPr>
        <w:t xml:space="preserve">, </w:t>
      </w:r>
      <w:r w:rsidR="005256AA" w:rsidRPr="007B15BA">
        <w:rPr>
          <w:szCs w:val="24"/>
        </w:rPr>
        <w:t>whose input fuel is gasoline or diesel</w:t>
      </w:r>
      <w:r w:rsidR="005256AA">
        <w:rPr>
          <w:szCs w:val="24"/>
        </w:rPr>
        <w:t>,</w:t>
      </w:r>
      <w:r w:rsidRPr="007B15BA">
        <w:rPr>
          <w:szCs w:val="24"/>
        </w:rPr>
        <w:t xml:space="preserve"> and fuel cell vehicles.  Vehicle suppliers consist of original equipment manufacturers (OEM) and aftermarket vehicle converters.</w:t>
      </w:r>
      <w:r w:rsidR="007B15BA" w:rsidRPr="007B15BA">
        <w:rPr>
          <w:szCs w:val="24"/>
        </w:rPr>
        <w:t xml:space="preserve">  </w:t>
      </w:r>
      <w:r w:rsidRPr="007B15BA">
        <w:rPr>
          <w:szCs w:val="24"/>
        </w:rPr>
        <w:t>An OEM is an entity (company, organization, association, etc.) that markets and warrants a</w:t>
      </w:r>
      <w:r w:rsidR="005256AA">
        <w:rPr>
          <w:szCs w:val="24"/>
        </w:rPr>
        <w:t>n on-road</w:t>
      </w:r>
      <w:r w:rsidRPr="007B15BA">
        <w:rPr>
          <w:szCs w:val="24"/>
        </w:rPr>
        <w:t xml:space="preserve"> vehicle for use in the U.S.  OEMs include organizations that perform vehicle conversions before the vehicle is initially delivered to an end user</w:t>
      </w:r>
      <w:r w:rsidR="009A7A78">
        <w:rPr>
          <w:szCs w:val="24"/>
        </w:rPr>
        <w:t>,</w:t>
      </w:r>
      <w:r w:rsidRPr="007B15BA">
        <w:rPr>
          <w:szCs w:val="24"/>
        </w:rPr>
        <w:t xml:space="preserve"> for use </w:t>
      </w:r>
      <w:r w:rsidR="005256AA">
        <w:rPr>
          <w:szCs w:val="24"/>
        </w:rPr>
        <w:t xml:space="preserve">of the vehicle </w:t>
      </w:r>
      <w:r w:rsidRPr="007B15BA">
        <w:rPr>
          <w:szCs w:val="24"/>
        </w:rPr>
        <w:t>in the U.S.  An aftermarket vehicle</w:t>
      </w:r>
      <w:r w:rsidR="004C028D" w:rsidRPr="007B15BA">
        <w:rPr>
          <w:szCs w:val="24"/>
        </w:rPr>
        <w:t xml:space="preserve"> </w:t>
      </w:r>
      <w:r w:rsidRPr="007B15BA">
        <w:rPr>
          <w:szCs w:val="24"/>
        </w:rPr>
        <w:t>converter is an entity that converts, modifies, or repowers vehicles from one fuel or source of power to another</w:t>
      </w:r>
      <w:r w:rsidR="009A7A78">
        <w:rPr>
          <w:szCs w:val="24"/>
        </w:rPr>
        <w:t>,</w:t>
      </w:r>
      <w:r w:rsidRPr="007B15BA">
        <w:rPr>
          <w:szCs w:val="24"/>
        </w:rPr>
        <w:t xml:space="preserve"> for use </w:t>
      </w:r>
      <w:r w:rsidR="005256AA">
        <w:rPr>
          <w:szCs w:val="24"/>
        </w:rPr>
        <w:t xml:space="preserve">of the vehicle </w:t>
      </w:r>
      <w:r w:rsidRPr="007B15BA">
        <w:rPr>
          <w:szCs w:val="24"/>
        </w:rPr>
        <w:t xml:space="preserve">in the U.S.  The conversion is performed </w:t>
      </w:r>
      <w:r w:rsidRPr="007B15BA">
        <w:rPr>
          <w:bCs/>
          <w:szCs w:val="24"/>
        </w:rPr>
        <w:t>after</w:t>
      </w:r>
      <w:r w:rsidRPr="007B15BA">
        <w:rPr>
          <w:szCs w:val="24"/>
        </w:rPr>
        <w:t xml:space="preserve"> the vehicle's initial delivery to an end user;</w:t>
      </w:r>
    </w:p>
    <w:p w:rsidR="0044464E" w:rsidRPr="007B15BA" w:rsidRDefault="0044464E" w:rsidP="007B15BA">
      <w:pPr>
        <w:pStyle w:val="ListParagraph"/>
        <w:numPr>
          <w:ilvl w:val="0"/>
          <w:numId w:val="8"/>
        </w:numPr>
        <w:spacing w:before="120"/>
        <w:contextualSpacing w:val="0"/>
        <w:rPr>
          <w:szCs w:val="24"/>
        </w:rPr>
      </w:pPr>
      <w:r w:rsidRPr="007B15BA">
        <w:rPr>
          <w:szCs w:val="24"/>
        </w:rPr>
        <w:t xml:space="preserve">The number, type, miles traveled and geographic distribution of AFVs in use in the </w:t>
      </w:r>
      <w:r w:rsidR="00086A97">
        <w:rPr>
          <w:szCs w:val="24"/>
        </w:rPr>
        <w:t>reporting</w:t>
      </w:r>
      <w:r w:rsidRPr="007B15BA">
        <w:rPr>
          <w:szCs w:val="24"/>
        </w:rPr>
        <w:t xml:space="preserve"> year;</w:t>
      </w:r>
    </w:p>
    <w:p w:rsidR="0044464E" w:rsidRDefault="0044464E" w:rsidP="007B15BA">
      <w:pPr>
        <w:pStyle w:val="ListParagraph"/>
        <w:numPr>
          <w:ilvl w:val="0"/>
          <w:numId w:val="8"/>
        </w:numPr>
        <w:spacing w:before="120"/>
        <w:contextualSpacing w:val="0"/>
        <w:rPr>
          <w:szCs w:val="24"/>
        </w:rPr>
      </w:pPr>
      <w:r w:rsidRPr="009C3C0A">
        <w:rPr>
          <w:szCs w:val="24"/>
        </w:rPr>
        <w:t xml:space="preserve">The amount and distribution of each type of alternative fuel consumed in the </w:t>
      </w:r>
      <w:r w:rsidR="00086A97">
        <w:rPr>
          <w:szCs w:val="24"/>
        </w:rPr>
        <w:t>reporting</w:t>
      </w:r>
      <w:r w:rsidRPr="009C3C0A">
        <w:rPr>
          <w:szCs w:val="24"/>
        </w:rPr>
        <w:t xml:space="preserve"> year</w:t>
      </w:r>
      <w:r w:rsidR="00661FB8">
        <w:rPr>
          <w:szCs w:val="24"/>
        </w:rPr>
        <w:t xml:space="preserve"> (i.e., previous calendar year)</w:t>
      </w:r>
      <w:r w:rsidRPr="009C3C0A">
        <w:rPr>
          <w:szCs w:val="24"/>
        </w:rPr>
        <w:t>; and</w:t>
      </w:r>
    </w:p>
    <w:p w:rsidR="0044464E" w:rsidRDefault="0044464E" w:rsidP="007B15BA">
      <w:pPr>
        <w:pStyle w:val="ListParagraph"/>
        <w:numPr>
          <w:ilvl w:val="0"/>
          <w:numId w:val="8"/>
        </w:numPr>
        <w:spacing w:before="120"/>
        <w:contextualSpacing w:val="0"/>
        <w:rPr>
          <w:szCs w:val="24"/>
        </w:rPr>
      </w:pPr>
      <w:r w:rsidRPr="009C3C0A">
        <w:rPr>
          <w:szCs w:val="24"/>
        </w:rPr>
        <w:t xml:space="preserve">The number, type, and disposition of vehicle retirements in the </w:t>
      </w:r>
      <w:r w:rsidR="00086A97">
        <w:rPr>
          <w:szCs w:val="24"/>
        </w:rPr>
        <w:t>reporting</w:t>
      </w:r>
      <w:r w:rsidRPr="009C3C0A">
        <w:rPr>
          <w:szCs w:val="24"/>
        </w:rPr>
        <w:t xml:space="preserve"> year.</w:t>
      </w:r>
    </w:p>
    <w:p w:rsidR="0044464E" w:rsidRPr="009E1ECB" w:rsidRDefault="0044464E" w:rsidP="007B15BA">
      <w:pPr>
        <w:pStyle w:val="Heading1"/>
      </w:pPr>
      <w:bookmarkStart w:id="1" w:name="_Toc341193733"/>
      <w:r w:rsidRPr="009E1ECB">
        <w:t>SUMMARY OF PROPOSED CHANGES</w:t>
      </w:r>
      <w:bookmarkEnd w:id="1"/>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Cs w:val="24"/>
        </w:rPr>
      </w:pPr>
      <w:r>
        <w:t>EIA proposes the following r</w:t>
      </w:r>
      <w:r w:rsidRPr="001D4659">
        <w:t>evisions from the previously</w:t>
      </w:r>
      <w:r>
        <w:t xml:space="preserve"> </w:t>
      </w:r>
      <w:r w:rsidRPr="001D4659">
        <w:t>approved Form EIA-886:</w:t>
      </w:r>
    </w:p>
    <w:p w:rsidR="00FB78F9" w:rsidRDefault="0044464E" w:rsidP="007B15BA">
      <w:pPr>
        <w:widowControl/>
        <w:numPr>
          <w:ilvl w:val="3"/>
          <w:numId w:val="7"/>
        </w:numPr>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pacing w:before="120"/>
        <w:ind w:left="720"/>
        <w:rPr>
          <w:szCs w:val="24"/>
        </w:rPr>
      </w:pPr>
      <w:r>
        <w:rPr>
          <w:szCs w:val="24"/>
        </w:rPr>
        <w:t xml:space="preserve">Improve the Form EIA-886 </w:t>
      </w:r>
      <w:r w:rsidRPr="00A11A47">
        <w:rPr>
          <w:szCs w:val="24"/>
        </w:rPr>
        <w:t>to better use visual design to reduce the respondent’s burden</w:t>
      </w:r>
      <w:r>
        <w:rPr>
          <w:szCs w:val="24"/>
        </w:rPr>
        <w:t xml:space="preserve">, </w:t>
      </w:r>
      <w:r w:rsidRPr="00D3538B">
        <w:rPr>
          <w:szCs w:val="24"/>
        </w:rPr>
        <w:t xml:space="preserve">while </w:t>
      </w:r>
      <w:r>
        <w:rPr>
          <w:szCs w:val="24"/>
        </w:rPr>
        <w:t xml:space="preserve">leaving </w:t>
      </w:r>
      <w:r w:rsidR="005256AA">
        <w:rPr>
          <w:szCs w:val="24"/>
        </w:rPr>
        <w:t xml:space="preserve">unchanged </w:t>
      </w:r>
      <w:r w:rsidRPr="00D3538B">
        <w:rPr>
          <w:szCs w:val="24"/>
        </w:rPr>
        <w:t>the existing constructs being measured on the form</w:t>
      </w:r>
      <w:r w:rsidRPr="00A11A47">
        <w:rPr>
          <w:szCs w:val="24"/>
        </w:rPr>
        <w:t>.</w:t>
      </w:r>
      <w:r>
        <w:rPr>
          <w:szCs w:val="24"/>
        </w:rPr>
        <w:t xml:space="preserve"> </w:t>
      </w:r>
      <w:r w:rsidRPr="00A11A47">
        <w:rPr>
          <w:szCs w:val="24"/>
        </w:rPr>
        <w:t xml:space="preserve"> For example, instructions </w:t>
      </w:r>
      <w:r>
        <w:rPr>
          <w:szCs w:val="24"/>
        </w:rPr>
        <w:t>will be</w:t>
      </w:r>
      <w:r w:rsidRPr="00A11A47">
        <w:rPr>
          <w:szCs w:val="24"/>
        </w:rPr>
        <w:t xml:space="preserve"> placed next to the questions where the</w:t>
      </w:r>
      <w:r w:rsidR="005256AA">
        <w:rPr>
          <w:szCs w:val="24"/>
        </w:rPr>
        <w:t xml:space="preserve"> instructions</w:t>
      </w:r>
      <w:r w:rsidRPr="00A11A47">
        <w:rPr>
          <w:szCs w:val="24"/>
        </w:rPr>
        <w:t xml:space="preserve"> are needed</w:t>
      </w:r>
      <w:r>
        <w:rPr>
          <w:szCs w:val="24"/>
        </w:rPr>
        <w:t>,</w:t>
      </w:r>
      <w:r w:rsidRPr="00A11A47">
        <w:rPr>
          <w:szCs w:val="24"/>
        </w:rPr>
        <w:t xml:space="preserve"> and dense paragraphs </w:t>
      </w:r>
      <w:r>
        <w:rPr>
          <w:szCs w:val="24"/>
        </w:rPr>
        <w:t>will be</w:t>
      </w:r>
      <w:r w:rsidRPr="00A11A47">
        <w:rPr>
          <w:szCs w:val="24"/>
        </w:rPr>
        <w:t xml:space="preserve"> broken up into bullet-pointed lists.</w:t>
      </w:r>
      <w:r>
        <w:rPr>
          <w:szCs w:val="24"/>
        </w:rPr>
        <w:t xml:space="preserve"> </w:t>
      </w:r>
      <w:r w:rsidRPr="00A11A47">
        <w:rPr>
          <w:szCs w:val="24"/>
        </w:rPr>
        <w:t xml:space="preserve"> </w:t>
      </w:r>
      <w:r>
        <w:rPr>
          <w:szCs w:val="24"/>
        </w:rPr>
        <w:t>Survey methodology literature</w:t>
      </w:r>
      <w:r w:rsidRPr="00A11A47">
        <w:rPr>
          <w:szCs w:val="24"/>
        </w:rPr>
        <w:t xml:space="preserve"> and </w:t>
      </w:r>
      <w:r>
        <w:rPr>
          <w:szCs w:val="24"/>
        </w:rPr>
        <w:t>empirical</w:t>
      </w:r>
      <w:r w:rsidRPr="00A11A47">
        <w:rPr>
          <w:szCs w:val="24"/>
        </w:rPr>
        <w:t xml:space="preserve"> evidence from cognitive testing</w:t>
      </w:r>
      <w:r w:rsidR="007B15BA">
        <w:rPr>
          <w:szCs w:val="24"/>
        </w:rPr>
        <w:t xml:space="preserve"> of other forms suggest</w:t>
      </w:r>
      <w:r>
        <w:rPr>
          <w:szCs w:val="24"/>
        </w:rPr>
        <w:t xml:space="preserve"> t</w:t>
      </w:r>
      <w:r w:rsidRPr="00A11A47">
        <w:rPr>
          <w:szCs w:val="24"/>
        </w:rPr>
        <w:t xml:space="preserve">hese changes, along with other </w:t>
      </w:r>
      <w:r w:rsidR="005256AA">
        <w:rPr>
          <w:szCs w:val="24"/>
        </w:rPr>
        <w:t xml:space="preserve">edits to </w:t>
      </w:r>
      <w:r w:rsidRPr="00A11A47">
        <w:rPr>
          <w:szCs w:val="24"/>
        </w:rPr>
        <w:t xml:space="preserve">formatting, will allow respondents to read and process the </w:t>
      </w:r>
      <w:r w:rsidRPr="001C65FC">
        <w:rPr>
          <w:szCs w:val="24"/>
        </w:rPr>
        <w:t>information</w:t>
      </w:r>
      <w:r w:rsidR="00AD4428" w:rsidRPr="001C65FC">
        <w:rPr>
          <w:szCs w:val="24"/>
        </w:rPr>
        <w:t xml:space="preserve"> </w:t>
      </w:r>
      <w:r w:rsidR="00C1443B" w:rsidRPr="001C65FC">
        <w:rPr>
          <w:szCs w:val="24"/>
        </w:rPr>
        <w:t>more quickly</w:t>
      </w:r>
      <w:r w:rsidRPr="00A11A47">
        <w:rPr>
          <w:szCs w:val="24"/>
        </w:rPr>
        <w:t>.</w:t>
      </w:r>
    </w:p>
    <w:p w:rsidR="00FB78F9" w:rsidRDefault="0044464E" w:rsidP="007B15BA">
      <w:pPr>
        <w:widowControl/>
        <w:numPr>
          <w:ilvl w:val="3"/>
          <w:numId w:val="7"/>
        </w:numPr>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pacing w:before="120"/>
        <w:ind w:left="720"/>
      </w:pPr>
      <w:r>
        <w:rPr>
          <w:szCs w:val="24"/>
          <w:lang w:eastAsia="ar-SA"/>
        </w:rPr>
        <w:t xml:space="preserve">Modify the drop down </w:t>
      </w:r>
      <w:r w:rsidR="00DA4E45">
        <w:rPr>
          <w:szCs w:val="24"/>
          <w:lang w:eastAsia="ar-SA"/>
        </w:rPr>
        <w:t xml:space="preserve">selection </w:t>
      </w:r>
      <w:r>
        <w:rPr>
          <w:szCs w:val="24"/>
          <w:lang w:eastAsia="ar-SA"/>
        </w:rPr>
        <w:t xml:space="preserve">menus under Parts 2 and 3 to include the fuel type/engine configuration code “EVC-PH” to capture data on plug-in hybrid electric vehicles (PHEV).  </w:t>
      </w:r>
      <w:r>
        <w:rPr>
          <w:szCs w:val="24"/>
        </w:rPr>
        <w:t xml:space="preserve">PHEVs are considered alternative fueled vehicles under the </w:t>
      </w:r>
      <w:r w:rsidRPr="00482F59">
        <w:rPr>
          <w:szCs w:val="24"/>
        </w:rPr>
        <w:t>E</w:t>
      </w:r>
      <w:r>
        <w:rPr>
          <w:szCs w:val="24"/>
        </w:rPr>
        <w:t xml:space="preserve">nergy Policy Act of </w:t>
      </w:r>
      <w:r w:rsidRPr="00482F59">
        <w:rPr>
          <w:szCs w:val="24"/>
        </w:rPr>
        <w:t>1992 definition of an alternative fuel</w:t>
      </w:r>
      <w:r>
        <w:rPr>
          <w:szCs w:val="24"/>
        </w:rPr>
        <w:t>ed</w:t>
      </w:r>
      <w:r w:rsidRPr="00482F59">
        <w:rPr>
          <w:szCs w:val="24"/>
        </w:rPr>
        <w:t xml:space="preserve"> vehicle because their primary fuel source is electricity</w:t>
      </w:r>
      <w:r>
        <w:rPr>
          <w:szCs w:val="24"/>
        </w:rPr>
        <w:t xml:space="preserve">; however, </w:t>
      </w:r>
      <w:r w:rsidR="00AF4614">
        <w:rPr>
          <w:szCs w:val="24"/>
          <w:lang w:eastAsia="ar-SA"/>
        </w:rPr>
        <w:t>PHEVs</w:t>
      </w:r>
      <w:r>
        <w:rPr>
          <w:szCs w:val="24"/>
          <w:lang w:eastAsia="ar-SA"/>
        </w:rPr>
        <w:t xml:space="preserve"> differ from straight battery-powered electric vehicles because </w:t>
      </w:r>
      <w:r w:rsidR="005256AA">
        <w:rPr>
          <w:szCs w:val="24"/>
          <w:lang w:eastAsia="ar-SA"/>
        </w:rPr>
        <w:t xml:space="preserve">PHEVs </w:t>
      </w:r>
      <w:r w:rsidRPr="00482F59">
        <w:rPr>
          <w:szCs w:val="24"/>
        </w:rPr>
        <w:t>u</w:t>
      </w:r>
      <w:r>
        <w:rPr>
          <w:szCs w:val="24"/>
        </w:rPr>
        <w:t>s</w:t>
      </w:r>
      <w:r w:rsidRPr="00482F59">
        <w:rPr>
          <w:szCs w:val="24"/>
        </w:rPr>
        <w:t>e the electric battery as the primary energy source</w:t>
      </w:r>
      <w:r w:rsidR="00AF4614">
        <w:rPr>
          <w:szCs w:val="24"/>
        </w:rPr>
        <w:t>,</w:t>
      </w:r>
      <w:r w:rsidRPr="00482F59">
        <w:rPr>
          <w:szCs w:val="24"/>
        </w:rPr>
        <w:t xml:space="preserve"> relying on battery power for propulsion for a limited range (15-40 miles) before switching to internal combustion propulsion</w:t>
      </w:r>
      <w:r>
        <w:rPr>
          <w:szCs w:val="24"/>
        </w:rPr>
        <w:t xml:space="preserve">.  </w:t>
      </w:r>
      <w:r>
        <w:rPr>
          <w:szCs w:val="24"/>
          <w:lang w:eastAsia="ar-SA"/>
        </w:rPr>
        <w:t>Currently, EIA collects data on electric battery-powered vehicles with the code “EVC BP</w:t>
      </w:r>
      <w:r w:rsidR="00BA0AF8">
        <w:rPr>
          <w:szCs w:val="24"/>
          <w:lang w:eastAsia="ar-SA"/>
        </w:rPr>
        <w:t>.</w:t>
      </w:r>
      <w:r>
        <w:rPr>
          <w:szCs w:val="24"/>
          <w:lang w:eastAsia="ar-SA"/>
        </w:rPr>
        <w:t>”  Adding the code “EVC PH” will differentiate between straight battery-powered AFVs and PHEVs.</w:t>
      </w:r>
    </w:p>
    <w:p w:rsidR="0044464E" w:rsidRDefault="0044464E" w:rsidP="007B15BA">
      <w:pPr>
        <w:pStyle w:val="BodyText"/>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rPr>
          <w:color w:val="auto"/>
          <w:szCs w:val="24"/>
        </w:rPr>
      </w:pPr>
      <w:r w:rsidRPr="00290C50">
        <w:rPr>
          <w:color w:val="auto"/>
          <w:szCs w:val="24"/>
        </w:rPr>
        <w:t xml:space="preserve">The information collection proposed in this supporting statement has been reviewed in light of applicable information quality guidelines.  </w:t>
      </w:r>
      <w:r w:rsidR="005256AA">
        <w:rPr>
          <w:color w:val="auto"/>
          <w:szCs w:val="24"/>
        </w:rPr>
        <w:t>T</w:t>
      </w:r>
      <w:r w:rsidRPr="00290C50">
        <w:rPr>
          <w:color w:val="auto"/>
          <w:szCs w:val="24"/>
        </w:rPr>
        <w:t xml:space="preserve">he information </w:t>
      </w:r>
      <w:r w:rsidR="005256AA">
        <w:rPr>
          <w:color w:val="auto"/>
          <w:szCs w:val="24"/>
        </w:rPr>
        <w:t>has been determined to</w:t>
      </w:r>
      <w:r w:rsidRPr="00290C50">
        <w:rPr>
          <w:color w:val="auto"/>
          <w:szCs w:val="24"/>
        </w:rPr>
        <w:t xml:space="preserve"> be collected, maintained, and used in a manner consistent with the OMB, DOE, and EIA information quality guidelines.</w:t>
      </w:r>
    </w:p>
    <w:p w:rsidR="0044464E" w:rsidRPr="00290C50" w:rsidRDefault="0044464E" w:rsidP="007B15BA">
      <w:pPr>
        <w:pStyle w:val="BodyText"/>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rPr>
          <w:color w:val="auto"/>
          <w:szCs w:val="24"/>
        </w:rPr>
      </w:pPr>
    </w:p>
    <w:p w:rsidR="0044464E" w:rsidRPr="009E1ECB" w:rsidRDefault="0044464E" w:rsidP="007B15BA">
      <w:pPr>
        <w:pStyle w:val="Heading1"/>
      </w:pPr>
      <w:bookmarkStart w:id="2" w:name="_Toc341193734"/>
      <w:r w:rsidRPr="009E1ECB">
        <w:lastRenderedPageBreak/>
        <w:t>A. JUSTIFICATION</w:t>
      </w:r>
      <w:bookmarkEnd w:id="2"/>
    </w:p>
    <w:p w:rsidR="0044464E" w:rsidRPr="009E1ECB" w:rsidRDefault="0044464E" w:rsidP="007B15BA">
      <w:pPr>
        <w:pStyle w:val="Heading2"/>
      </w:pPr>
      <w:bookmarkStart w:id="3" w:name="_Toc341193735"/>
      <w:r w:rsidRPr="009E1ECB">
        <w:t>Legal Authority</w:t>
      </w:r>
      <w:bookmarkEnd w:id="3"/>
    </w:p>
    <w:p w:rsidR="0044464E" w:rsidRPr="008D6B6A" w:rsidRDefault="0044464E" w:rsidP="007B15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Cs w:val="24"/>
        </w:rPr>
      </w:pPr>
      <w:r w:rsidRPr="008D6B6A">
        <w:rPr>
          <w:szCs w:val="24"/>
        </w:rPr>
        <w:t xml:space="preserve">The legal authority for this data collection effort is provided by the following </w:t>
      </w:r>
      <w:r>
        <w:rPr>
          <w:szCs w:val="24"/>
        </w:rPr>
        <w:t xml:space="preserve">two </w:t>
      </w:r>
      <w:r w:rsidRPr="008D6B6A">
        <w:rPr>
          <w:szCs w:val="24"/>
        </w:rPr>
        <w:t>provisions:</w:t>
      </w:r>
    </w:p>
    <w:p w:rsidR="00695658" w:rsidRDefault="00695658" w:rsidP="007B15BA">
      <w:pPr>
        <w:rPr>
          <w:szCs w:val="24"/>
        </w:rPr>
      </w:pPr>
    </w:p>
    <w:p w:rsidR="0044464E" w:rsidRPr="00A92D36" w:rsidRDefault="0044464E" w:rsidP="007B15BA">
      <w:pPr>
        <w:rPr>
          <w:szCs w:val="24"/>
        </w:rPr>
      </w:pPr>
      <w:r w:rsidRPr="00A92D36">
        <w:rPr>
          <w:szCs w:val="24"/>
        </w:rPr>
        <w:t>Energy Policy Act of 1992</w:t>
      </w:r>
      <w:r>
        <w:rPr>
          <w:szCs w:val="24"/>
        </w:rPr>
        <w:t>:</w:t>
      </w:r>
    </w:p>
    <w:p w:rsidR="0044464E" w:rsidRPr="00A92D36" w:rsidRDefault="003B434E" w:rsidP="007B15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Cs w:val="24"/>
        </w:rPr>
      </w:pPr>
      <w:r>
        <w:rPr>
          <w:szCs w:val="24"/>
        </w:rPr>
        <w:t xml:space="preserve">United States Code </w:t>
      </w:r>
      <w:r w:rsidR="003E6E76">
        <w:rPr>
          <w:szCs w:val="24"/>
        </w:rPr>
        <w:t xml:space="preserve">Title 42 </w:t>
      </w:r>
      <w:r>
        <w:rPr>
          <w:szCs w:val="24"/>
        </w:rPr>
        <w:t>Section</w:t>
      </w:r>
      <w:r w:rsidR="003E6E76">
        <w:rPr>
          <w:szCs w:val="24"/>
        </w:rPr>
        <w:t xml:space="preserve"> 13253 of</w:t>
      </w:r>
      <w:r w:rsidR="003E6E76" w:rsidRPr="00A92D36" w:rsidDel="003E6E76">
        <w:rPr>
          <w:szCs w:val="24"/>
        </w:rPr>
        <w:t xml:space="preserve"> </w:t>
      </w:r>
      <w:r w:rsidR="0044464E" w:rsidRPr="00A92D36">
        <w:rPr>
          <w:szCs w:val="24"/>
        </w:rPr>
        <w:t>the Energy Policy Act of 1992 (Public Law 102-468) requires estimates o</w:t>
      </w:r>
      <w:r>
        <w:rPr>
          <w:szCs w:val="24"/>
        </w:rPr>
        <w:t>f</w:t>
      </w:r>
      <w:r w:rsidR="0044464E" w:rsidRPr="00A92D36">
        <w:rPr>
          <w:szCs w:val="24"/>
        </w:rPr>
        <w:t xml:space="preserve"> </w:t>
      </w:r>
      <w:r w:rsidR="007B037C" w:rsidRPr="001C65FC">
        <w:rPr>
          <w:i/>
          <w:szCs w:val="24"/>
        </w:rPr>
        <w:t>(1) the number of each type of alternative fueled vehicle likely to be in use in the United States; (2) the probable geographic distribution of such vehicles; and (3) the amount and distribution of each type of replacement fuel</w:t>
      </w:r>
      <w:r w:rsidR="007B037C">
        <w:rPr>
          <w:szCs w:val="24"/>
        </w:rPr>
        <w:t xml:space="preserve"> </w:t>
      </w:r>
      <w:r w:rsidR="0044464E">
        <w:rPr>
          <w:szCs w:val="24"/>
        </w:rPr>
        <w:t>[alternative fuel]</w:t>
      </w:r>
      <w:r w:rsidR="0044464E" w:rsidRPr="00A92D36">
        <w:rPr>
          <w:szCs w:val="24"/>
        </w:rPr>
        <w:t xml:space="preserve">.  Additionally, Section 503 </w:t>
      </w:r>
      <w:proofErr w:type="spellStart"/>
      <w:r w:rsidR="0044464E" w:rsidRPr="00A92D36">
        <w:rPr>
          <w:szCs w:val="24"/>
        </w:rPr>
        <w:t>requires</w:t>
      </w:r>
      <w:r w:rsidR="007B037C" w:rsidRPr="001C65FC">
        <w:rPr>
          <w:i/>
          <w:szCs w:val="24"/>
        </w:rPr>
        <w:t>suppliers</w:t>
      </w:r>
      <w:proofErr w:type="spellEnd"/>
      <w:r w:rsidR="007B037C" w:rsidRPr="001C65FC">
        <w:rPr>
          <w:i/>
          <w:szCs w:val="24"/>
        </w:rPr>
        <w:t xml:space="preserve"> of alternative fueled vehicles to report on the number of each type of alternative fueled vehicles that such supplier (a) has made available in the previous calendar year; and (b) plans to make available for the following calendar year</w:t>
      </w:r>
      <w:r w:rsidR="0044464E" w:rsidRPr="001C65FC">
        <w:rPr>
          <w:i/>
          <w:szCs w:val="24"/>
        </w:rPr>
        <w:t>.</w:t>
      </w:r>
      <w:r w:rsidR="0044464E" w:rsidRPr="00A92D36">
        <w:rPr>
          <w:szCs w:val="24"/>
        </w:rPr>
        <w:t xml:space="preserve"> </w:t>
      </w:r>
      <w:r w:rsidR="0044464E">
        <w:rPr>
          <w:szCs w:val="24"/>
        </w:rPr>
        <w:t xml:space="preserve"> </w:t>
      </w:r>
      <w:r w:rsidR="0044464E" w:rsidRPr="00A92D36">
        <w:rPr>
          <w:szCs w:val="24"/>
        </w:rPr>
        <w:t xml:space="preserve">The data are used to </w:t>
      </w:r>
      <w:r>
        <w:rPr>
          <w:szCs w:val="24"/>
        </w:rPr>
        <w:t>respond to</w:t>
      </w:r>
      <w:r w:rsidRPr="00A92D36">
        <w:rPr>
          <w:szCs w:val="24"/>
        </w:rPr>
        <w:t xml:space="preserve"> </w:t>
      </w:r>
      <w:r w:rsidR="0044464E" w:rsidRPr="00A92D36">
        <w:rPr>
          <w:szCs w:val="24"/>
        </w:rPr>
        <w:t>public requests for information on AFVs and alternative transportation fuels and to provide Congress with a measure of the extent to which the objectives of the Energy Policy Act of 19</w:t>
      </w:r>
      <w:r w:rsidR="0044464E">
        <w:rPr>
          <w:szCs w:val="24"/>
        </w:rPr>
        <w:t>92 (EPACT) are being achieved.</w:t>
      </w:r>
    </w:p>
    <w:p w:rsidR="0044464E" w:rsidRPr="00A92D36" w:rsidRDefault="0044464E" w:rsidP="007B15BA">
      <w:pPr>
        <w:rPr>
          <w:szCs w:val="24"/>
        </w:rPr>
      </w:pPr>
    </w:p>
    <w:p w:rsidR="009A7A78" w:rsidRDefault="009A7A78" w:rsidP="009A7A78">
      <w:r>
        <w:t>15 U.S.C. §772(b), of the Federal Energy Administration Act of 1974 (FEA Act), Public Law 93-275, outlines the types of individuals subject to the information collection authority delegated to the [Secretary] and the general parameters of the type of data which can be required.  Section 772(b) states:</w:t>
      </w:r>
    </w:p>
    <w:p w:rsidR="0044464E" w:rsidRPr="00A92D36" w:rsidRDefault="0044464E" w:rsidP="007B15BA">
      <w:pPr>
        <w:rPr>
          <w:sz w:val="10"/>
          <w:szCs w:val="10"/>
        </w:rPr>
      </w:pPr>
    </w:p>
    <w:p w:rsidR="007B037C" w:rsidRPr="001C65FC" w:rsidRDefault="007B037C" w:rsidP="007B037C">
      <w:pPr>
        <w:rPr>
          <w:i/>
          <w:szCs w:val="24"/>
        </w:rPr>
      </w:pPr>
      <w:bookmarkStart w:id="4" w:name="_Toc341193736"/>
      <w:r w:rsidRPr="001C65FC">
        <w:rPr>
          <w:i/>
          <w:szCs w:val="24"/>
        </w:rPr>
        <w:t>All persons owning or operating facilities or business premises who are engaged in any phase of energy supply or major energy consumption shall make available to the Administrator such information and periodic reports, records, documents, and other data, relating to the purposes of this chapter, including full identification of all data and projections as to source, time, and methodology of development, as the Administrator may prescribe by regulation or order as necessary or appropriate for the proper exercise of functions under this chapter.</w:t>
      </w:r>
    </w:p>
    <w:p w:rsidR="0044464E" w:rsidRPr="009E1ECB" w:rsidRDefault="0044464E" w:rsidP="007B15BA">
      <w:pPr>
        <w:pStyle w:val="Heading2"/>
      </w:pPr>
      <w:r w:rsidRPr="009E1ECB">
        <w:t>Needs for and Uses of the Data</w:t>
      </w:r>
      <w:bookmarkEnd w:id="4"/>
    </w:p>
    <w:p w:rsidR="0044464E" w:rsidRPr="001D4659" w:rsidRDefault="0044464E" w:rsidP="001C65FC">
      <w:pPr>
        <w:pStyle w:val="CommentText"/>
      </w:pPr>
      <w:r>
        <w:t xml:space="preserve">Data from the Form EIA-886 </w:t>
      </w:r>
      <w:r w:rsidRPr="001D4659">
        <w:t xml:space="preserve">are needed to determine if sufficient quantities of AFVs are available for purchase by </w:t>
      </w:r>
      <w:r>
        <w:t>f</w:t>
      </w:r>
      <w:r w:rsidRPr="001D4659">
        <w:t xml:space="preserve">ederal and </w:t>
      </w:r>
      <w:r>
        <w:t>s</w:t>
      </w:r>
      <w:r w:rsidRPr="001D4659">
        <w:t>tate agencies and fuel suppliers, and to provide Congress with a measure of the extent to which the objectives of EPACT</w:t>
      </w:r>
      <w:r>
        <w:t>92</w:t>
      </w:r>
      <w:r w:rsidRPr="001D4659">
        <w:t xml:space="preserve"> are being achieved.  </w:t>
      </w:r>
      <w:r w:rsidR="007B037C">
        <w:t xml:space="preserve">While auto manufacturers and aftermarket vehicle converters are not required to manufacture AFVs, fleets such as the federal government, state governments, and fuel providers must meet regulatory requirements in petroleum reduction via AFV acquisitions.  EIA’s supplier data informs these parties as well as the public to the availability of AFVs in the marketplace.  In addition, </w:t>
      </w:r>
      <w:r w:rsidR="001C65FC">
        <w:t>t</w:t>
      </w:r>
      <w:r w:rsidRPr="001D4659">
        <w:t xml:space="preserve">he data </w:t>
      </w:r>
      <w:r>
        <w:t>serve</w:t>
      </w:r>
      <w:r w:rsidRPr="001D4659">
        <w:t xml:space="preserve"> as market analysis tool</w:t>
      </w:r>
      <w:r>
        <w:t>s</w:t>
      </w:r>
      <w:r w:rsidRPr="001D4659">
        <w:t xml:space="preserve"> for Congress, </w:t>
      </w:r>
      <w:r>
        <w:t>f</w:t>
      </w:r>
      <w:r w:rsidRPr="001D4659">
        <w:t>ederal</w:t>
      </w:r>
      <w:r>
        <w:t xml:space="preserve"> and s</w:t>
      </w:r>
      <w:r w:rsidRPr="001D4659">
        <w:t xml:space="preserve">tate agencies, AFV suppliers, vehicle fleet managers, and other interested organizations and persons.  These data are also </w:t>
      </w:r>
      <w:r w:rsidR="00180BF5">
        <w:t>used</w:t>
      </w:r>
      <w:r w:rsidRPr="001D4659">
        <w:t xml:space="preserve"> to </w:t>
      </w:r>
      <w:r w:rsidR="005256AA">
        <w:t>respond to</w:t>
      </w:r>
      <w:r w:rsidR="005256AA" w:rsidRPr="001D4659">
        <w:t xml:space="preserve"> </w:t>
      </w:r>
      <w:r>
        <w:t>numerous</w:t>
      </w:r>
      <w:r w:rsidRPr="001D4659">
        <w:t xml:space="preserve"> public requests for detailed information on AFVs and ATFs</w:t>
      </w:r>
      <w:r>
        <w:t>--</w:t>
      </w:r>
      <w:r w:rsidRPr="001D4659">
        <w:t xml:space="preserve">in particular, the number of AFVs distributed by </w:t>
      </w:r>
      <w:r>
        <w:t>s</w:t>
      </w:r>
      <w:r w:rsidRPr="001D4659">
        <w:t>tate</w:t>
      </w:r>
      <w:r w:rsidR="00E33230">
        <w:t>,</w:t>
      </w:r>
      <w:r w:rsidRPr="001D4659">
        <w:t xml:space="preserve"> as well as the amount and location of the ATFs consumed.</w:t>
      </w:r>
    </w:p>
    <w:p w:rsidR="0044464E" w:rsidRPr="004D09A4"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rsidRPr="001D4659">
        <w:t xml:space="preserve">EIA publishes summary information from the Form EIA-886 database </w:t>
      </w:r>
      <w:r w:rsidRPr="00054099">
        <w:t xml:space="preserve">in </w:t>
      </w:r>
      <w:r>
        <w:t>the</w:t>
      </w:r>
      <w:r w:rsidRPr="00054099">
        <w:t xml:space="preserve"> annual </w:t>
      </w:r>
      <w:r w:rsidR="00721963" w:rsidRPr="00721963">
        <w:rPr>
          <w:i/>
        </w:rPr>
        <w:t>Alternative Fuel Vehicle Data</w:t>
      </w:r>
      <w:r w:rsidRPr="00054099">
        <w:t xml:space="preserve"> report on EIA’s website (http://www.eia.gov/renewable/afv/).  </w:t>
      </w:r>
      <w:r w:rsidRPr="001D4659">
        <w:t xml:space="preserve">This report </w:t>
      </w:r>
      <w:r w:rsidRPr="001D4659">
        <w:lastRenderedPageBreak/>
        <w:t>covers historical and projected supplies of AFVs</w:t>
      </w:r>
      <w:r w:rsidR="0065054E">
        <w:t>,</w:t>
      </w:r>
      <w:r w:rsidRPr="001D4659">
        <w:t xml:space="preserve"> as well as AFV usage by selected user groups</w:t>
      </w:r>
      <w:r w:rsidR="0065054E">
        <w:t>,</w:t>
      </w:r>
      <w:r>
        <w:t xml:space="preserve"> and</w:t>
      </w:r>
      <w:r w:rsidRPr="001D4659">
        <w:t xml:space="preserve"> estimates of total U.S. AFV counts and U.S. consumption of ATFs.  These </w:t>
      </w:r>
      <w:r>
        <w:t>data</w:t>
      </w:r>
      <w:r w:rsidRPr="001D4659">
        <w:t xml:space="preserve"> provide </w:t>
      </w:r>
      <w:r>
        <w:t xml:space="preserve">a </w:t>
      </w:r>
      <w:r w:rsidRPr="001D4659">
        <w:t xml:space="preserve">baseline for DOE's transportation sector energy models.  They also provide the energy consumption measures for alternative transportation fuels in EIA’s State Energy Data System.  For example, EIA's National Energy Modeling System (NEMS) has a component model that forecasts transportation sector energy consumption and provides a framework for AFV policy and technology analysis. </w:t>
      </w:r>
      <w:r>
        <w:t xml:space="preserve"> D</w:t>
      </w:r>
      <w:r w:rsidRPr="001D4659">
        <w:t>ata obtained from Form EIA-886 are used to improve the explanatory power of the NEMS Transportation Demand Model by allowing for greater detail in AFV type and characteristics</w:t>
      </w:r>
      <w:r>
        <w:t>.</w:t>
      </w:r>
    </w:p>
    <w:p w:rsidR="0044464E" w:rsidRPr="004D09A4" w:rsidRDefault="0044464E" w:rsidP="007B15BA">
      <w:pPr>
        <w:pStyle w:val="Heading2"/>
      </w:pPr>
      <w:bookmarkStart w:id="5" w:name="_Toc341193737"/>
      <w:r w:rsidRPr="008435B0">
        <w:t>Use of Information Technology</w:t>
      </w:r>
      <w:bookmarkEnd w:id="5"/>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Cs w:val="24"/>
        </w:rPr>
      </w:pPr>
      <w:r>
        <w:rPr>
          <w:szCs w:val="24"/>
        </w:rPr>
        <w:t>The Form EIA-886 Web-based data collection system helps meet the data requirements to evaluate how federal agencies meet guidelines for reducing petroleum consumption via the use of AFVs and ATFs, as outlined in EPACT92, Executive Order 13149</w:t>
      </w:r>
      <w:r w:rsidR="0065054E">
        <w:rPr>
          <w:szCs w:val="24"/>
        </w:rPr>
        <w:t>,</w:t>
      </w:r>
      <w:r>
        <w:rPr>
          <w:szCs w:val="24"/>
        </w:rPr>
        <w:t xml:space="preserve"> </w:t>
      </w:r>
      <w:r w:rsidRPr="00F96382">
        <w:rPr>
          <w:i/>
          <w:szCs w:val="24"/>
        </w:rPr>
        <w:t>“Greening the Government Through Federal Fleet and Transportation Efficiency</w:t>
      </w:r>
      <w:r w:rsidR="0065054E">
        <w:rPr>
          <w:i/>
          <w:szCs w:val="24"/>
        </w:rPr>
        <w:t>,</w:t>
      </w:r>
      <w:r w:rsidRPr="00F96382">
        <w:rPr>
          <w:i/>
          <w:szCs w:val="24"/>
        </w:rPr>
        <w:t>”</w:t>
      </w:r>
      <w:r>
        <w:rPr>
          <w:szCs w:val="24"/>
        </w:rPr>
        <w:t xml:space="preserve"> and </w:t>
      </w:r>
      <w:r w:rsidRPr="00137B7C">
        <w:rPr>
          <w:szCs w:val="24"/>
        </w:rPr>
        <w:t>Executive Order 13423</w:t>
      </w:r>
      <w:r w:rsidR="0065054E">
        <w:rPr>
          <w:szCs w:val="24"/>
        </w:rPr>
        <w:t>,</w:t>
      </w:r>
      <w:r w:rsidRPr="00137B7C">
        <w:rPr>
          <w:szCs w:val="24"/>
        </w:rPr>
        <w:t xml:space="preserve"> </w:t>
      </w:r>
      <w:r w:rsidRPr="00137B7C">
        <w:rPr>
          <w:i/>
          <w:iCs/>
          <w:szCs w:val="24"/>
        </w:rPr>
        <w:t>“Strengthening Federal Environmental, Energy, and Transportation Management</w:t>
      </w:r>
      <w:r>
        <w:rPr>
          <w:i/>
          <w:iCs/>
          <w:szCs w:val="24"/>
        </w:rPr>
        <w:t>.</w:t>
      </w:r>
      <w:r w:rsidRPr="00137B7C">
        <w:rPr>
          <w:i/>
          <w:iCs/>
          <w:szCs w:val="24"/>
        </w:rPr>
        <w:t>”</w:t>
      </w:r>
      <w:r w:rsidRPr="00137B7C">
        <w:rPr>
          <w:szCs w:val="24"/>
        </w:rPr>
        <w:t xml:space="preserve"> </w:t>
      </w:r>
      <w:r>
        <w:rPr>
          <w:szCs w:val="24"/>
        </w:rPr>
        <w:t xml:space="preserve"> Executive Orders 13149 and 13423 both </w:t>
      </w:r>
      <w:r w:rsidRPr="005A2ADB">
        <w:rPr>
          <w:szCs w:val="24"/>
        </w:rPr>
        <w:t>set forth guidelines to ensure that the Federal Government exercises leadership in the reduction of petroleum consumption through improvements in fleet fuel efficiency and the use of alternative fuel vehicles and alternative fuels.</w:t>
      </w:r>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szCs w:val="24"/>
        </w:rPr>
      </w:pPr>
      <w:r>
        <w:rPr>
          <w:szCs w:val="24"/>
        </w:rPr>
        <w:t xml:space="preserve">The Department of Energy’s Federal Energy Management Program (FEMP) is responsible for tracking these regulatory requirements.  In addition, the General Services Administration’s </w:t>
      </w:r>
      <w:r w:rsidR="009B1AC9">
        <w:rPr>
          <w:szCs w:val="24"/>
        </w:rPr>
        <w:t xml:space="preserve">(GSAs) </w:t>
      </w:r>
      <w:r>
        <w:rPr>
          <w:szCs w:val="24"/>
        </w:rPr>
        <w:t xml:space="preserve">Office of </w:t>
      </w:r>
      <w:proofErr w:type="spellStart"/>
      <w:r>
        <w:rPr>
          <w:szCs w:val="24"/>
        </w:rPr>
        <w:t>Governmentwide</w:t>
      </w:r>
      <w:proofErr w:type="spellEnd"/>
      <w:r>
        <w:rPr>
          <w:szCs w:val="24"/>
        </w:rPr>
        <w:t xml:space="preserve"> Policy collects federal fleet data via the Form SF82</w:t>
      </w:r>
      <w:r w:rsidR="0065054E">
        <w:rPr>
          <w:szCs w:val="24"/>
        </w:rPr>
        <w:t>,</w:t>
      </w:r>
      <w:r>
        <w:rPr>
          <w:szCs w:val="24"/>
        </w:rPr>
        <w:t xml:space="preserve"> “</w:t>
      </w:r>
      <w:r w:rsidRPr="00137B7C">
        <w:rPr>
          <w:i/>
          <w:iCs/>
          <w:szCs w:val="24"/>
        </w:rPr>
        <w:t>Agency Report of Motor Vehicle Data</w:t>
      </w:r>
      <w:r>
        <w:rPr>
          <w:i/>
          <w:iCs/>
          <w:szCs w:val="24"/>
        </w:rPr>
        <w:t>.</w:t>
      </w:r>
      <w:r w:rsidRPr="00137B7C">
        <w:rPr>
          <w:szCs w:val="24"/>
        </w:rPr>
        <w:t>”</w:t>
      </w:r>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szCs w:val="24"/>
        </w:rPr>
      </w:pPr>
      <w:r>
        <w:rPr>
          <w:szCs w:val="24"/>
        </w:rPr>
        <w:t>To automate and reduce duplicative reporting by federal agencies, t</w:t>
      </w:r>
      <w:r w:rsidRPr="00137B7C">
        <w:rPr>
          <w:szCs w:val="24"/>
        </w:rPr>
        <w:t>he Federal Automotive Statistical Tool</w:t>
      </w:r>
      <w:r>
        <w:rPr>
          <w:szCs w:val="24"/>
        </w:rPr>
        <w:t xml:space="preserve"> (FAST</w:t>
      </w:r>
      <w:r w:rsidRPr="00137B7C">
        <w:rPr>
          <w:szCs w:val="24"/>
        </w:rPr>
        <w:t xml:space="preserve">) </w:t>
      </w:r>
      <w:r>
        <w:rPr>
          <w:szCs w:val="24"/>
        </w:rPr>
        <w:t xml:space="preserve">Web-based data collection </w:t>
      </w:r>
      <w:r w:rsidRPr="00137B7C">
        <w:rPr>
          <w:szCs w:val="24"/>
        </w:rPr>
        <w:t xml:space="preserve">system was developed </w:t>
      </w:r>
      <w:r>
        <w:rPr>
          <w:szCs w:val="24"/>
        </w:rPr>
        <w:t xml:space="preserve">jointly by FEMP, EIA and GSA </w:t>
      </w:r>
      <w:r w:rsidRPr="00137B7C">
        <w:rPr>
          <w:szCs w:val="24"/>
        </w:rPr>
        <w:t xml:space="preserve">to assist fleets in meeting </w:t>
      </w:r>
      <w:r>
        <w:rPr>
          <w:szCs w:val="24"/>
        </w:rPr>
        <w:t xml:space="preserve">all </w:t>
      </w:r>
      <w:r w:rsidRPr="00137B7C">
        <w:rPr>
          <w:szCs w:val="24"/>
        </w:rPr>
        <w:t xml:space="preserve">the </w:t>
      </w:r>
      <w:r>
        <w:rPr>
          <w:szCs w:val="24"/>
        </w:rPr>
        <w:t xml:space="preserve">aforementioned </w:t>
      </w:r>
      <w:r w:rsidRPr="00137B7C">
        <w:rPr>
          <w:szCs w:val="24"/>
        </w:rPr>
        <w:t>data reporting requirements</w:t>
      </w:r>
      <w:r>
        <w:rPr>
          <w:szCs w:val="24"/>
        </w:rPr>
        <w:t>.</w:t>
      </w:r>
      <w:r w:rsidR="00FB78F9">
        <w:rPr>
          <w:szCs w:val="24"/>
        </w:rPr>
        <w:t xml:space="preserve">  </w:t>
      </w:r>
      <w:r w:rsidR="005E7108">
        <w:rPr>
          <w:szCs w:val="24"/>
        </w:rPr>
        <w:t xml:space="preserve">As a condition of approval for the </w:t>
      </w:r>
      <w:r w:rsidR="009B1AC9">
        <w:rPr>
          <w:szCs w:val="24"/>
        </w:rPr>
        <w:t xml:space="preserve">Form </w:t>
      </w:r>
      <w:r w:rsidR="005E7108">
        <w:rPr>
          <w:szCs w:val="24"/>
        </w:rPr>
        <w:t xml:space="preserve">EIA-886, OMB required EIA to </w:t>
      </w:r>
      <w:r w:rsidR="00FB78F9">
        <w:rPr>
          <w:szCs w:val="24"/>
        </w:rPr>
        <w:t>address the duplicative reporting</w:t>
      </w:r>
      <w:r w:rsidR="005E7108">
        <w:rPr>
          <w:szCs w:val="24"/>
        </w:rPr>
        <w:t xml:space="preserve"> that existed for federal agencies</w:t>
      </w:r>
      <w:r w:rsidR="007B15BA">
        <w:rPr>
          <w:szCs w:val="24"/>
        </w:rPr>
        <w:t xml:space="preserve"> during the 2000 Form EIA-886 clearance process</w:t>
      </w:r>
      <w:r w:rsidR="005E7108">
        <w:rPr>
          <w:szCs w:val="24"/>
        </w:rPr>
        <w:t xml:space="preserve">.  EIA consulted with FEMP and GSA </w:t>
      </w:r>
      <w:r w:rsidR="00AB189B">
        <w:rPr>
          <w:szCs w:val="24"/>
        </w:rPr>
        <w:t xml:space="preserve">to </w:t>
      </w:r>
      <w:r w:rsidR="005E7108">
        <w:rPr>
          <w:szCs w:val="24"/>
        </w:rPr>
        <w:t xml:space="preserve">develop </w:t>
      </w:r>
      <w:r w:rsidR="00AB189B">
        <w:rPr>
          <w:szCs w:val="24"/>
        </w:rPr>
        <w:t>a unified</w:t>
      </w:r>
      <w:r w:rsidR="005E7108">
        <w:rPr>
          <w:szCs w:val="24"/>
        </w:rPr>
        <w:t xml:space="preserve"> data collection system that allows federal agencies to report once on </w:t>
      </w:r>
      <w:r w:rsidR="007B15BA">
        <w:rPr>
          <w:szCs w:val="24"/>
        </w:rPr>
        <w:t xml:space="preserve">all </w:t>
      </w:r>
      <w:r w:rsidR="005E7108">
        <w:rPr>
          <w:szCs w:val="24"/>
        </w:rPr>
        <w:t>vehicle fleet characteristics</w:t>
      </w:r>
      <w:r w:rsidR="007B15BA">
        <w:rPr>
          <w:szCs w:val="24"/>
        </w:rPr>
        <w:t xml:space="preserve"> requirements</w:t>
      </w:r>
      <w:r w:rsidR="005455B7">
        <w:rPr>
          <w:szCs w:val="24"/>
        </w:rPr>
        <w:t>.</w:t>
      </w:r>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rsidRPr="001D4659">
        <w:t xml:space="preserve">EIA </w:t>
      </w:r>
      <w:r>
        <w:t>then implemented</w:t>
      </w:r>
      <w:r w:rsidRPr="001D4659">
        <w:t xml:space="preserve"> a </w:t>
      </w:r>
      <w:r>
        <w:t>W</w:t>
      </w:r>
      <w:r w:rsidRPr="001D4659">
        <w:t xml:space="preserve">eb-based data collection system </w:t>
      </w:r>
      <w:r>
        <w:t>to collect information from the remainder of the universe of respondents (i.e., state agencies, fuel providers, transit agencies, local governments and private organizations)</w:t>
      </w:r>
      <w:r w:rsidR="005455B7">
        <w:t>.  This system</w:t>
      </w:r>
      <w:r>
        <w:t xml:space="preserve"> enables</w:t>
      </w:r>
      <w:r w:rsidRPr="001D4659">
        <w:t xml:space="preserve"> respondents to </w:t>
      </w:r>
      <w:r>
        <w:t xml:space="preserve">electronically </w:t>
      </w:r>
      <w:r w:rsidRPr="001D4659">
        <w:t>submit data</w:t>
      </w:r>
      <w:r w:rsidR="005455B7">
        <w:t>, which</w:t>
      </w:r>
      <w:r>
        <w:t xml:space="preserve"> </w:t>
      </w:r>
      <w:r w:rsidRPr="001D4659">
        <w:t>reduces the respondents’ burden of completing and mailing</w:t>
      </w:r>
      <w:r>
        <w:t xml:space="preserve"> </w:t>
      </w:r>
      <w:r w:rsidRPr="001D4659">
        <w:t>paper survey forms.</w:t>
      </w:r>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rsidRPr="001D4659">
        <w:rPr>
          <w:snapToGrid w:val="0"/>
        </w:rPr>
        <w:t xml:space="preserve">A significant </w:t>
      </w:r>
      <w:r>
        <w:rPr>
          <w:snapToGrid w:val="0"/>
        </w:rPr>
        <w:t>benefit</w:t>
      </w:r>
      <w:r w:rsidRPr="001D4659">
        <w:rPr>
          <w:snapToGrid w:val="0"/>
        </w:rPr>
        <w:t xml:space="preserve"> of the </w:t>
      </w:r>
      <w:r>
        <w:rPr>
          <w:snapToGrid w:val="0"/>
        </w:rPr>
        <w:t>EIA W</w:t>
      </w:r>
      <w:r w:rsidRPr="001D4659">
        <w:rPr>
          <w:snapToGrid w:val="0"/>
        </w:rPr>
        <w:t xml:space="preserve">eb-based system is that a respondent’s </w:t>
      </w:r>
      <w:r>
        <w:rPr>
          <w:snapToGrid w:val="0"/>
        </w:rPr>
        <w:t xml:space="preserve">survey </w:t>
      </w:r>
      <w:r w:rsidRPr="001D4659">
        <w:rPr>
          <w:snapToGrid w:val="0"/>
        </w:rPr>
        <w:t xml:space="preserve">form is pre-filled with </w:t>
      </w:r>
      <w:r>
        <w:rPr>
          <w:snapToGrid w:val="0"/>
        </w:rPr>
        <w:t xml:space="preserve">certain </w:t>
      </w:r>
      <w:r w:rsidRPr="001D4659">
        <w:rPr>
          <w:snapToGrid w:val="0"/>
        </w:rPr>
        <w:t xml:space="preserve">data from the previous year, so the respondent needs only to verify and make updates, rather than keying in new data.  </w:t>
      </w:r>
      <w:r w:rsidRPr="001D4659">
        <w:t xml:space="preserve">The </w:t>
      </w:r>
      <w:r w:rsidR="00AB189B">
        <w:t xml:space="preserve">EIA </w:t>
      </w:r>
      <w:r w:rsidRPr="001D4659">
        <w:t xml:space="preserve">electronic system also </w:t>
      </w:r>
      <w:r w:rsidR="00AB189B">
        <w:t xml:space="preserve">significantly reduces the time needed to complete the survey form by </w:t>
      </w:r>
      <w:r w:rsidRPr="001D4659">
        <w:t>provid</w:t>
      </w:r>
      <w:r w:rsidR="00AB189B">
        <w:t>ing</w:t>
      </w:r>
      <w:r w:rsidRPr="001D4659">
        <w:t xml:space="preserve"> online instructions, drop-down menus, </w:t>
      </w:r>
      <w:r>
        <w:t>data validation rules</w:t>
      </w:r>
      <w:r w:rsidRPr="001D4659">
        <w:t>, and auto-populat</w:t>
      </w:r>
      <w:r w:rsidR="00AB189B">
        <w:t xml:space="preserve">ion of </w:t>
      </w:r>
      <w:r w:rsidRPr="001D4659">
        <w:t>features</w:t>
      </w:r>
      <w:r w:rsidR="00AB189B">
        <w:t>.</w:t>
      </w:r>
    </w:p>
    <w:p w:rsidR="005E7108" w:rsidRPr="001D4659" w:rsidRDefault="005E7108"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lastRenderedPageBreak/>
        <w:t>Federal agencies report the data requirements of the Form EIA-886 via FAST</w:t>
      </w:r>
      <w:r w:rsidR="0039688F">
        <w:t>,</w:t>
      </w:r>
      <w:r>
        <w:t xml:space="preserve"> and the remaining EIA-886 respondents use the EIA-886 Web-based data collection system to comply</w:t>
      </w:r>
      <w:r w:rsidR="0039688F">
        <w:t xml:space="preserve"> with these reporting requirements</w:t>
      </w:r>
      <w:r>
        <w:t>.  At the close of the survey cycle, data reported in FAST are transferred into the EIA-886 Web-based data col</w:t>
      </w:r>
      <w:r w:rsidR="00873B78">
        <w:t>lection system for processing.</w:t>
      </w:r>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sidRPr="001D4659">
        <w:t xml:space="preserve">EIA encourages all </w:t>
      </w:r>
      <w:r>
        <w:t xml:space="preserve">Form </w:t>
      </w:r>
      <w:r w:rsidRPr="001D4659">
        <w:t xml:space="preserve">EIA-886 respondents to use the electronic </w:t>
      </w:r>
      <w:r>
        <w:t xml:space="preserve">data collection </w:t>
      </w:r>
      <w:r w:rsidRPr="001D4659">
        <w:t xml:space="preserve">system.  </w:t>
      </w:r>
      <w:r>
        <w:t xml:space="preserve">During the 2011 survey cycle, </w:t>
      </w:r>
      <w:r>
        <w:rPr>
          <w:snapToGrid w:val="0"/>
        </w:rPr>
        <w:t>85</w:t>
      </w:r>
      <w:r w:rsidRPr="001D4659">
        <w:rPr>
          <w:snapToGrid w:val="0"/>
        </w:rPr>
        <w:t xml:space="preserve">% of </w:t>
      </w:r>
      <w:r w:rsidR="00A30DA9">
        <w:rPr>
          <w:snapToGrid w:val="0"/>
        </w:rPr>
        <w:t xml:space="preserve">Form EIA-886 </w:t>
      </w:r>
      <w:r w:rsidRPr="001D4659">
        <w:rPr>
          <w:snapToGrid w:val="0"/>
        </w:rPr>
        <w:t xml:space="preserve">respondents </w:t>
      </w:r>
      <w:r>
        <w:rPr>
          <w:snapToGrid w:val="0"/>
        </w:rPr>
        <w:t>reported through this system</w:t>
      </w:r>
      <w:r w:rsidRPr="001D4659">
        <w:rPr>
          <w:snapToGrid w:val="0"/>
        </w:rPr>
        <w:t xml:space="preserve">.  </w:t>
      </w:r>
      <w:r>
        <w:rPr>
          <w:snapToGrid w:val="0"/>
        </w:rPr>
        <w:t xml:space="preserve">The remaining </w:t>
      </w:r>
      <w:r w:rsidRPr="001D4659">
        <w:rPr>
          <w:snapToGrid w:val="0"/>
        </w:rPr>
        <w:t xml:space="preserve">respondents do not have </w:t>
      </w:r>
      <w:r>
        <w:rPr>
          <w:snapToGrid w:val="0"/>
        </w:rPr>
        <w:t>I</w:t>
      </w:r>
      <w:r w:rsidRPr="001D4659">
        <w:rPr>
          <w:snapToGrid w:val="0"/>
        </w:rPr>
        <w:t>nternet access and/or prefer to</w:t>
      </w:r>
      <w:r>
        <w:rPr>
          <w:snapToGrid w:val="0"/>
        </w:rPr>
        <w:t xml:space="preserve"> </w:t>
      </w:r>
      <w:r w:rsidRPr="001D4659">
        <w:rPr>
          <w:snapToGrid w:val="0"/>
        </w:rPr>
        <w:t xml:space="preserve">use </w:t>
      </w:r>
      <w:r>
        <w:rPr>
          <w:snapToGrid w:val="0"/>
        </w:rPr>
        <w:t xml:space="preserve">another </w:t>
      </w:r>
      <w:r w:rsidR="00A30DA9">
        <w:rPr>
          <w:snapToGrid w:val="0"/>
        </w:rPr>
        <w:t xml:space="preserve">reporting </w:t>
      </w:r>
      <w:r>
        <w:rPr>
          <w:snapToGrid w:val="0"/>
        </w:rPr>
        <w:t>method</w:t>
      </w:r>
      <w:r w:rsidR="009300E9">
        <w:rPr>
          <w:snapToGrid w:val="0"/>
        </w:rPr>
        <w:t>,</w:t>
      </w:r>
      <w:r>
        <w:rPr>
          <w:snapToGrid w:val="0"/>
        </w:rPr>
        <w:t xml:space="preserve"> such as fax or first class mail.</w:t>
      </w:r>
    </w:p>
    <w:p w:rsidR="0044464E" w:rsidRPr="001D4659" w:rsidRDefault="0044464E" w:rsidP="007B15BA">
      <w:pPr>
        <w:pStyle w:val="Heading2"/>
      </w:pPr>
      <w:bookmarkStart w:id="6" w:name="_Toc341193738"/>
      <w:r w:rsidRPr="001D4659">
        <w:t xml:space="preserve">Efforts to </w:t>
      </w:r>
      <w:r>
        <w:t xml:space="preserve">Reduce </w:t>
      </w:r>
      <w:r w:rsidRPr="001D4659">
        <w:t>Duplication</w:t>
      </w:r>
      <w:bookmarkEnd w:id="6"/>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t>A thorough review of AFV-related surveys and regulatory programs reveals that</w:t>
      </w:r>
      <w:r w:rsidR="008A0A10">
        <w:t>,</w:t>
      </w:r>
      <w:r>
        <w:t xml:space="preserve"> </w:t>
      </w:r>
      <w:r w:rsidRPr="001D4659">
        <w:t xml:space="preserve">while </w:t>
      </w:r>
      <w:r>
        <w:t xml:space="preserve">data collection programs exist, the Form EIA-886 is the only </w:t>
      </w:r>
      <w:r w:rsidRPr="001D4659">
        <w:t xml:space="preserve">survey </w:t>
      </w:r>
      <w:r>
        <w:t xml:space="preserve">that </w:t>
      </w:r>
      <w:r w:rsidRPr="001D4659">
        <w:t>collects complete historical or short-term forecasts of the types and quantities of AFVs made available by AFV suppliers</w:t>
      </w:r>
      <w:r>
        <w:t xml:space="preserve"> and</w:t>
      </w:r>
      <w:r w:rsidRPr="001D4659">
        <w:t xml:space="preserve"> </w:t>
      </w:r>
      <w:r>
        <w:t xml:space="preserve">collects </w:t>
      </w:r>
      <w:r w:rsidRPr="001D4659">
        <w:t>the number, type, and geographical location of the AFVs</w:t>
      </w:r>
      <w:r>
        <w:t>,</w:t>
      </w:r>
      <w:r w:rsidRPr="001D4659">
        <w:t xml:space="preserve"> along with the consumption of alternative fuels by these vehicles.</w:t>
      </w:r>
      <w:r>
        <w:t xml:space="preserve">  </w:t>
      </w:r>
      <w:r>
        <w:rPr>
          <w:szCs w:val="24"/>
        </w:rPr>
        <w:t xml:space="preserve">The </w:t>
      </w:r>
      <w:r w:rsidR="00C77C2B">
        <w:rPr>
          <w:szCs w:val="24"/>
        </w:rPr>
        <w:t xml:space="preserve">below </w:t>
      </w:r>
      <w:r w:rsidR="005E7108">
        <w:rPr>
          <w:szCs w:val="24"/>
        </w:rPr>
        <w:t>t</w:t>
      </w:r>
      <w:r>
        <w:t>able outlines the various DOE and non-DOE programs related to alternative fuels and provides a description of their coverage as compared to the coverage of the Form EIA-886.</w:t>
      </w:r>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3510"/>
        <w:gridCol w:w="3888"/>
      </w:tblGrid>
      <w:tr w:rsidR="0044464E" w:rsidRPr="00B067D5" w:rsidTr="005F1439">
        <w:tc>
          <w:tcPr>
            <w:tcW w:w="2178" w:type="dxa"/>
            <w:shd w:val="clear" w:color="auto" w:fill="DBE5F1"/>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18"/>
                <w:szCs w:val="18"/>
              </w:rPr>
            </w:pPr>
            <w:r>
              <w:br w:type="page"/>
            </w:r>
            <w:r w:rsidRPr="00B067D5">
              <w:rPr>
                <w:b/>
                <w:sz w:val="18"/>
                <w:szCs w:val="18"/>
              </w:rPr>
              <w:t>Agency</w:t>
            </w:r>
          </w:p>
        </w:tc>
        <w:tc>
          <w:tcPr>
            <w:tcW w:w="3510" w:type="dxa"/>
            <w:shd w:val="clear" w:color="auto" w:fill="DBE5F1"/>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18"/>
                <w:szCs w:val="18"/>
              </w:rPr>
            </w:pPr>
            <w:r w:rsidRPr="00B067D5">
              <w:rPr>
                <w:b/>
                <w:sz w:val="18"/>
                <w:szCs w:val="18"/>
              </w:rPr>
              <w:t>Office</w:t>
            </w:r>
          </w:p>
        </w:tc>
        <w:tc>
          <w:tcPr>
            <w:tcW w:w="3888" w:type="dxa"/>
            <w:shd w:val="clear" w:color="auto" w:fill="DBE5F1"/>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18"/>
                <w:szCs w:val="18"/>
              </w:rPr>
            </w:pPr>
            <w:r w:rsidRPr="00B067D5">
              <w:rPr>
                <w:b/>
                <w:sz w:val="18"/>
                <w:szCs w:val="18"/>
              </w:rPr>
              <w:t>Form/Regulatory Requirement</w:t>
            </w:r>
          </w:p>
        </w:tc>
      </w:tr>
      <w:tr w:rsidR="0044464E" w:rsidRPr="00B067D5" w:rsidTr="005F1439">
        <w:tc>
          <w:tcPr>
            <w:tcW w:w="2178" w:type="dxa"/>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sz w:val="18"/>
                <w:szCs w:val="18"/>
              </w:rPr>
            </w:pPr>
            <w:r w:rsidRPr="00B067D5">
              <w:rPr>
                <w:b/>
                <w:i/>
                <w:sz w:val="18"/>
                <w:szCs w:val="18"/>
              </w:rPr>
              <w:t>Department of Energy</w:t>
            </w:r>
          </w:p>
        </w:tc>
        <w:tc>
          <w:tcPr>
            <w:tcW w:w="3510" w:type="dxa"/>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sz w:val="18"/>
                <w:szCs w:val="18"/>
              </w:rPr>
            </w:pPr>
            <w:r w:rsidRPr="00B067D5">
              <w:rPr>
                <w:b/>
                <w:i/>
                <w:sz w:val="18"/>
                <w:szCs w:val="18"/>
              </w:rPr>
              <w:t>Energy Efficiency &amp; Renewable Energy</w:t>
            </w:r>
          </w:p>
        </w:tc>
        <w:tc>
          <w:tcPr>
            <w:tcW w:w="3888" w:type="dxa"/>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sz w:val="18"/>
                <w:szCs w:val="18"/>
              </w:rPr>
            </w:pPr>
            <w:r w:rsidRPr="00B067D5">
              <w:rPr>
                <w:b/>
                <w:i/>
                <w:sz w:val="18"/>
                <w:szCs w:val="18"/>
              </w:rPr>
              <w:t xml:space="preserve">State &amp; Alternative Fuel Provider Fleet Program </w:t>
            </w:r>
            <w:hyperlink r:id="rId11" w:history="1">
              <w:r w:rsidRPr="00B067D5">
                <w:rPr>
                  <w:rStyle w:val="Hyperlink"/>
                  <w:b/>
                  <w:i/>
                  <w:sz w:val="18"/>
                  <w:szCs w:val="18"/>
                </w:rPr>
                <w:t>[10 CFR Part 490]</w:t>
              </w:r>
            </w:hyperlink>
            <w:r w:rsidRPr="00B067D5">
              <w:rPr>
                <w:b/>
                <w:i/>
                <w:sz w:val="18"/>
                <w:szCs w:val="18"/>
              </w:rPr>
              <w:t xml:space="preserve"> </w:t>
            </w:r>
          </w:p>
        </w:tc>
      </w:tr>
      <w:tr w:rsidR="0044464E" w:rsidRPr="00B067D5" w:rsidTr="005F1439">
        <w:tc>
          <w:tcPr>
            <w:tcW w:w="9576" w:type="dxa"/>
            <w:gridSpan w:val="3"/>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rPr>
            </w:pPr>
            <w:r w:rsidRPr="00B067D5">
              <w:rPr>
                <w:sz w:val="18"/>
                <w:szCs w:val="18"/>
                <w:u w:val="single"/>
              </w:rPr>
              <w:t>Summary:</w:t>
            </w:r>
          </w:p>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rPr>
            </w:pPr>
            <w:r w:rsidRPr="00B067D5">
              <w:rPr>
                <w:sz w:val="18"/>
                <w:szCs w:val="18"/>
              </w:rPr>
              <w:t>Requires covered fleets either to acquire AFVs as a percentage of their annual light-duty vehicle acquisitions or to employ other petroleum reducing methods in lieu of acquiring AFVs.</w:t>
            </w:r>
          </w:p>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u w:val="single"/>
              </w:rPr>
            </w:pPr>
            <w:r w:rsidRPr="00B067D5">
              <w:rPr>
                <w:sz w:val="18"/>
                <w:szCs w:val="18"/>
                <w:u w:val="single"/>
              </w:rPr>
              <w:t xml:space="preserve">Reasons these data are not duplicative of </w:t>
            </w:r>
            <w:r>
              <w:rPr>
                <w:sz w:val="18"/>
                <w:szCs w:val="18"/>
                <w:u w:val="single"/>
              </w:rPr>
              <w:t xml:space="preserve">data collected by the Form </w:t>
            </w:r>
            <w:r w:rsidRPr="00B067D5">
              <w:rPr>
                <w:sz w:val="18"/>
                <w:szCs w:val="18"/>
                <w:u w:val="single"/>
              </w:rPr>
              <w:t>EIA-886:</w:t>
            </w:r>
          </w:p>
          <w:p w:rsidR="0044464E" w:rsidRDefault="0044464E" w:rsidP="007B15BA">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rPr>
            </w:pPr>
            <w:r>
              <w:rPr>
                <w:sz w:val="18"/>
                <w:szCs w:val="18"/>
              </w:rPr>
              <w:t>Order 20-CFR Part 490</w:t>
            </w:r>
            <w:r w:rsidRPr="00B067D5">
              <w:rPr>
                <w:sz w:val="18"/>
                <w:szCs w:val="18"/>
              </w:rPr>
              <w:t xml:space="preserve"> </w:t>
            </w:r>
            <w:r>
              <w:rPr>
                <w:sz w:val="18"/>
                <w:szCs w:val="18"/>
              </w:rPr>
              <w:t xml:space="preserve">requires the </w:t>
            </w:r>
            <w:r w:rsidRPr="00B067D5">
              <w:rPr>
                <w:sz w:val="18"/>
                <w:szCs w:val="18"/>
              </w:rPr>
              <w:t xml:space="preserve">reporting of </w:t>
            </w:r>
            <w:r>
              <w:rPr>
                <w:sz w:val="18"/>
                <w:szCs w:val="18"/>
              </w:rPr>
              <w:t xml:space="preserve">only </w:t>
            </w:r>
            <w:r w:rsidRPr="00B067D5">
              <w:rPr>
                <w:sz w:val="18"/>
                <w:szCs w:val="18"/>
              </w:rPr>
              <w:t>vehicle acquisitions</w:t>
            </w:r>
            <w:r>
              <w:rPr>
                <w:sz w:val="18"/>
                <w:szCs w:val="18"/>
              </w:rPr>
              <w:t>, and not vehicle inventory</w:t>
            </w:r>
            <w:r w:rsidRPr="00B067D5">
              <w:rPr>
                <w:sz w:val="18"/>
                <w:szCs w:val="18"/>
              </w:rPr>
              <w:t xml:space="preserve">.  </w:t>
            </w:r>
            <w:r>
              <w:rPr>
                <w:sz w:val="18"/>
                <w:szCs w:val="18"/>
              </w:rPr>
              <w:t>Attempting to estimate</w:t>
            </w:r>
            <w:r w:rsidRPr="00B067D5">
              <w:rPr>
                <w:sz w:val="18"/>
                <w:szCs w:val="18"/>
              </w:rPr>
              <w:t xml:space="preserve"> vehicle inventory</w:t>
            </w:r>
            <w:r>
              <w:rPr>
                <w:sz w:val="18"/>
                <w:szCs w:val="18"/>
              </w:rPr>
              <w:t xml:space="preserve"> from this acquisitions data</w:t>
            </w:r>
            <w:r w:rsidRPr="00B067D5">
              <w:rPr>
                <w:sz w:val="18"/>
                <w:szCs w:val="18"/>
              </w:rPr>
              <w:t>, as needed by EIA to determine fuel consu</w:t>
            </w:r>
            <w:r>
              <w:rPr>
                <w:sz w:val="18"/>
                <w:szCs w:val="18"/>
              </w:rPr>
              <w:t>mption, cannot be performed with statistical confidence.</w:t>
            </w:r>
          </w:p>
          <w:p w:rsidR="0044464E" w:rsidRDefault="0044464E" w:rsidP="007B15BA">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rPr>
            </w:pPr>
            <w:r w:rsidRPr="00B067D5">
              <w:rPr>
                <w:sz w:val="18"/>
                <w:szCs w:val="18"/>
              </w:rPr>
              <w:t xml:space="preserve">The </w:t>
            </w:r>
            <w:r>
              <w:rPr>
                <w:sz w:val="18"/>
                <w:szCs w:val="18"/>
              </w:rPr>
              <w:t xml:space="preserve">reporting </w:t>
            </w:r>
            <w:r w:rsidRPr="00B067D5">
              <w:rPr>
                <w:sz w:val="18"/>
                <w:szCs w:val="18"/>
              </w:rPr>
              <w:t xml:space="preserve">requirements apply only if a </w:t>
            </w:r>
            <w:r>
              <w:rPr>
                <w:sz w:val="18"/>
                <w:szCs w:val="18"/>
              </w:rPr>
              <w:t>s</w:t>
            </w:r>
            <w:r w:rsidRPr="00B067D5">
              <w:rPr>
                <w:sz w:val="18"/>
                <w:szCs w:val="18"/>
              </w:rPr>
              <w:t>tate government or fuel provider: 1) owns, operates, leases, or controls at least 50 light duty vehicles (LDVs) within the United States (excluding law enforcement vehicles, emergency motor vehicles and non</w:t>
            </w:r>
            <w:r>
              <w:rPr>
                <w:sz w:val="18"/>
                <w:szCs w:val="18"/>
              </w:rPr>
              <w:t>-</w:t>
            </w:r>
            <w:r w:rsidRPr="00B067D5">
              <w:rPr>
                <w:sz w:val="18"/>
                <w:szCs w:val="18"/>
              </w:rPr>
              <w:t>road motor vehicles); 2) 20 of those LDVs are used primarily within any Consolidated/</w:t>
            </w:r>
            <w:r>
              <w:rPr>
                <w:sz w:val="18"/>
                <w:szCs w:val="18"/>
              </w:rPr>
              <w:t xml:space="preserve"> </w:t>
            </w:r>
            <w:r w:rsidRPr="00B067D5">
              <w:rPr>
                <w:sz w:val="18"/>
                <w:szCs w:val="18"/>
              </w:rPr>
              <w:t>Metropolitan Statistical Area</w:t>
            </w:r>
            <w:r w:rsidR="008A0A10">
              <w:rPr>
                <w:sz w:val="18"/>
                <w:szCs w:val="18"/>
              </w:rPr>
              <w:t>;</w:t>
            </w:r>
            <w:r w:rsidRPr="00B067D5">
              <w:rPr>
                <w:sz w:val="18"/>
                <w:szCs w:val="18"/>
              </w:rPr>
              <w:t xml:space="preserve"> and 3) those same 20 LDVs are centrally fueled, or are capable of being centrally fueled. </w:t>
            </w:r>
            <w:r>
              <w:rPr>
                <w:sz w:val="18"/>
                <w:szCs w:val="18"/>
              </w:rPr>
              <w:t>(</w:t>
            </w:r>
            <w:r w:rsidRPr="00B067D5">
              <w:rPr>
                <w:sz w:val="18"/>
                <w:szCs w:val="18"/>
              </w:rPr>
              <w:t>The term “centrally fueled” means that a refueling infrastructure exists within reasonable traveling distance from the fleet.</w:t>
            </w:r>
            <w:r>
              <w:rPr>
                <w:sz w:val="18"/>
                <w:szCs w:val="18"/>
              </w:rPr>
              <w:t>)</w:t>
            </w:r>
            <w:r w:rsidRPr="00B067D5">
              <w:rPr>
                <w:sz w:val="18"/>
                <w:szCs w:val="18"/>
              </w:rPr>
              <w:t xml:space="preserve">  The void left by those organizations that are not required to report to DOE</w:t>
            </w:r>
            <w:r>
              <w:rPr>
                <w:sz w:val="18"/>
                <w:szCs w:val="18"/>
              </w:rPr>
              <w:t>,</w:t>
            </w:r>
            <w:r w:rsidRPr="00B067D5">
              <w:rPr>
                <w:sz w:val="18"/>
                <w:szCs w:val="18"/>
              </w:rPr>
              <w:t xml:space="preserve"> or whose vehicles are exempted</w:t>
            </w:r>
            <w:r>
              <w:rPr>
                <w:sz w:val="18"/>
                <w:szCs w:val="18"/>
              </w:rPr>
              <w:t>,</w:t>
            </w:r>
            <w:r w:rsidRPr="00B067D5">
              <w:rPr>
                <w:sz w:val="18"/>
                <w:szCs w:val="18"/>
              </w:rPr>
              <w:t xml:space="preserve"> make it cumbersome, expensive, and detrimental to the overall quality of</w:t>
            </w:r>
            <w:r w:rsidR="005D5C5F">
              <w:rPr>
                <w:sz w:val="18"/>
                <w:szCs w:val="18"/>
              </w:rPr>
              <w:t xml:space="preserve"> fulfilling EPACT92’s mandates by attempting to supplement</w:t>
            </w:r>
            <w:r w:rsidRPr="00B067D5">
              <w:rPr>
                <w:sz w:val="18"/>
                <w:szCs w:val="18"/>
              </w:rPr>
              <w:t xml:space="preserve"> the</w:t>
            </w:r>
            <w:r>
              <w:rPr>
                <w:sz w:val="18"/>
                <w:szCs w:val="18"/>
              </w:rPr>
              <w:t>se</w:t>
            </w:r>
            <w:r w:rsidRPr="00B067D5">
              <w:rPr>
                <w:sz w:val="18"/>
                <w:szCs w:val="18"/>
              </w:rPr>
              <w:t xml:space="preserve"> data from other sources</w:t>
            </w:r>
            <w:r>
              <w:rPr>
                <w:sz w:val="18"/>
                <w:szCs w:val="18"/>
              </w:rPr>
              <w:t>.</w:t>
            </w:r>
          </w:p>
          <w:p w:rsidR="0044464E" w:rsidRDefault="0044464E" w:rsidP="007B15BA">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rPr>
            </w:pPr>
            <w:r w:rsidRPr="00B067D5">
              <w:rPr>
                <w:sz w:val="18"/>
                <w:szCs w:val="18"/>
              </w:rPr>
              <w:t xml:space="preserve">Data on fleets exempt from the rulemaking are needed to accurately estimate total AFVs in use and ATF consumption and to satisfy many public requests for detailed information on AFVs and ATFs, </w:t>
            </w:r>
            <w:r>
              <w:rPr>
                <w:sz w:val="18"/>
                <w:szCs w:val="18"/>
              </w:rPr>
              <w:t>(</w:t>
            </w:r>
            <w:r w:rsidRPr="00B067D5">
              <w:rPr>
                <w:sz w:val="18"/>
                <w:szCs w:val="18"/>
              </w:rPr>
              <w:t>e.g., in determining where t</w:t>
            </w:r>
            <w:r>
              <w:rPr>
                <w:sz w:val="18"/>
                <w:szCs w:val="18"/>
              </w:rPr>
              <w:t>o locate a refueling facility).</w:t>
            </w:r>
          </w:p>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p>
        </w:tc>
      </w:tr>
    </w:tbl>
    <w:p w:rsidR="0097111F" w:rsidRDefault="0097111F"/>
    <w:p w:rsidR="0097111F" w:rsidRDefault="0097111F">
      <w:pPr>
        <w:widowControl/>
        <w:autoSpaceDE/>
        <w:autoSpaceDN/>
        <w:adjustRightInd/>
        <w:spacing w:after="200" w:line="276" w:lineRule="auto"/>
      </w:pPr>
      <w:r>
        <w:br w:type="page"/>
      </w:r>
    </w:p>
    <w:p w:rsidR="0097111F" w:rsidRDefault="00971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3510"/>
        <w:gridCol w:w="3888"/>
      </w:tblGrid>
      <w:tr w:rsidR="0044464E" w:rsidRPr="00B067D5" w:rsidTr="005F1439">
        <w:tc>
          <w:tcPr>
            <w:tcW w:w="2178" w:type="dxa"/>
            <w:shd w:val="clear" w:color="auto" w:fill="DBE5F1"/>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18"/>
                <w:szCs w:val="18"/>
              </w:rPr>
            </w:pPr>
            <w:r>
              <w:br w:type="page"/>
            </w:r>
            <w:r w:rsidRPr="00B067D5">
              <w:rPr>
                <w:b/>
                <w:sz w:val="18"/>
                <w:szCs w:val="18"/>
              </w:rPr>
              <w:t>Agency</w:t>
            </w:r>
          </w:p>
        </w:tc>
        <w:tc>
          <w:tcPr>
            <w:tcW w:w="3510" w:type="dxa"/>
            <w:shd w:val="clear" w:color="auto" w:fill="DBE5F1"/>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18"/>
                <w:szCs w:val="18"/>
              </w:rPr>
            </w:pPr>
            <w:r w:rsidRPr="00B067D5">
              <w:rPr>
                <w:b/>
                <w:sz w:val="18"/>
                <w:szCs w:val="18"/>
              </w:rPr>
              <w:t>Office</w:t>
            </w:r>
          </w:p>
        </w:tc>
        <w:tc>
          <w:tcPr>
            <w:tcW w:w="3888" w:type="dxa"/>
            <w:shd w:val="clear" w:color="auto" w:fill="DBE5F1"/>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18"/>
                <w:szCs w:val="18"/>
              </w:rPr>
            </w:pPr>
            <w:r w:rsidRPr="00B067D5">
              <w:rPr>
                <w:b/>
                <w:sz w:val="18"/>
                <w:szCs w:val="18"/>
              </w:rPr>
              <w:t>Form/Regulatory Requirement</w:t>
            </w:r>
          </w:p>
        </w:tc>
      </w:tr>
      <w:tr w:rsidR="0044464E" w:rsidRPr="00B067D5" w:rsidTr="005F1439">
        <w:tc>
          <w:tcPr>
            <w:tcW w:w="2178" w:type="dxa"/>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sz w:val="18"/>
                <w:szCs w:val="18"/>
              </w:rPr>
            </w:pPr>
            <w:r w:rsidRPr="00B067D5">
              <w:rPr>
                <w:b/>
                <w:i/>
                <w:sz w:val="18"/>
                <w:szCs w:val="18"/>
              </w:rPr>
              <w:t>Department of Energy</w:t>
            </w:r>
          </w:p>
        </w:tc>
        <w:tc>
          <w:tcPr>
            <w:tcW w:w="3510" w:type="dxa"/>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sz w:val="18"/>
                <w:szCs w:val="18"/>
              </w:rPr>
            </w:pPr>
            <w:r w:rsidRPr="00B067D5">
              <w:rPr>
                <w:b/>
                <w:i/>
                <w:sz w:val="18"/>
                <w:szCs w:val="18"/>
              </w:rPr>
              <w:t>Energy Efficiency &amp; Renewable Energy</w:t>
            </w:r>
          </w:p>
        </w:tc>
        <w:tc>
          <w:tcPr>
            <w:tcW w:w="3888" w:type="dxa"/>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sz w:val="18"/>
                <w:szCs w:val="18"/>
              </w:rPr>
            </w:pPr>
            <w:r w:rsidRPr="00B067D5">
              <w:rPr>
                <w:b/>
                <w:i/>
                <w:sz w:val="18"/>
                <w:szCs w:val="18"/>
              </w:rPr>
              <w:t xml:space="preserve">Private &amp; Local Government Fleet </w:t>
            </w:r>
            <w:hyperlink r:id="rId12" w:history="1">
              <w:r w:rsidRPr="00B067D5">
                <w:rPr>
                  <w:rStyle w:val="Hyperlink"/>
                  <w:b/>
                  <w:i/>
                  <w:sz w:val="18"/>
                  <w:szCs w:val="18"/>
                </w:rPr>
                <w:t>Determination</w:t>
              </w:r>
            </w:hyperlink>
            <w:r w:rsidRPr="00B067D5">
              <w:rPr>
                <w:b/>
                <w:i/>
                <w:sz w:val="18"/>
                <w:szCs w:val="18"/>
              </w:rPr>
              <w:t xml:space="preserve"> </w:t>
            </w:r>
          </w:p>
        </w:tc>
      </w:tr>
      <w:tr w:rsidR="0044464E" w:rsidRPr="00B067D5" w:rsidTr="005F1439">
        <w:tc>
          <w:tcPr>
            <w:tcW w:w="9576" w:type="dxa"/>
            <w:gridSpan w:val="3"/>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u w:val="single"/>
              </w:rPr>
            </w:pPr>
            <w:r w:rsidRPr="00B067D5">
              <w:rPr>
                <w:sz w:val="18"/>
                <w:szCs w:val="18"/>
                <w:u w:val="single"/>
              </w:rPr>
              <w:t>Summary:</w:t>
            </w:r>
          </w:p>
          <w:p w:rsidR="0044464E" w:rsidRPr="00B067D5" w:rsidRDefault="00CB6EB7"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rPr>
            </w:pPr>
            <w:r>
              <w:rPr>
                <w:sz w:val="18"/>
                <w:szCs w:val="18"/>
              </w:rPr>
              <w:t xml:space="preserve">Under the Energy Policy Act of 1992, </w:t>
            </w:r>
            <w:r w:rsidR="0044464E" w:rsidRPr="00B067D5">
              <w:rPr>
                <w:sz w:val="18"/>
                <w:szCs w:val="18"/>
              </w:rPr>
              <w:t xml:space="preserve">DOE </w:t>
            </w:r>
            <w:r>
              <w:rPr>
                <w:sz w:val="18"/>
                <w:szCs w:val="18"/>
              </w:rPr>
              <w:t xml:space="preserve">was directed to </w:t>
            </w:r>
            <w:r w:rsidR="0044464E" w:rsidRPr="00B067D5">
              <w:rPr>
                <w:sz w:val="18"/>
                <w:szCs w:val="18"/>
              </w:rPr>
              <w:t xml:space="preserve">determine whether private and local government fleets should be subject to DOE’s Alternative Fuel Transportation Program and associated requirements.  In March 2008, DOE determined not to require </w:t>
            </w:r>
            <w:r w:rsidR="0044464E">
              <w:rPr>
                <w:sz w:val="18"/>
                <w:szCs w:val="18"/>
              </w:rPr>
              <w:t>that private and local government fleets</w:t>
            </w:r>
            <w:r w:rsidR="0044464E" w:rsidRPr="00B067D5">
              <w:rPr>
                <w:sz w:val="18"/>
                <w:szCs w:val="18"/>
              </w:rPr>
              <w:t xml:space="preserve"> acquire AFVs</w:t>
            </w:r>
            <w:r w:rsidR="0044464E">
              <w:rPr>
                <w:sz w:val="18"/>
                <w:szCs w:val="18"/>
              </w:rPr>
              <w:t>,</w:t>
            </w:r>
            <w:r w:rsidR="0044464E" w:rsidRPr="00B067D5">
              <w:rPr>
                <w:sz w:val="18"/>
                <w:szCs w:val="18"/>
              </w:rPr>
              <w:t xml:space="preserve"> because such a requirement is not </w:t>
            </w:r>
            <w:r w:rsidR="0044464E">
              <w:rPr>
                <w:sz w:val="18"/>
                <w:szCs w:val="18"/>
              </w:rPr>
              <w:t xml:space="preserve">currently </w:t>
            </w:r>
            <w:r w:rsidR="0044464E" w:rsidRPr="00B067D5">
              <w:rPr>
                <w:sz w:val="18"/>
                <w:szCs w:val="18"/>
              </w:rPr>
              <w:t>necessary to achieve the Replace Fuel Goal (a statue to replace 30% of U</w:t>
            </w:r>
            <w:r w:rsidR="0044464E">
              <w:rPr>
                <w:sz w:val="18"/>
                <w:szCs w:val="18"/>
              </w:rPr>
              <w:t>.</w:t>
            </w:r>
            <w:r w:rsidR="0044464E" w:rsidRPr="00B067D5">
              <w:rPr>
                <w:sz w:val="18"/>
                <w:szCs w:val="18"/>
              </w:rPr>
              <w:t>S</w:t>
            </w:r>
            <w:r w:rsidR="0044464E">
              <w:rPr>
                <w:sz w:val="18"/>
                <w:szCs w:val="18"/>
              </w:rPr>
              <w:t>.</w:t>
            </w:r>
            <w:r w:rsidR="0044464E" w:rsidRPr="00B067D5">
              <w:rPr>
                <w:sz w:val="18"/>
                <w:szCs w:val="18"/>
              </w:rPr>
              <w:t xml:space="preserve"> motor fuel with</w:t>
            </w:r>
            <w:r w:rsidR="0044464E">
              <w:rPr>
                <w:sz w:val="18"/>
                <w:szCs w:val="18"/>
              </w:rPr>
              <w:t xml:space="preserve"> non-petroleum fuels by 2030).</w:t>
            </w:r>
          </w:p>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u w:val="single"/>
              </w:rPr>
            </w:pPr>
            <w:r w:rsidRPr="00B067D5">
              <w:rPr>
                <w:sz w:val="18"/>
                <w:szCs w:val="18"/>
                <w:u w:val="single"/>
              </w:rPr>
              <w:t xml:space="preserve">Reasons these data are not duplicative of </w:t>
            </w:r>
            <w:r>
              <w:rPr>
                <w:sz w:val="18"/>
                <w:szCs w:val="18"/>
                <w:u w:val="single"/>
              </w:rPr>
              <w:t xml:space="preserve">data collected by the Form </w:t>
            </w:r>
            <w:r w:rsidRPr="00B067D5">
              <w:rPr>
                <w:sz w:val="18"/>
                <w:szCs w:val="18"/>
                <w:u w:val="single"/>
              </w:rPr>
              <w:t>EIA-886:</w:t>
            </w:r>
          </w:p>
          <w:p w:rsidR="0044464E" w:rsidRDefault="0044464E" w:rsidP="007B15BA">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rPr>
            </w:pPr>
            <w:r w:rsidRPr="00B067D5">
              <w:rPr>
                <w:sz w:val="18"/>
                <w:szCs w:val="18"/>
              </w:rPr>
              <w:t>As stated in the summary above, private and local government fleets are not subject to regulatory requirements</w:t>
            </w:r>
            <w:r>
              <w:rPr>
                <w:sz w:val="18"/>
                <w:szCs w:val="18"/>
              </w:rPr>
              <w:t xml:space="preserve"> that AFVs routinely be acquired.  As a result, the Form </w:t>
            </w:r>
            <w:r w:rsidRPr="00B067D5">
              <w:rPr>
                <w:sz w:val="18"/>
                <w:szCs w:val="18"/>
              </w:rPr>
              <w:t xml:space="preserve">EIA-886 is the </w:t>
            </w:r>
            <w:r>
              <w:rPr>
                <w:sz w:val="18"/>
                <w:szCs w:val="18"/>
              </w:rPr>
              <w:t>best</w:t>
            </w:r>
            <w:r w:rsidRPr="00B067D5">
              <w:rPr>
                <w:sz w:val="18"/>
                <w:szCs w:val="18"/>
              </w:rPr>
              <w:t xml:space="preserve"> source of </w:t>
            </w:r>
            <w:r>
              <w:rPr>
                <w:sz w:val="18"/>
                <w:szCs w:val="18"/>
              </w:rPr>
              <w:t xml:space="preserve">comprehensive </w:t>
            </w:r>
            <w:r w:rsidRPr="00B067D5">
              <w:rPr>
                <w:sz w:val="18"/>
                <w:szCs w:val="18"/>
              </w:rPr>
              <w:t>AFV inventory and alternative fuel consumption data</w:t>
            </w:r>
            <w:r>
              <w:rPr>
                <w:sz w:val="18"/>
                <w:szCs w:val="18"/>
              </w:rPr>
              <w:t>.</w:t>
            </w:r>
          </w:p>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720"/>
              <w:rPr>
                <w:sz w:val="18"/>
                <w:szCs w:val="18"/>
              </w:rPr>
            </w:pPr>
          </w:p>
        </w:tc>
      </w:tr>
      <w:tr w:rsidR="0044464E" w:rsidRPr="005969CB" w:rsidTr="005F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8" w:type="dxa"/>
            <w:tcBorders>
              <w:top w:val="single" w:sz="4" w:space="0" w:color="auto"/>
              <w:left w:val="single" w:sz="4" w:space="0" w:color="auto"/>
              <w:bottom w:val="single" w:sz="4" w:space="0" w:color="auto"/>
              <w:right w:val="single" w:sz="4" w:space="0" w:color="auto"/>
            </w:tcBorders>
            <w:shd w:val="clear" w:color="auto" w:fill="DBE5F1"/>
          </w:tcPr>
          <w:p w:rsidR="0044464E" w:rsidRPr="00BC1CF7"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18"/>
                <w:szCs w:val="18"/>
              </w:rPr>
            </w:pPr>
            <w:r w:rsidRPr="00BC1CF7">
              <w:rPr>
                <w:b/>
                <w:sz w:val="18"/>
                <w:szCs w:val="18"/>
              </w:rPr>
              <w:t>Agency</w:t>
            </w:r>
          </w:p>
        </w:tc>
        <w:tc>
          <w:tcPr>
            <w:tcW w:w="3510" w:type="dxa"/>
            <w:tcBorders>
              <w:top w:val="single" w:sz="4" w:space="0" w:color="auto"/>
              <w:left w:val="single" w:sz="4" w:space="0" w:color="auto"/>
              <w:bottom w:val="single" w:sz="4" w:space="0" w:color="auto"/>
              <w:right w:val="single" w:sz="4" w:space="0" w:color="auto"/>
            </w:tcBorders>
            <w:shd w:val="clear" w:color="auto" w:fill="DBE5F1"/>
          </w:tcPr>
          <w:p w:rsidR="0044464E" w:rsidRPr="00BC1CF7"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18"/>
                <w:szCs w:val="18"/>
              </w:rPr>
            </w:pPr>
            <w:r w:rsidRPr="00BC1CF7">
              <w:rPr>
                <w:b/>
                <w:sz w:val="18"/>
                <w:szCs w:val="18"/>
              </w:rPr>
              <w:t>Office</w:t>
            </w:r>
          </w:p>
        </w:tc>
        <w:tc>
          <w:tcPr>
            <w:tcW w:w="3888" w:type="dxa"/>
            <w:tcBorders>
              <w:top w:val="single" w:sz="4" w:space="0" w:color="auto"/>
              <w:left w:val="single" w:sz="4" w:space="0" w:color="auto"/>
              <w:bottom w:val="single" w:sz="4" w:space="0" w:color="auto"/>
              <w:right w:val="single" w:sz="4" w:space="0" w:color="auto"/>
            </w:tcBorders>
            <w:shd w:val="clear" w:color="auto" w:fill="DBE5F1"/>
          </w:tcPr>
          <w:p w:rsidR="0044464E" w:rsidRPr="00BC1CF7"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18"/>
                <w:szCs w:val="18"/>
              </w:rPr>
            </w:pPr>
            <w:r w:rsidRPr="00BC1CF7">
              <w:rPr>
                <w:b/>
                <w:sz w:val="18"/>
                <w:szCs w:val="18"/>
              </w:rPr>
              <w:t>Form/Regulatory Requirement</w:t>
            </w:r>
          </w:p>
        </w:tc>
      </w:tr>
      <w:tr w:rsidR="0044464E" w:rsidRPr="005969CB" w:rsidTr="005F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8" w:type="dxa"/>
            <w:tcBorders>
              <w:top w:val="single" w:sz="4" w:space="0" w:color="auto"/>
              <w:left w:val="single" w:sz="4" w:space="0" w:color="auto"/>
              <w:bottom w:val="single" w:sz="4" w:space="0" w:color="auto"/>
              <w:right w:val="single" w:sz="4" w:space="0" w:color="auto"/>
            </w:tcBorders>
            <w:vAlign w:val="center"/>
          </w:tcPr>
          <w:p w:rsidR="0044464E" w:rsidRPr="00BC1CF7"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sz w:val="18"/>
                <w:szCs w:val="18"/>
              </w:rPr>
            </w:pPr>
            <w:r w:rsidRPr="00BC1CF7">
              <w:rPr>
                <w:b/>
                <w:i/>
                <w:sz w:val="18"/>
                <w:szCs w:val="18"/>
              </w:rPr>
              <w:t>Department of Energy</w:t>
            </w:r>
          </w:p>
        </w:tc>
        <w:tc>
          <w:tcPr>
            <w:tcW w:w="3510" w:type="dxa"/>
            <w:tcBorders>
              <w:top w:val="single" w:sz="4" w:space="0" w:color="auto"/>
              <w:left w:val="single" w:sz="4" w:space="0" w:color="auto"/>
              <w:bottom w:val="single" w:sz="4" w:space="0" w:color="auto"/>
              <w:right w:val="single" w:sz="4" w:space="0" w:color="auto"/>
            </w:tcBorders>
            <w:vAlign w:val="center"/>
          </w:tcPr>
          <w:p w:rsidR="0044464E" w:rsidRPr="00BC1CF7"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sz w:val="18"/>
                <w:szCs w:val="18"/>
              </w:rPr>
            </w:pPr>
            <w:r w:rsidRPr="00BC1CF7">
              <w:rPr>
                <w:b/>
                <w:i/>
                <w:sz w:val="18"/>
                <w:szCs w:val="18"/>
              </w:rPr>
              <w:t>Energy Efficiency &amp; Renewable Energy</w:t>
            </w:r>
          </w:p>
          <w:p w:rsidR="0044464E" w:rsidRPr="00BC1CF7"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sz w:val="18"/>
                <w:szCs w:val="18"/>
              </w:rPr>
            </w:pPr>
            <w:r w:rsidRPr="00BC1CF7">
              <w:rPr>
                <w:b/>
                <w:i/>
                <w:sz w:val="18"/>
                <w:szCs w:val="18"/>
              </w:rPr>
              <w:t>Federal Energy Management Program</w:t>
            </w:r>
          </w:p>
        </w:tc>
        <w:tc>
          <w:tcPr>
            <w:tcW w:w="3888" w:type="dxa"/>
            <w:tcBorders>
              <w:top w:val="single" w:sz="4" w:space="0" w:color="auto"/>
              <w:left w:val="single" w:sz="4" w:space="0" w:color="auto"/>
              <w:bottom w:val="single" w:sz="4" w:space="0" w:color="auto"/>
              <w:right w:val="single" w:sz="4" w:space="0" w:color="auto"/>
            </w:tcBorders>
            <w:vAlign w:val="center"/>
          </w:tcPr>
          <w:p w:rsidR="0044464E" w:rsidRPr="00BC1CF7"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sz w:val="18"/>
                <w:szCs w:val="18"/>
              </w:rPr>
            </w:pPr>
            <w:r w:rsidRPr="00BC1CF7">
              <w:rPr>
                <w:b/>
                <w:i/>
                <w:sz w:val="18"/>
                <w:szCs w:val="18"/>
              </w:rPr>
              <w:t xml:space="preserve">Executive Order 13149 – </w:t>
            </w:r>
            <w:hyperlink r:id="rId13" w:history="1">
              <w:r w:rsidRPr="00BC1CF7">
                <w:rPr>
                  <w:rStyle w:val="Hyperlink"/>
                  <w:b/>
                  <w:i/>
                  <w:sz w:val="18"/>
                  <w:szCs w:val="18"/>
                </w:rPr>
                <w:t>Greening the Government Through Federal Fleet &amp; Transportation Efficiency</w:t>
              </w:r>
            </w:hyperlink>
            <w:r w:rsidRPr="00BC1CF7">
              <w:rPr>
                <w:b/>
                <w:i/>
                <w:sz w:val="18"/>
                <w:szCs w:val="18"/>
              </w:rPr>
              <w:t xml:space="preserve"> </w:t>
            </w:r>
          </w:p>
        </w:tc>
      </w:tr>
      <w:tr w:rsidR="0044464E" w:rsidRPr="00B067D5" w:rsidTr="005F1439">
        <w:tc>
          <w:tcPr>
            <w:tcW w:w="9576" w:type="dxa"/>
            <w:gridSpan w:val="3"/>
            <w:tcBorders>
              <w:top w:val="single" w:sz="4" w:space="0" w:color="auto"/>
            </w:tcBorders>
            <w:vAlign w:val="center"/>
          </w:tcPr>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rPr>
            </w:pPr>
            <w:r w:rsidRPr="00B067D5">
              <w:rPr>
                <w:sz w:val="18"/>
                <w:szCs w:val="18"/>
                <w:u w:val="single"/>
              </w:rPr>
              <w:t>Summary:</w:t>
            </w:r>
          </w:p>
          <w:p w:rsidR="0044464E" w:rsidRPr="00A376ED"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rPr>
            </w:pPr>
            <w:r w:rsidRPr="00A376ED">
              <w:rPr>
                <w:sz w:val="18"/>
                <w:szCs w:val="18"/>
              </w:rPr>
              <w:t xml:space="preserve">The purpose of this </w:t>
            </w:r>
            <w:r>
              <w:rPr>
                <w:sz w:val="18"/>
                <w:szCs w:val="18"/>
              </w:rPr>
              <w:t xml:space="preserve">April 2000 </w:t>
            </w:r>
            <w:r w:rsidRPr="00A376ED">
              <w:rPr>
                <w:sz w:val="18"/>
                <w:szCs w:val="18"/>
              </w:rPr>
              <w:t xml:space="preserve">order </w:t>
            </w:r>
            <w:r>
              <w:rPr>
                <w:sz w:val="18"/>
                <w:szCs w:val="18"/>
              </w:rPr>
              <w:t>was</w:t>
            </w:r>
            <w:r w:rsidRPr="00A376ED">
              <w:rPr>
                <w:sz w:val="18"/>
                <w:szCs w:val="18"/>
              </w:rPr>
              <w:t xml:space="preserve"> to ensure that the Federal Government exercise leadership in the reduction of petroleum consumption through improvements in fleet fuel efficiency and the use of alternative fuel vehicles (AFVs) and alternative fuels.</w:t>
            </w:r>
            <w:r>
              <w:rPr>
                <w:sz w:val="18"/>
                <w:szCs w:val="18"/>
              </w:rPr>
              <w:t xml:space="preserve">  Agencies were required to develop performance strategies to meet goals, and DOE was directed </w:t>
            </w:r>
            <w:r w:rsidRPr="00A376ED">
              <w:rPr>
                <w:sz w:val="18"/>
                <w:szCs w:val="18"/>
              </w:rPr>
              <w:t xml:space="preserve">to establish </w:t>
            </w:r>
            <w:r>
              <w:rPr>
                <w:sz w:val="18"/>
                <w:szCs w:val="18"/>
              </w:rPr>
              <w:t>a</w:t>
            </w:r>
            <w:r w:rsidRPr="00A376ED">
              <w:rPr>
                <w:sz w:val="18"/>
                <w:szCs w:val="18"/>
              </w:rPr>
              <w:t xml:space="preserve"> data collection and reporting system for collecting annual agency performance data on meeting the goals of this order and other applicable statutes and policies</w:t>
            </w:r>
            <w:r>
              <w:rPr>
                <w:sz w:val="18"/>
                <w:szCs w:val="18"/>
              </w:rPr>
              <w:t>.</w:t>
            </w:r>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u w:val="single"/>
              </w:rPr>
            </w:pPr>
            <w:r w:rsidRPr="00B067D5">
              <w:rPr>
                <w:sz w:val="18"/>
                <w:szCs w:val="18"/>
                <w:u w:val="single"/>
              </w:rPr>
              <w:t xml:space="preserve">Reasons these data are not duplicative of </w:t>
            </w:r>
            <w:r>
              <w:rPr>
                <w:sz w:val="18"/>
                <w:szCs w:val="18"/>
                <w:u w:val="single"/>
              </w:rPr>
              <w:t xml:space="preserve">that collected by the Form </w:t>
            </w:r>
            <w:r w:rsidRPr="00B067D5">
              <w:rPr>
                <w:sz w:val="18"/>
                <w:szCs w:val="18"/>
                <w:u w:val="single"/>
              </w:rPr>
              <w:t>EIA-886:</w:t>
            </w:r>
          </w:p>
          <w:p w:rsidR="0044464E" w:rsidRPr="0057731E" w:rsidRDefault="0044464E" w:rsidP="007B15BA">
            <w:pPr>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rPr>
            </w:pPr>
            <w:r w:rsidRPr="0057731E">
              <w:rPr>
                <w:sz w:val="18"/>
                <w:szCs w:val="18"/>
              </w:rPr>
              <w:t>EIA, GSA and FEMP coordinated all AFV data requirements and developed the Federal Automotive Statistical Tool (FAST) to capture compliance and EPACT92 mandates in one Web-enabled data collection system.</w:t>
            </w:r>
            <w:r w:rsidR="0057731E" w:rsidRPr="0057731E">
              <w:rPr>
                <w:sz w:val="18"/>
                <w:szCs w:val="18"/>
              </w:rPr>
              <w:t xml:space="preserve"> </w:t>
            </w:r>
            <w:r w:rsidR="00FD69FD">
              <w:rPr>
                <w:sz w:val="18"/>
                <w:szCs w:val="18"/>
              </w:rPr>
              <w:t xml:space="preserve"> </w:t>
            </w:r>
            <w:r w:rsidR="0057731E" w:rsidRPr="0057731E">
              <w:rPr>
                <w:sz w:val="18"/>
                <w:szCs w:val="18"/>
              </w:rPr>
              <w:t xml:space="preserve">EIA, GSA and FEMP gathered all its individual mandated requirements and consolidated them into one data collection for federal agencies.  </w:t>
            </w:r>
            <w:r w:rsidRPr="0057731E">
              <w:rPr>
                <w:sz w:val="18"/>
                <w:szCs w:val="18"/>
              </w:rPr>
              <w:t>After the implementation of FAST in 2001, EIA merged its online data collection for Federal AFVs with FAST and Federal agencies now report their Form EIA-886 data through this system.</w:t>
            </w:r>
            <w:r w:rsidR="00FD69FD">
              <w:rPr>
                <w:sz w:val="18"/>
                <w:szCs w:val="18"/>
              </w:rPr>
              <w:t xml:space="preserve">  The Form EIA-886 is not duplicative, as it collects data for the </w:t>
            </w:r>
            <w:r w:rsidR="00FD69FD" w:rsidRPr="00FD69FD">
              <w:rPr>
                <w:sz w:val="18"/>
                <w:szCs w:val="18"/>
              </w:rPr>
              <w:t>remainder of the universe of respondents (i.e., state agencies, fuel providers, transit agencies, local governments and private organizations)</w:t>
            </w:r>
            <w:r w:rsidR="00FD69FD">
              <w:rPr>
                <w:sz w:val="18"/>
                <w:szCs w:val="18"/>
              </w:rPr>
              <w:t>.</w:t>
            </w:r>
          </w:p>
          <w:p w:rsidR="0044464E" w:rsidRDefault="0044464E" w:rsidP="007B15BA">
            <w:pPr>
              <w:pStyle w:val="BodyText"/>
              <w:ind w:left="360"/>
              <w:rPr>
                <w:color w:val="auto"/>
                <w:sz w:val="18"/>
                <w:szCs w:val="18"/>
              </w:rPr>
            </w:pPr>
          </w:p>
        </w:tc>
      </w:tr>
      <w:tr w:rsidR="0044464E" w:rsidRPr="00B067D5" w:rsidTr="005F1439">
        <w:tc>
          <w:tcPr>
            <w:tcW w:w="2178" w:type="dxa"/>
            <w:shd w:val="clear" w:color="auto" w:fill="DBE5F1"/>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18"/>
                <w:szCs w:val="18"/>
              </w:rPr>
            </w:pPr>
            <w:r>
              <w:br w:type="page"/>
            </w:r>
            <w:r w:rsidRPr="00B067D5">
              <w:rPr>
                <w:b/>
                <w:sz w:val="18"/>
                <w:szCs w:val="18"/>
              </w:rPr>
              <w:t>Agency</w:t>
            </w:r>
          </w:p>
        </w:tc>
        <w:tc>
          <w:tcPr>
            <w:tcW w:w="3510" w:type="dxa"/>
            <w:shd w:val="clear" w:color="auto" w:fill="DBE5F1"/>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18"/>
                <w:szCs w:val="18"/>
              </w:rPr>
            </w:pPr>
            <w:r w:rsidRPr="00B067D5">
              <w:rPr>
                <w:b/>
                <w:sz w:val="18"/>
                <w:szCs w:val="18"/>
              </w:rPr>
              <w:t>Office</w:t>
            </w:r>
          </w:p>
        </w:tc>
        <w:tc>
          <w:tcPr>
            <w:tcW w:w="3888" w:type="dxa"/>
            <w:shd w:val="clear" w:color="auto" w:fill="DBE5F1"/>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18"/>
                <w:szCs w:val="18"/>
              </w:rPr>
            </w:pPr>
            <w:r w:rsidRPr="00B067D5">
              <w:rPr>
                <w:b/>
                <w:sz w:val="18"/>
                <w:szCs w:val="18"/>
              </w:rPr>
              <w:t>Form/Regulatory Requirement</w:t>
            </w:r>
          </w:p>
        </w:tc>
      </w:tr>
      <w:tr w:rsidR="0044464E" w:rsidRPr="00B067D5" w:rsidTr="005F1439">
        <w:tc>
          <w:tcPr>
            <w:tcW w:w="2178" w:type="dxa"/>
            <w:vAlign w:val="center"/>
          </w:tcPr>
          <w:p w:rsidR="0044464E" w:rsidRPr="00FB79DF"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sz w:val="18"/>
                <w:szCs w:val="18"/>
              </w:rPr>
            </w:pPr>
            <w:r w:rsidRPr="00FB79DF">
              <w:rPr>
                <w:b/>
                <w:i/>
                <w:sz w:val="18"/>
                <w:szCs w:val="18"/>
              </w:rPr>
              <w:t>Department of Energy</w:t>
            </w:r>
          </w:p>
        </w:tc>
        <w:tc>
          <w:tcPr>
            <w:tcW w:w="3510" w:type="dxa"/>
            <w:vAlign w:val="center"/>
          </w:tcPr>
          <w:p w:rsidR="0044464E" w:rsidRPr="00FB79DF"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sz w:val="18"/>
                <w:szCs w:val="18"/>
              </w:rPr>
            </w:pPr>
            <w:r w:rsidRPr="00FB79DF">
              <w:rPr>
                <w:b/>
                <w:i/>
                <w:sz w:val="18"/>
                <w:szCs w:val="18"/>
              </w:rPr>
              <w:t>Energy Efficiency &amp; Renewable Energy</w:t>
            </w:r>
          </w:p>
          <w:p w:rsidR="0044464E" w:rsidRPr="00FB79DF"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sz w:val="18"/>
                <w:szCs w:val="18"/>
              </w:rPr>
            </w:pPr>
            <w:r w:rsidRPr="00FB79DF">
              <w:rPr>
                <w:b/>
                <w:i/>
                <w:sz w:val="18"/>
                <w:szCs w:val="18"/>
              </w:rPr>
              <w:t>Federal Energy Management Program</w:t>
            </w:r>
          </w:p>
        </w:tc>
        <w:tc>
          <w:tcPr>
            <w:tcW w:w="3888" w:type="dxa"/>
            <w:vAlign w:val="center"/>
          </w:tcPr>
          <w:p w:rsidR="0044464E" w:rsidRPr="00FB79DF"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sz w:val="18"/>
                <w:szCs w:val="18"/>
              </w:rPr>
            </w:pPr>
            <w:r w:rsidRPr="00FB79DF">
              <w:rPr>
                <w:b/>
                <w:i/>
                <w:sz w:val="18"/>
                <w:szCs w:val="18"/>
              </w:rPr>
              <w:t xml:space="preserve">Executive Order 13423 – </w:t>
            </w:r>
            <w:hyperlink r:id="rId14" w:history="1">
              <w:r w:rsidRPr="00FB79DF">
                <w:rPr>
                  <w:rStyle w:val="Hyperlink"/>
                  <w:b/>
                  <w:i/>
                  <w:sz w:val="18"/>
                  <w:szCs w:val="18"/>
                </w:rPr>
                <w:t>Strengthening Federal Environmental, Energy &amp; Transportation Management</w:t>
              </w:r>
            </w:hyperlink>
            <w:r w:rsidRPr="00FB79DF">
              <w:rPr>
                <w:b/>
                <w:i/>
                <w:sz w:val="18"/>
                <w:szCs w:val="18"/>
              </w:rPr>
              <w:t xml:space="preserve"> </w:t>
            </w:r>
          </w:p>
        </w:tc>
      </w:tr>
      <w:tr w:rsidR="0044464E" w:rsidRPr="00B067D5" w:rsidTr="005F1439">
        <w:tc>
          <w:tcPr>
            <w:tcW w:w="9576" w:type="dxa"/>
            <w:gridSpan w:val="3"/>
            <w:vAlign w:val="center"/>
          </w:tcPr>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u w:val="single"/>
              </w:rPr>
            </w:pPr>
            <w:r w:rsidRPr="00B067D5">
              <w:rPr>
                <w:sz w:val="18"/>
                <w:szCs w:val="18"/>
                <w:u w:val="single"/>
              </w:rPr>
              <w:t>Summary:</w:t>
            </w:r>
          </w:p>
          <w:p w:rsidR="0044464E" w:rsidRPr="00754C06" w:rsidRDefault="0044464E" w:rsidP="007B15BA">
            <w:pPr>
              <w:widowControl/>
              <w:rPr>
                <w:sz w:val="10"/>
                <w:szCs w:val="10"/>
              </w:rPr>
            </w:pPr>
          </w:p>
          <w:p w:rsidR="0044464E" w:rsidRPr="000D7B71" w:rsidRDefault="0044464E" w:rsidP="007B15BA">
            <w:pPr>
              <w:widowControl/>
              <w:rPr>
                <w:sz w:val="18"/>
                <w:szCs w:val="18"/>
                <w:u w:val="single"/>
              </w:rPr>
            </w:pPr>
            <w:r>
              <w:rPr>
                <w:sz w:val="18"/>
                <w:szCs w:val="18"/>
              </w:rPr>
              <w:t xml:space="preserve">The purpose of this January 2007 order was to ensure that </w:t>
            </w:r>
            <w:r w:rsidR="00FD69FD">
              <w:rPr>
                <w:sz w:val="18"/>
                <w:szCs w:val="18"/>
              </w:rPr>
              <w:t>f</w:t>
            </w:r>
            <w:r w:rsidRPr="00872110">
              <w:rPr>
                <w:sz w:val="18"/>
                <w:szCs w:val="18"/>
              </w:rPr>
              <w:t>ederal agencies</w:t>
            </w:r>
            <w:r>
              <w:rPr>
                <w:sz w:val="18"/>
                <w:szCs w:val="18"/>
              </w:rPr>
              <w:t xml:space="preserve"> </w:t>
            </w:r>
            <w:r w:rsidRPr="00872110">
              <w:rPr>
                <w:sz w:val="18"/>
                <w:szCs w:val="18"/>
              </w:rPr>
              <w:t>conduct their environmental, transportation, and energy-related activities</w:t>
            </w:r>
            <w:r>
              <w:rPr>
                <w:sz w:val="18"/>
                <w:szCs w:val="18"/>
              </w:rPr>
              <w:t xml:space="preserve"> </w:t>
            </w:r>
            <w:r w:rsidRPr="00872110">
              <w:rPr>
                <w:sz w:val="18"/>
                <w:szCs w:val="18"/>
              </w:rPr>
              <w:t>under the law in support of their respective missions in an environmentally,</w:t>
            </w:r>
            <w:r>
              <w:rPr>
                <w:sz w:val="18"/>
                <w:szCs w:val="18"/>
              </w:rPr>
              <w:t xml:space="preserve"> </w:t>
            </w:r>
            <w:r w:rsidRPr="00872110">
              <w:rPr>
                <w:sz w:val="18"/>
                <w:szCs w:val="18"/>
              </w:rPr>
              <w:t>economically and fiscally sound, integrated, continuously improving, efficient,</w:t>
            </w:r>
            <w:r>
              <w:rPr>
                <w:sz w:val="18"/>
                <w:szCs w:val="18"/>
              </w:rPr>
              <w:t xml:space="preserve"> </w:t>
            </w:r>
            <w:r w:rsidRPr="00872110">
              <w:rPr>
                <w:sz w:val="18"/>
                <w:szCs w:val="18"/>
              </w:rPr>
              <w:t>and sustainable manner.</w:t>
            </w:r>
            <w:r>
              <w:rPr>
                <w:sz w:val="18"/>
                <w:szCs w:val="18"/>
              </w:rPr>
              <w:t xml:space="preserve">  Goals were established to (1) </w:t>
            </w:r>
            <w:r w:rsidRPr="000D7B71">
              <w:rPr>
                <w:color w:val="000000"/>
                <w:sz w:val="18"/>
                <w:szCs w:val="18"/>
              </w:rPr>
              <w:t>reduce</w:t>
            </w:r>
            <w:r>
              <w:rPr>
                <w:color w:val="000000"/>
                <w:sz w:val="18"/>
                <w:szCs w:val="18"/>
              </w:rPr>
              <w:t xml:space="preserve"> </w:t>
            </w:r>
            <w:r w:rsidRPr="000D7B71">
              <w:rPr>
                <w:color w:val="000000"/>
                <w:sz w:val="18"/>
                <w:szCs w:val="18"/>
              </w:rPr>
              <w:t>the fleet’s total consumption of petroleum products by 2 percent</w:t>
            </w:r>
            <w:r>
              <w:rPr>
                <w:color w:val="000000"/>
                <w:sz w:val="18"/>
                <w:szCs w:val="18"/>
              </w:rPr>
              <w:t>,</w:t>
            </w:r>
            <w:r w:rsidRPr="000D7B71">
              <w:rPr>
                <w:color w:val="000000"/>
                <w:sz w:val="18"/>
                <w:szCs w:val="18"/>
              </w:rPr>
              <w:t xml:space="preserve"> annually</w:t>
            </w:r>
            <w:r>
              <w:rPr>
                <w:color w:val="000000"/>
                <w:sz w:val="18"/>
                <w:szCs w:val="18"/>
              </w:rPr>
              <w:t xml:space="preserve">, </w:t>
            </w:r>
            <w:r w:rsidRPr="000D7B71">
              <w:rPr>
                <w:color w:val="000000"/>
                <w:sz w:val="18"/>
                <w:szCs w:val="18"/>
              </w:rPr>
              <w:t>through the end of fiscal year 2015</w:t>
            </w:r>
            <w:r w:rsidR="00FD69FD">
              <w:rPr>
                <w:color w:val="000000"/>
                <w:sz w:val="18"/>
                <w:szCs w:val="18"/>
              </w:rPr>
              <w:t>;</w:t>
            </w:r>
            <w:r w:rsidRPr="000D7B71">
              <w:rPr>
                <w:color w:val="000000"/>
                <w:sz w:val="18"/>
                <w:szCs w:val="18"/>
              </w:rPr>
              <w:t xml:space="preserve"> (</w:t>
            </w:r>
            <w:r>
              <w:rPr>
                <w:color w:val="000000"/>
                <w:sz w:val="18"/>
                <w:szCs w:val="18"/>
              </w:rPr>
              <w:t>2</w:t>
            </w:r>
            <w:r w:rsidRPr="000D7B71">
              <w:rPr>
                <w:color w:val="000000"/>
                <w:sz w:val="18"/>
                <w:szCs w:val="18"/>
              </w:rPr>
              <w:t>) increase the total fuel consumption</w:t>
            </w:r>
            <w:r>
              <w:rPr>
                <w:color w:val="000000"/>
                <w:sz w:val="18"/>
                <w:szCs w:val="18"/>
              </w:rPr>
              <w:t xml:space="preserve"> </w:t>
            </w:r>
            <w:r w:rsidRPr="000D7B71">
              <w:rPr>
                <w:color w:val="000000"/>
                <w:sz w:val="18"/>
                <w:szCs w:val="18"/>
              </w:rPr>
              <w:t>that is non-petroleum-based by 10 percent</w:t>
            </w:r>
            <w:r>
              <w:rPr>
                <w:color w:val="000000"/>
                <w:sz w:val="18"/>
                <w:szCs w:val="18"/>
              </w:rPr>
              <w:t>,</w:t>
            </w:r>
            <w:r w:rsidRPr="000D7B71">
              <w:rPr>
                <w:color w:val="000000"/>
                <w:sz w:val="18"/>
                <w:szCs w:val="18"/>
              </w:rPr>
              <w:t xml:space="preserve"> annually</w:t>
            </w:r>
            <w:r>
              <w:rPr>
                <w:color w:val="000000"/>
                <w:sz w:val="18"/>
                <w:szCs w:val="18"/>
              </w:rPr>
              <w:t>, r</w:t>
            </w:r>
            <w:r w:rsidRPr="000D7B71">
              <w:rPr>
                <w:color w:val="000000"/>
                <w:sz w:val="18"/>
                <w:szCs w:val="18"/>
              </w:rPr>
              <w:t>elative to agency baselines for fiscal year 2005</w:t>
            </w:r>
            <w:r w:rsidR="00FD69FD">
              <w:rPr>
                <w:color w:val="000000"/>
                <w:sz w:val="18"/>
                <w:szCs w:val="18"/>
              </w:rPr>
              <w:t>;</w:t>
            </w:r>
            <w:r w:rsidRPr="000D7B71">
              <w:rPr>
                <w:color w:val="000000"/>
                <w:sz w:val="18"/>
                <w:szCs w:val="18"/>
              </w:rPr>
              <w:t xml:space="preserve"> and (</w:t>
            </w:r>
            <w:r>
              <w:rPr>
                <w:color w:val="000000"/>
                <w:sz w:val="18"/>
                <w:szCs w:val="18"/>
              </w:rPr>
              <w:t>3</w:t>
            </w:r>
            <w:r w:rsidRPr="000D7B71">
              <w:rPr>
                <w:color w:val="000000"/>
                <w:sz w:val="18"/>
                <w:szCs w:val="18"/>
              </w:rPr>
              <w:t>) use plug</w:t>
            </w:r>
            <w:r>
              <w:rPr>
                <w:color w:val="000000"/>
                <w:sz w:val="18"/>
                <w:szCs w:val="18"/>
              </w:rPr>
              <w:t>-</w:t>
            </w:r>
            <w:r w:rsidRPr="000D7B71">
              <w:rPr>
                <w:color w:val="000000"/>
                <w:sz w:val="18"/>
                <w:szCs w:val="18"/>
              </w:rPr>
              <w:t>in</w:t>
            </w:r>
            <w:r>
              <w:rPr>
                <w:color w:val="000000"/>
                <w:sz w:val="18"/>
                <w:szCs w:val="18"/>
              </w:rPr>
              <w:t xml:space="preserve"> </w:t>
            </w:r>
            <w:r w:rsidRPr="000D7B71">
              <w:rPr>
                <w:color w:val="000000"/>
                <w:sz w:val="18"/>
                <w:szCs w:val="18"/>
              </w:rPr>
              <w:t xml:space="preserve">hybrid vehicles when commercially </w:t>
            </w:r>
            <w:r>
              <w:rPr>
                <w:color w:val="000000"/>
                <w:sz w:val="18"/>
                <w:szCs w:val="18"/>
              </w:rPr>
              <w:t xml:space="preserve">and economically </w:t>
            </w:r>
            <w:r w:rsidRPr="000D7B71">
              <w:rPr>
                <w:color w:val="000000"/>
                <w:sz w:val="18"/>
                <w:szCs w:val="18"/>
              </w:rPr>
              <w:t>available</w:t>
            </w:r>
            <w:r>
              <w:rPr>
                <w:color w:val="000000"/>
                <w:sz w:val="18"/>
                <w:szCs w:val="18"/>
              </w:rPr>
              <w:t>.</w:t>
            </w:r>
          </w:p>
          <w:p w:rsidR="0044464E" w:rsidRPr="000D7B71"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u w:val="single"/>
              </w:rPr>
            </w:pPr>
            <w:r w:rsidRPr="000D7B71">
              <w:rPr>
                <w:sz w:val="18"/>
                <w:szCs w:val="18"/>
                <w:u w:val="single"/>
              </w:rPr>
              <w:t xml:space="preserve">Reasons these data are not duplicative of </w:t>
            </w:r>
            <w:r>
              <w:rPr>
                <w:sz w:val="18"/>
                <w:szCs w:val="18"/>
                <w:u w:val="single"/>
              </w:rPr>
              <w:t xml:space="preserve">that collected by the Form </w:t>
            </w:r>
            <w:r w:rsidRPr="000D7B71">
              <w:rPr>
                <w:sz w:val="18"/>
                <w:szCs w:val="18"/>
                <w:u w:val="single"/>
              </w:rPr>
              <w:t>EIA-886:</w:t>
            </w:r>
          </w:p>
          <w:p w:rsidR="00FB78F9" w:rsidRDefault="0044464E" w:rsidP="007B15BA">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u w:val="single"/>
              </w:rPr>
            </w:pPr>
            <w:r>
              <w:rPr>
                <w:sz w:val="18"/>
                <w:szCs w:val="18"/>
              </w:rPr>
              <w:t>All AFV-related inventory and fuel consumption data relevant to this Executive Order were incorporated into FAST</w:t>
            </w:r>
            <w:r w:rsidR="00FD69FD">
              <w:rPr>
                <w:sz w:val="18"/>
                <w:szCs w:val="18"/>
              </w:rPr>
              <w:t xml:space="preserve">.  </w:t>
            </w:r>
            <w:r>
              <w:rPr>
                <w:sz w:val="18"/>
                <w:szCs w:val="18"/>
              </w:rPr>
              <w:t>EIA, as a co-sponsor of the Web system, is not duplicating efforts to capture data for the Form EIA-886.</w:t>
            </w:r>
            <w:r w:rsidR="0057731E">
              <w:rPr>
                <w:sz w:val="18"/>
                <w:szCs w:val="18"/>
              </w:rPr>
              <w:t xml:space="preserve">  The data requirements from this Executive Order do not duplicate the questions asked on the Form EIA-886.</w:t>
            </w:r>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18"/>
                <w:szCs w:val="18"/>
                <w:u w:val="single"/>
              </w:rPr>
            </w:pPr>
          </w:p>
        </w:tc>
      </w:tr>
    </w:tbl>
    <w:p w:rsidR="0097111F" w:rsidRDefault="0097111F"/>
    <w:p w:rsidR="0097111F" w:rsidRDefault="00971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3510"/>
        <w:gridCol w:w="3888"/>
      </w:tblGrid>
      <w:tr w:rsidR="0044464E" w:rsidRPr="00B067D5" w:rsidTr="005F1439">
        <w:tc>
          <w:tcPr>
            <w:tcW w:w="2178" w:type="dxa"/>
            <w:shd w:val="clear" w:color="auto" w:fill="DBE5F1"/>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18"/>
                <w:szCs w:val="18"/>
              </w:rPr>
            </w:pPr>
            <w:r>
              <w:br w:type="page"/>
            </w:r>
            <w:r w:rsidRPr="00B067D5">
              <w:rPr>
                <w:b/>
                <w:sz w:val="18"/>
                <w:szCs w:val="18"/>
              </w:rPr>
              <w:t>Agency</w:t>
            </w:r>
          </w:p>
        </w:tc>
        <w:tc>
          <w:tcPr>
            <w:tcW w:w="3510" w:type="dxa"/>
            <w:shd w:val="clear" w:color="auto" w:fill="DBE5F1"/>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18"/>
                <w:szCs w:val="18"/>
              </w:rPr>
            </w:pPr>
            <w:r w:rsidRPr="00B067D5">
              <w:rPr>
                <w:b/>
                <w:sz w:val="18"/>
                <w:szCs w:val="18"/>
              </w:rPr>
              <w:t>Office</w:t>
            </w:r>
          </w:p>
        </w:tc>
        <w:tc>
          <w:tcPr>
            <w:tcW w:w="3888" w:type="dxa"/>
            <w:shd w:val="clear" w:color="auto" w:fill="DBE5F1"/>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18"/>
                <w:szCs w:val="18"/>
              </w:rPr>
            </w:pPr>
            <w:r w:rsidRPr="00B067D5">
              <w:rPr>
                <w:b/>
                <w:sz w:val="18"/>
                <w:szCs w:val="18"/>
              </w:rPr>
              <w:t>Form/Regulatory Requirement</w:t>
            </w:r>
          </w:p>
        </w:tc>
      </w:tr>
      <w:tr w:rsidR="0044464E" w:rsidRPr="00B067D5" w:rsidTr="005F1439">
        <w:tc>
          <w:tcPr>
            <w:tcW w:w="2178" w:type="dxa"/>
            <w:vAlign w:val="center"/>
          </w:tcPr>
          <w:p w:rsidR="0044464E" w:rsidRPr="00D17160"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sz w:val="18"/>
                <w:szCs w:val="18"/>
              </w:rPr>
            </w:pPr>
            <w:r w:rsidRPr="00D17160">
              <w:rPr>
                <w:b/>
                <w:i/>
                <w:sz w:val="18"/>
                <w:szCs w:val="18"/>
              </w:rPr>
              <w:t>General Services Administration</w:t>
            </w:r>
          </w:p>
        </w:tc>
        <w:tc>
          <w:tcPr>
            <w:tcW w:w="3510" w:type="dxa"/>
            <w:vAlign w:val="center"/>
          </w:tcPr>
          <w:p w:rsidR="0044464E" w:rsidRPr="00D17160"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sz w:val="18"/>
                <w:szCs w:val="18"/>
              </w:rPr>
            </w:pPr>
            <w:r w:rsidRPr="00D17160">
              <w:rPr>
                <w:b/>
                <w:i/>
                <w:sz w:val="18"/>
                <w:szCs w:val="18"/>
              </w:rPr>
              <w:t xml:space="preserve">Office of </w:t>
            </w:r>
            <w:proofErr w:type="spellStart"/>
            <w:r w:rsidRPr="00D17160">
              <w:rPr>
                <w:b/>
                <w:i/>
                <w:sz w:val="18"/>
                <w:szCs w:val="18"/>
              </w:rPr>
              <w:t>Governmentwide</w:t>
            </w:r>
            <w:proofErr w:type="spellEnd"/>
            <w:r w:rsidRPr="00D17160">
              <w:rPr>
                <w:b/>
                <w:i/>
                <w:sz w:val="18"/>
                <w:szCs w:val="18"/>
              </w:rPr>
              <w:t xml:space="preserve"> Policy</w:t>
            </w:r>
          </w:p>
        </w:tc>
        <w:tc>
          <w:tcPr>
            <w:tcW w:w="3888" w:type="dxa"/>
            <w:vAlign w:val="center"/>
          </w:tcPr>
          <w:p w:rsidR="0044464E" w:rsidRPr="00D17160"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color w:val="333333"/>
                <w:sz w:val="18"/>
                <w:szCs w:val="18"/>
              </w:rPr>
            </w:pPr>
            <w:r w:rsidRPr="00D17160">
              <w:rPr>
                <w:b/>
                <w:i/>
                <w:color w:val="333333"/>
                <w:sz w:val="18"/>
                <w:szCs w:val="18"/>
              </w:rPr>
              <w:t xml:space="preserve">Federal Management Regulation                               </w:t>
            </w:r>
            <w:hyperlink r:id="rId15" w:anchor="wp2024098" w:history="1">
              <w:r w:rsidRPr="00D17160">
                <w:rPr>
                  <w:rStyle w:val="Hyperlink"/>
                  <w:b/>
                  <w:i/>
                  <w:sz w:val="18"/>
                  <w:szCs w:val="18"/>
                </w:rPr>
                <w:t>Part 102-34 Motor Vehicle Management Subpart J – Federal Fleet Report</w:t>
              </w:r>
            </w:hyperlink>
          </w:p>
        </w:tc>
      </w:tr>
      <w:tr w:rsidR="0044464E" w:rsidRPr="00B067D5" w:rsidTr="005F1439">
        <w:tc>
          <w:tcPr>
            <w:tcW w:w="9576" w:type="dxa"/>
            <w:gridSpan w:val="3"/>
            <w:vAlign w:val="center"/>
          </w:tcPr>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u w:val="single"/>
              </w:rPr>
            </w:pPr>
            <w:r w:rsidRPr="00B067D5">
              <w:rPr>
                <w:sz w:val="18"/>
                <w:szCs w:val="18"/>
                <w:u w:val="single"/>
              </w:rPr>
              <w:t>Summary:</w:t>
            </w:r>
          </w:p>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rPr>
            </w:pPr>
            <w:r w:rsidRPr="0010587E">
              <w:rPr>
                <w:sz w:val="18"/>
                <w:szCs w:val="18"/>
              </w:rPr>
              <w:t>The Federal Fleet Report (</w:t>
            </w:r>
            <w:hyperlink r:id="rId16" w:history="1">
              <w:r w:rsidRPr="0010587E">
                <w:rPr>
                  <w:rStyle w:val="Hyperlink"/>
                  <w:sz w:val="18"/>
                  <w:szCs w:val="18"/>
                </w:rPr>
                <w:t>FFR</w:t>
              </w:r>
            </w:hyperlink>
            <w:r w:rsidRPr="0010587E">
              <w:rPr>
                <w:sz w:val="18"/>
                <w:szCs w:val="18"/>
              </w:rPr>
              <w:t xml:space="preserve">) is an annual summary of </w:t>
            </w:r>
            <w:r w:rsidR="00526306">
              <w:rPr>
                <w:sz w:val="18"/>
                <w:szCs w:val="18"/>
              </w:rPr>
              <w:t>f</w:t>
            </w:r>
            <w:r w:rsidRPr="0010587E">
              <w:rPr>
                <w:sz w:val="18"/>
                <w:szCs w:val="18"/>
              </w:rPr>
              <w:t xml:space="preserve">ederal </w:t>
            </w:r>
            <w:r w:rsidR="00526306">
              <w:rPr>
                <w:sz w:val="18"/>
                <w:szCs w:val="18"/>
              </w:rPr>
              <w:t>motor vehicle f</w:t>
            </w:r>
            <w:r w:rsidRPr="0010587E">
              <w:rPr>
                <w:sz w:val="18"/>
                <w:szCs w:val="18"/>
              </w:rPr>
              <w:t xml:space="preserve">leet statistics based upon fleet composition at the end of each fiscal year and vehicle use and cost during the fiscal year. </w:t>
            </w:r>
            <w:r>
              <w:rPr>
                <w:sz w:val="18"/>
                <w:szCs w:val="18"/>
              </w:rPr>
              <w:t xml:space="preserve"> </w:t>
            </w:r>
            <w:r w:rsidRPr="0010587E">
              <w:rPr>
                <w:sz w:val="18"/>
                <w:szCs w:val="18"/>
              </w:rPr>
              <w:t xml:space="preserve">The FFR is compiled by GSA from information submitted by </w:t>
            </w:r>
            <w:r>
              <w:rPr>
                <w:sz w:val="18"/>
                <w:szCs w:val="18"/>
              </w:rPr>
              <w:t>f</w:t>
            </w:r>
            <w:r w:rsidRPr="0010587E">
              <w:rPr>
                <w:sz w:val="18"/>
                <w:szCs w:val="18"/>
              </w:rPr>
              <w:t xml:space="preserve">ederal agencies. </w:t>
            </w:r>
            <w:r>
              <w:rPr>
                <w:sz w:val="18"/>
                <w:szCs w:val="18"/>
              </w:rPr>
              <w:t xml:space="preserve"> </w:t>
            </w:r>
            <w:r w:rsidRPr="0010587E">
              <w:rPr>
                <w:sz w:val="18"/>
                <w:szCs w:val="18"/>
              </w:rPr>
              <w:t xml:space="preserve">The FFR is designed to provide essential statistical data for worldwide </w:t>
            </w:r>
            <w:r w:rsidR="00526306">
              <w:rPr>
                <w:sz w:val="18"/>
                <w:szCs w:val="18"/>
              </w:rPr>
              <w:t>f</w:t>
            </w:r>
            <w:r w:rsidRPr="0010587E">
              <w:rPr>
                <w:sz w:val="18"/>
                <w:szCs w:val="18"/>
              </w:rPr>
              <w:t xml:space="preserve">ederal </w:t>
            </w:r>
            <w:r w:rsidR="00526306">
              <w:rPr>
                <w:sz w:val="18"/>
                <w:szCs w:val="18"/>
              </w:rPr>
              <w:t>m</w:t>
            </w:r>
            <w:r w:rsidRPr="0010587E">
              <w:rPr>
                <w:sz w:val="18"/>
                <w:szCs w:val="18"/>
              </w:rPr>
              <w:t xml:space="preserve">otor </w:t>
            </w:r>
            <w:r w:rsidR="00526306">
              <w:rPr>
                <w:sz w:val="18"/>
                <w:szCs w:val="18"/>
              </w:rPr>
              <w:t>v</w:t>
            </w:r>
            <w:r w:rsidRPr="0010587E">
              <w:rPr>
                <w:sz w:val="18"/>
                <w:szCs w:val="18"/>
              </w:rPr>
              <w:t xml:space="preserve">ehicle </w:t>
            </w:r>
            <w:r w:rsidR="00526306">
              <w:rPr>
                <w:sz w:val="18"/>
                <w:szCs w:val="18"/>
              </w:rPr>
              <w:t>f</w:t>
            </w:r>
            <w:r w:rsidRPr="0010587E">
              <w:rPr>
                <w:sz w:val="18"/>
                <w:szCs w:val="18"/>
              </w:rPr>
              <w:t xml:space="preserve">leet operations. </w:t>
            </w:r>
            <w:r>
              <w:rPr>
                <w:sz w:val="18"/>
                <w:szCs w:val="18"/>
              </w:rPr>
              <w:t xml:space="preserve"> </w:t>
            </w:r>
            <w:r w:rsidRPr="0010587E">
              <w:rPr>
                <w:sz w:val="18"/>
                <w:szCs w:val="18"/>
              </w:rPr>
              <w:t xml:space="preserve">Review of the report assists </w:t>
            </w:r>
            <w:r w:rsidR="00526306">
              <w:rPr>
                <w:sz w:val="18"/>
                <w:szCs w:val="18"/>
              </w:rPr>
              <w:t>federal</w:t>
            </w:r>
            <w:r w:rsidRPr="0010587E">
              <w:rPr>
                <w:sz w:val="18"/>
                <w:szCs w:val="18"/>
              </w:rPr>
              <w:t xml:space="preserve"> agencies, including </w:t>
            </w:r>
            <w:r>
              <w:rPr>
                <w:sz w:val="18"/>
                <w:szCs w:val="18"/>
              </w:rPr>
              <w:t xml:space="preserve">the </w:t>
            </w:r>
            <w:r w:rsidRPr="0010587E">
              <w:rPr>
                <w:sz w:val="18"/>
                <w:szCs w:val="18"/>
              </w:rPr>
              <w:t xml:space="preserve">GSA, in evaluating the effectiveness of the operation and management of individual fleets and to identify high cost areas where fleet expenses can be reduced. </w:t>
            </w:r>
            <w:r>
              <w:rPr>
                <w:sz w:val="18"/>
                <w:szCs w:val="18"/>
              </w:rPr>
              <w:t xml:space="preserve"> The </w:t>
            </w:r>
            <w:r w:rsidRPr="0010587E">
              <w:rPr>
                <w:sz w:val="18"/>
                <w:szCs w:val="18"/>
              </w:rPr>
              <w:t>reporting categories</w:t>
            </w:r>
            <w:r>
              <w:rPr>
                <w:sz w:val="18"/>
                <w:szCs w:val="18"/>
              </w:rPr>
              <w:t xml:space="preserve"> of data</w:t>
            </w:r>
            <w:r w:rsidRPr="0010587E">
              <w:rPr>
                <w:sz w:val="18"/>
                <w:szCs w:val="18"/>
              </w:rPr>
              <w:t xml:space="preserve"> included in the FFR are</w:t>
            </w:r>
            <w:bookmarkStart w:id="7" w:name="wp2024101"/>
            <w:bookmarkEnd w:id="7"/>
            <w:r>
              <w:rPr>
                <w:sz w:val="18"/>
                <w:szCs w:val="18"/>
              </w:rPr>
              <w:t xml:space="preserve"> i</w:t>
            </w:r>
            <w:r w:rsidRPr="0010587E">
              <w:rPr>
                <w:sz w:val="18"/>
                <w:szCs w:val="18"/>
              </w:rPr>
              <w:t>nventory</w:t>
            </w:r>
            <w:r>
              <w:rPr>
                <w:sz w:val="18"/>
                <w:szCs w:val="18"/>
              </w:rPr>
              <w:t xml:space="preserve">, </w:t>
            </w:r>
            <w:bookmarkStart w:id="8" w:name="wp2024102"/>
            <w:bookmarkEnd w:id="8"/>
            <w:r>
              <w:rPr>
                <w:sz w:val="18"/>
                <w:szCs w:val="18"/>
              </w:rPr>
              <w:t xml:space="preserve">acquisitions, </w:t>
            </w:r>
            <w:bookmarkStart w:id="9" w:name="wp2024103"/>
            <w:bookmarkEnd w:id="9"/>
            <w:r>
              <w:rPr>
                <w:sz w:val="18"/>
                <w:szCs w:val="18"/>
              </w:rPr>
              <w:t>o</w:t>
            </w:r>
            <w:r w:rsidRPr="0010587E">
              <w:rPr>
                <w:sz w:val="18"/>
                <w:szCs w:val="18"/>
              </w:rPr>
              <w:t>perating costs</w:t>
            </w:r>
            <w:r>
              <w:rPr>
                <w:sz w:val="18"/>
                <w:szCs w:val="18"/>
              </w:rPr>
              <w:t xml:space="preserve">, </w:t>
            </w:r>
            <w:bookmarkStart w:id="10" w:name="wp2024438"/>
            <w:bookmarkEnd w:id="10"/>
            <w:r>
              <w:rPr>
                <w:sz w:val="18"/>
                <w:szCs w:val="18"/>
              </w:rPr>
              <w:t>m</w:t>
            </w:r>
            <w:r w:rsidRPr="0010587E">
              <w:rPr>
                <w:sz w:val="18"/>
                <w:szCs w:val="18"/>
              </w:rPr>
              <w:t>iles traveled</w:t>
            </w:r>
            <w:r>
              <w:rPr>
                <w:sz w:val="18"/>
                <w:szCs w:val="18"/>
              </w:rPr>
              <w:t xml:space="preserve"> and </w:t>
            </w:r>
            <w:bookmarkStart w:id="11" w:name="wp2024439"/>
            <w:bookmarkEnd w:id="11"/>
            <w:r>
              <w:rPr>
                <w:sz w:val="18"/>
                <w:szCs w:val="18"/>
              </w:rPr>
              <w:t>f</w:t>
            </w:r>
            <w:r w:rsidRPr="0010587E">
              <w:rPr>
                <w:sz w:val="18"/>
                <w:szCs w:val="18"/>
              </w:rPr>
              <w:t>uel used</w:t>
            </w:r>
            <w:r>
              <w:rPr>
                <w:sz w:val="18"/>
                <w:szCs w:val="18"/>
              </w:rPr>
              <w:t>.</w:t>
            </w:r>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u w:val="single"/>
              </w:rPr>
            </w:pPr>
            <w:r w:rsidRPr="00B067D5">
              <w:rPr>
                <w:sz w:val="18"/>
                <w:szCs w:val="18"/>
                <w:u w:val="single"/>
              </w:rPr>
              <w:t xml:space="preserve">Reasons these data are not duplicative of </w:t>
            </w:r>
            <w:r>
              <w:rPr>
                <w:sz w:val="18"/>
                <w:szCs w:val="18"/>
                <w:u w:val="single"/>
              </w:rPr>
              <w:t xml:space="preserve">that collected by the Form </w:t>
            </w:r>
            <w:r w:rsidRPr="00B067D5">
              <w:rPr>
                <w:sz w:val="18"/>
                <w:szCs w:val="18"/>
                <w:u w:val="single"/>
              </w:rPr>
              <w:t>EIA-886:</w:t>
            </w:r>
          </w:p>
          <w:p w:rsidR="00FB78F9" w:rsidRDefault="0044464E" w:rsidP="007B15BA">
            <w:pPr>
              <w:numPr>
                <w:ilvl w:val="0"/>
                <w:numId w:val="2"/>
              </w:numPr>
              <w:spacing w:before="120"/>
              <w:rPr>
                <w:sz w:val="18"/>
                <w:szCs w:val="18"/>
              </w:rPr>
            </w:pPr>
            <w:r>
              <w:rPr>
                <w:sz w:val="18"/>
                <w:szCs w:val="18"/>
              </w:rPr>
              <w:t>Prior to the development of FAST, GSA fielded the form SF-82</w:t>
            </w:r>
            <w:r w:rsidRPr="0037422F">
              <w:rPr>
                <w:i/>
                <w:sz w:val="18"/>
                <w:szCs w:val="18"/>
              </w:rPr>
              <w:t xml:space="preserve"> Agency Report of Motor Vehicle Data</w:t>
            </w:r>
            <w:r>
              <w:rPr>
                <w:sz w:val="18"/>
                <w:szCs w:val="18"/>
              </w:rPr>
              <w:t xml:space="preserve"> (now obsolete) to gather information on motor vehicles in the </w:t>
            </w:r>
            <w:r w:rsidR="00EF7C06">
              <w:rPr>
                <w:sz w:val="18"/>
                <w:szCs w:val="18"/>
              </w:rPr>
              <w:t>f</w:t>
            </w:r>
            <w:r>
              <w:rPr>
                <w:sz w:val="18"/>
                <w:szCs w:val="18"/>
              </w:rPr>
              <w:t>ederal fleet.  At one time, the Form EIA-886 and the Form SF-82 collected duplicative data</w:t>
            </w:r>
            <w:r w:rsidR="0057731E">
              <w:rPr>
                <w:sz w:val="18"/>
                <w:szCs w:val="18"/>
              </w:rPr>
              <w:t xml:space="preserve"> from federal agencies</w:t>
            </w:r>
            <w:r>
              <w:rPr>
                <w:sz w:val="18"/>
                <w:szCs w:val="18"/>
              </w:rPr>
              <w:t>; however, after 2001, EIA and GSA no longer fielded the individual survey instruments.  Instead, they both utilized the FAST system to gather their required vehicle data</w:t>
            </w:r>
            <w:r w:rsidR="0057731E">
              <w:rPr>
                <w:sz w:val="18"/>
                <w:szCs w:val="18"/>
              </w:rPr>
              <w:t xml:space="preserve"> from federal agencies</w:t>
            </w:r>
            <w:r>
              <w:rPr>
                <w:sz w:val="18"/>
                <w:szCs w:val="18"/>
              </w:rPr>
              <w:t>.</w:t>
            </w:r>
          </w:p>
          <w:p w:rsidR="0044464E" w:rsidRDefault="0044464E" w:rsidP="007B15BA">
            <w:pPr>
              <w:ind w:left="360"/>
              <w:rPr>
                <w:sz w:val="18"/>
                <w:szCs w:val="18"/>
              </w:rPr>
            </w:pPr>
          </w:p>
        </w:tc>
      </w:tr>
    </w:tbl>
    <w:p w:rsidR="0044464E" w:rsidRPr="001D4659" w:rsidRDefault="0044464E" w:rsidP="007B15BA">
      <w:pPr>
        <w:pStyle w:val="Heading2"/>
      </w:pPr>
      <w:bookmarkStart w:id="12" w:name="_Toc341193739"/>
      <w:r w:rsidRPr="001D4659">
        <w:t>Reducing Burden on Small Business</w:t>
      </w:r>
      <w:bookmarkEnd w:id="12"/>
    </w:p>
    <w:p w:rsidR="0044464E" w:rsidRPr="00153852" w:rsidRDefault="0044464E" w:rsidP="007B15BA">
      <w:pPr>
        <w:widowControl/>
        <w:spacing w:before="120"/>
      </w:pPr>
      <w:r w:rsidRPr="001D4659">
        <w:t xml:space="preserve">The </w:t>
      </w:r>
      <w:r w:rsidRPr="001D4659">
        <w:rPr>
          <w:i/>
        </w:rPr>
        <w:t>Annual Survey of Alternative Fueled Vehicle</w:t>
      </w:r>
      <w:r>
        <w:rPr>
          <w:i/>
        </w:rPr>
        <w:t>s</w:t>
      </w:r>
      <w:r w:rsidRPr="001D4659">
        <w:rPr>
          <w:i/>
        </w:rPr>
        <w:t xml:space="preserve"> </w:t>
      </w:r>
      <w:r w:rsidRPr="001D4659">
        <w:t>collects data from AFV suppliers and users of AFVs.  The small business response burden for this survey is minimal</w:t>
      </w:r>
      <w:r>
        <w:t>,</w:t>
      </w:r>
      <w:r w:rsidRPr="001D4659">
        <w:t xml:space="preserve"> </w:t>
      </w:r>
      <w:r>
        <w:t>because</w:t>
      </w:r>
      <w:r w:rsidRPr="001D4659">
        <w:t xml:space="preserve"> most of the data requested </w:t>
      </w:r>
      <w:r>
        <w:t xml:space="preserve">(the AFV and ATF information) </w:t>
      </w:r>
      <w:r w:rsidRPr="001D4659">
        <w:t xml:space="preserve">are reported </w:t>
      </w:r>
      <w:r>
        <w:t xml:space="preserve">by fleet operators, who are considered ‘large’ businesses.  The typical smaller respondent is a </w:t>
      </w:r>
      <w:r w:rsidRPr="001D4659">
        <w:t>conversion compan</w:t>
      </w:r>
      <w:r>
        <w:t>y</w:t>
      </w:r>
      <w:r w:rsidRPr="001D4659">
        <w:t xml:space="preserve"> (</w:t>
      </w:r>
      <w:r>
        <w:t>i.e., an</w:t>
      </w:r>
      <w:r w:rsidRPr="001D4659">
        <w:t xml:space="preserve"> AFV supplier)</w:t>
      </w:r>
      <w:r>
        <w:t xml:space="preserve">, and </w:t>
      </w:r>
      <w:r w:rsidRPr="001D4659">
        <w:t>the number of conversion companies has declined in recent years</w:t>
      </w:r>
      <w:r>
        <w:t>.</w:t>
      </w:r>
    </w:p>
    <w:p w:rsidR="0044464E" w:rsidRPr="001D4659" w:rsidRDefault="0044464E" w:rsidP="007B15BA">
      <w:pPr>
        <w:widowControl/>
        <w:spacing w:before="240"/>
      </w:pPr>
      <w:r w:rsidRPr="001D4659">
        <w:t xml:space="preserve">Respondents </w:t>
      </w:r>
      <w:r>
        <w:t xml:space="preserve">to the Form EIA-886 </w:t>
      </w:r>
      <w:r w:rsidRPr="001D4659">
        <w:t xml:space="preserve">are given </w:t>
      </w:r>
      <w:r>
        <w:t>options</w:t>
      </w:r>
      <w:r w:rsidRPr="001D4659">
        <w:t xml:space="preserve"> concerning how data are to be submitted to EIA. </w:t>
      </w:r>
      <w:r>
        <w:t xml:space="preserve"> </w:t>
      </w:r>
      <w:r w:rsidRPr="001D4659">
        <w:t xml:space="preserve">Small businesses </w:t>
      </w:r>
      <w:r w:rsidR="00C77C2B">
        <w:t>may</w:t>
      </w:r>
      <w:r w:rsidR="00C77C2B" w:rsidRPr="001D4659">
        <w:t xml:space="preserve"> </w:t>
      </w:r>
      <w:r w:rsidRPr="001D4659">
        <w:t xml:space="preserve">use the electronic data submission system that reduces reporting burden.  </w:t>
      </w:r>
      <w:r>
        <w:t xml:space="preserve">The proposed changes to the Form EIA-886 also reduce burden on small businesses by instructing respondents to provide estimates for </w:t>
      </w:r>
      <w:r w:rsidRPr="001D4659">
        <w:t>planned AFV supply amounts</w:t>
      </w:r>
      <w:r w:rsidR="00594AC7">
        <w:t>,</w:t>
      </w:r>
      <w:r w:rsidRPr="001D4659">
        <w:t xml:space="preserve"> based on available information at the time of report completion</w:t>
      </w:r>
      <w:r>
        <w:t xml:space="preserve">, thus </w:t>
      </w:r>
      <w:r w:rsidRPr="001D4659">
        <w:t xml:space="preserve">not requiring </w:t>
      </w:r>
      <w:r>
        <w:t xml:space="preserve">a small business </w:t>
      </w:r>
      <w:r w:rsidRPr="001D4659">
        <w:t>to apply the rigorous forecasting methods that large businesses typically have at their disposal.</w:t>
      </w:r>
    </w:p>
    <w:p w:rsidR="0044464E" w:rsidRDefault="0044464E" w:rsidP="007B15BA">
      <w:pPr>
        <w:pStyle w:val="Heading2"/>
      </w:pPr>
      <w:bookmarkStart w:id="13" w:name="_Toc341193740"/>
      <w:r>
        <w:t xml:space="preserve">Consequences of </w:t>
      </w:r>
      <w:r w:rsidRPr="001D4659">
        <w:t>Collecting Data Less Frequently</w:t>
      </w:r>
      <w:bookmarkEnd w:id="13"/>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t xml:space="preserve">Currently, EIA is the only resource for summary-level totals of AFV inventory and </w:t>
      </w:r>
      <w:r w:rsidR="0091798B">
        <w:t>ATF</w:t>
      </w:r>
      <w:r>
        <w:t xml:space="preserve"> consumption for the U.S.  Because the Form EIA-886 is a mandatory survey of vehicle suppliers, it also provides the only comprehensive picture of </w:t>
      </w:r>
      <w:r w:rsidR="00594AC7">
        <w:t xml:space="preserve">the </w:t>
      </w:r>
      <w:r>
        <w:t>current and projected supply of alternative fueled and advanced technology vehicles in the U.S.</w:t>
      </w:r>
    </w:p>
    <w:p w:rsidR="0044464E" w:rsidRPr="001D4659"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rsidRPr="00D17160">
        <w:t>If EIA collected and reported data on the AFV/ATF industry less frequently, EIA would be in violation of Section</w:t>
      </w:r>
      <w:r w:rsidRPr="001D4659">
        <w:t xml:space="preserve"> 503</w:t>
      </w:r>
      <w:r>
        <w:t xml:space="preserve"> </w:t>
      </w:r>
      <w:r w:rsidRPr="001D4659">
        <w:t>of EPACT</w:t>
      </w:r>
      <w:r>
        <w:t xml:space="preserve">92, which </w:t>
      </w:r>
      <w:r w:rsidRPr="001D4659">
        <w:t>mandates the annual collection of th</w:t>
      </w:r>
      <w:r>
        <w:t>is</w:t>
      </w:r>
      <w:r w:rsidRPr="001D4659">
        <w:t xml:space="preserve"> data.  </w:t>
      </w:r>
      <w:r>
        <w:t xml:space="preserve">Furthermore, should </w:t>
      </w:r>
      <w:r w:rsidRPr="001D4659">
        <w:t>monitor</w:t>
      </w:r>
      <w:r>
        <w:t>ing</w:t>
      </w:r>
      <w:r w:rsidRPr="001D4659">
        <w:t xml:space="preserve"> the progress of AFV </w:t>
      </w:r>
      <w:r>
        <w:t>supply</w:t>
      </w:r>
      <w:r w:rsidRPr="001D4659">
        <w:t xml:space="preserve"> and </w:t>
      </w:r>
      <w:r>
        <w:t>alternative fuel</w:t>
      </w:r>
      <w:r w:rsidRPr="001D4659">
        <w:t xml:space="preserve"> consumption </w:t>
      </w:r>
      <w:r>
        <w:t xml:space="preserve">not occur </w:t>
      </w:r>
      <w:r w:rsidRPr="001D4659">
        <w:t>on a</w:t>
      </w:r>
      <w:r w:rsidR="0091798B">
        <w:t xml:space="preserve"> minimum </w:t>
      </w:r>
      <w:r w:rsidRPr="001D4659">
        <w:t>annual basis</w:t>
      </w:r>
      <w:r>
        <w:t xml:space="preserve">, </w:t>
      </w:r>
      <w:r w:rsidRPr="001D4659">
        <w:t>the volatility and rapidly changing nature of the industry</w:t>
      </w:r>
      <w:r>
        <w:t xml:space="preserve"> may not be captured, thus impairing the ability to effectively implement </w:t>
      </w:r>
      <w:r w:rsidR="0091798B">
        <w:t xml:space="preserve">AFV and ATF </w:t>
      </w:r>
      <w:r>
        <w:t>policy mandates.</w:t>
      </w:r>
    </w:p>
    <w:p w:rsidR="00834DEF" w:rsidRDefault="00834DEF" w:rsidP="007B15BA">
      <w:pPr>
        <w:pStyle w:val="Heading2"/>
      </w:pPr>
      <w:bookmarkStart w:id="14" w:name="_Toc341193741"/>
      <w:r>
        <w:lastRenderedPageBreak/>
        <w:t>Compliance with 5CFR 1320.</w:t>
      </w:r>
      <w:r w:rsidR="004E3C70">
        <w:t>5</w:t>
      </w:r>
      <w:bookmarkEnd w:id="14"/>
    </w:p>
    <w:p w:rsidR="00834DEF" w:rsidRPr="00834DEF" w:rsidRDefault="00834DEF" w:rsidP="007B15BA">
      <w:pPr>
        <w:spacing w:before="120"/>
        <w:rPr>
          <w:szCs w:val="24"/>
        </w:rPr>
      </w:pPr>
      <w:r w:rsidRPr="00834DEF">
        <w:rPr>
          <w:szCs w:val="24"/>
        </w:rPr>
        <w:t>The data collection is in compliance with the guidelines to reduc</w:t>
      </w:r>
      <w:r w:rsidR="00D633C8">
        <w:rPr>
          <w:szCs w:val="24"/>
        </w:rPr>
        <w:t>e</w:t>
      </w:r>
      <w:r w:rsidRPr="00834DEF">
        <w:rPr>
          <w:szCs w:val="24"/>
        </w:rPr>
        <w:t xml:space="preserve"> the public’s paperwork and reporting burden as outlined in 5 CFR 1320.5.</w:t>
      </w:r>
    </w:p>
    <w:p w:rsidR="0044464E" w:rsidRPr="001D4659" w:rsidRDefault="0044464E" w:rsidP="007B15BA">
      <w:pPr>
        <w:pStyle w:val="Heading2"/>
      </w:pPr>
      <w:bookmarkStart w:id="15" w:name="_Toc341193742"/>
      <w:r w:rsidRPr="001D4659">
        <w:t>Special Circumstances</w:t>
      </w:r>
      <w:bookmarkEnd w:id="15"/>
    </w:p>
    <w:p w:rsidR="0044464E" w:rsidRPr="00614DF1"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1D4659">
        <w:t>There are no</w:t>
      </w:r>
      <w:r>
        <w:t>t any</w:t>
      </w:r>
      <w:r w:rsidRPr="001D4659">
        <w:t xml:space="preserve"> special circumstances that would require the </w:t>
      </w:r>
      <w:r w:rsidRPr="001D4659">
        <w:rPr>
          <w:i/>
        </w:rPr>
        <w:t>Annual Survey of Alternative Fueled Vehicle</w:t>
      </w:r>
      <w:r>
        <w:rPr>
          <w:i/>
        </w:rPr>
        <w:t>s</w:t>
      </w:r>
      <w:r w:rsidRPr="001D4659">
        <w:rPr>
          <w:i/>
        </w:rPr>
        <w:t xml:space="preserve"> </w:t>
      </w:r>
      <w:r w:rsidRPr="001D4659">
        <w:t>to be conducted in a manner inconsistent with the guidelines in 5 CFR 1320.5.</w:t>
      </w:r>
    </w:p>
    <w:p w:rsidR="0044464E" w:rsidRPr="00614DF1" w:rsidRDefault="0044464E" w:rsidP="007B15BA">
      <w:pPr>
        <w:pStyle w:val="Heading2"/>
      </w:pPr>
      <w:bookmarkStart w:id="16" w:name="_Toc341193743"/>
      <w:r w:rsidRPr="00614DF1">
        <w:t xml:space="preserve">Summary of Consultations </w:t>
      </w:r>
      <w:proofErr w:type="gramStart"/>
      <w:r w:rsidR="007D0CA0">
        <w:t>O</w:t>
      </w:r>
      <w:r w:rsidRPr="00614DF1">
        <w:t>utside</w:t>
      </w:r>
      <w:proofErr w:type="gramEnd"/>
      <w:r w:rsidRPr="00614DF1">
        <w:t xml:space="preserve"> the Agency</w:t>
      </w:r>
      <w:bookmarkEnd w:id="16"/>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t>EIA did not receive any response from the public to the June 26, 2012, (77 FR 38278)</w:t>
      </w:r>
      <w:r>
        <w:rPr>
          <w:color w:val="FF0000"/>
        </w:rPr>
        <w:t xml:space="preserve"> </w:t>
      </w:r>
      <w:r w:rsidRPr="00DD5C95">
        <w:t>Federal Register notice soliciting comments on the extension with changes of the Form EIA-886</w:t>
      </w:r>
      <w:r>
        <w:t>.</w:t>
      </w:r>
    </w:p>
    <w:p w:rsidR="007206A5" w:rsidRDefault="007206A5"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p>
    <w:p w:rsidR="004E3C70" w:rsidRPr="00614DF1" w:rsidRDefault="004E3C70" w:rsidP="007B15BA">
      <w:pPr>
        <w:pStyle w:val="Heading2"/>
      </w:pPr>
      <w:bookmarkStart w:id="17" w:name="_Toc334087498"/>
      <w:bookmarkStart w:id="18" w:name="_Toc341193744"/>
      <w:bookmarkEnd w:id="17"/>
      <w:r>
        <w:t>Remuneration</w:t>
      </w:r>
      <w:bookmarkEnd w:id="18"/>
    </w:p>
    <w:p w:rsidR="004E3C70"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834DEF">
        <w:t>Payments or gifts will not be given to respondents for completing the Form EIA-886 survey.</w:t>
      </w:r>
    </w:p>
    <w:p w:rsidR="0044464E" w:rsidRPr="004E3C70" w:rsidRDefault="009A7A78" w:rsidP="007B15BA">
      <w:pPr>
        <w:pStyle w:val="Heading2"/>
      </w:pPr>
      <w:bookmarkStart w:id="19" w:name="_Toc341193745"/>
      <w:r>
        <w:t xml:space="preserve">Disclosure </w:t>
      </w:r>
      <w:r w:rsidR="0044464E" w:rsidRPr="004E3C70">
        <w:t>of Information</w:t>
      </w:r>
      <w:bookmarkEnd w:id="19"/>
    </w:p>
    <w:p w:rsidR="0044464E" w:rsidRDefault="0044464E" w:rsidP="007B15BA">
      <w:pPr>
        <w:spacing w:before="120"/>
        <w:rPr>
          <w:rFonts w:cs="Arial"/>
        </w:rPr>
      </w:pPr>
      <w:r w:rsidRPr="001D4659">
        <w:rPr>
          <w:rFonts w:cs="Arial"/>
        </w:rPr>
        <w:t xml:space="preserve">The information reported on Form EIA-886 will be </w:t>
      </w:r>
      <w:r>
        <w:rPr>
          <w:rFonts w:cs="Arial"/>
        </w:rPr>
        <w:t>protected and not disclosed t</w:t>
      </w:r>
      <w:r w:rsidRPr="001D4659">
        <w:rPr>
          <w:rFonts w:cs="Arial"/>
        </w:rPr>
        <w:t>o the public to the extent that it satisfies the criteria for exemption under the Freedom of Information Act (FOIA), 5 U.S.C. §552, the DOE regulations, 10 C.F.R. §1004.11, implementing the FOIA, and the Trade</w:t>
      </w:r>
      <w:r>
        <w:rPr>
          <w:rFonts w:cs="Arial"/>
        </w:rPr>
        <w:t xml:space="preserve"> Secrets Act, 18 U.S.C. §1905.</w:t>
      </w:r>
    </w:p>
    <w:p w:rsidR="0044464E" w:rsidRPr="001D4659" w:rsidRDefault="0044464E" w:rsidP="007B15BA">
      <w:pPr>
        <w:spacing w:before="240"/>
        <w:rPr>
          <w:rFonts w:cs="Arial"/>
        </w:rPr>
      </w:pPr>
      <w:r w:rsidRPr="001D4659">
        <w:rPr>
          <w:rFonts w:cs="Arial"/>
        </w:rPr>
        <w:t>The Federal Energy Administration Act requires EIA to provide company-specific data to other Federal agencies wh</w:t>
      </w:r>
      <w:r>
        <w:rPr>
          <w:rFonts w:cs="Arial"/>
        </w:rPr>
        <w:t xml:space="preserve">en requested for official use.  </w:t>
      </w:r>
      <w:r w:rsidRPr="001D4659">
        <w:rPr>
          <w:rFonts w:cs="Arial"/>
        </w:rPr>
        <w:t>The information reported on th</w:t>
      </w:r>
      <w:r>
        <w:rPr>
          <w:rFonts w:cs="Arial"/>
        </w:rPr>
        <w:t>e Form EIA-886</w:t>
      </w:r>
      <w:r w:rsidRPr="001D4659">
        <w:rPr>
          <w:rFonts w:cs="Arial"/>
        </w:rPr>
        <w:t xml:space="preserve"> may also be made available, upon request, to another component of the Department of Energy (DOE)</w:t>
      </w:r>
      <w:r w:rsidR="00DA281B">
        <w:rPr>
          <w:rFonts w:cs="Arial"/>
        </w:rPr>
        <w:t xml:space="preserve"> and</w:t>
      </w:r>
      <w:r w:rsidRPr="001D4659">
        <w:rPr>
          <w:rFonts w:cs="Arial"/>
        </w:rPr>
        <w:t xml:space="preserve"> to any Committee of Congress, the </w:t>
      </w:r>
      <w:r>
        <w:rPr>
          <w:rFonts w:cs="Arial"/>
        </w:rPr>
        <w:t xml:space="preserve">Government Accountability </w:t>
      </w:r>
      <w:r w:rsidRPr="001D4659">
        <w:rPr>
          <w:rFonts w:cs="Arial"/>
        </w:rPr>
        <w:t xml:space="preserve">Office, or other </w:t>
      </w:r>
      <w:r>
        <w:rPr>
          <w:rFonts w:cs="Arial"/>
        </w:rPr>
        <w:t>f</w:t>
      </w:r>
      <w:r w:rsidRPr="001D4659">
        <w:rPr>
          <w:rFonts w:cs="Arial"/>
        </w:rPr>
        <w:t>ederal agencies authorized by la</w:t>
      </w:r>
      <w:r>
        <w:rPr>
          <w:rFonts w:cs="Arial"/>
        </w:rPr>
        <w:t xml:space="preserve">w to receive such information.  </w:t>
      </w:r>
      <w:r w:rsidRPr="001D4659">
        <w:rPr>
          <w:rFonts w:cs="Arial"/>
        </w:rPr>
        <w:t>A court of competent jurisdiction may obtain this inform</w:t>
      </w:r>
      <w:r>
        <w:rPr>
          <w:rFonts w:cs="Arial"/>
        </w:rPr>
        <w:t xml:space="preserve">ation in response to an order.  </w:t>
      </w:r>
      <w:r w:rsidRPr="001D4659">
        <w:rPr>
          <w:rFonts w:cs="Arial"/>
        </w:rPr>
        <w:t>The information may be used for any non</w:t>
      </w:r>
      <w:r w:rsidR="0057731E">
        <w:rPr>
          <w:rFonts w:cs="Arial"/>
        </w:rPr>
        <w:t>-</w:t>
      </w:r>
      <w:r w:rsidRPr="001D4659">
        <w:rPr>
          <w:rFonts w:cs="Arial"/>
        </w:rPr>
        <w:t>statistical purposes such as administrative, regulatory, law enforcement, or adjudicatory purposes.</w:t>
      </w:r>
    </w:p>
    <w:p w:rsidR="00D633C8" w:rsidRPr="00D633C8" w:rsidRDefault="00D633C8" w:rsidP="00D633C8">
      <w:pPr>
        <w:spacing w:before="240"/>
        <w:rPr>
          <w:strike/>
        </w:rPr>
      </w:pPr>
      <w:r>
        <w:t xml:space="preserve">Disclosure limitation </w:t>
      </w:r>
      <w:r w:rsidRPr="00D633C8">
        <w:t>methods are applied to the statistical data published from the Form EIA-886 survey regarding alternative fuel vehicles "planned to be made available in the following calendar year</w:t>
      </w:r>
      <w:r w:rsidR="00DA281B">
        <w:t>,</w:t>
      </w:r>
      <w:r w:rsidRPr="00D633C8">
        <w:t>"</w:t>
      </w:r>
      <w:r w:rsidR="0091798B">
        <w:t xml:space="preserve"> </w:t>
      </w:r>
      <w:r w:rsidRPr="00D633C8">
        <w:t>to ensure that the risk of disclosing identifiable information is very small.</w:t>
      </w:r>
    </w:p>
    <w:p w:rsidR="00D633C8" w:rsidRDefault="00D633C8" w:rsidP="00D633C8">
      <w:pPr>
        <w:pStyle w:val="BodyText3"/>
        <w:spacing w:before="240"/>
        <w:rPr>
          <w:color w:val="auto"/>
        </w:rPr>
      </w:pPr>
      <w:r>
        <w:rPr>
          <w:color w:val="auto"/>
        </w:rPr>
        <w:t xml:space="preserve">For all other data published from the Form EIA-886, disclosure limitation </w:t>
      </w:r>
      <w:r w:rsidRPr="00D633C8">
        <w:rPr>
          <w:color w:val="auto"/>
        </w:rPr>
        <w:t>methods</w:t>
      </w:r>
      <w:r>
        <w:rPr>
          <w:color w:val="auto"/>
        </w:rPr>
        <w:t xml:space="preserve"> are not applied.</w:t>
      </w:r>
      <w:r w:rsidR="0091798B">
        <w:rPr>
          <w:color w:val="auto"/>
        </w:rPr>
        <w:t xml:space="preserve"> </w:t>
      </w:r>
      <w:r>
        <w:rPr>
          <w:color w:val="auto"/>
        </w:rPr>
        <w:t xml:space="preserve"> Thus, there may be some statistics that are based on data from fewer than three respondents, or that are dominated by data from one or two large respondents.</w:t>
      </w:r>
      <w:r w:rsidR="0091798B">
        <w:rPr>
          <w:color w:val="auto"/>
        </w:rPr>
        <w:t xml:space="preserve"> </w:t>
      </w:r>
      <w:r>
        <w:rPr>
          <w:color w:val="auto"/>
        </w:rPr>
        <w:t xml:space="preserve"> In these cases, a knowledgeable person </w:t>
      </w:r>
      <w:r w:rsidR="00DA281B">
        <w:rPr>
          <w:color w:val="auto"/>
        </w:rPr>
        <w:t xml:space="preserve">may be able </w:t>
      </w:r>
      <w:r>
        <w:rPr>
          <w:color w:val="auto"/>
        </w:rPr>
        <w:t>to estimate the information reported by a specific respondent.</w:t>
      </w:r>
    </w:p>
    <w:p w:rsidR="00B33721" w:rsidRDefault="00B33721">
      <w:pPr>
        <w:widowControl/>
        <w:autoSpaceDE/>
        <w:autoSpaceDN/>
        <w:adjustRightInd/>
        <w:spacing w:after="200" w:line="276" w:lineRule="auto"/>
      </w:pPr>
      <w:r>
        <w:rPr>
          <w:b/>
        </w:rPr>
        <w:br w:type="page"/>
      </w:r>
    </w:p>
    <w:p w:rsidR="0044464E" w:rsidRPr="00614DF1" w:rsidRDefault="0044464E" w:rsidP="007B15BA">
      <w:pPr>
        <w:pStyle w:val="Heading2"/>
      </w:pPr>
      <w:bookmarkStart w:id="20" w:name="_Toc335229769"/>
      <w:bookmarkStart w:id="21" w:name="_Toc341193746"/>
      <w:bookmarkEnd w:id="20"/>
      <w:r w:rsidRPr="001D4659">
        <w:lastRenderedPageBreak/>
        <w:t>Justification for Sensitive Questions</w:t>
      </w:r>
      <w:bookmarkEnd w:id="21"/>
    </w:p>
    <w:p w:rsidR="0044464E" w:rsidRPr="001D4659"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t>S</w:t>
      </w:r>
      <w:r w:rsidRPr="001D4659">
        <w:t xml:space="preserve">ensitive questions are </w:t>
      </w:r>
      <w:r>
        <w:t xml:space="preserve">not </w:t>
      </w:r>
      <w:r w:rsidRPr="001D4659">
        <w:t xml:space="preserve">asked on the </w:t>
      </w:r>
      <w:r w:rsidRPr="001D4659">
        <w:rPr>
          <w:i/>
        </w:rPr>
        <w:t>Annual Survey of Alternative Fueled Vehicle</w:t>
      </w:r>
      <w:r>
        <w:rPr>
          <w:i/>
        </w:rPr>
        <w:t>s</w:t>
      </w:r>
      <w:r>
        <w:t>.</w:t>
      </w:r>
    </w:p>
    <w:p w:rsidR="0044464E" w:rsidRPr="00614DF1" w:rsidRDefault="004E3C70" w:rsidP="007B15BA">
      <w:pPr>
        <w:pStyle w:val="Heading2"/>
      </w:pPr>
      <w:bookmarkStart w:id="22" w:name="_Toc341193747"/>
      <w:r>
        <w:t>Reporting Burden Estimates</w:t>
      </w:r>
      <w:bookmarkEnd w:id="22"/>
    </w:p>
    <w:p w:rsidR="0044464E" w:rsidRPr="00614DF1"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1D4659">
        <w:t xml:space="preserve">The average annual respondent burden for Form EIA-886 is approximately </w:t>
      </w:r>
      <w:r>
        <w:t>four</w:t>
      </w:r>
      <w:r w:rsidRPr="001D4659">
        <w:t xml:space="preserve"> hours, calculated as follows: </w:t>
      </w:r>
    </w:p>
    <w:p w:rsidR="0044464E" w:rsidRPr="000B73C0"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pPr>
      <w:r>
        <w:t>30</w:t>
      </w:r>
      <w:r w:rsidRPr="000B73C0">
        <w:t xml:space="preserve"> Original Equipment Manufacturers x </w:t>
      </w:r>
      <w:r>
        <w:t>2.5</w:t>
      </w:r>
      <w:r w:rsidRPr="000B73C0">
        <w:t xml:space="preserve"> hours = </w:t>
      </w:r>
      <w:r>
        <w:t>75</w:t>
      </w:r>
      <w:r w:rsidRPr="000B73C0">
        <w:t xml:space="preserve"> h</w:t>
      </w:r>
      <w:r>
        <w:t>ours</w:t>
      </w:r>
    </w:p>
    <w:p w:rsidR="0044464E" w:rsidRPr="000B73C0"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pPr>
      <w:r>
        <w:t>20</w:t>
      </w:r>
      <w:r w:rsidRPr="000B73C0">
        <w:t xml:space="preserve"> AFV converters x 2 hours = </w:t>
      </w:r>
      <w:r>
        <w:t>40</w:t>
      </w:r>
      <w:r w:rsidRPr="000B73C0">
        <w:t xml:space="preserve"> h</w:t>
      </w:r>
      <w:r>
        <w:t>ours</w:t>
      </w:r>
    </w:p>
    <w:p w:rsidR="0044464E" w:rsidRPr="000B73C0" w:rsidRDefault="0044464E" w:rsidP="007B15BA">
      <w:pPr>
        <w:widowControl/>
        <w:tabs>
          <w:tab w:val="left" w:pos="0"/>
          <w:tab w:val="left" w:pos="1938"/>
          <w:tab w:val="left" w:pos="237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pPr>
      <w:r w:rsidRPr="000B73C0">
        <w:t xml:space="preserve">100 Users of AFVs and ATFs (complex fleets) x </w:t>
      </w:r>
      <w:r>
        <w:t>24</w:t>
      </w:r>
      <w:r w:rsidRPr="000B73C0">
        <w:t xml:space="preserve"> hours = </w:t>
      </w:r>
      <w:r>
        <w:t>2,400</w:t>
      </w:r>
      <w:r w:rsidRPr="000B73C0">
        <w:t xml:space="preserve"> h</w:t>
      </w:r>
      <w:r>
        <w:t>ours</w:t>
      </w:r>
    </w:p>
    <w:p w:rsidR="0044464E" w:rsidRPr="00614DF1" w:rsidRDefault="0044464E" w:rsidP="007B15BA">
      <w:pPr>
        <w:pStyle w:val="Header"/>
        <w:widowControl/>
        <w:tabs>
          <w:tab w:val="left" w:pos="1938"/>
          <w:tab w:val="left" w:pos="2370"/>
          <w:tab w:val="left" w:pos="2880"/>
          <w:tab w:val="left" w:pos="3600"/>
          <w:tab w:val="left" w:pos="4320"/>
          <w:tab w:val="left" w:pos="5040"/>
          <w:tab w:val="left" w:pos="5760"/>
          <w:tab w:val="left" w:pos="6480"/>
          <w:tab w:val="left" w:pos="7200"/>
          <w:tab w:val="left" w:pos="7920"/>
          <w:tab w:val="left" w:pos="8640"/>
        </w:tabs>
        <w:spacing w:before="120"/>
        <w:ind w:left="360"/>
      </w:pPr>
      <w:r w:rsidRPr="000B73C0">
        <w:t>1</w:t>
      </w:r>
      <w:r>
        <w:t>,</w:t>
      </w:r>
      <w:r w:rsidRPr="000B73C0">
        <w:t xml:space="preserve">900 Users of AFVs and ATFs (simple fleets) x </w:t>
      </w:r>
      <w:r>
        <w:t>3</w:t>
      </w:r>
      <w:r w:rsidRPr="000B73C0">
        <w:t xml:space="preserve"> hours = </w:t>
      </w:r>
      <w:r>
        <w:t>5,700</w:t>
      </w:r>
      <w:r w:rsidRPr="000B73C0">
        <w:t xml:space="preserve"> h</w:t>
      </w:r>
      <w:r>
        <w:t>ours</w:t>
      </w:r>
    </w:p>
    <w:p w:rsidR="0044464E" w:rsidRDefault="0044464E" w:rsidP="007B15BA">
      <w:pPr>
        <w:pStyle w:val="Header"/>
        <w:widowControl/>
        <w:tabs>
          <w:tab w:val="left" w:pos="1938"/>
          <w:tab w:val="left" w:pos="2370"/>
          <w:tab w:val="left" w:pos="2880"/>
          <w:tab w:val="left" w:pos="3600"/>
          <w:tab w:val="left" w:pos="4320"/>
          <w:tab w:val="left" w:pos="5040"/>
          <w:tab w:val="left" w:pos="5760"/>
          <w:tab w:val="left" w:pos="6480"/>
          <w:tab w:val="left" w:pos="7200"/>
          <w:tab w:val="left" w:pos="7920"/>
          <w:tab w:val="left" w:pos="8640"/>
        </w:tabs>
        <w:spacing w:before="240"/>
        <w:ind w:left="720"/>
      </w:pPr>
      <w:r w:rsidRPr="000B73C0">
        <w:t xml:space="preserve">Total Burden = </w:t>
      </w:r>
      <w:r>
        <w:t>8,215</w:t>
      </w:r>
      <w:r w:rsidRPr="000B73C0">
        <w:t xml:space="preserve"> hours for 2,0</w:t>
      </w:r>
      <w:r>
        <w:t>50</w:t>
      </w:r>
      <w:r w:rsidRPr="000B73C0">
        <w:t xml:space="preserve"> respondents</w:t>
      </w:r>
    </w:p>
    <w:p w:rsidR="007B037C" w:rsidRPr="000B73C0"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b/>
        </w:rPr>
      </w:pPr>
      <w:r w:rsidRPr="000B73C0">
        <w:rPr>
          <w:b/>
        </w:rPr>
        <w:t>Total Annual Respondent Cost:</w:t>
      </w:r>
    </w:p>
    <w:p w:rsidR="007B037C" w:rsidRPr="00614DF1"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t>Based on (1) the time needed to retrieve the requested information from existing information systems and (2) the time needed to report that data to EIA via a Web reporting system, t</w:t>
      </w:r>
      <w:r w:rsidRPr="000B73C0">
        <w:t>he average annual respondent cost for Form EIA-886 is approximately $</w:t>
      </w:r>
      <w:r>
        <w:t>271</w:t>
      </w:r>
      <w:r w:rsidRPr="000B73C0">
        <w:t xml:space="preserve">, calculated as follows: </w:t>
      </w:r>
    </w:p>
    <w:p w:rsidR="007B037C" w:rsidRPr="000B73C0"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pPr>
      <w:r w:rsidRPr="000B73C0">
        <w:t>Original Equipment Manufacturers ($</w:t>
      </w:r>
      <w:r>
        <w:t>67.74</w:t>
      </w:r>
      <w:r w:rsidRPr="000B73C0">
        <w:t xml:space="preserve"> per hour x </w:t>
      </w:r>
      <w:r>
        <w:t>75</w:t>
      </w:r>
      <w:r w:rsidRPr="000B73C0">
        <w:t xml:space="preserve"> hours = $</w:t>
      </w:r>
      <w:r>
        <w:t>5,081</w:t>
      </w:r>
      <w:r w:rsidRPr="000B73C0">
        <w:t>)</w:t>
      </w:r>
    </w:p>
    <w:p w:rsidR="007B037C" w:rsidRPr="000B73C0"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pPr>
      <w:r w:rsidRPr="000B73C0">
        <w:t>Conversion Companies ($</w:t>
      </w:r>
      <w:r>
        <w:t>67.74</w:t>
      </w:r>
      <w:r w:rsidRPr="000B73C0">
        <w:t xml:space="preserve"> per hour x </w:t>
      </w:r>
      <w:r>
        <w:t>40</w:t>
      </w:r>
      <w:r w:rsidRPr="000B73C0">
        <w:t xml:space="preserve"> hours = $</w:t>
      </w:r>
      <w:r>
        <w:t>2,710)</w:t>
      </w:r>
    </w:p>
    <w:p w:rsidR="007B037C" w:rsidRPr="00614DF1"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pPr>
      <w:r w:rsidRPr="000B73C0">
        <w:t>Users of AFVs and ATFs ($</w:t>
      </w:r>
      <w:r>
        <w:t xml:space="preserve">67.74 </w:t>
      </w:r>
      <w:r w:rsidRPr="000B73C0">
        <w:t xml:space="preserve">per hour x </w:t>
      </w:r>
      <w:r>
        <w:t>8,100</w:t>
      </w:r>
      <w:r w:rsidRPr="000B73C0">
        <w:t xml:space="preserve"> hours = $</w:t>
      </w:r>
      <w:r>
        <w:t>548,694</w:t>
      </w:r>
      <w:r w:rsidRPr="000B73C0">
        <w:t>)</w:t>
      </w:r>
    </w:p>
    <w:p w:rsidR="007B037C" w:rsidRPr="009D567C" w:rsidRDefault="007B037C" w:rsidP="007B037C">
      <w:pPr>
        <w:pStyle w:val="Heading1"/>
        <w:widowControl/>
        <w:tabs>
          <w:tab w:val="left" w:pos="720"/>
        </w:tabs>
        <w:spacing w:before="240"/>
        <w:ind w:left="720"/>
        <w:rPr>
          <w:sz w:val="24"/>
          <w:szCs w:val="24"/>
        </w:rPr>
      </w:pPr>
      <w:r w:rsidRPr="009D567C">
        <w:rPr>
          <w:sz w:val="24"/>
          <w:szCs w:val="24"/>
        </w:rPr>
        <w:t>Total Cost = $556,485</w:t>
      </w:r>
    </w:p>
    <w:p w:rsidR="007B037C" w:rsidRPr="00614DF1"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Times" w:hAnsi="Times"/>
        </w:rPr>
      </w:pPr>
      <w:r w:rsidRPr="000B73C0">
        <w:rPr>
          <w:rFonts w:ascii="Times" w:hAnsi="Times"/>
        </w:rPr>
        <w:t>An average cost per hour of $</w:t>
      </w:r>
      <w:r>
        <w:rPr>
          <w:rFonts w:ascii="Times" w:hAnsi="Times"/>
        </w:rPr>
        <w:t>67.74</w:t>
      </w:r>
      <w:r w:rsidRPr="000B73C0">
        <w:rPr>
          <w:rFonts w:ascii="Times" w:hAnsi="Times"/>
        </w:rPr>
        <w:t xml:space="preserve"> is used because th</w:t>
      </w:r>
      <w:r>
        <w:rPr>
          <w:rFonts w:ascii="Times" w:hAnsi="Times"/>
        </w:rPr>
        <w:t>is</w:t>
      </w:r>
      <w:r w:rsidRPr="000B73C0">
        <w:rPr>
          <w:rFonts w:ascii="Times" w:hAnsi="Times"/>
        </w:rPr>
        <w:t xml:space="preserve"> is the average loaded (salary plus benefits) cost for an EIA employee.  EIA assumes that the survey respondent workforce completing surveys for EIA is comparable with the EIA workforce.</w:t>
      </w:r>
    </w:p>
    <w:p w:rsidR="009D567C" w:rsidRDefault="009D567C" w:rsidP="009D567C">
      <w:pPr>
        <w:pStyle w:val="Header"/>
        <w:widowControl/>
        <w:tabs>
          <w:tab w:val="left" w:pos="1938"/>
          <w:tab w:val="left" w:pos="2370"/>
          <w:tab w:val="left" w:pos="2880"/>
          <w:tab w:val="left" w:pos="3600"/>
          <w:tab w:val="left" w:pos="4320"/>
          <w:tab w:val="left" w:pos="5040"/>
          <w:tab w:val="left" w:pos="5760"/>
          <w:tab w:val="left" w:pos="6480"/>
          <w:tab w:val="left" w:pos="7200"/>
          <w:tab w:val="left" w:pos="7920"/>
          <w:tab w:val="left" w:pos="8640"/>
        </w:tabs>
        <w:spacing w:before="240"/>
      </w:pPr>
    </w:p>
    <w:p w:rsidR="0044464E" w:rsidRPr="004E3C70" w:rsidRDefault="0044464E" w:rsidP="007B15BA">
      <w:pPr>
        <w:pStyle w:val="Heading2"/>
      </w:pPr>
      <w:bookmarkStart w:id="23" w:name="_Toc341193748"/>
      <w:r w:rsidRPr="004E3C70">
        <w:t xml:space="preserve">Total Annual </w:t>
      </w:r>
      <w:r w:rsidR="004E3C70" w:rsidRPr="004E3C70">
        <w:t xml:space="preserve">Cost to </w:t>
      </w:r>
      <w:r w:rsidRPr="004E3C70">
        <w:t>Respond</w:t>
      </w:r>
      <w:r w:rsidR="004E3C70" w:rsidRPr="004E3C70">
        <w:t>ents</w:t>
      </w:r>
      <w:bookmarkEnd w:id="23"/>
    </w:p>
    <w:p w:rsidR="0044464E" w:rsidRPr="001D4659"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1D4659">
        <w:t>There are no</w:t>
      </w:r>
      <w:r w:rsidR="005F1439">
        <w:t>t any</w:t>
      </w:r>
      <w:r w:rsidRPr="001D4659">
        <w:t xml:space="preserve"> </w:t>
      </w:r>
      <w:r w:rsidR="005F1439">
        <w:t xml:space="preserve">costs </w:t>
      </w:r>
      <w:r w:rsidR="00B34734">
        <w:t>other than</w:t>
      </w:r>
      <w:r w:rsidR="005F1439">
        <w:t xml:space="preserve"> burden hours</w:t>
      </w:r>
      <w:r w:rsidRPr="001D4659">
        <w:t xml:space="preserve"> associated with th</w:t>
      </w:r>
      <w:r w:rsidR="005F1439">
        <w:t xml:space="preserve">e revisions to this data </w:t>
      </w:r>
      <w:r w:rsidRPr="001D4659">
        <w:t>collection</w:t>
      </w:r>
      <w:r w:rsidR="005F1439">
        <w:t>.</w:t>
      </w:r>
    </w:p>
    <w:p w:rsidR="0044464E" w:rsidRPr="007206A5" w:rsidRDefault="0044464E" w:rsidP="007B15BA">
      <w:pPr>
        <w:pStyle w:val="Heading2"/>
      </w:pPr>
      <w:bookmarkStart w:id="24" w:name="_Toc341193749"/>
      <w:r w:rsidRPr="007206A5">
        <w:t>Estimate of Cost to the Federal Government</w:t>
      </w:r>
      <w:bookmarkEnd w:id="24"/>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1D4659">
        <w:t xml:space="preserve">The annual cost to the </w:t>
      </w:r>
      <w:r>
        <w:t xml:space="preserve">Federal </w:t>
      </w:r>
      <w:r w:rsidRPr="001D4659">
        <w:t>Government for Form EIA-886 is estimated at $</w:t>
      </w:r>
      <w:r>
        <w:t xml:space="preserve">375,000.  </w:t>
      </w:r>
      <w:r w:rsidRPr="001D4659">
        <w:t xml:space="preserve">This cost estimate includes funds for data collection, follow-up </w:t>
      </w:r>
      <w:r w:rsidR="00086A97">
        <w:t>for non</w:t>
      </w:r>
      <w:r w:rsidR="007F3CB9">
        <w:t>-</w:t>
      </w:r>
      <w:r w:rsidR="00086A97">
        <w:t xml:space="preserve">response, </w:t>
      </w:r>
      <w:r w:rsidRPr="001D4659">
        <w:t xml:space="preserve">data processing, </w:t>
      </w:r>
      <w:r w:rsidR="00086A97">
        <w:t>estimation,</w:t>
      </w:r>
      <w:r w:rsidRPr="001D4659">
        <w:t xml:space="preserve"> survey documentation, data analysis, and preparation of data reports.</w:t>
      </w:r>
    </w:p>
    <w:p w:rsidR="0044464E" w:rsidRPr="007206A5" w:rsidRDefault="0044464E" w:rsidP="007B15BA">
      <w:pPr>
        <w:pStyle w:val="Heading2"/>
      </w:pPr>
      <w:bookmarkStart w:id="25" w:name="_Toc341193750"/>
      <w:r w:rsidRPr="007206A5">
        <w:lastRenderedPageBreak/>
        <w:t>Changes in Respondent Burden</w:t>
      </w:r>
      <w:bookmarkEnd w:id="25"/>
    </w:p>
    <w:p w:rsidR="0044464E" w:rsidRDefault="0044464E" w:rsidP="007B15BA">
      <w:pPr>
        <w:pStyle w:val="HTMLPreformatted"/>
        <w:spacing w:before="120"/>
        <w:rPr>
          <w:rFonts w:ascii="Times New Roman" w:hAnsi="Times New Roman" w:cs="Times New Roman"/>
          <w:szCs w:val="24"/>
          <w:lang w:eastAsia="ar-SA"/>
        </w:rPr>
      </w:pPr>
      <w:r>
        <w:rPr>
          <w:rFonts w:ascii="Times New Roman" w:hAnsi="Times New Roman" w:cs="Times New Roman"/>
          <w:szCs w:val="24"/>
          <w:lang w:eastAsia="ar-SA"/>
        </w:rPr>
        <w:t>Reasons for changes in respondent burden, which result in a reduction from 10,812 hours to 8,215 hours, are three-fold:</w:t>
      </w:r>
    </w:p>
    <w:p w:rsidR="0044464E" w:rsidRDefault="00F478BF" w:rsidP="007B15BA">
      <w:pPr>
        <w:pStyle w:val="HTMLPreformatted"/>
        <w:numPr>
          <w:ilvl w:val="0"/>
          <w:numId w:val="5"/>
        </w:numPr>
        <w:tabs>
          <w:tab w:val="clear" w:pos="10076"/>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pacing w:before="120"/>
        <w:rPr>
          <w:szCs w:val="24"/>
        </w:rPr>
      </w:pPr>
      <w:r>
        <w:rPr>
          <w:rFonts w:ascii="Times New Roman" w:hAnsi="Times New Roman" w:cs="Times New Roman"/>
          <w:szCs w:val="24"/>
          <w:lang w:eastAsia="ar-SA"/>
        </w:rPr>
        <w:t>Because t</w:t>
      </w:r>
      <w:r w:rsidR="0044464E" w:rsidRPr="00B27D51">
        <w:rPr>
          <w:rFonts w:ascii="Times New Roman" w:hAnsi="Times New Roman" w:cs="Times New Roman"/>
          <w:szCs w:val="24"/>
          <w:lang w:eastAsia="ar-SA"/>
        </w:rPr>
        <w:t>he number of original equipment manufacturers and aftermarket vehicle converters in the marketplace</w:t>
      </w:r>
      <w:r>
        <w:rPr>
          <w:rFonts w:ascii="Times New Roman" w:hAnsi="Times New Roman" w:cs="Times New Roman"/>
          <w:szCs w:val="24"/>
          <w:lang w:eastAsia="ar-SA"/>
        </w:rPr>
        <w:t xml:space="preserve"> has decreased</w:t>
      </w:r>
      <w:r w:rsidR="0044464E" w:rsidRPr="00B27D51">
        <w:rPr>
          <w:rFonts w:ascii="Times New Roman" w:hAnsi="Times New Roman" w:cs="Times New Roman"/>
          <w:szCs w:val="24"/>
          <w:lang w:eastAsia="ar-SA"/>
        </w:rPr>
        <w:t xml:space="preserve">, EIA estimates the survey frame of suppliers for the Form EIA-886 </w:t>
      </w:r>
      <w:r w:rsidR="0044464E">
        <w:rPr>
          <w:rFonts w:ascii="Times New Roman" w:hAnsi="Times New Roman" w:cs="Times New Roman"/>
          <w:szCs w:val="24"/>
          <w:lang w:eastAsia="ar-SA"/>
        </w:rPr>
        <w:t>will</w:t>
      </w:r>
      <w:r w:rsidR="0044464E" w:rsidRPr="00B27D51">
        <w:rPr>
          <w:rFonts w:ascii="Times New Roman" w:hAnsi="Times New Roman" w:cs="Times New Roman"/>
          <w:szCs w:val="24"/>
          <w:lang w:eastAsia="ar-SA"/>
        </w:rPr>
        <w:t xml:space="preserve"> decrease from 75 to 50 respondents, thus creating a decrease in overall respondent burden hours.</w:t>
      </w:r>
    </w:p>
    <w:p w:rsidR="0044464E" w:rsidRDefault="0044464E" w:rsidP="007B15BA">
      <w:pPr>
        <w:pStyle w:val="HTMLPreformatted"/>
        <w:numPr>
          <w:ilvl w:val="0"/>
          <w:numId w:val="5"/>
        </w:numPr>
        <w:tabs>
          <w:tab w:val="clear" w:pos="10076"/>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pacing w:before="120"/>
        <w:rPr>
          <w:szCs w:val="24"/>
        </w:rPr>
      </w:pPr>
      <w:r>
        <w:rPr>
          <w:rFonts w:ascii="Times New Roman" w:hAnsi="Times New Roman" w:cs="Times New Roman"/>
          <w:szCs w:val="24"/>
          <w:lang w:eastAsia="ar-SA"/>
        </w:rPr>
        <w:t>With increasing use</w:t>
      </w:r>
      <w:r w:rsidRPr="00B27D51">
        <w:rPr>
          <w:rFonts w:ascii="Times New Roman" w:hAnsi="Times New Roman" w:cs="Times New Roman"/>
          <w:szCs w:val="24"/>
          <w:lang w:eastAsia="ar-SA"/>
        </w:rPr>
        <w:t xml:space="preserve"> of </w:t>
      </w:r>
      <w:r>
        <w:rPr>
          <w:rFonts w:ascii="Times New Roman" w:hAnsi="Times New Roman" w:cs="Times New Roman"/>
          <w:szCs w:val="24"/>
          <w:lang w:eastAsia="ar-SA"/>
        </w:rPr>
        <w:t xml:space="preserve">automated </w:t>
      </w:r>
      <w:r w:rsidRPr="00B27D51">
        <w:rPr>
          <w:rFonts w:ascii="Times New Roman" w:hAnsi="Times New Roman" w:cs="Times New Roman"/>
          <w:szCs w:val="24"/>
          <w:lang w:eastAsia="ar-SA"/>
        </w:rPr>
        <w:t xml:space="preserve">fleet management information systems in most organizations, EIA estimates a reduction in the amount of time </w:t>
      </w:r>
      <w:r>
        <w:rPr>
          <w:rFonts w:ascii="Times New Roman" w:hAnsi="Times New Roman" w:cs="Times New Roman"/>
          <w:szCs w:val="24"/>
          <w:lang w:eastAsia="ar-SA"/>
        </w:rPr>
        <w:t xml:space="preserve">organizations </w:t>
      </w:r>
      <w:r w:rsidRPr="00B27D51">
        <w:rPr>
          <w:rFonts w:ascii="Times New Roman" w:hAnsi="Times New Roman" w:cs="Times New Roman"/>
          <w:szCs w:val="24"/>
          <w:lang w:eastAsia="ar-SA"/>
        </w:rPr>
        <w:t xml:space="preserve">need to compile and report data to EIA.  </w:t>
      </w:r>
      <w:r>
        <w:rPr>
          <w:rFonts w:ascii="Times New Roman" w:hAnsi="Times New Roman" w:cs="Times New Roman"/>
          <w:szCs w:val="24"/>
          <w:lang w:eastAsia="ar-SA"/>
        </w:rPr>
        <w:t>Automation of fleet in</w:t>
      </w:r>
      <w:bookmarkStart w:id="26" w:name="_GoBack"/>
      <w:bookmarkEnd w:id="26"/>
      <w:r>
        <w:rPr>
          <w:rFonts w:ascii="Times New Roman" w:hAnsi="Times New Roman" w:cs="Times New Roman"/>
          <w:szCs w:val="24"/>
          <w:lang w:eastAsia="ar-SA"/>
        </w:rPr>
        <w:t>formation into databases allows for quicker information gathering, collection and reporting, especially when the data are then entered via a Web-based data collection system, such as the Form EIA-886 Internet data collection system.</w:t>
      </w:r>
    </w:p>
    <w:p w:rsidR="00F478BF" w:rsidRDefault="00165243" w:rsidP="007B15BA">
      <w:pPr>
        <w:pStyle w:val="HTMLPreformatted"/>
        <w:numPr>
          <w:ilvl w:val="0"/>
          <w:numId w:val="5"/>
        </w:numPr>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rPr>
          <w:rFonts w:ascii="Times New Roman" w:hAnsi="Times New Roman" w:cs="Times New Roman"/>
          <w:szCs w:val="24"/>
          <w:lang w:eastAsia="ar-SA"/>
        </w:rPr>
      </w:pPr>
      <w:r>
        <w:rPr>
          <w:rFonts w:ascii="Times New Roman" w:hAnsi="Times New Roman" w:cs="Times New Roman"/>
          <w:szCs w:val="24"/>
          <w:lang w:eastAsia="ar-SA"/>
        </w:rPr>
        <w:t>From a proposed redesign of t</w:t>
      </w:r>
      <w:r w:rsidR="0044464E" w:rsidRPr="00B27D51">
        <w:rPr>
          <w:rFonts w:ascii="Times New Roman" w:hAnsi="Times New Roman" w:cs="Times New Roman"/>
          <w:szCs w:val="24"/>
          <w:lang w:eastAsia="ar-SA"/>
        </w:rPr>
        <w:t xml:space="preserve">he </w:t>
      </w:r>
      <w:r w:rsidR="0091798B">
        <w:rPr>
          <w:rFonts w:ascii="Times New Roman" w:hAnsi="Times New Roman" w:cs="Times New Roman"/>
          <w:szCs w:val="24"/>
          <w:lang w:eastAsia="ar-SA"/>
        </w:rPr>
        <w:t>Fo</w:t>
      </w:r>
      <w:r w:rsidR="0044464E" w:rsidRPr="00B27D51">
        <w:rPr>
          <w:rFonts w:ascii="Times New Roman" w:hAnsi="Times New Roman" w:cs="Times New Roman"/>
          <w:szCs w:val="24"/>
          <w:lang w:eastAsia="ar-SA"/>
        </w:rPr>
        <w:t xml:space="preserve">rm </w:t>
      </w:r>
      <w:r w:rsidR="0091798B">
        <w:rPr>
          <w:rFonts w:ascii="Times New Roman" w:hAnsi="Times New Roman" w:cs="Times New Roman"/>
          <w:szCs w:val="24"/>
          <w:lang w:eastAsia="ar-SA"/>
        </w:rPr>
        <w:t>EIA-886</w:t>
      </w:r>
      <w:r>
        <w:rPr>
          <w:rFonts w:ascii="Times New Roman" w:hAnsi="Times New Roman" w:cs="Times New Roman"/>
          <w:szCs w:val="24"/>
          <w:lang w:eastAsia="ar-SA"/>
        </w:rPr>
        <w:t xml:space="preserve"> with improved presentation of the questionnaire items and instructions, </w:t>
      </w:r>
      <w:r w:rsidR="0044464E">
        <w:rPr>
          <w:rFonts w:ascii="Times New Roman" w:hAnsi="Times New Roman" w:cs="Times New Roman"/>
          <w:szCs w:val="24"/>
        </w:rPr>
        <w:t xml:space="preserve">EIA estimates a </w:t>
      </w:r>
      <w:r w:rsidR="002E2D85">
        <w:rPr>
          <w:rFonts w:ascii="Times New Roman" w:hAnsi="Times New Roman" w:cs="Times New Roman"/>
          <w:szCs w:val="24"/>
        </w:rPr>
        <w:t xml:space="preserve">1.2 hour </w:t>
      </w:r>
      <w:r w:rsidR="0044464E">
        <w:rPr>
          <w:rFonts w:ascii="Times New Roman" w:hAnsi="Times New Roman" w:cs="Times New Roman"/>
          <w:szCs w:val="24"/>
        </w:rPr>
        <w:t xml:space="preserve">reduction in the time required to </w:t>
      </w:r>
      <w:r w:rsidR="002E2D85">
        <w:rPr>
          <w:rFonts w:ascii="Times New Roman" w:hAnsi="Times New Roman" w:cs="Times New Roman"/>
          <w:szCs w:val="24"/>
        </w:rPr>
        <w:t>respond to the questionnaire</w:t>
      </w:r>
      <w:r w:rsidR="0044464E">
        <w:rPr>
          <w:rFonts w:ascii="Times New Roman" w:hAnsi="Times New Roman" w:cs="Times New Roman"/>
          <w:szCs w:val="24"/>
        </w:rPr>
        <w:t>.</w:t>
      </w:r>
    </w:p>
    <w:p w:rsidR="0044464E" w:rsidRDefault="0044464E" w:rsidP="00F478BF">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ind w:left="360"/>
        <w:rPr>
          <w:rFonts w:ascii="Times New Roman" w:hAnsi="Times New Roman" w:cs="Times New Roman"/>
          <w:szCs w:val="24"/>
          <w:lang w:eastAsia="ar-SA"/>
        </w:rPr>
      </w:pPr>
      <w:r>
        <w:rPr>
          <w:rFonts w:ascii="Times New Roman" w:hAnsi="Times New Roman" w:cs="Times New Roman"/>
          <w:szCs w:val="24"/>
        </w:rPr>
        <w:t>Wh</w:t>
      </w:r>
      <w:r w:rsidRPr="00B27D51">
        <w:rPr>
          <w:rFonts w:ascii="Times New Roman" w:hAnsi="Times New Roman" w:cs="Times New Roman"/>
          <w:szCs w:val="24"/>
        </w:rPr>
        <w:t xml:space="preserve">ile none of the existing constructs measured on the Form EIA-886 change, the </w:t>
      </w:r>
      <w:r w:rsidR="00F478BF">
        <w:rPr>
          <w:rFonts w:ascii="Times New Roman" w:hAnsi="Times New Roman" w:cs="Times New Roman"/>
          <w:szCs w:val="24"/>
        </w:rPr>
        <w:t xml:space="preserve">proposed </w:t>
      </w:r>
      <w:r w:rsidRPr="00B27D51">
        <w:rPr>
          <w:rFonts w:ascii="Times New Roman" w:hAnsi="Times New Roman" w:cs="Times New Roman"/>
          <w:szCs w:val="24"/>
        </w:rPr>
        <w:t xml:space="preserve">form </w:t>
      </w:r>
      <w:r>
        <w:rPr>
          <w:rFonts w:ascii="Times New Roman" w:hAnsi="Times New Roman" w:cs="Times New Roman"/>
          <w:szCs w:val="24"/>
        </w:rPr>
        <w:t xml:space="preserve">is </w:t>
      </w:r>
      <w:r w:rsidRPr="00B27D51">
        <w:rPr>
          <w:rFonts w:ascii="Times New Roman" w:hAnsi="Times New Roman" w:cs="Times New Roman"/>
          <w:szCs w:val="24"/>
        </w:rPr>
        <w:t xml:space="preserve">reformatted to better use visual design to reduce the respondent’s burden.  </w:t>
      </w:r>
      <w:r w:rsidRPr="00B27D51">
        <w:rPr>
          <w:rFonts w:ascii="Times New Roman" w:hAnsi="Times New Roman" w:cs="Times New Roman"/>
          <w:szCs w:val="24"/>
          <w:lang w:eastAsia="ar-SA"/>
        </w:rPr>
        <w:t xml:space="preserve">A detailed explanation of the proposed form redesign </w:t>
      </w:r>
      <w:r>
        <w:rPr>
          <w:rFonts w:ascii="Times New Roman" w:hAnsi="Times New Roman" w:cs="Times New Roman"/>
          <w:szCs w:val="24"/>
          <w:lang w:eastAsia="ar-SA"/>
        </w:rPr>
        <w:t xml:space="preserve">is presented in the </w:t>
      </w:r>
      <w:r w:rsidR="007206A5">
        <w:rPr>
          <w:rFonts w:ascii="Times New Roman" w:hAnsi="Times New Roman" w:cs="Times New Roman"/>
          <w:szCs w:val="24"/>
          <w:lang w:eastAsia="ar-SA"/>
        </w:rPr>
        <w:t xml:space="preserve">following </w:t>
      </w:r>
      <w:r>
        <w:rPr>
          <w:rFonts w:ascii="Times New Roman" w:hAnsi="Times New Roman" w:cs="Times New Roman"/>
          <w:szCs w:val="24"/>
          <w:lang w:eastAsia="ar-SA"/>
        </w:rPr>
        <w:t>table:</w:t>
      </w:r>
    </w:p>
    <w:p w:rsidR="007206A5" w:rsidRPr="007206A5" w:rsidRDefault="007206A5"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rPr>
          <w:rFonts w:ascii="Times New Roman" w:hAnsi="Times New Roman" w:cs="Times New Roman"/>
          <w:szCs w:val="24"/>
          <w:lang w:eastAsia="ar-S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6"/>
        <w:gridCol w:w="2785"/>
        <w:gridCol w:w="4777"/>
      </w:tblGrid>
      <w:tr w:rsidR="0044464E" w:rsidRPr="005E4A6A" w:rsidTr="00F478BF">
        <w:tc>
          <w:tcPr>
            <w:tcW w:w="1530" w:type="dxa"/>
            <w:shd w:val="clear" w:color="auto" w:fill="DBE5F1"/>
          </w:tcPr>
          <w:p w:rsidR="0044464E" w:rsidRPr="00431FC6"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jc w:val="center"/>
              <w:rPr>
                <w:rFonts w:ascii="Times New Roman" w:hAnsi="Times New Roman" w:cs="Times New Roman"/>
                <w:b/>
                <w:sz w:val="18"/>
                <w:szCs w:val="18"/>
                <w:lang w:eastAsia="ar-SA"/>
              </w:rPr>
            </w:pPr>
            <w:r w:rsidRPr="00431FC6">
              <w:rPr>
                <w:rFonts w:ascii="Times New Roman" w:hAnsi="Times New Roman" w:cs="Times New Roman"/>
                <w:szCs w:val="24"/>
                <w:lang w:eastAsia="ar-SA"/>
              </w:rPr>
              <w:br w:type="page"/>
            </w:r>
            <w:r w:rsidRPr="00431FC6">
              <w:rPr>
                <w:rFonts w:ascii="Times New Roman" w:hAnsi="Times New Roman" w:cs="Times New Roman"/>
                <w:b/>
                <w:sz w:val="18"/>
                <w:szCs w:val="18"/>
                <w:lang w:eastAsia="ar-SA"/>
              </w:rPr>
              <w:t>Form Attribute/Section</w:t>
            </w:r>
          </w:p>
        </w:tc>
        <w:tc>
          <w:tcPr>
            <w:tcW w:w="2790" w:type="dxa"/>
            <w:shd w:val="clear" w:color="auto" w:fill="DBE5F1"/>
          </w:tcPr>
          <w:p w:rsidR="0044464E" w:rsidRPr="00431FC6"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jc w:val="center"/>
              <w:rPr>
                <w:rFonts w:ascii="Times New Roman" w:hAnsi="Times New Roman" w:cs="Times New Roman"/>
                <w:b/>
                <w:sz w:val="18"/>
                <w:szCs w:val="18"/>
                <w:lang w:eastAsia="ar-SA"/>
              </w:rPr>
            </w:pPr>
            <w:r w:rsidRPr="00431FC6">
              <w:rPr>
                <w:rFonts w:ascii="Times New Roman" w:hAnsi="Times New Roman" w:cs="Times New Roman"/>
                <w:b/>
                <w:sz w:val="18"/>
                <w:szCs w:val="18"/>
                <w:lang w:eastAsia="ar-SA"/>
              </w:rPr>
              <w:t>Before Revisions</w:t>
            </w:r>
          </w:p>
        </w:tc>
        <w:tc>
          <w:tcPr>
            <w:tcW w:w="4788" w:type="dxa"/>
            <w:shd w:val="clear" w:color="auto" w:fill="DBE5F1"/>
          </w:tcPr>
          <w:p w:rsidR="0044464E" w:rsidRPr="00431FC6"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jc w:val="center"/>
              <w:rPr>
                <w:rFonts w:ascii="Times New Roman" w:hAnsi="Times New Roman" w:cs="Times New Roman"/>
                <w:b/>
                <w:sz w:val="18"/>
                <w:szCs w:val="18"/>
                <w:lang w:eastAsia="ar-SA"/>
              </w:rPr>
            </w:pPr>
            <w:r w:rsidRPr="00431FC6">
              <w:rPr>
                <w:rFonts w:ascii="Times New Roman" w:hAnsi="Times New Roman" w:cs="Times New Roman"/>
                <w:b/>
                <w:sz w:val="18"/>
                <w:szCs w:val="18"/>
                <w:lang w:eastAsia="ar-SA"/>
              </w:rPr>
              <w:t>After Revisions</w:t>
            </w:r>
          </w:p>
        </w:tc>
      </w:tr>
      <w:tr w:rsidR="0044464E" w:rsidRPr="005E4A6A" w:rsidTr="00F478BF">
        <w:tc>
          <w:tcPr>
            <w:tcW w:w="1530" w:type="dxa"/>
          </w:tcPr>
          <w:p w:rsidR="0044464E" w:rsidRPr="00431FC6"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rPr>
                <w:rFonts w:ascii="Times New Roman" w:hAnsi="Times New Roman" w:cs="Times New Roman"/>
                <w:b/>
                <w:sz w:val="18"/>
                <w:szCs w:val="18"/>
                <w:lang w:eastAsia="ar-SA"/>
              </w:rPr>
            </w:pPr>
            <w:r w:rsidRPr="00431FC6">
              <w:rPr>
                <w:rFonts w:ascii="Times New Roman" w:hAnsi="Times New Roman" w:cs="Times New Roman"/>
                <w:b/>
                <w:sz w:val="18"/>
                <w:szCs w:val="18"/>
                <w:lang w:eastAsia="ar-SA"/>
              </w:rPr>
              <w:t>Overall Length</w:t>
            </w:r>
          </w:p>
        </w:tc>
        <w:tc>
          <w:tcPr>
            <w:tcW w:w="2790" w:type="dxa"/>
          </w:tcPr>
          <w:p w:rsidR="0044464E" w:rsidRPr="00431FC6"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rPr>
                <w:rFonts w:ascii="Times New Roman" w:hAnsi="Times New Roman" w:cs="Times New Roman"/>
                <w:sz w:val="18"/>
                <w:szCs w:val="18"/>
                <w:lang w:eastAsia="ar-SA"/>
              </w:rPr>
            </w:pPr>
            <w:r>
              <w:rPr>
                <w:rFonts w:ascii="Times New Roman" w:hAnsi="Times New Roman" w:cs="Times New Roman"/>
                <w:sz w:val="18"/>
                <w:szCs w:val="18"/>
                <w:lang w:eastAsia="ar-SA"/>
              </w:rPr>
              <w:t xml:space="preserve">The current </w:t>
            </w:r>
            <w:r w:rsidRPr="00431FC6">
              <w:rPr>
                <w:rFonts w:ascii="Times New Roman" w:hAnsi="Times New Roman" w:cs="Times New Roman"/>
                <w:sz w:val="18"/>
                <w:szCs w:val="18"/>
                <w:lang w:eastAsia="ar-SA"/>
              </w:rPr>
              <w:t>Form EIA-886 consist</w:t>
            </w:r>
            <w:r>
              <w:rPr>
                <w:rFonts w:ascii="Times New Roman" w:hAnsi="Times New Roman" w:cs="Times New Roman"/>
                <w:sz w:val="18"/>
                <w:szCs w:val="18"/>
                <w:lang w:eastAsia="ar-SA"/>
              </w:rPr>
              <w:t xml:space="preserve">s </w:t>
            </w:r>
            <w:r w:rsidRPr="00431FC6">
              <w:rPr>
                <w:rFonts w:ascii="Times New Roman" w:hAnsi="Times New Roman" w:cs="Times New Roman"/>
                <w:sz w:val="18"/>
                <w:szCs w:val="18"/>
                <w:lang w:eastAsia="ar-SA"/>
              </w:rPr>
              <w:t>of a three-page questionnaire and nine pages of instructions</w:t>
            </w:r>
            <w:r>
              <w:rPr>
                <w:rFonts w:ascii="Times New Roman" w:hAnsi="Times New Roman" w:cs="Times New Roman"/>
                <w:sz w:val="18"/>
                <w:szCs w:val="18"/>
                <w:lang w:eastAsia="ar-SA"/>
              </w:rPr>
              <w:t>.</w:t>
            </w:r>
          </w:p>
        </w:tc>
        <w:tc>
          <w:tcPr>
            <w:tcW w:w="4788" w:type="dxa"/>
          </w:tcPr>
          <w:p w:rsidR="0044464E" w:rsidRPr="00431FC6"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s="Times New Roman"/>
                <w:sz w:val="18"/>
                <w:szCs w:val="18"/>
                <w:lang w:eastAsia="ar-SA"/>
              </w:rPr>
            </w:pPr>
            <w:r>
              <w:rPr>
                <w:rFonts w:ascii="Times New Roman" w:hAnsi="Times New Roman" w:cs="Times New Roman"/>
                <w:sz w:val="18"/>
                <w:szCs w:val="18"/>
                <w:lang w:eastAsia="ar-SA"/>
              </w:rPr>
              <w:t>The proposed</w:t>
            </w:r>
            <w:r w:rsidRPr="00431FC6">
              <w:rPr>
                <w:rFonts w:ascii="Times New Roman" w:hAnsi="Times New Roman" w:cs="Times New Roman"/>
                <w:sz w:val="18"/>
                <w:szCs w:val="18"/>
                <w:lang w:eastAsia="ar-SA"/>
              </w:rPr>
              <w:t xml:space="preserve"> Form EIA-886 consists of a three-page questionnaire and five pages of instructions embedded within the </w:t>
            </w:r>
            <w:r>
              <w:rPr>
                <w:rFonts w:ascii="Times New Roman" w:hAnsi="Times New Roman" w:cs="Times New Roman"/>
                <w:sz w:val="18"/>
                <w:szCs w:val="18"/>
                <w:lang w:eastAsia="ar-SA"/>
              </w:rPr>
              <w:t>survey</w:t>
            </w:r>
            <w:r w:rsidRPr="00431FC6">
              <w:rPr>
                <w:rFonts w:ascii="Times New Roman" w:hAnsi="Times New Roman" w:cs="Times New Roman"/>
                <w:sz w:val="18"/>
                <w:szCs w:val="18"/>
                <w:lang w:eastAsia="ar-SA"/>
              </w:rPr>
              <w:t xml:space="preserve">.  Instructions </w:t>
            </w:r>
            <w:r>
              <w:rPr>
                <w:rFonts w:ascii="Times New Roman" w:hAnsi="Times New Roman" w:cs="Times New Roman"/>
                <w:sz w:val="18"/>
                <w:szCs w:val="18"/>
                <w:lang w:eastAsia="ar-SA"/>
              </w:rPr>
              <w:t>are</w:t>
            </w:r>
            <w:r w:rsidRPr="00431FC6">
              <w:rPr>
                <w:rFonts w:ascii="Times New Roman" w:hAnsi="Times New Roman" w:cs="Times New Roman"/>
                <w:sz w:val="18"/>
                <w:szCs w:val="18"/>
                <w:lang w:eastAsia="ar-SA"/>
              </w:rPr>
              <w:t xml:space="preserve"> combined with the questionnaire wherever possible for clarity and visual effectiveness.  Extraneous and obsolete instructions </w:t>
            </w:r>
            <w:r>
              <w:rPr>
                <w:rFonts w:ascii="Times New Roman" w:hAnsi="Times New Roman" w:cs="Times New Roman"/>
                <w:sz w:val="18"/>
                <w:szCs w:val="18"/>
                <w:lang w:eastAsia="ar-SA"/>
              </w:rPr>
              <w:t>are</w:t>
            </w:r>
            <w:r w:rsidRPr="00431FC6">
              <w:rPr>
                <w:rFonts w:ascii="Times New Roman" w:hAnsi="Times New Roman" w:cs="Times New Roman"/>
                <w:sz w:val="18"/>
                <w:szCs w:val="18"/>
                <w:lang w:eastAsia="ar-SA"/>
              </w:rPr>
              <w:t xml:space="preserve"> eliminated.</w:t>
            </w:r>
          </w:p>
        </w:tc>
      </w:tr>
      <w:tr w:rsidR="0044464E" w:rsidRPr="005E4A6A" w:rsidTr="00F478BF">
        <w:tc>
          <w:tcPr>
            <w:tcW w:w="1530" w:type="dxa"/>
          </w:tcPr>
          <w:p w:rsidR="0044464E" w:rsidRPr="00431FC6"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rPr>
                <w:rFonts w:ascii="Times New Roman" w:hAnsi="Times New Roman" w:cs="Times New Roman"/>
                <w:b/>
                <w:sz w:val="18"/>
                <w:szCs w:val="18"/>
                <w:lang w:eastAsia="ar-SA"/>
              </w:rPr>
            </w:pPr>
            <w:r w:rsidRPr="00431FC6">
              <w:rPr>
                <w:rFonts w:ascii="Times New Roman" w:hAnsi="Times New Roman" w:cs="Times New Roman"/>
                <w:b/>
                <w:sz w:val="18"/>
                <w:szCs w:val="18"/>
                <w:lang w:eastAsia="ar-SA"/>
              </w:rPr>
              <w:t>Respondent Information</w:t>
            </w:r>
          </w:p>
        </w:tc>
        <w:tc>
          <w:tcPr>
            <w:tcW w:w="2790" w:type="dxa"/>
          </w:tcPr>
          <w:p w:rsidR="0044464E" w:rsidRPr="00431FC6"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rPr>
                <w:rFonts w:ascii="Times New Roman" w:hAnsi="Times New Roman" w:cs="Times New Roman"/>
                <w:sz w:val="18"/>
                <w:szCs w:val="18"/>
                <w:lang w:eastAsia="ar-SA"/>
              </w:rPr>
            </w:pPr>
            <w:r>
              <w:rPr>
                <w:rFonts w:ascii="Times New Roman" w:hAnsi="Times New Roman" w:cs="Times New Roman"/>
                <w:sz w:val="18"/>
                <w:szCs w:val="18"/>
                <w:lang w:eastAsia="ar-SA"/>
              </w:rPr>
              <w:t xml:space="preserve">The current Form EIA-886, </w:t>
            </w:r>
            <w:r w:rsidRPr="00431FC6">
              <w:rPr>
                <w:rFonts w:ascii="Times New Roman" w:hAnsi="Times New Roman" w:cs="Times New Roman"/>
                <w:sz w:val="18"/>
                <w:szCs w:val="18"/>
                <w:lang w:eastAsia="ar-SA"/>
              </w:rPr>
              <w:t>Section 1 gather</w:t>
            </w:r>
            <w:r>
              <w:rPr>
                <w:rFonts w:ascii="Times New Roman" w:hAnsi="Times New Roman" w:cs="Times New Roman"/>
                <w:sz w:val="18"/>
                <w:szCs w:val="18"/>
                <w:lang w:eastAsia="ar-SA"/>
              </w:rPr>
              <w:t>s</w:t>
            </w:r>
            <w:r w:rsidRPr="00431FC6">
              <w:rPr>
                <w:rFonts w:ascii="Times New Roman" w:hAnsi="Times New Roman" w:cs="Times New Roman"/>
                <w:sz w:val="18"/>
                <w:szCs w:val="18"/>
                <w:lang w:eastAsia="ar-SA"/>
              </w:rPr>
              <w:t xml:space="preserve"> identification information in tabular format.  Operational status information </w:t>
            </w:r>
            <w:r>
              <w:rPr>
                <w:rFonts w:ascii="Times New Roman" w:hAnsi="Times New Roman" w:cs="Times New Roman"/>
                <w:sz w:val="18"/>
                <w:szCs w:val="18"/>
                <w:lang w:eastAsia="ar-SA"/>
              </w:rPr>
              <w:t>i</w:t>
            </w:r>
            <w:r w:rsidRPr="00431FC6">
              <w:rPr>
                <w:rFonts w:ascii="Times New Roman" w:hAnsi="Times New Roman" w:cs="Times New Roman"/>
                <w:sz w:val="18"/>
                <w:szCs w:val="18"/>
                <w:lang w:eastAsia="ar-SA"/>
              </w:rPr>
              <w:t>s disjointed in relation to AFV-related activities.</w:t>
            </w:r>
          </w:p>
        </w:tc>
        <w:tc>
          <w:tcPr>
            <w:tcW w:w="4788" w:type="dxa"/>
          </w:tcPr>
          <w:p w:rsidR="0044464E" w:rsidRPr="00431FC6"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s="Times New Roman"/>
                <w:sz w:val="18"/>
                <w:szCs w:val="18"/>
                <w:lang w:eastAsia="ar-SA"/>
              </w:rPr>
            </w:pPr>
            <w:r>
              <w:rPr>
                <w:rFonts w:ascii="Times New Roman" w:hAnsi="Times New Roman" w:cs="Times New Roman"/>
                <w:sz w:val="18"/>
                <w:szCs w:val="18"/>
                <w:lang w:eastAsia="ar-SA"/>
              </w:rPr>
              <w:t>The proposed Form EIA-886,</w:t>
            </w:r>
            <w:r w:rsidRPr="00431FC6">
              <w:rPr>
                <w:rFonts w:ascii="Times New Roman" w:hAnsi="Times New Roman" w:cs="Times New Roman"/>
                <w:sz w:val="18"/>
                <w:szCs w:val="18"/>
                <w:lang w:eastAsia="ar-SA"/>
              </w:rPr>
              <w:t xml:space="preserve"> Part 1 is redesigned to </w:t>
            </w:r>
            <w:r>
              <w:rPr>
                <w:rFonts w:ascii="Times New Roman" w:hAnsi="Times New Roman" w:cs="Times New Roman"/>
                <w:sz w:val="18"/>
                <w:szCs w:val="18"/>
                <w:lang w:eastAsia="ar-SA"/>
              </w:rPr>
              <w:t>improve the accuracy of reported</w:t>
            </w:r>
            <w:r w:rsidRPr="00431FC6">
              <w:rPr>
                <w:rFonts w:ascii="Times New Roman" w:hAnsi="Times New Roman" w:cs="Times New Roman"/>
                <w:sz w:val="18"/>
                <w:szCs w:val="18"/>
                <w:lang w:eastAsia="ar-SA"/>
              </w:rPr>
              <w:t xml:space="preserve"> information </w:t>
            </w:r>
            <w:r>
              <w:rPr>
                <w:rFonts w:ascii="Times New Roman" w:hAnsi="Times New Roman" w:cs="Times New Roman"/>
                <w:sz w:val="18"/>
                <w:szCs w:val="18"/>
                <w:lang w:eastAsia="ar-SA"/>
              </w:rPr>
              <w:t xml:space="preserve">by </w:t>
            </w:r>
            <w:r w:rsidRPr="00431FC6">
              <w:rPr>
                <w:rFonts w:ascii="Times New Roman" w:hAnsi="Times New Roman" w:cs="Times New Roman"/>
                <w:sz w:val="18"/>
                <w:szCs w:val="18"/>
                <w:lang w:eastAsia="ar-SA"/>
              </w:rPr>
              <w:t>using visual cues</w:t>
            </w:r>
            <w:r w:rsidR="0091798B">
              <w:rPr>
                <w:rFonts w:ascii="Times New Roman" w:hAnsi="Times New Roman" w:cs="Times New Roman"/>
                <w:sz w:val="18"/>
                <w:szCs w:val="18"/>
                <w:lang w:eastAsia="ar-SA"/>
              </w:rPr>
              <w:t>,</w:t>
            </w:r>
            <w:r w:rsidRPr="00431FC6">
              <w:rPr>
                <w:rFonts w:ascii="Times New Roman" w:hAnsi="Times New Roman" w:cs="Times New Roman"/>
                <w:sz w:val="18"/>
                <w:szCs w:val="18"/>
                <w:lang w:eastAsia="ar-SA"/>
              </w:rPr>
              <w:t xml:space="preserve"> such as length-appropriate white spaces, radial buttons, check boxes, and better defined questions on operational status and organization description.  Definitions to clarify the AFV-related terms are embedded within the questions to reduce the time respondents need to </w:t>
            </w:r>
            <w:r>
              <w:rPr>
                <w:rFonts w:ascii="Times New Roman" w:hAnsi="Times New Roman" w:cs="Times New Roman"/>
                <w:sz w:val="18"/>
                <w:szCs w:val="18"/>
                <w:lang w:eastAsia="ar-SA"/>
              </w:rPr>
              <w:t xml:space="preserve">understand </w:t>
            </w:r>
            <w:r w:rsidRPr="00431FC6">
              <w:rPr>
                <w:rFonts w:ascii="Times New Roman" w:hAnsi="Times New Roman" w:cs="Times New Roman"/>
                <w:sz w:val="18"/>
                <w:szCs w:val="18"/>
                <w:lang w:eastAsia="ar-SA"/>
              </w:rPr>
              <w:t>accurately file the form.</w:t>
            </w:r>
          </w:p>
        </w:tc>
      </w:tr>
      <w:tr w:rsidR="0044464E" w:rsidRPr="005E4A6A" w:rsidTr="00F478BF">
        <w:tc>
          <w:tcPr>
            <w:tcW w:w="1530" w:type="dxa"/>
          </w:tcPr>
          <w:p w:rsidR="0044464E" w:rsidRPr="00431FC6"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rPr>
                <w:rFonts w:ascii="Times New Roman" w:hAnsi="Times New Roman" w:cs="Times New Roman"/>
                <w:b/>
                <w:sz w:val="18"/>
                <w:szCs w:val="18"/>
                <w:lang w:eastAsia="ar-SA"/>
              </w:rPr>
            </w:pPr>
            <w:r w:rsidRPr="00431FC6">
              <w:rPr>
                <w:rFonts w:ascii="Times New Roman" w:hAnsi="Times New Roman" w:cs="Times New Roman"/>
                <w:b/>
                <w:sz w:val="18"/>
                <w:szCs w:val="18"/>
                <w:lang w:eastAsia="ar-SA"/>
              </w:rPr>
              <w:t>AFV User Data</w:t>
            </w:r>
          </w:p>
        </w:tc>
        <w:tc>
          <w:tcPr>
            <w:tcW w:w="2790" w:type="dxa"/>
          </w:tcPr>
          <w:p w:rsidR="0044464E" w:rsidRPr="00431FC6"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rPr>
                <w:rFonts w:ascii="Times New Roman" w:hAnsi="Times New Roman" w:cs="Times New Roman"/>
                <w:sz w:val="18"/>
                <w:szCs w:val="18"/>
                <w:lang w:eastAsia="ar-SA"/>
              </w:rPr>
            </w:pPr>
            <w:r>
              <w:rPr>
                <w:rFonts w:ascii="Times New Roman" w:hAnsi="Times New Roman" w:cs="Times New Roman"/>
                <w:sz w:val="18"/>
                <w:szCs w:val="18"/>
                <w:lang w:eastAsia="ar-SA"/>
              </w:rPr>
              <w:t>The current Form EIA-886,</w:t>
            </w:r>
            <w:r w:rsidRPr="00431FC6">
              <w:rPr>
                <w:rFonts w:ascii="Times New Roman" w:hAnsi="Times New Roman" w:cs="Times New Roman"/>
                <w:sz w:val="18"/>
                <w:szCs w:val="18"/>
                <w:lang w:eastAsia="ar-SA"/>
              </w:rPr>
              <w:t xml:space="preserve"> Section 2 contain</w:t>
            </w:r>
            <w:r>
              <w:rPr>
                <w:rFonts w:ascii="Times New Roman" w:hAnsi="Times New Roman" w:cs="Times New Roman"/>
                <w:sz w:val="18"/>
                <w:szCs w:val="18"/>
                <w:lang w:eastAsia="ar-SA"/>
              </w:rPr>
              <w:t>s</w:t>
            </w:r>
            <w:r w:rsidRPr="00431FC6">
              <w:rPr>
                <w:rFonts w:ascii="Times New Roman" w:hAnsi="Times New Roman" w:cs="Times New Roman"/>
                <w:sz w:val="18"/>
                <w:szCs w:val="18"/>
                <w:lang w:eastAsia="ar-SA"/>
              </w:rPr>
              <w:t xml:space="preserve"> dense paragraphs for instructions and a </w:t>
            </w:r>
            <w:r>
              <w:rPr>
                <w:rFonts w:ascii="Times New Roman" w:hAnsi="Times New Roman" w:cs="Times New Roman"/>
                <w:sz w:val="18"/>
                <w:szCs w:val="18"/>
                <w:lang w:eastAsia="ar-SA"/>
              </w:rPr>
              <w:t>requirement to create an additional data entry page for each state in which vehicles are used.</w:t>
            </w:r>
          </w:p>
        </w:tc>
        <w:tc>
          <w:tcPr>
            <w:tcW w:w="4788" w:type="dxa"/>
            <w:vAlign w:val="center"/>
          </w:tcPr>
          <w:p w:rsidR="0044464E" w:rsidRPr="004C4353"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rPr>
                <w:rFonts w:ascii="Times New Roman" w:hAnsi="Times New Roman" w:cs="Times New Roman"/>
                <w:sz w:val="18"/>
                <w:szCs w:val="18"/>
                <w:lang w:eastAsia="ar-SA"/>
              </w:rPr>
            </w:pPr>
            <w:r>
              <w:rPr>
                <w:rFonts w:ascii="Times New Roman" w:hAnsi="Times New Roman" w:cs="Times New Roman"/>
                <w:sz w:val="18"/>
                <w:szCs w:val="18"/>
                <w:lang w:eastAsia="ar-SA"/>
              </w:rPr>
              <w:t>The proposed Form EIA-886,</w:t>
            </w:r>
            <w:r w:rsidRPr="004C4353">
              <w:rPr>
                <w:rFonts w:ascii="Times New Roman" w:hAnsi="Times New Roman" w:cs="Times New Roman"/>
                <w:sz w:val="18"/>
                <w:szCs w:val="18"/>
                <w:lang w:eastAsia="ar-SA"/>
              </w:rPr>
              <w:t xml:space="preserve"> Part 2 (1) pos</w:t>
            </w:r>
            <w:r>
              <w:rPr>
                <w:rFonts w:ascii="Times New Roman" w:hAnsi="Times New Roman" w:cs="Times New Roman"/>
                <w:sz w:val="18"/>
                <w:szCs w:val="18"/>
                <w:lang w:eastAsia="ar-SA"/>
              </w:rPr>
              <w:t>es</w:t>
            </w:r>
            <w:r w:rsidRPr="004C4353">
              <w:rPr>
                <w:rFonts w:ascii="Times New Roman" w:hAnsi="Times New Roman" w:cs="Times New Roman"/>
                <w:sz w:val="18"/>
                <w:szCs w:val="18"/>
                <w:lang w:eastAsia="ar-SA"/>
              </w:rPr>
              <w:t xml:space="preserve"> direct questions that </w:t>
            </w:r>
            <w:r>
              <w:rPr>
                <w:rFonts w:ascii="Times New Roman" w:hAnsi="Times New Roman" w:cs="Times New Roman"/>
                <w:sz w:val="18"/>
                <w:szCs w:val="18"/>
                <w:lang w:eastAsia="ar-SA"/>
              </w:rPr>
              <w:t>list</w:t>
            </w:r>
            <w:r w:rsidRPr="004C4353">
              <w:rPr>
                <w:rFonts w:ascii="Times New Roman" w:hAnsi="Times New Roman" w:cs="Times New Roman"/>
                <w:sz w:val="18"/>
                <w:szCs w:val="18"/>
                <w:lang w:eastAsia="ar-SA"/>
              </w:rPr>
              <w:t xml:space="preserve"> all required data points, (2) incorporat</w:t>
            </w:r>
            <w:r>
              <w:rPr>
                <w:rFonts w:ascii="Times New Roman" w:hAnsi="Times New Roman" w:cs="Times New Roman"/>
                <w:sz w:val="18"/>
                <w:szCs w:val="18"/>
                <w:lang w:eastAsia="ar-SA"/>
              </w:rPr>
              <w:t>es</w:t>
            </w:r>
            <w:r w:rsidRPr="004C4353">
              <w:rPr>
                <w:rFonts w:ascii="Times New Roman" w:hAnsi="Times New Roman" w:cs="Times New Roman"/>
                <w:sz w:val="18"/>
                <w:szCs w:val="18"/>
                <w:lang w:eastAsia="ar-SA"/>
              </w:rPr>
              <w:t xml:space="preserve"> the most relevant instructions immediately ahead of the data entry tables, </w:t>
            </w:r>
            <w:r>
              <w:rPr>
                <w:rFonts w:ascii="Times New Roman" w:hAnsi="Times New Roman" w:cs="Times New Roman"/>
                <w:sz w:val="18"/>
                <w:szCs w:val="18"/>
                <w:lang w:eastAsia="ar-SA"/>
              </w:rPr>
              <w:t xml:space="preserve">and </w:t>
            </w:r>
            <w:r w:rsidRPr="004C4353">
              <w:rPr>
                <w:rFonts w:ascii="Times New Roman" w:hAnsi="Times New Roman" w:cs="Times New Roman"/>
                <w:sz w:val="18"/>
                <w:szCs w:val="18"/>
                <w:lang w:eastAsia="ar-SA"/>
              </w:rPr>
              <w:t>(3) present</w:t>
            </w:r>
            <w:r>
              <w:rPr>
                <w:rFonts w:ascii="Times New Roman" w:hAnsi="Times New Roman" w:cs="Times New Roman"/>
                <w:sz w:val="18"/>
                <w:szCs w:val="18"/>
                <w:lang w:eastAsia="ar-SA"/>
              </w:rPr>
              <w:t>s</w:t>
            </w:r>
            <w:r w:rsidRPr="004C4353">
              <w:rPr>
                <w:rFonts w:ascii="Times New Roman" w:hAnsi="Times New Roman" w:cs="Times New Roman"/>
                <w:sz w:val="18"/>
                <w:szCs w:val="18"/>
                <w:lang w:eastAsia="ar-SA"/>
              </w:rPr>
              <w:t xml:space="preserve"> instructions in bulleted format with emphasis on notes, what to include, and what not to include.</w:t>
            </w:r>
          </w:p>
          <w:p w:rsidR="0044464E" w:rsidRPr="004C4353"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rPr>
                <w:rFonts w:ascii="Times New Roman" w:hAnsi="Times New Roman" w:cs="Times New Roman"/>
                <w:sz w:val="18"/>
                <w:szCs w:val="18"/>
                <w:lang w:eastAsia="ar-SA"/>
              </w:rPr>
            </w:pPr>
            <w:r w:rsidRPr="004C4353">
              <w:rPr>
                <w:rFonts w:ascii="Times New Roman" w:hAnsi="Times New Roman" w:cs="Times New Roman"/>
                <w:sz w:val="18"/>
                <w:szCs w:val="18"/>
                <w:lang w:eastAsia="ar-SA"/>
              </w:rPr>
              <w:t>The data grid for AFVs in use incorporate</w:t>
            </w:r>
            <w:r>
              <w:rPr>
                <w:rFonts w:ascii="Times New Roman" w:hAnsi="Times New Roman" w:cs="Times New Roman"/>
                <w:sz w:val="18"/>
                <w:szCs w:val="18"/>
                <w:lang w:eastAsia="ar-SA"/>
              </w:rPr>
              <w:t>s</w:t>
            </w:r>
            <w:r w:rsidRPr="004C4353">
              <w:rPr>
                <w:rFonts w:ascii="Times New Roman" w:hAnsi="Times New Roman" w:cs="Times New Roman"/>
                <w:sz w:val="18"/>
                <w:szCs w:val="18"/>
                <w:lang w:eastAsia="ar-SA"/>
              </w:rPr>
              <w:t xml:space="preserve"> the geographic state location as the first column in the grid, </w:t>
            </w:r>
            <w:r>
              <w:rPr>
                <w:rFonts w:ascii="Times New Roman" w:hAnsi="Times New Roman" w:cs="Times New Roman"/>
                <w:sz w:val="18"/>
                <w:szCs w:val="18"/>
                <w:lang w:eastAsia="ar-SA"/>
              </w:rPr>
              <w:t xml:space="preserve">thus </w:t>
            </w:r>
            <w:r w:rsidRPr="004C4353">
              <w:rPr>
                <w:rFonts w:ascii="Times New Roman" w:hAnsi="Times New Roman" w:cs="Times New Roman"/>
                <w:sz w:val="18"/>
                <w:szCs w:val="18"/>
                <w:lang w:eastAsia="ar-SA"/>
              </w:rPr>
              <w:t>reducing the burden for respondents wh</w:t>
            </w:r>
            <w:r>
              <w:rPr>
                <w:rFonts w:ascii="Times New Roman" w:hAnsi="Times New Roman" w:cs="Times New Roman"/>
                <w:sz w:val="18"/>
                <w:szCs w:val="18"/>
                <w:lang w:eastAsia="ar-SA"/>
              </w:rPr>
              <w:t>en filing for multiple states.</w:t>
            </w:r>
          </w:p>
          <w:p w:rsidR="0044464E" w:rsidRPr="004C4353"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s="Times New Roman"/>
                <w:sz w:val="18"/>
                <w:szCs w:val="18"/>
              </w:rPr>
            </w:pPr>
            <w:r w:rsidRPr="004C4353">
              <w:rPr>
                <w:rFonts w:ascii="Times New Roman" w:hAnsi="Times New Roman" w:cs="Times New Roman"/>
                <w:sz w:val="18"/>
                <w:szCs w:val="18"/>
              </w:rPr>
              <w:t xml:space="preserve">Part 2 is reduced from five questions down to three.  The need for the respondent entering their organization status (i.e., frame) is obsolete and is removed (see 2011 Section 2, question 1), because the respondent frame </w:t>
            </w:r>
            <w:r>
              <w:rPr>
                <w:rFonts w:ascii="Times New Roman" w:hAnsi="Times New Roman" w:cs="Times New Roman"/>
                <w:sz w:val="18"/>
                <w:szCs w:val="18"/>
              </w:rPr>
              <w:t xml:space="preserve">data </w:t>
            </w:r>
            <w:r w:rsidRPr="004C4353">
              <w:rPr>
                <w:rFonts w:ascii="Times New Roman" w:hAnsi="Times New Roman" w:cs="Times New Roman"/>
                <w:sz w:val="18"/>
                <w:szCs w:val="18"/>
              </w:rPr>
              <w:t xml:space="preserve">is identified before </w:t>
            </w:r>
            <w:r>
              <w:rPr>
                <w:rFonts w:ascii="Times New Roman" w:hAnsi="Times New Roman" w:cs="Times New Roman"/>
                <w:sz w:val="18"/>
                <w:szCs w:val="18"/>
              </w:rPr>
              <w:t>a respondent</w:t>
            </w:r>
            <w:r w:rsidRPr="004C4353">
              <w:rPr>
                <w:rFonts w:ascii="Times New Roman" w:hAnsi="Times New Roman" w:cs="Times New Roman"/>
                <w:sz w:val="18"/>
                <w:szCs w:val="18"/>
              </w:rPr>
              <w:t xml:space="preserve"> </w:t>
            </w:r>
            <w:r>
              <w:rPr>
                <w:rFonts w:ascii="Times New Roman" w:hAnsi="Times New Roman" w:cs="Times New Roman"/>
                <w:sz w:val="18"/>
                <w:szCs w:val="18"/>
              </w:rPr>
              <w:t>opens a form for each survey cycle.</w:t>
            </w:r>
          </w:p>
        </w:tc>
      </w:tr>
      <w:tr w:rsidR="0044464E" w:rsidRPr="005E4A6A" w:rsidTr="00F478BF">
        <w:tc>
          <w:tcPr>
            <w:tcW w:w="1530" w:type="dxa"/>
          </w:tcPr>
          <w:p w:rsidR="0044464E" w:rsidRPr="00431FC6"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rPr>
                <w:rFonts w:ascii="Times New Roman" w:hAnsi="Times New Roman" w:cs="Times New Roman"/>
                <w:b/>
                <w:sz w:val="18"/>
                <w:szCs w:val="18"/>
                <w:lang w:eastAsia="ar-SA"/>
              </w:rPr>
            </w:pPr>
            <w:r w:rsidRPr="00431FC6">
              <w:rPr>
                <w:rFonts w:ascii="Times New Roman" w:hAnsi="Times New Roman" w:cs="Times New Roman"/>
                <w:b/>
                <w:sz w:val="18"/>
                <w:szCs w:val="18"/>
                <w:lang w:eastAsia="ar-SA"/>
              </w:rPr>
              <w:lastRenderedPageBreak/>
              <w:t>AFV Supplier Data</w:t>
            </w:r>
          </w:p>
        </w:tc>
        <w:tc>
          <w:tcPr>
            <w:tcW w:w="2790" w:type="dxa"/>
          </w:tcPr>
          <w:p w:rsidR="0044464E" w:rsidRPr="00431FC6"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rPr>
                <w:rFonts w:ascii="Times New Roman" w:hAnsi="Times New Roman" w:cs="Times New Roman"/>
                <w:sz w:val="18"/>
                <w:szCs w:val="18"/>
                <w:lang w:eastAsia="ar-SA"/>
              </w:rPr>
            </w:pPr>
            <w:r>
              <w:rPr>
                <w:rFonts w:ascii="Times New Roman" w:hAnsi="Times New Roman" w:cs="Times New Roman"/>
                <w:sz w:val="18"/>
                <w:szCs w:val="18"/>
                <w:lang w:eastAsia="ar-SA"/>
              </w:rPr>
              <w:t>The current Form EIA-886,</w:t>
            </w:r>
            <w:r w:rsidRPr="00431FC6">
              <w:rPr>
                <w:rFonts w:ascii="Times New Roman" w:hAnsi="Times New Roman" w:cs="Times New Roman"/>
                <w:sz w:val="18"/>
                <w:szCs w:val="18"/>
                <w:lang w:eastAsia="ar-SA"/>
              </w:rPr>
              <w:t xml:space="preserve"> Section 3 contain</w:t>
            </w:r>
            <w:r>
              <w:rPr>
                <w:rFonts w:ascii="Times New Roman" w:hAnsi="Times New Roman" w:cs="Times New Roman"/>
                <w:sz w:val="18"/>
                <w:szCs w:val="18"/>
                <w:lang w:eastAsia="ar-SA"/>
              </w:rPr>
              <w:t>s</w:t>
            </w:r>
            <w:r w:rsidRPr="00431FC6">
              <w:rPr>
                <w:rFonts w:ascii="Times New Roman" w:hAnsi="Times New Roman" w:cs="Times New Roman"/>
                <w:sz w:val="18"/>
                <w:szCs w:val="18"/>
                <w:lang w:eastAsia="ar-SA"/>
              </w:rPr>
              <w:t xml:space="preserve"> dense paragraphs for instructions and extraneous questions (i.e., organization status).</w:t>
            </w:r>
          </w:p>
        </w:tc>
        <w:tc>
          <w:tcPr>
            <w:tcW w:w="4788" w:type="dxa"/>
          </w:tcPr>
          <w:p w:rsidR="0044464E"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rPr>
                <w:rFonts w:ascii="Times New Roman" w:hAnsi="Times New Roman" w:cs="Times New Roman"/>
                <w:sz w:val="18"/>
                <w:szCs w:val="18"/>
                <w:lang w:eastAsia="ar-SA"/>
              </w:rPr>
            </w:pPr>
            <w:r>
              <w:rPr>
                <w:rFonts w:ascii="Times New Roman" w:hAnsi="Times New Roman" w:cs="Times New Roman"/>
                <w:sz w:val="18"/>
                <w:szCs w:val="18"/>
                <w:lang w:eastAsia="ar-SA"/>
              </w:rPr>
              <w:t>The proposed Form EIA-886,</w:t>
            </w:r>
            <w:r w:rsidRPr="004C4353">
              <w:rPr>
                <w:rFonts w:ascii="Times New Roman" w:hAnsi="Times New Roman" w:cs="Times New Roman"/>
                <w:sz w:val="18"/>
                <w:szCs w:val="18"/>
                <w:lang w:eastAsia="ar-SA"/>
              </w:rPr>
              <w:t xml:space="preserve"> Part 3 (1) pos</w:t>
            </w:r>
            <w:r>
              <w:rPr>
                <w:rFonts w:ascii="Times New Roman" w:hAnsi="Times New Roman" w:cs="Times New Roman"/>
                <w:sz w:val="18"/>
                <w:szCs w:val="18"/>
                <w:lang w:eastAsia="ar-SA"/>
              </w:rPr>
              <w:t>es</w:t>
            </w:r>
            <w:r w:rsidRPr="004C4353">
              <w:rPr>
                <w:rFonts w:ascii="Times New Roman" w:hAnsi="Times New Roman" w:cs="Times New Roman"/>
                <w:sz w:val="18"/>
                <w:szCs w:val="18"/>
                <w:lang w:eastAsia="ar-SA"/>
              </w:rPr>
              <w:t xml:space="preserve"> direct questions that </w:t>
            </w:r>
            <w:r>
              <w:rPr>
                <w:rFonts w:ascii="Times New Roman" w:hAnsi="Times New Roman" w:cs="Times New Roman"/>
                <w:sz w:val="18"/>
                <w:szCs w:val="18"/>
                <w:lang w:eastAsia="ar-SA"/>
              </w:rPr>
              <w:t>list</w:t>
            </w:r>
            <w:r w:rsidRPr="004C4353">
              <w:rPr>
                <w:rFonts w:ascii="Times New Roman" w:hAnsi="Times New Roman" w:cs="Times New Roman"/>
                <w:sz w:val="18"/>
                <w:szCs w:val="18"/>
                <w:lang w:eastAsia="ar-SA"/>
              </w:rPr>
              <w:t xml:space="preserve"> all required data points</w:t>
            </w:r>
            <w:r w:rsidR="0091798B">
              <w:rPr>
                <w:rFonts w:ascii="Times New Roman" w:hAnsi="Times New Roman" w:cs="Times New Roman"/>
                <w:sz w:val="18"/>
                <w:szCs w:val="18"/>
                <w:lang w:eastAsia="ar-SA"/>
              </w:rPr>
              <w:t>;</w:t>
            </w:r>
            <w:r w:rsidRPr="004C4353">
              <w:rPr>
                <w:rFonts w:ascii="Times New Roman" w:hAnsi="Times New Roman" w:cs="Times New Roman"/>
                <w:sz w:val="18"/>
                <w:szCs w:val="18"/>
                <w:lang w:eastAsia="ar-SA"/>
              </w:rPr>
              <w:t>(2) incorporat</w:t>
            </w:r>
            <w:r>
              <w:rPr>
                <w:rFonts w:ascii="Times New Roman" w:hAnsi="Times New Roman" w:cs="Times New Roman"/>
                <w:sz w:val="18"/>
                <w:szCs w:val="18"/>
                <w:lang w:eastAsia="ar-SA"/>
              </w:rPr>
              <w:t>es</w:t>
            </w:r>
            <w:r w:rsidRPr="004C4353">
              <w:rPr>
                <w:rFonts w:ascii="Times New Roman" w:hAnsi="Times New Roman" w:cs="Times New Roman"/>
                <w:sz w:val="18"/>
                <w:szCs w:val="18"/>
                <w:lang w:eastAsia="ar-SA"/>
              </w:rPr>
              <w:t xml:space="preserve"> the most relevant instructions immediately ahead of the data entry tables</w:t>
            </w:r>
            <w:r w:rsidR="0091798B">
              <w:rPr>
                <w:rFonts w:ascii="Times New Roman" w:hAnsi="Times New Roman" w:cs="Times New Roman"/>
                <w:sz w:val="18"/>
                <w:szCs w:val="18"/>
                <w:lang w:eastAsia="ar-SA"/>
              </w:rPr>
              <w:t>;</w:t>
            </w:r>
            <w:r w:rsidRPr="004C4353">
              <w:rPr>
                <w:rFonts w:ascii="Times New Roman" w:hAnsi="Times New Roman" w:cs="Times New Roman"/>
                <w:sz w:val="18"/>
                <w:szCs w:val="18"/>
                <w:lang w:eastAsia="ar-SA"/>
              </w:rPr>
              <w:t xml:space="preserve"> </w:t>
            </w:r>
            <w:r>
              <w:rPr>
                <w:rFonts w:ascii="Times New Roman" w:hAnsi="Times New Roman" w:cs="Times New Roman"/>
                <w:sz w:val="18"/>
                <w:szCs w:val="18"/>
                <w:lang w:eastAsia="ar-SA"/>
              </w:rPr>
              <w:t xml:space="preserve">and </w:t>
            </w:r>
            <w:r w:rsidRPr="004C4353">
              <w:rPr>
                <w:rFonts w:ascii="Times New Roman" w:hAnsi="Times New Roman" w:cs="Times New Roman"/>
                <w:sz w:val="18"/>
                <w:szCs w:val="18"/>
                <w:lang w:eastAsia="ar-SA"/>
              </w:rPr>
              <w:t>(3) present</w:t>
            </w:r>
            <w:r>
              <w:rPr>
                <w:rFonts w:ascii="Times New Roman" w:hAnsi="Times New Roman" w:cs="Times New Roman"/>
                <w:sz w:val="18"/>
                <w:szCs w:val="18"/>
                <w:lang w:eastAsia="ar-SA"/>
              </w:rPr>
              <w:t>s</w:t>
            </w:r>
            <w:r w:rsidRPr="004C4353">
              <w:rPr>
                <w:rFonts w:ascii="Times New Roman" w:hAnsi="Times New Roman" w:cs="Times New Roman"/>
                <w:sz w:val="18"/>
                <w:szCs w:val="18"/>
                <w:lang w:eastAsia="ar-SA"/>
              </w:rPr>
              <w:t xml:space="preserve"> instructions in bulleted format with emphasis on notes, what to include, and what not to include.</w:t>
            </w:r>
          </w:p>
          <w:p w:rsidR="0044464E" w:rsidRPr="004C4353"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s="Times New Roman"/>
                <w:sz w:val="18"/>
                <w:szCs w:val="18"/>
              </w:rPr>
            </w:pPr>
            <w:r w:rsidRPr="004C4353">
              <w:rPr>
                <w:rFonts w:ascii="Times New Roman" w:hAnsi="Times New Roman" w:cs="Times New Roman"/>
                <w:sz w:val="18"/>
                <w:szCs w:val="18"/>
                <w:lang w:eastAsia="ar-SA"/>
              </w:rPr>
              <w:t xml:space="preserve">The need for the respondent entering their organization status (i.e., frame) is </w:t>
            </w:r>
            <w:r w:rsidRPr="004C4353">
              <w:rPr>
                <w:rFonts w:ascii="Times New Roman" w:hAnsi="Times New Roman" w:cs="Times New Roman"/>
                <w:sz w:val="18"/>
                <w:szCs w:val="18"/>
              </w:rPr>
              <w:t xml:space="preserve">obsolete and is removed (see 2011 Section 3, question 1), because the frame </w:t>
            </w:r>
            <w:r>
              <w:rPr>
                <w:rFonts w:ascii="Times New Roman" w:hAnsi="Times New Roman" w:cs="Times New Roman"/>
                <w:sz w:val="18"/>
                <w:szCs w:val="18"/>
              </w:rPr>
              <w:t xml:space="preserve">data </w:t>
            </w:r>
            <w:r w:rsidRPr="004C4353">
              <w:rPr>
                <w:rFonts w:ascii="Times New Roman" w:hAnsi="Times New Roman" w:cs="Times New Roman"/>
                <w:sz w:val="18"/>
                <w:szCs w:val="18"/>
              </w:rPr>
              <w:t xml:space="preserve">is </w:t>
            </w:r>
            <w:r w:rsidR="007B15BA">
              <w:rPr>
                <w:rFonts w:ascii="Times New Roman" w:hAnsi="Times New Roman" w:cs="Times New Roman"/>
                <w:sz w:val="18"/>
                <w:szCs w:val="18"/>
              </w:rPr>
              <w:t>programmed into the database before the respondent enters the system.</w:t>
            </w:r>
          </w:p>
        </w:tc>
      </w:tr>
      <w:tr w:rsidR="0044464E" w:rsidRPr="005E4A6A" w:rsidTr="00F478BF">
        <w:tc>
          <w:tcPr>
            <w:tcW w:w="1530" w:type="dxa"/>
          </w:tcPr>
          <w:p w:rsidR="0044464E" w:rsidRPr="00431FC6"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rPr>
                <w:rFonts w:ascii="Times New Roman" w:hAnsi="Times New Roman" w:cs="Times New Roman"/>
                <w:b/>
                <w:sz w:val="18"/>
                <w:szCs w:val="18"/>
                <w:lang w:eastAsia="ar-SA"/>
              </w:rPr>
            </w:pPr>
            <w:r w:rsidRPr="00431FC6">
              <w:rPr>
                <w:rFonts w:ascii="Times New Roman" w:hAnsi="Times New Roman" w:cs="Times New Roman"/>
                <w:b/>
                <w:sz w:val="18"/>
                <w:szCs w:val="18"/>
                <w:lang w:eastAsia="ar-SA"/>
              </w:rPr>
              <w:t>Instructions</w:t>
            </w:r>
          </w:p>
        </w:tc>
        <w:tc>
          <w:tcPr>
            <w:tcW w:w="2790" w:type="dxa"/>
          </w:tcPr>
          <w:p w:rsidR="0044464E" w:rsidRPr="00431FC6"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rPr>
                <w:rFonts w:ascii="Times New Roman" w:hAnsi="Times New Roman" w:cs="Times New Roman"/>
                <w:sz w:val="18"/>
                <w:szCs w:val="18"/>
                <w:lang w:eastAsia="ar-SA"/>
              </w:rPr>
            </w:pPr>
            <w:r>
              <w:rPr>
                <w:rFonts w:ascii="Times New Roman" w:hAnsi="Times New Roman" w:cs="Times New Roman"/>
                <w:sz w:val="18"/>
                <w:szCs w:val="18"/>
                <w:lang w:eastAsia="ar-SA"/>
              </w:rPr>
              <w:t>The current</w:t>
            </w:r>
            <w:r w:rsidRPr="00431FC6">
              <w:rPr>
                <w:rFonts w:ascii="Times New Roman" w:hAnsi="Times New Roman" w:cs="Times New Roman"/>
                <w:sz w:val="18"/>
                <w:szCs w:val="18"/>
                <w:lang w:eastAsia="ar-SA"/>
              </w:rPr>
              <w:t xml:space="preserve"> Form EIA-886 contain</w:t>
            </w:r>
            <w:r>
              <w:rPr>
                <w:rFonts w:ascii="Times New Roman" w:hAnsi="Times New Roman" w:cs="Times New Roman"/>
                <w:sz w:val="18"/>
                <w:szCs w:val="18"/>
                <w:lang w:eastAsia="ar-SA"/>
              </w:rPr>
              <w:t>s</w:t>
            </w:r>
            <w:r w:rsidRPr="00431FC6">
              <w:rPr>
                <w:rFonts w:ascii="Times New Roman" w:hAnsi="Times New Roman" w:cs="Times New Roman"/>
                <w:sz w:val="18"/>
                <w:szCs w:val="18"/>
                <w:lang w:eastAsia="ar-SA"/>
              </w:rPr>
              <w:t xml:space="preserve"> a separate nine-page instruction packet.  It combine</w:t>
            </w:r>
            <w:r>
              <w:rPr>
                <w:rFonts w:ascii="Times New Roman" w:hAnsi="Times New Roman" w:cs="Times New Roman"/>
                <w:sz w:val="18"/>
                <w:szCs w:val="18"/>
                <w:lang w:eastAsia="ar-SA"/>
              </w:rPr>
              <w:t>s</w:t>
            </w:r>
            <w:r w:rsidRPr="00431FC6">
              <w:rPr>
                <w:rFonts w:ascii="Times New Roman" w:hAnsi="Times New Roman" w:cs="Times New Roman"/>
                <w:sz w:val="18"/>
                <w:szCs w:val="18"/>
                <w:lang w:eastAsia="ar-SA"/>
              </w:rPr>
              <w:t xml:space="preserve"> the standard required sections (i.e., sanctions, disclosure information, where to submit, etc.) with detailed instructions by section.  A thorough review of the text revealed several obsolete references and instructions.</w:t>
            </w:r>
          </w:p>
        </w:tc>
        <w:tc>
          <w:tcPr>
            <w:tcW w:w="4788" w:type="dxa"/>
          </w:tcPr>
          <w:p w:rsidR="0044464E" w:rsidRPr="004C4353" w:rsidRDefault="0044464E" w:rsidP="007B15BA">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rPr>
                <w:rFonts w:ascii="Times New Roman" w:hAnsi="Times New Roman" w:cs="Times New Roman"/>
                <w:sz w:val="18"/>
                <w:szCs w:val="18"/>
                <w:lang w:eastAsia="ar-SA"/>
              </w:rPr>
            </w:pPr>
            <w:r>
              <w:rPr>
                <w:rFonts w:ascii="Times New Roman" w:hAnsi="Times New Roman" w:cs="Times New Roman"/>
                <w:sz w:val="18"/>
                <w:szCs w:val="18"/>
                <w:lang w:eastAsia="ar-SA"/>
              </w:rPr>
              <w:t>The proposed Form EIA-886</w:t>
            </w:r>
            <w:r w:rsidRPr="004C4353">
              <w:rPr>
                <w:rFonts w:ascii="Times New Roman" w:hAnsi="Times New Roman" w:cs="Times New Roman"/>
                <w:sz w:val="18"/>
                <w:szCs w:val="18"/>
                <w:lang w:eastAsia="ar-SA"/>
              </w:rPr>
              <w:t xml:space="preserve"> assist</w:t>
            </w:r>
            <w:r>
              <w:rPr>
                <w:rFonts w:ascii="Times New Roman" w:hAnsi="Times New Roman" w:cs="Times New Roman"/>
                <w:sz w:val="18"/>
                <w:szCs w:val="18"/>
                <w:lang w:eastAsia="ar-SA"/>
              </w:rPr>
              <w:t>s</w:t>
            </w:r>
            <w:r w:rsidRPr="004C4353">
              <w:rPr>
                <w:rFonts w:ascii="Times New Roman" w:hAnsi="Times New Roman" w:cs="Times New Roman"/>
                <w:sz w:val="18"/>
                <w:szCs w:val="18"/>
                <w:lang w:eastAsia="ar-SA"/>
              </w:rPr>
              <w:t xml:space="preserve"> the respondent with more concise instructions, definitions, and required information.  </w:t>
            </w:r>
            <w:r>
              <w:rPr>
                <w:rFonts w:ascii="Times New Roman" w:hAnsi="Times New Roman" w:cs="Times New Roman"/>
                <w:sz w:val="18"/>
                <w:szCs w:val="18"/>
                <w:lang w:eastAsia="ar-SA"/>
              </w:rPr>
              <w:t>I</w:t>
            </w:r>
            <w:r w:rsidRPr="004C4353">
              <w:rPr>
                <w:rFonts w:ascii="Times New Roman" w:hAnsi="Times New Roman" w:cs="Times New Roman"/>
                <w:sz w:val="18"/>
                <w:szCs w:val="18"/>
                <w:lang w:eastAsia="ar-SA"/>
              </w:rPr>
              <w:t>nstructions are in</w:t>
            </w:r>
            <w:r>
              <w:rPr>
                <w:rFonts w:ascii="Times New Roman" w:hAnsi="Times New Roman" w:cs="Times New Roman"/>
                <w:sz w:val="18"/>
                <w:szCs w:val="18"/>
                <w:lang w:eastAsia="ar-SA"/>
              </w:rPr>
              <w:t>tegrated</w:t>
            </w:r>
            <w:r w:rsidRPr="004C4353">
              <w:rPr>
                <w:rFonts w:ascii="Times New Roman" w:hAnsi="Times New Roman" w:cs="Times New Roman"/>
                <w:sz w:val="18"/>
                <w:szCs w:val="18"/>
                <w:lang w:eastAsia="ar-SA"/>
              </w:rPr>
              <w:t xml:space="preserve"> with </w:t>
            </w:r>
            <w:r>
              <w:rPr>
                <w:rFonts w:ascii="Times New Roman" w:hAnsi="Times New Roman" w:cs="Times New Roman"/>
                <w:sz w:val="18"/>
                <w:szCs w:val="18"/>
                <w:lang w:eastAsia="ar-SA"/>
              </w:rPr>
              <w:t>the questionnaire for clarity.</w:t>
            </w:r>
          </w:p>
          <w:p w:rsidR="0044464E" w:rsidRPr="004C4353" w:rsidRDefault="0044464E" w:rsidP="0091798B">
            <w:pPr>
              <w:pStyle w:val="HTMLPreformatted"/>
              <w:tabs>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s="Times New Roman"/>
                <w:sz w:val="18"/>
                <w:szCs w:val="18"/>
                <w:lang w:eastAsia="ar-SA"/>
              </w:rPr>
            </w:pPr>
            <w:r w:rsidRPr="004C4353">
              <w:rPr>
                <w:rFonts w:ascii="Times New Roman" w:hAnsi="Times New Roman" w:cs="Times New Roman"/>
                <w:sz w:val="18"/>
                <w:szCs w:val="18"/>
                <w:lang w:eastAsia="ar-SA"/>
              </w:rPr>
              <w:t>Page 1 of the form describes the purpose, required respondents, due date, how to file a response, and questions.  Page 6 provides the codes needed to file the paper form.  Page 7 contains the most relevant definitions needed to understand the questionnaire.  Page 8 contains the legal requirements such as sanctions, reporting burden, and confidentiality of information.</w:t>
            </w:r>
          </w:p>
        </w:tc>
      </w:tr>
    </w:tbl>
    <w:p w:rsidR="0044464E" w:rsidRPr="00B52158" w:rsidRDefault="0044464E" w:rsidP="007B15BA">
      <w:pPr>
        <w:pStyle w:val="Heading2"/>
      </w:pPr>
      <w:r>
        <w:rPr>
          <w:lang w:eastAsia="ar-SA"/>
        </w:rPr>
        <w:br w:type="page"/>
      </w:r>
      <w:bookmarkStart w:id="27" w:name="_Toc341193751"/>
      <w:r w:rsidRPr="00B52158">
        <w:lastRenderedPageBreak/>
        <w:t>Schedule for Collecting and Publishing Data</w:t>
      </w:r>
      <w:bookmarkEnd w:id="27"/>
    </w:p>
    <w:p w:rsidR="0044464E" w:rsidRPr="00614DF1"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1D4659">
        <w:t>The time schedule for data collection and related analysis activities for the 20</w:t>
      </w:r>
      <w:r>
        <w:t>12</w:t>
      </w:r>
      <w:r w:rsidRPr="001D4659">
        <w:t xml:space="preserve"> Report is summarized</w:t>
      </w:r>
      <w:r w:rsidR="00050F16">
        <w:t>,</w:t>
      </w:r>
      <w:r w:rsidRPr="001D4659">
        <w:t xml:space="preserve"> below. </w:t>
      </w:r>
      <w:r>
        <w:t xml:space="preserve"> </w:t>
      </w:r>
      <w:r w:rsidRPr="001D4659">
        <w:t>(Similar schedules will be followed in subsequent years.)</w:t>
      </w:r>
    </w:p>
    <w:p w:rsidR="0044464E" w:rsidRPr="001D4659" w:rsidRDefault="0044464E" w:rsidP="007B15BA">
      <w:pPr>
        <w:widowControl/>
        <w:tabs>
          <w:tab w:val="left" w:pos="0"/>
          <w:tab w:val="center" w:pos="5112"/>
          <w:tab w:val="left" w:pos="5760"/>
          <w:tab w:val="left" w:pos="6480"/>
          <w:tab w:val="left" w:pos="7200"/>
          <w:tab w:val="left" w:pos="7920"/>
          <w:tab w:val="left" w:pos="8640"/>
          <w:tab w:val="left" w:pos="9360"/>
          <w:tab w:val="left" w:pos="10080"/>
        </w:tabs>
        <w:spacing w:before="240"/>
        <w:ind w:left="360"/>
        <w:rPr>
          <w:b/>
        </w:rPr>
      </w:pPr>
      <w:r w:rsidRPr="001D4659">
        <w:rPr>
          <w:b/>
        </w:rPr>
        <w:t>Schedule for Data Collection</w:t>
      </w:r>
      <w:r>
        <w:rPr>
          <w:b/>
        </w:rPr>
        <w:t>,</w:t>
      </w:r>
      <w:r w:rsidRPr="001D4659">
        <w:rPr>
          <w:b/>
        </w:rPr>
        <w:t xml:space="preserve"> Analysis</w:t>
      </w:r>
      <w:r>
        <w:rPr>
          <w:b/>
        </w:rPr>
        <w:t xml:space="preserve"> and Publication</w:t>
      </w:r>
    </w:p>
    <w:p w:rsidR="0044464E" w:rsidRPr="001D4659"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360"/>
      </w:pPr>
      <w:r w:rsidRPr="00AE481E">
        <w:rPr>
          <w:u w:val="single"/>
        </w:rPr>
        <w:t>Activity</w:t>
      </w:r>
      <w:r w:rsidRPr="001D4659">
        <w:tab/>
      </w:r>
      <w:r w:rsidRPr="001D4659">
        <w:tab/>
      </w:r>
      <w:r w:rsidRPr="001D4659">
        <w:tab/>
      </w:r>
      <w:r w:rsidRPr="001D4659">
        <w:tab/>
      </w:r>
      <w:r w:rsidRPr="001D4659">
        <w:tab/>
      </w:r>
      <w:r>
        <w:tab/>
      </w:r>
      <w:r>
        <w:tab/>
      </w:r>
      <w:r>
        <w:tab/>
      </w:r>
      <w:r w:rsidRPr="001D4659">
        <w:rPr>
          <w:u w:val="single"/>
        </w:rPr>
        <w:t>Estimated Completion Date</w:t>
      </w:r>
    </w:p>
    <w:p w:rsidR="007B037C" w:rsidRPr="001D4659"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pPr>
      <w:bookmarkStart w:id="28" w:name="_Toc341193752"/>
      <w:r w:rsidRPr="001D4659">
        <w:t>Mail Form EIA-886 Survey for 20</w:t>
      </w:r>
      <w:r>
        <w:t>12 Report Year</w:t>
      </w:r>
      <w:r>
        <w:tab/>
      </w:r>
      <w:r w:rsidRPr="001D4659">
        <w:tab/>
      </w:r>
      <w:r>
        <w:t>March</w:t>
      </w:r>
      <w:r w:rsidRPr="001D4659">
        <w:t xml:space="preserve"> </w:t>
      </w:r>
      <w:r>
        <w:t>15</w:t>
      </w:r>
      <w:r w:rsidRPr="001D4659">
        <w:t>, 20</w:t>
      </w:r>
      <w:r>
        <w:t>13</w:t>
      </w:r>
    </w:p>
    <w:p w:rsidR="007B037C" w:rsidRPr="001D4659" w:rsidRDefault="007B037C" w:rsidP="007B037C">
      <w:pPr>
        <w:widowControl/>
        <w:tabs>
          <w:tab w:val="left" w:pos="0"/>
          <w:tab w:val="left" w:pos="6258"/>
          <w:tab w:val="left" w:pos="6480"/>
          <w:tab w:val="left" w:pos="7200"/>
          <w:tab w:val="left" w:pos="7920"/>
          <w:tab w:val="left" w:pos="8640"/>
          <w:tab w:val="left" w:pos="9360"/>
          <w:tab w:val="left" w:pos="10080"/>
        </w:tabs>
        <w:spacing w:before="120"/>
        <w:ind w:left="360"/>
      </w:pPr>
      <w:r>
        <w:t>Survey Response Due to EIA</w:t>
      </w:r>
      <w:r>
        <w:tab/>
      </w:r>
      <w:r w:rsidRPr="001D4659">
        <w:tab/>
      </w:r>
      <w:r>
        <w:t>May</w:t>
      </w:r>
      <w:r w:rsidRPr="001D4659">
        <w:t xml:space="preserve"> 1</w:t>
      </w:r>
      <w:r>
        <w:t>5</w:t>
      </w:r>
      <w:r w:rsidRPr="001D4659">
        <w:t>, 20</w:t>
      </w:r>
      <w:r>
        <w:t>13</w:t>
      </w:r>
    </w:p>
    <w:p w:rsidR="007B037C" w:rsidRPr="00614DF1"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pPr>
      <w:r w:rsidRPr="00614DF1">
        <w:t>Begin Fol</w:t>
      </w:r>
      <w:r>
        <w:t>low-up Contact with Respondents</w:t>
      </w:r>
      <w:r w:rsidRPr="00614DF1">
        <w:tab/>
      </w:r>
      <w:r w:rsidRPr="00614DF1">
        <w:tab/>
      </w:r>
      <w:r w:rsidRPr="00614DF1">
        <w:tab/>
      </w:r>
      <w:r>
        <w:t xml:space="preserve">May </w:t>
      </w:r>
      <w:r w:rsidRPr="00614DF1">
        <w:t>15, 2013</w:t>
      </w:r>
    </w:p>
    <w:p w:rsidR="007B037C" w:rsidRPr="001D4659"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pPr>
      <w:r w:rsidRPr="001D4659">
        <w:t>End Fol</w:t>
      </w:r>
      <w:r>
        <w:t>low-up Contact with Respondents</w:t>
      </w:r>
      <w:r w:rsidRPr="001D4659">
        <w:tab/>
      </w:r>
      <w:r w:rsidRPr="001D4659">
        <w:tab/>
      </w:r>
      <w:r w:rsidRPr="001D4659">
        <w:tab/>
      </w:r>
      <w:r>
        <w:t>July 15</w:t>
      </w:r>
      <w:r w:rsidRPr="001D4659">
        <w:t>, 20</w:t>
      </w:r>
      <w:r>
        <w:t>13</w:t>
      </w:r>
    </w:p>
    <w:p w:rsidR="007B037C" w:rsidRDefault="007B037C" w:rsidP="007B037C">
      <w:pPr>
        <w:widowControl/>
        <w:tabs>
          <w:tab w:val="left" w:pos="0"/>
          <w:tab w:val="left" w:pos="6258"/>
          <w:tab w:val="left" w:pos="6480"/>
          <w:tab w:val="left" w:pos="7200"/>
          <w:tab w:val="left" w:pos="7920"/>
          <w:tab w:val="left" w:pos="8640"/>
          <w:tab w:val="left" w:pos="9360"/>
          <w:tab w:val="left" w:pos="10080"/>
        </w:tabs>
        <w:spacing w:before="120"/>
        <w:ind w:left="360"/>
      </w:pPr>
      <w:r w:rsidRPr="001D4659">
        <w:t>Comple</w:t>
      </w:r>
      <w:r>
        <w:t>te Data Collection</w:t>
      </w:r>
      <w:r>
        <w:tab/>
      </w:r>
      <w:r>
        <w:tab/>
        <w:t>September 15, 2013</w:t>
      </w:r>
    </w:p>
    <w:p w:rsidR="007B037C" w:rsidRPr="00431556" w:rsidRDefault="007B037C" w:rsidP="007B037C">
      <w:pPr>
        <w:widowControl/>
        <w:tabs>
          <w:tab w:val="left" w:pos="0"/>
          <w:tab w:val="left" w:pos="6258"/>
          <w:tab w:val="left" w:pos="6480"/>
          <w:tab w:val="left" w:pos="7200"/>
          <w:tab w:val="left" w:pos="7920"/>
          <w:tab w:val="left" w:pos="8640"/>
          <w:tab w:val="left" w:pos="9360"/>
          <w:tab w:val="left" w:pos="10080"/>
        </w:tabs>
        <w:spacing w:before="120"/>
        <w:ind w:left="360"/>
      </w:pPr>
      <w:r>
        <w:t xml:space="preserve">Perform </w:t>
      </w:r>
      <w:r w:rsidRPr="00431556">
        <w:t xml:space="preserve">Data Analysis and </w:t>
      </w:r>
      <w:r>
        <w:t xml:space="preserve">Prepare </w:t>
      </w:r>
      <w:r w:rsidRPr="00431556">
        <w:t>Preliminary Data Report</w:t>
      </w:r>
      <w:r w:rsidRPr="00431556">
        <w:tab/>
      </w:r>
      <w:r w:rsidRPr="00431556">
        <w:tab/>
      </w:r>
      <w:r>
        <w:t>December 2, 2013</w:t>
      </w:r>
    </w:p>
    <w:p w:rsidR="007B037C" w:rsidRPr="00495216"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pPr>
      <w:r>
        <w:t>Publish Survey Results on EIA Website</w:t>
      </w:r>
      <w:r>
        <w:tab/>
      </w:r>
      <w:r>
        <w:tab/>
      </w:r>
      <w:r>
        <w:tab/>
      </w:r>
      <w:r w:rsidRPr="00614DF1">
        <w:tab/>
      </w:r>
      <w:r>
        <w:t>February 28</w:t>
      </w:r>
      <w:r w:rsidRPr="00614DF1">
        <w:t>, 20</w:t>
      </w:r>
      <w:r>
        <w:t>14</w:t>
      </w:r>
    </w:p>
    <w:p w:rsidR="0044464E" w:rsidRPr="001D4659" w:rsidRDefault="007206A5" w:rsidP="007B15BA">
      <w:pPr>
        <w:pStyle w:val="Heading2"/>
      </w:pPr>
      <w:r>
        <w:t xml:space="preserve">OMB Number and </w:t>
      </w:r>
      <w:r w:rsidR="0044464E">
        <w:t>Expiration Date</w:t>
      </w:r>
      <w:bookmarkEnd w:id="28"/>
    </w:p>
    <w:p w:rsidR="005F1439" w:rsidRPr="0044464E" w:rsidRDefault="0044464E" w:rsidP="007E3BBE">
      <w:pPr>
        <w:widowControl/>
        <w:tabs>
          <w:tab w:val="left" w:pos="0"/>
          <w:tab w:val="left" w:pos="5970"/>
          <w:tab w:val="left" w:pos="6480"/>
          <w:tab w:val="left" w:pos="7200"/>
          <w:tab w:val="left" w:pos="7920"/>
          <w:tab w:val="left" w:pos="8640"/>
          <w:tab w:val="left" w:pos="9360"/>
          <w:tab w:val="left" w:pos="10080"/>
        </w:tabs>
        <w:spacing w:before="120"/>
      </w:pPr>
      <w:r w:rsidRPr="001D4659">
        <w:t xml:space="preserve">The </w:t>
      </w:r>
      <w:r>
        <w:t xml:space="preserve">OMB Number (1905-0191) and data collection </w:t>
      </w:r>
      <w:r w:rsidRPr="001D4659">
        <w:t xml:space="preserve">expiration date will be displayed on the </w:t>
      </w:r>
      <w:r>
        <w:t xml:space="preserve">data collection </w:t>
      </w:r>
      <w:r w:rsidRPr="001D4659">
        <w:t>form</w:t>
      </w:r>
      <w:r w:rsidRPr="001D4659">
        <w:rPr>
          <w:b/>
        </w:rPr>
        <w:t>.</w:t>
      </w:r>
    </w:p>
    <w:sectPr w:rsidR="005F1439" w:rsidRPr="0044464E" w:rsidSect="004C028D">
      <w:footerReference w:type="default" r:id="rId17"/>
      <w:pgSz w:w="12240" w:h="15840" w:code="1"/>
      <w:pgMar w:top="1440" w:right="1440" w:bottom="1440" w:left="144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635" w:rsidRDefault="00BC4635" w:rsidP="006A12D8">
      <w:r>
        <w:separator/>
      </w:r>
    </w:p>
  </w:endnote>
  <w:endnote w:type="continuationSeparator" w:id="0">
    <w:p w:rsidR="00BC4635" w:rsidRDefault="00BC4635" w:rsidP="006A12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7C" w:rsidRPr="001B2EA7" w:rsidRDefault="009D567C" w:rsidP="00F04F7B">
    <w:pPr>
      <w:pStyle w:val="Footer"/>
      <w:framePr w:wrap="auto" w:vAnchor="margin" w:hAnchor="text" w:xAlign="left" w:yAlign="inline"/>
      <w:tabs>
        <w:tab w:val="clear" w:pos="0"/>
        <w:tab w:val="clear" w:pos="4320"/>
        <w:tab w:val="clear" w:pos="8640"/>
        <w:tab w:val="clear" w:pos="9360"/>
        <w:tab w:val="right" w:pos="10080"/>
      </w:tabs>
      <w:spacing w:before="240"/>
      <w:jc w:val="center"/>
      <w:rPr>
        <w:sz w:val="18"/>
        <w:szCs w:val="18"/>
      </w:rPr>
    </w:pPr>
    <w:proofErr w:type="spellStart"/>
    <w:proofErr w:type="gramStart"/>
    <w:r>
      <w:rPr>
        <w:sz w:val="18"/>
        <w:szCs w:val="18"/>
      </w:rPr>
      <w:t>i</w:t>
    </w:r>
    <w:proofErr w:type="spellEnd"/>
    <w:proofErr w:type="gram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7C" w:rsidRDefault="009D567C" w:rsidP="009B0603">
    <w:pPr>
      <w:pStyle w:val="Footer"/>
      <w:framePr w:wrap="auto" w:vAnchor="margin" w:hAnchor="text" w:xAlign="left" w:yAlign="inlin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7C" w:rsidRPr="001B2EA7" w:rsidRDefault="009D567C" w:rsidP="009B0603">
    <w:pPr>
      <w:pStyle w:val="Footer"/>
      <w:framePr w:wrap="auto" w:vAnchor="margin" w:hAnchor="text" w:xAlign="left" w:yAlign="inline"/>
      <w:tabs>
        <w:tab w:val="clear" w:pos="0"/>
        <w:tab w:val="clear" w:pos="4320"/>
        <w:tab w:val="clear" w:pos="8640"/>
        <w:tab w:val="clear" w:pos="9360"/>
        <w:tab w:val="right" w:pos="10080"/>
      </w:tabs>
      <w:spacing w:before="240"/>
      <w:rPr>
        <w:sz w:val="18"/>
        <w:szCs w:val="18"/>
      </w:rPr>
    </w:pPr>
    <w:r w:rsidRPr="001B2EA7">
      <w:rPr>
        <w:sz w:val="18"/>
        <w:szCs w:val="18"/>
      </w:rPr>
      <w:t>Supporting Statement, Part A: EIA-886</w:t>
    </w:r>
    <w:r w:rsidRPr="001B2EA7">
      <w:rPr>
        <w:sz w:val="18"/>
        <w:szCs w:val="18"/>
      </w:rPr>
      <w:tab/>
    </w:r>
    <w:sdt>
      <w:sdtPr>
        <w:rPr>
          <w:sz w:val="18"/>
          <w:szCs w:val="18"/>
        </w:rPr>
        <w:id w:val="859912471"/>
        <w:docPartObj>
          <w:docPartGallery w:val="Page Numbers (Bottom of Page)"/>
          <w:docPartUnique/>
        </w:docPartObj>
      </w:sdtPr>
      <w:sdtContent>
        <w:sdt>
          <w:sdtPr>
            <w:rPr>
              <w:sz w:val="18"/>
              <w:szCs w:val="18"/>
            </w:rPr>
            <w:id w:val="859912472"/>
            <w:docPartObj>
              <w:docPartGallery w:val="Page Numbers (Top of Page)"/>
              <w:docPartUnique/>
            </w:docPartObj>
          </w:sdtPr>
          <w:sdtContent>
            <w:r w:rsidRPr="001B2EA7">
              <w:rPr>
                <w:sz w:val="18"/>
                <w:szCs w:val="18"/>
              </w:rPr>
              <w:t xml:space="preserve">Page </w:t>
            </w:r>
            <w:r w:rsidR="00C768F9" w:rsidRPr="001B2EA7">
              <w:rPr>
                <w:sz w:val="18"/>
                <w:szCs w:val="18"/>
              </w:rPr>
              <w:fldChar w:fldCharType="begin"/>
            </w:r>
            <w:r w:rsidRPr="001B2EA7">
              <w:rPr>
                <w:sz w:val="18"/>
                <w:szCs w:val="18"/>
              </w:rPr>
              <w:instrText xml:space="preserve"> PAGE </w:instrText>
            </w:r>
            <w:r w:rsidR="00C768F9" w:rsidRPr="001B2EA7">
              <w:rPr>
                <w:sz w:val="18"/>
                <w:szCs w:val="18"/>
              </w:rPr>
              <w:fldChar w:fldCharType="separate"/>
            </w:r>
            <w:r w:rsidR="00132ACD">
              <w:rPr>
                <w:noProof/>
                <w:sz w:val="18"/>
                <w:szCs w:val="18"/>
              </w:rPr>
              <w:t>1</w:t>
            </w:r>
            <w:r w:rsidR="00C768F9" w:rsidRPr="001B2EA7">
              <w:rPr>
                <w:sz w:val="18"/>
                <w:szCs w:val="18"/>
              </w:rPr>
              <w:fldChar w:fldCharType="end"/>
            </w:r>
            <w:r w:rsidRPr="001B2EA7">
              <w:rPr>
                <w:sz w:val="18"/>
                <w:szCs w:val="18"/>
              </w:rPr>
              <w:t xml:space="preserve"> of </w:t>
            </w:r>
            <w:r>
              <w:rPr>
                <w:sz w:val="18"/>
                <w:szCs w:val="18"/>
              </w:rPr>
              <w:t>1</w:t>
            </w:r>
            <w:r w:rsidR="00132ACD">
              <w:rPr>
                <w:sz w:val="18"/>
                <w:szCs w:val="18"/>
              </w:rPr>
              <w:t>2</w:t>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635" w:rsidRDefault="00BC4635" w:rsidP="006A12D8">
      <w:r>
        <w:separator/>
      </w:r>
    </w:p>
  </w:footnote>
  <w:footnote w:type="continuationSeparator" w:id="0">
    <w:p w:rsidR="00BC4635" w:rsidRDefault="00BC4635" w:rsidP="006A12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169A"/>
    <w:multiLevelType w:val="multilevel"/>
    <w:tmpl w:val="766C6990"/>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FA351C"/>
    <w:multiLevelType w:val="multilevel"/>
    <w:tmpl w:val="A0E87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921B5C"/>
    <w:multiLevelType w:val="multilevel"/>
    <w:tmpl w:val="AE825E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1911F9A"/>
    <w:multiLevelType w:val="hybridMultilevel"/>
    <w:tmpl w:val="03C4B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C7122"/>
    <w:multiLevelType w:val="hybridMultilevel"/>
    <w:tmpl w:val="F61C3FAC"/>
    <w:lvl w:ilvl="0" w:tplc="CA48A97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12185"/>
    <w:multiLevelType w:val="multilevel"/>
    <w:tmpl w:val="E244EF1C"/>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B2B4B49"/>
    <w:multiLevelType w:val="multilevel"/>
    <w:tmpl w:val="A0E87374"/>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0B372D4"/>
    <w:multiLevelType w:val="hybridMultilevel"/>
    <w:tmpl w:val="894CA66C"/>
    <w:lvl w:ilvl="0" w:tplc="21483526">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C12E7"/>
    <w:multiLevelType w:val="hybridMultilevel"/>
    <w:tmpl w:val="E244EF1C"/>
    <w:lvl w:ilvl="0" w:tplc="CA48A97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461A97"/>
    <w:multiLevelType w:val="hybridMultilevel"/>
    <w:tmpl w:val="AA66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8D7658"/>
    <w:multiLevelType w:val="hybridMultilevel"/>
    <w:tmpl w:val="B428F6B6"/>
    <w:lvl w:ilvl="0" w:tplc="CA48A97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4217D9"/>
    <w:multiLevelType w:val="hybridMultilevel"/>
    <w:tmpl w:val="3B7A0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822EF9"/>
    <w:multiLevelType w:val="hybridMultilevel"/>
    <w:tmpl w:val="766C6990"/>
    <w:lvl w:ilvl="0" w:tplc="CA48A97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ED3567"/>
    <w:multiLevelType w:val="multilevel"/>
    <w:tmpl w:val="894CA66C"/>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4C5696A"/>
    <w:multiLevelType w:val="multilevel"/>
    <w:tmpl w:val="F61C3FAC"/>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2"/>
  </w:num>
  <w:num w:numId="5">
    <w:abstractNumId w:val="7"/>
  </w:num>
  <w:num w:numId="6">
    <w:abstractNumId w:val="9"/>
  </w:num>
  <w:num w:numId="7">
    <w:abstractNumId w:val="3"/>
  </w:num>
  <w:num w:numId="8">
    <w:abstractNumId w:val="11"/>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 w:numId="19">
    <w:abstractNumId w:val="14"/>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drawingGridHorizontalSpacing w:val="120"/>
  <w:displayHorizontalDrawingGridEvery w:val="2"/>
  <w:characterSpacingControl w:val="doNotCompress"/>
  <w:hdrShapeDefaults>
    <o:shapedefaults v:ext="edit" spidmax="74754"/>
  </w:hdrShapeDefaults>
  <w:footnotePr>
    <w:footnote w:id="-1"/>
    <w:footnote w:id="0"/>
  </w:footnotePr>
  <w:endnotePr>
    <w:endnote w:id="-1"/>
    <w:endnote w:id="0"/>
  </w:endnotePr>
  <w:compat/>
  <w:rsids>
    <w:rsidRoot w:val="0044464E"/>
    <w:rsid w:val="00000FB0"/>
    <w:rsid w:val="000154AB"/>
    <w:rsid w:val="00020A95"/>
    <w:rsid w:val="00023710"/>
    <w:rsid w:val="00041D7A"/>
    <w:rsid w:val="00050F16"/>
    <w:rsid w:val="00052054"/>
    <w:rsid w:val="00070B02"/>
    <w:rsid w:val="00081393"/>
    <w:rsid w:val="00086A97"/>
    <w:rsid w:val="000C0256"/>
    <w:rsid w:val="000D57B1"/>
    <w:rsid w:val="00115943"/>
    <w:rsid w:val="00132ACD"/>
    <w:rsid w:val="00137114"/>
    <w:rsid w:val="00165243"/>
    <w:rsid w:val="00180BF5"/>
    <w:rsid w:val="001C65FC"/>
    <w:rsid w:val="001E564E"/>
    <w:rsid w:val="0021545F"/>
    <w:rsid w:val="00251D3B"/>
    <w:rsid w:val="00256080"/>
    <w:rsid w:val="00276CEF"/>
    <w:rsid w:val="002E2D85"/>
    <w:rsid w:val="002E642B"/>
    <w:rsid w:val="00305BD4"/>
    <w:rsid w:val="00306119"/>
    <w:rsid w:val="0039688F"/>
    <w:rsid w:val="003A3F1F"/>
    <w:rsid w:val="003B434E"/>
    <w:rsid w:val="003E0923"/>
    <w:rsid w:val="003E6E76"/>
    <w:rsid w:val="003F385E"/>
    <w:rsid w:val="003F745C"/>
    <w:rsid w:val="00417E4D"/>
    <w:rsid w:val="004314C8"/>
    <w:rsid w:val="004339A4"/>
    <w:rsid w:val="0044464E"/>
    <w:rsid w:val="00473B96"/>
    <w:rsid w:val="004A2A88"/>
    <w:rsid w:val="004B6B18"/>
    <w:rsid w:val="004C028D"/>
    <w:rsid w:val="004E3C70"/>
    <w:rsid w:val="005256AA"/>
    <w:rsid w:val="00526306"/>
    <w:rsid w:val="0053228F"/>
    <w:rsid w:val="00542B2E"/>
    <w:rsid w:val="005455B7"/>
    <w:rsid w:val="0057731E"/>
    <w:rsid w:val="00594AC7"/>
    <w:rsid w:val="005D5C5F"/>
    <w:rsid w:val="005E7108"/>
    <w:rsid w:val="005F1439"/>
    <w:rsid w:val="00606D15"/>
    <w:rsid w:val="00615BBB"/>
    <w:rsid w:val="0061775D"/>
    <w:rsid w:val="00641DA2"/>
    <w:rsid w:val="0065054E"/>
    <w:rsid w:val="00661FB8"/>
    <w:rsid w:val="006724EA"/>
    <w:rsid w:val="00695658"/>
    <w:rsid w:val="006A12D8"/>
    <w:rsid w:val="006A7AA5"/>
    <w:rsid w:val="006B0048"/>
    <w:rsid w:val="006B5A98"/>
    <w:rsid w:val="006E52FB"/>
    <w:rsid w:val="00703162"/>
    <w:rsid w:val="007206A5"/>
    <w:rsid w:val="00721963"/>
    <w:rsid w:val="00766DBB"/>
    <w:rsid w:val="007822C3"/>
    <w:rsid w:val="00787271"/>
    <w:rsid w:val="007B037C"/>
    <w:rsid w:val="007B15BA"/>
    <w:rsid w:val="007B3FAE"/>
    <w:rsid w:val="007D0CA0"/>
    <w:rsid w:val="007E3BBE"/>
    <w:rsid w:val="007F3CB9"/>
    <w:rsid w:val="007F55D9"/>
    <w:rsid w:val="00834DEF"/>
    <w:rsid w:val="0086552F"/>
    <w:rsid w:val="00873B78"/>
    <w:rsid w:val="008A0A10"/>
    <w:rsid w:val="008B719C"/>
    <w:rsid w:val="008C200A"/>
    <w:rsid w:val="008D13DD"/>
    <w:rsid w:val="0091798B"/>
    <w:rsid w:val="009300E9"/>
    <w:rsid w:val="0094113A"/>
    <w:rsid w:val="0094534D"/>
    <w:rsid w:val="00963E45"/>
    <w:rsid w:val="00964035"/>
    <w:rsid w:val="0097111F"/>
    <w:rsid w:val="00983AEF"/>
    <w:rsid w:val="00984214"/>
    <w:rsid w:val="00984AC5"/>
    <w:rsid w:val="009A7A78"/>
    <w:rsid w:val="009B0603"/>
    <w:rsid w:val="009B1AC9"/>
    <w:rsid w:val="009D567C"/>
    <w:rsid w:val="009E1ECB"/>
    <w:rsid w:val="00A01800"/>
    <w:rsid w:val="00A14BE5"/>
    <w:rsid w:val="00A30DA9"/>
    <w:rsid w:val="00A72B29"/>
    <w:rsid w:val="00A737C7"/>
    <w:rsid w:val="00A77969"/>
    <w:rsid w:val="00A84DEE"/>
    <w:rsid w:val="00A9087E"/>
    <w:rsid w:val="00A933A4"/>
    <w:rsid w:val="00AB189B"/>
    <w:rsid w:val="00AD279C"/>
    <w:rsid w:val="00AD4428"/>
    <w:rsid w:val="00AF4614"/>
    <w:rsid w:val="00B125F6"/>
    <w:rsid w:val="00B174A7"/>
    <w:rsid w:val="00B3331F"/>
    <w:rsid w:val="00B33721"/>
    <w:rsid w:val="00B34734"/>
    <w:rsid w:val="00BA0AF8"/>
    <w:rsid w:val="00BC4635"/>
    <w:rsid w:val="00BC50E4"/>
    <w:rsid w:val="00BD4312"/>
    <w:rsid w:val="00BE51C8"/>
    <w:rsid w:val="00BF3D93"/>
    <w:rsid w:val="00BF4DCC"/>
    <w:rsid w:val="00C0707C"/>
    <w:rsid w:val="00C1443B"/>
    <w:rsid w:val="00C341D7"/>
    <w:rsid w:val="00C768F9"/>
    <w:rsid w:val="00C77C2B"/>
    <w:rsid w:val="00CA1EC1"/>
    <w:rsid w:val="00CA2886"/>
    <w:rsid w:val="00CA4E11"/>
    <w:rsid w:val="00CB6EB7"/>
    <w:rsid w:val="00CE2099"/>
    <w:rsid w:val="00CF449E"/>
    <w:rsid w:val="00CF494F"/>
    <w:rsid w:val="00D12C89"/>
    <w:rsid w:val="00D16815"/>
    <w:rsid w:val="00D633C8"/>
    <w:rsid w:val="00D90843"/>
    <w:rsid w:val="00DA281B"/>
    <w:rsid w:val="00DA4E45"/>
    <w:rsid w:val="00E25F5B"/>
    <w:rsid w:val="00E33230"/>
    <w:rsid w:val="00E85A94"/>
    <w:rsid w:val="00EA0D07"/>
    <w:rsid w:val="00EF7C06"/>
    <w:rsid w:val="00F04F7B"/>
    <w:rsid w:val="00F05BCC"/>
    <w:rsid w:val="00F37D42"/>
    <w:rsid w:val="00F478BF"/>
    <w:rsid w:val="00F72AC6"/>
    <w:rsid w:val="00F73B01"/>
    <w:rsid w:val="00F86D2E"/>
    <w:rsid w:val="00FB78F9"/>
    <w:rsid w:val="00FC5CC4"/>
    <w:rsid w:val="00FD5DF7"/>
    <w:rsid w:val="00FD69FD"/>
    <w:rsid w:val="00FF07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DEF"/>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E1ECB"/>
    <w:pPr>
      <w:keepNext/>
      <w:keepLines/>
      <w:spacing w:before="480"/>
      <w:outlineLvl w:val="0"/>
    </w:pPr>
    <w:rPr>
      <w:rFonts w:eastAsiaTheme="majorEastAsia"/>
      <w:b/>
      <w:bCs/>
      <w:sz w:val="28"/>
      <w:szCs w:val="28"/>
    </w:rPr>
  </w:style>
  <w:style w:type="paragraph" w:styleId="Heading2">
    <w:name w:val="heading 2"/>
    <w:basedOn w:val="ListParagraph"/>
    <w:next w:val="Normal"/>
    <w:link w:val="Heading2Char"/>
    <w:qFormat/>
    <w:rsid w:val="004E3C70"/>
    <w:pPr>
      <w:widowControl/>
      <w:numPr>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contextualSpacing w:val="0"/>
      <w:outlineLvl w:val="1"/>
    </w:pPr>
    <w:rPr>
      <w:b/>
    </w:rPr>
  </w:style>
  <w:style w:type="paragraph" w:styleId="Heading3">
    <w:name w:val="heading 3"/>
    <w:basedOn w:val="Normal"/>
    <w:next w:val="Normal"/>
    <w:link w:val="Heading3Char"/>
    <w:qFormat/>
    <w:rsid w:val="0044464E"/>
    <w:pPr>
      <w:jc w:val="center"/>
      <w:outlineLvl w:val="2"/>
    </w:pPr>
    <w:rPr>
      <w:szCs w:val="24"/>
    </w:rPr>
  </w:style>
  <w:style w:type="paragraph" w:styleId="Heading4">
    <w:name w:val="heading 4"/>
    <w:basedOn w:val="Normal"/>
    <w:next w:val="Normal"/>
    <w:link w:val="Heading4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3"/>
    </w:pPr>
    <w:rPr>
      <w:color w:val="FF00FF"/>
    </w:rPr>
  </w:style>
  <w:style w:type="paragraph" w:styleId="Heading5">
    <w:name w:val="heading 5"/>
    <w:basedOn w:val="Normal"/>
    <w:next w:val="Normal"/>
    <w:link w:val="Heading5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4"/>
    </w:pPr>
    <w:rPr>
      <w:color w:val="3366FF"/>
    </w:rPr>
  </w:style>
  <w:style w:type="paragraph" w:styleId="Heading6">
    <w:name w:val="heading 6"/>
    <w:basedOn w:val="Normal"/>
    <w:next w:val="Normal"/>
    <w:link w:val="Heading6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5"/>
    </w:pPr>
    <w:rPr>
      <w:b/>
    </w:rPr>
  </w:style>
  <w:style w:type="paragraph" w:styleId="Heading7">
    <w:name w:val="heading 7"/>
    <w:basedOn w:val="Normal"/>
    <w:next w:val="Normal"/>
    <w:link w:val="Heading7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1ECB"/>
    <w:rPr>
      <w:rFonts w:ascii="Times New Roman" w:eastAsiaTheme="majorEastAsia" w:hAnsi="Times New Roman" w:cs="Times New Roman"/>
      <w:b/>
      <w:bCs/>
      <w:sz w:val="28"/>
      <w:szCs w:val="28"/>
    </w:rPr>
  </w:style>
  <w:style w:type="paragraph" w:styleId="ListParagraph">
    <w:name w:val="List Paragraph"/>
    <w:basedOn w:val="Normal"/>
    <w:uiPriority w:val="34"/>
    <w:qFormat/>
    <w:rsid w:val="00F05BCC"/>
    <w:pPr>
      <w:ind w:left="720"/>
      <w:contextualSpacing/>
    </w:pPr>
  </w:style>
  <w:style w:type="character" w:customStyle="1" w:styleId="Heading2Char">
    <w:name w:val="Heading 2 Char"/>
    <w:basedOn w:val="DefaultParagraphFont"/>
    <w:link w:val="Heading2"/>
    <w:rsid w:val="004E3C7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4464E"/>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44464E"/>
    <w:rPr>
      <w:rFonts w:ascii="Times New Roman" w:eastAsia="Times New Roman" w:hAnsi="Times New Roman" w:cs="Times New Roman"/>
      <w:color w:val="FF00FF"/>
      <w:sz w:val="24"/>
      <w:szCs w:val="20"/>
    </w:rPr>
  </w:style>
  <w:style w:type="character" w:customStyle="1" w:styleId="Heading5Char">
    <w:name w:val="Heading 5 Char"/>
    <w:basedOn w:val="DefaultParagraphFont"/>
    <w:link w:val="Heading5"/>
    <w:rsid w:val="0044464E"/>
    <w:rPr>
      <w:rFonts w:ascii="Times New Roman" w:eastAsia="Times New Roman" w:hAnsi="Times New Roman" w:cs="Times New Roman"/>
      <w:color w:val="3366FF"/>
      <w:sz w:val="24"/>
      <w:szCs w:val="20"/>
    </w:rPr>
  </w:style>
  <w:style w:type="character" w:customStyle="1" w:styleId="Heading6Char">
    <w:name w:val="Heading 6 Char"/>
    <w:basedOn w:val="DefaultParagraphFont"/>
    <w:link w:val="Heading6"/>
    <w:rsid w:val="0044464E"/>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44464E"/>
    <w:rPr>
      <w:rFonts w:ascii="Times New Roman" w:eastAsia="Times New Roman" w:hAnsi="Times New Roman" w:cs="Times New Roman"/>
      <w:color w:val="FF0000"/>
      <w:sz w:val="24"/>
      <w:szCs w:val="20"/>
    </w:rPr>
  </w:style>
  <w:style w:type="paragraph" w:styleId="Footer">
    <w:name w:val="footer"/>
    <w:basedOn w:val="Normal"/>
    <w:link w:val="FooterChar"/>
    <w:uiPriority w:val="99"/>
    <w:rsid w:val="0044464E"/>
    <w:pPr>
      <w:framePr w:wrap="auto" w:vAnchor="text" w:hAnchor="margin" w:xAlign="right" w:yAlign="top"/>
      <w:tabs>
        <w:tab w:val="left" w:pos="0"/>
        <w:tab w:val="center" w:pos="4320"/>
        <w:tab w:val="right" w:pos="8640"/>
        <w:tab w:val="left" w:pos="9360"/>
        <w:tab w:val="left" w:pos="10080"/>
      </w:tabs>
    </w:pPr>
    <w:rPr>
      <w:szCs w:val="24"/>
    </w:rPr>
  </w:style>
  <w:style w:type="character" w:customStyle="1" w:styleId="FooterChar">
    <w:name w:val="Footer Char"/>
    <w:basedOn w:val="DefaultParagraphFont"/>
    <w:link w:val="Footer"/>
    <w:uiPriority w:val="99"/>
    <w:rsid w:val="0044464E"/>
    <w:rPr>
      <w:rFonts w:ascii="Times New Roman" w:eastAsia="Times New Roman" w:hAnsi="Times New Roman" w:cs="Times New Roman"/>
      <w:sz w:val="24"/>
      <w:szCs w:val="24"/>
    </w:rPr>
  </w:style>
  <w:style w:type="paragraph" w:styleId="Title">
    <w:name w:val="Title"/>
    <w:basedOn w:val="Normal"/>
    <w:link w:val="TitleChar"/>
    <w:qFormat/>
    <w:rsid w:val="0044464E"/>
    <w:pPr>
      <w:tabs>
        <w:tab w:val="left" w:pos="0"/>
        <w:tab w:val="center" w:pos="5112"/>
        <w:tab w:val="left" w:pos="5760"/>
        <w:tab w:val="left" w:pos="6480"/>
        <w:tab w:val="left" w:pos="7200"/>
        <w:tab w:val="left" w:pos="7920"/>
        <w:tab w:val="left" w:pos="8640"/>
        <w:tab w:val="left" w:pos="9360"/>
        <w:tab w:val="left" w:pos="10080"/>
      </w:tabs>
      <w:jc w:val="center"/>
    </w:pPr>
    <w:rPr>
      <w:szCs w:val="24"/>
    </w:rPr>
  </w:style>
  <w:style w:type="character" w:customStyle="1" w:styleId="TitleChar">
    <w:name w:val="Title Char"/>
    <w:basedOn w:val="DefaultParagraphFont"/>
    <w:link w:val="Title"/>
    <w:rsid w:val="0044464E"/>
    <w:rPr>
      <w:rFonts w:ascii="Times New Roman" w:eastAsia="Times New Roman" w:hAnsi="Times New Roman" w:cs="Times New Roman"/>
      <w:sz w:val="24"/>
      <w:szCs w:val="24"/>
    </w:rPr>
  </w:style>
  <w:style w:type="paragraph" w:customStyle="1" w:styleId="a">
    <w:name w:val="_"/>
    <w:rsid w:val="0044464E"/>
    <w:pPr>
      <w:widowControl w:val="0"/>
      <w:tabs>
        <w:tab w:val="left" w:pos="0"/>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s>
      <w:autoSpaceDE w:val="0"/>
      <w:autoSpaceDN w:val="0"/>
      <w:adjustRightInd w:val="0"/>
      <w:spacing w:after="0" w:line="240" w:lineRule="auto"/>
      <w:ind w:left="612"/>
    </w:pPr>
    <w:rPr>
      <w:rFonts w:ascii="Times New Roman" w:eastAsia="Times New Roman" w:hAnsi="Times New Roman" w:cs="Times New Roman"/>
      <w:sz w:val="24"/>
      <w:szCs w:val="24"/>
    </w:rPr>
  </w:style>
  <w:style w:type="character" w:customStyle="1" w:styleId="FootnoteRef">
    <w:name w:val="Footnote Ref"/>
    <w:rsid w:val="0044464E"/>
  </w:style>
  <w:style w:type="character" w:styleId="PageNumber">
    <w:name w:val="page number"/>
    <w:basedOn w:val="DefaultParagraphFont"/>
    <w:rsid w:val="0044464E"/>
    <w:rPr>
      <w:sz w:val="20"/>
      <w:szCs w:val="20"/>
    </w:rPr>
  </w:style>
  <w:style w:type="paragraph" w:styleId="Header">
    <w:name w:val="header"/>
    <w:basedOn w:val="Normal"/>
    <w:link w:val="HeaderChar"/>
    <w:rsid w:val="0044464E"/>
    <w:pPr>
      <w:tabs>
        <w:tab w:val="left" w:pos="0"/>
        <w:tab w:val="center" w:pos="4320"/>
        <w:tab w:val="right" w:pos="8640"/>
        <w:tab w:val="left" w:pos="9360"/>
        <w:tab w:val="left" w:pos="10080"/>
      </w:tabs>
    </w:pPr>
    <w:rPr>
      <w:szCs w:val="24"/>
    </w:rPr>
  </w:style>
  <w:style w:type="character" w:customStyle="1" w:styleId="HeaderChar">
    <w:name w:val="Header Char"/>
    <w:basedOn w:val="DefaultParagraphFont"/>
    <w:link w:val="Header"/>
    <w:rsid w:val="0044464E"/>
    <w:rPr>
      <w:rFonts w:ascii="Times New Roman" w:eastAsia="Times New Roman" w:hAnsi="Times New Roman" w:cs="Times New Roman"/>
      <w:sz w:val="24"/>
      <w:szCs w:val="24"/>
    </w:rPr>
  </w:style>
  <w:style w:type="character" w:customStyle="1" w:styleId="DefaultPara">
    <w:name w:val="Default Para"/>
    <w:rsid w:val="0044464E"/>
  </w:style>
  <w:style w:type="character" w:styleId="EndnoteReference">
    <w:name w:val="endnote reference"/>
    <w:basedOn w:val="DefaultParagraphFont"/>
    <w:semiHidden/>
    <w:rsid w:val="0044464E"/>
    <w:rPr>
      <w:vertAlign w:val="superscript"/>
    </w:rPr>
  </w:style>
  <w:style w:type="character" w:styleId="FootnoteReference">
    <w:name w:val="footnote reference"/>
    <w:basedOn w:val="DefaultParagraphFont"/>
    <w:semiHidden/>
    <w:rsid w:val="0044464E"/>
    <w:rPr>
      <w:vertAlign w:val="superscript"/>
    </w:rPr>
  </w:style>
  <w:style w:type="paragraph" w:styleId="BodyTextIndent3">
    <w:name w:val="Body Text Indent 3"/>
    <w:basedOn w:val="Normal"/>
    <w:link w:val="BodyTextIndent3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color w:val="FF00FF"/>
    </w:rPr>
  </w:style>
  <w:style w:type="character" w:customStyle="1" w:styleId="BodyTextIndent3Char">
    <w:name w:val="Body Text Indent 3 Char"/>
    <w:basedOn w:val="DefaultParagraphFont"/>
    <w:link w:val="BodyTextIndent3"/>
    <w:rsid w:val="0044464E"/>
    <w:rPr>
      <w:rFonts w:ascii="Times New Roman" w:eastAsia="Times New Roman" w:hAnsi="Times New Roman" w:cs="Times New Roman"/>
      <w:color w:val="FF00FF"/>
      <w:sz w:val="24"/>
      <w:szCs w:val="20"/>
    </w:rPr>
  </w:style>
  <w:style w:type="paragraph" w:styleId="DocumentMap">
    <w:name w:val="Document Map"/>
    <w:basedOn w:val="Normal"/>
    <w:link w:val="DocumentMapChar"/>
    <w:semiHidden/>
    <w:rsid w:val="0044464E"/>
    <w:pPr>
      <w:shd w:val="clear" w:color="auto" w:fill="000080"/>
    </w:pPr>
    <w:rPr>
      <w:rFonts w:ascii="Tahoma" w:hAnsi="Tahoma" w:cs="Times"/>
    </w:rPr>
  </w:style>
  <w:style w:type="character" w:customStyle="1" w:styleId="DocumentMapChar">
    <w:name w:val="Document Map Char"/>
    <w:basedOn w:val="DefaultParagraphFont"/>
    <w:link w:val="DocumentMap"/>
    <w:semiHidden/>
    <w:rsid w:val="0044464E"/>
    <w:rPr>
      <w:rFonts w:ascii="Tahoma" w:eastAsia="Times New Roman" w:hAnsi="Tahoma" w:cs="Times"/>
      <w:sz w:val="20"/>
      <w:szCs w:val="20"/>
      <w:shd w:val="clear" w:color="auto" w:fill="000080"/>
    </w:rPr>
  </w:style>
  <w:style w:type="paragraph" w:styleId="BodyText">
    <w:name w:val="Body Text"/>
    <w:basedOn w:val="Normal"/>
    <w:link w:val="BodyText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FF0000"/>
    </w:rPr>
  </w:style>
  <w:style w:type="character" w:customStyle="1" w:styleId="BodyTextChar">
    <w:name w:val="Body Text Char"/>
    <w:basedOn w:val="DefaultParagraphFont"/>
    <w:link w:val="BodyText"/>
    <w:rsid w:val="0044464E"/>
    <w:rPr>
      <w:rFonts w:ascii="Times New Roman" w:eastAsia="Times New Roman" w:hAnsi="Times New Roman" w:cs="Times New Roman"/>
      <w:color w:val="FF0000"/>
      <w:sz w:val="24"/>
      <w:szCs w:val="20"/>
    </w:rPr>
  </w:style>
  <w:style w:type="paragraph" w:styleId="BodyText2">
    <w:name w:val="Body Text 2"/>
    <w:basedOn w:val="Normal"/>
    <w:link w:val="BodyText2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FF"/>
    </w:rPr>
  </w:style>
  <w:style w:type="character" w:customStyle="1" w:styleId="BodyText2Char">
    <w:name w:val="Body Text 2 Char"/>
    <w:basedOn w:val="DefaultParagraphFont"/>
    <w:link w:val="BodyText2"/>
    <w:rsid w:val="0044464E"/>
    <w:rPr>
      <w:rFonts w:ascii="Times New Roman" w:eastAsia="Times New Roman" w:hAnsi="Times New Roman" w:cs="Times New Roman"/>
      <w:color w:val="0000FF"/>
      <w:sz w:val="24"/>
      <w:szCs w:val="20"/>
    </w:rPr>
  </w:style>
  <w:style w:type="paragraph" w:styleId="E-mailSignature">
    <w:name w:val="E-mail Signature"/>
    <w:basedOn w:val="Normal"/>
    <w:link w:val="E-mailSignatureChar"/>
    <w:rsid w:val="0044464E"/>
    <w:pPr>
      <w:widowControl/>
      <w:autoSpaceDE/>
      <w:autoSpaceDN/>
      <w:adjustRightInd/>
    </w:pPr>
    <w:rPr>
      <w:szCs w:val="24"/>
    </w:rPr>
  </w:style>
  <w:style w:type="character" w:customStyle="1" w:styleId="E-mailSignatureChar">
    <w:name w:val="E-mail Signature Char"/>
    <w:basedOn w:val="DefaultParagraphFont"/>
    <w:link w:val="E-mailSignature"/>
    <w:rsid w:val="0044464E"/>
    <w:rPr>
      <w:rFonts w:ascii="Times New Roman" w:eastAsia="Times New Roman" w:hAnsi="Times New Roman" w:cs="Times New Roman"/>
      <w:sz w:val="24"/>
      <w:szCs w:val="24"/>
    </w:rPr>
  </w:style>
  <w:style w:type="character" w:customStyle="1" w:styleId="EmailStyle451">
    <w:name w:val="EmailStyle451"/>
    <w:basedOn w:val="DefaultParagraphFont"/>
    <w:rsid w:val="0044464E"/>
    <w:rPr>
      <w:rFonts w:ascii="Arial" w:hAnsi="Arial" w:cs="Arial"/>
      <w:color w:val="000000"/>
      <w:sz w:val="20"/>
    </w:rPr>
  </w:style>
  <w:style w:type="paragraph" w:styleId="Subtitle">
    <w:name w:val="Subtitle"/>
    <w:basedOn w:val="Normal"/>
    <w:link w:val="SubtitleChar"/>
    <w:qFormat/>
    <w:rsid w:val="0044464E"/>
    <w:pPr>
      <w:widowControl/>
      <w:tabs>
        <w:tab w:val="left" w:pos="6120"/>
      </w:tabs>
      <w:jc w:val="center"/>
    </w:pPr>
    <w:rPr>
      <w:i/>
    </w:rPr>
  </w:style>
  <w:style w:type="character" w:customStyle="1" w:styleId="SubtitleChar">
    <w:name w:val="Subtitle Char"/>
    <w:basedOn w:val="DefaultParagraphFont"/>
    <w:link w:val="Subtitle"/>
    <w:rsid w:val="0044464E"/>
    <w:rPr>
      <w:rFonts w:ascii="Times New Roman" w:eastAsia="Times New Roman" w:hAnsi="Times New Roman" w:cs="Times New Roman"/>
      <w:i/>
      <w:sz w:val="24"/>
      <w:szCs w:val="20"/>
    </w:rPr>
  </w:style>
  <w:style w:type="paragraph" w:styleId="BodyText3">
    <w:name w:val="Body Text 3"/>
    <w:basedOn w:val="Normal"/>
    <w:link w:val="BodyText3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FF00FF"/>
    </w:rPr>
  </w:style>
  <w:style w:type="character" w:customStyle="1" w:styleId="BodyText3Char">
    <w:name w:val="Body Text 3 Char"/>
    <w:basedOn w:val="DefaultParagraphFont"/>
    <w:link w:val="BodyText3"/>
    <w:rsid w:val="0044464E"/>
    <w:rPr>
      <w:rFonts w:ascii="Times New Roman" w:eastAsia="Times New Roman" w:hAnsi="Times New Roman" w:cs="Times New Roman"/>
      <w:color w:val="FF00FF"/>
      <w:sz w:val="24"/>
      <w:szCs w:val="20"/>
    </w:rPr>
  </w:style>
  <w:style w:type="paragraph" w:styleId="BodyTextIndent2">
    <w:name w:val="Body Text Indent 2"/>
    <w:basedOn w:val="Normal"/>
    <w:link w:val="BodyTextIndent2Char"/>
    <w:rsid w:val="0044464E"/>
    <w:pPr>
      <w:widowControl/>
      <w:autoSpaceDE/>
      <w:autoSpaceDN/>
      <w:adjustRightInd/>
      <w:spacing w:after="120" w:line="480" w:lineRule="auto"/>
      <w:ind w:left="360"/>
    </w:pPr>
  </w:style>
  <w:style w:type="character" w:customStyle="1" w:styleId="BodyTextIndent2Char">
    <w:name w:val="Body Text Indent 2 Char"/>
    <w:basedOn w:val="DefaultParagraphFont"/>
    <w:link w:val="BodyTextIndent2"/>
    <w:rsid w:val="0044464E"/>
    <w:rPr>
      <w:rFonts w:ascii="Times New Roman" w:eastAsia="Times New Roman" w:hAnsi="Times New Roman" w:cs="Times New Roman"/>
      <w:sz w:val="20"/>
      <w:szCs w:val="20"/>
    </w:rPr>
  </w:style>
  <w:style w:type="character" w:styleId="Hyperlink">
    <w:name w:val="Hyperlink"/>
    <w:basedOn w:val="DefaultParagraphFont"/>
    <w:uiPriority w:val="99"/>
    <w:rsid w:val="0044464E"/>
    <w:rPr>
      <w:color w:val="0000FF"/>
      <w:u w:val="single"/>
    </w:rPr>
  </w:style>
  <w:style w:type="table" w:styleId="TableGrid">
    <w:name w:val="Table Grid"/>
    <w:basedOn w:val="TableNormal"/>
    <w:rsid w:val="0044464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44464E"/>
    <w:rPr>
      <w:rFonts w:ascii="Tahoma" w:hAnsi="Tahoma" w:cs="Tahoma"/>
      <w:sz w:val="16"/>
      <w:szCs w:val="16"/>
    </w:rPr>
  </w:style>
  <w:style w:type="character" w:customStyle="1" w:styleId="BalloonTextChar">
    <w:name w:val="Balloon Text Char"/>
    <w:basedOn w:val="DefaultParagraphFont"/>
    <w:link w:val="BalloonText"/>
    <w:semiHidden/>
    <w:rsid w:val="0044464E"/>
    <w:rPr>
      <w:rFonts w:ascii="Tahoma" w:eastAsia="Times New Roman" w:hAnsi="Tahoma" w:cs="Tahoma"/>
      <w:sz w:val="16"/>
      <w:szCs w:val="16"/>
    </w:rPr>
  </w:style>
  <w:style w:type="character" w:styleId="CommentReference">
    <w:name w:val="annotation reference"/>
    <w:basedOn w:val="DefaultParagraphFont"/>
    <w:semiHidden/>
    <w:rsid w:val="0044464E"/>
    <w:rPr>
      <w:sz w:val="16"/>
      <w:szCs w:val="16"/>
    </w:rPr>
  </w:style>
  <w:style w:type="paragraph" w:styleId="CommentText">
    <w:name w:val="annotation text"/>
    <w:basedOn w:val="Normal"/>
    <w:link w:val="CommentTextChar"/>
    <w:semiHidden/>
    <w:rsid w:val="0044464E"/>
  </w:style>
  <w:style w:type="character" w:customStyle="1" w:styleId="CommentTextChar">
    <w:name w:val="Comment Text Char"/>
    <w:basedOn w:val="DefaultParagraphFont"/>
    <w:link w:val="CommentText"/>
    <w:semiHidden/>
    <w:rsid w:val="004446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4464E"/>
    <w:rPr>
      <w:b/>
      <w:bCs/>
    </w:rPr>
  </w:style>
  <w:style w:type="character" w:customStyle="1" w:styleId="CommentSubjectChar">
    <w:name w:val="Comment Subject Char"/>
    <w:basedOn w:val="CommentTextChar"/>
    <w:link w:val="CommentSubject"/>
    <w:semiHidden/>
    <w:rsid w:val="0044464E"/>
    <w:rPr>
      <w:rFonts w:ascii="Times New Roman" w:eastAsia="Times New Roman" w:hAnsi="Times New Roman" w:cs="Times New Roman"/>
      <w:b/>
      <w:bCs/>
      <w:sz w:val="20"/>
      <w:szCs w:val="20"/>
    </w:rPr>
  </w:style>
  <w:style w:type="paragraph" w:styleId="HTMLPreformatted">
    <w:name w:val="HTML Preformatted"/>
    <w:basedOn w:val="Normal"/>
    <w:link w:val="HTMLPreformattedChar"/>
    <w:uiPriority w:val="99"/>
    <w:rsid w:val="00444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44464E"/>
    <w:rPr>
      <w:rFonts w:ascii="Courier New" w:eastAsia="Times New Roman" w:hAnsi="Courier New" w:cs="Courier New"/>
      <w:sz w:val="20"/>
      <w:szCs w:val="20"/>
    </w:rPr>
  </w:style>
  <w:style w:type="paragraph" w:styleId="NormalWeb">
    <w:name w:val="Normal (Web)"/>
    <w:basedOn w:val="Normal"/>
    <w:uiPriority w:val="99"/>
    <w:unhideWhenUsed/>
    <w:rsid w:val="0044464E"/>
    <w:pPr>
      <w:widowControl/>
      <w:autoSpaceDE/>
      <w:autoSpaceDN/>
      <w:adjustRightInd/>
      <w:spacing w:after="144" w:line="336" w:lineRule="atLeast"/>
    </w:pPr>
    <w:rPr>
      <w:szCs w:val="24"/>
    </w:rPr>
  </w:style>
  <w:style w:type="character" w:styleId="FollowedHyperlink">
    <w:name w:val="FollowedHyperlink"/>
    <w:basedOn w:val="DefaultParagraphFont"/>
    <w:rsid w:val="0044464E"/>
    <w:rPr>
      <w:color w:val="800080"/>
      <w:u w:val="single"/>
    </w:rPr>
  </w:style>
  <w:style w:type="character" w:styleId="Emphasis">
    <w:name w:val="Emphasis"/>
    <w:basedOn w:val="DefaultParagraphFont"/>
    <w:uiPriority w:val="20"/>
    <w:qFormat/>
    <w:rsid w:val="0044464E"/>
    <w:rPr>
      <w:b w:val="0"/>
      <w:bCs w:val="0"/>
      <w:i/>
      <w:iCs/>
      <w:sz w:val="24"/>
      <w:szCs w:val="24"/>
    </w:rPr>
  </w:style>
  <w:style w:type="paragraph" w:customStyle="1" w:styleId="pbody1">
    <w:name w:val="pbody1"/>
    <w:basedOn w:val="Normal"/>
    <w:rsid w:val="0044464E"/>
    <w:pPr>
      <w:widowControl/>
      <w:autoSpaceDE/>
      <w:autoSpaceDN/>
      <w:adjustRightInd/>
      <w:ind w:left="240" w:firstLine="240"/>
    </w:pPr>
    <w:rPr>
      <w:rFonts w:ascii="Arial" w:hAnsi="Arial" w:cs="Arial"/>
      <w:color w:val="000000"/>
      <w:szCs w:val="24"/>
    </w:rPr>
  </w:style>
  <w:style w:type="paragraph" w:customStyle="1" w:styleId="pindented11">
    <w:name w:val="pindented11"/>
    <w:basedOn w:val="Normal"/>
    <w:rsid w:val="0044464E"/>
    <w:pPr>
      <w:widowControl/>
      <w:autoSpaceDE/>
      <w:autoSpaceDN/>
      <w:adjustRightInd/>
      <w:ind w:left="240" w:firstLine="240"/>
    </w:pPr>
    <w:rPr>
      <w:rFonts w:ascii="Arial" w:hAnsi="Arial" w:cs="Arial"/>
      <w:color w:val="000000"/>
      <w:szCs w:val="24"/>
    </w:rPr>
  </w:style>
  <w:style w:type="paragraph" w:customStyle="1" w:styleId="pindented21">
    <w:name w:val="pindented21"/>
    <w:basedOn w:val="Normal"/>
    <w:rsid w:val="0044464E"/>
    <w:pPr>
      <w:widowControl/>
      <w:autoSpaceDE/>
      <w:autoSpaceDN/>
      <w:adjustRightInd/>
      <w:ind w:left="240" w:firstLine="480"/>
    </w:pPr>
    <w:rPr>
      <w:rFonts w:ascii="Arial" w:hAnsi="Arial" w:cs="Arial"/>
      <w:color w:val="000000"/>
      <w:szCs w:val="24"/>
    </w:rPr>
  </w:style>
  <w:style w:type="paragraph" w:styleId="TOCHeading">
    <w:name w:val="TOC Heading"/>
    <w:basedOn w:val="Heading1"/>
    <w:next w:val="Normal"/>
    <w:uiPriority w:val="39"/>
    <w:unhideWhenUsed/>
    <w:qFormat/>
    <w:rsid w:val="00F86D2E"/>
    <w:pPr>
      <w:widowControl/>
      <w:autoSpaceDE/>
      <w:autoSpaceDN/>
      <w:adjustRightInd/>
      <w:spacing w:line="276" w:lineRule="auto"/>
      <w:outlineLvl w:val="9"/>
    </w:pPr>
  </w:style>
  <w:style w:type="paragraph" w:styleId="TOC2">
    <w:name w:val="toc 2"/>
    <w:basedOn w:val="Normal"/>
    <w:next w:val="Normal"/>
    <w:autoRedefine/>
    <w:uiPriority w:val="39"/>
    <w:unhideWhenUsed/>
    <w:rsid w:val="00473B96"/>
    <w:pPr>
      <w:tabs>
        <w:tab w:val="left" w:pos="880"/>
        <w:tab w:val="right" w:leader="dot" w:pos="9000"/>
      </w:tabs>
      <w:spacing w:after="100"/>
      <w:ind w:left="200"/>
    </w:pPr>
  </w:style>
  <w:style w:type="paragraph" w:styleId="TOC1">
    <w:name w:val="toc 1"/>
    <w:basedOn w:val="Normal"/>
    <w:next w:val="Normal"/>
    <w:autoRedefine/>
    <w:uiPriority w:val="39"/>
    <w:unhideWhenUsed/>
    <w:rsid w:val="00473B96"/>
    <w:pPr>
      <w:tabs>
        <w:tab w:val="right" w:leader="dot" w:pos="9000"/>
      </w:tabs>
      <w:spacing w:after="100"/>
    </w:pPr>
  </w:style>
  <w:style w:type="paragraph" w:styleId="Revision">
    <w:name w:val="Revision"/>
    <w:hidden/>
    <w:uiPriority w:val="99"/>
    <w:semiHidden/>
    <w:rsid w:val="002E2D85"/>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DEF"/>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E1ECB"/>
    <w:pPr>
      <w:keepNext/>
      <w:keepLines/>
      <w:spacing w:before="480"/>
      <w:outlineLvl w:val="0"/>
    </w:pPr>
    <w:rPr>
      <w:rFonts w:eastAsiaTheme="majorEastAsia"/>
      <w:b/>
      <w:bCs/>
      <w:sz w:val="28"/>
      <w:szCs w:val="28"/>
    </w:rPr>
  </w:style>
  <w:style w:type="paragraph" w:styleId="Heading2">
    <w:name w:val="heading 2"/>
    <w:basedOn w:val="ListParagraph"/>
    <w:next w:val="Normal"/>
    <w:link w:val="Heading2Char"/>
    <w:qFormat/>
    <w:rsid w:val="004E3C70"/>
    <w:pPr>
      <w:widowControl/>
      <w:numPr>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contextualSpacing w:val="0"/>
      <w:outlineLvl w:val="1"/>
    </w:pPr>
    <w:rPr>
      <w:b/>
    </w:rPr>
  </w:style>
  <w:style w:type="paragraph" w:styleId="Heading3">
    <w:name w:val="heading 3"/>
    <w:basedOn w:val="Normal"/>
    <w:next w:val="Normal"/>
    <w:link w:val="Heading3Char"/>
    <w:qFormat/>
    <w:rsid w:val="0044464E"/>
    <w:pPr>
      <w:jc w:val="center"/>
      <w:outlineLvl w:val="2"/>
    </w:pPr>
    <w:rPr>
      <w:szCs w:val="24"/>
    </w:rPr>
  </w:style>
  <w:style w:type="paragraph" w:styleId="Heading4">
    <w:name w:val="heading 4"/>
    <w:basedOn w:val="Normal"/>
    <w:next w:val="Normal"/>
    <w:link w:val="Heading4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3"/>
    </w:pPr>
    <w:rPr>
      <w:color w:val="FF00FF"/>
    </w:rPr>
  </w:style>
  <w:style w:type="paragraph" w:styleId="Heading5">
    <w:name w:val="heading 5"/>
    <w:basedOn w:val="Normal"/>
    <w:next w:val="Normal"/>
    <w:link w:val="Heading5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4"/>
    </w:pPr>
    <w:rPr>
      <w:color w:val="3366FF"/>
    </w:rPr>
  </w:style>
  <w:style w:type="paragraph" w:styleId="Heading6">
    <w:name w:val="heading 6"/>
    <w:basedOn w:val="Normal"/>
    <w:next w:val="Normal"/>
    <w:link w:val="Heading6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5"/>
    </w:pPr>
    <w:rPr>
      <w:b/>
    </w:rPr>
  </w:style>
  <w:style w:type="paragraph" w:styleId="Heading7">
    <w:name w:val="heading 7"/>
    <w:basedOn w:val="Normal"/>
    <w:next w:val="Normal"/>
    <w:link w:val="Heading7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1ECB"/>
    <w:rPr>
      <w:rFonts w:ascii="Times New Roman" w:eastAsiaTheme="majorEastAsia" w:hAnsi="Times New Roman" w:cs="Times New Roman"/>
      <w:b/>
      <w:bCs/>
      <w:sz w:val="28"/>
      <w:szCs w:val="28"/>
    </w:rPr>
  </w:style>
  <w:style w:type="paragraph" w:styleId="ListParagraph">
    <w:name w:val="List Paragraph"/>
    <w:basedOn w:val="Normal"/>
    <w:uiPriority w:val="34"/>
    <w:qFormat/>
    <w:rsid w:val="00F05BCC"/>
    <w:pPr>
      <w:ind w:left="720"/>
      <w:contextualSpacing/>
    </w:pPr>
  </w:style>
  <w:style w:type="character" w:customStyle="1" w:styleId="Heading2Char">
    <w:name w:val="Heading 2 Char"/>
    <w:basedOn w:val="DefaultParagraphFont"/>
    <w:link w:val="Heading2"/>
    <w:rsid w:val="004E3C7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4464E"/>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44464E"/>
    <w:rPr>
      <w:rFonts w:ascii="Times New Roman" w:eastAsia="Times New Roman" w:hAnsi="Times New Roman" w:cs="Times New Roman"/>
      <w:color w:val="FF00FF"/>
      <w:sz w:val="24"/>
      <w:szCs w:val="20"/>
    </w:rPr>
  </w:style>
  <w:style w:type="character" w:customStyle="1" w:styleId="Heading5Char">
    <w:name w:val="Heading 5 Char"/>
    <w:basedOn w:val="DefaultParagraphFont"/>
    <w:link w:val="Heading5"/>
    <w:rsid w:val="0044464E"/>
    <w:rPr>
      <w:rFonts w:ascii="Times New Roman" w:eastAsia="Times New Roman" w:hAnsi="Times New Roman" w:cs="Times New Roman"/>
      <w:color w:val="3366FF"/>
      <w:sz w:val="24"/>
      <w:szCs w:val="20"/>
    </w:rPr>
  </w:style>
  <w:style w:type="character" w:customStyle="1" w:styleId="Heading6Char">
    <w:name w:val="Heading 6 Char"/>
    <w:basedOn w:val="DefaultParagraphFont"/>
    <w:link w:val="Heading6"/>
    <w:rsid w:val="0044464E"/>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44464E"/>
    <w:rPr>
      <w:rFonts w:ascii="Times New Roman" w:eastAsia="Times New Roman" w:hAnsi="Times New Roman" w:cs="Times New Roman"/>
      <w:color w:val="FF0000"/>
      <w:sz w:val="24"/>
      <w:szCs w:val="20"/>
    </w:rPr>
  </w:style>
  <w:style w:type="paragraph" w:styleId="Footer">
    <w:name w:val="footer"/>
    <w:basedOn w:val="Normal"/>
    <w:link w:val="FooterChar"/>
    <w:uiPriority w:val="99"/>
    <w:rsid w:val="0044464E"/>
    <w:pPr>
      <w:framePr w:wrap="auto" w:vAnchor="text" w:hAnchor="margin" w:xAlign="right" w:yAlign="top"/>
      <w:tabs>
        <w:tab w:val="left" w:pos="0"/>
        <w:tab w:val="center" w:pos="4320"/>
        <w:tab w:val="right" w:pos="8640"/>
        <w:tab w:val="left" w:pos="9360"/>
        <w:tab w:val="left" w:pos="10080"/>
      </w:tabs>
    </w:pPr>
    <w:rPr>
      <w:szCs w:val="24"/>
    </w:rPr>
  </w:style>
  <w:style w:type="character" w:customStyle="1" w:styleId="FooterChar">
    <w:name w:val="Footer Char"/>
    <w:basedOn w:val="DefaultParagraphFont"/>
    <w:link w:val="Footer"/>
    <w:uiPriority w:val="99"/>
    <w:rsid w:val="0044464E"/>
    <w:rPr>
      <w:rFonts w:ascii="Times New Roman" w:eastAsia="Times New Roman" w:hAnsi="Times New Roman" w:cs="Times New Roman"/>
      <w:sz w:val="24"/>
      <w:szCs w:val="24"/>
    </w:rPr>
  </w:style>
  <w:style w:type="paragraph" w:styleId="Title">
    <w:name w:val="Title"/>
    <w:basedOn w:val="Normal"/>
    <w:link w:val="TitleChar"/>
    <w:qFormat/>
    <w:rsid w:val="0044464E"/>
    <w:pPr>
      <w:tabs>
        <w:tab w:val="left" w:pos="0"/>
        <w:tab w:val="center" w:pos="5112"/>
        <w:tab w:val="left" w:pos="5760"/>
        <w:tab w:val="left" w:pos="6480"/>
        <w:tab w:val="left" w:pos="7200"/>
        <w:tab w:val="left" w:pos="7920"/>
        <w:tab w:val="left" w:pos="8640"/>
        <w:tab w:val="left" w:pos="9360"/>
        <w:tab w:val="left" w:pos="10080"/>
      </w:tabs>
      <w:jc w:val="center"/>
    </w:pPr>
    <w:rPr>
      <w:szCs w:val="24"/>
    </w:rPr>
  </w:style>
  <w:style w:type="character" w:customStyle="1" w:styleId="TitleChar">
    <w:name w:val="Title Char"/>
    <w:basedOn w:val="DefaultParagraphFont"/>
    <w:link w:val="Title"/>
    <w:rsid w:val="0044464E"/>
    <w:rPr>
      <w:rFonts w:ascii="Times New Roman" w:eastAsia="Times New Roman" w:hAnsi="Times New Roman" w:cs="Times New Roman"/>
      <w:sz w:val="24"/>
      <w:szCs w:val="24"/>
    </w:rPr>
  </w:style>
  <w:style w:type="paragraph" w:customStyle="1" w:styleId="a">
    <w:name w:val="_"/>
    <w:rsid w:val="0044464E"/>
    <w:pPr>
      <w:widowControl w:val="0"/>
      <w:tabs>
        <w:tab w:val="left" w:pos="0"/>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s>
      <w:autoSpaceDE w:val="0"/>
      <w:autoSpaceDN w:val="0"/>
      <w:adjustRightInd w:val="0"/>
      <w:spacing w:after="0" w:line="240" w:lineRule="auto"/>
      <w:ind w:left="612"/>
    </w:pPr>
    <w:rPr>
      <w:rFonts w:ascii="Times New Roman" w:eastAsia="Times New Roman" w:hAnsi="Times New Roman" w:cs="Times New Roman"/>
      <w:sz w:val="24"/>
      <w:szCs w:val="24"/>
    </w:rPr>
  </w:style>
  <w:style w:type="character" w:customStyle="1" w:styleId="FootnoteRef">
    <w:name w:val="Footnote Ref"/>
    <w:rsid w:val="0044464E"/>
  </w:style>
  <w:style w:type="character" w:styleId="PageNumber">
    <w:name w:val="page number"/>
    <w:basedOn w:val="DefaultParagraphFont"/>
    <w:rsid w:val="0044464E"/>
    <w:rPr>
      <w:sz w:val="20"/>
      <w:szCs w:val="20"/>
    </w:rPr>
  </w:style>
  <w:style w:type="paragraph" w:styleId="Header">
    <w:name w:val="header"/>
    <w:basedOn w:val="Normal"/>
    <w:link w:val="HeaderChar"/>
    <w:rsid w:val="0044464E"/>
    <w:pPr>
      <w:tabs>
        <w:tab w:val="left" w:pos="0"/>
        <w:tab w:val="center" w:pos="4320"/>
        <w:tab w:val="right" w:pos="8640"/>
        <w:tab w:val="left" w:pos="9360"/>
        <w:tab w:val="left" w:pos="10080"/>
      </w:tabs>
    </w:pPr>
    <w:rPr>
      <w:szCs w:val="24"/>
    </w:rPr>
  </w:style>
  <w:style w:type="character" w:customStyle="1" w:styleId="HeaderChar">
    <w:name w:val="Header Char"/>
    <w:basedOn w:val="DefaultParagraphFont"/>
    <w:link w:val="Header"/>
    <w:rsid w:val="0044464E"/>
    <w:rPr>
      <w:rFonts w:ascii="Times New Roman" w:eastAsia="Times New Roman" w:hAnsi="Times New Roman" w:cs="Times New Roman"/>
      <w:sz w:val="24"/>
      <w:szCs w:val="24"/>
    </w:rPr>
  </w:style>
  <w:style w:type="character" w:customStyle="1" w:styleId="DefaultPara">
    <w:name w:val="Default Para"/>
    <w:rsid w:val="0044464E"/>
  </w:style>
  <w:style w:type="character" w:styleId="EndnoteReference">
    <w:name w:val="endnote reference"/>
    <w:basedOn w:val="DefaultParagraphFont"/>
    <w:semiHidden/>
    <w:rsid w:val="0044464E"/>
    <w:rPr>
      <w:vertAlign w:val="superscript"/>
    </w:rPr>
  </w:style>
  <w:style w:type="character" w:styleId="FootnoteReference">
    <w:name w:val="footnote reference"/>
    <w:basedOn w:val="DefaultParagraphFont"/>
    <w:semiHidden/>
    <w:rsid w:val="0044464E"/>
    <w:rPr>
      <w:vertAlign w:val="superscript"/>
    </w:rPr>
  </w:style>
  <w:style w:type="paragraph" w:styleId="BodyTextIndent3">
    <w:name w:val="Body Text Indent 3"/>
    <w:basedOn w:val="Normal"/>
    <w:link w:val="BodyTextIndent3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color w:val="FF00FF"/>
    </w:rPr>
  </w:style>
  <w:style w:type="character" w:customStyle="1" w:styleId="BodyTextIndent3Char">
    <w:name w:val="Body Text Indent 3 Char"/>
    <w:basedOn w:val="DefaultParagraphFont"/>
    <w:link w:val="BodyTextIndent3"/>
    <w:rsid w:val="0044464E"/>
    <w:rPr>
      <w:rFonts w:ascii="Times New Roman" w:eastAsia="Times New Roman" w:hAnsi="Times New Roman" w:cs="Times New Roman"/>
      <w:color w:val="FF00FF"/>
      <w:sz w:val="24"/>
      <w:szCs w:val="20"/>
    </w:rPr>
  </w:style>
  <w:style w:type="paragraph" w:styleId="DocumentMap">
    <w:name w:val="Document Map"/>
    <w:basedOn w:val="Normal"/>
    <w:link w:val="DocumentMapChar"/>
    <w:semiHidden/>
    <w:rsid w:val="0044464E"/>
    <w:pPr>
      <w:shd w:val="clear" w:color="auto" w:fill="000080"/>
    </w:pPr>
    <w:rPr>
      <w:rFonts w:ascii="Tahoma" w:hAnsi="Tahoma" w:cs="Times"/>
    </w:rPr>
  </w:style>
  <w:style w:type="character" w:customStyle="1" w:styleId="DocumentMapChar">
    <w:name w:val="Document Map Char"/>
    <w:basedOn w:val="DefaultParagraphFont"/>
    <w:link w:val="DocumentMap"/>
    <w:semiHidden/>
    <w:rsid w:val="0044464E"/>
    <w:rPr>
      <w:rFonts w:ascii="Tahoma" w:eastAsia="Times New Roman" w:hAnsi="Tahoma" w:cs="Times"/>
      <w:sz w:val="20"/>
      <w:szCs w:val="20"/>
      <w:shd w:val="clear" w:color="auto" w:fill="000080"/>
    </w:rPr>
  </w:style>
  <w:style w:type="paragraph" w:styleId="BodyText">
    <w:name w:val="Body Text"/>
    <w:basedOn w:val="Normal"/>
    <w:link w:val="BodyText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FF0000"/>
    </w:rPr>
  </w:style>
  <w:style w:type="character" w:customStyle="1" w:styleId="BodyTextChar">
    <w:name w:val="Body Text Char"/>
    <w:basedOn w:val="DefaultParagraphFont"/>
    <w:link w:val="BodyText"/>
    <w:rsid w:val="0044464E"/>
    <w:rPr>
      <w:rFonts w:ascii="Times New Roman" w:eastAsia="Times New Roman" w:hAnsi="Times New Roman" w:cs="Times New Roman"/>
      <w:color w:val="FF0000"/>
      <w:sz w:val="24"/>
      <w:szCs w:val="20"/>
    </w:rPr>
  </w:style>
  <w:style w:type="paragraph" w:styleId="BodyText2">
    <w:name w:val="Body Text 2"/>
    <w:basedOn w:val="Normal"/>
    <w:link w:val="BodyText2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FF"/>
    </w:rPr>
  </w:style>
  <w:style w:type="character" w:customStyle="1" w:styleId="BodyText2Char">
    <w:name w:val="Body Text 2 Char"/>
    <w:basedOn w:val="DefaultParagraphFont"/>
    <w:link w:val="BodyText2"/>
    <w:rsid w:val="0044464E"/>
    <w:rPr>
      <w:rFonts w:ascii="Times New Roman" w:eastAsia="Times New Roman" w:hAnsi="Times New Roman" w:cs="Times New Roman"/>
      <w:color w:val="0000FF"/>
      <w:sz w:val="24"/>
      <w:szCs w:val="20"/>
    </w:rPr>
  </w:style>
  <w:style w:type="paragraph" w:styleId="E-mailSignature">
    <w:name w:val="E-mail Signature"/>
    <w:basedOn w:val="Normal"/>
    <w:link w:val="E-mailSignatureChar"/>
    <w:rsid w:val="0044464E"/>
    <w:pPr>
      <w:widowControl/>
      <w:autoSpaceDE/>
      <w:autoSpaceDN/>
      <w:adjustRightInd/>
    </w:pPr>
    <w:rPr>
      <w:szCs w:val="24"/>
    </w:rPr>
  </w:style>
  <w:style w:type="character" w:customStyle="1" w:styleId="E-mailSignatureChar">
    <w:name w:val="E-mail Signature Char"/>
    <w:basedOn w:val="DefaultParagraphFont"/>
    <w:link w:val="E-mailSignature"/>
    <w:rsid w:val="0044464E"/>
    <w:rPr>
      <w:rFonts w:ascii="Times New Roman" w:eastAsia="Times New Roman" w:hAnsi="Times New Roman" w:cs="Times New Roman"/>
      <w:sz w:val="24"/>
      <w:szCs w:val="24"/>
    </w:rPr>
  </w:style>
  <w:style w:type="character" w:customStyle="1" w:styleId="EmailStyle451">
    <w:name w:val="EmailStyle451"/>
    <w:basedOn w:val="DefaultParagraphFont"/>
    <w:rsid w:val="0044464E"/>
    <w:rPr>
      <w:rFonts w:ascii="Arial" w:hAnsi="Arial" w:cs="Arial"/>
      <w:color w:val="000000"/>
      <w:sz w:val="20"/>
    </w:rPr>
  </w:style>
  <w:style w:type="paragraph" w:styleId="Subtitle">
    <w:name w:val="Subtitle"/>
    <w:basedOn w:val="Normal"/>
    <w:link w:val="SubtitleChar"/>
    <w:qFormat/>
    <w:rsid w:val="0044464E"/>
    <w:pPr>
      <w:widowControl/>
      <w:tabs>
        <w:tab w:val="left" w:pos="6120"/>
      </w:tabs>
      <w:jc w:val="center"/>
    </w:pPr>
    <w:rPr>
      <w:i/>
    </w:rPr>
  </w:style>
  <w:style w:type="character" w:customStyle="1" w:styleId="SubtitleChar">
    <w:name w:val="Subtitle Char"/>
    <w:basedOn w:val="DefaultParagraphFont"/>
    <w:link w:val="Subtitle"/>
    <w:rsid w:val="0044464E"/>
    <w:rPr>
      <w:rFonts w:ascii="Times New Roman" w:eastAsia="Times New Roman" w:hAnsi="Times New Roman" w:cs="Times New Roman"/>
      <w:i/>
      <w:sz w:val="24"/>
      <w:szCs w:val="20"/>
    </w:rPr>
  </w:style>
  <w:style w:type="paragraph" w:styleId="BodyText3">
    <w:name w:val="Body Text 3"/>
    <w:basedOn w:val="Normal"/>
    <w:link w:val="BodyText3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FF00FF"/>
    </w:rPr>
  </w:style>
  <w:style w:type="character" w:customStyle="1" w:styleId="BodyText3Char">
    <w:name w:val="Body Text 3 Char"/>
    <w:basedOn w:val="DefaultParagraphFont"/>
    <w:link w:val="BodyText3"/>
    <w:rsid w:val="0044464E"/>
    <w:rPr>
      <w:rFonts w:ascii="Times New Roman" w:eastAsia="Times New Roman" w:hAnsi="Times New Roman" w:cs="Times New Roman"/>
      <w:color w:val="FF00FF"/>
      <w:sz w:val="24"/>
      <w:szCs w:val="20"/>
    </w:rPr>
  </w:style>
  <w:style w:type="paragraph" w:styleId="BodyTextIndent2">
    <w:name w:val="Body Text Indent 2"/>
    <w:basedOn w:val="Normal"/>
    <w:link w:val="BodyTextIndent2Char"/>
    <w:rsid w:val="0044464E"/>
    <w:pPr>
      <w:widowControl/>
      <w:autoSpaceDE/>
      <w:autoSpaceDN/>
      <w:adjustRightInd/>
      <w:spacing w:after="120" w:line="480" w:lineRule="auto"/>
      <w:ind w:left="360"/>
    </w:pPr>
  </w:style>
  <w:style w:type="character" w:customStyle="1" w:styleId="BodyTextIndent2Char">
    <w:name w:val="Body Text Indent 2 Char"/>
    <w:basedOn w:val="DefaultParagraphFont"/>
    <w:link w:val="BodyTextIndent2"/>
    <w:rsid w:val="0044464E"/>
    <w:rPr>
      <w:rFonts w:ascii="Times New Roman" w:eastAsia="Times New Roman" w:hAnsi="Times New Roman" w:cs="Times New Roman"/>
      <w:sz w:val="20"/>
      <w:szCs w:val="20"/>
    </w:rPr>
  </w:style>
  <w:style w:type="character" w:styleId="Hyperlink">
    <w:name w:val="Hyperlink"/>
    <w:basedOn w:val="DefaultParagraphFont"/>
    <w:uiPriority w:val="99"/>
    <w:rsid w:val="0044464E"/>
    <w:rPr>
      <w:color w:val="0000FF"/>
      <w:u w:val="single"/>
    </w:rPr>
  </w:style>
  <w:style w:type="table" w:styleId="TableGrid">
    <w:name w:val="Table Grid"/>
    <w:basedOn w:val="TableNormal"/>
    <w:rsid w:val="0044464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44464E"/>
    <w:rPr>
      <w:rFonts w:ascii="Tahoma" w:hAnsi="Tahoma" w:cs="Tahoma"/>
      <w:sz w:val="16"/>
      <w:szCs w:val="16"/>
    </w:rPr>
  </w:style>
  <w:style w:type="character" w:customStyle="1" w:styleId="BalloonTextChar">
    <w:name w:val="Balloon Text Char"/>
    <w:basedOn w:val="DefaultParagraphFont"/>
    <w:link w:val="BalloonText"/>
    <w:semiHidden/>
    <w:rsid w:val="0044464E"/>
    <w:rPr>
      <w:rFonts w:ascii="Tahoma" w:eastAsia="Times New Roman" w:hAnsi="Tahoma" w:cs="Tahoma"/>
      <w:sz w:val="16"/>
      <w:szCs w:val="16"/>
    </w:rPr>
  </w:style>
  <w:style w:type="character" w:styleId="CommentReference">
    <w:name w:val="annotation reference"/>
    <w:basedOn w:val="DefaultParagraphFont"/>
    <w:semiHidden/>
    <w:rsid w:val="0044464E"/>
    <w:rPr>
      <w:sz w:val="16"/>
      <w:szCs w:val="16"/>
    </w:rPr>
  </w:style>
  <w:style w:type="paragraph" w:styleId="CommentText">
    <w:name w:val="annotation text"/>
    <w:basedOn w:val="Normal"/>
    <w:link w:val="CommentTextChar"/>
    <w:semiHidden/>
    <w:rsid w:val="0044464E"/>
  </w:style>
  <w:style w:type="character" w:customStyle="1" w:styleId="CommentTextChar">
    <w:name w:val="Comment Text Char"/>
    <w:basedOn w:val="DefaultParagraphFont"/>
    <w:link w:val="CommentText"/>
    <w:semiHidden/>
    <w:rsid w:val="004446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4464E"/>
    <w:rPr>
      <w:b/>
      <w:bCs/>
    </w:rPr>
  </w:style>
  <w:style w:type="character" w:customStyle="1" w:styleId="CommentSubjectChar">
    <w:name w:val="Comment Subject Char"/>
    <w:basedOn w:val="CommentTextChar"/>
    <w:link w:val="CommentSubject"/>
    <w:semiHidden/>
    <w:rsid w:val="0044464E"/>
    <w:rPr>
      <w:rFonts w:ascii="Times New Roman" w:eastAsia="Times New Roman" w:hAnsi="Times New Roman" w:cs="Times New Roman"/>
      <w:b/>
      <w:bCs/>
      <w:sz w:val="20"/>
      <w:szCs w:val="20"/>
    </w:rPr>
  </w:style>
  <w:style w:type="paragraph" w:styleId="HTMLPreformatted">
    <w:name w:val="HTML Preformatted"/>
    <w:basedOn w:val="Normal"/>
    <w:link w:val="HTMLPreformattedChar"/>
    <w:uiPriority w:val="99"/>
    <w:rsid w:val="00444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44464E"/>
    <w:rPr>
      <w:rFonts w:ascii="Courier New" w:eastAsia="Times New Roman" w:hAnsi="Courier New" w:cs="Courier New"/>
      <w:sz w:val="20"/>
      <w:szCs w:val="20"/>
    </w:rPr>
  </w:style>
  <w:style w:type="paragraph" w:styleId="NormalWeb">
    <w:name w:val="Normal (Web)"/>
    <w:basedOn w:val="Normal"/>
    <w:uiPriority w:val="99"/>
    <w:unhideWhenUsed/>
    <w:rsid w:val="0044464E"/>
    <w:pPr>
      <w:widowControl/>
      <w:autoSpaceDE/>
      <w:autoSpaceDN/>
      <w:adjustRightInd/>
      <w:spacing w:after="144" w:line="336" w:lineRule="atLeast"/>
    </w:pPr>
    <w:rPr>
      <w:szCs w:val="24"/>
    </w:rPr>
  </w:style>
  <w:style w:type="character" w:styleId="FollowedHyperlink">
    <w:name w:val="FollowedHyperlink"/>
    <w:basedOn w:val="DefaultParagraphFont"/>
    <w:rsid w:val="0044464E"/>
    <w:rPr>
      <w:color w:val="800080"/>
      <w:u w:val="single"/>
    </w:rPr>
  </w:style>
  <w:style w:type="character" w:styleId="Emphasis">
    <w:name w:val="Emphasis"/>
    <w:basedOn w:val="DefaultParagraphFont"/>
    <w:uiPriority w:val="20"/>
    <w:qFormat/>
    <w:rsid w:val="0044464E"/>
    <w:rPr>
      <w:b w:val="0"/>
      <w:bCs w:val="0"/>
      <w:i/>
      <w:iCs/>
      <w:sz w:val="24"/>
      <w:szCs w:val="24"/>
    </w:rPr>
  </w:style>
  <w:style w:type="paragraph" w:customStyle="1" w:styleId="pbody1">
    <w:name w:val="pbody1"/>
    <w:basedOn w:val="Normal"/>
    <w:rsid w:val="0044464E"/>
    <w:pPr>
      <w:widowControl/>
      <w:autoSpaceDE/>
      <w:autoSpaceDN/>
      <w:adjustRightInd/>
      <w:ind w:left="240" w:firstLine="240"/>
    </w:pPr>
    <w:rPr>
      <w:rFonts w:ascii="Arial" w:hAnsi="Arial" w:cs="Arial"/>
      <w:color w:val="000000"/>
      <w:szCs w:val="24"/>
    </w:rPr>
  </w:style>
  <w:style w:type="paragraph" w:customStyle="1" w:styleId="pindented11">
    <w:name w:val="pindented11"/>
    <w:basedOn w:val="Normal"/>
    <w:rsid w:val="0044464E"/>
    <w:pPr>
      <w:widowControl/>
      <w:autoSpaceDE/>
      <w:autoSpaceDN/>
      <w:adjustRightInd/>
      <w:ind w:left="240" w:firstLine="240"/>
    </w:pPr>
    <w:rPr>
      <w:rFonts w:ascii="Arial" w:hAnsi="Arial" w:cs="Arial"/>
      <w:color w:val="000000"/>
      <w:szCs w:val="24"/>
    </w:rPr>
  </w:style>
  <w:style w:type="paragraph" w:customStyle="1" w:styleId="pindented21">
    <w:name w:val="pindented21"/>
    <w:basedOn w:val="Normal"/>
    <w:rsid w:val="0044464E"/>
    <w:pPr>
      <w:widowControl/>
      <w:autoSpaceDE/>
      <w:autoSpaceDN/>
      <w:adjustRightInd/>
      <w:ind w:left="240" w:firstLine="480"/>
    </w:pPr>
    <w:rPr>
      <w:rFonts w:ascii="Arial" w:hAnsi="Arial" w:cs="Arial"/>
      <w:color w:val="000000"/>
      <w:szCs w:val="24"/>
    </w:rPr>
  </w:style>
  <w:style w:type="paragraph" w:styleId="TOCHeading">
    <w:name w:val="TOC Heading"/>
    <w:basedOn w:val="Heading1"/>
    <w:next w:val="Normal"/>
    <w:uiPriority w:val="39"/>
    <w:unhideWhenUsed/>
    <w:qFormat/>
    <w:rsid w:val="00F86D2E"/>
    <w:pPr>
      <w:widowControl/>
      <w:autoSpaceDE/>
      <w:autoSpaceDN/>
      <w:adjustRightInd/>
      <w:spacing w:line="276" w:lineRule="auto"/>
      <w:outlineLvl w:val="9"/>
    </w:pPr>
  </w:style>
  <w:style w:type="paragraph" w:styleId="TOC2">
    <w:name w:val="toc 2"/>
    <w:basedOn w:val="Normal"/>
    <w:next w:val="Normal"/>
    <w:autoRedefine/>
    <w:uiPriority w:val="39"/>
    <w:unhideWhenUsed/>
    <w:rsid w:val="00473B96"/>
    <w:pPr>
      <w:tabs>
        <w:tab w:val="left" w:pos="880"/>
        <w:tab w:val="right" w:leader="dot" w:pos="9000"/>
      </w:tabs>
      <w:spacing w:after="100"/>
      <w:ind w:left="200"/>
    </w:pPr>
  </w:style>
  <w:style w:type="paragraph" w:styleId="TOC1">
    <w:name w:val="toc 1"/>
    <w:basedOn w:val="Normal"/>
    <w:next w:val="Normal"/>
    <w:autoRedefine/>
    <w:uiPriority w:val="39"/>
    <w:unhideWhenUsed/>
    <w:rsid w:val="00473B96"/>
    <w:pPr>
      <w:tabs>
        <w:tab w:val="right" w:leader="dot" w:pos="9000"/>
      </w:tabs>
      <w:spacing w:after="100"/>
    </w:pPr>
  </w:style>
  <w:style w:type="paragraph" w:styleId="Revision">
    <w:name w:val="Revision"/>
    <w:hidden/>
    <w:uiPriority w:val="99"/>
    <w:semiHidden/>
    <w:rsid w:val="002E2D85"/>
    <w:pPr>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02532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eq.hss.doe.gov/nepa/regs/eos/eo13149.htm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1.eere.energy.gov/vehiclesandfuels/epact/pdfs/alt_fuel_final_rule_3-14-08.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sa.gov/vehicle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ess.gpo.gov/nara/cfr/waisidx_10/10cfr490_10.html" TargetMode="External"/><Relationship Id="rId5" Type="http://schemas.openxmlformats.org/officeDocument/2006/relationships/webSettings" Target="webSettings.xml"/><Relationship Id="rId15" Type="http://schemas.openxmlformats.org/officeDocument/2006/relationships/hyperlink" Target="http://www.gsa.gov/portal/ext/public/site/FMR/file/Part102-_34.html/category/21858/"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po.gov/fdsys/pkg/FR-2007-01-26/pdf/07-37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B1590-9D82-47F5-8A21-E58DE55D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5220</Words>
  <Characters>29760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EIA-886 Supporting Statement, Part A</vt:lpstr>
    </vt:vector>
  </TitlesOfParts>
  <Company>EIA\DOE</Company>
  <LinksUpToDate>false</LinksUpToDate>
  <CharactersWithSpaces>34911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EIA-886 Supporting Statement, Part A</dc:title>
  <dc:subject>OMB Forms Clearance Process Supporting Statement, Part A</dc:subject>
  <dc:creator>Cynthia Amezcua</dc:creator>
  <cp:keywords>EIA-886, Supporting Statement, Part A OMB</cp:keywords>
  <dc:description>Final version 11/20/2012.  Updated from Program Office approved 09/24/12 version for Table of Contents and to change the report date to November to concur with when the document was sent to the SDT Chief Forms Clearance Officer.</dc:description>
  <cp:lastModifiedBy>Cynthia Amezcua</cp:lastModifiedBy>
  <cp:revision>2</cp:revision>
  <cp:lastPrinted>2012-09-05T14:21:00Z</cp:lastPrinted>
  <dcterms:created xsi:type="dcterms:W3CDTF">2013-03-08T20:10:00Z</dcterms:created>
  <dcterms:modified xsi:type="dcterms:W3CDTF">2013-03-08T20:10:00Z</dcterms:modified>
</cp:coreProperties>
</file>