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73798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217D28" w:rsidRDefault="000E6C95">
      <w:r w:rsidRPr="000E6C95">
        <w:rPr>
          <w:b/>
        </w:rPr>
        <w:t xml:space="preserve">NSPS </w:t>
      </w:r>
      <w:r w:rsidR="002B29A5" w:rsidRPr="00217D28">
        <w:rPr>
          <w:b/>
        </w:rPr>
        <w:t xml:space="preserve">for </w:t>
      </w:r>
      <w:r w:rsidR="00F169EE">
        <w:rPr>
          <w:b/>
          <w:bCs/>
        </w:rPr>
        <w:t>Surface Coating of Large Appliances</w:t>
      </w:r>
      <w:r w:rsidRPr="000E6C95">
        <w:rPr>
          <w:b/>
        </w:rPr>
        <w:t xml:space="preserve"> </w:t>
      </w:r>
      <w:r w:rsidR="002B29A5" w:rsidRPr="00217D28">
        <w:rPr>
          <w:b/>
        </w:rPr>
        <w:t>(40 CFR</w:t>
      </w:r>
      <w:r w:rsidRPr="000E6C95">
        <w:rPr>
          <w:b/>
        </w:rPr>
        <w:t xml:space="preserve"> </w:t>
      </w:r>
      <w:r w:rsidR="002B29A5" w:rsidRPr="00217D28">
        <w:rPr>
          <w:b/>
        </w:rPr>
        <w:t>Part</w:t>
      </w:r>
      <w:r w:rsidRPr="000E6C95">
        <w:rPr>
          <w:b/>
        </w:rPr>
        <w:t xml:space="preserve"> 60, </w:t>
      </w:r>
      <w:r w:rsidR="002B29A5" w:rsidRPr="00217D28">
        <w:rPr>
          <w:b/>
        </w:rPr>
        <w:t>Subpart</w:t>
      </w:r>
      <w:r w:rsidRPr="000E6C95">
        <w:rPr>
          <w:b/>
        </w:rPr>
        <w:t xml:space="preserve"> SS) </w:t>
      </w:r>
      <w:r w:rsidR="002B29A5" w:rsidRPr="00217D28">
        <w:rPr>
          <w:b/>
        </w:rPr>
        <w:t>(Renewal</w:t>
      </w:r>
      <w:r w:rsidR="00F169EE">
        <w:rPr>
          <w:b/>
        </w:rPr>
        <w:t>)</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815698" w:rsidRDefault="000E6C95" w:rsidP="002B29A5">
      <w:pPr>
        <w:rPr>
          <w:bCs/>
        </w:rPr>
      </w:pPr>
      <w:r w:rsidRPr="000E6C95">
        <w:rPr>
          <w:bCs/>
        </w:rPr>
        <w:t>N</w:t>
      </w:r>
      <w:r w:rsidR="00815698">
        <w:rPr>
          <w:bCs/>
        </w:rPr>
        <w:t>S</w:t>
      </w:r>
      <w:r w:rsidRPr="000E6C95">
        <w:rPr>
          <w:bCs/>
        </w:rPr>
        <w:t>P</w:t>
      </w:r>
      <w:r w:rsidR="00815698">
        <w:rPr>
          <w:bCs/>
        </w:rPr>
        <w:t>S</w:t>
      </w:r>
      <w:r w:rsidRPr="000E6C95">
        <w:rPr>
          <w:bCs/>
        </w:rPr>
        <w:t xml:space="preserve"> for </w:t>
      </w:r>
      <w:r w:rsidR="00815698">
        <w:rPr>
          <w:bCs/>
        </w:rPr>
        <w:t>Surface Coating of Large Appliances</w:t>
      </w:r>
      <w:r w:rsidRPr="000E6C95">
        <w:rPr>
          <w:bCs/>
        </w:rPr>
        <w:t xml:space="preserve"> (40 CFR Part 6</w:t>
      </w:r>
      <w:r w:rsidR="00815698">
        <w:rPr>
          <w:bCs/>
        </w:rPr>
        <w:t>0</w:t>
      </w:r>
      <w:r w:rsidRPr="000E6C95">
        <w:rPr>
          <w:bCs/>
        </w:rPr>
        <w:t>, Subpart S</w:t>
      </w:r>
      <w:r w:rsidR="00815698">
        <w:rPr>
          <w:bCs/>
        </w:rPr>
        <w:t>S</w:t>
      </w:r>
      <w:r w:rsidRPr="000E6C95">
        <w:rPr>
          <w:bCs/>
        </w:rPr>
        <w:t xml:space="preserve">) (Renewal), </w:t>
      </w:r>
      <w:r w:rsidR="007E5544">
        <w:rPr>
          <w:bCs/>
        </w:rPr>
        <w:t xml:space="preserve">      </w:t>
      </w:r>
      <w:r w:rsidRPr="000E6C95">
        <w:rPr>
          <w:bCs/>
        </w:rPr>
        <w:t xml:space="preserve">EPA ICR Number </w:t>
      </w:r>
      <w:r w:rsidR="00815698">
        <w:rPr>
          <w:bCs/>
        </w:rPr>
        <w:t>0659.12</w:t>
      </w:r>
      <w:r w:rsidRPr="000E6C95">
        <w:rPr>
          <w:bCs/>
        </w:rPr>
        <w:t>, OMB Control Number 2060-</w:t>
      </w:r>
      <w:r w:rsidR="00DD257B">
        <w:rPr>
          <w:bCs/>
        </w:rPr>
        <w:t>0108</w:t>
      </w:r>
      <w:r w:rsidRPr="000E6C95">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0E6C95" w:rsidRPr="000E6C95">
        <w:t xml:space="preserve">New Source Performance Standards (NSPS) </w:t>
      </w:r>
      <w:r>
        <w:rPr>
          <w:color w:val="000000"/>
        </w:rPr>
        <w:t xml:space="preserve">for </w:t>
      </w:r>
      <w:r w:rsidR="000A1C6D">
        <w:rPr>
          <w:color w:val="000000"/>
        </w:rPr>
        <w:t xml:space="preserve">Surface Coating of Large Appliances </w:t>
      </w:r>
      <w:r>
        <w:rPr>
          <w:color w:val="000000"/>
        </w:rPr>
        <w:t xml:space="preserve">were proposed on </w:t>
      </w:r>
      <w:r w:rsidR="00D366E5">
        <w:rPr>
          <w:color w:val="000000"/>
        </w:rPr>
        <w:t>December 24, 1980</w:t>
      </w:r>
      <w:r>
        <w:rPr>
          <w:color w:val="000000"/>
        </w:rPr>
        <w:t xml:space="preserve">, and promulgated on </w:t>
      </w:r>
      <w:r w:rsidR="00D366E5">
        <w:rPr>
          <w:color w:val="000000"/>
        </w:rPr>
        <w:t>October 27, 1982</w:t>
      </w:r>
      <w:r>
        <w:rPr>
          <w:color w:val="000000"/>
        </w:rPr>
        <w:t>.</w:t>
      </w:r>
      <w:r w:rsidR="00D366E5">
        <w:rPr>
          <w:color w:val="000000"/>
        </w:rPr>
        <w:t xml:space="preserve">  </w:t>
      </w:r>
      <w:r>
        <w:rPr>
          <w:color w:val="000000"/>
        </w:rPr>
        <w:t xml:space="preserve">These regulations apply to existing and </w:t>
      </w:r>
      <w:r w:rsidR="00D366E5">
        <w:rPr>
          <w:color w:val="000000"/>
        </w:rPr>
        <w:t xml:space="preserve">new </w:t>
      </w:r>
      <w:r w:rsidR="00D366E5">
        <w:t>large appliance coating</w:t>
      </w:r>
      <w:r w:rsidR="00D366E5">
        <w:rPr>
          <w:color w:val="000000"/>
        </w:rPr>
        <w:t xml:space="preserve"> facilities</w:t>
      </w:r>
      <w:r>
        <w:rPr>
          <w:color w:val="000000"/>
        </w:rPr>
        <w:t xml:space="preserve">.  New facilities include those that commenced construction, modification or reconstruction after the date of proposal.  This information is being collected to assure compliance with 40 CFR part 60, subpart </w:t>
      </w:r>
      <w:r w:rsidR="00D366E5">
        <w:rPr>
          <w:color w:val="000000"/>
        </w:rPr>
        <w:t>SS</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514294">
        <w:rPr>
          <w:color w:val="000000"/>
        </w:rPr>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E03DA0">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514294">
        <w:rPr>
          <w:color w:val="000000"/>
        </w:rPr>
        <w:t>NSPS</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514294">
        <w:rPr>
          <w:color w:val="000000"/>
        </w:rPr>
        <w:t xml:space="preserve"> </w:t>
      </w:r>
      <w:r w:rsidR="000A1C6D">
        <w:rPr>
          <w:color w:val="000000"/>
        </w:rPr>
        <w:t>two</w:t>
      </w:r>
      <w:r w:rsidR="00514294">
        <w:rPr>
          <w:color w:val="000000"/>
        </w:rPr>
        <w:t xml:space="preserve"> </w:t>
      </w:r>
      <w:r>
        <w:rPr>
          <w:color w:val="000000"/>
        </w:rPr>
        <w:t xml:space="preserve">years following the date of such measurements, maintenance reports, and records.  All reports are sent to the delegated state or local authority.  </w:t>
      </w:r>
      <w:r w:rsidR="00E03DA0">
        <w:rPr>
          <w:color w:val="000000"/>
        </w:rPr>
        <w:t xml:space="preserve"> </w:t>
      </w:r>
      <w:r>
        <w:rPr>
          <w:color w:val="000000"/>
        </w:rPr>
        <w:t>In the event that there is no such delegated authority, the r</w:t>
      </w:r>
      <w:r w:rsidR="00440389">
        <w:rPr>
          <w:color w:val="000000"/>
        </w:rPr>
        <w:t>eports are sent directly to the</w:t>
      </w:r>
      <w:r>
        <w:rPr>
          <w:color w:val="000000"/>
        </w:rPr>
        <w:t xml:space="preserve"> </w:t>
      </w:r>
      <w:r w:rsidR="00E03DA0">
        <w:rPr>
          <w:color w:val="000000"/>
        </w:rPr>
        <w:t xml:space="preserve">U.S. </w:t>
      </w:r>
      <w:r>
        <w:rPr>
          <w:color w:val="000000"/>
        </w:rPr>
        <w:t>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0E6C95" w:rsidRPr="000E6C95">
        <w:t>72</w:t>
      </w:r>
      <w:r w:rsidR="00CA4CD6">
        <w:rPr>
          <w:color w:val="000000"/>
        </w:rPr>
        <w:t xml:space="preserve"> respondents </w:t>
      </w:r>
      <w:r>
        <w:rPr>
          <w:color w:val="000000"/>
        </w:rPr>
        <w:t>per year will be subject to the standard</w:t>
      </w:r>
      <w:r w:rsidR="00CA4CD6">
        <w:rPr>
          <w:color w:val="000000"/>
        </w:rPr>
        <w:t xml:space="preserve">, and </w:t>
      </w:r>
      <w:r w:rsidR="000E6C95" w:rsidRPr="000E6C95">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94858" w:rsidRDefault="000A1C6D">
      <w:pPr>
        <w:pBdr>
          <w:top w:val="single" w:sz="6" w:space="0" w:color="FFFFFF"/>
          <w:left w:val="single" w:sz="6" w:space="0" w:color="FFFFFF"/>
          <w:bottom w:val="single" w:sz="6" w:space="0" w:color="FFFFFF"/>
          <w:right w:val="single" w:sz="6" w:space="0" w:color="FFFFFF"/>
        </w:pBdr>
        <w:ind w:firstLine="720"/>
      </w:pPr>
      <w:r>
        <w:t>The Office of Management and Budget (</w:t>
      </w:r>
      <w:r w:rsidR="000E6C95" w:rsidRPr="000E6C95">
        <w:t>OMB</w:t>
      </w:r>
      <w:r>
        <w:t>)</w:t>
      </w:r>
      <w:r w:rsidR="000E6C95" w:rsidRPr="000E6C95">
        <w:t xml:space="preserve">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046E09" w:rsidRDefault="00046E09" w:rsidP="002B29A5">
      <w:r>
        <w:tab/>
      </w:r>
      <w:r w:rsidR="000E6C95" w:rsidRPr="000E6C95">
        <w:t xml:space="preserve">The burden to the “Affected Public” may be found </w:t>
      </w:r>
      <w:r w:rsidR="00BE090F">
        <w:t xml:space="preserve">below </w:t>
      </w:r>
      <w:r w:rsidR="000E6C95" w:rsidRPr="000E6C95">
        <w:t xml:space="preserve">in Table 1: Annual Respondent Burden and Cost – NSPS for Surface Coating of Large Appliances (40 CFR Part 60, Subpart SS) (Renewal).  The “Federal Government” burden is attributed entirely to work performed by </w:t>
      </w:r>
      <w:r w:rsidR="00BE090F">
        <w:t xml:space="preserve">either </w:t>
      </w:r>
      <w:r w:rsidR="00E03DA0">
        <w:t>F</w:t>
      </w:r>
      <w:r w:rsidR="000E6C95" w:rsidRPr="000E6C95">
        <w:t xml:space="preserve">ederal employees or government contractors and may be found </w:t>
      </w:r>
      <w:r w:rsidR="00BE090F">
        <w:t xml:space="preserve">below </w:t>
      </w:r>
      <w:r w:rsidR="000E6C95" w:rsidRPr="000E6C95">
        <w:t xml:space="preserve">in Table 2: Average Annual EPA Burden and Cost – NSPS for Surface Coating of Large Appliances (40 CFR Part 60, Subpart SS) (Renewal). </w:t>
      </w:r>
    </w:p>
    <w:p w:rsidR="002B29A5" w:rsidRPr="009D6567" w:rsidRDefault="002B29A5" w:rsidP="002B29A5">
      <w:pPr>
        <w:rPr>
          <w:color w:val="FF0000"/>
        </w:rPr>
      </w:pPr>
    </w:p>
    <w:p w:rsidR="00E03DA0" w:rsidRDefault="00E03DA0">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lastRenderedPageBreak/>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36F8F" w:rsidRDefault="000E6C95">
      <w:pPr>
        <w:pBdr>
          <w:top w:val="single" w:sz="6" w:space="0" w:color="FFFFFF"/>
          <w:left w:val="single" w:sz="6" w:space="0" w:color="FFFFFF"/>
          <w:bottom w:val="single" w:sz="6" w:space="0" w:color="FFFFFF"/>
          <w:right w:val="single" w:sz="6" w:space="0" w:color="FFFFFF"/>
        </w:pBdr>
        <w:ind w:firstLine="720"/>
      </w:pPr>
      <w:r w:rsidRPr="000E6C95">
        <w:t xml:space="preserve">The EPA is charged under Section 111 of the Clean Air Act (CAA), as amended, to establish standards of performance for new stationary sources that reflect: </w:t>
      </w:r>
    </w:p>
    <w:p w:rsidR="00CA4CD6" w:rsidRPr="00236F8F" w:rsidRDefault="00CA4CD6">
      <w:pPr>
        <w:pBdr>
          <w:top w:val="single" w:sz="6" w:space="0" w:color="FFFFFF"/>
          <w:left w:val="single" w:sz="6" w:space="0" w:color="FFFFFF"/>
          <w:bottom w:val="single" w:sz="6" w:space="0" w:color="FFFFFF"/>
          <w:right w:val="single" w:sz="6" w:space="0" w:color="FFFFFF"/>
        </w:pBdr>
      </w:pPr>
    </w:p>
    <w:p w:rsidR="00CA4CD6" w:rsidRPr="00236F8F" w:rsidRDefault="000E6C95">
      <w:pPr>
        <w:pBdr>
          <w:top w:val="single" w:sz="6" w:space="0" w:color="FFFFFF"/>
          <w:left w:val="single" w:sz="6" w:space="0" w:color="FFFFFF"/>
          <w:bottom w:val="single" w:sz="6" w:space="0" w:color="FFFFFF"/>
          <w:right w:val="single" w:sz="6" w:space="0" w:color="FFFFFF"/>
        </w:pBdr>
        <w:ind w:left="1440" w:right="1440"/>
      </w:pPr>
      <w:r w:rsidRPr="000E6C95">
        <w:rPr>
          <w:b/>
          <w:bCs/>
        </w:rPr>
        <w:t>. . .</w:t>
      </w:r>
      <w:r w:rsidRPr="000E6C9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236F8F" w:rsidRDefault="00CA4CD6">
      <w:pPr>
        <w:pBdr>
          <w:top w:val="single" w:sz="6" w:space="0" w:color="FFFFFF"/>
          <w:left w:val="single" w:sz="6" w:space="0" w:color="FFFFFF"/>
          <w:bottom w:val="single" w:sz="6" w:space="0" w:color="FFFFFF"/>
          <w:right w:val="single" w:sz="6" w:space="0" w:color="FFFFFF"/>
        </w:pBdr>
      </w:pPr>
    </w:p>
    <w:p w:rsidR="00CA4CD6" w:rsidRPr="00236F8F" w:rsidRDefault="000E6C95">
      <w:pPr>
        <w:pBdr>
          <w:top w:val="single" w:sz="6" w:space="0" w:color="FFFFFF"/>
          <w:left w:val="single" w:sz="6" w:space="0" w:color="FFFFFF"/>
          <w:bottom w:val="single" w:sz="6" w:space="0" w:color="FFFFFF"/>
          <w:right w:val="single" w:sz="6" w:space="0" w:color="FFFFFF"/>
        </w:pBdr>
      </w:pPr>
      <w:r w:rsidRPr="000E6C95">
        <w:t xml:space="preserve">The Agency refers to this charge as selecting the best demonstrated technology (BDT).  </w:t>
      </w:r>
      <w:r w:rsidR="00E03DA0">
        <w:t xml:space="preserve">   </w:t>
      </w:r>
      <w:r w:rsidRPr="000E6C95">
        <w:t xml:space="preserve">Section 111 also requires that the Administrator review and, if appropriate, revise such </w:t>
      </w:r>
      <w:r w:rsidR="00E03DA0">
        <w:t xml:space="preserve">  </w:t>
      </w:r>
      <w:r w:rsidRPr="000E6C95">
        <w:t xml:space="preserve">standards every four years. </w:t>
      </w:r>
    </w:p>
    <w:p w:rsidR="00D94858" w:rsidRPr="00236F8F" w:rsidRDefault="00D94858">
      <w:pPr>
        <w:pBdr>
          <w:top w:val="single" w:sz="6" w:space="0" w:color="FFFFFF"/>
          <w:left w:val="single" w:sz="6" w:space="0" w:color="FFFFFF"/>
          <w:bottom w:val="single" w:sz="6" w:space="0" w:color="FFFFFF"/>
          <w:right w:val="single" w:sz="6" w:space="0" w:color="FFFFFF"/>
        </w:pBdr>
      </w:pPr>
    </w:p>
    <w:p w:rsidR="00CA4CD6" w:rsidRPr="00236F8F" w:rsidRDefault="000E6C95">
      <w:pPr>
        <w:pBdr>
          <w:top w:val="single" w:sz="6" w:space="0" w:color="FFFFFF"/>
          <w:left w:val="single" w:sz="6" w:space="0" w:color="FFFFFF"/>
          <w:bottom w:val="single" w:sz="6" w:space="0" w:color="FFFFFF"/>
          <w:right w:val="single" w:sz="6" w:space="0" w:color="FFFFFF"/>
        </w:pBdr>
        <w:ind w:firstLine="720"/>
      </w:pPr>
      <w:r w:rsidRPr="000E6C95">
        <w:t xml:space="preserve">In addition, section 114(a) states that the Administrator may require any owner/operator subject to any requirement of this Act to: </w:t>
      </w:r>
    </w:p>
    <w:p w:rsidR="00CA4CD6" w:rsidRPr="00236F8F" w:rsidRDefault="00CA4CD6">
      <w:pPr>
        <w:pBdr>
          <w:top w:val="single" w:sz="6" w:space="0" w:color="FFFFFF"/>
          <w:left w:val="single" w:sz="6" w:space="0" w:color="FFFFFF"/>
          <w:bottom w:val="single" w:sz="6" w:space="0" w:color="FFFFFF"/>
          <w:right w:val="single" w:sz="6" w:space="0" w:color="FFFFFF"/>
        </w:pBdr>
      </w:pPr>
    </w:p>
    <w:p w:rsidR="00CA4CD6" w:rsidRPr="00236F8F" w:rsidRDefault="000E6C95">
      <w:pPr>
        <w:pBdr>
          <w:top w:val="single" w:sz="6" w:space="0" w:color="FFFFFF"/>
          <w:left w:val="single" w:sz="6" w:space="0" w:color="FFFFFF"/>
          <w:bottom w:val="single" w:sz="6" w:space="0" w:color="FFFFFF"/>
          <w:right w:val="single" w:sz="6" w:space="0" w:color="FFFFFF"/>
        </w:pBdr>
        <w:ind w:left="1440" w:right="1440"/>
      </w:pPr>
      <w:r w:rsidRPr="000E6C9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FC029C" w:rsidRPr="009800A6">
        <w:t>volatile organic compound (VOC)</w:t>
      </w:r>
      <w:r w:rsidR="00023909" w:rsidRPr="009800A6">
        <w:t xml:space="preserve"> </w:t>
      </w:r>
      <w:r w:rsidRPr="009800A6">
        <w:t>e</w:t>
      </w:r>
      <w:r>
        <w:rPr>
          <w:color w:val="000000"/>
        </w:rPr>
        <w:t xml:space="preserve">missions from </w:t>
      </w:r>
      <w:r w:rsidR="00023909">
        <w:rPr>
          <w:color w:val="000000"/>
        </w:rPr>
        <w:t>surface coating operations</w:t>
      </w:r>
      <w:r>
        <w:rPr>
          <w:color w:val="000000"/>
        </w:rPr>
        <w:t xml:space="preserve"> cause or contribute to air pollution that may reasonably be anticipated to endanger public health or welfare.  Therefore, the </w:t>
      </w:r>
      <w:r w:rsidR="00023909">
        <w:rPr>
          <w:color w:val="000000"/>
        </w:rPr>
        <w:t>NSPS</w:t>
      </w:r>
      <w:r>
        <w:rPr>
          <w:color w:val="000000"/>
        </w:rPr>
        <w:t xml:space="preserve"> w</w:t>
      </w:r>
      <w:r w:rsidR="00023909">
        <w:rPr>
          <w:color w:val="000000"/>
        </w:rPr>
        <w:t>as</w:t>
      </w:r>
      <w:r>
        <w:rPr>
          <w:color w:val="000000"/>
        </w:rPr>
        <w:t xml:space="preserve"> promulgated for this source category at 40 CFR part 60,</w:t>
      </w:r>
      <w:r>
        <w:rPr>
          <w:b/>
          <w:bCs/>
          <w:i/>
          <w:iCs/>
          <w:color w:val="000000"/>
        </w:rPr>
        <w:t xml:space="preserve"> </w:t>
      </w:r>
      <w:r>
        <w:rPr>
          <w:color w:val="000000"/>
        </w:rPr>
        <w:t xml:space="preserve">subpart </w:t>
      </w:r>
      <w:r w:rsidR="00023909">
        <w:rPr>
          <w:color w:val="000000"/>
        </w:rPr>
        <w:t>SS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E03DA0">
        <w:rPr>
          <w:color w:val="000000"/>
        </w:rPr>
        <w:t>’</w:t>
      </w:r>
      <w:r>
        <w:rPr>
          <w:color w:val="000000"/>
        </w:rPr>
        <w:t xml:space="preserve">s initial capability to comply with the emission standards. Continuous emission monitors are used to ensure compliance with the standards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standards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E6C95" w:rsidRPr="000E6C95">
        <w:t>semiannual</w:t>
      </w:r>
      <w:r>
        <w:rPr>
          <w:color w:val="FF0000"/>
        </w:rPr>
        <w:t xml:space="preserve"> </w:t>
      </w:r>
      <w:r>
        <w:rPr>
          <w:color w:val="000000"/>
        </w:rPr>
        <w:t>reports are used to determine periods of excess emissions, identify problems at the facility, verify operation/maintenance procedures</w:t>
      </w:r>
      <w:r w:rsidR="00E03DA0">
        <w:rPr>
          <w:color w:val="000000"/>
        </w:rPr>
        <w:t>,</w:t>
      </w:r>
      <w:r>
        <w:rPr>
          <w:color w:val="000000"/>
        </w:rPr>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A701E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B83820">
        <w:rPr>
          <w:color w:val="000000"/>
        </w:rPr>
        <w:t xml:space="preserve"> SS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A701E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6C67DB">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D3C39" w:rsidRDefault="000E6C95">
      <w:pPr>
        <w:pBdr>
          <w:top w:val="single" w:sz="6" w:space="0" w:color="FFFFFF"/>
          <w:left w:val="single" w:sz="6" w:space="0" w:color="FFFFFF"/>
          <w:bottom w:val="single" w:sz="6" w:space="0" w:color="FFFFFF"/>
          <w:right w:val="single" w:sz="6" w:space="0" w:color="FFFFFF"/>
        </w:pBdr>
        <w:ind w:firstLine="720"/>
      </w:pPr>
      <w:r w:rsidRPr="000E6C95">
        <w:t xml:space="preserve">An announcement of a public comment period for the renewal of this ICR was published in the </w:t>
      </w:r>
      <w:r w:rsidRPr="000E6C95">
        <w:rPr>
          <w:u w:val="single"/>
        </w:rPr>
        <w:t>Federal Register</w:t>
      </w:r>
      <w:r w:rsidRPr="000E6C95">
        <w:t xml:space="preserve"> (77 </w:t>
      </w:r>
      <w:r w:rsidRPr="000E6C95">
        <w:rPr>
          <w:u w:val="single"/>
        </w:rPr>
        <w:t>FR</w:t>
      </w:r>
      <w:r w:rsidRPr="000E6C95">
        <w:t xml:space="preserve"> 47631) on August 9, 2012.  No comments were received on the burden published in the </w:t>
      </w:r>
      <w:r w:rsidRPr="000E6C95">
        <w:rPr>
          <w:u w:val="single"/>
        </w:rPr>
        <w:t>Federal Register</w:t>
      </w:r>
      <w:r w:rsidRPr="000E6C95">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A308C9" w:rsidRDefault="00A308C9" w:rsidP="00A308C9">
      <w:pPr>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0A1C6D" w:rsidRDefault="00A308C9">
      <w:pPr>
        <w:widowControl/>
        <w:ind w:firstLine="720"/>
      </w:pPr>
      <w:r w:rsidRPr="0073606E">
        <w:rPr>
          <w:b/>
          <w:bCs/>
        </w:rPr>
        <w:lastRenderedPageBreak/>
        <w:t xml:space="preserve">  </w:t>
      </w:r>
    </w:p>
    <w:p w:rsidR="00A308C9" w:rsidRDefault="00A308C9" w:rsidP="00A308C9">
      <w:pPr>
        <w:widowControl/>
        <w:ind w:firstLine="720"/>
      </w:pPr>
      <w:r w:rsidRPr="0073606E">
        <w:t>Industry trade associations and other interested parties were provided an opportunity to comment on the burden associated with the standard as it was being developed.  In developing this ICR, we contacted</w:t>
      </w:r>
      <w:r w:rsidR="00560AF5">
        <w:t>: 1) the</w:t>
      </w:r>
      <w:r>
        <w:t xml:space="preserve"> </w:t>
      </w:r>
      <w:r w:rsidR="00D24839">
        <w:t>Lennox Manufacturing, Incorporated</w:t>
      </w:r>
      <w:r w:rsidR="00560AF5">
        <w:t>, at (515) 754-436;</w:t>
      </w:r>
      <w:r w:rsidR="00D24839">
        <w:t xml:space="preserve"> and </w:t>
      </w:r>
      <w:r w:rsidR="006C67DB">
        <w:t xml:space="preserve">        </w:t>
      </w:r>
      <w:r w:rsidR="00560AF5">
        <w:t xml:space="preserve">2) </w:t>
      </w:r>
      <w:r w:rsidR="00C468B4">
        <w:t>the Sherwin-Williams Company</w:t>
      </w:r>
      <w:r w:rsidR="00560AF5">
        <w:t>,</w:t>
      </w:r>
      <w:r w:rsidR="00C468B4">
        <w:t xml:space="preserve"> at (216) 566-3316</w:t>
      </w:r>
      <w:r w:rsidR="00D24839">
        <w:t>.</w:t>
      </w:r>
    </w:p>
    <w:p w:rsidR="00A308C9" w:rsidRDefault="00A308C9" w:rsidP="00A308C9">
      <w:pPr>
        <w:widowControl/>
      </w:pPr>
    </w:p>
    <w:p w:rsidR="000A1C6D" w:rsidRDefault="00A308C9">
      <w:pPr>
        <w:pBdr>
          <w:top w:val="single" w:sz="6" w:space="0" w:color="FFFFFF"/>
          <w:left w:val="single" w:sz="6" w:space="0" w:color="FFFFFF"/>
          <w:bottom w:val="single" w:sz="6" w:space="0" w:color="FFFFFF"/>
          <w:right w:val="single" w:sz="6" w:space="0" w:color="FFFFFF"/>
        </w:pBdr>
        <w:ind w:firstLine="720"/>
      </w:pPr>
      <w:r w:rsidRPr="00FD5F8C">
        <w:t xml:space="preserve">It is our policy to respond after a thorough review of comments received since the last ICR renewal as well as those submitted in response to the first </w:t>
      </w:r>
      <w:r w:rsidRPr="006C67DB">
        <w:rPr>
          <w:u w:val="single"/>
        </w:rPr>
        <w:t>Federal Register</w:t>
      </w:r>
      <w:r>
        <w:t xml:space="preserve"> notice.</w:t>
      </w:r>
      <w:r w:rsidR="00B34ACA">
        <w:t xml:space="preserve"> </w:t>
      </w:r>
      <w:r>
        <w:t xml:space="preserve"> In this </w:t>
      </w:r>
      <w:r w:rsidRPr="00FD5F8C">
        <w:t>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255E6B">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255E6B" w:rsidRDefault="00CA4CD6">
      <w:pPr>
        <w:pBdr>
          <w:top w:val="single" w:sz="6" w:space="0" w:color="FFFFFF"/>
          <w:left w:val="single" w:sz="6" w:space="0" w:color="FFFFFF"/>
          <w:bottom w:val="single" w:sz="6" w:space="0" w:color="FFFFFF"/>
          <w:right w:val="single" w:sz="6" w:space="0" w:color="FFFFFF"/>
        </w:pBdr>
      </w:pPr>
    </w:p>
    <w:p w:rsidR="000A1C6D" w:rsidRDefault="000E6C95">
      <w:pPr>
        <w:pBdr>
          <w:top w:val="single" w:sz="6" w:space="0" w:color="FFFFFF"/>
          <w:left w:val="single" w:sz="6" w:space="0" w:color="FFFFFF"/>
          <w:bottom w:val="single" w:sz="6" w:space="0" w:color="FFFFFF"/>
          <w:right w:val="single" w:sz="6" w:space="0" w:color="FFFFFF"/>
        </w:pBdr>
        <w:ind w:firstLine="720"/>
      </w:pPr>
      <w:r w:rsidRPr="000E6C95">
        <w:t>These standards require the respondents to maintain all records, including reports and notifications for at least five years.  This is consistent with the General Provisions as applied to the standards.  EPA believes that the five</w:t>
      </w:r>
      <w:r w:rsidR="006C67DB">
        <w:t>-</w:t>
      </w:r>
      <w:r w:rsidRPr="000E6C95">
        <w:t>year records retention requirement is consistent the Part 70 permit program and the five</w:t>
      </w:r>
      <w:r w:rsidR="00732F14">
        <w:t>-</w:t>
      </w:r>
      <w:r w:rsidRPr="000E6C95">
        <w:t>year statute of limitations on which the permit program is based.  The retention of records for five</w:t>
      </w:r>
      <w:r w:rsidR="006C67DB">
        <w:t xml:space="preserve"> </w:t>
      </w:r>
      <w:r w:rsidRPr="000E6C95">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C67D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 xml:space="preserve">sensitive </w:t>
      </w:r>
      <w:r w:rsidR="00CA4CD6">
        <w:rPr>
          <w:color w:val="000000"/>
        </w:rPr>
        <w:lastRenderedPageBreak/>
        <w:t>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34ACA">
        <w:rPr>
          <w:color w:val="000000"/>
        </w:rPr>
        <w:t>facilities that conduct surface coating of large appliances</w:t>
      </w:r>
      <w:r>
        <w:rPr>
          <w:color w:val="000000"/>
        </w:rPr>
        <w:t xml:space="preserve">.  </w:t>
      </w:r>
      <w:r w:rsidR="0063107A">
        <w:rPr>
          <w:color w:val="000000"/>
        </w:rPr>
        <w:t>The United States Standard Industrial Classification</w:t>
      </w:r>
      <w:r w:rsidR="00B34ACA">
        <w:rPr>
          <w:color w:val="000000"/>
        </w:rPr>
        <w:t xml:space="preserve"> (SIC</w:t>
      </w:r>
      <w:r w:rsidR="0063107A">
        <w:rPr>
          <w:color w:val="000000"/>
        </w:rPr>
        <w:t xml:space="preserve">) code for the respondents affected by the standard and </w:t>
      </w:r>
      <w:r w:rsidR="00B34ACA">
        <w:rPr>
          <w:color w:val="000000"/>
        </w:rPr>
        <w:t xml:space="preserve">the </w:t>
      </w:r>
      <w:r w:rsidR="0063107A">
        <w:rPr>
          <w:color w:val="000000"/>
        </w:rPr>
        <w:t>corresponding North American Industry Classification System</w:t>
      </w:r>
      <w:r w:rsidR="00B34ACA">
        <w:rPr>
          <w:color w:val="000000"/>
        </w:rPr>
        <w:t xml:space="preserve"> (NAICS</w:t>
      </w:r>
      <w:r w:rsidR="0063107A">
        <w:rPr>
          <w:color w:val="000000"/>
        </w:rPr>
        <w:t xml:space="preserve">) </w:t>
      </w:r>
      <w:r w:rsidR="00B34ACA">
        <w:rPr>
          <w:color w:val="000000"/>
        </w:rPr>
        <w:t xml:space="preserve">codes </w:t>
      </w:r>
      <w:r w:rsidR="0063107A">
        <w:rPr>
          <w:color w:val="000000"/>
        </w:rPr>
        <w:t xml:space="preserve">are </w:t>
      </w:r>
      <w:r w:rsidR="00B34ACA">
        <w:rPr>
          <w:color w:val="000000"/>
        </w:rPr>
        <w:t xml:space="preserve">presented </w:t>
      </w:r>
      <w:r w:rsidR="0063107A">
        <w:rPr>
          <w:color w:val="000000"/>
        </w:rPr>
        <w:t>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5940"/>
        <w:gridCol w:w="1530"/>
        <w:gridCol w:w="1890"/>
      </w:tblGrid>
      <w:tr w:rsidR="00CA4CD6" w:rsidTr="00A60BCF">
        <w:tc>
          <w:tcPr>
            <w:tcW w:w="5940" w:type="dxa"/>
          </w:tcPr>
          <w:p w:rsidR="00CA4CD6" w:rsidRDefault="00CA4CD6">
            <w:pPr>
              <w:spacing w:line="120" w:lineRule="exact"/>
              <w:rPr>
                <w:color w:val="000000"/>
              </w:rPr>
            </w:pPr>
          </w:p>
          <w:p w:rsidR="00BB6002" w:rsidRDefault="00B34ACA" w:rsidP="00B34ACA">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255E6B" w:rsidRPr="00255E6B">
              <w:rPr>
                <w:b/>
                <w:bCs/>
                <w:color w:val="000000"/>
              </w:rPr>
              <w:t xml:space="preserve">40 CFR </w:t>
            </w:r>
            <w:r>
              <w:rPr>
                <w:b/>
                <w:bCs/>
                <w:color w:val="000000"/>
              </w:rPr>
              <w:t>P</w:t>
            </w:r>
            <w:r w:rsidR="00255E6B" w:rsidRPr="00255E6B">
              <w:rPr>
                <w:b/>
                <w:bCs/>
                <w:color w:val="000000"/>
              </w:rPr>
              <w:t xml:space="preserve">art 60, </w:t>
            </w:r>
            <w:r>
              <w:rPr>
                <w:b/>
                <w:bCs/>
                <w:color w:val="000000"/>
              </w:rPr>
              <w:t>S</w:t>
            </w:r>
            <w:r w:rsidR="00255E6B" w:rsidRPr="00255E6B">
              <w:rPr>
                <w:b/>
                <w:bCs/>
                <w:color w:val="000000"/>
              </w:rPr>
              <w:t>ubpart SS</w:t>
            </w:r>
            <w:r>
              <w:rPr>
                <w:b/>
                <w:bCs/>
                <w:color w:val="000000"/>
              </w:rPr>
              <w:t>)</w:t>
            </w:r>
            <w:r w:rsidR="004C701D">
              <w:rPr>
                <w:b/>
                <w:bCs/>
                <w:color w:val="000000"/>
              </w:rPr>
              <w:t xml:space="preserve"> </w:t>
            </w:r>
          </w:p>
        </w:tc>
        <w:tc>
          <w:tcPr>
            <w:tcW w:w="1530" w:type="dxa"/>
          </w:tcPr>
          <w:p w:rsidR="00CA4CD6" w:rsidRDefault="00CA4CD6" w:rsidP="00A60BCF">
            <w:pPr>
              <w:spacing w:line="120" w:lineRule="exact"/>
              <w:jc w:val="center"/>
              <w:rPr>
                <w:b/>
                <w:bCs/>
                <w:color w:val="000000"/>
              </w:rPr>
            </w:pPr>
          </w:p>
          <w:p w:rsidR="00CA4CD6" w:rsidRDefault="00CA4CD6" w:rsidP="00A60BCF">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Pr>
          <w:p w:rsidR="00CA4CD6" w:rsidRDefault="00CA4CD6" w:rsidP="00A60BCF">
            <w:pPr>
              <w:spacing w:line="120" w:lineRule="exact"/>
              <w:jc w:val="center"/>
              <w:rPr>
                <w:b/>
                <w:bCs/>
                <w:color w:val="000000"/>
              </w:rPr>
            </w:pPr>
          </w:p>
          <w:p w:rsidR="00CA4CD6" w:rsidRDefault="00CA4CD6" w:rsidP="00A60BCF">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255E6B" w:rsidTr="00A60BCF">
        <w:tc>
          <w:tcPr>
            <w:tcW w:w="5940" w:type="dxa"/>
          </w:tcPr>
          <w:p w:rsidR="00255E6B" w:rsidRDefault="00255E6B">
            <w:pPr>
              <w:spacing w:line="120" w:lineRule="exact"/>
              <w:rPr>
                <w:b/>
                <w:bCs/>
                <w:color w:val="000000"/>
              </w:rPr>
            </w:pPr>
          </w:p>
          <w:p w:rsidR="00255E6B" w:rsidRPr="00D14210" w:rsidRDefault="000E6C95" w:rsidP="004C701D">
            <w:pPr>
              <w:pBdr>
                <w:top w:val="single" w:sz="6" w:space="0" w:color="FFFFFF"/>
                <w:left w:val="single" w:sz="6" w:space="0" w:color="FFFFFF"/>
                <w:bottom w:val="single" w:sz="6" w:space="0" w:color="FFFFFF"/>
                <w:right w:val="single" w:sz="6" w:space="0" w:color="FFFFFF"/>
              </w:pBdr>
              <w:spacing w:after="54"/>
            </w:pPr>
            <w:r w:rsidRPr="000E6C95">
              <w:t>Household Cooking Equipment</w:t>
            </w:r>
          </w:p>
        </w:tc>
        <w:tc>
          <w:tcPr>
            <w:tcW w:w="1530" w:type="dxa"/>
          </w:tcPr>
          <w:p w:rsidR="00255E6B" w:rsidRDefault="00255E6B" w:rsidP="00A60BCF">
            <w:pPr>
              <w:pBdr>
                <w:top w:val="single" w:sz="6" w:space="0" w:color="FFFFFF"/>
                <w:left w:val="single" w:sz="6" w:space="0" w:color="FFFFFF"/>
                <w:bottom w:val="single" w:sz="6" w:space="0" w:color="FFFFFF"/>
                <w:right w:val="single" w:sz="6" w:space="0" w:color="FFFFFF"/>
              </w:pBdr>
              <w:spacing w:after="54"/>
              <w:jc w:val="center"/>
              <w:rPr>
                <w:color w:val="000000"/>
              </w:rPr>
            </w:pPr>
            <w:r>
              <w:t>3631</w:t>
            </w:r>
          </w:p>
        </w:tc>
        <w:tc>
          <w:tcPr>
            <w:tcW w:w="1890" w:type="dxa"/>
          </w:tcPr>
          <w:p w:rsidR="00255E6B" w:rsidRDefault="0073798D" w:rsidP="00A60BCF">
            <w:pPr>
              <w:pBdr>
                <w:top w:val="single" w:sz="6" w:space="0" w:color="FFFFFF"/>
                <w:left w:val="single" w:sz="6" w:space="0" w:color="FFFFFF"/>
                <w:bottom w:val="single" w:sz="6" w:space="0" w:color="FFFFFF"/>
                <w:right w:val="single" w:sz="6" w:space="0" w:color="FFFFFF"/>
              </w:pBdr>
              <w:spacing w:after="54"/>
              <w:jc w:val="center"/>
              <w:rPr>
                <w:color w:val="000000"/>
              </w:rPr>
            </w:pPr>
            <w:r>
              <w:rPr>
                <w:lang w:val="en-CA"/>
              </w:rPr>
              <w:fldChar w:fldCharType="begin"/>
            </w:r>
            <w:r w:rsidR="00255E6B">
              <w:rPr>
                <w:lang w:val="en-CA"/>
              </w:rPr>
              <w:instrText xml:space="preserve"> SEQ CHAPTER \h \r 1</w:instrText>
            </w:r>
            <w:r>
              <w:rPr>
                <w:lang w:val="en-CA"/>
              </w:rPr>
              <w:fldChar w:fldCharType="end"/>
            </w:r>
            <w:r w:rsidR="00255E6B">
              <w:t>335221</w:t>
            </w:r>
          </w:p>
        </w:tc>
      </w:tr>
      <w:tr w:rsidR="00255E6B" w:rsidTr="00A60BCF">
        <w:tc>
          <w:tcPr>
            <w:tcW w:w="5940" w:type="dxa"/>
          </w:tcPr>
          <w:p w:rsidR="00255E6B" w:rsidRDefault="00255E6B">
            <w:pPr>
              <w:spacing w:line="120" w:lineRule="exact"/>
              <w:rPr>
                <w:color w:val="000000"/>
              </w:rPr>
            </w:pPr>
          </w:p>
          <w:p w:rsidR="00255E6B" w:rsidRDefault="00255E6B">
            <w:pPr>
              <w:pBdr>
                <w:top w:val="single" w:sz="6" w:space="0" w:color="FFFFFF"/>
                <w:left w:val="single" w:sz="6" w:space="0" w:color="FFFFFF"/>
                <w:bottom w:val="single" w:sz="6" w:space="0" w:color="FFFFFF"/>
                <w:right w:val="single" w:sz="6" w:space="0" w:color="FFFFFF"/>
              </w:pBdr>
              <w:spacing w:after="54"/>
              <w:rPr>
                <w:color w:val="000000"/>
              </w:rPr>
            </w:pPr>
            <w:r>
              <w:rPr>
                <w:color w:val="000000"/>
              </w:rPr>
              <w:t>Household Refrigerators and Home and Farm Freezers</w:t>
            </w:r>
          </w:p>
        </w:tc>
        <w:tc>
          <w:tcPr>
            <w:tcW w:w="1530" w:type="dxa"/>
          </w:tcPr>
          <w:p w:rsidR="00255E6B" w:rsidRDefault="00255E6B" w:rsidP="00A60BCF">
            <w:pPr>
              <w:pBdr>
                <w:top w:val="single" w:sz="6" w:space="0" w:color="FFFFFF"/>
                <w:left w:val="single" w:sz="6" w:space="0" w:color="FFFFFF"/>
                <w:bottom w:val="single" w:sz="6" w:space="0" w:color="FFFFFF"/>
                <w:right w:val="single" w:sz="6" w:space="0" w:color="FFFFFF"/>
              </w:pBdr>
              <w:spacing w:after="54"/>
              <w:jc w:val="center"/>
              <w:rPr>
                <w:color w:val="000000"/>
              </w:rPr>
            </w:pPr>
            <w:r>
              <w:t>3632</w:t>
            </w:r>
          </w:p>
        </w:tc>
        <w:tc>
          <w:tcPr>
            <w:tcW w:w="1890" w:type="dxa"/>
          </w:tcPr>
          <w:p w:rsidR="00255E6B" w:rsidRDefault="0073798D" w:rsidP="00A60BCF">
            <w:pPr>
              <w:pBdr>
                <w:top w:val="single" w:sz="6" w:space="0" w:color="FFFFFF"/>
                <w:left w:val="single" w:sz="6" w:space="0" w:color="FFFFFF"/>
                <w:bottom w:val="single" w:sz="6" w:space="0" w:color="FFFFFF"/>
                <w:right w:val="single" w:sz="6" w:space="0" w:color="FFFFFF"/>
              </w:pBdr>
              <w:spacing w:after="54"/>
              <w:jc w:val="center"/>
              <w:rPr>
                <w:color w:val="000000"/>
              </w:rPr>
            </w:pPr>
            <w:r>
              <w:rPr>
                <w:lang w:val="en-CA"/>
              </w:rPr>
              <w:fldChar w:fldCharType="begin"/>
            </w:r>
            <w:r w:rsidR="00255E6B">
              <w:rPr>
                <w:lang w:val="en-CA"/>
              </w:rPr>
              <w:instrText xml:space="preserve"> SEQ CHAPTER \h \r 1</w:instrText>
            </w:r>
            <w:r>
              <w:rPr>
                <w:lang w:val="en-CA"/>
              </w:rPr>
              <w:fldChar w:fldCharType="end"/>
            </w:r>
            <w:r w:rsidR="00255E6B">
              <w:t>335222</w:t>
            </w:r>
          </w:p>
        </w:tc>
      </w:tr>
      <w:tr w:rsidR="00255E6B" w:rsidTr="00A60BCF">
        <w:tc>
          <w:tcPr>
            <w:tcW w:w="5940" w:type="dxa"/>
          </w:tcPr>
          <w:p w:rsidR="00255E6B" w:rsidRDefault="00255E6B">
            <w:pPr>
              <w:spacing w:line="120" w:lineRule="exact"/>
              <w:rPr>
                <w:color w:val="000000"/>
              </w:rPr>
            </w:pPr>
          </w:p>
          <w:p w:rsidR="00255E6B" w:rsidRDefault="00D14210">
            <w:pPr>
              <w:pBdr>
                <w:top w:val="single" w:sz="6" w:space="0" w:color="FFFFFF"/>
                <w:left w:val="single" w:sz="6" w:space="0" w:color="FFFFFF"/>
                <w:bottom w:val="single" w:sz="6" w:space="0" w:color="FFFFFF"/>
                <w:right w:val="single" w:sz="6" w:space="0" w:color="FFFFFF"/>
              </w:pBdr>
              <w:spacing w:after="54"/>
              <w:rPr>
                <w:color w:val="000000"/>
              </w:rPr>
            </w:pPr>
            <w:r>
              <w:rPr>
                <w:color w:val="000000"/>
              </w:rPr>
              <w:t>Household Laundry Equipment</w:t>
            </w:r>
          </w:p>
        </w:tc>
        <w:tc>
          <w:tcPr>
            <w:tcW w:w="1530" w:type="dxa"/>
          </w:tcPr>
          <w:p w:rsidR="00255E6B" w:rsidRDefault="00255E6B" w:rsidP="00A60BCF">
            <w:pPr>
              <w:pBdr>
                <w:top w:val="single" w:sz="6" w:space="0" w:color="FFFFFF"/>
                <w:left w:val="single" w:sz="6" w:space="0" w:color="FFFFFF"/>
                <w:bottom w:val="single" w:sz="6" w:space="0" w:color="FFFFFF"/>
                <w:right w:val="single" w:sz="6" w:space="0" w:color="FFFFFF"/>
              </w:pBdr>
              <w:spacing w:after="54"/>
              <w:jc w:val="center"/>
              <w:rPr>
                <w:color w:val="000000"/>
              </w:rPr>
            </w:pPr>
            <w:r>
              <w:t>3633</w:t>
            </w:r>
          </w:p>
        </w:tc>
        <w:tc>
          <w:tcPr>
            <w:tcW w:w="1890" w:type="dxa"/>
          </w:tcPr>
          <w:p w:rsidR="00255E6B" w:rsidRDefault="0073798D" w:rsidP="00A60BCF">
            <w:pPr>
              <w:pBdr>
                <w:top w:val="single" w:sz="6" w:space="0" w:color="FFFFFF"/>
                <w:left w:val="single" w:sz="6" w:space="0" w:color="FFFFFF"/>
                <w:bottom w:val="single" w:sz="6" w:space="0" w:color="FFFFFF"/>
                <w:right w:val="single" w:sz="6" w:space="0" w:color="FFFFFF"/>
              </w:pBdr>
              <w:spacing w:after="54"/>
              <w:jc w:val="center"/>
              <w:rPr>
                <w:color w:val="000000"/>
              </w:rPr>
            </w:pPr>
            <w:r>
              <w:rPr>
                <w:lang w:val="en-CA"/>
              </w:rPr>
              <w:fldChar w:fldCharType="begin"/>
            </w:r>
            <w:r w:rsidR="00255E6B">
              <w:rPr>
                <w:lang w:val="en-CA"/>
              </w:rPr>
              <w:instrText xml:space="preserve"> SEQ CHAPTER \h \r 1</w:instrText>
            </w:r>
            <w:r>
              <w:rPr>
                <w:lang w:val="en-CA"/>
              </w:rPr>
              <w:fldChar w:fldCharType="end"/>
            </w:r>
            <w:r w:rsidR="00255E6B">
              <w:t>335224</w:t>
            </w:r>
          </w:p>
        </w:tc>
      </w:tr>
      <w:tr w:rsidR="00255E6B" w:rsidTr="00A60BCF">
        <w:tc>
          <w:tcPr>
            <w:tcW w:w="5940" w:type="dxa"/>
          </w:tcPr>
          <w:p w:rsidR="00255E6B" w:rsidRDefault="00255E6B">
            <w:pPr>
              <w:spacing w:line="120" w:lineRule="exact"/>
              <w:rPr>
                <w:color w:val="000000"/>
              </w:rPr>
            </w:pPr>
          </w:p>
          <w:p w:rsidR="00255E6B" w:rsidRDefault="00D14210">
            <w:pPr>
              <w:pBdr>
                <w:top w:val="single" w:sz="6" w:space="0" w:color="FFFFFF"/>
                <w:left w:val="single" w:sz="6" w:space="0" w:color="FFFFFF"/>
                <w:bottom w:val="single" w:sz="6" w:space="0" w:color="FFFFFF"/>
                <w:right w:val="single" w:sz="6" w:space="0" w:color="FFFFFF"/>
              </w:pBdr>
              <w:spacing w:after="54"/>
              <w:rPr>
                <w:color w:val="000000"/>
              </w:rPr>
            </w:pPr>
            <w:r>
              <w:rPr>
                <w:color w:val="000000"/>
              </w:rPr>
              <w:t>Household Appliances, Not Elsewhere Classified</w:t>
            </w:r>
          </w:p>
        </w:tc>
        <w:tc>
          <w:tcPr>
            <w:tcW w:w="1530" w:type="dxa"/>
          </w:tcPr>
          <w:p w:rsidR="00255E6B" w:rsidRDefault="00255E6B" w:rsidP="00A60BCF">
            <w:pPr>
              <w:pBdr>
                <w:top w:val="single" w:sz="6" w:space="0" w:color="FFFFFF"/>
                <w:left w:val="single" w:sz="6" w:space="0" w:color="FFFFFF"/>
                <w:bottom w:val="single" w:sz="6" w:space="0" w:color="FFFFFF"/>
                <w:right w:val="single" w:sz="6" w:space="0" w:color="FFFFFF"/>
              </w:pBdr>
              <w:spacing w:after="54"/>
              <w:jc w:val="center"/>
              <w:rPr>
                <w:color w:val="000000"/>
              </w:rPr>
            </w:pPr>
            <w:r>
              <w:t>3639</w:t>
            </w:r>
          </w:p>
        </w:tc>
        <w:tc>
          <w:tcPr>
            <w:tcW w:w="1890" w:type="dxa"/>
          </w:tcPr>
          <w:p w:rsidR="00255E6B" w:rsidRDefault="0073798D" w:rsidP="00A60BCF">
            <w:pPr>
              <w:pBdr>
                <w:top w:val="single" w:sz="6" w:space="0" w:color="FFFFFF"/>
                <w:left w:val="single" w:sz="6" w:space="0" w:color="FFFFFF"/>
                <w:bottom w:val="single" w:sz="6" w:space="0" w:color="FFFFFF"/>
                <w:right w:val="single" w:sz="6" w:space="0" w:color="FFFFFF"/>
              </w:pBdr>
              <w:spacing w:after="54"/>
              <w:jc w:val="center"/>
              <w:rPr>
                <w:color w:val="000000"/>
              </w:rPr>
            </w:pPr>
            <w:r>
              <w:rPr>
                <w:lang w:val="en-CA"/>
              </w:rPr>
              <w:fldChar w:fldCharType="begin"/>
            </w:r>
            <w:r w:rsidR="00255E6B">
              <w:rPr>
                <w:lang w:val="en-CA"/>
              </w:rPr>
              <w:instrText xml:space="preserve"> SEQ CHAPTER \h \r 1</w:instrText>
            </w:r>
            <w:r>
              <w:rPr>
                <w:lang w:val="en-CA"/>
              </w:rPr>
              <w:fldChar w:fldCharType="end"/>
            </w:r>
            <w:r w:rsidR="00255E6B">
              <w:t>335212, 333298, 335228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0E6C95" w:rsidRPr="000E6C95">
        <w:t xml:space="preserve">NSPS for </w:t>
      </w:r>
      <w:r w:rsidR="000E6C95" w:rsidRPr="000E6C95">
        <w:rPr>
          <w:bCs/>
        </w:rPr>
        <w:t>Surface Coating of Large Appliances</w:t>
      </w:r>
      <w:r w:rsidR="000E6C95" w:rsidRPr="000E6C95">
        <w:t xml:space="preserve"> (40 CFR </w:t>
      </w:r>
      <w:r w:rsidR="00F3017E">
        <w:t>P</w:t>
      </w:r>
      <w:r w:rsidR="000E6C95" w:rsidRPr="000E6C95">
        <w:t xml:space="preserve">art 60, </w:t>
      </w:r>
      <w:r w:rsidR="00F3017E">
        <w:t>S</w:t>
      </w:r>
      <w:r w:rsidR="000E6C95" w:rsidRPr="000E6C95">
        <w:t>ubpart SS)</w:t>
      </w:r>
      <w:r w:rsidR="000E6C95" w:rsidRPr="000E6C95">
        <w:rPr>
          <w:color w:val="FF0000"/>
        </w:rPr>
        <w:t>.</w:t>
      </w:r>
      <w:r w:rsidR="000E6C95" w:rsidRPr="000E6C9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A73600" w:rsidTr="007534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75341C">
              <w:rPr>
                <w:b/>
                <w:color w:val="000000"/>
              </w:rPr>
              <w:t>/Reports</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 xml:space="preserve">Notification of construction/reconstruction </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60.7(a)(1)</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Notification of initial performance test</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60.8(d)</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Initial performance test results</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 xml:space="preserve">60.8(a), </w:t>
            </w:r>
            <w:r w:rsidR="0073798D">
              <w:rPr>
                <w:lang w:val="en-CA"/>
              </w:rPr>
              <w:fldChar w:fldCharType="begin"/>
            </w:r>
            <w:r>
              <w:rPr>
                <w:lang w:val="en-CA"/>
              </w:rPr>
              <w:instrText xml:space="preserve"> SEQ CHAPTER \h \r 1</w:instrText>
            </w:r>
            <w:r w:rsidR="0073798D">
              <w:rPr>
                <w:lang w:val="en-CA"/>
              </w:rPr>
              <w:fldChar w:fldCharType="end"/>
            </w:r>
            <w:r>
              <w:t>60.455(a)</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Notification of actual startup</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60.7(a)(3)</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Demonstration of continuous monitoring system</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60.7(a)(5)</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Notification of a physical or operational change.</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60.7(a)(4)</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Semiannual report</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60.7(d)</w:t>
            </w:r>
          </w:p>
        </w:tc>
      </w:tr>
      <w:tr w:rsidR="0075341C" w:rsidTr="00A60BCF">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Excess emissions report</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rsidP="00A60BCF">
            <w:pPr>
              <w:pBdr>
                <w:top w:val="single" w:sz="6" w:space="0" w:color="FFFFFF"/>
                <w:left w:val="single" w:sz="6" w:space="0" w:color="FFFFFF"/>
                <w:bottom w:val="single" w:sz="6" w:space="0" w:color="FFFFFF"/>
                <w:right w:val="single" w:sz="6" w:space="0" w:color="FFFFFF"/>
              </w:pBdr>
              <w:spacing w:after="58"/>
              <w:rPr>
                <w:color w:val="000000"/>
              </w:rPr>
            </w:pPr>
            <w:r>
              <w:t xml:space="preserve">60.7(c), </w:t>
            </w:r>
            <w:r w:rsidR="0073798D">
              <w:rPr>
                <w:lang w:val="en-CA"/>
              </w:rPr>
              <w:fldChar w:fldCharType="begin"/>
            </w:r>
            <w:r>
              <w:rPr>
                <w:lang w:val="en-CA"/>
              </w:rPr>
              <w:instrText xml:space="preserve"> SEQ CHAPTER \h \r 1</w:instrText>
            </w:r>
            <w:r w:rsidR="0073798D">
              <w:rPr>
                <w:lang w:val="en-CA"/>
              </w:rPr>
              <w:fldChar w:fldCharType="end"/>
            </w:r>
            <w:r>
              <w:t>60.455(b</w:t>
            </w:r>
            <w:r w:rsidR="00A60BCF">
              <w:t>-c</w:t>
            </w:r>
            <w:r>
              <w:t xml:space="preserve">), </w:t>
            </w:r>
          </w:p>
        </w:tc>
      </w:tr>
    </w:tbl>
    <w:p w:rsidR="00A60BCF" w:rsidRDefault="00A60BCF">
      <w:pPr>
        <w:pBdr>
          <w:top w:val="single" w:sz="6" w:space="0" w:color="FFFFFF"/>
          <w:left w:val="single" w:sz="6" w:space="0" w:color="FFFFFF"/>
          <w:bottom w:val="single" w:sz="6" w:space="0" w:color="FFFFFF"/>
          <w:right w:val="single" w:sz="6" w:space="0" w:color="FFFFFF"/>
        </w:pBdr>
        <w:rPr>
          <w:color w:val="000000"/>
        </w:rPr>
      </w:pPr>
    </w:p>
    <w:p w:rsidR="00CA4CD6" w:rsidRDefault="0075341C">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ab/>
      </w:r>
      <w:r w:rsidR="00CA4CD6">
        <w:rPr>
          <w:color w:val="000000"/>
        </w:rPr>
        <w:t>A source must keep the following records:</w:t>
      </w:r>
    </w:p>
    <w:p w:rsidR="006C67DB" w:rsidRDefault="006C67DB">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A73600" w:rsidTr="007534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75341C" w:rsidTr="00A97C8B">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A97C8B">
            <w:pPr>
              <w:pBdr>
                <w:top w:val="single" w:sz="6" w:space="0" w:color="FFFFFF"/>
                <w:left w:val="single" w:sz="6" w:space="0" w:color="FFFFFF"/>
                <w:bottom w:val="single" w:sz="6" w:space="0" w:color="FFFFFF"/>
                <w:right w:val="single" w:sz="6" w:space="0" w:color="FFFFFF"/>
              </w:pBdr>
              <w:spacing w:after="58"/>
              <w:rPr>
                <w:color w:val="000000"/>
              </w:rPr>
            </w:pPr>
            <w:r>
              <w:t>Startups, shutdowns, malfunction</w:t>
            </w:r>
            <w:r w:rsidR="0075341C">
              <w:t>, periods where the continuous monitoring system is inoperative.</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75341C" w:rsidTr="00A97C8B">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two years at the facility.</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3798D">
            <w:pPr>
              <w:pBdr>
                <w:top w:val="single" w:sz="6" w:space="0" w:color="FFFFFF"/>
                <w:left w:val="single" w:sz="6" w:space="0" w:color="FFFFFF"/>
                <w:bottom w:val="single" w:sz="6" w:space="0" w:color="FFFFFF"/>
                <w:right w:val="single" w:sz="6" w:space="0" w:color="FFFFFF"/>
              </w:pBdr>
              <w:spacing w:after="58"/>
              <w:rPr>
                <w:color w:val="000000"/>
              </w:rPr>
            </w:pPr>
            <w:r>
              <w:rPr>
                <w:lang w:val="en-CA"/>
              </w:rPr>
              <w:fldChar w:fldCharType="begin"/>
            </w:r>
            <w:r w:rsidR="0075341C">
              <w:rPr>
                <w:lang w:val="en-CA"/>
              </w:rPr>
              <w:instrText xml:space="preserve"> SEQ CHAPTER \h \r 1</w:instrText>
            </w:r>
            <w:r>
              <w:rPr>
                <w:lang w:val="en-CA"/>
              </w:rPr>
              <w:fldChar w:fldCharType="end"/>
            </w:r>
            <w:r w:rsidR="0075341C">
              <w:t>60.455(d)</w:t>
            </w:r>
          </w:p>
        </w:tc>
      </w:tr>
      <w:tr w:rsidR="0075341C" w:rsidTr="00A97C8B">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3798D">
            <w:pPr>
              <w:pBdr>
                <w:top w:val="single" w:sz="6" w:space="0" w:color="FFFFFF"/>
                <w:left w:val="single" w:sz="6" w:space="0" w:color="FFFFFF"/>
                <w:bottom w:val="single" w:sz="6" w:space="0" w:color="FFFFFF"/>
                <w:right w:val="single" w:sz="6" w:space="0" w:color="FFFFFF"/>
              </w:pBdr>
              <w:spacing w:after="58"/>
              <w:rPr>
                <w:color w:val="000000"/>
              </w:rPr>
            </w:pPr>
            <w:r>
              <w:rPr>
                <w:lang w:val="en-CA"/>
              </w:rPr>
              <w:fldChar w:fldCharType="begin"/>
            </w:r>
            <w:r w:rsidR="0075341C">
              <w:rPr>
                <w:lang w:val="en-CA"/>
              </w:rPr>
              <w:instrText xml:space="preserve"> SEQ CHAPTER \h \r 1</w:instrText>
            </w:r>
            <w:r>
              <w:rPr>
                <w:lang w:val="en-CA"/>
              </w:rPr>
              <w:fldChar w:fldCharType="end"/>
            </w:r>
            <w:r w:rsidR="0075341C">
              <w:t>Maintain a file of all measurements including the monitoring device, performance testing measurements, and monitoring device calibrations, checks, adjustments and maintenance performed on these devices. Monthly performance test.</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 xml:space="preserve">60.7(e), </w:t>
            </w:r>
            <w:r w:rsidR="0073798D">
              <w:rPr>
                <w:lang w:val="en-CA"/>
              </w:rPr>
              <w:fldChar w:fldCharType="begin"/>
            </w:r>
            <w:r>
              <w:rPr>
                <w:lang w:val="en-CA"/>
              </w:rPr>
              <w:instrText xml:space="preserve"> SEQ CHAPTER \h \r 1</w:instrText>
            </w:r>
            <w:r w:rsidR="0073798D">
              <w:rPr>
                <w:lang w:val="en-CA"/>
              </w:rPr>
              <w:fldChar w:fldCharType="end"/>
            </w:r>
            <w:r>
              <w:t>60.453(a), 60.7(d)</w:t>
            </w:r>
          </w:p>
        </w:tc>
      </w:tr>
      <w:tr w:rsidR="0075341C" w:rsidTr="00A97C8B">
        <w:trPr>
          <w:jc w:val="center"/>
        </w:trPr>
        <w:tc>
          <w:tcPr>
            <w:tcW w:w="6660" w:type="dxa"/>
            <w:tcBorders>
              <w:top w:val="single" w:sz="7" w:space="0" w:color="000000"/>
              <w:left w:val="single" w:sz="7" w:space="0" w:color="000000"/>
              <w:bottom w:val="single" w:sz="7" w:space="0" w:color="000000"/>
              <w:right w:val="single" w:sz="7" w:space="0" w:color="000000"/>
            </w:tcBorders>
          </w:tcPr>
          <w:p w:rsidR="0075341C" w:rsidRDefault="0075341C">
            <w:pPr>
              <w:pBdr>
                <w:top w:val="single" w:sz="6" w:space="0" w:color="FFFFFF"/>
                <w:left w:val="single" w:sz="6" w:space="0" w:color="FFFFFF"/>
                <w:bottom w:val="single" w:sz="6" w:space="0" w:color="FFFFFF"/>
                <w:right w:val="single" w:sz="6" w:space="0" w:color="FFFFFF"/>
              </w:pBdr>
              <w:spacing w:after="58"/>
              <w:rPr>
                <w:color w:val="000000"/>
              </w:rPr>
            </w:pPr>
            <w:r>
              <w:t>Maintain daily records of incinerator combustion temperature, or amounts of solvent recovered.</w:t>
            </w:r>
          </w:p>
        </w:tc>
        <w:tc>
          <w:tcPr>
            <w:tcW w:w="2700" w:type="dxa"/>
            <w:tcBorders>
              <w:top w:val="single" w:sz="7" w:space="0" w:color="000000"/>
              <w:left w:val="single" w:sz="7" w:space="0" w:color="000000"/>
              <w:bottom w:val="single" w:sz="7" w:space="0" w:color="000000"/>
              <w:right w:val="single" w:sz="7" w:space="0" w:color="000000"/>
            </w:tcBorders>
          </w:tcPr>
          <w:p w:rsidR="0075341C" w:rsidRDefault="0073798D">
            <w:pPr>
              <w:pBdr>
                <w:top w:val="single" w:sz="6" w:space="0" w:color="FFFFFF"/>
                <w:left w:val="single" w:sz="6" w:space="0" w:color="FFFFFF"/>
                <w:bottom w:val="single" w:sz="6" w:space="0" w:color="FFFFFF"/>
                <w:right w:val="single" w:sz="6" w:space="0" w:color="FFFFFF"/>
              </w:pBdr>
              <w:spacing w:after="58"/>
              <w:rPr>
                <w:color w:val="000000"/>
              </w:rPr>
            </w:pPr>
            <w:r>
              <w:rPr>
                <w:lang w:val="en-CA"/>
              </w:rPr>
              <w:fldChar w:fldCharType="begin"/>
            </w:r>
            <w:r w:rsidR="0075341C">
              <w:rPr>
                <w:lang w:val="en-CA"/>
              </w:rPr>
              <w:instrText xml:space="preserve"> SEQ CHAPTER \h \r 1</w:instrText>
            </w:r>
            <w:r>
              <w:rPr>
                <w:lang w:val="en-CA"/>
              </w:rPr>
              <w:fldChar w:fldCharType="end"/>
            </w:r>
            <w:r w:rsidR="0075341C">
              <w:t>60.454(a)(3), 60.455(d)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CE09F1">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BB6002"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0E6C95" w:rsidRPr="000E6C95">
              <w:t>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BB6002"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75341C">
              <w:rPr>
                <w:color w:val="000000"/>
              </w:rPr>
              <w:t xml:space="preserve"> 24</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1D4944">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1D4944">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1D4944">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F3017E">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6" w:type="dxa"/>
        <w:tblLayout w:type="fixed"/>
        <w:tblCellMar>
          <w:left w:w="120" w:type="dxa"/>
          <w:right w:w="120" w:type="dxa"/>
        </w:tblCellMar>
        <w:tblLook w:val="0000"/>
      </w:tblPr>
      <w:tblGrid>
        <w:gridCol w:w="136"/>
        <w:gridCol w:w="9224"/>
        <w:gridCol w:w="136"/>
      </w:tblGrid>
      <w:tr w:rsidR="00CA4CD6" w:rsidTr="00F3017E">
        <w:trPr>
          <w:gridBefore w:val="1"/>
          <w:wBefore w:w="136" w:type="dxa"/>
          <w:tblHeader/>
        </w:trPr>
        <w:tc>
          <w:tcPr>
            <w:tcW w:w="936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3017E" w:rsidTr="00F3017E">
        <w:tblPrEx>
          <w:jc w:val="center"/>
          <w:tblBorders>
            <w:top w:val="single" w:sz="6" w:space="0" w:color="000000"/>
            <w:left w:val="single" w:sz="6" w:space="0" w:color="000000"/>
            <w:bottom w:val="single" w:sz="6" w:space="0" w:color="000000"/>
            <w:right w:val="single" w:sz="6" w:space="0" w:color="000000"/>
            <w:insideH w:val="single" w:sz="6" w:space="0" w:color="FFFFFF"/>
            <w:insideV w:val="single" w:sz="6" w:space="0" w:color="FFFFFF"/>
          </w:tblBorders>
          <w:tblCellMar>
            <w:left w:w="136" w:type="dxa"/>
            <w:right w:w="136" w:type="dxa"/>
          </w:tblCellMar>
        </w:tblPrEx>
        <w:trPr>
          <w:gridAfter w:val="1"/>
          <w:wAfter w:w="136" w:type="dxa"/>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F3017E" w:rsidRDefault="00F3017E" w:rsidP="00F30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Observe initial performance tests and repeat performance tests if necessary.</w:t>
            </w:r>
          </w:p>
        </w:tc>
      </w:tr>
      <w:tr w:rsidR="00CA4CD6" w:rsidTr="00F3017E">
        <w:trPr>
          <w:gridBefore w:val="1"/>
          <w:wBefore w:w="136" w:type="dxa"/>
        </w:trPr>
        <w:tc>
          <w:tcPr>
            <w:tcW w:w="936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F3017E">
        <w:trPr>
          <w:gridBefore w:val="1"/>
          <w:wBefore w:w="136" w:type="dxa"/>
        </w:trPr>
        <w:tc>
          <w:tcPr>
            <w:tcW w:w="936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rsidTr="00F3017E">
        <w:trPr>
          <w:gridBefore w:val="1"/>
          <w:wBefore w:w="136" w:type="dxa"/>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5E073A">
        <w:rPr>
          <w:color w:val="000000"/>
        </w:rPr>
        <w:t xml:space="preserve">     </w:t>
      </w:r>
      <w:r w:rsidR="00F3017E" w:rsidRPr="001D4944">
        <w:t>two</w:t>
      </w:r>
      <w:r w:rsidR="00D336C5">
        <w:rPr>
          <w:color w:val="00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3017E" w:rsidRDefault="00CA4CD6" w:rsidP="00F3017E">
      <w:pPr>
        <w:ind w:firstLine="720"/>
      </w:pPr>
      <w:r>
        <w:rPr>
          <w:color w:val="000000"/>
        </w:rPr>
        <w:t xml:space="preserve">A majority of the respondents are large entities (i.e., large businesses).  However, </w:t>
      </w:r>
      <w:r w:rsidR="005E073A">
        <w:rPr>
          <w:color w:val="000000"/>
        </w:rPr>
        <w:t xml:space="preserve">        </w:t>
      </w:r>
      <w:r>
        <w:rPr>
          <w:color w:val="000000"/>
        </w:rPr>
        <w:t>the impact on small entities (i.e., small businesses) was taken into consideration during the development of the regulation.</w:t>
      </w:r>
      <w:r w:rsidR="00155E40">
        <w:rPr>
          <w:color w:val="000000"/>
        </w:rPr>
        <w:t xml:space="preserve">  </w:t>
      </w:r>
      <w:r w:rsidR="00F3017E" w:rsidRPr="00882A7A">
        <w:t xml:space="preserve">According to the promulgated rule notice in the </w:t>
      </w:r>
      <w:r w:rsidR="00F3017E" w:rsidRPr="00882A7A">
        <w:rPr>
          <w:u w:val="single"/>
        </w:rPr>
        <w:t>Federal Register</w:t>
      </w:r>
      <w:r w:rsidR="00F3017E" w:rsidRPr="00882A7A">
        <w:t xml:space="preserve"> (47 </w:t>
      </w:r>
      <w:r w:rsidR="00F3017E" w:rsidRPr="00882A7A">
        <w:rPr>
          <w:u w:val="single"/>
        </w:rPr>
        <w:t>FR</w:t>
      </w:r>
      <w:r w:rsidR="00F3017E" w:rsidRPr="00882A7A">
        <w:t xml:space="preserve"> 47779) on October 27, 1982, industry growth is expected to be confined to major manufacturers; the acquisition trend is also expected to continue as small manufacturers, unable to compete with mass producers, become prime candidates for acquisition.</w:t>
      </w:r>
      <w:r w:rsidR="00F3017E">
        <w:t xml:space="preserve">  </w:t>
      </w:r>
      <w:r w:rsidR="00CA7120">
        <w:t xml:space="preserve">Based on this predicted trend, EPA assumes there is </w:t>
      </w:r>
      <w:r w:rsidR="00F3017E">
        <w:t xml:space="preserve">not likely that a significant number of small businesses </w:t>
      </w:r>
      <w:r w:rsidR="00CA7120">
        <w:t xml:space="preserve">who </w:t>
      </w:r>
      <w:r w:rsidR="00F3017E">
        <w:t>are currently subject to this regulation.</w:t>
      </w:r>
    </w:p>
    <w:p w:rsidR="00CA7120" w:rsidRPr="00882A7A" w:rsidRDefault="00CA7120" w:rsidP="00F3017E">
      <w:pPr>
        <w:ind w:firstLine="720"/>
      </w:pPr>
    </w:p>
    <w:p w:rsidR="000A1C6D"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E073A">
        <w:rPr>
          <w:color w:val="000000"/>
        </w:rPr>
        <w:t xml:space="preserve">in </w:t>
      </w:r>
      <w:r w:rsidR="001E767C" w:rsidRPr="00673EA2">
        <w:t>Table 1: Annual Respondent Burden and Cost – NSPS for Surface Coating of Large Appliances (40 CFR Part 60, Subpart SS)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1A49B6">
        <w:rPr>
          <w:color w:val="000000"/>
        </w:rPr>
        <w:t xml:space="preserve"> </w:t>
      </w:r>
      <w:r>
        <w:rPr>
          <w:color w:val="000000"/>
        </w:rPr>
        <w:t>included in this ICR.  The individual burdens are expressed under standardized headings believed to be consistent with the concept of burden under the Paperwork Reduction Act.  Where</w:t>
      </w:r>
      <w:r w:rsidR="00553403">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5E073A">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A7120">
        <w:rPr>
          <w:color w:val="000000"/>
        </w:rPr>
        <w:t xml:space="preserve">7,659 </w:t>
      </w:r>
      <w:r w:rsidR="005E073A">
        <w:rPr>
          <w:color w:val="000000"/>
        </w:rPr>
        <w:t xml:space="preserve">hours </w:t>
      </w:r>
      <w:r w:rsidR="004C701D">
        <w:rPr>
          <w:color w:val="000000"/>
        </w:rPr>
        <w:t>(</w:t>
      </w:r>
      <w:r>
        <w:rPr>
          <w:color w:val="000000"/>
        </w:rPr>
        <w:t>Total Labor Hours from Table 1</w:t>
      </w:r>
      <w:r w:rsidR="006C0939">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1A49B6">
        <w:rPr>
          <w:color w:val="000000"/>
        </w:rPr>
        <w:t xml:space="preserve"> NSPS</w:t>
      </w:r>
      <w:r>
        <w:rPr>
          <w:color w:val="000000"/>
        </w:rPr>
        <w:t xml:space="preserve"> program, </w:t>
      </w:r>
      <w:r w:rsidR="005E073A">
        <w:rPr>
          <w:color w:val="000000"/>
        </w:rPr>
        <w:t xml:space="preserve">    </w:t>
      </w:r>
      <w:r>
        <w:rPr>
          <w:color w:val="000000"/>
        </w:rPr>
        <w:t>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975404">
        <w:rPr>
          <w:color w:val="000000"/>
        </w:rPr>
        <w:t>121.44</w:t>
      </w:r>
      <w:r>
        <w:rPr>
          <w:color w:val="000000"/>
        </w:rPr>
        <w:t xml:space="preserve"> ($</w:t>
      </w:r>
      <w:r w:rsidR="00975404">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975404">
        <w:rPr>
          <w:color w:val="000000"/>
        </w:rPr>
        <w:t>100.23</w:t>
      </w:r>
      <w:r>
        <w:rPr>
          <w:color w:val="000000"/>
        </w:rPr>
        <w:t xml:space="preserve"> ($</w:t>
      </w:r>
      <w:r w:rsidR="00975404">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975404">
        <w:rPr>
          <w:color w:val="000000"/>
        </w:rPr>
        <w:t>50.51</w:t>
      </w:r>
      <w:r>
        <w:rPr>
          <w:color w:val="000000"/>
        </w:rPr>
        <w:t xml:space="preserve"> ($</w:t>
      </w:r>
      <w:r w:rsidR="00975404">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975404">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1A49B6" w:rsidRDefault="001A49B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6C0939">
        <w:rPr>
          <w:color w:val="000000"/>
        </w:rPr>
        <w:t>e capital/startup costs are one-</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7120">
      <w:pPr>
        <w:pBdr>
          <w:top w:val="single" w:sz="6" w:space="0" w:color="FFFFFF"/>
          <w:left w:val="single" w:sz="6" w:space="0" w:color="FFFFFF"/>
          <w:bottom w:val="single" w:sz="6" w:space="0" w:color="FFFFFF"/>
          <w:right w:val="single" w:sz="6" w:space="0" w:color="FFFFFF"/>
        </w:pBdr>
        <w:rPr>
          <w:color w:val="000000"/>
        </w:rPr>
      </w:pPr>
      <w:r w:rsidDel="00CA7120">
        <w:rPr>
          <w:color w:val="000000"/>
        </w:rPr>
        <w:t xml:space="preserve"> </w:t>
      </w:r>
    </w:p>
    <w:tbl>
      <w:tblPr>
        <w:tblW w:w="0" w:type="auto"/>
        <w:tblInd w:w="111" w:type="dxa"/>
        <w:tblLayout w:type="fixed"/>
        <w:tblCellMar>
          <w:left w:w="111" w:type="dxa"/>
          <w:right w:w="111" w:type="dxa"/>
        </w:tblCellMar>
        <w:tblLook w:val="0000"/>
      </w:tblPr>
      <w:tblGrid>
        <w:gridCol w:w="1260"/>
        <w:gridCol w:w="1440"/>
        <w:gridCol w:w="1260"/>
        <w:gridCol w:w="1440"/>
        <w:gridCol w:w="1350"/>
        <w:gridCol w:w="1260"/>
        <w:gridCol w:w="1350"/>
      </w:tblGrid>
      <w:tr w:rsidR="00A73600" w:rsidTr="009F40FA">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9F40FA">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D82930">
            <w:pPr>
              <w:spacing w:line="120" w:lineRule="exact"/>
              <w:jc w:val="center"/>
              <w:rPr>
                <w:color w:val="000000"/>
                <w:sz w:val="20"/>
                <w:szCs w:val="20"/>
              </w:rPr>
            </w:pP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D82930">
            <w:pPr>
              <w:spacing w:line="120" w:lineRule="exact"/>
              <w:jc w:val="center"/>
              <w:rPr>
                <w:color w:val="000000"/>
                <w:sz w:val="20"/>
                <w:szCs w:val="20"/>
              </w:rPr>
            </w:pP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D82930">
            <w:pPr>
              <w:spacing w:line="120" w:lineRule="exact"/>
              <w:jc w:val="center"/>
              <w:rPr>
                <w:color w:val="000000"/>
                <w:sz w:val="20"/>
                <w:szCs w:val="20"/>
              </w:rPr>
            </w:pP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D82930">
            <w:pPr>
              <w:spacing w:line="120" w:lineRule="exact"/>
              <w:jc w:val="center"/>
              <w:rPr>
                <w:color w:val="000000"/>
                <w:sz w:val="20"/>
                <w:szCs w:val="20"/>
              </w:rPr>
            </w:pP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D82930">
            <w:pPr>
              <w:spacing w:line="120" w:lineRule="exact"/>
              <w:jc w:val="center"/>
              <w:rPr>
                <w:color w:val="000000"/>
                <w:sz w:val="20"/>
                <w:szCs w:val="20"/>
              </w:rPr>
            </w:pP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r w:rsidR="00CA7120">
              <w:rPr>
                <w:bCs/>
                <w:vertAlign w:val="superscript"/>
              </w:rPr>
              <w:t>1</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D82930">
            <w:pPr>
              <w:spacing w:line="120" w:lineRule="exact"/>
              <w:jc w:val="center"/>
              <w:rPr>
                <w:color w:val="000000"/>
                <w:sz w:val="20"/>
                <w:szCs w:val="20"/>
              </w:rPr>
            </w:pP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D829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9F40FA">
        <w:tc>
          <w:tcPr>
            <w:tcW w:w="12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9F40F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Temperature</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rsidP="00D82930">
            <w:pPr>
              <w:spacing w:line="120" w:lineRule="exact"/>
              <w:jc w:val="center"/>
              <w:rPr>
                <w:color w:val="000000"/>
                <w:sz w:val="20"/>
                <w:szCs w:val="20"/>
              </w:rPr>
            </w:pPr>
          </w:p>
          <w:p w:rsidR="00CA4CD6" w:rsidRDefault="009F40FA"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8,000</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rsidP="00D82930">
            <w:pPr>
              <w:spacing w:line="120" w:lineRule="exact"/>
              <w:jc w:val="center"/>
              <w:rPr>
                <w:color w:val="000000"/>
                <w:sz w:val="20"/>
                <w:szCs w:val="20"/>
              </w:rPr>
            </w:pPr>
          </w:p>
          <w:p w:rsidR="00CA4CD6" w:rsidRDefault="00843C44"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rsidP="00D82930">
            <w:pPr>
              <w:spacing w:line="120" w:lineRule="exact"/>
              <w:jc w:val="center"/>
              <w:rPr>
                <w:color w:val="000000"/>
                <w:sz w:val="20"/>
                <w:szCs w:val="20"/>
              </w:rPr>
            </w:pPr>
          </w:p>
          <w:p w:rsidR="00CA4CD6" w:rsidRDefault="00843C44"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rsidP="00D82930">
            <w:pPr>
              <w:spacing w:line="120" w:lineRule="exact"/>
              <w:jc w:val="center"/>
              <w:rPr>
                <w:color w:val="000000"/>
                <w:sz w:val="20"/>
                <w:szCs w:val="20"/>
              </w:rPr>
            </w:pPr>
          </w:p>
          <w:p w:rsidR="00CA4CD6" w:rsidRDefault="00843C44"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$2,100</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rsidP="00D82930">
            <w:pPr>
              <w:spacing w:line="120" w:lineRule="exact"/>
              <w:jc w:val="center"/>
              <w:rPr>
                <w:color w:val="000000"/>
                <w:sz w:val="20"/>
                <w:szCs w:val="20"/>
              </w:rPr>
            </w:pPr>
          </w:p>
          <w:p w:rsidR="00CA4CD6" w:rsidRDefault="00843C44"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rsidP="00D82930">
            <w:pPr>
              <w:spacing w:line="120" w:lineRule="exact"/>
              <w:jc w:val="center"/>
              <w:rPr>
                <w:color w:val="000000"/>
                <w:sz w:val="20"/>
                <w:szCs w:val="20"/>
              </w:rPr>
            </w:pPr>
          </w:p>
          <w:p w:rsidR="00CA4CD6" w:rsidRDefault="00843C44" w:rsidP="00D829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$8,400</w:t>
            </w:r>
          </w:p>
        </w:tc>
      </w:tr>
    </w:tbl>
    <w:p w:rsidR="00CA7120" w:rsidRDefault="00CA4CD6" w:rsidP="00CA7120">
      <w:pPr>
        <w:ind w:firstLine="720"/>
        <w:rPr>
          <w:sz w:val="18"/>
        </w:rPr>
      </w:pPr>
      <w:r>
        <w:rPr>
          <w:color w:val="000000"/>
        </w:rPr>
        <w:t xml:space="preserve"> </w:t>
      </w:r>
      <w:r>
        <w:rPr>
          <w:color w:val="000000"/>
        </w:rPr>
        <w:tab/>
      </w:r>
      <w:r w:rsidR="00CA7120">
        <w:rPr>
          <w:vertAlign w:val="superscript"/>
        </w:rPr>
        <w:t>1</w:t>
      </w:r>
      <w:r w:rsidR="00CA7120">
        <w:t xml:space="preserve"> </w:t>
      </w:r>
      <w:r w:rsidR="00CA7120">
        <w:rPr>
          <w:sz w:val="20"/>
          <w:szCs w:val="20"/>
        </w:rPr>
        <w:t>Five percent of facilities use incineration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43C44">
        <w:rPr>
          <w:color w:val="000000"/>
        </w:rPr>
        <w:t xml:space="preserve">$0.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843C44">
        <w:rPr>
          <w:color w:val="000000"/>
        </w:rPr>
        <w:t xml:space="preserve">$8,400.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w:t>
      </w:r>
      <w:r w:rsidR="005E073A">
        <w:rPr>
          <w:color w:val="000000"/>
        </w:rPr>
        <w:t xml:space="preserve">both </w:t>
      </w:r>
      <w:r w:rsidR="00CA4CD6">
        <w:rPr>
          <w:color w:val="000000"/>
        </w:rPr>
        <w:t xml:space="preserve">capital/startup and operation and maintenance costs to industry over the next three years of the ICR is estimated to be </w:t>
      </w:r>
      <w:r w:rsidR="008B0BBF">
        <w:rPr>
          <w:color w:val="000000"/>
        </w:rPr>
        <w:t>$</w:t>
      </w:r>
      <w:r w:rsidR="00CA7120">
        <w:rPr>
          <w:color w:val="000000"/>
        </w:rPr>
        <w:t>8,400</w:t>
      </w:r>
      <w:r w:rsidR="00CA4CD6">
        <w:rPr>
          <w:color w:val="000000"/>
        </w:rPr>
        <w:t xml:space="preserve">. </w:t>
      </w:r>
      <w:r w:rsidR="001C5991">
        <w:rPr>
          <w:color w:val="000000"/>
        </w:rPr>
        <w:t xml:space="preserve">  These are recordkeeping costs</w:t>
      </w:r>
      <w:r w:rsidR="00843C4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8B0BBF">
        <w:rPr>
          <w:color w:val="000000"/>
        </w:rPr>
        <w:t>the examination</w:t>
      </w:r>
      <w:r>
        <w:rPr>
          <w:color w:val="000000"/>
        </w:rPr>
        <w:t xml:space="preserve"> of records maintained by the respondents</w:t>
      </w:r>
      <w:r w:rsidR="008B0BBF">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13A6B">
        <w:rPr>
          <w:color w:val="000000"/>
        </w:rPr>
        <w:t>29,85</w:t>
      </w:r>
      <w:r w:rsidR="005B045D">
        <w:rPr>
          <w:color w:val="000000"/>
        </w:rPr>
        <w:t>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CA7120">
        <w:rPr>
          <w:color w:val="000000"/>
        </w:rPr>
        <w:t xml:space="preserve">2012 </w:t>
      </w:r>
      <w:r>
        <w:rPr>
          <w:color w:val="000000"/>
        </w:rPr>
        <w:t>General Schedule</w:t>
      </w:r>
      <w:r w:rsidR="007A458D">
        <w:rPr>
          <w:color w:val="000000"/>
        </w:rPr>
        <w:t>,</w:t>
      </w:r>
      <w:r>
        <w:rPr>
          <w:color w:val="000000"/>
        </w:rPr>
        <w:t xml:space="preserve"> which excludes locality</w:t>
      </w:r>
      <w:r w:rsidR="006C0939">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3596E" w:rsidRPr="00BF173E">
        <w:t>Table 2: Average Annual EPA Burden and Cost – NSPS for Surface Coating of Large Appliances (40 CFR Part 60, Subpart SS) (Renewal)</w:t>
      </w:r>
      <w:r w:rsidR="0053596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13A6B">
        <w:rPr>
          <w:color w:val="000000"/>
        </w:rPr>
        <w:t>72</w:t>
      </w:r>
      <w:r>
        <w:rPr>
          <w:color w:val="000000"/>
        </w:rPr>
        <w:t xml:space="preserve"> existing respondents will be subject to the standard.  It is estimated that </w:t>
      </w:r>
      <w:r w:rsidR="00413A6B">
        <w:rPr>
          <w:color w:val="000000"/>
        </w:rPr>
        <w:t xml:space="preserve">no </w:t>
      </w:r>
      <w:r w:rsidR="00B16903">
        <w:rPr>
          <w:color w:val="000000"/>
        </w:rPr>
        <w:t>additional</w:t>
      </w:r>
      <w:r>
        <w:rPr>
          <w:color w:val="000000"/>
        </w:rPr>
        <w:t xml:space="preserve"> respondents per year will become subject.  The overall average number of responden</w:t>
      </w:r>
      <w:r w:rsidR="009A6B51">
        <w:rPr>
          <w:color w:val="000000"/>
        </w:rPr>
        <w:t xml:space="preserve">ts, as shown in the table below </w:t>
      </w:r>
      <w:r>
        <w:rPr>
          <w:color w:val="000000"/>
        </w:rPr>
        <w:t>is</w:t>
      </w:r>
      <w:r w:rsidR="00413A6B">
        <w:rPr>
          <w:color w:val="000000"/>
        </w:rPr>
        <w:t xml:space="preserve"> 72</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B16903">
            <w:pPr>
              <w:keepNext/>
              <w:keepLines/>
              <w:spacing w:line="120" w:lineRule="exact"/>
              <w:rPr>
                <w:color w:val="00000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B16903">
            <w:pPr>
              <w:keepNext/>
              <w:keepLines/>
              <w:spacing w:line="120" w:lineRule="exact"/>
              <w:rPr>
                <w:b/>
                <w:bCs/>
                <w:color w:val="00000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B16903">
            <w:pPr>
              <w:keepNext/>
              <w:keepLines/>
              <w:spacing w:line="120" w:lineRule="exact"/>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B16903">
            <w:pPr>
              <w:keepNext/>
              <w:keepLines/>
              <w:spacing w:line="120" w:lineRule="exact"/>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B16903">
            <w:pPr>
              <w:keepNext/>
              <w:keepLines/>
              <w:spacing w:line="120" w:lineRule="exact"/>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rsidP="00B16903">
            <w:pPr>
              <w:keepNext/>
              <w:keepLines/>
              <w:spacing w:line="120" w:lineRule="exact"/>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rsidP="00B16903">
            <w:pPr>
              <w:keepNext/>
              <w:keepLines/>
              <w:spacing w:line="120" w:lineRule="exact"/>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16903">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B16903">
            <w:pPr>
              <w:keepNext/>
              <w:keepLines/>
              <w:spacing w:line="120" w:lineRule="exact"/>
              <w:rPr>
                <w:color w:val="000000"/>
                <w:sz w:val="20"/>
                <w:szCs w:val="20"/>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72</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72</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CA4CD6"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72</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B16903">
            <w:pPr>
              <w:keepNext/>
              <w:keepLines/>
              <w:spacing w:line="120" w:lineRule="exact"/>
              <w:rPr>
                <w:color w:val="000000"/>
                <w:sz w:val="18"/>
                <w:szCs w:val="18"/>
              </w:rPr>
            </w:pPr>
          </w:p>
          <w:p w:rsidR="00CA4CD6"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B16903">
            <w:pPr>
              <w:keepNext/>
              <w:keepLines/>
              <w:spacing w:line="120" w:lineRule="exact"/>
              <w:rPr>
                <w:color w:val="000000"/>
                <w:sz w:val="18"/>
                <w:szCs w:val="18"/>
              </w:rPr>
            </w:pPr>
          </w:p>
          <w:p w:rsidR="00CA4CD6" w:rsidRPr="001F0F1C" w:rsidRDefault="001F0F1C" w:rsidP="00B16903">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72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0A1C6D"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1F0F1C">
        <w:rPr>
          <w:color w:val="000000"/>
        </w:rPr>
        <w:t xml:space="preserve"> 72</w:t>
      </w:r>
      <w:r w:rsidR="00507EC5">
        <w:rPr>
          <w:color w:val="000000"/>
        </w:rPr>
        <w:t xml:space="preserve">. </w:t>
      </w:r>
    </w:p>
    <w:p w:rsidR="000A1C6D" w:rsidRDefault="000A1C6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1F0F1C">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F0F1C" w:rsidTr="001F0F1C">
        <w:tc>
          <w:tcPr>
            <w:tcW w:w="2700" w:type="dxa"/>
          </w:tcPr>
          <w:p w:rsidR="001F0F1C" w:rsidDel="001F0F1C" w:rsidRDefault="001F0F1C" w:rsidP="001F0F1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construction/ reconstruction</w:t>
            </w:r>
          </w:p>
        </w:tc>
        <w:tc>
          <w:tcPr>
            <w:tcW w:w="126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1F0F1C" w:rsidTr="001F0F1C">
        <w:tc>
          <w:tcPr>
            <w:tcW w:w="270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performance test</w:t>
            </w:r>
          </w:p>
        </w:tc>
        <w:tc>
          <w:tcPr>
            <w:tcW w:w="1260" w:type="dxa"/>
            <w:vAlign w:val="center"/>
          </w:tcPr>
          <w:p w:rsidR="001F0F1C" w:rsidRDefault="001F0F1C" w:rsidP="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89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1F0F1C" w:rsidTr="001F0F1C">
        <w:tc>
          <w:tcPr>
            <w:tcW w:w="270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actual startup</w:t>
            </w:r>
          </w:p>
        </w:tc>
        <w:tc>
          <w:tcPr>
            <w:tcW w:w="1260" w:type="dxa"/>
            <w:vAlign w:val="center"/>
          </w:tcPr>
          <w:p w:rsidR="001F0F1C" w:rsidRDefault="001F0F1C" w:rsidP="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1F0F1C" w:rsidTr="001F0F1C">
        <w:tc>
          <w:tcPr>
            <w:tcW w:w="2700" w:type="dxa"/>
            <w:vAlign w:val="center"/>
          </w:tcPr>
          <w:p w:rsidR="000A1C6D" w:rsidRDefault="001F0F1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Report of performance test</w:t>
            </w:r>
          </w:p>
        </w:tc>
        <w:tc>
          <w:tcPr>
            <w:tcW w:w="1260" w:type="dxa"/>
            <w:vAlign w:val="center"/>
          </w:tcPr>
          <w:p w:rsidR="001F0F1C" w:rsidRDefault="001F0F1C" w:rsidP="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89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1F0F1C" w:rsidTr="001F0F1C">
        <w:tc>
          <w:tcPr>
            <w:tcW w:w="2700" w:type="dxa"/>
          </w:tcPr>
          <w:p w:rsidR="000A1C6D" w:rsidRDefault="001F0F1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Semiannual report</w:t>
            </w:r>
          </w:p>
        </w:tc>
        <w:tc>
          <w:tcPr>
            <w:tcW w:w="1260" w:type="dxa"/>
            <w:vAlign w:val="center"/>
          </w:tcPr>
          <w:p w:rsidR="001F0F1C" w:rsidRDefault="001F0F1C" w:rsidP="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72</w:t>
            </w:r>
          </w:p>
        </w:tc>
        <w:tc>
          <w:tcPr>
            <w:tcW w:w="126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040C77" w:rsidRDefault="00CA712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r>
      <w:tr w:rsidR="001F0F1C" w:rsidTr="001F0F1C">
        <w:tc>
          <w:tcPr>
            <w:tcW w:w="2700" w:type="dxa"/>
          </w:tcPr>
          <w:p w:rsidR="000A1C6D" w:rsidRDefault="001F0F1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Temperature variance report</w:t>
            </w:r>
          </w:p>
        </w:tc>
        <w:tc>
          <w:tcPr>
            <w:tcW w:w="1260" w:type="dxa"/>
            <w:vAlign w:val="center"/>
          </w:tcPr>
          <w:p w:rsidR="001F0F1C" w:rsidRDefault="001F0F1C" w:rsidP="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72</w:t>
            </w:r>
          </w:p>
        </w:tc>
        <w:tc>
          <w:tcPr>
            <w:tcW w:w="126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040C77" w:rsidRDefault="001F0F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040C77" w:rsidRDefault="00CA712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Pr="001F0F1C" w:rsidRDefault="00CA712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288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712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1F0F1C">
        <w:rPr>
          <w:color w:val="000000"/>
        </w:rPr>
        <w:t xml:space="preserve"> </w:t>
      </w:r>
      <w:r w:rsidR="00CA7120">
        <w:rPr>
          <w:color w:val="000000"/>
        </w:rPr>
        <w:t>288</w:t>
      </w:r>
      <w:r w:rsidR="001F0F1C">
        <w:rPr>
          <w:color w:val="000000"/>
        </w:rPr>
        <w:t>.</w:t>
      </w:r>
      <w:r>
        <w:rPr>
          <w:color w:val="FF0000"/>
        </w:rPr>
        <w:t xml:space="preserve"> </w:t>
      </w:r>
    </w:p>
    <w:p w:rsidR="000A1C6D" w:rsidRDefault="000A1C6D">
      <w:pPr>
        <w:pBdr>
          <w:top w:val="single" w:sz="6" w:space="0" w:color="FFFFFF"/>
          <w:left w:val="single" w:sz="6" w:space="0" w:color="FFFFFF"/>
          <w:bottom w:val="single" w:sz="6" w:space="0" w:color="FFFFFF"/>
          <w:right w:val="single" w:sz="6" w:space="0" w:color="FFFFFF"/>
        </w:pBdr>
        <w:ind w:firstLine="720"/>
        <w:rPr>
          <w:color w:val="000000"/>
        </w:rPr>
      </w:pPr>
    </w:p>
    <w:p w:rsidR="00CA4CD6" w:rsidRPr="00D72871" w:rsidRDefault="00CA4CD6" w:rsidP="00D728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D6C02">
        <w:rPr>
          <w:color w:val="000000"/>
        </w:rPr>
        <w:t>$741,611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53596E" w:rsidRPr="00BF173E">
        <w:t>Table 1: Annual Respondent Burden and Cost – NSPS for Surface Coating of Large Appliances (40 CFR Part 60, Subpart SS)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D6C02">
        <w:rPr>
          <w:color w:val="000000"/>
        </w:rPr>
        <w:t>7,659</w:t>
      </w:r>
      <w:r w:rsidR="00D72871">
        <w:rPr>
          <w:color w:val="000000"/>
        </w:rPr>
        <w:t xml:space="preserve"> at a cost of $741,611</w:t>
      </w:r>
      <w:r>
        <w:rPr>
          <w:color w:val="000000"/>
        </w:rPr>
        <w:t>.</w:t>
      </w:r>
      <w:r w:rsidR="00507EC5">
        <w:rPr>
          <w:color w:val="000000"/>
        </w:rPr>
        <w:t xml:space="preserve">  </w:t>
      </w:r>
      <w:r>
        <w:rPr>
          <w:color w:val="000000"/>
        </w:rPr>
        <w:t xml:space="preserve">Details regarding these estimates may be found </w:t>
      </w:r>
      <w:r w:rsidR="00D72871">
        <w:rPr>
          <w:color w:val="000000"/>
        </w:rPr>
        <w:t xml:space="preserve">below </w:t>
      </w:r>
      <w:r>
        <w:rPr>
          <w:color w:val="000000"/>
        </w:rPr>
        <w:t xml:space="preserve">in </w:t>
      </w:r>
      <w:r w:rsidR="0053596E" w:rsidRPr="00BF173E">
        <w:t>Table 1: Annual Respondent Burden and Cost – NSPS for Surface Coating of Large Appliances (40 CFR Part 60, Subpart SS)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A7120">
        <w:rPr>
          <w:color w:val="000000"/>
        </w:rPr>
        <w:t>27</w:t>
      </w:r>
      <w:r w:rsidR="00413A6B">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D31E4">
        <w:rPr>
          <w:color w:val="000000"/>
        </w:rPr>
        <w:t>$8,400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w:t>
      </w:r>
      <w:r w:rsidR="002234CB">
        <w:rPr>
          <w:color w:val="000000"/>
        </w:rPr>
        <w:t>be 662</w:t>
      </w:r>
      <w:r>
        <w:rPr>
          <w:color w:val="000000"/>
        </w:rPr>
        <w:t xml:space="preserve"> labor hours at a cost of</w:t>
      </w:r>
      <w:r w:rsidR="002234CB">
        <w:rPr>
          <w:color w:val="000000"/>
        </w:rPr>
        <w:t xml:space="preserve"> $29,851</w:t>
      </w:r>
      <w:r w:rsidR="00144F35">
        <w:rPr>
          <w:color w:val="000000"/>
        </w:rPr>
        <w:t xml:space="preserve">.  See </w:t>
      </w:r>
      <w:r w:rsidR="006D41A3">
        <w:rPr>
          <w:color w:val="000000"/>
        </w:rPr>
        <w:t xml:space="preserve">below </w:t>
      </w:r>
      <w:r w:rsidR="0053596E" w:rsidRPr="00BF173E">
        <w:t>Table 2: Average Annual EPA Burden and Cost – NSPS for Surface Coating of Large Appliances (40 CFR Part 60, Subpart SS) (</w:t>
      </w:r>
      <w:r w:rsidR="0053596E" w:rsidRPr="0053596E">
        <w:t>Renewal)</w:t>
      </w:r>
      <w:r w:rsidR="000E6C95" w:rsidRPr="000E6C95">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DB7F3E" w:rsidRPr="00516952" w:rsidRDefault="00DB7F3E" w:rsidP="00DB7F3E">
      <w:pPr>
        <w:pBdr>
          <w:top w:val="single" w:sz="6" w:space="0" w:color="FFFFFF"/>
          <w:left w:val="single" w:sz="6" w:space="0" w:color="FFFFFF"/>
          <w:bottom w:val="single" w:sz="6" w:space="0" w:color="FFFFFF"/>
          <w:right w:val="single" w:sz="6" w:space="0" w:color="FFFFFF"/>
        </w:pBdr>
        <w:rPr>
          <w:color w:val="FF0000"/>
        </w:rPr>
      </w:pPr>
    </w:p>
    <w:p w:rsidR="00DB7F3E" w:rsidRDefault="00DB7F3E" w:rsidP="00DB7F3E">
      <w:pPr>
        <w:pBdr>
          <w:top w:val="single" w:sz="6" w:space="0" w:color="FFFFFF"/>
          <w:left w:val="single" w:sz="6" w:space="0" w:color="FFFFFF"/>
          <w:bottom w:val="single" w:sz="6" w:space="0" w:color="FFFFFF"/>
          <w:right w:val="single" w:sz="6" w:space="0" w:color="FFFFFF"/>
        </w:pBdr>
        <w:ind w:firstLine="720"/>
      </w:pPr>
      <w:r w:rsidRPr="008758CD">
        <w:t>There is no change in the labor hours in this ICR compared to the previous ICR.  This is due to two considerations</w:t>
      </w:r>
      <w:r w:rsidR="005B045D">
        <w:t xml:space="preserve">: 1) </w:t>
      </w:r>
      <w:r w:rsidRPr="008758CD">
        <w:t>the regulations have not changed over the past three years and are not anticipated to change over the next three years</w:t>
      </w:r>
      <w:r w:rsidR="005B045D">
        <w:t xml:space="preserve">; and 2) </w:t>
      </w:r>
      <w:r w:rsidRPr="008758CD">
        <w:t xml:space="preserve">the growth rate for the industry is very low, negative or non-existent, so there is no significant change in the overall burden. </w:t>
      </w:r>
    </w:p>
    <w:p w:rsidR="00CA7120" w:rsidRDefault="00CA7120" w:rsidP="00DB7F3E">
      <w:pPr>
        <w:pBdr>
          <w:top w:val="single" w:sz="6" w:space="0" w:color="FFFFFF"/>
          <w:left w:val="single" w:sz="6" w:space="0" w:color="FFFFFF"/>
          <w:bottom w:val="single" w:sz="6" w:space="0" w:color="FFFFFF"/>
          <w:right w:val="single" w:sz="6" w:space="0" w:color="FFFFFF"/>
        </w:pBdr>
        <w:ind w:firstLine="720"/>
      </w:pPr>
    </w:p>
    <w:p w:rsidR="00CA7120" w:rsidRDefault="00CA7120" w:rsidP="00DB7F3E">
      <w:pPr>
        <w:pBdr>
          <w:top w:val="single" w:sz="6" w:space="0" w:color="FFFFFF"/>
          <w:left w:val="single" w:sz="6" w:space="0" w:color="FFFFFF"/>
          <w:bottom w:val="single" w:sz="6" w:space="0" w:color="FFFFFF"/>
          <w:right w:val="single" w:sz="6" w:space="0" w:color="FFFFFF"/>
        </w:pBdr>
        <w:ind w:firstLine="720"/>
      </w:pPr>
      <w:r>
        <w:t xml:space="preserve">However, there is an adjustment increase in burden costs for both the respondents and the Agency.  The cost increase </w:t>
      </w:r>
      <w:r>
        <w:rPr>
          <w:color w:val="000000"/>
        </w:rPr>
        <w:t xml:space="preserve">is due to an adjustment in labor rates.  </w:t>
      </w:r>
      <w:r w:rsidRPr="00933B74">
        <w:t>This ICR uses updated labor rates from the Bureau of Labor Statistics to calculate burden costs.</w:t>
      </w:r>
    </w:p>
    <w:p w:rsidR="00F34BE3" w:rsidRDefault="00F34BE3" w:rsidP="00DB7F3E">
      <w:pPr>
        <w:pBdr>
          <w:top w:val="single" w:sz="6" w:space="0" w:color="FFFFFF"/>
          <w:left w:val="single" w:sz="6" w:space="0" w:color="FFFFFF"/>
          <w:bottom w:val="single" w:sz="6" w:space="0" w:color="FFFFFF"/>
          <w:right w:val="single" w:sz="6" w:space="0" w:color="FFFFFF"/>
        </w:pBdr>
        <w:ind w:firstLine="720"/>
      </w:pPr>
    </w:p>
    <w:p w:rsidR="00F34BE3" w:rsidRDefault="00F34BE3" w:rsidP="00DB7F3E">
      <w:pPr>
        <w:pBdr>
          <w:top w:val="single" w:sz="6" w:space="0" w:color="FFFFFF"/>
          <w:left w:val="single" w:sz="6" w:space="0" w:color="FFFFFF"/>
          <w:bottom w:val="single" w:sz="6" w:space="0" w:color="FFFFFF"/>
          <w:right w:val="single" w:sz="6" w:space="0" w:color="FFFFFF"/>
        </w:pBdr>
        <w:ind w:firstLine="720"/>
      </w:pPr>
      <w:r>
        <w:t xml:space="preserve">Additionally, there is an increase in the total number of annual responses due to a mathematical correction in the previous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2F6521">
        <w:rPr>
          <w:color w:val="000000"/>
        </w:rPr>
        <w:t xml:space="preserve"> </w:t>
      </w:r>
      <w:r w:rsidR="00F34BE3">
        <w:rPr>
          <w:color w:val="000000"/>
        </w:rPr>
        <w:t>27</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w:t>
      </w:r>
      <w:r>
        <w:rPr>
          <w:color w:val="000000"/>
        </w:rPr>
        <w:lastRenderedPageBreak/>
        <w:t>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C130B7" w:rsidRDefault="00FB0650" w:rsidP="00C130B7">
      <w:pPr>
        <w:rPr>
          <w:color w:val="FF0000"/>
        </w:rPr>
      </w:pPr>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C130B7">
        <w:t xml:space="preserve">Number </w:t>
      </w:r>
      <w:r w:rsidR="000E6C95" w:rsidRPr="000E6C95">
        <w:t>EPA–HQ–OECA–2012–0531.</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5B045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C130B7" w:rsidRPr="00C130B7">
        <w:t>EPA–HQ–OECA–2012–0531</w:t>
      </w:r>
      <w:r w:rsidR="00CA4CD6">
        <w:t xml:space="preserve"> and OMB Control Number</w:t>
      </w:r>
      <w:r w:rsidR="00C130B7">
        <w:t xml:space="preserve"> 2060-0108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0D52D3" w:rsidRDefault="0053596E" w:rsidP="009800A6">
      <w:pPr>
        <w:jc w:val="center"/>
        <w:rPr>
          <w:b/>
          <w:bCs/>
          <w:color w:val="000000"/>
        </w:rPr>
      </w:pPr>
      <w:r w:rsidRPr="0053596E">
        <w:rPr>
          <w:b/>
          <w:bCs/>
          <w:color w:val="000000"/>
        </w:rPr>
        <w:lastRenderedPageBreak/>
        <w:t>Table 1: Annual Respondent Burden and Cost – NSPS for Surface Coating of Large Applianc</w:t>
      </w:r>
      <w:r w:rsidR="000D52D3">
        <w:rPr>
          <w:b/>
          <w:bCs/>
          <w:color w:val="000000"/>
        </w:rPr>
        <w:t>es (40 CFR Part 60, Subpart SS)</w:t>
      </w:r>
    </w:p>
    <w:p w:rsidR="0053596E" w:rsidRDefault="0053596E" w:rsidP="000D52D3">
      <w:pPr>
        <w:rPr>
          <w:b/>
          <w:bCs/>
          <w:color w:val="000000"/>
        </w:rPr>
      </w:pPr>
      <w:r w:rsidRPr="0053596E">
        <w:rPr>
          <w:b/>
          <w:bCs/>
          <w:color w:val="000000"/>
        </w:rPr>
        <w:t>(Renewal)</w:t>
      </w:r>
    </w:p>
    <w:p w:rsidR="00144F35" w:rsidRDefault="00144F35" w:rsidP="009800A6">
      <w:pPr>
        <w:jc w:val="center"/>
        <w:rPr>
          <w:b/>
          <w:bCs/>
          <w:color w:val="000000"/>
        </w:rPr>
      </w:pPr>
    </w:p>
    <w:tbl>
      <w:tblPr>
        <w:tblW w:w="13090" w:type="dxa"/>
        <w:jc w:val="center"/>
        <w:tblInd w:w="-494" w:type="dxa"/>
        <w:tblLook w:val="04A0"/>
      </w:tblPr>
      <w:tblGrid>
        <w:gridCol w:w="377"/>
        <w:gridCol w:w="366"/>
        <w:gridCol w:w="266"/>
        <w:gridCol w:w="3155"/>
        <w:gridCol w:w="1138"/>
        <w:gridCol w:w="1216"/>
        <w:gridCol w:w="1122"/>
        <w:gridCol w:w="1239"/>
        <w:gridCol w:w="1005"/>
        <w:gridCol w:w="1129"/>
        <w:gridCol w:w="850"/>
        <w:gridCol w:w="1227"/>
      </w:tblGrid>
      <w:tr w:rsidR="007A134E" w:rsidRPr="009D24F1" w:rsidTr="007A134E">
        <w:trPr>
          <w:trHeight w:val="1020"/>
          <w:tblHeader/>
          <w:jc w:val="center"/>
        </w:trPr>
        <w:tc>
          <w:tcPr>
            <w:tcW w:w="42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D24F1" w:rsidRPr="009D24F1" w:rsidRDefault="00173DE5" w:rsidP="009D24F1">
            <w:pPr>
              <w:widowControl/>
              <w:autoSpaceDE/>
              <w:autoSpaceDN/>
              <w:adjustRightInd/>
              <w:jc w:val="center"/>
              <w:rPr>
                <w:color w:val="000000"/>
                <w:sz w:val="20"/>
                <w:szCs w:val="20"/>
              </w:rPr>
            </w:pPr>
            <w:r>
              <w:rPr>
                <w:color w:val="000000"/>
                <w:sz w:val="20"/>
                <w:szCs w:val="20"/>
              </w:rPr>
              <w:t>Burden Items</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7A134E" w:rsidRDefault="007A134E" w:rsidP="007A134E">
            <w:pPr>
              <w:widowControl/>
              <w:autoSpaceDE/>
              <w:autoSpaceDN/>
              <w:adjustRightInd/>
              <w:jc w:val="center"/>
              <w:rPr>
                <w:color w:val="000000"/>
                <w:sz w:val="20"/>
                <w:szCs w:val="20"/>
              </w:rPr>
            </w:pPr>
            <w:r>
              <w:rPr>
                <w:color w:val="000000"/>
                <w:sz w:val="20"/>
                <w:szCs w:val="20"/>
              </w:rPr>
              <w:t>(A)</w:t>
            </w:r>
          </w:p>
          <w:p w:rsidR="009D24F1" w:rsidRPr="009D24F1" w:rsidRDefault="007A134E" w:rsidP="007A134E">
            <w:pPr>
              <w:widowControl/>
              <w:autoSpaceDE/>
              <w:autoSpaceDN/>
              <w:adjustRightInd/>
              <w:jc w:val="center"/>
              <w:rPr>
                <w:color w:val="000000"/>
                <w:sz w:val="20"/>
                <w:szCs w:val="20"/>
              </w:rPr>
            </w:pPr>
            <w:r>
              <w:rPr>
                <w:color w:val="000000"/>
                <w:sz w:val="20"/>
                <w:szCs w:val="20"/>
              </w:rPr>
              <w:t>Person hours per</w:t>
            </w:r>
            <w:r w:rsidR="009D24F1" w:rsidRPr="009D24F1">
              <w:rPr>
                <w:color w:val="000000"/>
                <w:sz w:val="20"/>
                <w:szCs w:val="20"/>
              </w:rPr>
              <w:t xml:space="preserve"> Occurrence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B16903" w:rsidRDefault="007A134E" w:rsidP="009D24F1">
            <w:pPr>
              <w:widowControl/>
              <w:autoSpaceDE/>
              <w:autoSpaceDN/>
              <w:adjustRightInd/>
              <w:jc w:val="center"/>
              <w:rPr>
                <w:color w:val="000000"/>
                <w:sz w:val="20"/>
                <w:szCs w:val="20"/>
              </w:rPr>
            </w:pPr>
            <w:r>
              <w:rPr>
                <w:color w:val="000000"/>
                <w:sz w:val="20"/>
                <w:szCs w:val="20"/>
              </w:rPr>
              <w:t xml:space="preserve">(B) </w:t>
            </w:r>
            <w:r w:rsidR="009D24F1" w:rsidRPr="009D24F1">
              <w:rPr>
                <w:color w:val="000000"/>
                <w:sz w:val="20"/>
                <w:szCs w:val="20"/>
              </w:rPr>
              <w:t xml:space="preserve">Occurrences  </w:t>
            </w:r>
            <w:r>
              <w:rPr>
                <w:color w:val="000000"/>
                <w:sz w:val="20"/>
                <w:szCs w:val="20"/>
              </w:rPr>
              <w:t>per respondent per year</w:t>
            </w:r>
          </w:p>
          <w:p w:rsidR="009D24F1" w:rsidRPr="009D24F1" w:rsidRDefault="009D24F1" w:rsidP="009D24F1">
            <w:pPr>
              <w:widowControl/>
              <w:autoSpaceDE/>
              <w:autoSpaceDN/>
              <w:adjustRightInd/>
              <w:jc w:val="center"/>
              <w:rPr>
                <w:color w:val="000000"/>
                <w:sz w:val="20"/>
                <w:szCs w:val="20"/>
              </w:rPr>
            </w:pP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7A134E" w:rsidRDefault="007A134E" w:rsidP="009D24F1">
            <w:pPr>
              <w:widowControl/>
              <w:autoSpaceDE/>
              <w:autoSpaceDN/>
              <w:adjustRightInd/>
              <w:jc w:val="center"/>
              <w:rPr>
                <w:color w:val="000000"/>
                <w:sz w:val="20"/>
                <w:szCs w:val="20"/>
              </w:rPr>
            </w:pPr>
            <w:r>
              <w:rPr>
                <w:color w:val="000000"/>
                <w:sz w:val="20"/>
                <w:szCs w:val="20"/>
              </w:rPr>
              <w:t>(C)</w:t>
            </w:r>
          </w:p>
          <w:p w:rsidR="007A134E" w:rsidRDefault="007A134E" w:rsidP="009D24F1">
            <w:pPr>
              <w:widowControl/>
              <w:autoSpaceDE/>
              <w:autoSpaceDN/>
              <w:adjustRightInd/>
              <w:jc w:val="center"/>
              <w:rPr>
                <w:color w:val="000000"/>
                <w:sz w:val="20"/>
                <w:szCs w:val="20"/>
              </w:rPr>
            </w:pPr>
            <w:r>
              <w:rPr>
                <w:color w:val="000000"/>
                <w:sz w:val="20"/>
                <w:szCs w:val="20"/>
              </w:rPr>
              <w:t>Person</w:t>
            </w:r>
          </w:p>
          <w:p w:rsidR="007A134E" w:rsidRDefault="009D24F1" w:rsidP="009D24F1">
            <w:pPr>
              <w:widowControl/>
              <w:autoSpaceDE/>
              <w:autoSpaceDN/>
              <w:adjustRightInd/>
              <w:jc w:val="center"/>
              <w:rPr>
                <w:color w:val="000000"/>
                <w:sz w:val="20"/>
                <w:szCs w:val="20"/>
              </w:rPr>
            </w:pPr>
            <w:r w:rsidRPr="009D24F1">
              <w:rPr>
                <w:color w:val="000000"/>
                <w:sz w:val="20"/>
                <w:szCs w:val="20"/>
              </w:rPr>
              <w:t>H</w:t>
            </w:r>
            <w:r w:rsidR="007A134E">
              <w:rPr>
                <w:color w:val="000000"/>
                <w:sz w:val="20"/>
                <w:szCs w:val="20"/>
              </w:rPr>
              <w:t>ours per</w:t>
            </w:r>
          </w:p>
          <w:p w:rsidR="007A134E" w:rsidRDefault="007A134E" w:rsidP="009D24F1">
            <w:pPr>
              <w:widowControl/>
              <w:autoSpaceDE/>
              <w:autoSpaceDN/>
              <w:adjustRightInd/>
              <w:jc w:val="center"/>
              <w:rPr>
                <w:color w:val="000000"/>
                <w:sz w:val="20"/>
                <w:szCs w:val="20"/>
              </w:rPr>
            </w:pPr>
            <w:r>
              <w:rPr>
                <w:color w:val="000000"/>
                <w:sz w:val="20"/>
                <w:szCs w:val="20"/>
              </w:rPr>
              <w:t>respondent</w:t>
            </w:r>
          </w:p>
          <w:p w:rsidR="009D24F1" w:rsidRPr="009D24F1" w:rsidRDefault="007A134E" w:rsidP="007A134E">
            <w:pPr>
              <w:widowControl/>
              <w:autoSpaceDE/>
              <w:autoSpaceDN/>
              <w:adjustRightInd/>
              <w:jc w:val="center"/>
              <w:rPr>
                <w:color w:val="000000"/>
                <w:sz w:val="20"/>
                <w:szCs w:val="20"/>
              </w:rPr>
            </w:pPr>
            <w:r>
              <w:rPr>
                <w:color w:val="000000"/>
                <w:sz w:val="20"/>
                <w:szCs w:val="20"/>
              </w:rPr>
              <w:t>per y</w:t>
            </w:r>
            <w:r w:rsidR="009D24F1" w:rsidRPr="009D24F1">
              <w:rPr>
                <w:color w:val="000000"/>
                <w:sz w:val="20"/>
                <w:szCs w:val="20"/>
              </w:rPr>
              <w:t>ear   (C=AxB)</w:t>
            </w:r>
          </w:p>
        </w:tc>
        <w:tc>
          <w:tcPr>
            <w:tcW w:w="1239" w:type="dxa"/>
            <w:tcBorders>
              <w:top w:val="single" w:sz="4" w:space="0" w:color="auto"/>
              <w:left w:val="nil"/>
              <w:bottom w:val="single" w:sz="4" w:space="0" w:color="auto"/>
              <w:right w:val="nil"/>
            </w:tcBorders>
            <w:shd w:val="clear" w:color="auto" w:fill="auto"/>
            <w:vAlign w:val="center"/>
            <w:hideMark/>
          </w:tcPr>
          <w:p w:rsidR="00B16903" w:rsidRDefault="007A134E" w:rsidP="009D24F1">
            <w:pPr>
              <w:widowControl/>
              <w:autoSpaceDE/>
              <w:autoSpaceDN/>
              <w:adjustRightInd/>
              <w:jc w:val="center"/>
              <w:rPr>
                <w:color w:val="000000"/>
                <w:sz w:val="20"/>
                <w:szCs w:val="20"/>
              </w:rPr>
            </w:pPr>
            <w:r>
              <w:rPr>
                <w:color w:val="000000"/>
                <w:sz w:val="20"/>
                <w:szCs w:val="20"/>
              </w:rPr>
              <w:t xml:space="preserve">(D) </w:t>
            </w:r>
            <w:r w:rsidR="009D24F1" w:rsidRPr="009D24F1">
              <w:rPr>
                <w:color w:val="000000"/>
                <w:sz w:val="20"/>
                <w:szCs w:val="20"/>
              </w:rPr>
              <w:t xml:space="preserve">Respondents </w:t>
            </w:r>
            <w:r>
              <w:rPr>
                <w:color w:val="000000"/>
                <w:sz w:val="20"/>
                <w:szCs w:val="20"/>
              </w:rPr>
              <w:t>per y</w:t>
            </w:r>
            <w:r w:rsidR="009D24F1" w:rsidRPr="009D24F1">
              <w:rPr>
                <w:color w:val="000000"/>
                <w:sz w:val="20"/>
                <w:szCs w:val="20"/>
              </w:rPr>
              <w:t xml:space="preserve">ear </w:t>
            </w:r>
            <w:r w:rsidR="0058364F" w:rsidRPr="0058364F">
              <w:rPr>
                <w:color w:val="000000"/>
                <w:sz w:val="20"/>
                <w:szCs w:val="20"/>
                <w:vertAlign w:val="superscript"/>
              </w:rPr>
              <w:t>a</w:t>
            </w:r>
          </w:p>
          <w:p w:rsidR="009D24F1" w:rsidRPr="009D24F1" w:rsidRDefault="009D24F1" w:rsidP="009D24F1">
            <w:pPr>
              <w:widowControl/>
              <w:autoSpaceDE/>
              <w:autoSpaceDN/>
              <w:adjustRightInd/>
              <w:jc w:val="center"/>
              <w:rPr>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4E" w:rsidRDefault="007A134E" w:rsidP="009D24F1">
            <w:pPr>
              <w:widowControl/>
              <w:autoSpaceDE/>
              <w:autoSpaceDN/>
              <w:adjustRightInd/>
              <w:jc w:val="center"/>
              <w:rPr>
                <w:color w:val="000000"/>
                <w:sz w:val="20"/>
                <w:szCs w:val="20"/>
              </w:rPr>
            </w:pPr>
            <w:r>
              <w:rPr>
                <w:color w:val="000000"/>
                <w:sz w:val="20"/>
                <w:szCs w:val="20"/>
              </w:rPr>
              <w:t>(E)</w:t>
            </w:r>
          </w:p>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Technical Person Hours (E=CxD)</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7A134E" w:rsidRDefault="007A134E" w:rsidP="009D24F1">
            <w:pPr>
              <w:widowControl/>
              <w:autoSpaceDE/>
              <w:autoSpaceDN/>
              <w:adjustRightInd/>
              <w:jc w:val="center"/>
              <w:rPr>
                <w:color w:val="000000"/>
                <w:sz w:val="20"/>
                <w:szCs w:val="20"/>
              </w:rPr>
            </w:pPr>
            <w:r>
              <w:rPr>
                <w:color w:val="000000"/>
                <w:sz w:val="20"/>
                <w:szCs w:val="20"/>
              </w:rPr>
              <w:t>(F)</w:t>
            </w:r>
          </w:p>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Managerial Person Hours (Ex0.05)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A134E" w:rsidRDefault="007A134E" w:rsidP="009D24F1">
            <w:pPr>
              <w:widowControl/>
              <w:autoSpaceDE/>
              <w:autoSpaceDN/>
              <w:adjustRightInd/>
              <w:jc w:val="center"/>
              <w:rPr>
                <w:color w:val="000000"/>
                <w:sz w:val="20"/>
                <w:szCs w:val="20"/>
              </w:rPr>
            </w:pPr>
            <w:r>
              <w:rPr>
                <w:color w:val="000000"/>
                <w:sz w:val="20"/>
                <w:szCs w:val="20"/>
              </w:rPr>
              <w:t>(G)</w:t>
            </w:r>
          </w:p>
          <w:p w:rsidR="009D24F1" w:rsidRPr="009D24F1" w:rsidRDefault="00775C59" w:rsidP="009D24F1">
            <w:pPr>
              <w:widowControl/>
              <w:autoSpaceDE/>
              <w:autoSpaceDN/>
              <w:adjustRightInd/>
              <w:jc w:val="center"/>
              <w:rPr>
                <w:color w:val="000000"/>
                <w:sz w:val="20"/>
                <w:szCs w:val="20"/>
              </w:rPr>
            </w:pPr>
            <w:r>
              <w:rPr>
                <w:color w:val="000000"/>
                <w:sz w:val="20"/>
                <w:szCs w:val="20"/>
              </w:rPr>
              <w:t>Clerical Person Hours (Ex0.1</w:t>
            </w:r>
            <w:r w:rsidR="009D24F1" w:rsidRPr="009D24F1">
              <w:rPr>
                <w:color w:val="000000"/>
                <w:sz w:val="20"/>
                <w:szCs w:val="20"/>
              </w:rPr>
              <w:t>)</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7A134E" w:rsidRDefault="007A134E" w:rsidP="009D24F1">
            <w:pPr>
              <w:widowControl/>
              <w:autoSpaceDE/>
              <w:autoSpaceDN/>
              <w:adjustRightInd/>
              <w:jc w:val="center"/>
              <w:rPr>
                <w:color w:val="000000"/>
                <w:sz w:val="20"/>
                <w:szCs w:val="20"/>
              </w:rPr>
            </w:pPr>
            <w:r>
              <w:rPr>
                <w:color w:val="000000"/>
                <w:sz w:val="20"/>
                <w:szCs w:val="20"/>
              </w:rPr>
              <w:t>(H)</w:t>
            </w:r>
          </w:p>
          <w:p w:rsidR="009D24F1" w:rsidRPr="009D24F1" w:rsidRDefault="009D24F1" w:rsidP="007A134E">
            <w:pPr>
              <w:widowControl/>
              <w:autoSpaceDE/>
              <w:autoSpaceDN/>
              <w:adjustRightInd/>
              <w:jc w:val="center"/>
              <w:rPr>
                <w:color w:val="000000"/>
                <w:sz w:val="20"/>
                <w:szCs w:val="20"/>
              </w:rPr>
            </w:pPr>
            <w:r w:rsidRPr="009D24F1">
              <w:rPr>
                <w:color w:val="000000"/>
                <w:sz w:val="20"/>
                <w:szCs w:val="20"/>
              </w:rPr>
              <w:t xml:space="preserve">Total Costs/Year </w:t>
            </w:r>
            <w:r w:rsidR="0058364F" w:rsidRPr="0058364F">
              <w:rPr>
                <w:color w:val="000000"/>
                <w:sz w:val="20"/>
                <w:szCs w:val="20"/>
                <w:vertAlign w:val="superscript"/>
              </w:rPr>
              <w:t>b</w:t>
            </w:r>
          </w:p>
        </w:tc>
      </w:tr>
      <w:tr w:rsidR="007A134E" w:rsidRPr="009D24F1" w:rsidTr="008902BE">
        <w:trPr>
          <w:trHeight w:val="233"/>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1</w:t>
            </w:r>
          </w:p>
        </w:tc>
        <w:tc>
          <w:tcPr>
            <w:tcW w:w="3869" w:type="dxa"/>
            <w:gridSpan w:val="3"/>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7A134E">
            <w:pPr>
              <w:widowControl/>
              <w:autoSpaceDE/>
              <w:autoSpaceDN/>
              <w:adjustRightInd/>
              <w:rPr>
                <w:color w:val="000000"/>
                <w:sz w:val="20"/>
                <w:szCs w:val="20"/>
              </w:rPr>
            </w:pPr>
            <w:r w:rsidRPr="009D24F1">
              <w:rPr>
                <w:color w:val="000000"/>
                <w:sz w:val="20"/>
                <w:szCs w:val="20"/>
              </w:rPr>
              <w:t>A</w:t>
            </w:r>
            <w:r w:rsidR="007A134E">
              <w:rPr>
                <w:color w:val="000000"/>
                <w:sz w:val="20"/>
                <w:szCs w:val="20"/>
              </w:rPr>
              <w:t>pplications</w:t>
            </w:r>
          </w:p>
        </w:tc>
        <w:tc>
          <w:tcPr>
            <w:tcW w:w="1051"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16"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3"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8902BE">
        <w:trPr>
          <w:trHeight w:val="26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2</w:t>
            </w:r>
          </w:p>
        </w:tc>
        <w:tc>
          <w:tcPr>
            <w:tcW w:w="3869" w:type="dxa"/>
            <w:gridSpan w:val="3"/>
            <w:tcBorders>
              <w:top w:val="single" w:sz="4" w:space="0" w:color="auto"/>
              <w:left w:val="nil"/>
              <w:bottom w:val="single" w:sz="4" w:space="0" w:color="auto"/>
              <w:right w:val="single" w:sz="4" w:space="0" w:color="000000"/>
            </w:tcBorders>
            <w:shd w:val="clear" w:color="auto" w:fill="auto"/>
            <w:hideMark/>
          </w:tcPr>
          <w:p w:rsidR="009D24F1" w:rsidRPr="009D24F1" w:rsidRDefault="007A134E" w:rsidP="00B83645">
            <w:pPr>
              <w:widowControl/>
              <w:autoSpaceDE/>
              <w:autoSpaceDN/>
              <w:adjustRightInd/>
              <w:rPr>
                <w:color w:val="000000"/>
                <w:sz w:val="20"/>
                <w:szCs w:val="20"/>
              </w:rPr>
            </w:pPr>
            <w:r>
              <w:rPr>
                <w:color w:val="000000"/>
                <w:sz w:val="20"/>
                <w:szCs w:val="20"/>
              </w:rPr>
              <w:t xml:space="preserve">Survey and </w:t>
            </w:r>
            <w:r w:rsidR="00B83645">
              <w:rPr>
                <w:color w:val="000000"/>
                <w:sz w:val="20"/>
                <w:szCs w:val="20"/>
              </w:rPr>
              <w:t>st</w:t>
            </w:r>
            <w:r>
              <w:rPr>
                <w:color w:val="000000"/>
                <w:sz w:val="20"/>
                <w:szCs w:val="20"/>
              </w:rPr>
              <w:t>udies</w:t>
            </w:r>
          </w:p>
        </w:tc>
        <w:tc>
          <w:tcPr>
            <w:tcW w:w="1051"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16"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3"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8902BE">
        <w:trPr>
          <w:trHeight w:val="26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3</w:t>
            </w:r>
          </w:p>
        </w:tc>
        <w:tc>
          <w:tcPr>
            <w:tcW w:w="3869" w:type="dxa"/>
            <w:gridSpan w:val="3"/>
            <w:tcBorders>
              <w:top w:val="single" w:sz="4" w:space="0" w:color="auto"/>
              <w:left w:val="nil"/>
              <w:bottom w:val="single" w:sz="4" w:space="0" w:color="auto"/>
              <w:right w:val="single" w:sz="4" w:space="0" w:color="000000"/>
            </w:tcBorders>
            <w:shd w:val="clear" w:color="auto" w:fill="auto"/>
            <w:hideMark/>
          </w:tcPr>
          <w:p w:rsidR="009D24F1" w:rsidRPr="009D24F1" w:rsidRDefault="007A134E" w:rsidP="009D24F1">
            <w:pPr>
              <w:widowControl/>
              <w:autoSpaceDE/>
              <w:autoSpaceDN/>
              <w:adjustRightInd/>
              <w:rPr>
                <w:color w:val="000000"/>
                <w:sz w:val="20"/>
                <w:szCs w:val="20"/>
              </w:rPr>
            </w:pPr>
            <w:r>
              <w:rPr>
                <w:color w:val="000000"/>
                <w:sz w:val="20"/>
                <w:szCs w:val="20"/>
              </w:rPr>
              <w:t>Reporting Requirements</w:t>
            </w:r>
          </w:p>
        </w:tc>
        <w:tc>
          <w:tcPr>
            <w:tcW w:w="1051"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16"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3"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8902BE">
        <w:trPr>
          <w:trHeight w:val="26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a.</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B83645">
            <w:pPr>
              <w:widowControl/>
              <w:autoSpaceDE/>
              <w:autoSpaceDN/>
              <w:adjustRightInd/>
              <w:jc w:val="center"/>
              <w:rPr>
                <w:color w:val="000000"/>
                <w:sz w:val="20"/>
                <w:szCs w:val="20"/>
              </w:rPr>
            </w:pPr>
            <w:r w:rsidRPr="009D24F1">
              <w:rPr>
                <w:color w:val="000000"/>
                <w:sz w:val="20"/>
                <w:szCs w:val="20"/>
              </w:rPr>
              <w:t xml:space="preserve">Read </w:t>
            </w:r>
            <w:r w:rsidR="00B83645">
              <w:rPr>
                <w:color w:val="000000"/>
                <w:sz w:val="20"/>
                <w:szCs w:val="20"/>
              </w:rPr>
              <w:t>i</w:t>
            </w:r>
            <w:r w:rsidRPr="009D24F1">
              <w:rPr>
                <w:color w:val="000000"/>
                <w:sz w:val="20"/>
                <w:szCs w:val="20"/>
              </w:rPr>
              <w:t>nstructions</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239" w:type="dxa"/>
            <w:tcBorders>
              <w:top w:val="nil"/>
              <w:left w:val="nil"/>
              <w:bottom w:val="single" w:sz="4" w:space="0" w:color="auto"/>
              <w:right w:val="nil"/>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6D41A3">
            <w:pPr>
              <w:widowControl/>
              <w:autoSpaceDE/>
              <w:autoSpaceDN/>
              <w:adjustRightInd/>
              <w:jc w:val="right"/>
              <w:rPr>
                <w:color w:val="000000"/>
                <w:sz w:val="20"/>
                <w:szCs w:val="20"/>
              </w:rPr>
            </w:pPr>
            <w:r w:rsidRPr="009D24F1">
              <w:rPr>
                <w:color w:val="000000"/>
                <w:sz w:val="20"/>
                <w:szCs w:val="20"/>
              </w:rPr>
              <w:t>$0</w:t>
            </w:r>
          </w:p>
        </w:tc>
      </w:tr>
      <w:tr w:rsidR="007A134E" w:rsidRPr="009D24F1" w:rsidTr="008902BE">
        <w:trPr>
          <w:trHeight w:val="26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b.</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B83645">
            <w:pPr>
              <w:widowControl/>
              <w:autoSpaceDE/>
              <w:autoSpaceDN/>
              <w:adjustRightInd/>
              <w:jc w:val="center"/>
              <w:rPr>
                <w:color w:val="000000"/>
                <w:sz w:val="20"/>
                <w:szCs w:val="20"/>
              </w:rPr>
            </w:pPr>
            <w:r w:rsidRPr="009D24F1">
              <w:rPr>
                <w:color w:val="000000"/>
                <w:sz w:val="20"/>
                <w:szCs w:val="20"/>
              </w:rPr>
              <w:t xml:space="preserve">Required </w:t>
            </w:r>
            <w:r w:rsidR="00B83645">
              <w:rPr>
                <w:color w:val="000000"/>
                <w:sz w:val="20"/>
                <w:szCs w:val="20"/>
              </w:rPr>
              <w:t>a</w:t>
            </w:r>
            <w:r w:rsidRPr="009D24F1">
              <w:rPr>
                <w:color w:val="000000"/>
                <w:sz w:val="20"/>
                <w:szCs w:val="20"/>
              </w:rPr>
              <w:t>ctivities</w:t>
            </w:r>
          </w:p>
        </w:tc>
        <w:tc>
          <w:tcPr>
            <w:tcW w:w="1051"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16"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3"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right"/>
              <w:rPr>
                <w:color w:val="000000"/>
                <w:sz w:val="20"/>
                <w:szCs w:val="20"/>
              </w:rPr>
            </w:pPr>
            <w:r w:rsidRPr="009D24F1">
              <w:rPr>
                <w:color w:val="000000"/>
                <w:sz w:val="20"/>
                <w:szCs w:val="20"/>
              </w:rPr>
              <w:t> </w:t>
            </w:r>
          </w:p>
        </w:tc>
      </w:tr>
      <w:tr w:rsidR="007A134E" w:rsidRPr="009D24F1" w:rsidTr="007A134E">
        <w:trPr>
          <w:trHeight w:val="287"/>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B83645">
            <w:pPr>
              <w:widowControl/>
              <w:autoSpaceDE/>
              <w:autoSpaceDN/>
              <w:adjustRightInd/>
              <w:rPr>
                <w:color w:val="000000"/>
                <w:sz w:val="20"/>
                <w:szCs w:val="20"/>
              </w:rPr>
            </w:pPr>
            <w:r w:rsidRPr="009D24F1">
              <w:rPr>
                <w:color w:val="000000"/>
                <w:sz w:val="20"/>
                <w:szCs w:val="20"/>
              </w:rPr>
              <w:t xml:space="preserve">Initial </w:t>
            </w:r>
            <w:r w:rsidR="00B83645">
              <w:rPr>
                <w:color w:val="000000"/>
                <w:sz w:val="20"/>
                <w:szCs w:val="20"/>
              </w:rPr>
              <w:t>p</w:t>
            </w:r>
            <w:r w:rsidRPr="009D24F1">
              <w:rPr>
                <w:color w:val="000000"/>
                <w:sz w:val="20"/>
                <w:szCs w:val="20"/>
              </w:rPr>
              <w:t xml:space="preserve">erformance </w:t>
            </w:r>
            <w:r w:rsidR="00B83645">
              <w:rPr>
                <w:color w:val="000000"/>
                <w:sz w:val="20"/>
                <w:szCs w:val="20"/>
              </w:rPr>
              <w:t>t</w:t>
            </w:r>
            <w:r w:rsidRPr="009D24F1">
              <w:rPr>
                <w:color w:val="000000"/>
                <w:sz w:val="20"/>
                <w:szCs w:val="20"/>
              </w:rPr>
              <w:t>ests</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60</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60</w:t>
            </w:r>
          </w:p>
        </w:tc>
        <w:tc>
          <w:tcPr>
            <w:tcW w:w="1239" w:type="dxa"/>
            <w:tcBorders>
              <w:top w:val="nil"/>
              <w:left w:val="nil"/>
              <w:bottom w:val="single" w:sz="4" w:space="0" w:color="auto"/>
              <w:right w:val="nil"/>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6D41A3">
            <w:pPr>
              <w:widowControl/>
              <w:autoSpaceDE/>
              <w:autoSpaceDN/>
              <w:adjustRightInd/>
              <w:jc w:val="right"/>
              <w:rPr>
                <w:color w:val="000000"/>
                <w:sz w:val="20"/>
                <w:szCs w:val="20"/>
              </w:rPr>
            </w:pPr>
            <w:r w:rsidRPr="009D24F1">
              <w:rPr>
                <w:color w:val="000000"/>
                <w:sz w:val="20"/>
                <w:szCs w:val="20"/>
              </w:rPr>
              <w:t>$0</w:t>
            </w:r>
          </w:p>
        </w:tc>
      </w:tr>
      <w:tr w:rsidR="007A134E" w:rsidRPr="009D24F1" w:rsidTr="007A134E">
        <w:trPr>
          <w:trHeight w:val="278"/>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Repeat of </w:t>
            </w:r>
            <w:r w:rsidR="00A208A5">
              <w:rPr>
                <w:color w:val="000000"/>
                <w:sz w:val="20"/>
                <w:szCs w:val="20"/>
              </w:rPr>
              <w:t>p</w:t>
            </w:r>
            <w:r w:rsidRPr="009D24F1">
              <w:rPr>
                <w:color w:val="000000"/>
                <w:sz w:val="20"/>
                <w:szCs w:val="20"/>
              </w:rPr>
              <w:t xml:space="preserve">erformance </w:t>
            </w:r>
            <w:r w:rsidR="00A208A5">
              <w:rPr>
                <w:color w:val="000000"/>
                <w:sz w:val="20"/>
                <w:szCs w:val="20"/>
              </w:rPr>
              <w:t>t</w:t>
            </w:r>
            <w:r w:rsidRPr="009D24F1">
              <w:rPr>
                <w:color w:val="000000"/>
                <w:sz w:val="20"/>
                <w:szCs w:val="20"/>
              </w:rPr>
              <w:t>ests</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60</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0.2</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12</w:t>
            </w:r>
          </w:p>
        </w:tc>
        <w:tc>
          <w:tcPr>
            <w:tcW w:w="1239" w:type="dxa"/>
            <w:tcBorders>
              <w:top w:val="nil"/>
              <w:left w:val="nil"/>
              <w:bottom w:val="single" w:sz="4" w:space="0" w:color="auto"/>
              <w:right w:val="nil"/>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6D41A3">
            <w:pPr>
              <w:widowControl/>
              <w:autoSpaceDE/>
              <w:autoSpaceDN/>
              <w:adjustRightInd/>
              <w:jc w:val="right"/>
              <w:rPr>
                <w:color w:val="000000"/>
                <w:sz w:val="20"/>
                <w:szCs w:val="20"/>
              </w:rPr>
            </w:pPr>
            <w:r w:rsidRPr="009D24F1">
              <w:rPr>
                <w:color w:val="000000"/>
                <w:sz w:val="20"/>
                <w:szCs w:val="20"/>
              </w:rPr>
              <w:t>$0</w:t>
            </w:r>
          </w:p>
        </w:tc>
      </w:tr>
      <w:tr w:rsidR="007A134E" w:rsidRPr="009D24F1" w:rsidTr="008902BE">
        <w:trPr>
          <w:trHeight w:val="215"/>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c.</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Gather </w:t>
            </w:r>
            <w:r w:rsidR="00A208A5">
              <w:rPr>
                <w:color w:val="000000"/>
                <w:sz w:val="20"/>
                <w:szCs w:val="20"/>
              </w:rPr>
              <w:t>e</w:t>
            </w:r>
            <w:r w:rsidRPr="009D24F1">
              <w:rPr>
                <w:color w:val="000000"/>
                <w:sz w:val="20"/>
                <w:szCs w:val="20"/>
              </w:rPr>
              <w:t xml:space="preserve">xisting </w:t>
            </w:r>
            <w:r w:rsidR="00A208A5">
              <w:rPr>
                <w:color w:val="000000"/>
                <w:sz w:val="20"/>
                <w:szCs w:val="20"/>
              </w:rPr>
              <w:t>i</w:t>
            </w:r>
            <w:r w:rsidRPr="009D24F1">
              <w:rPr>
                <w:color w:val="000000"/>
                <w:sz w:val="20"/>
                <w:szCs w:val="20"/>
              </w:rPr>
              <w:t>nformation</w:t>
            </w:r>
          </w:p>
        </w:tc>
        <w:tc>
          <w:tcPr>
            <w:tcW w:w="2267" w:type="dxa"/>
            <w:gridSpan w:val="2"/>
            <w:tcBorders>
              <w:top w:val="single" w:sz="4" w:space="0" w:color="auto"/>
              <w:left w:val="single" w:sz="4" w:space="0" w:color="auto"/>
              <w:bottom w:val="single" w:sz="4" w:space="0" w:color="auto"/>
              <w:right w:val="nil"/>
            </w:tcBorders>
            <w:shd w:val="clear" w:color="auto" w:fill="auto"/>
            <w:noWrap/>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Included in 3b</w:t>
            </w:r>
          </w:p>
        </w:tc>
        <w:tc>
          <w:tcPr>
            <w:tcW w:w="1123"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8902BE">
        <w:trPr>
          <w:trHeight w:val="242"/>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d.</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Write Report</w:t>
            </w:r>
          </w:p>
        </w:tc>
        <w:tc>
          <w:tcPr>
            <w:tcW w:w="1051"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16"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3"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8902BE">
        <w:trPr>
          <w:trHeight w:val="440"/>
          <w:jc w:val="center"/>
        </w:trPr>
        <w:tc>
          <w:tcPr>
            <w:tcW w:w="381" w:type="dxa"/>
            <w:tcBorders>
              <w:top w:val="nil"/>
              <w:left w:val="single" w:sz="4" w:space="0" w:color="auto"/>
              <w:bottom w:val="nil"/>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nil"/>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nil"/>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Notification of </w:t>
            </w:r>
            <w:r w:rsidR="00A208A5">
              <w:rPr>
                <w:color w:val="000000"/>
                <w:sz w:val="20"/>
                <w:szCs w:val="20"/>
              </w:rPr>
              <w:t>c</w:t>
            </w:r>
            <w:r w:rsidRPr="009D24F1">
              <w:rPr>
                <w:color w:val="000000"/>
                <w:sz w:val="20"/>
                <w:szCs w:val="20"/>
              </w:rPr>
              <w:t xml:space="preserve">onstruction/ </w:t>
            </w:r>
            <w:r w:rsidR="00A208A5">
              <w:rPr>
                <w:color w:val="000000"/>
                <w:sz w:val="20"/>
                <w:szCs w:val="20"/>
              </w:rPr>
              <w:t>r</w:t>
            </w:r>
            <w:r w:rsidRPr="009D24F1">
              <w:rPr>
                <w:color w:val="000000"/>
                <w:sz w:val="20"/>
                <w:szCs w:val="20"/>
              </w:rPr>
              <w:t>econstruction</w:t>
            </w:r>
          </w:p>
        </w:tc>
        <w:tc>
          <w:tcPr>
            <w:tcW w:w="1051" w:type="dxa"/>
            <w:tcBorders>
              <w:top w:val="nil"/>
              <w:left w:val="nil"/>
              <w:bottom w:val="nil"/>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216" w:type="dxa"/>
            <w:tcBorders>
              <w:top w:val="nil"/>
              <w:left w:val="nil"/>
              <w:bottom w:val="nil"/>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239" w:type="dxa"/>
            <w:tcBorders>
              <w:top w:val="nil"/>
              <w:left w:val="nil"/>
              <w:bottom w:val="nil"/>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6D41A3">
            <w:pPr>
              <w:widowControl/>
              <w:autoSpaceDE/>
              <w:autoSpaceDN/>
              <w:adjustRightInd/>
              <w:jc w:val="right"/>
              <w:rPr>
                <w:color w:val="000000"/>
                <w:sz w:val="20"/>
                <w:szCs w:val="20"/>
              </w:rPr>
            </w:pPr>
            <w:r w:rsidRPr="009D24F1">
              <w:rPr>
                <w:color w:val="000000"/>
                <w:sz w:val="20"/>
                <w:szCs w:val="20"/>
              </w:rPr>
              <w:t>$0</w:t>
            </w:r>
          </w:p>
        </w:tc>
      </w:tr>
      <w:tr w:rsidR="007A134E" w:rsidRPr="009D24F1" w:rsidTr="008902BE">
        <w:trPr>
          <w:trHeight w:val="503"/>
          <w:jc w:val="center"/>
        </w:trPr>
        <w:tc>
          <w:tcPr>
            <w:tcW w:w="381" w:type="dxa"/>
            <w:tcBorders>
              <w:top w:val="single" w:sz="4" w:space="0" w:color="auto"/>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single" w:sz="4" w:space="0" w:color="auto"/>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single" w:sz="4" w:space="0" w:color="auto"/>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Notification of </w:t>
            </w:r>
            <w:r w:rsidR="00A208A5">
              <w:rPr>
                <w:color w:val="000000"/>
                <w:sz w:val="20"/>
                <w:szCs w:val="20"/>
              </w:rPr>
              <w:t>i</w:t>
            </w:r>
            <w:r w:rsidRPr="009D24F1">
              <w:rPr>
                <w:color w:val="000000"/>
                <w:sz w:val="20"/>
                <w:szCs w:val="20"/>
              </w:rPr>
              <w:t xml:space="preserve">nitial </w:t>
            </w:r>
            <w:r w:rsidR="00A208A5">
              <w:rPr>
                <w:color w:val="000000"/>
                <w:sz w:val="20"/>
                <w:szCs w:val="20"/>
              </w:rPr>
              <w:t>p</w:t>
            </w:r>
            <w:r w:rsidRPr="009D24F1">
              <w:rPr>
                <w:color w:val="000000"/>
                <w:sz w:val="20"/>
                <w:szCs w:val="20"/>
              </w:rPr>
              <w:t xml:space="preserve">erformance </w:t>
            </w:r>
            <w:r w:rsidR="00A208A5">
              <w:rPr>
                <w:color w:val="000000"/>
                <w:sz w:val="20"/>
                <w:szCs w:val="20"/>
              </w:rPr>
              <w:t>t</w:t>
            </w:r>
            <w:r w:rsidRPr="009D24F1">
              <w:rPr>
                <w:color w:val="000000"/>
                <w:sz w:val="20"/>
                <w:szCs w:val="20"/>
              </w:rPr>
              <w:t>est</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6D41A3">
            <w:pPr>
              <w:widowControl/>
              <w:autoSpaceDE/>
              <w:autoSpaceDN/>
              <w:adjustRightInd/>
              <w:jc w:val="right"/>
              <w:rPr>
                <w:color w:val="000000"/>
                <w:sz w:val="20"/>
                <w:szCs w:val="20"/>
              </w:rPr>
            </w:pPr>
            <w:r w:rsidRPr="009D24F1">
              <w:rPr>
                <w:color w:val="000000"/>
                <w:sz w:val="20"/>
                <w:szCs w:val="20"/>
              </w:rPr>
              <w:t>$0</w:t>
            </w:r>
          </w:p>
        </w:tc>
      </w:tr>
      <w:tr w:rsidR="007A134E" w:rsidRPr="009D24F1" w:rsidTr="00A208A5">
        <w:trPr>
          <w:trHeight w:val="323"/>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Notification of </w:t>
            </w:r>
            <w:r w:rsidR="00A208A5">
              <w:rPr>
                <w:color w:val="000000"/>
                <w:sz w:val="20"/>
                <w:szCs w:val="20"/>
              </w:rPr>
              <w:t>a</w:t>
            </w:r>
            <w:r w:rsidRPr="009D24F1">
              <w:rPr>
                <w:color w:val="000000"/>
                <w:sz w:val="20"/>
                <w:szCs w:val="20"/>
              </w:rPr>
              <w:t xml:space="preserve">ctual </w:t>
            </w:r>
            <w:r w:rsidR="00A208A5">
              <w:rPr>
                <w:color w:val="000000"/>
                <w:sz w:val="20"/>
                <w:szCs w:val="20"/>
              </w:rPr>
              <w:t>s</w:t>
            </w:r>
            <w:r w:rsidR="00146D97">
              <w:rPr>
                <w:color w:val="000000"/>
                <w:sz w:val="20"/>
                <w:szCs w:val="20"/>
              </w:rPr>
              <w:t>t</w:t>
            </w:r>
            <w:r w:rsidRPr="009D24F1">
              <w:rPr>
                <w:color w:val="000000"/>
                <w:sz w:val="20"/>
                <w:szCs w:val="20"/>
              </w:rPr>
              <w:t>artup</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6D41A3">
            <w:pPr>
              <w:widowControl/>
              <w:autoSpaceDE/>
              <w:autoSpaceDN/>
              <w:adjustRightInd/>
              <w:jc w:val="right"/>
              <w:rPr>
                <w:color w:val="000000"/>
                <w:sz w:val="20"/>
                <w:szCs w:val="20"/>
              </w:rPr>
            </w:pPr>
            <w:r w:rsidRPr="009D24F1">
              <w:rPr>
                <w:color w:val="000000"/>
                <w:sz w:val="20"/>
                <w:szCs w:val="20"/>
              </w:rPr>
              <w:t>$0</w:t>
            </w:r>
          </w:p>
        </w:tc>
      </w:tr>
      <w:tr w:rsidR="007A134E" w:rsidRPr="009D24F1" w:rsidTr="007A134E">
        <w:trPr>
          <w:trHeight w:val="287"/>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Report of </w:t>
            </w:r>
            <w:r w:rsidR="00A208A5">
              <w:rPr>
                <w:color w:val="000000"/>
                <w:sz w:val="20"/>
                <w:szCs w:val="20"/>
              </w:rPr>
              <w:t>p</w:t>
            </w:r>
            <w:r w:rsidRPr="009D24F1">
              <w:rPr>
                <w:color w:val="000000"/>
                <w:sz w:val="20"/>
                <w:szCs w:val="20"/>
              </w:rPr>
              <w:t xml:space="preserve">erformance </w:t>
            </w:r>
            <w:r w:rsidR="00A208A5">
              <w:rPr>
                <w:color w:val="000000"/>
                <w:sz w:val="20"/>
                <w:szCs w:val="20"/>
              </w:rPr>
              <w:t>t</w:t>
            </w:r>
            <w:r w:rsidRPr="009D24F1">
              <w:rPr>
                <w:color w:val="000000"/>
                <w:sz w:val="20"/>
                <w:szCs w:val="20"/>
              </w:rPr>
              <w:t>est</w:t>
            </w:r>
          </w:p>
        </w:tc>
        <w:tc>
          <w:tcPr>
            <w:tcW w:w="2267" w:type="dxa"/>
            <w:gridSpan w:val="2"/>
            <w:tcBorders>
              <w:top w:val="single" w:sz="4" w:space="0" w:color="auto"/>
              <w:left w:val="single" w:sz="4" w:space="0" w:color="auto"/>
              <w:bottom w:val="single" w:sz="4" w:space="0" w:color="auto"/>
              <w:right w:val="nil"/>
            </w:tcBorders>
            <w:shd w:val="clear" w:color="auto" w:fill="auto"/>
            <w:noWrap/>
            <w:vAlign w:val="bottom"/>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Included in 3b</w:t>
            </w:r>
          </w:p>
        </w:tc>
        <w:tc>
          <w:tcPr>
            <w:tcW w:w="1123"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A208A5">
        <w:trPr>
          <w:trHeight w:val="233"/>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Semiannual </w:t>
            </w:r>
            <w:r w:rsidR="00A208A5">
              <w:rPr>
                <w:color w:val="000000"/>
                <w:sz w:val="20"/>
                <w:szCs w:val="20"/>
              </w:rPr>
              <w:t>r</w:t>
            </w:r>
            <w:r w:rsidRPr="009D24F1">
              <w:rPr>
                <w:color w:val="000000"/>
                <w:sz w:val="20"/>
                <w:szCs w:val="20"/>
              </w:rPr>
              <w:t>eport</w:t>
            </w:r>
            <w:r w:rsidR="0058364F">
              <w:rPr>
                <w:color w:val="000000"/>
                <w:sz w:val="20"/>
                <w:szCs w:val="20"/>
              </w:rPr>
              <w:t xml:space="preserve"> </w:t>
            </w:r>
            <w:r w:rsidR="0058364F" w:rsidRPr="0058364F">
              <w:rPr>
                <w:color w:val="000000"/>
                <w:sz w:val="20"/>
                <w:szCs w:val="20"/>
                <w:vertAlign w:val="superscript"/>
              </w:rPr>
              <w:t>c</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5</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10</w:t>
            </w:r>
          </w:p>
        </w:tc>
        <w:tc>
          <w:tcPr>
            <w:tcW w:w="123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72</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720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36</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72</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right"/>
              <w:rPr>
                <w:color w:val="000000"/>
                <w:sz w:val="20"/>
                <w:szCs w:val="20"/>
              </w:rPr>
            </w:pPr>
            <w:r w:rsidRPr="009D24F1">
              <w:rPr>
                <w:color w:val="000000"/>
                <w:sz w:val="20"/>
                <w:szCs w:val="20"/>
              </w:rPr>
              <w:t>$80,174.16</w:t>
            </w:r>
          </w:p>
        </w:tc>
      </w:tr>
      <w:tr w:rsidR="007A134E" w:rsidRPr="009D24F1" w:rsidTr="00A208A5">
        <w:trPr>
          <w:trHeight w:val="26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A208A5">
            <w:pPr>
              <w:widowControl/>
              <w:autoSpaceDE/>
              <w:autoSpaceDN/>
              <w:adjustRightInd/>
              <w:rPr>
                <w:color w:val="000000"/>
                <w:sz w:val="20"/>
                <w:szCs w:val="20"/>
              </w:rPr>
            </w:pPr>
            <w:r w:rsidRPr="009D24F1">
              <w:rPr>
                <w:color w:val="000000"/>
                <w:sz w:val="20"/>
                <w:szCs w:val="20"/>
              </w:rPr>
              <w:t xml:space="preserve">Temperature </w:t>
            </w:r>
            <w:r w:rsidR="00A208A5">
              <w:rPr>
                <w:color w:val="000000"/>
                <w:sz w:val="20"/>
                <w:szCs w:val="20"/>
              </w:rPr>
              <w:t>v</w:t>
            </w:r>
            <w:r w:rsidRPr="009D24F1">
              <w:rPr>
                <w:color w:val="000000"/>
                <w:sz w:val="20"/>
                <w:szCs w:val="20"/>
              </w:rPr>
              <w:t xml:space="preserve">ariance </w:t>
            </w:r>
            <w:r w:rsidR="00A208A5">
              <w:rPr>
                <w:color w:val="000000"/>
                <w:sz w:val="20"/>
                <w:szCs w:val="20"/>
              </w:rPr>
              <w:t>r</w:t>
            </w:r>
            <w:r w:rsidRPr="009D24F1">
              <w:rPr>
                <w:color w:val="000000"/>
                <w:sz w:val="20"/>
                <w:szCs w:val="20"/>
              </w:rPr>
              <w:t>eport</w:t>
            </w:r>
            <w:r w:rsidR="0058364F">
              <w:rPr>
                <w:color w:val="000000"/>
                <w:sz w:val="20"/>
                <w:szCs w:val="20"/>
              </w:rPr>
              <w:t xml:space="preserve"> </w:t>
            </w:r>
            <w:r w:rsidR="0058364F" w:rsidRPr="0058364F">
              <w:rPr>
                <w:color w:val="000000"/>
                <w:sz w:val="20"/>
                <w:szCs w:val="20"/>
                <w:vertAlign w:val="superscript"/>
              </w:rPr>
              <w:t>d</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2</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72</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center"/>
              <w:rPr>
                <w:color w:val="000000"/>
                <w:sz w:val="20"/>
                <w:szCs w:val="20"/>
              </w:rPr>
            </w:pPr>
            <w:r w:rsidRPr="009D24F1">
              <w:rPr>
                <w:color w:val="000000"/>
                <w:sz w:val="20"/>
                <w:szCs w:val="20"/>
              </w:rPr>
              <w:t>576</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800A6" w:rsidP="00B16903">
            <w:pPr>
              <w:widowControl/>
              <w:autoSpaceDE/>
              <w:autoSpaceDN/>
              <w:adjustRightInd/>
              <w:jc w:val="center"/>
              <w:rPr>
                <w:color w:val="000000"/>
                <w:sz w:val="20"/>
                <w:szCs w:val="20"/>
              </w:rPr>
            </w:pPr>
            <w:r>
              <w:rPr>
                <w:color w:val="000000"/>
                <w:sz w:val="20"/>
                <w:szCs w:val="20"/>
              </w:rPr>
              <w:t>28.8</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800A6" w:rsidP="00B16903">
            <w:pPr>
              <w:widowControl/>
              <w:autoSpaceDE/>
              <w:autoSpaceDN/>
              <w:adjustRightInd/>
              <w:jc w:val="center"/>
              <w:rPr>
                <w:color w:val="000000"/>
                <w:sz w:val="20"/>
                <w:szCs w:val="20"/>
              </w:rPr>
            </w:pPr>
            <w:r>
              <w:rPr>
                <w:color w:val="000000"/>
                <w:sz w:val="20"/>
                <w:szCs w:val="20"/>
              </w:rPr>
              <w:t>57.6</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B16903">
            <w:pPr>
              <w:widowControl/>
              <w:autoSpaceDE/>
              <w:autoSpaceDN/>
              <w:adjustRightInd/>
              <w:jc w:val="right"/>
              <w:rPr>
                <w:color w:val="000000"/>
                <w:sz w:val="20"/>
                <w:szCs w:val="20"/>
              </w:rPr>
            </w:pPr>
            <w:r w:rsidRPr="009D24F1">
              <w:rPr>
                <w:color w:val="000000"/>
                <w:sz w:val="20"/>
                <w:szCs w:val="20"/>
              </w:rPr>
              <w:t>$64,139.33</w:t>
            </w:r>
          </w:p>
        </w:tc>
      </w:tr>
      <w:tr w:rsidR="007A134E" w:rsidRPr="00B16903" w:rsidTr="008902BE">
        <w:trPr>
          <w:trHeight w:val="287"/>
          <w:jc w:val="center"/>
        </w:trPr>
        <w:tc>
          <w:tcPr>
            <w:tcW w:w="425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34BE3" w:rsidRPr="00B16903" w:rsidRDefault="007A134E" w:rsidP="009D24F1">
            <w:pPr>
              <w:widowControl/>
              <w:autoSpaceDE/>
              <w:autoSpaceDN/>
              <w:adjustRightInd/>
              <w:rPr>
                <w:b/>
                <w:color w:val="000000"/>
                <w:sz w:val="20"/>
                <w:szCs w:val="20"/>
              </w:rPr>
            </w:pPr>
            <w:r>
              <w:rPr>
                <w:b/>
                <w:color w:val="000000"/>
                <w:sz w:val="20"/>
                <w:szCs w:val="20"/>
              </w:rPr>
              <w:t>Subtotal for Reporting Requirements</w:t>
            </w:r>
          </w:p>
        </w:tc>
        <w:tc>
          <w:tcPr>
            <w:tcW w:w="1051" w:type="dxa"/>
            <w:tcBorders>
              <w:top w:val="nil"/>
              <w:left w:val="nil"/>
              <w:bottom w:val="single" w:sz="4" w:space="0" w:color="auto"/>
              <w:right w:val="nil"/>
            </w:tcBorders>
            <w:shd w:val="clear" w:color="auto" w:fill="auto"/>
            <w:hideMark/>
          </w:tcPr>
          <w:p w:rsidR="00F34BE3" w:rsidRPr="00B16903" w:rsidRDefault="00F34BE3" w:rsidP="009D24F1">
            <w:pPr>
              <w:widowControl/>
              <w:autoSpaceDE/>
              <w:autoSpaceDN/>
              <w:adjustRightInd/>
              <w:jc w:val="center"/>
              <w:rPr>
                <w:b/>
                <w:color w:val="000000"/>
                <w:sz w:val="20"/>
                <w:szCs w:val="20"/>
              </w:rPr>
            </w:pPr>
            <w:r w:rsidRPr="00B16903">
              <w:rPr>
                <w:b/>
                <w:color w:val="000000"/>
                <w:sz w:val="20"/>
                <w:szCs w:val="20"/>
              </w:rPr>
              <w:t> </w:t>
            </w:r>
          </w:p>
        </w:tc>
        <w:tc>
          <w:tcPr>
            <w:tcW w:w="1216" w:type="dxa"/>
            <w:tcBorders>
              <w:top w:val="nil"/>
              <w:left w:val="nil"/>
              <w:bottom w:val="single" w:sz="4" w:space="0" w:color="auto"/>
              <w:right w:val="nil"/>
            </w:tcBorders>
            <w:shd w:val="clear" w:color="auto" w:fill="auto"/>
            <w:hideMark/>
          </w:tcPr>
          <w:p w:rsidR="00F34BE3" w:rsidRPr="00B16903" w:rsidRDefault="00F34BE3" w:rsidP="009D24F1">
            <w:pPr>
              <w:widowControl/>
              <w:autoSpaceDE/>
              <w:autoSpaceDN/>
              <w:adjustRightInd/>
              <w:jc w:val="center"/>
              <w:rPr>
                <w:b/>
                <w:color w:val="000000"/>
                <w:sz w:val="20"/>
                <w:szCs w:val="20"/>
              </w:rPr>
            </w:pPr>
            <w:r w:rsidRPr="00B16903">
              <w:rPr>
                <w:b/>
                <w:color w:val="000000"/>
                <w:sz w:val="20"/>
                <w:szCs w:val="20"/>
              </w:rPr>
              <w:t> </w:t>
            </w:r>
          </w:p>
        </w:tc>
        <w:tc>
          <w:tcPr>
            <w:tcW w:w="1123" w:type="dxa"/>
            <w:tcBorders>
              <w:top w:val="nil"/>
              <w:left w:val="nil"/>
              <w:bottom w:val="single" w:sz="4" w:space="0" w:color="auto"/>
              <w:right w:val="nil"/>
            </w:tcBorders>
            <w:shd w:val="clear" w:color="auto" w:fill="auto"/>
            <w:hideMark/>
          </w:tcPr>
          <w:p w:rsidR="00F34BE3" w:rsidRPr="00B16903" w:rsidRDefault="00F34BE3" w:rsidP="009D24F1">
            <w:pPr>
              <w:widowControl/>
              <w:autoSpaceDE/>
              <w:autoSpaceDN/>
              <w:adjustRightInd/>
              <w:jc w:val="center"/>
              <w:rPr>
                <w:b/>
                <w:color w:val="000000"/>
                <w:sz w:val="20"/>
                <w:szCs w:val="20"/>
              </w:rPr>
            </w:pPr>
            <w:r w:rsidRPr="00B16903">
              <w:rPr>
                <w:b/>
                <w:color w:val="000000"/>
                <w:sz w:val="20"/>
                <w:szCs w:val="20"/>
              </w:rPr>
              <w:t> </w:t>
            </w:r>
          </w:p>
        </w:tc>
        <w:tc>
          <w:tcPr>
            <w:tcW w:w="1239" w:type="dxa"/>
            <w:tcBorders>
              <w:top w:val="nil"/>
              <w:left w:val="nil"/>
              <w:bottom w:val="single" w:sz="4" w:space="0" w:color="auto"/>
              <w:right w:val="nil"/>
            </w:tcBorders>
            <w:shd w:val="clear" w:color="auto" w:fill="auto"/>
            <w:hideMark/>
          </w:tcPr>
          <w:p w:rsidR="00F34BE3" w:rsidRPr="00B16903" w:rsidRDefault="00F34BE3" w:rsidP="009D24F1">
            <w:pPr>
              <w:widowControl/>
              <w:autoSpaceDE/>
              <w:autoSpaceDN/>
              <w:adjustRightInd/>
              <w:jc w:val="center"/>
              <w:rPr>
                <w:b/>
                <w:color w:val="000000"/>
                <w:sz w:val="20"/>
                <w:szCs w:val="20"/>
              </w:rPr>
            </w:pPr>
            <w:r w:rsidRPr="00B16903">
              <w:rPr>
                <w:b/>
                <w:color w:val="000000"/>
                <w:sz w:val="20"/>
                <w:szCs w:val="20"/>
              </w:rPr>
              <w:t> </w:t>
            </w:r>
          </w:p>
        </w:tc>
        <w:tc>
          <w:tcPr>
            <w:tcW w:w="2984" w:type="dxa"/>
            <w:gridSpan w:val="3"/>
            <w:tcBorders>
              <w:top w:val="nil"/>
              <w:left w:val="single" w:sz="4" w:space="0" w:color="auto"/>
              <w:bottom w:val="single" w:sz="4" w:space="0" w:color="auto"/>
              <w:right w:val="single" w:sz="4" w:space="0" w:color="auto"/>
            </w:tcBorders>
            <w:shd w:val="clear" w:color="auto" w:fill="auto"/>
            <w:vAlign w:val="center"/>
            <w:hideMark/>
          </w:tcPr>
          <w:p w:rsidR="00F34BE3" w:rsidRPr="00B16903" w:rsidRDefault="00F34BE3" w:rsidP="00B16903">
            <w:pPr>
              <w:widowControl/>
              <w:autoSpaceDE/>
              <w:autoSpaceDN/>
              <w:adjustRightInd/>
              <w:jc w:val="center"/>
              <w:rPr>
                <w:b/>
                <w:color w:val="000000"/>
                <w:sz w:val="20"/>
                <w:szCs w:val="20"/>
              </w:rPr>
            </w:pPr>
            <w:r w:rsidRPr="00B16903">
              <w:rPr>
                <w:b/>
                <w:color w:val="000000"/>
                <w:sz w:val="20"/>
                <w:szCs w:val="20"/>
              </w:rPr>
              <w:t>1,490</w:t>
            </w:r>
            <w:r w:rsidR="005B045D">
              <w:rPr>
                <w:b/>
                <w:color w:val="000000"/>
                <w:sz w:val="20"/>
                <w:szCs w:val="20"/>
              </w:rPr>
              <w:t>.4</w:t>
            </w:r>
          </w:p>
        </w:tc>
        <w:tc>
          <w:tcPr>
            <w:tcW w:w="1227" w:type="dxa"/>
            <w:tcBorders>
              <w:top w:val="nil"/>
              <w:left w:val="nil"/>
              <w:bottom w:val="single" w:sz="4" w:space="0" w:color="auto"/>
              <w:right w:val="single" w:sz="4" w:space="0" w:color="auto"/>
            </w:tcBorders>
            <w:shd w:val="clear" w:color="auto" w:fill="auto"/>
            <w:vAlign w:val="center"/>
            <w:hideMark/>
          </w:tcPr>
          <w:p w:rsidR="00F34BE3" w:rsidRPr="00B16903" w:rsidRDefault="00F34BE3" w:rsidP="00B16903">
            <w:pPr>
              <w:widowControl/>
              <w:autoSpaceDE/>
              <w:autoSpaceDN/>
              <w:adjustRightInd/>
              <w:jc w:val="right"/>
              <w:rPr>
                <w:b/>
                <w:color w:val="000000"/>
                <w:sz w:val="20"/>
                <w:szCs w:val="20"/>
              </w:rPr>
            </w:pPr>
            <w:r w:rsidRPr="00B16903">
              <w:rPr>
                <w:b/>
                <w:color w:val="000000"/>
                <w:sz w:val="20"/>
                <w:szCs w:val="20"/>
              </w:rPr>
              <w:t>$144,313.49</w:t>
            </w:r>
          </w:p>
        </w:tc>
      </w:tr>
      <w:tr w:rsidR="007A134E" w:rsidRPr="009D24F1" w:rsidTr="0058364F">
        <w:trPr>
          <w:trHeight w:val="278"/>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4</w:t>
            </w:r>
          </w:p>
        </w:tc>
        <w:tc>
          <w:tcPr>
            <w:tcW w:w="3869" w:type="dxa"/>
            <w:gridSpan w:val="3"/>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173DE5">
            <w:pPr>
              <w:widowControl/>
              <w:autoSpaceDE/>
              <w:autoSpaceDN/>
              <w:adjustRightInd/>
              <w:rPr>
                <w:color w:val="000000"/>
                <w:sz w:val="20"/>
                <w:szCs w:val="20"/>
              </w:rPr>
            </w:pPr>
            <w:r w:rsidRPr="009D24F1">
              <w:rPr>
                <w:color w:val="000000"/>
                <w:sz w:val="20"/>
                <w:szCs w:val="20"/>
              </w:rPr>
              <w:t>R</w:t>
            </w:r>
            <w:r w:rsidR="00173DE5">
              <w:rPr>
                <w:color w:val="000000"/>
                <w:sz w:val="20"/>
                <w:szCs w:val="20"/>
              </w:rPr>
              <w:t xml:space="preserve">ecordkeeping </w:t>
            </w:r>
            <w:r w:rsidRPr="009D24F1">
              <w:rPr>
                <w:color w:val="000000"/>
                <w:sz w:val="20"/>
                <w:szCs w:val="20"/>
              </w:rPr>
              <w:t xml:space="preserve"> R</w:t>
            </w:r>
            <w:r w:rsidR="00173DE5">
              <w:rPr>
                <w:color w:val="000000"/>
                <w:sz w:val="20"/>
                <w:szCs w:val="20"/>
              </w:rPr>
              <w:t>equirements</w:t>
            </w:r>
          </w:p>
        </w:tc>
        <w:tc>
          <w:tcPr>
            <w:tcW w:w="1051"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16"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3"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7A134E">
        <w:trPr>
          <w:trHeight w:val="30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a.</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146D97">
            <w:pPr>
              <w:widowControl/>
              <w:autoSpaceDE/>
              <w:autoSpaceDN/>
              <w:adjustRightInd/>
              <w:rPr>
                <w:color w:val="000000"/>
                <w:sz w:val="20"/>
                <w:szCs w:val="20"/>
              </w:rPr>
            </w:pPr>
            <w:r w:rsidRPr="009D24F1">
              <w:rPr>
                <w:color w:val="000000"/>
                <w:sz w:val="20"/>
                <w:szCs w:val="20"/>
              </w:rPr>
              <w:t xml:space="preserve">Read </w:t>
            </w:r>
            <w:r w:rsidR="00146D97">
              <w:rPr>
                <w:color w:val="000000"/>
                <w:sz w:val="20"/>
                <w:szCs w:val="20"/>
              </w:rPr>
              <w:t>i</w:t>
            </w:r>
            <w:r w:rsidRPr="009D24F1">
              <w:rPr>
                <w:color w:val="000000"/>
                <w:sz w:val="20"/>
                <w:szCs w:val="20"/>
              </w:rPr>
              <w:t>nstructions</w:t>
            </w:r>
          </w:p>
        </w:tc>
        <w:tc>
          <w:tcPr>
            <w:tcW w:w="2267" w:type="dxa"/>
            <w:gridSpan w:val="2"/>
            <w:tcBorders>
              <w:top w:val="single" w:sz="4" w:space="0" w:color="auto"/>
              <w:left w:val="single" w:sz="4" w:space="0" w:color="auto"/>
              <w:bottom w:val="single" w:sz="4" w:space="0" w:color="auto"/>
              <w:right w:val="nil"/>
            </w:tcBorders>
            <w:shd w:val="clear" w:color="auto" w:fill="auto"/>
            <w:noWrap/>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Included in 3a</w:t>
            </w:r>
          </w:p>
        </w:tc>
        <w:tc>
          <w:tcPr>
            <w:tcW w:w="1123"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7A134E">
        <w:trPr>
          <w:trHeight w:val="30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b.</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58364F">
            <w:pPr>
              <w:widowControl/>
              <w:autoSpaceDE/>
              <w:autoSpaceDN/>
              <w:adjustRightInd/>
              <w:rPr>
                <w:color w:val="000000"/>
                <w:sz w:val="20"/>
                <w:szCs w:val="20"/>
              </w:rPr>
            </w:pPr>
            <w:r w:rsidRPr="009D24F1">
              <w:rPr>
                <w:color w:val="000000"/>
                <w:sz w:val="20"/>
                <w:szCs w:val="20"/>
              </w:rPr>
              <w:t xml:space="preserve">Plan </w:t>
            </w:r>
            <w:r w:rsidR="0058364F">
              <w:rPr>
                <w:color w:val="000000"/>
                <w:sz w:val="20"/>
                <w:szCs w:val="20"/>
              </w:rPr>
              <w:t>a</w:t>
            </w:r>
            <w:r w:rsidRPr="009D24F1">
              <w:rPr>
                <w:color w:val="000000"/>
                <w:sz w:val="20"/>
                <w:szCs w:val="20"/>
              </w:rPr>
              <w:t>ctivities</w:t>
            </w:r>
          </w:p>
        </w:tc>
        <w:tc>
          <w:tcPr>
            <w:tcW w:w="2267" w:type="dxa"/>
            <w:gridSpan w:val="2"/>
            <w:tcBorders>
              <w:top w:val="single" w:sz="4" w:space="0" w:color="auto"/>
              <w:left w:val="single" w:sz="4" w:space="0" w:color="auto"/>
              <w:bottom w:val="single" w:sz="4" w:space="0" w:color="auto"/>
              <w:right w:val="nil"/>
            </w:tcBorders>
            <w:shd w:val="clear" w:color="auto" w:fill="auto"/>
            <w:noWrap/>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Included in 3b</w:t>
            </w:r>
          </w:p>
        </w:tc>
        <w:tc>
          <w:tcPr>
            <w:tcW w:w="1123"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3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005"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129"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850" w:type="dxa"/>
            <w:tcBorders>
              <w:top w:val="nil"/>
              <w:left w:val="nil"/>
              <w:bottom w:val="single" w:sz="4" w:space="0" w:color="auto"/>
              <w:right w:val="nil"/>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bottom"/>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 </w:t>
            </w:r>
          </w:p>
        </w:tc>
      </w:tr>
      <w:tr w:rsidR="007A134E" w:rsidRPr="009D24F1" w:rsidTr="007A134E">
        <w:trPr>
          <w:trHeight w:val="557"/>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c.</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58364F">
            <w:pPr>
              <w:widowControl/>
              <w:autoSpaceDE/>
              <w:autoSpaceDN/>
              <w:adjustRightInd/>
              <w:rPr>
                <w:color w:val="000000"/>
                <w:sz w:val="20"/>
                <w:szCs w:val="20"/>
              </w:rPr>
            </w:pPr>
            <w:r w:rsidRPr="009D24F1">
              <w:rPr>
                <w:color w:val="000000"/>
                <w:sz w:val="20"/>
                <w:szCs w:val="20"/>
              </w:rPr>
              <w:t xml:space="preserve">Implement </w:t>
            </w:r>
            <w:r w:rsidR="0058364F">
              <w:rPr>
                <w:color w:val="000000"/>
                <w:sz w:val="20"/>
                <w:szCs w:val="20"/>
              </w:rPr>
              <w:t>a</w:t>
            </w:r>
            <w:r w:rsidRPr="009D24F1">
              <w:rPr>
                <w:color w:val="000000"/>
                <w:sz w:val="20"/>
                <w:szCs w:val="20"/>
              </w:rPr>
              <w:t>ctivities (</w:t>
            </w:r>
            <w:r w:rsidR="0058364F">
              <w:rPr>
                <w:color w:val="000000"/>
                <w:sz w:val="20"/>
                <w:szCs w:val="20"/>
              </w:rPr>
              <w:t>m</w:t>
            </w:r>
            <w:r w:rsidRPr="009D24F1">
              <w:rPr>
                <w:color w:val="000000"/>
                <w:sz w:val="20"/>
                <w:szCs w:val="20"/>
              </w:rPr>
              <w:t xml:space="preserve">onthly </w:t>
            </w:r>
            <w:r w:rsidR="0058364F">
              <w:rPr>
                <w:color w:val="000000"/>
                <w:sz w:val="20"/>
                <w:szCs w:val="20"/>
              </w:rPr>
              <w:t>p</w:t>
            </w:r>
            <w:r w:rsidRPr="009D24F1">
              <w:rPr>
                <w:color w:val="000000"/>
                <w:sz w:val="20"/>
                <w:szCs w:val="20"/>
              </w:rPr>
              <w:t xml:space="preserve">erformance </w:t>
            </w:r>
            <w:r w:rsidR="0058364F">
              <w:rPr>
                <w:color w:val="000000"/>
                <w:sz w:val="20"/>
                <w:szCs w:val="20"/>
              </w:rPr>
              <w:t>t</w:t>
            </w:r>
            <w:r w:rsidRPr="009D24F1">
              <w:rPr>
                <w:color w:val="000000"/>
                <w:sz w:val="20"/>
                <w:szCs w:val="20"/>
              </w:rPr>
              <w:t>est)</w:t>
            </w:r>
            <w:r w:rsidR="0058364F">
              <w:rPr>
                <w:color w:val="000000"/>
                <w:sz w:val="20"/>
                <w:szCs w:val="20"/>
              </w:rPr>
              <w:t xml:space="preserve"> </w:t>
            </w:r>
            <w:r w:rsidR="0058364F" w:rsidRPr="0058364F">
              <w:rPr>
                <w:color w:val="000000"/>
                <w:sz w:val="20"/>
                <w:szCs w:val="20"/>
                <w:vertAlign w:val="superscript"/>
              </w:rPr>
              <w:t>e</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12</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72</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864</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800A6" w:rsidP="009800A6">
            <w:pPr>
              <w:widowControl/>
              <w:autoSpaceDE/>
              <w:autoSpaceDN/>
              <w:adjustRightInd/>
              <w:jc w:val="center"/>
              <w:rPr>
                <w:color w:val="000000"/>
                <w:sz w:val="20"/>
                <w:szCs w:val="20"/>
              </w:rPr>
            </w:pPr>
            <w:r>
              <w:rPr>
                <w:color w:val="000000"/>
                <w:sz w:val="20"/>
                <w:szCs w:val="20"/>
              </w:rPr>
              <w:t>43.2</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800A6" w:rsidP="009800A6">
            <w:pPr>
              <w:widowControl/>
              <w:autoSpaceDE/>
              <w:autoSpaceDN/>
              <w:adjustRightInd/>
              <w:jc w:val="center"/>
              <w:rPr>
                <w:color w:val="000000"/>
                <w:sz w:val="20"/>
                <w:szCs w:val="20"/>
              </w:rPr>
            </w:pPr>
            <w:r>
              <w:rPr>
                <w:color w:val="000000"/>
                <w:sz w:val="20"/>
                <w:szCs w:val="20"/>
              </w:rPr>
              <w:t>86.4</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right"/>
              <w:rPr>
                <w:color w:val="000000"/>
                <w:sz w:val="20"/>
                <w:szCs w:val="20"/>
              </w:rPr>
            </w:pPr>
            <w:r w:rsidRPr="009D24F1">
              <w:rPr>
                <w:color w:val="000000"/>
                <w:sz w:val="20"/>
                <w:szCs w:val="20"/>
              </w:rPr>
              <w:t>$96,208.99</w:t>
            </w:r>
          </w:p>
        </w:tc>
      </w:tr>
      <w:tr w:rsidR="007A134E" w:rsidRPr="009D24F1" w:rsidTr="007A134E">
        <w:trPr>
          <w:trHeight w:val="30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jc w:val="center"/>
              <w:rPr>
                <w:color w:val="000000"/>
                <w:sz w:val="20"/>
                <w:szCs w:val="20"/>
              </w:rPr>
            </w:pPr>
            <w:r w:rsidRPr="009D24F1">
              <w:rPr>
                <w:color w:val="000000"/>
                <w:sz w:val="20"/>
                <w:szCs w:val="20"/>
              </w:rPr>
              <w:t>d.</w:t>
            </w:r>
          </w:p>
        </w:tc>
        <w:tc>
          <w:tcPr>
            <w:tcW w:w="3503" w:type="dxa"/>
            <w:gridSpan w:val="2"/>
            <w:tcBorders>
              <w:top w:val="single" w:sz="4" w:space="0" w:color="auto"/>
              <w:left w:val="nil"/>
              <w:bottom w:val="single" w:sz="4" w:space="0" w:color="auto"/>
              <w:right w:val="single" w:sz="4" w:space="0" w:color="000000"/>
            </w:tcBorders>
            <w:shd w:val="clear" w:color="auto" w:fill="auto"/>
            <w:hideMark/>
          </w:tcPr>
          <w:p w:rsidR="009D24F1" w:rsidRPr="009D24F1" w:rsidRDefault="009D24F1" w:rsidP="0058364F">
            <w:pPr>
              <w:widowControl/>
              <w:autoSpaceDE/>
              <w:autoSpaceDN/>
              <w:adjustRightInd/>
              <w:rPr>
                <w:color w:val="000000"/>
                <w:sz w:val="20"/>
                <w:szCs w:val="20"/>
              </w:rPr>
            </w:pPr>
            <w:r w:rsidRPr="009D24F1">
              <w:rPr>
                <w:color w:val="000000"/>
                <w:sz w:val="20"/>
                <w:szCs w:val="20"/>
              </w:rPr>
              <w:t xml:space="preserve">Develop </w:t>
            </w:r>
            <w:r w:rsidR="0058364F">
              <w:rPr>
                <w:color w:val="000000"/>
                <w:sz w:val="20"/>
                <w:szCs w:val="20"/>
              </w:rPr>
              <w:t>r</w:t>
            </w:r>
            <w:r w:rsidRPr="009D24F1">
              <w:rPr>
                <w:color w:val="000000"/>
                <w:sz w:val="20"/>
                <w:szCs w:val="20"/>
              </w:rPr>
              <w:t xml:space="preserve">ecord </w:t>
            </w:r>
            <w:r w:rsidR="0058364F">
              <w:rPr>
                <w:color w:val="000000"/>
                <w:sz w:val="20"/>
                <w:szCs w:val="20"/>
              </w:rPr>
              <w:t>s</w:t>
            </w:r>
            <w:r w:rsidRPr="009D24F1">
              <w:rPr>
                <w:color w:val="000000"/>
                <w:sz w:val="20"/>
                <w:szCs w:val="20"/>
              </w:rPr>
              <w:t>ystem</w:t>
            </w:r>
          </w:p>
        </w:tc>
        <w:tc>
          <w:tcPr>
            <w:tcW w:w="1051"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1216"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1123"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1239"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1005"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1129"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850" w:type="dxa"/>
            <w:tcBorders>
              <w:top w:val="nil"/>
              <w:left w:val="nil"/>
              <w:bottom w:val="single" w:sz="4" w:space="0" w:color="auto"/>
              <w:right w:val="nil"/>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right"/>
              <w:rPr>
                <w:color w:val="000000"/>
                <w:sz w:val="20"/>
                <w:szCs w:val="20"/>
              </w:rPr>
            </w:pPr>
            <w:r w:rsidRPr="009D24F1">
              <w:rPr>
                <w:color w:val="000000"/>
                <w:sz w:val="20"/>
                <w:szCs w:val="20"/>
              </w:rPr>
              <w:t> </w:t>
            </w:r>
          </w:p>
        </w:tc>
      </w:tr>
      <w:tr w:rsidR="007A134E" w:rsidRPr="009D24F1" w:rsidTr="00622E9B">
        <w:trPr>
          <w:trHeight w:val="260"/>
          <w:jc w:val="center"/>
        </w:trPr>
        <w:tc>
          <w:tcPr>
            <w:tcW w:w="381" w:type="dxa"/>
            <w:tcBorders>
              <w:top w:val="nil"/>
              <w:left w:val="single" w:sz="4" w:space="0" w:color="auto"/>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lastRenderedPageBreak/>
              <w:t> </w:t>
            </w:r>
          </w:p>
        </w:tc>
        <w:tc>
          <w:tcPr>
            <w:tcW w:w="3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266" w:type="dxa"/>
            <w:tcBorders>
              <w:top w:val="nil"/>
              <w:left w:val="nil"/>
              <w:bottom w:val="single" w:sz="4" w:space="0" w:color="auto"/>
              <w:right w:val="single" w:sz="4" w:space="0" w:color="auto"/>
            </w:tcBorders>
            <w:shd w:val="clear" w:color="auto" w:fill="auto"/>
            <w:hideMark/>
          </w:tcPr>
          <w:p w:rsidR="009D24F1" w:rsidRPr="009D24F1" w:rsidRDefault="009D24F1" w:rsidP="009D24F1">
            <w:pPr>
              <w:widowControl/>
              <w:autoSpaceDE/>
              <w:autoSpaceDN/>
              <w:adjustRightInd/>
              <w:rPr>
                <w:color w:val="000000"/>
                <w:sz w:val="20"/>
                <w:szCs w:val="20"/>
              </w:rPr>
            </w:pPr>
            <w:r w:rsidRPr="009D24F1">
              <w:rPr>
                <w:color w:val="000000"/>
                <w:sz w:val="20"/>
                <w:szCs w:val="20"/>
              </w:rPr>
              <w:t> </w:t>
            </w:r>
          </w:p>
        </w:tc>
        <w:tc>
          <w:tcPr>
            <w:tcW w:w="3237" w:type="dxa"/>
            <w:tcBorders>
              <w:top w:val="nil"/>
              <w:left w:val="nil"/>
              <w:bottom w:val="single" w:sz="4" w:space="0" w:color="auto"/>
              <w:right w:val="single" w:sz="4" w:space="0" w:color="auto"/>
            </w:tcBorders>
            <w:shd w:val="clear" w:color="auto" w:fill="auto"/>
            <w:hideMark/>
          </w:tcPr>
          <w:p w:rsidR="009D24F1" w:rsidRPr="009D24F1" w:rsidRDefault="009D24F1" w:rsidP="0058364F">
            <w:pPr>
              <w:widowControl/>
              <w:autoSpaceDE/>
              <w:autoSpaceDN/>
              <w:adjustRightInd/>
              <w:rPr>
                <w:color w:val="000000"/>
                <w:sz w:val="20"/>
                <w:szCs w:val="20"/>
              </w:rPr>
            </w:pPr>
            <w:r w:rsidRPr="009D24F1">
              <w:rPr>
                <w:color w:val="000000"/>
                <w:sz w:val="20"/>
                <w:szCs w:val="20"/>
              </w:rPr>
              <w:t xml:space="preserve">Records of </w:t>
            </w:r>
            <w:r w:rsidR="0058364F">
              <w:rPr>
                <w:color w:val="000000"/>
                <w:sz w:val="20"/>
                <w:szCs w:val="20"/>
              </w:rPr>
              <w:t>o</w:t>
            </w:r>
            <w:r w:rsidRPr="009D24F1">
              <w:rPr>
                <w:color w:val="000000"/>
                <w:sz w:val="20"/>
                <w:szCs w:val="20"/>
              </w:rPr>
              <w:t xml:space="preserve">perating </w:t>
            </w:r>
            <w:r w:rsidR="0058364F">
              <w:rPr>
                <w:color w:val="000000"/>
                <w:sz w:val="20"/>
                <w:szCs w:val="20"/>
              </w:rPr>
              <w:t>p</w:t>
            </w:r>
            <w:r w:rsidRPr="009D24F1">
              <w:rPr>
                <w:color w:val="000000"/>
                <w:sz w:val="20"/>
                <w:szCs w:val="20"/>
              </w:rPr>
              <w:t>arameter</w:t>
            </w:r>
            <w:r w:rsidR="0058364F">
              <w:rPr>
                <w:color w:val="000000"/>
                <w:sz w:val="20"/>
                <w:szCs w:val="20"/>
              </w:rPr>
              <w:t xml:space="preserve"> </w:t>
            </w:r>
            <w:r w:rsidR="0058364F" w:rsidRPr="0058364F">
              <w:rPr>
                <w:color w:val="000000"/>
                <w:sz w:val="20"/>
                <w:szCs w:val="20"/>
                <w:vertAlign w:val="superscript"/>
              </w:rPr>
              <w:t>f</w:t>
            </w:r>
          </w:p>
        </w:tc>
        <w:tc>
          <w:tcPr>
            <w:tcW w:w="1051"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0.25</w:t>
            </w:r>
          </w:p>
        </w:tc>
        <w:tc>
          <w:tcPr>
            <w:tcW w:w="1216"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250</w:t>
            </w:r>
          </w:p>
        </w:tc>
        <w:tc>
          <w:tcPr>
            <w:tcW w:w="1123" w:type="dxa"/>
            <w:tcBorders>
              <w:top w:val="nil"/>
              <w:left w:val="nil"/>
              <w:bottom w:val="single" w:sz="4" w:space="0" w:color="auto"/>
              <w:right w:val="single" w:sz="4" w:space="0" w:color="auto"/>
            </w:tcBorders>
            <w:shd w:val="clear" w:color="auto" w:fill="auto"/>
            <w:vAlign w:val="center"/>
            <w:hideMark/>
          </w:tcPr>
          <w:p w:rsidR="009D24F1" w:rsidRPr="009D24F1" w:rsidRDefault="009800A6" w:rsidP="009800A6">
            <w:pPr>
              <w:widowControl/>
              <w:autoSpaceDE/>
              <w:autoSpaceDN/>
              <w:adjustRightInd/>
              <w:jc w:val="center"/>
              <w:rPr>
                <w:color w:val="000000"/>
                <w:sz w:val="20"/>
                <w:szCs w:val="20"/>
              </w:rPr>
            </w:pPr>
            <w:r>
              <w:rPr>
                <w:color w:val="000000"/>
                <w:sz w:val="20"/>
                <w:szCs w:val="20"/>
              </w:rPr>
              <w:t>62.5</w:t>
            </w:r>
          </w:p>
        </w:tc>
        <w:tc>
          <w:tcPr>
            <w:tcW w:w="123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72</w:t>
            </w:r>
          </w:p>
        </w:tc>
        <w:tc>
          <w:tcPr>
            <w:tcW w:w="1005"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4,500</w:t>
            </w:r>
          </w:p>
        </w:tc>
        <w:tc>
          <w:tcPr>
            <w:tcW w:w="1129"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225</w:t>
            </w:r>
          </w:p>
        </w:tc>
        <w:tc>
          <w:tcPr>
            <w:tcW w:w="850"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center"/>
              <w:rPr>
                <w:color w:val="000000"/>
                <w:sz w:val="20"/>
                <w:szCs w:val="20"/>
              </w:rPr>
            </w:pPr>
            <w:r w:rsidRPr="009D24F1">
              <w:rPr>
                <w:color w:val="000000"/>
                <w:sz w:val="20"/>
                <w:szCs w:val="20"/>
              </w:rPr>
              <w:t>450</w:t>
            </w:r>
          </w:p>
        </w:tc>
        <w:tc>
          <w:tcPr>
            <w:tcW w:w="1227" w:type="dxa"/>
            <w:tcBorders>
              <w:top w:val="nil"/>
              <w:left w:val="nil"/>
              <w:bottom w:val="single" w:sz="4" w:space="0" w:color="auto"/>
              <w:right w:val="single" w:sz="4" w:space="0" w:color="auto"/>
            </w:tcBorders>
            <w:shd w:val="clear" w:color="auto" w:fill="auto"/>
            <w:vAlign w:val="center"/>
            <w:hideMark/>
          </w:tcPr>
          <w:p w:rsidR="009D24F1" w:rsidRPr="009D24F1" w:rsidRDefault="009D24F1" w:rsidP="009800A6">
            <w:pPr>
              <w:widowControl/>
              <w:autoSpaceDE/>
              <w:autoSpaceDN/>
              <w:adjustRightInd/>
              <w:jc w:val="right"/>
              <w:rPr>
                <w:color w:val="000000"/>
                <w:sz w:val="20"/>
                <w:szCs w:val="20"/>
              </w:rPr>
            </w:pPr>
            <w:r w:rsidRPr="009D24F1">
              <w:rPr>
                <w:color w:val="000000"/>
                <w:sz w:val="20"/>
                <w:szCs w:val="20"/>
              </w:rPr>
              <w:t>$501,088.50</w:t>
            </w:r>
          </w:p>
        </w:tc>
      </w:tr>
      <w:tr w:rsidR="007A134E" w:rsidRPr="00B16903" w:rsidTr="007A134E">
        <w:trPr>
          <w:trHeight w:val="300"/>
          <w:jc w:val="center"/>
        </w:trPr>
        <w:tc>
          <w:tcPr>
            <w:tcW w:w="425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34BE3" w:rsidRPr="00B16903" w:rsidRDefault="00D026B9" w:rsidP="00D026B9">
            <w:pPr>
              <w:widowControl/>
              <w:autoSpaceDE/>
              <w:autoSpaceDN/>
              <w:adjustRightInd/>
              <w:rPr>
                <w:b/>
                <w:color w:val="000000"/>
                <w:sz w:val="20"/>
                <w:szCs w:val="20"/>
              </w:rPr>
            </w:pPr>
            <w:r>
              <w:rPr>
                <w:b/>
                <w:color w:val="000000"/>
                <w:sz w:val="20"/>
                <w:szCs w:val="20"/>
              </w:rPr>
              <w:t xml:space="preserve">Subtotal for Recordkeeping Requirements   </w:t>
            </w:r>
          </w:p>
        </w:tc>
        <w:tc>
          <w:tcPr>
            <w:tcW w:w="1051"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1216"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1123"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1239"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2984" w:type="dxa"/>
            <w:gridSpan w:val="3"/>
            <w:tcBorders>
              <w:top w:val="nil"/>
              <w:left w:val="single" w:sz="4" w:space="0" w:color="auto"/>
              <w:bottom w:val="single" w:sz="4" w:space="0" w:color="auto"/>
              <w:right w:val="single" w:sz="4" w:space="0" w:color="auto"/>
            </w:tcBorders>
            <w:shd w:val="clear" w:color="auto" w:fill="auto"/>
            <w:vAlign w:val="center"/>
            <w:hideMark/>
          </w:tcPr>
          <w:p w:rsidR="00F34BE3" w:rsidRPr="00B16903" w:rsidRDefault="00F34BE3" w:rsidP="005B045D">
            <w:pPr>
              <w:widowControl/>
              <w:autoSpaceDE/>
              <w:autoSpaceDN/>
              <w:adjustRightInd/>
              <w:jc w:val="center"/>
              <w:rPr>
                <w:b/>
                <w:color w:val="000000"/>
                <w:sz w:val="20"/>
                <w:szCs w:val="20"/>
              </w:rPr>
            </w:pPr>
            <w:r w:rsidRPr="00B16903">
              <w:rPr>
                <w:b/>
                <w:color w:val="000000"/>
                <w:sz w:val="20"/>
                <w:szCs w:val="20"/>
              </w:rPr>
              <w:t>6,16</w:t>
            </w:r>
            <w:r w:rsidR="005B045D">
              <w:rPr>
                <w:b/>
                <w:color w:val="000000"/>
                <w:sz w:val="20"/>
                <w:szCs w:val="20"/>
              </w:rPr>
              <w:t>8.6</w:t>
            </w:r>
          </w:p>
        </w:tc>
        <w:tc>
          <w:tcPr>
            <w:tcW w:w="1227" w:type="dxa"/>
            <w:tcBorders>
              <w:top w:val="nil"/>
              <w:left w:val="nil"/>
              <w:bottom w:val="single" w:sz="4" w:space="0" w:color="auto"/>
              <w:right w:val="single" w:sz="4" w:space="0" w:color="auto"/>
            </w:tcBorders>
            <w:shd w:val="clear" w:color="auto" w:fill="auto"/>
            <w:vAlign w:val="center"/>
            <w:hideMark/>
          </w:tcPr>
          <w:p w:rsidR="00F34BE3" w:rsidRPr="00B16903" w:rsidRDefault="00F34BE3" w:rsidP="009800A6">
            <w:pPr>
              <w:widowControl/>
              <w:autoSpaceDE/>
              <w:autoSpaceDN/>
              <w:adjustRightInd/>
              <w:jc w:val="right"/>
              <w:rPr>
                <w:b/>
                <w:color w:val="000000"/>
                <w:sz w:val="20"/>
                <w:szCs w:val="20"/>
              </w:rPr>
            </w:pPr>
            <w:r w:rsidRPr="00B16903">
              <w:rPr>
                <w:b/>
                <w:color w:val="000000"/>
                <w:sz w:val="20"/>
                <w:szCs w:val="20"/>
              </w:rPr>
              <w:t>$597,297.49</w:t>
            </w:r>
          </w:p>
        </w:tc>
      </w:tr>
      <w:tr w:rsidR="007A134E" w:rsidRPr="00B16903" w:rsidTr="007A134E">
        <w:trPr>
          <w:trHeight w:val="300"/>
          <w:jc w:val="center"/>
        </w:trPr>
        <w:tc>
          <w:tcPr>
            <w:tcW w:w="425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34BE3" w:rsidRPr="00B16903" w:rsidRDefault="00981595" w:rsidP="00981595">
            <w:pPr>
              <w:widowControl/>
              <w:autoSpaceDE/>
              <w:autoSpaceDN/>
              <w:adjustRightInd/>
              <w:rPr>
                <w:b/>
                <w:color w:val="000000"/>
                <w:sz w:val="20"/>
                <w:szCs w:val="20"/>
              </w:rPr>
            </w:pPr>
            <w:r>
              <w:rPr>
                <w:b/>
                <w:color w:val="000000"/>
                <w:sz w:val="20"/>
                <w:szCs w:val="20"/>
              </w:rPr>
              <w:t>TOTAL LABOR BURDEN AND COST (rounded)</w:t>
            </w:r>
          </w:p>
        </w:tc>
        <w:tc>
          <w:tcPr>
            <w:tcW w:w="1051"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1216"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1123"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1239" w:type="dxa"/>
            <w:tcBorders>
              <w:top w:val="nil"/>
              <w:left w:val="nil"/>
              <w:bottom w:val="single" w:sz="4" w:space="0" w:color="auto"/>
              <w:right w:val="nil"/>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p>
        </w:tc>
        <w:tc>
          <w:tcPr>
            <w:tcW w:w="2984" w:type="dxa"/>
            <w:gridSpan w:val="3"/>
            <w:tcBorders>
              <w:top w:val="nil"/>
              <w:left w:val="single" w:sz="4" w:space="0" w:color="auto"/>
              <w:bottom w:val="single" w:sz="4" w:space="0" w:color="auto"/>
              <w:right w:val="single" w:sz="4" w:space="0" w:color="auto"/>
            </w:tcBorders>
            <w:shd w:val="clear" w:color="auto" w:fill="auto"/>
            <w:vAlign w:val="center"/>
            <w:hideMark/>
          </w:tcPr>
          <w:p w:rsidR="00F34BE3" w:rsidRPr="00B16903" w:rsidRDefault="00F34BE3" w:rsidP="009800A6">
            <w:pPr>
              <w:widowControl/>
              <w:autoSpaceDE/>
              <w:autoSpaceDN/>
              <w:adjustRightInd/>
              <w:jc w:val="center"/>
              <w:rPr>
                <w:b/>
                <w:color w:val="000000"/>
                <w:sz w:val="20"/>
                <w:szCs w:val="20"/>
              </w:rPr>
            </w:pPr>
            <w:r w:rsidRPr="00B16903">
              <w:rPr>
                <w:b/>
                <w:color w:val="000000"/>
                <w:sz w:val="20"/>
                <w:szCs w:val="20"/>
              </w:rPr>
              <w:t>7,659</w:t>
            </w:r>
          </w:p>
        </w:tc>
        <w:tc>
          <w:tcPr>
            <w:tcW w:w="1227" w:type="dxa"/>
            <w:tcBorders>
              <w:top w:val="nil"/>
              <w:left w:val="nil"/>
              <w:bottom w:val="single" w:sz="4" w:space="0" w:color="auto"/>
              <w:right w:val="single" w:sz="4" w:space="0" w:color="auto"/>
            </w:tcBorders>
            <w:shd w:val="clear" w:color="auto" w:fill="auto"/>
            <w:vAlign w:val="center"/>
            <w:hideMark/>
          </w:tcPr>
          <w:p w:rsidR="00F34BE3" w:rsidRPr="00B16903" w:rsidRDefault="00F34BE3" w:rsidP="005B045D">
            <w:pPr>
              <w:widowControl/>
              <w:autoSpaceDE/>
              <w:autoSpaceDN/>
              <w:adjustRightInd/>
              <w:jc w:val="right"/>
              <w:rPr>
                <w:b/>
                <w:color w:val="000000"/>
                <w:sz w:val="20"/>
                <w:szCs w:val="20"/>
              </w:rPr>
            </w:pPr>
            <w:r w:rsidRPr="00B16903">
              <w:rPr>
                <w:b/>
                <w:color w:val="000000"/>
                <w:sz w:val="20"/>
                <w:szCs w:val="20"/>
              </w:rPr>
              <w:t>$741,611</w:t>
            </w:r>
          </w:p>
        </w:tc>
      </w:tr>
    </w:tbl>
    <w:p w:rsidR="00FC033A" w:rsidRDefault="00FC033A" w:rsidP="009800A6">
      <w:pPr>
        <w:jc w:val="center"/>
        <w:rPr>
          <w:b/>
          <w:bCs/>
          <w:color w:val="000000"/>
        </w:rPr>
      </w:pPr>
    </w:p>
    <w:p w:rsidR="00FC033A" w:rsidRDefault="00FC033A" w:rsidP="00FC033A">
      <w:pPr>
        <w:rPr>
          <w:b/>
          <w:bCs/>
          <w:color w:val="000000"/>
          <w:sz w:val="20"/>
          <w:szCs w:val="20"/>
        </w:rPr>
      </w:pPr>
      <w:r w:rsidRPr="00FC033A">
        <w:rPr>
          <w:b/>
          <w:bCs/>
          <w:color w:val="000000"/>
          <w:sz w:val="20"/>
          <w:szCs w:val="20"/>
        </w:rPr>
        <w:t>Assumptions:</w:t>
      </w:r>
    </w:p>
    <w:p w:rsidR="0058364F" w:rsidRDefault="00FC033A" w:rsidP="00FC033A">
      <w:pPr>
        <w:rPr>
          <w:bCs/>
          <w:color w:val="000000"/>
          <w:sz w:val="20"/>
          <w:szCs w:val="20"/>
        </w:rPr>
      </w:pPr>
      <w:r w:rsidRPr="0058364F">
        <w:rPr>
          <w:bCs/>
          <w:color w:val="000000"/>
          <w:sz w:val="20"/>
          <w:szCs w:val="20"/>
          <w:vertAlign w:val="superscript"/>
        </w:rPr>
        <w:t>a</w:t>
      </w:r>
      <w:r>
        <w:rPr>
          <w:bCs/>
          <w:color w:val="000000"/>
          <w:sz w:val="20"/>
          <w:szCs w:val="20"/>
        </w:rPr>
        <w:t xml:space="preserve">  We have assumed that there are approximately 72 existing sources currently subject to this rule.  There will be no additional new sources that will become subject to the rule over the three-year period of this ICR</w:t>
      </w:r>
      <w:r w:rsidR="0058364F">
        <w:rPr>
          <w:bCs/>
          <w:color w:val="000000"/>
          <w:sz w:val="20"/>
          <w:szCs w:val="20"/>
        </w:rPr>
        <w:t>.</w:t>
      </w:r>
    </w:p>
    <w:p w:rsidR="00520FD2" w:rsidRDefault="00FC033A" w:rsidP="0058364F">
      <w:pPr>
        <w:widowControl/>
        <w:pBdr>
          <w:top w:val="single" w:sz="6" w:space="0" w:color="FFFFFF"/>
          <w:left w:val="single" w:sz="6" w:space="0" w:color="FFFFFF"/>
          <w:bottom w:val="single" w:sz="6" w:space="0" w:color="FFFFFF"/>
          <w:right w:val="single" w:sz="6" w:space="0" w:color="FFFFFF"/>
        </w:pBdr>
        <w:jc w:val="both"/>
        <w:rPr>
          <w:color w:val="000000"/>
          <w:sz w:val="20"/>
        </w:rPr>
      </w:pPr>
      <w:r w:rsidRPr="0058364F">
        <w:rPr>
          <w:bCs/>
          <w:color w:val="000000"/>
          <w:sz w:val="20"/>
          <w:szCs w:val="20"/>
          <w:vertAlign w:val="superscript"/>
        </w:rPr>
        <w:t>b</w:t>
      </w:r>
      <w:r>
        <w:rPr>
          <w:bCs/>
          <w:color w:val="000000"/>
          <w:sz w:val="20"/>
          <w:szCs w:val="20"/>
        </w:rPr>
        <w:t xml:space="preserve">  This ICR uses the following </w:t>
      </w:r>
      <w:r w:rsidR="00520FD2" w:rsidRPr="0070499C">
        <w:rPr>
          <w:color w:val="000000"/>
          <w:sz w:val="20"/>
        </w:rPr>
        <w:t>labor rates:  $121.44 per hour for Executive, Administrative, and Managerial labor; $100.23 per hour for Technical labor, and $50.51 per hour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58364F" w:rsidRDefault="0058364F" w:rsidP="0058364F">
      <w:pPr>
        <w:widowControl/>
        <w:pBdr>
          <w:top w:val="single" w:sz="6" w:space="0" w:color="FFFFFF"/>
          <w:left w:val="single" w:sz="6" w:space="0" w:color="FFFFFF"/>
          <w:bottom w:val="single" w:sz="6" w:space="0" w:color="FFFFFF"/>
          <w:right w:val="single" w:sz="6" w:space="0" w:color="FFFFFF"/>
        </w:pBdr>
        <w:jc w:val="both"/>
        <w:rPr>
          <w:color w:val="000000"/>
          <w:sz w:val="20"/>
        </w:rPr>
      </w:pPr>
      <w:r w:rsidRPr="0058364F">
        <w:rPr>
          <w:color w:val="000000"/>
          <w:sz w:val="20"/>
          <w:vertAlign w:val="superscript"/>
        </w:rPr>
        <w:t>c</w:t>
      </w:r>
      <w:r>
        <w:rPr>
          <w:color w:val="000000"/>
          <w:sz w:val="20"/>
        </w:rPr>
        <w:t xml:space="preserve">  We have assumed that each respondent will take 5 hours twice per year to write the semiannual report.</w:t>
      </w:r>
    </w:p>
    <w:p w:rsidR="0058364F" w:rsidRDefault="0058364F" w:rsidP="0058364F">
      <w:pPr>
        <w:widowControl/>
        <w:pBdr>
          <w:top w:val="single" w:sz="6" w:space="0" w:color="FFFFFF"/>
          <w:left w:val="single" w:sz="6" w:space="0" w:color="FFFFFF"/>
          <w:bottom w:val="single" w:sz="6" w:space="0" w:color="FFFFFF"/>
          <w:right w:val="single" w:sz="6" w:space="0" w:color="FFFFFF"/>
        </w:pBdr>
        <w:jc w:val="both"/>
        <w:rPr>
          <w:color w:val="000000"/>
          <w:sz w:val="20"/>
        </w:rPr>
      </w:pPr>
      <w:r w:rsidRPr="0058364F">
        <w:rPr>
          <w:color w:val="000000"/>
          <w:sz w:val="20"/>
          <w:vertAlign w:val="superscript"/>
        </w:rPr>
        <w:t>d</w:t>
      </w:r>
      <w:r>
        <w:rPr>
          <w:color w:val="000000"/>
          <w:sz w:val="20"/>
        </w:rPr>
        <w:t xml:space="preserve">  We have assumed that each respondent will take 4 hours twice per year to write the temperature variance report.</w:t>
      </w:r>
    </w:p>
    <w:p w:rsidR="0058364F" w:rsidRDefault="0058364F" w:rsidP="0058364F">
      <w:pPr>
        <w:widowControl/>
        <w:pBdr>
          <w:top w:val="single" w:sz="6" w:space="0" w:color="FFFFFF"/>
          <w:left w:val="single" w:sz="6" w:space="0" w:color="FFFFFF"/>
          <w:bottom w:val="single" w:sz="6" w:space="0" w:color="FFFFFF"/>
          <w:right w:val="single" w:sz="6" w:space="0" w:color="FFFFFF"/>
        </w:pBdr>
        <w:jc w:val="both"/>
        <w:rPr>
          <w:color w:val="000000"/>
          <w:sz w:val="20"/>
        </w:rPr>
      </w:pPr>
      <w:r w:rsidRPr="0058364F">
        <w:rPr>
          <w:color w:val="000000"/>
          <w:sz w:val="20"/>
          <w:vertAlign w:val="superscript"/>
        </w:rPr>
        <w:t>e</w:t>
      </w:r>
      <w:r>
        <w:rPr>
          <w:color w:val="000000"/>
          <w:sz w:val="20"/>
        </w:rPr>
        <w:t xml:space="preserve">  We have assumed that each respondent will take one hour once per month to record monthly performance tests.</w:t>
      </w:r>
    </w:p>
    <w:p w:rsidR="0058364F" w:rsidRDefault="0058364F" w:rsidP="0058364F">
      <w:pPr>
        <w:widowControl/>
        <w:pBdr>
          <w:top w:val="single" w:sz="6" w:space="0" w:color="FFFFFF"/>
          <w:left w:val="single" w:sz="6" w:space="0" w:color="FFFFFF"/>
          <w:bottom w:val="single" w:sz="6" w:space="0" w:color="FFFFFF"/>
          <w:right w:val="single" w:sz="6" w:space="0" w:color="FFFFFF"/>
        </w:pBdr>
        <w:jc w:val="both"/>
        <w:rPr>
          <w:color w:val="000000"/>
          <w:sz w:val="20"/>
        </w:rPr>
      </w:pPr>
      <w:r w:rsidRPr="0058364F">
        <w:rPr>
          <w:color w:val="000000"/>
          <w:sz w:val="20"/>
          <w:vertAlign w:val="superscript"/>
        </w:rPr>
        <w:t>f</w:t>
      </w:r>
      <w:r>
        <w:rPr>
          <w:color w:val="000000"/>
          <w:sz w:val="20"/>
        </w:rPr>
        <w:t xml:space="preserve">  We have assumed that each respondent will take 0.25 hours 250 times per year to record operating parameter.</w:t>
      </w:r>
    </w:p>
    <w:p w:rsidR="0058364F" w:rsidRDefault="0058364F" w:rsidP="0058364F">
      <w:pPr>
        <w:widowControl/>
        <w:pBdr>
          <w:top w:val="single" w:sz="6" w:space="0" w:color="FFFFFF"/>
          <w:left w:val="single" w:sz="6" w:space="0" w:color="FFFFFF"/>
          <w:bottom w:val="single" w:sz="6" w:space="0" w:color="FFFFFF"/>
          <w:right w:val="single" w:sz="6" w:space="0" w:color="FFFFFF"/>
        </w:pBdr>
        <w:jc w:val="both"/>
        <w:rPr>
          <w:color w:val="000000"/>
          <w:sz w:val="20"/>
        </w:rPr>
      </w:pPr>
    </w:p>
    <w:p w:rsidR="0058364F" w:rsidRPr="0070499C" w:rsidRDefault="0058364F" w:rsidP="0058364F">
      <w:pPr>
        <w:widowControl/>
        <w:pBdr>
          <w:top w:val="single" w:sz="6" w:space="0" w:color="FFFFFF"/>
          <w:left w:val="single" w:sz="6" w:space="0" w:color="FFFFFF"/>
          <w:bottom w:val="single" w:sz="6" w:space="0" w:color="FFFFFF"/>
          <w:right w:val="single" w:sz="6" w:space="0" w:color="FFFFFF"/>
        </w:pBdr>
        <w:jc w:val="both"/>
        <w:rPr>
          <w:color w:val="000000"/>
          <w:sz w:val="20"/>
        </w:rPr>
      </w:pPr>
    </w:p>
    <w:p w:rsidR="00FC033A" w:rsidRPr="00FC033A" w:rsidRDefault="00FC033A" w:rsidP="0058364F">
      <w:pPr>
        <w:jc w:val="both"/>
        <w:rPr>
          <w:bCs/>
          <w:color w:val="000000"/>
        </w:rPr>
      </w:pPr>
    </w:p>
    <w:p w:rsidR="00144F35" w:rsidRDefault="00144F35" w:rsidP="006A185A">
      <w:pPr>
        <w:jc w:val="both"/>
        <w:rPr>
          <w:b/>
          <w:bCs/>
          <w:color w:val="000000"/>
        </w:rPr>
      </w:pPr>
      <w:r w:rsidRPr="00C448DE">
        <w:rPr>
          <w:b/>
          <w:bCs/>
          <w:color w:val="000000"/>
        </w:rPr>
        <w:br w:type="page"/>
      </w:r>
      <w:r w:rsidR="0053596E" w:rsidRPr="00C448DE">
        <w:rPr>
          <w:b/>
          <w:bCs/>
          <w:color w:val="000000"/>
        </w:rPr>
        <w:lastRenderedPageBreak/>
        <w:t>Table 2: Average Annual EPA Burden and Cost – NSPS for Surface Coating of Large Appliances (40 CFR Part 60, Subpart SS) (Renewal)</w:t>
      </w:r>
    </w:p>
    <w:p w:rsidR="006A185A" w:rsidRDefault="006A185A" w:rsidP="006A185A">
      <w:pPr>
        <w:jc w:val="both"/>
        <w:rPr>
          <w:b/>
          <w:bCs/>
          <w:color w:val="000000"/>
        </w:rPr>
      </w:pPr>
    </w:p>
    <w:tbl>
      <w:tblPr>
        <w:tblW w:w="5098" w:type="pct"/>
        <w:tblCellMar>
          <w:left w:w="0" w:type="dxa"/>
          <w:right w:w="0" w:type="dxa"/>
        </w:tblCellMar>
        <w:tblLook w:val="04A0"/>
      </w:tblPr>
      <w:tblGrid>
        <w:gridCol w:w="3616"/>
        <w:gridCol w:w="1168"/>
        <w:gridCol w:w="1259"/>
        <w:gridCol w:w="1171"/>
        <w:gridCol w:w="1080"/>
        <w:gridCol w:w="1259"/>
        <w:gridCol w:w="1261"/>
        <w:gridCol w:w="1216"/>
        <w:gridCol w:w="1304"/>
      </w:tblGrid>
      <w:tr w:rsidR="009800A6" w:rsidTr="006A185A">
        <w:trPr>
          <w:trHeight w:val="1020"/>
        </w:trPr>
        <w:tc>
          <w:tcPr>
            <w:tcW w:w="1356"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hideMark/>
          </w:tcPr>
          <w:p w:rsidR="006A185A" w:rsidRDefault="006A185A">
            <w:pPr>
              <w:jc w:val="center"/>
              <w:rPr>
                <w:color w:val="000000"/>
                <w:sz w:val="20"/>
                <w:szCs w:val="20"/>
              </w:rPr>
            </w:pPr>
          </w:p>
          <w:p w:rsidR="006A185A" w:rsidRDefault="006A185A">
            <w:pPr>
              <w:jc w:val="center"/>
              <w:rPr>
                <w:color w:val="000000"/>
                <w:sz w:val="20"/>
                <w:szCs w:val="20"/>
              </w:rPr>
            </w:pPr>
          </w:p>
          <w:p w:rsidR="00775C59" w:rsidRDefault="006A185A">
            <w:pPr>
              <w:jc w:val="center"/>
              <w:rPr>
                <w:color w:val="000000"/>
                <w:sz w:val="20"/>
                <w:szCs w:val="20"/>
              </w:rPr>
            </w:pPr>
            <w:r>
              <w:rPr>
                <w:color w:val="000000"/>
                <w:sz w:val="20"/>
                <w:szCs w:val="20"/>
              </w:rPr>
              <w:t>Activity</w:t>
            </w:r>
          </w:p>
        </w:tc>
        <w:tc>
          <w:tcPr>
            <w:tcW w:w="438"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(A)</w:t>
            </w:r>
          </w:p>
          <w:p w:rsidR="006A185A" w:rsidRDefault="00775C59">
            <w:pPr>
              <w:jc w:val="center"/>
              <w:rPr>
                <w:color w:val="000000"/>
                <w:sz w:val="20"/>
                <w:szCs w:val="20"/>
              </w:rPr>
            </w:pPr>
            <w:r>
              <w:rPr>
                <w:color w:val="000000"/>
                <w:sz w:val="20"/>
                <w:szCs w:val="20"/>
              </w:rPr>
              <w:t xml:space="preserve">EPA </w:t>
            </w:r>
            <w:r w:rsidR="006A185A">
              <w:rPr>
                <w:color w:val="000000"/>
                <w:sz w:val="20"/>
                <w:szCs w:val="20"/>
              </w:rPr>
              <w:t xml:space="preserve"> </w:t>
            </w:r>
          </w:p>
          <w:p w:rsidR="006A185A" w:rsidRDefault="006A185A">
            <w:pPr>
              <w:jc w:val="center"/>
              <w:rPr>
                <w:color w:val="000000"/>
                <w:sz w:val="20"/>
                <w:szCs w:val="20"/>
              </w:rPr>
            </w:pPr>
            <w:r>
              <w:rPr>
                <w:color w:val="000000"/>
                <w:sz w:val="20"/>
                <w:szCs w:val="20"/>
              </w:rPr>
              <w:t>person-</w:t>
            </w:r>
          </w:p>
          <w:p w:rsidR="006A185A" w:rsidRDefault="006A185A">
            <w:pPr>
              <w:jc w:val="center"/>
              <w:rPr>
                <w:color w:val="000000"/>
                <w:sz w:val="20"/>
                <w:szCs w:val="20"/>
              </w:rPr>
            </w:pPr>
            <w:r>
              <w:rPr>
                <w:color w:val="000000"/>
                <w:sz w:val="20"/>
                <w:szCs w:val="20"/>
              </w:rPr>
              <w:t>h</w:t>
            </w:r>
            <w:r w:rsidR="00775C59">
              <w:rPr>
                <w:color w:val="000000"/>
                <w:sz w:val="20"/>
                <w:szCs w:val="20"/>
              </w:rPr>
              <w:t>ours</w:t>
            </w:r>
            <w:r w:rsidR="009800A6">
              <w:rPr>
                <w:color w:val="000000"/>
                <w:sz w:val="20"/>
                <w:szCs w:val="20"/>
              </w:rPr>
              <w:t xml:space="preserve"> </w:t>
            </w:r>
            <w:r>
              <w:rPr>
                <w:color w:val="000000"/>
                <w:sz w:val="20"/>
                <w:szCs w:val="20"/>
              </w:rPr>
              <w:t xml:space="preserve">per </w:t>
            </w:r>
          </w:p>
          <w:p w:rsidR="00775C59" w:rsidRDefault="006A185A" w:rsidP="006A185A">
            <w:pPr>
              <w:jc w:val="center"/>
              <w:rPr>
                <w:color w:val="000000"/>
                <w:sz w:val="20"/>
                <w:szCs w:val="20"/>
              </w:rPr>
            </w:pPr>
            <w:r>
              <w:rPr>
                <w:color w:val="000000"/>
                <w:sz w:val="20"/>
                <w:szCs w:val="20"/>
              </w:rPr>
              <w:t>o</w:t>
            </w:r>
            <w:r w:rsidR="00775C59">
              <w:rPr>
                <w:color w:val="000000"/>
                <w:sz w:val="20"/>
                <w:szCs w:val="20"/>
              </w:rPr>
              <w:t xml:space="preserve">ccurrence    </w:t>
            </w:r>
          </w:p>
        </w:tc>
        <w:tc>
          <w:tcPr>
            <w:tcW w:w="472"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(B)</w:t>
            </w:r>
          </w:p>
          <w:p w:rsidR="006A185A" w:rsidRDefault="006A185A" w:rsidP="008B5FF7">
            <w:pPr>
              <w:jc w:val="center"/>
              <w:rPr>
                <w:color w:val="000000"/>
                <w:sz w:val="20"/>
                <w:szCs w:val="20"/>
              </w:rPr>
            </w:pPr>
            <w:r>
              <w:rPr>
                <w:color w:val="000000"/>
                <w:sz w:val="20"/>
                <w:szCs w:val="20"/>
              </w:rPr>
              <w:t>No. of</w:t>
            </w:r>
          </w:p>
          <w:p w:rsidR="006A185A" w:rsidRDefault="00775C59" w:rsidP="008B5FF7">
            <w:pPr>
              <w:jc w:val="center"/>
              <w:rPr>
                <w:color w:val="000000"/>
                <w:sz w:val="20"/>
                <w:szCs w:val="20"/>
              </w:rPr>
            </w:pPr>
            <w:r>
              <w:rPr>
                <w:color w:val="000000"/>
                <w:sz w:val="20"/>
                <w:szCs w:val="20"/>
              </w:rPr>
              <w:t>Occurrences</w:t>
            </w:r>
            <w:r w:rsidR="009800A6">
              <w:rPr>
                <w:color w:val="000000"/>
                <w:sz w:val="20"/>
                <w:szCs w:val="20"/>
              </w:rPr>
              <w:t xml:space="preserve"> </w:t>
            </w:r>
          </w:p>
          <w:p w:rsidR="006A185A" w:rsidRDefault="006A185A" w:rsidP="006A185A">
            <w:pPr>
              <w:jc w:val="center"/>
              <w:rPr>
                <w:color w:val="000000"/>
                <w:sz w:val="20"/>
                <w:szCs w:val="20"/>
              </w:rPr>
            </w:pPr>
            <w:r>
              <w:rPr>
                <w:color w:val="000000"/>
                <w:sz w:val="20"/>
                <w:szCs w:val="20"/>
              </w:rPr>
              <w:t xml:space="preserve"> per p</w:t>
            </w:r>
            <w:r w:rsidR="00775C59">
              <w:rPr>
                <w:color w:val="000000"/>
                <w:sz w:val="20"/>
                <w:szCs w:val="20"/>
              </w:rPr>
              <w:t>lant</w:t>
            </w:r>
          </w:p>
          <w:p w:rsidR="00775C59" w:rsidRDefault="006A185A" w:rsidP="006A185A">
            <w:pPr>
              <w:jc w:val="center"/>
              <w:rPr>
                <w:color w:val="000000"/>
                <w:sz w:val="20"/>
                <w:szCs w:val="20"/>
              </w:rPr>
            </w:pPr>
            <w:r>
              <w:rPr>
                <w:color w:val="000000"/>
                <w:sz w:val="20"/>
                <w:szCs w:val="20"/>
              </w:rPr>
              <w:t>per y</w:t>
            </w:r>
            <w:r w:rsidR="00775C59">
              <w:rPr>
                <w:color w:val="000000"/>
                <w:sz w:val="20"/>
                <w:szCs w:val="20"/>
              </w:rPr>
              <w:t xml:space="preserve">ear    </w:t>
            </w:r>
          </w:p>
        </w:tc>
        <w:tc>
          <w:tcPr>
            <w:tcW w:w="439"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(C)</w:t>
            </w:r>
          </w:p>
          <w:p w:rsidR="006A185A" w:rsidRDefault="00775C59">
            <w:pPr>
              <w:jc w:val="center"/>
              <w:rPr>
                <w:color w:val="000000"/>
                <w:sz w:val="20"/>
                <w:szCs w:val="20"/>
              </w:rPr>
            </w:pPr>
            <w:r>
              <w:rPr>
                <w:color w:val="000000"/>
                <w:sz w:val="20"/>
                <w:szCs w:val="20"/>
              </w:rPr>
              <w:t xml:space="preserve">EPA </w:t>
            </w:r>
          </w:p>
          <w:p w:rsidR="00775C59" w:rsidRDefault="006A185A" w:rsidP="006A185A">
            <w:pPr>
              <w:jc w:val="center"/>
              <w:rPr>
                <w:color w:val="000000"/>
                <w:sz w:val="20"/>
                <w:szCs w:val="20"/>
              </w:rPr>
            </w:pPr>
            <w:r>
              <w:rPr>
                <w:color w:val="000000"/>
                <w:sz w:val="20"/>
                <w:szCs w:val="20"/>
              </w:rPr>
              <w:t>person-hours</w:t>
            </w:r>
            <w:r w:rsidR="00775C59">
              <w:rPr>
                <w:color w:val="000000"/>
                <w:sz w:val="20"/>
                <w:szCs w:val="20"/>
              </w:rPr>
              <w:t xml:space="preserve"> </w:t>
            </w:r>
            <w:r>
              <w:rPr>
                <w:color w:val="000000"/>
                <w:sz w:val="20"/>
                <w:szCs w:val="20"/>
              </w:rPr>
              <w:t>per plant</w:t>
            </w:r>
            <w:r w:rsidR="00775C59">
              <w:rPr>
                <w:color w:val="000000"/>
                <w:sz w:val="20"/>
                <w:szCs w:val="20"/>
              </w:rPr>
              <w:t xml:space="preserve"> (C=A*B)</w:t>
            </w:r>
          </w:p>
        </w:tc>
        <w:tc>
          <w:tcPr>
            <w:tcW w:w="405"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(D)</w:t>
            </w:r>
          </w:p>
          <w:p w:rsidR="006A185A" w:rsidRDefault="00775C59" w:rsidP="008B5FF7">
            <w:pPr>
              <w:jc w:val="center"/>
              <w:rPr>
                <w:color w:val="000000"/>
                <w:sz w:val="20"/>
                <w:szCs w:val="20"/>
              </w:rPr>
            </w:pPr>
            <w:r>
              <w:rPr>
                <w:color w:val="000000"/>
                <w:sz w:val="20"/>
                <w:szCs w:val="20"/>
              </w:rPr>
              <w:t>Plants</w:t>
            </w:r>
          </w:p>
          <w:p w:rsidR="00775C59" w:rsidRDefault="006A185A" w:rsidP="006A185A">
            <w:pPr>
              <w:jc w:val="center"/>
              <w:rPr>
                <w:color w:val="000000"/>
                <w:sz w:val="20"/>
                <w:szCs w:val="20"/>
              </w:rPr>
            </w:pPr>
            <w:r>
              <w:rPr>
                <w:color w:val="000000"/>
                <w:sz w:val="20"/>
                <w:szCs w:val="20"/>
              </w:rPr>
              <w:t>Per y</w:t>
            </w:r>
            <w:r w:rsidR="00775C59">
              <w:rPr>
                <w:color w:val="000000"/>
                <w:sz w:val="20"/>
                <w:szCs w:val="20"/>
              </w:rPr>
              <w:t>ear</w:t>
            </w:r>
            <w:r>
              <w:rPr>
                <w:color w:val="000000"/>
                <w:sz w:val="20"/>
                <w:szCs w:val="20"/>
              </w:rPr>
              <w:t xml:space="preserve"> </w:t>
            </w:r>
            <w:r w:rsidRPr="006A185A">
              <w:rPr>
                <w:color w:val="000000"/>
                <w:sz w:val="20"/>
                <w:szCs w:val="20"/>
                <w:vertAlign w:val="superscript"/>
              </w:rPr>
              <w:t>a</w:t>
            </w:r>
            <w:r w:rsidR="00775C59">
              <w:rPr>
                <w:color w:val="000000"/>
                <w:sz w:val="20"/>
                <w:szCs w:val="20"/>
              </w:rPr>
              <w:t xml:space="preserve"> </w:t>
            </w:r>
          </w:p>
        </w:tc>
        <w:tc>
          <w:tcPr>
            <w:tcW w:w="472"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rsidP="006A185A">
            <w:pPr>
              <w:jc w:val="center"/>
              <w:rPr>
                <w:color w:val="000000"/>
                <w:sz w:val="20"/>
                <w:szCs w:val="20"/>
              </w:rPr>
            </w:pPr>
            <w:r>
              <w:rPr>
                <w:color w:val="000000"/>
                <w:sz w:val="20"/>
                <w:szCs w:val="20"/>
              </w:rPr>
              <w:t>(E)</w:t>
            </w:r>
          </w:p>
          <w:p w:rsidR="009800A6" w:rsidRDefault="00775C59" w:rsidP="006A185A">
            <w:pPr>
              <w:jc w:val="center"/>
              <w:rPr>
                <w:color w:val="000000"/>
                <w:sz w:val="20"/>
                <w:szCs w:val="20"/>
              </w:rPr>
            </w:pPr>
            <w:r>
              <w:rPr>
                <w:color w:val="000000"/>
                <w:sz w:val="20"/>
                <w:szCs w:val="20"/>
              </w:rPr>
              <w:t xml:space="preserve">Technical </w:t>
            </w:r>
            <w:r w:rsidR="006A185A">
              <w:rPr>
                <w:color w:val="000000"/>
                <w:sz w:val="20"/>
                <w:szCs w:val="20"/>
              </w:rPr>
              <w:t>p</w:t>
            </w:r>
            <w:r>
              <w:rPr>
                <w:color w:val="000000"/>
                <w:sz w:val="20"/>
                <w:szCs w:val="20"/>
              </w:rPr>
              <w:t xml:space="preserve">erson </w:t>
            </w:r>
            <w:r w:rsidR="006A185A">
              <w:rPr>
                <w:color w:val="000000"/>
                <w:sz w:val="20"/>
                <w:szCs w:val="20"/>
              </w:rPr>
              <w:t>h</w:t>
            </w:r>
            <w:r>
              <w:rPr>
                <w:color w:val="000000"/>
                <w:sz w:val="20"/>
                <w:szCs w:val="20"/>
              </w:rPr>
              <w:t>ours</w:t>
            </w:r>
          </w:p>
          <w:p w:rsidR="006A185A" w:rsidRDefault="006A185A" w:rsidP="006A185A">
            <w:pPr>
              <w:jc w:val="center"/>
              <w:rPr>
                <w:color w:val="000000"/>
                <w:sz w:val="20"/>
                <w:szCs w:val="20"/>
              </w:rPr>
            </w:pPr>
            <w:r>
              <w:rPr>
                <w:color w:val="000000"/>
                <w:sz w:val="20"/>
                <w:szCs w:val="20"/>
              </w:rPr>
              <w:t>per year</w:t>
            </w:r>
          </w:p>
          <w:p w:rsidR="00775C59" w:rsidRDefault="00775C59" w:rsidP="006A185A">
            <w:pPr>
              <w:jc w:val="center"/>
              <w:rPr>
                <w:color w:val="000000"/>
                <w:sz w:val="20"/>
                <w:szCs w:val="20"/>
              </w:rPr>
            </w:pPr>
            <w:r>
              <w:rPr>
                <w:color w:val="000000"/>
                <w:sz w:val="20"/>
                <w:szCs w:val="20"/>
              </w:rPr>
              <w:t>(</w:t>
            </w:r>
            <w:r w:rsidR="006A185A">
              <w:rPr>
                <w:color w:val="000000"/>
                <w:sz w:val="20"/>
                <w:szCs w:val="20"/>
              </w:rPr>
              <w:t>E</w:t>
            </w:r>
            <w:r>
              <w:rPr>
                <w:color w:val="000000"/>
                <w:sz w:val="20"/>
                <w:szCs w:val="20"/>
              </w:rPr>
              <w:t>=CxD)</w:t>
            </w:r>
          </w:p>
        </w:tc>
        <w:tc>
          <w:tcPr>
            <w:tcW w:w="473"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(F)</w:t>
            </w:r>
          </w:p>
          <w:p w:rsidR="006A185A" w:rsidRDefault="00775C59" w:rsidP="006A185A">
            <w:pPr>
              <w:jc w:val="center"/>
              <w:rPr>
                <w:color w:val="000000"/>
                <w:sz w:val="20"/>
                <w:szCs w:val="20"/>
              </w:rPr>
            </w:pPr>
            <w:r>
              <w:rPr>
                <w:color w:val="000000"/>
                <w:sz w:val="20"/>
                <w:szCs w:val="20"/>
              </w:rPr>
              <w:t xml:space="preserve">Managerial </w:t>
            </w:r>
            <w:r w:rsidR="006A185A">
              <w:rPr>
                <w:color w:val="000000"/>
                <w:sz w:val="20"/>
                <w:szCs w:val="20"/>
              </w:rPr>
              <w:t>p</w:t>
            </w:r>
            <w:r>
              <w:rPr>
                <w:color w:val="000000"/>
                <w:sz w:val="20"/>
                <w:szCs w:val="20"/>
              </w:rPr>
              <w:t xml:space="preserve">erson </w:t>
            </w:r>
            <w:r w:rsidR="006A185A">
              <w:rPr>
                <w:color w:val="000000"/>
                <w:sz w:val="20"/>
                <w:szCs w:val="20"/>
              </w:rPr>
              <w:t>h</w:t>
            </w:r>
            <w:r>
              <w:rPr>
                <w:color w:val="000000"/>
                <w:sz w:val="20"/>
                <w:szCs w:val="20"/>
              </w:rPr>
              <w:t xml:space="preserve">ours </w:t>
            </w:r>
          </w:p>
          <w:p w:rsidR="006A185A" w:rsidRDefault="006A185A" w:rsidP="006A185A">
            <w:pPr>
              <w:jc w:val="center"/>
              <w:rPr>
                <w:color w:val="000000"/>
                <w:sz w:val="20"/>
                <w:szCs w:val="20"/>
              </w:rPr>
            </w:pPr>
            <w:r>
              <w:rPr>
                <w:color w:val="000000"/>
                <w:sz w:val="20"/>
                <w:szCs w:val="20"/>
              </w:rPr>
              <w:t>per year</w:t>
            </w:r>
          </w:p>
          <w:p w:rsidR="00775C59" w:rsidRDefault="00775C59" w:rsidP="006A185A">
            <w:pPr>
              <w:jc w:val="center"/>
              <w:rPr>
                <w:color w:val="000000"/>
                <w:sz w:val="20"/>
                <w:szCs w:val="20"/>
              </w:rPr>
            </w:pPr>
            <w:r>
              <w:rPr>
                <w:color w:val="000000"/>
                <w:sz w:val="20"/>
                <w:szCs w:val="20"/>
              </w:rPr>
              <w:t>(Ex0.05)</w:t>
            </w:r>
          </w:p>
        </w:tc>
        <w:tc>
          <w:tcPr>
            <w:tcW w:w="456"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(G)</w:t>
            </w:r>
          </w:p>
          <w:p w:rsidR="006A185A" w:rsidRDefault="00775C59" w:rsidP="006A185A">
            <w:pPr>
              <w:jc w:val="center"/>
              <w:rPr>
                <w:color w:val="000000"/>
                <w:sz w:val="20"/>
                <w:szCs w:val="20"/>
              </w:rPr>
            </w:pPr>
            <w:r>
              <w:rPr>
                <w:color w:val="000000"/>
                <w:sz w:val="20"/>
                <w:szCs w:val="20"/>
              </w:rPr>
              <w:t xml:space="preserve">Clerical </w:t>
            </w:r>
            <w:r w:rsidR="006A185A">
              <w:rPr>
                <w:color w:val="000000"/>
                <w:sz w:val="20"/>
                <w:szCs w:val="20"/>
              </w:rPr>
              <w:t>p</w:t>
            </w:r>
            <w:r>
              <w:rPr>
                <w:color w:val="000000"/>
                <w:sz w:val="20"/>
                <w:szCs w:val="20"/>
              </w:rPr>
              <w:t xml:space="preserve">erson </w:t>
            </w:r>
            <w:r w:rsidR="006A185A">
              <w:rPr>
                <w:color w:val="000000"/>
                <w:sz w:val="20"/>
                <w:szCs w:val="20"/>
              </w:rPr>
              <w:t>h</w:t>
            </w:r>
            <w:r>
              <w:rPr>
                <w:color w:val="000000"/>
                <w:sz w:val="20"/>
                <w:szCs w:val="20"/>
              </w:rPr>
              <w:t>ours</w:t>
            </w:r>
          </w:p>
          <w:p w:rsidR="00775C59" w:rsidRDefault="006A185A" w:rsidP="006A185A">
            <w:pPr>
              <w:jc w:val="center"/>
              <w:rPr>
                <w:color w:val="000000"/>
                <w:sz w:val="20"/>
                <w:szCs w:val="20"/>
              </w:rPr>
            </w:pPr>
            <w:r>
              <w:rPr>
                <w:color w:val="000000"/>
                <w:sz w:val="20"/>
                <w:szCs w:val="20"/>
              </w:rPr>
              <w:t>per year</w:t>
            </w:r>
            <w:r w:rsidR="00775C59">
              <w:rPr>
                <w:color w:val="000000"/>
                <w:sz w:val="20"/>
                <w:szCs w:val="20"/>
              </w:rPr>
              <w:t xml:space="preserve"> (Ex0.1)</w:t>
            </w:r>
          </w:p>
        </w:tc>
        <w:tc>
          <w:tcPr>
            <w:tcW w:w="489" w:type="pct"/>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8B5FF7" w:rsidRDefault="008B5FF7">
            <w:pPr>
              <w:jc w:val="center"/>
              <w:rPr>
                <w:color w:val="000000"/>
                <w:sz w:val="20"/>
                <w:szCs w:val="20"/>
              </w:rPr>
            </w:pPr>
            <w:r>
              <w:rPr>
                <w:color w:val="000000"/>
                <w:sz w:val="20"/>
                <w:szCs w:val="20"/>
              </w:rPr>
              <w:t>(H)</w:t>
            </w:r>
          </w:p>
          <w:p w:rsidR="009800A6" w:rsidRDefault="00775C59">
            <w:pPr>
              <w:jc w:val="center"/>
              <w:rPr>
                <w:color w:val="000000"/>
                <w:sz w:val="20"/>
                <w:szCs w:val="20"/>
              </w:rPr>
            </w:pPr>
            <w:r>
              <w:rPr>
                <w:color w:val="000000"/>
                <w:sz w:val="20"/>
                <w:szCs w:val="20"/>
              </w:rPr>
              <w:t xml:space="preserve">Total Costs/Year </w:t>
            </w:r>
            <w:r w:rsidR="006A185A" w:rsidRPr="006A185A">
              <w:rPr>
                <w:color w:val="000000"/>
                <w:sz w:val="20"/>
                <w:szCs w:val="20"/>
                <w:vertAlign w:val="superscript"/>
              </w:rPr>
              <w:t>b</w:t>
            </w:r>
          </w:p>
          <w:p w:rsidR="00775C59" w:rsidRDefault="00775C59">
            <w:pPr>
              <w:jc w:val="center"/>
              <w:rPr>
                <w:color w:val="000000"/>
                <w:sz w:val="20"/>
                <w:szCs w:val="20"/>
              </w:rPr>
            </w:pPr>
          </w:p>
        </w:tc>
      </w:tr>
      <w:tr w:rsidR="009800A6" w:rsidTr="00477CEE">
        <w:trPr>
          <w:trHeight w:val="256"/>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Pr="00CE249B" w:rsidRDefault="00CE249B" w:rsidP="003F439D">
            <w:pPr>
              <w:rPr>
                <w:color w:val="000000"/>
                <w:sz w:val="20"/>
                <w:szCs w:val="20"/>
              </w:rPr>
            </w:pPr>
            <w:r w:rsidRPr="00CE249B">
              <w:rPr>
                <w:color w:val="000000"/>
                <w:sz w:val="20"/>
                <w:szCs w:val="20"/>
              </w:rPr>
              <w:t>I</w:t>
            </w:r>
            <w:r w:rsidR="003F439D">
              <w:rPr>
                <w:color w:val="000000"/>
                <w:sz w:val="20"/>
                <w:szCs w:val="20"/>
              </w:rPr>
              <w:t>nitial</w:t>
            </w:r>
            <w:r w:rsidRPr="00CE249B">
              <w:rPr>
                <w:color w:val="000000"/>
                <w:sz w:val="20"/>
                <w:szCs w:val="20"/>
              </w:rPr>
              <w:t xml:space="preserve"> P</w:t>
            </w:r>
            <w:r w:rsidR="003F439D">
              <w:rPr>
                <w:color w:val="000000"/>
                <w:sz w:val="20"/>
                <w:szCs w:val="20"/>
              </w:rPr>
              <w:t>erformance</w:t>
            </w:r>
            <w:r w:rsidRPr="00CE249B">
              <w:rPr>
                <w:color w:val="000000"/>
                <w:sz w:val="20"/>
                <w:szCs w:val="20"/>
              </w:rPr>
              <w:t xml:space="preserve"> T</w:t>
            </w:r>
            <w:r w:rsidR="003F439D">
              <w:rPr>
                <w:color w:val="000000"/>
                <w:sz w:val="20"/>
                <w:szCs w:val="20"/>
              </w:rPr>
              <w:t>est</w:t>
            </w:r>
          </w:p>
        </w:tc>
        <w:tc>
          <w:tcPr>
            <w:tcW w:w="438" w:type="pct"/>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05"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3"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56"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r>
      <w:tr w:rsidR="009800A6" w:rsidTr="00477CEE">
        <w:trPr>
          <w:trHeight w:val="256"/>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CE249B">
            <w:pPr>
              <w:rPr>
                <w:color w:val="000000"/>
                <w:sz w:val="20"/>
                <w:szCs w:val="20"/>
              </w:rPr>
            </w:pPr>
            <w:r>
              <w:rPr>
                <w:color w:val="000000"/>
                <w:sz w:val="20"/>
                <w:szCs w:val="20"/>
              </w:rPr>
              <w:t xml:space="preserve">      </w:t>
            </w:r>
            <w:r w:rsidR="00775C59">
              <w:rPr>
                <w:color w:val="000000"/>
                <w:sz w:val="20"/>
                <w:szCs w:val="20"/>
              </w:rPr>
              <w:t>New Plant</w:t>
            </w:r>
          </w:p>
        </w:tc>
        <w:tc>
          <w:tcPr>
            <w:tcW w:w="438" w:type="pct"/>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24</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24</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166"/>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rsidP="003F439D">
            <w:pPr>
              <w:rPr>
                <w:color w:val="000000"/>
                <w:sz w:val="20"/>
                <w:szCs w:val="20"/>
              </w:rPr>
            </w:pPr>
            <w:r>
              <w:rPr>
                <w:color w:val="000000"/>
                <w:sz w:val="20"/>
                <w:szCs w:val="20"/>
              </w:rPr>
              <w:t>R</w:t>
            </w:r>
            <w:r w:rsidR="003F439D">
              <w:rPr>
                <w:color w:val="000000"/>
                <w:sz w:val="20"/>
                <w:szCs w:val="20"/>
              </w:rPr>
              <w:t>epeat</w:t>
            </w:r>
            <w:r>
              <w:rPr>
                <w:color w:val="000000"/>
                <w:sz w:val="20"/>
                <w:szCs w:val="20"/>
              </w:rPr>
              <w:t xml:space="preserve"> P</w:t>
            </w:r>
            <w:r w:rsidR="003F439D">
              <w:rPr>
                <w:color w:val="000000"/>
                <w:sz w:val="20"/>
                <w:szCs w:val="20"/>
              </w:rPr>
              <w:t>erformance</w:t>
            </w:r>
            <w:r>
              <w:rPr>
                <w:color w:val="000000"/>
                <w:sz w:val="20"/>
                <w:szCs w:val="20"/>
              </w:rPr>
              <w:t xml:space="preserve"> T</w:t>
            </w:r>
            <w:r w:rsidR="003F439D">
              <w:rPr>
                <w:color w:val="000000"/>
                <w:sz w:val="20"/>
                <w:szCs w:val="20"/>
              </w:rPr>
              <w:t>est</w:t>
            </w:r>
          </w:p>
        </w:tc>
        <w:tc>
          <w:tcPr>
            <w:tcW w:w="438"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05"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3"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56"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r>
      <w:tr w:rsidR="009800A6" w:rsidTr="00477CEE">
        <w:trPr>
          <w:trHeight w:val="193"/>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CE249B">
            <w:pPr>
              <w:rPr>
                <w:color w:val="000000"/>
                <w:sz w:val="20"/>
                <w:szCs w:val="20"/>
              </w:rPr>
            </w:pPr>
            <w:r>
              <w:rPr>
                <w:color w:val="000000"/>
                <w:sz w:val="20"/>
                <w:szCs w:val="20"/>
              </w:rPr>
              <w:t xml:space="preserve">      </w:t>
            </w:r>
            <w:r w:rsidR="00775C59">
              <w:rPr>
                <w:color w:val="000000"/>
                <w:sz w:val="20"/>
                <w:szCs w:val="20"/>
              </w:rPr>
              <w:t>New Plant</w:t>
            </w:r>
          </w:p>
        </w:tc>
        <w:tc>
          <w:tcPr>
            <w:tcW w:w="438" w:type="pct"/>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24</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0.2</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4.8</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229"/>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rsidP="003F439D">
            <w:pPr>
              <w:rPr>
                <w:color w:val="000000"/>
                <w:sz w:val="20"/>
                <w:szCs w:val="20"/>
              </w:rPr>
            </w:pPr>
            <w:r>
              <w:rPr>
                <w:color w:val="000000"/>
                <w:sz w:val="20"/>
                <w:szCs w:val="20"/>
              </w:rPr>
              <w:t>R</w:t>
            </w:r>
            <w:r w:rsidR="003F439D">
              <w:rPr>
                <w:color w:val="000000"/>
                <w:sz w:val="20"/>
                <w:szCs w:val="20"/>
              </w:rPr>
              <w:t>eport</w:t>
            </w:r>
            <w:r>
              <w:rPr>
                <w:color w:val="000000"/>
                <w:sz w:val="20"/>
                <w:szCs w:val="20"/>
              </w:rPr>
              <w:t xml:space="preserve"> R</w:t>
            </w:r>
            <w:r w:rsidR="003F439D">
              <w:rPr>
                <w:color w:val="000000"/>
                <w:sz w:val="20"/>
                <w:szCs w:val="20"/>
              </w:rPr>
              <w:t>eview</w:t>
            </w:r>
          </w:p>
        </w:tc>
        <w:tc>
          <w:tcPr>
            <w:tcW w:w="438"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05"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3"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56"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r>
      <w:tr w:rsidR="009800A6" w:rsidTr="00477CEE">
        <w:trPr>
          <w:trHeight w:val="238"/>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CE249B">
            <w:pPr>
              <w:rPr>
                <w:color w:val="000000"/>
                <w:sz w:val="20"/>
                <w:szCs w:val="20"/>
              </w:rPr>
            </w:pPr>
            <w:r>
              <w:rPr>
                <w:color w:val="000000"/>
                <w:sz w:val="20"/>
                <w:szCs w:val="20"/>
              </w:rPr>
              <w:t xml:space="preserve">      </w:t>
            </w:r>
            <w:r w:rsidR="00775C59">
              <w:rPr>
                <w:color w:val="000000"/>
                <w:sz w:val="20"/>
                <w:szCs w:val="20"/>
              </w:rPr>
              <w:t>New Plants</w:t>
            </w:r>
          </w:p>
        </w:tc>
        <w:tc>
          <w:tcPr>
            <w:tcW w:w="438"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05"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3"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56"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r>
      <w:tr w:rsidR="009800A6" w:rsidTr="00477CEE">
        <w:trPr>
          <w:trHeight w:val="274"/>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Notification of </w:t>
            </w:r>
            <w:r>
              <w:rPr>
                <w:color w:val="000000"/>
                <w:sz w:val="20"/>
                <w:szCs w:val="20"/>
              </w:rPr>
              <w:t xml:space="preserve"> c</w:t>
            </w:r>
            <w:r w:rsidR="00775C59">
              <w:rPr>
                <w:color w:val="000000"/>
                <w:sz w:val="20"/>
                <w:szCs w:val="20"/>
              </w:rPr>
              <w:t>onstruction</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238"/>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Notification of </w:t>
            </w:r>
            <w:r>
              <w:rPr>
                <w:color w:val="000000"/>
                <w:sz w:val="20"/>
                <w:szCs w:val="20"/>
              </w:rPr>
              <w:t>i</w:t>
            </w:r>
            <w:r w:rsidR="00775C59">
              <w:rPr>
                <w:color w:val="000000"/>
                <w:sz w:val="20"/>
                <w:szCs w:val="20"/>
              </w:rPr>
              <w:t xml:space="preserve">nitial </w:t>
            </w:r>
            <w:r>
              <w:rPr>
                <w:color w:val="000000"/>
                <w:sz w:val="20"/>
                <w:szCs w:val="20"/>
              </w:rPr>
              <w:t>s</w:t>
            </w:r>
            <w:r w:rsidR="00775C59">
              <w:rPr>
                <w:color w:val="000000"/>
                <w:sz w:val="20"/>
                <w:szCs w:val="20"/>
              </w:rPr>
              <w:t>tartup</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0.5</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0.5</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274"/>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Notification of </w:t>
            </w:r>
            <w:r>
              <w:rPr>
                <w:color w:val="000000"/>
                <w:sz w:val="20"/>
                <w:szCs w:val="20"/>
              </w:rPr>
              <w:t>a</w:t>
            </w:r>
            <w:r w:rsidR="00775C59">
              <w:rPr>
                <w:color w:val="000000"/>
                <w:sz w:val="20"/>
                <w:szCs w:val="20"/>
              </w:rPr>
              <w:t xml:space="preserve">ctual </w:t>
            </w:r>
            <w:r>
              <w:rPr>
                <w:color w:val="000000"/>
                <w:sz w:val="20"/>
                <w:szCs w:val="20"/>
              </w:rPr>
              <w:t>s</w:t>
            </w:r>
            <w:r w:rsidR="00775C59">
              <w:rPr>
                <w:color w:val="000000"/>
                <w:sz w:val="20"/>
                <w:szCs w:val="20"/>
              </w:rPr>
              <w:t>tartup</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0.5</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0.5</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238"/>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Notification of </w:t>
            </w:r>
            <w:r>
              <w:rPr>
                <w:color w:val="000000"/>
                <w:sz w:val="20"/>
                <w:szCs w:val="20"/>
              </w:rPr>
              <w:t>i</w:t>
            </w:r>
            <w:r w:rsidR="00775C59">
              <w:rPr>
                <w:color w:val="000000"/>
                <w:sz w:val="20"/>
                <w:szCs w:val="20"/>
              </w:rPr>
              <w:t xml:space="preserve">nitial </w:t>
            </w:r>
            <w:r>
              <w:rPr>
                <w:color w:val="000000"/>
                <w:sz w:val="20"/>
                <w:szCs w:val="20"/>
              </w:rPr>
              <w:t>t</w:t>
            </w:r>
            <w:r w:rsidR="00775C59">
              <w:rPr>
                <w:color w:val="000000"/>
                <w:sz w:val="20"/>
                <w:szCs w:val="20"/>
              </w:rPr>
              <w:t>est</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0.5</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1.2</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0.6</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274"/>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Review </w:t>
            </w:r>
            <w:r>
              <w:rPr>
                <w:color w:val="000000"/>
                <w:sz w:val="20"/>
                <w:szCs w:val="20"/>
              </w:rPr>
              <w:t>t</w:t>
            </w:r>
            <w:r w:rsidR="00775C59">
              <w:rPr>
                <w:color w:val="000000"/>
                <w:sz w:val="20"/>
                <w:szCs w:val="20"/>
              </w:rPr>
              <w:t xml:space="preserve">est </w:t>
            </w:r>
            <w:r>
              <w:rPr>
                <w:color w:val="000000"/>
                <w:sz w:val="20"/>
                <w:szCs w:val="20"/>
              </w:rPr>
              <w:t>r</w:t>
            </w:r>
            <w:r w:rsidR="00775C59">
              <w:rPr>
                <w:color w:val="000000"/>
                <w:sz w:val="20"/>
                <w:szCs w:val="20"/>
              </w:rPr>
              <w:t>esults</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8</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1.2</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9.6</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0</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xml:space="preserve">$0 </w:t>
            </w:r>
          </w:p>
        </w:tc>
      </w:tr>
      <w:tr w:rsidR="009800A6" w:rsidTr="00477CEE">
        <w:trPr>
          <w:trHeight w:val="229"/>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CE249B">
            <w:pPr>
              <w:rPr>
                <w:color w:val="000000"/>
                <w:sz w:val="20"/>
                <w:szCs w:val="20"/>
              </w:rPr>
            </w:pPr>
            <w:r>
              <w:rPr>
                <w:color w:val="000000"/>
                <w:sz w:val="20"/>
                <w:szCs w:val="20"/>
              </w:rPr>
              <w:t xml:space="preserve">      </w:t>
            </w:r>
            <w:r w:rsidR="00775C59">
              <w:rPr>
                <w:color w:val="000000"/>
                <w:sz w:val="20"/>
                <w:szCs w:val="20"/>
              </w:rPr>
              <w:t>Existing Plants</w:t>
            </w:r>
          </w:p>
        </w:tc>
        <w:tc>
          <w:tcPr>
            <w:tcW w:w="438"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05"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3"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56"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r>
      <w:tr w:rsidR="009800A6" w:rsidTr="00477CEE">
        <w:trPr>
          <w:trHeight w:val="274"/>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Semiannual </w:t>
            </w:r>
            <w:r>
              <w:rPr>
                <w:color w:val="000000"/>
                <w:sz w:val="20"/>
                <w:szCs w:val="20"/>
              </w:rPr>
              <w:t>r</w:t>
            </w:r>
            <w:r w:rsidR="00775C59">
              <w:rPr>
                <w:color w:val="000000"/>
                <w:sz w:val="20"/>
                <w:szCs w:val="20"/>
              </w:rPr>
              <w:t>eports</w:t>
            </w:r>
            <w:r w:rsidR="008902BE">
              <w:rPr>
                <w:color w:val="000000"/>
                <w:sz w:val="20"/>
                <w:szCs w:val="20"/>
              </w:rPr>
              <w:t xml:space="preserve"> </w:t>
            </w:r>
            <w:r w:rsidR="008902BE" w:rsidRPr="008902BE">
              <w:rPr>
                <w:color w:val="000000"/>
                <w:sz w:val="20"/>
                <w:szCs w:val="20"/>
                <w:vertAlign w:val="superscript"/>
              </w:rPr>
              <w:t>c</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4</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72</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288</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14.4</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28.8</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$14,925</w:t>
            </w:r>
            <w:r w:rsidR="009800A6">
              <w:rPr>
                <w:color w:val="000000"/>
                <w:sz w:val="20"/>
                <w:szCs w:val="20"/>
              </w:rPr>
              <w:t>.46</w:t>
            </w:r>
            <w:r>
              <w:rPr>
                <w:color w:val="000000"/>
                <w:sz w:val="20"/>
                <w:szCs w:val="20"/>
              </w:rPr>
              <w:t xml:space="preserve"> </w:t>
            </w:r>
          </w:p>
        </w:tc>
      </w:tr>
      <w:tr w:rsidR="009800A6" w:rsidTr="00477CEE">
        <w:trPr>
          <w:trHeight w:val="256"/>
        </w:trPr>
        <w:tc>
          <w:tcPr>
            <w:tcW w:w="1356" w:type="pct"/>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hideMark/>
          </w:tcPr>
          <w:p w:rsidR="00775C59" w:rsidRDefault="00CE249B" w:rsidP="00CE249B">
            <w:pPr>
              <w:ind w:firstLineChars="100" w:firstLine="200"/>
              <w:rPr>
                <w:color w:val="000000"/>
                <w:sz w:val="20"/>
                <w:szCs w:val="20"/>
              </w:rPr>
            </w:pPr>
            <w:r>
              <w:rPr>
                <w:color w:val="000000"/>
                <w:sz w:val="20"/>
                <w:szCs w:val="20"/>
              </w:rPr>
              <w:t xml:space="preserve">    </w:t>
            </w:r>
            <w:r w:rsidR="00775C59">
              <w:rPr>
                <w:color w:val="000000"/>
                <w:sz w:val="20"/>
                <w:szCs w:val="20"/>
              </w:rPr>
              <w:t xml:space="preserve">Temperature </w:t>
            </w:r>
            <w:r>
              <w:rPr>
                <w:color w:val="000000"/>
                <w:sz w:val="20"/>
                <w:szCs w:val="20"/>
              </w:rPr>
              <w:t>v</w:t>
            </w:r>
            <w:r w:rsidR="00775C59">
              <w:rPr>
                <w:color w:val="000000"/>
                <w:sz w:val="20"/>
                <w:szCs w:val="20"/>
              </w:rPr>
              <w:t xml:space="preserve">ariance </w:t>
            </w:r>
            <w:r>
              <w:rPr>
                <w:color w:val="000000"/>
                <w:sz w:val="20"/>
                <w:szCs w:val="20"/>
              </w:rPr>
              <w:t>r</w:t>
            </w:r>
            <w:r w:rsidR="00775C59">
              <w:rPr>
                <w:color w:val="000000"/>
                <w:sz w:val="20"/>
                <w:szCs w:val="20"/>
              </w:rPr>
              <w:t>eports</w:t>
            </w:r>
            <w:r w:rsidR="008902BE">
              <w:rPr>
                <w:color w:val="000000"/>
                <w:sz w:val="20"/>
                <w:szCs w:val="20"/>
              </w:rPr>
              <w:t xml:space="preserve"> </w:t>
            </w:r>
            <w:r w:rsidR="008902BE" w:rsidRPr="008902BE">
              <w:rPr>
                <w:color w:val="000000"/>
                <w:sz w:val="20"/>
                <w:szCs w:val="20"/>
                <w:vertAlign w:val="superscript"/>
              </w:rPr>
              <w:t>c</w:t>
            </w:r>
          </w:p>
        </w:tc>
        <w:tc>
          <w:tcPr>
            <w:tcW w:w="438"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w:t>
            </w:r>
          </w:p>
        </w:tc>
        <w:tc>
          <w:tcPr>
            <w:tcW w:w="43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4</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72</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288</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14.4</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28.8</w:t>
            </w:r>
          </w:p>
        </w:tc>
        <w:tc>
          <w:tcPr>
            <w:tcW w:w="489"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$14,925</w:t>
            </w:r>
            <w:r w:rsidR="009800A6">
              <w:rPr>
                <w:color w:val="000000"/>
                <w:sz w:val="20"/>
                <w:szCs w:val="20"/>
              </w:rPr>
              <w:t>.46</w:t>
            </w:r>
            <w:r>
              <w:rPr>
                <w:color w:val="000000"/>
                <w:sz w:val="20"/>
                <w:szCs w:val="20"/>
              </w:rPr>
              <w:t xml:space="preserve"> </w:t>
            </w:r>
          </w:p>
        </w:tc>
      </w:tr>
      <w:tr w:rsidR="009800A6" w:rsidTr="00477CEE">
        <w:trPr>
          <w:trHeight w:val="256"/>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SUBTOTAL ANNUAL BURDEN</w:t>
            </w:r>
          </w:p>
        </w:tc>
        <w:tc>
          <w:tcPr>
            <w:tcW w:w="438"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775C59" w:rsidRDefault="00775C59">
            <w:pPr>
              <w:rPr>
                <w:color w:val="000000"/>
                <w:sz w:val="20"/>
                <w:szCs w:val="20"/>
              </w:rPr>
            </w:pPr>
            <w:r>
              <w:rPr>
                <w:color w:val="000000"/>
                <w:sz w:val="20"/>
                <w:szCs w:val="20"/>
              </w:rPr>
              <w:t> </w:t>
            </w: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775C59">
            <w:pPr>
              <w:jc w:val="center"/>
              <w:rPr>
                <w:color w:val="000000"/>
                <w:sz w:val="20"/>
                <w:szCs w:val="20"/>
              </w:rPr>
            </w:pPr>
            <w:r>
              <w:rPr>
                <w:color w:val="000000"/>
                <w:sz w:val="20"/>
                <w:szCs w:val="20"/>
              </w:rPr>
              <w:t>576</w:t>
            </w:r>
          </w:p>
        </w:tc>
        <w:tc>
          <w:tcPr>
            <w:tcW w:w="473"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28.8</w:t>
            </w:r>
          </w:p>
        </w:tc>
        <w:tc>
          <w:tcPr>
            <w:tcW w:w="456"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775C59" w:rsidRDefault="009800A6">
            <w:pPr>
              <w:jc w:val="center"/>
              <w:rPr>
                <w:color w:val="000000"/>
                <w:sz w:val="20"/>
                <w:szCs w:val="20"/>
              </w:rPr>
            </w:pPr>
            <w:r>
              <w:rPr>
                <w:color w:val="000000"/>
                <w:sz w:val="20"/>
                <w:szCs w:val="20"/>
              </w:rPr>
              <w:t>57.6</w:t>
            </w:r>
          </w:p>
        </w:tc>
        <w:tc>
          <w:tcPr>
            <w:tcW w:w="489" w:type="pct"/>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775C59" w:rsidRDefault="00775C59" w:rsidP="005B045D">
            <w:pPr>
              <w:jc w:val="center"/>
              <w:rPr>
                <w:color w:val="000000"/>
                <w:sz w:val="20"/>
                <w:szCs w:val="20"/>
              </w:rPr>
            </w:pPr>
            <w:r w:rsidRPr="009800A6">
              <w:rPr>
                <w:b/>
                <w:color w:val="000000"/>
                <w:sz w:val="20"/>
                <w:szCs w:val="20"/>
              </w:rPr>
              <w:t>$29,85</w:t>
            </w:r>
            <w:r w:rsidR="005B045D">
              <w:rPr>
                <w:b/>
                <w:color w:val="000000"/>
                <w:sz w:val="20"/>
                <w:szCs w:val="20"/>
              </w:rPr>
              <w:t>1</w:t>
            </w:r>
            <w:r>
              <w:rPr>
                <w:color w:val="000000"/>
                <w:sz w:val="20"/>
                <w:szCs w:val="20"/>
              </w:rPr>
              <w:t xml:space="preserve"> </w:t>
            </w:r>
          </w:p>
        </w:tc>
      </w:tr>
      <w:tr w:rsidR="009800A6" w:rsidRPr="009800A6" w:rsidTr="00D907B5">
        <w:trPr>
          <w:trHeight w:val="219"/>
        </w:trPr>
        <w:tc>
          <w:tcPr>
            <w:tcW w:w="1356" w:type="pct"/>
            <w:tcBorders>
              <w:top w:val="nil"/>
              <w:left w:val="single" w:sz="4" w:space="0" w:color="auto"/>
              <w:bottom w:val="nil"/>
              <w:right w:val="nil"/>
            </w:tcBorders>
            <w:shd w:val="clear" w:color="auto" w:fill="auto"/>
            <w:noWrap/>
            <w:tcMar>
              <w:top w:w="14" w:type="dxa"/>
              <w:left w:w="14" w:type="dxa"/>
              <w:bottom w:w="0" w:type="dxa"/>
              <w:right w:w="14" w:type="dxa"/>
            </w:tcMar>
            <w:hideMark/>
          </w:tcPr>
          <w:p w:rsidR="00775C59" w:rsidRPr="009800A6" w:rsidRDefault="00CE249B">
            <w:pPr>
              <w:rPr>
                <w:b/>
                <w:color w:val="000000"/>
                <w:sz w:val="20"/>
                <w:szCs w:val="20"/>
              </w:rPr>
            </w:pPr>
            <w:r>
              <w:rPr>
                <w:b/>
                <w:color w:val="000000"/>
                <w:sz w:val="20"/>
                <w:szCs w:val="20"/>
              </w:rPr>
              <w:t>TOTAL ANNUAL BURDEN AND COST</w:t>
            </w:r>
          </w:p>
        </w:tc>
        <w:tc>
          <w:tcPr>
            <w:tcW w:w="438" w:type="pct"/>
            <w:tcBorders>
              <w:top w:val="nil"/>
              <w:left w:val="single" w:sz="4" w:space="0" w:color="auto"/>
              <w:bottom w:val="nil"/>
              <w:right w:val="nil"/>
            </w:tcBorders>
            <w:shd w:val="clear" w:color="auto" w:fill="auto"/>
            <w:noWrap/>
            <w:tcMar>
              <w:top w:w="14" w:type="dxa"/>
              <w:left w:w="14" w:type="dxa"/>
              <w:bottom w:w="0" w:type="dxa"/>
              <w:right w:w="14" w:type="dxa"/>
            </w:tcMar>
            <w:hideMark/>
          </w:tcPr>
          <w:p w:rsidR="00775C59" w:rsidRPr="009800A6" w:rsidRDefault="00775C59">
            <w:pPr>
              <w:rPr>
                <w:b/>
                <w:color w:val="000000"/>
                <w:sz w:val="20"/>
                <w:szCs w:val="20"/>
              </w:rPr>
            </w:pPr>
            <w:r w:rsidRPr="009800A6">
              <w:rPr>
                <w:b/>
                <w:color w:val="000000"/>
                <w:sz w:val="20"/>
                <w:szCs w:val="20"/>
              </w:rPr>
              <w:t> </w:t>
            </w:r>
          </w:p>
        </w:tc>
        <w:tc>
          <w:tcPr>
            <w:tcW w:w="472" w:type="pct"/>
            <w:tcBorders>
              <w:top w:val="nil"/>
              <w:left w:val="nil"/>
              <w:bottom w:val="nil"/>
              <w:right w:val="nil"/>
            </w:tcBorders>
            <w:shd w:val="clear" w:color="auto" w:fill="auto"/>
            <w:noWrap/>
            <w:tcMar>
              <w:top w:w="14" w:type="dxa"/>
              <w:left w:w="14" w:type="dxa"/>
              <w:bottom w:w="0" w:type="dxa"/>
              <w:right w:w="14" w:type="dxa"/>
            </w:tcMar>
            <w:hideMark/>
          </w:tcPr>
          <w:p w:rsidR="00775C59" w:rsidRPr="009800A6" w:rsidRDefault="00775C59">
            <w:pPr>
              <w:rPr>
                <w:b/>
                <w:color w:val="000000"/>
                <w:sz w:val="20"/>
                <w:szCs w:val="20"/>
              </w:rPr>
            </w:pPr>
            <w:r w:rsidRPr="009800A6">
              <w:rPr>
                <w:b/>
                <w:color w:val="000000"/>
                <w:sz w:val="20"/>
                <w:szCs w:val="20"/>
              </w:rPr>
              <w:t> </w:t>
            </w:r>
          </w:p>
        </w:tc>
        <w:tc>
          <w:tcPr>
            <w:tcW w:w="439" w:type="pct"/>
            <w:tcBorders>
              <w:top w:val="nil"/>
              <w:left w:val="nil"/>
              <w:bottom w:val="nil"/>
              <w:right w:val="nil"/>
            </w:tcBorders>
            <w:shd w:val="clear" w:color="auto" w:fill="auto"/>
            <w:noWrap/>
            <w:tcMar>
              <w:top w:w="14" w:type="dxa"/>
              <w:left w:w="14" w:type="dxa"/>
              <w:bottom w:w="0" w:type="dxa"/>
              <w:right w:w="14" w:type="dxa"/>
            </w:tcMar>
            <w:vAlign w:val="bottom"/>
            <w:hideMark/>
          </w:tcPr>
          <w:p w:rsidR="00775C59" w:rsidRPr="009800A6" w:rsidRDefault="00775C59">
            <w:pPr>
              <w:jc w:val="center"/>
              <w:rPr>
                <w:b/>
                <w:color w:val="000000"/>
                <w:sz w:val="20"/>
                <w:szCs w:val="20"/>
              </w:rPr>
            </w:pPr>
            <w:r w:rsidRPr="009800A6">
              <w:rPr>
                <w:b/>
                <w:color w:val="000000"/>
                <w:sz w:val="20"/>
                <w:szCs w:val="20"/>
              </w:rPr>
              <w:t> </w:t>
            </w:r>
          </w:p>
        </w:tc>
        <w:tc>
          <w:tcPr>
            <w:tcW w:w="405" w:type="pct"/>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775C59" w:rsidRPr="009800A6" w:rsidRDefault="00775C59">
            <w:pPr>
              <w:jc w:val="center"/>
              <w:rPr>
                <w:b/>
                <w:color w:val="000000"/>
                <w:sz w:val="20"/>
                <w:szCs w:val="20"/>
              </w:rPr>
            </w:pPr>
            <w:r w:rsidRPr="009800A6">
              <w:rPr>
                <w:b/>
                <w:color w:val="000000"/>
                <w:sz w:val="20"/>
                <w:szCs w:val="20"/>
              </w:rPr>
              <w:t> </w:t>
            </w:r>
          </w:p>
        </w:tc>
        <w:tc>
          <w:tcPr>
            <w:tcW w:w="1401" w:type="pct"/>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bottom"/>
            <w:hideMark/>
          </w:tcPr>
          <w:p w:rsidR="00775C59" w:rsidRPr="009800A6" w:rsidRDefault="00775C59">
            <w:pPr>
              <w:jc w:val="center"/>
              <w:rPr>
                <w:b/>
                <w:color w:val="000000"/>
                <w:sz w:val="20"/>
                <w:szCs w:val="20"/>
              </w:rPr>
            </w:pPr>
            <w:r w:rsidRPr="009800A6">
              <w:rPr>
                <w:b/>
                <w:color w:val="000000"/>
                <w:sz w:val="20"/>
                <w:szCs w:val="20"/>
              </w:rPr>
              <w:t>662</w:t>
            </w:r>
          </w:p>
        </w:tc>
        <w:tc>
          <w:tcPr>
            <w:tcW w:w="489" w:type="pct"/>
            <w:vMerge/>
            <w:tcBorders>
              <w:top w:val="nil"/>
              <w:left w:val="single" w:sz="4" w:space="0" w:color="auto"/>
              <w:bottom w:val="nil"/>
              <w:right w:val="single" w:sz="4" w:space="0" w:color="auto"/>
            </w:tcBorders>
            <w:vAlign w:val="center"/>
            <w:hideMark/>
          </w:tcPr>
          <w:p w:rsidR="00775C59" w:rsidRPr="009800A6" w:rsidRDefault="00775C59">
            <w:pPr>
              <w:rPr>
                <w:b/>
                <w:color w:val="000000"/>
                <w:sz w:val="20"/>
                <w:szCs w:val="20"/>
              </w:rPr>
            </w:pPr>
          </w:p>
        </w:tc>
      </w:tr>
      <w:tr w:rsidR="00D907B5" w:rsidRPr="009800A6" w:rsidTr="00477CEE">
        <w:trPr>
          <w:trHeight w:val="219"/>
        </w:trPr>
        <w:tc>
          <w:tcPr>
            <w:tcW w:w="1356"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D907B5" w:rsidRDefault="00D907B5">
            <w:pPr>
              <w:rPr>
                <w:b/>
                <w:color w:val="000000"/>
                <w:sz w:val="20"/>
                <w:szCs w:val="20"/>
              </w:rPr>
            </w:pPr>
            <w:r>
              <w:rPr>
                <w:b/>
                <w:color w:val="000000"/>
                <w:sz w:val="20"/>
                <w:szCs w:val="20"/>
              </w:rPr>
              <w:t>(rounded)</w:t>
            </w:r>
          </w:p>
        </w:tc>
        <w:tc>
          <w:tcPr>
            <w:tcW w:w="438" w:type="pct"/>
            <w:tcBorders>
              <w:top w:val="nil"/>
              <w:left w:val="single" w:sz="4" w:space="0" w:color="auto"/>
              <w:bottom w:val="single" w:sz="4" w:space="0" w:color="auto"/>
              <w:right w:val="nil"/>
            </w:tcBorders>
            <w:shd w:val="clear" w:color="auto" w:fill="auto"/>
            <w:noWrap/>
            <w:tcMar>
              <w:top w:w="14" w:type="dxa"/>
              <w:left w:w="14" w:type="dxa"/>
              <w:bottom w:w="0" w:type="dxa"/>
              <w:right w:w="14" w:type="dxa"/>
            </w:tcMar>
            <w:hideMark/>
          </w:tcPr>
          <w:p w:rsidR="00D907B5" w:rsidRPr="009800A6" w:rsidRDefault="00D907B5">
            <w:pPr>
              <w:rPr>
                <w:b/>
                <w:color w:val="000000"/>
                <w:sz w:val="20"/>
                <w:szCs w:val="20"/>
              </w:rPr>
            </w:pPr>
          </w:p>
        </w:tc>
        <w:tc>
          <w:tcPr>
            <w:tcW w:w="472" w:type="pct"/>
            <w:tcBorders>
              <w:top w:val="nil"/>
              <w:left w:val="nil"/>
              <w:bottom w:val="single" w:sz="4" w:space="0" w:color="auto"/>
              <w:right w:val="nil"/>
            </w:tcBorders>
            <w:shd w:val="clear" w:color="auto" w:fill="auto"/>
            <w:noWrap/>
            <w:tcMar>
              <w:top w:w="14" w:type="dxa"/>
              <w:left w:w="14" w:type="dxa"/>
              <w:bottom w:w="0" w:type="dxa"/>
              <w:right w:w="14" w:type="dxa"/>
            </w:tcMar>
            <w:hideMark/>
          </w:tcPr>
          <w:p w:rsidR="00D907B5" w:rsidRPr="009800A6" w:rsidRDefault="00D907B5">
            <w:pPr>
              <w:rPr>
                <w:b/>
                <w:color w:val="000000"/>
                <w:sz w:val="20"/>
                <w:szCs w:val="20"/>
              </w:rPr>
            </w:pPr>
          </w:p>
        </w:tc>
        <w:tc>
          <w:tcPr>
            <w:tcW w:w="439" w:type="pct"/>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D907B5" w:rsidRPr="009800A6" w:rsidRDefault="00D907B5">
            <w:pPr>
              <w:jc w:val="center"/>
              <w:rPr>
                <w:b/>
                <w:color w:val="000000"/>
                <w:sz w:val="20"/>
                <w:szCs w:val="20"/>
              </w:rPr>
            </w:pPr>
          </w:p>
        </w:tc>
        <w:tc>
          <w:tcPr>
            <w:tcW w:w="405" w:type="pct"/>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D907B5" w:rsidRPr="009800A6" w:rsidRDefault="00D907B5">
            <w:pPr>
              <w:jc w:val="center"/>
              <w:rPr>
                <w:b/>
                <w:color w:val="000000"/>
                <w:sz w:val="20"/>
                <w:szCs w:val="20"/>
              </w:rPr>
            </w:pPr>
          </w:p>
        </w:tc>
        <w:tc>
          <w:tcPr>
            <w:tcW w:w="1401" w:type="pct"/>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bottom"/>
            <w:hideMark/>
          </w:tcPr>
          <w:p w:rsidR="00D907B5" w:rsidRPr="009800A6" w:rsidRDefault="00D907B5">
            <w:pPr>
              <w:jc w:val="center"/>
              <w:rPr>
                <w:b/>
                <w:color w:val="000000"/>
                <w:sz w:val="20"/>
                <w:szCs w:val="20"/>
              </w:rPr>
            </w:pPr>
          </w:p>
        </w:tc>
        <w:tc>
          <w:tcPr>
            <w:tcW w:w="489" w:type="pct"/>
            <w:tcBorders>
              <w:top w:val="nil"/>
              <w:left w:val="single" w:sz="4" w:space="0" w:color="auto"/>
              <w:bottom w:val="single" w:sz="4" w:space="0" w:color="000000"/>
              <w:right w:val="single" w:sz="4" w:space="0" w:color="auto"/>
            </w:tcBorders>
            <w:vAlign w:val="center"/>
            <w:hideMark/>
          </w:tcPr>
          <w:p w:rsidR="00D907B5" w:rsidRPr="009800A6" w:rsidRDefault="00D907B5">
            <w:pPr>
              <w:rPr>
                <w:b/>
                <w:color w:val="000000"/>
                <w:sz w:val="20"/>
                <w:szCs w:val="20"/>
              </w:rPr>
            </w:pPr>
          </w:p>
        </w:tc>
      </w:tr>
    </w:tbl>
    <w:p w:rsidR="00144F35" w:rsidRDefault="00775C59" w:rsidP="00F340DF">
      <w:pPr>
        <w:rPr>
          <w:bCs/>
          <w:color w:val="FF0000"/>
        </w:rPr>
      </w:pPr>
      <w:r w:rsidRPr="00144F35" w:rsidDel="002F6521">
        <w:rPr>
          <w:bCs/>
          <w:color w:val="FF0000"/>
        </w:rPr>
        <w:t xml:space="preserve"> </w:t>
      </w:r>
    </w:p>
    <w:p w:rsidR="003F439D" w:rsidRDefault="003F439D" w:rsidP="003F439D">
      <w:pPr>
        <w:rPr>
          <w:bCs/>
        </w:rPr>
      </w:pPr>
      <w:r w:rsidRPr="003F439D">
        <w:rPr>
          <w:bCs/>
        </w:rPr>
        <w:t>Assumptions:</w:t>
      </w:r>
    </w:p>
    <w:p w:rsidR="003F439D" w:rsidRPr="003F439D" w:rsidRDefault="003F439D" w:rsidP="003F439D">
      <w:pPr>
        <w:rPr>
          <w:bCs/>
        </w:rPr>
      </w:pPr>
      <w:r w:rsidRPr="0058364F">
        <w:rPr>
          <w:bCs/>
          <w:color w:val="000000"/>
          <w:sz w:val="20"/>
          <w:szCs w:val="20"/>
          <w:vertAlign w:val="superscript"/>
        </w:rPr>
        <w:t>a</w:t>
      </w:r>
      <w:r>
        <w:rPr>
          <w:bCs/>
          <w:color w:val="000000"/>
          <w:sz w:val="20"/>
          <w:szCs w:val="20"/>
        </w:rPr>
        <w:t xml:space="preserve">  We have assumed that there are approximately 72 existing sources currently subject to this rule.  There will be no additional new sources that will become subject to the rule over the three-year period of this ICR.</w:t>
      </w:r>
    </w:p>
    <w:p w:rsidR="006A185A" w:rsidRDefault="003F439D" w:rsidP="006A185A">
      <w:pPr>
        <w:ind w:right="-270"/>
        <w:rPr>
          <w:sz w:val="20"/>
          <w:szCs w:val="20"/>
        </w:rPr>
      </w:pPr>
      <w:r w:rsidRPr="004356F0">
        <w:rPr>
          <w:vertAlign w:val="superscript"/>
        </w:rPr>
        <w:t>b</w:t>
      </w:r>
      <w:r w:rsidRPr="004356F0">
        <w:rPr>
          <w:sz w:val="20"/>
          <w:szCs w:val="20"/>
        </w:rPr>
        <w:t xml:space="preserve">  This cost is based on the following labor rates which incorporates a 1.6 benefits multiplication factor to account for government overhead expenses: $62.57 for </w:t>
      </w:r>
      <w:r>
        <w:rPr>
          <w:sz w:val="20"/>
          <w:szCs w:val="20"/>
        </w:rPr>
        <w:t xml:space="preserve">                                               </w:t>
      </w:r>
      <w:r w:rsidRPr="004356F0">
        <w:rPr>
          <w:sz w:val="20"/>
          <w:szCs w:val="20"/>
        </w:rPr>
        <w:t>Managerial (GS-13, Step 5, $38.92 x 1.6), $46.21 for Technical (GS-12, Step 1, $28.88 x 1.6), and $25.01 Clerical (GS-6, Step 3, $15.63 x 1.6).  These rates are from the Office of Personnel Management (OPM) “2012 General Schedule” which excludes locality rates of pay.</w:t>
      </w:r>
    </w:p>
    <w:p w:rsidR="003F439D" w:rsidRPr="006A185A" w:rsidRDefault="003F439D" w:rsidP="006A185A">
      <w:pPr>
        <w:ind w:right="-270"/>
        <w:rPr>
          <w:sz w:val="20"/>
          <w:szCs w:val="20"/>
        </w:rPr>
      </w:pPr>
      <w:r w:rsidRPr="004356F0">
        <w:rPr>
          <w:vertAlign w:val="superscript"/>
        </w:rPr>
        <w:t>c</w:t>
      </w:r>
      <w:r w:rsidRPr="004356F0">
        <w:rPr>
          <w:sz w:val="20"/>
          <w:szCs w:val="20"/>
        </w:rPr>
        <w:t xml:space="preserve">  We have assumed that each respondent will take </w:t>
      </w:r>
      <w:r>
        <w:rPr>
          <w:sz w:val="20"/>
          <w:szCs w:val="20"/>
        </w:rPr>
        <w:t>two</w:t>
      </w:r>
      <w:r w:rsidRPr="004356F0">
        <w:rPr>
          <w:sz w:val="20"/>
          <w:szCs w:val="20"/>
        </w:rPr>
        <w:t xml:space="preserve"> hours </w:t>
      </w:r>
      <w:r>
        <w:rPr>
          <w:sz w:val="20"/>
          <w:szCs w:val="20"/>
        </w:rPr>
        <w:t xml:space="preserve">twice per year </w:t>
      </w:r>
      <w:r w:rsidRPr="004356F0">
        <w:rPr>
          <w:sz w:val="20"/>
          <w:szCs w:val="20"/>
        </w:rPr>
        <w:t xml:space="preserve">to </w:t>
      </w:r>
      <w:r>
        <w:rPr>
          <w:sz w:val="20"/>
          <w:szCs w:val="20"/>
        </w:rPr>
        <w:t>review semiannual reports and temperature variance reports.</w:t>
      </w:r>
      <w:r>
        <w:rPr>
          <w:bCs/>
        </w:rPr>
        <w:t xml:space="preserve"> </w:t>
      </w:r>
    </w:p>
    <w:sectPr w:rsidR="003F439D" w:rsidRPr="006A185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73A" w:rsidRDefault="005E073A">
      <w:r>
        <w:separator/>
      </w:r>
    </w:p>
  </w:endnote>
  <w:endnote w:type="continuationSeparator" w:id="0">
    <w:p w:rsidR="005E073A" w:rsidRDefault="005E0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73A" w:rsidRDefault="005E073A">
      <w:r>
        <w:separator/>
      </w:r>
    </w:p>
  </w:footnote>
  <w:footnote w:type="continuationSeparator" w:id="0">
    <w:p w:rsidR="005E073A" w:rsidRDefault="005E0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73A" w:rsidRDefault="005E073A">
    <w:pPr>
      <w:framePr w:w="9361" w:wrap="notBeside" w:vAnchor="text" w:hAnchor="text" w:x="1" w:y="1"/>
      <w:jc w:val="center"/>
    </w:pPr>
    <w:fldSimple w:instr="PAGE ">
      <w:r w:rsidR="002B0CD3">
        <w:rPr>
          <w:noProof/>
        </w:rPr>
        <w:t>10</w:t>
      </w:r>
    </w:fldSimple>
  </w:p>
  <w:p w:rsidR="005E073A" w:rsidRDefault="005E073A"/>
  <w:p w:rsidR="005E073A" w:rsidRDefault="005E073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nsid w:val="7FD201DE"/>
    <w:multiLevelType w:val="hybridMultilevel"/>
    <w:tmpl w:val="06928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3909"/>
    <w:rsid w:val="0003619B"/>
    <w:rsid w:val="00040C77"/>
    <w:rsid w:val="00046E09"/>
    <w:rsid w:val="00055BDF"/>
    <w:rsid w:val="00055DC5"/>
    <w:rsid w:val="000A1C6D"/>
    <w:rsid w:val="000A1FBB"/>
    <w:rsid w:val="000A687C"/>
    <w:rsid w:val="000B5B96"/>
    <w:rsid w:val="000C7E0A"/>
    <w:rsid w:val="000D2272"/>
    <w:rsid w:val="000D52D3"/>
    <w:rsid w:val="000E6C95"/>
    <w:rsid w:val="000F772C"/>
    <w:rsid w:val="00101B40"/>
    <w:rsid w:val="0010697C"/>
    <w:rsid w:val="00123889"/>
    <w:rsid w:val="00126A7C"/>
    <w:rsid w:val="0014079D"/>
    <w:rsid w:val="00144978"/>
    <w:rsid w:val="00144A82"/>
    <w:rsid w:val="00144F35"/>
    <w:rsid w:val="00146D97"/>
    <w:rsid w:val="0015433E"/>
    <w:rsid w:val="00155E40"/>
    <w:rsid w:val="00167A29"/>
    <w:rsid w:val="00173DE5"/>
    <w:rsid w:val="00186DA3"/>
    <w:rsid w:val="00190957"/>
    <w:rsid w:val="00195753"/>
    <w:rsid w:val="001A0B41"/>
    <w:rsid w:val="001A49B6"/>
    <w:rsid w:val="001B0B9A"/>
    <w:rsid w:val="001B35F2"/>
    <w:rsid w:val="001C5991"/>
    <w:rsid w:val="001D4944"/>
    <w:rsid w:val="001D762C"/>
    <w:rsid w:val="001E767C"/>
    <w:rsid w:val="001F0F1C"/>
    <w:rsid w:val="001F19FF"/>
    <w:rsid w:val="002041C5"/>
    <w:rsid w:val="002063FE"/>
    <w:rsid w:val="00206932"/>
    <w:rsid w:val="0021722B"/>
    <w:rsid w:val="00217D28"/>
    <w:rsid w:val="002234CB"/>
    <w:rsid w:val="0022738C"/>
    <w:rsid w:val="00234A28"/>
    <w:rsid w:val="00236DB3"/>
    <w:rsid w:val="00236F8F"/>
    <w:rsid w:val="002431D9"/>
    <w:rsid w:val="00255E6B"/>
    <w:rsid w:val="002638A0"/>
    <w:rsid w:val="002712EB"/>
    <w:rsid w:val="0027222A"/>
    <w:rsid w:val="002743D2"/>
    <w:rsid w:val="00274ED6"/>
    <w:rsid w:val="00277F42"/>
    <w:rsid w:val="00281CAE"/>
    <w:rsid w:val="0029006A"/>
    <w:rsid w:val="002904E7"/>
    <w:rsid w:val="002976E9"/>
    <w:rsid w:val="002A45C2"/>
    <w:rsid w:val="002B0CD3"/>
    <w:rsid w:val="002B29A5"/>
    <w:rsid w:val="002B29A7"/>
    <w:rsid w:val="002B517F"/>
    <w:rsid w:val="002B6993"/>
    <w:rsid w:val="002C1F95"/>
    <w:rsid w:val="002C416A"/>
    <w:rsid w:val="002C77DF"/>
    <w:rsid w:val="002D7683"/>
    <w:rsid w:val="002F6521"/>
    <w:rsid w:val="002F674B"/>
    <w:rsid w:val="002F6DB3"/>
    <w:rsid w:val="003139FC"/>
    <w:rsid w:val="00327EBF"/>
    <w:rsid w:val="003379F8"/>
    <w:rsid w:val="00341540"/>
    <w:rsid w:val="003511C6"/>
    <w:rsid w:val="00354C15"/>
    <w:rsid w:val="003C4B46"/>
    <w:rsid w:val="003C5023"/>
    <w:rsid w:val="003D3C39"/>
    <w:rsid w:val="003D6C02"/>
    <w:rsid w:val="003E30B5"/>
    <w:rsid w:val="003E4C18"/>
    <w:rsid w:val="003E730E"/>
    <w:rsid w:val="003F0F7B"/>
    <w:rsid w:val="003F439D"/>
    <w:rsid w:val="0040391F"/>
    <w:rsid w:val="00413A6B"/>
    <w:rsid w:val="00440389"/>
    <w:rsid w:val="0044133C"/>
    <w:rsid w:val="00455557"/>
    <w:rsid w:val="0047429F"/>
    <w:rsid w:val="00477CEE"/>
    <w:rsid w:val="00484A45"/>
    <w:rsid w:val="004A4B25"/>
    <w:rsid w:val="004C4F81"/>
    <w:rsid w:val="004C5E95"/>
    <w:rsid w:val="004C701D"/>
    <w:rsid w:val="004F1469"/>
    <w:rsid w:val="004F6FCD"/>
    <w:rsid w:val="00507EC5"/>
    <w:rsid w:val="00514294"/>
    <w:rsid w:val="00516952"/>
    <w:rsid w:val="00520FD2"/>
    <w:rsid w:val="005253D4"/>
    <w:rsid w:val="0053596E"/>
    <w:rsid w:val="00551815"/>
    <w:rsid w:val="00553403"/>
    <w:rsid w:val="00560AD2"/>
    <w:rsid w:val="00560AF5"/>
    <w:rsid w:val="00565A51"/>
    <w:rsid w:val="00566AFD"/>
    <w:rsid w:val="00571260"/>
    <w:rsid w:val="00583626"/>
    <w:rsid w:val="0058364F"/>
    <w:rsid w:val="005A1986"/>
    <w:rsid w:val="005B045D"/>
    <w:rsid w:val="005B5DE8"/>
    <w:rsid w:val="005C3665"/>
    <w:rsid w:val="005D385C"/>
    <w:rsid w:val="005E073A"/>
    <w:rsid w:val="005E194B"/>
    <w:rsid w:val="005F42F8"/>
    <w:rsid w:val="006005BF"/>
    <w:rsid w:val="00601205"/>
    <w:rsid w:val="00606DEF"/>
    <w:rsid w:val="00622E9B"/>
    <w:rsid w:val="0063107A"/>
    <w:rsid w:val="00631517"/>
    <w:rsid w:val="00635DBD"/>
    <w:rsid w:val="00673EA2"/>
    <w:rsid w:val="006741F7"/>
    <w:rsid w:val="00694B55"/>
    <w:rsid w:val="006A185A"/>
    <w:rsid w:val="006C0939"/>
    <w:rsid w:val="006C67DB"/>
    <w:rsid w:val="006D3BCC"/>
    <w:rsid w:val="006D41A3"/>
    <w:rsid w:val="006E4A6E"/>
    <w:rsid w:val="006E642B"/>
    <w:rsid w:val="00732F14"/>
    <w:rsid w:val="0073798D"/>
    <w:rsid w:val="0075341C"/>
    <w:rsid w:val="00763160"/>
    <w:rsid w:val="00775C59"/>
    <w:rsid w:val="00780612"/>
    <w:rsid w:val="00786A20"/>
    <w:rsid w:val="00790CE4"/>
    <w:rsid w:val="007A0634"/>
    <w:rsid w:val="007A134E"/>
    <w:rsid w:val="007A16F4"/>
    <w:rsid w:val="007A458D"/>
    <w:rsid w:val="007C0FAA"/>
    <w:rsid w:val="007D0E36"/>
    <w:rsid w:val="007E5544"/>
    <w:rsid w:val="007F07FB"/>
    <w:rsid w:val="00810507"/>
    <w:rsid w:val="00813E69"/>
    <w:rsid w:val="00815698"/>
    <w:rsid w:val="00817E8B"/>
    <w:rsid w:val="0082545D"/>
    <w:rsid w:val="008338D4"/>
    <w:rsid w:val="0084255D"/>
    <w:rsid w:val="00843C44"/>
    <w:rsid w:val="00847181"/>
    <w:rsid w:val="00850ACF"/>
    <w:rsid w:val="00852038"/>
    <w:rsid w:val="00853C6B"/>
    <w:rsid w:val="00884BCB"/>
    <w:rsid w:val="0088639E"/>
    <w:rsid w:val="008902BE"/>
    <w:rsid w:val="008B0BBF"/>
    <w:rsid w:val="008B407C"/>
    <w:rsid w:val="008B5FF7"/>
    <w:rsid w:val="008E65E6"/>
    <w:rsid w:val="008F285B"/>
    <w:rsid w:val="008F4564"/>
    <w:rsid w:val="009018EC"/>
    <w:rsid w:val="00903DE4"/>
    <w:rsid w:val="00906EDB"/>
    <w:rsid w:val="00912E00"/>
    <w:rsid w:val="00923C46"/>
    <w:rsid w:val="009711DB"/>
    <w:rsid w:val="00975404"/>
    <w:rsid w:val="009800A6"/>
    <w:rsid w:val="00981595"/>
    <w:rsid w:val="009A0F50"/>
    <w:rsid w:val="009A16CD"/>
    <w:rsid w:val="009A6B51"/>
    <w:rsid w:val="009C06F5"/>
    <w:rsid w:val="009D24F1"/>
    <w:rsid w:val="009D6567"/>
    <w:rsid w:val="009E0F31"/>
    <w:rsid w:val="009F01BD"/>
    <w:rsid w:val="009F40FA"/>
    <w:rsid w:val="00A007F5"/>
    <w:rsid w:val="00A038EC"/>
    <w:rsid w:val="00A145B0"/>
    <w:rsid w:val="00A15172"/>
    <w:rsid w:val="00A206F5"/>
    <w:rsid w:val="00A208A5"/>
    <w:rsid w:val="00A26EF7"/>
    <w:rsid w:val="00A277D6"/>
    <w:rsid w:val="00A308C9"/>
    <w:rsid w:val="00A379F8"/>
    <w:rsid w:val="00A54EEA"/>
    <w:rsid w:val="00A56BFF"/>
    <w:rsid w:val="00A60BCF"/>
    <w:rsid w:val="00A701E0"/>
    <w:rsid w:val="00A73600"/>
    <w:rsid w:val="00A74C1E"/>
    <w:rsid w:val="00A7661C"/>
    <w:rsid w:val="00A95BC7"/>
    <w:rsid w:val="00A962DF"/>
    <w:rsid w:val="00A97C8B"/>
    <w:rsid w:val="00AC04ED"/>
    <w:rsid w:val="00AE30FC"/>
    <w:rsid w:val="00B07F79"/>
    <w:rsid w:val="00B16903"/>
    <w:rsid w:val="00B16C07"/>
    <w:rsid w:val="00B34ACA"/>
    <w:rsid w:val="00B46A57"/>
    <w:rsid w:val="00B65754"/>
    <w:rsid w:val="00B66231"/>
    <w:rsid w:val="00B72F88"/>
    <w:rsid w:val="00B769F1"/>
    <w:rsid w:val="00B82025"/>
    <w:rsid w:val="00B83645"/>
    <w:rsid w:val="00B83820"/>
    <w:rsid w:val="00BA0A91"/>
    <w:rsid w:val="00BA4887"/>
    <w:rsid w:val="00BB3390"/>
    <w:rsid w:val="00BB3C1A"/>
    <w:rsid w:val="00BB6002"/>
    <w:rsid w:val="00BC6DEF"/>
    <w:rsid w:val="00BD3BBC"/>
    <w:rsid w:val="00BE090F"/>
    <w:rsid w:val="00BE2989"/>
    <w:rsid w:val="00BE7A11"/>
    <w:rsid w:val="00BF173E"/>
    <w:rsid w:val="00BF722F"/>
    <w:rsid w:val="00C130B7"/>
    <w:rsid w:val="00C13FE8"/>
    <w:rsid w:val="00C30A60"/>
    <w:rsid w:val="00C33ABA"/>
    <w:rsid w:val="00C3595A"/>
    <w:rsid w:val="00C37BB6"/>
    <w:rsid w:val="00C448DE"/>
    <w:rsid w:val="00C468B4"/>
    <w:rsid w:val="00C52EFD"/>
    <w:rsid w:val="00C64378"/>
    <w:rsid w:val="00C75CF0"/>
    <w:rsid w:val="00C808B5"/>
    <w:rsid w:val="00C8091E"/>
    <w:rsid w:val="00C82DB6"/>
    <w:rsid w:val="00CA4CD6"/>
    <w:rsid w:val="00CA7120"/>
    <w:rsid w:val="00CC48AB"/>
    <w:rsid w:val="00CC58F6"/>
    <w:rsid w:val="00CD12C2"/>
    <w:rsid w:val="00CD2069"/>
    <w:rsid w:val="00CD280D"/>
    <w:rsid w:val="00CE09F1"/>
    <w:rsid w:val="00CE249B"/>
    <w:rsid w:val="00CF3D57"/>
    <w:rsid w:val="00D026B9"/>
    <w:rsid w:val="00D1231B"/>
    <w:rsid w:val="00D13D9A"/>
    <w:rsid w:val="00D14210"/>
    <w:rsid w:val="00D14A8D"/>
    <w:rsid w:val="00D21198"/>
    <w:rsid w:val="00D2273E"/>
    <w:rsid w:val="00D24839"/>
    <w:rsid w:val="00D336C5"/>
    <w:rsid w:val="00D366E5"/>
    <w:rsid w:val="00D42D52"/>
    <w:rsid w:val="00D46FA2"/>
    <w:rsid w:val="00D5080D"/>
    <w:rsid w:val="00D56F5F"/>
    <w:rsid w:val="00D61B37"/>
    <w:rsid w:val="00D63B96"/>
    <w:rsid w:val="00D72871"/>
    <w:rsid w:val="00D82930"/>
    <w:rsid w:val="00D907B5"/>
    <w:rsid w:val="00D92F66"/>
    <w:rsid w:val="00D94858"/>
    <w:rsid w:val="00D95819"/>
    <w:rsid w:val="00DA7285"/>
    <w:rsid w:val="00DB59E1"/>
    <w:rsid w:val="00DB7F3E"/>
    <w:rsid w:val="00DD1AC1"/>
    <w:rsid w:val="00DD257B"/>
    <w:rsid w:val="00DD7D49"/>
    <w:rsid w:val="00DE5A29"/>
    <w:rsid w:val="00DF5C4E"/>
    <w:rsid w:val="00E03DA0"/>
    <w:rsid w:val="00E10DA7"/>
    <w:rsid w:val="00E1538C"/>
    <w:rsid w:val="00E25DB6"/>
    <w:rsid w:val="00E276CD"/>
    <w:rsid w:val="00E32EDA"/>
    <w:rsid w:val="00E53137"/>
    <w:rsid w:val="00E702F6"/>
    <w:rsid w:val="00E77D5E"/>
    <w:rsid w:val="00E868BB"/>
    <w:rsid w:val="00EA37A9"/>
    <w:rsid w:val="00EA7026"/>
    <w:rsid w:val="00EB5E89"/>
    <w:rsid w:val="00EC4074"/>
    <w:rsid w:val="00ED31E4"/>
    <w:rsid w:val="00EF113F"/>
    <w:rsid w:val="00F03803"/>
    <w:rsid w:val="00F066C9"/>
    <w:rsid w:val="00F169EE"/>
    <w:rsid w:val="00F20822"/>
    <w:rsid w:val="00F3017E"/>
    <w:rsid w:val="00F340DF"/>
    <w:rsid w:val="00F34BE3"/>
    <w:rsid w:val="00F538BC"/>
    <w:rsid w:val="00F64C62"/>
    <w:rsid w:val="00F9092B"/>
    <w:rsid w:val="00F92D22"/>
    <w:rsid w:val="00FB0650"/>
    <w:rsid w:val="00FB4D98"/>
    <w:rsid w:val="00FB7BCE"/>
    <w:rsid w:val="00FC029C"/>
    <w:rsid w:val="00FC033A"/>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FC029C"/>
    <w:rPr>
      <w:sz w:val="24"/>
      <w:szCs w:val="24"/>
    </w:rPr>
  </w:style>
  <w:style w:type="paragraph" w:styleId="ListParagraph">
    <w:name w:val="List Paragraph"/>
    <w:basedOn w:val="Normal"/>
    <w:uiPriority w:val="34"/>
    <w:qFormat/>
    <w:rsid w:val="00FC033A"/>
    <w:pPr>
      <w:ind w:left="720"/>
      <w:contextualSpacing/>
    </w:pPr>
  </w:style>
</w:styles>
</file>

<file path=word/webSettings.xml><?xml version="1.0" encoding="utf-8"?>
<w:webSettings xmlns:r="http://schemas.openxmlformats.org/officeDocument/2006/relationships" xmlns:w="http://schemas.openxmlformats.org/wordprocessingml/2006/main">
  <w:divs>
    <w:div w:id="64423303">
      <w:bodyDiv w:val="1"/>
      <w:marLeft w:val="0"/>
      <w:marRight w:val="0"/>
      <w:marTop w:val="0"/>
      <w:marBottom w:val="0"/>
      <w:divBdr>
        <w:top w:val="none" w:sz="0" w:space="0" w:color="auto"/>
        <w:left w:val="none" w:sz="0" w:space="0" w:color="auto"/>
        <w:bottom w:val="none" w:sz="0" w:space="0" w:color="auto"/>
        <w:right w:val="none" w:sz="0" w:space="0" w:color="auto"/>
      </w:divBdr>
    </w:div>
    <w:div w:id="31032853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9508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70E2-CCC8-4075-A04A-2C2BAC88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5015</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2012-10-09T17:12:00Z</cp:lastPrinted>
  <dcterms:created xsi:type="dcterms:W3CDTF">2012-11-15T14:35:00Z</dcterms:created>
  <dcterms:modified xsi:type="dcterms:W3CDTF">2012-11-15T14:35:00Z</dcterms:modified>
</cp:coreProperties>
</file>