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97A" w:rsidRDefault="00BA20AF" w:rsidP="00193647">
      <w:pPr>
        <w:tabs>
          <w:tab w:val="center" w:pos="4680"/>
        </w:tabs>
        <w:jc w:val="center"/>
      </w:pPr>
      <w:r>
        <w:t>FINAL</w:t>
      </w:r>
      <w:r w:rsidR="009B497A">
        <w:t xml:space="preserve"> SUPPORTING STATEMENT</w:t>
      </w:r>
    </w:p>
    <w:p w:rsidR="009B497A" w:rsidRDefault="009B497A" w:rsidP="009B497A">
      <w:pPr>
        <w:tabs>
          <w:tab w:val="center" w:pos="4680"/>
        </w:tabs>
        <w:jc w:val="center"/>
      </w:pPr>
      <w:r>
        <w:t>FOR</w:t>
      </w:r>
    </w:p>
    <w:p w:rsidR="009B497A" w:rsidRDefault="009B497A" w:rsidP="009B497A">
      <w:pPr>
        <w:tabs>
          <w:tab w:val="center" w:pos="4680"/>
        </w:tabs>
        <w:jc w:val="center"/>
      </w:pPr>
      <w:r>
        <w:t>10 CFR PART 140</w:t>
      </w:r>
    </w:p>
    <w:p w:rsidR="009B497A" w:rsidRDefault="009B497A" w:rsidP="009B497A">
      <w:pPr>
        <w:tabs>
          <w:tab w:val="center" w:pos="4680"/>
        </w:tabs>
        <w:jc w:val="center"/>
      </w:pPr>
    </w:p>
    <w:p w:rsidR="009B497A" w:rsidRDefault="009B497A" w:rsidP="009B497A">
      <w:pPr>
        <w:tabs>
          <w:tab w:val="center" w:pos="4680"/>
        </w:tabs>
        <w:jc w:val="center"/>
      </w:pPr>
      <w:r>
        <w:t>“FINANCIAL PROTECTION REQUIREMENTS AND INDEMNITY AGREEMENTS</w:t>
      </w:r>
      <w:r w:rsidRPr="00F675C9">
        <w:rPr>
          <w:rFonts w:ascii="Agency FB" w:hAnsi="Agency FB"/>
        </w:rPr>
        <w:t>"</w:t>
      </w:r>
    </w:p>
    <w:p w:rsidR="009B497A" w:rsidRDefault="009B497A" w:rsidP="009B497A">
      <w:pPr>
        <w:tabs>
          <w:tab w:val="center" w:pos="4680"/>
        </w:tabs>
        <w:jc w:val="center"/>
      </w:pPr>
      <w:r>
        <w:t>(3150-0039)</w:t>
      </w:r>
    </w:p>
    <w:p w:rsidR="009B497A" w:rsidRDefault="009B497A" w:rsidP="009B497A">
      <w:pPr>
        <w:tabs>
          <w:tab w:val="center" w:pos="4680"/>
        </w:tabs>
        <w:jc w:val="center"/>
      </w:pPr>
    </w:p>
    <w:p w:rsidR="009B497A" w:rsidRDefault="009B497A" w:rsidP="009B497A">
      <w:pPr>
        <w:tabs>
          <w:tab w:val="center" w:pos="4680"/>
        </w:tabs>
        <w:jc w:val="center"/>
      </w:pPr>
      <w:r>
        <w:t>EXTENSION</w:t>
      </w:r>
    </w:p>
    <w:p w:rsidR="009B497A" w:rsidRDefault="009B497A" w:rsidP="009B497A"/>
    <w:p w:rsidR="009B497A" w:rsidRDefault="009B497A" w:rsidP="009B497A"/>
    <w:p w:rsidR="009B497A" w:rsidRDefault="009B497A" w:rsidP="009B497A">
      <w:r>
        <w:rPr>
          <w:u w:val="single"/>
        </w:rPr>
        <w:t>DESCRIPTION OF THE INFORMATION COLLECTION</w:t>
      </w:r>
    </w:p>
    <w:p w:rsidR="009B497A" w:rsidRDefault="009B497A" w:rsidP="009B497A"/>
    <w:p w:rsidR="009B497A" w:rsidRDefault="009B497A" w:rsidP="009B497A">
      <w:r>
        <w:t xml:space="preserve">The regulations in Title 10 of the </w:t>
      </w:r>
      <w:r w:rsidRPr="00193647">
        <w:rPr>
          <w:i/>
        </w:rPr>
        <w:t>Code of Federal Regulations</w:t>
      </w:r>
      <w:r>
        <w:t xml:space="preserve"> (10 CFR) Part 140 provide appropriate procedures and requirements for determining the financial protection required of licensees and for the indemnification and limitation of liability of certain licensees and other persons pursuant to Section 170 of the Atomic Energy Act of 1954, as amended (the Act), and the liability insurance required of uranium enrichment facility licensees pursuant to Section 193 of the Act.  The Price-Anderson Act provides a system to pay public liability claims for bodily injury and property damage resulting from a nuclear incident.  The Act provides $375 million in nuclear liability insurance and $111.9 million in secondary retrospective premium insurance.  Approximately $12 billion in primary and secondary insurance is available to pay public liability and property damage claims.  When a licensee is initially granted a license to operate, it must provide evidence of primary and secondary insurance from American Nuclear Insurers.  In case of an injury, the licensee must submit a report to the Commission.</w:t>
      </w:r>
    </w:p>
    <w:p w:rsidR="009B497A" w:rsidRDefault="009B497A" w:rsidP="009B497A"/>
    <w:p w:rsidR="009B497A" w:rsidRDefault="009B497A" w:rsidP="009B497A">
      <w:pPr>
        <w:pStyle w:val="Level1"/>
        <w:widowControl/>
        <w:numPr>
          <w:ilvl w:val="0"/>
          <w:numId w:val="1"/>
        </w:numPr>
        <w:ind w:left="720" w:hanging="720"/>
        <w:rPr>
          <w:rFonts w:ascii="Arial" w:hAnsi="Arial"/>
          <w:sz w:val="22"/>
        </w:rPr>
      </w:pPr>
      <w:r>
        <w:rPr>
          <w:rFonts w:ascii="Arial" w:hAnsi="Arial"/>
          <w:sz w:val="22"/>
        </w:rPr>
        <w:tab/>
      </w:r>
      <w:r>
        <w:rPr>
          <w:rFonts w:ascii="Arial" w:hAnsi="Arial"/>
          <w:sz w:val="22"/>
          <w:u w:val="single"/>
        </w:rPr>
        <w:t>JUSTIFICATION</w:t>
      </w:r>
    </w:p>
    <w:p w:rsidR="009B497A" w:rsidRDefault="009B497A" w:rsidP="009B497A">
      <w:pPr>
        <w:widowControl w:val="0"/>
        <w:ind w:left="360"/>
      </w:pPr>
    </w:p>
    <w:p w:rsidR="009B497A" w:rsidRDefault="009B497A" w:rsidP="009B497A">
      <w:pPr>
        <w:widowControl w:val="0"/>
        <w:numPr>
          <w:ilvl w:val="0"/>
          <w:numId w:val="4"/>
        </w:numPr>
        <w:rPr>
          <w:u w:val="single"/>
        </w:rPr>
      </w:pPr>
      <w:r>
        <w:rPr>
          <w:u w:val="single"/>
        </w:rPr>
        <w:t>Need For and Practical Utility of the Collection of Information.  Part 140 implements Section 170 of the Act, the Price-Anderson Act.</w:t>
      </w:r>
    </w:p>
    <w:p w:rsidR="009B497A" w:rsidRPr="00800CC7" w:rsidRDefault="009B497A" w:rsidP="009B497A">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p>
    <w:p w:rsidR="009B497A" w:rsidRPr="00A83077" w:rsidRDefault="009B497A" w:rsidP="009B497A">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Pr>
          <w:u w:val="single"/>
        </w:rPr>
        <w:t>Section 140.6(a</w:t>
      </w:r>
      <w:r w:rsidRPr="00425466">
        <w:rPr>
          <w:u w:val="single"/>
        </w:rPr>
        <w:t>)</w:t>
      </w:r>
      <w:r w:rsidRPr="00620FE1">
        <w:t xml:space="preserve"> </w:t>
      </w:r>
      <w:r w:rsidRPr="00A83077">
        <w:rPr>
          <w:szCs w:val="22"/>
        </w:rPr>
        <w:t>requires that licensees submit a report to the N</w:t>
      </w:r>
      <w:r>
        <w:rPr>
          <w:szCs w:val="22"/>
        </w:rPr>
        <w:t xml:space="preserve">uclear </w:t>
      </w:r>
      <w:r w:rsidRPr="00A83077">
        <w:rPr>
          <w:szCs w:val="22"/>
        </w:rPr>
        <w:t>R</w:t>
      </w:r>
      <w:r>
        <w:rPr>
          <w:szCs w:val="22"/>
        </w:rPr>
        <w:t xml:space="preserve">egulatory </w:t>
      </w:r>
      <w:r w:rsidRPr="00A83077">
        <w:rPr>
          <w:szCs w:val="22"/>
        </w:rPr>
        <w:t>C</w:t>
      </w:r>
      <w:r>
        <w:rPr>
          <w:szCs w:val="22"/>
        </w:rPr>
        <w:t>ommission (NRC)</w:t>
      </w:r>
      <w:r w:rsidRPr="00A83077">
        <w:rPr>
          <w:szCs w:val="22"/>
        </w:rPr>
        <w:t xml:space="preserve"> in the event of bodily injury or property damage arising out of the possession or use of radioactive material.  This information assists NRC in assessing the extent of any damages which may have occurred or are expected to occur so that</w:t>
      </w:r>
      <w:r>
        <w:t xml:space="preserve"> appropriate action may be taken to initiate the remedies provided by the Price-Anderson Act. </w:t>
      </w:r>
    </w:p>
    <w:p w:rsidR="009B497A" w:rsidRDefault="009B497A" w:rsidP="009B497A"/>
    <w:p w:rsidR="009B497A" w:rsidRDefault="009B497A" w:rsidP="009B497A">
      <w:pPr>
        <w:ind w:left="1440"/>
      </w:pPr>
      <w:r w:rsidRPr="00620FE1">
        <w:rPr>
          <w:u w:val="single"/>
        </w:rPr>
        <w:t>Section 140.6(b)</w:t>
      </w:r>
      <w:r>
        <w:t xml:space="preserve"> states that the Commission may require any person subject to this part to keep such records and furnish such reports to the Commission as the Commission deems necessary for the administration of the regulations in this part.</w:t>
      </w:r>
    </w:p>
    <w:p w:rsidR="009B497A" w:rsidRDefault="009B497A" w:rsidP="009B497A">
      <w:pPr>
        <w:ind w:left="1440"/>
      </w:pPr>
    </w:p>
    <w:p w:rsidR="0051466F" w:rsidRDefault="009B497A" w:rsidP="0051466F">
      <w:pPr>
        <w:ind w:left="1440"/>
      </w:pPr>
      <w:r w:rsidRPr="00425466">
        <w:rPr>
          <w:u w:val="single"/>
        </w:rPr>
        <w:t>Section 140.7(b)</w:t>
      </w:r>
      <w:r>
        <w:t xml:space="preserve"> pertains to a situation where a licensee manufactures a number of nuclear reactors (rated at 3 1/3 megawatts or less) and operates them at its site prior to delivery to a buyer.  Each such reactor is indemnified under the Price-Anderson Act system, and because of such indemnification, the manufacturer is liable to pay a fee for each reactor operated.  Rather than be billed for each reactor separately, the licensee is required to estimate the maximum number of reactors operating at any one time, and the </w:t>
      </w:r>
      <w:r w:rsidR="0051466F">
        <w:t>fee is based on this estimate.</w:t>
      </w:r>
    </w:p>
    <w:p w:rsidR="009B497A" w:rsidRDefault="009B497A" w:rsidP="0051466F">
      <w:pPr>
        <w:ind w:left="1440"/>
      </w:pPr>
      <w:r>
        <w:lastRenderedPageBreak/>
        <w:t>If experience shows that more or less than this estimated maximum has operated, the licensee will inform the NRC so that the fee can be adjusted.</w:t>
      </w:r>
      <w:r>
        <w:tab/>
      </w:r>
      <w:r>
        <w:tab/>
      </w:r>
      <w:r>
        <w:tab/>
      </w:r>
      <w:r>
        <w:tab/>
      </w:r>
      <w:r>
        <w:tab/>
      </w:r>
      <w:r>
        <w:tab/>
      </w:r>
      <w:r>
        <w:tab/>
      </w:r>
    </w:p>
    <w:p w:rsidR="009B497A" w:rsidRDefault="009B497A" w:rsidP="009B497A">
      <w:pPr>
        <w:ind w:left="1440"/>
      </w:pPr>
      <w:r w:rsidRPr="00425466">
        <w:rPr>
          <w:u w:val="single"/>
        </w:rPr>
        <w:t>Section 140.8</w:t>
      </w:r>
      <w:r w:rsidRPr="00DB125A">
        <w:t xml:space="preserve"> </w:t>
      </w:r>
      <w:r>
        <w:t xml:space="preserve">pertains to specific exemptions when the Commission may, upon application of any interested person or upon its own initiative, grant such exemptions from the requirements of the regulations in this part as it determines are authorized by law and are otherwise in the best interest of the public.  </w:t>
      </w:r>
    </w:p>
    <w:p w:rsidR="009B497A" w:rsidRDefault="009B497A" w:rsidP="009B497A">
      <w:pPr>
        <w:ind w:left="1440"/>
      </w:pPr>
    </w:p>
    <w:p w:rsidR="009B497A" w:rsidRDefault="009B497A" w:rsidP="009B497A">
      <w:pPr>
        <w:ind w:left="1440"/>
      </w:pPr>
      <w:r w:rsidRPr="00425466">
        <w:rPr>
          <w:u w:val="single"/>
        </w:rPr>
        <w:t>Section 140.13</w:t>
      </w:r>
      <w:r>
        <w:t xml:space="preserve"> requires that each holder of a Part 50 construction permit, or a holder of a combined license under Part 52, who also holds a license under part 70 license must maintain $1 million in financial protection prior to issuance of an operating license under Part 50 or a combined license under Part 52, and submit evidence of fulfilling this requirement, as required by Section 170 of the Act.  </w:t>
      </w:r>
    </w:p>
    <w:p w:rsidR="009B497A" w:rsidRDefault="009B497A" w:rsidP="009B497A"/>
    <w:p w:rsidR="009B497A" w:rsidRDefault="009B497A" w:rsidP="009B497A">
      <w:pPr>
        <w:ind w:left="1440"/>
      </w:pPr>
      <w:r>
        <w:rPr>
          <w:u w:val="single"/>
        </w:rPr>
        <w:t>Section 140.13</w:t>
      </w:r>
      <w:r w:rsidRPr="00425466">
        <w:rPr>
          <w:u w:val="single"/>
        </w:rPr>
        <w:t>(a)</w:t>
      </w:r>
      <w:r>
        <w:t xml:space="preserve"> requires that each holder of a Part 70 license to possess and use plutonium at a plutonium processing and fuel fabrication plant must maintain $300 million of financial protection and submit evidence of fulfilling this requirement, as required by Section 170 of the Act.</w:t>
      </w:r>
    </w:p>
    <w:p w:rsidR="009B497A" w:rsidRDefault="009B497A" w:rsidP="009B497A"/>
    <w:p w:rsidR="009B497A" w:rsidRDefault="009B497A" w:rsidP="009B497A">
      <w:pPr>
        <w:ind w:left="1440"/>
      </w:pPr>
      <w:r w:rsidRPr="00425466">
        <w:rPr>
          <w:u w:val="single"/>
        </w:rPr>
        <w:t>Section 140.13b</w:t>
      </w:r>
      <w:r>
        <w:t xml:space="preserve"> requires proof of liability insurance to be filed with the Commission, pursuant to 140.15, before issuance of a license for a uranium enrichment facility, as required by Section 193 of the Act.</w:t>
      </w:r>
    </w:p>
    <w:p w:rsidR="009B497A" w:rsidRDefault="009B497A" w:rsidP="009B497A"/>
    <w:p w:rsidR="009B497A" w:rsidRDefault="009B497A" w:rsidP="009B497A">
      <w:pPr>
        <w:ind w:left="1440"/>
      </w:pPr>
      <w:r w:rsidRPr="00425466">
        <w:rPr>
          <w:u w:val="single"/>
        </w:rPr>
        <w:t>Section 140.14(b)</w:t>
      </w:r>
      <w:r>
        <w:t xml:space="preserve"> requires the licensee to obtain written approval of the Commission if they wish to substitute one type of financial protection for another type pursuant to Section 170(b) of the Act.</w:t>
      </w:r>
    </w:p>
    <w:p w:rsidR="009B497A" w:rsidRDefault="009B497A" w:rsidP="009B497A"/>
    <w:p w:rsidR="009B497A" w:rsidRDefault="009B497A" w:rsidP="009B497A">
      <w:pPr>
        <w:ind w:left="1440"/>
      </w:pPr>
      <w:r w:rsidRPr="00425466">
        <w:rPr>
          <w:u w:val="single"/>
        </w:rPr>
        <w:t>Section 140.15(a)(1)</w:t>
      </w:r>
      <w:r>
        <w:t xml:space="preserve"> requires those licensees who choose to maintain financial protection in the form of liability insurance required pursuant to Section 170(b) of the Act to submit proof to the NRC of their financial protection (copies of new policies and copies of endorsements, i.e., amendments to the policies).  All liability policies are with the nuclear insurance pool, American Nuclear Insurers.</w:t>
      </w:r>
    </w:p>
    <w:p w:rsidR="009B497A" w:rsidRDefault="009B497A" w:rsidP="009B497A"/>
    <w:p w:rsidR="009B497A" w:rsidRDefault="009B497A" w:rsidP="009B497A">
      <w:pPr>
        <w:ind w:left="1440"/>
      </w:pPr>
      <w:r w:rsidRPr="00425466">
        <w:rPr>
          <w:u w:val="single"/>
        </w:rPr>
        <w:t>Section 140.15(a)(2)</w:t>
      </w:r>
      <w:r>
        <w:t xml:space="preserve"> requires alternative proof of financial protection in the form of a copy of the declarations page from a nuclear energy liability policy be accompanied by a certificate from the insurers stating that the copy is a true copy of the declarations page of a currently effective policy and identify the policy by reference to the policy form which has been filed by the licensee with the Commission.  The licensees are not required to submit information annually under this section, and would only submit documentation if alternative proof of financial protection is provided.</w:t>
      </w:r>
    </w:p>
    <w:p w:rsidR="009B497A" w:rsidRDefault="009B497A" w:rsidP="009B497A">
      <w:pPr>
        <w:ind w:left="1440"/>
      </w:pPr>
    </w:p>
    <w:p w:rsidR="009B497A" w:rsidRDefault="009B497A" w:rsidP="009B497A">
      <w:pPr>
        <w:ind w:left="1440"/>
      </w:pPr>
      <w:r w:rsidRPr="00425466">
        <w:rPr>
          <w:u w:val="single"/>
        </w:rPr>
        <w:t>Section 140.15(b)(1)</w:t>
      </w:r>
      <w:r>
        <w:t xml:space="preserve"> requires proof of financial protection for those licensees who maintain financial protection in whole or in part in the form specified in § 140.14(a)(2) shall consist of showing that the licensee clearly has adequate resources to provide the financial protection required under this part, by filing annual financial statements for the three complete calendar or fiscal years preceding the date of filing, together with an opinion therein by a Certified Public Accountant.  The financial statements shall include balance sheets, operating </w:t>
      </w:r>
      <w:r>
        <w:lastRenderedPageBreak/>
        <w:t>statements, and supporting schedules as needed for interpretation of the balance sheets and operating statements.  NRC reviews this information to determine whether the licensee has adequate financial protection.  This information is provided at the issuance of an operating license under Part 50, or a holder of a combined license under Part 52.</w:t>
      </w:r>
    </w:p>
    <w:p w:rsidR="009B497A" w:rsidRDefault="009B497A" w:rsidP="009B497A"/>
    <w:p w:rsidR="009B497A" w:rsidRDefault="009B497A" w:rsidP="009B497A">
      <w:pPr>
        <w:ind w:left="1440"/>
      </w:pPr>
      <w:r w:rsidRPr="00425466">
        <w:rPr>
          <w:u w:val="single"/>
        </w:rPr>
        <w:t>Section 140.15(b)(2)</w:t>
      </w:r>
      <w:r>
        <w:t xml:space="preserve"> requires that if the most recent financial statements required by Section 140.15(b)(1) have been prepared as of a date more than 90 days prior to the dates of filing, similar financial statements prepared as of a date not more than 90 days prior to the date of filing should be included.  NRC reviews this information to determine whether the licensee has adequate financial protection.  This information is provided at issuance of a license.</w:t>
      </w:r>
    </w:p>
    <w:p w:rsidR="009B497A" w:rsidRPr="00F80B7C" w:rsidRDefault="009B497A" w:rsidP="009B497A">
      <w:pPr>
        <w:ind w:left="1440"/>
      </w:pPr>
    </w:p>
    <w:p w:rsidR="009B497A" w:rsidRPr="00F80B7C" w:rsidRDefault="009B497A" w:rsidP="009B497A">
      <w:pPr>
        <w:ind w:left="1440"/>
      </w:pPr>
      <w:r w:rsidRPr="00032025">
        <w:rPr>
          <w:u w:val="single"/>
        </w:rPr>
        <w:t>Section 140.15(c)</w:t>
      </w:r>
      <w:r>
        <w:t xml:space="preserve"> requires any licensee to file with the NRC such additional proof of financial protection or other financial information as the NRC determines to be necessary to determine whether financial protection is being maintained pursuant to 10 CFR Part 140.  </w:t>
      </w:r>
    </w:p>
    <w:p w:rsidR="009B497A" w:rsidRDefault="009B497A" w:rsidP="009B497A"/>
    <w:p w:rsidR="009B497A" w:rsidRDefault="009B497A" w:rsidP="009B497A">
      <w:pPr>
        <w:ind w:left="1440"/>
      </w:pPr>
      <w:r w:rsidRPr="00425466">
        <w:rPr>
          <w:u w:val="single"/>
        </w:rPr>
        <w:t>Section 140.15(e)</w:t>
      </w:r>
      <w:r>
        <w:t xml:space="preserve"> requires licensees to promptly notify the NRC of any material change in financial protection or in other financial information so that NRC can reevaluate these changes.</w:t>
      </w:r>
    </w:p>
    <w:p w:rsidR="009B497A" w:rsidRDefault="009B497A" w:rsidP="009B497A"/>
    <w:p w:rsidR="009B497A" w:rsidRDefault="009B497A" w:rsidP="009B497A">
      <w:pPr>
        <w:ind w:left="1440"/>
      </w:pPr>
      <w:r w:rsidRPr="00425466">
        <w:rPr>
          <w:u w:val="single"/>
        </w:rPr>
        <w:t>Section 140.17(a)</w:t>
      </w:r>
      <w:r>
        <w:t xml:space="preserve"> requires licensees to submit to NRC proof that organizations which have issued financial protection policies are legally authorized to issue them and do business in the </w:t>
      </w:r>
      <w:smartTag w:uri="urn:schemas-microsoft-com:office:smarttags" w:element="place">
        <w:smartTag w:uri="urn:schemas-microsoft-com:office:smarttags" w:element="country-region">
          <w:r>
            <w:t>United States</w:t>
          </w:r>
        </w:smartTag>
      </w:smartTag>
      <w:r>
        <w:t xml:space="preserve">, and have clear ability to meet their obligations.  This information allows NRC to ensure continued liability protection and reliability of licensee liability policies. </w:t>
      </w:r>
    </w:p>
    <w:p w:rsidR="009B497A" w:rsidRDefault="009B497A" w:rsidP="009B497A"/>
    <w:p w:rsidR="009B497A" w:rsidRDefault="009B497A" w:rsidP="009B497A">
      <w:pPr>
        <w:ind w:left="1440"/>
      </w:pPr>
      <w:r w:rsidRPr="00425466">
        <w:rPr>
          <w:u w:val="single"/>
        </w:rPr>
        <w:t>Section 140.17(b)</w:t>
      </w:r>
      <w:r>
        <w:t xml:space="preserve"> requires that at least 30 days prior to termination, licensees notify the NRC of liability insurance policies, renewal of such policy, or file other proof of financial protection.  With this information, NRC judges the legality and reliability of licensee liability policies. </w:t>
      </w:r>
    </w:p>
    <w:p w:rsidR="009B497A" w:rsidRDefault="009B497A" w:rsidP="009B497A"/>
    <w:p w:rsidR="009B497A" w:rsidRDefault="009B497A" w:rsidP="009B497A">
      <w:pPr>
        <w:ind w:left="1440"/>
      </w:pPr>
      <w:r w:rsidRPr="00425466">
        <w:rPr>
          <w:u w:val="single"/>
        </w:rPr>
        <w:t>Section 140.18</w:t>
      </w:r>
      <w:r>
        <w:t xml:space="preserve"> requires licensees to file with the NRC such financial information as the Commission determines to be appropriate to determine whether the licensee is maintaining financial protection pursuant as required by this Part.   </w:t>
      </w:r>
    </w:p>
    <w:p w:rsidR="009B497A" w:rsidRDefault="009B497A" w:rsidP="009B497A"/>
    <w:p w:rsidR="009B497A" w:rsidRDefault="009B497A" w:rsidP="009B497A">
      <w:pPr>
        <w:ind w:left="1440"/>
      </w:pPr>
      <w:r w:rsidRPr="00425466">
        <w:rPr>
          <w:u w:val="single"/>
        </w:rPr>
        <w:t>Section 140.20(c)</w:t>
      </w:r>
      <w:r>
        <w:t xml:space="preserve"> specifies that licensees, who indicate that they will not be paying retrospective premium assessments, immediately submit their financial statements to NRC.  Retrospective premiums are required pursuant to Section 170(b) of the Act.  As required, subsequent submission of financial statements by such licensees may be requested by NRC.  These statements are necessary to determine whether the NRC will be required to pay, on behalf of a licensee, any unpaid retrospective premiums.  The Act authorizes the NRC to levy liens to obtain payment from the licensee.  </w:t>
      </w:r>
    </w:p>
    <w:p w:rsidR="009B497A" w:rsidRDefault="009B497A" w:rsidP="009B497A"/>
    <w:p w:rsidR="009B497A" w:rsidRDefault="009B497A" w:rsidP="009B497A">
      <w:pPr>
        <w:ind w:left="1440"/>
      </w:pPr>
      <w:r w:rsidRPr="00425466">
        <w:rPr>
          <w:u w:val="single"/>
        </w:rPr>
        <w:t>Section 140.21</w:t>
      </w:r>
      <w:r>
        <w:t xml:space="preserve"> requires each license required to have and maintain financial protection for each nuclear reactor as determined in § 140.11(a)(4).  At the issuance of the license, the licensee must provide evidence that it maintains the </w:t>
      </w:r>
      <w:r>
        <w:lastRenderedPageBreak/>
        <w:t>following types of guarantee of payment of deferred premiums in an amount of $</w:t>
      </w:r>
      <w:r w:rsidR="000F3826">
        <w:t>17.5</w:t>
      </w:r>
      <w:r>
        <w:t xml:space="preserve"> million for each reactor: </w:t>
      </w:r>
    </w:p>
    <w:p w:rsidR="0051466F" w:rsidRDefault="0051466F" w:rsidP="009B497A">
      <w:pPr>
        <w:ind w:left="2160"/>
      </w:pPr>
    </w:p>
    <w:p w:rsidR="009B497A" w:rsidRPr="00E43835" w:rsidRDefault="009B497A" w:rsidP="00E43835">
      <w:pPr>
        <w:pStyle w:val="ListParagraph"/>
        <w:numPr>
          <w:ilvl w:val="0"/>
          <w:numId w:val="10"/>
        </w:numPr>
        <w:rPr>
          <w:rFonts w:ascii="Arial" w:hAnsi="Arial" w:cs="Arial"/>
          <w:sz w:val="22"/>
          <w:szCs w:val="22"/>
        </w:rPr>
      </w:pPr>
      <w:r w:rsidRPr="00E43835">
        <w:rPr>
          <w:rFonts w:ascii="Arial" w:hAnsi="Arial" w:cs="Arial"/>
          <w:sz w:val="22"/>
          <w:szCs w:val="22"/>
        </w:rPr>
        <w:t>Surety bond,</w:t>
      </w:r>
    </w:p>
    <w:p w:rsidR="009B497A" w:rsidRPr="00E43835" w:rsidRDefault="009B497A" w:rsidP="00E43835">
      <w:pPr>
        <w:pStyle w:val="ListParagraph"/>
        <w:numPr>
          <w:ilvl w:val="0"/>
          <w:numId w:val="10"/>
        </w:numPr>
        <w:rPr>
          <w:rFonts w:ascii="Arial" w:hAnsi="Arial" w:cs="Arial"/>
          <w:sz w:val="22"/>
          <w:szCs w:val="22"/>
        </w:rPr>
      </w:pPr>
      <w:r w:rsidRPr="00E43835">
        <w:rPr>
          <w:rFonts w:ascii="Arial" w:hAnsi="Arial" w:cs="Arial"/>
          <w:sz w:val="22"/>
          <w:szCs w:val="22"/>
        </w:rPr>
        <w:t>Letter of credit,</w:t>
      </w:r>
    </w:p>
    <w:p w:rsidR="009B497A" w:rsidRPr="00E43835" w:rsidRDefault="009B497A" w:rsidP="00E43835">
      <w:pPr>
        <w:pStyle w:val="ListParagraph"/>
        <w:numPr>
          <w:ilvl w:val="0"/>
          <w:numId w:val="10"/>
        </w:numPr>
        <w:rPr>
          <w:rFonts w:ascii="Arial" w:hAnsi="Arial" w:cs="Arial"/>
          <w:sz w:val="22"/>
          <w:szCs w:val="22"/>
        </w:rPr>
      </w:pPr>
      <w:r w:rsidRPr="00E43835">
        <w:rPr>
          <w:rFonts w:ascii="Arial" w:hAnsi="Arial" w:cs="Arial"/>
          <w:sz w:val="22"/>
          <w:szCs w:val="22"/>
        </w:rPr>
        <w:t>Revolving credit/term loan agreement,</w:t>
      </w:r>
    </w:p>
    <w:p w:rsidR="009B497A" w:rsidRPr="00E43835" w:rsidRDefault="009B497A" w:rsidP="00E43835">
      <w:pPr>
        <w:pStyle w:val="ListParagraph"/>
        <w:numPr>
          <w:ilvl w:val="0"/>
          <w:numId w:val="10"/>
        </w:numPr>
        <w:rPr>
          <w:rFonts w:ascii="Arial" w:hAnsi="Arial" w:cs="Arial"/>
          <w:sz w:val="22"/>
          <w:szCs w:val="22"/>
        </w:rPr>
      </w:pPr>
      <w:r w:rsidRPr="00E43835">
        <w:rPr>
          <w:rFonts w:ascii="Arial" w:hAnsi="Arial" w:cs="Arial"/>
          <w:sz w:val="22"/>
          <w:szCs w:val="22"/>
        </w:rPr>
        <w:t>Maintenance of escrow deposits of government securities,</w:t>
      </w:r>
    </w:p>
    <w:p w:rsidR="009B497A" w:rsidRPr="00E43835" w:rsidRDefault="009B497A" w:rsidP="00E43835">
      <w:pPr>
        <w:pStyle w:val="ListParagraph"/>
        <w:numPr>
          <w:ilvl w:val="0"/>
          <w:numId w:val="10"/>
        </w:numPr>
        <w:rPr>
          <w:rFonts w:ascii="Arial" w:hAnsi="Arial" w:cs="Arial"/>
          <w:sz w:val="22"/>
          <w:szCs w:val="22"/>
        </w:rPr>
      </w:pPr>
      <w:r w:rsidRPr="00E43835">
        <w:rPr>
          <w:rFonts w:ascii="Arial" w:hAnsi="Arial" w:cs="Arial"/>
          <w:sz w:val="22"/>
          <w:szCs w:val="22"/>
        </w:rPr>
        <w:t>Annual certified financial statement showing that a cash flow can be generated within 3 months or a cash reserve or combination of cash flow and cash flow,</w:t>
      </w:r>
    </w:p>
    <w:p w:rsidR="009B497A" w:rsidRDefault="009B497A" w:rsidP="00E43835">
      <w:pPr>
        <w:pStyle w:val="ListParagraph"/>
        <w:numPr>
          <w:ilvl w:val="0"/>
          <w:numId w:val="10"/>
        </w:numPr>
      </w:pPr>
      <w:r w:rsidRPr="00E43835">
        <w:rPr>
          <w:rFonts w:ascii="Arial" w:hAnsi="Arial" w:cs="Arial"/>
          <w:sz w:val="22"/>
          <w:szCs w:val="22"/>
        </w:rPr>
        <w:t xml:space="preserve">Such other type of guarantee as may be approved by the Commission. </w:t>
      </w:r>
    </w:p>
    <w:p w:rsidR="009B497A" w:rsidRDefault="009B497A" w:rsidP="009B497A">
      <w:pPr>
        <w:ind w:left="1440"/>
      </w:pPr>
    </w:p>
    <w:p w:rsidR="009B497A" w:rsidRDefault="009B497A" w:rsidP="009B497A">
      <w:pPr>
        <w:ind w:left="1440"/>
      </w:pPr>
      <w:r>
        <w:t>Copies of these financial devices provide NRC with the assurance that licensees maintain adequate financial protection.</w:t>
      </w:r>
    </w:p>
    <w:p w:rsidR="009B497A" w:rsidRDefault="009B497A" w:rsidP="009B497A"/>
    <w:p w:rsidR="009B497A" w:rsidRDefault="009B497A" w:rsidP="009B497A">
      <w:pPr>
        <w:ind w:left="1440"/>
      </w:pPr>
      <w:r w:rsidRPr="00425466">
        <w:rPr>
          <w:u w:val="single"/>
        </w:rPr>
        <w:t>Section 140.22</w:t>
      </w:r>
      <w:r>
        <w:t xml:space="preserve"> requires licensees to execute an indemnity agreement with the Commission that provides for the payment to the Commission of deferred premiums not paid by the licensee and reimbursement of the Commission by the licensee as required pursuant to Section 170(b) of the Act.  The general forms of agreement to be entered into by the Committee and licensees are set forth in Section 140.92, Appendix B, and Section 140.93, Appendix C.  This agreement is required to be submitted at the issuance of the license.</w:t>
      </w:r>
    </w:p>
    <w:p w:rsidR="009B497A" w:rsidRDefault="009B497A" w:rsidP="009B497A"/>
    <w:p w:rsidR="009B497A" w:rsidRDefault="009B497A" w:rsidP="009B497A">
      <w:pPr>
        <w:ind w:left="1440"/>
      </w:pPr>
      <w:r>
        <w:t>The NRC completes its review of this information within approximately one month after its receipt.</w:t>
      </w:r>
    </w:p>
    <w:p w:rsidR="009B497A" w:rsidRDefault="009B497A" w:rsidP="009B497A"/>
    <w:p w:rsidR="009B497A" w:rsidRDefault="009B497A" w:rsidP="009B497A">
      <w:pPr>
        <w:ind w:left="1440" w:hanging="720"/>
      </w:pPr>
      <w:r>
        <w:t>2.</w:t>
      </w:r>
      <w:r>
        <w:tab/>
      </w:r>
      <w:r>
        <w:rPr>
          <w:u w:val="single"/>
        </w:rPr>
        <w:t>Agency Use of Information</w:t>
      </w:r>
    </w:p>
    <w:p w:rsidR="009B497A" w:rsidRDefault="009B497A" w:rsidP="009B497A"/>
    <w:p w:rsidR="009B497A" w:rsidRDefault="009B497A" w:rsidP="00755027">
      <w:pPr>
        <w:ind w:left="1440"/>
      </w:pPr>
      <w:r>
        <w:t xml:space="preserve">As stated specifically above, NRC uses the information required by 10 CFR Part 140 to assess (a) the financial protection required of licensees and for the indemnification and limitation of liability of certain licensees and other persons pursuant to Section 170 of the Act and (b) the liability insurance required of uranium enrichment facility licensees pursuant to Section 193 of the Act. </w:t>
      </w:r>
    </w:p>
    <w:p w:rsidR="009B497A" w:rsidRDefault="009B497A" w:rsidP="009B497A"/>
    <w:p w:rsidR="009B497A" w:rsidRDefault="009B497A" w:rsidP="009B497A">
      <w:pPr>
        <w:pStyle w:val="Level1"/>
        <w:widowControl/>
        <w:rPr>
          <w:rFonts w:ascii="Arial" w:hAnsi="Arial"/>
          <w:sz w:val="22"/>
        </w:rPr>
      </w:pPr>
      <w:r>
        <w:rPr>
          <w:rFonts w:ascii="Arial" w:hAnsi="Arial"/>
          <w:sz w:val="22"/>
        </w:rPr>
        <w:tab/>
        <w:t>3.</w:t>
      </w:r>
      <w:r>
        <w:rPr>
          <w:rFonts w:ascii="Arial" w:hAnsi="Arial"/>
          <w:sz w:val="22"/>
        </w:rPr>
        <w:tab/>
      </w:r>
      <w:r>
        <w:rPr>
          <w:rFonts w:ascii="Arial" w:hAnsi="Arial"/>
          <w:sz w:val="22"/>
          <w:u w:val="single"/>
        </w:rPr>
        <w:t>Reduction of Burden Through Information Technology</w:t>
      </w:r>
    </w:p>
    <w:p w:rsidR="009B497A" w:rsidRDefault="009B497A" w:rsidP="009B497A"/>
    <w:p w:rsidR="009B497A" w:rsidRPr="00AC57AD" w:rsidRDefault="009B497A" w:rsidP="009B497A">
      <w:pPr>
        <w:ind w:left="1440"/>
      </w:pPr>
      <w:r>
        <w:t xml:space="preserve">There are no legal obstacles to reducing the burden associated with this information collection.  NRC encourages respondents to use new automated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Requests which are not for personal records that require verification of identity of the requester are being accepted by electronic mail and facsimile transmission in addition to mail and in-person written request.  It is anticipated </w:t>
      </w:r>
      <w:r w:rsidRPr="00D30541">
        <w:t xml:space="preserve">that </w:t>
      </w:r>
      <w:r>
        <w:t>approximately 80% of all requests will be submitted electronically.</w:t>
      </w:r>
    </w:p>
    <w:p w:rsidR="006344BD" w:rsidRDefault="006344BD">
      <w:pPr>
        <w:rPr>
          <w:szCs w:val="20"/>
        </w:rPr>
      </w:pPr>
      <w:r>
        <w:br w:type="page"/>
      </w:r>
    </w:p>
    <w:p w:rsidR="009B497A" w:rsidRDefault="009B497A" w:rsidP="009B497A">
      <w:pPr>
        <w:pStyle w:val="Level1"/>
        <w:widowControl/>
        <w:ind w:firstLine="720"/>
        <w:rPr>
          <w:rFonts w:ascii="Arial" w:hAnsi="Arial"/>
          <w:sz w:val="22"/>
        </w:rPr>
      </w:pPr>
      <w:r w:rsidRPr="00425466">
        <w:rPr>
          <w:rFonts w:ascii="Arial" w:hAnsi="Arial"/>
          <w:sz w:val="22"/>
        </w:rPr>
        <w:lastRenderedPageBreak/>
        <w:t>4.</w:t>
      </w:r>
      <w:r>
        <w:rPr>
          <w:rFonts w:ascii="Arial" w:hAnsi="Arial"/>
          <w:sz w:val="22"/>
        </w:rPr>
        <w:tab/>
      </w:r>
      <w:r>
        <w:rPr>
          <w:rFonts w:ascii="Arial" w:hAnsi="Arial"/>
          <w:sz w:val="22"/>
          <w:u w:val="single"/>
        </w:rPr>
        <w:t>Effort to Identify Duplication and Use Similar Information</w:t>
      </w:r>
    </w:p>
    <w:p w:rsidR="009B497A" w:rsidRDefault="009B497A" w:rsidP="009B497A"/>
    <w:p w:rsidR="009B497A" w:rsidRDefault="009B497A" w:rsidP="009B497A">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sidRPr="00D30541">
        <w:rPr>
          <w:rFonts w:cs="Arial"/>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E43835" w:rsidRPr="00D30541" w:rsidRDefault="00E43835" w:rsidP="009B497A">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p>
    <w:p w:rsidR="009B497A" w:rsidRDefault="009B497A" w:rsidP="009B497A">
      <w:pPr>
        <w:pStyle w:val="Level1"/>
        <w:widowControl/>
        <w:ind w:firstLine="720"/>
        <w:rPr>
          <w:rFonts w:ascii="Arial" w:hAnsi="Arial"/>
          <w:sz w:val="22"/>
        </w:rPr>
      </w:pPr>
      <w:r w:rsidRPr="00425466">
        <w:rPr>
          <w:rFonts w:ascii="Arial" w:hAnsi="Arial" w:cs="Arial"/>
          <w:sz w:val="22"/>
          <w:szCs w:val="22"/>
        </w:rPr>
        <w:t>5.</w:t>
      </w:r>
      <w:r>
        <w:tab/>
      </w:r>
      <w:r>
        <w:rPr>
          <w:rFonts w:ascii="Arial" w:hAnsi="Arial"/>
          <w:sz w:val="22"/>
          <w:u w:val="single"/>
        </w:rPr>
        <w:t>Effort to Reduce Small Business Burden</w:t>
      </w:r>
    </w:p>
    <w:p w:rsidR="009B497A" w:rsidRDefault="009B497A" w:rsidP="009B497A"/>
    <w:p w:rsidR="009B497A" w:rsidRDefault="009B497A" w:rsidP="009B497A">
      <w:pPr>
        <w:ind w:left="1440"/>
      </w:pPr>
      <w:r>
        <w:t>Small business is not affected by 10 CFR 140 information collection requirements.</w:t>
      </w:r>
    </w:p>
    <w:p w:rsidR="009B497A" w:rsidRDefault="009B497A" w:rsidP="009B497A"/>
    <w:p w:rsidR="009B497A" w:rsidRDefault="009B497A" w:rsidP="009B497A">
      <w:pPr>
        <w:ind w:left="1440" w:hanging="720"/>
      </w:pPr>
      <w:r>
        <w:t>6.</w:t>
      </w:r>
      <w:r>
        <w:tab/>
      </w:r>
      <w:r>
        <w:rPr>
          <w:u w:val="single"/>
        </w:rPr>
        <w:t>Consequences to Federal Program or Policy Activities if the Collection is Not Conducted or is Conducted Less Frequently</w:t>
      </w:r>
    </w:p>
    <w:p w:rsidR="009B497A" w:rsidRDefault="009B497A" w:rsidP="009B497A"/>
    <w:p w:rsidR="009B497A" w:rsidRDefault="009B497A" w:rsidP="009B497A">
      <w:pPr>
        <w:ind w:left="1440"/>
      </w:pPr>
      <w:r>
        <w:t>Not collecting this information or collecting it at less frequent intervals would be deleterious to NRC's mission to protect public health and safety.  The information collection is necessary pursuant to the implementation of the Price-Anderson Act.</w:t>
      </w:r>
    </w:p>
    <w:p w:rsidR="009B497A" w:rsidRDefault="009B497A" w:rsidP="009B497A"/>
    <w:p w:rsidR="009B497A" w:rsidRDefault="009B497A" w:rsidP="009B497A">
      <w:pPr>
        <w:pStyle w:val="Level1"/>
        <w:widowControl/>
        <w:numPr>
          <w:ilvl w:val="0"/>
          <w:numId w:val="2"/>
        </w:numPr>
        <w:rPr>
          <w:rFonts w:ascii="Arial" w:hAnsi="Arial"/>
          <w:sz w:val="22"/>
        </w:rPr>
      </w:pPr>
      <w:r>
        <w:rPr>
          <w:rFonts w:ascii="Arial" w:hAnsi="Arial"/>
          <w:sz w:val="22"/>
        </w:rPr>
        <w:tab/>
      </w:r>
      <w:r>
        <w:rPr>
          <w:rFonts w:ascii="Arial" w:hAnsi="Arial"/>
          <w:sz w:val="22"/>
          <w:u w:val="single"/>
        </w:rPr>
        <w:t>Circumstances Which Justify Variation from OMB Guidelines</w:t>
      </w:r>
    </w:p>
    <w:p w:rsidR="009B497A" w:rsidRDefault="009B497A" w:rsidP="009B497A"/>
    <w:p w:rsidR="009B497A" w:rsidRDefault="009B497A" w:rsidP="009B497A">
      <w:pPr>
        <w:ind w:left="1440"/>
      </w:pPr>
      <w:r>
        <w:t>This information collection does not vary from OMB guidelines.</w:t>
      </w:r>
    </w:p>
    <w:p w:rsidR="009B497A" w:rsidRDefault="009B497A" w:rsidP="009B497A">
      <w:pPr>
        <w:pStyle w:val="Level1"/>
        <w:widowControl/>
        <w:rPr>
          <w:rFonts w:ascii="Arial" w:hAnsi="Arial"/>
          <w:sz w:val="22"/>
        </w:rPr>
      </w:pPr>
    </w:p>
    <w:p w:rsidR="009B497A" w:rsidRDefault="009B497A" w:rsidP="009B497A">
      <w:pPr>
        <w:pStyle w:val="Level1"/>
        <w:widowControl/>
        <w:rPr>
          <w:rFonts w:ascii="Arial" w:hAnsi="Arial"/>
          <w:sz w:val="22"/>
        </w:rPr>
      </w:pPr>
      <w:r>
        <w:rPr>
          <w:rFonts w:ascii="Arial" w:hAnsi="Arial"/>
          <w:sz w:val="22"/>
        </w:rPr>
        <w:tab/>
        <w:t>8.</w:t>
      </w:r>
      <w:r>
        <w:rPr>
          <w:rFonts w:ascii="Arial" w:hAnsi="Arial"/>
          <w:sz w:val="22"/>
        </w:rPr>
        <w:tab/>
      </w:r>
      <w:r>
        <w:rPr>
          <w:rFonts w:ascii="Arial" w:hAnsi="Arial"/>
          <w:sz w:val="22"/>
          <w:u w:val="single"/>
        </w:rPr>
        <w:t>Consultations Outside the NRC</w:t>
      </w:r>
    </w:p>
    <w:p w:rsidR="009B497A" w:rsidRDefault="009B497A" w:rsidP="009B497A"/>
    <w:p w:rsidR="009B497A" w:rsidRDefault="009B497A" w:rsidP="009B497A">
      <w:pPr>
        <w:ind w:left="1440"/>
      </w:pPr>
      <w:r w:rsidRPr="00A638AC">
        <w:rPr>
          <w:rFonts w:cs="Arial"/>
          <w:szCs w:val="22"/>
        </w:rPr>
        <w:t xml:space="preserve">Opportunity for public comment on the information collection requirements for this clearance package </w:t>
      </w:r>
      <w:r w:rsidR="00BA20AF">
        <w:rPr>
          <w:rFonts w:cs="Arial"/>
          <w:szCs w:val="22"/>
        </w:rPr>
        <w:t>w</w:t>
      </w:r>
      <w:r>
        <w:rPr>
          <w:rFonts w:cs="Arial"/>
          <w:szCs w:val="22"/>
        </w:rPr>
        <w:t xml:space="preserve">as </w:t>
      </w:r>
      <w:r w:rsidRPr="00A638AC">
        <w:rPr>
          <w:rFonts w:cs="Arial"/>
          <w:szCs w:val="22"/>
        </w:rPr>
        <w:t xml:space="preserve">published in the </w:t>
      </w:r>
      <w:r w:rsidRPr="00BA20AF">
        <w:rPr>
          <w:rFonts w:cs="Arial"/>
          <w:i/>
          <w:szCs w:val="22"/>
        </w:rPr>
        <w:t>Federal Register</w:t>
      </w:r>
      <w:r w:rsidR="00BA20AF">
        <w:rPr>
          <w:rFonts w:cs="Arial"/>
          <w:szCs w:val="22"/>
        </w:rPr>
        <w:t xml:space="preserve"> on August 14, 2012 (77 FR 48555)</w:t>
      </w:r>
      <w:r>
        <w:t>.</w:t>
      </w:r>
      <w:r w:rsidR="00884047">
        <w:t xml:space="preserve">  No comments were received.</w:t>
      </w:r>
    </w:p>
    <w:p w:rsidR="009B497A" w:rsidRDefault="009B497A" w:rsidP="009B497A"/>
    <w:p w:rsidR="009B497A" w:rsidRDefault="009B497A" w:rsidP="009B497A">
      <w:pPr>
        <w:ind w:left="1440" w:hanging="720"/>
      </w:pPr>
      <w:r>
        <w:t>9.</w:t>
      </w:r>
      <w:r>
        <w:tab/>
      </w:r>
      <w:r>
        <w:rPr>
          <w:u w:val="single"/>
        </w:rPr>
        <w:t>Payment or Gift to Respondents</w:t>
      </w:r>
    </w:p>
    <w:p w:rsidR="009B497A" w:rsidRDefault="009B497A" w:rsidP="009B497A"/>
    <w:p w:rsidR="009B497A" w:rsidRDefault="009B497A" w:rsidP="009B497A">
      <w:pPr>
        <w:ind w:left="1440"/>
      </w:pPr>
      <w:r>
        <w:t>Not applicable.</w:t>
      </w:r>
    </w:p>
    <w:p w:rsidR="009B497A" w:rsidRDefault="009B497A" w:rsidP="009B497A"/>
    <w:p w:rsidR="009B497A" w:rsidRDefault="009B497A" w:rsidP="009B497A">
      <w:pPr>
        <w:ind w:left="1440" w:hanging="720"/>
      </w:pPr>
      <w:r>
        <w:t>10.</w:t>
      </w:r>
      <w:r>
        <w:tab/>
      </w:r>
      <w:r>
        <w:rPr>
          <w:u w:val="single"/>
        </w:rPr>
        <w:t>Confidentiality of Information</w:t>
      </w:r>
    </w:p>
    <w:p w:rsidR="009B497A" w:rsidRDefault="009B497A" w:rsidP="009B497A"/>
    <w:p w:rsidR="009B497A" w:rsidRPr="00D30541" w:rsidRDefault="009B497A" w:rsidP="009B497A">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sidRPr="00D30541">
        <w:rPr>
          <w:rFonts w:cs="Arial"/>
          <w:szCs w:val="22"/>
        </w:rPr>
        <w:t>Confidential and proprietary information is protected in accordance with NRC regulations at 10 CFR 9.17 (a) and 10 CFR 2.390 (b).  However, no information normally considered confidential or proprietary is requested.</w:t>
      </w:r>
    </w:p>
    <w:p w:rsidR="009B497A" w:rsidRDefault="009B497A" w:rsidP="009B497A"/>
    <w:p w:rsidR="009B497A" w:rsidRDefault="009B497A" w:rsidP="009B497A">
      <w:pPr>
        <w:pStyle w:val="Level1"/>
        <w:widowControl/>
        <w:numPr>
          <w:ilvl w:val="0"/>
          <w:numId w:val="3"/>
        </w:numPr>
        <w:rPr>
          <w:rFonts w:ascii="Arial" w:hAnsi="Arial"/>
          <w:sz w:val="22"/>
        </w:rPr>
      </w:pPr>
      <w:r>
        <w:rPr>
          <w:rFonts w:ascii="Arial" w:hAnsi="Arial"/>
          <w:sz w:val="22"/>
        </w:rPr>
        <w:t xml:space="preserve">      </w:t>
      </w:r>
      <w:r>
        <w:rPr>
          <w:rFonts w:ascii="Arial" w:hAnsi="Arial"/>
          <w:sz w:val="22"/>
          <w:u w:val="single"/>
        </w:rPr>
        <w:t>Justification for Sensitive Questions</w:t>
      </w:r>
    </w:p>
    <w:p w:rsidR="009B497A" w:rsidRDefault="009B497A" w:rsidP="009B497A"/>
    <w:p w:rsidR="009B497A" w:rsidRDefault="009B497A" w:rsidP="009B497A">
      <w:pPr>
        <w:ind w:left="1440"/>
      </w:pPr>
      <w:r>
        <w:t>Part 140 information collections do not involve sensitive or private information.</w:t>
      </w:r>
    </w:p>
    <w:p w:rsidR="009B497A" w:rsidRDefault="009B497A" w:rsidP="009B497A"/>
    <w:p w:rsidR="009B497A" w:rsidRPr="00537BB7" w:rsidRDefault="009B497A" w:rsidP="009B497A">
      <w:pPr>
        <w:pStyle w:val="Level1"/>
        <w:widowControl/>
        <w:numPr>
          <w:ilvl w:val="0"/>
          <w:numId w:val="3"/>
        </w:numPr>
        <w:rPr>
          <w:rFonts w:ascii="Arial" w:hAnsi="Arial"/>
          <w:sz w:val="22"/>
        </w:rPr>
      </w:pPr>
      <w:r>
        <w:rPr>
          <w:rFonts w:ascii="Arial" w:hAnsi="Arial"/>
          <w:sz w:val="22"/>
        </w:rPr>
        <w:tab/>
      </w:r>
      <w:r>
        <w:rPr>
          <w:rFonts w:ascii="Arial" w:hAnsi="Arial"/>
          <w:sz w:val="22"/>
          <w:u w:val="single"/>
        </w:rPr>
        <w:t xml:space="preserve">Estimated Industry </w:t>
      </w:r>
      <w:r w:rsidRPr="00537BB7">
        <w:rPr>
          <w:rFonts w:ascii="Arial" w:hAnsi="Arial"/>
          <w:sz w:val="22"/>
          <w:u w:val="single"/>
        </w:rPr>
        <w:t>Burden and Burden Hour Cost</w:t>
      </w:r>
      <w:r w:rsidRPr="00537BB7">
        <w:rPr>
          <w:rFonts w:ascii="Arial" w:hAnsi="Arial"/>
          <w:sz w:val="22"/>
        </w:rPr>
        <w:t xml:space="preserve"> </w:t>
      </w:r>
    </w:p>
    <w:p w:rsidR="009B497A" w:rsidRPr="00537BB7" w:rsidRDefault="009B497A" w:rsidP="009B497A">
      <w:pPr>
        <w:ind w:left="1440"/>
        <w:rPr>
          <w:rFonts w:cs="Arial"/>
          <w:szCs w:val="22"/>
        </w:rPr>
      </w:pPr>
    </w:p>
    <w:p w:rsidR="00537BB7" w:rsidRDefault="00F30C20" w:rsidP="009B497A">
      <w:pPr>
        <w:ind w:left="1440"/>
      </w:pPr>
      <w:r w:rsidRPr="00537BB7">
        <w:t>When a licensee is initially granted a license to operate, it must provide evidence of primary and seco</w:t>
      </w:r>
      <w:r>
        <w:t>ndary insurance</w:t>
      </w:r>
      <w:r w:rsidR="00537BB7">
        <w:t xml:space="preserve"> from American Nuclear Insurers.  To date,</w:t>
      </w:r>
      <w:r>
        <w:t xml:space="preserve"> 17</w:t>
      </w:r>
      <w:r w:rsidR="00537BB7">
        <w:t>0</w:t>
      </w:r>
      <w:r>
        <w:t xml:space="preserve"> </w:t>
      </w:r>
      <w:r w:rsidR="00537BB7">
        <w:t xml:space="preserve">entities have provided this information </w:t>
      </w:r>
      <w:r>
        <w:t xml:space="preserve">(104 operating power reactor licenses, 14 power reactor licenses in decommissioning, 31 operating non-power </w:t>
      </w:r>
      <w:r>
        <w:lastRenderedPageBreak/>
        <w:t xml:space="preserve">reactor licenses; 12 non-power reactor licenses in decommissioning; 5 plutonium processing and fuel fabrication licenses; </w:t>
      </w:r>
      <w:r w:rsidR="00537BB7">
        <w:t>and</w:t>
      </w:r>
      <w:r>
        <w:t xml:space="preserve"> </w:t>
      </w:r>
      <w:r w:rsidRPr="007F6494">
        <w:t>4 combined li</w:t>
      </w:r>
      <w:r w:rsidR="00C97131">
        <w:t>c</w:t>
      </w:r>
      <w:r w:rsidR="00537BB7">
        <w:t>enses that were issued in 2012).</w:t>
      </w:r>
      <w:r>
        <w:t xml:space="preserve">  </w:t>
      </w:r>
      <w:r w:rsidR="00574A07">
        <w:t>This is a one-time report, provided at the time of licensing.</w:t>
      </w:r>
    </w:p>
    <w:p w:rsidR="00537BB7" w:rsidRDefault="00537BB7" w:rsidP="009B497A">
      <w:pPr>
        <w:ind w:left="1440"/>
      </w:pPr>
    </w:p>
    <w:p w:rsidR="00537BB7" w:rsidRDefault="00537BB7" w:rsidP="00537BB7">
      <w:pPr>
        <w:ind w:left="1440"/>
      </w:pPr>
      <w:r>
        <w:t>During the current clearance cycle, 3 licensees are anticipated to provide documentation of insurance coverage</w:t>
      </w:r>
      <w:r w:rsidR="00BA541A">
        <w:t xml:space="preserve">. </w:t>
      </w:r>
      <w:r>
        <w:t xml:space="preserve"> This includes 2 combined licenses who will submit under Section 140.13 and 140.15(a)(1) and 1 uranium enrichment facility that will submit under Section 140.13b.  Therefore, the average number of annual respondents during this three year clearance period will be 1 (3 respondents / 3 years = 1 respondent per year).</w:t>
      </w:r>
    </w:p>
    <w:p w:rsidR="00537BB7" w:rsidRPr="00BA541A" w:rsidRDefault="00537BB7" w:rsidP="00BA541A"/>
    <w:p w:rsidR="00F30C20" w:rsidRPr="00574A07" w:rsidRDefault="00BA541A" w:rsidP="00755027">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1440"/>
        <w:rPr>
          <w:szCs w:val="22"/>
        </w:rPr>
      </w:pPr>
      <w:r>
        <w:t>Other requirements in Part 140 will not apply to any respondents during the clearance cycle; therefore, no burden will be accrued for these requirements.  For example, i</w:t>
      </w:r>
      <w:r w:rsidR="00F30C20">
        <w:t>n case of an injury, the licensee must submit a report to the Commission.  This occurrence is rare; therefore no reports are expected during this clearance cycle.</w:t>
      </w:r>
      <w:r>
        <w:t xml:space="preserve">  In addition, the NRC does not anticipate receiving any reports of material changes in financial protection or other financial information </w:t>
      </w:r>
      <w:r w:rsidRPr="00574A07">
        <w:rPr>
          <w:szCs w:val="22"/>
        </w:rPr>
        <w:t>during the</w:t>
      </w:r>
      <w:r w:rsidR="00755027">
        <w:rPr>
          <w:szCs w:val="22"/>
        </w:rPr>
        <w:t xml:space="preserve"> clearance period.  Finally, a</w:t>
      </w:r>
      <w:r w:rsidR="00755027" w:rsidRPr="00574A07">
        <w:rPr>
          <w:rFonts w:cs="Arial"/>
          <w:szCs w:val="22"/>
        </w:rPr>
        <w:t xml:space="preserve">lthough the potential exist for submittals under </w:t>
      </w:r>
      <w:r w:rsidR="00755027" w:rsidRPr="002028A3">
        <w:rPr>
          <w:rFonts w:cs="Arial"/>
          <w:szCs w:val="22"/>
        </w:rPr>
        <w:t>Sections 140.17(a) and (b)</w:t>
      </w:r>
      <w:r w:rsidR="00755027">
        <w:rPr>
          <w:rFonts w:cs="Arial"/>
          <w:szCs w:val="22"/>
        </w:rPr>
        <w:t xml:space="preserve">; </w:t>
      </w:r>
      <w:r w:rsidR="00755027" w:rsidRPr="00574A07">
        <w:rPr>
          <w:rFonts w:cs="Arial"/>
          <w:szCs w:val="22"/>
        </w:rPr>
        <w:t xml:space="preserve">no licensees are expected to participate in the information collections associated with this section.  All liability policies are issued by the existing nuclear insurance pool, American Nuclear Insurers.  The provisions of this section would become operable only if and when a new insurance carrier enters that market; this is not expected to occur during this clearance cycle, </w:t>
      </w:r>
      <w:r w:rsidR="00755027">
        <w:t>eliminating the need to utilize a universe of potential respondents.</w:t>
      </w:r>
    </w:p>
    <w:p w:rsidR="00B14962" w:rsidRPr="00574A07" w:rsidRDefault="00B14962" w:rsidP="00B14962">
      <w:pPr>
        <w:pStyle w:val="ListParagraph"/>
        <w:ind w:left="1440"/>
        <w:rPr>
          <w:sz w:val="22"/>
          <w:szCs w:val="22"/>
          <w:u w:val="single"/>
        </w:rPr>
      </w:pPr>
    </w:p>
    <w:p w:rsidR="00574A07" w:rsidRPr="00574A07" w:rsidRDefault="00574A07" w:rsidP="00B14962">
      <w:pPr>
        <w:pStyle w:val="ListParagraph"/>
        <w:ind w:left="1440"/>
        <w:rPr>
          <w:rFonts w:ascii="Arial" w:hAnsi="Arial" w:cs="Arial"/>
          <w:sz w:val="22"/>
          <w:szCs w:val="22"/>
        </w:rPr>
      </w:pPr>
      <w:r w:rsidRPr="00574A07">
        <w:rPr>
          <w:rFonts w:ascii="Arial" w:hAnsi="Arial" w:cs="Arial"/>
          <w:sz w:val="22"/>
          <w:szCs w:val="22"/>
        </w:rPr>
        <w:t>Table</w:t>
      </w:r>
      <w:r>
        <w:rPr>
          <w:rFonts w:ascii="Arial" w:hAnsi="Arial" w:cs="Arial"/>
          <w:sz w:val="22"/>
          <w:szCs w:val="22"/>
        </w:rPr>
        <w:t xml:space="preserve"> 1 summarizes the estimated annual burden on NRC licensees to prepare reports required under 10 CFR Part 140.  The estimated annual burden is 8 hours at a cost of $2,192 (8 hours x $274/hr).</w:t>
      </w:r>
    </w:p>
    <w:p w:rsidR="00523BBC" w:rsidRPr="00574A07" w:rsidRDefault="00523BBC" w:rsidP="009B497A">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5904" w:hanging="5160"/>
        <w:rPr>
          <w:szCs w:val="22"/>
        </w:rPr>
      </w:pPr>
    </w:p>
    <w:p w:rsidR="009B497A" w:rsidRPr="00574A07" w:rsidRDefault="009B497A" w:rsidP="002E2F29">
      <w:pPr>
        <w:numPr>
          <w:ilvl w:val="0"/>
          <w:numId w:val="3"/>
        </w:numPr>
        <w:tabs>
          <w:tab w:val="clear" w:pos="1080"/>
          <w:tab w:val="left" w:pos="-576"/>
          <w:tab w:val="left" w:pos="744"/>
          <w:tab w:val="num" w:pos="1440"/>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1440" w:hanging="720"/>
        <w:rPr>
          <w:szCs w:val="22"/>
        </w:rPr>
      </w:pPr>
      <w:r w:rsidRPr="00574A07">
        <w:rPr>
          <w:szCs w:val="22"/>
          <w:u w:val="single"/>
        </w:rPr>
        <w:t>Estimate of Other Additional Costs</w:t>
      </w:r>
    </w:p>
    <w:p w:rsidR="009B497A" w:rsidRPr="00574A07" w:rsidRDefault="009B497A" w:rsidP="009B497A">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720"/>
        <w:rPr>
          <w:szCs w:val="22"/>
        </w:rPr>
      </w:pPr>
    </w:p>
    <w:p w:rsidR="00574A07" w:rsidRPr="00574A07" w:rsidRDefault="00574A07" w:rsidP="002028A3">
      <w:pPr>
        <w:ind w:left="1440"/>
        <w:rPr>
          <w:szCs w:val="22"/>
        </w:rPr>
      </w:pPr>
      <w:r w:rsidRPr="00574A07">
        <w:rPr>
          <w:szCs w:val="22"/>
        </w:rPr>
        <w:t>There are no additional costs.</w:t>
      </w:r>
    </w:p>
    <w:p w:rsidR="00574A07" w:rsidRPr="00574A07" w:rsidRDefault="00574A07" w:rsidP="009B497A">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720"/>
        <w:rPr>
          <w:szCs w:val="22"/>
        </w:rPr>
      </w:pPr>
    </w:p>
    <w:p w:rsidR="009B497A" w:rsidRPr="00574A07" w:rsidRDefault="009B497A" w:rsidP="002E2F29">
      <w:pPr>
        <w:numPr>
          <w:ilvl w:val="0"/>
          <w:numId w:val="3"/>
        </w:numPr>
        <w:tabs>
          <w:tab w:val="clear" w:pos="1080"/>
          <w:tab w:val="left" w:pos="-576"/>
          <w:tab w:val="left" w:pos="744"/>
          <w:tab w:val="num" w:pos="1440"/>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1440" w:hanging="720"/>
      </w:pPr>
      <w:r>
        <w:rPr>
          <w:u w:val="single"/>
        </w:rPr>
        <w:t xml:space="preserve">Estimated Annualized </w:t>
      </w:r>
      <w:r w:rsidRPr="00574A07">
        <w:rPr>
          <w:u w:val="single"/>
        </w:rPr>
        <w:t>Cost to the Federal Government</w:t>
      </w:r>
    </w:p>
    <w:p w:rsidR="009B497A" w:rsidRPr="00574A07" w:rsidRDefault="009B497A" w:rsidP="009B497A">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sidRPr="00574A07">
        <w:tab/>
      </w:r>
    </w:p>
    <w:p w:rsidR="009B497A" w:rsidRPr="00574A07" w:rsidRDefault="009B497A" w:rsidP="002028A3">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1440"/>
      </w:pPr>
      <w:r w:rsidRPr="00574A07">
        <w:t>The annual cost for the staff to review and analyze the data, provide</w:t>
      </w:r>
      <w:r w:rsidR="00574A07" w:rsidRPr="00574A07">
        <w:t xml:space="preserve"> follow-up, prepare reports is 4</w:t>
      </w:r>
      <w:r w:rsidR="00632C66">
        <w:t>4.9</w:t>
      </w:r>
      <w:r w:rsidR="00574A07" w:rsidRPr="00574A07">
        <w:t xml:space="preserve"> hours, at a cost of $12,3</w:t>
      </w:r>
      <w:r w:rsidR="00632C66">
        <w:t>03 (44.9</w:t>
      </w:r>
      <w:r w:rsidR="00574A07" w:rsidRPr="00574A07">
        <w:t xml:space="preserve"> hours x $274/hr).  See Table 2.</w:t>
      </w:r>
    </w:p>
    <w:p w:rsidR="009B497A" w:rsidRPr="00574A07" w:rsidRDefault="009B497A" w:rsidP="002028A3">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360"/>
      </w:pPr>
    </w:p>
    <w:p w:rsidR="009B497A" w:rsidRPr="00574A07" w:rsidRDefault="009B497A" w:rsidP="002028A3">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1440"/>
        <w:rPr>
          <w:rFonts w:cs="Arial"/>
          <w:szCs w:val="22"/>
        </w:rPr>
      </w:pPr>
      <w:r w:rsidRPr="00574A07">
        <w:rPr>
          <w:rFonts w:cs="Arial"/>
          <w:szCs w:val="22"/>
        </w:rPr>
        <w:t>This cost is fully recovered through fee assessments to NRC licensees pursuant to 10 CFR Parts 170 and/or 171.</w:t>
      </w:r>
    </w:p>
    <w:p w:rsidR="009B497A" w:rsidRPr="00574A07" w:rsidRDefault="009B497A" w:rsidP="009B497A">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rPr>
          <w:rFonts w:cs="Arial"/>
          <w:szCs w:val="22"/>
        </w:rPr>
      </w:pPr>
    </w:p>
    <w:p w:rsidR="009B497A" w:rsidRPr="00574A07" w:rsidRDefault="009B497A" w:rsidP="002E2F29">
      <w:pPr>
        <w:pStyle w:val="ListParagraph"/>
        <w:numPr>
          <w:ilvl w:val="0"/>
          <w:numId w:val="3"/>
        </w:numPr>
        <w:tabs>
          <w:tab w:val="clear" w:pos="1080"/>
          <w:tab w:val="left" w:pos="-576"/>
          <w:tab w:val="left" w:pos="744"/>
          <w:tab w:val="num" w:pos="1440"/>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1440" w:hanging="720"/>
        <w:rPr>
          <w:rFonts w:ascii="Arial" w:hAnsi="Arial" w:cs="Arial"/>
          <w:sz w:val="22"/>
          <w:szCs w:val="22"/>
          <w:u w:val="single"/>
        </w:rPr>
      </w:pPr>
      <w:r w:rsidRPr="00574A07">
        <w:rPr>
          <w:rFonts w:ascii="Arial" w:hAnsi="Arial" w:cs="Arial"/>
          <w:sz w:val="22"/>
          <w:szCs w:val="22"/>
          <w:u w:val="single"/>
        </w:rPr>
        <w:t>Reasons for Changes in Burden or Cost</w:t>
      </w:r>
    </w:p>
    <w:p w:rsidR="00E41598" w:rsidRPr="00574A07" w:rsidRDefault="00E41598" w:rsidP="009B497A">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1440"/>
        <w:rPr>
          <w:rFonts w:cs="Arial"/>
          <w:szCs w:val="22"/>
        </w:rPr>
      </w:pPr>
    </w:p>
    <w:p w:rsidR="00755027" w:rsidRDefault="00574A07" w:rsidP="002028A3">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1440"/>
        <w:rPr>
          <w:rFonts w:cs="Arial"/>
          <w:szCs w:val="22"/>
        </w:rPr>
      </w:pPr>
      <w:r>
        <w:rPr>
          <w:rFonts w:cs="Arial"/>
          <w:szCs w:val="22"/>
        </w:rPr>
        <w:t xml:space="preserve">The burden </w:t>
      </w:r>
      <w:r w:rsidR="002028A3">
        <w:rPr>
          <w:rFonts w:cs="Arial"/>
          <w:szCs w:val="22"/>
        </w:rPr>
        <w:t xml:space="preserve">for this collection has decreased from 1,307 hours and 151 responses to 8 hours and 1.67 responses, a decrease of 1,299 hours and 149.3 responses.  </w:t>
      </w:r>
      <w:r w:rsidR="00E41598" w:rsidRPr="00574A07">
        <w:rPr>
          <w:rFonts w:cs="Arial"/>
          <w:szCs w:val="22"/>
        </w:rPr>
        <w:t>The significant reduction in the number of respondents and respon</w:t>
      </w:r>
      <w:r>
        <w:rPr>
          <w:rFonts w:cs="Arial"/>
          <w:szCs w:val="22"/>
        </w:rPr>
        <w:t xml:space="preserve">ses is due to the correction of the method used to determine the number </w:t>
      </w:r>
      <w:r>
        <w:rPr>
          <w:rFonts w:cs="Arial"/>
          <w:szCs w:val="22"/>
        </w:rPr>
        <w:lastRenderedPageBreak/>
        <w:t>of respondents for each requirement.  The previous renewal included the number of respondents to who</w:t>
      </w:r>
      <w:r w:rsidR="002028A3">
        <w:rPr>
          <w:rFonts w:cs="Arial"/>
          <w:szCs w:val="22"/>
        </w:rPr>
        <w:t>m</w:t>
      </w:r>
      <w:r>
        <w:rPr>
          <w:rFonts w:cs="Arial"/>
          <w:szCs w:val="22"/>
        </w:rPr>
        <w:t xml:space="preserve"> </w:t>
      </w:r>
      <w:r w:rsidR="002028A3">
        <w:rPr>
          <w:rFonts w:cs="Arial"/>
          <w:szCs w:val="22"/>
        </w:rPr>
        <w:t xml:space="preserve">each </w:t>
      </w:r>
      <w:r>
        <w:rPr>
          <w:rFonts w:cs="Arial"/>
          <w:szCs w:val="22"/>
        </w:rPr>
        <w:t>requirement could</w:t>
      </w:r>
      <w:r w:rsidR="002028A3">
        <w:rPr>
          <w:rFonts w:cs="Arial"/>
          <w:szCs w:val="22"/>
        </w:rPr>
        <w:t xml:space="preserve"> potentially</w:t>
      </w:r>
      <w:r>
        <w:rPr>
          <w:rFonts w:cs="Arial"/>
          <w:szCs w:val="22"/>
        </w:rPr>
        <w:t xml:space="preserve"> apply</w:t>
      </w:r>
      <w:r w:rsidR="00755027">
        <w:rPr>
          <w:rFonts w:cs="Arial"/>
          <w:szCs w:val="22"/>
        </w:rPr>
        <w:t xml:space="preserve"> (91 total respondents)</w:t>
      </w:r>
      <w:r>
        <w:rPr>
          <w:rFonts w:cs="Arial"/>
          <w:szCs w:val="22"/>
        </w:rPr>
        <w:t xml:space="preserve">, whether or not those respondents would be providing a report to the NRC during the clearance period.  The current submission </w:t>
      </w:r>
      <w:r w:rsidR="002028A3">
        <w:rPr>
          <w:rFonts w:cs="Arial"/>
          <w:szCs w:val="22"/>
        </w:rPr>
        <w:t>includes only the</w:t>
      </w:r>
      <w:r w:rsidR="00E41598" w:rsidRPr="00574A07">
        <w:rPr>
          <w:rFonts w:cs="Arial"/>
          <w:szCs w:val="22"/>
        </w:rPr>
        <w:t xml:space="preserve"> actual expected respondents and responses during this clearance period</w:t>
      </w:r>
      <w:r w:rsidR="00093B29">
        <w:rPr>
          <w:rFonts w:cs="Arial"/>
          <w:szCs w:val="22"/>
        </w:rPr>
        <w:t xml:space="preserve"> (</w:t>
      </w:r>
      <w:r w:rsidR="00755027">
        <w:rPr>
          <w:rFonts w:cs="Arial"/>
          <w:szCs w:val="22"/>
        </w:rPr>
        <w:t xml:space="preserve">a total of 3 </w:t>
      </w:r>
      <w:r w:rsidR="00093B29">
        <w:rPr>
          <w:rFonts w:cs="Arial"/>
          <w:szCs w:val="22"/>
        </w:rPr>
        <w:t xml:space="preserve">respondents </w:t>
      </w:r>
      <w:r w:rsidR="00755027">
        <w:rPr>
          <w:rFonts w:cs="Arial"/>
          <w:szCs w:val="22"/>
        </w:rPr>
        <w:t xml:space="preserve">over the course of the </w:t>
      </w:r>
      <w:r w:rsidR="00093B29">
        <w:rPr>
          <w:rFonts w:cs="Arial"/>
          <w:szCs w:val="22"/>
        </w:rPr>
        <w:t xml:space="preserve">3 year </w:t>
      </w:r>
      <w:r w:rsidR="00755027">
        <w:rPr>
          <w:rFonts w:cs="Arial"/>
          <w:szCs w:val="22"/>
        </w:rPr>
        <w:t>clearance period</w:t>
      </w:r>
      <w:r w:rsidR="00093B29">
        <w:rPr>
          <w:rFonts w:cs="Arial"/>
          <w:szCs w:val="22"/>
        </w:rPr>
        <w:t>).</w:t>
      </w:r>
    </w:p>
    <w:p w:rsidR="00755027" w:rsidRDefault="00755027" w:rsidP="002028A3">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1440"/>
        <w:rPr>
          <w:rFonts w:cs="Arial"/>
          <w:szCs w:val="22"/>
        </w:rPr>
      </w:pPr>
    </w:p>
    <w:p w:rsidR="00E7540A" w:rsidRDefault="00E7540A" w:rsidP="002028A3">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1440"/>
      </w:pPr>
      <w:r>
        <w:t>The largest burden reduction is due to a decrease in the number of respondents for 140.15(a).  Only two licensees are expected to provide alternative proof of financial protection during the next three years (0.67 annual respondents).  This is a reduction from the previous estimate of 70 respondents to whom this requirement could potentially apply.  This resulted in a reduction of 693 hours and 69 responses.</w:t>
      </w:r>
    </w:p>
    <w:p w:rsidR="005D7B70" w:rsidRDefault="005D7B70" w:rsidP="003E77A4">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1464"/>
      </w:pPr>
    </w:p>
    <w:p w:rsidR="00E7540A" w:rsidRDefault="00E7540A" w:rsidP="00E7540A">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1440"/>
      </w:pPr>
      <w:r>
        <w:t>An additional reduction is due to the removal of 75 responses and 600 hours under section 140.21.  No licensees are providing annual evidence of financial protection under 140.21 (a) – (e); rather, the NRC is assured of their financial protection under a bond not requiring annual submission as allowed in 140.21(f).</w:t>
      </w:r>
    </w:p>
    <w:p w:rsidR="00E7540A" w:rsidRDefault="00E7540A" w:rsidP="003E77A4">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1464"/>
      </w:pPr>
    </w:p>
    <w:p w:rsidR="009B497A" w:rsidRPr="00093B29" w:rsidRDefault="005D7B70" w:rsidP="002028A3">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1440"/>
        <w:rPr>
          <w:rFonts w:cs="Arial"/>
          <w:szCs w:val="22"/>
        </w:rPr>
      </w:pPr>
      <w:r>
        <w:t xml:space="preserve">Although there </w:t>
      </w:r>
      <w:r w:rsidRPr="00093B29">
        <w:rPr>
          <w:rFonts w:cs="Arial"/>
          <w:szCs w:val="22"/>
        </w:rPr>
        <w:t xml:space="preserve">is an increase in the fee rate </w:t>
      </w:r>
      <w:r w:rsidR="009B497A" w:rsidRPr="00093B29">
        <w:rPr>
          <w:rFonts w:cs="Arial"/>
          <w:szCs w:val="22"/>
        </w:rPr>
        <w:t>from $238 to $27</w:t>
      </w:r>
      <w:r w:rsidR="007A415A" w:rsidRPr="00093B29">
        <w:rPr>
          <w:rFonts w:cs="Arial"/>
          <w:szCs w:val="22"/>
        </w:rPr>
        <w:t>4</w:t>
      </w:r>
      <w:r w:rsidR="009B497A" w:rsidRPr="00093B29">
        <w:rPr>
          <w:rFonts w:cs="Arial"/>
          <w:szCs w:val="22"/>
        </w:rPr>
        <w:t xml:space="preserve"> pe</w:t>
      </w:r>
      <w:r w:rsidRPr="00093B29">
        <w:rPr>
          <w:rFonts w:cs="Arial"/>
          <w:szCs w:val="22"/>
        </w:rPr>
        <w:t>r hour the reduction in the overall burden projection results in a significa</w:t>
      </w:r>
      <w:r w:rsidR="002E2F29">
        <w:rPr>
          <w:rFonts w:cs="Arial"/>
          <w:szCs w:val="22"/>
        </w:rPr>
        <w:t>n</w:t>
      </w:r>
      <w:r w:rsidRPr="00093B29">
        <w:rPr>
          <w:rFonts w:cs="Arial"/>
          <w:szCs w:val="22"/>
        </w:rPr>
        <w:t>t reduction in cost from the previous cycle.</w:t>
      </w:r>
    </w:p>
    <w:p w:rsidR="005D7B70" w:rsidRPr="00093B29" w:rsidRDefault="005D7B70" w:rsidP="009B497A">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2070"/>
        <w:rPr>
          <w:rFonts w:cs="Arial"/>
          <w:szCs w:val="22"/>
        </w:rPr>
      </w:pPr>
    </w:p>
    <w:p w:rsidR="009B497A" w:rsidRPr="00093B29" w:rsidRDefault="009B497A" w:rsidP="00093B29">
      <w:pPr>
        <w:pStyle w:val="ListParagraph"/>
        <w:numPr>
          <w:ilvl w:val="0"/>
          <w:numId w:val="3"/>
        </w:numPr>
        <w:tabs>
          <w:tab w:val="clear" w:pos="1080"/>
          <w:tab w:val="num" w:pos="1440"/>
          <w:tab w:val="left" w:pos="1530"/>
        </w:tabs>
        <w:ind w:left="1440" w:hanging="720"/>
        <w:rPr>
          <w:rFonts w:ascii="Arial" w:hAnsi="Arial" w:cs="Arial"/>
          <w:sz w:val="22"/>
          <w:szCs w:val="22"/>
        </w:rPr>
      </w:pPr>
      <w:r w:rsidRPr="00093B29">
        <w:rPr>
          <w:rFonts w:ascii="Arial" w:hAnsi="Arial" w:cs="Arial"/>
          <w:sz w:val="22"/>
          <w:szCs w:val="22"/>
          <w:u w:val="single"/>
        </w:rPr>
        <w:t>Publication for Statistical Use</w:t>
      </w:r>
    </w:p>
    <w:p w:rsidR="009B497A" w:rsidRPr="00093B29" w:rsidRDefault="009B497A" w:rsidP="009B497A">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1440"/>
        <w:rPr>
          <w:rFonts w:cs="Arial"/>
          <w:szCs w:val="22"/>
        </w:rPr>
      </w:pPr>
    </w:p>
    <w:p w:rsidR="009B497A" w:rsidRPr="00093B29" w:rsidRDefault="009B497A" w:rsidP="00BA20AF">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1464"/>
        <w:rPr>
          <w:rFonts w:cs="Arial"/>
          <w:szCs w:val="22"/>
        </w:rPr>
      </w:pPr>
      <w:r w:rsidRPr="00093B29">
        <w:rPr>
          <w:rFonts w:cs="Arial"/>
          <w:szCs w:val="22"/>
        </w:rPr>
        <w:t>The collected information is not published for statistical purposes.</w:t>
      </w:r>
    </w:p>
    <w:p w:rsidR="009B497A" w:rsidRPr="00093B29" w:rsidRDefault="009B497A" w:rsidP="009B497A">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1440"/>
        <w:rPr>
          <w:rFonts w:cs="Arial"/>
          <w:szCs w:val="22"/>
        </w:rPr>
      </w:pPr>
    </w:p>
    <w:p w:rsidR="009B497A" w:rsidRDefault="009B497A" w:rsidP="00574A07">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1344" w:hanging="600"/>
      </w:pPr>
      <w:r>
        <w:t>17.</w:t>
      </w:r>
      <w:r>
        <w:tab/>
      </w:r>
      <w:r>
        <w:rPr>
          <w:u w:val="single"/>
        </w:rPr>
        <w:t>Reason for Not Displaying the Expiration Date</w:t>
      </w:r>
    </w:p>
    <w:p w:rsidR="009B497A" w:rsidRDefault="009B497A" w:rsidP="009B497A">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1440"/>
      </w:pPr>
    </w:p>
    <w:p w:rsidR="009B497A" w:rsidRDefault="009B497A" w:rsidP="00574A07">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1464"/>
      </w:pPr>
      <w:r>
        <w:t>The requirement is contained in a regulation.  Amending the Code of Federal Regulations to display information that, in an annual publication, could become obsolete would be unduly burdensome and too difficult to keep current.</w:t>
      </w:r>
    </w:p>
    <w:p w:rsidR="00C05E20" w:rsidRDefault="00C05E20" w:rsidP="00BF6EBD"/>
    <w:p w:rsidR="009B497A" w:rsidRPr="00755027" w:rsidRDefault="009B497A" w:rsidP="00BF6EBD">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1344" w:hanging="600"/>
        <w:rPr>
          <w:rFonts w:cs="Arial"/>
          <w:szCs w:val="22"/>
        </w:rPr>
      </w:pPr>
      <w:r w:rsidRPr="00755027">
        <w:rPr>
          <w:rFonts w:cs="Arial"/>
          <w:szCs w:val="22"/>
        </w:rPr>
        <w:t>18.</w:t>
      </w:r>
      <w:r w:rsidRPr="00755027">
        <w:rPr>
          <w:rFonts w:cs="Arial"/>
          <w:szCs w:val="22"/>
        </w:rPr>
        <w:tab/>
      </w:r>
      <w:r w:rsidRPr="00755027">
        <w:rPr>
          <w:rFonts w:cs="Arial"/>
          <w:szCs w:val="22"/>
          <w:u w:val="single"/>
        </w:rPr>
        <w:t>Exceptions to the Certification Statement</w:t>
      </w:r>
    </w:p>
    <w:p w:rsidR="009B497A" w:rsidRPr="00755027" w:rsidRDefault="009B497A" w:rsidP="00BF6EBD">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1440"/>
        <w:rPr>
          <w:rFonts w:cs="Arial"/>
          <w:szCs w:val="22"/>
        </w:rPr>
      </w:pPr>
    </w:p>
    <w:p w:rsidR="009B497A" w:rsidRPr="00755027" w:rsidRDefault="009B497A" w:rsidP="00BF6EBD">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1464"/>
        <w:rPr>
          <w:rFonts w:cs="Arial"/>
          <w:szCs w:val="22"/>
        </w:rPr>
      </w:pPr>
      <w:r w:rsidRPr="00755027">
        <w:rPr>
          <w:rFonts w:cs="Arial"/>
          <w:szCs w:val="22"/>
        </w:rPr>
        <w:t>None.</w:t>
      </w:r>
    </w:p>
    <w:p w:rsidR="00B14962" w:rsidRDefault="00B14962" w:rsidP="002E2F29">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1464"/>
        <w:rPr>
          <w:rFonts w:cs="Arial"/>
          <w:szCs w:val="22"/>
        </w:rPr>
      </w:pPr>
    </w:p>
    <w:p w:rsidR="002E2F29" w:rsidRDefault="002E2F29" w:rsidP="002E2F29">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1464"/>
        <w:rPr>
          <w:rFonts w:cs="Arial"/>
          <w:szCs w:val="22"/>
        </w:rPr>
      </w:pPr>
    </w:p>
    <w:p w:rsidR="002E2F29" w:rsidRPr="002E2F29" w:rsidRDefault="002E2F29" w:rsidP="002E2F29">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1464"/>
        <w:rPr>
          <w:rFonts w:cs="Arial"/>
          <w:szCs w:val="22"/>
        </w:rPr>
      </w:pPr>
    </w:p>
    <w:p w:rsidR="009B497A" w:rsidRPr="002E2F29" w:rsidRDefault="002E2F29" w:rsidP="002E2F29">
      <w:pPr>
        <w:pStyle w:val="ListParagraph"/>
        <w:numPr>
          <w:ilvl w:val="0"/>
          <w:numId w:val="1"/>
        </w:num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144"/>
        <w:rPr>
          <w:rFonts w:ascii="Arial" w:hAnsi="Arial" w:cs="Arial"/>
          <w:sz w:val="22"/>
          <w:szCs w:val="22"/>
        </w:rPr>
      </w:pPr>
      <w:r w:rsidRPr="002E2F29">
        <w:rPr>
          <w:rFonts w:ascii="Arial" w:hAnsi="Arial" w:cs="Arial"/>
          <w:sz w:val="22"/>
          <w:szCs w:val="22"/>
          <w:u w:val="single"/>
        </w:rPr>
        <w:t xml:space="preserve"> </w:t>
      </w:r>
      <w:r w:rsidR="009B497A" w:rsidRPr="002E2F29">
        <w:rPr>
          <w:rFonts w:ascii="Arial" w:hAnsi="Arial" w:cs="Arial"/>
          <w:sz w:val="22"/>
          <w:szCs w:val="22"/>
          <w:u w:val="single"/>
        </w:rPr>
        <w:t>COLLECTIONS OF INFORMATION EMPLOYING STATISTICAL METHODS</w:t>
      </w:r>
    </w:p>
    <w:p w:rsidR="009B497A" w:rsidRPr="002E2F29" w:rsidRDefault="009B497A" w:rsidP="002E2F29">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864"/>
        <w:rPr>
          <w:rFonts w:cs="Arial"/>
          <w:szCs w:val="22"/>
        </w:rPr>
      </w:pPr>
    </w:p>
    <w:p w:rsidR="003245A2" w:rsidRPr="002E2F29" w:rsidRDefault="009B497A" w:rsidP="002E2F29">
      <w:pPr>
        <w:tabs>
          <w:tab w:val="left" w:pos="-576"/>
          <w:tab w:val="left" w:pos="744"/>
          <w:tab w:val="left" w:pos="1350"/>
          <w:tab w:val="left" w:pos="14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spacing w:line="0" w:lineRule="atLeast"/>
        <w:rPr>
          <w:rFonts w:cs="Arial"/>
          <w:szCs w:val="22"/>
        </w:rPr>
      </w:pPr>
      <w:r w:rsidRPr="002E2F29">
        <w:rPr>
          <w:rFonts w:cs="Arial"/>
          <w:szCs w:val="22"/>
        </w:rPr>
        <w:tab/>
      </w:r>
      <w:r w:rsidRPr="002E2F29">
        <w:rPr>
          <w:rFonts w:cs="Arial"/>
          <w:szCs w:val="22"/>
        </w:rPr>
        <w:tab/>
        <w:t>Not applicable.</w:t>
      </w:r>
    </w:p>
    <w:p w:rsidR="00193647" w:rsidRPr="002E2F29" w:rsidRDefault="00193647" w:rsidP="002E2F29">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spacing w:line="0" w:lineRule="atLeast"/>
        <w:ind w:left="864"/>
        <w:rPr>
          <w:rFonts w:cs="Arial"/>
          <w:szCs w:val="22"/>
        </w:rPr>
      </w:pPr>
    </w:p>
    <w:p w:rsidR="00193647" w:rsidRPr="002E2F29" w:rsidRDefault="00193647" w:rsidP="002E2F29">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spacing w:line="0" w:lineRule="atLeast"/>
        <w:ind w:left="864"/>
        <w:rPr>
          <w:rFonts w:cs="Arial"/>
          <w:szCs w:val="22"/>
        </w:rPr>
      </w:pPr>
    </w:p>
    <w:p w:rsidR="00193647" w:rsidRDefault="00193647" w:rsidP="00193647">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spacing w:line="0" w:lineRule="atLeast"/>
        <w:ind w:left="1440"/>
      </w:pPr>
    </w:p>
    <w:p w:rsidR="00BA541A" w:rsidRDefault="00BA541A">
      <w:r>
        <w:br w:type="page"/>
      </w:r>
    </w:p>
    <w:p w:rsidR="00BA541A" w:rsidRPr="00BF6EBD" w:rsidRDefault="00BA541A" w:rsidP="00BA541A">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jc w:val="center"/>
        <w:rPr>
          <w:b/>
        </w:rPr>
      </w:pPr>
      <w:r w:rsidRPr="00BF6EBD">
        <w:rPr>
          <w:b/>
        </w:rPr>
        <w:lastRenderedPageBreak/>
        <w:t>Table 1</w:t>
      </w:r>
    </w:p>
    <w:p w:rsidR="00BA541A" w:rsidRPr="00BF6EBD" w:rsidRDefault="00BA541A" w:rsidP="00BA541A">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jc w:val="center"/>
        <w:rPr>
          <w:b/>
        </w:rPr>
      </w:pPr>
      <w:r w:rsidRPr="00BF6EBD">
        <w:rPr>
          <w:b/>
        </w:rPr>
        <w:t>Annual Industry Reporting Burden</w:t>
      </w:r>
    </w:p>
    <w:p w:rsidR="00BA541A" w:rsidRDefault="00BA541A" w:rsidP="00BA541A">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pPr>
    </w:p>
    <w:tbl>
      <w:tblPr>
        <w:tblW w:w="9380" w:type="dxa"/>
        <w:tblInd w:w="93" w:type="dxa"/>
        <w:tblLook w:val="04A0"/>
      </w:tblPr>
      <w:tblGrid>
        <w:gridCol w:w="1313"/>
        <w:gridCol w:w="1403"/>
        <w:gridCol w:w="1403"/>
        <w:gridCol w:w="1337"/>
        <w:gridCol w:w="1320"/>
        <w:gridCol w:w="1278"/>
        <w:gridCol w:w="1326"/>
      </w:tblGrid>
      <w:tr w:rsidR="003E77A4" w:rsidRPr="003E77A4" w:rsidTr="003E77A4">
        <w:trPr>
          <w:cantSplit/>
          <w:trHeight w:val="870"/>
        </w:trPr>
        <w:tc>
          <w:tcPr>
            <w:tcW w:w="1340" w:type="dxa"/>
            <w:tcBorders>
              <w:top w:val="single" w:sz="8" w:space="0" w:color="000000"/>
              <w:left w:val="single" w:sz="8" w:space="0" w:color="000000"/>
              <w:bottom w:val="single" w:sz="8" w:space="0" w:color="000000"/>
              <w:right w:val="single" w:sz="8" w:space="0" w:color="000000"/>
            </w:tcBorders>
            <w:shd w:val="clear" w:color="auto" w:fill="auto"/>
            <w:hideMark/>
          </w:tcPr>
          <w:p w:rsidR="003E77A4" w:rsidRPr="003E77A4" w:rsidRDefault="003E77A4" w:rsidP="003E77A4">
            <w:pPr>
              <w:rPr>
                <w:rFonts w:cs="Arial"/>
                <w:color w:val="000000"/>
                <w:szCs w:val="22"/>
              </w:rPr>
            </w:pPr>
            <w:r w:rsidRPr="003E77A4">
              <w:rPr>
                <w:rFonts w:cs="Arial"/>
                <w:color w:val="000000"/>
                <w:szCs w:val="22"/>
              </w:rPr>
              <w:t>Section</w:t>
            </w:r>
          </w:p>
        </w:tc>
        <w:tc>
          <w:tcPr>
            <w:tcW w:w="1340" w:type="dxa"/>
            <w:tcBorders>
              <w:top w:val="single" w:sz="8" w:space="0" w:color="000000"/>
              <w:left w:val="nil"/>
              <w:bottom w:val="single" w:sz="8" w:space="0" w:color="000000"/>
              <w:right w:val="single" w:sz="8" w:space="0" w:color="000000"/>
            </w:tcBorders>
            <w:shd w:val="clear" w:color="auto" w:fill="auto"/>
            <w:hideMark/>
          </w:tcPr>
          <w:p w:rsidR="003E77A4" w:rsidRPr="003E77A4" w:rsidRDefault="003E77A4" w:rsidP="003E77A4">
            <w:pPr>
              <w:jc w:val="center"/>
              <w:rPr>
                <w:rFonts w:cs="Arial"/>
                <w:color w:val="000000"/>
                <w:szCs w:val="22"/>
              </w:rPr>
            </w:pPr>
            <w:r w:rsidRPr="003E77A4">
              <w:rPr>
                <w:rFonts w:cs="Arial"/>
                <w:color w:val="000000"/>
                <w:szCs w:val="22"/>
              </w:rPr>
              <w:t>Number of Respondent</w:t>
            </w:r>
          </w:p>
        </w:tc>
        <w:tc>
          <w:tcPr>
            <w:tcW w:w="1340" w:type="dxa"/>
            <w:tcBorders>
              <w:top w:val="single" w:sz="8" w:space="0" w:color="000000"/>
              <w:left w:val="nil"/>
              <w:bottom w:val="single" w:sz="8" w:space="0" w:color="000000"/>
              <w:right w:val="single" w:sz="8" w:space="0" w:color="000000"/>
            </w:tcBorders>
            <w:shd w:val="clear" w:color="auto" w:fill="auto"/>
            <w:hideMark/>
          </w:tcPr>
          <w:p w:rsidR="003E77A4" w:rsidRPr="003E77A4" w:rsidRDefault="003E77A4" w:rsidP="003E77A4">
            <w:pPr>
              <w:jc w:val="center"/>
              <w:rPr>
                <w:rFonts w:cs="Arial"/>
                <w:color w:val="000000"/>
                <w:szCs w:val="22"/>
              </w:rPr>
            </w:pPr>
            <w:r w:rsidRPr="003E77A4">
              <w:rPr>
                <w:rFonts w:cs="Arial"/>
                <w:color w:val="000000"/>
                <w:szCs w:val="22"/>
              </w:rPr>
              <w:t>Responses Per Respondent</w:t>
            </w:r>
          </w:p>
        </w:tc>
        <w:tc>
          <w:tcPr>
            <w:tcW w:w="1340" w:type="dxa"/>
            <w:tcBorders>
              <w:top w:val="single" w:sz="8" w:space="0" w:color="000000"/>
              <w:left w:val="nil"/>
              <w:bottom w:val="single" w:sz="8" w:space="0" w:color="000000"/>
              <w:right w:val="single" w:sz="8" w:space="0" w:color="000000"/>
            </w:tcBorders>
            <w:shd w:val="clear" w:color="auto" w:fill="auto"/>
            <w:hideMark/>
          </w:tcPr>
          <w:p w:rsidR="003E77A4" w:rsidRPr="003E77A4" w:rsidRDefault="003E77A4" w:rsidP="003E77A4">
            <w:pPr>
              <w:jc w:val="center"/>
              <w:rPr>
                <w:rFonts w:cs="Arial"/>
                <w:color w:val="000000"/>
                <w:szCs w:val="22"/>
              </w:rPr>
            </w:pPr>
            <w:r w:rsidRPr="003E77A4">
              <w:rPr>
                <w:rFonts w:cs="Arial"/>
                <w:color w:val="000000"/>
                <w:szCs w:val="22"/>
              </w:rPr>
              <w:t>Number of Responses</w:t>
            </w:r>
          </w:p>
        </w:tc>
        <w:tc>
          <w:tcPr>
            <w:tcW w:w="1340" w:type="dxa"/>
            <w:tcBorders>
              <w:top w:val="single" w:sz="8" w:space="0" w:color="000000"/>
              <w:left w:val="nil"/>
              <w:bottom w:val="single" w:sz="8" w:space="0" w:color="000000"/>
              <w:right w:val="single" w:sz="8" w:space="0" w:color="000000"/>
            </w:tcBorders>
            <w:shd w:val="clear" w:color="auto" w:fill="auto"/>
            <w:hideMark/>
          </w:tcPr>
          <w:p w:rsidR="003E77A4" w:rsidRPr="003E77A4" w:rsidRDefault="003E77A4" w:rsidP="003E77A4">
            <w:pPr>
              <w:jc w:val="center"/>
              <w:rPr>
                <w:rFonts w:cs="Arial"/>
                <w:color w:val="000000"/>
                <w:szCs w:val="22"/>
              </w:rPr>
            </w:pPr>
            <w:r w:rsidRPr="003E77A4">
              <w:rPr>
                <w:rFonts w:cs="Arial"/>
                <w:color w:val="000000"/>
                <w:szCs w:val="22"/>
              </w:rPr>
              <w:t>Burden Hours Per Response</w:t>
            </w:r>
          </w:p>
        </w:tc>
        <w:tc>
          <w:tcPr>
            <w:tcW w:w="1340" w:type="dxa"/>
            <w:tcBorders>
              <w:top w:val="single" w:sz="8" w:space="0" w:color="000000"/>
              <w:left w:val="nil"/>
              <w:bottom w:val="single" w:sz="8" w:space="0" w:color="000000"/>
              <w:right w:val="single" w:sz="8" w:space="0" w:color="000000"/>
            </w:tcBorders>
            <w:shd w:val="clear" w:color="auto" w:fill="auto"/>
            <w:hideMark/>
          </w:tcPr>
          <w:p w:rsidR="003E77A4" w:rsidRPr="003E77A4" w:rsidRDefault="003E77A4" w:rsidP="003E77A4">
            <w:pPr>
              <w:jc w:val="center"/>
              <w:rPr>
                <w:rFonts w:cs="Arial"/>
                <w:color w:val="000000"/>
                <w:szCs w:val="22"/>
              </w:rPr>
            </w:pPr>
            <w:r w:rsidRPr="003E77A4">
              <w:rPr>
                <w:rFonts w:cs="Arial"/>
                <w:color w:val="000000"/>
                <w:szCs w:val="22"/>
              </w:rPr>
              <w:t>Total Annual Burden Hours</w:t>
            </w:r>
          </w:p>
        </w:tc>
        <w:tc>
          <w:tcPr>
            <w:tcW w:w="1340" w:type="dxa"/>
            <w:tcBorders>
              <w:top w:val="single" w:sz="8" w:space="0" w:color="000000"/>
              <w:left w:val="nil"/>
              <w:bottom w:val="single" w:sz="8" w:space="0" w:color="000000"/>
              <w:right w:val="single" w:sz="8" w:space="0" w:color="000000"/>
            </w:tcBorders>
            <w:shd w:val="clear" w:color="auto" w:fill="auto"/>
            <w:hideMark/>
          </w:tcPr>
          <w:p w:rsidR="003E77A4" w:rsidRPr="003E77A4" w:rsidRDefault="003E77A4" w:rsidP="003E77A4">
            <w:pPr>
              <w:jc w:val="center"/>
              <w:rPr>
                <w:rFonts w:cs="Arial"/>
                <w:color w:val="000000"/>
                <w:szCs w:val="22"/>
              </w:rPr>
            </w:pPr>
            <w:r w:rsidRPr="003E77A4">
              <w:rPr>
                <w:rFonts w:cs="Arial"/>
                <w:color w:val="000000"/>
                <w:szCs w:val="22"/>
              </w:rPr>
              <w:t xml:space="preserve"> Cost @ $274/Hour </w:t>
            </w:r>
          </w:p>
        </w:tc>
      </w:tr>
      <w:tr w:rsidR="003E77A4" w:rsidRPr="003E77A4" w:rsidTr="003E77A4">
        <w:trPr>
          <w:cantSplit/>
          <w:trHeight w:val="300"/>
        </w:trPr>
        <w:tc>
          <w:tcPr>
            <w:tcW w:w="1340" w:type="dxa"/>
            <w:tcBorders>
              <w:top w:val="nil"/>
              <w:left w:val="single" w:sz="8" w:space="0" w:color="000000"/>
              <w:bottom w:val="single" w:sz="8" w:space="0" w:color="000000"/>
              <w:right w:val="single" w:sz="8" w:space="0" w:color="000000"/>
            </w:tcBorders>
            <w:shd w:val="clear" w:color="auto" w:fill="auto"/>
            <w:hideMark/>
          </w:tcPr>
          <w:p w:rsidR="003E77A4" w:rsidRPr="003E77A4" w:rsidRDefault="003E77A4" w:rsidP="003E77A4">
            <w:pPr>
              <w:rPr>
                <w:rFonts w:cs="Arial"/>
                <w:color w:val="000000"/>
                <w:szCs w:val="22"/>
              </w:rPr>
            </w:pPr>
            <w:r w:rsidRPr="003E77A4">
              <w:rPr>
                <w:rFonts w:cs="Arial"/>
                <w:color w:val="000000"/>
                <w:szCs w:val="22"/>
              </w:rPr>
              <w:t>140.6(a)</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15</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 xml:space="preserve">$0 </w:t>
            </w:r>
          </w:p>
        </w:tc>
      </w:tr>
      <w:tr w:rsidR="003E77A4" w:rsidRPr="003E77A4" w:rsidTr="003E77A4">
        <w:trPr>
          <w:cantSplit/>
          <w:trHeight w:val="300"/>
        </w:trPr>
        <w:tc>
          <w:tcPr>
            <w:tcW w:w="1340" w:type="dxa"/>
            <w:tcBorders>
              <w:top w:val="nil"/>
              <w:left w:val="single" w:sz="8" w:space="0" w:color="000000"/>
              <w:bottom w:val="single" w:sz="8" w:space="0" w:color="000000"/>
              <w:right w:val="single" w:sz="8" w:space="0" w:color="000000"/>
            </w:tcBorders>
            <w:shd w:val="clear" w:color="auto" w:fill="auto"/>
            <w:hideMark/>
          </w:tcPr>
          <w:p w:rsidR="003E77A4" w:rsidRPr="003E77A4" w:rsidRDefault="003E77A4" w:rsidP="003E77A4">
            <w:pPr>
              <w:rPr>
                <w:rFonts w:cs="Arial"/>
                <w:color w:val="000000"/>
                <w:szCs w:val="22"/>
              </w:rPr>
            </w:pPr>
            <w:r w:rsidRPr="003E77A4">
              <w:rPr>
                <w:rFonts w:cs="Arial"/>
                <w:color w:val="000000"/>
                <w:szCs w:val="22"/>
              </w:rPr>
              <w:t>140.6(b)</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15</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 xml:space="preserve">$0 </w:t>
            </w:r>
          </w:p>
        </w:tc>
      </w:tr>
      <w:tr w:rsidR="003E77A4" w:rsidRPr="003E77A4" w:rsidTr="003E77A4">
        <w:trPr>
          <w:cantSplit/>
          <w:trHeight w:val="300"/>
        </w:trPr>
        <w:tc>
          <w:tcPr>
            <w:tcW w:w="1340" w:type="dxa"/>
            <w:tcBorders>
              <w:top w:val="nil"/>
              <w:left w:val="single" w:sz="8" w:space="0" w:color="000000"/>
              <w:bottom w:val="single" w:sz="8" w:space="0" w:color="000000"/>
              <w:right w:val="single" w:sz="8" w:space="0" w:color="000000"/>
            </w:tcBorders>
            <w:shd w:val="clear" w:color="auto" w:fill="auto"/>
            <w:hideMark/>
          </w:tcPr>
          <w:p w:rsidR="003E77A4" w:rsidRPr="003E77A4" w:rsidRDefault="003E77A4" w:rsidP="003E77A4">
            <w:pPr>
              <w:rPr>
                <w:rFonts w:cs="Arial"/>
                <w:color w:val="000000"/>
                <w:szCs w:val="22"/>
              </w:rPr>
            </w:pPr>
            <w:r w:rsidRPr="003E77A4">
              <w:rPr>
                <w:rFonts w:cs="Arial"/>
                <w:color w:val="000000"/>
                <w:szCs w:val="22"/>
              </w:rPr>
              <w:t>140.7(b)</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3</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 xml:space="preserve">$0 </w:t>
            </w:r>
          </w:p>
        </w:tc>
      </w:tr>
      <w:tr w:rsidR="003E77A4" w:rsidRPr="003E77A4" w:rsidTr="003E77A4">
        <w:trPr>
          <w:cantSplit/>
          <w:trHeight w:val="300"/>
        </w:trPr>
        <w:tc>
          <w:tcPr>
            <w:tcW w:w="1340" w:type="dxa"/>
            <w:tcBorders>
              <w:top w:val="nil"/>
              <w:left w:val="single" w:sz="8" w:space="0" w:color="000000"/>
              <w:bottom w:val="single" w:sz="8" w:space="0" w:color="000000"/>
              <w:right w:val="single" w:sz="8" w:space="0" w:color="000000"/>
            </w:tcBorders>
            <w:shd w:val="clear" w:color="auto" w:fill="auto"/>
            <w:hideMark/>
          </w:tcPr>
          <w:p w:rsidR="003E77A4" w:rsidRPr="003E77A4" w:rsidRDefault="003E77A4" w:rsidP="003E77A4">
            <w:pPr>
              <w:rPr>
                <w:rFonts w:cs="Arial"/>
                <w:color w:val="000000"/>
                <w:szCs w:val="22"/>
              </w:rPr>
            </w:pPr>
            <w:r w:rsidRPr="003E77A4">
              <w:rPr>
                <w:rFonts w:cs="Arial"/>
                <w:color w:val="000000"/>
                <w:szCs w:val="22"/>
              </w:rPr>
              <w:t>140.8</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5</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 xml:space="preserve">$0 </w:t>
            </w:r>
          </w:p>
        </w:tc>
      </w:tr>
      <w:tr w:rsidR="003E77A4" w:rsidRPr="003E77A4" w:rsidTr="003E77A4">
        <w:trPr>
          <w:cantSplit/>
          <w:trHeight w:val="300"/>
        </w:trPr>
        <w:tc>
          <w:tcPr>
            <w:tcW w:w="1340" w:type="dxa"/>
            <w:tcBorders>
              <w:top w:val="nil"/>
              <w:left w:val="single" w:sz="8" w:space="0" w:color="000000"/>
              <w:bottom w:val="single" w:sz="8" w:space="0" w:color="000000"/>
              <w:right w:val="single" w:sz="8" w:space="0" w:color="000000"/>
            </w:tcBorders>
            <w:shd w:val="clear" w:color="auto" w:fill="auto"/>
            <w:hideMark/>
          </w:tcPr>
          <w:p w:rsidR="003E77A4" w:rsidRPr="003E77A4" w:rsidRDefault="003E77A4" w:rsidP="003E77A4">
            <w:pPr>
              <w:rPr>
                <w:rFonts w:cs="Arial"/>
                <w:color w:val="000000"/>
                <w:szCs w:val="22"/>
              </w:rPr>
            </w:pPr>
            <w:r w:rsidRPr="003E77A4">
              <w:rPr>
                <w:rFonts w:cs="Arial"/>
                <w:color w:val="000000"/>
                <w:szCs w:val="22"/>
              </w:rPr>
              <w:t>140.13</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0.67</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1</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0.67</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1</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0.67</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 xml:space="preserve">$184 </w:t>
            </w:r>
          </w:p>
        </w:tc>
      </w:tr>
      <w:tr w:rsidR="003E77A4" w:rsidRPr="003E77A4" w:rsidTr="003E77A4">
        <w:trPr>
          <w:cantSplit/>
          <w:trHeight w:val="300"/>
        </w:trPr>
        <w:tc>
          <w:tcPr>
            <w:tcW w:w="1340" w:type="dxa"/>
            <w:tcBorders>
              <w:top w:val="nil"/>
              <w:left w:val="single" w:sz="8" w:space="0" w:color="000000"/>
              <w:bottom w:val="single" w:sz="8" w:space="0" w:color="000000"/>
              <w:right w:val="single" w:sz="8" w:space="0" w:color="000000"/>
            </w:tcBorders>
            <w:shd w:val="clear" w:color="auto" w:fill="auto"/>
            <w:hideMark/>
          </w:tcPr>
          <w:p w:rsidR="003E77A4" w:rsidRPr="003E77A4" w:rsidRDefault="003E77A4" w:rsidP="003E77A4">
            <w:pPr>
              <w:rPr>
                <w:rFonts w:cs="Arial"/>
                <w:color w:val="000000"/>
                <w:szCs w:val="22"/>
              </w:rPr>
            </w:pPr>
            <w:r w:rsidRPr="003E77A4">
              <w:rPr>
                <w:rFonts w:cs="Arial"/>
                <w:color w:val="000000"/>
                <w:szCs w:val="22"/>
              </w:rPr>
              <w:t>140.13a</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1</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1</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 xml:space="preserve">$0 </w:t>
            </w:r>
          </w:p>
        </w:tc>
      </w:tr>
      <w:tr w:rsidR="003E77A4" w:rsidRPr="003E77A4" w:rsidTr="003E77A4">
        <w:trPr>
          <w:cantSplit/>
          <w:trHeight w:val="300"/>
        </w:trPr>
        <w:tc>
          <w:tcPr>
            <w:tcW w:w="1340" w:type="dxa"/>
            <w:tcBorders>
              <w:top w:val="nil"/>
              <w:left w:val="single" w:sz="8" w:space="0" w:color="000000"/>
              <w:bottom w:val="single" w:sz="8" w:space="0" w:color="000000"/>
              <w:right w:val="single" w:sz="8" w:space="0" w:color="000000"/>
            </w:tcBorders>
            <w:shd w:val="clear" w:color="auto" w:fill="auto"/>
            <w:hideMark/>
          </w:tcPr>
          <w:p w:rsidR="003E77A4" w:rsidRPr="003E77A4" w:rsidRDefault="003E77A4" w:rsidP="003E77A4">
            <w:pPr>
              <w:rPr>
                <w:rFonts w:cs="Arial"/>
                <w:color w:val="000000"/>
                <w:szCs w:val="22"/>
              </w:rPr>
            </w:pPr>
            <w:r w:rsidRPr="003E77A4">
              <w:rPr>
                <w:rFonts w:cs="Arial"/>
                <w:color w:val="000000"/>
                <w:szCs w:val="22"/>
              </w:rPr>
              <w:t>140.13b</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0.33</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1</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0.33</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2</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0.66</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 xml:space="preserve">$181 </w:t>
            </w:r>
          </w:p>
        </w:tc>
      </w:tr>
      <w:tr w:rsidR="003E77A4" w:rsidRPr="003E77A4" w:rsidTr="003E77A4">
        <w:trPr>
          <w:cantSplit/>
          <w:trHeight w:val="300"/>
        </w:trPr>
        <w:tc>
          <w:tcPr>
            <w:tcW w:w="1340" w:type="dxa"/>
            <w:tcBorders>
              <w:top w:val="nil"/>
              <w:left w:val="single" w:sz="8" w:space="0" w:color="000000"/>
              <w:bottom w:val="single" w:sz="8" w:space="0" w:color="000000"/>
              <w:right w:val="single" w:sz="8" w:space="0" w:color="000000"/>
            </w:tcBorders>
            <w:shd w:val="clear" w:color="auto" w:fill="auto"/>
            <w:hideMark/>
          </w:tcPr>
          <w:p w:rsidR="003E77A4" w:rsidRPr="003E77A4" w:rsidRDefault="003E77A4" w:rsidP="003E77A4">
            <w:pPr>
              <w:rPr>
                <w:rFonts w:cs="Arial"/>
                <w:color w:val="000000"/>
                <w:szCs w:val="22"/>
              </w:rPr>
            </w:pPr>
            <w:r w:rsidRPr="003E77A4">
              <w:rPr>
                <w:rFonts w:cs="Arial"/>
                <w:color w:val="000000"/>
                <w:szCs w:val="22"/>
              </w:rPr>
              <w:t>140.14(b)</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1</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 xml:space="preserve">$0 </w:t>
            </w:r>
          </w:p>
        </w:tc>
      </w:tr>
      <w:tr w:rsidR="003E77A4" w:rsidRPr="003E77A4" w:rsidTr="003E77A4">
        <w:trPr>
          <w:cantSplit/>
          <w:trHeight w:val="300"/>
        </w:trPr>
        <w:tc>
          <w:tcPr>
            <w:tcW w:w="1340" w:type="dxa"/>
            <w:tcBorders>
              <w:top w:val="nil"/>
              <w:left w:val="single" w:sz="8" w:space="0" w:color="000000"/>
              <w:bottom w:val="single" w:sz="8" w:space="0" w:color="000000"/>
              <w:right w:val="single" w:sz="8" w:space="0" w:color="000000"/>
            </w:tcBorders>
            <w:shd w:val="clear" w:color="auto" w:fill="auto"/>
            <w:hideMark/>
          </w:tcPr>
          <w:p w:rsidR="003E77A4" w:rsidRPr="003E77A4" w:rsidRDefault="003E77A4" w:rsidP="003E77A4">
            <w:pPr>
              <w:rPr>
                <w:rFonts w:cs="Arial"/>
                <w:color w:val="000000"/>
                <w:szCs w:val="22"/>
              </w:rPr>
            </w:pPr>
            <w:r w:rsidRPr="003E77A4">
              <w:rPr>
                <w:rFonts w:cs="Arial"/>
                <w:color w:val="000000"/>
                <w:szCs w:val="22"/>
              </w:rPr>
              <w:t>140.15(a)</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0.67</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1</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0.67</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10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6.7</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 xml:space="preserve">$1,836 </w:t>
            </w:r>
          </w:p>
        </w:tc>
      </w:tr>
      <w:tr w:rsidR="003E77A4" w:rsidRPr="003E77A4" w:rsidTr="003E77A4">
        <w:trPr>
          <w:cantSplit/>
          <w:trHeight w:val="300"/>
        </w:trPr>
        <w:tc>
          <w:tcPr>
            <w:tcW w:w="1340" w:type="dxa"/>
            <w:tcBorders>
              <w:top w:val="nil"/>
              <w:left w:val="single" w:sz="8" w:space="0" w:color="000000"/>
              <w:bottom w:val="single" w:sz="8" w:space="0" w:color="000000"/>
              <w:right w:val="single" w:sz="8" w:space="0" w:color="000000"/>
            </w:tcBorders>
            <w:shd w:val="clear" w:color="auto" w:fill="auto"/>
            <w:hideMark/>
          </w:tcPr>
          <w:p w:rsidR="003E77A4" w:rsidRPr="003E77A4" w:rsidRDefault="003E77A4" w:rsidP="003E77A4">
            <w:pPr>
              <w:rPr>
                <w:rFonts w:cs="Arial"/>
                <w:color w:val="000000"/>
                <w:szCs w:val="22"/>
              </w:rPr>
            </w:pPr>
            <w:r w:rsidRPr="003E77A4">
              <w:rPr>
                <w:rFonts w:cs="Arial"/>
                <w:color w:val="000000"/>
                <w:szCs w:val="22"/>
              </w:rPr>
              <w:t>140.15(b)</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12</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 xml:space="preserve">$0 </w:t>
            </w:r>
          </w:p>
        </w:tc>
      </w:tr>
      <w:tr w:rsidR="003E77A4" w:rsidRPr="003E77A4" w:rsidTr="003E77A4">
        <w:trPr>
          <w:cantSplit/>
          <w:trHeight w:val="300"/>
        </w:trPr>
        <w:tc>
          <w:tcPr>
            <w:tcW w:w="1340" w:type="dxa"/>
            <w:tcBorders>
              <w:top w:val="nil"/>
              <w:left w:val="single" w:sz="8" w:space="0" w:color="000000"/>
              <w:bottom w:val="single" w:sz="8" w:space="0" w:color="000000"/>
              <w:right w:val="single" w:sz="8" w:space="0" w:color="000000"/>
            </w:tcBorders>
            <w:shd w:val="clear" w:color="auto" w:fill="auto"/>
            <w:hideMark/>
          </w:tcPr>
          <w:p w:rsidR="003E77A4" w:rsidRPr="003E77A4" w:rsidRDefault="003E77A4" w:rsidP="003E77A4">
            <w:pPr>
              <w:rPr>
                <w:rFonts w:cs="Arial"/>
                <w:color w:val="000000"/>
                <w:szCs w:val="22"/>
              </w:rPr>
            </w:pPr>
            <w:r w:rsidRPr="003E77A4">
              <w:rPr>
                <w:rFonts w:cs="Arial"/>
                <w:color w:val="000000"/>
                <w:szCs w:val="22"/>
              </w:rPr>
              <w:t>140.15</w:t>
            </w:r>
            <w:r w:rsidR="008D3A47">
              <w:rPr>
                <w:rFonts w:cs="Arial"/>
                <w:color w:val="000000"/>
                <w:szCs w:val="22"/>
              </w:rPr>
              <w:t>(c)</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8</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 xml:space="preserve">$0 </w:t>
            </w:r>
          </w:p>
        </w:tc>
      </w:tr>
      <w:tr w:rsidR="003E77A4" w:rsidRPr="003E77A4" w:rsidTr="003E77A4">
        <w:trPr>
          <w:cantSplit/>
          <w:trHeight w:val="300"/>
        </w:trPr>
        <w:tc>
          <w:tcPr>
            <w:tcW w:w="1340" w:type="dxa"/>
            <w:tcBorders>
              <w:top w:val="nil"/>
              <w:left w:val="single" w:sz="8" w:space="0" w:color="000000"/>
              <w:bottom w:val="single" w:sz="8" w:space="0" w:color="000000"/>
              <w:right w:val="single" w:sz="8" w:space="0" w:color="000000"/>
            </w:tcBorders>
            <w:shd w:val="clear" w:color="auto" w:fill="auto"/>
            <w:hideMark/>
          </w:tcPr>
          <w:p w:rsidR="003E77A4" w:rsidRPr="003E77A4" w:rsidRDefault="003E77A4" w:rsidP="003E77A4">
            <w:pPr>
              <w:rPr>
                <w:rFonts w:cs="Arial"/>
                <w:color w:val="000000"/>
                <w:szCs w:val="22"/>
              </w:rPr>
            </w:pPr>
            <w:r w:rsidRPr="003E77A4">
              <w:rPr>
                <w:rFonts w:cs="Arial"/>
                <w:color w:val="000000"/>
                <w:szCs w:val="22"/>
              </w:rPr>
              <w:t>140.15(e)</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8</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 xml:space="preserve">$0 </w:t>
            </w:r>
          </w:p>
        </w:tc>
      </w:tr>
      <w:tr w:rsidR="003E77A4" w:rsidRPr="003E77A4" w:rsidTr="003E77A4">
        <w:trPr>
          <w:cantSplit/>
          <w:trHeight w:val="585"/>
        </w:trPr>
        <w:tc>
          <w:tcPr>
            <w:tcW w:w="1340" w:type="dxa"/>
            <w:tcBorders>
              <w:top w:val="nil"/>
              <w:left w:val="single" w:sz="8" w:space="0" w:color="000000"/>
              <w:bottom w:val="single" w:sz="8" w:space="0" w:color="000000"/>
              <w:right w:val="single" w:sz="8" w:space="0" w:color="000000"/>
            </w:tcBorders>
            <w:shd w:val="clear" w:color="auto" w:fill="auto"/>
            <w:hideMark/>
          </w:tcPr>
          <w:p w:rsidR="003E77A4" w:rsidRPr="003E77A4" w:rsidRDefault="003E77A4" w:rsidP="003E77A4">
            <w:pPr>
              <w:rPr>
                <w:rFonts w:cs="Arial"/>
                <w:color w:val="000000"/>
                <w:szCs w:val="22"/>
              </w:rPr>
            </w:pPr>
            <w:r w:rsidRPr="003E77A4">
              <w:rPr>
                <w:rFonts w:cs="Arial"/>
                <w:color w:val="000000"/>
                <w:szCs w:val="22"/>
              </w:rPr>
              <w:t>140.17(a) &amp; (b)</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1</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 xml:space="preserve">$0 </w:t>
            </w:r>
          </w:p>
        </w:tc>
      </w:tr>
      <w:tr w:rsidR="003E77A4" w:rsidRPr="003E77A4" w:rsidTr="003E77A4">
        <w:trPr>
          <w:cantSplit/>
          <w:trHeight w:val="300"/>
        </w:trPr>
        <w:tc>
          <w:tcPr>
            <w:tcW w:w="1340" w:type="dxa"/>
            <w:tcBorders>
              <w:top w:val="nil"/>
              <w:left w:val="single" w:sz="8" w:space="0" w:color="000000"/>
              <w:bottom w:val="single" w:sz="8" w:space="0" w:color="000000"/>
              <w:right w:val="single" w:sz="8" w:space="0" w:color="000000"/>
            </w:tcBorders>
            <w:shd w:val="clear" w:color="auto" w:fill="auto"/>
            <w:hideMark/>
          </w:tcPr>
          <w:p w:rsidR="003E77A4" w:rsidRPr="003E77A4" w:rsidRDefault="003E77A4" w:rsidP="003E77A4">
            <w:pPr>
              <w:rPr>
                <w:rFonts w:cs="Arial"/>
                <w:color w:val="000000"/>
                <w:szCs w:val="22"/>
              </w:rPr>
            </w:pPr>
            <w:r w:rsidRPr="003E77A4">
              <w:rPr>
                <w:rFonts w:cs="Arial"/>
                <w:color w:val="000000"/>
                <w:szCs w:val="22"/>
              </w:rPr>
              <w:t>140.18</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 xml:space="preserve">$0 </w:t>
            </w:r>
          </w:p>
        </w:tc>
      </w:tr>
      <w:tr w:rsidR="003E77A4" w:rsidRPr="003E77A4" w:rsidTr="003E77A4">
        <w:trPr>
          <w:cantSplit/>
          <w:trHeight w:val="300"/>
        </w:trPr>
        <w:tc>
          <w:tcPr>
            <w:tcW w:w="1340" w:type="dxa"/>
            <w:tcBorders>
              <w:top w:val="nil"/>
              <w:left w:val="single" w:sz="8" w:space="0" w:color="000000"/>
              <w:bottom w:val="single" w:sz="8" w:space="0" w:color="000000"/>
              <w:right w:val="single" w:sz="8" w:space="0" w:color="000000"/>
            </w:tcBorders>
            <w:shd w:val="clear" w:color="auto" w:fill="auto"/>
            <w:hideMark/>
          </w:tcPr>
          <w:p w:rsidR="003E77A4" w:rsidRPr="003E77A4" w:rsidRDefault="003E77A4" w:rsidP="003E77A4">
            <w:pPr>
              <w:rPr>
                <w:rFonts w:cs="Arial"/>
                <w:color w:val="000000"/>
                <w:szCs w:val="22"/>
              </w:rPr>
            </w:pPr>
            <w:r w:rsidRPr="003E77A4">
              <w:rPr>
                <w:rFonts w:cs="Arial"/>
                <w:color w:val="000000"/>
                <w:szCs w:val="22"/>
              </w:rPr>
              <w:t>140.20</w:t>
            </w:r>
            <w:r w:rsidR="008D3A47">
              <w:rPr>
                <w:rFonts w:cs="Arial"/>
                <w:color w:val="000000"/>
                <w:szCs w:val="22"/>
              </w:rPr>
              <w:t>(c)</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1</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 xml:space="preserve">$0 </w:t>
            </w:r>
          </w:p>
        </w:tc>
      </w:tr>
      <w:tr w:rsidR="003E77A4" w:rsidRPr="003E77A4" w:rsidTr="003E77A4">
        <w:trPr>
          <w:cantSplit/>
          <w:trHeight w:val="300"/>
        </w:trPr>
        <w:tc>
          <w:tcPr>
            <w:tcW w:w="1340" w:type="dxa"/>
            <w:tcBorders>
              <w:top w:val="nil"/>
              <w:left w:val="single" w:sz="8" w:space="0" w:color="000000"/>
              <w:bottom w:val="single" w:sz="8" w:space="0" w:color="000000"/>
              <w:right w:val="single" w:sz="8" w:space="0" w:color="000000"/>
            </w:tcBorders>
            <w:shd w:val="clear" w:color="auto" w:fill="auto"/>
            <w:hideMark/>
          </w:tcPr>
          <w:p w:rsidR="003E77A4" w:rsidRPr="003E77A4" w:rsidRDefault="003E77A4" w:rsidP="003E77A4">
            <w:pPr>
              <w:rPr>
                <w:rFonts w:cs="Arial"/>
                <w:color w:val="000000"/>
                <w:szCs w:val="22"/>
              </w:rPr>
            </w:pPr>
            <w:r w:rsidRPr="003E77A4">
              <w:rPr>
                <w:rFonts w:cs="Arial"/>
                <w:color w:val="000000"/>
                <w:szCs w:val="22"/>
              </w:rPr>
              <w:t>140.21</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8</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 xml:space="preserve">$0 </w:t>
            </w:r>
          </w:p>
        </w:tc>
      </w:tr>
      <w:tr w:rsidR="003E77A4" w:rsidRPr="003E77A4" w:rsidTr="003E77A4">
        <w:trPr>
          <w:cantSplit/>
          <w:trHeight w:val="300"/>
        </w:trPr>
        <w:tc>
          <w:tcPr>
            <w:tcW w:w="1340" w:type="dxa"/>
            <w:tcBorders>
              <w:top w:val="nil"/>
              <w:left w:val="single" w:sz="8" w:space="0" w:color="000000"/>
              <w:bottom w:val="single" w:sz="8" w:space="0" w:color="000000"/>
              <w:right w:val="single" w:sz="8" w:space="0" w:color="000000"/>
            </w:tcBorders>
            <w:shd w:val="clear" w:color="auto" w:fill="auto"/>
            <w:hideMark/>
          </w:tcPr>
          <w:p w:rsidR="003E77A4" w:rsidRPr="003E77A4" w:rsidRDefault="003E77A4" w:rsidP="003E77A4">
            <w:pPr>
              <w:rPr>
                <w:rFonts w:cs="Arial"/>
                <w:color w:val="000000"/>
                <w:szCs w:val="22"/>
              </w:rPr>
            </w:pPr>
            <w:r w:rsidRPr="003E77A4">
              <w:rPr>
                <w:rFonts w:cs="Arial"/>
                <w:color w:val="000000"/>
                <w:szCs w:val="22"/>
              </w:rPr>
              <w:t>140.22</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8</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0</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 xml:space="preserve">$0 </w:t>
            </w:r>
          </w:p>
        </w:tc>
      </w:tr>
      <w:tr w:rsidR="003E77A4" w:rsidRPr="003E77A4" w:rsidTr="003E77A4">
        <w:trPr>
          <w:cantSplit/>
          <w:trHeight w:val="300"/>
        </w:trPr>
        <w:tc>
          <w:tcPr>
            <w:tcW w:w="1340" w:type="dxa"/>
            <w:tcBorders>
              <w:top w:val="nil"/>
              <w:left w:val="single" w:sz="8" w:space="0" w:color="000000"/>
              <w:bottom w:val="single" w:sz="8" w:space="0" w:color="000000"/>
              <w:right w:val="single" w:sz="8" w:space="0" w:color="000000"/>
            </w:tcBorders>
            <w:shd w:val="clear" w:color="auto" w:fill="auto"/>
            <w:hideMark/>
          </w:tcPr>
          <w:p w:rsidR="003E77A4" w:rsidRPr="003E77A4" w:rsidRDefault="003E77A4" w:rsidP="003E77A4">
            <w:pPr>
              <w:rPr>
                <w:rFonts w:cs="Arial"/>
                <w:color w:val="000000"/>
                <w:szCs w:val="22"/>
              </w:rPr>
            </w:pPr>
            <w:r w:rsidRPr="003E77A4">
              <w:rPr>
                <w:rFonts w:cs="Arial"/>
                <w:color w:val="000000"/>
                <w:szCs w:val="22"/>
              </w:rPr>
              <w:t>Total</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1</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 </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1.67</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3E77A4">
            <w:pPr>
              <w:jc w:val="right"/>
              <w:rPr>
                <w:rFonts w:cs="Arial"/>
                <w:color w:val="000000"/>
                <w:szCs w:val="22"/>
              </w:rPr>
            </w:pPr>
            <w:r w:rsidRPr="003E77A4">
              <w:rPr>
                <w:rFonts w:cs="Arial"/>
                <w:color w:val="000000"/>
                <w:szCs w:val="22"/>
              </w:rPr>
              <w:t> </w:t>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574A07">
            <w:pPr>
              <w:jc w:val="right"/>
              <w:rPr>
                <w:rFonts w:cs="Arial"/>
                <w:color w:val="000000"/>
                <w:szCs w:val="22"/>
              </w:rPr>
            </w:pPr>
            <w:r w:rsidRPr="003E77A4">
              <w:rPr>
                <w:rFonts w:cs="Arial"/>
                <w:color w:val="000000"/>
                <w:szCs w:val="22"/>
              </w:rPr>
              <w:t> </w:t>
            </w:r>
            <w:r w:rsidR="00574A07">
              <w:rPr>
                <w:rFonts w:cs="Arial"/>
                <w:color w:val="000000"/>
                <w:szCs w:val="22"/>
              </w:rPr>
              <w:t>8</w:t>
            </w:r>
            <w:r w:rsidR="00632C66">
              <w:rPr>
                <w:rStyle w:val="FootnoteReference"/>
                <w:rFonts w:cs="Arial"/>
                <w:color w:val="000000"/>
                <w:szCs w:val="22"/>
              </w:rPr>
              <w:footnoteReference w:id="1"/>
            </w:r>
          </w:p>
        </w:tc>
        <w:tc>
          <w:tcPr>
            <w:tcW w:w="1340" w:type="dxa"/>
            <w:tcBorders>
              <w:top w:val="nil"/>
              <w:left w:val="nil"/>
              <w:bottom w:val="single" w:sz="8" w:space="0" w:color="000000"/>
              <w:right w:val="single" w:sz="8" w:space="0" w:color="000000"/>
            </w:tcBorders>
            <w:shd w:val="clear" w:color="auto" w:fill="auto"/>
            <w:hideMark/>
          </w:tcPr>
          <w:p w:rsidR="003E77A4" w:rsidRPr="003E77A4" w:rsidRDefault="003E77A4" w:rsidP="00574A07">
            <w:pPr>
              <w:jc w:val="right"/>
              <w:rPr>
                <w:rFonts w:cs="Arial"/>
                <w:color w:val="000000"/>
                <w:szCs w:val="22"/>
              </w:rPr>
            </w:pPr>
            <w:r w:rsidRPr="003E77A4">
              <w:rPr>
                <w:rFonts w:cs="Arial"/>
                <w:noProof/>
                <w:color w:val="000000"/>
                <w:szCs w:val="22"/>
              </w:rPr>
              <w:t>$2,</w:t>
            </w:r>
            <w:r w:rsidR="00574A07">
              <w:rPr>
                <w:rFonts w:cs="Arial"/>
                <w:noProof/>
                <w:color w:val="000000"/>
                <w:szCs w:val="22"/>
              </w:rPr>
              <w:t>192</w:t>
            </w:r>
            <w:r w:rsidRPr="003E77A4">
              <w:rPr>
                <w:rFonts w:cs="Arial"/>
                <w:noProof/>
                <w:color w:val="000000"/>
                <w:szCs w:val="22"/>
              </w:rPr>
              <w:t xml:space="preserve"> </w:t>
            </w:r>
          </w:p>
        </w:tc>
      </w:tr>
    </w:tbl>
    <w:p w:rsidR="003E77A4" w:rsidRDefault="003E77A4" w:rsidP="00BA541A">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pPr>
    </w:p>
    <w:p w:rsidR="003E77A4" w:rsidRDefault="003E77A4" w:rsidP="00BA541A">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pPr>
    </w:p>
    <w:p w:rsidR="00BA541A" w:rsidRDefault="00BA541A" w:rsidP="00BA541A">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pPr>
    </w:p>
    <w:p w:rsidR="00BA541A" w:rsidRDefault="00BA541A" w:rsidP="00BA541A">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744"/>
      </w:pPr>
      <w:r>
        <w:rPr>
          <w:b/>
          <w:u w:val="single"/>
        </w:rPr>
        <w:t>10 CFR Part 140 Burden</w:t>
      </w:r>
    </w:p>
    <w:p w:rsidR="00BA541A" w:rsidRDefault="00BA541A" w:rsidP="00BA541A">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4104" w:hanging="3360"/>
      </w:pPr>
      <w:r>
        <w:t>Number o</w:t>
      </w:r>
      <w:r w:rsidR="00755027">
        <w:t>f Annual Respondents:</w:t>
      </w:r>
      <w:r w:rsidR="00755027">
        <w:tab/>
        <w:t xml:space="preserve">        1</w:t>
      </w:r>
    </w:p>
    <w:p w:rsidR="00BA541A" w:rsidRDefault="00BA541A" w:rsidP="00BA541A">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4104" w:hanging="3360"/>
      </w:pPr>
      <w:r>
        <w:t xml:space="preserve">Number </w:t>
      </w:r>
      <w:r w:rsidR="00755027">
        <w:t>of Responses:</w:t>
      </w:r>
      <w:r w:rsidR="00755027">
        <w:tab/>
      </w:r>
      <w:r w:rsidR="00755027">
        <w:tab/>
        <w:t xml:space="preserve">   1.67</w:t>
      </w:r>
    </w:p>
    <w:p w:rsidR="00BA541A" w:rsidRDefault="00BA541A" w:rsidP="00BA541A">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7344" w:hanging="6600"/>
      </w:pPr>
      <w:r>
        <w:t>Total B</w:t>
      </w:r>
      <w:r w:rsidR="00755027">
        <w:t xml:space="preserve">urden Hours: </w:t>
      </w:r>
      <w:r w:rsidR="00755027">
        <w:tab/>
      </w:r>
      <w:r w:rsidR="00755027">
        <w:tab/>
        <w:t xml:space="preserve">        8</w:t>
      </w:r>
    </w:p>
    <w:p w:rsidR="00BA541A" w:rsidRDefault="00BA541A" w:rsidP="00BA541A">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ind w:left="5904" w:hanging="5160"/>
      </w:pPr>
      <w:r>
        <w:t>Total Burden Hour Cost:</w:t>
      </w:r>
      <w:r>
        <w:tab/>
        <w:t>$</w:t>
      </w:r>
      <w:r w:rsidR="00755027">
        <w:t>2,192</w:t>
      </w:r>
    </w:p>
    <w:p w:rsidR="003E77A4" w:rsidRDefault="003E77A4">
      <w:r>
        <w:br w:type="page"/>
      </w:r>
    </w:p>
    <w:p w:rsidR="003E77A4" w:rsidRPr="00BF6EBD" w:rsidRDefault="003E77A4" w:rsidP="003E77A4">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jc w:val="center"/>
        <w:rPr>
          <w:b/>
        </w:rPr>
      </w:pPr>
      <w:r w:rsidRPr="00BF6EBD">
        <w:rPr>
          <w:b/>
        </w:rPr>
        <w:lastRenderedPageBreak/>
        <w:t>Table 2</w:t>
      </w:r>
    </w:p>
    <w:p w:rsidR="003E77A4" w:rsidRPr="00BF6EBD" w:rsidRDefault="003E77A4" w:rsidP="003E77A4">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jc w:val="center"/>
        <w:rPr>
          <w:b/>
        </w:rPr>
      </w:pPr>
      <w:r w:rsidRPr="00BF6EBD">
        <w:rPr>
          <w:b/>
        </w:rPr>
        <w:t>Costs to the Federal Government</w:t>
      </w:r>
    </w:p>
    <w:p w:rsidR="00755027" w:rsidRDefault="00755027" w:rsidP="003E77A4">
      <w:pPr>
        <w:tabs>
          <w:tab w:val="left" w:pos="-576"/>
          <w:tab w:val="left" w:pos="744"/>
          <w:tab w:val="left" w:pos="1464"/>
          <w:tab w:val="left" w:pos="2064"/>
          <w:tab w:val="left" w:pos="2664"/>
          <w:tab w:val="left" w:pos="3024"/>
          <w:tab w:val="left" w:pos="4104"/>
          <w:tab w:val="left" w:pos="4464"/>
          <w:tab w:val="left" w:pos="5184"/>
          <w:tab w:val="left" w:pos="5904"/>
          <w:tab w:val="left" w:pos="6864"/>
          <w:tab w:val="left" w:pos="7344"/>
          <w:tab w:val="left" w:pos="8064"/>
          <w:tab w:val="left" w:pos="8784"/>
          <w:tab w:val="left" w:pos="9504"/>
          <w:tab w:val="left" w:pos="9864"/>
          <w:tab w:val="left" w:pos="10224"/>
        </w:tabs>
        <w:jc w:val="center"/>
      </w:pPr>
    </w:p>
    <w:tbl>
      <w:tblPr>
        <w:tblW w:w="7172" w:type="dxa"/>
        <w:jc w:val="center"/>
        <w:tblInd w:w="93" w:type="dxa"/>
        <w:tblLook w:val="04A0"/>
      </w:tblPr>
      <w:tblGrid>
        <w:gridCol w:w="1574"/>
        <w:gridCol w:w="1317"/>
        <w:gridCol w:w="1427"/>
        <w:gridCol w:w="1427"/>
        <w:gridCol w:w="1427"/>
      </w:tblGrid>
      <w:tr w:rsidR="003E77A4" w:rsidRPr="003E77A4" w:rsidTr="00574A07">
        <w:trPr>
          <w:cantSplit/>
          <w:trHeight w:val="870"/>
          <w:jc w:val="center"/>
        </w:trPr>
        <w:tc>
          <w:tcPr>
            <w:tcW w:w="1574" w:type="dxa"/>
            <w:tcBorders>
              <w:top w:val="single" w:sz="8" w:space="0" w:color="000000"/>
              <w:left w:val="single" w:sz="8" w:space="0" w:color="000000"/>
              <w:bottom w:val="single" w:sz="8" w:space="0" w:color="000000"/>
              <w:right w:val="single" w:sz="8" w:space="0" w:color="000000"/>
            </w:tcBorders>
            <w:shd w:val="clear" w:color="auto" w:fill="auto"/>
            <w:hideMark/>
          </w:tcPr>
          <w:p w:rsidR="003E77A4" w:rsidRPr="003E77A4" w:rsidRDefault="003E77A4" w:rsidP="00574A07">
            <w:pPr>
              <w:rPr>
                <w:rFonts w:cs="Arial"/>
                <w:color w:val="000000"/>
                <w:szCs w:val="22"/>
              </w:rPr>
            </w:pPr>
            <w:r w:rsidRPr="003E77A4">
              <w:rPr>
                <w:rFonts w:cs="Arial"/>
                <w:color w:val="000000"/>
                <w:szCs w:val="22"/>
              </w:rPr>
              <w:t>Section</w:t>
            </w:r>
          </w:p>
        </w:tc>
        <w:tc>
          <w:tcPr>
            <w:tcW w:w="1317" w:type="dxa"/>
            <w:tcBorders>
              <w:top w:val="single" w:sz="8" w:space="0" w:color="000000"/>
              <w:left w:val="nil"/>
              <w:bottom w:val="single" w:sz="8" w:space="0" w:color="000000"/>
              <w:right w:val="single" w:sz="8" w:space="0" w:color="000000"/>
            </w:tcBorders>
            <w:shd w:val="clear" w:color="auto" w:fill="auto"/>
            <w:hideMark/>
          </w:tcPr>
          <w:p w:rsidR="003E77A4" w:rsidRPr="003E77A4" w:rsidRDefault="003E77A4" w:rsidP="00574A07">
            <w:pPr>
              <w:jc w:val="center"/>
              <w:rPr>
                <w:rFonts w:cs="Arial"/>
                <w:color w:val="000000"/>
                <w:szCs w:val="22"/>
              </w:rPr>
            </w:pPr>
            <w:r w:rsidRPr="003E77A4">
              <w:rPr>
                <w:rFonts w:cs="Arial"/>
                <w:color w:val="000000"/>
                <w:szCs w:val="22"/>
              </w:rPr>
              <w:t>Number of Responses Received</w:t>
            </w:r>
          </w:p>
        </w:tc>
        <w:tc>
          <w:tcPr>
            <w:tcW w:w="1427" w:type="dxa"/>
            <w:tcBorders>
              <w:top w:val="single" w:sz="8" w:space="0" w:color="000000"/>
              <w:left w:val="nil"/>
              <w:bottom w:val="single" w:sz="8" w:space="0" w:color="000000"/>
              <w:right w:val="single" w:sz="8" w:space="0" w:color="000000"/>
            </w:tcBorders>
            <w:shd w:val="clear" w:color="auto" w:fill="auto"/>
            <w:hideMark/>
          </w:tcPr>
          <w:p w:rsidR="003E77A4" w:rsidRPr="003E77A4" w:rsidRDefault="003E77A4" w:rsidP="00574A07">
            <w:pPr>
              <w:jc w:val="center"/>
              <w:rPr>
                <w:rFonts w:cs="Arial"/>
                <w:color w:val="000000"/>
                <w:szCs w:val="22"/>
              </w:rPr>
            </w:pPr>
            <w:r w:rsidRPr="003E77A4">
              <w:rPr>
                <w:rFonts w:cs="Arial"/>
                <w:color w:val="000000"/>
                <w:szCs w:val="22"/>
              </w:rPr>
              <w:t>Government Hours Per Response</w:t>
            </w:r>
          </w:p>
        </w:tc>
        <w:tc>
          <w:tcPr>
            <w:tcW w:w="1427" w:type="dxa"/>
            <w:tcBorders>
              <w:top w:val="single" w:sz="8" w:space="0" w:color="000000"/>
              <w:left w:val="nil"/>
              <w:bottom w:val="single" w:sz="8" w:space="0" w:color="000000"/>
              <w:right w:val="single" w:sz="8" w:space="0" w:color="000000"/>
            </w:tcBorders>
            <w:shd w:val="clear" w:color="auto" w:fill="auto"/>
            <w:hideMark/>
          </w:tcPr>
          <w:p w:rsidR="003E77A4" w:rsidRPr="003E77A4" w:rsidRDefault="003E77A4" w:rsidP="00574A07">
            <w:pPr>
              <w:jc w:val="center"/>
              <w:rPr>
                <w:rFonts w:cs="Arial"/>
                <w:color w:val="000000"/>
                <w:szCs w:val="22"/>
              </w:rPr>
            </w:pPr>
            <w:r w:rsidRPr="003E77A4">
              <w:rPr>
                <w:rFonts w:cs="Arial"/>
                <w:color w:val="000000"/>
                <w:szCs w:val="22"/>
              </w:rPr>
              <w:t>Total Government Hours</w:t>
            </w:r>
          </w:p>
        </w:tc>
        <w:tc>
          <w:tcPr>
            <w:tcW w:w="1427" w:type="dxa"/>
            <w:tcBorders>
              <w:top w:val="single" w:sz="8" w:space="0" w:color="000000"/>
              <w:left w:val="nil"/>
              <w:bottom w:val="single" w:sz="8" w:space="0" w:color="000000"/>
              <w:right w:val="single" w:sz="8" w:space="0" w:color="000000"/>
            </w:tcBorders>
            <w:shd w:val="clear" w:color="auto" w:fill="auto"/>
            <w:hideMark/>
          </w:tcPr>
          <w:p w:rsidR="003E77A4" w:rsidRPr="003E77A4" w:rsidRDefault="003E77A4" w:rsidP="00574A07">
            <w:pPr>
              <w:jc w:val="center"/>
              <w:rPr>
                <w:rFonts w:cs="Arial"/>
                <w:color w:val="000000"/>
                <w:szCs w:val="22"/>
              </w:rPr>
            </w:pPr>
            <w:r w:rsidRPr="003E77A4">
              <w:rPr>
                <w:rFonts w:cs="Arial"/>
                <w:color w:val="000000"/>
                <w:szCs w:val="22"/>
              </w:rPr>
              <w:t>Government Cost</w:t>
            </w:r>
          </w:p>
        </w:tc>
      </w:tr>
      <w:tr w:rsidR="008D3A47" w:rsidRPr="003E77A4" w:rsidTr="00574A07">
        <w:trPr>
          <w:cantSplit/>
          <w:trHeight w:val="300"/>
          <w:jc w:val="center"/>
        </w:trPr>
        <w:tc>
          <w:tcPr>
            <w:tcW w:w="1574" w:type="dxa"/>
            <w:tcBorders>
              <w:top w:val="nil"/>
              <w:left w:val="single" w:sz="8" w:space="0" w:color="000000"/>
              <w:bottom w:val="single" w:sz="8" w:space="0" w:color="000000"/>
              <w:right w:val="single" w:sz="8" w:space="0" w:color="000000"/>
            </w:tcBorders>
            <w:shd w:val="clear" w:color="auto" w:fill="auto"/>
            <w:hideMark/>
          </w:tcPr>
          <w:p w:rsidR="008D3A47" w:rsidRPr="003E77A4" w:rsidRDefault="008D3A47" w:rsidP="00574A07">
            <w:pPr>
              <w:rPr>
                <w:rFonts w:cs="Arial"/>
                <w:color w:val="000000"/>
                <w:szCs w:val="22"/>
              </w:rPr>
            </w:pPr>
            <w:r w:rsidRPr="003E77A4">
              <w:rPr>
                <w:rFonts w:cs="Arial"/>
                <w:color w:val="000000"/>
                <w:szCs w:val="22"/>
              </w:rPr>
              <w:t>140.6(a)</w:t>
            </w:r>
          </w:p>
        </w:tc>
        <w:tc>
          <w:tcPr>
            <w:tcW w:w="131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 xml:space="preserve">$0 </w:t>
            </w:r>
          </w:p>
        </w:tc>
      </w:tr>
      <w:tr w:rsidR="008D3A47" w:rsidRPr="003E77A4" w:rsidTr="00574A07">
        <w:trPr>
          <w:cantSplit/>
          <w:trHeight w:val="300"/>
          <w:jc w:val="center"/>
        </w:trPr>
        <w:tc>
          <w:tcPr>
            <w:tcW w:w="1574" w:type="dxa"/>
            <w:tcBorders>
              <w:top w:val="nil"/>
              <w:left w:val="single" w:sz="8" w:space="0" w:color="000000"/>
              <w:bottom w:val="single" w:sz="8" w:space="0" w:color="000000"/>
              <w:right w:val="single" w:sz="8" w:space="0" w:color="000000"/>
            </w:tcBorders>
            <w:shd w:val="clear" w:color="auto" w:fill="auto"/>
            <w:hideMark/>
          </w:tcPr>
          <w:p w:rsidR="008D3A47" w:rsidRPr="003E77A4" w:rsidRDefault="008D3A47" w:rsidP="00574A07">
            <w:pPr>
              <w:rPr>
                <w:rFonts w:cs="Arial"/>
                <w:color w:val="000000"/>
                <w:szCs w:val="22"/>
              </w:rPr>
            </w:pPr>
            <w:r w:rsidRPr="003E77A4">
              <w:rPr>
                <w:rFonts w:cs="Arial"/>
                <w:color w:val="000000"/>
                <w:szCs w:val="22"/>
              </w:rPr>
              <w:t>140.6(b)</w:t>
            </w:r>
          </w:p>
        </w:tc>
        <w:tc>
          <w:tcPr>
            <w:tcW w:w="131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 xml:space="preserve">$0 </w:t>
            </w:r>
          </w:p>
        </w:tc>
      </w:tr>
      <w:tr w:rsidR="008D3A47" w:rsidRPr="003E77A4" w:rsidTr="00574A07">
        <w:trPr>
          <w:cantSplit/>
          <w:trHeight w:val="300"/>
          <w:jc w:val="center"/>
        </w:trPr>
        <w:tc>
          <w:tcPr>
            <w:tcW w:w="1574" w:type="dxa"/>
            <w:tcBorders>
              <w:top w:val="nil"/>
              <w:left w:val="single" w:sz="8" w:space="0" w:color="000000"/>
              <w:bottom w:val="single" w:sz="8" w:space="0" w:color="000000"/>
              <w:right w:val="single" w:sz="8" w:space="0" w:color="000000"/>
            </w:tcBorders>
            <w:shd w:val="clear" w:color="auto" w:fill="auto"/>
            <w:hideMark/>
          </w:tcPr>
          <w:p w:rsidR="008D3A47" w:rsidRPr="003E77A4" w:rsidRDefault="008D3A47" w:rsidP="00574A07">
            <w:pPr>
              <w:rPr>
                <w:rFonts w:cs="Arial"/>
                <w:color w:val="000000"/>
                <w:szCs w:val="22"/>
              </w:rPr>
            </w:pPr>
            <w:r w:rsidRPr="003E77A4">
              <w:rPr>
                <w:rFonts w:cs="Arial"/>
                <w:color w:val="000000"/>
                <w:szCs w:val="22"/>
              </w:rPr>
              <w:t>140.7(b)</w:t>
            </w:r>
          </w:p>
        </w:tc>
        <w:tc>
          <w:tcPr>
            <w:tcW w:w="131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 xml:space="preserve">$0 </w:t>
            </w:r>
          </w:p>
        </w:tc>
      </w:tr>
      <w:tr w:rsidR="008D3A47" w:rsidRPr="003E77A4" w:rsidTr="00574A07">
        <w:trPr>
          <w:cantSplit/>
          <w:trHeight w:val="300"/>
          <w:jc w:val="center"/>
        </w:trPr>
        <w:tc>
          <w:tcPr>
            <w:tcW w:w="1574" w:type="dxa"/>
            <w:tcBorders>
              <w:top w:val="nil"/>
              <w:left w:val="single" w:sz="8" w:space="0" w:color="000000"/>
              <w:bottom w:val="single" w:sz="8" w:space="0" w:color="000000"/>
              <w:right w:val="single" w:sz="8" w:space="0" w:color="000000"/>
            </w:tcBorders>
            <w:shd w:val="clear" w:color="auto" w:fill="auto"/>
            <w:hideMark/>
          </w:tcPr>
          <w:p w:rsidR="008D3A47" w:rsidRPr="003E77A4" w:rsidRDefault="008D3A47" w:rsidP="00574A07">
            <w:pPr>
              <w:rPr>
                <w:rFonts w:cs="Arial"/>
                <w:color w:val="000000"/>
                <w:szCs w:val="22"/>
              </w:rPr>
            </w:pPr>
            <w:r w:rsidRPr="003E77A4">
              <w:rPr>
                <w:rFonts w:cs="Arial"/>
                <w:color w:val="000000"/>
                <w:szCs w:val="22"/>
              </w:rPr>
              <w:t>140.8</w:t>
            </w:r>
          </w:p>
        </w:tc>
        <w:tc>
          <w:tcPr>
            <w:tcW w:w="131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 xml:space="preserve">$0 </w:t>
            </w:r>
          </w:p>
        </w:tc>
      </w:tr>
      <w:tr w:rsidR="008D3A47" w:rsidRPr="003E77A4" w:rsidTr="00574A07">
        <w:trPr>
          <w:cantSplit/>
          <w:trHeight w:val="300"/>
          <w:jc w:val="center"/>
        </w:trPr>
        <w:tc>
          <w:tcPr>
            <w:tcW w:w="1574" w:type="dxa"/>
            <w:tcBorders>
              <w:top w:val="nil"/>
              <w:left w:val="single" w:sz="8" w:space="0" w:color="000000"/>
              <w:bottom w:val="single" w:sz="8" w:space="0" w:color="000000"/>
              <w:right w:val="single" w:sz="8" w:space="0" w:color="000000"/>
            </w:tcBorders>
            <w:shd w:val="clear" w:color="auto" w:fill="auto"/>
            <w:hideMark/>
          </w:tcPr>
          <w:p w:rsidR="008D3A47" w:rsidRPr="003E77A4" w:rsidRDefault="008D3A47" w:rsidP="00574A07">
            <w:pPr>
              <w:rPr>
                <w:rFonts w:cs="Arial"/>
                <w:color w:val="000000"/>
                <w:szCs w:val="22"/>
              </w:rPr>
            </w:pPr>
            <w:r w:rsidRPr="003E77A4">
              <w:rPr>
                <w:rFonts w:cs="Arial"/>
                <w:color w:val="000000"/>
                <w:szCs w:val="22"/>
              </w:rPr>
              <w:t>140.13</w:t>
            </w:r>
          </w:p>
        </w:tc>
        <w:tc>
          <w:tcPr>
            <w:tcW w:w="131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0.67</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6</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4</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 xml:space="preserve">$1,096 </w:t>
            </w:r>
          </w:p>
        </w:tc>
      </w:tr>
      <w:tr w:rsidR="008D3A47" w:rsidRPr="003E77A4" w:rsidTr="00574A07">
        <w:trPr>
          <w:cantSplit/>
          <w:trHeight w:val="300"/>
          <w:jc w:val="center"/>
        </w:trPr>
        <w:tc>
          <w:tcPr>
            <w:tcW w:w="1574" w:type="dxa"/>
            <w:tcBorders>
              <w:top w:val="nil"/>
              <w:left w:val="single" w:sz="8" w:space="0" w:color="000000"/>
              <w:bottom w:val="single" w:sz="8" w:space="0" w:color="000000"/>
              <w:right w:val="single" w:sz="8" w:space="0" w:color="000000"/>
            </w:tcBorders>
            <w:shd w:val="clear" w:color="auto" w:fill="auto"/>
            <w:hideMark/>
          </w:tcPr>
          <w:p w:rsidR="008D3A47" w:rsidRPr="003E77A4" w:rsidRDefault="008D3A47" w:rsidP="00574A07">
            <w:pPr>
              <w:rPr>
                <w:rFonts w:cs="Arial"/>
                <w:color w:val="000000"/>
                <w:szCs w:val="22"/>
              </w:rPr>
            </w:pPr>
            <w:r w:rsidRPr="003E77A4">
              <w:rPr>
                <w:rFonts w:cs="Arial"/>
                <w:color w:val="000000"/>
                <w:szCs w:val="22"/>
              </w:rPr>
              <w:t>140.13a</w:t>
            </w:r>
          </w:p>
        </w:tc>
        <w:tc>
          <w:tcPr>
            <w:tcW w:w="131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5</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 xml:space="preserve">$0 </w:t>
            </w:r>
          </w:p>
        </w:tc>
      </w:tr>
      <w:tr w:rsidR="008D3A47" w:rsidRPr="003E77A4" w:rsidTr="00574A07">
        <w:trPr>
          <w:cantSplit/>
          <w:trHeight w:val="300"/>
          <w:jc w:val="center"/>
        </w:trPr>
        <w:tc>
          <w:tcPr>
            <w:tcW w:w="1574" w:type="dxa"/>
            <w:tcBorders>
              <w:top w:val="nil"/>
              <w:left w:val="single" w:sz="8" w:space="0" w:color="000000"/>
              <w:bottom w:val="single" w:sz="8" w:space="0" w:color="000000"/>
              <w:right w:val="single" w:sz="8" w:space="0" w:color="000000"/>
            </w:tcBorders>
            <w:shd w:val="clear" w:color="auto" w:fill="auto"/>
            <w:hideMark/>
          </w:tcPr>
          <w:p w:rsidR="008D3A47" w:rsidRPr="003E77A4" w:rsidRDefault="008D3A47" w:rsidP="00574A07">
            <w:pPr>
              <w:rPr>
                <w:rFonts w:cs="Arial"/>
                <w:color w:val="000000"/>
                <w:szCs w:val="22"/>
              </w:rPr>
            </w:pPr>
            <w:r w:rsidRPr="003E77A4">
              <w:rPr>
                <w:rFonts w:cs="Arial"/>
                <w:color w:val="000000"/>
                <w:szCs w:val="22"/>
              </w:rPr>
              <w:t>140.13b</w:t>
            </w:r>
          </w:p>
        </w:tc>
        <w:tc>
          <w:tcPr>
            <w:tcW w:w="131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0.33</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2</w:t>
            </w:r>
          </w:p>
        </w:tc>
        <w:tc>
          <w:tcPr>
            <w:tcW w:w="1427" w:type="dxa"/>
            <w:tcBorders>
              <w:top w:val="nil"/>
              <w:left w:val="nil"/>
              <w:bottom w:val="single" w:sz="8" w:space="0" w:color="000000"/>
              <w:right w:val="single" w:sz="8" w:space="0" w:color="000000"/>
            </w:tcBorders>
            <w:shd w:val="clear" w:color="auto" w:fill="auto"/>
            <w:hideMark/>
          </w:tcPr>
          <w:p w:rsidR="008D3A47" w:rsidRDefault="008D3A47" w:rsidP="00632C66">
            <w:pPr>
              <w:jc w:val="right"/>
              <w:rPr>
                <w:rFonts w:cs="Arial"/>
                <w:color w:val="000000"/>
                <w:szCs w:val="22"/>
              </w:rPr>
            </w:pPr>
            <w:r>
              <w:rPr>
                <w:rFonts w:cs="Arial"/>
                <w:color w:val="000000"/>
                <w:szCs w:val="22"/>
              </w:rPr>
              <w:t>0.</w:t>
            </w:r>
            <w:r w:rsidR="009B1C1E">
              <w:rPr>
                <w:rFonts w:cs="Arial"/>
                <w:color w:val="000000"/>
                <w:szCs w:val="22"/>
              </w:rPr>
              <w:t>7</w:t>
            </w:r>
          </w:p>
        </w:tc>
        <w:tc>
          <w:tcPr>
            <w:tcW w:w="1427" w:type="dxa"/>
            <w:tcBorders>
              <w:top w:val="nil"/>
              <w:left w:val="nil"/>
              <w:bottom w:val="single" w:sz="8" w:space="0" w:color="000000"/>
              <w:right w:val="single" w:sz="8" w:space="0" w:color="000000"/>
            </w:tcBorders>
            <w:shd w:val="clear" w:color="auto" w:fill="auto"/>
            <w:hideMark/>
          </w:tcPr>
          <w:p w:rsidR="008D3A47" w:rsidRDefault="008D3A47" w:rsidP="009B1C1E">
            <w:pPr>
              <w:jc w:val="right"/>
              <w:rPr>
                <w:rFonts w:cs="Arial"/>
                <w:color w:val="000000"/>
                <w:szCs w:val="22"/>
              </w:rPr>
            </w:pPr>
            <w:r>
              <w:rPr>
                <w:rFonts w:cs="Arial"/>
                <w:color w:val="000000"/>
                <w:szCs w:val="22"/>
              </w:rPr>
              <w:t>$1</w:t>
            </w:r>
            <w:r w:rsidR="009B1C1E">
              <w:rPr>
                <w:rFonts w:cs="Arial"/>
                <w:color w:val="000000"/>
                <w:szCs w:val="22"/>
              </w:rPr>
              <w:t>92</w:t>
            </w:r>
            <w:r>
              <w:rPr>
                <w:rFonts w:cs="Arial"/>
                <w:color w:val="000000"/>
                <w:szCs w:val="22"/>
              </w:rPr>
              <w:t xml:space="preserve"> </w:t>
            </w:r>
          </w:p>
        </w:tc>
      </w:tr>
      <w:tr w:rsidR="008D3A47" w:rsidRPr="003E77A4" w:rsidTr="00574A07">
        <w:trPr>
          <w:cantSplit/>
          <w:trHeight w:val="300"/>
          <w:jc w:val="center"/>
        </w:trPr>
        <w:tc>
          <w:tcPr>
            <w:tcW w:w="1574" w:type="dxa"/>
            <w:tcBorders>
              <w:top w:val="nil"/>
              <w:left w:val="single" w:sz="8" w:space="0" w:color="000000"/>
              <w:bottom w:val="single" w:sz="8" w:space="0" w:color="000000"/>
              <w:right w:val="single" w:sz="8" w:space="0" w:color="000000"/>
            </w:tcBorders>
            <w:shd w:val="clear" w:color="auto" w:fill="auto"/>
            <w:hideMark/>
          </w:tcPr>
          <w:p w:rsidR="008D3A47" w:rsidRPr="003E77A4" w:rsidRDefault="008D3A47" w:rsidP="00574A07">
            <w:pPr>
              <w:rPr>
                <w:rFonts w:cs="Arial"/>
                <w:color w:val="000000"/>
                <w:szCs w:val="22"/>
              </w:rPr>
            </w:pPr>
            <w:r w:rsidRPr="003E77A4">
              <w:rPr>
                <w:rFonts w:cs="Arial"/>
                <w:color w:val="000000"/>
                <w:szCs w:val="22"/>
              </w:rPr>
              <w:t>140.14(b)</w:t>
            </w:r>
          </w:p>
        </w:tc>
        <w:tc>
          <w:tcPr>
            <w:tcW w:w="131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 xml:space="preserve">$0 </w:t>
            </w:r>
          </w:p>
        </w:tc>
      </w:tr>
      <w:tr w:rsidR="008D3A47" w:rsidRPr="003E77A4" w:rsidTr="00574A07">
        <w:trPr>
          <w:cantSplit/>
          <w:trHeight w:val="300"/>
          <w:jc w:val="center"/>
        </w:trPr>
        <w:tc>
          <w:tcPr>
            <w:tcW w:w="1574" w:type="dxa"/>
            <w:tcBorders>
              <w:top w:val="nil"/>
              <w:left w:val="single" w:sz="8" w:space="0" w:color="000000"/>
              <w:bottom w:val="single" w:sz="8" w:space="0" w:color="000000"/>
              <w:right w:val="single" w:sz="8" w:space="0" w:color="000000"/>
            </w:tcBorders>
            <w:shd w:val="clear" w:color="auto" w:fill="auto"/>
            <w:hideMark/>
          </w:tcPr>
          <w:p w:rsidR="008D3A47" w:rsidRPr="003E77A4" w:rsidRDefault="008D3A47" w:rsidP="00574A07">
            <w:pPr>
              <w:rPr>
                <w:rFonts w:cs="Arial"/>
                <w:color w:val="000000"/>
                <w:szCs w:val="22"/>
              </w:rPr>
            </w:pPr>
            <w:r w:rsidRPr="003E77A4">
              <w:rPr>
                <w:rFonts w:cs="Arial"/>
                <w:color w:val="000000"/>
                <w:szCs w:val="22"/>
              </w:rPr>
              <w:t>140.15(a)</w:t>
            </w:r>
          </w:p>
        </w:tc>
        <w:tc>
          <w:tcPr>
            <w:tcW w:w="131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0.67</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60</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40.2</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 xml:space="preserve">$11,015 </w:t>
            </w:r>
          </w:p>
        </w:tc>
      </w:tr>
      <w:tr w:rsidR="008D3A47" w:rsidRPr="003E77A4" w:rsidTr="00574A07">
        <w:trPr>
          <w:cantSplit/>
          <w:trHeight w:val="300"/>
          <w:jc w:val="center"/>
        </w:trPr>
        <w:tc>
          <w:tcPr>
            <w:tcW w:w="1574" w:type="dxa"/>
            <w:tcBorders>
              <w:top w:val="nil"/>
              <w:left w:val="single" w:sz="8" w:space="0" w:color="000000"/>
              <w:bottom w:val="single" w:sz="8" w:space="0" w:color="000000"/>
              <w:right w:val="single" w:sz="8" w:space="0" w:color="000000"/>
            </w:tcBorders>
            <w:shd w:val="clear" w:color="auto" w:fill="auto"/>
            <w:hideMark/>
          </w:tcPr>
          <w:p w:rsidR="008D3A47" w:rsidRPr="003E77A4" w:rsidRDefault="008D3A47" w:rsidP="00574A07">
            <w:pPr>
              <w:rPr>
                <w:rFonts w:cs="Arial"/>
                <w:color w:val="000000"/>
                <w:szCs w:val="22"/>
              </w:rPr>
            </w:pPr>
            <w:r w:rsidRPr="003E77A4">
              <w:rPr>
                <w:rFonts w:cs="Arial"/>
                <w:color w:val="000000"/>
                <w:szCs w:val="22"/>
              </w:rPr>
              <w:t>140.15(b)</w:t>
            </w:r>
          </w:p>
        </w:tc>
        <w:tc>
          <w:tcPr>
            <w:tcW w:w="131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 xml:space="preserve">$0 </w:t>
            </w:r>
          </w:p>
        </w:tc>
      </w:tr>
      <w:tr w:rsidR="008D3A47" w:rsidRPr="003E77A4" w:rsidTr="00574A07">
        <w:trPr>
          <w:cantSplit/>
          <w:trHeight w:val="300"/>
          <w:jc w:val="center"/>
        </w:trPr>
        <w:tc>
          <w:tcPr>
            <w:tcW w:w="1574" w:type="dxa"/>
            <w:tcBorders>
              <w:top w:val="nil"/>
              <w:left w:val="single" w:sz="8" w:space="0" w:color="000000"/>
              <w:bottom w:val="single" w:sz="8" w:space="0" w:color="000000"/>
              <w:right w:val="single" w:sz="8" w:space="0" w:color="000000"/>
            </w:tcBorders>
            <w:shd w:val="clear" w:color="auto" w:fill="auto"/>
            <w:hideMark/>
          </w:tcPr>
          <w:p w:rsidR="008D3A47" w:rsidRPr="003E77A4" w:rsidRDefault="008D3A47" w:rsidP="00574A07">
            <w:pPr>
              <w:rPr>
                <w:rFonts w:cs="Arial"/>
                <w:color w:val="000000"/>
                <w:szCs w:val="22"/>
              </w:rPr>
            </w:pPr>
            <w:r w:rsidRPr="003E77A4">
              <w:rPr>
                <w:rFonts w:cs="Arial"/>
                <w:color w:val="000000"/>
                <w:szCs w:val="22"/>
              </w:rPr>
              <w:t>140.15</w:t>
            </w:r>
            <w:r>
              <w:rPr>
                <w:rFonts w:cs="Arial"/>
                <w:color w:val="000000"/>
                <w:szCs w:val="22"/>
              </w:rPr>
              <w:t>(c)</w:t>
            </w:r>
          </w:p>
        </w:tc>
        <w:tc>
          <w:tcPr>
            <w:tcW w:w="131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 xml:space="preserve">$0 </w:t>
            </w:r>
          </w:p>
        </w:tc>
      </w:tr>
      <w:tr w:rsidR="008D3A47" w:rsidRPr="003E77A4" w:rsidTr="00574A07">
        <w:trPr>
          <w:cantSplit/>
          <w:trHeight w:val="300"/>
          <w:jc w:val="center"/>
        </w:trPr>
        <w:tc>
          <w:tcPr>
            <w:tcW w:w="1574" w:type="dxa"/>
            <w:tcBorders>
              <w:top w:val="nil"/>
              <w:left w:val="single" w:sz="8" w:space="0" w:color="000000"/>
              <w:bottom w:val="single" w:sz="8" w:space="0" w:color="000000"/>
              <w:right w:val="single" w:sz="8" w:space="0" w:color="000000"/>
            </w:tcBorders>
            <w:shd w:val="clear" w:color="auto" w:fill="auto"/>
            <w:hideMark/>
          </w:tcPr>
          <w:p w:rsidR="008D3A47" w:rsidRPr="003E77A4" w:rsidRDefault="008D3A47" w:rsidP="00574A07">
            <w:pPr>
              <w:rPr>
                <w:rFonts w:cs="Arial"/>
                <w:color w:val="000000"/>
                <w:szCs w:val="22"/>
              </w:rPr>
            </w:pPr>
            <w:r w:rsidRPr="003E77A4">
              <w:rPr>
                <w:rFonts w:cs="Arial"/>
                <w:color w:val="000000"/>
                <w:szCs w:val="22"/>
              </w:rPr>
              <w:t>140.15(e)</w:t>
            </w:r>
          </w:p>
        </w:tc>
        <w:tc>
          <w:tcPr>
            <w:tcW w:w="131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 xml:space="preserve">$0 </w:t>
            </w:r>
          </w:p>
        </w:tc>
      </w:tr>
      <w:tr w:rsidR="008D3A47" w:rsidRPr="003E77A4" w:rsidTr="00574A07">
        <w:trPr>
          <w:cantSplit/>
          <w:trHeight w:val="585"/>
          <w:jc w:val="center"/>
        </w:trPr>
        <w:tc>
          <w:tcPr>
            <w:tcW w:w="1574" w:type="dxa"/>
            <w:tcBorders>
              <w:top w:val="nil"/>
              <w:left w:val="single" w:sz="8" w:space="0" w:color="000000"/>
              <w:bottom w:val="single" w:sz="8" w:space="0" w:color="000000"/>
              <w:right w:val="single" w:sz="8" w:space="0" w:color="000000"/>
            </w:tcBorders>
            <w:shd w:val="clear" w:color="auto" w:fill="auto"/>
            <w:hideMark/>
          </w:tcPr>
          <w:p w:rsidR="008D3A47" w:rsidRPr="003E77A4" w:rsidRDefault="008D3A47" w:rsidP="00574A07">
            <w:pPr>
              <w:rPr>
                <w:rFonts w:cs="Arial"/>
                <w:color w:val="000000"/>
                <w:szCs w:val="22"/>
              </w:rPr>
            </w:pPr>
            <w:r w:rsidRPr="003E77A4">
              <w:rPr>
                <w:rFonts w:cs="Arial"/>
                <w:color w:val="000000"/>
                <w:szCs w:val="22"/>
              </w:rPr>
              <w:t>140.17(a)&amp;(b)</w:t>
            </w:r>
          </w:p>
        </w:tc>
        <w:tc>
          <w:tcPr>
            <w:tcW w:w="131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1</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 xml:space="preserve">$0 </w:t>
            </w:r>
          </w:p>
        </w:tc>
      </w:tr>
      <w:tr w:rsidR="008D3A47" w:rsidRPr="003E77A4" w:rsidTr="00574A07">
        <w:trPr>
          <w:cantSplit/>
          <w:trHeight w:val="300"/>
          <w:jc w:val="center"/>
        </w:trPr>
        <w:tc>
          <w:tcPr>
            <w:tcW w:w="1574" w:type="dxa"/>
            <w:tcBorders>
              <w:top w:val="nil"/>
              <w:left w:val="single" w:sz="8" w:space="0" w:color="000000"/>
              <w:bottom w:val="single" w:sz="8" w:space="0" w:color="000000"/>
              <w:right w:val="single" w:sz="8" w:space="0" w:color="000000"/>
            </w:tcBorders>
            <w:shd w:val="clear" w:color="auto" w:fill="auto"/>
            <w:hideMark/>
          </w:tcPr>
          <w:p w:rsidR="008D3A47" w:rsidRPr="003E77A4" w:rsidRDefault="008D3A47" w:rsidP="00574A07">
            <w:pPr>
              <w:rPr>
                <w:rFonts w:cs="Arial"/>
                <w:color w:val="000000"/>
                <w:szCs w:val="22"/>
              </w:rPr>
            </w:pPr>
            <w:r w:rsidRPr="003E77A4">
              <w:rPr>
                <w:rFonts w:cs="Arial"/>
                <w:color w:val="000000"/>
                <w:szCs w:val="22"/>
              </w:rPr>
              <w:t>140.20</w:t>
            </w:r>
            <w:r>
              <w:rPr>
                <w:rFonts w:cs="Arial"/>
                <w:color w:val="000000"/>
                <w:szCs w:val="22"/>
              </w:rPr>
              <w:t>(c)</w:t>
            </w:r>
          </w:p>
        </w:tc>
        <w:tc>
          <w:tcPr>
            <w:tcW w:w="131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1</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 xml:space="preserve">$0 </w:t>
            </w:r>
          </w:p>
        </w:tc>
      </w:tr>
      <w:tr w:rsidR="008D3A47" w:rsidRPr="003E77A4" w:rsidTr="00574A07">
        <w:trPr>
          <w:cantSplit/>
          <w:trHeight w:val="300"/>
          <w:jc w:val="center"/>
        </w:trPr>
        <w:tc>
          <w:tcPr>
            <w:tcW w:w="1574" w:type="dxa"/>
            <w:tcBorders>
              <w:top w:val="nil"/>
              <w:left w:val="single" w:sz="8" w:space="0" w:color="000000"/>
              <w:bottom w:val="single" w:sz="8" w:space="0" w:color="000000"/>
              <w:right w:val="single" w:sz="8" w:space="0" w:color="000000"/>
            </w:tcBorders>
            <w:shd w:val="clear" w:color="auto" w:fill="auto"/>
            <w:hideMark/>
          </w:tcPr>
          <w:p w:rsidR="008D3A47" w:rsidRPr="003E77A4" w:rsidRDefault="008D3A47" w:rsidP="00574A07">
            <w:pPr>
              <w:rPr>
                <w:rFonts w:cs="Arial"/>
                <w:color w:val="000000"/>
                <w:szCs w:val="22"/>
              </w:rPr>
            </w:pPr>
            <w:r w:rsidRPr="003E77A4">
              <w:rPr>
                <w:rFonts w:cs="Arial"/>
                <w:color w:val="000000"/>
                <w:szCs w:val="22"/>
              </w:rPr>
              <w:t>140.21</w:t>
            </w:r>
          </w:p>
        </w:tc>
        <w:tc>
          <w:tcPr>
            <w:tcW w:w="131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 xml:space="preserve">$0 </w:t>
            </w:r>
          </w:p>
        </w:tc>
      </w:tr>
      <w:tr w:rsidR="008D3A47" w:rsidRPr="003E77A4" w:rsidTr="00574A07">
        <w:trPr>
          <w:cantSplit/>
          <w:trHeight w:val="300"/>
          <w:jc w:val="center"/>
        </w:trPr>
        <w:tc>
          <w:tcPr>
            <w:tcW w:w="1574" w:type="dxa"/>
            <w:tcBorders>
              <w:top w:val="nil"/>
              <w:left w:val="single" w:sz="8" w:space="0" w:color="000000"/>
              <w:bottom w:val="single" w:sz="8" w:space="0" w:color="000000"/>
              <w:right w:val="single" w:sz="8" w:space="0" w:color="000000"/>
            </w:tcBorders>
            <w:shd w:val="clear" w:color="auto" w:fill="auto"/>
            <w:hideMark/>
          </w:tcPr>
          <w:p w:rsidR="008D3A47" w:rsidRPr="003E77A4" w:rsidRDefault="008D3A47" w:rsidP="00574A07">
            <w:pPr>
              <w:rPr>
                <w:rFonts w:cs="Arial"/>
                <w:color w:val="000000"/>
                <w:szCs w:val="22"/>
              </w:rPr>
            </w:pPr>
            <w:r w:rsidRPr="003E77A4">
              <w:rPr>
                <w:rFonts w:cs="Arial"/>
                <w:color w:val="000000"/>
                <w:szCs w:val="22"/>
              </w:rPr>
              <w:t>140.22</w:t>
            </w:r>
          </w:p>
        </w:tc>
        <w:tc>
          <w:tcPr>
            <w:tcW w:w="131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8</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0</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 xml:space="preserve">$0 </w:t>
            </w:r>
          </w:p>
        </w:tc>
      </w:tr>
      <w:tr w:rsidR="008D3A47" w:rsidRPr="003E77A4" w:rsidTr="00574A07">
        <w:trPr>
          <w:cantSplit/>
          <w:trHeight w:val="300"/>
          <w:jc w:val="center"/>
        </w:trPr>
        <w:tc>
          <w:tcPr>
            <w:tcW w:w="1574" w:type="dxa"/>
            <w:tcBorders>
              <w:top w:val="nil"/>
              <w:left w:val="single" w:sz="8" w:space="0" w:color="000000"/>
              <w:bottom w:val="single" w:sz="8" w:space="0" w:color="000000"/>
              <w:right w:val="single" w:sz="8" w:space="0" w:color="000000"/>
            </w:tcBorders>
            <w:shd w:val="clear" w:color="auto" w:fill="auto"/>
            <w:hideMark/>
          </w:tcPr>
          <w:p w:rsidR="008D3A47" w:rsidRPr="003E77A4" w:rsidRDefault="008D3A47" w:rsidP="00574A07">
            <w:pPr>
              <w:rPr>
                <w:rFonts w:cs="Arial"/>
                <w:color w:val="000000"/>
                <w:szCs w:val="22"/>
              </w:rPr>
            </w:pPr>
            <w:r w:rsidRPr="003E77A4">
              <w:rPr>
                <w:rFonts w:cs="Arial"/>
                <w:color w:val="000000"/>
                <w:szCs w:val="22"/>
              </w:rPr>
              <w:t>Total</w:t>
            </w:r>
          </w:p>
        </w:tc>
        <w:tc>
          <w:tcPr>
            <w:tcW w:w="131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noProof/>
                <w:color w:val="000000"/>
                <w:szCs w:val="22"/>
              </w:rPr>
              <w:t>1.67</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 </w:t>
            </w:r>
          </w:p>
        </w:tc>
        <w:tc>
          <w:tcPr>
            <w:tcW w:w="1427" w:type="dxa"/>
            <w:tcBorders>
              <w:top w:val="nil"/>
              <w:left w:val="nil"/>
              <w:bottom w:val="single" w:sz="8" w:space="0" w:color="000000"/>
              <w:right w:val="single" w:sz="8" w:space="0" w:color="000000"/>
            </w:tcBorders>
            <w:shd w:val="clear" w:color="auto" w:fill="auto"/>
            <w:hideMark/>
          </w:tcPr>
          <w:p w:rsidR="008D3A47" w:rsidRDefault="008D3A47">
            <w:pPr>
              <w:jc w:val="right"/>
              <w:rPr>
                <w:rFonts w:cs="Arial"/>
                <w:color w:val="000000"/>
                <w:szCs w:val="22"/>
              </w:rPr>
            </w:pPr>
            <w:r>
              <w:rPr>
                <w:rFonts w:cs="Arial"/>
                <w:color w:val="000000"/>
                <w:szCs w:val="22"/>
              </w:rPr>
              <w:t>44.9</w:t>
            </w:r>
          </w:p>
        </w:tc>
        <w:tc>
          <w:tcPr>
            <w:tcW w:w="1427" w:type="dxa"/>
            <w:tcBorders>
              <w:top w:val="nil"/>
              <w:left w:val="nil"/>
              <w:bottom w:val="single" w:sz="8" w:space="0" w:color="000000"/>
              <w:right w:val="single" w:sz="8" w:space="0" w:color="000000"/>
            </w:tcBorders>
            <w:shd w:val="clear" w:color="auto" w:fill="auto"/>
            <w:hideMark/>
          </w:tcPr>
          <w:p w:rsidR="008D3A47" w:rsidRDefault="008D3A47" w:rsidP="009B1C1E">
            <w:pPr>
              <w:jc w:val="right"/>
              <w:rPr>
                <w:rFonts w:cs="Arial"/>
                <w:color w:val="000000"/>
                <w:szCs w:val="22"/>
              </w:rPr>
            </w:pPr>
            <w:r>
              <w:rPr>
                <w:rFonts w:cs="Arial"/>
                <w:color w:val="000000"/>
                <w:szCs w:val="22"/>
              </w:rPr>
              <w:t>$12,303</w:t>
            </w:r>
          </w:p>
        </w:tc>
      </w:tr>
    </w:tbl>
    <w:p w:rsidR="003E77A4" w:rsidRDefault="003E77A4" w:rsidP="00193647">
      <w:pPr>
        <w:tabs>
          <w:tab w:val="right" w:pos="9360"/>
        </w:tabs>
        <w:spacing w:line="480" w:lineRule="auto"/>
      </w:pPr>
    </w:p>
    <w:sectPr w:rsidR="003E77A4" w:rsidSect="0051466F">
      <w:headerReference w:type="default" r:id="rId8"/>
      <w:pgSz w:w="12240" w:h="15840" w:code="1"/>
      <w:pgMar w:top="1440" w:right="1440" w:bottom="1440" w:left="1440" w:header="1440" w:footer="1440" w:gutter="0"/>
      <w:pgNumType w:fmt="numberInDash"/>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F6E" w:rsidRDefault="00F85F6E">
      <w:r>
        <w:separator/>
      </w:r>
    </w:p>
  </w:endnote>
  <w:endnote w:type="continuationSeparator" w:id="0">
    <w:p w:rsidR="00F85F6E" w:rsidRDefault="00F85F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F6E" w:rsidRDefault="00F85F6E">
      <w:r>
        <w:separator/>
      </w:r>
    </w:p>
  </w:footnote>
  <w:footnote w:type="continuationSeparator" w:id="0">
    <w:p w:rsidR="00F85F6E" w:rsidRDefault="00F85F6E">
      <w:r>
        <w:continuationSeparator/>
      </w:r>
    </w:p>
  </w:footnote>
  <w:footnote w:id="1">
    <w:p w:rsidR="00E7540A" w:rsidRDefault="00E7540A">
      <w:pPr>
        <w:pStyle w:val="FootnoteText"/>
      </w:pPr>
      <w:r>
        <w:rPr>
          <w:rStyle w:val="FootnoteReference"/>
        </w:rPr>
        <w:footnoteRef/>
      </w:r>
      <w:r>
        <w:t xml:space="preserve"> 8 hours total burden is rounded from 8.03 hours.  As a result of rounding, the total cost will not equal the sum of the costs for individual requirements above.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115813"/>
      <w:docPartObj>
        <w:docPartGallery w:val="Page Numbers (Top of Page)"/>
        <w:docPartUnique/>
      </w:docPartObj>
    </w:sdtPr>
    <w:sdtContent>
      <w:p w:rsidR="00E7540A" w:rsidRDefault="00407CC3">
        <w:pPr>
          <w:pStyle w:val="Header"/>
          <w:jc w:val="center"/>
        </w:pPr>
        <w:fldSimple w:instr=" PAGE   \* MERGEFORMAT ">
          <w:r w:rsidR="00F67034">
            <w:rPr>
              <w:noProof/>
            </w:rPr>
            <w:t>- 9 -</w:t>
          </w:r>
        </w:fldSimple>
      </w:p>
    </w:sdtContent>
  </w:sdt>
  <w:p w:rsidR="00E7540A" w:rsidRDefault="00E754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nsid w:val="0D994F14"/>
    <w:multiLevelType w:val="hybridMultilevel"/>
    <w:tmpl w:val="296A1B78"/>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E60742E"/>
    <w:multiLevelType w:val="hybridMultilevel"/>
    <w:tmpl w:val="79EA660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2C0F6B33"/>
    <w:multiLevelType w:val="hybridMultilevel"/>
    <w:tmpl w:val="A16C1ECE"/>
    <w:lvl w:ilvl="0" w:tplc="3C7008FA">
      <w:start w:val="1"/>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C7422F1"/>
    <w:multiLevelType w:val="hybridMultilevel"/>
    <w:tmpl w:val="A16C1ECE"/>
    <w:lvl w:ilvl="0" w:tplc="3C7008FA">
      <w:start w:val="1"/>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1AD037D"/>
    <w:multiLevelType w:val="hybridMultilevel"/>
    <w:tmpl w:val="6DEA0BC2"/>
    <w:lvl w:ilvl="0" w:tplc="A9E2B60C">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642C4746"/>
    <w:multiLevelType w:val="hybridMultilevel"/>
    <w:tmpl w:val="E272CC8E"/>
    <w:lvl w:ilvl="0" w:tplc="9BC2F30E">
      <w:start w:val="1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76B3BA8"/>
    <w:multiLevelType w:val="hybridMultilevel"/>
    <w:tmpl w:val="29DA0B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71075AA4"/>
    <w:multiLevelType w:val="hybridMultilevel"/>
    <w:tmpl w:val="4C50F1C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nsid w:val="72F16653"/>
    <w:multiLevelType w:val="hybridMultilevel"/>
    <w:tmpl w:val="3F946016"/>
    <w:lvl w:ilvl="0" w:tplc="CBDA0822">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5A35251"/>
    <w:multiLevelType w:val="hybridMultilevel"/>
    <w:tmpl w:val="179AB7D4"/>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75F9251C"/>
    <w:multiLevelType w:val="hybridMultilevel"/>
    <w:tmpl w:val="D8583DD6"/>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num>
  <w:num w:numId="2">
    <w:abstractNumId w:val="9"/>
  </w:num>
  <w:num w:numId="3">
    <w:abstractNumId w:val="6"/>
  </w:num>
  <w:num w:numId="4">
    <w:abstractNumId w:val="1"/>
  </w:num>
  <w:num w:numId="5">
    <w:abstractNumId w:val="8"/>
  </w:num>
  <w:num w:numId="6">
    <w:abstractNumId w:val="10"/>
  </w:num>
  <w:num w:numId="7">
    <w:abstractNumId w:val="7"/>
  </w:num>
  <w:num w:numId="8">
    <w:abstractNumId w:val="3"/>
  </w:num>
  <w:num w:numId="9">
    <w:abstractNumId w:val="4"/>
  </w:num>
  <w:num w:numId="10">
    <w:abstractNumId w:val="11"/>
  </w:num>
  <w:num w:numId="11">
    <w:abstractNumId w:val="5"/>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rsids>
    <w:rsidRoot w:val="00085B12"/>
    <w:rsid w:val="00004233"/>
    <w:rsid w:val="00011C96"/>
    <w:rsid w:val="00011FAE"/>
    <w:rsid w:val="0002657F"/>
    <w:rsid w:val="0003554F"/>
    <w:rsid w:val="000463DB"/>
    <w:rsid w:val="000572AA"/>
    <w:rsid w:val="00070120"/>
    <w:rsid w:val="00085B12"/>
    <w:rsid w:val="00093B29"/>
    <w:rsid w:val="00093B73"/>
    <w:rsid w:val="000942EB"/>
    <w:rsid w:val="00094CA2"/>
    <w:rsid w:val="000A1E3C"/>
    <w:rsid w:val="000A469C"/>
    <w:rsid w:val="000A5CD0"/>
    <w:rsid w:val="000B03BA"/>
    <w:rsid w:val="000B0C4F"/>
    <w:rsid w:val="000B0EF0"/>
    <w:rsid w:val="000B3F0D"/>
    <w:rsid w:val="000C47D6"/>
    <w:rsid w:val="000D22BD"/>
    <w:rsid w:val="000E5150"/>
    <w:rsid w:val="000F3826"/>
    <w:rsid w:val="0010190E"/>
    <w:rsid w:val="00111C0A"/>
    <w:rsid w:val="00112728"/>
    <w:rsid w:val="0012417D"/>
    <w:rsid w:val="00127408"/>
    <w:rsid w:val="00132933"/>
    <w:rsid w:val="0015356F"/>
    <w:rsid w:val="00161FC6"/>
    <w:rsid w:val="001818FB"/>
    <w:rsid w:val="00193647"/>
    <w:rsid w:val="001A3EC6"/>
    <w:rsid w:val="001E23F8"/>
    <w:rsid w:val="001E41CD"/>
    <w:rsid w:val="002028A3"/>
    <w:rsid w:val="00214D3F"/>
    <w:rsid w:val="00237DCD"/>
    <w:rsid w:val="002432CA"/>
    <w:rsid w:val="00277CBB"/>
    <w:rsid w:val="00286000"/>
    <w:rsid w:val="00287AE4"/>
    <w:rsid w:val="00297915"/>
    <w:rsid w:val="002A0976"/>
    <w:rsid w:val="002E2F29"/>
    <w:rsid w:val="002E4824"/>
    <w:rsid w:val="003011B4"/>
    <w:rsid w:val="003067FB"/>
    <w:rsid w:val="00311A34"/>
    <w:rsid w:val="003138E8"/>
    <w:rsid w:val="003245A2"/>
    <w:rsid w:val="00333D70"/>
    <w:rsid w:val="00334781"/>
    <w:rsid w:val="00340A5B"/>
    <w:rsid w:val="00354333"/>
    <w:rsid w:val="003721BD"/>
    <w:rsid w:val="00377C22"/>
    <w:rsid w:val="00381174"/>
    <w:rsid w:val="00391088"/>
    <w:rsid w:val="00391CC1"/>
    <w:rsid w:val="00394AA2"/>
    <w:rsid w:val="003A3D0B"/>
    <w:rsid w:val="003B4B1C"/>
    <w:rsid w:val="003C0B1F"/>
    <w:rsid w:val="003C10AC"/>
    <w:rsid w:val="003C4240"/>
    <w:rsid w:val="003D24BE"/>
    <w:rsid w:val="003D2DE9"/>
    <w:rsid w:val="003D530E"/>
    <w:rsid w:val="003E4EA8"/>
    <w:rsid w:val="003E4EFD"/>
    <w:rsid w:val="003E77A4"/>
    <w:rsid w:val="003F21E7"/>
    <w:rsid w:val="004017CF"/>
    <w:rsid w:val="0040221D"/>
    <w:rsid w:val="00402AA1"/>
    <w:rsid w:val="00407CC3"/>
    <w:rsid w:val="00423DF9"/>
    <w:rsid w:val="004274DD"/>
    <w:rsid w:val="00450BDF"/>
    <w:rsid w:val="004562F1"/>
    <w:rsid w:val="00465F84"/>
    <w:rsid w:val="004709D8"/>
    <w:rsid w:val="00474D41"/>
    <w:rsid w:val="004873CC"/>
    <w:rsid w:val="00492802"/>
    <w:rsid w:val="004A6B43"/>
    <w:rsid w:val="004C5AF3"/>
    <w:rsid w:val="004D2851"/>
    <w:rsid w:val="004D3D6E"/>
    <w:rsid w:val="004D532B"/>
    <w:rsid w:val="004F5F97"/>
    <w:rsid w:val="004F619C"/>
    <w:rsid w:val="004F7A97"/>
    <w:rsid w:val="005063BD"/>
    <w:rsid w:val="0051184A"/>
    <w:rsid w:val="0051466F"/>
    <w:rsid w:val="00523BBC"/>
    <w:rsid w:val="00537BB7"/>
    <w:rsid w:val="00537BD8"/>
    <w:rsid w:val="005430E8"/>
    <w:rsid w:val="00544F72"/>
    <w:rsid w:val="00560A17"/>
    <w:rsid w:val="00562A00"/>
    <w:rsid w:val="00574A07"/>
    <w:rsid w:val="00574A2D"/>
    <w:rsid w:val="005973C6"/>
    <w:rsid w:val="005A0239"/>
    <w:rsid w:val="005A4E1F"/>
    <w:rsid w:val="005A5EE9"/>
    <w:rsid w:val="005C28A4"/>
    <w:rsid w:val="005D076D"/>
    <w:rsid w:val="005D6A02"/>
    <w:rsid w:val="005D7B70"/>
    <w:rsid w:val="005E1568"/>
    <w:rsid w:val="005E2BD9"/>
    <w:rsid w:val="005E4A74"/>
    <w:rsid w:val="00603520"/>
    <w:rsid w:val="0060754A"/>
    <w:rsid w:val="00615BE6"/>
    <w:rsid w:val="0062434E"/>
    <w:rsid w:val="00625631"/>
    <w:rsid w:val="00632C66"/>
    <w:rsid w:val="00633946"/>
    <w:rsid w:val="006344BD"/>
    <w:rsid w:val="00645C7B"/>
    <w:rsid w:val="00653974"/>
    <w:rsid w:val="00661473"/>
    <w:rsid w:val="00665CE2"/>
    <w:rsid w:val="00666AF0"/>
    <w:rsid w:val="00683DAD"/>
    <w:rsid w:val="006A67DE"/>
    <w:rsid w:val="006B7CC3"/>
    <w:rsid w:val="006C2602"/>
    <w:rsid w:val="006E1287"/>
    <w:rsid w:val="006E323B"/>
    <w:rsid w:val="006F6B76"/>
    <w:rsid w:val="007164BD"/>
    <w:rsid w:val="00720692"/>
    <w:rsid w:val="00741A2C"/>
    <w:rsid w:val="00754127"/>
    <w:rsid w:val="00755027"/>
    <w:rsid w:val="0076629C"/>
    <w:rsid w:val="0077071C"/>
    <w:rsid w:val="007846B7"/>
    <w:rsid w:val="00787532"/>
    <w:rsid w:val="00797292"/>
    <w:rsid w:val="007A0618"/>
    <w:rsid w:val="007A2981"/>
    <w:rsid w:val="007A415A"/>
    <w:rsid w:val="007A6291"/>
    <w:rsid w:val="007C2972"/>
    <w:rsid w:val="007D0BBD"/>
    <w:rsid w:val="007F6494"/>
    <w:rsid w:val="00800CC7"/>
    <w:rsid w:val="00807AD1"/>
    <w:rsid w:val="0082656E"/>
    <w:rsid w:val="0083550F"/>
    <w:rsid w:val="00835BC2"/>
    <w:rsid w:val="00845988"/>
    <w:rsid w:val="00845AAC"/>
    <w:rsid w:val="008566CB"/>
    <w:rsid w:val="0086141D"/>
    <w:rsid w:val="0087566D"/>
    <w:rsid w:val="00884047"/>
    <w:rsid w:val="00885A5F"/>
    <w:rsid w:val="00890FBC"/>
    <w:rsid w:val="00891395"/>
    <w:rsid w:val="0089292A"/>
    <w:rsid w:val="008A2BD8"/>
    <w:rsid w:val="008B7E83"/>
    <w:rsid w:val="008D3A47"/>
    <w:rsid w:val="008D426F"/>
    <w:rsid w:val="008D7BFB"/>
    <w:rsid w:val="008F03A9"/>
    <w:rsid w:val="008F04C1"/>
    <w:rsid w:val="008F2143"/>
    <w:rsid w:val="009012B2"/>
    <w:rsid w:val="00911831"/>
    <w:rsid w:val="00911A3E"/>
    <w:rsid w:val="00912306"/>
    <w:rsid w:val="00912FD8"/>
    <w:rsid w:val="00917A69"/>
    <w:rsid w:val="009213B5"/>
    <w:rsid w:val="009315B5"/>
    <w:rsid w:val="00941115"/>
    <w:rsid w:val="009520F0"/>
    <w:rsid w:val="0099146B"/>
    <w:rsid w:val="009B1C1E"/>
    <w:rsid w:val="009B3EB1"/>
    <w:rsid w:val="009B497A"/>
    <w:rsid w:val="009B4A4A"/>
    <w:rsid w:val="009C1406"/>
    <w:rsid w:val="009C7CDA"/>
    <w:rsid w:val="009E5D76"/>
    <w:rsid w:val="009F44B2"/>
    <w:rsid w:val="009F7958"/>
    <w:rsid w:val="00A43703"/>
    <w:rsid w:val="00A50EA1"/>
    <w:rsid w:val="00A661E9"/>
    <w:rsid w:val="00A7791C"/>
    <w:rsid w:val="00A83455"/>
    <w:rsid w:val="00A878D6"/>
    <w:rsid w:val="00A920A1"/>
    <w:rsid w:val="00AA6428"/>
    <w:rsid w:val="00AA7577"/>
    <w:rsid w:val="00AB3F1E"/>
    <w:rsid w:val="00AC11B0"/>
    <w:rsid w:val="00AD3C39"/>
    <w:rsid w:val="00AD4167"/>
    <w:rsid w:val="00AE71CD"/>
    <w:rsid w:val="00B14962"/>
    <w:rsid w:val="00B26C8D"/>
    <w:rsid w:val="00B27872"/>
    <w:rsid w:val="00B40B48"/>
    <w:rsid w:val="00B567D8"/>
    <w:rsid w:val="00B6218C"/>
    <w:rsid w:val="00B6343E"/>
    <w:rsid w:val="00B648B8"/>
    <w:rsid w:val="00BA20AF"/>
    <w:rsid w:val="00BA3DAD"/>
    <w:rsid w:val="00BA541A"/>
    <w:rsid w:val="00BB680B"/>
    <w:rsid w:val="00BC4176"/>
    <w:rsid w:val="00BD01CA"/>
    <w:rsid w:val="00BF3833"/>
    <w:rsid w:val="00BF4BD7"/>
    <w:rsid w:val="00BF629E"/>
    <w:rsid w:val="00BF6EBD"/>
    <w:rsid w:val="00C00FEA"/>
    <w:rsid w:val="00C01234"/>
    <w:rsid w:val="00C02095"/>
    <w:rsid w:val="00C05E20"/>
    <w:rsid w:val="00C16449"/>
    <w:rsid w:val="00C254F3"/>
    <w:rsid w:val="00C57BFF"/>
    <w:rsid w:val="00C8119F"/>
    <w:rsid w:val="00C8242E"/>
    <w:rsid w:val="00C8405E"/>
    <w:rsid w:val="00C97131"/>
    <w:rsid w:val="00C97666"/>
    <w:rsid w:val="00CA0027"/>
    <w:rsid w:val="00CA5524"/>
    <w:rsid w:val="00CC1535"/>
    <w:rsid w:val="00CC1C82"/>
    <w:rsid w:val="00CC40FD"/>
    <w:rsid w:val="00CD3C3E"/>
    <w:rsid w:val="00CE6971"/>
    <w:rsid w:val="00D07552"/>
    <w:rsid w:val="00D17457"/>
    <w:rsid w:val="00D209C2"/>
    <w:rsid w:val="00D21B2F"/>
    <w:rsid w:val="00D260F1"/>
    <w:rsid w:val="00D36C96"/>
    <w:rsid w:val="00D37D5D"/>
    <w:rsid w:val="00D55C7E"/>
    <w:rsid w:val="00D62C79"/>
    <w:rsid w:val="00D668FE"/>
    <w:rsid w:val="00D67821"/>
    <w:rsid w:val="00D70CF0"/>
    <w:rsid w:val="00D81584"/>
    <w:rsid w:val="00D85A25"/>
    <w:rsid w:val="00DB43D3"/>
    <w:rsid w:val="00DC3314"/>
    <w:rsid w:val="00DC3B8F"/>
    <w:rsid w:val="00DC7265"/>
    <w:rsid w:val="00DE58EA"/>
    <w:rsid w:val="00DF4330"/>
    <w:rsid w:val="00E02E84"/>
    <w:rsid w:val="00E230C8"/>
    <w:rsid w:val="00E41598"/>
    <w:rsid w:val="00E43835"/>
    <w:rsid w:val="00E5169E"/>
    <w:rsid w:val="00E544BD"/>
    <w:rsid w:val="00E63A26"/>
    <w:rsid w:val="00E7540A"/>
    <w:rsid w:val="00E75A0B"/>
    <w:rsid w:val="00E76B0B"/>
    <w:rsid w:val="00E77514"/>
    <w:rsid w:val="00E87E74"/>
    <w:rsid w:val="00EA2B28"/>
    <w:rsid w:val="00EA45CE"/>
    <w:rsid w:val="00EA5DA5"/>
    <w:rsid w:val="00EB039F"/>
    <w:rsid w:val="00EC5F64"/>
    <w:rsid w:val="00EF3719"/>
    <w:rsid w:val="00F04762"/>
    <w:rsid w:val="00F0615D"/>
    <w:rsid w:val="00F06F36"/>
    <w:rsid w:val="00F126B6"/>
    <w:rsid w:val="00F30C20"/>
    <w:rsid w:val="00F50746"/>
    <w:rsid w:val="00F54B39"/>
    <w:rsid w:val="00F668FD"/>
    <w:rsid w:val="00F67034"/>
    <w:rsid w:val="00F71CF4"/>
    <w:rsid w:val="00F80F2E"/>
    <w:rsid w:val="00F84E5C"/>
    <w:rsid w:val="00F85F6E"/>
    <w:rsid w:val="00FA290F"/>
    <w:rsid w:val="00FC4E8D"/>
    <w:rsid w:val="00FD2E82"/>
    <w:rsid w:val="00FF77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5B12"/>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520F0"/>
    <w:pPr>
      <w:tabs>
        <w:tab w:val="center" w:pos="4320"/>
        <w:tab w:val="right" w:pos="8640"/>
      </w:tabs>
    </w:pPr>
  </w:style>
  <w:style w:type="paragraph" w:styleId="Footer">
    <w:name w:val="footer"/>
    <w:basedOn w:val="Normal"/>
    <w:rsid w:val="009520F0"/>
    <w:pPr>
      <w:tabs>
        <w:tab w:val="center" w:pos="4320"/>
        <w:tab w:val="right" w:pos="8640"/>
      </w:tabs>
    </w:pPr>
  </w:style>
  <w:style w:type="paragraph" w:styleId="BalloonText">
    <w:name w:val="Balloon Text"/>
    <w:basedOn w:val="Normal"/>
    <w:link w:val="BalloonTextChar"/>
    <w:rsid w:val="00665CE2"/>
    <w:rPr>
      <w:rFonts w:ascii="Tahoma" w:hAnsi="Tahoma" w:cs="Tahoma"/>
      <w:sz w:val="16"/>
      <w:szCs w:val="16"/>
    </w:rPr>
  </w:style>
  <w:style w:type="character" w:customStyle="1" w:styleId="BalloonTextChar">
    <w:name w:val="Balloon Text Char"/>
    <w:basedOn w:val="DefaultParagraphFont"/>
    <w:link w:val="BalloonText"/>
    <w:rsid w:val="00665CE2"/>
    <w:rPr>
      <w:rFonts w:ascii="Tahoma" w:hAnsi="Tahoma" w:cs="Tahoma"/>
      <w:sz w:val="16"/>
      <w:szCs w:val="16"/>
    </w:rPr>
  </w:style>
  <w:style w:type="paragraph" w:styleId="Revision">
    <w:name w:val="Revision"/>
    <w:hidden/>
    <w:uiPriority w:val="99"/>
    <w:semiHidden/>
    <w:rsid w:val="00665CE2"/>
    <w:rPr>
      <w:rFonts w:ascii="Arial" w:hAnsi="Arial"/>
      <w:sz w:val="22"/>
      <w:szCs w:val="24"/>
    </w:rPr>
  </w:style>
  <w:style w:type="table" w:styleId="TableGrid">
    <w:name w:val="Table Grid"/>
    <w:basedOn w:val="TableNormal"/>
    <w:rsid w:val="000942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82656E"/>
    <w:rPr>
      <w:rFonts w:ascii="Arial" w:hAnsi="Arial"/>
      <w:sz w:val="22"/>
      <w:szCs w:val="24"/>
    </w:rPr>
  </w:style>
  <w:style w:type="paragraph" w:customStyle="1" w:styleId="Level1">
    <w:name w:val="Level 1"/>
    <w:basedOn w:val="Normal"/>
    <w:rsid w:val="009B497A"/>
    <w:pPr>
      <w:widowControl w:val="0"/>
    </w:pPr>
    <w:rPr>
      <w:rFonts w:ascii="Times New Roman" w:hAnsi="Times New Roman"/>
      <w:sz w:val="24"/>
      <w:szCs w:val="20"/>
    </w:rPr>
  </w:style>
  <w:style w:type="character" w:styleId="PageNumber">
    <w:name w:val="page number"/>
    <w:basedOn w:val="DefaultParagraphFont"/>
    <w:rsid w:val="009B497A"/>
  </w:style>
  <w:style w:type="paragraph" w:styleId="ListParagraph">
    <w:name w:val="List Paragraph"/>
    <w:basedOn w:val="Normal"/>
    <w:uiPriority w:val="34"/>
    <w:qFormat/>
    <w:rsid w:val="009B497A"/>
    <w:pPr>
      <w:ind w:left="720"/>
      <w:contextualSpacing/>
    </w:pPr>
    <w:rPr>
      <w:rFonts w:ascii="Times New Roman" w:hAnsi="Times New Roman"/>
      <w:sz w:val="24"/>
      <w:szCs w:val="20"/>
    </w:rPr>
  </w:style>
  <w:style w:type="character" w:styleId="Hyperlink">
    <w:name w:val="Hyperlink"/>
    <w:basedOn w:val="DefaultParagraphFont"/>
    <w:rsid w:val="003245A2"/>
    <w:rPr>
      <w:color w:val="0000FF"/>
      <w:u w:val="single"/>
    </w:rPr>
  </w:style>
  <w:style w:type="paragraph" w:styleId="FootnoteText">
    <w:name w:val="footnote text"/>
    <w:basedOn w:val="Normal"/>
    <w:link w:val="FootnoteTextChar"/>
    <w:rsid w:val="00632C66"/>
    <w:rPr>
      <w:sz w:val="20"/>
      <w:szCs w:val="20"/>
    </w:rPr>
  </w:style>
  <w:style w:type="character" w:customStyle="1" w:styleId="FootnoteTextChar">
    <w:name w:val="Footnote Text Char"/>
    <w:basedOn w:val="DefaultParagraphFont"/>
    <w:link w:val="FootnoteText"/>
    <w:rsid w:val="00632C66"/>
    <w:rPr>
      <w:rFonts w:ascii="Arial" w:hAnsi="Arial"/>
    </w:rPr>
  </w:style>
  <w:style w:type="character" w:styleId="FootnoteReference">
    <w:name w:val="footnote reference"/>
    <w:basedOn w:val="DefaultParagraphFont"/>
    <w:rsid w:val="00632C66"/>
    <w:rPr>
      <w:vertAlign w:val="superscript"/>
    </w:rPr>
  </w:style>
</w:styles>
</file>

<file path=word/webSettings.xml><?xml version="1.0" encoding="utf-8"?>
<w:webSettings xmlns:r="http://schemas.openxmlformats.org/officeDocument/2006/relationships" xmlns:w="http://schemas.openxmlformats.org/wordprocessingml/2006/main">
  <w:divs>
    <w:div w:id="89205278">
      <w:bodyDiv w:val="1"/>
      <w:marLeft w:val="0"/>
      <w:marRight w:val="0"/>
      <w:marTop w:val="0"/>
      <w:marBottom w:val="0"/>
      <w:divBdr>
        <w:top w:val="none" w:sz="0" w:space="0" w:color="auto"/>
        <w:left w:val="none" w:sz="0" w:space="0" w:color="auto"/>
        <w:bottom w:val="none" w:sz="0" w:space="0" w:color="auto"/>
        <w:right w:val="none" w:sz="0" w:space="0" w:color="auto"/>
      </w:divBdr>
    </w:div>
    <w:div w:id="911427329">
      <w:bodyDiv w:val="1"/>
      <w:marLeft w:val="0"/>
      <w:marRight w:val="0"/>
      <w:marTop w:val="0"/>
      <w:marBottom w:val="0"/>
      <w:divBdr>
        <w:top w:val="none" w:sz="0" w:space="0" w:color="auto"/>
        <w:left w:val="none" w:sz="0" w:space="0" w:color="auto"/>
        <w:bottom w:val="none" w:sz="0" w:space="0" w:color="auto"/>
        <w:right w:val="none" w:sz="0" w:space="0" w:color="auto"/>
      </w:divBdr>
    </w:div>
    <w:div w:id="183560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DEF53-F441-462B-82C2-F9C2B7F44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3018</Words>
  <Characters>16149</Characters>
  <Application>Microsoft Office Word</Application>
  <DocSecurity>4</DocSecurity>
  <Lines>134</Lines>
  <Paragraphs>38</Paragraphs>
  <ScaleCrop>false</ScaleCrop>
  <HeadingPairs>
    <vt:vector size="2" baseType="variant">
      <vt:variant>
        <vt:lpstr>Title</vt:lpstr>
      </vt:variant>
      <vt:variant>
        <vt:i4>1</vt:i4>
      </vt:variant>
    </vt:vector>
  </HeadingPairs>
  <TitlesOfParts>
    <vt:vector size="1" baseType="lpstr">
      <vt:lpstr>[Month] [Day], 2009</vt:lpstr>
    </vt:vector>
  </TitlesOfParts>
  <Company>USNRC</Company>
  <LinksUpToDate>false</LinksUpToDate>
  <CharactersWithSpaces>19129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[Day], 2009</dc:title>
  <dc:subject/>
  <dc:creator>Aaron Lloyd Szabo</dc:creator>
  <cp:keywords/>
  <dc:description/>
  <cp:lastModifiedBy>keb1</cp:lastModifiedBy>
  <cp:revision>2</cp:revision>
  <cp:lastPrinted>2012-07-26T11:42:00Z</cp:lastPrinted>
  <dcterms:created xsi:type="dcterms:W3CDTF">2012-11-27T15:24:00Z</dcterms:created>
  <dcterms:modified xsi:type="dcterms:W3CDTF">2012-11-27T15:24:00Z</dcterms:modified>
</cp:coreProperties>
</file>