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90" w:rsidRPr="008F30D4" w:rsidRDefault="00D50590" w:rsidP="00D50590">
      <w:pPr>
        <w:pStyle w:val="NoSpacing"/>
        <w:jc w:val="center"/>
        <w:rPr>
          <w:b/>
        </w:rPr>
      </w:pPr>
      <w:r w:rsidRPr="008F30D4">
        <w:rPr>
          <w:b/>
        </w:rPr>
        <w:t>Workforce Recruitment Survey of BPHC-Funded Health Centers: Summary Results</w:t>
      </w:r>
    </w:p>
    <w:p w:rsidR="00F6273F" w:rsidRPr="00D50590" w:rsidRDefault="00F6273F" w:rsidP="00D50590">
      <w:pPr>
        <w:pStyle w:val="NoSpacing"/>
      </w:pPr>
    </w:p>
    <w:tbl>
      <w:tblPr>
        <w:tblW w:w="5000" w:type="pct"/>
        <w:tblCellSpacing w:w="0"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tblPr>
      <w:tblGrid>
        <w:gridCol w:w="2870"/>
        <w:gridCol w:w="892"/>
        <w:gridCol w:w="855"/>
        <w:gridCol w:w="855"/>
        <w:gridCol w:w="737"/>
        <w:gridCol w:w="737"/>
        <w:gridCol w:w="737"/>
        <w:gridCol w:w="797"/>
        <w:gridCol w:w="1187"/>
      </w:tblGrid>
      <w:tr w:rsidR="00D50590" w:rsidRPr="00D50590" w:rsidTr="00C0418D">
        <w:trPr>
          <w:tblHeader/>
          <w:tblCellSpacing w:w="0" w:type="dxa"/>
        </w:trPr>
        <w:tc>
          <w:tcPr>
            <w:tcW w:w="5000" w:type="pct"/>
            <w:gridSpan w:val="9"/>
            <w:shd w:val="clear" w:color="auto" w:fill="E6ECC0"/>
            <w:tcMar>
              <w:top w:w="107" w:type="dxa"/>
              <w:left w:w="86" w:type="dxa"/>
              <w:bottom w:w="107" w:type="dxa"/>
              <w:right w:w="161" w:type="dxa"/>
            </w:tcMar>
            <w:vAlign w:val="center"/>
            <w:hideMark/>
          </w:tcPr>
          <w:p w:rsidR="00D50590" w:rsidRPr="00D50590" w:rsidRDefault="00C33368" w:rsidP="00F6273F">
            <w:pPr>
              <w:spacing w:after="430" w:line="172" w:lineRule="atLeast"/>
              <w:rPr>
                <w:rFonts w:eastAsia="Times New Roman" w:cs="Times New Roman"/>
                <w:b/>
                <w:bCs/>
                <w:color w:val="333333"/>
                <w:sz w:val="20"/>
                <w:szCs w:val="20"/>
              </w:rPr>
            </w:pPr>
            <w:r>
              <w:rPr>
                <w:rFonts w:eastAsia="Times New Roman" w:cs="Times New Roman"/>
                <w:b/>
                <w:bCs/>
                <w:color w:val="333333"/>
                <w:sz w:val="20"/>
                <w:szCs w:val="20"/>
              </w:rPr>
              <w:t>Q</w:t>
            </w:r>
            <w:r w:rsidR="00D50590" w:rsidRPr="00D50590">
              <w:rPr>
                <w:rFonts w:eastAsia="Times New Roman" w:cs="Times New Roman"/>
                <w:b/>
                <w:bCs/>
                <w:color w:val="333333"/>
                <w:sz w:val="20"/>
                <w:szCs w:val="20"/>
              </w:rPr>
              <w:t>1. Next to the employment categories provided below, please identify the number of current vacancies at your organization. (These are the same categories found in Table 5 of the Uniform Data System - UDS)</w:t>
            </w:r>
          </w:p>
        </w:tc>
      </w:tr>
      <w:tr w:rsidR="00D50590" w:rsidRPr="00D50590" w:rsidTr="00C0418D">
        <w:trPr>
          <w:tblCellSpacing w:w="0" w:type="dxa"/>
        </w:trPr>
        <w:tc>
          <w:tcPr>
            <w:tcW w:w="1485" w:type="pct"/>
            <w:shd w:val="clear" w:color="auto" w:fill="F0EFEE"/>
            <w:tcMar>
              <w:top w:w="107" w:type="dxa"/>
              <w:left w:w="86" w:type="dxa"/>
              <w:bottom w:w="107" w:type="dxa"/>
              <w:right w:w="161" w:type="dxa"/>
            </w:tcMar>
            <w:vAlign w:val="center"/>
            <w:hideMark/>
          </w:tcPr>
          <w:p w:rsidR="00D50590" w:rsidRPr="00D50590" w:rsidRDefault="00D50590" w:rsidP="00F6273F">
            <w:pPr>
              <w:spacing w:after="430" w:line="240" w:lineRule="auto"/>
              <w:jc w:val="center"/>
              <w:rPr>
                <w:rFonts w:eastAsia="Times New Roman" w:cs="Times New Roman"/>
                <w:b/>
                <w:bCs/>
                <w:color w:val="333333"/>
                <w:sz w:val="20"/>
                <w:szCs w:val="20"/>
              </w:rPr>
            </w:pPr>
            <w:r w:rsidRPr="00D50590">
              <w:rPr>
                <w:rFonts w:eastAsia="Times New Roman" w:cs="Times New Roman"/>
                <w:b/>
                <w:bCs/>
                <w:color w:val="333333"/>
                <w:sz w:val="20"/>
                <w:szCs w:val="20"/>
              </w:rPr>
              <w:t> </w:t>
            </w:r>
          </w:p>
        </w:tc>
        <w:tc>
          <w:tcPr>
            <w:tcW w:w="462" w:type="pct"/>
            <w:shd w:val="clear" w:color="auto" w:fill="F0EFEE"/>
            <w:tcMar>
              <w:top w:w="107" w:type="dxa"/>
              <w:left w:w="86" w:type="dxa"/>
              <w:bottom w:w="107" w:type="dxa"/>
              <w:right w:w="161" w:type="dxa"/>
            </w:tcMar>
            <w:hideMark/>
          </w:tcPr>
          <w:p w:rsidR="00D50590" w:rsidRPr="00D50590" w:rsidRDefault="00D50590" w:rsidP="00F6273F">
            <w:pPr>
              <w:spacing w:after="430" w:line="240" w:lineRule="auto"/>
              <w:jc w:val="center"/>
              <w:rPr>
                <w:rFonts w:eastAsia="Times New Roman" w:cs="Times New Roman"/>
                <w:b/>
                <w:bCs/>
                <w:color w:val="333333"/>
                <w:sz w:val="20"/>
                <w:szCs w:val="20"/>
              </w:rPr>
            </w:pPr>
            <w:r w:rsidRPr="00D50590">
              <w:rPr>
                <w:rFonts w:eastAsia="Times New Roman" w:cs="Times New Roman"/>
                <w:b/>
                <w:bCs/>
                <w:color w:val="333333"/>
                <w:sz w:val="20"/>
                <w:szCs w:val="20"/>
              </w:rPr>
              <w:t>0</w:t>
            </w:r>
          </w:p>
        </w:tc>
        <w:tc>
          <w:tcPr>
            <w:tcW w:w="442" w:type="pct"/>
            <w:shd w:val="clear" w:color="auto" w:fill="F0EFEE"/>
            <w:tcMar>
              <w:top w:w="107" w:type="dxa"/>
              <w:left w:w="86" w:type="dxa"/>
              <w:bottom w:w="107" w:type="dxa"/>
              <w:right w:w="161" w:type="dxa"/>
            </w:tcMar>
            <w:hideMark/>
          </w:tcPr>
          <w:p w:rsidR="00D50590" w:rsidRPr="00D50590" w:rsidRDefault="00D50590" w:rsidP="00F6273F">
            <w:pPr>
              <w:spacing w:after="430" w:line="240" w:lineRule="auto"/>
              <w:jc w:val="center"/>
              <w:rPr>
                <w:rFonts w:eastAsia="Times New Roman" w:cs="Times New Roman"/>
                <w:b/>
                <w:bCs/>
                <w:color w:val="333333"/>
                <w:sz w:val="20"/>
                <w:szCs w:val="20"/>
              </w:rPr>
            </w:pPr>
            <w:r w:rsidRPr="00D50590">
              <w:rPr>
                <w:rFonts w:eastAsia="Times New Roman" w:cs="Times New Roman"/>
                <w:b/>
                <w:bCs/>
                <w:color w:val="333333"/>
                <w:sz w:val="20"/>
                <w:szCs w:val="20"/>
              </w:rPr>
              <w:t>1</w:t>
            </w:r>
          </w:p>
        </w:tc>
        <w:tc>
          <w:tcPr>
            <w:tcW w:w="442" w:type="pct"/>
            <w:shd w:val="clear" w:color="auto" w:fill="F0EFEE"/>
            <w:tcMar>
              <w:top w:w="107" w:type="dxa"/>
              <w:left w:w="86" w:type="dxa"/>
              <w:bottom w:w="107" w:type="dxa"/>
              <w:right w:w="161" w:type="dxa"/>
            </w:tcMar>
            <w:hideMark/>
          </w:tcPr>
          <w:p w:rsidR="00D50590" w:rsidRPr="00D50590" w:rsidRDefault="00D50590" w:rsidP="00F6273F">
            <w:pPr>
              <w:spacing w:after="430" w:line="240" w:lineRule="auto"/>
              <w:jc w:val="center"/>
              <w:rPr>
                <w:rFonts w:eastAsia="Times New Roman" w:cs="Times New Roman"/>
                <w:b/>
                <w:bCs/>
                <w:color w:val="333333"/>
                <w:sz w:val="20"/>
                <w:szCs w:val="20"/>
              </w:rPr>
            </w:pPr>
            <w:r w:rsidRPr="00D50590">
              <w:rPr>
                <w:rFonts w:eastAsia="Times New Roman" w:cs="Times New Roman"/>
                <w:b/>
                <w:bCs/>
                <w:color w:val="333333"/>
                <w:sz w:val="20"/>
                <w:szCs w:val="20"/>
              </w:rPr>
              <w:t>2</w:t>
            </w:r>
          </w:p>
        </w:tc>
        <w:tc>
          <w:tcPr>
            <w:tcW w:w="381" w:type="pct"/>
            <w:shd w:val="clear" w:color="auto" w:fill="F0EFEE"/>
            <w:tcMar>
              <w:top w:w="107" w:type="dxa"/>
              <w:left w:w="86" w:type="dxa"/>
              <w:bottom w:w="107" w:type="dxa"/>
              <w:right w:w="161" w:type="dxa"/>
            </w:tcMar>
            <w:hideMark/>
          </w:tcPr>
          <w:p w:rsidR="00D50590" w:rsidRPr="00D50590" w:rsidRDefault="00D50590" w:rsidP="00F6273F">
            <w:pPr>
              <w:spacing w:after="430" w:line="240" w:lineRule="auto"/>
              <w:jc w:val="center"/>
              <w:rPr>
                <w:rFonts w:eastAsia="Times New Roman" w:cs="Times New Roman"/>
                <w:b/>
                <w:bCs/>
                <w:color w:val="333333"/>
                <w:sz w:val="20"/>
                <w:szCs w:val="20"/>
              </w:rPr>
            </w:pPr>
            <w:r w:rsidRPr="00D50590">
              <w:rPr>
                <w:rFonts w:eastAsia="Times New Roman" w:cs="Times New Roman"/>
                <w:b/>
                <w:bCs/>
                <w:color w:val="333333"/>
                <w:sz w:val="20"/>
                <w:szCs w:val="20"/>
              </w:rPr>
              <w:t>3</w:t>
            </w:r>
          </w:p>
        </w:tc>
        <w:tc>
          <w:tcPr>
            <w:tcW w:w="381" w:type="pct"/>
            <w:shd w:val="clear" w:color="auto" w:fill="F0EFEE"/>
            <w:tcMar>
              <w:top w:w="107" w:type="dxa"/>
              <w:left w:w="86" w:type="dxa"/>
              <w:bottom w:w="107" w:type="dxa"/>
              <w:right w:w="161" w:type="dxa"/>
            </w:tcMar>
            <w:hideMark/>
          </w:tcPr>
          <w:p w:rsidR="00D50590" w:rsidRPr="00D50590" w:rsidRDefault="00D50590" w:rsidP="00F6273F">
            <w:pPr>
              <w:spacing w:after="430" w:line="240" w:lineRule="auto"/>
              <w:jc w:val="center"/>
              <w:rPr>
                <w:rFonts w:eastAsia="Times New Roman" w:cs="Times New Roman"/>
                <w:b/>
                <w:bCs/>
                <w:color w:val="333333"/>
                <w:sz w:val="20"/>
                <w:szCs w:val="20"/>
              </w:rPr>
            </w:pPr>
            <w:r w:rsidRPr="00D50590">
              <w:rPr>
                <w:rFonts w:eastAsia="Times New Roman" w:cs="Times New Roman"/>
                <w:b/>
                <w:bCs/>
                <w:color w:val="333333"/>
                <w:sz w:val="20"/>
                <w:szCs w:val="20"/>
              </w:rPr>
              <w:t>4</w:t>
            </w:r>
          </w:p>
        </w:tc>
        <w:tc>
          <w:tcPr>
            <w:tcW w:w="381" w:type="pct"/>
            <w:shd w:val="clear" w:color="auto" w:fill="F0EFEE"/>
            <w:tcMar>
              <w:top w:w="107" w:type="dxa"/>
              <w:left w:w="86" w:type="dxa"/>
              <w:bottom w:w="107" w:type="dxa"/>
              <w:right w:w="161" w:type="dxa"/>
            </w:tcMar>
            <w:hideMark/>
          </w:tcPr>
          <w:p w:rsidR="00D50590" w:rsidRPr="00D50590" w:rsidRDefault="00D50590" w:rsidP="00F6273F">
            <w:pPr>
              <w:spacing w:after="430" w:line="240" w:lineRule="auto"/>
              <w:jc w:val="center"/>
              <w:rPr>
                <w:rFonts w:eastAsia="Times New Roman" w:cs="Times New Roman"/>
                <w:b/>
                <w:bCs/>
                <w:color w:val="333333"/>
                <w:sz w:val="20"/>
                <w:szCs w:val="20"/>
              </w:rPr>
            </w:pPr>
            <w:r w:rsidRPr="00D50590">
              <w:rPr>
                <w:rFonts w:eastAsia="Times New Roman" w:cs="Times New Roman"/>
                <w:b/>
                <w:bCs/>
                <w:color w:val="333333"/>
                <w:sz w:val="20"/>
                <w:szCs w:val="20"/>
              </w:rPr>
              <w:t>5</w:t>
            </w:r>
          </w:p>
        </w:tc>
        <w:tc>
          <w:tcPr>
            <w:tcW w:w="412" w:type="pct"/>
            <w:shd w:val="clear" w:color="auto" w:fill="F0EFEE"/>
            <w:tcMar>
              <w:top w:w="107" w:type="dxa"/>
              <w:left w:w="86" w:type="dxa"/>
              <w:bottom w:w="107" w:type="dxa"/>
              <w:right w:w="161" w:type="dxa"/>
            </w:tcMar>
            <w:hideMark/>
          </w:tcPr>
          <w:p w:rsidR="00D50590" w:rsidRPr="00D50590" w:rsidRDefault="00D50590" w:rsidP="00F6273F">
            <w:pPr>
              <w:spacing w:after="430" w:line="240" w:lineRule="auto"/>
              <w:jc w:val="center"/>
              <w:rPr>
                <w:rFonts w:eastAsia="Times New Roman" w:cs="Times New Roman"/>
                <w:b/>
                <w:bCs/>
                <w:color w:val="333333"/>
                <w:sz w:val="20"/>
                <w:szCs w:val="20"/>
              </w:rPr>
            </w:pPr>
            <w:r w:rsidRPr="00D50590">
              <w:rPr>
                <w:rFonts w:eastAsia="Times New Roman" w:cs="Times New Roman"/>
                <w:b/>
                <w:bCs/>
                <w:color w:val="333333"/>
                <w:sz w:val="20"/>
                <w:szCs w:val="20"/>
              </w:rPr>
              <w:t>More than 5</w:t>
            </w:r>
          </w:p>
        </w:tc>
        <w:tc>
          <w:tcPr>
            <w:tcW w:w="614" w:type="pct"/>
            <w:shd w:val="clear" w:color="auto" w:fill="F0EFEE"/>
            <w:tcMar>
              <w:top w:w="107" w:type="dxa"/>
              <w:left w:w="86" w:type="dxa"/>
              <w:bottom w:w="107" w:type="dxa"/>
              <w:right w:w="161" w:type="dxa"/>
            </w:tcMar>
            <w:hideMark/>
          </w:tcPr>
          <w:p w:rsidR="00D50590" w:rsidRPr="00D50590" w:rsidRDefault="00D50590" w:rsidP="00F6273F">
            <w:pPr>
              <w:spacing w:after="0" w:line="240" w:lineRule="auto"/>
              <w:jc w:val="center"/>
              <w:rPr>
                <w:rFonts w:eastAsia="Times New Roman" w:cs="Times New Roman"/>
                <w:b/>
                <w:bCs/>
                <w:color w:val="333333"/>
                <w:sz w:val="20"/>
                <w:szCs w:val="20"/>
              </w:rPr>
            </w:pPr>
            <w:r w:rsidRPr="00D50590">
              <w:rPr>
                <w:rFonts w:eastAsia="Times New Roman" w:cs="Times New Roman"/>
                <w:b/>
                <w:bCs/>
                <w:color w:val="333333"/>
                <w:sz w:val="20"/>
                <w:szCs w:val="20"/>
              </w:rPr>
              <w:t>Response</w:t>
            </w:r>
            <w:r w:rsidRPr="00D50590">
              <w:rPr>
                <w:rFonts w:eastAsia="Times New Roman" w:cs="Times New Roman"/>
                <w:b/>
                <w:bCs/>
                <w:color w:val="333333"/>
                <w:sz w:val="20"/>
                <w:szCs w:val="20"/>
              </w:rPr>
              <w:br/>
              <w:t>Count</w:t>
            </w:r>
          </w:p>
        </w:tc>
      </w:tr>
      <w:tr w:rsidR="00D50590" w:rsidRPr="00D50590" w:rsidTr="00C0418D">
        <w:trPr>
          <w:tblCellSpacing w:w="0" w:type="dxa"/>
        </w:trPr>
        <w:tc>
          <w:tcPr>
            <w:tcW w:w="1485"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rPr>
                <w:rFonts w:eastAsia="Times New Roman" w:cs="Times New Roman"/>
                <w:b/>
                <w:bCs/>
                <w:color w:val="333333"/>
                <w:sz w:val="20"/>
                <w:szCs w:val="20"/>
              </w:rPr>
            </w:pPr>
            <w:r w:rsidRPr="00D50590">
              <w:rPr>
                <w:rFonts w:eastAsia="Times New Roman" w:cs="Times New Roman"/>
                <w:b/>
                <w:bCs/>
                <w:color w:val="333333"/>
                <w:sz w:val="20"/>
                <w:szCs w:val="20"/>
              </w:rPr>
              <w:t>Family physician, general practitioner, internists, obstetrician/gynecologists, pediatricians, or other specialty physicians</w:t>
            </w:r>
          </w:p>
        </w:tc>
        <w:tc>
          <w:tcPr>
            <w:tcW w:w="46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b/>
                <w:bCs/>
                <w:color w:val="333333"/>
                <w:sz w:val="20"/>
                <w:szCs w:val="20"/>
              </w:rPr>
            </w:pPr>
            <w:r w:rsidRPr="00D50590">
              <w:rPr>
                <w:rFonts w:eastAsia="Times New Roman" w:cs="Times New Roman"/>
                <w:b/>
                <w:bCs/>
                <w:color w:val="333333"/>
                <w:sz w:val="20"/>
                <w:szCs w:val="20"/>
              </w:rPr>
              <w:t>32.4% (119)</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29.7% (109)</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21.5% (79)</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8.7% (32)</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3.5% (13)</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1.6% (6)</w:t>
            </w:r>
          </w:p>
        </w:tc>
        <w:tc>
          <w:tcPr>
            <w:tcW w:w="41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2.5% (9)</w:t>
            </w:r>
          </w:p>
        </w:tc>
        <w:tc>
          <w:tcPr>
            <w:tcW w:w="614"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367</w:t>
            </w:r>
          </w:p>
        </w:tc>
      </w:tr>
      <w:tr w:rsidR="00D50590" w:rsidRPr="00D50590" w:rsidTr="00C0418D">
        <w:trPr>
          <w:tblCellSpacing w:w="0" w:type="dxa"/>
        </w:trPr>
        <w:tc>
          <w:tcPr>
            <w:tcW w:w="1485"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rPr>
                <w:rFonts w:eastAsia="Times New Roman" w:cs="Times New Roman"/>
                <w:b/>
                <w:bCs/>
                <w:color w:val="333333"/>
                <w:sz w:val="20"/>
                <w:szCs w:val="20"/>
              </w:rPr>
            </w:pPr>
            <w:r w:rsidRPr="00D50590">
              <w:rPr>
                <w:rFonts w:eastAsia="Times New Roman" w:cs="Times New Roman"/>
                <w:b/>
                <w:bCs/>
                <w:color w:val="333333"/>
                <w:sz w:val="20"/>
                <w:szCs w:val="20"/>
              </w:rPr>
              <w:t>Nurse practitioner, physician assistant, certified nurse midwife</w:t>
            </w:r>
          </w:p>
        </w:tc>
        <w:tc>
          <w:tcPr>
            <w:tcW w:w="46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b/>
                <w:bCs/>
                <w:color w:val="333333"/>
                <w:sz w:val="20"/>
                <w:szCs w:val="20"/>
              </w:rPr>
            </w:pPr>
            <w:r w:rsidRPr="00D50590">
              <w:rPr>
                <w:rFonts w:eastAsia="Times New Roman" w:cs="Times New Roman"/>
                <w:b/>
                <w:bCs/>
                <w:color w:val="333333"/>
                <w:sz w:val="20"/>
                <w:szCs w:val="20"/>
              </w:rPr>
              <w:t>50.1% (184)</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29.7% (109)</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14.4% (53)</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2.2% (8)</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1.6% (6)</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1.4% (5)</w:t>
            </w:r>
          </w:p>
        </w:tc>
        <w:tc>
          <w:tcPr>
            <w:tcW w:w="41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0.5% (2)</w:t>
            </w:r>
          </w:p>
        </w:tc>
        <w:tc>
          <w:tcPr>
            <w:tcW w:w="614"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367</w:t>
            </w:r>
          </w:p>
        </w:tc>
      </w:tr>
      <w:tr w:rsidR="00D50590" w:rsidRPr="00D50590" w:rsidTr="00C0418D">
        <w:trPr>
          <w:tblCellSpacing w:w="0" w:type="dxa"/>
        </w:trPr>
        <w:tc>
          <w:tcPr>
            <w:tcW w:w="1485"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rPr>
                <w:rFonts w:eastAsia="Times New Roman" w:cs="Times New Roman"/>
                <w:b/>
                <w:bCs/>
                <w:color w:val="333333"/>
                <w:sz w:val="20"/>
                <w:szCs w:val="20"/>
              </w:rPr>
            </w:pPr>
            <w:r w:rsidRPr="00D50590">
              <w:rPr>
                <w:rFonts w:eastAsia="Times New Roman" w:cs="Times New Roman"/>
                <w:b/>
                <w:bCs/>
                <w:color w:val="333333"/>
                <w:sz w:val="20"/>
                <w:szCs w:val="20"/>
              </w:rPr>
              <w:t>Nurse, laboratory personnel, X-ray personnel, or other medical personnel</w:t>
            </w:r>
          </w:p>
        </w:tc>
        <w:tc>
          <w:tcPr>
            <w:tcW w:w="46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b/>
                <w:bCs/>
                <w:color w:val="333333"/>
                <w:sz w:val="20"/>
                <w:szCs w:val="20"/>
              </w:rPr>
            </w:pPr>
            <w:r w:rsidRPr="00D50590">
              <w:rPr>
                <w:rFonts w:eastAsia="Times New Roman" w:cs="Times New Roman"/>
                <w:b/>
                <w:bCs/>
                <w:color w:val="333333"/>
                <w:sz w:val="20"/>
                <w:szCs w:val="20"/>
              </w:rPr>
              <w:t>45.2% (166)</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22.6% (83)</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12.0% (44)</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9.3% (34)</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3.5% (13)</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1.4% (5)</w:t>
            </w:r>
          </w:p>
        </w:tc>
        <w:tc>
          <w:tcPr>
            <w:tcW w:w="41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6.0% (22)</w:t>
            </w:r>
          </w:p>
        </w:tc>
        <w:tc>
          <w:tcPr>
            <w:tcW w:w="614"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367</w:t>
            </w:r>
          </w:p>
        </w:tc>
      </w:tr>
      <w:tr w:rsidR="00D50590" w:rsidRPr="00D50590" w:rsidTr="00C0418D">
        <w:trPr>
          <w:tblCellSpacing w:w="0" w:type="dxa"/>
        </w:trPr>
        <w:tc>
          <w:tcPr>
            <w:tcW w:w="1485"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rPr>
                <w:rFonts w:eastAsia="Times New Roman" w:cs="Times New Roman"/>
                <w:b/>
                <w:bCs/>
                <w:color w:val="333333"/>
                <w:sz w:val="20"/>
                <w:szCs w:val="20"/>
              </w:rPr>
            </w:pPr>
            <w:r w:rsidRPr="00D50590">
              <w:rPr>
                <w:rFonts w:eastAsia="Times New Roman" w:cs="Times New Roman"/>
                <w:b/>
                <w:bCs/>
                <w:color w:val="333333"/>
                <w:sz w:val="20"/>
                <w:szCs w:val="20"/>
              </w:rPr>
              <w:t>Dentist, dental hygienist, dental assistant, dental aide, dental tech</w:t>
            </w:r>
          </w:p>
        </w:tc>
        <w:tc>
          <w:tcPr>
            <w:tcW w:w="46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b/>
                <w:bCs/>
                <w:color w:val="333333"/>
                <w:sz w:val="20"/>
                <w:szCs w:val="20"/>
              </w:rPr>
            </w:pPr>
            <w:r w:rsidRPr="00D50590">
              <w:rPr>
                <w:rFonts w:eastAsia="Times New Roman" w:cs="Times New Roman"/>
                <w:b/>
                <w:bCs/>
                <w:color w:val="333333"/>
                <w:sz w:val="20"/>
                <w:szCs w:val="20"/>
              </w:rPr>
              <w:t>60.8% (223)</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23.4% (86)</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9.5% (35)</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3.3% (12)</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1.4% (5)</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0.5% (2)</w:t>
            </w:r>
          </w:p>
        </w:tc>
        <w:tc>
          <w:tcPr>
            <w:tcW w:w="41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1.1% (4)</w:t>
            </w:r>
          </w:p>
        </w:tc>
        <w:tc>
          <w:tcPr>
            <w:tcW w:w="614"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367</w:t>
            </w:r>
          </w:p>
        </w:tc>
      </w:tr>
      <w:tr w:rsidR="00D50590" w:rsidRPr="00D50590" w:rsidTr="00C0418D">
        <w:trPr>
          <w:tblCellSpacing w:w="0" w:type="dxa"/>
        </w:trPr>
        <w:tc>
          <w:tcPr>
            <w:tcW w:w="1485"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rPr>
                <w:rFonts w:eastAsia="Times New Roman" w:cs="Times New Roman"/>
                <w:b/>
                <w:bCs/>
                <w:color w:val="333333"/>
                <w:sz w:val="20"/>
                <w:szCs w:val="20"/>
              </w:rPr>
            </w:pPr>
            <w:r w:rsidRPr="00D50590">
              <w:rPr>
                <w:rFonts w:eastAsia="Times New Roman" w:cs="Times New Roman"/>
                <w:b/>
                <w:bCs/>
                <w:color w:val="333333"/>
                <w:sz w:val="20"/>
                <w:szCs w:val="20"/>
              </w:rPr>
              <w:t>Psychiatrist, licensed clinical psychologist, licensed clinical social worker, or other mental health staff</w:t>
            </w:r>
          </w:p>
        </w:tc>
        <w:tc>
          <w:tcPr>
            <w:tcW w:w="46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b/>
                <w:bCs/>
                <w:color w:val="333333"/>
                <w:sz w:val="20"/>
                <w:szCs w:val="20"/>
              </w:rPr>
            </w:pPr>
            <w:r w:rsidRPr="00D50590">
              <w:rPr>
                <w:rFonts w:eastAsia="Times New Roman" w:cs="Times New Roman"/>
                <w:b/>
                <w:bCs/>
                <w:color w:val="333333"/>
                <w:sz w:val="20"/>
                <w:szCs w:val="20"/>
              </w:rPr>
              <w:t>62.1% (228)</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26.7% (98)</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7.1% (26)</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2.7% (10)</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0.5% (2)</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0.0% (0)</w:t>
            </w:r>
          </w:p>
        </w:tc>
        <w:tc>
          <w:tcPr>
            <w:tcW w:w="41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0.8% (3)</w:t>
            </w:r>
          </w:p>
        </w:tc>
        <w:tc>
          <w:tcPr>
            <w:tcW w:w="614"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367</w:t>
            </w:r>
          </w:p>
        </w:tc>
      </w:tr>
      <w:tr w:rsidR="00D50590" w:rsidRPr="00D50590" w:rsidTr="00C0418D">
        <w:trPr>
          <w:tblCellSpacing w:w="0" w:type="dxa"/>
        </w:trPr>
        <w:tc>
          <w:tcPr>
            <w:tcW w:w="1485"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rPr>
                <w:rFonts w:eastAsia="Times New Roman" w:cs="Times New Roman"/>
                <w:b/>
                <w:bCs/>
                <w:color w:val="333333"/>
                <w:sz w:val="20"/>
                <w:szCs w:val="20"/>
              </w:rPr>
            </w:pPr>
            <w:r w:rsidRPr="00D50590">
              <w:rPr>
                <w:rFonts w:eastAsia="Times New Roman" w:cs="Times New Roman"/>
                <w:b/>
                <w:bCs/>
                <w:color w:val="333333"/>
                <w:sz w:val="20"/>
                <w:szCs w:val="20"/>
              </w:rPr>
              <w:t>Ophthalmologist, optometrist, or other vision care staff</w:t>
            </w:r>
          </w:p>
        </w:tc>
        <w:tc>
          <w:tcPr>
            <w:tcW w:w="46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b/>
                <w:bCs/>
                <w:color w:val="333333"/>
                <w:sz w:val="20"/>
                <w:szCs w:val="20"/>
              </w:rPr>
            </w:pPr>
            <w:r w:rsidRPr="00D50590">
              <w:rPr>
                <w:rFonts w:eastAsia="Times New Roman" w:cs="Times New Roman"/>
                <w:b/>
                <w:bCs/>
                <w:color w:val="333333"/>
                <w:sz w:val="20"/>
                <w:szCs w:val="20"/>
              </w:rPr>
              <w:t>93.7% (344)</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5.2% (19)</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0.8% (3)</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0.0% (0)</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0.0% (0)</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0.0% (0)</w:t>
            </w:r>
          </w:p>
        </w:tc>
        <w:tc>
          <w:tcPr>
            <w:tcW w:w="41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0.3% (1)</w:t>
            </w:r>
          </w:p>
        </w:tc>
        <w:tc>
          <w:tcPr>
            <w:tcW w:w="614"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367</w:t>
            </w:r>
          </w:p>
        </w:tc>
      </w:tr>
      <w:tr w:rsidR="00D50590" w:rsidRPr="00D50590" w:rsidTr="00C0418D">
        <w:trPr>
          <w:tblCellSpacing w:w="0" w:type="dxa"/>
        </w:trPr>
        <w:tc>
          <w:tcPr>
            <w:tcW w:w="1485"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rPr>
                <w:rFonts w:eastAsia="Times New Roman" w:cs="Times New Roman"/>
                <w:b/>
                <w:bCs/>
                <w:color w:val="333333"/>
                <w:sz w:val="20"/>
                <w:szCs w:val="20"/>
              </w:rPr>
            </w:pPr>
            <w:r w:rsidRPr="00D50590">
              <w:rPr>
                <w:rFonts w:eastAsia="Times New Roman" w:cs="Times New Roman"/>
                <w:b/>
                <w:bCs/>
                <w:color w:val="333333"/>
                <w:sz w:val="20"/>
                <w:szCs w:val="20"/>
              </w:rPr>
              <w:t>Pharmacy personnel</w:t>
            </w:r>
          </w:p>
        </w:tc>
        <w:tc>
          <w:tcPr>
            <w:tcW w:w="46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b/>
                <w:bCs/>
                <w:color w:val="333333"/>
                <w:sz w:val="20"/>
                <w:szCs w:val="20"/>
              </w:rPr>
            </w:pPr>
            <w:r w:rsidRPr="00D50590">
              <w:rPr>
                <w:rFonts w:eastAsia="Times New Roman" w:cs="Times New Roman"/>
                <w:b/>
                <w:bCs/>
                <w:color w:val="333333"/>
                <w:sz w:val="20"/>
                <w:szCs w:val="20"/>
              </w:rPr>
              <w:t>87.5% (321)</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8.4% (31)</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3.5% (13)</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0.3% (1)</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0.0% (0)</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0.0% (0)</w:t>
            </w:r>
          </w:p>
        </w:tc>
        <w:tc>
          <w:tcPr>
            <w:tcW w:w="41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0.3% (1)</w:t>
            </w:r>
          </w:p>
        </w:tc>
        <w:tc>
          <w:tcPr>
            <w:tcW w:w="614"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367</w:t>
            </w:r>
          </w:p>
        </w:tc>
      </w:tr>
      <w:tr w:rsidR="00D50590" w:rsidRPr="00D50590" w:rsidTr="00C0418D">
        <w:trPr>
          <w:tblCellSpacing w:w="0" w:type="dxa"/>
        </w:trPr>
        <w:tc>
          <w:tcPr>
            <w:tcW w:w="1485"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rPr>
                <w:rFonts w:eastAsia="Times New Roman" w:cs="Times New Roman"/>
                <w:b/>
                <w:bCs/>
                <w:color w:val="333333"/>
                <w:sz w:val="20"/>
                <w:szCs w:val="20"/>
              </w:rPr>
            </w:pPr>
            <w:r w:rsidRPr="00D50590">
              <w:rPr>
                <w:rFonts w:eastAsia="Times New Roman" w:cs="Times New Roman"/>
                <w:b/>
                <w:bCs/>
                <w:color w:val="333333"/>
                <w:sz w:val="20"/>
                <w:szCs w:val="20"/>
              </w:rPr>
              <w:t>Case manager, health education specialist, outreach worker, transportation staff, eligibility assistance worker, interpretation staff</w:t>
            </w:r>
          </w:p>
        </w:tc>
        <w:tc>
          <w:tcPr>
            <w:tcW w:w="46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b/>
                <w:bCs/>
                <w:color w:val="333333"/>
                <w:sz w:val="20"/>
                <w:szCs w:val="20"/>
              </w:rPr>
            </w:pPr>
            <w:r w:rsidRPr="00D50590">
              <w:rPr>
                <w:rFonts w:eastAsia="Times New Roman" w:cs="Times New Roman"/>
                <w:b/>
                <w:bCs/>
                <w:color w:val="333333"/>
                <w:sz w:val="20"/>
                <w:szCs w:val="20"/>
              </w:rPr>
              <w:t>60.5% (222)</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18.5% (68)</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12.8% (47)</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4.1% (15)</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1.4% (5)</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0.8% (3)</w:t>
            </w:r>
          </w:p>
        </w:tc>
        <w:tc>
          <w:tcPr>
            <w:tcW w:w="41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1.9% (7)</w:t>
            </w:r>
          </w:p>
        </w:tc>
        <w:tc>
          <w:tcPr>
            <w:tcW w:w="614"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367</w:t>
            </w:r>
          </w:p>
        </w:tc>
      </w:tr>
      <w:tr w:rsidR="00D50590" w:rsidRPr="00D50590" w:rsidTr="00C0418D">
        <w:trPr>
          <w:tblCellSpacing w:w="0" w:type="dxa"/>
        </w:trPr>
        <w:tc>
          <w:tcPr>
            <w:tcW w:w="1485"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rPr>
                <w:rFonts w:eastAsia="Times New Roman" w:cs="Times New Roman"/>
                <w:b/>
                <w:bCs/>
                <w:color w:val="333333"/>
                <w:sz w:val="20"/>
                <w:szCs w:val="20"/>
              </w:rPr>
            </w:pPr>
            <w:r w:rsidRPr="00D50590">
              <w:rPr>
                <w:rFonts w:eastAsia="Times New Roman" w:cs="Times New Roman"/>
                <w:b/>
                <w:bCs/>
                <w:color w:val="333333"/>
                <w:sz w:val="20"/>
                <w:szCs w:val="20"/>
              </w:rPr>
              <w:t>Management and support staff, fiscal and billing staff, IT staff, facility staff, patient support staff</w:t>
            </w:r>
          </w:p>
        </w:tc>
        <w:tc>
          <w:tcPr>
            <w:tcW w:w="46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b/>
                <w:bCs/>
                <w:color w:val="333333"/>
                <w:sz w:val="20"/>
                <w:szCs w:val="20"/>
              </w:rPr>
            </w:pPr>
            <w:r w:rsidRPr="00D50590">
              <w:rPr>
                <w:rFonts w:eastAsia="Times New Roman" w:cs="Times New Roman"/>
                <w:b/>
                <w:bCs/>
                <w:color w:val="333333"/>
                <w:sz w:val="20"/>
                <w:szCs w:val="20"/>
              </w:rPr>
              <w:t>41.4% (152)</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25.6% (94)</w:t>
            </w:r>
          </w:p>
        </w:tc>
        <w:tc>
          <w:tcPr>
            <w:tcW w:w="44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15.0% (55)</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5.4% (20)</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3.3% (12)</w:t>
            </w:r>
          </w:p>
        </w:tc>
        <w:tc>
          <w:tcPr>
            <w:tcW w:w="381"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4.1% (15)</w:t>
            </w:r>
          </w:p>
        </w:tc>
        <w:tc>
          <w:tcPr>
            <w:tcW w:w="412"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5.2% (19)</w:t>
            </w:r>
          </w:p>
        </w:tc>
        <w:tc>
          <w:tcPr>
            <w:tcW w:w="614" w:type="pct"/>
            <w:shd w:val="clear" w:color="auto" w:fill="F0EFEE"/>
            <w:tcMar>
              <w:top w:w="107" w:type="dxa"/>
              <w:left w:w="86" w:type="dxa"/>
              <w:bottom w:w="107" w:type="dxa"/>
              <w:right w:w="161" w:type="dxa"/>
            </w:tcMar>
            <w:vAlign w:val="center"/>
            <w:hideMark/>
          </w:tcPr>
          <w:p w:rsidR="00D50590" w:rsidRPr="00D50590" w:rsidRDefault="00D50590" w:rsidP="00F6273F">
            <w:pPr>
              <w:spacing w:after="0" w:line="240" w:lineRule="auto"/>
              <w:jc w:val="right"/>
              <w:rPr>
                <w:rFonts w:eastAsia="Times New Roman" w:cs="Times New Roman"/>
                <w:color w:val="333333"/>
                <w:sz w:val="20"/>
                <w:szCs w:val="20"/>
              </w:rPr>
            </w:pPr>
            <w:r w:rsidRPr="00D50590">
              <w:rPr>
                <w:rFonts w:eastAsia="Times New Roman" w:cs="Times New Roman"/>
                <w:color w:val="333333"/>
                <w:sz w:val="20"/>
                <w:szCs w:val="20"/>
              </w:rPr>
              <w:t>367</w:t>
            </w:r>
          </w:p>
        </w:tc>
      </w:tr>
    </w:tbl>
    <w:p w:rsidR="00D50590" w:rsidRDefault="00D50590" w:rsidP="00D50590">
      <w:pPr>
        <w:pStyle w:val="NoSpacing"/>
      </w:pPr>
    </w:p>
    <w:tbl>
      <w:tblPr>
        <w:tblW w:w="5000" w:type="pct"/>
        <w:tblCellSpacing w:w="0"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tblPr>
      <w:tblGrid>
        <w:gridCol w:w="3557"/>
        <w:gridCol w:w="753"/>
        <w:gridCol w:w="753"/>
        <w:gridCol w:w="747"/>
        <w:gridCol w:w="747"/>
        <w:gridCol w:w="645"/>
        <w:gridCol w:w="645"/>
        <w:gridCol w:w="747"/>
        <w:gridCol w:w="1073"/>
      </w:tblGrid>
      <w:tr w:rsidR="008F30D4" w:rsidRPr="008F30D4" w:rsidTr="00C0418D">
        <w:trPr>
          <w:tblHeader/>
          <w:tblCellSpacing w:w="0" w:type="dxa"/>
        </w:trPr>
        <w:tc>
          <w:tcPr>
            <w:tcW w:w="5000" w:type="pct"/>
            <w:gridSpan w:val="9"/>
            <w:shd w:val="clear" w:color="auto" w:fill="E6ECC0"/>
            <w:tcMar>
              <w:top w:w="107" w:type="dxa"/>
              <w:left w:w="86" w:type="dxa"/>
              <w:bottom w:w="107" w:type="dxa"/>
              <w:right w:w="161" w:type="dxa"/>
            </w:tcMar>
            <w:vAlign w:val="center"/>
            <w:hideMark/>
          </w:tcPr>
          <w:p w:rsidR="008F30D4" w:rsidRPr="008F30D4" w:rsidRDefault="00C33368" w:rsidP="008F30D4">
            <w:pPr>
              <w:spacing w:after="430" w:line="172" w:lineRule="atLeast"/>
              <w:rPr>
                <w:rFonts w:eastAsia="Times New Roman" w:cs="Times New Roman"/>
                <w:b/>
                <w:bCs/>
                <w:color w:val="333333"/>
                <w:sz w:val="20"/>
                <w:szCs w:val="20"/>
              </w:rPr>
            </w:pPr>
            <w:r>
              <w:rPr>
                <w:rFonts w:eastAsia="Times New Roman" w:cs="Times New Roman"/>
                <w:b/>
                <w:bCs/>
                <w:color w:val="333333"/>
                <w:sz w:val="20"/>
                <w:szCs w:val="20"/>
              </w:rPr>
              <w:lastRenderedPageBreak/>
              <w:t>Q</w:t>
            </w:r>
            <w:r w:rsidR="008F30D4" w:rsidRPr="008F30D4">
              <w:rPr>
                <w:rFonts w:eastAsia="Times New Roman" w:cs="Times New Roman"/>
                <w:b/>
                <w:bCs/>
                <w:color w:val="333333"/>
                <w:sz w:val="20"/>
                <w:szCs w:val="20"/>
              </w:rPr>
              <w:t>2. Please identify the number of employment vacancies filled by new employees hired since August 2011.</w:t>
            </w:r>
          </w:p>
        </w:tc>
      </w:tr>
      <w:tr w:rsidR="008F30D4" w:rsidRPr="008F30D4" w:rsidTr="00C0418D">
        <w:trPr>
          <w:tblCellSpacing w:w="0" w:type="dxa"/>
        </w:trPr>
        <w:tc>
          <w:tcPr>
            <w:tcW w:w="1842" w:type="pct"/>
            <w:shd w:val="clear" w:color="auto" w:fill="F0EFEE"/>
            <w:tcMar>
              <w:top w:w="107" w:type="dxa"/>
              <w:left w:w="86" w:type="dxa"/>
              <w:bottom w:w="107" w:type="dxa"/>
              <w:right w:w="161" w:type="dxa"/>
            </w:tcMar>
            <w:vAlign w:val="cente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 </w:t>
            </w:r>
          </w:p>
        </w:tc>
        <w:tc>
          <w:tcPr>
            <w:tcW w:w="391" w:type="pct"/>
            <w:shd w:val="clear" w:color="auto" w:fill="F0EFEE"/>
            <w:tcMar>
              <w:top w:w="107" w:type="dxa"/>
              <w:left w:w="86" w:type="dxa"/>
              <w:bottom w:w="107" w:type="dxa"/>
              <w:right w:w="161" w:type="dxa"/>
            </w:tcMa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0</w:t>
            </w:r>
          </w:p>
        </w:tc>
        <w:tc>
          <w:tcPr>
            <w:tcW w:w="391" w:type="pct"/>
            <w:shd w:val="clear" w:color="auto" w:fill="F0EFEE"/>
            <w:tcMar>
              <w:top w:w="107" w:type="dxa"/>
              <w:left w:w="86" w:type="dxa"/>
              <w:bottom w:w="107" w:type="dxa"/>
              <w:right w:w="161" w:type="dxa"/>
            </w:tcMa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1</w:t>
            </w:r>
          </w:p>
        </w:tc>
        <w:tc>
          <w:tcPr>
            <w:tcW w:w="388" w:type="pct"/>
            <w:shd w:val="clear" w:color="auto" w:fill="F0EFEE"/>
            <w:tcMar>
              <w:top w:w="107" w:type="dxa"/>
              <w:left w:w="86" w:type="dxa"/>
              <w:bottom w:w="107" w:type="dxa"/>
              <w:right w:w="161" w:type="dxa"/>
            </w:tcMa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2</w:t>
            </w:r>
          </w:p>
        </w:tc>
        <w:tc>
          <w:tcPr>
            <w:tcW w:w="388" w:type="pct"/>
            <w:shd w:val="clear" w:color="auto" w:fill="F0EFEE"/>
            <w:tcMar>
              <w:top w:w="107" w:type="dxa"/>
              <w:left w:w="86" w:type="dxa"/>
              <w:bottom w:w="107" w:type="dxa"/>
              <w:right w:w="161" w:type="dxa"/>
            </w:tcMa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3</w:t>
            </w:r>
          </w:p>
        </w:tc>
        <w:tc>
          <w:tcPr>
            <w:tcW w:w="335" w:type="pct"/>
            <w:shd w:val="clear" w:color="auto" w:fill="F0EFEE"/>
            <w:tcMar>
              <w:top w:w="107" w:type="dxa"/>
              <w:left w:w="86" w:type="dxa"/>
              <w:bottom w:w="107" w:type="dxa"/>
              <w:right w:w="161" w:type="dxa"/>
            </w:tcMa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4</w:t>
            </w:r>
          </w:p>
        </w:tc>
        <w:tc>
          <w:tcPr>
            <w:tcW w:w="335" w:type="pct"/>
            <w:shd w:val="clear" w:color="auto" w:fill="F0EFEE"/>
            <w:tcMar>
              <w:top w:w="107" w:type="dxa"/>
              <w:left w:w="86" w:type="dxa"/>
              <w:bottom w:w="107" w:type="dxa"/>
              <w:right w:w="161" w:type="dxa"/>
            </w:tcMa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5</w:t>
            </w:r>
          </w:p>
        </w:tc>
        <w:tc>
          <w:tcPr>
            <w:tcW w:w="388" w:type="pct"/>
            <w:shd w:val="clear" w:color="auto" w:fill="F0EFEE"/>
            <w:tcMar>
              <w:top w:w="107" w:type="dxa"/>
              <w:left w:w="86" w:type="dxa"/>
              <w:bottom w:w="107" w:type="dxa"/>
              <w:right w:w="161" w:type="dxa"/>
            </w:tcMa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More than 5</w:t>
            </w:r>
          </w:p>
        </w:tc>
        <w:tc>
          <w:tcPr>
            <w:tcW w:w="543" w:type="pct"/>
            <w:shd w:val="clear" w:color="auto" w:fill="F0EFEE"/>
            <w:tcMar>
              <w:top w:w="107" w:type="dxa"/>
              <w:left w:w="86" w:type="dxa"/>
              <w:bottom w:w="107" w:type="dxa"/>
              <w:right w:w="161" w:type="dxa"/>
            </w:tcMar>
            <w:hideMark/>
          </w:tcPr>
          <w:p w:rsidR="008F30D4" w:rsidRPr="008F30D4" w:rsidRDefault="008F30D4" w:rsidP="008F30D4">
            <w:pPr>
              <w:spacing w:after="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Response</w:t>
            </w:r>
            <w:r w:rsidRPr="008F30D4">
              <w:rPr>
                <w:rFonts w:eastAsia="Times New Roman" w:cs="Times New Roman"/>
                <w:b/>
                <w:bCs/>
                <w:color w:val="333333"/>
                <w:sz w:val="20"/>
                <w:szCs w:val="20"/>
              </w:rPr>
              <w:br/>
              <w:t>Count</w:t>
            </w:r>
          </w:p>
        </w:tc>
      </w:tr>
      <w:tr w:rsidR="008F30D4" w:rsidRPr="008F30D4" w:rsidTr="00C0418D">
        <w:trPr>
          <w:tblCellSpacing w:w="0" w:type="dxa"/>
        </w:trPr>
        <w:tc>
          <w:tcPr>
            <w:tcW w:w="184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Family physician, general practitioner, internists, obstetrician/gynecologists, pediatricians, or other specialty physicians</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32.4% (119)</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29.2% (107)</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17.2% (63)</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6.0% (22)</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3.5% (13)</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3.0% (11)</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8.7% (32)</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84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Nurse practitioner, physician assistant, certified nurse midwife</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33.2% (122)</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29.7% (109)</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16.1% (59)</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9.5% (35)</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3.3% (12)</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1.1% (4)</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7.1% (26)</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84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Nurse, laboratory personnel, X-ray personnel, or other medical personnel</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30.0% (110)</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16.9% (62)</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13.9% (51)</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10.4% (38)</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4.1% (15)</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4.1% (15)</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20.7% (76)</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84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Dentist, dental hygienist, dental assistant, dental aide, dental tech</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46.0% (169)</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21.3% (78)</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10.6% (39)</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9.3% (34)</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2.7% (10)</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0.5% (2)</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9.5% (35)</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84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Psychiatrist, licensed clinical psychologist, licensed clinical social worker, or other mental health staff</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61.6% (226)</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21.5% (79)</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7.4% (27)</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3.5% (13)</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1.6% (6)</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1.4% (5)</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3.0% (11)</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84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Ophthalmologist, optometrist, or other vision care staff</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97.5% (358)</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1.4% (5)</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0.3% (1)</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0.0% (0)</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0.3% (1)</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0.0% (0)</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0.5% (2)</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84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Pharmacy personnel</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76.6% (281)</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9.8% (36)</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6.8% (25)</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3.0% (11)</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0.5% (2)</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0.3% (1)</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3.0% (11)</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84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Case manager, health education specialist, outreach worker, transportation staff, eligibility assistance worker, interpretation staff</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52.0% (191)</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19.1% (70)</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11.4% (42)</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4.6% (17)</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2.7% (10)</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1.9% (7)</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8.2% (30)</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84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Management and support staff, fiscal and billing staff, IT staff, facility staff, patient support staff</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22.9% (84)</w:t>
            </w:r>
          </w:p>
        </w:tc>
        <w:tc>
          <w:tcPr>
            <w:tcW w:w="391"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24.0% (88)</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13.9% (51)</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10.1% (37)</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3.5% (13)</w:t>
            </w:r>
          </w:p>
        </w:tc>
        <w:tc>
          <w:tcPr>
            <w:tcW w:w="335"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2.7% (10)</w:t>
            </w:r>
          </w:p>
        </w:tc>
        <w:tc>
          <w:tcPr>
            <w:tcW w:w="388"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22.9% (84)</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bl>
    <w:p w:rsidR="008F30D4" w:rsidRDefault="008F30D4" w:rsidP="00D50590">
      <w:pPr>
        <w:pStyle w:val="NoSpacing"/>
      </w:pPr>
    </w:p>
    <w:p w:rsidR="008F30D4" w:rsidRDefault="008F30D4" w:rsidP="00D50590">
      <w:pPr>
        <w:pStyle w:val="NoSpacing"/>
      </w:pPr>
    </w:p>
    <w:p w:rsidR="008F30D4" w:rsidRDefault="008F30D4" w:rsidP="00D50590">
      <w:pPr>
        <w:pStyle w:val="NoSpacing"/>
      </w:pPr>
    </w:p>
    <w:p w:rsidR="008F30D4" w:rsidRDefault="008F30D4" w:rsidP="00D50590">
      <w:pPr>
        <w:pStyle w:val="NoSpacing"/>
      </w:pPr>
    </w:p>
    <w:p w:rsidR="008F30D4" w:rsidRDefault="008F30D4" w:rsidP="00D50590">
      <w:pPr>
        <w:pStyle w:val="NoSpacing"/>
      </w:pPr>
    </w:p>
    <w:p w:rsidR="008F30D4" w:rsidRDefault="008F30D4" w:rsidP="00D50590">
      <w:pPr>
        <w:pStyle w:val="NoSpacing"/>
      </w:pPr>
    </w:p>
    <w:tbl>
      <w:tblPr>
        <w:tblW w:w="5000" w:type="pct"/>
        <w:tblCellSpacing w:w="0"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tblPr>
      <w:tblGrid>
        <w:gridCol w:w="3696"/>
        <w:gridCol w:w="1457"/>
        <w:gridCol w:w="1457"/>
        <w:gridCol w:w="882"/>
        <w:gridCol w:w="1102"/>
        <w:gridCol w:w="1073"/>
      </w:tblGrid>
      <w:tr w:rsidR="008F30D4" w:rsidRPr="008F30D4" w:rsidTr="00C0418D">
        <w:trPr>
          <w:tblHeader/>
          <w:tblCellSpacing w:w="0" w:type="dxa"/>
        </w:trPr>
        <w:tc>
          <w:tcPr>
            <w:tcW w:w="5000" w:type="pct"/>
            <w:gridSpan w:val="6"/>
            <w:shd w:val="clear" w:color="auto" w:fill="E6ECC0"/>
            <w:tcMar>
              <w:top w:w="107" w:type="dxa"/>
              <w:left w:w="86" w:type="dxa"/>
              <w:bottom w:w="107" w:type="dxa"/>
              <w:right w:w="161" w:type="dxa"/>
            </w:tcMar>
            <w:vAlign w:val="center"/>
            <w:hideMark/>
          </w:tcPr>
          <w:p w:rsidR="008F30D4" w:rsidRPr="008F30D4" w:rsidRDefault="00C33368" w:rsidP="008F30D4">
            <w:pPr>
              <w:spacing w:after="430" w:line="172" w:lineRule="atLeast"/>
              <w:rPr>
                <w:rFonts w:eastAsia="Times New Roman" w:cs="Times New Roman"/>
                <w:b/>
                <w:bCs/>
                <w:color w:val="333333"/>
                <w:sz w:val="20"/>
                <w:szCs w:val="20"/>
              </w:rPr>
            </w:pPr>
            <w:r>
              <w:rPr>
                <w:rFonts w:eastAsia="Times New Roman" w:cs="Times New Roman"/>
                <w:b/>
                <w:bCs/>
                <w:color w:val="333333"/>
                <w:sz w:val="20"/>
                <w:szCs w:val="20"/>
              </w:rPr>
              <w:lastRenderedPageBreak/>
              <w:t>Q</w:t>
            </w:r>
            <w:r w:rsidR="008F30D4" w:rsidRPr="008F30D4">
              <w:rPr>
                <w:rFonts w:eastAsia="Times New Roman" w:cs="Times New Roman"/>
                <w:b/>
                <w:bCs/>
                <w:color w:val="333333"/>
                <w:sz w:val="20"/>
                <w:szCs w:val="20"/>
              </w:rPr>
              <w:t>3. Please approximate how long each employment vacancy was open for until being filled by new employees hired since August 2011. (Provide an average if there was more than one position open within an employment category)</w:t>
            </w:r>
          </w:p>
        </w:tc>
      </w:tr>
      <w:tr w:rsidR="008F30D4" w:rsidRPr="008F30D4" w:rsidTr="00413F1E">
        <w:trPr>
          <w:trHeight w:val="973"/>
          <w:tblCellSpacing w:w="0" w:type="dxa"/>
        </w:trPr>
        <w:tc>
          <w:tcPr>
            <w:tcW w:w="1914" w:type="pct"/>
            <w:shd w:val="clear" w:color="auto" w:fill="F0EFEE"/>
            <w:tcMar>
              <w:top w:w="107" w:type="dxa"/>
              <w:left w:w="86" w:type="dxa"/>
              <w:bottom w:w="107" w:type="dxa"/>
              <w:right w:w="161" w:type="dxa"/>
            </w:tcMar>
            <w:vAlign w:val="cente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 </w:t>
            </w:r>
          </w:p>
        </w:tc>
        <w:tc>
          <w:tcPr>
            <w:tcW w:w="756" w:type="pct"/>
            <w:shd w:val="clear" w:color="auto" w:fill="F0EFEE"/>
            <w:tcMar>
              <w:top w:w="107" w:type="dxa"/>
              <w:left w:w="86" w:type="dxa"/>
              <w:bottom w:w="107" w:type="dxa"/>
              <w:right w:w="161" w:type="dxa"/>
            </w:tcMa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Less than 6 months</w:t>
            </w:r>
          </w:p>
        </w:tc>
        <w:tc>
          <w:tcPr>
            <w:tcW w:w="756" w:type="pct"/>
            <w:shd w:val="clear" w:color="auto" w:fill="F0EFEE"/>
            <w:tcMar>
              <w:top w:w="107" w:type="dxa"/>
              <w:left w:w="86" w:type="dxa"/>
              <w:bottom w:w="107" w:type="dxa"/>
              <w:right w:w="161" w:type="dxa"/>
            </w:tcMa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6 to 12 months</w:t>
            </w:r>
          </w:p>
        </w:tc>
        <w:tc>
          <w:tcPr>
            <w:tcW w:w="459" w:type="pct"/>
            <w:shd w:val="clear" w:color="auto" w:fill="F0EFEE"/>
            <w:tcMar>
              <w:top w:w="107" w:type="dxa"/>
              <w:left w:w="86" w:type="dxa"/>
              <w:bottom w:w="107" w:type="dxa"/>
              <w:right w:w="161" w:type="dxa"/>
            </w:tcMa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More than 12 months</w:t>
            </w:r>
          </w:p>
        </w:tc>
        <w:tc>
          <w:tcPr>
            <w:tcW w:w="572" w:type="pct"/>
            <w:shd w:val="clear" w:color="auto" w:fill="F0EFEE"/>
            <w:tcMar>
              <w:top w:w="107" w:type="dxa"/>
              <w:left w:w="86" w:type="dxa"/>
              <w:bottom w:w="107" w:type="dxa"/>
              <w:right w:w="161" w:type="dxa"/>
            </w:tcMar>
            <w:hideMark/>
          </w:tcPr>
          <w:p w:rsidR="008F30D4" w:rsidRPr="008F30D4" w:rsidRDefault="008F30D4" w:rsidP="008F30D4">
            <w:pPr>
              <w:spacing w:after="43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Not applicable</w:t>
            </w:r>
          </w:p>
        </w:tc>
        <w:tc>
          <w:tcPr>
            <w:tcW w:w="543" w:type="pct"/>
            <w:shd w:val="clear" w:color="auto" w:fill="F0EFEE"/>
            <w:tcMar>
              <w:top w:w="107" w:type="dxa"/>
              <w:left w:w="86" w:type="dxa"/>
              <w:bottom w:w="107" w:type="dxa"/>
              <w:right w:w="161" w:type="dxa"/>
            </w:tcMar>
            <w:hideMark/>
          </w:tcPr>
          <w:p w:rsidR="008F30D4" w:rsidRPr="008F30D4" w:rsidRDefault="008F30D4" w:rsidP="008F30D4">
            <w:pPr>
              <w:spacing w:after="0" w:line="240" w:lineRule="auto"/>
              <w:jc w:val="center"/>
              <w:rPr>
                <w:rFonts w:eastAsia="Times New Roman" w:cs="Times New Roman"/>
                <w:b/>
                <w:bCs/>
                <w:color w:val="333333"/>
                <w:sz w:val="20"/>
                <w:szCs w:val="20"/>
              </w:rPr>
            </w:pPr>
            <w:r w:rsidRPr="008F30D4">
              <w:rPr>
                <w:rFonts w:eastAsia="Times New Roman" w:cs="Times New Roman"/>
                <w:b/>
                <w:bCs/>
                <w:color w:val="333333"/>
                <w:sz w:val="20"/>
                <w:szCs w:val="20"/>
              </w:rPr>
              <w:t>Response</w:t>
            </w:r>
            <w:r w:rsidRPr="008F30D4">
              <w:rPr>
                <w:rFonts w:eastAsia="Times New Roman" w:cs="Times New Roman"/>
                <w:b/>
                <w:bCs/>
                <w:color w:val="333333"/>
                <w:sz w:val="20"/>
                <w:szCs w:val="20"/>
              </w:rPr>
              <w:br/>
              <w:t>Count</w:t>
            </w:r>
          </w:p>
        </w:tc>
      </w:tr>
      <w:tr w:rsidR="008F30D4" w:rsidRPr="008F30D4" w:rsidTr="00C0418D">
        <w:trPr>
          <w:tblCellSpacing w:w="0" w:type="dxa"/>
        </w:trPr>
        <w:tc>
          <w:tcPr>
            <w:tcW w:w="1914"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Family physician, general practitioner, internists, obstetrician/gynecologists, pediatricians, or other specialty physicians</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27.8% (102)</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30.5% (112)</w:t>
            </w:r>
          </w:p>
        </w:tc>
        <w:tc>
          <w:tcPr>
            <w:tcW w:w="459"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15.0% (55)</w:t>
            </w:r>
          </w:p>
        </w:tc>
        <w:tc>
          <w:tcPr>
            <w:tcW w:w="57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26.7% (98)</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914"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Nurse practitioner, physician assistant, certified nurse midwife</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45.0% (165)</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22.3% (82)</w:t>
            </w:r>
          </w:p>
        </w:tc>
        <w:tc>
          <w:tcPr>
            <w:tcW w:w="459"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3.0% (11)</w:t>
            </w:r>
          </w:p>
        </w:tc>
        <w:tc>
          <w:tcPr>
            <w:tcW w:w="57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29.7% (109)</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914"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Nurse, laboratory personnel, X-ray personnel, or other medical personnel</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64.6% (237)</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6.5% (24)</w:t>
            </w:r>
          </w:p>
        </w:tc>
        <w:tc>
          <w:tcPr>
            <w:tcW w:w="459"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1.4% (5)</w:t>
            </w:r>
          </w:p>
        </w:tc>
        <w:tc>
          <w:tcPr>
            <w:tcW w:w="57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27.5% (101)</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914"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Dentist, dental hygienist, dental assistant, dental aide, dental tech</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44.1% (162)</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11.7% (43)</w:t>
            </w:r>
          </w:p>
        </w:tc>
        <w:tc>
          <w:tcPr>
            <w:tcW w:w="459"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3.3% (12)</w:t>
            </w:r>
          </w:p>
        </w:tc>
        <w:tc>
          <w:tcPr>
            <w:tcW w:w="57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40.9% (150)</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914"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Psychiatrist, licensed clinical psychologist, licensed clinical social worker, or other mental health staff</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29.4% (108)</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12.8% (47)</w:t>
            </w:r>
          </w:p>
        </w:tc>
        <w:tc>
          <w:tcPr>
            <w:tcW w:w="459"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5.7% (21)</w:t>
            </w:r>
          </w:p>
        </w:tc>
        <w:tc>
          <w:tcPr>
            <w:tcW w:w="57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52.0% (191)</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914"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Ophthalmologist, optometrist, or other vision care staff</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14.2% (52)</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0.0% (0)</w:t>
            </w:r>
          </w:p>
        </w:tc>
        <w:tc>
          <w:tcPr>
            <w:tcW w:w="459"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0.3% (1)</w:t>
            </w:r>
          </w:p>
        </w:tc>
        <w:tc>
          <w:tcPr>
            <w:tcW w:w="57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85.6% (314)</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914"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Pharmacy personnel</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31.3% (115)</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1.6% (6)</w:t>
            </w:r>
          </w:p>
        </w:tc>
        <w:tc>
          <w:tcPr>
            <w:tcW w:w="459"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0.8% (3)</w:t>
            </w:r>
          </w:p>
        </w:tc>
        <w:tc>
          <w:tcPr>
            <w:tcW w:w="57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66.2% (243)</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914"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Case manager, health education specialist, outreach worker, transportation staff, eligibility assistance worker, interpretation staff</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48.0% (176)</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7.4% (27)</w:t>
            </w:r>
          </w:p>
        </w:tc>
        <w:tc>
          <w:tcPr>
            <w:tcW w:w="459"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0.8% (3)</w:t>
            </w:r>
          </w:p>
        </w:tc>
        <w:tc>
          <w:tcPr>
            <w:tcW w:w="57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43.9% (161)</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r w:rsidR="008F30D4" w:rsidRPr="008F30D4" w:rsidTr="00C0418D">
        <w:trPr>
          <w:tblCellSpacing w:w="0" w:type="dxa"/>
        </w:trPr>
        <w:tc>
          <w:tcPr>
            <w:tcW w:w="1914"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rPr>
                <w:rFonts w:eastAsia="Times New Roman" w:cs="Times New Roman"/>
                <w:b/>
                <w:bCs/>
                <w:color w:val="333333"/>
                <w:sz w:val="20"/>
                <w:szCs w:val="20"/>
              </w:rPr>
            </w:pPr>
            <w:r w:rsidRPr="008F30D4">
              <w:rPr>
                <w:rFonts w:eastAsia="Times New Roman" w:cs="Times New Roman"/>
                <w:b/>
                <w:bCs/>
                <w:color w:val="333333"/>
                <w:sz w:val="20"/>
                <w:szCs w:val="20"/>
              </w:rPr>
              <w:t>Management and support staff, fiscal and billing staff, IT staff, facility staff, patient support staff</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b/>
                <w:bCs/>
                <w:color w:val="333333"/>
                <w:sz w:val="20"/>
                <w:szCs w:val="20"/>
              </w:rPr>
            </w:pPr>
            <w:r w:rsidRPr="008F30D4">
              <w:rPr>
                <w:rFonts w:eastAsia="Times New Roman" w:cs="Times New Roman"/>
                <w:b/>
                <w:bCs/>
                <w:color w:val="333333"/>
                <w:sz w:val="20"/>
                <w:szCs w:val="20"/>
              </w:rPr>
              <w:t>66.5% (244)</w:t>
            </w:r>
          </w:p>
        </w:tc>
        <w:tc>
          <w:tcPr>
            <w:tcW w:w="756"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11.2% (41)</w:t>
            </w:r>
          </w:p>
        </w:tc>
        <w:tc>
          <w:tcPr>
            <w:tcW w:w="459"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2.7% (10)</w:t>
            </w:r>
          </w:p>
        </w:tc>
        <w:tc>
          <w:tcPr>
            <w:tcW w:w="572"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19.6% (72)</w:t>
            </w:r>
          </w:p>
        </w:tc>
        <w:tc>
          <w:tcPr>
            <w:tcW w:w="543" w:type="pct"/>
            <w:shd w:val="clear" w:color="auto" w:fill="F0EFEE"/>
            <w:tcMar>
              <w:top w:w="107" w:type="dxa"/>
              <w:left w:w="86" w:type="dxa"/>
              <w:bottom w:w="107" w:type="dxa"/>
              <w:right w:w="161" w:type="dxa"/>
            </w:tcMar>
            <w:vAlign w:val="center"/>
            <w:hideMark/>
          </w:tcPr>
          <w:p w:rsidR="008F30D4" w:rsidRPr="008F30D4" w:rsidRDefault="008F30D4" w:rsidP="008F30D4">
            <w:pPr>
              <w:spacing w:after="0" w:line="240" w:lineRule="auto"/>
              <w:jc w:val="right"/>
              <w:rPr>
                <w:rFonts w:eastAsia="Times New Roman" w:cs="Times New Roman"/>
                <w:color w:val="333333"/>
                <w:sz w:val="20"/>
                <w:szCs w:val="20"/>
              </w:rPr>
            </w:pPr>
            <w:r w:rsidRPr="008F30D4">
              <w:rPr>
                <w:rFonts w:eastAsia="Times New Roman" w:cs="Times New Roman"/>
                <w:color w:val="333333"/>
                <w:sz w:val="20"/>
                <w:szCs w:val="20"/>
              </w:rPr>
              <w:t>367</w:t>
            </w:r>
          </w:p>
        </w:tc>
      </w:tr>
    </w:tbl>
    <w:p w:rsidR="00C33368" w:rsidRDefault="00C33368" w:rsidP="00D50590">
      <w:pPr>
        <w:pStyle w:val="NoSpacing"/>
      </w:pPr>
    </w:p>
    <w:p w:rsidR="00C33368" w:rsidRDefault="00C33368">
      <w:r>
        <w:br w:type="page"/>
      </w:r>
    </w:p>
    <w:tbl>
      <w:tblPr>
        <w:tblW w:w="5000" w:type="pct"/>
        <w:tblCellSpacing w:w="0"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tblPr>
      <w:tblGrid>
        <w:gridCol w:w="3666"/>
        <w:gridCol w:w="752"/>
        <w:gridCol w:w="747"/>
        <w:gridCol w:w="645"/>
        <w:gridCol w:w="645"/>
        <w:gridCol w:w="645"/>
        <w:gridCol w:w="747"/>
        <w:gridCol w:w="747"/>
        <w:gridCol w:w="1073"/>
      </w:tblGrid>
      <w:tr w:rsidR="00C33368" w:rsidRPr="00C33368" w:rsidTr="00C0418D">
        <w:trPr>
          <w:tblHeader/>
          <w:tblCellSpacing w:w="0" w:type="dxa"/>
        </w:trPr>
        <w:tc>
          <w:tcPr>
            <w:tcW w:w="5000" w:type="pct"/>
            <w:gridSpan w:val="9"/>
            <w:shd w:val="clear" w:color="auto" w:fill="E6ECC0"/>
            <w:tcMar>
              <w:top w:w="107" w:type="dxa"/>
              <w:left w:w="86" w:type="dxa"/>
              <w:bottom w:w="107" w:type="dxa"/>
              <w:right w:w="161" w:type="dxa"/>
            </w:tcMar>
            <w:vAlign w:val="center"/>
            <w:hideMark/>
          </w:tcPr>
          <w:p w:rsidR="00C33368" w:rsidRPr="00C33368" w:rsidRDefault="00A972B5" w:rsidP="00C33368">
            <w:pPr>
              <w:spacing w:after="430" w:line="172" w:lineRule="atLeast"/>
              <w:rPr>
                <w:rFonts w:eastAsia="Times New Roman" w:cs="Times New Roman"/>
                <w:b/>
                <w:bCs/>
                <w:color w:val="333333"/>
                <w:sz w:val="20"/>
                <w:szCs w:val="20"/>
              </w:rPr>
            </w:pPr>
            <w:r>
              <w:rPr>
                <w:rFonts w:eastAsia="Times New Roman" w:cs="Times New Roman"/>
                <w:b/>
                <w:bCs/>
                <w:color w:val="333333"/>
                <w:sz w:val="20"/>
                <w:szCs w:val="20"/>
              </w:rPr>
              <w:lastRenderedPageBreak/>
              <w:t>Q</w:t>
            </w:r>
            <w:r w:rsidR="00C33368" w:rsidRPr="00C33368">
              <w:rPr>
                <w:rFonts w:eastAsia="Times New Roman" w:cs="Times New Roman"/>
                <w:b/>
                <w:bCs/>
                <w:color w:val="333333"/>
                <w:sz w:val="20"/>
                <w:szCs w:val="20"/>
              </w:rPr>
              <w:t>4. Please specify the number of any new civilian or military veteran employees hired by your organization since August 2011.</w:t>
            </w:r>
          </w:p>
        </w:tc>
      </w:tr>
      <w:tr w:rsidR="00C33368" w:rsidRPr="00C33368" w:rsidTr="00C0418D">
        <w:trPr>
          <w:tblCellSpacing w:w="0" w:type="dxa"/>
        </w:trPr>
        <w:tc>
          <w:tcPr>
            <w:tcW w:w="1898" w:type="pct"/>
            <w:shd w:val="clear" w:color="auto" w:fill="F0EFEE"/>
            <w:tcMar>
              <w:top w:w="107" w:type="dxa"/>
              <w:left w:w="86" w:type="dxa"/>
              <w:bottom w:w="107" w:type="dxa"/>
              <w:right w:w="161" w:type="dxa"/>
            </w:tcMar>
            <w:vAlign w:val="cente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 </w:t>
            </w:r>
          </w:p>
        </w:tc>
        <w:tc>
          <w:tcPr>
            <w:tcW w:w="391"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0</w:t>
            </w:r>
          </w:p>
        </w:tc>
        <w:tc>
          <w:tcPr>
            <w:tcW w:w="388"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1</w:t>
            </w:r>
          </w:p>
        </w:tc>
        <w:tc>
          <w:tcPr>
            <w:tcW w:w="335"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2</w:t>
            </w:r>
          </w:p>
        </w:tc>
        <w:tc>
          <w:tcPr>
            <w:tcW w:w="335"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3</w:t>
            </w:r>
          </w:p>
        </w:tc>
        <w:tc>
          <w:tcPr>
            <w:tcW w:w="335"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4</w:t>
            </w:r>
          </w:p>
        </w:tc>
        <w:tc>
          <w:tcPr>
            <w:tcW w:w="388"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5</w:t>
            </w:r>
          </w:p>
        </w:tc>
        <w:tc>
          <w:tcPr>
            <w:tcW w:w="388"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more than 5</w:t>
            </w:r>
          </w:p>
        </w:tc>
        <w:tc>
          <w:tcPr>
            <w:tcW w:w="543" w:type="pct"/>
            <w:shd w:val="clear" w:color="auto" w:fill="F0EFEE"/>
            <w:tcMar>
              <w:top w:w="107" w:type="dxa"/>
              <w:left w:w="86" w:type="dxa"/>
              <w:bottom w:w="107" w:type="dxa"/>
              <w:right w:w="161" w:type="dxa"/>
            </w:tcMar>
            <w:hideMark/>
          </w:tcPr>
          <w:p w:rsidR="00C33368" w:rsidRPr="00C33368" w:rsidRDefault="00C33368" w:rsidP="00C33368">
            <w:pPr>
              <w:spacing w:after="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Response</w:t>
            </w:r>
            <w:r w:rsidRPr="00C33368">
              <w:rPr>
                <w:rFonts w:eastAsia="Times New Roman" w:cs="Times New Roman"/>
                <w:b/>
                <w:bCs/>
                <w:color w:val="333333"/>
                <w:sz w:val="20"/>
                <w:szCs w:val="20"/>
              </w:rPr>
              <w:br/>
              <w:t>Count</w:t>
            </w:r>
          </w:p>
        </w:tc>
      </w:tr>
      <w:tr w:rsidR="00C33368" w:rsidRPr="00C33368" w:rsidTr="00C0418D">
        <w:trPr>
          <w:tblCellSpacing w:w="0" w:type="dxa"/>
        </w:trPr>
        <w:tc>
          <w:tcPr>
            <w:tcW w:w="189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Civilian (No military service history)</w:t>
            </w:r>
          </w:p>
        </w:tc>
        <w:tc>
          <w:tcPr>
            <w:tcW w:w="391"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32.2% (118)</w:t>
            </w:r>
          </w:p>
        </w:tc>
        <w:tc>
          <w:tcPr>
            <w:tcW w:w="38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4.9% (18)</w:t>
            </w:r>
          </w:p>
        </w:tc>
        <w:tc>
          <w:tcPr>
            <w:tcW w:w="33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7.1% (26)</w:t>
            </w:r>
          </w:p>
        </w:tc>
        <w:tc>
          <w:tcPr>
            <w:tcW w:w="33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7.1% (26)</w:t>
            </w:r>
          </w:p>
        </w:tc>
        <w:tc>
          <w:tcPr>
            <w:tcW w:w="33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5.2% (19)</w:t>
            </w:r>
          </w:p>
        </w:tc>
        <w:tc>
          <w:tcPr>
            <w:tcW w:w="38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24.3% (89)</w:t>
            </w:r>
          </w:p>
        </w:tc>
        <w:tc>
          <w:tcPr>
            <w:tcW w:w="38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19.3% (71)</w:t>
            </w:r>
          </w:p>
        </w:tc>
        <w:tc>
          <w:tcPr>
            <w:tcW w:w="543"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367</w:t>
            </w:r>
          </w:p>
        </w:tc>
      </w:tr>
      <w:tr w:rsidR="00C33368" w:rsidRPr="00C33368" w:rsidTr="00C0418D">
        <w:trPr>
          <w:tblCellSpacing w:w="0" w:type="dxa"/>
        </w:trPr>
        <w:tc>
          <w:tcPr>
            <w:tcW w:w="189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Military Veteran</w:t>
            </w:r>
          </w:p>
        </w:tc>
        <w:tc>
          <w:tcPr>
            <w:tcW w:w="391"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64.0% (235)</w:t>
            </w:r>
          </w:p>
        </w:tc>
        <w:tc>
          <w:tcPr>
            <w:tcW w:w="38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24.5% (90)</w:t>
            </w:r>
          </w:p>
        </w:tc>
        <w:tc>
          <w:tcPr>
            <w:tcW w:w="33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7.1% (26)</w:t>
            </w:r>
          </w:p>
        </w:tc>
        <w:tc>
          <w:tcPr>
            <w:tcW w:w="33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2.5% (9)</w:t>
            </w:r>
          </w:p>
        </w:tc>
        <w:tc>
          <w:tcPr>
            <w:tcW w:w="33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1.1% (4)</w:t>
            </w:r>
          </w:p>
        </w:tc>
        <w:tc>
          <w:tcPr>
            <w:tcW w:w="38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8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0.8% (3)</w:t>
            </w:r>
          </w:p>
        </w:tc>
        <w:tc>
          <w:tcPr>
            <w:tcW w:w="543"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367</w:t>
            </w:r>
          </w:p>
        </w:tc>
      </w:tr>
    </w:tbl>
    <w:p w:rsidR="008F30D4" w:rsidRDefault="00A9474E" w:rsidP="00D50590">
      <w:pPr>
        <w:pStyle w:val="NoSpacing"/>
      </w:pPr>
      <w:r>
        <w:rPr>
          <w:b/>
        </w:rPr>
        <w:t xml:space="preserve">Q4a. </w:t>
      </w:r>
      <w:r w:rsidRPr="00A9474E">
        <w:rPr>
          <w:b/>
        </w:rPr>
        <w:t>If more than 5, please specify how many and identify if the employees were civilians or veterans in the space provided below.</w:t>
      </w:r>
      <w:r w:rsidR="005A704E">
        <w:rPr>
          <w:b/>
        </w:rPr>
        <w:t xml:space="preserve"> </w:t>
      </w:r>
      <w:r w:rsidR="006D5C32">
        <w:rPr>
          <w:b/>
        </w:rPr>
        <w:t xml:space="preserve">Note: </w:t>
      </w:r>
      <w:r>
        <w:t>There was a fill-</w:t>
      </w:r>
      <w:r w:rsidR="006D5C32">
        <w:t xml:space="preserve">in portion to question </w:t>
      </w:r>
      <w:r w:rsidR="00A972B5">
        <w:t xml:space="preserve">4 </w:t>
      </w:r>
      <w:r w:rsidR="006D5C32">
        <w:t xml:space="preserve">for </w:t>
      </w:r>
      <w:r w:rsidR="00A972B5">
        <w:t>respondents that hired more than 5</w:t>
      </w:r>
      <w:r>
        <w:t xml:space="preserve"> employees since August 2011</w:t>
      </w:r>
      <w:r w:rsidR="00A972B5">
        <w:t xml:space="preserve">. </w:t>
      </w:r>
      <w:r>
        <w:t>Although 74 respondents indicated hiring more than 5 employees, only 54 provided a response to the fill-in portion.</w:t>
      </w:r>
    </w:p>
    <w:p w:rsidR="000B1D0E" w:rsidRDefault="000B1D0E" w:rsidP="000B1D0E">
      <w:pPr>
        <w:pStyle w:val="NoSpacing"/>
        <w:numPr>
          <w:ilvl w:val="0"/>
          <w:numId w:val="1"/>
        </w:numPr>
      </w:pPr>
      <w:r>
        <w:t xml:space="preserve">For respondents who indicated hiring more than 5 </w:t>
      </w:r>
      <w:r w:rsidRPr="000B1D0E">
        <w:rPr>
          <w:b/>
        </w:rPr>
        <w:t>civilians</w:t>
      </w:r>
      <w:r>
        <w:t xml:space="preserve"> (n=71), </w:t>
      </w:r>
      <w:r w:rsidR="0034204A">
        <w:t xml:space="preserve">68 specified how many. The total of civilian hires specified in Q4a. = </w:t>
      </w:r>
      <w:r w:rsidR="005A704E">
        <w:t>1,215</w:t>
      </w:r>
    </w:p>
    <w:p w:rsidR="0034204A" w:rsidRDefault="000B1D0E" w:rsidP="0034204A">
      <w:pPr>
        <w:pStyle w:val="NoSpacing"/>
        <w:numPr>
          <w:ilvl w:val="0"/>
          <w:numId w:val="1"/>
        </w:numPr>
      </w:pPr>
      <w:r>
        <w:t xml:space="preserve">For respondents who indicated hiring more than 5 </w:t>
      </w:r>
      <w:r w:rsidRPr="000B1D0E">
        <w:rPr>
          <w:b/>
        </w:rPr>
        <w:t>military veterans</w:t>
      </w:r>
      <w:r>
        <w:t xml:space="preserve"> (n=3), only one specified how many.</w:t>
      </w:r>
      <w:r w:rsidR="0034204A" w:rsidRPr="0034204A">
        <w:t xml:space="preserve"> </w:t>
      </w:r>
      <w:r w:rsidR="0034204A">
        <w:t>The total of military veteran hires specified in Q4a. = 10</w:t>
      </w:r>
    </w:p>
    <w:p w:rsidR="005A138F" w:rsidRDefault="005A138F" w:rsidP="005A138F">
      <w:pPr>
        <w:pStyle w:val="NoSpacing"/>
      </w:pPr>
      <w:r>
        <w:t>Adding the fill-in responses with the hires indicated in Q4…</w:t>
      </w:r>
    </w:p>
    <w:p w:rsidR="000B1D0E" w:rsidRDefault="005A138F" w:rsidP="005A138F">
      <w:pPr>
        <w:pStyle w:val="NoSpacing"/>
        <w:numPr>
          <w:ilvl w:val="0"/>
          <w:numId w:val="2"/>
        </w:numPr>
      </w:pPr>
      <w:r w:rsidRPr="005A704E">
        <w:rPr>
          <w:b/>
        </w:rPr>
        <w:t>Civilians</w:t>
      </w:r>
      <w:r>
        <w:t xml:space="preserve"> hired since August 2011</w:t>
      </w:r>
      <w:r w:rsidR="00AA721C">
        <w:t xml:space="preserve"> is at least </w:t>
      </w:r>
      <w:r>
        <w:t xml:space="preserve"> </w:t>
      </w:r>
      <w:r w:rsidR="009E253B" w:rsidRPr="009E253B">
        <w:rPr>
          <w:b/>
          <w:u w:val="single"/>
        </w:rPr>
        <w:t>1,884</w:t>
      </w:r>
    </w:p>
    <w:p w:rsidR="005A138F" w:rsidRPr="006D5C32" w:rsidRDefault="005A138F" w:rsidP="005A138F">
      <w:pPr>
        <w:pStyle w:val="NoSpacing"/>
        <w:numPr>
          <w:ilvl w:val="0"/>
          <w:numId w:val="2"/>
        </w:numPr>
      </w:pPr>
      <w:r w:rsidRPr="005A704E">
        <w:rPr>
          <w:b/>
        </w:rPr>
        <w:t>Military Veterans</w:t>
      </w:r>
      <w:r>
        <w:t xml:space="preserve"> hired since August 2011 is at least </w:t>
      </w:r>
      <w:r w:rsidRPr="00AA721C">
        <w:rPr>
          <w:b/>
          <w:u w:val="single"/>
        </w:rPr>
        <w:t>205</w:t>
      </w:r>
    </w:p>
    <w:p w:rsidR="00F6273F" w:rsidRDefault="00F6273F" w:rsidP="00D50590">
      <w:pPr>
        <w:pStyle w:val="NoSpacing"/>
      </w:pPr>
    </w:p>
    <w:tbl>
      <w:tblPr>
        <w:tblW w:w="5000" w:type="pct"/>
        <w:tblCellSpacing w:w="0"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4A0"/>
      </w:tblPr>
      <w:tblGrid>
        <w:gridCol w:w="3746"/>
        <w:gridCol w:w="63"/>
        <w:gridCol w:w="752"/>
        <w:gridCol w:w="746"/>
        <w:gridCol w:w="646"/>
        <w:gridCol w:w="646"/>
        <w:gridCol w:w="646"/>
        <w:gridCol w:w="247"/>
        <w:gridCol w:w="398"/>
        <w:gridCol w:w="704"/>
        <w:gridCol w:w="1073"/>
      </w:tblGrid>
      <w:tr w:rsidR="00C33368" w:rsidRPr="00C33368" w:rsidTr="00C0418D">
        <w:trPr>
          <w:tblHeader/>
          <w:tblCellSpacing w:w="0" w:type="dxa"/>
        </w:trPr>
        <w:tc>
          <w:tcPr>
            <w:tcW w:w="0" w:type="auto"/>
            <w:gridSpan w:val="11"/>
            <w:shd w:val="clear" w:color="auto" w:fill="E6ECC0"/>
            <w:tcMar>
              <w:top w:w="107" w:type="dxa"/>
              <w:left w:w="86" w:type="dxa"/>
              <w:bottom w:w="107" w:type="dxa"/>
              <w:right w:w="161" w:type="dxa"/>
            </w:tcMar>
            <w:vAlign w:val="center"/>
            <w:hideMark/>
          </w:tcPr>
          <w:p w:rsidR="00DF5324" w:rsidRPr="00C33368" w:rsidRDefault="00A972B5" w:rsidP="00C33368">
            <w:pPr>
              <w:spacing w:after="430" w:line="172" w:lineRule="atLeast"/>
              <w:rPr>
                <w:rFonts w:eastAsia="Times New Roman" w:cs="Times New Roman"/>
                <w:b/>
                <w:bCs/>
                <w:color w:val="333333"/>
                <w:sz w:val="20"/>
                <w:szCs w:val="20"/>
              </w:rPr>
            </w:pPr>
            <w:r>
              <w:rPr>
                <w:rFonts w:eastAsia="Times New Roman" w:cs="Times New Roman"/>
                <w:b/>
                <w:bCs/>
                <w:color w:val="333333"/>
                <w:sz w:val="20"/>
                <w:szCs w:val="20"/>
              </w:rPr>
              <w:t>Q</w:t>
            </w:r>
            <w:r w:rsidR="00C33368" w:rsidRPr="00C33368">
              <w:rPr>
                <w:rFonts w:eastAsia="Times New Roman" w:cs="Times New Roman"/>
                <w:b/>
                <w:bCs/>
                <w:color w:val="333333"/>
                <w:sz w:val="20"/>
                <w:szCs w:val="20"/>
              </w:rPr>
              <w:t>5. If you hired any veterans since August 2011, in general what were their years of service in the military? (Check all that apply)</w:t>
            </w:r>
            <w:r w:rsidR="00DF5324">
              <w:rPr>
                <w:rFonts w:eastAsia="Times New Roman" w:cs="Times New Roman"/>
                <w:b/>
                <w:bCs/>
                <w:color w:val="333333"/>
                <w:sz w:val="20"/>
                <w:szCs w:val="20"/>
              </w:rPr>
              <w:t xml:space="preserve">. </w:t>
            </w:r>
            <w:r w:rsidR="00DF5324" w:rsidRPr="00DF5324">
              <w:rPr>
                <w:rFonts w:eastAsia="Times New Roman" w:cs="Times New Roman"/>
                <w:b/>
                <w:bCs/>
                <w:i/>
                <w:color w:val="333333"/>
                <w:sz w:val="20"/>
                <w:szCs w:val="20"/>
              </w:rPr>
              <w:t>NOTE: 131 provided a response to this question.</w:t>
            </w:r>
          </w:p>
        </w:tc>
      </w:tr>
      <w:tr w:rsidR="00C33368" w:rsidRPr="00C33368" w:rsidTr="00C0418D">
        <w:trPr>
          <w:tblCellSpacing w:w="0" w:type="dxa"/>
        </w:trPr>
        <w:tc>
          <w:tcPr>
            <w:tcW w:w="0" w:type="auto"/>
            <w:gridSpan w:val="8"/>
            <w:shd w:val="clear" w:color="auto" w:fill="F0EFEE"/>
            <w:tcMar>
              <w:top w:w="107" w:type="dxa"/>
              <w:left w:w="86" w:type="dxa"/>
              <w:bottom w:w="107" w:type="dxa"/>
              <w:right w:w="161" w:type="dxa"/>
            </w:tcMar>
            <w:vAlign w:val="cente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 </w:t>
            </w:r>
          </w:p>
        </w:tc>
        <w:tc>
          <w:tcPr>
            <w:tcW w:w="0" w:type="auto"/>
            <w:gridSpan w:val="2"/>
            <w:tcMar>
              <w:top w:w="107" w:type="dxa"/>
              <w:left w:w="86" w:type="dxa"/>
              <w:bottom w:w="107" w:type="dxa"/>
              <w:right w:w="161" w:type="dxa"/>
            </w:tcMar>
            <w:vAlign w:val="center"/>
            <w:hideMark/>
          </w:tcPr>
          <w:p w:rsidR="00C33368" w:rsidRPr="00C33368" w:rsidRDefault="00C33368" w:rsidP="00C33368">
            <w:pPr>
              <w:spacing w:after="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Response</w:t>
            </w:r>
            <w:r w:rsidRPr="00C33368">
              <w:rPr>
                <w:rFonts w:eastAsia="Times New Roman" w:cs="Times New Roman"/>
                <w:b/>
                <w:bCs/>
                <w:color w:val="333333"/>
                <w:sz w:val="20"/>
                <w:szCs w:val="20"/>
              </w:rPr>
              <w:br/>
              <w:t>Percent</w:t>
            </w:r>
          </w:p>
        </w:tc>
        <w:tc>
          <w:tcPr>
            <w:tcW w:w="0" w:type="auto"/>
            <w:tcMar>
              <w:top w:w="107" w:type="dxa"/>
              <w:left w:w="86" w:type="dxa"/>
              <w:bottom w:w="107" w:type="dxa"/>
              <w:right w:w="161" w:type="dxa"/>
            </w:tcMar>
            <w:vAlign w:val="center"/>
            <w:hideMark/>
          </w:tcPr>
          <w:p w:rsidR="00C33368" w:rsidRPr="00C33368" w:rsidRDefault="00C33368" w:rsidP="00C33368">
            <w:pPr>
              <w:spacing w:after="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Response</w:t>
            </w:r>
            <w:r w:rsidRPr="00C33368">
              <w:rPr>
                <w:rFonts w:eastAsia="Times New Roman" w:cs="Times New Roman"/>
                <w:b/>
                <w:bCs/>
                <w:color w:val="333333"/>
                <w:sz w:val="20"/>
                <w:szCs w:val="20"/>
              </w:rPr>
              <w:br/>
              <w:t>Count</w:t>
            </w:r>
          </w:p>
        </w:tc>
      </w:tr>
      <w:tr w:rsidR="00C33368" w:rsidRPr="00C33368" w:rsidTr="00C0418D">
        <w:trPr>
          <w:tblCellSpacing w:w="0" w:type="dxa"/>
        </w:trPr>
        <w:tc>
          <w:tcPr>
            <w:tcW w:w="193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1960-1969</w:t>
            </w:r>
          </w:p>
        </w:tc>
        <w:tc>
          <w:tcPr>
            <w:tcW w:w="1938" w:type="pct"/>
            <w:gridSpan w:val="7"/>
            <w:shd w:val="clear" w:color="auto" w:fill="F0EFEE"/>
            <w:noWrap/>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noProof/>
                <w:color w:val="333333"/>
                <w:sz w:val="20"/>
                <w:szCs w:val="20"/>
              </w:rPr>
              <w:drawing>
                <wp:inline distT="0" distB="0" distL="0" distR="0">
                  <wp:extent cx="116205" cy="116205"/>
                  <wp:effectExtent l="0" t="0" r="0" b="0"/>
                  <wp:docPr id="1" name="Picture 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rveymonkey.com/i/t.gif"/>
                          <pic:cNvPicPr>
                            <a:picLocks noChangeAspect="1" noChangeArrowheads="1"/>
                          </pic:cNvPicPr>
                        </pic:nvPicPr>
                        <pic:blipFill>
                          <a:blip r:embed="rId5"/>
                          <a:srcRect/>
                          <a:stretch>
                            <a:fillRect/>
                          </a:stretch>
                        </pic:blipFill>
                        <pic:spPr bwMode="auto">
                          <a:xfrm>
                            <a:off x="0" y="0"/>
                            <a:ext cx="116205" cy="116205"/>
                          </a:xfrm>
                          <a:prstGeom prst="rect">
                            <a:avLst/>
                          </a:prstGeom>
                          <a:noFill/>
                          <a:ln w="9525">
                            <a:noFill/>
                            <a:miter lim="800000"/>
                            <a:headEnd/>
                            <a:tailEnd/>
                          </a:ln>
                        </pic:spPr>
                      </pic:pic>
                    </a:graphicData>
                  </a:graphic>
                </wp:inline>
              </w:drawing>
            </w:r>
          </w:p>
        </w:tc>
        <w:tc>
          <w:tcPr>
            <w:tcW w:w="0" w:type="auto"/>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3.1%</w:t>
            </w:r>
          </w:p>
        </w:tc>
        <w:tc>
          <w:tcPr>
            <w:tcW w:w="0" w:type="auto"/>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4</w:t>
            </w:r>
          </w:p>
        </w:tc>
      </w:tr>
      <w:tr w:rsidR="00C33368" w:rsidRPr="00C33368" w:rsidTr="00C0418D">
        <w:trPr>
          <w:tblCellSpacing w:w="0" w:type="dxa"/>
        </w:trPr>
        <w:tc>
          <w:tcPr>
            <w:tcW w:w="193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1970-1979</w:t>
            </w:r>
          </w:p>
        </w:tc>
        <w:tc>
          <w:tcPr>
            <w:tcW w:w="1938" w:type="pct"/>
            <w:gridSpan w:val="7"/>
            <w:shd w:val="clear" w:color="auto" w:fill="F0EFEE"/>
            <w:noWrap/>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noProof/>
                <w:color w:val="333333"/>
                <w:sz w:val="20"/>
                <w:szCs w:val="20"/>
              </w:rPr>
              <w:drawing>
                <wp:inline distT="0" distB="0" distL="0" distR="0">
                  <wp:extent cx="116205" cy="116205"/>
                  <wp:effectExtent l="0" t="0" r="0" b="0"/>
                  <wp:docPr id="2" name="Picture 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rveymonkey.com/i/t.gif"/>
                          <pic:cNvPicPr>
                            <a:picLocks noChangeAspect="1" noChangeArrowheads="1"/>
                          </pic:cNvPicPr>
                        </pic:nvPicPr>
                        <pic:blipFill>
                          <a:blip r:embed="rId5"/>
                          <a:srcRect/>
                          <a:stretch>
                            <a:fillRect/>
                          </a:stretch>
                        </pic:blipFill>
                        <pic:spPr bwMode="auto">
                          <a:xfrm>
                            <a:off x="0" y="0"/>
                            <a:ext cx="116205" cy="116205"/>
                          </a:xfrm>
                          <a:prstGeom prst="rect">
                            <a:avLst/>
                          </a:prstGeom>
                          <a:noFill/>
                          <a:ln w="9525">
                            <a:noFill/>
                            <a:miter lim="800000"/>
                            <a:headEnd/>
                            <a:tailEnd/>
                          </a:ln>
                        </pic:spPr>
                      </pic:pic>
                    </a:graphicData>
                  </a:graphic>
                </wp:inline>
              </w:drawing>
            </w:r>
          </w:p>
        </w:tc>
        <w:tc>
          <w:tcPr>
            <w:tcW w:w="0" w:type="auto"/>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14.5%</w:t>
            </w:r>
          </w:p>
        </w:tc>
        <w:tc>
          <w:tcPr>
            <w:tcW w:w="0" w:type="auto"/>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19</w:t>
            </w:r>
          </w:p>
        </w:tc>
      </w:tr>
      <w:tr w:rsidR="00C33368" w:rsidRPr="00C33368" w:rsidTr="00C0418D">
        <w:trPr>
          <w:tblCellSpacing w:w="0" w:type="dxa"/>
        </w:trPr>
        <w:tc>
          <w:tcPr>
            <w:tcW w:w="193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1980-1989</w:t>
            </w:r>
          </w:p>
        </w:tc>
        <w:tc>
          <w:tcPr>
            <w:tcW w:w="1938" w:type="pct"/>
            <w:gridSpan w:val="7"/>
            <w:shd w:val="clear" w:color="auto" w:fill="F0EFEE"/>
            <w:noWrap/>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noProof/>
                <w:color w:val="333333"/>
                <w:sz w:val="20"/>
                <w:szCs w:val="20"/>
              </w:rPr>
              <w:drawing>
                <wp:inline distT="0" distB="0" distL="0" distR="0">
                  <wp:extent cx="116205" cy="116205"/>
                  <wp:effectExtent l="0" t="0" r="0" b="0"/>
                  <wp:docPr id="3" name="Picture 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urveymonkey.com/i/t.gif"/>
                          <pic:cNvPicPr>
                            <a:picLocks noChangeAspect="1" noChangeArrowheads="1"/>
                          </pic:cNvPicPr>
                        </pic:nvPicPr>
                        <pic:blipFill>
                          <a:blip r:embed="rId5"/>
                          <a:srcRect/>
                          <a:stretch>
                            <a:fillRect/>
                          </a:stretch>
                        </pic:blipFill>
                        <pic:spPr bwMode="auto">
                          <a:xfrm>
                            <a:off x="0" y="0"/>
                            <a:ext cx="116205" cy="116205"/>
                          </a:xfrm>
                          <a:prstGeom prst="rect">
                            <a:avLst/>
                          </a:prstGeom>
                          <a:noFill/>
                          <a:ln w="9525">
                            <a:noFill/>
                            <a:miter lim="800000"/>
                            <a:headEnd/>
                            <a:tailEnd/>
                          </a:ln>
                        </pic:spPr>
                      </pic:pic>
                    </a:graphicData>
                  </a:graphic>
                </wp:inline>
              </w:drawing>
            </w:r>
          </w:p>
        </w:tc>
        <w:tc>
          <w:tcPr>
            <w:tcW w:w="0" w:type="auto"/>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24.4%</w:t>
            </w:r>
          </w:p>
        </w:tc>
        <w:tc>
          <w:tcPr>
            <w:tcW w:w="0" w:type="auto"/>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32</w:t>
            </w:r>
          </w:p>
        </w:tc>
      </w:tr>
      <w:tr w:rsidR="00C33368" w:rsidRPr="00C33368" w:rsidTr="00C0418D">
        <w:trPr>
          <w:tblCellSpacing w:w="0" w:type="dxa"/>
        </w:trPr>
        <w:tc>
          <w:tcPr>
            <w:tcW w:w="193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1990-1999</w:t>
            </w:r>
          </w:p>
        </w:tc>
        <w:tc>
          <w:tcPr>
            <w:tcW w:w="1938" w:type="pct"/>
            <w:gridSpan w:val="7"/>
            <w:shd w:val="clear" w:color="auto" w:fill="F0EFEE"/>
            <w:noWrap/>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noProof/>
                <w:color w:val="333333"/>
                <w:sz w:val="20"/>
                <w:szCs w:val="20"/>
              </w:rPr>
              <w:drawing>
                <wp:inline distT="0" distB="0" distL="0" distR="0">
                  <wp:extent cx="116205" cy="116205"/>
                  <wp:effectExtent l="0" t="0" r="0" b="0"/>
                  <wp:docPr id="4" name="Picture 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urveymonkey.com/i/t.gif"/>
                          <pic:cNvPicPr>
                            <a:picLocks noChangeAspect="1" noChangeArrowheads="1"/>
                          </pic:cNvPicPr>
                        </pic:nvPicPr>
                        <pic:blipFill>
                          <a:blip r:embed="rId5"/>
                          <a:srcRect/>
                          <a:stretch>
                            <a:fillRect/>
                          </a:stretch>
                        </pic:blipFill>
                        <pic:spPr bwMode="auto">
                          <a:xfrm>
                            <a:off x="0" y="0"/>
                            <a:ext cx="116205" cy="116205"/>
                          </a:xfrm>
                          <a:prstGeom prst="rect">
                            <a:avLst/>
                          </a:prstGeom>
                          <a:noFill/>
                          <a:ln w="9525">
                            <a:noFill/>
                            <a:miter lim="800000"/>
                            <a:headEnd/>
                            <a:tailEnd/>
                          </a:ln>
                        </pic:spPr>
                      </pic:pic>
                    </a:graphicData>
                  </a:graphic>
                </wp:inline>
              </w:drawing>
            </w:r>
          </w:p>
        </w:tc>
        <w:tc>
          <w:tcPr>
            <w:tcW w:w="0" w:type="auto"/>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27.5%</w:t>
            </w:r>
          </w:p>
        </w:tc>
        <w:tc>
          <w:tcPr>
            <w:tcW w:w="0" w:type="auto"/>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36</w:t>
            </w:r>
          </w:p>
        </w:tc>
      </w:tr>
      <w:tr w:rsidR="00C33368" w:rsidRPr="00C33368" w:rsidTr="00C0418D">
        <w:trPr>
          <w:tblCellSpacing w:w="0" w:type="dxa"/>
        </w:trPr>
        <w:tc>
          <w:tcPr>
            <w:tcW w:w="193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2000-2009</w:t>
            </w:r>
          </w:p>
        </w:tc>
        <w:tc>
          <w:tcPr>
            <w:tcW w:w="1938" w:type="pct"/>
            <w:gridSpan w:val="7"/>
            <w:shd w:val="clear" w:color="auto" w:fill="F0EFEE"/>
            <w:noWrap/>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noProof/>
                <w:color w:val="333333"/>
                <w:sz w:val="20"/>
                <w:szCs w:val="20"/>
              </w:rPr>
              <w:drawing>
                <wp:inline distT="0" distB="0" distL="0" distR="0">
                  <wp:extent cx="116205" cy="116205"/>
                  <wp:effectExtent l="0" t="0" r="0" b="0"/>
                  <wp:docPr id="5" name="Picture 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urveymonkey.com/i/t.gif"/>
                          <pic:cNvPicPr>
                            <a:picLocks noChangeAspect="1" noChangeArrowheads="1"/>
                          </pic:cNvPicPr>
                        </pic:nvPicPr>
                        <pic:blipFill>
                          <a:blip r:embed="rId5"/>
                          <a:srcRect/>
                          <a:stretch>
                            <a:fillRect/>
                          </a:stretch>
                        </pic:blipFill>
                        <pic:spPr bwMode="auto">
                          <a:xfrm>
                            <a:off x="0" y="0"/>
                            <a:ext cx="116205" cy="116205"/>
                          </a:xfrm>
                          <a:prstGeom prst="rect">
                            <a:avLst/>
                          </a:prstGeom>
                          <a:noFill/>
                          <a:ln w="9525">
                            <a:noFill/>
                            <a:miter lim="800000"/>
                            <a:headEnd/>
                            <a:tailEnd/>
                          </a:ln>
                        </pic:spPr>
                      </pic:pic>
                    </a:graphicData>
                  </a:graphic>
                </wp:inline>
              </w:drawing>
            </w:r>
          </w:p>
        </w:tc>
        <w:tc>
          <w:tcPr>
            <w:tcW w:w="0" w:type="auto"/>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45.8%</w:t>
            </w:r>
          </w:p>
        </w:tc>
        <w:tc>
          <w:tcPr>
            <w:tcW w:w="0" w:type="auto"/>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60</w:t>
            </w:r>
          </w:p>
        </w:tc>
      </w:tr>
      <w:tr w:rsidR="00C33368" w:rsidRPr="00C33368" w:rsidTr="00C0418D">
        <w:trPr>
          <w:tblCellSpacing w:w="0" w:type="dxa"/>
        </w:trPr>
        <w:tc>
          <w:tcPr>
            <w:tcW w:w="193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2010-2012</w:t>
            </w:r>
          </w:p>
        </w:tc>
        <w:tc>
          <w:tcPr>
            <w:tcW w:w="1938" w:type="pct"/>
            <w:gridSpan w:val="7"/>
            <w:shd w:val="clear" w:color="auto" w:fill="F0EFEE"/>
            <w:noWrap/>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noProof/>
                <w:color w:val="333333"/>
                <w:sz w:val="20"/>
                <w:szCs w:val="20"/>
              </w:rPr>
              <w:drawing>
                <wp:inline distT="0" distB="0" distL="0" distR="0">
                  <wp:extent cx="116205" cy="116205"/>
                  <wp:effectExtent l="0" t="0" r="0" b="0"/>
                  <wp:docPr id="6" name="Picture 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surveymonkey.com/i/t.gif"/>
                          <pic:cNvPicPr>
                            <a:picLocks noChangeAspect="1" noChangeArrowheads="1"/>
                          </pic:cNvPicPr>
                        </pic:nvPicPr>
                        <pic:blipFill>
                          <a:blip r:embed="rId5"/>
                          <a:srcRect/>
                          <a:stretch>
                            <a:fillRect/>
                          </a:stretch>
                        </pic:blipFill>
                        <pic:spPr bwMode="auto">
                          <a:xfrm>
                            <a:off x="0" y="0"/>
                            <a:ext cx="116205" cy="116205"/>
                          </a:xfrm>
                          <a:prstGeom prst="rect">
                            <a:avLst/>
                          </a:prstGeom>
                          <a:noFill/>
                          <a:ln w="9525">
                            <a:noFill/>
                            <a:miter lim="800000"/>
                            <a:headEnd/>
                            <a:tailEnd/>
                          </a:ln>
                        </pic:spPr>
                      </pic:pic>
                    </a:graphicData>
                  </a:graphic>
                </wp:inline>
              </w:drawing>
            </w:r>
          </w:p>
        </w:tc>
        <w:tc>
          <w:tcPr>
            <w:tcW w:w="0" w:type="auto"/>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19.1%</w:t>
            </w:r>
          </w:p>
        </w:tc>
        <w:tc>
          <w:tcPr>
            <w:tcW w:w="0" w:type="auto"/>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25</w:t>
            </w:r>
          </w:p>
        </w:tc>
      </w:tr>
      <w:tr w:rsidR="00C33368" w:rsidRPr="00C33368" w:rsidTr="00C0418D">
        <w:trPr>
          <w:tblCellSpacing w:w="0" w:type="dxa"/>
        </w:trPr>
        <w:tc>
          <w:tcPr>
            <w:tcW w:w="1938"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Currently active</w:t>
            </w:r>
          </w:p>
        </w:tc>
        <w:tc>
          <w:tcPr>
            <w:tcW w:w="1938" w:type="pct"/>
            <w:gridSpan w:val="7"/>
            <w:shd w:val="clear" w:color="auto" w:fill="F0EFEE"/>
            <w:noWrap/>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noProof/>
                <w:color w:val="333333"/>
                <w:sz w:val="20"/>
                <w:szCs w:val="20"/>
              </w:rPr>
              <w:drawing>
                <wp:inline distT="0" distB="0" distL="0" distR="0">
                  <wp:extent cx="116205" cy="116205"/>
                  <wp:effectExtent l="0" t="0" r="0" b="0"/>
                  <wp:docPr id="7" name="Picture 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surveymonkey.com/i/t.gif"/>
                          <pic:cNvPicPr>
                            <a:picLocks noChangeAspect="1" noChangeArrowheads="1"/>
                          </pic:cNvPicPr>
                        </pic:nvPicPr>
                        <pic:blipFill>
                          <a:blip r:embed="rId5"/>
                          <a:srcRect/>
                          <a:stretch>
                            <a:fillRect/>
                          </a:stretch>
                        </pic:blipFill>
                        <pic:spPr bwMode="auto">
                          <a:xfrm>
                            <a:off x="0" y="0"/>
                            <a:ext cx="116205" cy="116205"/>
                          </a:xfrm>
                          <a:prstGeom prst="rect">
                            <a:avLst/>
                          </a:prstGeom>
                          <a:noFill/>
                          <a:ln w="9525">
                            <a:noFill/>
                            <a:miter lim="800000"/>
                            <a:headEnd/>
                            <a:tailEnd/>
                          </a:ln>
                        </pic:spPr>
                      </pic:pic>
                    </a:graphicData>
                  </a:graphic>
                </wp:inline>
              </w:drawing>
            </w:r>
          </w:p>
        </w:tc>
        <w:tc>
          <w:tcPr>
            <w:tcW w:w="0" w:type="auto"/>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17.6%</w:t>
            </w:r>
          </w:p>
        </w:tc>
        <w:tc>
          <w:tcPr>
            <w:tcW w:w="0" w:type="auto"/>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23</w:t>
            </w:r>
          </w:p>
        </w:tc>
      </w:tr>
      <w:tr w:rsidR="00C33368" w:rsidRPr="00C33368" w:rsidTr="00C0418D">
        <w:trPr>
          <w:tblHeader/>
          <w:tblCellSpacing w:w="0" w:type="dxa"/>
        </w:trPr>
        <w:tc>
          <w:tcPr>
            <w:tcW w:w="5000" w:type="pct"/>
            <w:gridSpan w:val="11"/>
            <w:shd w:val="clear" w:color="auto" w:fill="E6ECC0"/>
            <w:tcMar>
              <w:top w:w="107" w:type="dxa"/>
              <w:left w:w="86" w:type="dxa"/>
              <w:bottom w:w="107" w:type="dxa"/>
              <w:right w:w="161" w:type="dxa"/>
            </w:tcMar>
            <w:vAlign w:val="center"/>
            <w:hideMark/>
          </w:tcPr>
          <w:p w:rsidR="00C33368" w:rsidRPr="00C33368" w:rsidRDefault="00A972B5" w:rsidP="00C33368">
            <w:pPr>
              <w:spacing w:after="430" w:line="172" w:lineRule="atLeast"/>
              <w:rPr>
                <w:rFonts w:eastAsia="Times New Roman" w:cs="Times New Roman"/>
                <w:b/>
                <w:bCs/>
                <w:color w:val="333333"/>
                <w:sz w:val="20"/>
                <w:szCs w:val="20"/>
              </w:rPr>
            </w:pPr>
            <w:r>
              <w:rPr>
                <w:rFonts w:eastAsia="Times New Roman" w:cs="Times New Roman"/>
                <w:b/>
                <w:bCs/>
                <w:color w:val="333333"/>
                <w:sz w:val="20"/>
                <w:szCs w:val="20"/>
              </w:rPr>
              <w:lastRenderedPageBreak/>
              <w:t>Q</w:t>
            </w:r>
            <w:r w:rsidR="00C33368" w:rsidRPr="00C33368">
              <w:rPr>
                <w:rFonts w:eastAsia="Times New Roman" w:cs="Times New Roman"/>
                <w:b/>
                <w:bCs/>
                <w:color w:val="333333"/>
                <w:sz w:val="20"/>
                <w:szCs w:val="20"/>
              </w:rPr>
              <w:t>6. Please identify the number of employment vacancies filled by military veterans hired since August 2011.</w:t>
            </w:r>
          </w:p>
        </w:tc>
      </w:tr>
      <w:tr w:rsidR="00C33368" w:rsidRPr="00C33368" w:rsidTr="005A138F">
        <w:trPr>
          <w:tblCellSpacing w:w="0" w:type="dxa"/>
        </w:trPr>
        <w:tc>
          <w:tcPr>
            <w:tcW w:w="1971" w:type="pct"/>
            <w:gridSpan w:val="2"/>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p>
        </w:tc>
        <w:tc>
          <w:tcPr>
            <w:tcW w:w="389"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0</w:t>
            </w:r>
          </w:p>
        </w:tc>
        <w:tc>
          <w:tcPr>
            <w:tcW w:w="386"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1</w:t>
            </w:r>
          </w:p>
        </w:tc>
        <w:tc>
          <w:tcPr>
            <w:tcW w:w="334"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2</w:t>
            </w:r>
          </w:p>
        </w:tc>
        <w:tc>
          <w:tcPr>
            <w:tcW w:w="334"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3</w:t>
            </w:r>
          </w:p>
        </w:tc>
        <w:tc>
          <w:tcPr>
            <w:tcW w:w="334"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4</w:t>
            </w:r>
          </w:p>
        </w:tc>
        <w:tc>
          <w:tcPr>
            <w:tcW w:w="334" w:type="pct"/>
            <w:gridSpan w:val="2"/>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5</w:t>
            </w:r>
          </w:p>
        </w:tc>
        <w:tc>
          <w:tcPr>
            <w:tcW w:w="364" w:type="pct"/>
            <w:shd w:val="clear" w:color="auto" w:fill="F0EFEE"/>
            <w:tcMar>
              <w:top w:w="107" w:type="dxa"/>
              <w:left w:w="86" w:type="dxa"/>
              <w:bottom w:w="107" w:type="dxa"/>
              <w:right w:w="161" w:type="dxa"/>
            </w:tcMar>
            <w:hideMark/>
          </w:tcPr>
          <w:p w:rsidR="00C33368" w:rsidRPr="00C33368" w:rsidRDefault="00C33368" w:rsidP="00C33368">
            <w:pPr>
              <w:spacing w:after="43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More than 5</w:t>
            </w:r>
          </w:p>
        </w:tc>
        <w:tc>
          <w:tcPr>
            <w:tcW w:w="555" w:type="pct"/>
            <w:shd w:val="clear" w:color="auto" w:fill="F0EFEE"/>
            <w:tcMar>
              <w:top w:w="107" w:type="dxa"/>
              <w:left w:w="86" w:type="dxa"/>
              <w:bottom w:w="107" w:type="dxa"/>
              <w:right w:w="161" w:type="dxa"/>
            </w:tcMar>
            <w:hideMark/>
          </w:tcPr>
          <w:p w:rsidR="00C33368" w:rsidRPr="00C33368" w:rsidRDefault="00C33368" w:rsidP="00C33368">
            <w:pPr>
              <w:spacing w:after="0" w:line="240" w:lineRule="auto"/>
              <w:jc w:val="center"/>
              <w:rPr>
                <w:rFonts w:eastAsia="Times New Roman" w:cs="Times New Roman"/>
                <w:b/>
                <w:bCs/>
                <w:color w:val="333333"/>
                <w:sz w:val="20"/>
                <w:szCs w:val="20"/>
              </w:rPr>
            </w:pPr>
            <w:r w:rsidRPr="00C33368">
              <w:rPr>
                <w:rFonts w:eastAsia="Times New Roman" w:cs="Times New Roman"/>
                <w:b/>
                <w:bCs/>
                <w:color w:val="333333"/>
                <w:sz w:val="20"/>
                <w:szCs w:val="20"/>
              </w:rPr>
              <w:t>Response</w:t>
            </w:r>
            <w:r w:rsidRPr="00C33368">
              <w:rPr>
                <w:rFonts w:eastAsia="Times New Roman" w:cs="Times New Roman"/>
                <w:b/>
                <w:bCs/>
                <w:color w:val="333333"/>
                <w:sz w:val="20"/>
                <w:szCs w:val="20"/>
              </w:rPr>
              <w:br/>
              <w:t>Count</w:t>
            </w:r>
          </w:p>
        </w:tc>
      </w:tr>
      <w:tr w:rsidR="00C33368" w:rsidRPr="00C33368" w:rsidTr="005A138F">
        <w:trPr>
          <w:tblCellSpacing w:w="0" w:type="dxa"/>
        </w:trPr>
        <w:tc>
          <w:tcPr>
            <w:tcW w:w="1971"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Family physician, general practitioner, internists, obstetrician/gynecologists, pediatricians, or other specialty physicians</w:t>
            </w:r>
          </w:p>
        </w:tc>
        <w:tc>
          <w:tcPr>
            <w:tcW w:w="389"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94.6% (347)</w:t>
            </w:r>
          </w:p>
        </w:tc>
        <w:tc>
          <w:tcPr>
            <w:tcW w:w="386"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4.6% (17)</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0.3% (1)</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6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0.5% (2)</w:t>
            </w:r>
          </w:p>
        </w:tc>
        <w:tc>
          <w:tcPr>
            <w:tcW w:w="55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367</w:t>
            </w:r>
          </w:p>
        </w:tc>
      </w:tr>
      <w:tr w:rsidR="00C33368" w:rsidRPr="00C33368" w:rsidTr="005A138F">
        <w:trPr>
          <w:tblCellSpacing w:w="0" w:type="dxa"/>
        </w:trPr>
        <w:tc>
          <w:tcPr>
            <w:tcW w:w="1971"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Nurse practitioner, physician assistant, certified nurse midwife</w:t>
            </w:r>
          </w:p>
        </w:tc>
        <w:tc>
          <w:tcPr>
            <w:tcW w:w="389"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90.7% (333)</w:t>
            </w:r>
          </w:p>
        </w:tc>
        <w:tc>
          <w:tcPr>
            <w:tcW w:w="386"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8.2% (30)</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0.5% (2)</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6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0.5% (2)</w:t>
            </w:r>
          </w:p>
        </w:tc>
        <w:tc>
          <w:tcPr>
            <w:tcW w:w="55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367</w:t>
            </w:r>
          </w:p>
        </w:tc>
      </w:tr>
      <w:tr w:rsidR="00C33368" w:rsidRPr="00C33368" w:rsidTr="005A138F">
        <w:trPr>
          <w:tblCellSpacing w:w="0" w:type="dxa"/>
        </w:trPr>
        <w:tc>
          <w:tcPr>
            <w:tcW w:w="1971"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Nurse, laboratory personnel, X-ray personnel, or other medical personnel</w:t>
            </w:r>
          </w:p>
        </w:tc>
        <w:tc>
          <w:tcPr>
            <w:tcW w:w="389"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89.1% (327)</w:t>
            </w:r>
          </w:p>
        </w:tc>
        <w:tc>
          <w:tcPr>
            <w:tcW w:w="386"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8.2% (30)</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1.4% (5)</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0.3% (1)</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0.3% (1)</w:t>
            </w:r>
          </w:p>
        </w:tc>
        <w:tc>
          <w:tcPr>
            <w:tcW w:w="334"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6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0.8% (3)</w:t>
            </w:r>
          </w:p>
        </w:tc>
        <w:tc>
          <w:tcPr>
            <w:tcW w:w="55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367</w:t>
            </w:r>
          </w:p>
        </w:tc>
      </w:tr>
      <w:tr w:rsidR="00C33368" w:rsidRPr="00C33368" w:rsidTr="005A138F">
        <w:trPr>
          <w:tblCellSpacing w:w="0" w:type="dxa"/>
        </w:trPr>
        <w:tc>
          <w:tcPr>
            <w:tcW w:w="1971"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Dentist, dental hygienist, dental assistant, dental aide, dental tech</w:t>
            </w:r>
          </w:p>
        </w:tc>
        <w:tc>
          <w:tcPr>
            <w:tcW w:w="389"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94.8% (348)</w:t>
            </w:r>
          </w:p>
        </w:tc>
        <w:tc>
          <w:tcPr>
            <w:tcW w:w="386"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3.5% (13)</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0.5% (2)</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0.3% (1)</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6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0.8% (3)</w:t>
            </w:r>
          </w:p>
        </w:tc>
        <w:tc>
          <w:tcPr>
            <w:tcW w:w="55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367</w:t>
            </w:r>
          </w:p>
        </w:tc>
      </w:tr>
      <w:tr w:rsidR="00C33368" w:rsidRPr="00C33368" w:rsidTr="005A138F">
        <w:trPr>
          <w:tblCellSpacing w:w="0" w:type="dxa"/>
        </w:trPr>
        <w:tc>
          <w:tcPr>
            <w:tcW w:w="1971"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Psychiatrist, licensed clinical psychologist, licensed clinical social worker, or other mental health staff</w:t>
            </w:r>
          </w:p>
        </w:tc>
        <w:tc>
          <w:tcPr>
            <w:tcW w:w="389"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98.1% (360)</w:t>
            </w:r>
          </w:p>
        </w:tc>
        <w:tc>
          <w:tcPr>
            <w:tcW w:w="386"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1.1% (4)</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6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0.8% (3)</w:t>
            </w:r>
          </w:p>
        </w:tc>
        <w:tc>
          <w:tcPr>
            <w:tcW w:w="55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367</w:t>
            </w:r>
          </w:p>
        </w:tc>
      </w:tr>
      <w:tr w:rsidR="00C33368" w:rsidRPr="00C33368" w:rsidTr="005A138F">
        <w:trPr>
          <w:tblCellSpacing w:w="0" w:type="dxa"/>
        </w:trPr>
        <w:tc>
          <w:tcPr>
            <w:tcW w:w="1971"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Ophthalmologist, optometrist, or other vision care staff</w:t>
            </w:r>
          </w:p>
        </w:tc>
        <w:tc>
          <w:tcPr>
            <w:tcW w:w="389"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98.6% (362)</w:t>
            </w:r>
          </w:p>
        </w:tc>
        <w:tc>
          <w:tcPr>
            <w:tcW w:w="386"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0.3% (1)</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6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1.1% (4)</w:t>
            </w:r>
          </w:p>
        </w:tc>
        <w:tc>
          <w:tcPr>
            <w:tcW w:w="55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367</w:t>
            </w:r>
          </w:p>
        </w:tc>
      </w:tr>
      <w:tr w:rsidR="00C33368" w:rsidRPr="00C33368" w:rsidTr="005A138F">
        <w:trPr>
          <w:tblCellSpacing w:w="0" w:type="dxa"/>
        </w:trPr>
        <w:tc>
          <w:tcPr>
            <w:tcW w:w="1971"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Pharmacy personnel</w:t>
            </w:r>
          </w:p>
        </w:tc>
        <w:tc>
          <w:tcPr>
            <w:tcW w:w="389"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98.4% (361)</w:t>
            </w:r>
          </w:p>
        </w:tc>
        <w:tc>
          <w:tcPr>
            <w:tcW w:w="386"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0.5% (2)</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6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1.1% (4)</w:t>
            </w:r>
          </w:p>
        </w:tc>
        <w:tc>
          <w:tcPr>
            <w:tcW w:w="55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367</w:t>
            </w:r>
          </w:p>
        </w:tc>
      </w:tr>
      <w:tr w:rsidR="00C33368" w:rsidRPr="00C33368" w:rsidTr="005A138F">
        <w:trPr>
          <w:tblCellSpacing w:w="0" w:type="dxa"/>
        </w:trPr>
        <w:tc>
          <w:tcPr>
            <w:tcW w:w="1971"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Case manager, health education specialist, outreach worker, transportation staff, eligibility assistance worker, interpretation staff</w:t>
            </w:r>
          </w:p>
        </w:tc>
        <w:tc>
          <w:tcPr>
            <w:tcW w:w="389"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95.4% (350)</w:t>
            </w:r>
          </w:p>
        </w:tc>
        <w:tc>
          <w:tcPr>
            <w:tcW w:w="386"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3.5% (13)</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0.3% (1)</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6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0.8% (3)</w:t>
            </w:r>
          </w:p>
        </w:tc>
        <w:tc>
          <w:tcPr>
            <w:tcW w:w="55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367</w:t>
            </w:r>
          </w:p>
        </w:tc>
      </w:tr>
      <w:tr w:rsidR="00C33368" w:rsidRPr="00C33368" w:rsidTr="005A138F">
        <w:trPr>
          <w:tblCellSpacing w:w="0" w:type="dxa"/>
        </w:trPr>
        <w:tc>
          <w:tcPr>
            <w:tcW w:w="1971"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rPr>
                <w:rFonts w:eastAsia="Times New Roman" w:cs="Times New Roman"/>
                <w:b/>
                <w:bCs/>
                <w:color w:val="333333"/>
                <w:sz w:val="20"/>
                <w:szCs w:val="20"/>
              </w:rPr>
            </w:pPr>
            <w:r w:rsidRPr="00C33368">
              <w:rPr>
                <w:rFonts w:eastAsia="Times New Roman" w:cs="Times New Roman"/>
                <w:b/>
                <w:bCs/>
                <w:color w:val="333333"/>
                <w:sz w:val="20"/>
                <w:szCs w:val="20"/>
              </w:rPr>
              <w:t>Management and support staff, fiscal and billing staff, IT staff, facility staff, patient support staff</w:t>
            </w:r>
          </w:p>
        </w:tc>
        <w:tc>
          <w:tcPr>
            <w:tcW w:w="389"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b/>
                <w:bCs/>
                <w:color w:val="333333"/>
                <w:sz w:val="20"/>
                <w:szCs w:val="20"/>
              </w:rPr>
            </w:pPr>
            <w:r w:rsidRPr="00C33368">
              <w:rPr>
                <w:rFonts w:eastAsia="Times New Roman" w:cs="Times New Roman"/>
                <w:b/>
                <w:bCs/>
                <w:color w:val="333333"/>
                <w:sz w:val="20"/>
                <w:szCs w:val="20"/>
              </w:rPr>
              <w:t>85.3% (313)</w:t>
            </w:r>
          </w:p>
        </w:tc>
        <w:tc>
          <w:tcPr>
            <w:tcW w:w="386"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10.4% (38)</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3.0% (11)</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0.5% (2)</w:t>
            </w:r>
          </w:p>
        </w:tc>
        <w:tc>
          <w:tcPr>
            <w:tcW w:w="33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34" w:type="pct"/>
            <w:gridSpan w:val="2"/>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0.0% (0)</w:t>
            </w:r>
          </w:p>
        </w:tc>
        <w:tc>
          <w:tcPr>
            <w:tcW w:w="364"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0.8% (3)</w:t>
            </w:r>
          </w:p>
        </w:tc>
        <w:tc>
          <w:tcPr>
            <w:tcW w:w="555" w:type="pct"/>
            <w:shd w:val="clear" w:color="auto" w:fill="F0EFEE"/>
            <w:tcMar>
              <w:top w:w="107" w:type="dxa"/>
              <w:left w:w="86" w:type="dxa"/>
              <w:bottom w:w="107" w:type="dxa"/>
              <w:right w:w="161" w:type="dxa"/>
            </w:tcMar>
            <w:vAlign w:val="center"/>
            <w:hideMark/>
          </w:tcPr>
          <w:p w:rsidR="00C33368" w:rsidRPr="00C33368" w:rsidRDefault="00C33368" w:rsidP="00C33368">
            <w:pPr>
              <w:spacing w:after="0" w:line="240" w:lineRule="auto"/>
              <w:jc w:val="right"/>
              <w:rPr>
                <w:rFonts w:eastAsia="Times New Roman" w:cs="Times New Roman"/>
                <w:color w:val="333333"/>
                <w:sz w:val="20"/>
                <w:szCs w:val="20"/>
              </w:rPr>
            </w:pPr>
            <w:r w:rsidRPr="00C33368">
              <w:rPr>
                <w:rFonts w:eastAsia="Times New Roman" w:cs="Times New Roman"/>
                <w:color w:val="333333"/>
                <w:sz w:val="20"/>
                <w:szCs w:val="20"/>
              </w:rPr>
              <w:t>367</w:t>
            </w:r>
          </w:p>
        </w:tc>
      </w:tr>
    </w:tbl>
    <w:p w:rsidR="00C33368" w:rsidRDefault="00C33368" w:rsidP="00D50590">
      <w:pPr>
        <w:pStyle w:val="NoSpacing"/>
      </w:pPr>
    </w:p>
    <w:p w:rsidR="00DF5324" w:rsidRDefault="00DF5324" w:rsidP="00D50590">
      <w:pPr>
        <w:pStyle w:val="NoSpacing"/>
        <w:rPr>
          <w:rFonts w:eastAsia="Times New Roman" w:cs="Times New Roman"/>
          <w:b/>
          <w:bCs/>
          <w:color w:val="333333"/>
          <w:sz w:val="20"/>
          <w:szCs w:val="20"/>
        </w:rPr>
      </w:pPr>
      <w:r>
        <w:rPr>
          <w:rFonts w:eastAsia="Times New Roman" w:cs="Times New Roman"/>
          <w:b/>
          <w:bCs/>
          <w:color w:val="333333"/>
          <w:sz w:val="20"/>
          <w:szCs w:val="20"/>
        </w:rPr>
        <w:t>Q7</w:t>
      </w:r>
      <w:r w:rsidRPr="00C33368">
        <w:rPr>
          <w:rFonts w:eastAsia="Times New Roman" w:cs="Times New Roman"/>
          <w:b/>
          <w:bCs/>
          <w:color w:val="333333"/>
          <w:sz w:val="20"/>
          <w:szCs w:val="20"/>
        </w:rPr>
        <w:t xml:space="preserve">. </w:t>
      </w:r>
      <w:r w:rsidRPr="00DF5324">
        <w:rPr>
          <w:rFonts w:eastAsia="Times New Roman" w:cs="Times New Roman"/>
          <w:b/>
          <w:bCs/>
          <w:color w:val="333333"/>
          <w:sz w:val="20"/>
          <w:szCs w:val="20"/>
        </w:rPr>
        <w:t>Please provide your Bureau of Primary Health Care Management Information System (BHCMIS) identification in the space provided below.</w:t>
      </w:r>
    </w:p>
    <w:p w:rsidR="00DF5324" w:rsidRPr="005B42B2" w:rsidRDefault="00100199" w:rsidP="00D50590">
      <w:pPr>
        <w:pStyle w:val="NoSpacing"/>
        <w:rPr>
          <w:rFonts w:eastAsia="Times New Roman" w:cs="Times New Roman"/>
          <w:bCs/>
          <w:color w:val="333333"/>
          <w:sz w:val="20"/>
          <w:szCs w:val="20"/>
        </w:rPr>
      </w:pPr>
      <w:r>
        <w:rPr>
          <w:rFonts w:eastAsia="Times New Roman" w:cs="Times New Roman"/>
          <w:b/>
          <w:bCs/>
          <w:color w:val="333333"/>
          <w:sz w:val="20"/>
          <w:szCs w:val="20"/>
        </w:rPr>
        <w:t>Note:</w:t>
      </w:r>
      <w:r w:rsidR="005B42B2">
        <w:rPr>
          <w:rFonts w:eastAsia="Times New Roman" w:cs="Times New Roman"/>
          <w:b/>
          <w:bCs/>
          <w:color w:val="333333"/>
          <w:sz w:val="20"/>
          <w:szCs w:val="20"/>
        </w:rPr>
        <w:t xml:space="preserve"> </w:t>
      </w:r>
      <w:r w:rsidR="005B42B2" w:rsidRPr="005B42B2">
        <w:rPr>
          <w:rFonts w:eastAsia="Times New Roman" w:cs="Times New Roman"/>
          <w:bCs/>
          <w:color w:val="333333"/>
          <w:sz w:val="20"/>
          <w:szCs w:val="20"/>
        </w:rPr>
        <w:t>Some respondents did not know their BHCMIS ID</w:t>
      </w:r>
      <w:r w:rsidR="005B42B2">
        <w:rPr>
          <w:rFonts w:eastAsia="Times New Roman" w:cs="Times New Roman"/>
          <w:bCs/>
          <w:color w:val="333333"/>
          <w:sz w:val="20"/>
          <w:szCs w:val="20"/>
        </w:rPr>
        <w:t>.</w:t>
      </w:r>
    </w:p>
    <w:p w:rsidR="00100199" w:rsidRDefault="00100199" w:rsidP="00D50590">
      <w:pPr>
        <w:pStyle w:val="NoSpacing"/>
        <w:rPr>
          <w:rFonts w:eastAsia="Times New Roman" w:cs="Times New Roman"/>
          <w:b/>
          <w:bCs/>
          <w:color w:val="333333"/>
          <w:sz w:val="20"/>
          <w:szCs w:val="20"/>
        </w:rPr>
      </w:pPr>
    </w:p>
    <w:p w:rsidR="00DF5324" w:rsidRDefault="00DF5324" w:rsidP="00D50590">
      <w:pPr>
        <w:pStyle w:val="NoSpacing"/>
        <w:rPr>
          <w:rFonts w:eastAsia="Times New Roman" w:cs="Times New Roman"/>
          <w:b/>
          <w:bCs/>
          <w:color w:val="333333"/>
          <w:sz w:val="20"/>
          <w:szCs w:val="20"/>
        </w:rPr>
      </w:pPr>
      <w:r>
        <w:rPr>
          <w:rFonts w:eastAsia="Times New Roman" w:cs="Times New Roman"/>
          <w:b/>
          <w:bCs/>
          <w:color w:val="333333"/>
          <w:sz w:val="20"/>
          <w:szCs w:val="20"/>
        </w:rPr>
        <w:t>Q8</w:t>
      </w:r>
      <w:r w:rsidRPr="00C33368">
        <w:rPr>
          <w:rFonts w:eastAsia="Times New Roman" w:cs="Times New Roman"/>
          <w:b/>
          <w:bCs/>
          <w:color w:val="333333"/>
          <w:sz w:val="20"/>
          <w:szCs w:val="20"/>
        </w:rPr>
        <w:t xml:space="preserve">. </w:t>
      </w:r>
      <w:r w:rsidRPr="00DF5324">
        <w:rPr>
          <w:rFonts w:eastAsia="Times New Roman" w:cs="Times New Roman"/>
          <w:b/>
          <w:bCs/>
          <w:color w:val="333333"/>
          <w:sz w:val="20"/>
          <w:szCs w:val="20"/>
        </w:rPr>
        <w:t>Please provide the name of your organization in the space provided below.</w:t>
      </w:r>
    </w:p>
    <w:p w:rsidR="00100199" w:rsidRPr="005B42B2" w:rsidRDefault="00100199" w:rsidP="00D50590">
      <w:pPr>
        <w:pStyle w:val="NoSpacing"/>
      </w:pPr>
      <w:r>
        <w:rPr>
          <w:rFonts w:eastAsia="Times New Roman" w:cs="Times New Roman"/>
          <w:b/>
          <w:bCs/>
          <w:color w:val="333333"/>
          <w:sz w:val="20"/>
          <w:szCs w:val="20"/>
        </w:rPr>
        <w:t>Note:</w:t>
      </w:r>
      <w:r w:rsidR="005B42B2">
        <w:rPr>
          <w:rFonts w:eastAsia="Times New Roman" w:cs="Times New Roman"/>
          <w:b/>
          <w:bCs/>
          <w:color w:val="333333"/>
          <w:sz w:val="20"/>
          <w:szCs w:val="20"/>
        </w:rPr>
        <w:t xml:space="preserve"> </w:t>
      </w:r>
      <w:r w:rsidR="005B42B2">
        <w:rPr>
          <w:rFonts w:eastAsia="Times New Roman" w:cs="Times New Roman"/>
          <w:bCs/>
          <w:color w:val="333333"/>
          <w:sz w:val="20"/>
          <w:szCs w:val="20"/>
        </w:rPr>
        <w:t>I can provide you this list if you are interested.</w:t>
      </w:r>
    </w:p>
    <w:sectPr w:rsidR="00100199" w:rsidRPr="005B42B2" w:rsidSect="002929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009BE"/>
    <w:multiLevelType w:val="hybridMultilevel"/>
    <w:tmpl w:val="02A4A91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nsid w:val="5A926959"/>
    <w:multiLevelType w:val="hybridMultilevel"/>
    <w:tmpl w:val="AEF2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compat/>
  <w:rsids>
    <w:rsidRoot w:val="00D50590"/>
    <w:rsid w:val="000B1D0E"/>
    <w:rsid w:val="000E6325"/>
    <w:rsid w:val="00100199"/>
    <w:rsid w:val="00263244"/>
    <w:rsid w:val="002929CE"/>
    <w:rsid w:val="002B126D"/>
    <w:rsid w:val="0034204A"/>
    <w:rsid w:val="00413F1E"/>
    <w:rsid w:val="00461530"/>
    <w:rsid w:val="00477206"/>
    <w:rsid w:val="004B706A"/>
    <w:rsid w:val="005A138F"/>
    <w:rsid w:val="005A704E"/>
    <w:rsid w:val="005B42B2"/>
    <w:rsid w:val="005C4F26"/>
    <w:rsid w:val="00661322"/>
    <w:rsid w:val="006B0264"/>
    <w:rsid w:val="006D5C32"/>
    <w:rsid w:val="007B09EE"/>
    <w:rsid w:val="008F30D4"/>
    <w:rsid w:val="00900F26"/>
    <w:rsid w:val="009E253B"/>
    <w:rsid w:val="00A9474E"/>
    <w:rsid w:val="00A972B5"/>
    <w:rsid w:val="00AA721C"/>
    <w:rsid w:val="00BA71B6"/>
    <w:rsid w:val="00C0418D"/>
    <w:rsid w:val="00C33368"/>
    <w:rsid w:val="00D273BF"/>
    <w:rsid w:val="00D50590"/>
    <w:rsid w:val="00DF5324"/>
    <w:rsid w:val="00E81592"/>
    <w:rsid w:val="00E916EE"/>
    <w:rsid w:val="00EB4BF5"/>
    <w:rsid w:val="00F6273F"/>
    <w:rsid w:val="00FD1F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3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0590"/>
    <w:pPr>
      <w:spacing w:after="0" w:line="240" w:lineRule="auto"/>
    </w:pPr>
  </w:style>
  <w:style w:type="paragraph" w:styleId="BalloonText">
    <w:name w:val="Balloon Text"/>
    <w:basedOn w:val="Normal"/>
    <w:link w:val="BalloonTextChar"/>
    <w:uiPriority w:val="99"/>
    <w:semiHidden/>
    <w:unhideWhenUsed/>
    <w:rsid w:val="00C33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33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838001">
      <w:bodyDiv w:val="1"/>
      <w:marLeft w:val="215"/>
      <w:marRight w:val="215"/>
      <w:marTop w:val="215"/>
      <w:marBottom w:val="215"/>
      <w:divBdr>
        <w:top w:val="none" w:sz="0" w:space="0" w:color="auto"/>
        <w:left w:val="none" w:sz="0" w:space="0" w:color="auto"/>
        <w:bottom w:val="none" w:sz="0" w:space="0" w:color="auto"/>
        <w:right w:val="none" w:sz="0" w:space="0" w:color="auto"/>
      </w:divBdr>
      <w:divsChild>
        <w:div w:id="958604821">
          <w:marLeft w:val="0"/>
          <w:marRight w:val="0"/>
          <w:marTop w:val="215"/>
          <w:marBottom w:val="0"/>
          <w:divBdr>
            <w:top w:val="none" w:sz="0" w:space="0" w:color="auto"/>
            <w:left w:val="none" w:sz="0" w:space="0" w:color="auto"/>
            <w:bottom w:val="none" w:sz="0" w:space="0" w:color="auto"/>
            <w:right w:val="none" w:sz="0" w:space="0" w:color="auto"/>
          </w:divBdr>
          <w:divsChild>
            <w:div w:id="1854102449">
              <w:marLeft w:val="0"/>
              <w:marRight w:val="0"/>
              <w:marTop w:val="0"/>
              <w:marBottom w:val="0"/>
              <w:divBdr>
                <w:top w:val="none" w:sz="0" w:space="0" w:color="auto"/>
                <w:left w:val="none" w:sz="0" w:space="0" w:color="auto"/>
                <w:bottom w:val="none" w:sz="0" w:space="0" w:color="auto"/>
                <w:right w:val="none" w:sz="0" w:space="0" w:color="auto"/>
              </w:divBdr>
              <w:divsChild>
                <w:div w:id="1850633312">
                  <w:marLeft w:val="0"/>
                  <w:marRight w:val="0"/>
                  <w:marTop w:val="0"/>
                  <w:marBottom w:val="0"/>
                  <w:divBdr>
                    <w:top w:val="none" w:sz="0" w:space="0" w:color="auto"/>
                    <w:left w:val="none" w:sz="0" w:space="0" w:color="auto"/>
                    <w:bottom w:val="none" w:sz="0" w:space="0" w:color="auto"/>
                    <w:right w:val="none" w:sz="0" w:space="0" w:color="auto"/>
                  </w:divBdr>
                </w:div>
                <w:div w:id="952394742">
                  <w:marLeft w:val="0"/>
                  <w:marRight w:val="0"/>
                  <w:marTop w:val="0"/>
                  <w:marBottom w:val="0"/>
                  <w:divBdr>
                    <w:top w:val="none" w:sz="0" w:space="0" w:color="auto"/>
                    <w:left w:val="none" w:sz="0" w:space="0" w:color="auto"/>
                    <w:bottom w:val="none" w:sz="0" w:space="0" w:color="auto"/>
                    <w:right w:val="none" w:sz="0" w:space="0" w:color="auto"/>
                  </w:divBdr>
                </w:div>
                <w:div w:id="1828747395">
                  <w:marLeft w:val="0"/>
                  <w:marRight w:val="-64"/>
                  <w:marTop w:val="0"/>
                  <w:marBottom w:val="0"/>
                  <w:divBdr>
                    <w:top w:val="none" w:sz="0" w:space="0" w:color="auto"/>
                    <w:left w:val="none" w:sz="0" w:space="0" w:color="auto"/>
                    <w:bottom w:val="none" w:sz="0" w:space="0" w:color="auto"/>
                    <w:right w:val="none" w:sz="0" w:space="0" w:color="auto"/>
                  </w:divBdr>
                </w:div>
                <w:div w:id="1773166135">
                  <w:marLeft w:val="0"/>
                  <w:marRight w:val="-64"/>
                  <w:marTop w:val="0"/>
                  <w:marBottom w:val="0"/>
                  <w:divBdr>
                    <w:top w:val="none" w:sz="0" w:space="0" w:color="auto"/>
                    <w:left w:val="none" w:sz="0" w:space="0" w:color="auto"/>
                    <w:bottom w:val="none" w:sz="0" w:space="0" w:color="auto"/>
                    <w:right w:val="none" w:sz="0" w:space="0" w:color="auto"/>
                  </w:divBdr>
                </w:div>
                <w:div w:id="241645101">
                  <w:marLeft w:val="0"/>
                  <w:marRight w:val="-64"/>
                  <w:marTop w:val="0"/>
                  <w:marBottom w:val="0"/>
                  <w:divBdr>
                    <w:top w:val="none" w:sz="0" w:space="0" w:color="auto"/>
                    <w:left w:val="none" w:sz="0" w:space="0" w:color="auto"/>
                    <w:bottom w:val="none" w:sz="0" w:space="0" w:color="auto"/>
                    <w:right w:val="none" w:sz="0" w:space="0" w:color="auto"/>
                  </w:divBdr>
                </w:div>
                <w:div w:id="2144496434">
                  <w:marLeft w:val="0"/>
                  <w:marRight w:val="-64"/>
                  <w:marTop w:val="0"/>
                  <w:marBottom w:val="0"/>
                  <w:divBdr>
                    <w:top w:val="none" w:sz="0" w:space="0" w:color="auto"/>
                    <w:left w:val="none" w:sz="0" w:space="0" w:color="auto"/>
                    <w:bottom w:val="none" w:sz="0" w:space="0" w:color="auto"/>
                    <w:right w:val="none" w:sz="0" w:space="0" w:color="auto"/>
                  </w:divBdr>
                </w:div>
                <w:div w:id="2090150434">
                  <w:marLeft w:val="0"/>
                  <w:marRight w:val="-64"/>
                  <w:marTop w:val="0"/>
                  <w:marBottom w:val="0"/>
                  <w:divBdr>
                    <w:top w:val="none" w:sz="0" w:space="0" w:color="auto"/>
                    <w:left w:val="none" w:sz="0" w:space="0" w:color="auto"/>
                    <w:bottom w:val="none" w:sz="0" w:space="0" w:color="auto"/>
                    <w:right w:val="none" w:sz="0" w:space="0" w:color="auto"/>
                  </w:divBdr>
                </w:div>
                <w:div w:id="1704476128">
                  <w:marLeft w:val="0"/>
                  <w:marRight w:val="-64"/>
                  <w:marTop w:val="0"/>
                  <w:marBottom w:val="0"/>
                  <w:divBdr>
                    <w:top w:val="none" w:sz="0" w:space="0" w:color="auto"/>
                    <w:left w:val="none" w:sz="0" w:space="0" w:color="auto"/>
                    <w:bottom w:val="none" w:sz="0" w:space="0" w:color="auto"/>
                    <w:right w:val="none" w:sz="0" w:space="0" w:color="auto"/>
                  </w:divBdr>
                </w:div>
                <w:div w:id="1142967781">
                  <w:marLeft w:val="0"/>
                  <w:marRight w:val="-64"/>
                  <w:marTop w:val="0"/>
                  <w:marBottom w:val="0"/>
                  <w:divBdr>
                    <w:top w:val="none" w:sz="0" w:space="0" w:color="auto"/>
                    <w:left w:val="none" w:sz="0" w:space="0" w:color="auto"/>
                    <w:bottom w:val="none" w:sz="0" w:space="0" w:color="auto"/>
                    <w:right w:val="none" w:sz="0" w:space="0" w:color="auto"/>
                  </w:divBdr>
                </w:div>
              </w:divsChild>
            </w:div>
          </w:divsChild>
        </w:div>
      </w:divsChild>
    </w:div>
    <w:div w:id="338582690">
      <w:bodyDiv w:val="1"/>
      <w:marLeft w:val="215"/>
      <w:marRight w:val="215"/>
      <w:marTop w:val="215"/>
      <w:marBottom w:val="215"/>
      <w:divBdr>
        <w:top w:val="none" w:sz="0" w:space="0" w:color="auto"/>
        <w:left w:val="none" w:sz="0" w:space="0" w:color="auto"/>
        <w:bottom w:val="none" w:sz="0" w:space="0" w:color="auto"/>
        <w:right w:val="none" w:sz="0" w:space="0" w:color="auto"/>
      </w:divBdr>
      <w:divsChild>
        <w:div w:id="86074766">
          <w:marLeft w:val="0"/>
          <w:marRight w:val="0"/>
          <w:marTop w:val="215"/>
          <w:marBottom w:val="0"/>
          <w:divBdr>
            <w:top w:val="none" w:sz="0" w:space="0" w:color="auto"/>
            <w:left w:val="none" w:sz="0" w:space="0" w:color="auto"/>
            <w:bottom w:val="none" w:sz="0" w:space="0" w:color="auto"/>
            <w:right w:val="none" w:sz="0" w:space="0" w:color="auto"/>
          </w:divBdr>
          <w:divsChild>
            <w:div w:id="667633292">
              <w:marLeft w:val="0"/>
              <w:marRight w:val="0"/>
              <w:marTop w:val="0"/>
              <w:marBottom w:val="0"/>
              <w:divBdr>
                <w:top w:val="none" w:sz="0" w:space="0" w:color="auto"/>
                <w:left w:val="none" w:sz="0" w:space="0" w:color="auto"/>
                <w:bottom w:val="none" w:sz="0" w:space="0" w:color="auto"/>
                <w:right w:val="none" w:sz="0" w:space="0" w:color="auto"/>
              </w:divBdr>
              <w:divsChild>
                <w:div w:id="215550932">
                  <w:marLeft w:val="0"/>
                  <w:marRight w:val="0"/>
                  <w:marTop w:val="0"/>
                  <w:marBottom w:val="0"/>
                  <w:divBdr>
                    <w:top w:val="none" w:sz="0" w:space="0" w:color="auto"/>
                    <w:left w:val="none" w:sz="0" w:space="0" w:color="auto"/>
                    <w:bottom w:val="none" w:sz="0" w:space="0" w:color="auto"/>
                    <w:right w:val="none" w:sz="0" w:space="0" w:color="auto"/>
                  </w:divBdr>
                </w:div>
                <w:div w:id="15427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0799">
      <w:bodyDiv w:val="1"/>
      <w:marLeft w:val="215"/>
      <w:marRight w:val="215"/>
      <w:marTop w:val="215"/>
      <w:marBottom w:val="215"/>
      <w:divBdr>
        <w:top w:val="none" w:sz="0" w:space="0" w:color="auto"/>
        <w:left w:val="none" w:sz="0" w:space="0" w:color="auto"/>
        <w:bottom w:val="none" w:sz="0" w:space="0" w:color="auto"/>
        <w:right w:val="none" w:sz="0" w:space="0" w:color="auto"/>
      </w:divBdr>
      <w:divsChild>
        <w:div w:id="2027515423">
          <w:marLeft w:val="0"/>
          <w:marRight w:val="0"/>
          <w:marTop w:val="215"/>
          <w:marBottom w:val="0"/>
          <w:divBdr>
            <w:top w:val="none" w:sz="0" w:space="0" w:color="auto"/>
            <w:left w:val="none" w:sz="0" w:space="0" w:color="auto"/>
            <w:bottom w:val="none" w:sz="0" w:space="0" w:color="auto"/>
            <w:right w:val="none" w:sz="0" w:space="0" w:color="auto"/>
          </w:divBdr>
          <w:divsChild>
            <w:div w:id="1534268520">
              <w:marLeft w:val="0"/>
              <w:marRight w:val="0"/>
              <w:marTop w:val="0"/>
              <w:marBottom w:val="0"/>
              <w:divBdr>
                <w:top w:val="none" w:sz="0" w:space="0" w:color="auto"/>
                <w:left w:val="none" w:sz="0" w:space="0" w:color="auto"/>
                <w:bottom w:val="none" w:sz="0" w:space="0" w:color="auto"/>
                <w:right w:val="none" w:sz="0" w:space="0" w:color="auto"/>
              </w:divBdr>
              <w:divsChild>
                <w:div w:id="1072192123">
                  <w:marLeft w:val="0"/>
                  <w:marRight w:val="0"/>
                  <w:marTop w:val="0"/>
                  <w:marBottom w:val="0"/>
                  <w:divBdr>
                    <w:top w:val="none" w:sz="0" w:space="0" w:color="auto"/>
                    <w:left w:val="none" w:sz="0" w:space="0" w:color="auto"/>
                    <w:bottom w:val="none" w:sz="0" w:space="0" w:color="auto"/>
                    <w:right w:val="none" w:sz="0" w:space="0" w:color="auto"/>
                  </w:divBdr>
                </w:div>
                <w:div w:id="12691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4730">
      <w:bodyDiv w:val="1"/>
      <w:marLeft w:val="215"/>
      <w:marRight w:val="215"/>
      <w:marTop w:val="215"/>
      <w:marBottom w:val="215"/>
      <w:divBdr>
        <w:top w:val="none" w:sz="0" w:space="0" w:color="auto"/>
        <w:left w:val="none" w:sz="0" w:space="0" w:color="auto"/>
        <w:bottom w:val="none" w:sz="0" w:space="0" w:color="auto"/>
        <w:right w:val="none" w:sz="0" w:space="0" w:color="auto"/>
      </w:divBdr>
      <w:divsChild>
        <w:div w:id="832647878">
          <w:marLeft w:val="0"/>
          <w:marRight w:val="0"/>
          <w:marTop w:val="215"/>
          <w:marBottom w:val="0"/>
          <w:divBdr>
            <w:top w:val="none" w:sz="0" w:space="0" w:color="auto"/>
            <w:left w:val="none" w:sz="0" w:space="0" w:color="auto"/>
            <w:bottom w:val="none" w:sz="0" w:space="0" w:color="auto"/>
            <w:right w:val="none" w:sz="0" w:space="0" w:color="auto"/>
          </w:divBdr>
          <w:divsChild>
            <w:div w:id="2084717641">
              <w:marLeft w:val="0"/>
              <w:marRight w:val="0"/>
              <w:marTop w:val="0"/>
              <w:marBottom w:val="0"/>
              <w:divBdr>
                <w:top w:val="none" w:sz="0" w:space="0" w:color="auto"/>
                <w:left w:val="none" w:sz="0" w:space="0" w:color="auto"/>
                <w:bottom w:val="none" w:sz="0" w:space="0" w:color="auto"/>
                <w:right w:val="none" w:sz="0" w:space="0" w:color="auto"/>
              </w:divBdr>
              <w:divsChild>
                <w:div w:id="685789937">
                  <w:marLeft w:val="0"/>
                  <w:marRight w:val="0"/>
                  <w:marTop w:val="0"/>
                  <w:marBottom w:val="0"/>
                  <w:divBdr>
                    <w:top w:val="none" w:sz="0" w:space="0" w:color="auto"/>
                    <w:left w:val="none" w:sz="0" w:space="0" w:color="auto"/>
                    <w:bottom w:val="none" w:sz="0" w:space="0" w:color="auto"/>
                    <w:right w:val="none" w:sz="0" w:space="0" w:color="auto"/>
                  </w:divBdr>
                </w:div>
                <w:div w:id="3452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27882">
      <w:bodyDiv w:val="1"/>
      <w:marLeft w:val="215"/>
      <w:marRight w:val="215"/>
      <w:marTop w:val="215"/>
      <w:marBottom w:val="215"/>
      <w:divBdr>
        <w:top w:val="none" w:sz="0" w:space="0" w:color="auto"/>
        <w:left w:val="none" w:sz="0" w:space="0" w:color="auto"/>
        <w:bottom w:val="none" w:sz="0" w:space="0" w:color="auto"/>
        <w:right w:val="none" w:sz="0" w:space="0" w:color="auto"/>
      </w:divBdr>
      <w:divsChild>
        <w:div w:id="1700466435">
          <w:marLeft w:val="0"/>
          <w:marRight w:val="0"/>
          <w:marTop w:val="215"/>
          <w:marBottom w:val="0"/>
          <w:divBdr>
            <w:top w:val="none" w:sz="0" w:space="0" w:color="auto"/>
            <w:left w:val="none" w:sz="0" w:space="0" w:color="auto"/>
            <w:bottom w:val="none" w:sz="0" w:space="0" w:color="auto"/>
            <w:right w:val="none" w:sz="0" w:space="0" w:color="auto"/>
          </w:divBdr>
          <w:divsChild>
            <w:div w:id="1251309692">
              <w:marLeft w:val="0"/>
              <w:marRight w:val="0"/>
              <w:marTop w:val="0"/>
              <w:marBottom w:val="0"/>
              <w:divBdr>
                <w:top w:val="none" w:sz="0" w:space="0" w:color="auto"/>
                <w:left w:val="none" w:sz="0" w:space="0" w:color="auto"/>
                <w:bottom w:val="none" w:sz="0" w:space="0" w:color="auto"/>
                <w:right w:val="none" w:sz="0" w:space="0" w:color="auto"/>
              </w:divBdr>
              <w:divsChild>
                <w:div w:id="1185243995">
                  <w:marLeft w:val="0"/>
                  <w:marRight w:val="0"/>
                  <w:marTop w:val="0"/>
                  <w:marBottom w:val="0"/>
                  <w:divBdr>
                    <w:top w:val="none" w:sz="0" w:space="0" w:color="auto"/>
                    <w:left w:val="none" w:sz="0" w:space="0" w:color="auto"/>
                    <w:bottom w:val="none" w:sz="0" w:space="0" w:color="auto"/>
                    <w:right w:val="none" w:sz="0" w:space="0" w:color="auto"/>
                  </w:divBdr>
                </w:div>
                <w:div w:id="10802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65332">
      <w:bodyDiv w:val="1"/>
      <w:marLeft w:val="215"/>
      <w:marRight w:val="215"/>
      <w:marTop w:val="215"/>
      <w:marBottom w:val="215"/>
      <w:divBdr>
        <w:top w:val="none" w:sz="0" w:space="0" w:color="auto"/>
        <w:left w:val="none" w:sz="0" w:space="0" w:color="auto"/>
        <w:bottom w:val="none" w:sz="0" w:space="0" w:color="auto"/>
        <w:right w:val="none" w:sz="0" w:space="0" w:color="auto"/>
      </w:divBdr>
      <w:divsChild>
        <w:div w:id="169370961">
          <w:marLeft w:val="0"/>
          <w:marRight w:val="0"/>
          <w:marTop w:val="215"/>
          <w:marBottom w:val="0"/>
          <w:divBdr>
            <w:top w:val="none" w:sz="0" w:space="0" w:color="auto"/>
            <w:left w:val="none" w:sz="0" w:space="0" w:color="auto"/>
            <w:bottom w:val="none" w:sz="0" w:space="0" w:color="auto"/>
            <w:right w:val="none" w:sz="0" w:space="0" w:color="auto"/>
          </w:divBdr>
          <w:divsChild>
            <w:div w:id="1787120322">
              <w:marLeft w:val="0"/>
              <w:marRight w:val="0"/>
              <w:marTop w:val="0"/>
              <w:marBottom w:val="0"/>
              <w:divBdr>
                <w:top w:val="none" w:sz="0" w:space="0" w:color="auto"/>
                <w:left w:val="none" w:sz="0" w:space="0" w:color="auto"/>
                <w:bottom w:val="none" w:sz="0" w:space="0" w:color="auto"/>
                <w:right w:val="none" w:sz="0" w:space="0" w:color="auto"/>
              </w:divBdr>
              <w:divsChild>
                <w:div w:id="111364256">
                  <w:marLeft w:val="0"/>
                  <w:marRight w:val="0"/>
                  <w:marTop w:val="0"/>
                  <w:marBottom w:val="0"/>
                  <w:divBdr>
                    <w:top w:val="none" w:sz="0" w:space="0" w:color="auto"/>
                    <w:left w:val="none" w:sz="0" w:space="0" w:color="auto"/>
                    <w:bottom w:val="none" w:sz="0" w:space="0" w:color="auto"/>
                    <w:right w:val="none" w:sz="0" w:space="0" w:color="auto"/>
                  </w:divBdr>
                </w:div>
                <w:div w:id="11892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dc:creator>
  <cp:keywords/>
  <dc:description/>
  <cp:lastModifiedBy>Alek</cp:lastModifiedBy>
  <cp:revision>25</cp:revision>
  <dcterms:created xsi:type="dcterms:W3CDTF">2012-08-28T17:31:00Z</dcterms:created>
  <dcterms:modified xsi:type="dcterms:W3CDTF">2012-08-29T15:52:00Z</dcterms:modified>
</cp:coreProperties>
</file>