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21" w:rsidRDefault="00C33221" w:rsidP="00AE28EF">
      <w:pPr>
        <w:spacing w:line="320" w:lineRule="atLeast"/>
      </w:pPr>
      <w:bookmarkStart w:id="0" w:name="_GoBack"/>
      <w:bookmarkEnd w:id="0"/>
    </w:p>
    <w:p w:rsidR="00B65F9A" w:rsidRDefault="00B65F9A"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11359B">
      <w:pPr>
        <w:pStyle w:val="Cov-Title"/>
        <w:spacing w:line="320" w:lineRule="atLeast"/>
        <w:rPr>
          <w:szCs w:val="40"/>
        </w:rPr>
      </w:pPr>
      <w:r w:rsidRPr="005C26EF">
        <w:rPr>
          <w:szCs w:val="40"/>
        </w:rPr>
        <w:t>20</w:t>
      </w:r>
      <w:r w:rsidR="000457DA">
        <w:rPr>
          <w:szCs w:val="40"/>
        </w:rPr>
        <w:t>12</w:t>
      </w:r>
      <w:r w:rsidR="0011359B">
        <w:rPr>
          <w:szCs w:val="40"/>
        </w:rPr>
        <w:t xml:space="preserve">/14 </w:t>
      </w:r>
      <w:r w:rsidRPr="005C26EF">
        <w:rPr>
          <w:szCs w:val="40"/>
        </w:rPr>
        <w:t>B</w:t>
      </w:r>
      <w:r w:rsidR="000457DA">
        <w:rPr>
          <w:szCs w:val="40"/>
        </w:rPr>
        <w:t>eginning Postsecondary Students</w:t>
      </w:r>
    </w:p>
    <w:p w:rsidR="00C33221" w:rsidRDefault="000457DA" w:rsidP="00AE28EF">
      <w:pPr>
        <w:pStyle w:val="Cov-Title"/>
        <w:spacing w:line="320" w:lineRule="atLeast"/>
        <w:rPr>
          <w:szCs w:val="40"/>
        </w:rPr>
      </w:pPr>
      <w:r>
        <w:rPr>
          <w:szCs w:val="40"/>
        </w:rPr>
        <w:t>Longitudinal Study: (BPS:</w:t>
      </w:r>
      <w:r w:rsidR="00C33221">
        <w:rPr>
          <w:szCs w:val="40"/>
        </w:rPr>
        <w:t>12</w:t>
      </w:r>
      <w:r>
        <w:rPr>
          <w:szCs w:val="40"/>
        </w:rPr>
        <w:t>/14</w:t>
      </w:r>
      <w:r w:rsidR="00C33221" w:rsidRPr="005C26EF">
        <w:rPr>
          <w:szCs w:val="40"/>
        </w:rPr>
        <w:t>)</w:t>
      </w:r>
      <w:r w:rsidR="000510A8">
        <w:rPr>
          <w:szCs w:val="40"/>
        </w:rPr>
        <w:t xml:space="preserve"> Field Test</w:t>
      </w:r>
    </w:p>
    <w:p w:rsidR="00C33221" w:rsidRDefault="00C33221" w:rsidP="00AE28EF">
      <w:pPr>
        <w:pStyle w:val="Cov-Title"/>
        <w:spacing w:line="320" w:lineRule="atLeast"/>
      </w:pPr>
    </w:p>
    <w:p w:rsidR="00C33221" w:rsidRDefault="00C33221" w:rsidP="00AE28EF">
      <w:pPr>
        <w:pStyle w:val="Cov-Title"/>
        <w:spacing w:line="320" w:lineRule="atLeast"/>
      </w:pPr>
    </w:p>
    <w:p w:rsidR="00C33221" w:rsidRDefault="00C33221" w:rsidP="00AE28EF">
      <w:pPr>
        <w:spacing w:line="320" w:lineRule="atLeast"/>
      </w:pPr>
    </w:p>
    <w:p w:rsidR="00C33221" w:rsidRDefault="00C33221" w:rsidP="00AE28EF">
      <w:pPr>
        <w:pStyle w:val="Cov-Subtitle"/>
        <w:spacing w:line="320" w:lineRule="atLeast"/>
      </w:pPr>
      <w:r w:rsidRPr="005C26EF">
        <w:t>Supporting Statement</w:t>
      </w:r>
      <w:r>
        <w:t xml:space="preserve"> Part A</w:t>
      </w:r>
    </w:p>
    <w:p w:rsidR="00C33221" w:rsidRDefault="00C33221" w:rsidP="00AE28EF">
      <w:pPr>
        <w:pStyle w:val="Cov-Subtitle"/>
        <w:spacing w:line="320" w:lineRule="atLeast"/>
      </w:pPr>
      <w:r w:rsidRPr="005C26EF">
        <w:t>Request for OMB Review</w:t>
      </w:r>
    </w:p>
    <w:p w:rsidR="00C33221" w:rsidRDefault="00C33221" w:rsidP="00FF034B">
      <w:pPr>
        <w:pStyle w:val="Cov-Subtitle"/>
        <w:spacing w:line="320" w:lineRule="atLeast"/>
      </w:pPr>
      <w:r w:rsidRPr="005C26EF">
        <w:t xml:space="preserve">OMB </w:t>
      </w:r>
      <w:r w:rsidRPr="00547FA9">
        <w:t># 1850-0</w:t>
      </w:r>
      <w:r w:rsidR="00FF034B">
        <w:t>631</w:t>
      </w:r>
      <w:r w:rsidR="005705D4">
        <w:t xml:space="preserve"> v.</w:t>
      </w:r>
      <w:r w:rsidR="002D2C76">
        <w:t>7</w:t>
      </w: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pStyle w:val="Cov-Address"/>
        <w:spacing w:line="320" w:lineRule="atLeast"/>
      </w:pPr>
      <w:r w:rsidRPr="005C26EF">
        <w:t>Submitted by</w:t>
      </w:r>
    </w:p>
    <w:p w:rsidR="00C33221" w:rsidRDefault="00C33221" w:rsidP="00AE28EF">
      <w:pPr>
        <w:pStyle w:val="Cov-Address"/>
        <w:spacing w:line="320" w:lineRule="atLeast"/>
      </w:pPr>
      <w:r w:rsidRPr="005C26EF">
        <w:t>National Center for Education Statistics</w:t>
      </w:r>
    </w:p>
    <w:p w:rsidR="00C33221" w:rsidRDefault="00C33221" w:rsidP="00AE28EF">
      <w:pPr>
        <w:pStyle w:val="Cov-Address"/>
        <w:spacing w:line="320" w:lineRule="atLeast"/>
      </w:pPr>
      <w:r w:rsidRPr="005C26EF">
        <w:t>U.S. Department of Education</w:t>
      </w:r>
    </w:p>
    <w:p w:rsidR="00C33221" w:rsidRDefault="00C33221" w:rsidP="00AE28EF">
      <w:pPr>
        <w:pStyle w:val="Cov-Address"/>
        <w:spacing w:line="320" w:lineRule="atLeast"/>
        <w:rPr>
          <w:rFonts w:ascii="Arial Black" w:hAnsi="Arial Black"/>
          <w:szCs w:val="24"/>
        </w:rPr>
      </w:pPr>
    </w:p>
    <w:p w:rsidR="00C33221" w:rsidRDefault="00C33221" w:rsidP="00AE28EF">
      <w:pPr>
        <w:pStyle w:val="Cov-Address"/>
        <w:spacing w:line="320" w:lineRule="atLeast"/>
        <w:rPr>
          <w:rFonts w:ascii="Arial Black" w:hAnsi="Arial Black"/>
          <w:szCs w:val="24"/>
        </w:rPr>
      </w:pPr>
    </w:p>
    <w:p w:rsidR="00C33221" w:rsidRDefault="00E45ED5" w:rsidP="002477DC">
      <w:pPr>
        <w:pStyle w:val="Cov-Address"/>
        <w:spacing w:line="320" w:lineRule="atLeast"/>
        <w:rPr>
          <w:rFonts w:ascii="Arial Black" w:hAnsi="Arial Black"/>
          <w:szCs w:val="24"/>
        </w:rPr>
      </w:pPr>
      <w:r>
        <w:rPr>
          <w:rFonts w:ascii="Arial Black" w:hAnsi="Arial Black"/>
          <w:szCs w:val="24"/>
        </w:rPr>
        <w:t>October 1</w:t>
      </w:r>
      <w:r w:rsidR="002477DC">
        <w:rPr>
          <w:rFonts w:ascii="Arial Black" w:hAnsi="Arial Black"/>
          <w:szCs w:val="24"/>
        </w:rPr>
        <w:t>1</w:t>
      </w:r>
      <w:r w:rsidR="00B56D44">
        <w:rPr>
          <w:rFonts w:ascii="Arial Black" w:hAnsi="Arial Black"/>
          <w:szCs w:val="24"/>
        </w:rPr>
        <w:t xml:space="preserve">, </w:t>
      </w:r>
      <w:r w:rsidR="00C33221">
        <w:rPr>
          <w:rFonts w:ascii="Arial Black" w:hAnsi="Arial Black"/>
          <w:szCs w:val="24"/>
        </w:rPr>
        <w:t>201</w:t>
      </w:r>
      <w:r w:rsidR="00593677">
        <w:rPr>
          <w:rFonts w:ascii="Arial Black" w:hAnsi="Arial Black"/>
          <w:szCs w:val="24"/>
        </w:rPr>
        <w:t>2</w:t>
      </w:r>
    </w:p>
    <w:p w:rsidR="00C33221" w:rsidRDefault="00C33221" w:rsidP="00AE28EF">
      <w:pPr>
        <w:spacing w:line="320" w:lineRule="atLeast"/>
      </w:pPr>
    </w:p>
    <w:p w:rsidR="00C33221" w:rsidRPr="005C26EF" w:rsidRDefault="00C33221" w:rsidP="007F733A">
      <w:pPr>
        <w:spacing w:line="320" w:lineRule="atLeast"/>
        <w:sectPr w:rsidR="00C33221" w:rsidRPr="005C26EF" w:rsidSect="002225C7">
          <w:headerReference w:type="even" r:id="rId10"/>
          <w:footerReference w:type="even" r:id="rId11"/>
          <w:pgSz w:w="12240" w:h="15840" w:code="1"/>
          <w:pgMar w:top="1008" w:right="1008" w:bottom="1008" w:left="1008" w:header="720" w:footer="720" w:gutter="0"/>
          <w:cols w:space="720"/>
          <w:docGrid w:linePitch="360"/>
        </w:sectPr>
      </w:pPr>
    </w:p>
    <w:p w:rsidR="00C33221" w:rsidRDefault="00C33221" w:rsidP="00B776D5">
      <w:pPr>
        <w:pStyle w:val="TOCHeading"/>
        <w:spacing w:after="120"/>
      </w:pPr>
      <w:r w:rsidRPr="005C26EF">
        <w:lastRenderedPageBreak/>
        <w:t>Contents</w:t>
      </w:r>
    </w:p>
    <w:p w:rsidR="00A1313C" w:rsidRDefault="002949E6">
      <w:pPr>
        <w:pStyle w:val="TOC1"/>
        <w:rPr>
          <w:rFonts w:asciiTheme="minorHAnsi" w:eastAsiaTheme="minorEastAsia" w:hAnsiTheme="minorHAnsi" w:cstheme="minorBidi"/>
          <w:b w:val="0"/>
          <w:bCs w:val="0"/>
          <w:sz w:val="22"/>
          <w:szCs w:val="22"/>
        </w:rPr>
      </w:pPr>
      <w:r>
        <w:fldChar w:fldCharType="begin"/>
      </w:r>
      <w:r w:rsidR="00C33221">
        <w:instrText xml:space="preserve"> TOC \h \z \t "Heading 1,1,Heading 2,2,Heading 3,3,ES Heading 1,1" </w:instrText>
      </w:r>
      <w:r>
        <w:fldChar w:fldCharType="separate"/>
      </w:r>
      <w:hyperlink w:anchor="_Toc337878547" w:history="1">
        <w:r w:rsidR="00A1313C" w:rsidRPr="00F73D39">
          <w:rPr>
            <w:rStyle w:val="Hyperlink"/>
          </w:rPr>
          <w:t>A.</w:t>
        </w:r>
        <w:r w:rsidR="00A1313C">
          <w:rPr>
            <w:rFonts w:asciiTheme="minorHAnsi" w:eastAsiaTheme="minorEastAsia" w:hAnsiTheme="minorHAnsi" w:cstheme="minorBidi"/>
            <w:b w:val="0"/>
            <w:bCs w:val="0"/>
            <w:sz w:val="22"/>
            <w:szCs w:val="22"/>
          </w:rPr>
          <w:tab/>
        </w:r>
        <w:r w:rsidR="00A1313C" w:rsidRPr="00F73D39">
          <w:rPr>
            <w:rStyle w:val="Hyperlink"/>
          </w:rPr>
          <w:t>Justification</w:t>
        </w:r>
        <w:r w:rsidR="00A1313C">
          <w:rPr>
            <w:webHidden/>
          </w:rPr>
          <w:tab/>
        </w:r>
        <w:r>
          <w:rPr>
            <w:webHidden/>
          </w:rPr>
          <w:fldChar w:fldCharType="begin"/>
        </w:r>
        <w:r w:rsidR="00A1313C">
          <w:rPr>
            <w:webHidden/>
          </w:rPr>
          <w:instrText xml:space="preserve"> PAGEREF _Toc337878547 \h </w:instrText>
        </w:r>
        <w:r>
          <w:rPr>
            <w:webHidden/>
          </w:rPr>
        </w:r>
        <w:r>
          <w:rPr>
            <w:webHidden/>
          </w:rPr>
          <w:fldChar w:fldCharType="separate"/>
        </w:r>
        <w:r w:rsidR="00A1313C">
          <w:rPr>
            <w:webHidden/>
          </w:rPr>
          <w:t>1</w:t>
        </w:r>
        <w:r>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48" w:history="1">
        <w:r w:rsidR="00A1313C" w:rsidRPr="00F73D39">
          <w:rPr>
            <w:rStyle w:val="Hyperlink"/>
          </w:rPr>
          <w:t>1.</w:t>
        </w:r>
        <w:r w:rsidR="00A1313C">
          <w:rPr>
            <w:rFonts w:asciiTheme="minorHAnsi" w:eastAsiaTheme="minorEastAsia" w:hAnsiTheme="minorHAnsi" w:cstheme="minorBidi"/>
            <w:bCs w:val="0"/>
            <w:szCs w:val="22"/>
          </w:rPr>
          <w:tab/>
        </w:r>
        <w:r w:rsidR="00A1313C" w:rsidRPr="00F73D39">
          <w:rPr>
            <w:rStyle w:val="Hyperlink"/>
          </w:rPr>
          <w:t>Circumstances Making Collection of Information Necessary</w:t>
        </w:r>
        <w:r w:rsidR="00A1313C">
          <w:rPr>
            <w:webHidden/>
          </w:rPr>
          <w:tab/>
        </w:r>
        <w:r w:rsidR="002949E6">
          <w:rPr>
            <w:webHidden/>
          </w:rPr>
          <w:fldChar w:fldCharType="begin"/>
        </w:r>
        <w:r w:rsidR="00A1313C">
          <w:rPr>
            <w:webHidden/>
          </w:rPr>
          <w:instrText xml:space="preserve"> PAGEREF _Toc337878548 \h </w:instrText>
        </w:r>
        <w:r w:rsidR="002949E6">
          <w:rPr>
            <w:webHidden/>
          </w:rPr>
        </w:r>
        <w:r w:rsidR="002949E6">
          <w:rPr>
            <w:webHidden/>
          </w:rPr>
          <w:fldChar w:fldCharType="separate"/>
        </w:r>
        <w:r w:rsidR="00A1313C">
          <w:rPr>
            <w:webHidden/>
          </w:rPr>
          <w:t>1</w:t>
        </w:r>
        <w:r w:rsidR="002949E6">
          <w:rPr>
            <w:webHidden/>
          </w:rPr>
          <w:fldChar w:fldCharType="end"/>
        </w:r>
      </w:hyperlink>
    </w:p>
    <w:p w:rsidR="00A1313C" w:rsidRDefault="001C10F7">
      <w:pPr>
        <w:pStyle w:val="TOC3"/>
        <w:tabs>
          <w:tab w:val="left" w:pos="1440"/>
        </w:tabs>
        <w:rPr>
          <w:rFonts w:asciiTheme="minorHAnsi" w:eastAsiaTheme="minorEastAsia" w:hAnsiTheme="minorHAnsi" w:cstheme="minorBidi"/>
          <w:szCs w:val="22"/>
        </w:rPr>
      </w:pPr>
      <w:hyperlink w:anchor="_Toc337878549" w:history="1">
        <w:r w:rsidR="00A1313C" w:rsidRPr="00F73D39">
          <w:rPr>
            <w:rStyle w:val="Hyperlink"/>
          </w:rPr>
          <w:t>a.</w:t>
        </w:r>
        <w:r w:rsidR="00A1313C">
          <w:rPr>
            <w:rFonts w:asciiTheme="minorHAnsi" w:eastAsiaTheme="minorEastAsia" w:hAnsiTheme="minorHAnsi" w:cstheme="minorBidi"/>
            <w:szCs w:val="22"/>
          </w:rPr>
          <w:tab/>
        </w:r>
        <w:r w:rsidR="00A1313C" w:rsidRPr="00F73D39">
          <w:rPr>
            <w:rStyle w:val="Hyperlink"/>
          </w:rPr>
          <w:t>Purpose of this Submission</w:t>
        </w:r>
        <w:r w:rsidR="00A1313C">
          <w:rPr>
            <w:webHidden/>
          </w:rPr>
          <w:tab/>
        </w:r>
        <w:r w:rsidR="002949E6">
          <w:rPr>
            <w:webHidden/>
          </w:rPr>
          <w:fldChar w:fldCharType="begin"/>
        </w:r>
        <w:r w:rsidR="00A1313C">
          <w:rPr>
            <w:webHidden/>
          </w:rPr>
          <w:instrText xml:space="preserve"> PAGEREF _Toc337878549 \h </w:instrText>
        </w:r>
        <w:r w:rsidR="002949E6">
          <w:rPr>
            <w:webHidden/>
          </w:rPr>
        </w:r>
        <w:r w:rsidR="002949E6">
          <w:rPr>
            <w:webHidden/>
          </w:rPr>
          <w:fldChar w:fldCharType="separate"/>
        </w:r>
        <w:r w:rsidR="00A1313C">
          <w:rPr>
            <w:webHidden/>
          </w:rPr>
          <w:t>1</w:t>
        </w:r>
        <w:r w:rsidR="002949E6">
          <w:rPr>
            <w:webHidden/>
          </w:rPr>
          <w:fldChar w:fldCharType="end"/>
        </w:r>
      </w:hyperlink>
    </w:p>
    <w:p w:rsidR="00A1313C" w:rsidRDefault="001C10F7">
      <w:pPr>
        <w:pStyle w:val="TOC3"/>
        <w:tabs>
          <w:tab w:val="left" w:pos="1440"/>
        </w:tabs>
        <w:rPr>
          <w:rFonts w:asciiTheme="minorHAnsi" w:eastAsiaTheme="minorEastAsia" w:hAnsiTheme="minorHAnsi" w:cstheme="minorBidi"/>
          <w:szCs w:val="22"/>
        </w:rPr>
      </w:pPr>
      <w:hyperlink w:anchor="_Toc337878550" w:history="1">
        <w:r w:rsidR="00A1313C" w:rsidRPr="00F73D39">
          <w:rPr>
            <w:rStyle w:val="Hyperlink"/>
          </w:rPr>
          <w:t>b.</w:t>
        </w:r>
        <w:r w:rsidR="00A1313C">
          <w:rPr>
            <w:rFonts w:asciiTheme="minorHAnsi" w:eastAsiaTheme="minorEastAsia" w:hAnsiTheme="minorHAnsi" w:cstheme="minorBidi"/>
            <w:szCs w:val="22"/>
          </w:rPr>
          <w:tab/>
        </w:r>
        <w:r w:rsidR="00A1313C" w:rsidRPr="00F73D39">
          <w:rPr>
            <w:rStyle w:val="Hyperlink"/>
          </w:rPr>
          <w:t>Summary of Study Design for BPS:12/14</w:t>
        </w:r>
        <w:r w:rsidR="00A1313C">
          <w:rPr>
            <w:webHidden/>
          </w:rPr>
          <w:tab/>
        </w:r>
        <w:r w:rsidR="002949E6">
          <w:rPr>
            <w:webHidden/>
          </w:rPr>
          <w:fldChar w:fldCharType="begin"/>
        </w:r>
        <w:r w:rsidR="00A1313C">
          <w:rPr>
            <w:webHidden/>
          </w:rPr>
          <w:instrText xml:space="preserve"> PAGEREF _Toc337878550 \h </w:instrText>
        </w:r>
        <w:r w:rsidR="002949E6">
          <w:rPr>
            <w:webHidden/>
          </w:rPr>
        </w:r>
        <w:r w:rsidR="002949E6">
          <w:rPr>
            <w:webHidden/>
          </w:rPr>
          <w:fldChar w:fldCharType="separate"/>
        </w:r>
        <w:r w:rsidR="00A1313C">
          <w:rPr>
            <w:webHidden/>
          </w:rPr>
          <w:t>1</w:t>
        </w:r>
        <w:r w:rsidR="002949E6">
          <w:rPr>
            <w:webHidden/>
          </w:rPr>
          <w:fldChar w:fldCharType="end"/>
        </w:r>
      </w:hyperlink>
    </w:p>
    <w:p w:rsidR="00A1313C" w:rsidRDefault="001C10F7">
      <w:pPr>
        <w:pStyle w:val="TOC3"/>
        <w:tabs>
          <w:tab w:val="left" w:pos="1440"/>
        </w:tabs>
        <w:rPr>
          <w:rFonts w:asciiTheme="minorHAnsi" w:eastAsiaTheme="minorEastAsia" w:hAnsiTheme="minorHAnsi" w:cstheme="minorBidi"/>
          <w:szCs w:val="22"/>
        </w:rPr>
      </w:pPr>
      <w:hyperlink w:anchor="_Toc337878551" w:history="1">
        <w:r w:rsidR="00A1313C" w:rsidRPr="00F73D39">
          <w:rPr>
            <w:rStyle w:val="Hyperlink"/>
          </w:rPr>
          <w:t>c.</w:t>
        </w:r>
        <w:r w:rsidR="00A1313C">
          <w:rPr>
            <w:rFonts w:asciiTheme="minorHAnsi" w:eastAsiaTheme="minorEastAsia" w:hAnsiTheme="minorHAnsi" w:cstheme="minorBidi"/>
            <w:szCs w:val="22"/>
          </w:rPr>
          <w:tab/>
        </w:r>
        <w:r w:rsidR="00A1313C" w:rsidRPr="00F73D39">
          <w:rPr>
            <w:rStyle w:val="Hyperlink"/>
          </w:rPr>
          <w:t>Legislative Authorization</w:t>
        </w:r>
        <w:r w:rsidR="00A1313C">
          <w:rPr>
            <w:webHidden/>
          </w:rPr>
          <w:tab/>
        </w:r>
        <w:r w:rsidR="002949E6">
          <w:rPr>
            <w:webHidden/>
          </w:rPr>
          <w:fldChar w:fldCharType="begin"/>
        </w:r>
        <w:r w:rsidR="00A1313C">
          <w:rPr>
            <w:webHidden/>
          </w:rPr>
          <w:instrText xml:space="preserve"> PAGEREF _Toc337878551 \h </w:instrText>
        </w:r>
        <w:r w:rsidR="002949E6">
          <w:rPr>
            <w:webHidden/>
          </w:rPr>
        </w:r>
        <w:r w:rsidR="002949E6">
          <w:rPr>
            <w:webHidden/>
          </w:rPr>
          <w:fldChar w:fldCharType="separate"/>
        </w:r>
        <w:r w:rsidR="00A1313C">
          <w:rPr>
            <w:webHidden/>
          </w:rPr>
          <w:t>3</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52" w:history="1">
        <w:r w:rsidR="00A1313C" w:rsidRPr="00F73D39">
          <w:rPr>
            <w:rStyle w:val="Hyperlink"/>
          </w:rPr>
          <w:t>2.</w:t>
        </w:r>
        <w:r w:rsidR="00A1313C">
          <w:rPr>
            <w:rFonts w:asciiTheme="minorHAnsi" w:eastAsiaTheme="minorEastAsia" w:hAnsiTheme="minorHAnsi" w:cstheme="minorBidi"/>
            <w:bCs w:val="0"/>
            <w:szCs w:val="22"/>
          </w:rPr>
          <w:tab/>
        </w:r>
        <w:r w:rsidR="00A1313C" w:rsidRPr="00F73D39">
          <w:rPr>
            <w:rStyle w:val="Hyperlink"/>
          </w:rPr>
          <w:t>Purpose and Uses of the Data</w:t>
        </w:r>
        <w:r w:rsidR="00A1313C">
          <w:rPr>
            <w:webHidden/>
          </w:rPr>
          <w:tab/>
        </w:r>
        <w:r w:rsidR="002949E6">
          <w:rPr>
            <w:webHidden/>
          </w:rPr>
          <w:fldChar w:fldCharType="begin"/>
        </w:r>
        <w:r w:rsidR="00A1313C">
          <w:rPr>
            <w:webHidden/>
          </w:rPr>
          <w:instrText xml:space="preserve"> PAGEREF _Toc337878552 \h </w:instrText>
        </w:r>
        <w:r w:rsidR="002949E6">
          <w:rPr>
            <w:webHidden/>
          </w:rPr>
        </w:r>
        <w:r w:rsidR="002949E6">
          <w:rPr>
            <w:webHidden/>
          </w:rPr>
          <w:fldChar w:fldCharType="separate"/>
        </w:r>
        <w:r w:rsidR="00A1313C">
          <w:rPr>
            <w:webHidden/>
          </w:rPr>
          <w:t>3</w:t>
        </w:r>
        <w:r w:rsidR="002949E6">
          <w:rPr>
            <w:webHidden/>
          </w:rPr>
          <w:fldChar w:fldCharType="end"/>
        </w:r>
      </w:hyperlink>
    </w:p>
    <w:p w:rsidR="00A1313C" w:rsidRDefault="001C10F7">
      <w:pPr>
        <w:pStyle w:val="TOC3"/>
        <w:tabs>
          <w:tab w:val="left" w:pos="1440"/>
        </w:tabs>
        <w:rPr>
          <w:rFonts w:asciiTheme="minorHAnsi" w:eastAsiaTheme="minorEastAsia" w:hAnsiTheme="minorHAnsi" w:cstheme="minorBidi"/>
          <w:szCs w:val="22"/>
        </w:rPr>
      </w:pPr>
      <w:hyperlink w:anchor="_Toc337878553" w:history="1">
        <w:r w:rsidR="00A1313C" w:rsidRPr="00F73D39">
          <w:rPr>
            <w:rStyle w:val="Hyperlink"/>
          </w:rPr>
          <w:t>a.</w:t>
        </w:r>
        <w:r w:rsidR="00A1313C">
          <w:rPr>
            <w:rFonts w:asciiTheme="minorHAnsi" w:eastAsiaTheme="minorEastAsia" w:hAnsiTheme="minorHAnsi" w:cstheme="minorBidi"/>
            <w:szCs w:val="22"/>
          </w:rPr>
          <w:tab/>
        </w:r>
        <w:r w:rsidR="00A1313C" w:rsidRPr="00F73D39">
          <w:rPr>
            <w:rStyle w:val="Hyperlink"/>
          </w:rPr>
          <w:t>The BPS Cohort</w:t>
        </w:r>
        <w:r w:rsidR="00A1313C">
          <w:rPr>
            <w:webHidden/>
          </w:rPr>
          <w:tab/>
        </w:r>
        <w:r w:rsidR="002949E6">
          <w:rPr>
            <w:webHidden/>
          </w:rPr>
          <w:fldChar w:fldCharType="begin"/>
        </w:r>
        <w:r w:rsidR="00A1313C">
          <w:rPr>
            <w:webHidden/>
          </w:rPr>
          <w:instrText xml:space="preserve"> PAGEREF _Toc337878553 \h </w:instrText>
        </w:r>
        <w:r w:rsidR="002949E6">
          <w:rPr>
            <w:webHidden/>
          </w:rPr>
        </w:r>
        <w:r w:rsidR="002949E6">
          <w:rPr>
            <w:webHidden/>
          </w:rPr>
          <w:fldChar w:fldCharType="separate"/>
        </w:r>
        <w:r w:rsidR="00A1313C">
          <w:rPr>
            <w:webHidden/>
          </w:rPr>
          <w:t>3</w:t>
        </w:r>
        <w:r w:rsidR="002949E6">
          <w:rPr>
            <w:webHidden/>
          </w:rPr>
          <w:fldChar w:fldCharType="end"/>
        </w:r>
      </w:hyperlink>
    </w:p>
    <w:p w:rsidR="00A1313C" w:rsidRDefault="001C10F7">
      <w:pPr>
        <w:pStyle w:val="TOC3"/>
        <w:tabs>
          <w:tab w:val="left" w:pos="1440"/>
        </w:tabs>
        <w:rPr>
          <w:rFonts w:asciiTheme="minorHAnsi" w:eastAsiaTheme="minorEastAsia" w:hAnsiTheme="minorHAnsi" w:cstheme="minorBidi"/>
          <w:szCs w:val="22"/>
        </w:rPr>
      </w:pPr>
      <w:hyperlink w:anchor="_Toc337878554" w:history="1">
        <w:r w:rsidR="00A1313C" w:rsidRPr="00F73D39">
          <w:rPr>
            <w:rStyle w:val="Hyperlink"/>
          </w:rPr>
          <w:t>b.</w:t>
        </w:r>
        <w:r w:rsidR="00A1313C">
          <w:rPr>
            <w:rFonts w:asciiTheme="minorHAnsi" w:eastAsiaTheme="minorEastAsia" w:hAnsiTheme="minorHAnsi" w:cstheme="minorBidi"/>
            <w:szCs w:val="22"/>
          </w:rPr>
          <w:tab/>
        </w:r>
        <w:r w:rsidR="00A1313C" w:rsidRPr="00F73D39">
          <w:rPr>
            <w:rStyle w:val="Hyperlink"/>
          </w:rPr>
          <w:t>Current Research and Policy Issues Related to BPS</w:t>
        </w:r>
        <w:r w:rsidR="00A1313C">
          <w:rPr>
            <w:webHidden/>
          </w:rPr>
          <w:tab/>
        </w:r>
        <w:r w:rsidR="002949E6">
          <w:rPr>
            <w:webHidden/>
          </w:rPr>
          <w:fldChar w:fldCharType="begin"/>
        </w:r>
        <w:r w:rsidR="00A1313C">
          <w:rPr>
            <w:webHidden/>
          </w:rPr>
          <w:instrText xml:space="preserve"> PAGEREF _Toc337878554 \h </w:instrText>
        </w:r>
        <w:r w:rsidR="002949E6">
          <w:rPr>
            <w:webHidden/>
          </w:rPr>
        </w:r>
        <w:r w:rsidR="002949E6">
          <w:rPr>
            <w:webHidden/>
          </w:rPr>
          <w:fldChar w:fldCharType="separate"/>
        </w:r>
        <w:r w:rsidR="00A1313C">
          <w:rPr>
            <w:webHidden/>
          </w:rPr>
          <w:t>4</w:t>
        </w:r>
        <w:r w:rsidR="002949E6">
          <w:rPr>
            <w:webHidden/>
          </w:rPr>
          <w:fldChar w:fldCharType="end"/>
        </w:r>
      </w:hyperlink>
    </w:p>
    <w:p w:rsidR="00A1313C" w:rsidRDefault="001C10F7">
      <w:pPr>
        <w:pStyle w:val="TOC3"/>
        <w:tabs>
          <w:tab w:val="left" w:pos="1440"/>
        </w:tabs>
        <w:rPr>
          <w:rFonts w:asciiTheme="minorHAnsi" w:eastAsiaTheme="minorEastAsia" w:hAnsiTheme="minorHAnsi" w:cstheme="minorBidi"/>
          <w:szCs w:val="22"/>
        </w:rPr>
      </w:pPr>
      <w:hyperlink w:anchor="_Toc337878555" w:history="1">
        <w:r w:rsidR="00A1313C" w:rsidRPr="00F73D39">
          <w:rPr>
            <w:rStyle w:val="Hyperlink"/>
          </w:rPr>
          <w:t>c.</w:t>
        </w:r>
        <w:r w:rsidR="00A1313C">
          <w:rPr>
            <w:rFonts w:asciiTheme="minorHAnsi" w:eastAsiaTheme="minorEastAsia" w:hAnsiTheme="minorHAnsi" w:cstheme="minorBidi"/>
            <w:szCs w:val="22"/>
          </w:rPr>
          <w:tab/>
        </w:r>
        <w:r w:rsidR="00A1313C" w:rsidRPr="00F73D39">
          <w:rPr>
            <w:rStyle w:val="Hyperlink"/>
          </w:rPr>
          <w:t>Previous Agency Use of the Data</w:t>
        </w:r>
        <w:r w:rsidR="00A1313C">
          <w:rPr>
            <w:webHidden/>
          </w:rPr>
          <w:tab/>
        </w:r>
        <w:r w:rsidR="002949E6">
          <w:rPr>
            <w:webHidden/>
          </w:rPr>
          <w:fldChar w:fldCharType="begin"/>
        </w:r>
        <w:r w:rsidR="00A1313C">
          <w:rPr>
            <w:webHidden/>
          </w:rPr>
          <w:instrText xml:space="preserve"> PAGEREF _Toc337878555 \h </w:instrText>
        </w:r>
        <w:r w:rsidR="002949E6">
          <w:rPr>
            <w:webHidden/>
          </w:rPr>
        </w:r>
        <w:r w:rsidR="002949E6">
          <w:rPr>
            <w:webHidden/>
          </w:rPr>
          <w:fldChar w:fldCharType="separate"/>
        </w:r>
        <w:r w:rsidR="00A1313C">
          <w:rPr>
            <w:webHidden/>
          </w:rPr>
          <w:t>8</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56" w:history="1">
        <w:r w:rsidR="00A1313C" w:rsidRPr="00F73D39">
          <w:rPr>
            <w:rStyle w:val="Hyperlink"/>
          </w:rPr>
          <w:t>3.</w:t>
        </w:r>
        <w:r w:rsidR="00A1313C">
          <w:rPr>
            <w:rFonts w:asciiTheme="minorHAnsi" w:eastAsiaTheme="minorEastAsia" w:hAnsiTheme="minorHAnsi" w:cstheme="minorBidi"/>
            <w:bCs w:val="0"/>
            <w:szCs w:val="22"/>
          </w:rPr>
          <w:tab/>
        </w:r>
        <w:r w:rsidR="00A1313C" w:rsidRPr="00F73D39">
          <w:rPr>
            <w:rStyle w:val="Hyperlink"/>
          </w:rPr>
          <w:t>Use of Information Technology</w:t>
        </w:r>
        <w:r w:rsidR="00A1313C">
          <w:rPr>
            <w:webHidden/>
          </w:rPr>
          <w:tab/>
        </w:r>
        <w:r w:rsidR="002949E6">
          <w:rPr>
            <w:webHidden/>
          </w:rPr>
          <w:fldChar w:fldCharType="begin"/>
        </w:r>
        <w:r w:rsidR="00A1313C">
          <w:rPr>
            <w:webHidden/>
          </w:rPr>
          <w:instrText xml:space="preserve"> PAGEREF _Toc337878556 \h </w:instrText>
        </w:r>
        <w:r w:rsidR="002949E6">
          <w:rPr>
            <w:webHidden/>
          </w:rPr>
        </w:r>
        <w:r w:rsidR="002949E6">
          <w:rPr>
            <w:webHidden/>
          </w:rPr>
          <w:fldChar w:fldCharType="separate"/>
        </w:r>
        <w:r w:rsidR="00A1313C">
          <w:rPr>
            <w:webHidden/>
          </w:rPr>
          <w:t>8</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57" w:history="1">
        <w:r w:rsidR="00A1313C" w:rsidRPr="00F73D39">
          <w:rPr>
            <w:rStyle w:val="Hyperlink"/>
            <w:caps/>
          </w:rPr>
          <w:t>4.</w:t>
        </w:r>
        <w:r w:rsidR="00A1313C">
          <w:rPr>
            <w:rFonts w:asciiTheme="minorHAnsi" w:eastAsiaTheme="minorEastAsia" w:hAnsiTheme="minorHAnsi" w:cstheme="minorBidi"/>
            <w:bCs w:val="0"/>
            <w:szCs w:val="22"/>
          </w:rPr>
          <w:tab/>
        </w:r>
        <w:r w:rsidR="00A1313C" w:rsidRPr="00F73D39">
          <w:rPr>
            <w:rStyle w:val="Hyperlink"/>
          </w:rPr>
          <w:t>Efforts to Identify Duplication</w:t>
        </w:r>
        <w:r w:rsidR="00A1313C">
          <w:rPr>
            <w:webHidden/>
          </w:rPr>
          <w:tab/>
        </w:r>
        <w:r w:rsidR="002949E6">
          <w:rPr>
            <w:webHidden/>
          </w:rPr>
          <w:fldChar w:fldCharType="begin"/>
        </w:r>
        <w:r w:rsidR="00A1313C">
          <w:rPr>
            <w:webHidden/>
          </w:rPr>
          <w:instrText xml:space="preserve"> PAGEREF _Toc337878557 \h </w:instrText>
        </w:r>
        <w:r w:rsidR="002949E6">
          <w:rPr>
            <w:webHidden/>
          </w:rPr>
        </w:r>
        <w:r w:rsidR="002949E6">
          <w:rPr>
            <w:webHidden/>
          </w:rPr>
          <w:fldChar w:fldCharType="separate"/>
        </w:r>
        <w:r w:rsidR="00A1313C">
          <w:rPr>
            <w:webHidden/>
          </w:rPr>
          <w:t>9</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58" w:history="1">
        <w:r w:rsidR="00A1313C" w:rsidRPr="00F73D39">
          <w:rPr>
            <w:rStyle w:val="Hyperlink"/>
          </w:rPr>
          <w:t>5.</w:t>
        </w:r>
        <w:r w:rsidR="00A1313C">
          <w:rPr>
            <w:rFonts w:asciiTheme="minorHAnsi" w:eastAsiaTheme="minorEastAsia" w:hAnsiTheme="minorHAnsi" w:cstheme="minorBidi"/>
            <w:bCs w:val="0"/>
            <w:szCs w:val="22"/>
          </w:rPr>
          <w:tab/>
        </w:r>
        <w:r w:rsidR="00A1313C" w:rsidRPr="00F73D39">
          <w:rPr>
            <w:rStyle w:val="Hyperlink"/>
          </w:rPr>
          <w:t>Method Used to Minimize Burden on Small Businesses</w:t>
        </w:r>
        <w:r w:rsidR="00A1313C">
          <w:rPr>
            <w:webHidden/>
          </w:rPr>
          <w:tab/>
        </w:r>
        <w:r w:rsidR="002949E6">
          <w:rPr>
            <w:webHidden/>
          </w:rPr>
          <w:fldChar w:fldCharType="begin"/>
        </w:r>
        <w:r w:rsidR="00A1313C">
          <w:rPr>
            <w:webHidden/>
          </w:rPr>
          <w:instrText xml:space="preserve"> PAGEREF _Toc337878558 \h </w:instrText>
        </w:r>
        <w:r w:rsidR="002949E6">
          <w:rPr>
            <w:webHidden/>
          </w:rPr>
        </w:r>
        <w:r w:rsidR="002949E6">
          <w:rPr>
            <w:webHidden/>
          </w:rPr>
          <w:fldChar w:fldCharType="separate"/>
        </w:r>
        <w:r w:rsidR="00A1313C">
          <w:rPr>
            <w:webHidden/>
          </w:rPr>
          <w:t>10</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59" w:history="1">
        <w:r w:rsidR="00A1313C" w:rsidRPr="00F73D39">
          <w:rPr>
            <w:rStyle w:val="Hyperlink"/>
          </w:rPr>
          <w:t>6.</w:t>
        </w:r>
        <w:r w:rsidR="00A1313C">
          <w:rPr>
            <w:rFonts w:asciiTheme="minorHAnsi" w:eastAsiaTheme="minorEastAsia" w:hAnsiTheme="minorHAnsi" w:cstheme="minorBidi"/>
            <w:bCs w:val="0"/>
            <w:szCs w:val="22"/>
          </w:rPr>
          <w:tab/>
        </w:r>
        <w:r w:rsidR="00A1313C" w:rsidRPr="00F73D39">
          <w:rPr>
            <w:rStyle w:val="Hyperlink"/>
          </w:rPr>
          <w:t>Frequency of Data Collection</w:t>
        </w:r>
        <w:r w:rsidR="00A1313C">
          <w:rPr>
            <w:webHidden/>
          </w:rPr>
          <w:tab/>
        </w:r>
        <w:r w:rsidR="002949E6">
          <w:rPr>
            <w:webHidden/>
          </w:rPr>
          <w:fldChar w:fldCharType="begin"/>
        </w:r>
        <w:r w:rsidR="00A1313C">
          <w:rPr>
            <w:webHidden/>
          </w:rPr>
          <w:instrText xml:space="preserve"> PAGEREF _Toc337878559 \h </w:instrText>
        </w:r>
        <w:r w:rsidR="002949E6">
          <w:rPr>
            <w:webHidden/>
          </w:rPr>
        </w:r>
        <w:r w:rsidR="002949E6">
          <w:rPr>
            <w:webHidden/>
          </w:rPr>
          <w:fldChar w:fldCharType="separate"/>
        </w:r>
        <w:r w:rsidR="00A1313C">
          <w:rPr>
            <w:webHidden/>
          </w:rPr>
          <w:t>10</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60" w:history="1">
        <w:r w:rsidR="00A1313C" w:rsidRPr="00F73D39">
          <w:rPr>
            <w:rStyle w:val="Hyperlink"/>
            <w:caps/>
          </w:rPr>
          <w:t>7.</w:t>
        </w:r>
        <w:r w:rsidR="00A1313C">
          <w:rPr>
            <w:rFonts w:asciiTheme="minorHAnsi" w:eastAsiaTheme="minorEastAsia" w:hAnsiTheme="minorHAnsi" w:cstheme="minorBidi"/>
            <w:bCs w:val="0"/>
            <w:szCs w:val="22"/>
          </w:rPr>
          <w:tab/>
        </w:r>
        <w:r w:rsidR="00A1313C" w:rsidRPr="00F73D39">
          <w:rPr>
            <w:rStyle w:val="Hyperlink"/>
          </w:rPr>
          <w:t>Special Circumstances of Data Collection</w:t>
        </w:r>
        <w:r w:rsidR="00A1313C">
          <w:rPr>
            <w:webHidden/>
          </w:rPr>
          <w:tab/>
        </w:r>
        <w:r w:rsidR="002949E6">
          <w:rPr>
            <w:webHidden/>
          </w:rPr>
          <w:fldChar w:fldCharType="begin"/>
        </w:r>
        <w:r w:rsidR="00A1313C">
          <w:rPr>
            <w:webHidden/>
          </w:rPr>
          <w:instrText xml:space="preserve"> PAGEREF _Toc337878560 \h </w:instrText>
        </w:r>
        <w:r w:rsidR="002949E6">
          <w:rPr>
            <w:webHidden/>
          </w:rPr>
        </w:r>
        <w:r w:rsidR="002949E6">
          <w:rPr>
            <w:webHidden/>
          </w:rPr>
          <w:fldChar w:fldCharType="separate"/>
        </w:r>
        <w:r w:rsidR="00A1313C">
          <w:rPr>
            <w:webHidden/>
          </w:rPr>
          <w:t>11</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61" w:history="1">
        <w:r w:rsidR="00A1313C" w:rsidRPr="00F73D39">
          <w:rPr>
            <w:rStyle w:val="Hyperlink"/>
          </w:rPr>
          <w:t>8.</w:t>
        </w:r>
        <w:r w:rsidR="00A1313C">
          <w:rPr>
            <w:rFonts w:asciiTheme="minorHAnsi" w:eastAsiaTheme="minorEastAsia" w:hAnsiTheme="minorHAnsi" w:cstheme="minorBidi"/>
            <w:bCs w:val="0"/>
            <w:szCs w:val="22"/>
          </w:rPr>
          <w:tab/>
        </w:r>
        <w:r w:rsidR="00A1313C" w:rsidRPr="00F73D39">
          <w:rPr>
            <w:rStyle w:val="Hyperlink"/>
          </w:rPr>
          <w:t>Consultants Outside the Agency</w:t>
        </w:r>
        <w:r w:rsidR="00A1313C">
          <w:rPr>
            <w:webHidden/>
          </w:rPr>
          <w:tab/>
        </w:r>
        <w:r w:rsidR="002949E6">
          <w:rPr>
            <w:webHidden/>
          </w:rPr>
          <w:fldChar w:fldCharType="begin"/>
        </w:r>
        <w:r w:rsidR="00A1313C">
          <w:rPr>
            <w:webHidden/>
          </w:rPr>
          <w:instrText xml:space="preserve"> PAGEREF _Toc337878561 \h </w:instrText>
        </w:r>
        <w:r w:rsidR="002949E6">
          <w:rPr>
            <w:webHidden/>
          </w:rPr>
        </w:r>
        <w:r w:rsidR="002949E6">
          <w:rPr>
            <w:webHidden/>
          </w:rPr>
          <w:fldChar w:fldCharType="separate"/>
        </w:r>
        <w:r w:rsidR="00A1313C">
          <w:rPr>
            <w:webHidden/>
          </w:rPr>
          <w:t>11</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62" w:history="1">
        <w:r w:rsidR="00A1313C" w:rsidRPr="00F73D39">
          <w:rPr>
            <w:rStyle w:val="Hyperlink"/>
          </w:rPr>
          <w:t>9.</w:t>
        </w:r>
        <w:r w:rsidR="00A1313C">
          <w:rPr>
            <w:rFonts w:asciiTheme="minorHAnsi" w:eastAsiaTheme="minorEastAsia" w:hAnsiTheme="minorHAnsi" w:cstheme="minorBidi"/>
            <w:bCs w:val="0"/>
            <w:szCs w:val="22"/>
          </w:rPr>
          <w:tab/>
        </w:r>
        <w:r w:rsidR="00A1313C" w:rsidRPr="00F73D39">
          <w:rPr>
            <w:rStyle w:val="Hyperlink"/>
          </w:rPr>
          <w:t>Provision of Payments or Gifts to Respondents</w:t>
        </w:r>
        <w:r w:rsidR="00A1313C">
          <w:rPr>
            <w:webHidden/>
          </w:rPr>
          <w:tab/>
        </w:r>
        <w:r w:rsidR="002949E6">
          <w:rPr>
            <w:webHidden/>
          </w:rPr>
          <w:fldChar w:fldCharType="begin"/>
        </w:r>
        <w:r w:rsidR="00A1313C">
          <w:rPr>
            <w:webHidden/>
          </w:rPr>
          <w:instrText xml:space="preserve"> PAGEREF _Toc337878562 \h </w:instrText>
        </w:r>
        <w:r w:rsidR="002949E6">
          <w:rPr>
            <w:webHidden/>
          </w:rPr>
        </w:r>
        <w:r w:rsidR="002949E6">
          <w:rPr>
            <w:webHidden/>
          </w:rPr>
          <w:fldChar w:fldCharType="separate"/>
        </w:r>
        <w:r w:rsidR="00A1313C">
          <w:rPr>
            <w:webHidden/>
          </w:rPr>
          <w:t>11</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63" w:history="1">
        <w:r w:rsidR="00A1313C" w:rsidRPr="00F73D39">
          <w:rPr>
            <w:rStyle w:val="Hyperlink"/>
            <w:caps/>
          </w:rPr>
          <w:t>10.</w:t>
        </w:r>
        <w:r w:rsidR="00A1313C">
          <w:rPr>
            <w:rFonts w:asciiTheme="minorHAnsi" w:eastAsiaTheme="minorEastAsia" w:hAnsiTheme="minorHAnsi" w:cstheme="minorBidi"/>
            <w:bCs w:val="0"/>
            <w:szCs w:val="22"/>
          </w:rPr>
          <w:tab/>
        </w:r>
        <w:r w:rsidR="00A1313C" w:rsidRPr="00F73D39">
          <w:rPr>
            <w:rStyle w:val="Hyperlink"/>
          </w:rPr>
          <w:t>Assurance of Confidentiality</w:t>
        </w:r>
        <w:r w:rsidR="00A1313C">
          <w:rPr>
            <w:webHidden/>
          </w:rPr>
          <w:tab/>
        </w:r>
        <w:r w:rsidR="002949E6">
          <w:rPr>
            <w:webHidden/>
          </w:rPr>
          <w:fldChar w:fldCharType="begin"/>
        </w:r>
        <w:r w:rsidR="00A1313C">
          <w:rPr>
            <w:webHidden/>
          </w:rPr>
          <w:instrText xml:space="preserve"> PAGEREF _Toc337878563 \h </w:instrText>
        </w:r>
        <w:r w:rsidR="002949E6">
          <w:rPr>
            <w:webHidden/>
          </w:rPr>
        </w:r>
        <w:r w:rsidR="002949E6">
          <w:rPr>
            <w:webHidden/>
          </w:rPr>
          <w:fldChar w:fldCharType="separate"/>
        </w:r>
        <w:r w:rsidR="00A1313C">
          <w:rPr>
            <w:webHidden/>
          </w:rPr>
          <w:t>12</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64" w:history="1">
        <w:r w:rsidR="00A1313C" w:rsidRPr="00F73D39">
          <w:rPr>
            <w:rStyle w:val="Hyperlink"/>
          </w:rPr>
          <w:t>11.</w:t>
        </w:r>
        <w:r w:rsidR="00A1313C">
          <w:rPr>
            <w:rFonts w:asciiTheme="minorHAnsi" w:eastAsiaTheme="minorEastAsia" w:hAnsiTheme="minorHAnsi" w:cstheme="minorBidi"/>
            <w:bCs w:val="0"/>
            <w:szCs w:val="22"/>
          </w:rPr>
          <w:tab/>
        </w:r>
        <w:r w:rsidR="00A1313C" w:rsidRPr="00F73D39">
          <w:rPr>
            <w:rStyle w:val="Hyperlink"/>
          </w:rPr>
          <w:t>Sensitive Questions</w:t>
        </w:r>
        <w:r w:rsidR="00A1313C">
          <w:rPr>
            <w:webHidden/>
          </w:rPr>
          <w:tab/>
        </w:r>
        <w:r w:rsidR="002949E6">
          <w:rPr>
            <w:webHidden/>
          </w:rPr>
          <w:fldChar w:fldCharType="begin"/>
        </w:r>
        <w:r w:rsidR="00A1313C">
          <w:rPr>
            <w:webHidden/>
          </w:rPr>
          <w:instrText xml:space="preserve"> PAGEREF _Toc337878564 \h </w:instrText>
        </w:r>
        <w:r w:rsidR="002949E6">
          <w:rPr>
            <w:webHidden/>
          </w:rPr>
        </w:r>
        <w:r w:rsidR="002949E6">
          <w:rPr>
            <w:webHidden/>
          </w:rPr>
          <w:fldChar w:fldCharType="separate"/>
        </w:r>
        <w:r w:rsidR="00A1313C">
          <w:rPr>
            <w:webHidden/>
          </w:rPr>
          <w:t>14</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65" w:history="1">
        <w:r w:rsidR="00A1313C" w:rsidRPr="00F73D39">
          <w:rPr>
            <w:rStyle w:val="Hyperlink"/>
          </w:rPr>
          <w:t>12.</w:t>
        </w:r>
        <w:r w:rsidR="00A1313C">
          <w:rPr>
            <w:rFonts w:asciiTheme="minorHAnsi" w:eastAsiaTheme="minorEastAsia" w:hAnsiTheme="minorHAnsi" w:cstheme="minorBidi"/>
            <w:bCs w:val="0"/>
            <w:szCs w:val="22"/>
          </w:rPr>
          <w:tab/>
        </w:r>
        <w:r w:rsidR="00A1313C" w:rsidRPr="00F73D39">
          <w:rPr>
            <w:rStyle w:val="Hyperlink"/>
          </w:rPr>
          <w:t>Estimates of Response Burden</w:t>
        </w:r>
        <w:r w:rsidR="00A1313C">
          <w:rPr>
            <w:webHidden/>
          </w:rPr>
          <w:tab/>
        </w:r>
        <w:r w:rsidR="002949E6">
          <w:rPr>
            <w:webHidden/>
          </w:rPr>
          <w:fldChar w:fldCharType="begin"/>
        </w:r>
        <w:r w:rsidR="00A1313C">
          <w:rPr>
            <w:webHidden/>
          </w:rPr>
          <w:instrText xml:space="preserve"> PAGEREF _Toc337878565 \h </w:instrText>
        </w:r>
        <w:r w:rsidR="002949E6">
          <w:rPr>
            <w:webHidden/>
          </w:rPr>
        </w:r>
        <w:r w:rsidR="002949E6">
          <w:rPr>
            <w:webHidden/>
          </w:rPr>
          <w:fldChar w:fldCharType="separate"/>
        </w:r>
        <w:r w:rsidR="00A1313C">
          <w:rPr>
            <w:webHidden/>
          </w:rPr>
          <w:t>14</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66" w:history="1">
        <w:r w:rsidR="00A1313C" w:rsidRPr="00F73D39">
          <w:rPr>
            <w:rStyle w:val="Hyperlink"/>
          </w:rPr>
          <w:t>13.</w:t>
        </w:r>
        <w:r w:rsidR="00A1313C">
          <w:rPr>
            <w:rFonts w:asciiTheme="minorHAnsi" w:eastAsiaTheme="minorEastAsia" w:hAnsiTheme="minorHAnsi" w:cstheme="minorBidi"/>
            <w:bCs w:val="0"/>
            <w:szCs w:val="22"/>
          </w:rPr>
          <w:tab/>
        </w:r>
        <w:r w:rsidR="00A1313C" w:rsidRPr="00F73D39">
          <w:rPr>
            <w:rStyle w:val="Hyperlink"/>
          </w:rPr>
          <w:t>Estimates of Cost to Respondents</w:t>
        </w:r>
        <w:r w:rsidR="00A1313C">
          <w:rPr>
            <w:webHidden/>
          </w:rPr>
          <w:tab/>
        </w:r>
        <w:r w:rsidR="002949E6">
          <w:rPr>
            <w:webHidden/>
          </w:rPr>
          <w:fldChar w:fldCharType="begin"/>
        </w:r>
        <w:r w:rsidR="00A1313C">
          <w:rPr>
            <w:webHidden/>
          </w:rPr>
          <w:instrText xml:space="preserve"> PAGEREF _Toc337878566 \h </w:instrText>
        </w:r>
        <w:r w:rsidR="002949E6">
          <w:rPr>
            <w:webHidden/>
          </w:rPr>
        </w:r>
        <w:r w:rsidR="002949E6">
          <w:rPr>
            <w:webHidden/>
          </w:rPr>
          <w:fldChar w:fldCharType="separate"/>
        </w:r>
        <w:r w:rsidR="00A1313C">
          <w:rPr>
            <w:webHidden/>
          </w:rPr>
          <w:t>15</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67" w:history="1">
        <w:r w:rsidR="00A1313C" w:rsidRPr="00F73D39">
          <w:rPr>
            <w:rStyle w:val="Hyperlink"/>
          </w:rPr>
          <w:t>14.</w:t>
        </w:r>
        <w:r w:rsidR="00A1313C">
          <w:rPr>
            <w:rFonts w:asciiTheme="minorHAnsi" w:eastAsiaTheme="minorEastAsia" w:hAnsiTheme="minorHAnsi" w:cstheme="minorBidi"/>
            <w:bCs w:val="0"/>
            <w:szCs w:val="22"/>
          </w:rPr>
          <w:tab/>
        </w:r>
        <w:r w:rsidR="00A1313C" w:rsidRPr="00F73D39">
          <w:rPr>
            <w:rStyle w:val="Hyperlink"/>
          </w:rPr>
          <w:t>Costs to the Federal Government</w:t>
        </w:r>
        <w:r w:rsidR="00A1313C">
          <w:rPr>
            <w:webHidden/>
          </w:rPr>
          <w:tab/>
        </w:r>
        <w:r w:rsidR="002949E6">
          <w:rPr>
            <w:webHidden/>
          </w:rPr>
          <w:fldChar w:fldCharType="begin"/>
        </w:r>
        <w:r w:rsidR="00A1313C">
          <w:rPr>
            <w:webHidden/>
          </w:rPr>
          <w:instrText xml:space="preserve"> PAGEREF _Toc337878567 \h </w:instrText>
        </w:r>
        <w:r w:rsidR="002949E6">
          <w:rPr>
            <w:webHidden/>
          </w:rPr>
        </w:r>
        <w:r w:rsidR="002949E6">
          <w:rPr>
            <w:webHidden/>
          </w:rPr>
          <w:fldChar w:fldCharType="separate"/>
        </w:r>
        <w:r w:rsidR="00A1313C">
          <w:rPr>
            <w:webHidden/>
          </w:rPr>
          <w:t>15</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68" w:history="1">
        <w:r w:rsidR="00A1313C" w:rsidRPr="00F73D39">
          <w:rPr>
            <w:rStyle w:val="Hyperlink"/>
          </w:rPr>
          <w:t>15.</w:t>
        </w:r>
        <w:r w:rsidR="00A1313C">
          <w:rPr>
            <w:rFonts w:asciiTheme="minorHAnsi" w:eastAsiaTheme="minorEastAsia" w:hAnsiTheme="minorHAnsi" w:cstheme="minorBidi"/>
            <w:bCs w:val="0"/>
            <w:szCs w:val="22"/>
          </w:rPr>
          <w:tab/>
        </w:r>
        <w:r w:rsidR="00A1313C" w:rsidRPr="00F73D39">
          <w:rPr>
            <w:rStyle w:val="Hyperlink"/>
          </w:rPr>
          <w:t>Reasons for Changes in Response Burden and Costs</w:t>
        </w:r>
        <w:r w:rsidR="00A1313C">
          <w:rPr>
            <w:webHidden/>
          </w:rPr>
          <w:tab/>
        </w:r>
        <w:r w:rsidR="002949E6">
          <w:rPr>
            <w:webHidden/>
          </w:rPr>
          <w:fldChar w:fldCharType="begin"/>
        </w:r>
        <w:r w:rsidR="00A1313C">
          <w:rPr>
            <w:webHidden/>
          </w:rPr>
          <w:instrText xml:space="preserve"> PAGEREF _Toc337878568 \h </w:instrText>
        </w:r>
        <w:r w:rsidR="002949E6">
          <w:rPr>
            <w:webHidden/>
          </w:rPr>
        </w:r>
        <w:r w:rsidR="002949E6">
          <w:rPr>
            <w:webHidden/>
          </w:rPr>
          <w:fldChar w:fldCharType="separate"/>
        </w:r>
        <w:r w:rsidR="00A1313C">
          <w:rPr>
            <w:webHidden/>
          </w:rPr>
          <w:t>16</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69" w:history="1">
        <w:r w:rsidR="00A1313C" w:rsidRPr="00F73D39">
          <w:rPr>
            <w:rStyle w:val="Hyperlink"/>
          </w:rPr>
          <w:t>16.</w:t>
        </w:r>
        <w:r w:rsidR="00A1313C">
          <w:rPr>
            <w:rFonts w:asciiTheme="minorHAnsi" w:eastAsiaTheme="minorEastAsia" w:hAnsiTheme="minorHAnsi" w:cstheme="minorBidi"/>
            <w:bCs w:val="0"/>
            <w:szCs w:val="22"/>
          </w:rPr>
          <w:tab/>
        </w:r>
        <w:r w:rsidR="00A1313C" w:rsidRPr="00F73D39">
          <w:rPr>
            <w:rStyle w:val="Hyperlink"/>
          </w:rPr>
          <w:t>Publication Plans and Time Schedule</w:t>
        </w:r>
        <w:r w:rsidR="00A1313C">
          <w:rPr>
            <w:webHidden/>
          </w:rPr>
          <w:tab/>
        </w:r>
        <w:r w:rsidR="002949E6">
          <w:rPr>
            <w:webHidden/>
          </w:rPr>
          <w:fldChar w:fldCharType="begin"/>
        </w:r>
        <w:r w:rsidR="00A1313C">
          <w:rPr>
            <w:webHidden/>
          </w:rPr>
          <w:instrText xml:space="preserve"> PAGEREF _Toc337878569 \h </w:instrText>
        </w:r>
        <w:r w:rsidR="002949E6">
          <w:rPr>
            <w:webHidden/>
          </w:rPr>
        </w:r>
        <w:r w:rsidR="002949E6">
          <w:rPr>
            <w:webHidden/>
          </w:rPr>
          <w:fldChar w:fldCharType="separate"/>
        </w:r>
        <w:r w:rsidR="00A1313C">
          <w:rPr>
            <w:webHidden/>
          </w:rPr>
          <w:t>16</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70" w:history="1">
        <w:r w:rsidR="00A1313C" w:rsidRPr="00F73D39">
          <w:rPr>
            <w:rStyle w:val="Hyperlink"/>
          </w:rPr>
          <w:t>17.</w:t>
        </w:r>
        <w:r w:rsidR="00A1313C">
          <w:rPr>
            <w:rFonts w:asciiTheme="minorHAnsi" w:eastAsiaTheme="minorEastAsia" w:hAnsiTheme="minorHAnsi" w:cstheme="minorBidi"/>
            <w:bCs w:val="0"/>
            <w:szCs w:val="22"/>
          </w:rPr>
          <w:tab/>
        </w:r>
        <w:r w:rsidR="00A1313C" w:rsidRPr="00F73D39">
          <w:rPr>
            <w:rStyle w:val="Hyperlink"/>
          </w:rPr>
          <w:t>Approval to Not Display Expiration Date for OMB Approval</w:t>
        </w:r>
        <w:r w:rsidR="00A1313C">
          <w:rPr>
            <w:webHidden/>
          </w:rPr>
          <w:tab/>
        </w:r>
        <w:r w:rsidR="002949E6">
          <w:rPr>
            <w:webHidden/>
          </w:rPr>
          <w:fldChar w:fldCharType="begin"/>
        </w:r>
        <w:r w:rsidR="00A1313C">
          <w:rPr>
            <w:webHidden/>
          </w:rPr>
          <w:instrText xml:space="preserve"> PAGEREF _Toc337878570 \h </w:instrText>
        </w:r>
        <w:r w:rsidR="002949E6">
          <w:rPr>
            <w:webHidden/>
          </w:rPr>
        </w:r>
        <w:r w:rsidR="002949E6">
          <w:rPr>
            <w:webHidden/>
          </w:rPr>
          <w:fldChar w:fldCharType="separate"/>
        </w:r>
        <w:r w:rsidR="00A1313C">
          <w:rPr>
            <w:webHidden/>
          </w:rPr>
          <w:t>17</w:t>
        </w:r>
        <w:r w:rsidR="002949E6">
          <w:rPr>
            <w:webHidden/>
          </w:rPr>
          <w:fldChar w:fldCharType="end"/>
        </w:r>
      </w:hyperlink>
    </w:p>
    <w:p w:rsidR="00A1313C" w:rsidRDefault="001C10F7">
      <w:pPr>
        <w:pStyle w:val="TOC2"/>
        <w:tabs>
          <w:tab w:val="left" w:pos="1080"/>
        </w:tabs>
        <w:rPr>
          <w:rFonts w:asciiTheme="minorHAnsi" w:eastAsiaTheme="minorEastAsia" w:hAnsiTheme="minorHAnsi" w:cstheme="minorBidi"/>
          <w:bCs w:val="0"/>
          <w:szCs w:val="22"/>
        </w:rPr>
      </w:pPr>
      <w:hyperlink w:anchor="_Toc337878571" w:history="1">
        <w:r w:rsidR="00A1313C" w:rsidRPr="00F73D39">
          <w:rPr>
            <w:rStyle w:val="Hyperlink"/>
          </w:rPr>
          <w:t>18.</w:t>
        </w:r>
        <w:r w:rsidR="00A1313C">
          <w:rPr>
            <w:rFonts w:asciiTheme="minorHAnsi" w:eastAsiaTheme="minorEastAsia" w:hAnsiTheme="minorHAnsi" w:cstheme="minorBidi"/>
            <w:bCs w:val="0"/>
            <w:szCs w:val="22"/>
          </w:rPr>
          <w:tab/>
        </w:r>
        <w:r w:rsidR="00A1313C" w:rsidRPr="00F73D39">
          <w:rPr>
            <w:rStyle w:val="Hyperlink"/>
          </w:rPr>
          <w:t>Exceptions to Certification for Paperwork Reduction Act Submissions</w:t>
        </w:r>
        <w:r w:rsidR="00A1313C">
          <w:rPr>
            <w:webHidden/>
          </w:rPr>
          <w:tab/>
        </w:r>
        <w:r w:rsidR="002949E6">
          <w:rPr>
            <w:webHidden/>
          </w:rPr>
          <w:fldChar w:fldCharType="begin"/>
        </w:r>
        <w:r w:rsidR="00A1313C">
          <w:rPr>
            <w:webHidden/>
          </w:rPr>
          <w:instrText xml:space="preserve"> PAGEREF _Toc337878571 \h </w:instrText>
        </w:r>
        <w:r w:rsidR="002949E6">
          <w:rPr>
            <w:webHidden/>
          </w:rPr>
        </w:r>
        <w:r w:rsidR="002949E6">
          <w:rPr>
            <w:webHidden/>
          </w:rPr>
          <w:fldChar w:fldCharType="separate"/>
        </w:r>
        <w:r w:rsidR="00A1313C">
          <w:rPr>
            <w:webHidden/>
          </w:rPr>
          <w:t>17</w:t>
        </w:r>
        <w:r w:rsidR="002949E6">
          <w:rPr>
            <w:webHidden/>
          </w:rPr>
          <w:fldChar w:fldCharType="end"/>
        </w:r>
      </w:hyperlink>
    </w:p>
    <w:p w:rsidR="00810A8B" w:rsidRPr="00A01934" w:rsidRDefault="002949E6" w:rsidP="006903C9">
      <w:pPr>
        <w:spacing w:before="360" w:after="120"/>
        <w:ind w:left="576" w:hanging="576"/>
      </w:pPr>
      <w:r>
        <w:fldChar w:fldCharType="end"/>
      </w:r>
      <w:r w:rsidR="00C33221" w:rsidRPr="00810A8B">
        <w:t>A</w:t>
      </w:r>
      <w:r w:rsidR="00810A8B" w:rsidRPr="00810A8B">
        <w:t xml:space="preserve">ppendix A. </w:t>
      </w:r>
      <w:r w:rsidR="006903C9" w:rsidRPr="00A01934">
        <w:t>Linkages to Administrative Data Sources</w:t>
      </w:r>
      <w:r w:rsidR="006903C9">
        <w:t xml:space="preserve"> </w:t>
      </w:r>
    </w:p>
    <w:p w:rsidR="00C33221" w:rsidRPr="00A01934" w:rsidRDefault="00810A8B" w:rsidP="00B512DF">
      <w:pPr>
        <w:spacing w:before="120" w:after="120"/>
        <w:ind w:left="576" w:hanging="576"/>
      </w:pPr>
      <w:r w:rsidRPr="00A01934">
        <w:t xml:space="preserve">Appendix </w:t>
      </w:r>
      <w:r w:rsidR="00C33221" w:rsidRPr="00A01934">
        <w:t>B.</w:t>
      </w:r>
      <w:r w:rsidR="00A01934" w:rsidRPr="00A01934">
        <w:t xml:space="preserve"> </w:t>
      </w:r>
      <w:r w:rsidR="00B512DF" w:rsidRPr="00A01934">
        <w:t>Data Security Language for Vendor Contracts</w:t>
      </w:r>
      <w:r w:rsidR="00B512DF">
        <w:t xml:space="preserve"> </w:t>
      </w:r>
    </w:p>
    <w:p w:rsidR="00C33221" w:rsidRPr="00A01934" w:rsidRDefault="00810A8B" w:rsidP="00B512DF">
      <w:pPr>
        <w:spacing w:before="120" w:after="120"/>
        <w:ind w:left="576" w:hanging="576"/>
      </w:pPr>
      <w:r w:rsidRPr="00A01934">
        <w:t xml:space="preserve">Appendix </w:t>
      </w:r>
      <w:r w:rsidR="00C33221" w:rsidRPr="00A01934">
        <w:t>C.</w:t>
      </w:r>
      <w:r w:rsidR="00A01934" w:rsidRPr="00A01934">
        <w:t xml:space="preserve"> </w:t>
      </w:r>
      <w:r w:rsidR="00B512DF">
        <w:t>Full-scale Sampling Specifications</w:t>
      </w:r>
      <w:r w:rsidR="00B512DF" w:rsidRPr="00A01934">
        <w:t xml:space="preserve"> </w:t>
      </w:r>
    </w:p>
    <w:p w:rsidR="00C33221" w:rsidRPr="00A01934" w:rsidRDefault="00810A8B" w:rsidP="00B512DF">
      <w:pPr>
        <w:spacing w:before="120" w:after="120"/>
        <w:ind w:left="576" w:hanging="576"/>
      </w:pPr>
      <w:r w:rsidRPr="00A01934">
        <w:t xml:space="preserve">Appendix </w:t>
      </w:r>
      <w:r w:rsidR="00C33221" w:rsidRPr="00A01934">
        <w:t>D.</w:t>
      </w:r>
      <w:r w:rsidR="00A01934" w:rsidRPr="00A01934">
        <w:t xml:space="preserve"> </w:t>
      </w:r>
      <w:r w:rsidR="00B512DF">
        <w:t>Bibliography of Publications Using BPS Data</w:t>
      </w:r>
      <w:r w:rsidR="00B512DF" w:rsidRPr="00A01934">
        <w:t xml:space="preserve"> </w:t>
      </w:r>
    </w:p>
    <w:p w:rsidR="00C33221" w:rsidRPr="00A01934" w:rsidRDefault="00810A8B" w:rsidP="00B512DF">
      <w:pPr>
        <w:spacing w:before="120" w:after="120"/>
        <w:ind w:left="576" w:hanging="576"/>
      </w:pPr>
      <w:r w:rsidRPr="00A01934">
        <w:t xml:space="preserve">Appendix </w:t>
      </w:r>
      <w:r w:rsidR="00C33221" w:rsidRPr="00A01934">
        <w:t>E.</w:t>
      </w:r>
      <w:r w:rsidR="00A01934" w:rsidRPr="00A01934">
        <w:t xml:space="preserve"> </w:t>
      </w:r>
      <w:r w:rsidR="00B512DF" w:rsidRPr="00A01934">
        <w:t>Technical Review Panel Contact List</w:t>
      </w:r>
    </w:p>
    <w:p w:rsidR="00C33221" w:rsidRPr="00A01934" w:rsidRDefault="00810A8B" w:rsidP="006903C9">
      <w:pPr>
        <w:spacing w:before="120" w:after="120"/>
        <w:ind w:left="576" w:hanging="576"/>
      </w:pPr>
      <w:r w:rsidRPr="00A01934">
        <w:t xml:space="preserve">Appendix </w:t>
      </w:r>
      <w:r w:rsidR="00C33221" w:rsidRPr="00A01934">
        <w:t>F.</w:t>
      </w:r>
      <w:r w:rsidR="00A01934" w:rsidRPr="00A01934">
        <w:t xml:space="preserve"> </w:t>
      </w:r>
      <w:r w:rsidR="006903C9" w:rsidRPr="00A01934">
        <w:t>Confidentiality</w:t>
      </w:r>
      <w:r w:rsidR="006903C9">
        <w:t xml:space="preserve"> </w:t>
      </w:r>
      <w:r w:rsidR="006903C9" w:rsidRPr="00A01934">
        <w:t>Agreements</w:t>
      </w:r>
    </w:p>
    <w:p w:rsidR="00C33221" w:rsidRDefault="00810A8B" w:rsidP="006903C9">
      <w:pPr>
        <w:spacing w:before="120" w:after="120"/>
        <w:ind w:left="576" w:hanging="576"/>
      </w:pPr>
      <w:r w:rsidRPr="00A01934">
        <w:t xml:space="preserve">Appendix </w:t>
      </w:r>
      <w:r w:rsidR="00C33221" w:rsidRPr="00A01934">
        <w:t>G</w:t>
      </w:r>
      <w:r w:rsidR="00A01934" w:rsidRPr="00A01934">
        <w:t xml:space="preserve">. </w:t>
      </w:r>
      <w:r w:rsidR="006903C9" w:rsidRPr="00A01934">
        <w:t xml:space="preserve">Letters and Contacting Materials </w:t>
      </w:r>
    </w:p>
    <w:p w:rsidR="008D60AB" w:rsidRPr="00A01934" w:rsidRDefault="008D60AB" w:rsidP="006903C9">
      <w:pPr>
        <w:spacing w:before="120" w:after="120"/>
        <w:ind w:left="576" w:hanging="576"/>
      </w:pPr>
      <w:r>
        <w:t xml:space="preserve">Appendix H. </w:t>
      </w:r>
      <w:r w:rsidR="006903C9" w:rsidRPr="00A01934">
        <w:t>Data Collection Instrument</w:t>
      </w:r>
    </w:p>
    <w:p w:rsidR="00C33221" w:rsidRDefault="00C33221" w:rsidP="00AE28EF">
      <w:pPr>
        <w:pStyle w:val="Title"/>
        <w:spacing w:line="320" w:lineRule="atLeast"/>
      </w:pPr>
      <w:bookmarkStart w:id="1" w:name="_Toc144287315"/>
      <w:r w:rsidRPr="005C26EF">
        <w:br w:type="page"/>
      </w:r>
      <w:r w:rsidRPr="005C26EF">
        <w:lastRenderedPageBreak/>
        <w:t>List of Tables</w:t>
      </w:r>
      <w:bookmarkEnd w:id="1"/>
    </w:p>
    <w:p w:rsidR="00A1313C" w:rsidRDefault="002949E6">
      <w:pPr>
        <w:pStyle w:val="TOC5"/>
        <w:rPr>
          <w:rFonts w:asciiTheme="minorHAnsi" w:eastAsiaTheme="minorEastAsia" w:hAnsiTheme="minorHAnsi" w:cstheme="minorBidi"/>
          <w:sz w:val="22"/>
          <w:szCs w:val="22"/>
        </w:rPr>
      </w:pPr>
      <w:r>
        <w:rPr>
          <w:b/>
          <w:bCs/>
          <w:szCs w:val="24"/>
        </w:rPr>
        <w:fldChar w:fldCharType="begin"/>
      </w:r>
      <w:r w:rsidR="00225468">
        <w:rPr>
          <w:b/>
          <w:bCs/>
          <w:szCs w:val="24"/>
        </w:rPr>
        <w:instrText xml:space="preserve"> TOC \t "Table Title,5" </w:instrText>
      </w:r>
      <w:r>
        <w:rPr>
          <w:b/>
          <w:bCs/>
          <w:szCs w:val="24"/>
        </w:rPr>
        <w:fldChar w:fldCharType="separate"/>
      </w:r>
      <w:r w:rsidR="00A1313C">
        <w:t>Table 1.</w:t>
      </w:r>
      <w:r w:rsidR="00A1313C">
        <w:rPr>
          <w:rFonts w:asciiTheme="minorHAnsi" w:eastAsiaTheme="minorEastAsia" w:hAnsiTheme="minorHAnsi" w:cstheme="minorBidi"/>
          <w:sz w:val="22"/>
          <w:szCs w:val="22"/>
        </w:rPr>
        <w:tab/>
      </w:r>
      <w:r w:rsidR="00A1313C">
        <w:t>Chronology of NPSAS and its longitudinal components</w:t>
      </w:r>
      <w:r w:rsidR="00A1313C">
        <w:tab/>
      </w:r>
      <w:r>
        <w:fldChar w:fldCharType="begin"/>
      </w:r>
      <w:r w:rsidR="00A1313C">
        <w:instrText xml:space="preserve"> PAGEREF _Toc337878572 \h </w:instrText>
      </w:r>
      <w:r>
        <w:fldChar w:fldCharType="separate"/>
      </w:r>
      <w:r w:rsidR="00A1313C">
        <w:t>10</w:t>
      </w:r>
      <w:r>
        <w:fldChar w:fldCharType="end"/>
      </w:r>
    </w:p>
    <w:p w:rsidR="00A1313C" w:rsidRDefault="00A1313C">
      <w:pPr>
        <w:pStyle w:val="TOC5"/>
        <w:rPr>
          <w:rFonts w:asciiTheme="minorHAnsi" w:eastAsiaTheme="minorEastAsia" w:hAnsiTheme="minorHAnsi" w:cstheme="minorBidi"/>
          <w:sz w:val="22"/>
          <w:szCs w:val="22"/>
        </w:rPr>
      </w:pPr>
      <w:r>
        <w:t>Table 2.</w:t>
      </w:r>
      <w:r>
        <w:rPr>
          <w:rFonts w:asciiTheme="minorHAnsi" w:eastAsiaTheme="minorEastAsia" w:hAnsiTheme="minorHAnsi" w:cstheme="minorBidi"/>
          <w:sz w:val="22"/>
          <w:szCs w:val="22"/>
        </w:rPr>
        <w:tab/>
      </w:r>
      <w:r>
        <w:t>Estimated BPS:12/14 field test cost and response burden</w:t>
      </w:r>
      <w:r>
        <w:tab/>
      </w:r>
      <w:r w:rsidR="002949E6">
        <w:fldChar w:fldCharType="begin"/>
      </w:r>
      <w:r>
        <w:instrText xml:space="preserve"> PAGEREF _Toc337878573 \h </w:instrText>
      </w:r>
      <w:r w:rsidR="002949E6">
        <w:fldChar w:fldCharType="separate"/>
      </w:r>
      <w:r>
        <w:t>15</w:t>
      </w:r>
      <w:r w:rsidR="002949E6">
        <w:fldChar w:fldCharType="end"/>
      </w:r>
    </w:p>
    <w:p w:rsidR="00A1313C" w:rsidRDefault="00A1313C">
      <w:pPr>
        <w:pStyle w:val="TOC5"/>
        <w:rPr>
          <w:rFonts w:asciiTheme="minorHAnsi" w:eastAsiaTheme="minorEastAsia" w:hAnsiTheme="minorHAnsi" w:cstheme="minorBidi"/>
          <w:sz w:val="22"/>
          <w:szCs w:val="22"/>
        </w:rPr>
      </w:pPr>
      <w:r>
        <w:t>Table 3.</w:t>
      </w:r>
      <w:r>
        <w:rPr>
          <w:rFonts w:asciiTheme="minorHAnsi" w:eastAsiaTheme="minorEastAsia" w:hAnsiTheme="minorHAnsi" w:cstheme="minorBidi"/>
          <w:sz w:val="22"/>
          <w:szCs w:val="22"/>
        </w:rPr>
        <w:tab/>
      </w:r>
      <w:r>
        <w:t>Costs to the National Center for Education Statistics for the BPS:12/14 field test</w:t>
      </w:r>
      <w:r>
        <w:tab/>
      </w:r>
      <w:r w:rsidR="002949E6">
        <w:fldChar w:fldCharType="begin"/>
      </w:r>
      <w:r>
        <w:instrText xml:space="preserve"> PAGEREF _Toc337878574 \h </w:instrText>
      </w:r>
      <w:r w:rsidR="002949E6">
        <w:fldChar w:fldCharType="separate"/>
      </w:r>
      <w:r>
        <w:t>15</w:t>
      </w:r>
      <w:r w:rsidR="002949E6">
        <w:fldChar w:fldCharType="end"/>
      </w:r>
    </w:p>
    <w:p w:rsidR="00A1313C" w:rsidRDefault="00A1313C">
      <w:pPr>
        <w:pStyle w:val="TOC5"/>
        <w:rPr>
          <w:rFonts w:asciiTheme="minorHAnsi" w:eastAsiaTheme="minorEastAsia" w:hAnsiTheme="minorHAnsi" w:cstheme="minorBidi"/>
          <w:sz w:val="22"/>
          <w:szCs w:val="22"/>
        </w:rPr>
      </w:pPr>
      <w:r>
        <w:t>Table 4.</w:t>
      </w:r>
      <w:r>
        <w:rPr>
          <w:rFonts w:asciiTheme="minorHAnsi" w:eastAsiaTheme="minorEastAsia" w:hAnsiTheme="minorHAnsi" w:cstheme="minorBidi"/>
          <w:sz w:val="22"/>
          <w:szCs w:val="22"/>
        </w:rPr>
        <w:tab/>
      </w:r>
      <w:r>
        <w:t>Contract costs for BPS:12/14</w:t>
      </w:r>
      <w:r>
        <w:tab/>
      </w:r>
      <w:r w:rsidR="002949E6">
        <w:fldChar w:fldCharType="begin"/>
      </w:r>
      <w:r>
        <w:instrText xml:space="preserve"> PAGEREF _Toc337878575 \h </w:instrText>
      </w:r>
      <w:r w:rsidR="002949E6">
        <w:fldChar w:fldCharType="separate"/>
      </w:r>
      <w:r>
        <w:t>16</w:t>
      </w:r>
      <w:r w:rsidR="002949E6">
        <w:fldChar w:fldCharType="end"/>
      </w:r>
    </w:p>
    <w:p w:rsidR="00A1313C" w:rsidRDefault="00A1313C">
      <w:pPr>
        <w:pStyle w:val="TOC5"/>
        <w:rPr>
          <w:rFonts w:asciiTheme="minorHAnsi" w:eastAsiaTheme="minorEastAsia" w:hAnsiTheme="minorHAnsi" w:cstheme="minorBidi"/>
          <w:sz w:val="22"/>
          <w:szCs w:val="22"/>
        </w:rPr>
      </w:pPr>
      <w:r>
        <w:t>Table</w:t>
      </w:r>
      <w:r w:rsidRPr="006D4AA5">
        <w:rPr>
          <w:bCs/>
        </w:rPr>
        <w:t xml:space="preserve"> 5.</w:t>
      </w:r>
      <w:r>
        <w:rPr>
          <w:rFonts w:asciiTheme="minorHAnsi" w:eastAsiaTheme="minorEastAsia" w:hAnsiTheme="minorHAnsi" w:cstheme="minorBidi"/>
          <w:sz w:val="22"/>
          <w:szCs w:val="22"/>
        </w:rPr>
        <w:tab/>
      </w:r>
      <w:r>
        <w:t>Operational schedule for BPS:12/14</w:t>
      </w:r>
      <w:r>
        <w:tab/>
      </w:r>
      <w:r w:rsidR="002949E6">
        <w:fldChar w:fldCharType="begin"/>
      </w:r>
      <w:r>
        <w:instrText xml:space="preserve"> PAGEREF _Toc337878576 \h </w:instrText>
      </w:r>
      <w:r w:rsidR="002949E6">
        <w:fldChar w:fldCharType="separate"/>
      </w:r>
      <w:r>
        <w:t>17</w:t>
      </w:r>
      <w:r w:rsidR="002949E6">
        <w:fldChar w:fldCharType="end"/>
      </w:r>
    </w:p>
    <w:p w:rsidR="00835A08" w:rsidRPr="00835A08" w:rsidRDefault="002949E6" w:rsidP="00225468">
      <w:r>
        <w:rPr>
          <w:b/>
          <w:bCs/>
          <w:szCs w:val="24"/>
        </w:rPr>
        <w:fldChar w:fldCharType="end"/>
      </w:r>
    </w:p>
    <w:p w:rsidR="00C33221" w:rsidRDefault="00C33221" w:rsidP="00920FAC">
      <w:pPr>
        <w:tabs>
          <w:tab w:val="left" w:pos="360"/>
          <w:tab w:val="right" w:leader="dot" w:pos="9346"/>
        </w:tabs>
        <w:rPr>
          <w:sz w:val="22"/>
          <w:u w:val="words"/>
        </w:rPr>
        <w:sectPr w:rsidR="00C33221" w:rsidSect="002225C7">
          <w:headerReference w:type="even" r:id="rId12"/>
          <w:headerReference w:type="default" r:id="rId13"/>
          <w:footerReference w:type="even" r:id="rId14"/>
          <w:footerReference w:type="default" r:id="rId15"/>
          <w:headerReference w:type="first" r:id="rId16"/>
          <w:footerReference w:type="first" r:id="rId17"/>
          <w:pgSz w:w="12240" w:h="15840"/>
          <w:pgMar w:top="1008" w:right="1008" w:bottom="1008" w:left="1008" w:header="720" w:footer="720" w:gutter="0"/>
          <w:pgNumType w:fmt="lowerRoman"/>
          <w:cols w:space="720"/>
        </w:sectPr>
      </w:pPr>
    </w:p>
    <w:p w:rsidR="00C33221" w:rsidRDefault="00C33221" w:rsidP="004F1598">
      <w:pPr>
        <w:pStyle w:val="Heading1"/>
        <w:numPr>
          <w:ilvl w:val="0"/>
          <w:numId w:val="16"/>
        </w:numPr>
        <w:tabs>
          <w:tab w:val="clear" w:pos="152"/>
        </w:tabs>
        <w:spacing w:line="320" w:lineRule="atLeast"/>
        <w:ind w:left="540" w:hanging="540"/>
      </w:pPr>
      <w:bookmarkStart w:id="2" w:name="_Toc283667334"/>
      <w:bookmarkStart w:id="3" w:name="_Toc283667335"/>
      <w:bookmarkStart w:id="4" w:name="_Toc283667336"/>
      <w:bookmarkStart w:id="5" w:name="_Toc337878547"/>
      <w:bookmarkEnd w:id="2"/>
      <w:bookmarkEnd w:id="3"/>
      <w:bookmarkEnd w:id="4"/>
      <w:r w:rsidRPr="005C26EF">
        <w:lastRenderedPageBreak/>
        <w:t>Justification</w:t>
      </w:r>
      <w:bookmarkEnd w:id="5"/>
    </w:p>
    <w:p w:rsidR="00C33221" w:rsidRDefault="00C33221" w:rsidP="004F1598">
      <w:pPr>
        <w:pStyle w:val="Heading2"/>
        <w:numPr>
          <w:ilvl w:val="1"/>
          <w:numId w:val="16"/>
        </w:numPr>
        <w:tabs>
          <w:tab w:val="clear" w:pos="979"/>
        </w:tabs>
        <w:spacing w:line="320" w:lineRule="atLeast"/>
        <w:ind w:left="1080" w:hanging="540"/>
      </w:pPr>
      <w:bookmarkStart w:id="6" w:name="_Toc337878548"/>
      <w:r w:rsidRPr="005C26EF">
        <w:t>Circumstances Making Collection of Information Necessary</w:t>
      </w:r>
      <w:bookmarkEnd w:id="6"/>
    </w:p>
    <w:p w:rsidR="00C33221" w:rsidRDefault="00C33221" w:rsidP="004F1598">
      <w:pPr>
        <w:pStyle w:val="Heading3"/>
        <w:numPr>
          <w:ilvl w:val="2"/>
          <w:numId w:val="16"/>
        </w:numPr>
        <w:tabs>
          <w:tab w:val="clear" w:pos="1253"/>
        </w:tabs>
        <w:spacing w:line="320" w:lineRule="atLeast"/>
        <w:ind w:left="1620" w:hanging="540"/>
      </w:pPr>
      <w:bookmarkStart w:id="7" w:name="_Toc337878549"/>
      <w:r w:rsidRPr="005C26EF">
        <w:t>Purpose of this Submission</w:t>
      </w:r>
      <w:bookmarkEnd w:id="7"/>
    </w:p>
    <w:p w:rsidR="00A52A1C" w:rsidRDefault="005705D4" w:rsidP="00F50B1F">
      <w:pPr>
        <w:pStyle w:val="BodyText"/>
      </w:pPr>
      <w:r>
        <w:t xml:space="preserve">The </w:t>
      </w:r>
      <w:r w:rsidRPr="00F12AB8">
        <w:t>National Center for Education Statistics (NCES)</w:t>
      </w:r>
      <w:r>
        <w:t xml:space="preserve">, within </w:t>
      </w:r>
      <w:r w:rsidRPr="00F12AB8">
        <w:t>the U.S. Department of Education</w:t>
      </w:r>
      <w:r>
        <w:t xml:space="preserve"> (ED), Institute of Education Sciences, </w:t>
      </w:r>
      <w:r w:rsidR="00F50B1F">
        <w:t>is</w:t>
      </w:r>
      <w:r w:rsidR="00A52A1C" w:rsidRPr="00F12AB8">
        <w:t xml:space="preserve"> requesting clearance for data </w:t>
      </w:r>
      <w:r w:rsidR="00A52A1C">
        <w:t>collection materials</w:t>
      </w:r>
      <w:r w:rsidR="00A52A1C" w:rsidRPr="00F12AB8">
        <w:t xml:space="preserve"> and procedures</w:t>
      </w:r>
      <w:r w:rsidR="00A52A1C">
        <w:t xml:space="preserve"> for the field test collection for the </w:t>
      </w:r>
      <w:r>
        <w:t xml:space="preserve">2012/14 Beginning Postsecondary Students Longitudinal Study (BPS:12/14) </w:t>
      </w:r>
      <w:r w:rsidR="00A52A1C">
        <w:t>first follow-up, including panel maintenance, student interview and reinterview, and administrative record matching. Following the</w:t>
      </w:r>
      <w:r w:rsidR="00A52A1C" w:rsidRPr="00F12AB8">
        <w:t xml:space="preserve"> field test study in 20</w:t>
      </w:r>
      <w:r w:rsidR="00A52A1C">
        <w:t>13</w:t>
      </w:r>
      <w:r w:rsidR="00A52A1C" w:rsidRPr="00F12AB8">
        <w:t xml:space="preserve">, NCES will </w:t>
      </w:r>
      <w:r>
        <w:t>submit a request for clearance of the BPS:12/14 full scale data collection</w:t>
      </w:r>
      <w:r w:rsidR="007B0E0E" w:rsidRPr="007B0E0E">
        <w:t xml:space="preserve"> </w:t>
      </w:r>
      <w:r w:rsidR="007B0E0E">
        <w:t>to be conducted in spring 2014</w:t>
      </w:r>
      <w:r w:rsidR="00A52A1C">
        <w:t xml:space="preserve">. </w:t>
      </w:r>
      <w:r>
        <w:t>Because o</w:t>
      </w:r>
      <w:r w:rsidR="00A52A1C">
        <w:t xml:space="preserve">nly minimal changes </w:t>
      </w:r>
      <w:r w:rsidR="00F50B1F">
        <w:t xml:space="preserve">are expected </w:t>
      </w:r>
      <w:r w:rsidR="007B0E0E">
        <w:t>after</w:t>
      </w:r>
      <w:r w:rsidR="00A52A1C">
        <w:t xml:space="preserve"> the field test, </w:t>
      </w:r>
      <w:r w:rsidR="00F50B1F">
        <w:t>NCES is</w:t>
      </w:r>
      <w:r w:rsidR="00A52A1C">
        <w:t xml:space="preserve"> </w:t>
      </w:r>
      <w:r>
        <w:t>requesting</w:t>
      </w:r>
      <w:r w:rsidR="00A52A1C">
        <w:t xml:space="preserve"> a waiver of </w:t>
      </w:r>
      <w:r w:rsidR="007B0E0E">
        <w:t xml:space="preserve">the </w:t>
      </w:r>
      <w:r w:rsidR="00A52A1C">
        <w:t xml:space="preserve">60-day Federal Register Notice for </w:t>
      </w:r>
      <w:r w:rsidR="007B0E0E">
        <w:t>the full-scale collection clearance submission</w:t>
      </w:r>
      <w:r w:rsidR="00A52A1C">
        <w:t>.</w:t>
      </w:r>
    </w:p>
    <w:p w:rsidR="00756C8B" w:rsidRDefault="00C33221" w:rsidP="00925A5E">
      <w:pPr>
        <w:spacing w:before="120" w:after="120" w:line="320" w:lineRule="atLeast"/>
        <w:ind w:firstLine="720"/>
        <w:rPr>
          <w:szCs w:val="24"/>
        </w:rPr>
      </w:pPr>
      <w:r w:rsidRPr="007A2305">
        <w:rPr>
          <w:szCs w:val="24"/>
        </w:rPr>
        <w:t xml:space="preserve">The </w:t>
      </w:r>
      <w:r w:rsidR="00BF1665">
        <w:rPr>
          <w:szCs w:val="24"/>
        </w:rPr>
        <w:t>BPS</w:t>
      </w:r>
      <w:r w:rsidR="00925A5E">
        <w:rPr>
          <w:szCs w:val="24"/>
        </w:rPr>
        <w:t xml:space="preserve"> longitudinal </w:t>
      </w:r>
      <w:r w:rsidR="00BF1665">
        <w:rPr>
          <w:szCs w:val="24"/>
        </w:rPr>
        <w:t>s</w:t>
      </w:r>
      <w:r w:rsidRPr="007A2305">
        <w:rPr>
          <w:szCs w:val="24"/>
        </w:rPr>
        <w:t xml:space="preserve">tudy </w:t>
      </w:r>
      <w:r w:rsidR="00BF1665">
        <w:rPr>
          <w:szCs w:val="24"/>
        </w:rPr>
        <w:t>is</w:t>
      </w:r>
      <w:r>
        <w:rPr>
          <w:szCs w:val="24"/>
        </w:rPr>
        <w:t xml:space="preserve"> designed to follow a cohort of</w:t>
      </w:r>
      <w:r w:rsidR="00BF1665">
        <w:rPr>
          <w:szCs w:val="24"/>
        </w:rPr>
        <w:t xml:space="preserve"> students who </w:t>
      </w:r>
      <w:r w:rsidR="00925A5E">
        <w:rPr>
          <w:szCs w:val="24"/>
        </w:rPr>
        <w:t xml:space="preserve">enroll </w:t>
      </w:r>
      <w:r w:rsidR="00BF1665">
        <w:rPr>
          <w:szCs w:val="24"/>
        </w:rPr>
        <w:t>in postsecondary education for the first time</w:t>
      </w:r>
      <w:r w:rsidR="00925A5E">
        <w:rPr>
          <w:szCs w:val="24"/>
        </w:rPr>
        <w:t xml:space="preserve"> during the same academic year</w:t>
      </w:r>
      <w:r w:rsidR="0008172C">
        <w:rPr>
          <w:szCs w:val="24"/>
        </w:rPr>
        <w:t>, irrespective of date</w:t>
      </w:r>
      <w:r w:rsidR="00925A5E">
        <w:rPr>
          <w:szCs w:val="24"/>
        </w:rPr>
        <w:t xml:space="preserve"> of high school completion</w:t>
      </w:r>
      <w:r w:rsidR="00BF1665">
        <w:rPr>
          <w:szCs w:val="24"/>
        </w:rPr>
        <w:t xml:space="preserve">.  </w:t>
      </w:r>
      <w:r w:rsidR="000B119E">
        <w:rPr>
          <w:szCs w:val="24"/>
        </w:rPr>
        <w:t>Th</w:t>
      </w:r>
      <w:r w:rsidR="00BF1665">
        <w:rPr>
          <w:szCs w:val="24"/>
        </w:rPr>
        <w:t>e study collects data on student persistence in, and completion of, postsecondary education programs</w:t>
      </w:r>
      <w:r w:rsidR="007B0E0E">
        <w:rPr>
          <w:szCs w:val="24"/>
        </w:rPr>
        <w:t>;</w:t>
      </w:r>
      <w:r w:rsidR="00BF1665">
        <w:rPr>
          <w:szCs w:val="24"/>
        </w:rPr>
        <w:t xml:space="preserve"> their transition to employment</w:t>
      </w:r>
      <w:r w:rsidR="007B0E0E">
        <w:rPr>
          <w:szCs w:val="24"/>
        </w:rPr>
        <w:t>;</w:t>
      </w:r>
      <w:r w:rsidR="00BF1665">
        <w:rPr>
          <w:szCs w:val="24"/>
        </w:rPr>
        <w:t xml:space="preserve"> demographic characteristics</w:t>
      </w:r>
      <w:r w:rsidR="007B0E0E">
        <w:rPr>
          <w:szCs w:val="24"/>
        </w:rPr>
        <w:t>;</w:t>
      </w:r>
      <w:r w:rsidR="00BF1665">
        <w:rPr>
          <w:szCs w:val="24"/>
        </w:rPr>
        <w:t xml:space="preserve"> and changes over time in their goals, marital status, income, and debt, among other indicators.</w:t>
      </w:r>
      <w:r>
        <w:rPr>
          <w:szCs w:val="24"/>
        </w:rPr>
        <w:t xml:space="preserve"> Data from B</w:t>
      </w:r>
      <w:r w:rsidR="00756C8B">
        <w:rPr>
          <w:szCs w:val="24"/>
        </w:rPr>
        <w:t>PS</w:t>
      </w:r>
      <w:r>
        <w:rPr>
          <w:szCs w:val="24"/>
        </w:rPr>
        <w:t xml:space="preserve"> are </w:t>
      </w:r>
      <w:r w:rsidRPr="007A2305">
        <w:rPr>
          <w:szCs w:val="24"/>
        </w:rPr>
        <w:t xml:space="preserve">used to help </w:t>
      </w:r>
      <w:r w:rsidR="00947D42">
        <w:rPr>
          <w:szCs w:val="24"/>
        </w:rPr>
        <w:t>researchers and policymakers</w:t>
      </w:r>
      <w:r w:rsidR="00756C8B">
        <w:rPr>
          <w:szCs w:val="24"/>
        </w:rPr>
        <w:t xml:space="preserve"> better understand</w:t>
      </w:r>
      <w:r w:rsidR="00756C8B" w:rsidRPr="00756C8B">
        <w:rPr>
          <w:szCs w:val="24"/>
        </w:rPr>
        <w:t xml:space="preserve"> how financial aid influences persistence and completion, what percentages of students complete various degree programs</w:t>
      </w:r>
      <w:r w:rsidR="00925A5E">
        <w:rPr>
          <w:szCs w:val="24"/>
        </w:rPr>
        <w:t xml:space="preserve">, </w:t>
      </w:r>
      <w:r w:rsidR="00FE6AE7">
        <w:rPr>
          <w:szCs w:val="24"/>
        </w:rPr>
        <w:t xml:space="preserve">what early employment and wage outcomes are for certificate and degree attainers, </w:t>
      </w:r>
      <w:r w:rsidR="00925A5E">
        <w:rPr>
          <w:szCs w:val="24"/>
        </w:rPr>
        <w:t xml:space="preserve">and </w:t>
      </w:r>
      <w:r w:rsidR="00925A5E" w:rsidRPr="00756C8B">
        <w:rPr>
          <w:szCs w:val="24"/>
        </w:rPr>
        <w:t>why students leave school</w:t>
      </w:r>
      <w:r w:rsidR="00756C8B" w:rsidRPr="00756C8B">
        <w:rPr>
          <w:szCs w:val="24"/>
        </w:rPr>
        <w:t>.</w:t>
      </w:r>
    </w:p>
    <w:p w:rsidR="00241C35" w:rsidRPr="00C24BF8" w:rsidRDefault="007B0E0E" w:rsidP="00241C35">
      <w:pPr>
        <w:pStyle w:val="BodyText"/>
      </w:pPr>
      <w:r w:rsidRPr="00F12AB8">
        <w:t xml:space="preserve">This study is being conducted </w:t>
      </w:r>
      <w:r>
        <w:t xml:space="preserve">under contract # </w:t>
      </w:r>
      <w:r w:rsidRPr="00FD6EC1">
        <w:t>ED-</w:t>
      </w:r>
      <w:r w:rsidRPr="00023ABD">
        <w:t xml:space="preserve"> </w:t>
      </w:r>
      <w:r>
        <w:t>IES</w:t>
      </w:r>
      <w:r w:rsidRPr="00F12AB8">
        <w:t>-</w:t>
      </w:r>
      <w:r>
        <w:t>09</w:t>
      </w:r>
      <w:r w:rsidRPr="00F12AB8">
        <w:t>-</w:t>
      </w:r>
      <w:r>
        <w:t>C-0039 with</w:t>
      </w:r>
      <w:r w:rsidRPr="00F12AB8">
        <w:t xml:space="preserve"> RTI International</w:t>
      </w:r>
      <w:r w:rsidRPr="00F12AB8">
        <w:rPr>
          <w:rStyle w:val="FootnoteReference"/>
          <w:sz w:val="20"/>
          <w:szCs w:val="20"/>
        </w:rPr>
        <w:footnoteReference w:id="2"/>
      </w:r>
      <w:r>
        <w:t xml:space="preserve"> and</w:t>
      </w:r>
      <w:r w:rsidRPr="00F12AB8">
        <w:t xml:space="preserve"> its </w:t>
      </w:r>
      <w:r>
        <w:t xml:space="preserve">primary </w:t>
      </w:r>
      <w:r w:rsidRPr="00F12AB8">
        <w:t>subcontractor, MPR Associates</w:t>
      </w:r>
      <w:r>
        <w:t>,</w:t>
      </w:r>
      <w:r w:rsidRPr="00F12AB8">
        <w:t xml:space="preserve"> </w:t>
      </w:r>
      <w:r>
        <w:t>as well as Coffey Consulting, LLC, Branch Associates, Research Support Services, and consultants Dr. Cynthia Decker and Ms. Andrea Sykes</w:t>
      </w:r>
      <w:r w:rsidR="00241C35">
        <w:t>.</w:t>
      </w:r>
    </w:p>
    <w:p w:rsidR="00241C35" w:rsidRPr="00241C35" w:rsidRDefault="00241C35" w:rsidP="00241C35">
      <w:pPr>
        <w:pStyle w:val="Heading3"/>
        <w:numPr>
          <w:ilvl w:val="2"/>
          <w:numId w:val="16"/>
        </w:numPr>
        <w:tabs>
          <w:tab w:val="clear" w:pos="1253"/>
        </w:tabs>
        <w:spacing w:line="320" w:lineRule="atLeast"/>
        <w:ind w:left="1620" w:hanging="540"/>
      </w:pPr>
      <w:bookmarkStart w:id="8" w:name="_Toc337878550"/>
      <w:r w:rsidRPr="00241C35">
        <w:t>S</w:t>
      </w:r>
      <w:r>
        <w:t>ummary of S</w:t>
      </w:r>
      <w:r w:rsidRPr="00241C35">
        <w:t>tudy Design for BPS:12/14</w:t>
      </w:r>
      <w:bookmarkEnd w:id="8"/>
    </w:p>
    <w:p w:rsidR="00241C35" w:rsidRDefault="00241C35" w:rsidP="00241C35">
      <w:pPr>
        <w:spacing w:before="120" w:after="120" w:line="320" w:lineRule="atLeast"/>
        <w:ind w:firstLine="720"/>
      </w:pPr>
      <w:r>
        <w:t>The BPS:12/14 field test sample will consist of students eligible to participate in the NPSAS:12 field test study who first began postsecondary education during the 2010–11 academic year at U.S. institutions. The BPS:12/14 field test student interview, for which clearance is requested, will involve a web-based interview conducted in phases: the first phase—</w:t>
      </w:r>
      <w:r w:rsidRPr="00FE7D94">
        <w:t>the early response phase</w:t>
      </w:r>
      <w:r>
        <w:t xml:space="preserve">—will offer sample members the opportunity to complete the BPS interview online with little or no intervention from telephone interviewers.  During the early response phase, which will be the first 3 weeks of data collection, sample members will be eligible to receive $30 for a completed interview.  </w:t>
      </w:r>
    </w:p>
    <w:p w:rsidR="00241C35" w:rsidRDefault="00241C35" w:rsidP="00241C35">
      <w:pPr>
        <w:spacing w:before="120" w:after="120" w:line="320" w:lineRule="atLeast"/>
        <w:ind w:firstLine="720"/>
      </w:pPr>
      <w:r>
        <w:t xml:space="preserve">Two central experiments will be conducted during the field test.  The first experiment is designed to determine whether the estimated time burden of the interview affects the likelihood that base year nonrespondents will participate.  Half of the base year nonrespondents, and all base year respondents, will be asked to complete the full, field test interview, while half of the base year nonrespondents will be asked to complete a shorter, modified version of the interview. Participation rates for the two nonrespondent groups will be compared both during the early response phase and throughout the entire </w:t>
      </w:r>
      <w:r>
        <w:lastRenderedPageBreak/>
        <w:t>data collection. All early response phase nonrespondents will move into the second data collection phase—</w:t>
      </w:r>
      <w:r>
        <w:rPr>
          <w:i/>
          <w:iCs/>
        </w:rPr>
        <w:t>production interviewing—</w:t>
      </w:r>
      <w:r>
        <w:t>in which outbound calls will be made by call center staff to remaining sample members.  Production interviewing will continue for 2 weeks without additional intervention; sample members will be eligible for a $30 incentive for a completed interview.  Throughout data collection, sample members offered the modified interview will only need to complete the shorter interview.</w:t>
      </w:r>
    </w:p>
    <w:p w:rsidR="00241C35" w:rsidRDefault="00241C35" w:rsidP="00241C35">
      <w:pPr>
        <w:spacing w:before="120" w:after="120" w:line="320" w:lineRule="atLeast"/>
        <w:ind w:firstLine="720"/>
      </w:pPr>
      <w:r>
        <w:t xml:space="preserve">For the second experiment, any cases that are still nonrespondents at the end of the 2-week production interviewing period will be randomly divided into an experimental and control group, and an initial Mahalanobis distance calculated.  </w:t>
      </w:r>
      <w:r w:rsidRPr="0016414C">
        <w:rPr>
          <w:rFonts w:asciiTheme="majorBidi" w:hAnsiTheme="majorBidi" w:cstheme="majorBidi"/>
          <w:szCs w:val="24"/>
        </w:rPr>
        <w:t xml:space="preserve">Mahalanobis distance </w:t>
      </w:r>
      <w:r>
        <w:rPr>
          <w:rFonts w:asciiTheme="majorBidi" w:hAnsiTheme="majorBidi" w:cstheme="majorBidi"/>
          <w:szCs w:val="24"/>
        </w:rPr>
        <w:t>defines</w:t>
      </w:r>
      <w:r w:rsidRPr="0016414C">
        <w:rPr>
          <w:rFonts w:asciiTheme="majorBidi" w:hAnsiTheme="majorBidi" w:cstheme="majorBidi"/>
          <w:szCs w:val="24"/>
        </w:rPr>
        <w:t xml:space="preserve"> the distance betwee</w:t>
      </w:r>
      <w:r>
        <w:rPr>
          <w:rFonts w:asciiTheme="majorBidi" w:hAnsiTheme="majorBidi" w:cstheme="majorBidi"/>
          <w:szCs w:val="24"/>
        </w:rPr>
        <w:t>n an individual case and a group centroid; c</w:t>
      </w:r>
      <w:r w:rsidRPr="0016414C">
        <w:rPr>
          <w:rFonts w:asciiTheme="majorBidi" w:hAnsiTheme="majorBidi" w:cstheme="majorBidi"/>
          <w:szCs w:val="24"/>
        </w:rPr>
        <w:t xml:space="preserve">ases with </w:t>
      </w:r>
      <w:r>
        <w:rPr>
          <w:rFonts w:asciiTheme="majorBidi" w:hAnsiTheme="majorBidi" w:cstheme="majorBidi"/>
          <w:szCs w:val="24"/>
        </w:rPr>
        <w:t xml:space="preserve">the </w:t>
      </w:r>
      <w:r w:rsidRPr="0016414C">
        <w:rPr>
          <w:rFonts w:asciiTheme="majorBidi" w:hAnsiTheme="majorBidi" w:cstheme="majorBidi"/>
          <w:szCs w:val="24"/>
        </w:rPr>
        <w:t xml:space="preserve">larger distances </w:t>
      </w:r>
      <w:r>
        <w:rPr>
          <w:rFonts w:asciiTheme="majorBidi" w:hAnsiTheme="majorBidi" w:cstheme="majorBidi"/>
          <w:szCs w:val="24"/>
        </w:rPr>
        <w:t xml:space="preserve">tend to be those with the larger </w:t>
      </w:r>
      <w:r w:rsidRPr="0016414C">
        <w:rPr>
          <w:rFonts w:asciiTheme="majorBidi" w:hAnsiTheme="majorBidi" w:cstheme="majorBidi"/>
          <w:szCs w:val="24"/>
        </w:rPr>
        <w:t xml:space="preserve">differences from the </w:t>
      </w:r>
      <w:r>
        <w:rPr>
          <w:rFonts w:asciiTheme="majorBidi" w:hAnsiTheme="majorBidi" w:cstheme="majorBidi"/>
          <w:szCs w:val="24"/>
        </w:rPr>
        <w:t xml:space="preserve">respondent </w:t>
      </w:r>
      <w:r w:rsidRPr="0016414C">
        <w:rPr>
          <w:rFonts w:asciiTheme="majorBidi" w:hAnsiTheme="majorBidi" w:cstheme="majorBidi"/>
          <w:szCs w:val="24"/>
        </w:rPr>
        <w:t>group</w:t>
      </w:r>
      <w:r>
        <w:rPr>
          <w:rFonts w:asciiTheme="majorBidi" w:hAnsiTheme="majorBidi" w:cstheme="majorBidi"/>
          <w:szCs w:val="24"/>
        </w:rPr>
        <w:t>.  Id</w:t>
      </w:r>
      <w:r w:rsidRPr="0016414C">
        <w:rPr>
          <w:rFonts w:asciiTheme="majorBidi" w:hAnsiTheme="majorBidi" w:cstheme="majorBidi"/>
          <w:szCs w:val="24"/>
        </w:rPr>
        <w:t xml:space="preserve">entifying </w:t>
      </w:r>
      <w:r>
        <w:rPr>
          <w:rFonts w:asciiTheme="majorBidi" w:hAnsiTheme="majorBidi" w:cstheme="majorBidi"/>
          <w:szCs w:val="24"/>
        </w:rPr>
        <w:t xml:space="preserve">high-distance </w:t>
      </w:r>
      <w:r w:rsidRPr="0016414C">
        <w:rPr>
          <w:rFonts w:asciiTheme="majorBidi" w:hAnsiTheme="majorBidi" w:cstheme="majorBidi"/>
          <w:szCs w:val="24"/>
        </w:rPr>
        <w:t xml:space="preserve">cases and </w:t>
      </w:r>
      <w:r>
        <w:rPr>
          <w:rFonts w:asciiTheme="majorBidi" w:hAnsiTheme="majorBidi" w:cstheme="majorBidi"/>
          <w:szCs w:val="24"/>
        </w:rPr>
        <w:t xml:space="preserve">treating </w:t>
      </w:r>
      <w:r w:rsidRPr="0016414C">
        <w:rPr>
          <w:rFonts w:asciiTheme="majorBidi" w:hAnsiTheme="majorBidi" w:cstheme="majorBidi"/>
          <w:szCs w:val="24"/>
        </w:rPr>
        <w:t>the</w:t>
      </w:r>
      <w:r>
        <w:rPr>
          <w:rFonts w:asciiTheme="majorBidi" w:hAnsiTheme="majorBidi" w:cstheme="majorBidi"/>
          <w:szCs w:val="24"/>
        </w:rPr>
        <w:t>m</w:t>
      </w:r>
      <w:r w:rsidRPr="0016414C">
        <w:rPr>
          <w:rFonts w:asciiTheme="majorBidi" w:hAnsiTheme="majorBidi" w:cstheme="majorBidi"/>
          <w:szCs w:val="24"/>
        </w:rPr>
        <w:t xml:space="preserve"> </w:t>
      </w:r>
      <w:r>
        <w:rPr>
          <w:rFonts w:asciiTheme="majorBidi" w:hAnsiTheme="majorBidi" w:cstheme="majorBidi"/>
          <w:szCs w:val="24"/>
        </w:rPr>
        <w:t xml:space="preserve">strategically, such as </w:t>
      </w:r>
      <w:r w:rsidRPr="0016414C">
        <w:rPr>
          <w:rFonts w:asciiTheme="majorBidi" w:hAnsiTheme="majorBidi" w:cstheme="majorBidi"/>
          <w:szCs w:val="24"/>
        </w:rPr>
        <w:t>with a higher incentive</w:t>
      </w:r>
      <w:r>
        <w:rPr>
          <w:rFonts w:asciiTheme="majorBidi" w:hAnsiTheme="majorBidi" w:cstheme="majorBidi"/>
          <w:szCs w:val="24"/>
        </w:rPr>
        <w:t>,</w:t>
      </w:r>
      <w:r w:rsidRPr="0016414C">
        <w:rPr>
          <w:rFonts w:asciiTheme="majorBidi" w:hAnsiTheme="majorBidi" w:cstheme="majorBidi"/>
          <w:szCs w:val="24"/>
        </w:rPr>
        <w:t xml:space="preserve"> m</w:t>
      </w:r>
      <w:r>
        <w:rPr>
          <w:rFonts w:asciiTheme="majorBidi" w:hAnsiTheme="majorBidi" w:cstheme="majorBidi"/>
          <w:szCs w:val="24"/>
        </w:rPr>
        <w:t>a</w:t>
      </w:r>
      <w:r w:rsidRPr="0016414C">
        <w:rPr>
          <w:rFonts w:asciiTheme="majorBidi" w:hAnsiTheme="majorBidi" w:cstheme="majorBidi"/>
          <w:szCs w:val="24"/>
        </w:rPr>
        <w:t>y boost their participation</w:t>
      </w:r>
      <w:r>
        <w:rPr>
          <w:rFonts w:asciiTheme="majorBidi" w:hAnsiTheme="majorBidi" w:cstheme="majorBidi"/>
          <w:szCs w:val="24"/>
        </w:rPr>
        <w:t>, reducing</w:t>
      </w:r>
      <w:r w:rsidRPr="0016414C">
        <w:rPr>
          <w:rFonts w:asciiTheme="majorBidi" w:hAnsiTheme="majorBidi" w:cstheme="majorBidi"/>
          <w:szCs w:val="24"/>
        </w:rPr>
        <w:t xml:space="preserve"> bias in estimates and improv</w:t>
      </w:r>
      <w:r>
        <w:rPr>
          <w:rFonts w:asciiTheme="majorBidi" w:hAnsiTheme="majorBidi" w:cstheme="majorBidi"/>
          <w:szCs w:val="24"/>
        </w:rPr>
        <w:t>ing</w:t>
      </w:r>
      <w:r w:rsidRPr="0016414C">
        <w:rPr>
          <w:rFonts w:asciiTheme="majorBidi" w:hAnsiTheme="majorBidi" w:cstheme="majorBidi"/>
          <w:szCs w:val="24"/>
        </w:rPr>
        <w:t xml:space="preserve"> analytic power through higher sample sizes for the groups of analytic interest. </w:t>
      </w:r>
      <w:r>
        <w:t xml:space="preserve"> </w:t>
      </w:r>
    </w:p>
    <w:p w:rsidR="00241C35" w:rsidRDefault="00241C35" w:rsidP="00241C35">
      <w:pPr>
        <w:spacing w:before="120" w:after="120" w:line="320" w:lineRule="atLeast"/>
        <w:ind w:firstLine="720"/>
      </w:pPr>
      <w:r>
        <w:t>Those BPS:12/14 field test cases with the highest distances that had been assigned to the experimental group will be offered an increased incentive of $55, with the expectation that the increased incentive will increase the likelihood of participation among cases contributing most to bias at the time.  All other interview respondents will be eligible to receive a $30 incentive.  Outbound calling will continue for two weeks; at all times sample members may complete the interview online.</w:t>
      </w:r>
    </w:p>
    <w:p w:rsidR="00241C35" w:rsidRDefault="00241C35" w:rsidP="00241C35">
      <w:pPr>
        <w:spacing w:before="120" w:after="120" w:line="320" w:lineRule="atLeast"/>
        <w:ind w:firstLine="720"/>
      </w:pPr>
      <w:r>
        <w:t xml:space="preserve">At the end of each of three subsequent 2-week data collection periods, Mahalanobis distances will again be calculated for remaining nonrespondents.  New cases in the experimental group with the largest calculated distances at each time point will be offered a $55 incentive; those high distance experimental cases already being offered $55 will continue at that level.  All other cases will remain at the $30 incentive level.  Outbound calling will continue for the remainder of data collection.  </w:t>
      </w:r>
    </w:p>
    <w:p w:rsidR="00241C35" w:rsidRDefault="00241C35" w:rsidP="00241C35">
      <w:pPr>
        <w:spacing w:before="120" w:after="120" w:line="320" w:lineRule="atLeast"/>
        <w:ind w:firstLine="720"/>
      </w:pPr>
      <w:r>
        <w:t>Throughout data collection, RTI will monitor response rates for the entire sample, and by key analytic groups to ensure that minimum rates are being achieved.  Batch and intensive tracing, case review, and other techniques for tracing and interviewing will be applied as needed across the sample.  While Mahalanobis distance calculations will be acted upon at four time points, the calculations will be made every week throughout data collection to better understand the dynamics of the values over time.  Ultimately, this second experiment is designed to determine whether or not treatment of the high distance experimental group, i.e., the offer of the higher incentive, will reduce bias that would result if those high distance cases did not participate in the BPS:12/14 field test interview.</w:t>
      </w:r>
    </w:p>
    <w:p w:rsidR="00241C35" w:rsidRDefault="00241C35" w:rsidP="00241C35">
      <w:pPr>
        <w:pStyle w:val="BodyText"/>
      </w:pPr>
      <w:r>
        <w:t xml:space="preserve">Additional data for the BPS:12/14 field test student sample will be obtained from a variety of administrative data sources. Student financial aid data will be matched and downloaded from the Central Processing System (CPS), which houses and processes data contained in the Free Application for Federal Student Aid (FAFSA) forms.  Data will also be obtained from the National Student Loan Data System (NSLDS), which contains both federal Pell Grant and Stafford Loan data, and the National Student Clearinghouse (NSC) containing enrollment and degree attainment information provided by participating institutions. A description of linkages to administrative data sources can be found in Appendix A, and the security measures in place for these linkages are is </w:t>
      </w:r>
      <w:r w:rsidRPr="002477DC">
        <w:t xml:space="preserve">provided in </w:t>
      </w:r>
      <w:r>
        <w:t>A</w:t>
      </w:r>
      <w:r w:rsidRPr="002477DC">
        <w:t xml:space="preserve">ppendix </w:t>
      </w:r>
      <w:r>
        <w:t>B.</w:t>
      </w:r>
    </w:p>
    <w:p w:rsidR="00241C35" w:rsidRDefault="00241C35" w:rsidP="00241C35">
      <w:pPr>
        <w:pStyle w:val="BodyText"/>
      </w:pPr>
      <w:r w:rsidRPr="00EF2FDF">
        <w:lastRenderedPageBreak/>
        <w:t>During full-scale data collection, an additional data source may be available from student records abstracted from institutions attended by members of the BPS:12 cohort</w:t>
      </w:r>
      <w:r>
        <w:t xml:space="preserve"> (full-scale sampling specifications are presented in Appendix C). </w:t>
      </w:r>
      <w:r w:rsidRPr="00EF2FDF">
        <w:t xml:space="preserve">The approach for abstraction of institution records </w:t>
      </w:r>
      <w:r>
        <w:t>will be</w:t>
      </w:r>
      <w:r w:rsidRPr="00EF2FDF">
        <w:t xml:space="preserve"> tested as part of the Education Longitudinal Study:2002 (ELS:2002) Third Follow-Up (OMB #1850-0652</w:t>
      </w:r>
      <w:r>
        <w:t xml:space="preserve"> v.10</w:t>
      </w:r>
      <w:r w:rsidRPr="00EF2FDF">
        <w:t xml:space="preserve">).  Although  concurrent or contemporaneous collections of similar data have been successful for the purpose of determining how students pay for their postsecondary education (e.g., </w:t>
      </w:r>
      <w:r>
        <w:t>in</w:t>
      </w:r>
      <w:r w:rsidRPr="00EF2FDF">
        <w:t xml:space="preserve"> NPSAS), the ELS:2002 Financial Aid Feasibility Study (FAFS) will evaluate the practicability for collecting the data retrospectively, with records that go back as far as 2004. Institutions will be asked to provide a borrowing history for the entire tenure of the identified ELS:2002 students who attended their institution. Longitudinal analysis of student financial aid records would allow examination of borrowing and debt trends over time, as well as the effects of those trends on postsecondary persistence and attainment, and decisions about work and family.  The results of the feasibility study will help provide information about the quality of the data when collecting financial aid student records that span a number of years and</w:t>
      </w:r>
      <w:r>
        <w:t>,</w:t>
      </w:r>
      <w:r w:rsidRPr="00EF2FDF">
        <w:t xml:space="preserve"> ultimately</w:t>
      </w:r>
      <w:r>
        <w:t>,</w:t>
      </w:r>
      <w:r w:rsidRPr="00EF2FDF">
        <w:t xml:space="preserve"> inform decisions on such efforts for the BPS first and second follow-up studies</w:t>
      </w:r>
      <w:r>
        <w:t xml:space="preserve"> which would require retrospective collection to 2011-12</w:t>
      </w:r>
      <w:r w:rsidRPr="00EF2FDF">
        <w:t>.</w:t>
      </w:r>
    </w:p>
    <w:p w:rsidR="00C33221" w:rsidRDefault="00C33221" w:rsidP="00241C35">
      <w:pPr>
        <w:pStyle w:val="Heading3"/>
        <w:numPr>
          <w:ilvl w:val="2"/>
          <w:numId w:val="16"/>
        </w:numPr>
        <w:spacing w:line="320" w:lineRule="atLeast"/>
        <w:ind w:left="1620" w:hanging="540"/>
      </w:pPr>
      <w:bookmarkStart w:id="9" w:name="_Toc337878551"/>
      <w:r w:rsidRPr="005C26EF">
        <w:t>Legislative Authorization</w:t>
      </w:r>
      <w:bookmarkEnd w:id="9"/>
    </w:p>
    <w:p w:rsidR="002B4553" w:rsidRPr="002477DC" w:rsidRDefault="00C33221" w:rsidP="00241C35">
      <w:pPr>
        <w:pStyle w:val="BodyText"/>
      </w:pPr>
      <w:r>
        <w:t xml:space="preserve">The </w:t>
      </w:r>
      <w:r w:rsidR="007C131D">
        <w:t xml:space="preserve">BPS </w:t>
      </w:r>
      <w:r>
        <w:t>longitudinal s</w:t>
      </w:r>
      <w:r w:rsidR="007C131D">
        <w:t xml:space="preserve">tudy </w:t>
      </w:r>
      <w:r w:rsidRPr="005C26EF">
        <w:t xml:space="preserve">is </w:t>
      </w:r>
      <w:r w:rsidR="00C24BF8" w:rsidRPr="00AD28AD">
        <w:t xml:space="preserve">authorized </w:t>
      </w:r>
      <w:r w:rsidR="00C24BF8">
        <w:t>by</w:t>
      </w:r>
      <w:r w:rsidR="00C24BF8" w:rsidRPr="00AD28AD">
        <w:t xml:space="preserve"> the Education Sciences Reform Act of 2002 </w:t>
      </w:r>
      <w:r w:rsidR="00C24BF8">
        <w:t>(ESRA), 20 U.S.C. § 954</w:t>
      </w:r>
      <w:r w:rsidR="00C24BF8" w:rsidRPr="00E719D1">
        <w:t>3</w:t>
      </w:r>
      <w:r w:rsidR="00C24BF8" w:rsidRPr="00AD28AD">
        <w:t>)</w:t>
      </w:r>
      <w:r w:rsidR="00C24BF8">
        <w:t xml:space="preserve"> and is </w:t>
      </w:r>
      <w:r w:rsidR="00E53359">
        <w:t xml:space="preserve">being </w:t>
      </w:r>
      <w:r>
        <w:t xml:space="preserve">conducted </w:t>
      </w:r>
      <w:r w:rsidRPr="005C26EF">
        <w:t>in close consultation with other offices and organizations within and outside the U.</w:t>
      </w:r>
      <w:r w:rsidR="00C24BF8">
        <w:t>S. Department of Education (ED)</w:t>
      </w:r>
      <w:r w:rsidRPr="00C24BF8">
        <w:t>.</w:t>
      </w:r>
    </w:p>
    <w:p w:rsidR="00C33221" w:rsidRDefault="00C33221" w:rsidP="00241C35">
      <w:pPr>
        <w:pStyle w:val="Heading2"/>
        <w:numPr>
          <w:ilvl w:val="1"/>
          <w:numId w:val="16"/>
        </w:numPr>
        <w:spacing w:line="320" w:lineRule="atLeast"/>
        <w:ind w:left="1080" w:hanging="540"/>
      </w:pPr>
      <w:bookmarkStart w:id="10" w:name="_Toc279966850"/>
      <w:bookmarkStart w:id="11" w:name="_Toc337878552"/>
      <w:r w:rsidRPr="005C26EF">
        <w:t>Purpose and Uses of the Data</w:t>
      </w:r>
      <w:bookmarkEnd w:id="10"/>
      <w:bookmarkEnd w:id="11"/>
    </w:p>
    <w:p w:rsidR="001276CB" w:rsidRPr="00241C35" w:rsidRDefault="001276CB" w:rsidP="00241C35">
      <w:pPr>
        <w:pStyle w:val="Heading3"/>
        <w:numPr>
          <w:ilvl w:val="2"/>
          <w:numId w:val="16"/>
        </w:numPr>
        <w:tabs>
          <w:tab w:val="clear" w:pos="1620"/>
        </w:tabs>
      </w:pPr>
      <w:bookmarkStart w:id="12" w:name="_Toc337878553"/>
      <w:r w:rsidRPr="00241C35">
        <w:t>The BPS Cohort</w:t>
      </w:r>
      <w:bookmarkEnd w:id="12"/>
    </w:p>
    <w:p w:rsidR="001F5F5D" w:rsidRDefault="001E5FAD" w:rsidP="001F5F5D">
      <w:pPr>
        <w:pStyle w:val="BodyText"/>
      </w:pPr>
      <w:r>
        <w:t>BPS:12/14 will provide data on beginning postsecondary students when they entered postsecondary education and 3 years later, describing who enters postsecondary education for the first time as well as what happens to them after their initial enrollment (</w:t>
      </w:r>
      <w:r w:rsidR="00FA2B51">
        <w:t>f</w:t>
      </w:r>
      <w:r>
        <w:t xml:space="preserve">or the field test, students entered postsecondary education during the 2010-11 academic year, </w:t>
      </w:r>
      <w:r w:rsidR="00FA2B51">
        <w:t>while</w:t>
      </w:r>
      <w:r>
        <w:t xml:space="preserve"> </w:t>
      </w:r>
      <w:r w:rsidR="00FA2B51">
        <w:t xml:space="preserve">for the full-scale data collection, </w:t>
      </w:r>
      <w:r>
        <w:t>during the 2011-12 academic year)</w:t>
      </w:r>
      <w:r w:rsidR="00FA2B51">
        <w:t>.</w:t>
      </w:r>
      <w:r>
        <w:t xml:space="preserve">  BPS is </w:t>
      </w:r>
      <w:r w:rsidR="00D3531C">
        <w:t xml:space="preserve">unique </w:t>
      </w:r>
      <w:r>
        <w:t xml:space="preserve">as the only nationally-representative study of all students beginning postsecondary education for the first time, including nontraditional students who delay postsecondary entry and students in short-term vocational programs. </w:t>
      </w:r>
      <w:r w:rsidR="001F5F5D">
        <w:t>It is also the only study that follows students throughout the entire postsecondary education system over a number of years and, therefore, provides a much more accurate portrait of these students’ persistence, attainment, and experiences than do the studies that focus solely on the first institution or rely on institution-reported data alone.</w:t>
      </w:r>
    </w:p>
    <w:p w:rsidR="001F5F5D" w:rsidRPr="001F5F5D" w:rsidRDefault="001F5F5D" w:rsidP="00E472BC">
      <w:pPr>
        <w:spacing w:line="320" w:lineRule="atLeast"/>
        <w:ind w:firstLine="720"/>
        <w:rPr>
          <w:rFonts w:asciiTheme="majorBidi" w:hAnsiTheme="majorBidi" w:cstheme="majorBidi"/>
          <w:szCs w:val="24"/>
        </w:rPr>
      </w:pPr>
      <w:r>
        <w:t>F</w:t>
      </w:r>
      <w:r w:rsidR="00BE5DCC" w:rsidRPr="001F5F5D">
        <w:t xml:space="preserve">or the first time with this iteration of BPS, the study features an oversample of students </w:t>
      </w:r>
      <w:r>
        <w:t xml:space="preserve">in public 2-year and for-profit institutions </w:t>
      </w:r>
      <w:r w:rsidR="00BE5DCC" w:rsidRPr="001F5F5D">
        <w:t>seeking educational certificates which will provide rich new data on wage</w:t>
      </w:r>
      <w:r w:rsidR="00BE5DCC" w:rsidRPr="001F5F5D">
        <w:rPr>
          <w:rFonts w:asciiTheme="majorBidi" w:hAnsiTheme="majorBidi" w:cstheme="majorBidi"/>
          <w:szCs w:val="24"/>
        </w:rPr>
        <w:t xml:space="preserve"> and employment outcomes for completers of subbaccalaureate educational credentials</w:t>
      </w:r>
      <w:r w:rsidRPr="001F5F5D">
        <w:rPr>
          <w:rFonts w:asciiTheme="majorBidi" w:hAnsiTheme="majorBidi" w:cstheme="majorBidi"/>
          <w:szCs w:val="24"/>
        </w:rPr>
        <w:t>.  Current economic conditions have increased interest in the relationship between subbaccalaureate credentials and employment outcomes.  A recent NCES report used BPS:04/09 data to examine subbaccalaureate completers and noncompleters’ labor market outcomes</w:t>
      </w:r>
      <w:r w:rsidR="00E472BC">
        <w:rPr>
          <w:rStyle w:val="FootnoteReference"/>
        </w:rPr>
        <w:footnoteReference w:id="3"/>
      </w:r>
      <w:r w:rsidRPr="001F5F5D">
        <w:rPr>
          <w:rFonts w:asciiTheme="majorBidi" w:hAnsiTheme="majorBidi" w:cstheme="majorBidi"/>
          <w:szCs w:val="24"/>
        </w:rPr>
        <w:t xml:space="preserve"> but</w:t>
      </w:r>
      <w:r>
        <w:rPr>
          <w:rFonts w:asciiTheme="majorBidi" w:hAnsiTheme="majorBidi" w:cstheme="majorBidi"/>
          <w:szCs w:val="24"/>
        </w:rPr>
        <w:t>,</w:t>
      </w:r>
      <w:r w:rsidRPr="001F5F5D">
        <w:rPr>
          <w:rFonts w:asciiTheme="majorBidi" w:hAnsiTheme="majorBidi" w:cstheme="majorBidi"/>
          <w:szCs w:val="24"/>
        </w:rPr>
        <w:t xml:space="preserve"> due to small sample sizes</w:t>
      </w:r>
      <w:r>
        <w:rPr>
          <w:rFonts w:asciiTheme="majorBidi" w:hAnsiTheme="majorBidi" w:cstheme="majorBidi"/>
          <w:szCs w:val="24"/>
        </w:rPr>
        <w:t xml:space="preserve">, was often unable </w:t>
      </w:r>
      <w:r>
        <w:rPr>
          <w:rFonts w:asciiTheme="majorBidi" w:hAnsiTheme="majorBidi" w:cstheme="majorBidi"/>
          <w:szCs w:val="24"/>
        </w:rPr>
        <w:lastRenderedPageBreak/>
        <w:t>to detect</w:t>
      </w:r>
      <w:r w:rsidRPr="001F5F5D">
        <w:rPr>
          <w:rFonts w:asciiTheme="majorBidi" w:hAnsiTheme="majorBidi" w:cstheme="majorBidi"/>
          <w:szCs w:val="24"/>
        </w:rPr>
        <w:t xml:space="preserve"> significant differences among certificate students.  Analyses of subbaccalaureate students’ labor market outcomes will also be aided by BPS:12/14’s expanded employment section</w:t>
      </w:r>
      <w:r>
        <w:rPr>
          <w:rFonts w:asciiTheme="majorBidi" w:hAnsiTheme="majorBidi" w:cstheme="majorBidi"/>
          <w:szCs w:val="24"/>
        </w:rPr>
        <w:t xml:space="preserve"> which </w:t>
      </w:r>
      <w:r w:rsidRPr="001F5F5D">
        <w:rPr>
          <w:rFonts w:asciiTheme="majorBidi" w:hAnsiTheme="majorBidi" w:cstheme="majorBidi"/>
          <w:szCs w:val="24"/>
        </w:rPr>
        <w:t>will collect an employment history of all jobs respondents have held since starting postsecondary education.  Even more employment details will be obtained from those who have left postsecondary education.</w:t>
      </w:r>
    </w:p>
    <w:p w:rsidR="00C861F7" w:rsidRDefault="001F5F5D" w:rsidP="006B5D8C">
      <w:pPr>
        <w:pStyle w:val="BodyText"/>
      </w:pPr>
      <w:r>
        <w:t xml:space="preserve"> </w:t>
      </w:r>
      <w:r w:rsidR="002B34C6">
        <w:t xml:space="preserve">In addition to post-enrollment employment, </w:t>
      </w:r>
      <w:r w:rsidR="001E5FAD">
        <w:t>BPS provides data on such characteristics of beginning students as demographics, high school preparation, enrollment, employment during enrollment, financial aid and borrowing, and education and career expectations. These characteristics can be examined with respect to persistence, degree attainment, and employment outcomes. Developing a better understanding of the factors related to these three outcomes is the primary purpose of BPS.</w:t>
      </w:r>
      <w:r w:rsidR="002B34C6">
        <w:t xml:space="preserve">  </w:t>
      </w:r>
      <w:r w:rsidR="001E5FAD">
        <w:t xml:space="preserve">To this end, BPS:12/14 will publish a First Look Report and a large Web Table compendium that will report key statistics on how students with varying characteristics performed on these outcomes 3 years after starting their postsecondary careers. A later BPS follow-up study </w:t>
      </w:r>
      <w:r w:rsidR="00D3531C">
        <w:t xml:space="preserve">(BPS:12/17) </w:t>
      </w:r>
      <w:r w:rsidR="001E5FAD">
        <w:t>will explore these key outcomes over a longer period of time.</w:t>
      </w:r>
    </w:p>
    <w:p w:rsidR="001848E6" w:rsidRPr="00241C35" w:rsidRDefault="001848E6" w:rsidP="00241C35">
      <w:pPr>
        <w:pStyle w:val="Heading3"/>
        <w:numPr>
          <w:ilvl w:val="2"/>
          <w:numId w:val="16"/>
        </w:numPr>
        <w:tabs>
          <w:tab w:val="clear" w:pos="1620"/>
        </w:tabs>
      </w:pPr>
      <w:bookmarkStart w:id="13" w:name="_Toc337878554"/>
      <w:r w:rsidRPr="00241C35">
        <w:t>Current Research and Policy Issues Related to BPS</w:t>
      </w:r>
      <w:bookmarkEnd w:id="13"/>
    </w:p>
    <w:p w:rsidR="001E5FAD" w:rsidRPr="009A3E08" w:rsidRDefault="001E5FAD" w:rsidP="001E5FAD">
      <w:pPr>
        <w:pStyle w:val="BodyText"/>
      </w:pPr>
      <w:r w:rsidRPr="009A3E08">
        <w:rPr>
          <w:bCs/>
        </w:rPr>
        <w:t>Persistence, attainment, and employment outcomes have long been important to BPS, and BPS:12/14 is more focused than ever on collect</w:t>
      </w:r>
      <w:r>
        <w:rPr>
          <w:bCs/>
        </w:rPr>
        <w:t>ing data that are necessary for</w:t>
      </w:r>
      <w:r w:rsidRPr="009A3E08">
        <w:rPr>
          <w:bCs/>
        </w:rPr>
        <w:t xml:space="preserve"> examining these outcomes.</w:t>
      </w:r>
      <w:r>
        <w:rPr>
          <w:bCs/>
        </w:rPr>
        <w:t xml:space="preserve"> </w:t>
      </w:r>
      <w:r w:rsidRPr="00D76D7D">
        <w:rPr>
          <w:bCs/>
        </w:rPr>
        <w:t>BPS:12/14 has adopted the human capital model as a research framework</w:t>
      </w:r>
      <w:r>
        <w:rPr>
          <w:bCs/>
        </w:rPr>
        <w:t xml:space="preserve"> and </w:t>
      </w:r>
      <w:r w:rsidRPr="00D76D7D">
        <w:rPr>
          <w:bCs/>
        </w:rPr>
        <w:t>n</w:t>
      </w:r>
      <w:r>
        <w:rPr>
          <w:bCs/>
        </w:rPr>
        <w:t>o</w:t>
      </w:r>
      <w:r w:rsidRPr="00D76D7D">
        <w:rPr>
          <w:bCs/>
        </w:rPr>
        <w:t>w incorporates several new sets of questions that the latest research suggests are helpful in predicting the student outcomes of interest.</w:t>
      </w:r>
      <w:r>
        <w:rPr>
          <w:bCs/>
        </w:rPr>
        <w:t xml:space="preserve"> </w:t>
      </w:r>
      <w:r w:rsidRPr="009A3E08">
        <w:rPr>
          <w:bCs/>
        </w:rPr>
        <w:t xml:space="preserve">These questions include students’ earnings potential given current education, </w:t>
      </w:r>
      <w:r>
        <w:rPr>
          <w:bCs/>
        </w:rPr>
        <w:t xml:space="preserve">their </w:t>
      </w:r>
      <w:r w:rsidRPr="009A3E08">
        <w:rPr>
          <w:bCs/>
        </w:rPr>
        <w:t>earnings expectations after completing anticipated credentials</w:t>
      </w:r>
      <w:r>
        <w:rPr>
          <w:bCs/>
        </w:rPr>
        <w:t xml:space="preserve">, </w:t>
      </w:r>
      <w:r w:rsidRPr="009A3E08">
        <w:rPr>
          <w:bCs/>
        </w:rPr>
        <w:t>the extent to which they prefer current over future rewards</w:t>
      </w:r>
      <w:r>
        <w:rPr>
          <w:bCs/>
        </w:rPr>
        <w:t xml:space="preserve"> (also known as their </w:t>
      </w:r>
      <w:r w:rsidRPr="009A3E08">
        <w:rPr>
          <w:bCs/>
        </w:rPr>
        <w:t xml:space="preserve">discount rate), </w:t>
      </w:r>
      <w:r>
        <w:rPr>
          <w:bCs/>
        </w:rPr>
        <w:t xml:space="preserve">and their </w:t>
      </w:r>
      <w:r w:rsidRPr="009A3E08">
        <w:rPr>
          <w:bCs/>
        </w:rPr>
        <w:t>physical and emotional health.</w:t>
      </w:r>
    </w:p>
    <w:p w:rsidR="001E5FAD" w:rsidRPr="00BE5DCC" w:rsidRDefault="001E5FAD" w:rsidP="001E5FAD">
      <w:pPr>
        <w:pStyle w:val="BodyText"/>
        <w:rPr>
          <w:bCs/>
        </w:rPr>
      </w:pPr>
      <w:r w:rsidRPr="00D66F14">
        <w:rPr>
          <w:bCs/>
        </w:rPr>
        <w:t>BPS provide</w:t>
      </w:r>
      <w:r>
        <w:rPr>
          <w:bCs/>
        </w:rPr>
        <w:t>s</w:t>
      </w:r>
      <w:r w:rsidRPr="00D66F14">
        <w:rPr>
          <w:bCs/>
        </w:rPr>
        <w:t xml:space="preserve"> key information in </w:t>
      </w:r>
      <w:r>
        <w:rPr>
          <w:bCs/>
        </w:rPr>
        <w:t xml:space="preserve">several </w:t>
      </w:r>
      <w:r w:rsidRPr="00D66F14">
        <w:rPr>
          <w:bCs/>
        </w:rPr>
        <w:t>areas of policy interest.</w:t>
      </w:r>
      <w:r>
        <w:rPr>
          <w:bCs/>
        </w:rPr>
        <w:t xml:space="preserve"> </w:t>
      </w:r>
      <w:r w:rsidRPr="00D66F14">
        <w:rPr>
          <w:bCs/>
        </w:rPr>
        <w:t>The President’s American Graduation Initiative and prominent funders like the Lumina Foundation and Gates Foundation have set ambitious goals to increase Americans’ postsecondary education attainment over the next decade. Encouraging more students to enroll is one important part of meeting this objective, and the economic downturn has indeed resulted in higher enrollments. However, due in part to increased joblessness, the composition of enrollees has changed as well.</w:t>
      </w:r>
      <w:r>
        <w:rPr>
          <w:bCs/>
        </w:rPr>
        <w:t xml:space="preserve"> </w:t>
      </w:r>
      <w:r w:rsidRPr="00D66F14">
        <w:rPr>
          <w:bCs/>
        </w:rPr>
        <w:t xml:space="preserve">BPS </w:t>
      </w:r>
      <w:r>
        <w:rPr>
          <w:bCs/>
        </w:rPr>
        <w:t>allows researchers to</w:t>
      </w:r>
      <w:r w:rsidRPr="00D66F14">
        <w:rPr>
          <w:bCs/>
        </w:rPr>
        <w:t xml:space="preserve"> describe these enrollment changes and examin</w:t>
      </w:r>
      <w:r>
        <w:rPr>
          <w:bCs/>
        </w:rPr>
        <w:t>e</w:t>
      </w:r>
      <w:r w:rsidRPr="00D66F14">
        <w:rPr>
          <w:bCs/>
        </w:rPr>
        <w:t xml:space="preserve"> their relationship with students’ postsecondary persistence, degree attainment rates, and employment outcomes. </w:t>
      </w:r>
      <w:r>
        <w:rPr>
          <w:bCs/>
        </w:rPr>
        <w:t xml:space="preserve">Data from </w:t>
      </w:r>
      <w:r w:rsidRPr="00D66F14">
        <w:rPr>
          <w:bCs/>
        </w:rPr>
        <w:t xml:space="preserve">BPS:12/14 will </w:t>
      </w:r>
      <w:r>
        <w:rPr>
          <w:bCs/>
        </w:rPr>
        <w:t>permit estimation of</w:t>
      </w:r>
      <w:r w:rsidRPr="00D66F14">
        <w:rPr>
          <w:bCs/>
        </w:rPr>
        <w:t xml:space="preserve"> overall changes in rates of degree attainment and major field of study, particularly with respect to </w:t>
      </w:r>
      <w:r>
        <w:rPr>
          <w:bCs/>
        </w:rPr>
        <w:t xml:space="preserve">majors in science, technology, engineering, and mathematics (or </w:t>
      </w:r>
      <w:r w:rsidRPr="00D66F14">
        <w:rPr>
          <w:bCs/>
        </w:rPr>
        <w:t>STEM</w:t>
      </w:r>
      <w:r>
        <w:rPr>
          <w:bCs/>
        </w:rPr>
        <w:t>)</w:t>
      </w:r>
      <w:r w:rsidRPr="00D66F14">
        <w:rPr>
          <w:bCs/>
        </w:rPr>
        <w:t xml:space="preserve">—another area of focus in higher education policy. The White House’s Engage to Excel initiative, for example, seeks to produce one million additional college graduates in STEM to fill the projected gaps in America’s workforce. One of </w:t>
      </w:r>
      <w:r>
        <w:rPr>
          <w:bCs/>
        </w:rPr>
        <w:t>its</w:t>
      </w:r>
      <w:r w:rsidRPr="00D66F14">
        <w:rPr>
          <w:bCs/>
        </w:rPr>
        <w:t xml:space="preserve"> primary goals is to increase the number of students who choose STEM majors and retain them through receipt of a postsec</w:t>
      </w:r>
      <w:r w:rsidRPr="00BE5DCC">
        <w:rPr>
          <w:bCs/>
        </w:rPr>
        <w:t>ondary degree, with a special focus on engaging them during the first 2 years of a STEM-related degree program.</w:t>
      </w:r>
    </w:p>
    <w:p w:rsidR="00BE5DCC" w:rsidRPr="00D66F14" w:rsidRDefault="00BE5DCC" w:rsidP="00BE5DCC">
      <w:pPr>
        <w:pStyle w:val="BodyText"/>
        <w:rPr>
          <w:bCs/>
        </w:rPr>
      </w:pPr>
      <w:r w:rsidRPr="00BE5DCC">
        <w:rPr>
          <w:bCs/>
        </w:rPr>
        <w:t xml:space="preserve">Since the advent of the Great Recession, the relationship between the attainment of a postsecondary credential and job prospects has become even more prominent in the national conversation. In his 2009 State of the Union address, President Obama called for every American to take at least one </w:t>
      </w:r>
      <w:r w:rsidRPr="00BE5DCC">
        <w:rPr>
          <w:bCs/>
        </w:rPr>
        <w:lastRenderedPageBreak/>
        <w:t>year of education beyond high school—including postsecondary occupational education. A recent report from the Georgetown Center on Education and the Economy (Carnevale et al, 2012)</w:t>
      </w:r>
      <w:r w:rsidRPr="00BE5DCC">
        <w:rPr>
          <w:rStyle w:val="FootnoteReference"/>
          <w:bCs/>
        </w:rPr>
        <w:footnoteReference w:id="4"/>
      </w:r>
      <w:r w:rsidRPr="00BE5DCC">
        <w:rPr>
          <w:bCs/>
        </w:rPr>
        <w:t xml:space="preserve"> notes that certificates “provide the outcomes that degree-seeking students are looking for: gainful employment” (p.  35) and that they can also serve as gateways to high level credentials, such as a college degree.  This attention has brought to light certain weaknesses in our federal data collection systems, most notably the paucity of information on the labor market value of non-degree credentials, including industry-recognized certifications, occupational licenses, and subbaccalaureate educational certificates. BPS is coordinating with the Interagency Working Group on Expanded Measures of Enrollment and Attainment (GEMEnA) to improve federal statistical data on these credentials. Data from the BPS:12/14 </w:t>
      </w:r>
      <w:r w:rsidR="00B95B33">
        <w:rPr>
          <w:bCs/>
        </w:rPr>
        <w:t xml:space="preserve">full-scale study </w:t>
      </w:r>
      <w:r w:rsidRPr="00BE5DCC">
        <w:rPr>
          <w:bCs/>
        </w:rPr>
        <w:t>will include an oversample of students who enter postsecondary education seeking to attain a subbaccalaureate educational certificate. These data will enable researchers and policy makers better understand the effect of certificate attainment, whether as a terminal occupational credential or as a path to a degree, on employment and wage outcomes.</w:t>
      </w:r>
    </w:p>
    <w:p w:rsidR="001E5FAD" w:rsidRPr="00D66F14" w:rsidRDefault="001E5FAD" w:rsidP="00F1522D">
      <w:pPr>
        <w:pStyle w:val="BodyText"/>
      </w:pPr>
      <w:r w:rsidRPr="00D66F14">
        <w:rPr>
          <w:bCs/>
        </w:rPr>
        <w:t>Tuition cost</w:t>
      </w:r>
      <w:r>
        <w:rPr>
          <w:bCs/>
        </w:rPr>
        <w:t>s</w:t>
      </w:r>
      <w:r w:rsidRPr="00D66F14">
        <w:rPr>
          <w:bCs/>
        </w:rPr>
        <w:t>, financial aid, and student debt are also receiving considerable attention by lawmakers.</w:t>
      </w:r>
      <w:r w:rsidRPr="00D66F14">
        <w:t xml:space="preserve"> </w:t>
      </w:r>
      <w:r w:rsidRPr="00D66F14">
        <w:rPr>
          <w:bCs/>
        </w:rPr>
        <w:t>The continued rise of tuition costs has prompted the Obama Administration to propose shifting</w:t>
      </w:r>
      <w:r w:rsidR="001521D1">
        <w:rPr>
          <w:bCs/>
        </w:rPr>
        <w:t xml:space="preserve"> campus-based</w:t>
      </w:r>
      <w:r w:rsidRPr="00D66F14">
        <w:rPr>
          <w:bCs/>
        </w:rPr>
        <w:t xml:space="preserve"> aid to institutions that keep costs down</w:t>
      </w:r>
      <w:r w:rsidR="00F1522D">
        <w:rPr>
          <w:bCs/>
        </w:rPr>
        <w:t xml:space="preserve">. In addition, the Administration has proposed </w:t>
      </w:r>
      <w:r w:rsidRPr="00D66F14">
        <w:rPr>
          <w:bCs/>
        </w:rPr>
        <w:t xml:space="preserve"> a Race to the Top for postsecondary education, with the goal </w:t>
      </w:r>
      <w:r>
        <w:rPr>
          <w:bCs/>
        </w:rPr>
        <w:t>of</w:t>
      </w:r>
      <w:r w:rsidRPr="00D66F14">
        <w:rPr>
          <w:bCs/>
        </w:rPr>
        <w:t xml:space="preserve"> improving college affordability and completion.</w:t>
      </w:r>
      <w:r w:rsidRPr="00D66F14">
        <w:t xml:space="preserve">. , </w:t>
      </w:r>
      <w:r w:rsidR="00805645">
        <w:t>S</w:t>
      </w:r>
      <w:r w:rsidRPr="00D66F14">
        <w:t>tudent debt is increasingly seen as a hardship and potential barrier for college graduates</w:t>
      </w:r>
      <w:r w:rsidR="00F1522D">
        <w:t xml:space="preserve">, </w:t>
      </w:r>
      <w:r w:rsidRPr="00D66F14">
        <w:t xml:space="preserve">BPS can provide insight </w:t>
      </w:r>
      <w:r>
        <w:t>in</w:t>
      </w:r>
      <w:r w:rsidRPr="00D66F14">
        <w:t>to the extent to which college costs, financial aid, and debt are related to persistence</w:t>
      </w:r>
      <w:r>
        <w:t>,</w:t>
      </w:r>
      <w:r w:rsidRPr="00D66F14">
        <w:t xml:space="preserve"> attainment, </w:t>
      </w:r>
      <w:r>
        <w:t>and</w:t>
      </w:r>
      <w:r w:rsidRPr="00D66F14">
        <w:t xml:space="preserve"> employment outcomes.</w:t>
      </w:r>
    </w:p>
    <w:p w:rsidR="001E5FAD" w:rsidRPr="0083619B" w:rsidRDefault="001E5FAD" w:rsidP="001E5FAD">
      <w:pPr>
        <w:pStyle w:val="BodyText"/>
        <w:rPr>
          <w:bCs/>
        </w:rPr>
      </w:pPr>
      <w:r w:rsidRPr="00D66F14">
        <w:rPr>
          <w:bCs/>
        </w:rPr>
        <w:t xml:space="preserve">Finally, policymakers </w:t>
      </w:r>
      <w:r>
        <w:rPr>
          <w:bCs/>
        </w:rPr>
        <w:t>increasingly focus on</w:t>
      </w:r>
      <w:r w:rsidRPr="00D66F14">
        <w:rPr>
          <w:bCs/>
        </w:rPr>
        <w:t xml:space="preserve"> the alignment of skills with industry needs. Whether today’s graduates are well-equipped for employment is the subject of considerable debate, and BPS is well-positioned to address this discussion. Similarly, new gainful employment regulations seek to ensure that students are able to obtain jobs and earn incomes in their chosen professions that allow them to repay their loans; on this subject, also, BPS provides a considerable amount of data.</w:t>
      </w:r>
    </w:p>
    <w:p w:rsidR="001E5FAD" w:rsidRPr="00C64C69" w:rsidRDefault="001E5FAD" w:rsidP="001E5FAD">
      <w:pPr>
        <w:pStyle w:val="BodyText"/>
      </w:pPr>
      <w:r w:rsidRPr="00C64C69">
        <w:t xml:space="preserve">Some of the primary research and policy issues to be addressed </w:t>
      </w:r>
      <w:r>
        <w:t>with</w:t>
      </w:r>
      <w:r w:rsidRPr="00C64C69">
        <w:t xml:space="preserve"> BPS:12/14 data </w:t>
      </w:r>
      <w:r>
        <w:t>include the following</w:t>
      </w:r>
      <w:r w:rsidRPr="00C64C69">
        <w:t xml:space="preserve">: </w:t>
      </w:r>
    </w:p>
    <w:p w:rsidR="001E5FAD" w:rsidRPr="00B14A4D" w:rsidRDefault="001E5FAD" w:rsidP="001E5FAD">
      <w:pPr>
        <w:pStyle w:val="ListBullet22"/>
        <w:rPr>
          <w:i/>
        </w:rPr>
      </w:pPr>
      <w:r w:rsidRPr="00B14A4D">
        <w:rPr>
          <w:i/>
        </w:rPr>
        <w:t>Demographic Characteristics</w:t>
      </w:r>
    </w:p>
    <w:p w:rsidR="001E5FAD" w:rsidRPr="00C64C69" w:rsidRDefault="001E5FAD" w:rsidP="001E5FAD">
      <w:pPr>
        <w:pStyle w:val="Bullet1"/>
        <w:numPr>
          <w:ilvl w:val="0"/>
          <w:numId w:val="22"/>
        </w:numPr>
        <w:ind w:left="1440"/>
      </w:pPr>
      <w:r w:rsidRPr="00C64C69">
        <w:t>What are beginning students’ demographic characteristics (such as gender, race/ethnicity, disability status, age, financial dependency on parents, and income)?</w:t>
      </w:r>
    </w:p>
    <w:p w:rsidR="001E5FAD" w:rsidRPr="007A1BE0" w:rsidRDefault="001E5FAD" w:rsidP="001E5FAD">
      <w:pPr>
        <w:pStyle w:val="Bullet1"/>
        <w:numPr>
          <w:ilvl w:val="0"/>
          <w:numId w:val="22"/>
        </w:numPr>
        <w:ind w:left="1440"/>
      </w:pPr>
      <w:r w:rsidRPr="00C64C69">
        <w:t xml:space="preserve">What proportion of beginning students come from key populations of interest, </w:t>
      </w:r>
      <w:r w:rsidRPr="007A1BE0">
        <w:t>such as low income or first-generation college students, nontraditional college students, veterans, ethnic or racial minorities, and immigrants or children of immigrants?</w:t>
      </w:r>
    </w:p>
    <w:p w:rsidR="001E5FAD" w:rsidRPr="007A1BE0" w:rsidRDefault="001E5FAD" w:rsidP="001E5FAD">
      <w:pPr>
        <w:pStyle w:val="Bullet1"/>
        <w:numPr>
          <w:ilvl w:val="0"/>
          <w:numId w:val="22"/>
        </w:numPr>
        <w:ind w:left="1440"/>
      </w:pPr>
      <w:r w:rsidRPr="007A1BE0">
        <w:t>How have beginning postsecondary students’ demographic characteristics (e.g., income, health, dependency status, marital status, and having dependents) changed over time?</w:t>
      </w:r>
    </w:p>
    <w:p w:rsidR="001E5FAD" w:rsidRPr="00B14A4D" w:rsidRDefault="001E5FAD" w:rsidP="001E5FAD">
      <w:pPr>
        <w:pStyle w:val="ListBullet22"/>
        <w:rPr>
          <w:i/>
          <w:iCs/>
        </w:rPr>
      </w:pPr>
      <w:r w:rsidRPr="00B14A4D">
        <w:rPr>
          <w:i/>
          <w:iCs/>
        </w:rPr>
        <w:t>High School Academic Preparation</w:t>
      </w:r>
    </w:p>
    <w:p w:rsidR="001E5FAD" w:rsidRPr="007A1BE0" w:rsidRDefault="001E5FAD" w:rsidP="001E5FAD">
      <w:pPr>
        <w:pStyle w:val="Bullet1"/>
        <w:numPr>
          <w:ilvl w:val="0"/>
          <w:numId w:val="22"/>
        </w:numPr>
        <w:ind w:left="1440"/>
      </w:pPr>
      <w:r w:rsidRPr="007A1BE0">
        <w:t>What percentage of beginning postsecondary students are recent high school graduates and what percentage have a regular high school diploma?</w:t>
      </w:r>
    </w:p>
    <w:p w:rsidR="001E5FAD" w:rsidRPr="007A1BE0" w:rsidRDefault="001E5FAD" w:rsidP="001E5FAD">
      <w:pPr>
        <w:pStyle w:val="Bullet1"/>
        <w:numPr>
          <w:ilvl w:val="0"/>
          <w:numId w:val="22"/>
        </w:numPr>
        <w:ind w:left="1440"/>
      </w:pPr>
      <w:r w:rsidRPr="007A1BE0">
        <w:lastRenderedPageBreak/>
        <w:t>What is the highest math course beginning postsecondary students took in high school?</w:t>
      </w:r>
    </w:p>
    <w:p w:rsidR="001E5FAD" w:rsidRPr="00C64C69" w:rsidRDefault="001E5FAD" w:rsidP="001E5FAD">
      <w:pPr>
        <w:pStyle w:val="Bullet1"/>
        <w:numPr>
          <w:ilvl w:val="0"/>
          <w:numId w:val="22"/>
        </w:numPr>
        <w:ind w:left="1440"/>
      </w:pPr>
      <w:r w:rsidRPr="00C64C69">
        <w:t xml:space="preserve">How </w:t>
      </w:r>
      <w:r>
        <w:t>did</w:t>
      </w:r>
      <w:r w:rsidRPr="00C64C69">
        <w:t xml:space="preserve"> beginning postsecondary students </w:t>
      </w:r>
      <w:r>
        <w:t>attending different types of institutions perform</w:t>
      </w:r>
      <w:r w:rsidRPr="00C64C69">
        <w:t xml:space="preserve"> in high school</w:t>
      </w:r>
      <w:r>
        <w:t>,</w:t>
      </w:r>
      <w:r w:rsidRPr="00C64C69">
        <w:t xml:space="preserve"> </w:t>
      </w:r>
      <w:r>
        <w:t>as measured, for example, by</w:t>
      </w:r>
      <w:r w:rsidRPr="00C64C69">
        <w:t xml:space="preserve"> </w:t>
      </w:r>
      <w:r>
        <w:t>grade point average</w:t>
      </w:r>
      <w:r w:rsidRPr="00C64C69">
        <w:t xml:space="preserve"> and standardized admissions tests?</w:t>
      </w:r>
    </w:p>
    <w:p w:rsidR="001E5FAD" w:rsidRDefault="001E5FAD" w:rsidP="001E5FAD">
      <w:pPr>
        <w:pStyle w:val="Bullet1"/>
        <w:numPr>
          <w:ilvl w:val="0"/>
          <w:numId w:val="22"/>
        </w:numPr>
        <w:ind w:left="1440"/>
      </w:pPr>
      <w:r w:rsidRPr="00C64C69">
        <w:t>What proportion of beginning postsecondary students enter</w:t>
      </w:r>
      <w:r>
        <w:t>s</w:t>
      </w:r>
      <w:r w:rsidRPr="00C64C69">
        <w:t xml:space="preserve"> postsecondary education with college credits?</w:t>
      </w:r>
    </w:p>
    <w:p w:rsidR="001E5FAD" w:rsidRPr="00C64C69" w:rsidRDefault="001E5FAD" w:rsidP="001E5FAD">
      <w:pPr>
        <w:pStyle w:val="Bullet1"/>
        <w:numPr>
          <w:ilvl w:val="0"/>
          <w:numId w:val="22"/>
        </w:numPr>
        <w:ind w:left="1440"/>
      </w:pPr>
      <w:r>
        <w:t>What percentage of beginning postsecondary students enroll in remedial courses when they start their postsecondary education, and in which subjects are remedial courses most commonly taken?</w:t>
      </w:r>
    </w:p>
    <w:p w:rsidR="001E5FAD" w:rsidRPr="00B14A4D" w:rsidRDefault="001E5FAD" w:rsidP="001E5FAD">
      <w:pPr>
        <w:pStyle w:val="Bullet1"/>
        <w:tabs>
          <w:tab w:val="clear" w:pos="720"/>
        </w:tabs>
        <w:ind w:left="0" w:firstLine="0"/>
        <w:rPr>
          <w:i/>
          <w:iCs/>
        </w:rPr>
      </w:pPr>
      <w:r w:rsidRPr="00B14A4D">
        <w:rPr>
          <w:i/>
          <w:iCs/>
        </w:rPr>
        <w:t xml:space="preserve"> </w:t>
      </w:r>
      <w:r w:rsidRPr="00B14A4D">
        <w:rPr>
          <w:i/>
          <w:iCs/>
        </w:rPr>
        <w:tab/>
        <w:t>Postsecondary Enrollment Characteristics and Experiences</w:t>
      </w:r>
    </w:p>
    <w:p w:rsidR="001E5FAD" w:rsidRPr="00C64C69" w:rsidRDefault="001E5FAD" w:rsidP="001E5FAD">
      <w:pPr>
        <w:pStyle w:val="Bullet1"/>
        <w:numPr>
          <w:ilvl w:val="0"/>
          <w:numId w:val="22"/>
        </w:numPr>
        <w:ind w:left="1440"/>
      </w:pPr>
      <w:r>
        <w:t>How are</w:t>
      </w:r>
      <w:r w:rsidRPr="00C64C69">
        <w:t xml:space="preserve"> beginning postsecondary students </w:t>
      </w:r>
      <w:r>
        <w:t xml:space="preserve">distributed across </w:t>
      </w:r>
      <w:r w:rsidRPr="00C64C69">
        <w:t>different type</w:t>
      </w:r>
      <w:r>
        <w:t>s</w:t>
      </w:r>
      <w:r w:rsidRPr="00C64C69">
        <w:t xml:space="preserve"> of institutions?</w:t>
      </w:r>
      <w:r>
        <w:t xml:space="preserve"> Across different degree programs?</w:t>
      </w:r>
    </w:p>
    <w:p w:rsidR="001E5FAD" w:rsidRPr="00C64C69" w:rsidRDefault="001E5FAD" w:rsidP="001E5FAD">
      <w:pPr>
        <w:pStyle w:val="Bullet1"/>
        <w:numPr>
          <w:ilvl w:val="0"/>
          <w:numId w:val="22"/>
        </w:numPr>
        <w:ind w:left="1440"/>
      </w:pPr>
      <w:r>
        <w:t>What</w:t>
      </w:r>
      <w:r w:rsidRPr="00C64C69">
        <w:t xml:space="preserve"> fields</w:t>
      </w:r>
      <w:r>
        <w:t xml:space="preserve"> of study</w:t>
      </w:r>
      <w:r w:rsidRPr="00C64C69">
        <w:t xml:space="preserve"> do beginning postsecondary students </w:t>
      </w:r>
      <w:r>
        <w:t>pursue, and in which do they obtain degrees</w:t>
      </w:r>
      <w:r w:rsidRPr="00C64C69">
        <w:t>?</w:t>
      </w:r>
    </w:p>
    <w:p w:rsidR="001E5FAD" w:rsidRDefault="001E5FAD" w:rsidP="001E5FAD">
      <w:pPr>
        <w:pStyle w:val="Bullet1"/>
        <w:numPr>
          <w:ilvl w:val="0"/>
          <w:numId w:val="22"/>
        </w:numPr>
        <w:ind w:left="1440"/>
      </w:pPr>
      <w:r>
        <w:t>To what extent do students participate in online, night, and weekend courses and programs, and how does participation differ by demographic characteristics, type of institution attended, and field of study</w:t>
      </w:r>
      <w:r w:rsidRPr="00C64C69">
        <w:t>?</w:t>
      </w:r>
    </w:p>
    <w:p w:rsidR="001E5FAD" w:rsidRDefault="001E5FAD" w:rsidP="001E5FAD">
      <w:pPr>
        <w:pStyle w:val="Bullet1"/>
        <w:numPr>
          <w:ilvl w:val="0"/>
          <w:numId w:val="22"/>
        </w:numPr>
        <w:ind w:left="1440"/>
      </w:pPr>
      <w:r>
        <w:t>To what extent do students feel a sense of belonging at their institution and how is this related to their demographic characteristics and other enrollment characteristics and experiences? How is this sense of belonging related to academic and employment outcomes?</w:t>
      </w:r>
    </w:p>
    <w:p w:rsidR="001E5FAD" w:rsidRPr="00B57B6E" w:rsidRDefault="001E5FAD" w:rsidP="001E5FAD">
      <w:pPr>
        <w:pStyle w:val="Bullet1"/>
        <w:tabs>
          <w:tab w:val="clear" w:pos="720"/>
        </w:tabs>
        <w:ind w:left="720" w:firstLine="0"/>
        <w:rPr>
          <w:i/>
          <w:iCs/>
        </w:rPr>
      </w:pPr>
      <w:r w:rsidRPr="00B57B6E">
        <w:rPr>
          <w:i/>
          <w:iCs/>
        </w:rPr>
        <w:t>Employment During Enrollment</w:t>
      </w:r>
    </w:p>
    <w:p w:rsidR="001E5FAD" w:rsidRDefault="001E5FAD" w:rsidP="001E5FAD">
      <w:pPr>
        <w:pStyle w:val="Bullet1"/>
        <w:numPr>
          <w:ilvl w:val="0"/>
          <w:numId w:val="22"/>
        </w:numPr>
        <w:ind w:left="1440"/>
      </w:pPr>
      <w:r w:rsidRPr="00C64C69">
        <w:t>What percentage of students work while enrolled</w:t>
      </w:r>
      <w:r>
        <w:t>,</w:t>
      </w:r>
      <w:r w:rsidRPr="00C64C69">
        <w:t xml:space="preserve"> and of</w:t>
      </w:r>
      <w:r>
        <w:t xml:space="preserve"> them, what proportion have a job related to their field of study?</w:t>
      </w:r>
    </w:p>
    <w:p w:rsidR="001E5FAD" w:rsidRPr="007A1BE0" w:rsidRDefault="001E5FAD" w:rsidP="001E5FAD">
      <w:pPr>
        <w:pStyle w:val="Bullet1"/>
        <w:numPr>
          <w:ilvl w:val="0"/>
          <w:numId w:val="22"/>
        </w:numPr>
        <w:ind w:left="1440"/>
      </w:pPr>
      <w:r w:rsidRPr="007A1BE0">
        <w:t>Of those who work while enrolled, how far do they work from home and school, how many hours per week do they work, and how much do they earn?</w:t>
      </w:r>
    </w:p>
    <w:p w:rsidR="001E5FAD" w:rsidRPr="00B57B6E" w:rsidRDefault="001E5FAD" w:rsidP="001E5FAD">
      <w:pPr>
        <w:pStyle w:val="ListBullet22"/>
        <w:keepLines/>
        <w:rPr>
          <w:i/>
          <w:iCs/>
        </w:rPr>
      </w:pPr>
      <w:r w:rsidRPr="00B57B6E">
        <w:rPr>
          <w:i/>
          <w:iCs/>
        </w:rPr>
        <w:t>Financial Aid and Borrowing</w:t>
      </w:r>
    </w:p>
    <w:p w:rsidR="001E5FAD" w:rsidRPr="00C64C69" w:rsidRDefault="001E5FAD" w:rsidP="001E5FAD">
      <w:pPr>
        <w:pStyle w:val="Bullet1"/>
        <w:keepNext/>
        <w:keepLines/>
        <w:numPr>
          <w:ilvl w:val="0"/>
          <w:numId w:val="22"/>
        </w:numPr>
        <w:ind w:left="1440"/>
      </w:pPr>
      <w:r w:rsidRPr="00C64C69">
        <w:t xml:space="preserve">What types of financial support </w:t>
      </w:r>
      <w:r>
        <w:t>do</w:t>
      </w:r>
      <w:r w:rsidRPr="00C64C69">
        <w:t xml:space="preserve"> dependent beginning </w:t>
      </w:r>
      <w:r>
        <w:t>students receive</w:t>
      </w:r>
      <w:r w:rsidRPr="00C64C69">
        <w:t xml:space="preserve"> from their parents</w:t>
      </w:r>
      <w:r>
        <w:t xml:space="preserve"> when they begin their postsecondary education</w:t>
      </w:r>
      <w:r w:rsidRPr="00C64C69">
        <w:t>?</w:t>
      </w:r>
    </w:p>
    <w:p w:rsidR="001E5FAD" w:rsidRPr="00C64C69" w:rsidRDefault="001E5FAD" w:rsidP="001E5FAD">
      <w:pPr>
        <w:pStyle w:val="Bullet1"/>
        <w:keepNext/>
        <w:keepLines/>
        <w:numPr>
          <w:ilvl w:val="0"/>
          <w:numId w:val="22"/>
        </w:numPr>
        <w:ind w:left="1440"/>
      </w:pPr>
      <w:r w:rsidRPr="00C64C69">
        <w:t>What proportion of beginning postsecondary</w:t>
      </w:r>
      <w:r>
        <w:t xml:space="preserve"> students receives federal Pell Grants</w:t>
      </w:r>
      <w:r w:rsidRPr="00C64C69">
        <w:t>?</w:t>
      </w:r>
    </w:p>
    <w:p w:rsidR="001E5FAD" w:rsidRPr="00C64C69" w:rsidRDefault="001E5FAD" w:rsidP="001E5FAD">
      <w:pPr>
        <w:pStyle w:val="Bullet1"/>
        <w:numPr>
          <w:ilvl w:val="0"/>
          <w:numId w:val="22"/>
        </w:numPr>
        <w:ind w:left="1440"/>
      </w:pPr>
      <w:r w:rsidRPr="00C64C69">
        <w:t xml:space="preserve">What proportion of beginning postsecondary students </w:t>
      </w:r>
      <w:r>
        <w:t>receives</w:t>
      </w:r>
      <w:r w:rsidRPr="00C64C69">
        <w:t xml:space="preserve"> veterans </w:t>
      </w:r>
      <w:r>
        <w:t>or</w:t>
      </w:r>
      <w:r w:rsidRPr="00C64C69">
        <w:t xml:space="preserve"> other Department of Defense </w:t>
      </w:r>
      <w:r>
        <w:t xml:space="preserve">education </w:t>
      </w:r>
      <w:r w:rsidRPr="00C64C69">
        <w:t>benefits?</w:t>
      </w:r>
    </w:p>
    <w:p w:rsidR="001E5FAD" w:rsidRPr="00C64C69" w:rsidRDefault="001E5FAD" w:rsidP="001E5FAD">
      <w:pPr>
        <w:pStyle w:val="Bullet1"/>
        <w:numPr>
          <w:ilvl w:val="0"/>
          <w:numId w:val="22"/>
        </w:numPr>
        <w:ind w:left="1440"/>
      </w:pPr>
      <w:r>
        <w:t>How does the</w:t>
      </w:r>
      <w:r w:rsidRPr="00C64C69">
        <w:t xml:space="preserve"> percentage</w:t>
      </w:r>
      <w:r>
        <w:t xml:space="preserve"> of beginning students</w:t>
      </w:r>
      <w:r w:rsidRPr="00C64C69">
        <w:t xml:space="preserve"> </w:t>
      </w:r>
      <w:r>
        <w:t>taking out federal loans and the average amount</w:t>
      </w:r>
      <w:r w:rsidRPr="00C64C69">
        <w:t xml:space="preserve"> borrowed </w:t>
      </w:r>
      <w:r>
        <w:t>vary by demographic and enrollment characteristics?</w:t>
      </w:r>
    </w:p>
    <w:p w:rsidR="001E5FAD" w:rsidRPr="00C64C69" w:rsidRDefault="001E5FAD" w:rsidP="001E5FAD">
      <w:pPr>
        <w:pStyle w:val="Bullet1"/>
        <w:numPr>
          <w:ilvl w:val="0"/>
          <w:numId w:val="22"/>
        </w:numPr>
        <w:ind w:left="1440"/>
      </w:pPr>
      <w:r>
        <w:t>What is the amount of federal loan debt students acquire per credit earned and how does this differ by students’ demographic, high school preparation, and enrollment characteristics?</w:t>
      </w:r>
    </w:p>
    <w:p w:rsidR="001E5FAD" w:rsidRPr="00C64C69" w:rsidRDefault="001E5FAD" w:rsidP="001E5FAD">
      <w:pPr>
        <w:pStyle w:val="Bullet1"/>
        <w:numPr>
          <w:ilvl w:val="0"/>
          <w:numId w:val="22"/>
        </w:numPr>
        <w:ind w:left="1440"/>
      </w:pPr>
      <w:r w:rsidRPr="00C64C69">
        <w:t>What proportion of students borrow</w:t>
      </w:r>
      <w:r>
        <w:t>s</w:t>
      </w:r>
      <w:r w:rsidRPr="00C64C69">
        <w:t xml:space="preserve"> private loans, in what amount, and how does this borrowing vary by</w:t>
      </w:r>
      <w:r>
        <w:t xml:space="preserve"> demographic characteristics and</w:t>
      </w:r>
      <w:r w:rsidRPr="00C64C69">
        <w:t xml:space="preserve"> institution type?</w:t>
      </w:r>
    </w:p>
    <w:p w:rsidR="001E5FAD" w:rsidRPr="00300897" w:rsidRDefault="001E5FAD" w:rsidP="001E5FAD">
      <w:pPr>
        <w:pStyle w:val="Bullet1"/>
        <w:numPr>
          <w:ilvl w:val="0"/>
          <w:numId w:val="22"/>
        </w:numPr>
        <w:ind w:left="1440"/>
      </w:pPr>
      <w:r w:rsidRPr="00C64C69">
        <w:t>What is the average cumula</w:t>
      </w:r>
      <w:r>
        <w:t xml:space="preserve">tive debt of beginning students after 3 years and what factors are </w:t>
      </w:r>
      <w:r w:rsidRPr="00300897">
        <w:t>related to</w:t>
      </w:r>
      <w:r>
        <w:t xml:space="preserve"> the amount owed</w:t>
      </w:r>
      <w:r w:rsidRPr="00300897">
        <w:t>?</w:t>
      </w:r>
    </w:p>
    <w:p w:rsidR="001E5FAD" w:rsidRPr="007A1BE0" w:rsidRDefault="001E5FAD" w:rsidP="001E5FAD">
      <w:pPr>
        <w:pStyle w:val="Bullet1"/>
        <w:numPr>
          <w:ilvl w:val="0"/>
          <w:numId w:val="22"/>
        </w:numPr>
        <w:ind w:left="1440"/>
      </w:pPr>
      <w:r w:rsidRPr="007A1BE0">
        <w:lastRenderedPageBreak/>
        <w:t>What kinds of borrowers struggle in repayment and default on their student loans after 3 years?</w:t>
      </w:r>
    </w:p>
    <w:p w:rsidR="001E5FAD" w:rsidRPr="00A050A5" w:rsidRDefault="001E5FAD" w:rsidP="001E5FAD">
      <w:pPr>
        <w:pStyle w:val="Bullet1"/>
        <w:tabs>
          <w:tab w:val="clear" w:pos="720"/>
        </w:tabs>
        <w:ind w:left="720" w:firstLine="0"/>
        <w:rPr>
          <w:i/>
          <w:iCs/>
        </w:rPr>
      </w:pPr>
      <w:r w:rsidRPr="00A050A5">
        <w:rPr>
          <w:i/>
          <w:iCs/>
        </w:rPr>
        <w:t>Education and Career Expectations</w:t>
      </w:r>
    </w:p>
    <w:p w:rsidR="001E5FAD" w:rsidRDefault="001E5FAD" w:rsidP="001E5FAD">
      <w:pPr>
        <w:pStyle w:val="Bullet1"/>
        <w:numPr>
          <w:ilvl w:val="0"/>
          <w:numId w:val="22"/>
        </w:numPr>
        <w:ind w:left="1440"/>
      </w:pPr>
      <w:r>
        <w:t>What degrees or certificates do students expect to attain, when do they expect to complete them, and how confident are they in these expectations?</w:t>
      </w:r>
      <w:r w:rsidRPr="00C64C69">
        <w:t xml:space="preserve"> </w:t>
      </w:r>
    </w:p>
    <w:p w:rsidR="001E5FAD" w:rsidRDefault="001E5FAD" w:rsidP="001E5FAD">
      <w:pPr>
        <w:pStyle w:val="Bullet1"/>
        <w:numPr>
          <w:ilvl w:val="0"/>
          <w:numId w:val="22"/>
        </w:numPr>
        <w:ind w:left="1440"/>
      </w:pPr>
      <w:r>
        <w:t>How much support do beginning students receive from their families and friends in their pursuit of their educational goals?</w:t>
      </w:r>
    </w:p>
    <w:p w:rsidR="001E5FAD" w:rsidRPr="007A1BE0" w:rsidRDefault="001E5FAD" w:rsidP="001E5FAD">
      <w:pPr>
        <w:pStyle w:val="Bullet1"/>
        <w:numPr>
          <w:ilvl w:val="0"/>
          <w:numId w:val="22"/>
        </w:numPr>
        <w:ind w:left="1440"/>
      </w:pPr>
      <w:r w:rsidRPr="007A1BE0">
        <w:t>To what positions do beginning students aspire, and what do they think they will earn in these positions?</w:t>
      </w:r>
    </w:p>
    <w:p w:rsidR="001E5FAD" w:rsidRPr="007A1BE0" w:rsidRDefault="001E5FAD" w:rsidP="001E5FAD">
      <w:pPr>
        <w:pStyle w:val="Bullet1"/>
        <w:numPr>
          <w:ilvl w:val="0"/>
          <w:numId w:val="22"/>
        </w:numPr>
        <w:ind w:left="1440"/>
      </w:pPr>
      <w:r w:rsidRPr="007A1BE0">
        <w:t>How close are students’ predicted earnings to actual average earnings in their expected careers?</w:t>
      </w:r>
    </w:p>
    <w:p w:rsidR="001E5FAD" w:rsidRPr="007A1BE0" w:rsidRDefault="001E5FAD" w:rsidP="001E5FAD">
      <w:pPr>
        <w:pStyle w:val="Bullet1"/>
        <w:numPr>
          <w:ilvl w:val="0"/>
          <w:numId w:val="22"/>
        </w:numPr>
        <w:ind w:left="1440"/>
      </w:pPr>
      <w:r w:rsidRPr="007A1BE0">
        <w:t>What would beginning students do if they were not in school, and if they thought they would be working, what did they think they would be earning?</w:t>
      </w:r>
    </w:p>
    <w:p w:rsidR="001E5FAD" w:rsidRPr="001B518E" w:rsidRDefault="001E5FAD" w:rsidP="001E5FAD">
      <w:pPr>
        <w:pStyle w:val="Bullet1"/>
        <w:numPr>
          <w:ilvl w:val="0"/>
          <w:numId w:val="22"/>
        </w:numPr>
        <w:ind w:left="1440"/>
      </w:pPr>
      <w:r w:rsidRPr="007A1BE0">
        <w:t>What is students’ discount rate, or, phrased another way, how large a premium do beginning postsecondary students place on more immediate versus more remote</w:t>
      </w:r>
      <w:r>
        <w:t xml:space="preserve"> rewards?</w:t>
      </w:r>
    </w:p>
    <w:p w:rsidR="001E5FAD" w:rsidRPr="00A050A5" w:rsidRDefault="001E5FAD" w:rsidP="001E5FAD">
      <w:pPr>
        <w:pStyle w:val="Bullet1"/>
        <w:tabs>
          <w:tab w:val="clear" w:pos="720"/>
        </w:tabs>
        <w:ind w:left="720" w:firstLine="0"/>
        <w:rPr>
          <w:i/>
          <w:iCs/>
        </w:rPr>
      </w:pPr>
      <w:r w:rsidRPr="00A050A5">
        <w:rPr>
          <w:i/>
          <w:iCs/>
        </w:rPr>
        <w:t>Persistence</w:t>
      </w:r>
    </w:p>
    <w:p w:rsidR="001E5FAD" w:rsidRDefault="001E5FAD" w:rsidP="001E5FAD">
      <w:pPr>
        <w:pStyle w:val="Bullet1"/>
        <w:numPr>
          <w:ilvl w:val="0"/>
          <w:numId w:val="22"/>
        </w:numPr>
        <w:ind w:left="1440"/>
      </w:pPr>
      <w:r w:rsidRPr="00C64C69">
        <w:t>What percentage of students</w:t>
      </w:r>
      <w:r>
        <w:t xml:space="preserve"> continues their education beyond remedial coursework?</w:t>
      </w:r>
    </w:p>
    <w:p w:rsidR="001E5FAD" w:rsidRDefault="001E5FAD" w:rsidP="001E5FAD">
      <w:pPr>
        <w:pStyle w:val="Bullet1"/>
        <w:numPr>
          <w:ilvl w:val="0"/>
          <w:numId w:val="22"/>
        </w:numPr>
        <w:ind w:left="1440"/>
      </w:pPr>
      <w:r>
        <w:t>What proportion of beginning students are enrolled in their first institution and what proportion are enrolled at any institution 3 years after initially enrolling?</w:t>
      </w:r>
    </w:p>
    <w:p w:rsidR="001E5FAD" w:rsidRDefault="001E5FAD" w:rsidP="001E5FAD">
      <w:pPr>
        <w:pStyle w:val="Bullet1"/>
        <w:numPr>
          <w:ilvl w:val="0"/>
          <w:numId w:val="22"/>
        </w:numPr>
        <w:ind w:left="1440"/>
      </w:pPr>
      <w:r>
        <w:t>How frequently are students no longer enrolled anywhere after 3 years, and how long had such students been enrolled before they left?</w:t>
      </w:r>
    </w:p>
    <w:p w:rsidR="001E5FAD" w:rsidRPr="00BD3B0A" w:rsidRDefault="001E5FAD" w:rsidP="001E5FAD">
      <w:pPr>
        <w:pStyle w:val="Bullet1"/>
        <w:numPr>
          <w:ilvl w:val="0"/>
          <w:numId w:val="22"/>
        </w:numPr>
        <w:ind w:left="1440"/>
      </w:pPr>
      <w:r>
        <w:t xml:space="preserve">What is the rate at which students transfer between institutions, when do they transfer, and what are the most common transfer patterns in terms of the types of institutions left and </w:t>
      </w:r>
      <w:r w:rsidRPr="00BD3B0A">
        <w:t>entered?</w:t>
      </w:r>
    </w:p>
    <w:p w:rsidR="001E5FAD" w:rsidRPr="00BD3B0A" w:rsidRDefault="001E5FAD" w:rsidP="001E5FAD">
      <w:pPr>
        <w:pStyle w:val="Bullet1"/>
        <w:numPr>
          <w:ilvl w:val="0"/>
          <w:numId w:val="22"/>
        </w:numPr>
        <w:ind w:left="1440"/>
      </w:pPr>
      <w:r w:rsidRPr="00BD3B0A">
        <w:t>To what extent do students change their major from STEM to non-STEM fields, and vice versa?</w:t>
      </w:r>
    </w:p>
    <w:p w:rsidR="001E5FAD" w:rsidRPr="00BD3B0A" w:rsidRDefault="001E5FAD" w:rsidP="001E5FAD">
      <w:pPr>
        <w:pStyle w:val="Bullet1"/>
        <w:numPr>
          <w:ilvl w:val="0"/>
          <w:numId w:val="22"/>
        </w:numPr>
        <w:ind w:left="1440"/>
      </w:pPr>
      <w:r w:rsidRPr="00BD3B0A">
        <w:t>How do the above persistence questions differ by demographic characteristics, high school preparation, enrollment, employment during enrollment, financial aid and borrowing, and education and career expectations?</w:t>
      </w:r>
      <w:r>
        <w:t xml:space="preserve"> </w:t>
      </w:r>
      <w:r w:rsidRPr="00BD3B0A">
        <w:t xml:space="preserve">In particular, how </w:t>
      </w:r>
      <w:r>
        <w:t>are</w:t>
      </w:r>
      <w:r w:rsidRPr="00BD3B0A">
        <w:t xml:space="preserve"> high school preparation and institution type related to attainment?</w:t>
      </w:r>
    </w:p>
    <w:p w:rsidR="001E5FAD" w:rsidRPr="00A050A5" w:rsidRDefault="001E5FAD" w:rsidP="001E5FAD">
      <w:pPr>
        <w:pStyle w:val="Bullet1"/>
        <w:tabs>
          <w:tab w:val="clear" w:pos="720"/>
        </w:tabs>
        <w:ind w:left="720" w:firstLine="0"/>
        <w:rPr>
          <w:i/>
          <w:iCs/>
        </w:rPr>
      </w:pPr>
      <w:r w:rsidRPr="00A050A5">
        <w:rPr>
          <w:i/>
          <w:iCs/>
        </w:rPr>
        <w:t>Attainment</w:t>
      </w:r>
    </w:p>
    <w:p w:rsidR="001E5FAD" w:rsidRPr="00BD3B0A" w:rsidRDefault="001E5FAD" w:rsidP="001E5FAD">
      <w:pPr>
        <w:pStyle w:val="Bullet1"/>
        <w:numPr>
          <w:ilvl w:val="0"/>
          <w:numId w:val="22"/>
        </w:numPr>
        <w:ind w:left="1440"/>
      </w:pPr>
      <w:r>
        <w:t xml:space="preserve">What </w:t>
      </w:r>
      <w:r w:rsidRPr="00BD3B0A">
        <w:t xml:space="preserve">percentage of beginning students </w:t>
      </w:r>
      <w:r>
        <w:t>ear</w:t>
      </w:r>
      <w:r w:rsidRPr="00BD3B0A">
        <w:t xml:space="preserve">n a certificate or associate’s degree within </w:t>
      </w:r>
      <w:r>
        <w:t>3</w:t>
      </w:r>
      <w:r w:rsidRPr="00BD3B0A">
        <w:t xml:space="preserve"> years?</w:t>
      </w:r>
    </w:p>
    <w:p w:rsidR="001E5FAD" w:rsidRPr="007A1BE0" w:rsidRDefault="001E5FAD" w:rsidP="001E5FAD">
      <w:pPr>
        <w:pStyle w:val="Bullet1"/>
        <w:numPr>
          <w:ilvl w:val="0"/>
          <w:numId w:val="22"/>
        </w:numPr>
        <w:ind w:left="1440"/>
      </w:pPr>
      <w:r w:rsidRPr="007A1BE0">
        <w:t>How long does it take beginning students to earn these credentials?</w:t>
      </w:r>
    </w:p>
    <w:p w:rsidR="001E5FAD" w:rsidRPr="00BD3B0A" w:rsidRDefault="001E5FAD" w:rsidP="001E5FAD">
      <w:pPr>
        <w:pStyle w:val="Bullet1"/>
        <w:numPr>
          <w:ilvl w:val="0"/>
          <w:numId w:val="22"/>
        </w:numPr>
        <w:ind w:left="1440"/>
        <w:rPr>
          <w:rStyle w:val="CommentReference"/>
        </w:rPr>
      </w:pPr>
      <w:r w:rsidRPr="00BD3B0A">
        <w:t>To what extent are demographic characteristics, high school preparation, enrollment, employment during enrollment, financial aid and borrowing characteristics, and education and career expectations linked to attainment and time to attainment?</w:t>
      </w:r>
      <w:r>
        <w:t xml:space="preserve"> </w:t>
      </w:r>
      <w:r w:rsidRPr="00BD3B0A">
        <w:t xml:space="preserve">In particular, how </w:t>
      </w:r>
      <w:r>
        <w:t>are</w:t>
      </w:r>
      <w:r w:rsidRPr="00BD3B0A">
        <w:t xml:space="preserve"> institution type, transfer patterns, and debt related to attainment?</w:t>
      </w:r>
    </w:p>
    <w:p w:rsidR="001E5FAD" w:rsidRPr="00FE2DB8" w:rsidRDefault="00E92D86" w:rsidP="001E5FAD">
      <w:pPr>
        <w:pStyle w:val="Bullet1"/>
        <w:tabs>
          <w:tab w:val="clear" w:pos="720"/>
        </w:tabs>
        <w:ind w:left="720" w:firstLine="0"/>
        <w:rPr>
          <w:rStyle w:val="CommentReference"/>
          <w:i/>
          <w:iCs/>
          <w:sz w:val="24"/>
          <w:szCs w:val="24"/>
        </w:rPr>
      </w:pPr>
      <w:r>
        <w:rPr>
          <w:rStyle w:val="CommentReference"/>
          <w:i/>
          <w:iCs/>
          <w:sz w:val="24"/>
          <w:szCs w:val="24"/>
        </w:rPr>
        <w:t>Employment Outcomes a</w:t>
      </w:r>
      <w:r w:rsidR="001E5FAD" w:rsidRPr="00FE2DB8">
        <w:rPr>
          <w:rStyle w:val="CommentReference"/>
          <w:i/>
          <w:iCs/>
          <w:sz w:val="24"/>
          <w:szCs w:val="24"/>
        </w:rPr>
        <w:t>fter Leaving Postsecondary Education</w:t>
      </w:r>
    </w:p>
    <w:p w:rsidR="001E5FAD" w:rsidRDefault="001E5FAD" w:rsidP="001E5FAD">
      <w:pPr>
        <w:pStyle w:val="Bullet1"/>
        <w:numPr>
          <w:ilvl w:val="0"/>
          <w:numId w:val="22"/>
        </w:numPr>
        <w:ind w:left="1440"/>
      </w:pPr>
      <w:r>
        <w:lastRenderedPageBreak/>
        <w:t>What percentage of beginning students who have left postsecondary education experience unemployment spells, are currently unemployed, are employed less than full time, or are not looking for work?</w:t>
      </w:r>
    </w:p>
    <w:p w:rsidR="001E5FAD" w:rsidRDefault="001E5FAD" w:rsidP="001E5FAD">
      <w:pPr>
        <w:pStyle w:val="Bullet1"/>
        <w:numPr>
          <w:ilvl w:val="0"/>
          <w:numId w:val="22"/>
        </w:numPr>
        <w:ind w:left="1440"/>
      </w:pPr>
      <w:r>
        <w:t>How much do beginning students who have left postsecondary education earn, and what benefits do they receive?</w:t>
      </w:r>
    </w:p>
    <w:p w:rsidR="00835640" w:rsidRPr="00835640" w:rsidRDefault="00835640" w:rsidP="00835640">
      <w:pPr>
        <w:pStyle w:val="Bullet1"/>
        <w:numPr>
          <w:ilvl w:val="0"/>
          <w:numId w:val="22"/>
        </w:numPr>
        <w:ind w:left="1440"/>
      </w:pPr>
      <w:r w:rsidRPr="00835640">
        <w:t>How many certificate attainers continue their education and attain a degree? Are their certificates and degrees in related fields of study? What are their employment outcomes?</w:t>
      </w:r>
    </w:p>
    <w:p w:rsidR="00835640" w:rsidRPr="00835640" w:rsidRDefault="00835640" w:rsidP="00835640">
      <w:pPr>
        <w:pStyle w:val="Bullet1"/>
        <w:numPr>
          <w:ilvl w:val="0"/>
          <w:numId w:val="22"/>
        </w:numPr>
        <w:ind w:left="1440"/>
      </w:pPr>
      <w:r w:rsidRPr="00835640">
        <w:t>What percentage of certificate attainers are employed in their field of study? How do their employment outcomes compare to those who are not employed in their field of study?</w:t>
      </w:r>
    </w:p>
    <w:p w:rsidR="001E5FAD" w:rsidRDefault="001E5FAD" w:rsidP="001E5FAD">
      <w:pPr>
        <w:pStyle w:val="Bullet1"/>
        <w:numPr>
          <w:ilvl w:val="0"/>
          <w:numId w:val="22"/>
        </w:numPr>
        <w:ind w:left="1440"/>
      </w:pPr>
      <w:r>
        <w:t>In what occupations and industries are these students employed, and do their occupations and industries align with their field of study?</w:t>
      </w:r>
    </w:p>
    <w:p w:rsidR="001E5FAD" w:rsidRDefault="001E5FAD" w:rsidP="001E5FAD">
      <w:pPr>
        <w:pStyle w:val="Bullet1"/>
        <w:numPr>
          <w:ilvl w:val="0"/>
          <w:numId w:val="22"/>
        </w:numPr>
        <w:ind w:left="1440"/>
      </w:pPr>
      <w:r>
        <w:t>Among beginning postsecondary students who did not enter postsecondary education directly from high school and who left postsecondary education within 3 years, to what extent does their employment before and after postsecondary education differ?</w:t>
      </w:r>
    </w:p>
    <w:p w:rsidR="001E5FAD" w:rsidRPr="00C861F7" w:rsidRDefault="001E5FAD" w:rsidP="00C861F7">
      <w:pPr>
        <w:pStyle w:val="Bullet1"/>
        <w:numPr>
          <w:ilvl w:val="0"/>
          <w:numId w:val="22"/>
        </w:numPr>
        <w:ind w:left="1440"/>
        <w:rPr>
          <w:sz w:val="16"/>
          <w:szCs w:val="16"/>
        </w:rPr>
      </w:pPr>
      <w:r>
        <w:t>How do the answers to this set of questions differ by demographic characteristics, high school preparation, enrollment, employment during enrollment, financial aid and borrowing, and education and career expectations as well as persistence and attainment</w:t>
      </w:r>
      <w:r w:rsidRPr="00FD7089">
        <w:t>?</w:t>
      </w:r>
    </w:p>
    <w:p w:rsidR="001E5FAD" w:rsidRPr="00C97DAC" w:rsidRDefault="001E5FAD" w:rsidP="000E2691">
      <w:pPr>
        <w:ind w:firstLine="720"/>
        <w:rPr>
          <w:color w:val="000000" w:themeColor="text1"/>
        </w:rPr>
      </w:pPr>
      <w:r w:rsidRPr="00C64C69">
        <w:t xml:space="preserve">Answers to these and other questions are vital if policymakers at the local, state, and national levels are to respond adequately to the changing environment of postsecondary </w:t>
      </w:r>
      <w:r w:rsidRPr="00C97DAC">
        <w:rPr>
          <w:color w:val="000000" w:themeColor="text1"/>
        </w:rPr>
        <w:t xml:space="preserve">education. </w:t>
      </w:r>
    </w:p>
    <w:p w:rsidR="008F25B1" w:rsidRPr="002477DC" w:rsidRDefault="008F25B1" w:rsidP="00241C35">
      <w:pPr>
        <w:pStyle w:val="Heading3"/>
        <w:numPr>
          <w:ilvl w:val="2"/>
          <w:numId w:val="16"/>
        </w:numPr>
        <w:tabs>
          <w:tab w:val="clear" w:pos="1620"/>
        </w:tabs>
        <w:rPr>
          <w:rStyle w:val="SubtleEmphasis"/>
          <w:rFonts w:cs="Arial"/>
          <w:i w:val="0"/>
          <w:iCs w:val="0"/>
          <w:color w:val="auto"/>
        </w:rPr>
      </w:pPr>
      <w:bookmarkStart w:id="14" w:name="_Toc337878555"/>
      <w:r w:rsidRPr="002477DC">
        <w:t>Previous Agency Use of the Data</w:t>
      </w:r>
      <w:bookmarkEnd w:id="14"/>
    </w:p>
    <w:p w:rsidR="0061799E" w:rsidRPr="002477DC" w:rsidRDefault="002477DC" w:rsidP="00DC73F4">
      <w:pPr>
        <w:pStyle w:val="BodyText"/>
      </w:pPr>
      <w:r w:rsidRPr="002477DC">
        <w:t xml:space="preserve">NCES has used data from the previous cycles of BPS in a variety of publications, including First Look reports and Web Tables, which can be found in Appendix </w:t>
      </w:r>
      <w:r w:rsidR="00B512DF">
        <w:t>D</w:t>
      </w:r>
      <w:r w:rsidRPr="002477DC">
        <w:t>, a bibliography of publications using BPS data.  NCES also makes the BPS data collected available for use by researchers via both restricted-use data files and public-use data tools</w:t>
      </w:r>
      <w:r w:rsidR="00380AA0">
        <w:t>,</w:t>
      </w:r>
      <w:r w:rsidRPr="002477DC">
        <w:t xml:space="preserve"> PowerStats and QuickStats.</w:t>
      </w:r>
      <w:r>
        <w:t xml:space="preserve"> </w:t>
      </w:r>
      <w:r w:rsidR="000E2691">
        <w:t xml:space="preserve">Appendix </w:t>
      </w:r>
      <w:r w:rsidR="00B512DF">
        <w:t>D</w:t>
      </w:r>
      <w:r w:rsidR="004914C7">
        <w:t xml:space="preserve"> also</w:t>
      </w:r>
      <w:r w:rsidR="000E2691">
        <w:t xml:space="preserve"> displays peer-review journal publications prepared by researchers using these data.  </w:t>
      </w:r>
    </w:p>
    <w:p w:rsidR="00C33221" w:rsidRDefault="00C33221" w:rsidP="00241C35">
      <w:pPr>
        <w:pStyle w:val="Heading2"/>
        <w:numPr>
          <w:ilvl w:val="1"/>
          <w:numId w:val="16"/>
        </w:numPr>
        <w:spacing w:line="320" w:lineRule="atLeast"/>
        <w:ind w:left="1080" w:hanging="540"/>
      </w:pPr>
      <w:bookmarkStart w:id="15" w:name="_Toc174182796"/>
      <w:bookmarkStart w:id="16" w:name="_Toc174182866"/>
      <w:bookmarkStart w:id="17" w:name="_Toc174182952"/>
      <w:bookmarkStart w:id="18" w:name="_Toc174183070"/>
      <w:bookmarkStart w:id="19" w:name="_Toc174183319"/>
      <w:bookmarkStart w:id="20" w:name="_Toc174183381"/>
      <w:bookmarkStart w:id="21" w:name="_Toc281389125"/>
      <w:bookmarkStart w:id="22" w:name="_Toc281391793"/>
      <w:bookmarkStart w:id="23" w:name="_Toc281392118"/>
      <w:bookmarkStart w:id="24" w:name="_Toc281400580"/>
      <w:bookmarkStart w:id="25" w:name="_Toc281402633"/>
      <w:bookmarkStart w:id="26" w:name="_Toc281405329"/>
      <w:bookmarkStart w:id="27" w:name="_Toc281389126"/>
      <w:bookmarkStart w:id="28" w:name="_Toc281391794"/>
      <w:bookmarkStart w:id="29" w:name="_Toc281392119"/>
      <w:bookmarkStart w:id="30" w:name="_Toc281400581"/>
      <w:bookmarkStart w:id="31" w:name="_Toc281402634"/>
      <w:bookmarkStart w:id="32" w:name="_Toc281405330"/>
      <w:bookmarkStart w:id="33" w:name="_Toc281389127"/>
      <w:bookmarkStart w:id="34" w:name="_Toc281391795"/>
      <w:bookmarkStart w:id="35" w:name="_Toc281392120"/>
      <w:bookmarkStart w:id="36" w:name="_Toc281400582"/>
      <w:bookmarkStart w:id="37" w:name="_Toc281402635"/>
      <w:bookmarkStart w:id="38" w:name="_Toc281405331"/>
      <w:bookmarkStart w:id="39" w:name="_Toc281389128"/>
      <w:bookmarkStart w:id="40" w:name="_Toc281391796"/>
      <w:bookmarkStart w:id="41" w:name="_Toc281392121"/>
      <w:bookmarkStart w:id="42" w:name="_Toc281400583"/>
      <w:bookmarkStart w:id="43" w:name="_Toc281402636"/>
      <w:bookmarkStart w:id="44" w:name="_Toc281405332"/>
      <w:bookmarkStart w:id="45" w:name="_Toc174182799"/>
      <w:bookmarkStart w:id="46" w:name="_Toc174182869"/>
      <w:bookmarkStart w:id="47" w:name="_Toc174182955"/>
      <w:bookmarkStart w:id="48" w:name="_Toc174183073"/>
      <w:bookmarkStart w:id="49" w:name="_Toc174183322"/>
      <w:bookmarkStart w:id="50" w:name="_Toc174183384"/>
      <w:bookmarkStart w:id="51" w:name="_Toc174182800"/>
      <w:bookmarkStart w:id="52" w:name="_Toc174182870"/>
      <w:bookmarkStart w:id="53" w:name="_Toc174182956"/>
      <w:bookmarkStart w:id="54" w:name="_Toc174183074"/>
      <w:bookmarkStart w:id="55" w:name="_Toc174183323"/>
      <w:bookmarkStart w:id="56" w:name="_Toc174183385"/>
      <w:bookmarkStart w:id="57" w:name="_Toc174182801"/>
      <w:bookmarkStart w:id="58" w:name="_Toc174182871"/>
      <w:bookmarkStart w:id="59" w:name="_Toc174182957"/>
      <w:bookmarkStart w:id="60" w:name="_Toc174183075"/>
      <w:bookmarkStart w:id="61" w:name="_Toc174183324"/>
      <w:bookmarkStart w:id="62" w:name="_Toc174183386"/>
      <w:bookmarkStart w:id="63" w:name="_Toc281389129"/>
      <w:bookmarkStart w:id="64" w:name="_Toc281391797"/>
      <w:bookmarkStart w:id="65" w:name="_Toc281392122"/>
      <w:bookmarkStart w:id="66" w:name="_Toc281400584"/>
      <w:bookmarkStart w:id="67" w:name="_Toc281402637"/>
      <w:bookmarkStart w:id="68" w:name="_Toc281405333"/>
      <w:bookmarkStart w:id="69" w:name="_Toc33787855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C26EF">
        <w:t>Use of Information Technology</w:t>
      </w:r>
      <w:bookmarkEnd w:id="69"/>
    </w:p>
    <w:p w:rsidR="00C9560A" w:rsidRDefault="00C33221" w:rsidP="00080003">
      <w:pPr>
        <w:pStyle w:val="BodyText"/>
        <w:tabs>
          <w:tab w:val="left" w:pos="3420"/>
        </w:tabs>
      </w:pPr>
      <w:r w:rsidRPr="009248FB">
        <w:t xml:space="preserve">To improve the efficiency of student data collection, </w:t>
      </w:r>
      <w:r w:rsidR="004F6620">
        <w:t>BPS</w:t>
      </w:r>
      <w:r w:rsidR="004E5D38">
        <w:t>:12/14</w:t>
      </w:r>
      <w:r w:rsidRPr="009248FB">
        <w:t xml:space="preserve"> will use web-based student interviewing. The modes of data </w:t>
      </w:r>
      <w:r w:rsidRPr="00225468">
        <w:t>collection will be web-based</w:t>
      </w:r>
      <w:r w:rsidR="00380AA0" w:rsidRPr="00225468">
        <w:t>,</w:t>
      </w:r>
      <w:r w:rsidRPr="00225468">
        <w:t xml:space="preserve"> self-administered surveys and computer-assisted telephone interviewing (CATI). </w:t>
      </w:r>
      <w:r w:rsidR="00EF2FDF" w:rsidRPr="00225468">
        <w:t xml:space="preserve">In the NPSAS:12 field test, </w:t>
      </w:r>
      <w:r w:rsidR="00225468">
        <w:t>78.5</w:t>
      </w:r>
      <w:r w:rsidR="00080003">
        <w:t xml:space="preserve"> percent </w:t>
      </w:r>
      <w:r w:rsidR="00EF2FDF" w:rsidRPr="00225468">
        <w:t>of interviews were completed online.</w:t>
      </w:r>
      <w:r w:rsidR="00C9560A" w:rsidRPr="00225468">
        <w:t xml:space="preserve">  </w:t>
      </w:r>
    </w:p>
    <w:p w:rsidR="002477DC" w:rsidRDefault="00EF2FDF" w:rsidP="000E2691">
      <w:pPr>
        <w:pStyle w:val="BodyText"/>
        <w:tabs>
          <w:tab w:val="left" w:pos="3420"/>
        </w:tabs>
      </w:pPr>
      <w:r w:rsidRPr="00EF2FDF">
        <w:t>The financial aid record collection</w:t>
      </w:r>
      <w:r w:rsidR="00BA3595">
        <w:t>, if funded as part of the BPS:12/14 full-scale study,</w:t>
      </w:r>
      <w:r w:rsidRPr="00EF2FDF">
        <w:t xml:space="preserve"> will use the same web-based system designed for the ELS:2002 FAFS.</w:t>
      </w:r>
      <w:r w:rsidR="00C9560A" w:rsidRPr="00C9560A">
        <w:t xml:space="preserve"> </w:t>
      </w:r>
      <w:r w:rsidR="00C9560A" w:rsidRPr="00DB0068">
        <w:t xml:space="preserve">Wherever possible, improved </w:t>
      </w:r>
      <w:r w:rsidR="00C9560A" w:rsidRPr="001F350C">
        <w:rPr>
          <w:rStyle w:val="bodyChar"/>
        </w:rPr>
        <w:t xml:space="preserve">information technology will be used to ensure the most accurate, high quality, and least burdensome institution data collection. </w:t>
      </w:r>
      <w:r w:rsidR="00C9560A">
        <w:rPr>
          <w:rStyle w:val="bodyChar"/>
        </w:rPr>
        <w:t xml:space="preserve"> </w:t>
      </w:r>
      <w:r w:rsidR="00C9560A" w:rsidRPr="00DB0068">
        <w:t>Similar to what is currently being used on NPSAS:12, multiple options will be offered to an institution for providing student data, including: (1) uploading electronic (.csv) files to the project’s secure web site; (2) downloading an Excel workbook from the project’s web site, then uploading the completed file to the site;</w:t>
      </w:r>
      <w:r w:rsidR="00C9560A">
        <w:t xml:space="preserve"> and</w:t>
      </w:r>
      <w:r w:rsidR="00C9560A" w:rsidRPr="00DB0068">
        <w:t xml:space="preserve"> (3) use of a web-based data entry interface. This web-based interface was recently redesigned to allow users to enter data in the manner most convenient for them.</w:t>
      </w:r>
      <w:r w:rsidR="00C9560A">
        <w:t xml:space="preserve">  </w:t>
      </w:r>
    </w:p>
    <w:p w:rsidR="00C33221" w:rsidRPr="000E2691" w:rsidRDefault="00C9560A" w:rsidP="000E2691">
      <w:pPr>
        <w:pStyle w:val="BodyText"/>
        <w:tabs>
          <w:tab w:val="left" w:pos="3420"/>
        </w:tabs>
      </w:pPr>
      <w:r>
        <w:lastRenderedPageBreak/>
        <w:t>In addition, a</w:t>
      </w:r>
      <w:r w:rsidRPr="00DB0068">
        <w:t>n online video tutorial will be available to show users exactly how to navigate through the application</w:t>
      </w:r>
      <w:r>
        <w:t xml:space="preserve"> and</w:t>
      </w:r>
      <w:r w:rsidRPr="00DB0068">
        <w:t xml:space="preserve"> help screens will provide users with more in-depth explanations of the required items. The web-based application will allow error checking to be performed immediately by institution staff. An important feature of the online application is that different institution staff can complete portions of the required data entry and can complete the data entry in multiple sessions. These features reduce user burden while ensuring that the most accurate data are collected. </w:t>
      </w:r>
    </w:p>
    <w:p w:rsidR="00C33221" w:rsidRDefault="00C33221" w:rsidP="00241C35">
      <w:pPr>
        <w:pStyle w:val="Heading2"/>
        <w:numPr>
          <w:ilvl w:val="1"/>
          <w:numId w:val="16"/>
        </w:numPr>
        <w:spacing w:line="320" w:lineRule="atLeast"/>
        <w:ind w:left="1080" w:hanging="540"/>
        <w:rPr>
          <w:caps/>
        </w:rPr>
      </w:pPr>
      <w:bookmarkStart w:id="70" w:name="_Toc281516515"/>
      <w:bookmarkStart w:id="71" w:name="_Toc281389133"/>
      <w:bookmarkStart w:id="72" w:name="_Toc281391801"/>
      <w:bookmarkStart w:id="73" w:name="_Toc281392126"/>
      <w:bookmarkStart w:id="74" w:name="_Toc281400588"/>
      <w:bookmarkStart w:id="75" w:name="_Toc281402641"/>
      <w:bookmarkStart w:id="76" w:name="_Toc281405337"/>
      <w:bookmarkStart w:id="77" w:name="_Toc281516517"/>
      <w:bookmarkStart w:id="78" w:name="_Toc337878557"/>
      <w:bookmarkEnd w:id="70"/>
      <w:bookmarkEnd w:id="71"/>
      <w:bookmarkEnd w:id="72"/>
      <w:bookmarkEnd w:id="73"/>
      <w:bookmarkEnd w:id="74"/>
      <w:bookmarkEnd w:id="75"/>
      <w:bookmarkEnd w:id="76"/>
      <w:bookmarkEnd w:id="77"/>
      <w:r w:rsidRPr="005C26EF">
        <w:t>Efforts to Identify Duplication</w:t>
      </w:r>
      <w:bookmarkEnd w:id="78"/>
    </w:p>
    <w:p w:rsidR="00132EC8" w:rsidRDefault="00132EC8" w:rsidP="00A36327">
      <w:pPr>
        <w:pStyle w:val="BodyText"/>
        <w:ind w:firstLine="540"/>
      </w:pPr>
      <w:r>
        <w:t xml:space="preserve">Efforts to identify duplication have included </w:t>
      </w:r>
      <w:r w:rsidR="00C33221" w:rsidRPr="005C26EF">
        <w:t>NCES consult</w:t>
      </w:r>
      <w:r>
        <w:t>ations with</w:t>
      </w:r>
      <w:r w:rsidR="00C33221" w:rsidRPr="005C26EF">
        <w:t xml:space="preserve"> </w:t>
      </w:r>
      <w:r>
        <w:t>other federal offices, such as ED’s Office of Postsecondary Education, the Office of Planning, Evaluation and Policy Development, the Congressional Budget Office, and the Office of Management and Budget.  NCES also</w:t>
      </w:r>
      <w:r w:rsidR="000D2537">
        <w:t xml:space="preserve"> routinely consults</w:t>
      </w:r>
      <w:r>
        <w:t xml:space="preserve"> with non-federal associations </w:t>
      </w:r>
      <w:r w:rsidR="000D2537">
        <w:t xml:space="preserve">such as the National Science Foundation, </w:t>
      </w:r>
      <w:r w:rsidR="000D2537" w:rsidRPr="005C26EF">
        <w:t>the American Council on Education,</w:t>
      </w:r>
      <w:r w:rsidR="000D2537">
        <w:t xml:space="preserve"> the Career College Association, </w:t>
      </w:r>
      <w:r w:rsidR="000D2537" w:rsidRPr="005C26EF">
        <w:t xml:space="preserve">the National Association of Independent Colleges and Universities, </w:t>
      </w:r>
      <w:r w:rsidR="000D2537">
        <w:t xml:space="preserve">and </w:t>
      </w:r>
      <w:r w:rsidR="000D2537" w:rsidRPr="005C26EF">
        <w:t>the Institu</w:t>
      </w:r>
      <w:r w:rsidR="000D2537">
        <w:t xml:space="preserve">te for Higher Education Policy to </w:t>
      </w:r>
      <w:r w:rsidR="000D2537" w:rsidRPr="005C26EF">
        <w:t xml:space="preserve">confirm that the data to be collected </w:t>
      </w:r>
      <w:r w:rsidR="000D2537">
        <w:t xml:space="preserve">for the </w:t>
      </w:r>
      <w:r w:rsidR="00AD0FA8">
        <w:t xml:space="preserve">BPS longitudinal </w:t>
      </w:r>
      <w:r w:rsidR="000D2537">
        <w:t xml:space="preserve">study </w:t>
      </w:r>
      <w:r w:rsidR="000D2537" w:rsidRPr="005C26EF">
        <w:t>are not available from any other sources</w:t>
      </w:r>
      <w:r w:rsidR="000D2537">
        <w:t xml:space="preserve">. </w:t>
      </w:r>
      <w:r w:rsidR="00E123B8">
        <w:t xml:space="preserve">Academic researchers are also consulted, with several attending Technical Review Panel meetings along with representatives from federal agencies, associations, and academics.  Beyond identification of duplication, </w:t>
      </w:r>
      <w:r w:rsidR="000D2537">
        <w:t>these consultations provide methodological insights from the results of other longitudinal postsecondary student studies conducted by NCES and other federal agencies and nonfederal sources, and the consultations assure that the data collected through B</w:t>
      </w:r>
      <w:r w:rsidR="00E123B8">
        <w:t>PS</w:t>
      </w:r>
      <w:r w:rsidR="000D2537">
        <w:t xml:space="preserve"> will meet the needs of the federal government and other relevant organizations.</w:t>
      </w:r>
      <w:r w:rsidR="005273F1">
        <w:t xml:space="preserve">  There are no other studies in the U.S that duplicate the data produced by BPS.</w:t>
      </w:r>
    </w:p>
    <w:p w:rsidR="005273F1" w:rsidRDefault="005273F1" w:rsidP="005273F1">
      <w:pPr>
        <w:pStyle w:val="BodyText"/>
      </w:pPr>
      <w:bookmarkStart w:id="79" w:name="_Toc90871555"/>
      <w:bookmarkStart w:id="80" w:name="_Toc268594008"/>
      <w:r>
        <w:t>BPS is one of several studies sponsored by the U.S. Department of Education to respond to the need for a national, comprehensive database concerning significant issues in access, choice, enrollment, persistence, progress, and attainment in undergraduate postsecondary education, in graduate and professional school access, and in post-enrollment experiences. The base for this information system is the National Postsecondary Student Aid Study (NPSAS), a recurring survey of a nationally representative, cross-sectional sample of postsecondary students. The NPSAS surveys have been implemented every 3 to 4 years since 1986–87 and serve as the base study for longitudinal cohort follow-ups, including BPS:12/14, which is the focus of this submission.</w:t>
      </w:r>
    </w:p>
    <w:p w:rsidR="005273F1" w:rsidRPr="00C64C69" w:rsidRDefault="005273F1" w:rsidP="00EB7582">
      <w:pPr>
        <w:pStyle w:val="BodyText"/>
      </w:pPr>
      <w:r w:rsidRPr="00C64C69">
        <w:t xml:space="preserve">There are three </w:t>
      </w:r>
      <w:r>
        <w:t>previous</w:t>
      </w:r>
      <w:r w:rsidRPr="00C64C69">
        <w:t xml:space="preserve"> cohorts of the Beginning Postsecondary Students</w:t>
      </w:r>
      <w:r w:rsidRPr="00C64C69">
        <w:rPr>
          <w:i/>
          <w:iCs/>
        </w:rPr>
        <w:t xml:space="preserve"> </w:t>
      </w:r>
      <w:r w:rsidRPr="00C64C69">
        <w:t>(BPS) Longitudinal Study: BP</w:t>
      </w:r>
      <w:r>
        <w:t xml:space="preserve">S:90, BPS:96, and BPS:04. The </w:t>
      </w:r>
      <w:r w:rsidRPr="00C64C69">
        <w:t xml:space="preserve">BPS:12 </w:t>
      </w:r>
      <w:r>
        <w:t xml:space="preserve">cohort is being identified </w:t>
      </w:r>
      <w:r w:rsidRPr="00C64C69">
        <w:t xml:space="preserve">from NPSAS:12 just as </w:t>
      </w:r>
      <w:r>
        <w:t xml:space="preserve">the </w:t>
      </w:r>
      <w:r w:rsidRPr="00C64C69">
        <w:t xml:space="preserve">previous BPS </w:t>
      </w:r>
      <w:r>
        <w:t xml:space="preserve">cohorts, </w:t>
      </w:r>
      <w:r w:rsidRPr="00C64C69">
        <w:t xml:space="preserve">and </w:t>
      </w:r>
      <w:r>
        <w:t xml:space="preserve">the </w:t>
      </w:r>
      <w:r w:rsidRPr="00C64C69">
        <w:t>Baccal</w:t>
      </w:r>
      <w:r>
        <w:t>aureate and Beyond (B&amp;B) study cohorts,</w:t>
      </w:r>
      <w:r w:rsidRPr="00C64C69">
        <w:t xml:space="preserve"> have </w:t>
      </w:r>
      <w:r>
        <w:t>originated</w:t>
      </w:r>
      <w:r w:rsidRPr="00C64C69">
        <w:t xml:space="preserve"> from prior NPSAS studies. </w:t>
      </w:r>
      <w:r w:rsidR="00A36327">
        <w:t xml:space="preserve">Unlike BPS, which follows a cohort of first time beginning students at institutions </w:t>
      </w:r>
      <w:r w:rsidR="004F305A">
        <w:t xml:space="preserve">at all </w:t>
      </w:r>
      <w:r w:rsidR="00A36327">
        <w:t>levels</w:t>
      </w:r>
      <w:r w:rsidR="004F305A">
        <w:t xml:space="preserve"> of postsecondary education</w:t>
      </w:r>
      <w:r w:rsidR="00A36327">
        <w:t xml:space="preserve">, B&amp;B </w:t>
      </w:r>
      <w:r w:rsidR="004F305A">
        <w:t xml:space="preserve">follows a </w:t>
      </w:r>
      <w:r w:rsidR="00A36327">
        <w:t xml:space="preserve">cohort </w:t>
      </w:r>
      <w:r w:rsidR="004F305A">
        <w:t xml:space="preserve">of </w:t>
      </w:r>
      <w:r w:rsidR="00A36327">
        <w:t>baccalaureate</w:t>
      </w:r>
      <w:r w:rsidR="006F43A0">
        <w:t xml:space="preserve"> recipients at institutions awarding 4-year degrees and above. </w:t>
      </w:r>
      <w:r w:rsidR="00A36327">
        <w:t xml:space="preserve"> </w:t>
      </w:r>
      <w:r w:rsidR="00EB7582">
        <w:t>A</w:t>
      </w:r>
      <w:r w:rsidR="006F43A0">
        <w:t xml:space="preserve">s the B&amp;B cohort is </w:t>
      </w:r>
      <w:r w:rsidR="004F305A">
        <w:t xml:space="preserve">necessarily </w:t>
      </w:r>
      <w:r w:rsidR="006F43A0">
        <w:t xml:space="preserve">made up of degree recipients, persistence in undergraduate education is not an emphasis in B&amp;B, as it is in BPS. </w:t>
      </w:r>
      <w:r w:rsidR="00EF65E8">
        <w:t xml:space="preserve"> Additionally, </w:t>
      </w:r>
      <w:r w:rsidR="006F43A0">
        <w:t xml:space="preserve">B&amp;B places a special emphasis on the experiences of new elementary and secondary teachers. </w:t>
      </w:r>
      <w:r w:rsidRPr="00C64C69">
        <w:t>The chronology of the previous administrations of the NPSAS study and its associated</w:t>
      </w:r>
      <w:r>
        <w:t xml:space="preserve"> BPS and B&amp;B</w:t>
      </w:r>
      <w:r w:rsidRPr="00C64C69">
        <w:t xml:space="preserve"> longitudinal components are presented in table 1.</w:t>
      </w:r>
      <w:r w:rsidR="00A36327">
        <w:t xml:space="preserve"> </w:t>
      </w:r>
    </w:p>
    <w:p w:rsidR="00241C35" w:rsidRDefault="00241C35" w:rsidP="00241C35">
      <w:pPr>
        <w:spacing w:before="120" w:after="120" w:line="320" w:lineRule="atLeast"/>
        <w:ind w:firstLine="720"/>
      </w:pPr>
      <w:bookmarkStart w:id="81" w:name="OLE_LINK2"/>
      <w:r>
        <w:t xml:space="preserve">Furthermore, there have been a number of related studies to BPS.  For example, NCES has conducted high school cohort studies, such as </w:t>
      </w:r>
      <w:r w:rsidRPr="002B4553">
        <w:rPr>
          <w:i/>
          <w:iCs/>
        </w:rPr>
        <w:t>High School and Beyond</w:t>
      </w:r>
      <w:r>
        <w:t xml:space="preserve"> (HS&amp;B), the </w:t>
      </w:r>
      <w:r w:rsidRPr="002B4553">
        <w:rPr>
          <w:i/>
          <w:iCs/>
        </w:rPr>
        <w:t xml:space="preserve">National </w:t>
      </w:r>
      <w:r w:rsidRPr="002B4553">
        <w:rPr>
          <w:i/>
          <w:iCs/>
        </w:rPr>
        <w:lastRenderedPageBreak/>
        <w:t>Longitudinal Study of the High School Class of 1972</w:t>
      </w:r>
      <w:r>
        <w:t xml:space="preserve"> (NLS-72), the </w:t>
      </w:r>
      <w:r w:rsidRPr="002B4553">
        <w:rPr>
          <w:i/>
          <w:iCs/>
        </w:rPr>
        <w:t>National Education Longitudinal Study of 1988</w:t>
      </w:r>
      <w:r>
        <w:t xml:space="preserve"> (NELS:88), the </w:t>
      </w:r>
      <w:r w:rsidRPr="002B4553">
        <w:rPr>
          <w:i/>
          <w:iCs/>
        </w:rPr>
        <w:t>Education Longitudinal Study of 2002</w:t>
      </w:r>
      <w:r>
        <w:t xml:space="preserve"> (ELS:2002), and the </w:t>
      </w:r>
      <w:r w:rsidRPr="002B4553">
        <w:rPr>
          <w:i/>
          <w:iCs/>
        </w:rPr>
        <w:t>High School Longitudinal Study of 2009</w:t>
      </w:r>
      <w:r>
        <w:t xml:space="preserve"> (HSLS:09), which follow or plan to follow students into college. While these studies accurately reflect education and employment experiences and outcomes of the high school cohorts from which they drew a sample, they are not nationally representative of all beginning postsecondary students because not all beginners enter directly from high school. In fact, according to BPS:04/09, one-third of all beginning postsecondary students were over age 19 when they entered for the first time.  </w:t>
      </w:r>
    </w:p>
    <w:p w:rsidR="00241C35" w:rsidRDefault="00241C35" w:rsidP="00241C35">
      <w:pPr>
        <w:pStyle w:val="BodyText"/>
        <w:ind w:firstLine="540"/>
      </w:pPr>
      <w:r>
        <w:t xml:space="preserve">Another related study conducted by NCES is the </w:t>
      </w:r>
      <w:r w:rsidRPr="002B4553">
        <w:rPr>
          <w:i/>
          <w:iCs/>
        </w:rPr>
        <w:t>Integrated Postsecondary Education Data System</w:t>
      </w:r>
      <w:r>
        <w:t xml:space="preserve"> (IPEDS) </w:t>
      </w:r>
      <w:r w:rsidRPr="002B4553">
        <w:t>Graduation Rate Survey</w:t>
      </w:r>
      <w:r>
        <w:t xml:space="preserve"> (GRS). Unlike the High School Cohort Studies, the GRS provides data on enrollment and attainment for both recent and nonrecent high school graduates. However, its definition of beginning postsecondary students is more restrictive than that of BPS as it is limited to full-time, degree seeking, first-time postsecondary students who entered in the fall.  In addition, GRS collects enrollment and attainment data from institutions rather than students, meaning it can only provide information on students’ attainment at the first institution attended and not students’ attainment at any institutions to which they transfer.</w:t>
      </w:r>
    </w:p>
    <w:p w:rsidR="005273F1" w:rsidRPr="00C64C69" w:rsidRDefault="005273F1" w:rsidP="00241C35">
      <w:pPr>
        <w:pStyle w:val="TableTitle"/>
        <w:spacing w:before="360"/>
        <w:ind w:left="907" w:hanging="907"/>
      </w:pPr>
      <w:bookmarkStart w:id="82" w:name="_Toc337878572"/>
      <w:r w:rsidRPr="00C64C69">
        <w:t>Table 1.</w:t>
      </w:r>
      <w:r w:rsidRPr="00C64C69">
        <w:tab/>
        <w:t>Chronology of NPSAS and its longitudinal components</w:t>
      </w:r>
      <w:bookmarkEnd w:id="79"/>
      <w:bookmarkEnd w:id="80"/>
      <w:bookmarkEnd w:id="82"/>
    </w:p>
    <w:tbl>
      <w:tblPr>
        <w:tblW w:w="5000" w:type="pct"/>
        <w:tblInd w:w="-106" w:type="dxa"/>
        <w:tblBorders>
          <w:top w:val="single" w:sz="12" w:space="0" w:color="auto"/>
          <w:bottom w:val="single" w:sz="12" w:space="0" w:color="auto"/>
        </w:tblBorders>
        <w:tblLook w:val="01E0" w:firstRow="1" w:lastRow="1" w:firstColumn="1" w:lastColumn="1" w:noHBand="0" w:noVBand="0"/>
      </w:tblPr>
      <w:tblGrid>
        <w:gridCol w:w="2262"/>
        <w:gridCol w:w="2262"/>
        <w:gridCol w:w="3152"/>
        <w:gridCol w:w="2764"/>
      </w:tblGrid>
      <w:tr w:rsidR="005273F1" w:rsidRPr="00C64C69" w:rsidTr="000510A8">
        <w:tc>
          <w:tcPr>
            <w:tcW w:w="2075" w:type="dxa"/>
            <w:tcBorders>
              <w:top w:val="single" w:sz="12" w:space="0" w:color="auto"/>
              <w:bottom w:val="single" w:sz="6" w:space="0" w:color="auto"/>
            </w:tcBorders>
            <w:vAlign w:val="bottom"/>
          </w:tcPr>
          <w:bookmarkEnd w:id="81"/>
          <w:p w:rsidR="005273F1" w:rsidRPr="00C64C69" w:rsidRDefault="005273F1" w:rsidP="000510A8">
            <w:pPr>
              <w:spacing w:before="60" w:after="60"/>
              <w:ind w:left="346" w:hanging="346"/>
              <w:jc w:val="right"/>
              <w:rPr>
                <w:sz w:val="20"/>
              </w:rPr>
            </w:pPr>
            <w:r w:rsidRPr="00C64C69">
              <w:rPr>
                <w:sz w:val="20"/>
              </w:rPr>
              <w:t>Base year</w:t>
            </w:r>
          </w:p>
        </w:tc>
        <w:tc>
          <w:tcPr>
            <w:tcW w:w="2075" w:type="dxa"/>
            <w:tcBorders>
              <w:top w:val="single" w:sz="12" w:space="0" w:color="auto"/>
              <w:bottom w:val="single" w:sz="6" w:space="0" w:color="auto"/>
            </w:tcBorders>
            <w:vAlign w:val="bottom"/>
          </w:tcPr>
          <w:p w:rsidR="005273F1" w:rsidRPr="00C64C69" w:rsidRDefault="005273F1" w:rsidP="000510A8">
            <w:pPr>
              <w:spacing w:before="60" w:after="60"/>
              <w:jc w:val="right"/>
              <w:rPr>
                <w:sz w:val="20"/>
              </w:rPr>
            </w:pPr>
            <w:r w:rsidRPr="00C64C69">
              <w:rPr>
                <w:sz w:val="20"/>
              </w:rPr>
              <w:t>First follow-up</w:t>
            </w:r>
          </w:p>
        </w:tc>
        <w:tc>
          <w:tcPr>
            <w:tcW w:w="2891" w:type="dxa"/>
            <w:tcBorders>
              <w:top w:val="single" w:sz="12" w:space="0" w:color="auto"/>
              <w:bottom w:val="single" w:sz="6" w:space="0" w:color="auto"/>
            </w:tcBorders>
            <w:vAlign w:val="bottom"/>
          </w:tcPr>
          <w:p w:rsidR="005273F1" w:rsidRPr="00C64C69" w:rsidRDefault="005273F1" w:rsidP="000510A8">
            <w:pPr>
              <w:tabs>
                <w:tab w:val="right" w:pos="2452"/>
              </w:tabs>
              <w:spacing w:before="60" w:after="60"/>
              <w:jc w:val="right"/>
              <w:rPr>
                <w:sz w:val="20"/>
              </w:rPr>
            </w:pPr>
            <w:r w:rsidRPr="00C64C69">
              <w:rPr>
                <w:sz w:val="20"/>
              </w:rPr>
              <w:t>Second follow-up</w:t>
            </w:r>
          </w:p>
        </w:tc>
        <w:tc>
          <w:tcPr>
            <w:tcW w:w="2535" w:type="dxa"/>
            <w:tcBorders>
              <w:top w:val="single" w:sz="12" w:space="0" w:color="auto"/>
              <w:bottom w:val="single" w:sz="6" w:space="0" w:color="auto"/>
            </w:tcBorders>
            <w:vAlign w:val="bottom"/>
          </w:tcPr>
          <w:p w:rsidR="005273F1" w:rsidRPr="00C64C69" w:rsidRDefault="005273F1" w:rsidP="000510A8">
            <w:pPr>
              <w:spacing w:before="60" w:after="60"/>
              <w:jc w:val="right"/>
              <w:rPr>
                <w:sz w:val="20"/>
              </w:rPr>
            </w:pPr>
            <w:r w:rsidRPr="00C64C69">
              <w:rPr>
                <w:sz w:val="20"/>
              </w:rPr>
              <w:t>Third follow-up</w:t>
            </w:r>
          </w:p>
        </w:tc>
      </w:tr>
      <w:tr w:rsidR="005273F1" w:rsidRPr="00C64C69" w:rsidTr="000510A8">
        <w:tc>
          <w:tcPr>
            <w:tcW w:w="2075" w:type="dxa"/>
            <w:tcBorders>
              <w:top w:val="single" w:sz="6" w:space="0" w:color="auto"/>
            </w:tcBorders>
            <w:vAlign w:val="bottom"/>
          </w:tcPr>
          <w:p w:rsidR="005273F1" w:rsidRPr="00C64C69" w:rsidRDefault="005273F1" w:rsidP="000510A8">
            <w:pPr>
              <w:spacing w:before="60" w:after="60"/>
              <w:ind w:left="346" w:hanging="346"/>
              <w:rPr>
                <w:sz w:val="20"/>
              </w:rPr>
            </w:pPr>
            <w:r w:rsidRPr="00C64C69">
              <w:rPr>
                <w:sz w:val="20"/>
              </w:rPr>
              <w:t>NPSAS:90</w:t>
            </w:r>
          </w:p>
        </w:tc>
        <w:tc>
          <w:tcPr>
            <w:tcW w:w="2075" w:type="dxa"/>
            <w:tcBorders>
              <w:top w:val="single" w:sz="6" w:space="0" w:color="auto"/>
            </w:tcBorders>
            <w:vAlign w:val="bottom"/>
          </w:tcPr>
          <w:p w:rsidR="005273F1" w:rsidRPr="005E00DD" w:rsidRDefault="005273F1" w:rsidP="000510A8">
            <w:pPr>
              <w:spacing w:before="60" w:after="60"/>
              <w:jc w:val="right"/>
              <w:rPr>
                <w:b/>
                <w:sz w:val="20"/>
              </w:rPr>
            </w:pPr>
            <w:r w:rsidRPr="005E00DD">
              <w:rPr>
                <w:b/>
                <w:sz w:val="20"/>
              </w:rPr>
              <w:t>BPS:90/92</w:t>
            </w:r>
          </w:p>
        </w:tc>
        <w:tc>
          <w:tcPr>
            <w:tcW w:w="2891" w:type="dxa"/>
            <w:tcBorders>
              <w:top w:val="single" w:sz="6" w:space="0" w:color="auto"/>
            </w:tcBorders>
            <w:vAlign w:val="bottom"/>
          </w:tcPr>
          <w:p w:rsidR="005273F1" w:rsidRPr="005E00DD" w:rsidRDefault="005273F1" w:rsidP="000510A8">
            <w:pPr>
              <w:spacing w:before="60" w:after="60"/>
              <w:jc w:val="right"/>
              <w:rPr>
                <w:b/>
                <w:sz w:val="20"/>
              </w:rPr>
            </w:pPr>
            <w:r w:rsidRPr="005E00DD">
              <w:rPr>
                <w:b/>
                <w:sz w:val="20"/>
              </w:rPr>
              <w:t>BPS:90/94</w:t>
            </w:r>
          </w:p>
        </w:tc>
        <w:tc>
          <w:tcPr>
            <w:tcW w:w="2535" w:type="dxa"/>
            <w:tcBorders>
              <w:top w:val="single" w:sz="6" w:space="0" w:color="auto"/>
            </w:tcBorders>
            <w:vAlign w:val="bottom"/>
          </w:tcPr>
          <w:p w:rsidR="005273F1" w:rsidRPr="00C64C69" w:rsidRDefault="005273F1" w:rsidP="000510A8">
            <w:pPr>
              <w:spacing w:before="60" w:after="60"/>
              <w:jc w:val="right"/>
              <w:rPr>
                <w:sz w:val="20"/>
              </w:rPr>
            </w:pPr>
            <w:r w:rsidRPr="00C64C69">
              <w:rPr>
                <w:sz w:val="20"/>
              </w:rPr>
              <w:t>—</w:t>
            </w:r>
          </w:p>
        </w:tc>
      </w:tr>
      <w:tr w:rsidR="005273F1" w:rsidRPr="00C64C69" w:rsidTr="000510A8">
        <w:tc>
          <w:tcPr>
            <w:tcW w:w="2075" w:type="dxa"/>
            <w:vAlign w:val="bottom"/>
          </w:tcPr>
          <w:p w:rsidR="005273F1" w:rsidRPr="00C64C69" w:rsidRDefault="005273F1" w:rsidP="000510A8">
            <w:pPr>
              <w:spacing w:before="60" w:after="60"/>
              <w:ind w:left="346" w:hanging="346"/>
              <w:rPr>
                <w:sz w:val="20"/>
              </w:rPr>
            </w:pPr>
            <w:r w:rsidRPr="00C64C69">
              <w:rPr>
                <w:sz w:val="20"/>
              </w:rPr>
              <w:t>NPSAS:93</w:t>
            </w:r>
          </w:p>
        </w:tc>
        <w:tc>
          <w:tcPr>
            <w:tcW w:w="2075" w:type="dxa"/>
            <w:vAlign w:val="bottom"/>
          </w:tcPr>
          <w:p w:rsidR="005273F1" w:rsidRPr="00C64C69" w:rsidRDefault="005273F1" w:rsidP="000510A8">
            <w:pPr>
              <w:spacing w:before="60" w:after="60"/>
              <w:jc w:val="right"/>
              <w:rPr>
                <w:sz w:val="20"/>
              </w:rPr>
            </w:pPr>
            <w:r w:rsidRPr="00C64C69">
              <w:rPr>
                <w:sz w:val="20"/>
              </w:rPr>
              <w:t>B&amp;B:93/94</w:t>
            </w:r>
          </w:p>
        </w:tc>
        <w:tc>
          <w:tcPr>
            <w:tcW w:w="2891" w:type="dxa"/>
            <w:vAlign w:val="bottom"/>
          </w:tcPr>
          <w:p w:rsidR="005273F1" w:rsidRPr="00C64C69" w:rsidRDefault="005273F1" w:rsidP="000510A8">
            <w:pPr>
              <w:spacing w:before="60" w:after="60"/>
              <w:jc w:val="right"/>
              <w:rPr>
                <w:sz w:val="20"/>
              </w:rPr>
            </w:pPr>
            <w:r w:rsidRPr="00C64C69">
              <w:rPr>
                <w:sz w:val="20"/>
              </w:rPr>
              <w:t>B&amp;B:93/97</w:t>
            </w:r>
          </w:p>
        </w:tc>
        <w:tc>
          <w:tcPr>
            <w:tcW w:w="2535" w:type="dxa"/>
            <w:vAlign w:val="bottom"/>
          </w:tcPr>
          <w:p w:rsidR="005273F1" w:rsidRPr="00C64C69" w:rsidRDefault="005273F1" w:rsidP="000510A8">
            <w:pPr>
              <w:spacing w:before="60" w:after="60"/>
              <w:jc w:val="right"/>
              <w:rPr>
                <w:sz w:val="20"/>
              </w:rPr>
            </w:pPr>
            <w:r w:rsidRPr="00C64C69">
              <w:rPr>
                <w:sz w:val="20"/>
              </w:rPr>
              <w:t>B&amp;B:93/03</w:t>
            </w:r>
          </w:p>
        </w:tc>
      </w:tr>
      <w:tr w:rsidR="005273F1" w:rsidRPr="00C64C69" w:rsidTr="000510A8">
        <w:tc>
          <w:tcPr>
            <w:tcW w:w="2075" w:type="dxa"/>
            <w:vAlign w:val="bottom"/>
          </w:tcPr>
          <w:p w:rsidR="005273F1" w:rsidRPr="00C64C69" w:rsidRDefault="005273F1" w:rsidP="000510A8">
            <w:pPr>
              <w:spacing w:before="60" w:after="60"/>
              <w:ind w:left="346" w:hanging="346"/>
              <w:rPr>
                <w:sz w:val="20"/>
              </w:rPr>
            </w:pPr>
            <w:r w:rsidRPr="00C64C69">
              <w:rPr>
                <w:sz w:val="20"/>
              </w:rPr>
              <w:t>NPSAS:96</w:t>
            </w:r>
          </w:p>
        </w:tc>
        <w:tc>
          <w:tcPr>
            <w:tcW w:w="2075" w:type="dxa"/>
            <w:vAlign w:val="bottom"/>
          </w:tcPr>
          <w:p w:rsidR="005273F1" w:rsidRPr="005E00DD" w:rsidRDefault="005273F1" w:rsidP="000510A8">
            <w:pPr>
              <w:spacing w:before="60" w:after="60"/>
              <w:jc w:val="right"/>
              <w:rPr>
                <w:b/>
                <w:sz w:val="20"/>
              </w:rPr>
            </w:pPr>
            <w:r w:rsidRPr="005E00DD">
              <w:rPr>
                <w:b/>
                <w:sz w:val="20"/>
              </w:rPr>
              <w:t>BPS:96/98</w:t>
            </w:r>
          </w:p>
        </w:tc>
        <w:tc>
          <w:tcPr>
            <w:tcW w:w="2891" w:type="dxa"/>
            <w:vAlign w:val="bottom"/>
          </w:tcPr>
          <w:p w:rsidR="005273F1" w:rsidRPr="005E00DD" w:rsidRDefault="005273F1" w:rsidP="000510A8">
            <w:pPr>
              <w:spacing w:before="60" w:after="60"/>
              <w:jc w:val="right"/>
              <w:rPr>
                <w:b/>
                <w:sz w:val="20"/>
              </w:rPr>
            </w:pPr>
            <w:r w:rsidRPr="005E00DD">
              <w:rPr>
                <w:b/>
                <w:sz w:val="20"/>
              </w:rPr>
              <w:t>BPS:96/01</w:t>
            </w:r>
          </w:p>
        </w:tc>
        <w:tc>
          <w:tcPr>
            <w:tcW w:w="2535" w:type="dxa"/>
            <w:vAlign w:val="bottom"/>
          </w:tcPr>
          <w:p w:rsidR="005273F1" w:rsidRPr="00C64C69" w:rsidRDefault="005273F1" w:rsidP="000510A8">
            <w:pPr>
              <w:spacing w:before="60" w:after="60"/>
              <w:jc w:val="right"/>
            </w:pPr>
            <w:r>
              <w:rPr>
                <w:sz w:val="20"/>
              </w:rPr>
              <w:t xml:space="preserve">Administrative data update </w:t>
            </w:r>
          </w:p>
        </w:tc>
      </w:tr>
      <w:tr w:rsidR="005273F1" w:rsidRPr="00C64C69" w:rsidTr="000510A8">
        <w:tc>
          <w:tcPr>
            <w:tcW w:w="2075" w:type="dxa"/>
            <w:vAlign w:val="bottom"/>
          </w:tcPr>
          <w:p w:rsidR="005273F1" w:rsidRPr="00C64C69" w:rsidRDefault="005273F1" w:rsidP="000510A8">
            <w:pPr>
              <w:spacing w:before="60" w:after="60"/>
              <w:ind w:left="346" w:hanging="346"/>
              <w:rPr>
                <w:sz w:val="20"/>
              </w:rPr>
            </w:pPr>
            <w:r w:rsidRPr="00C64C69">
              <w:rPr>
                <w:sz w:val="20"/>
              </w:rPr>
              <w:t>NPSAS:2000</w:t>
            </w:r>
          </w:p>
        </w:tc>
        <w:tc>
          <w:tcPr>
            <w:tcW w:w="2075" w:type="dxa"/>
            <w:vAlign w:val="bottom"/>
          </w:tcPr>
          <w:p w:rsidR="005273F1" w:rsidRPr="00C64C69" w:rsidRDefault="005273F1" w:rsidP="000510A8">
            <w:pPr>
              <w:spacing w:before="60" w:after="60"/>
              <w:jc w:val="right"/>
              <w:rPr>
                <w:sz w:val="20"/>
              </w:rPr>
            </w:pPr>
            <w:r w:rsidRPr="00C64C69">
              <w:rPr>
                <w:sz w:val="20"/>
              </w:rPr>
              <w:t>B&amp;B:2000/01</w:t>
            </w:r>
          </w:p>
        </w:tc>
        <w:tc>
          <w:tcPr>
            <w:tcW w:w="2891" w:type="dxa"/>
            <w:vAlign w:val="bottom"/>
          </w:tcPr>
          <w:p w:rsidR="005273F1" w:rsidRPr="00C64C69" w:rsidRDefault="005273F1" w:rsidP="000510A8">
            <w:pPr>
              <w:spacing w:before="60" w:after="60"/>
              <w:jc w:val="right"/>
              <w:rPr>
                <w:sz w:val="20"/>
              </w:rPr>
            </w:pPr>
            <w:r w:rsidRPr="00C64C69">
              <w:rPr>
                <w:sz w:val="20"/>
              </w:rPr>
              <w:t>—</w:t>
            </w:r>
          </w:p>
        </w:tc>
        <w:tc>
          <w:tcPr>
            <w:tcW w:w="2535" w:type="dxa"/>
            <w:vAlign w:val="bottom"/>
          </w:tcPr>
          <w:p w:rsidR="005273F1" w:rsidRPr="00C64C69" w:rsidRDefault="005273F1" w:rsidP="000510A8">
            <w:pPr>
              <w:spacing w:before="60" w:after="60"/>
              <w:jc w:val="right"/>
            </w:pPr>
            <w:r w:rsidRPr="00C64C69">
              <w:rPr>
                <w:sz w:val="20"/>
              </w:rPr>
              <w:t>—</w:t>
            </w:r>
          </w:p>
        </w:tc>
      </w:tr>
      <w:tr w:rsidR="005273F1" w:rsidRPr="00C64C69" w:rsidTr="000510A8">
        <w:tc>
          <w:tcPr>
            <w:tcW w:w="2075" w:type="dxa"/>
            <w:vAlign w:val="bottom"/>
          </w:tcPr>
          <w:p w:rsidR="005273F1" w:rsidRPr="00C64C69" w:rsidRDefault="005273F1" w:rsidP="000510A8">
            <w:pPr>
              <w:spacing w:before="60" w:after="60"/>
              <w:ind w:left="346" w:hanging="346"/>
              <w:rPr>
                <w:sz w:val="20"/>
              </w:rPr>
            </w:pPr>
            <w:r w:rsidRPr="00C64C69">
              <w:rPr>
                <w:sz w:val="20"/>
              </w:rPr>
              <w:t>NPSAS:04</w:t>
            </w:r>
          </w:p>
        </w:tc>
        <w:tc>
          <w:tcPr>
            <w:tcW w:w="2075" w:type="dxa"/>
            <w:vAlign w:val="bottom"/>
          </w:tcPr>
          <w:p w:rsidR="005273F1" w:rsidRPr="005E00DD" w:rsidRDefault="005273F1" w:rsidP="000510A8">
            <w:pPr>
              <w:spacing w:before="60" w:after="60"/>
              <w:jc w:val="right"/>
              <w:rPr>
                <w:b/>
                <w:sz w:val="20"/>
              </w:rPr>
            </w:pPr>
            <w:r w:rsidRPr="005E00DD">
              <w:rPr>
                <w:b/>
                <w:sz w:val="20"/>
              </w:rPr>
              <w:t>BPS:04/06</w:t>
            </w:r>
          </w:p>
        </w:tc>
        <w:tc>
          <w:tcPr>
            <w:tcW w:w="2891" w:type="dxa"/>
            <w:vAlign w:val="bottom"/>
          </w:tcPr>
          <w:p w:rsidR="005273F1" w:rsidRPr="005E00DD" w:rsidRDefault="005273F1" w:rsidP="000510A8">
            <w:pPr>
              <w:spacing w:before="60" w:after="60"/>
              <w:jc w:val="right"/>
              <w:rPr>
                <w:b/>
                <w:sz w:val="20"/>
              </w:rPr>
            </w:pPr>
            <w:r w:rsidRPr="005E00DD">
              <w:rPr>
                <w:b/>
                <w:sz w:val="20"/>
              </w:rPr>
              <w:t>BPS:04/09</w:t>
            </w:r>
          </w:p>
        </w:tc>
        <w:tc>
          <w:tcPr>
            <w:tcW w:w="2535" w:type="dxa"/>
            <w:vAlign w:val="bottom"/>
          </w:tcPr>
          <w:p w:rsidR="005273F1" w:rsidRPr="00C64C69" w:rsidRDefault="005273F1" w:rsidP="000510A8">
            <w:pPr>
              <w:spacing w:before="60" w:after="60"/>
              <w:jc w:val="right"/>
            </w:pPr>
            <w:r>
              <w:rPr>
                <w:sz w:val="20"/>
              </w:rPr>
              <w:t>Administrative data update</w:t>
            </w:r>
          </w:p>
        </w:tc>
      </w:tr>
      <w:tr w:rsidR="005273F1" w:rsidRPr="00C64C69" w:rsidTr="000510A8">
        <w:tc>
          <w:tcPr>
            <w:tcW w:w="2075" w:type="dxa"/>
            <w:vAlign w:val="bottom"/>
          </w:tcPr>
          <w:p w:rsidR="005273F1" w:rsidRPr="00C64C69" w:rsidRDefault="005273F1" w:rsidP="000510A8">
            <w:pPr>
              <w:spacing w:before="60" w:after="60"/>
              <w:ind w:left="346" w:hanging="346"/>
              <w:rPr>
                <w:sz w:val="20"/>
              </w:rPr>
            </w:pPr>
            <w:r w:rsidRPr="00C64C69">
              <w:rPr>
                <w:sz w:val="20"/>
              </w:rPr>
              <w:t>NPSAS:08</w:t>
            </w:r>
          </w:p>
        </w:tc>
        <w:tc>
          <w:tcPr>
            <w:tcW w:w="2075" w:type="dxa"/>
            <w:vAlign w:val="bottom"/>
          </w:tcPr>
          <w:p w:rsidR="005273F1" w:rsidRPr="00C64C69" w:rsidRDefault="005273F1" w:rsidP="000510A8">
            <w:pPr>
              <w:spacing w:before="60" w:after="60"/>
              <w:jc w:val="right"/>
              <w:rPr>
                <w:sz w:val="20"/>
              </w:rPr>
            </w:pPr>
            <w:r w:rsidRPr="00C64C69">
              <w:rPr>
                <w:sz w:val="20"/>
              </w:rPr>
              <w:t>B&amp;B:08/09</w:t>
            </w:r>
          </w:p>
        </w:tc>
        <w:tc>
          <w:tcPr>
            <w:tcW w:w="2891" w:type="dxa"/>
            <w:vAlign w:val="bottom"/>
          </w:tcPr>
          <w:p w:rsidR="005273F1" w:rsidRPr="00C64C69" w:rsidRDefault="005273F1" w:rsidP="000510A8">
            <w:pPr>
              <w:spacing w:before="60" w:after="60"/>
              <w:jc w:val="right"/>
              <w:rPr>
                <w:sz w:val="20"/>
              </w:rPr>
            </w:pPr>
            <w:r w:rsidRPr="00C64C69">
              <w:rPr>
                <w:sz w:val="20"/>
              </w:rPr>
              <w:t>B&amp;B:08/12</w:t>
            </w:r>
          </w:p>
        </w:tc>
        <w:tc>
          <w:tcPr>
            <w:tcW w:w="2535" w:type="dxa"/>
            <w:vAlign w:val="bottom"/>
          </w:tcPr>
          <w:p w:rsidR="005273F1" w:rsidRPr="00C64C69" w:rsidRDefault="005273F1" w:rsidP="000510A8">
            <w:pPr>
              <w:spacing w:before="60" w:after="60"/>
              <w:jc w:val="right"/>
            </w:pPr>
            <w:r w:rsidRPr="00C64C69">
              <w:rPr>
                <w:sz w:val="20"/>
              </w:rPr>
              <w:t>—</w:t>
            </w:r>
          </w:p>
        </w:tc>
      </w:tr>
      <w:tr w:rsidR="005273F1" w:rsidRPr="00C64C69" w:rsidTr="000510A8">
        <w:tc>
          <w:tcPr>
            <w:tcW w:w="2075" w:type="dxa"/>
            <w:tcBorders>
              <w:bottom w:val="single" w:sz="12" w:space="0" w:color="auto"/>
            </w:tcBorders>
            <w:vAlign w:val="bottom"/>
          </w:tcPr>
          <w:p w:rsidR="005273F1" w:rsidRPr="00C64C69" w:rsidRDefault="005273F1" w:rsidP="000510A8">
            <w:pPr>
              <w:spacing w:before="60" w:after="60"/>
              <w:ind w:left="346" w:hanging="346"/>
              <w:rPr>
                <w:sz w:val="20"/>
              </w:rPr>
            </w:pPr>
            <w:r w:rsidRPr="00C64C69">
              <w:rPr>
                <w:sz w:val="20"/>
              </w:rPr>
              <w:t>NPSAS:12</w:t>
            </w:r>
          </w:p>
        </w:tc>
        <w:tc>
          <w:tcPr>
            <w:tcW w:w="2075" w:type="dxa"/>
            <w:tcBorders>
              <w:bottom w:val="single" w:sz="12" w:space="0" w:color="auto"/>
            </w:tcBorders>
            <w:vAlign w:val="bottom"/>
          </w:tcPr>
          <w:p w:rsidR="005273F1" w:rsidRPr="005E00DD" w:rsidRDefault="005273F1" w:rsidP="000510A8">
            <w:pPr>
              <w:spacing w:before="60" w:after="60"/>
              <w:jc w:val="right"/>
              <w:rPr>
                <w:b/>
                <w:sz w:val="20"/>
              </w:rPr>
            </w:pPr>
            <w:r w:rsidRPr="005E00DD">
              <w:rPr>
                <w:b/>
                <w:sz w:val="20"/>
              </w:rPr>
              <w:t>BPS:12/14</w:t>
            </w:r>
          </w:p>
        </w:tc>
        <w:tc>
          <w:tcPr>
            <w:tcW w:w="2891" w:type="dxa"/>
            <w:tcBorders>
              <w:bottom w:val="single" w:sz="12" w:space="0" w:color="auto"/>
            </w:tcBorders>
            <w:vAlign w:val="bottom"/>
          </w:tcPr>
          <w:p w:rsidR="005273F1" w:rsidRPr="005E00DD" w:rsidRDefault="005273F1" w:rsidP="000510A8">
            <w:pPr>
              <w:spacing w:before="60" w:after="60"/>
              <w:jc w:val="right"/>
              <w:rPr>
                <w:b/>
                <w:sz w:val="20"/>
              </w:rPr>
            </w:pPr>
            <w:r w:rsidRPr="005E00DD">
              <w:rPr>
                <w:b/>
                <w:sz w:val="20"/>
              </w:rPr>
              <w:t>BPS:12/17</w:t>
            </w:r>
          </w:p>
        </w:tc>
        <w:tc>
          <w:tcPr>
            <w:tcW w:w="2535" w:type="dxa"/>
            <w:tcBorders>
              <w:bottom w:val="single" w:sz="12" w:space="0" w:color="auto"/>
            </w:tcBorders>
            <w:vAlign w:val="bottom"/>
          </w:tcPr>
          <w:p w:rsidR="005273F1" w:rsidRPr="00C64C69" w:rsidRDefault="005273F1" w:rsidP="000510A8">
            <w:pPr>
              <w:spacing w:before="60" w:after="60"/>
              <w:jc w:val="right"/>
              <w:rPr>
                <w:sz w:val="20"/>
              </w:rPr>
            </w:pPr>
            <w:r w:rsidRPr="005E00DD">
              <w:rPr>
                <w:b/>
                <w:sz w:val="20"/>
              </w:rPr>
              <w:t>BPS:12/19</w:t>
            </w:r>
            <w:r w:rsidRPr="00C64C69">
              <w:rPr>
                <w:sz w:val="20"/>
                <w:vertAlign w:val="superscript"/>
              </w:rPr>
              <w:t>1</w:t>
            </w:r>
          </w:p>
        </w:tc>
      </w:tr>
    </w:tbl>
    <w:p w:rsidR="005273F1" w:rsidRPr="00C64C69" w:rsidRDefault="005273F1" w:rsidP="005273F1">
      <w:pPr>
        <w:pStyle w:val="Source"/>
        <w:ind w:left="-208"/>
        <w:rPr>
          <w:rFonts w:ascii="Times New Roman" w:hAnsi="Times New Roman"/>
        </w:rPr>
      </w:pPr>
      <w:r w:rsidRPr="00C64C69">
        <w:rPr>
          <w:rFonts w:ascii="Times New Roman" w:hAnsi="Times New Roman"/>
        </w:rPr>
        <w:t>— Not applicable</w:t>
      </w:r>
    </w:p>
    <w:p w:rsidR="005273F1" w:rsidRPr="00C64C69" w:rsidRDefault="005273F1" w:rsidP="005273F1">
      <w:pPr>
        <w:pStyle w:val="Source"/>
        <w:ind w:left="-208"/>
        <w:rPr>
          <w:rFonts w:ascii="Times New Roman" w:hAnsi="Times New Roman"/>
        </w:rPr>
      </w:pPr>
      <w:r w:rsidRPr="00C64C69">
        <w:rPr>
          <w:rFonts w:ascii="Times New Roman" w:hAnsi="Times New Roman"/>
          <w:vertAlign w:val="superscript"/>
        </w:rPr>
        <w:t xml:space="preserve">1 </w:t>
      </w:r>
      <w:r w:rsidRPr="00C64C69">
        <w:rPr>
          <w:rFonts w:ascii="Times New Roman" w:hAnsi="Times New Roman"/>
        </w:rPr>
        <w:t>Tentative.</w:t>
      </w:r>
    </w:p>
    <w:p w:rsidR="005273F1" w:rsidRPr="00C64C69" w:rsidRDefault="005273F1" w:rsidP="005273F1">
      <w:pPr>
        <w:pStyle w:val="Source"/>
        <w:ind w:left="-208"/>
        <w:rPr>
          <w:rFonts w:ascii="Times New Roman" w:hAnsi="Times New Roman"/>
        </w:rPr>
      </w:pPr>
      <w:r w:rsidRPr="00C64C69">
        <w:rPr>
          <w:rFonts w:ascii="Times New Roman" w:hAnsi="Times New Roman"/>
        </w:rPr>
        <w:t xml:space="preserve">NOTE: BPS = Beginning Postsecondary Students; B&amp;B = Baccalaureate and Beyond. </w:t>
      </w:r>
    </w:p>
    <w:p w:rsidR="005273F1" w:rsidRPr="00C64C69" w:rsidRDefault="005273F1" w:rsidP="005273F1">
      <w:pPr>
        <w:ind w:left="-208"/>
      </w:pPr>
    </w:p>
    <w:p w:rsidR="00C33221" w:rsidRDefault="00C33221" w:rsidP="00241C35">
      <w:pPr>
        <w:pStyle w:val="Heading2"/>
        <w:numPr>
          <w:ilvl w:val="1"/>
          <w:numId w:val="16"/>
        </w:numPr>
        <w:spacing w:line="320" w:lineRule="atLeast"/>
        <w:ind w:left="1080" w:hanging="540"/>
      </w:pPr>
      <w:bookmarkStart w:id="83" w:name="_Toc174172874"/>
      <w:bookmarkStart w:id="84" w:name="_Toc174182808"/>
      <w:bookmarkStart w:id="85" w:name="_Toc174182878"/>
      <w:bookmarkStart w:id="86" w:name="_Toc174182964"/>
      <w:bookmarkStart w:id="87" w:name="_Toc174183082"/>
      <w:bookmarkStart w:id="88" w:name="_Toc174183331"/>
      <w:bookmarkStart w:id="89" w:name="_Toc174183393"/>
      <w:bookmarkStart w:id="90" w:name="_Toc337878558"/>
      <w:bookmarkEnd w:id="83"/>
      <w:bookmarkEnd w:id="84"/>
      <w:bookmarkEnd w:id="85"/>
      <w:bookmarkEnd w:id="86"/>
      <w:bookmarkEnd w:id="87"/>
      <w:bookmarkEnd w:id="88"/>
      <w:bookmarkEnd w:id="89"/>
      <w:r>
        <w:t>Method Used to Minimize Burden on Small Businesses</w:t>
      </w:r>
      <w:bookmarkEnd w:id="90"/>
    </w:p>
    <w:p w:rsidR="002477DC" w:rsidRDefault="009F58FA" w:rsidP="00BA3595">
      <w:pPr>
        <w:pStyle w:val="BodyText"/>
      </w:pPr>
      <w:r>
        <w:t>T</w:t>
      </w:r>
      <w:r w:rsidRPr="00F12AB8">
        <w:t xml:space="preserve">he student survey for </w:t>
      </w:r>
      <w:r w:rsidR="00196688">
        <w:t xml:space="preserve">the </w:t>
      </w:r>
      <w:r>
        <w:t>BPS:12/14</w:t>
      </w:r>
      <w:r w:rsidRPr="00F12AB8">
        <w:t xml:space="preserve"> </w:t>
      </w:r>
      <w:r w:rsidR="00196688">
        <w:t xml:space="preserve">field test </w:t>
      </w:r>
      <w:r w:rsidRPr="00F12AB8">
        <w:t>does not involve small businesses or entities.</w:t>
      </w:r>
      <w:r w:rsidR="00C9560A">
        <w:t xml:space="preserve">  If the full-scale of BPS:12/14 involves a financial aid record collection, s</w:t>
      </w:r>
      <w:r w:rsidR="00C9560A" w:rsidRPr="00DB0068">
        <w:t xml:space="preserve">ome </w:t>
      </w:r>
      <w:r w:rsidR="00C9560A">
        <w:t xml:space="preserve">small </w:t>
      </w:r>
      <w:r w:rsidR="00C9560A" w:rsidRPr="00DB0068">
        <w:t xml:space="preserve">for-profit schools and other small public and private schools will </w:t>
      </w:r>
      <w:r w:rsidR="00C9560A">
        <w:t xml:space="preserve">likely </w:t>
      </w:r>
      <w:r w:rsidR="00C9560A" w:rsidRPr="00DB0068">
        <w:t xml:space="preserve">be contacted. </w:t>
      </w:r>
      <w:r w:rsidR="00C9560A">
        <w:t>B</w:t>
      </w:r>
      <w:r w:rsidR="00C9560A" w:rsidRPr="00DB0068">
        <w:t xml:space="preserve">urden </w:t>
      </w:r>
      <w:r w:rsidR="00C9560A">
        <w:t xml:space="preserve">will be minimized </w:t>
      </w:r>
      <w:r w:rsidR="00C9560A" w:rsidRPr="00DB0068">
        <w:t xml:space="preserve">on these schools by working closely with a school-appointed coordinator (e.g., the </w:t>
      </w:r>
      <w:r w:rsidR="00C9560A">
        <w:t>financial aid administrator</w:t>
      </w:r>
      <w:r w:rsidR="00C9560A" w:rsidRPr="00DB0068">
        <w:t xml:space="preserve">) before the data collection effort to identify the format in which records are kept and transmitted. To accommodate any constraints imposed by record-keeping systems, schools will be offered alternative methods of providing the requested financial aid </w:t>
      </w:r>
      <w:r w:rsidR="00C9560A">
        <w:t xml:space="preserve">student </w:t>
      </w:r>
      <w:r w:rsidR="00C9560A" w:rsidRPr="00DB0068">
        <w:t>records as described above in the Information Technology section.</w:t>
      </w:r>
    </w:p>
    <w:p w:rsidR="00C33221" w:rsidRDefault="00C33221" w:rsidP="00241C35">
      <w:pPr>
        <w:pStyle w:val="Heading2"/>
        <w:numPr>
          <w:ilvl w:val="1"/>
          <w:numId w:val="16"/>
        </w:numPr>
        <w:spacing w:line="320" w:lineRule="atLeast"/>
        <w:ind w:left="1080" w:hanging="540"/>
      </w:pPr>
      <w:bookmarkStart w:id="91" w:name="_Toc337878559"/>
      <w:r w:rsidRPr="005C26EF">
        <w:lastRenderedPageBreak/>
        <w:t>Frequency of Data Collection</w:t>
      </w:r>
      <w:bookmarkEnd w:id="91"/>
    </w:p>
    <w:p w:rsidR="00C33221" w:rsidRDefault="004F6620" w:rsidP="00380AA0">
      <w:pPr>
        <w:pStyle w:val="BodyText"/>
        <w:ind w:firstLine="540"/>
      </w:pPr>
      <w:r>
        <w:t xml:space="preserve">BPS studies have been conducted periodically since 1990, as described in </w:t>
      </w:r>
      <w:r w:rsidR="005273F1">
        <w:t>section 4 of this document</w:t>
      </w:r>
      <w:r>
        <w:t>.  The BPS:12/14 field test student data collection will be conducted</w:t>
      </w:r>
      <w:r w:rsidR="00091FB5">
        <w:t xml:space="preserve"> in 2013,</w:t>
      </w:r>
      <w:r>
        <w:t xml:space="preserve"> 2 years after the NPSAS:12 field test from which the BPS </w:t>
      </w:r>
      <w:r w:rsidR="00091FB5">
        <w:t xml:space="preserve">field test student sample was selected.  </w:t>
      </w:r>
      <w:r w:rsidR="002239F9">
        <w:t>A f</w:t>
      </w:r>
      <w:r w:rsidR="00091FB5">
        <w:t xml:space="preserve">uture follow-up with the BPS:12/14 field test student sample </w:t>
      </w:r>
      <w:r w:rsidR="002239F9">
        <w:t xml:space="preserve">is </w:t>
      </w:r>
      <w:r w:rsidR="00083175">
        <w:t xml:space="preserve">anticipated </w:t>
      </w:r>
      <w:r w:rsidR="002239F9">
        <w:t xml:space="preserve">in 2016, </w:t>
      </w:r>
      <w:r w:rsidR="00091FB5">
        <w:t xml:space="preserve">as </w:t>
      </w:r>
      <w:r w:rsidR="002239F9">
        <w:t xml:space="preserve">part of </w:t>
      </w:r>
      <w:r w:rsidR="00091FB5">
        <w:t>BPS:12/17</w:t>
      </w:r>
      <w:r w:rsidR="002239F9">
        <w:t xml:space="preserve">, and </w:t>
      </w:r>
      <w:r w:rsidR="00380AA0">
        <w:t xml:space="preserve">may </w:t>
      </w:r>
      <w:r w:rsidR="002239F9">
        <w:t xml:space="preserve">include an interview, administrative record matching, </w:t>
      </w:r>
      <w:r w:rsidR="00380AA0">
        <w:t xml:space="preserve">and </w:t>
      </w:r>
      <w:r w:rsidR="002239F9">
        <w:t>student records and one-time transcript collection</w:t>
      </w:r>
      <w:r w:rsidR="00380AA0">
        <w:t>s, if funded</w:t>
      </w:r>
      <w:r w:rsidR="00091FB5">
        <w:t xml:space="preserve">.  </w:t>
      </w:r>
    </w:p>
    <w:p w:rsidR="00610DCF" w:rsidRDefault="00C33221" w:rsidP="00C861F7">
      <w:pPr>
        <w:pStyle w:val="BodyText"/>
      </w:pPr>
      <w:r w:rsidRPr="005C26EF">
        <w:t xml:space="preserve">The NPSAS </w:t>
      </w:r>
      <w:r>
        <w:t>and its longitudinal spin-off studies, B</w:t>
      </w:r>
      <w:r w:rsidRPr="005C26EF">
        <w:t>PS and B&amp;B</w:t>
      </w:r>
      <w:r>
        <w:t>,</w:t>
      </w:r>
      <w:r w:rsidRPr="005C26EF">
        <w:t xml:space="preserve"> </w:t>
      </w:r>
      <w:r>
        <w:t>are conducted to reflect t</w:t>
      </w:r>
      <w:r w:rsidRPr="005C26EF">
        <w:t>he large-scale and rapid changes in federal policy concerning postsecondary student aid</w:t>
      </w:r>
      <w:r>
        <w:t>—</w:t>
      </w:r>
      <w:r w:rsidRPr="005C26EF">
        <w:t>eligibility restrictions change, size</w:t>
      </w:r>
      <w:r>
        <w:t>s</w:t>
      </w:r>
      <w:r w:rsidRPr="005C26EF">
        <w:t xml:space="preserve"> of grant and loan amounts fluctuate, and the balance between various aid options</w:t>
      </w:r>
      <w:r w:rsidR="00223246">
        <w:t xml:space="preserve"> can </w:t>
      </w:r>
      <w:r w:rsidRPr="005C26EF">
        <w:t>change</w:t>
      </w:r>
      <w:r w:rsidR="00223246">
        <w:t xml:space="preserve"> </w:t>
      </w:r>
      <w:r w:rsidRPr="005C26EF">
        <w:t xml:space="preserve">dramatically. </w:t>
      </w:r>
      <w:r w:rsidR="00380AA0">
        <w:t xml:space="preserve"> </w:t>
      </w:r>
      <w:r w:rsidRPr="005C26EF">
        <w:t>A recurri</w:t>
      </w:r>
      <w:r>
        <w:t>ng study is essential to help</w:t>
      </w:r>
      <w:r w:rsidRPr="005C26EF">
        <w:t xml:space="preserve"> predict future costs for financial aid because loan programs create continued obligations for the federal government as long as the loans are being repaid</w:t>
      </w:r>
      <w:r>
        <w:t>. Second, r</w:t>
      </w:r>
      <w:r w:rsidRPr="005C26EF">
        <w:t xml:space="preserve">epeated surveys </w:t>
      </w:r>
      <w:r>
        <w:t xml:space="preserve">can capture the changing nature of </w:t>
      </w:r>
      <w:r w:rsidRPr="005C26EF">
        <w:t xml:space="preserve">the postsecondary environment. With the longitudinal design of the NPSAS survey and </w:t>
      </w:r>
      <w:r w:rsidR="002239F9">
        <w:t xml:space="preserve">BPS </w:t>
      </w:r>
      <w:r w:rsidRPr="005C26EF">
        <w:t xml:space="preserve">follow-ups, representative national samples of </w:t>
      </w:r>
      <w:r w:rsidR="002239F9">
        <w:t xml:space="preserve">beginning </w:t>
      </w:r>
      <w:r w:rsidRPr="005C26EF">
        <w:t>postsecondary students with similar base</w:t>
      </w:r>
      <w:r>
        <w:t>-</w:t>
      </w:r>
      <w:r w:rsidRPr="005C26EF">
        <w:t xml:space="preserve">year characteristics </w:t>
      </w:r>
      <w:r>
        <w:t>may</w:t>
      </w:r>
      <w:r w:rsidRPr="005C26EF">
        <w:t xml:space="preserve"> be compared over time to determine the effect</w:t>
      </w:r>
      <w:r>
        <w:t>s</w:t>
      </w:r>
      <w:r w:rsidRPr="005C26EF">
        <w:t xml:space="preserve"> of </w:t>
      </w:r>
      <w:r>
        <w:t xml:space="preserve">changes in </w:t>
      </w:r>
      <w:r w:rsidRPr="005C26EF">
        <w:t xml:space="preserve">federal policy and programs. </w:t>
      </w:r>
      <w:r w:rsidR="00D851C1" w:rsidRPr="00D851C1">
        <w:t>Third, repeated surveys can help researchers understand the effect of economic conditions on the employment outcomes for subbaccalaureate educational certificate holders. The new oversample of certificate seekers</w:t>
      </w:r>
      <w:r w:rsidR="00D851C1">
        <w:t xml:space="preserve"> that will be available for the full-scale study,</w:t>
      </w:r>
      <w:r w:rsidR="00D851C1" w:rsidRPr="00D851C1">
        <w:t xml:space="preserve"> combined with the longitudinal nature of BPS</w:t>
      </w:r>
      <w:r w:rsidR="00D851C1">
        <w:t>,</w:t>
      </w:r>
      <w:r w:rsidR="00D851C1" w:rsidRPr="00D851C1">
        <w:t xml:space="preserve"> allows for analysis of how the value of these credentials shifts in response to market forces.</w:t>
      </w:r>
    </w:p>
    <w:p w:rsidR="00C33221" w:rsidRDefault="00C33221" w:rsidP="00241C35">
      <w:pPr>
        <w:pStyle w:val="Heading2"/>
        <w:numPr>
          <w:ilvl w:val="1"/>
          <w:numId w:val="16"/>
        </w:numPr>
        <w:spacing w:line="320" w:lineRule="atLeast"/>
        <w:ind w:left="1080" w:hanging="540"/>
        <w:rPr>
          <w:caps/>
        </w:rPr>
      </w:pPr>
      <w:bookmarkStart w:id="92" w:name="_Toc179362775"/>
      <w:bookmarkStart w:id="93" w:name="_Toc337878560"/>
      <w:r w:rsidRPr="005C26EF">
        <w:t>Special Circumstances of Data Collection</w:t>
      </w:r>
      <w:bookmarkEnd w:id="92"/>
      <w:bookmarkEnd w:id="93"/>
    </w:p>
    <w:p w:rsidR="00C33221" w:rsidRDefault="00C33221" w:rsidP="00427FFC">
      <w:pPr>
        <w:pStyle w:val="BodyText"/>
        <w:ind w:firstLine="0"/>
      </w:pPr>
      <w:r w:rsidRPr="005C26EF">
        <w:t xml:space="preserve">No special circumstances of data collection are anticipated. </w:t>
      </w:r>
    </w:p>
    <w:p w:rsidR="00C33221" w:rsidRDefault="00C33221" w:rsidP="00241C35">
      <w:pPr>
        <w:pStyle w:val="Heading2"/>
        <w:numPr>
          <w:ilvl w:val="1"/>
          <w:numId w:val="16"/>
        </w:numPr>
        <w:spacing w:line="320" w:lineRule="atLeast"/>
        <w:ind w:left="1080" w:hanging="540"/>
      </w:pPr>
      <w:bookmarkStart w:id="94" w:name="_Toc337878561"/>
      <w:r w:rsidRPr="005C26EF">
        <w:t xml:space="preserve">Consultants </w:t>
      </w:r>
      <w:r>
        <w:t>O</w:t>
      </w:r>
      <w:r w:rsidRPr="005C26EF">
        <w:t>utside the Agency</w:t>
      </w:r>
      <w:bookmarkEnd w:id="94"/>
      <w:r w:rsidRPr="005C26EF">
        <w:t xml:space="preserve"> </w:t>
      </w:r>
      <w:r w:rsidR="002949E6" w:rsidRPr="005C26EF">
        <w:fldChar w:fldCharType="begin"/>
      </w:r>
      <w:r w:rsidRPr="005C26EF">
        <w:instrText xml:space="preserve"> "9.</w:instrText>
      </w:r>
      <w:r w:rsidRPr="005C26EF">
        <w:tab/>
        <w:instrText>Consultants Outside the Agency " \l 2</w:instrText>
      </w:r>
      <w:r w:rsidR="002949E6" w:rsidRPr="005C26EF">
        <w:fldChar w:fldCharType="end"/>
      </w:r>
    </w:p>
    <w:p w:rsidR="00194570" w:rsidRDefault="00C33221" w:rsidP="005C2340">
      <w:pPr>
        <w:pStyle w:val="BodyText"/>
      </w:pPr>
      <w:r w:rsidRPr="005C26EF">
        <w:t xml:space="preserve">Recognizing the significance of </w:t>
      </w:r>
      <w:r>
        <w:t>the B</w:t>
      </w:r>
      <w:r w:rsidR="005C2340">
        <w:t>PS:12/14</w:t>
      </w:r>
      <w:r>
        <w:t xml:space="preserve"> </w:t>
      </w:r>
      <w:r w:rsidRPr="005C26EF">
        <w:t xml:space="preserve">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ED, and the federal government. </w:t>
      </w:r>
    </w:p>
    <w:p w:rsidR="00C33221" w:rsidRDefault="00C33221" w:rsidP="00B512DF">
      <w:pPr>
        <w:pStyle w:val="BodyText"/>
      </w:pPr>
      <w:r w:rsidRPr="005C26EF">
        <w:t>Previous B</w:t>
      </w:r>
      <w:r w:rsidR="005C2340">
        <w:t>PS</w:t>
      </w:r>
      <w:r w:rsidRPr="005C26EF">
        <w:t xml:space="preserve"> implementations have benefited from a standing federal review panel </w:t>
      </w:r>
      <w:r>
        <w:t xml:space="preserve">comprising </w:t>
      </w:r>
      <w:r w:rsidRPr="005C26EF">
        <w:t xml:space="preserve">staff from </w:t>
      </w:r>
      <w:r>
        <w:t xml:space="preserve">many federal </w:t>
      </w:r>
      <w:r w:rsidRPr="005C26EF">
        <w:t>offices</w:t>
      </w:r>
      <w:r>
        <w:t xml:space="preserve">, </w:t>
      </w:r>
      <w:r w:rsidRPr="005C26EF">
        <w:t>in</w:t>
      </w:r>
      <w:r>
        <w:t xml:space="preserve">cluding </w:t>
      </w:r>
      <w:r w:rsidRPr="005C26EF">
        <w:t>ED</w:t>
      </w:r>
      <w:r>
        <w:t xml:space="preserve">’s Office of Postsecondary Education, OMB, </w:t>
      </w:r>
      <w:r w:rsidRPr="005C26EF">
        <w:t xml:space="preserve">and </w:t>
      </w:r>
      <w:r>
        <w:t xml:space="preserve">the Congressional Budget Office. </w:t>
      </w:r>
      <w:r w:rsidRPr="005C26EF">
        <w:t xml:space="preserve">Some members of this panel also belong to the TRP for </w:t>
      </w:r>
      <w:r w:rsidR="005C2340">
        <w:t>BPS</w:t>
      </w:r>
      <w:r w:rsidRPr="005C26EF">
        <w:t xml:space="preserve">. The membership of the TRP (see </w:t>
      </w:r>
      <w:r w:rsidR="009522D2">
        <w:t>A</w:t>
      </w:r>
      <w:r w:rsidRPr="005C26EF">
        <w:t>ppendix</w:t>
      </w:r>
      <w:r w:rsidR="007E7625">
        <w:t xml:space="preserve"> </w:t>
      </w:r>
      <w:r w:rsidR="00B512DF">
        <w:t>E</w:t>
      </w:r>
      <w:r w:rsidRPr="005C26EF">
        <w:t>) represents a broad spectrum of the postsecondary communit</w:t>
      </w:r>
      <w:r>
        <w:t>y</w:t>
      </w:r>
      <w:r w:rsidRPr="005C26EF">
        <w:t>. The nonfederal members serve as expert reviewers on the technical aspects of the study design, data collection procedures, and instrument design, especially item content and format. The TRP</w:t>
      </w:r>
      <w:r>
        <w:t xml:space="preserve"> reviewed </w:t>
      </w:r>
      <w:r w:rsidRPr="005C26EF">
        <w:t xml:space="preserve">the </w:t>
      </w:r>
      <w:r>
        <w:t xml:space="preserve">proposed </w:t>
      </w:r>
      <w:r w:rsidR="001252ED">
        <w:t xml:space="preserve">field test </w:t>
      </w:r>
      <w:r>
        <w:t xml:space="preserve">study design </w:t>
      </w:r>
      <w:r w:rsidRPr="005C26EF">
        <w:t xml:space="preserve">during </w:t>
      </w:r>
      <w:r>
        <w:t>its</w:t>
      </w:r>
      <w:r w:rsidRPr="005C26EF">
        <w:t xml:space="preserve"> meeting in </w:t>
      </w:r>
      <w:r w:rsidR="005C2340">
        <w:t>June</w:t>
      </w:r>
      <w:r w:rsidR="00150EA4">
        <w:t xml:space="preserve"> </w:t>
      </w:r>
      <w:r w:rsidR="005C2340">
        <w:t>2012</w:t>
      </w:r>
      <w:r>
        <w:t>.</w:t>
      </w:r>
    </w:p>
    <w:p w:rsidR="00C33221" w:rsidRPr="001B4DC0" w:rsidRDefault="00C33221" w:rsidP="00241C35">
      <w:pPr>
        <w:pStyle w:val="Heading2"/>
        <w:numPr>
          <w:ilvl w:val="1"/>
          <w:numId w:val="16"/>
        </w:numPr>
        <w:spacing w:line="320" w:lineRule="atLeast"/>
        <w:ind w:left="1080" w:hanging="540"/>
      </w:pPr>
      <w:bookmarkStart w:id="95" w:name="_Toc436108510"/>
      <w:bookmarkStart w:id="96" w:name="_Toc337878562"/>
      <w:r w:rsidRPr="001B4DC0">
        <w:t>Provision of Payments or Gifts to Respondents</w:t>
      </w:r>
      <w:bookmarkEnd w:id="95"/>
      <w:bookmarkEnd w:id="96"/>
      <w:r w:rsidRPr="001B4DC0">
        <w:t xml:space="preserve"> </w:t>
      </w:r>
    </w:p>
    <w:p w:rsidR="002477DC" w:rsidRDefault="00A81F62">
      <w:pPr>
        <w:pStyle w:val="BodyText"/>
      </w:pPr>
      <w:r>
        <w:t xml:space="preserve">The use of incentives is an integral part of the overall data collection plan for the BPS:12/14 field test, and is </w:t>
      </w:r>
      <w:r w:rsidR="002F213C" w:rsidRPr="004634AE">
        <w:t>proposed for three purposes</w:t>
      </w:r>
      <w:r w:rsidR="00B721F7" w:rsidRPr="004634AE">
        <w:t>:</w:t>
      </w:r>
    </w:p>
    <w:p w:rsidR="00A85E54" w:rsidRPr="004634AE" w:rsidRDefault="00F776AE" w:rsidP="00380AA0">
      <w:pPr>
        <w:pStyle w:val="BodyText"/>
        <w:numPr>
          <w:ilvl w:val="0"/>
          <w:numId w:val="21"/>
        </w:numPr>
      </w:pPr>
      <w:r w:rsidRPr="004634AE">
        <w:rPr>
          <w:i/>
        </w:rPr>
        <w:lastRenderedPageBreak/>
        <w:t>To encourage sample members to update their contact information prior to the start of data collection.</w:t>
      </w:r>
      <w:r w:rsidR="00487C65" w:rsidRPr="004634AE">
        <w:t xml:space="preserve"> All cases will be offered an incentive of $10 to update their contact information via the study website prior to the start of data collection (approximately 3-4 weeks before the 201</w:t>
      </w:r>
      <w:r w:rsidR="00376420" w:rsidRPr="004634AE">
        <w:t>3</w:t>
      </w:r>
      <w:r w:rsidR="00487C65" w:rsidRPr="004634AE">
        <w:t xml:space="preserve"> data collection begins). </w:t>
      </w:r>
      <w:r w:rsidR="00DB76DD">
        <w:t xml:space="preserve"> </w:t>
      </w:r>
      <w:r w:rsidR="00DB76DD" w:rsidRPr="005A3290">
        <w:t xml:space="preserve">The Education Longitudinal Study of 2002 Third Follow-Up field test conducted an experiment </w:t>
      </w:r>
      <w:r w:rsidR="007A7B92">
        <w:t xml:space="preserve">of the effectiveness of incentives paid </w:t>
      </w:r>
      <w:r w:rsidR="00DB76DD" w:rsidRPr="005A3290">
        <w:t xml:space="preserve">during the panel </w:t>
      </w:r>
      <w:r w:rsidR="007A7B92">
        <w:t xml:space="preserve">maintenance </w:t>
      </w:r>
      <w:r w:rsidR="00DB76DD" w:rsidRPr="005A3290">
        <w:t>phase.</w:t>
      </w:r>
      <w:r w:rsidR="007A7B92">
        <w:t xml:space="preserve">  </w:t>
      </w:r>
      <w:r w:rsidR="00DB76DD" w:rsidRPr="005A3290">
        <w:t xml:space="preserve">Overall, the $10 treatment group had a higher participation rate (25 percent) than the control group (20 percent, </w:t>
      </w:r>
      <w:r w:rsidR="00DB76DD" w:rsidRPr="005A3290">
        <w:rPr>
          <w:i/>
          <w:iCs/>
        </w:rPr>
        <w:t xml:space="preserve">t </w:t>
      </w:r>
      <w:r w:rsidR="00DB76DD" w:rsidRPr="005A3290">
        <w:t xml:space="preserve">= 1.90, </w:t>
      </w:r>
      <w:r w:rsidR="00DB76DD" w:rsidRPr="005A3290">
        <w:rPr>
          <w:i/>
          <w:iCs/>
        </w:rPr>
        <w:t xml:space="preserve">p &lt; </w:t>
      </w:r>
      <w:r w:rsidR="00DB76DD" w:rsidRPr="005A3290">
        <w:t>.05)</w:t>
      </w:r>
      <w:r w:rsidR="00FA3D15">
        <w:t>.  F</w:t>
      </w:r>
      <w:r w:rsidR="00DB76DD" w:rsidRPr="005A3290">
        <w:t xml:space="preserve">urther evaluation of the data </w:t>
      </w:r>
      <w:r w:rsidR="007A7B92">
        <w:t xml:space="preserve">indicated </w:t>
      </w:r>
      <w:r w:rsidR="00DB76DD" w:rsidRPr="005A3290">
        <w:t>that the contact information provided largely new information not already in the study database</w:t>
      </w:r>
      <w:r w:rsidR="00FA3D15">
        <w:t>; f</w:t>
      </w:r>
      <w:r w:rsidR="00DB76DD" w:rsidRPr="005A3290">
        <w:t xml:space="preserve">or 82 percent of the responding cases, at least one new address, phone number, or email address was provided for the student, parent, or both. </w:t>
      </w:r>
      <w:r w:rsidR="007A7B92">
        <w:t xml:space="preserve"> </w:t>
      </w:r>
      <w:r w:rsidR="00DB76DD" w:rsidRPr="005A3290">
        <w:t>Being able to make direct contact with the sample student during data collection saves time and costs, and is likely to increase interview participation.</w:t>
      </w:r>
    </w:p>
    <w:p w:rsidR="00A85E54" w:rsidRPr="001C4A9E" w:rsidRDefault="00F776AE" w:rsidP="00147ACF">
      <w:pPr>
        <w:pStyle w:val="BodyText"/>
        <w:numPr>
          <w:ilvl w:val="0"/>
          <w:numId w:val="21"/>
        </w:numPr>
        <w:rPr>
          <w:i/>
        </w:rPr>
      </w:pPr>
      <w:r w:rsidRPr="001C4A9E">
        <w:rPr>
          <w:i/>
        </w:rPr>
        <w:t>To encourage early response.</w:t>
      </w:r>
      <w:r w:rsidR="00487C65" w:rsidRPr="004634AE">
        <w:t xml:space="preserve"> Once data collection begins, all cases will be offered an initial incentive of $</w:t>
      </w:r>
      <w:r w:rsidR="00D45342" w:rsidRPr="004634AE">
        <w:t>3</w:t>
      </w:r>
      <w:r w:rsidR="00487C65" w:rsidRPr="004634AE">
        <w:t>0</w:t>
      </w:r>
      <w:r w:rsidR="00D45342" w:rsidRPr="004634AE">
        <w:t xml:space="preserve"> to complete the BPS interview during the early response phase</w:t>
      </w:r>
      <w:r w:rsidR="00EF2FDF" w:rsidRPr="00EF2FDF">
        <w:t xml:space="preserve">.  </w:t>
      </w:r>
      <w:r w:rsidR="00A81F62">
        <w:t xml:space="preserve">The $30 amount </w:t>
      </w:r>
      <w:r w:rsidR="00C1770A">
        <w:t xml:space="preserve">has been used for NPSAS and BPS data collections since 2004.  As recently as the NPSAS:12, </w:t>
      </w:r>
      <w:r w:rsidR="00225468">
        <w:t>h</w:t>
      </w:r>
      <w:r w:rsidR="00225468" w:rsidRPr="00225468">
        <w:t>igh propensity cases</w:t>
      </w:r>
      <w:r w:rsidR="00225468">
        <w:t xml:space="preserve"> </w:t>
      </w:r>
      <w:r w:rsidR="00C1770A">
        <w:t xml:space="preserve">offered $30 participated at a significantly higher rate than cases offered </w:t>
      </w:r>
      <w:r w:rsidR="00225468">
        <w:t>a $15 incentive</w:t>
      </w:r>
      <w:r w:rsidR="00225468" w:rsidRPr="00225468">
        <w:t xml:space="preserve"> (χ2 = 18.2244, p &lt; .0001). </w:t>
      </w:r>
    </w:p>
    <w:p w:rsidR="00A85E54" w:rsidRPr="004634AE" w:rsidRDefault="00F776AE" w:rsidP="001C4A9E">
      <w:pPr>
        <w:pStyle w:val="BodyText"/>
        <w:numPr>
          <w:ilvl w:val="0"/>
          <w:numId w:val="21"/>
        </w:numPr>
        <w:rPr>
          <w:i/>
        </w:rPr>
      </w:pPr>
      <w:r w:rsidRPr="001C4A9E">
        <w:rPr>
          <w:i/>
        </w:rPr>
        <w:t xml:space="preserve">To minimize nonresponse bias </w:t>
      </w:r>
      <w:r w:rsidR="004634AE" w:rsidRPr="001C4A9E">
        <w:rPr>
          <w:i/>
        </w:rPr>
        <w:t xml:space="preserve">using </w:t>
      </w:r>
      <w:r w:rsidRPr="001C4A9E">
        <w:rPr>
          <w:i/>
        </w:rPr>
        <w:t>a responsive design approach that will be tested experimentally (see Part B, section 3.c)</w:t>
      </w:r>
      <w:r w:rsidR="00487C65" w:rsidRPr="004634AE">
        <w:rPr>
          <w:i/>
        </w:rPr>
        <w:t>.</w:t>
      </w:r>
      <w:r w:rsidR="00487C65" w:rsidRPr="004634AE">
        <w:t xml:space="preserve"> After </w:t>
      </w:r>
      <w:r w:rsidR="004634AE">
        <w:t xml:space="preserve">the early response phase and </w:t>
      </w:r>
      <w:r w:rsidR="001C4A9E">
        <w:t xml:space="preserve">the </w:t>
      </w:r>
      <w:r w:rsidR="004634AE">
        <w:t xml:space="preserve">first 2 weeks of outbound data collection have been completed, </w:t>
      </w:r>
      <w:r w:rsidR="00487C65" w:rsidRPr="004634AE">
        <w:t xml:space="preserve">the responsive design approach will </w:t>
      </w:r>
      <w:r w:rsidR="00A81F62">
        <w:t>identify</w:t>
      </w:r>
      <w:r w:rsidR="00FA3D15">
        <w:t>, at four time points,</w:t>
      </w:r>
      <w:r w:rsidR="00A81F62">
        <w:t xml:space="preserve"> a subset of cases </w:t>
      </w:r>
      <w:r w:rsidR="00FA3D15" w:rsidRPr="004634AE">
        <w:t>most likely to contribute to nonresponse bias</w:t>
      </w:r>
      <w:r w:rsidR="00FA3D15">
        <w:t>.  Half of the “high distance” cases</w:t>
      </w:r>
      <w:r w:rsidR="00FA3D15" w:rsidRPr="004634AE">
        <w:t xml:space="preserve"> </w:t>
      </w:r>
      <w:r w:rsidR="00FA3D15">
        <w:t xml:space="preserve">will </w:t>
      </w:r>
      <w:r w:rsidR="00A81F62">
        <w:t xml:space="preserve">receive an </w:t>
      </w:r>
      <w:r w:rsidR="00487C65" w:rsidRPr="004634AE">
        <w:t>additional $</w:t>
      </w:r>
      <w:r w:rsidR="00147ACF">
        <w:t>25</w:t>
      </w:r>
      <w:r w:rsidR="00487C65" w:rsidRPr="004634AE">
        <w:t xml:space="preserve"> incentive</w:t>
      </w:r>
      <w:r w:rsidR="00380AA0">
        <w:t>,</w:t>
      </w:r>
      <w:r w:rsidR="00FA3D15">
        <w:t xml:space="preserve"> and comparisons following completion of data collection will determine if the higher incentive was effective </w:t>
      </w:r>
      <w:r w:rsidR="00644DF7">
        <w:t>in bringing in interviews from cases that would have contributed most to nonresponse bias had they not participated</w:t>
      </w:r>
      <w:r w:rsidR="00487C65" w:rsidRPr="001C4A9E">
        <w:rPr>
          <w:i/>
        </w:rPr>
        <w:t>.</w:t>
      </w:r>
      <w:r w:rsidRPr="001C4A9E">
        <w:rPr>
          <w:i/>
        </w:rPr>
        <w:t xml:space="preserve"> </w:t>
      </w:r>
      <w:r w:rsidR="001C4A9E">
        <w:rPr>
          <w:iCs/>
        </w:rPr>
        <w:t xml:space="preserve">Such an approach will allow use of data collection resources strategically, incentivizing cases as they become high distance cases, rather than using the higher incentive amount for all cases from the start. </w:t>
      </w:r>
    </w:p>
    <w:p w:rsidR="0087723D" w:rsidRDefault="00FA3D15" w:rsidP="00724903">
      <w:pPr>
        <w:pStyle w:val="BodyText"/>
        <w:ind w:firstLine="360"/>
      </w:pPr>
      <w:r>
        <w:t xml:space="preserve">In general, </w:t>
      </w:r>
      <w:r w:rsidR="001A07C0">
        <w:t>t</w:t>
      </w:r>
      <w:r w:rsidR="002F213C" w:rsidRPr="005A3290">
        <w:t xml:space="preserve">he use of incentives </w:t>
      </w:r>
      <w:r>
        <w:t xml:space="preserve">during the BPS:12/14 field test will </w:t>
      </w:r>
      <w:r w:rsidR="002F213C" w:rsidRPr="005A3290">
        <w:t>provide significant advantages to the government in terms of timely data collection</w:t>
      </w:r>
      <w:r w:rsidR="001A07C0">
        <w:t xml:space="preserve"> and </w:t>
      </w:r>
      <w:r w:rsidR="002F213C" w:rsidRPr="005A3290">
        <w:t>decreased data collection costs</w:t>
      </w:r>
      <w:r>
        <w:t xml:space="preserve"> since </w:t>
      </w:r>
      <w:r w:rsidR="001A07C0">
        <w:t>i</w:t>
      </w:r>
      <w:r w:rsidR="002F213C" w:rsidRPr="005A3290">
        <w:t>t is likely that the large majority of interviews for which the incentives are paid will be conducted on the Web before more costly, labor intensive CATI outbound calling efforts commence.</w:t>
      </w:r>
    </w:p>
    <w:p w:rsidR="00C33221" w:rsidRDefault="00C33221" w:rsidP="00241C35">
      <w:pPr>
        <w:pStyle w:val="Heading2"/>
        <w:numPr>
          <w:ilvl w:val="1"/>
          <w:numId w:val="16"/>
        </w:numPr>
        <w:spacing w:line="320" w:lineRule="atLeast"/>
        <w:ind w:left="1080" w:hanging="540"/>
        <w:rPr>
          <w:caps/>
        </w:rPr>
      </w:pPr>
      <w:bookmarkStart w:id="97" w:name="_Toc281389139"/>
      <w:bookmarkStart w:id="98" w:name="_Toc281391807"/>
      <w:bookmarkStart w:id="99" w:name="_Toc281392132"/>
      <w:bookmarkStart w:id="100" w:name="_Toc281400594"/>
      <w:bookmarkStart w:id="101" w:name="_Toc281402647"/>
      <w:bookmarkStart w:id="102" w:name="_Toc281405343"/>
      <w:bookmarkStart w:id="103" w:name="_Toc281516523"/>
      <w:bookmarkStart w:id="104" w:name="_Toc279660029"/>
      <w:bookmarkStart w:id="105" w:name="_Toc279661569"/>
      <w:bookmarkStart w:id="106" w:name="_Toc279662069"/>
      <w:bookmarkStart w:id="107" w:name="_Toc279662115"/>
      <w:bookmarkStart w:id="108" w:name="_Toc279662590"/>
      <w:bookmarkStart w:id="109" w:name="_Toc279662789"/>
      <w:bookmarkStart w:id="110" w:name="_Toc279663304"/>
      <w:bookmarkStart w:id="111" w:name="_Toc279664154"/>
      <w:bookmarkStart w:id="112" w:name="_Toc279664249"/>
      <w:bookmarkStart w:id="113" w:name="_Toc279664297"/>
      <w:bookmarkStart w:id="114" w:name="_Toc174172880"/>
      <w:bookmarkStart w:id="115" w:name="_Toc174182814"/>
      <w:bookmarkStart w:id="116" w:name="_Toc174182884"/>
      <w:bookmarkStart w:id="117" w:name="_Toc174182970"/>
      <w:bookmarkStart w:id="118" w:name="_Toc174183088"/>
      <w:bookmarkStart w:id="119" w:name="_Toc174183337"/>
      <w:bookmarkStart w:id="120" w:name="_Toc174183399"/>
      <w:bookmarkStart w:id="121" w:name="_Toc33787856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5C26EF">
        <w:t>Assurance of Confidentiality</w:t>
      </w:r>
      <w:bookmarkEnd w:id="121"/>
    </w:p>
    <w:p w:rsidR="00C33221" w:rsidRPr="00710075" w:rsidRDefault="00C33221" w:rsidP="00311C39">
      <w:pPr>
        <w:pStyle w:val="BodyText"/>
        <w:ind w:firstLine="540"/>
      </w:pPr>
      <w:r w:rsidRPr="000404EE">
        <w:t xml:space="preserve">NCES assures participating individuals and institutions that </w:t>
      </w:r>
      <w:r>
        <w:t xml:space="preserve">all </w:t>
      </w:r>
      <w:r w:rsidRPr="000404EE">
        <w:t xml:space="preserve">identifiable </w:t>
      </w:r>
      <w:r>
        <w:t>information</w:t>
      </w:r>
      <w:r w:rsidRPr="000404EE">
        <w:t xml:space="preserve"> collected </w:t>
      </w:r>
      <w:r w:rsidR="00311C39">
        <w:t>in the BPS studies</w:t>
      </w:r>
      <w:r w:rsidRPr="000404EE">
        <w:t xml:space="preserve"> and related programs </w:t>
      </w:r>
      <w:r>
        <w:t xml:space="preserve">may be used only for statistical purposes and may not be disclosed, or used, in identifiable form for any other purpose except as required by law [Education Sciences Reform Act of 2002 (ESRA 2002), 20 U.S.C. </w:t>
      </w:r>
      <w:r w:rsidRPr="00710075">
        <w:t>§</w:t>
      </w:r>
      <w:r>
        <w:t xml:space="preserve"> 9573].</w:t>
      </w:r>
    </w:p>
    <w:p w:rsidR="00C33221" w:rsidRDefault="00C33221" w:rsidP="009734A0">
      <w:pPr>
        <w:pStyle w:val="BodyText"/>
      </w:pPr>
      <w:r>
        <w:t>B</w:t>
      </w:r>
      <w:r w:rsidR="009734A0">
        <w:t>PS</w:t>
      </w:r>
      <w:r w:rsidRPr="009C0354">
        <w:t>:12</w:t>
      </w:r>
      <w:r w:rsidR="009734A0">
        <w:t>/14</w:t>
      </w:r>
      <w:r w:rsidRPr="000404EE">
        <w:t xml:space="preserve"> </w:t>
      </w:r>
      <w:r>
        <w:t>d</w:t>
      </w:r>
      <w:r w:rsidRPr="000404EE">
        <w:t>ata security and confidentiality protection procedures are in place to ensure that RTI and its subcontractors compl</w:t>
      </w:r>
      <w:r>
        <w:t>y</w:t>
      </w:r>
      <w:r w:rsidRPr="000404EE">
        <w:t xml:space="preserve"> with all privacy requirements, including</w:t>
      </w:r>
      <w:r>
        <w:t xml:space="preserve"> the following</w:t>
      </w:r>
      <w:r w:rsidRPr="000404EE">
        <w:t xml:space="preserve">: </w:t>
      </w:r>
    </w:p>
    <w:p w:rsidR="00C33221" w:rsidRDefault="00C33221" w:rsidP="00535E54">
      <w:pPr>
        <w:pStyle w:val="bulletround"/>
        <w:numPr>
          <w:ilvl w:val="0"/>
          <w:numId w:val="13"/>
        </w:numPr>
        <w:tabs>
          <w:tab w:val="clear" w:pos="720"/>
        </w:tabs>
        <w:spacing w:after="0"/>
        <w:ind w:left="1080"/>
      </w:pPr>
      <w:r w:rsidRPr="000404EE">
        <w:t>Statement of Work of this contract;</w:t>
      </w:r>
    </w:p>
    <w:p w:rsidR="00C33221" w:rsidRDefault="00C33221" w:rsidP="00535E54">
      <w:pPr>
        <w:pStyle w:val="bulletround"/>
        <w:numPr>
          <w:ilvl w:val="0"/>
          <w:numId w:val="13"/>
        </w:numPr>
        <w:tabs>
          <w:tab w:val="clear" w:pos="720"/>
        </w:tabs>
        <w:spacing w:after="0"/>
        <w:ind w:left="1080"/>
      </w:pPr>
      <w:r w:rsidRPr="000404EE">
        <w:t>Privacy Act of 1974 U.S.C. § 552(a) (2009);</w:t>
      </w:r>
    </w:p>
    <w:p w:rsidR="00C33221" w:rsidRDefault="00C33221" w:rsidP="00535E54">
      <w:pPr>
        <w:pStyle w:val="bulletround"/>
        <w:numPr>
          <w:ilvl w:val="0"/>
          <w:numId w:val="13"/>
        </w:numPr>
        <w:tabs>
          <w:tab w:val="clear" w:pos="720"/>
        </w:tabs>
        <w:spacing w:after="0"/>
        <w:ind w:left="1080"/>
      </w:pPr>
      <w:r w:rsidRPr="000404EE">
        <w:lastRenderedPageBreak/>
        <w:t xml:space="preserve">U.S. Department of Education Incident Handling Procedures (February 2009); </w:t>
      </w:r>
    </w:p>
    <w:p w:rsidR="00C33221" w:rsidRDefault="00C33221" w:rsidP="00535E54">
      <w:pPr>
        <w:pStyle w:val="bulletround"/>
        <w:numPr>
          <w:ilvl w:val="0"/>
          <w:numId w:val="13"/>
        </w:numPr>
        <w:tabs>
          <w:tab w:val="clear" w:pos="720"/>
        </w:tabs>
        <w:spacing w:after="0"/>
        <w:ind w:left="1080"/>
      </w:pPr>
      <w:r w:rsidRPr="000404EE">
        <w:t xml:space="preserve">U.S. Department of Education General Handbook for Information Technology Security General Support Systems and Major Applications Inventory Procedures (March 2005); </w:t>
      </w:r>
    </w:p>
    <w:p w:rsidR="00C33221" w:rsidRDefault="00C33221" w:rsidP="00535E54">
      <w:pPr>
        <w:pStyle w:val="bulletround"/>
        <w:numPr>
          <w:ilvl w:val="0"/>
          <w:numId w:val="13"/>
        </w:numPr>
        <w:tabs>
          <w:tab w:val="clear" w:pos="720"/>
        </w:tabs>
        <w:spacing w:after="0"/>
        <w:ind w:left="1080"/>
      </w:pPr>
      <w:r w:rsidRPr="000404EE">
        <w:t>U.S. Department of Education, ACS Directive OM:5-101, Contractor Employee Personnel Security Screenings</w:t>
      </w:r>
      <w:r>
        <w:t>;</w:t>
      </w:r>
    </w:p>
    <w:p w:rsidR="00C33221" w:rsidRDefault="00C33221" w:rsidP="00535E54">
      <w:pPr>
        <w:pStyle w:val="bulletround"/>
        <w:numPr>
          <w:ilvl w:val="0"/>
          <w:numId w:val="13"/>
        </w:numPr>
        <w:tabs>
          <w:tab w:val="clear" w:pos="720"/>
        </w:tabs>
        <w:spacing w:after="0"/>
        <w:ind w:left="1080"/>
      </w:pPr>
      <w:r w:rsidRPr="000404EE">
        <w:t>Family Educational and Privacy Act of 1974, 20 U.S.C. §</w:t>
      </w:r>
      <w:r w:rsidRPr="000404EE">
        <w:rPr>
          <w:color w:val="FF0000"/>
        </w:rPr>
        <w:t xml:space="preserve"> </w:t>
      </w:r>
      <w:r w:rsidRPr="000404EE">
        <w:t>1232g (2009);</w:t>
      </w:r>
    </w:p>
    <w:p w:rsidR="00C33221" w:rsidRDefault="00C33221" w:rsidP="00535E54">
      <w:pPr>
        <w:pStyle w:val="bulletround"/>
        <w:numPr>
          <w:ilvl w:val="0"/>
          <w:numId w:val="13"/>
        </w:numPr>
        <w:tabs>
          <w:tab w:val="clear" w:pos="720"/>
        </w:tabs>
        <w:spacing w:after="0"/>
        <w:ind w:left="1080"/>
      </w:pPr>
      <w:r>
        <w:t>E</w:t>
      </w:r>
      <w:r w:rsidRPr="002953DD">
        <w:t>SRA, 20 U.S.C. §</w:t>
      </w:r>
      <w:r>
        <w:t xml:space="preserve"> </w:t>
      </w:r>
      <w:r w:rsidRPr="00407EB2">
        <w:t>9573</w:t>
      </w:r>
      <w:r w:rsidRPr="002953DD">
        <w:t xml:space="preserve"> (2009)</w:t>
      </w:r>
      <w:r w:rsidRPr="000404EE">
        <w:t>;</w:t>
      </w:r>
      <w:r>
        <w:t xml:space="preserve"> and</w:t>
      </w:r>
    </w:p>
    <w:p w:rsidR="00C33221" w:rsidRDefault="00C33221" w:rsidP="00535E54">
      <w:pPr>
        <w:pStyle w:val="bulletround"/>
        <w:numPr>
          <w:ilvl w:val="0"/>
          <w:numId w:val="13"/>
        </w:numPr>
        <w:tabs>
          <w:tab w:val="clear" w:pos="720"/>
        </w:tabs>
        <w:spacing w:after="0"/>
        <w:ind w:left="1080"/>
      </w:pPr>
      <w:r>
        <w:t>All</w:t>
      </w:r>
      <w:r w:rsidRPr="000404EE">
        <w:t xml:space="preserve"> new legislation, which impacts the data collection through this contract. </w:t>
      </w:r>
    </w:p>
    <w:p w:rsidR="00C33221" w:rsidRDefault="00C33221" w:rsidP="00B512DF">
      <w:pPr>
        <w:pStyle w:val="BodyText"/>
      </w:pPr>
      <w:r w:rsidRPr="000404EE">
        <w:t xml:space="preserve">To ensure that confidentiality is </w:t>
      </w:r>
      <w:r>
        <w:t>appropriately</w:t>
      </w:r>
      <w:r w:rsidRPr="000404EE">
        <w:t xml:space="preserve"> maintained at all times, RTI requires that vendors who assist in locating and tracing sample members follow procedures to appropriately safeguard personally identifying information. RTI</w:t>
      </w:r>
      <w:r>
        <w:t>’</w:t>
      </w:r>
      <w:r w:rsidRPr="000404EE">
        <w:t>s vendor contracts outline requirements for information security policies and assessments, security awareness training, physical and environmental security, monitoring, and access control. They also specify the means by which information may be transmitted between RTI and the contractor. Appendix</w:t>
      </w:r>
      <w:r>
        <w:t> </w:t>
      </w:r>
      <w:r w:rsidR="00B512DF">
        <w:t xml:space="preserve">B </w:t>
      </w:r>
      <w:r w:rsidRPr="000404EE">
        <w:t>documents the data security language contained in vendor contracts.</w:t>
      </w:r>
    </w:p>
    <w:p w:rsidR="00C33221" w:rsidRPr="000404EE" w:rsidRDefault="00535E54" w:rsidP="00535E54">
      <w:pPr>
        <w:pStyle w:val="BodyText"/>
      </w:pPr>
      <w:r w:rsidRPr="000404EE">
        <w:t>RTI will adhere to NCES Statistical Standards</w:t>
      </w:r>
      <w:r>
        <w:t xml:space="preserve"> (</w:t>
      </w:r>
      <w:hyperlink r:id="rId18" w:history="1">
        <w:r w:rsidRPr="00535E54">
          <w:rPr>
            <w:rStyle w:val="Hyperlink"/>
            <w:color w:val="0000CC"/>
          </w:rPr>
          <w:t>http://nces.ed.gov/statprog/2002/std4_2.asp</w:t>
        </w:r>
      </w:hyperlink>
      <w:r w:rsidRPr="00535E54">
        <w:rPr>
          <w:rStyle w:val="Hyperlink"/>
          <w:u w:val="none"/>
        </w:rPr>
        <w:t>)</w:t>
      </w:r>
      <w:r w:rsidRPr="000404EE">
        <w:t>.</w:t>
      </w:r>
      <w:r>
        <w:t xml:space="preserve"> </w:t>
      </w:r>
      <w:r w:rsidR="00C33221" w:rsidRPr="000404EE">
        <w:t xml:space="preserve">RTI will also comply with </w:t>
      </w:r>
      <w:r w:rsidR="00C33221">
        <w:t>ED’</w:t>
      </w:r>
      <w:r w:rsidR="00C33221" w:rsidRPr="000404EE">
        <w:t>s IT security policy requirements</w:t>
      </w:r>
      <w:r w:rsidR="00C33221">
        <w:t>,</w:t>
      </w:r>
      <w:r w:rsidR="00C33221" w:rsidRPr="000404EE">
        <w:t xml:space="preserve"> as set forth in the Handbook for Information Assurance Security Policy and related procedures and guidance as well as IT security requirements in the Federal Information Security Management Act, OMB Circulars, and the National Institute of Standards and Technology standards and guidance.</w:t>
      </w:r>
    </w:p>
    <w:p w:rsidR="00C33221" w:rsidRPr="009C0354" w:rsidRDefault="00C33221" w:rsidP="00C14C8F">
      <w:pPr>
        <w:pStyle w:val="BodyText"/>
      </w:pPr>
      <w:r w:rsidRPr="009C0354">
        <w:t>B</w:t>
      </w:r>
      <w:r w:rsidR="00C14C8F">
        <w:t>PS:12/14</w:t>
      </w:r>
      <w:r w:rsidRPr="009C0354">
        <w:t xml:space="preserve"> data security </w:t>
      </w:r>
      <w:r>
        <w:t xml:space="preserve">procedures require that </w:t>
      </w:r>
      <w:r w:rsidRPr="009C0354">
        <w:t xml:space="preserve">notarized nondisclosure affidavits </w:t>
      </w:r>
      <w:r>
        <w:t xml:space="preserve">be </w:t>
      </w:r>
      <w:r w:rsidRPr="009C0354">
        <w:t xml:space="preserve">obtained from all personnel who will have access to individual identifiers (copies of the agreement and affidavit are provided in </w:t>
      </w:r>
      <w:r w:rsidR="00535E54">
        <w:t>A</w:t>
      </w:r>
      <w:r w:rsidRPr="009C0354">
        <w:t>ppendix</w:t>
      </w:r>
      <w:r w:rsidR="007E7625">
        <w:t xml:space="preserve"> </w:t>
      </w:r>
      <w:r w:rsidRPr="009C0354">
        <w:t xml:space="preserve">F). Also implemented are personnel training regarding the meaning of confidentiality; controlled and protected access to computer files; built-in safeguards concerning status monitoring and receipt control systems; and a secure, staffed, in-house computing facility. </w:t>
      </w:r>
      <w:r>
        <w:t xml:space="preserve">The </w:t>
      </w:r>
      <w:r w:rsidRPr="009C0354">
        <w:t xml:space="preserve">procedures </w:t>
      </w:r>
      <w:r>
        <w:t xml:space="preserve">for </w:t>
      </w:r>
      <w:r w:rsidRPr="009C0354">
        <w:t>securing sensitive project data</w:t>
      </w:r>
      <w:r>
        <w:t xml:space="preserve"> will include </w:t>
      </w:r>
      <w:r w:rsidRPr="009C0354">
        <w:t xml:space="preserve">the following: physical/environment protections, building access controls, system access controls, system login restrictions, user identification and authorization procedures, encryption, and project file storage/archiving/destruction. </w:t>
      </w:r>
    </w:p>
    <w:p w:rsidR="00C33221" w:rsidRPr="00395494" w:rsidRDefault="00C33221" w:rsidP="007E7625">
      <w:pPr>
        <w:pStyle w:val="BodyText"/>
      </w:pPr>
      <w:r w:rsidRPr="00395494">
        <w:t>There are several security measures in place to protect data during file matching procedures. NCES has a secure data transfer system, which uses Secure Sockets Layer technology, allowing the transfer of encrypted data over the Internet. The NCES secure server will be used for all administrative data sources, with the exception of the National Student Clearinghouse (NSC), which has its own secure File Transfer Protocol site. All data transfers will be encrypted using Federal Information Processing Standards 140-2 validated encryption tools.</w:t>
      </w:r>
    </w:p>
    <w:p w:rsidR="00C33221" w:rsidRDefault="00C33221" w:rsidP="00C14C8F">
      <w:pPr>
        <w:pStyle w:val="BodyText"/>
      </w:pPr>
      <w:r w:rsidRPr="000404EE">
        <w:t xml:space="preserve">Furthermore, </w:t>
      </w:r>
      <w:r>
        <w:t>ED</w:t>
      </w:r>
      <w:r w:rsidRPr="000404EE">
        <w:t xml:space="preserve"> has established a policy regarding the personnel security screening requirements for all contractor employees and their subcontractors</w:t>
      </w:r>
      <w:r>
        <w:t xml:space="preserve"> to secure the confidentiality of B</w:t>
      </w:r>
      <w:r w:rsidR="00C14C8F">
        <w:t>PS</w:t>
      </w:r>
      <w:r>
        <w:t xml:space="preserve"> respondents</w:t>
      </w:r>
      <w:r w:rsidRPr="000404EE">
        <w:t xml:space="preserve">. The contractor must comply with these personnel security screening requirements throughout the life of the contract. The </w:t>
      </w:r>
      <w:r>
        <w:t>ED</w:t>
      </w:r>
      <w:r w:rsidRPr="000404EE">
        <w:t xml:space="preserve"> directive that contractors must comply with is OM: 5-101, which was last updated on </w:t>
      </w:r>
      <w:r>
        <w:t>January 29, 20</w:t>
      </w:r>
      <w:r w:rsidRPr="000404EE">
        <w:t>08. There are several requirements that the contractor must meet for each employee working on the contract for 30</w:t>
      </w:r>
      <w:r>
        <w:t> </w:t>
      </w:r>
      <w:r w:rsidRPr="000404EE">
        <w:t>days or more. Among these requirements are that each person working on the contract must be assigned a position risk level. The risk levels are high, moderate, and low</w:t>
      </w:r>
      <w:r>
        <w:t>,</w:t>
      </w:r>
      <w:r w:rsidRPr="000404EE">
        <w:t xml:space="preserve"> based on the level of harm that a person in the position can cause to </w:t>
      </w:r>
      <w:r>
        <w:t>ED’</w:t>
      </w:r>
      <w:r w:rsidRPr="000404EE">
        <w:t xml:space="preserve">s interests. Each person working on the </w:t>
      </w:r>
      <w:r w:rsidRPr="000404EE">
        <w:lastRenderedPageBreak/>
        <w:t xml:space="preserve">contract must complete the requirements for a </w:t>
      </w:r>
      <w:r>
        <w:t>“</w:t>
      </w:r>
      <w:r w:rsidRPr="000404EE">
        <w:t>Contractor Security Screening.</w:t>
      </w:r>
      <w:r>
        <w:t>”</w:t>
      </w:r>
      <w:r w:rsidRPr="000404EE">
        <w:t xml:space="preserve"> Depending on the risk level assigned to each person</w:t>
      </w:r>
      <w:r>
        <w:t>’</w:t>
      </w:r>
      <w:r w:rsidRPr="000404EE">
        <w:t xml:space="preserve">s position, a follow-up background investigation by </w:t>
      </w:r>
      <w:r>
        <w:t>ED</w:t>
      </w:r>
      <w:r w:rsidRPr="000404EE">
        <w:t xml:space="preserve"> will occur. </w:t>
      </w:r>
    </w:p>
    <w:p w:rsidR="00C33221" w:rsidRDefault="00FD225E" w:rsidP="004914C7">
      <w:pPr>
        <w:pStyle w:val="BodyText"/>
        <w:rPr>
          <w:highlight w:val="lightGray"/>
        </w:rPr>
      </w:pPr>
      <w:r>
        <w:t xml:space="preserve">Sample member contact materials </w:t>
      </w:r>
      <w:r w:rsidR="00C33221" w:rsidRPr="000404EE">
        <w:t>will describe the voluntary nature of the B</w:t>
      </w:r>
      <w:r>
        <w:t>PS</w:t>
      </w:r>
      <w:r w:rsidR="00C33221" w:rsidRPr="000404EE">
        <w:t>:12</w:t>
      </w:r>
      <w:r>
        <w:t>/14</w:t>
      </w:r>
      <w:r w:rsidR="00C33221" w:rsidRPr="000404EE">
        <w:t xml:space="preserve"> interview and convey the extent to which study member identifiers and responses will be kept confidential. Similarly, the scripts to be read by telephone staff will be very specific in the assurances made to sample members and contacts. Contacting materials are presented </w:t>
      </w:r>
      <w:r w:rsidR="00C33221" w:rsidRPr="000E2691">
        <w:t xml:space="preserve">in </w:t>
      </w:r>
      <w:r w:rsidR="00F76BCF">
        <w:t>A</w:t>
      </w:r>
      <w:r w:rsidR="00C33221" w:rsidRPr="000E2691">
        <w:t>ppendix </w:t>
      </w:r>
      <w:r w:rsidR="004914C7">
        <w:t>G</w:t>
      </w:r>
      <w:r w:rsidR="00C33221" w:rsidRPr="000E2691">
        <w:t>. The</w:t>
      </w:r>
      <w:r w:rsidR="00C33221" w:rsidRPr="000404EE">
        <w:t xml:space="preserve"> following confidentiality language is provided in the study brochure that is supplied to all sample members:</w:t>
      </w:r>
    </w:p>
    <w:p w:rsidR="00C33221" w:rsidRPr="00A73490" w:rsidRDefault="00C33221" w:rsidP="00691C87">
      <w:pPr>
        <w:pStyle w:val="BlockText"/>
        <w:ind w:right="1440"/>
        <w:jc w:val="both"/>
        <w:rPr>
          <w:sz w:val="20"/>
        </w:rPr>
      </w:pPr>
      <w:r w:rsidRPr="007474C4">
        <w:rPr>
          <w:sz w:val="20"/>
        </w:rPr>
        <w:t>The B</w:t>
      </w:r>
      <w:r w:rsidR="00FD225E">
        <w:rPr>
          <w:sz w:val="20"/>
        </w:rPr>
        <w:t xml:space="preserve">eginning Postsecondary Students </w:t>
      </w:r>
      <w:r w:rsidRPr="007474C4">
        <w:rPr>
          <w:sz w:val="20"/>
        </w:rPr>
        <w:t xml:space="preserve">Longitudinal Study </w:t>
      </w:r>
      <w:r>
        <w:rPr>
          <w:sz w:val="20"/>
        </w:rPr>
        <w:t>(B</w:t>
      </w:r>
      <w:r w:rsidR="00FD225E">
        <w:rPr>
          <w:sz w:val="20"/>
        </w:rPr>
        <w:t>PS:12/14</w:t>
      </w:r>
      <w:r>
        <w:rPr>
          <w:sz w:val="20"/>
        </w:rPr>
        <w:t xml:space="preserve">) </w:t>
      </w:r>
      <w:r w:rsidRPr="007474C4">
        <w:rPr>
          <w:sz w:val="20"/>
        </w:rPr>
        <w:t>is conducted under the authority of the Education Sciences Reform Act (ESRA) of 2002 (20 U.S.C. § 95</w:t>
      </w:r>
      <w:r w:rsidR="00FD225E">
        <w:rPr>
          <w:sz w:val="20"/>
        </w:rPr>
        <w:t>43</w:t>
      </w:r>
      <w:r w:rsidRPr="007474C4">
        <w:rPr>
          <w:sz w:val="20"/>
        </w:rPr>
        <w:t>) which authorize NCES to collect and disseminate information about education in the United States. Collection is most often done through surveys.</w:t>
      </w:r>
    </w:p>
    <w:p w:rsidR="00C33221" w:rsidRPr="00A73490" w:rsidRDefault="00C33221" w:rsidP="00A73490">
      <w:pPr>
        <w:pStyle w:val="BlockText"/>
        <w:ind w:right="1440"/>
        <w:jc w:val="both"/>
        <w:rPr>
          <w:sz w:val="20"/>
        </w:rPr>
      </w:pPr>
      <w:r w:rsidRPr="007474C4">
        <w:rPr>
          <w:sz w:val="20"/>
        </w:rPr>
        <w:t xml:space="preserve">NCES is required to follow strict procedures to protect the confidentiality of persons in the collection, reporting, and publication of data. All individually identifiable information supplied by individuals or institutions to </w:t>
      </w:r>
      <w:r w:rsidR="003F1B59">
        <w:rPr>
          <w:sz w:val="20"/>
        </w:rPr>
        <w:t>NCES</w:t>
      </w:r>
      <w:r w:rsidRPr="007474C4">
        <w:rPr>
          <w:sz w:val="20"/>
        </w:rPr>
        <w:t xml:space="preserve"> may be used only for statistical purposes and may not be disclosed or used in identifiable form for any other purpose, </w:t>
      </w:r>
      <w:r w:rsidRPr="00CC7B8A">
        <w:rPr>
          <w:sz w:val="20"/>
        </w:rPr>
        <w:t xml:space="preserve">except as required </w:t>
      </w:r>
      <w:r w:rsidRPr="007474C4">
        <w:rPr>
          <w:sz w:val="20"/>
        </w:rPr>
        <w:t>by law (20 U.S.C. § 9573).</w:t>
      </w:r>
    </w:p>
    <w:p w:rsidR="00C33221" w:rsidRDefault="00C33221" w:rsidP="00241C35">
      <w:pPr>
        <w:pStyle w:val="Heading2"/>
        <w:numPr>
          <w:ilvl w:val="1"/>
          <w:numId w:val="16"/>
        </w:numPr>
        <w:spacing w:line="320" w:lineRule="atLeast"/>
        <w:ind w:left="1080" w:hanging="540"/>
      </w:pPr>
      <w:bookmarkStart w:id="122" w:name="_Toc337878564"/>
      <w:r w:rsidRPr="005C26EF">
        <w:t>Sensitive Questions</w:t>
      </w:r>
      <w:bookmarkEnd w:id="122"/>
    </w:p>
    <w:p w:rsidR="00C33221" w:rsidRDefault="00C33221" w:rsidP="004914C7">
      <w:pPr>
        <w:pStyle w:val="BodyText"/>
        <w:ind w:firstLine="540"/>
      </w:pPr>
      <w:r>
        <w:t xml:space="preserve">The </w:t>
      </w:r>
      <w:r w:rsidR="000B119E">
        <w:t>BPS:12/14</w:t>
      </w:r>
      <w:r>
        <w:t xml:space="preserve"> interview contains items about earnings, assets and debts, and marital and family status. 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that clearly inform them of the voluntary nature of participation in the study, and (c) assurances that responses may be used only for statistical purposes, except as required by law (</w:t>
      </w:r>
      <w:r w:rsidRPr="007474C4">
        <w:rPr>
          <w:sz w:val="20"/>
        </w:rPr>
        <w:t>20 U.S.C. § 9573</w:t>
      </w:r>
      <w:r>
        <w:t xml:space="preserve">). Several procedures have been implemented to provide these assurances to respondents.  They </w:t>
      </w:r>
      <w:r w:rsidRPr="000F5BB9">
        <w:t xml:space="preserve">are outlined in the confidentiality agreements shown in </w:t>
      </w:r>
      <w:r w:rsidR="00F76BCF">
        <w:t>A</w:t>
      </w:r>
      <w:r w:rsidRPr="000F5BB9">
        <w:t xml:space="preserve">ppendix </w:t>
      </w:r>
      <w:r w:rsidR="004914C7">
        <w:t>F</w:t>
      </w:r>
      <w:r w:rsidRPr="000F5BB9">
        <w:t>.</w:t>
      </w:r>
    </w:p>
    <w:p w:rsidR="00C33221" w:rsidRDefault="00C33221" w:rsidP="00A57D03">
      <w:pPr>
        <w:pStyle w:val="BodyText"/>
      </w:pPr>
      <w:r>
        <w:t>The collection of data related to income, earnings, assets, indebtedness, and long-range employment outcomes is central to understanding key policy issues driving this study. Financial assets and obligation</w:t>
      </w:r>
      <w:r w:rsidR="00A57D03">
        <w:t xml:space="preserve">s can play an important role in student persistence in, and completion of, postsecondary education programs. </w:t>
      </w:r>
      <w:r>
        <w:t>In addition, information about income, earnings, and assets provides vital labor force variables and important indicators of the rate of return of educational experiences to the respondent.</w:t>
      </w:r>
    </w:p>
    <w:p w:rsidR="00C33221" w:rsidRDefault="00C33221" w:rsidP="00A57D03">
      <w:pPr>
        <w:pStyle w:val="BodyText"/>
      </w:pPr>
      <w:r>
        <w:t xml:space="preserve">The collection of information about marital and family status also facilitates the exploration of key policy issues. Social and economic support provided by spouses can play an important role in </w:t>
      </w:r>
      <w:r w:rsidR="00A57D03">
        <w:t xml:space="preserve">students enrolling and persisting in </w:t>
      </w:r>
      <w:r>
        <w:t xml:space="preserve">postsecondary </w:t>
      </w:r>
      <w:r w:rsidR="00A57D03">
        <w:t>education and the</w:t>
      </w:r>
      <w:r>
        <w:t xml:space="preserve"> successful </w:t>
      </w:r>
      <w:r w:rsidR="00A57D03">
        <w:t>transition to employment</w:t>
      </w:r>
      <w:r>
        <w:t xml:space="preserve">. Financial and family-related obligations also influence decisions about employment and </w:t>
      </w:r>
      <w:r w:rsidR="00A57D03">
        <w:t xml:space="preserve">additional </w:t>
      </w:r>
      <w:r>
        <w:t xml:space="preserve">education, so it is important to collect information about marital status and dependents. </w:t>
      </w:r>
    </w:p>
    <w:p w:rsidR="00C33221" w:rsidRDefault="00C33221" w:rsidP="00241C35">
      <w:pPr>
        <w:pStyle w:val="Heading2"/>
        <w:numPr>
          <w:ilvl w:val="1"/>
          <w:numId w:val="16"/>
        </w:numPr>
        <w:spacing w:line="320" w:lineRule="atLeast"/>
        <w:ind w:left="1080" w:hanging="540"/>
      </w:pPr>
      <w:bookmarkStart w:id="123" w:name="_Toc283667351"/>
      <w:bookmarkStart w:id="124" w:name="_Toc337878565"/>
      <w:bookmarkEnd w:id="123"/>
      <w:r w:rsidRPr="005C26EF">
        <w:t>Estimates of Response Burden</w:t>
      </w:r>
      <w:bookmarkEnd w:id="124"/>
      <w:r w:rsidRPr="005C26EF">
        <w:t xml:space="preserve"> </w:t>
      </w:r>
    </w:p>
    <w:p w:rsidR="001E7A6E" w:rsidRDefault="00C33221" w:rsidP="000E2691">
      <w:pPr>
        <w:pStyle w:val="BodyText"/>
      </w:pPr>
      <w:r>
        <w:t>B</w:t>
      </w:r>
      <w:r w:rsidR="00A57D03">
        <w:t>PS:12/14</w:t>
      </w:r>
      <w:r>
        <w:t xml:space="preserve"> </w:t>
      </w:r>
      <w:r w:rsidR="00AB501A">
        <w:t xml:space="preserve">field test </w:t>
      </w:r>
      <w:r>
        <w:t xml:space="preserve">will involve </w:t>
      </w:r>
      <w:r w:rsidRPr="005C26EF">
        <w:t xml:space="preserve">the collection </w:t>
      </w:r>
      <w:r>
        <w:t xml:space="preserve">of respondent interview data by </w:t>
      </w:r>
      <w:r w:rsidRPr="005C26EF">
        <w:t>self-administered</w:t>
      </w:r>
      <w:r>
        <w:t xml:space="preserve"> web</w:t>
      </w:r>
      <w:r w:rsidR="00AB501A">
        <w:t xml:space="preserve"> and </w:t>
      </w:r>
      <w:r w:rsidR="00AB501A" w:rsidRPr="005C26EF">
        <w:t xml:space="preserve"> </w:t>
      </w:r>
      <w:r w:rsidRPr="005C26EF">
        <w:t>telephone</w:t>
      </w:r>
      <w:r w:rsidR="00AB501A">
        <w:t xml:space="preserve"> </w:t>
      </w:r>
      <w:r w:rsidRPr="000F5BB9">
        <w:t xml:space="preserve">interview. </w:t>
      </w:r>
      <w:r w:rsidR="00AB501A">
        <w:t xml:space="preserve">  B</w:t>
      </w:r>
      <w:r w:rsidRPr="005C26EF">
        <w:t>urden estimates</w:t>
      </w:r>
      <w:r w:rsidRPr="004951DD">
        <w:t>—</w:t>
      </w:r>
      <w:r>
        <w:t>including number of sample members, expected response rates, and estimated time per respondent</w:t>
      </w:r>
      <w:r w:rsidRPr="00534AFE">
        <w:t>—</w:t>
      </w:r>
      <w:r w:rsidR="00382265">
        <w:t>are shown in table 2</w:t>
      </w:r>
      <w:r>
        <w:t xml:space="preserve">. </w:t>
      </w:r>
    </w:p>
    <w:p w:rsidR="001E7A6E" w:rsidRDefault="001E7A6E" w:rsidP="00241C35">
      <w:pPr>
        <w:pStyle w:val="BodyText"/>
      </w:pPr>
      <w:r>
        <w:t xml:space="preserve">Burden estimates for the FAFS will be provided with the submission for the full-scale data collection, once the final sample size and results of the ELS:2002 FAFS are known.  </w:t>
      </w:r>
      <w:r w:rsidRPr="00DB0068">
        <w:t xml:space="preserve">There </w:t>
      </w:r>
      <w:r>
        <w:t xml:space="preserve">will be up to </w:t>
      </w:r>
      <w:r w:rsidRPr="00DB0068">
        <w:lastRenderedPageBreak/>
        <w:t xml:space="preserve">four methods of data collection available for providing student records data, two involve keying directly into a Web application and two involve preparing data and then uploading it to the website. </w:t>
      </w:r>
      <w:r>
        <w:t>At the time</w:t>
      </w:r>
      <w:r w:rsidR="002F187D">
        <w:t xml:space="preserve"> of this submission</w:t>
      </w:r>
      <w:r>
        <w:t xml:space="preserve">, </w:t>
      </w:r>
      <w:r w:rsidRPr="00DB0068">
        <w:t xml:space="preserve">average </w:t>
      </w:r>
      <w:r>
        <w:t xml:space="preserve">time per institution is estimated to be about </w:t>
      </w:r>
      <w:r w:rsidRPr="00DB0068">
        <w:t xml:space="preserve">3.3 hours. </w:t>
      </w:r>
    </w:p>
    <w:p w:rsidR="002225C7" w:rsidRDefault="002225C7" w:rsidP="006E1E9C">
      <w:pPr>
        <w:pStyle w:val="TableTitle"/>
      </w:pPr>
      <w:bookmarkStart w:id="125" w:name="_Toc320870701"/>
      <w:bookmarkStart w:id="126" w:name="_Toc336282411"/>
      <w:bookmarkStart w:id="127" w:name="_Toc337878573"/>
      <w:r>
        <w:t xml:space="preserve">Table </w:t>
      </w:r>
      <w:r w:rsidR="006E1E9C">
        <w:t>2</w:t>
      </w:r>
      <w:r>
        <w:t>.</w:t>
      </w:r>
      <w:r>
        <w:tab/>
      </w:r>
      <w:r w:rsidRPr="00425593">
        <w:t>Estimated B</w:t>
      </w:r>
      <w:r w:rsidR="00201E71">
        <w:t>PS</w:t>
      </w:r>
      <w:r w:rsidRPr="00425593">
        <w:t>:12</w:t>
      </w:r>
      <w:r w:rsidR="00201E71">
        <w:t xml:space="preserve">/14 </w:t>
      </w:r>
      <w:r w:rsidR="00804A75">
        <w:t xml:space="preserve">field test </w:t>
      </w:r>
      <w:r w:rsidR="00201E71">
        <w:t>cost and</w:t>
      </w:r>
      <w:r w:rsidRPr="00425593">
        <w:t xml:space="preserve"> respons</w:t>
      </w:r>
      <w:bookmarkEnd w:id="125"/>
      <w:r w:rsidR="00201E71">
        <w:t>e burden</w:t>
      </w:r>
      <w:bookmarkEnd w:id="126"/>
      <w:bookmarkEnd w:id="127"/>
    </w:p>
    <w:tbl>
      <w:tblPr>
        <w:tblW w:w="5000" w:type="pct"/>
        <w:tblLook w:val="00A0" w:firstRow="1" w:lastRow="0" w:firstColumn="1" w:lastColumn="0" w:noHBand="0" w:noVBand="0"/>
      </w:tblPr>
      <w:tblGrid>
        <w:gridCol w:w="2990"/>
        <w:gridCol w:w="900"/>
        <w:gridCol w:w="718"/>
        <w:gridCol w:w="1169"/>
        <w:gridCol w:w="990"/>
        <w:gridCol w:w="992"/>
        <w:gridCol w:w="1025"/>
        <w:gridCol w:w="756"/>
        <w:gridCol w:w="900"/>
      </w:tblGrid>
      <w:tr w:rsidR="00520F06" w:rsidTr="00520F06">
        <w:trPr>
          <w:trHeight w:val="144"/>
        </w:trPr>
        <w:tc>
          <w:tcPr>
            <w:tcW w:w="1432" w:type="pct"/>
            <w:tcBorders>
              <w:top w:val="single" w:sz="12" w:space="0" w:color="auto"/>
              <w:left w:val="nil"/>
              <w:bottom w:val="single" w:sz="4" w:space="0" w:color="auto"/>
              <w:right w:val="nil"/>
            </w:tcBorders>
            <w:vAlign w:val="center"/>
          </w:tcPr>
          <w:p w:rsidR="0022636A" w:rsidRPr="00C0777F" w:rsidRDefault="0022636A" w:rsidP="0052190A">
            <w:pPr>
              <w:jc w:val="center"/>
              <w:rPr>
                <w:rFonts w:ascii="Calibri" w:hAnsi="Calibri" w:cs="Calibri"/>
                <w:b/>
                <w:bCs/>
                <w:color w:val="000000"/>
                <w:sz w:val="18"/>
                <w:szCs w:val="18"/>
              </w:rPr>
            </w:pPr>
          </w:p>
        </w:tc>
        <w:tc>
          <w:tcPr>
            <w:tcW w:w="431" w:type="pct"/>
            <w:tcBorders>
              <w:top w:val="single" w:sz="12" w:space="0" w:color="auto"/>
              <w:left w:val="nil"/>
              <w:bottom w:val="single" w:sz="4" w:space="0" w:color="auto"/>
              <w:right w:val="nil"/>
            </w:tcBorders>
            <w:vAlign w:val="center"/>
            <w:hideMark/>
          </w:tcPr>
          <w:p w:rsidR="0022636A" w:rsidRPr="00C0777F" w:rsidRDefault="0022636A" w:rsidP="0052190A">
            <w:pPr>
              <w:ind w:left="-113" w:right="-108"/>
              <w:jc w:val="center"/>
              <w:rPr>
                <w:rFonts w:ascii="Calibri" w:hAnsi="Calibri" w:cs="Calibri"/>
                <w:b/>
                <w:bCs/>
                <w:color w:val="000000"/>
                <w:sz w:val="18"/>
                <w:szCs w:val="18"/>
              </w:rPr>
            </w:pPr>
            <w:r w:rsidRPr="00C0777F">
              <w:rPr>
                <w:rFonts w:ascii="Calibri" w:hAnsi="Calibri" w:cs="Calibri"/>
                <w:b/>
                <w:bCs/>
                <w:color w:val="000000"/>
                <w:sz w:val="18"/>
                <w:szCs w:val="18"/>
              </w:rPr>
              <w:t>Sample Size</w:t>
            </w:r>
          </w:p>
        </w:tc>
        <w:tc>
          <w:tcPr>
            <w:tcW w:w="344" w:type="pct"/>
            <w:tcBorders>
              <w:top w:val="single" w:sz="12" w:space="0" w:color="auto"/>
              <w:left w:val="nil"/>
              <w:bottom w:val="single" w:sz="4" w:space="0" w:color="auto"/>
              <w:right w:val="nil"/>
            </w:tcBorders>
            <w:vAlign w:val="center"/>
            <w:hideMark/>
          </w:tcPr>
          <w:p w:rsidR="0022636A" w:rsidRPr="00C0777F" w:rsidRDefault="0022636A" w:rsidP="0052190A">
            <w:pPr>
              <w:ind w:left="-110" w:right="-108"/>
              <w:jc w:val="center"/>
              <w:rPr>
                <w:rFonts w:ascii="Calibri" w:hAnsi="Calibri" w:cs="Calibri"/>
                <w:b/>
                <w:bCs/>
                <w:color w:val="000000"/>
                <w:sz w:val="18"/>
                <w:szCs w:val="18"/>
              </w:rPr>
            </w:pPr>
            <w:r w:rsidRPr="00C0777F">
              <w:rPr>
                <w:rFonts w:ascii="Calibri" w:hAnsi="Calibri" w:cs="Calibri"/>
                <w:b/>
                <w:bCs/>
                <w:color w:val="000000"/>
                <w:sz w:val="18"/>
                <w:szCs w:val="18"/>
              </w:rPr>
              <w:t>Expected Eligible</w:t>
            </w:r>
          </w:p>
        </w:tc>
        <w:tc>
          <w:tcPr>
            <w:tcW w:w="560" w:type="pct"/>
            <w:tcBorders>
              <w:top w:val="single" w:sz="12" w:space="0" w:color="auto"/>
              <w:left w:val="nil"/>
              <w:bottom w:val="single" w:sz="4" w:space="0" w:color="auto"/>
              <w:right w:val="nil"/>
            </w:tcBorders>
            <w:vAlign w:val="center"/>
            <w:hideMark/>
          </w:tcPr>
          <w:p w:rsidR="0022636A" w:rsidRPr="00C0777F" w:rsidRDefault="0022636A" w:rsidP="0052190A">
            <w:pPr>
              <w:ind w:left="-109" w:right="-107"/>
              <w:jc w:val="center"/>
              <w:rPr>
                <w:rFonts w:ascii="Calibri" w:hAnsi="Calibri" w:cs="Calibri"/>
                <w:b/>
                <w:bCs/>
                <w:color w:val="000000"/>
                <w:sz w:val="18"/>
                <w:szCs w:val="18"/>
              </w:rPr>
            </w:pPr>
            <w:r w:rsidRPr="00C0777F">
              <w:rPr>
                <w:rFonts w:ascii="Calibri" w:hAnsi="Calibri" w:cs="Calibri"/>
                <w:b/>
                <w:bCs/>
                <w:color w:val="000000"/>
                <w:sz w:val="18"/>
                <w:szCs w:val="18"/>
              </w:rPr>
              <w:t>Expected Response Rate</w:t>
            </w:r>
          </w:p>
        </w:tc>
        <w:tc>
          <w:tcPr>
            <w:tcW w:w="474" w:type="pct"/>
            <w:tcBorders>
              <w:top w:val="single" w:sz="12" w:space="0" w:color="auto"/>
              <w:left w:val="nil"/>
              <w:bottom w:val="single" w:sz="4" w:space="0" w:color="auto"/>
              <w:right w:val="nil"/>
            </w:tcBorders>
            <w:vAlign w:val="center"/>
            <w:hideMark/>
          </w:tcPr>
          <w:p w:rsidR="0022636A" w:rsidRPr="00C0777F" w:rsidRDefault="00520F06" w:rsidP="0052190A">
            <w:pPr>
              <w:ind w:left="-106" w:right="-109"/>
              <w:jc w:val="center"/>
              <w:rPr>
                <w:rFonts w:ascii="Calibri" w:hAnsi="Calibri" w:cs="Calibri"/>
                <w:b/>
                <w:bCs/>
                <w:color w:val="000000"/>
                <w:sz w:val="18"/>
                <w:szCs w:val="18"/>
              </w:rPr>
            </w:pPr>
            <w:r>
              <w:rPr>
                <w:rFonts w:ascii="Calibri" w:hAnsi="Calibri" w:cs="Calibri"/>
                <w:b/>
                <w:bCs/>
                <w:color w:val="000000"/>
                <w:sz w:val="18"/>
                <w:szCs w:val="18"/>
              </w:rPr>
              <w:t>Number</w:t>
            </w:r>
            <w:r w:rsidR="00D5229E">
              <w:rPr>
                <w:rFonts w:ascii="Calibri" w:hAnsi="Calibri" w:cs="Calibri"/>
                <w:b/>
                <w:bCs/>
                <w:color w:val="000000"/>
                <w:sz w:val="18"/>
                <w:szCs w:val="18"/>
              </w:rPr>
              <w:t xml:space="preserve"> of</w:t>
            </w:r>
            <w:r>
              <w:rPr>
                <w:rFonts w:ascii="Calibri" w:hAnsi="Calibri" w:cs="Calibri"/>
                <w:b/>
                <w:bCs/>
                <w:color w:val="000000"/>
                <w:sz w:val="18"/>
                <w:szCs w:val="18"/>
              </w:rPr>
              <w:t xml:space="preserve"> Respondents</w:t>
            </w:r>
          </w:p>
        </w:tc>
        <w:tc>
          <w:tcPr>
            <w:tcW w:w="475" w:type="pct"/>
            <w:tcBorders>
              <w:top w:val="single" w:sz="12" w:space="0" w:color="auto"/>
              <w:left w:val="nil"/>
              <w:bottom w:val="single" w:sz="4" w:space="0" w:color="auto"/>
              <w:right w:val="nil"/>
            </w:tcBorders>
            <w:vAlign w:val="center"/>
            <w:hideMark/>
          </w:tcPr>
          <w:p w:rsidR="0022636A" w:rsidRPr="00C0777F" w:rsidRDefault="0022636A" w:rsidP="0052190A">
            <w:pPr>
              <w:ind w:left="-104" w:right="-109"/>
              <w:jc w:val="center"/>
              <w:rPr>
                <w:rFonts w:ascii="Calibri" w:hAnsi="Calibri" w:cs="Calibri"/>
                <w:b/>
                <w:bCs/>
                <w:color w:val="000000"/>
                <w:sz w:val="18"/>
                <w:szCs w:val="18"/>
              </w:rPr>
            </w:pPr>
            <w:r w:rsidRPr="00C0777F">
              <w:rPr>
                <w:rFonts w:ascii="Calibri" w:hAnsi="Calibri" w:cs="Calibri"/>
                <w:b/>
                <w:bCs/>
                <w:color w:val="000000"/>
                <w:sz w:val="18"/>
                <w:szCs w:val="18"/>
              </w:rPr>
              <w:t>Av</w:t>
            </w:r>
            <w:r>
              <w:rPr>
                <w:rFonts w:ascii="Calibri" w:hAnsi="Calibri" w:cs="Calibri"/>
                <w:b/>
                <w:bCs/>
                <w:color w:val="000000"/>
                <w:sz w:val="18"/>
                <w:szCs w:val="18"/>
              </w:rPr>
              <w:t>e</w:t>
            </w:r>
            <w:r w:rsidRPr="00C0777F">
              <w:rPr>
                <w:rFonts w:ascii="Calibri" w:hAnsi="Calibri" w:cs="Calibri"/>
                <w:b/>
                <w:bCs/>
                <w:color w:val="000000"/>
                <w:sz w:val="18"/>
                <w:szCs w:val="18"/>
              </w:rPr>
              <w:t xml:space="preserve"> Burden (mins)</w:t>
            </w:r>
          </w:p>
        </w:tc>
        <w:tc>
          <w:tcPr>
            <w:tcW w:w="491" w:type="pct"/>
            <w:tcBorders>
              <w:top w:val="single" w:sz="12" w:space="0" w:color="auto"/>
              <w:left w:val="nil"/>
              <w:bottom w:val="single" w:sz="4" w:space="0" w:color="auto"/>
              <w:right w:val="nil"/>
            </w:tcBorders>
            <w:vAlign w:val="center"/>
            <w:hideMark/>
          </w:tcPr>
          <w:p w:rsidR="0022636A" w:rsidRPr="00C0777F" w:rsidRDefault="0022636A" w:rsidP="0052190A">
            <w:pPr>
              <w:ind w:left="-108" w:right="-107"/>
              <w:jc w:val="center"/>
              <w:rPr>
                <w:rFonts w:ascii="Calibri" w:hAnsi="Calibri" w:cs="Calibri"/>
                <w:b/>
                <w:bCs/>
                <w:color w:val="000000"/>
                <w:sz w:val="18"/>
                <w:szCs w:val="18"/>
              </w:rPr>
            </w:pPr>
            <w:r w:rsidRPr="00C0777F">
              <w:rPr>
                <w:rFonts w:ascii="Calibri" w:hAnsi="Calibri" w:cs="Calibri"/>
                <w:b/>
                <w:bCs/>
                <w:color w:val="000000"/>
                <w:sz w:val="18"/>
                <w:szCs w:val="18"/>
              </w:rPr>
              <w:t>Total Burden (hours)</w:t>
            </w:r>
          </w:p>
        </w:tc>
        <w:tc>
          <w:tcPr>
            <w:tcW w:w="362" w:type="pct"/>
            <w:tcBorders>
              <w:top w:val="single" w:sz="12" w:space="0" w:color="auto"/>
              <w:left w:val="nil"/>
              <w:bottom w:val="single" w:sz="4" w:space="0" w:color="auto"/>
              <w:right w:val="nil"/>
            </w:tcBorders>
            <w:vAlign w:val="center"/>
            <w:hideMark/>
          </w:tcPr>
          <w:p w:rsidR="0022636A" w:rsidRPr="00C0777F" w:rsidRDefault="0022636A" w:rsidP="0052190A">
            <w:pPr>
              <w:ind w:left="-109" w:right="-126"/>
              <w:jc w:val="center"/>
              <w:rPr>
                <w:rFonts w:ascii="Calibri" w:hAnsi="Calibri" w:cs="Calibri"/>
                <w:b/>
                <w:bCs/>
                <w:color w:val="000000"/>
                <w:sz w:val="18"/>
                <w:szCs w:val="18"/>
              </w:rPr>
            </w:pPr>
            <w:r w:rsidRPr="00C0777F">
              <w:rPr>
                <w:rFonts w:ascii="Calibri" w:hAnsi="Calibri" w:cs="Calibri"/>
                <w:b/>
                <w:bCs/>
                <w:color w:val="000000"/>
                <w:sz w:val="18"/>
                <w:szCs w:val="18"/>
              </w:rPr>
              <w:t>Rate per hour ($)</w:t>
            </w:r>
          </w:p>
        </w:tc>
        <w:tc>
          <w:tcPr>
            <w:tcW w:w="431" w:type="pct"/>
            <w:tcBorders>
              <w:top w:val="single" w:sz="12" w:space="0" w:color="auto"/>
              <w:left w:val="nil"/>
              <w:bottom w:val="single" w:sz="4" w:space="0" w:color="auto"/>
              <w:right w:val="nil"/>
            </w:tcBorders>
            <w:vAlign w:val="center"/>
            <w:hideMark/>
          </w:tcPr>
          <w:p w:rsidR="0022636A" w:rsidRPr="00C0777F" w:rsidRDefault="0022636A" w:rsidP="00520F06">
            <w:pPr>
              <w:ind w:left="-90" w:right="-126"/>
              <w:jc w:val="center"/>
              <w:rPr>
                <w:rFonts w:ascii="Calibri" w:hAnsi="Calibri" w:cs="Calibri"/>
                <w:b/>
                <w:bCs/>
                <w:color w:val="000000"/>
                <w:sz w:val="18"/>
                <w:szCs w:val="18"/>
              </w:rPr>
            </w:pPr>
            <w:r w:rsidRPr="00C0777F">
              <w:rPr>
                <w:rFonts w:ascii="Calibri" w:hAnsi="Calibri" w:cs="Calibri"/>
                <w:b/>
                <w:bCs/>
                <w:color w:val="000000"/>
                <w:sz w:val="18"/>
                <w:szCs w:val="18"/>
              </w:rPr>
              <w:t>Total cost ($)</w:t>
            </w:r>
          </w:p>
        </w:tc>
      </w:tr>
      <w:tr w:rsidR="00520F06" w:rsidTr="00520F06">
        <w:trPr>
          <w:trHeight w:val="144"/>
        </w:trPr>
        <w:tc>
          <w:tcPr>
            <w:tcW w:w="1432" w:type="pct"/>
            <w:tcBorders>
              <w:top w:val="single" w:sz="4" w:space="0" w:color="auto"/>
              <w:left w:val="nil"/>
              <w:bottom w:val="nil"/>
              <w:right w:val="nil"/>
            </w:tcBorders>
            <w:vAlign w:val="center"/>
            <w:hideMark/>
          </w:tcPr>
          <w:p w:rsidR="00BE76B5" w:rsidRPr="00C0777F" w:rsidRDefault="00BE76B5" w:rsidP="0052190A">
            <w:pPr>
              <w:rPr>
                <w:rFonts w:ascii="Calibri" w:hAnsi="Calibri" w:cs="Calibri"/>
                <w:b/>
                <w:color w:val="000000"/>
                <w:sz w:val="18"/>
                <w:szCs w:val="18"/>
              </w:rPr>
            </w:pPr>
            <w:r w:rsidRPr="00C0777F">
              <w:rPr>
                <w:rFonts w:ascii="Calibri" w:hAnsi="Calibri" w:cs="Calibri"/>
                <w:b/>
                <w:color w:val="000000"/>
                <w:sz w:val="18"/>
                <w:szCs w:val="18"/>
              </w:rPr>
              <w:t>BPS:12/14 Field test</w:t>
            </w:r>
          </w:p>
        </w:tc>
        <w:tc>
          <w:tcPr>
            <w:tcW w:w="431" w:type="pct"/>
            <w:tcBorders>
              <w:top w:val="single" w:sz="4" w:space="0" w:color="auto"/>
              <w:left w:val="nil"/>
              <w:bottom w:val="nil"/>
              <w:right w:val="nil"/>
            </w:tcBorders>
            <w:vAlign w:val="center"/>
          </w:tcPr>
          <w:p w:rsidR="00BE76B5" w:rsidRPr="00C0777F" w:rsidRDefault="00BE76B5" w:rsidP="0052190A">
            <w:pPr>
              <w:jc w:val="center"/>
              <w:rPr>
                <w:rFonts w:ascii="Calibri" w:hAnsi="Calibri" w:cs="Calibri"/>
                <w:b/>
                <w:color w:val="000000"/>
                <w:sz w:val="18"/>
                <w:szCs w:val="18"/>
              </w:rPr>
            </w:pPr>
          </w:p>
        </w:tc>
        <w:tc>
          <w:tcPr>
            <w:tcW w:w="344" w:type="pct"/>
            <w:tcBorders>
              <w:top w:val="single" w:sz="4" w:space="0" w:color="auto"/>
              <w:left w:val="nil"/>
              <w:bottom w:val="nil"/>
              <w:right w:val="nil"/>
            </w:tcBorders>
            <w:vAlign w:val="center"/>
          </w:tcPr>
          <w:p w:rsidR="00BE76B5" w:rsidRPr="00C0777F" w:rsidRDefault="00BE76B5" w:rsidP="0052190A">
            <w:pPr>
              <w:jc w:val="center"/>
              <w:rPr>
                <w:rFonts w:ascii="Calibri" w:hAnsi="Calibri" w:cs="Calibri"/>
                <w:b/>
                <w:color w:val="000000"/>
                <w:sz w:val="18"/>
                <w:szCs w:val="18"/>
              </w:rPr>
            </w:pPr>
          </w:p>
        </w:tc>
        <w:tc>
          <w:tcPr>
            <w:tcW w:w="560" w:type="pct"/>
            <w:tcBorders>
              <w:top w:val="single" w:sz="4" w:space="0" w:color="auto"/>
              <w:left w:val="nil"/>
              <w:bottom w:val="nil"/>
              <w:right w:val="nil"/>
            </w:tcBorders>
            <w:vAlign w:val="center"/>
          </w:tcPr>
          <w:p w:rsidR="00BE76B5" w:rsidRPr="00C0777F" w:rsidRDefault="00BE76B5" w:rsidP="0052190A">
            <w:pPr>
              <w:jc w:val="center"/>
              <w:rPr>
                <w:rFonts w:ascii="Calibri" w:hAnsi="Calibri" w:cs="Calibri"/>
                <w:b/>
                <w:color w:val="000000"/>
                <w:sz w:val="18"/>
                <w:szCs w:val="18"/>
                <w:highlight w:val="yellow"/>
              </w:rPr>
            </w:pPr>
          </w:p>
        </w:tc>
        <w:tc>
          <w:tcPr>
            <w:tcW w:w="474" w:type="pct"/>
            <w:tcBorders>
              <w:top w:val="single" w:sz="4" w:space="0" w:color="auto"/>
              <w:left w:val="nil"/>
              <w:bottom w:val="nil"/>
              <w:right w:val="nil"/>
            </w:tcBorders>
            <w:vAlign w:val="center"/>
          </w:tcPr>
          <w:p w:rsidR="00BE76B5" w:rsidRPr="00C0777F" w:rsidRDefault="00BE76B5" w:rsidP="0052190A">
            <w:pPr>
              <w:jc w:val="center"/>
              <w:rPr>
                <w:rFonts w:ascii="Calibri" w:hAnsi="Calibri" w:cs="Calibri"/>
                <w:b/>
                <w:color w:val="000000"/>
                <w:sz w:val="18"/>
                <w:szCs w:val="18"/>
                <w:highlight w:val="yellow"/>
              </w:rPr>
            </w:pPr>
          </w:p>
        </w:tc>
        <w:tc>
          <w:tcPr>
            <w:tcW w:w="475" w:type="pct"/>
            <w:tcBorders>
              <w:top w:val="single" w:sz="4" w:space="0" w:color="auto"/>
              <w:left w:val="nil"/>
              <w:bottom w:val="nil"/>
              <w:right w:val="nil"/>
            </w:tcBorders>
            <w:vAlign w:val="center"/>
          </w:tcPr>
          <w:p w:rsidR="00BE76B5" w:rsidRPr="00C0777F" w:rsidRDefault="00BE76B5" w:rsidP="0052190A">
            <w:pPr>
              <w:jc w:val="center"/>
              <w:rPr>
                <w:rFonts w:ascii="Calibri" w:hAnsi="Calibri" w:cs="Calibri"/>
                <w:b/>
                <w:color w:val="000000"/>
                <w:sz w:val="18"/>
                <w:szCs w:val="18"/>
                <w:highlight w:val="yellow"/>
              </w:rPr>
            </w:pPr>
          </w:p>
        </w:tc>
        <w:tc>
          <w:tcPr>
            <w:tcW w:w="491" w:type="pct"/>
            <w:tcBorders>
              <w:top w:val="single" w:sz="4" w:space="0" w:color="auto"/>
              <w:left w:val="nil"/>
              <w:bottom w:val="nil"/>
              <w:right w:val="nil"/>
            </w:tcBorders>
            <w:vAlign w:val="center"/>
          </w:tcPr>
          <w:p w:rsidR="00BE76B5" w:rsidRPr="00C0777F" w:rsidRDefault="00BE76B5" w:rsidP="0052190A">
            <w:pPr>
              <w:jc w:val="center"/>
              <w:rPr>
                <w:rFonts w:ascii="Calibri" w:hAnsi="Calibri" w:cs="Calibri"/>
                <w:b/>
                <w:color w:val="000000"/>
                <w:sz w:val="18"/>
                <w:szCs w:val="18"/>
                <w:highlight w:val="yellow"/>
              </w:rPr>
            </w:pPr>
          </w:p>
        </w:tc>
        <w:tc>
          <w:tcPr>
            <w:tcW w:w="362" w:type="pct"/>
            <w:tcBorders>
              <w:top w:val="single" w:sz="4" w:space="0" w:color="auto"/>
              <w:left w:val="nil"/>
              <w:bottom w:val="nil"/>
              <w:right w:val="nil"/>
            </w:tcBorders>
            <w:vAlign w:val="center"/>
          </w:tcPr>
          <w:p w:rsidR="00BE76B5" w:rsidRPr="00C0777F" w:rsidRDefault="00BE76B5" w:rsidP="0052190A">
            <w:pPr>
              <w:jc w:val="center"/>
              <w:rPr>
                <w:rFonts w:ascii="Calibri" w:hAnsi="Calibri" w:cs="Calibri"/>
                <w:b/>
                <w:color w:val="000000"/>
                <w:sz w:val="18"/>
                <w:szCs w:val="18"/>
              </w:rPr>
            </w:pPr>
          </w:p>
        </w:tc>
        <w:tc>
          <w:tcPr>
            <w:tcW w:w="431" w:type="pct"/>
            <w:tcBorders>
              <w:top w:val="single" w:sz="4" w:space="0" w:color="auto"/>
              <w:left w:val="nil"/>
              <w:bottom w:val="nil"/>
              <w:right w:val="nil"/>
            </w:tcBorders>
            <w:vAlign w:val="center"/>
          </w:tcPr>
          <w:p w:rsidR="00BE76B5" w:rsidRPr="00C0777F" w:rsidRDefault="00BE76B5" w:rsidP="0052190A">
            <w:pPr>
              <w:jc w:val="right"/>
              <w:rPr>
                <w:rFonts w:ascii="Calibri" w:hAnsi="Calibri" w:cs="Calibri"/>
                <w:b/>
                <w:color w:val="000000"/>
                <w:sz w:val="18"/>
                <w:szCs w:val="18"/>
              </w:rPr>
            </w:pPr>
          </w:p>
        </w:tc>
      </w:tr>
      <w:tr w:rsidR="00520F06" w:rsidTr="00520F06">
        <w:trPr>
          <w:trHeight w:val="144"/>
        </w:trPr>
        <w:tc>
          <w:tcPr>
            <w:tcW w:w="1432" w:type="pct"/>
            <w:vAlign w:val="center"/>
            <w:hideMark/>
          </w:tcPr>
          <w:p w:rsidR="00BE76B5" w:rsidRPr="00C0777F" w:rsidRDefault="00BE76B5" w:rsidP="0052190A">
            <w:pPr>
              <w:rPr>
                <w:rFonts w:ascii="Calibri" w:hAnsi="Calibri" w:cs="Calibri"/>
                <w:bCs/>
                <w:color w:val="000000"/>
                <w:sz w:val="18"/>
                <w:szCs w:val="18"/>
              </w:rPr>
            </w:pPr>
            <w:r w:rsidRPr="00C0777F">
              <w:rPr>
                <w:rFonts w:ascii="Calibri" w:hAnsi="Calibri" w:cs="Calibri"/>
                <w:bCs/>
                <w:color w:val="000000"/>
                <w:sz w:val="18"/>
                <w:szCs w:val="18"/>
              </w:rPr>
              <w:t>Panel Maintenance</w:t>
            </w:r>
            <w:r w:rsidR="0052190A">
              <w:rPr>
                <w:rFonts w:ascii="Calibri" w:hAnsi="Calibri" w:cs="Calibri"/>
                <w:bCs/>
                <w:color w:val="000000"/>
                <w:sz w:val="18"/>
                <w:szCs w:val="18"/>
              </w:rPr>
              <w:t xml:space="preserve"> </w:t>
            </w:r>
            <w:r w:rsidRPr="00C0777F">
              <w:rPr>
                <w:rFonts w:ascii="Calibri" w:hAnsi="Calibri" w:cs="Calibri"/>
                <w:bCs/>
                <w:color w:val="000000"/>
                <w:sz w:val="18"/>
                <w:szCs w:val="18"/>
              </w:rPr>
              <w:t>(address updates)</w:t>
            </w:r>
          </w:p>
        </w:tc>
        <w:tc>
          <w:tcPr>
            <w:tcW w:w="431"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3,496</w:t>
            </w:r>
          </w:p>
        </w:tc>
        <w:tc>
          <w:tcPr>
            <w:tcW w:w="344"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N/A</w:t>
            </w:r>
          </w:p>
        </w:tc>
        <w:tc>
          <w:tcPr>
            <w:tcW w:w="560"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33%</w:t>
            </w:r>
          </w:p>
        </w:tc>
        <w:tc>
          <w:tcPr>
            <w:tcW w:w="474"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1,154</w:t>
            </w:r>
          </w:p>
        </w:tc>
        <w:tc>
          <w:tcPr>
            <w:tcW w:w="475"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5</w:t>
            </w:r>
          </w:p>
        </w:tc>
        <w:tc>
          <w:tcPr>
            <w:tcW w:w="491"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96</w:t>
            </w:r>
          </w:p>
        </w:tc>
        <w:tc>
          <w:tcPr>
            <w:tcW w:w="362" w:type="pct"/>
            <w:vAlign w:val="center"/>
            <w:hideMark/>
          </w:tcPr>
          <w:p w:rsidR="00BE76B5" w:rsidRPr="00C0777F" w:rsidRDefault="00BE76B5" w:rsidP="0052190A">
            <w:pPr>
              <w:jc w:val="right"/>
              <w:rPr>
                <w:rFonts w:ascii="Calibri" w:hAnsi="Calibri" w:cs="Calibri"/>
                <w:bCs/>
                <w:color w:val="000000"/>
                <w:sz w:val="18"/>
                <w:szCs w:val="18"/>
              </w:rPr>
            </w:pPr>
            <w:r w:rsidRPr="00C0777F">
              <w:rPr>
                <w:rFonts w:ascii="Calibri" w:hAnsi="Calibri" w:cs="Calibri"/>
                <w:bCs/>
                <w:color w:val="000000"/>
                <w:sz w:val="18"/>
                <w:szCs w:val="18"/>
              </w:rPr>
              <w:t>$10</w:t>
            </w:r>
          </w:p>
        </w:tc>
        <w:tc>
          <w:tcPr>
            <w:tcW w:w="431" w:type="pct"/>
            <w:vAlign w:val="center"/>
            <w:hideMark/>
          </w:tcPr>
          <w:p w:rsidR="00BE76B5" w:rsidRPr="00C0777F" w:rsidRDefault="00BE76B5" w:rsidP="0052190A">
            <w:pPr>
              <w:jc w:val="right"/>
              <w:rPr>
                <w:rFonts w:ascii="Calibri" w:hAnsi="Calibri" w:cs="Calibri"/>
                <w:bCs/>
                <w:color w:val="000000"/>
                <w:sz w:val="18"/>
                <w:szCs w:val="18"/>
              </w:rPr>
            </w:pPr>
            <w:r w:rsidRPr="00C0777F">
              <w:rPr>
                <w:rFonts w:ascii="Calibri" w:hAnsi="Calibri" w:cs="Calibri"/>
                <w:bCs/>
                <w:color w:val="000000"/>
                <w:sz w:val="18"/>
                <w:szCs w:val="18"/>
              </w:rPr>
              <w:t>$960</w:t>
            </w:r>
          </w:p>
        </w:tc>
      </w:tr>
      <w:tr w:rsidR="00520F06" w:rsidTr="00520F06">
        <w:trPr>
          <w:trHeight w:val="144"/>
        </w:trPr>
        <w:tc>
          <w:tcPr>
            <w:tcW w:w="1432" w:type="pct"/>
            <w:vAlign w:val="center"/>
            <w:hideMark/>
          </w:tcPr>
          <w:p w:rsidR="00BE76B5" w:rsidRPr="00C0777F" w:rsidRDefault="00BE76B5" w:rsidP="0052190A">
            <w:pPr>
              <w:rPr>
                <w:rFonts w:ascii="Calibri" w:hAnsi="Calibri" w:cs="Calibri"/>
                <w:bCs/>
                <w:color w:val="000000"/>
                <w:sz w:val="18"/>
                <w:szCs w:val="18"/>
              </w:rPr>
            </w:pPr>
            <w:r w:rsidRPr="00C0777F">
              <w:rPr>
                <w:rFonts w:ascii="Calibri" w:hAnsi="Calibri" w:cs="Calibri"/>
                <w:bCs/>
                <w:color w:val="000000"/>
                <w:sz w:val="18"/>
                <w:szCs w:val="18"/>
              </w:rPr>
              <w:t>Student Interview:</w:t>
            </w:r>
          </w:p>
        </w:tc>
        <w:tc>
          <w:tcPr>
            <w:tcW w:w="431" w:type="pct"/>
            <w:vAlign w:val="center"/>
          </w:tcPr>
          <w:p w:rsidR="00BE76B5" w:rsidRPr="00C0777F" w:rsidRDefault="00BE76B5" w:rsidP="0052190A">
            <w:pPr>
              <w:jc w:val="center"/>
              <w:rPr>
                <w:rFonts w:ascii="Calibri" w:hAnsi="Calibri" w:cs="Calibri"/>
                <w:bCs/>
                <w:color w:val="000000"/>
                <w:sz w:val="18"/>
                <w:szCs w:val="18"/>
              </w:rPr>
            </w:pPr>
          </w:p>
        </w:tc>
        <w:tc>
          <w:tcPr>
            <w:tcW w:w="344" w:type="pct"/>
            <w:vAlign w:val="center"/>
          </w:tcPr>
          <w:p w:rsidR="00BE76B5" w:rsidRPr="00C0777F" w:rsidRDefault="00BE76B5" w:rsidP="0052190A">
            <w:pPr>
              <w:jc w:val="center"/>
              <w:rPr>
                <w:rFonts w:ascii="Calibri" w:hAnsi="Calibri" w:cs="Calibri"/>
                <w:bCs/>
                <w:color w:val="000000"/>
                <w:sz w:val="18"/>
                <w:szCs w:val="18"/>
              </w:rPr>
            </w:pPr>
          </w:p>
        </w:tc>
        <w:tc>
          <w:tcPr>
            <w:tcW w:w="560" w:type="pct"/>
            <w:vAlign w:val="center"/>
          </w:tcPr>
          <w:p w:rsidR="00BE76B5" w:rsidRPr="00C0777F" w:rsidRDefault="00BE76B5" w:rsidP="0052190A">
            <w:pPr>
              <w:jc w:val="center"/>
              <w:rPr>
                <w:rFonts w:ascii="Calibri" w:hAnsi="Calibri" w:cs="Calibri"/>
                <w:bCs/>
                <w:color w:val="000000"/>
                <w:sz w:val="18"/>
                <w:szCs w:val="18"/>
              </w:rPr>
            </w:pPr>
          </w:p>
        </w:tc>
        <w:tc>
          <w:tcPr>
            <w:tcW w:w="474" w:type="pct"/>
            <w:vAlign w:val="center"/>
          </w:tcPr>
          <w:p w:rsidR="00BE76B5" w:rsidRPr="00C0777F" w:rsidRDefault="00BE76B5" w:rsidP="0052190A">
            <w:pPr>
              <w:jc w:val="center"/>
              <w:rPr>
                <w:rFonts w:ascii="Calibri" w:hAnsi="Calibri" w:cs="Calibri"/>
                <w:bCs/>
                <w:color w:val="000000"/>
                <w:sz w:val="18"/>
                <w:szCs w:val="18"/>
              </w:rPr>
            </w:pPr>
          </w:p>
        </w:tc>
        <w:tc>
          <w:tcPr>
            <w:tcW w:w="475" w:type="pct"/>
            <w:vAlign w:val="center"/>
          </w:tcPr>
          <w:p w:rsidR="00BE76B5" w:rsidRPr="00C0777F" w:rsidRDefault="00BE76B5" w:rsidP="0052190A">
            <w:pPr>
              <w:jc w:val="center"/>
              <w:rPr>
                <w:rFonts w:ascii="Calibri" w:hAnsi="Calibri" w:cs="Calibri"/>
                <w:bCs/>
                <w:color w:val="000000"/>
                <w:sz w:val="18"/>
                <w:szCs w:val="18"/>
              </w:rPr>
            </w:pPr>
          </w:p>
        </w:tc>
        <w:tc>
          <w:tcPr>
            <w:tcW w:w="491" w:type="pct"/>
            <w:vAlign w:val="center"/>
          </w:tcPr>
          <w:p w:rsidR="00BE76B5" w:rsidRPr="00C0777F" w:rsidRDefault="00BE76B5" w:rsidP="0052190A">
            <w:pPr>
              <w:jc w:val="center"/>
              <w:rPr>
                <w:rFonts w:ascii="Calibri" w:hAnsi="Calibri" w:cs="Calibri"/>
                <w:bCs/>
                <w:color w:val="000000"/>
                <w:sz w:val="18"/>
                <w:szCs w:val="18"/>
              </w:rPr>
            </w:pPr>
          </w:p>
        </w:tc>
        <w:tc>
          <w:tcPr>
            <w:tcW w:w="362" w:type="pct"/>
            <w:vAlign w:val="center"/>
          </w:tcPr>
          <w:p w:rsidR="00BE76B5" w:rsidRPr="00C0777F" w:rsidRDefault="00BE76B5" w:rsidP="0052190A">
            <w:pPr>
              <w:jc w:val="right"/>
              <w:rPr>
                <w:rFonts w:ascii="Calibri" w:hAnsi="Calibri" w:cs="Calibri"/>
                <w:bCs/>
                <w:color w:val="000000"/>
                <w:sz w:val="18"/>
                <w:szCs w:val="18"/>
              </w:rPr>
            </w:pPr>
          </w:p>
        </w:tc>
        <w:tc>
          <w:tcPr>
            <w:tcW w:w="431" w:type="pct"/>
            <w:vAlign w:val="center"/>
          </w:tcPr>
          <w:p w:rsidR="00BE76B5" w:rsidRPr="00C0777F" w:rsidRDefault="00BE76B5" w:rsidP="0052190A">
            <w:pPr>
              <w:jc w:val="right"/>
              <w:rPr>
                <w:rFonts w:ascii="Calibri" w:hAnsi="Calibri" w:cs="Calibri"/>
                <w:bCs/>
                <w:color w:val="000000"/>
                <w:sz w:val="18"/>
                <w:szCs w:val="18"/>
              </w:rPr>
            </w:pPr>
          </w:p>
        </w:tc>
      </w:tr>
      <w:tr w:rsidR="00520F06" w:rsidTr="00520F06">
        <w:trPr>
          <w:trHeight w:val="144"/>
        </w:trPr>
        <w:tc>
          <w:tcPr>
            <w:tcW w:w="1432" w:type="pct"/>
            <w:vAlign w:val="center"/>
            <w:hideMark/>
          </w:tcPr>
          <w:p w:rsidR="00BE76B5" w:rsidRPr="00C0777F" w:rsidRDefault="00127212" w:rsidP="0052190A">
            <w:pPr>
              <w:rPr>
                <w:rFonts w:ascii="Calibri" w:hAnsi="Calibri" w:cs="Calibri"/>
                <w:bCs/>
                <w:color w:val="000000"/>
                <w:sz w:val="18"/>
                <w:szCs w:val="18"/>
              </w:rPr>
            </w:pPr>
            <w:r>
              <w:rPr>
                <w:rFonts w:ascii="Calibri" w:hAnsi="Calibri" w:cs="Calibri"/>
                <w:bCs/>
                <w:color w:val="000000"/>
                <w:sz w:val="18"/>
                <w:szCs w:val="18"/>
              </w:rPr>
              <w:t xml:space="preserve">   </w:t>
            </w:r>
            <w:r w:rsidR="00BE76B5" w:rsidRPr="00C0777F">
              <w:rPr>
                <w:rFonts w:ascii="Calibri" w:hAnsi="Calibri" w:cs="Calibri"/>
                <w:bCs/>
                <w:color w:val="000000"/>
                <w:sz w:val="18"/>
                <w:szCs w:val="18"/>
              </w:rPr>
              <w:t>Confirmed FTB’s</w:t>
            </w:r>
          </w:p>
        </w:tc>
        <w:tc>
          <w:tcPr>
            <w:tcW w:w="431"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2,003</w:t>
            </w:r>
          </w:p>
        </w:tc>
        <w:tc>
          <w:tcPr>
            <w:tcW w:w="344"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N/A</w:t>
            </w:r>
          </w:p>
        </w:tc>
        <w:tc>
          <w:tcPr>
            <w:tcW w:w="560"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82%</w:t>
            </w:r>
          </w:p>
        </w:tc>
        <w:tc>
          <w:tcPr>
            <w:tcW w:w="474"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1,642</w:t>
            </w:r>
          </w:p>
        </w:tc>
        <w:tc>
          <w:tcPr>
            <w:tcW w:w="475"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35</w:t>
            </w:r>
          </w:p>
        </w:tc>
        <w:tc>
          <w:tcPr>
            <w:tcW w:w="491"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958</w:t>
            </w:r>
          </w:p>
        </w:tc>
        <w:tc>
          <w:tcPr>
            <w:tcW w:w="362" w:type="pct"/>
            <w:vAlign w:val="center"/>
            <w:hideMark/>
          </w:tcPr>
          <w:p w:rsidR="00BE76B5" w:rsidRPr="00C0777F" w:rsidRDefault="00BE76B5" w:rsidP="0052190A">
            <w:pPr>
              <w:jc w:val="right"/>
              <w:rPr>
                <w:rFonts w:ascii="Calibri" w:hAnsi="Calibri" w:cs="Calibri"/>
                <w:bCs/>
                <w:color w:val="000000"/>
                <w:sz w:val="18"/>
                <w:szCs w:val="18"/>
              </w:rPr>
            </w:pPr>
            <w:r w:rsidRPr="00C0777F">
              <w:rPr>
                <w:rFonts w:ascii="Calibri" w:hAnsi="Calibri" w:cs="Calibri"/>
                <w:bCs/>
                <w:color w:val="000000"/>
                <w:sz w:val="18"/>
                <w:szCs w:val="18"/>
              </w:rPr>
              <w:t>$10</w:t>
            </w:r>
          </w:p>
        </w:tc>
        <w:tc>
          <w:tcPr>
            <w:tcW w:w="431" w:type="pct"/>
            <w:vAlign w:val="center"/>
            <w:hideMark/>
          </w:tcPr>
          <w:p w:rsidR="00BE76B5" w:rsidRPr="00C0777F" w:rsidRDefault="00BE76B5" w:rsidP="0052190A">
            <w:pPr>
              <w:jc w:val="right"/>
              <w:rPr>
                <w:rFonts w:ascii="Calibri" w:hAnsi="Calibri" w:cs="Calibri"/>
                <w:bCs/>
                <w:color w:val="000000"/>
                <w:sz w:val="18"/>
                <w:szCs w:val="18"/>
              </w:rPr>
            </w:pPr>
            <w:r w:rsidRPr="00C0777F">
              <w:rPr>
                <w:rFonts w:ascii="Calibri" w:hAnsi="Calibri" w:cs="Calibri"/>
                <w:bCs/>
                <w:color w:val="000000"/>
                <w:sz w:val="18"/>
                <w:szCs w:val="18"/>
              </w:rPr>
              <w:t>$9,580</w:t>
            </w:r>
          </w:p>
        </w:tc>
      </w:tr>
      <w:tr w:rsidR="00520F06" w:rsidTr="00520F06">
        <w:trPr>
          <w:trHeight w:val="144"/>
        </w:trPr>
        <w:tc>
          <w:tcPr>
            <w:tcW w:w="1432" w:type="pct"/>
            <w:vAlign w:val="center"/>
            <w:hideMark/>
          </w:tcPr>
          <w:p w:rsidR="00BE76B5" w:rsidRPr="00C0777F" w:rsidRDefault="00127212" w:rsidP="0052190A">
            <w:pPr>
              <w:rPr>
                <w:rFonts w:ascii="Calibri" w:hAnsi="Calibri" w:cs="Calibri"/>
                <w:bCs/>
                <w:color w:val="000000"/>
                <w:sz w:val="18"/>
                <w:szCs w:val="18"/>
              </w:rPr>
            </w:pPr>
            <w:r>
              <w:rPr>
                <w:rFonts w:ascii="Calibri" w:hAnsi="Calibri" w:cs="Calibri"/>
                <w:bCs/>
                <w:color w:val="000000"/>
                <w:sz w:val="18"/>
                <w:szCs w:val="18"/>
              </w:rPr>
              <w:t xml:space="preserve">   </w:t>
            </w:r>
            <w:r w:rsidR="00BE76B5" w:rsidRPr="00C0777F">
              <w:rPr>
                <w:rFonts w:ascii="Calibri" w:hAnsi="Calibri" w:cs="Calibri"/>
                <w:bCs/>
                <w:color w:val="000000"/>
                <w:sz w:val="18"/>
                <w:szCs w:val="18"/>
              </w:rPr>
              <w:t>Potential FTB’s - Full interview</w:t>
            </w:r>
          </w:p>
        </w:tc>
        <w:tc>
          <w:tcPr>
            <w:tcW w:w="431"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747</w:t>
            </w:r>
          </w:p>
        </w:tc>
        <w:tc>
          <w:tcPr>
            <w:tcW w:w="344"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80%</w:t>
            </w:r>
          </w:p>
        </w:tc>
        <w:tc>
          <w:tcPr>
            <w:tcW w:w="560"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52%</w:t>
            </w:r>
          </w:p>
        </w:tc>
        <w:tc>
          <w:tcPr>
            <w:tcW w:w="474"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311</w:t>
            </w:r>
          </w:p>
        </w:tc>
        <w:tc>
          <w:tcPr>
            <w:tcW w:w="475"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35</w:t>
            </w:r>
          </w:p>
        </w:tc>
        <w:tc>
          <w:tcPr>
            <w:tcW w:w="491"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181</w:t>
            </w:r>
          </w:p>
        </w:tc>
        <w:tc>
          <w:tcPr>
            <w:tcW w:w="362" w:type="pct"/>
            <w:vAlign w:val="center"/>
            <w:hideMark/>
          </w:tcPr>
          <w:p w:rsidR="00BE76B5" w:rsidRPr="00C0777F" w:rsidRDefault="00BE76B5" w:rsidP="0052190A">
            <w:pPr>
              <w:jc w:val="right"/>
              <w:rPr>
                <w:rFonts w:ascii="Calibri" w:hAnsi="Calibri" w:cs="Calibri"/>
                <w:bCs/>
                <w:color w:val="000000"/>
                <w:sz w:val="18"/>
                <w:szCs w:val="18"/>
              </w:rPr>
            </w:pPr>
            <w:r w:rsidRPr="00C0777F">
              <w:rPr>
                <w:rFonts w:ascii="Calibri" w:hAnsi="Calibri" w:cs="Calibri"/>
                <w:bCs/>
                <w:color w:val="000000"/>
                <w:sz w:val="18"/>
                <w:szCs w:val="18"/>
              </w:rPr>
              <w:t>$10</w:t>
            </w:r>
          </w:p>
        </w:tc>
        <w:tc>
          <w:tcPr>
            <w:tcW w:w="431" w:type="pct"/>
            <w:vAlign w:val="center"/>
            <w:hideMark/>
          </w:tcPr>
          <w:p w:rsidR="00BE76B5" w:rsidRPr="00C0777F" w:rsidRDefault="00BE76B5" w:rsidP="0052190A">
            <w:pPr>
              <w:jc w:val="right"/>
              <w:rPr>
                <w:rFonts w:ascii="Calibri" w:hAnsi="Calibri" w:cs="Calibri"/>
                <w:bCs/>
                <w:color w:val="000000"/>
                <w:sz w:val="18"/>
                <w:szCs w:val="18"/>
              </w:rPr>
            </w:pPr>
            <w:r w:rsidRPr="00C0777F">
              <w:rPr>
                <w:rFonts w:ascii="Calibri" w:hAnsi="Calibri" w:cs="Calibri"/>
                <w:bCs/>
                <w:color w:val="000000"/>
                <w:sz w:val="18"/>
                <w:szCs w:val="18"/>
              </w:rPr>
              <w:t>$1,810</w:t>
            </w:r>
          </w:p>
        </w:tc>
      </w:tr>
      <w:tr w:rsidR="00520F06" w:rsidTr="00520F06">
        <w:trPr>
          <w:trHeight w:val="144"/>
        </w:trPr>
        <w:tc>
          <w:tcPr>
            <w:tcW w:w="1432" w:type="pct"/>
            <w:vAlign w:val="center"/>
            <w:hideMark/>
          </w:tcPr>
          <w:p w:rsidR="00BE76B5" w:rsidRPr="00C0777F" w:rsidRDefault="00BE76B5" w:rsidP="0052190A">
            <w:pPr>
              <w:rPr>
                <w:rFonts w:ascii="Calibri" w:hAnsi="Calibri" w:cs="Calibri"/>
                <w:bCs/>
                <w:color w:val="000000"/>
                <w:sz w:val="18"/>
                <w:szCs w:val="18"/>
              </w:rPr>
            </w:pPr>
            <w:r w:rsidRPr="00C0777F">
              <w:rPr>
                <w:rFonts w:ascii="Calibri" w:hAnsi="Calibri" w:cs="Calibri"/>
                <w:bCs/>
                <w:color w:val="000000"/>
                <w:sz w:val="18"/>
                <w:szCs w:val="18"/>
              </w:rPr>
              <w:t xml:space="preserve">   </w:t>
            </w:r>
            <w:r w:rsidR="00127212">
              <w:rPr>
                <w:rFonts w:ascii="Calibri" w:hAnsi="Calibri" w:cs="Calibri"/>
                <w:bCs/>
                <w:color w:val="000000"/>
                <w:sz w:val="18"/>
                <w:szCs w:val="18"/>
              </w:rPr>
              <w:t xml:space="preserve">   </w:t>
            </w:r>
            <w:r w:rsidRPr="00C0777F">
              <w:rPr>
                <w:rFonts w:ascii="Calibri" w:hAnsi="Calibri" w:cs="Calibri"/>
                <w:bCs/>
                <w:color w:val="000000"/>
                <w:sz w:val="18"/>
                <w:szCs w:val="18"/>
              </w:rPr>
              <w:t>Modified interview</w:t>
            </w:r>
          </w:p>
        </w:tc>
        <w:tc>
          <w:tcPr>
            <w:tcW w:w="431"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746</w:t>
            </w:r>
          </w:p>
        </w:tc>
        <w:tc>
          <w:tcPr>
            <w:tcW w:w="344"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80%</w:t>
            </w:r>
          </w:p>
        </w:tc>
        <w:tc>
          <w:tcPr>
            <w:tcW w:w="560"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68%</w:t>
            </w:r>
          </w:p>
        </w:tc>
        <w:tc>
          <w:tcPr>
            <w:tcW w:w="474" w:type="pct"/>
            <w:vAlign w:val="center"/>
            <w:hideMark/>
          </w:tcPr>
          <w:p w:rsidR="00BE76B5" w:rsidRPr="00C0777F" w:rsidRDefault="00BE76B5" w:rsidP="0052190A">
            <w:pPr>
              <w:jc w:val="center"/>
              <w:rPr>
                <w:rFonts w:ascii="Calibri" w:hAnsi="Calibri" w:cs="Calibri"/>
                <w:bCs/>
                <w:color w:val="000000"/>
                <w:sz w:val="18"/>
                <w:szCs w:val="18"/>
              </w:rPr>
            </w:pPr>
            <w:r w:rsidRPr="00C0777F">
              <w:rPr>
                <w:rFonts w:ascii="Calibri" w:hAnsi="Calibri" w:cs="Calibri"/>
                <w:bCs/>
                <w:color w:val="000000"/>
                <w:sz w:val="18"/>
                <w:szCs w:val="18"/>
              </w:rPr>
              <w:t>406</w:t>
            </w:r>
          </w:p>
        </w:tc>
        <w:tc>
          <w:tcPr>
            <w:tcW w:w="475" w:type="pct"/>
            <w:vAlign w:val="center"/>
            <w:hideMark/>
          </w:tcPr>
          <w:p w:rsidR="00BE76B5" w:rsidRPr="00C0777F" w:rsidRDefault="00201D6E" w:rsidP="0052190A">
            <w:pPr>
              <w:jc w:val="center"/>
              <w:rPr>
                <w:rFonts w:ascii="Calibri" w:hAnsi="Calibri" w:cs="Calibri"/>
                <w:bCs/>
                <w:color w:val="000000"/>
                <w:sz w:val="18"/>
                <w:szCs w:val="18"/>
              </w:rPr>
            </w:pPr>
            <w:r>
              <w:rPr>
                <w:rFonts w:ascii="Calibri" w:hAnsi="Calibri" w:cs="Calibri"/>
                <w:bCs/>
                <w:color w:val="000000"/>
                <w:sz w:val="18"/>
                <w:szCs w:val="18"/>
              </w:rPr>
              <w:t>20</w:t>
            </w:r>
          </w:p>
        </w:tc>
        <w:tc>
          <w:tcPr>
            <w:tcW w:w="491" w:type="pct"/>
            <w:vAlign w:val="center"/>
            <w:hideMark/>
          </w:tcPr>
          <w:p w:rsidR="00BE76B5" w:rsidRPr="00C0777F" w:rsidRDefault="00201D6E" w:rsidP="0052190A">
            <w:pPr>
              <w:jc w:val="center"/>
              <w:rPr>
                <w:rFonts w:ascii="Calibri" w:hAnsi="Calibri" w:cs="Calibri"/>
                <w:bCs/>
                <w:color w:val="000000"/>
                <w:sz w:val="18"/>
                <w:szCs w:val="18"/>
              </w:rPr>
            </w:pPr>
            <w:r>
              <w:rPr>
                <w:rFonts w:ascii="Calibri" w:hAnsi="Calibri" w:cs="Calibri"/>
                <w:bCs/>
                <w:color w:val="000000"/>
                <w:sz w:val="18"/>
                <w:szCs w:val="18"/>
              </w:rPr>
              <w:t>135</w:t>
            </w:r>
          </w:p>
        </w:tc>
        <w:tc>
          <w:tcPr>
            <w:tcW w:w="362" w:type="pct"/>
            <w:vAlign w:val="center"/>
            <w:hideMark/>
          </w:tcPr>
          <w:p w:rsidR="00BE76B5" w:rsidRPr="00C0777F" w:rsidRDefault="00BE76B5" w:rsidP="0052190A">
            <w:pPr>
              <w:jc w:val="right"/>
              <w:rPr>
                <w:rFonts w:ascii="Calibri" w:hAnsi="Calibri" w:cs="Calibri"/>
                <w:bCs/>
                <w:color w:val="000000"/>
                <w:sz w:val="18"/>
                <w:szCs w:val="18"/>
              </w:rPr>
            </w:pPr>
            <w:r w:rsidRPr="00C0777F">
              <w:rPr>
                <w:rFonts w:ascii="Calibri" w:hAnsi="Calibri" w:cs="Calibri"/>
                <w:bCs/>
                <w:color w:val="000000"/>
                <w:sz w:val="18"/>
                <w:szCs w:val="18"/>
              </w:rPr>
              <w:t>$10</w:t>
            </w:r>
          </w:p>
        </w:tc>
        <w:tc>
          <w:tcPr>
            <w:tcW w:w="431" w:type="pct"/>
            <w:vAlign w:val="center"/>
            <w:hideMark/>
          </w:tcPr>
          <w:p w:rsidR="00BE76B5" w:rsidRPr="00C0777F" w:rsidRDefault="00201D6E" w:rsidP="00201D6E">
            <w:pPr>
              <w:jc w:val="right"/>
              <w:rPr>
                <w:rFonts w:ascii="Calibri" w:hAnsi="Calibri" w:cs="Calibri"/>
                <w:bCs/>
                <w:color w:val="000000"/>
                <w:sz w:val="18"/>
                <w:szCs w:val="18"/>
              </w:rPr>
            </w:pPr>
            <w:r>
              <w:rPr>
                <w:rFonts w:ascii="Calibri" w:hAnsi="Calibri" w:cs="Calibri"/>
                <w:bCs/>
                <w:color w:val="000000"/>
                <w:sz w:val="18"/>
                <w:szCs w:val="18"/>
              </w:rPr>
              <w:t>$1,350</w:t>
            </w:r>
          </w:p>
        </w:tc>
      </w:tr>
      <w:tr w:rsidR="00520F06" w:rsidTr="00520F06">
        <w:trPr>
          <w:trHeight w:val="144"/>
        </w:trPr>
        <w:tc>
          <w:tcPr>
            <w:tcW w:w="1432" w:type="pct"/>
            <w:vAlign w:val="center"/>
            <w:hideMark/>
          </w:tcPr>
          <w:p w:rsidR="00BE76B5" w:rsidRPr="00C0777F" w:rsidRDefault="00BE76B5" w:rsidP="0052190A">
            <w:pPr>
              <w:rPr>
                <w:rFonts w:ascii="Calibri" w:hAnsi="Calibri" w:cs="Calibri"/>
                <w:bCs/>
                <w:color w:val="000000"/>
                <w:sz w:val="18"/>
                <w:szCs w:val="18"/>
              </w:rPr>
            </w:pPr>
            <w:r w:rsidRPr="00C0777F">
              <w:rPr>
                <w:rFonts w:ascii="Calibri" w:hAnsi="Calibri" w:cs="Calibri"/>
                <w:bCs/>
                <w:color w:val="000000"/>
                <w:sz w:val="18"/>
                <w:szCs w:val="18"/>
              </w:rPr>
              <w:t>Student Reinterview*</w:t>
            </w:r>
          </w:p>
        </w:tc>
        <w:tc>
          <w:tcPr>
            <w:tcW w:w="431" w:type="pct"/>
            <w:vAlign w:val="center"/>
            <w:hideMark/>
          </w:tcPr>
          <w:p w:rsidR="00BE76B5" w:rsidRPr="00724903" w:rsidRDefault="00BE76B5" w:rsidP="0052190A">
            <w:pPr>
              <w:jc w:val="center"/>
              <w:rPr>
                <w:rFonts w:ascii="Calibri" w:hAnsi="Calibri" w:cs="Calibri"/>
                <w:bCs/>
                <w:color w:val="000000"/>
                <w:sz w:val="18"/>
                <w:szCs w:val="18"/>
              </w:rPr>
            </w:pPr>
            <w:r w:rsidRPr="00724903">
              <w:rPr>
                <w:rFonts w:ascii="Calibri" w:hAnsi="Calibri" w:cs="Calibri"/>
                <w:bCs/>
                <w:color w:val="000000"/>
                <w:sz w:val="18"/>
                <w:szCs w:val="18"/>
              </w:rPr>
              <w:t>340</w:t>
            </w:r>
          </w:p>
        </w:tc>
        <w:tc>
          <w:tcPr>
            <w:tcW w:w="344" w:type="pct"/>
            <w:vAlign w:val="center"/>
            <w:hideMark/>
          </w:tcPr>
          <w:p w:rsidR="00BE76B5" w:rsidRPr="00724903" w:rsidRDefault="00BE76B5" w:rsidP="0052190A">
            <w:pPr>
              <w:jc w:val="center"/>
              <w:rPr>
                <w:rFonts w:ascii="Calibri" w:hAnsi="Calibri" w:cs="Calibri"/>
                <w:bCs/>
                <w:color w:val="000000"/>
                <w:sz w:val="18"/>
                <w:szCs w:val="18"/>
              </w:rPr>
            </w:pPr>
            <w:r w:rsidRPr="00724903">
              <w:rPr>
                <w:rFonts w:ascii="Calibri" w:hAnsi="Calibri" w:cs="Calibri"/>
                <w:bCs/>
                <w:color w:val="000000"/>
                <w:sz w:val="18"/>
                <w:szCs w:val="18"/>
              </w:rPr>
              <w:t>310</w:t>
            </w:r>
          </w:p>
        </w:tc>
        <w:tc>
          <w:tcPr>
            <w:tcW w:w="560" w:type="pct"/>
            <w:vAlign w:val="center"/>
            <w:hideMark/>
          </w:tcPr>
          <w:p w:rsidR="00BE76B5" w:rsidRPr="00724903" w:rsidRDefault="00BE76B5" w:rsidP="0052190A">
            <w:pPr>
              <w:jc w:val="center"/>
              <w:rPr>
                <w:rFonts w:ascii="Calibri" w:hAnsi="Calibri" w:cs="Calibri"/>
                <w:bCs/>
                <w:color w:val="000000"/>
                <w:sz w:val="18"/>
                <w:szCs w:val="18"/>
              </w:rPr>
            </w:pPr>
            <w:r w:rsidRPr="00724903">
              <w:rPr>
                <w:rFonts w:ascii="Calibri" w:hAnsi="Calibri" w:cs="Calibri"/>
                <w:bCs/>
                <w:color w:val="000000"/>
                <w:sz w:val="18"/>
                <w:szCs w:val="18"/>
              </w:rPr>
              <w:t>70%</w:t>
            </w:r>
          </w:p>
        </w:tc>
        <w:tc>
          <w:tcPr>
            <w:tcW w:w="474" w:type="pct"/>
            <w:vAlign w:val="center"/>
            <w:hideMark/>
          </w:tcPr>
          <w:p w:rsidR="00BE76B5" w:rsidRPr="00724903" w:rsidRDefault="00BE76B5" w:rsidP="0052190A">
            <w:pPr>
              <w:jc w:val="center"/>
              <w:rPr>
                <w:rFonts w:ascii="Calibri" w:hAnsi="Calibri" w:cs="Calibri"/>
                <w:bCs/>
                <w:color w:val="000000"/>
                <w:sz w:val="18"/>
                <w:szCs w:val="18"/>
              </w:rPr>
            </w:pPr>
            <w:r w:rsidRPr="00724903">
              <w:rPr>
                <w:rFonts w:ascii="Calibri" w:hAnsi="Calibri" w:cs="Calibri"/>
                <w:bCs/>
                <w:color w:val="000000"/>
                <w:sz w:val="18"/>
                <w:szCs w:val="18"/>
              </w:rPr>
              <w:t>217</w:t>
            </w:r>
          </w:p>
        </w:tc>
        <w:tc>
          <w:tcPr>
            <w:tcW w:w="475" w:type="pct"/>
            <w:vAlign w:val="center"/>
            <w:hideMark/>
          </w:tcPr>
          <w:p w:rsidR="00BE76B5" w:rsidRPr="00724903" w:rsidRDefault="00BE76B5" w:rsidP="0052190A">
            <w:pPr>
              <w:jc w:val="center"/>
              <w:rPr>
                <w:rFonts w:ascii="Calibri" w:hAnsi="Calibri" w:cs="Calibri"/>
                <w:bCs/>
                <w:color w:val="000000"/>
                <w:sz w:val="18"/>
                <w:szCs w:val="18"/>
              </w:rPr>
            </w:pPr>
            <w:r w:rsidRPr="00724903">
              <w:rPr>
                <w:rFonts w:ascii="Calibri" w:hAnsi="Calibri" w:cs="Calibri"/>
                <w:bCs/>
                <w:color w:val="000000"/>
                <w:sz w:val="18"/>
                <w:szCs w:val="18"/>
              </w:rPr>
              <w:t>10</w:t>
            </w:r>
          </w:p>
        </w:tc>
        <w:tc>
          <w:tcPr>
            <w:tcW w:w="491" w:type="pct"/>
            <w:vAlign w:val="center"/>
            <w:hideMark/>
          </w:tcPr>
          <w:p w:rsidR="00BE76B5" w:rsidRPr="00724903" w:rsidRDefault="00520F06" w:rsidP="0052190A">
            <w:pPr>
              <w:jc w:val="center"/>
              <w:rPr>
                <w:rFonts w:ascii="Calibri" w:hAnsi="Calibri" w:cs="Calibri"/>
                <w:bCs/>
                <w:color w:val="000000"/>
                <w:sz w:val="18"/>
                <w:szCs w:val="18"/>
              </w:rPr>
            </w:pPr>
            <w:r>
              <w:rPr>
                <w:rFonts w:ascii="Calibri" w:hAnsi="Calibri" w:cs="Calibri"/>
                <w:bCs/>
                <w:color w:val="000000"/>
                <w:sz w:val="18"/>
                <w:szCs w:val="18"/>
              </w:rPr>
              <w:t>36</w:t>
            </w:r>
          </w:p>
        </w:tc>
        <w:tc>
          <w:tcPr>
            <w:tcW w:w="362" w:type="pct"/>
            <w:vAlign w:val="center"/>
            <w:hideMark/>
          </w:tcPr>
          <w:p w:rsidR="00BE76B5" w:rsidRPr="00724903" w:rsidRDefault="00BE76B5" w:rsidP="0052190A">
            <w:pPr>
              <w:jc w:val="right"/>
              <w:rPr>
                <w:rFonts w:ascii="Calibri" w:hAnsi="Calibri" w:cs="Calibri"/>
                <w:bCs/>
                <w:color w:val="000000"/>
                <w:sz w:val="18"/>
                <w:szCs w:val="18"/>
              </w:rPr>
            </w:pPr>
            <w:r w:rsidRPr="00724903">
              <w:rPr>
                <w:rFonts w:ascii="Calibri" w:hAnsi="Calibri" w:cs="Calibri"/>
                <w:bCs/>
                <w:color w:val="000000"/>
                <w:sz w:val="18"/>
                <w:szCs w:val="18"/>
              </w:rPr>
              <w:t>$10</w:t>
            </w:r>
          </w:p>
        </w:tc>
        <w:tc>
          <w:tcPr>
            <w:tcW w:w="431" w:type="pct"/>
            <w:vAlign w:val="center"/>
            <w:hideMark/>
          </w:tcPr>
          <w:p w:rsidR="00BE76B5" w:rsidRPr="00724903" w:rsidRDefault="00520F06" w:rsidP="0052190A">
            <w:pPr>
              <w:jc w:val="right"/>
              <w:rPr>
                <w:rFonts w:ascii="Calibri" w:hAnsi="Calibri" w:cs="Calibri"/>
                <w:bCs/>
                <w:color w:val="000000"/>
                <w:sz w:val="18"/>
                <w:szCs w:val="18"/>
              </w:rPr>
            </w:pPr>
            <w:r>
              <w:rPr>
                <w:rFonts w:ascii="Calibri" w:hAnsi="Calibri" w:cs="Calibri"/>
                <w:bCs/>
                <w:color w:val="000000"/>
                <w:sz w:val="18"/>
                <w:szCs w:val="18"/>
              </w:rPr>
              <w:t>$36</w:t>
            </w:r>
            <w:r w:rsidR="00BE76B5" w:rsidRPr="00724903">
              <w:rPr>
                <w:rFonts w:ascii="Calibri" w:hAnsi="Calibri" w:cs="Calibri"/>
                <w:bCs/>
                <w:color w:val="000000"/>
                <w:sz w:val="18"/>
                <w:szCs w:val="18"/>
              </w:rPr>
              <w:t>0</w:t>
            </w:r>
          </w:p>
        </w:tc>
      </w:tr>
      <w:tr w:rsidR="000A2C50" w:rsidRPr="000A2C50" w:rsidTr="00520F06">
        <w:trPr>
          <w:trHeight w:val="144"/>
        </w:trPr>
        <w:tc>
          <w:tcPr>
            <w:tcW w:w="1432" w:type="pct"/>
            <w:vAlign w:val="center"/>
            <w:hideMark/>
          </w:tcPr>
          <w:p w:rsidR="00BE76B5" w:rsidRPr="000A2C50" w:rsidRDefault="00BE76B5" w:rsidP="0052190A">
            <w:pPr>
              <w:rPr>
                <w:rFonts w:ascii="Calibri" w:hAnsi="Calibri" w:cs="Calibri"/>
                <w:b/>
                <w:sz w:val="18"/>
                <w:szCs w:val="18"/>
              </w:rPr>
            </w:pPr>
            <w:r w:rsidRPr="000A2C50">
              <w:rPr>
                <w:rFonts w:ascii="Calibri" w:hAnsi="Calibri" w:cs="Calibri"/>
                <w:b/>
                <w:sz w:val="18"/>
                <w:szCs w:val="18"/>
              </w:rPr>
              <w:t>BPS:12/14 Full-scale</w:t>
            </w:r>
          </w:p>
        </w:tc>
        <w:tc>
          <w:tcPr>
            <w:tcW w:w="431" w:type="pct"/>
            <w:vAlign w:val="center"/>
          </w:tcPr>
          <w:p w:rsidR="00BE76B5" w:rsidRPr="000A2C50" w:rsidRDefault="00BE76B5" w:rsidP="0052190A">
            <w:pPr>
              <w:jc w:val="center"/>
              <w:rPr>
                <w:rFonts w:ascii="Calibri" w:hAnsi="Calibri" w:cs="Calibri"/>
                <w:bCs/>
                <w:sz w:val="18"/>
                <w:szCs w:val="18"/>
              </w:rPr>
            </w:pPr>
          </w:p>
        </w:tc>
        <w:tc>
          <w:tcPr>
            <w:tcW w:w="344" w:type="pct"/>
            <w:vAlign w:val="center"/>
          </w:tcPr>
          <w:p w:rsidR="00BE76B5" w:rsidRPr="000A2C50" w:rsidRDefault="00BE76B5" w:rsidP="0052190A">
            <w:pPr>
              <w:jc w:val="center"/>
              <w:rPr>
                <w:rFonts w:ascii="Calibri" w:hAnsi="Calibri" w:cs="Calibri"/>
                <w:bCs/>
                <w:sz w:val="18"/>
                <w:szCs w:val="18"/>
              </w:rPr>
            </w:pPr>
          </w:p>
        </w:tc>
        <w:tc>
          <w:tcPr>
            <w:tcW w:w="560" w:type="pct"/>
            <w:vAlign w:val="center"/>
          </w:tcPr>
          <w:p w:rsidR="00BE76B5" w:rsidRPr="000A2C50" w:rsidRDefault="00BE76B5" w:rsidP="0052190A">
            <w:pPr>
              <w:jc w:val="center"/>
              <w:rPr>
                <w:rFonts w:ascii="Calibri" w:hAnsi="Calibri" w:cs="Calibri"/>
                <w:bCs/>
                <w:sz w:val="18"/>
                <w:szCs w:val="18"/>
              </w:rPr>
            </w:pPr>
          </w:p>
        </w:tc>
        <w:tc>
          <w:tcPr>
            <w:tcW w:w="474" w:type="pct"/>
            <w:vAlign w:val="center"/>
          </w:tcPr>
          <w:p w:rsidR="00BE76B5" w:rsidRPr="000A2C50" w:rsidRDefault="00BE76B5" w:rsidP="0052190A">
            <w:pPr>
              <w:jc w:val="center"/>
              <w:rPr>
                <w:rFonts w:ascii="Calibri" w:hAnsi="Calibri" w:cs="Calibri"/>
                <w:bCs/>
                <w:sz w:val="18"/>
                <w:szCs w:val="18"/>
              </w:rPr>
            </w:pPr>
          </w:p>
        </w:tc>
        <w:tc>
          <w:tcPr>
            <w:tcW w:w="475" w:type="pct"/>
            <w:vAlign w:val="center"/>
          </w:tcPr>
          <w:p w:rsidR="00BE76B5" w:rsidRPr="000A2C50" w:rsidRDefault="00BE76B5" w:rsidP="0052190A">
            <w:pPr>
              <w:jc w:val="center"/>
              <w:rPr>
                <w:rFonts w:ascii="Calibri" w:hAnsi="Calibri" w:cs="Calibri"/>
                <w:bCs/>
                <w:sz w:val="18"/>
                <w:szCs w:val="18"/>
              </w:rPr>
            </w:pPr>
          </w:p>
        </w:tc>
        <w:tc>
          <w:tcPr>
            <w:tcW w:w="491" w:type="pct"/>
            <w:vAlign w:val="center"/>
          </w:tcPr>
          <w:p w:rsidR="00BE76B5" w:rsidRPr="000A2C50" w:rsidRDefault="00BE76B5" w:rsidP="0052190A">
            <w:pPr>
              <w:jc w:val="center"/>
              <w:rPr>
                <w:rFonts w:ascii="Calibri" w:hAnsi="Calibri" w:cs="Calibri"/>
                <w:bCs/>
                <w:sz w:val="18"/>
                <w:szCs w:val="18"/>
              </w:rPr>
            </w:pPr>
          </w:p>
        </w:tc>
        <w:tc>
          <w:tcPr>
            <w:tcW w:w="362" w:type="pct"/>
            <w:vAlign w:val="center"/>
          </w:tcPr>
          <w:p w:rsidR="00BE76B5" w:rsidRPr="000A2C50" w:rsidRDefault="00BE76B5" w:rsidP="0052190A">
            <w:pPr>
              <w:jc w:val="right"/>
              <w:rPr>
                <w:rFonts w:ascii="Calibri" w:hAnsi="Calibri" w:cs="Calibri"/>
                <w:bCs/>
                <w:sz w:val="18"/>
                <w:szCs w:val="18"/>
              </w:rPr>
            </w:pPr>
          </w:p>
        </w:tc>
        <w:tc>
          <w:tcPr>
            <w:tcW w:w="431" w:type="pct"/>
            <w:vAlign w:val="center"/>
          </w:tcPr>
          <w:p w:rsidR="00BE76B5" w:rsidRPr="000A2C50" w:rsidRDefault="00BE76B5" w:rsidP="0052190A">
            <w:pPr>
              <w:jc w:val="right"/>
              <w:rPr>
                <w:rFonts w:ascii="Calibri" w:hAnsi="Calibri" w:cs="Calibri"/>
                <w:bCs/>
                <w:sz w:val="18"/>
                <w:szCs w:val="18"/>
              </w:rPr>
            </w:pPr>
          </w:p>
        </w:tc>
      </w:tr>
      <w:tr w:rsidR="000A2C50" w:rsidRPr="000A2C50" w:rsidTr="00520F06">
        <w:trPr>
          <w:trHeight w:val="144"/>
        </w:trPr>
        <w:tc>
          <w:tcPr>
            <w:tcW w:w="1432" w:type="pct"/>
            <w:vAlign w:val="center"/>
            <w:hideMark/>
          </w:tcPr>
          <w:p w:rsidR="00BE76B5" w:rsidRPr="000A2C50" w:rsidRDefault="00BE76B5" w:rsidP="0052190A">
            <w:pPr>
              <w:rPr>
                <w:rFonts w:ascii="Calibri" w:hAnsi="Calibri" w:cs="Calibri"/>
                <w:bCs/>
                <w:sz w:val="18"/>
                <w:szCs w:val="18"/>
              </w:rPr>
            </w:pPr>
            <w:r w:rsidRPr="000A2C50">
              <w:rPr>
                <w:rFonts w:ascii="Calibri" w:hAnsi="Calibri" w:cs="Calibri"/>
                <w:bCs/>
                <w:sz w:val="18"/>
                <w:szCs w:val="18"/>
              </w:rPr>
              <w:t>Panel Maintenance (address updates)</w:t>
            </w:r>
          </w:p>
        </w:tc>
        <w:tc>
          <w:tcPr>
            <w:tcW w:w="431" w:type="pct"/>
            <w:vAlign w:val="center"/>
            <w:hideMark/>
          </w:tcPr>
          <w:p w:rsidR="00BE76B5" w:rsidRPr="000A2C50" w:rsidRDefault="00BE76B5" w:rsidP="0052190A">
            <w:pPr>
              <w:jc w:val="center"/>
              <w:rPr>
                <w:rFonts w:ascii="Calibri" w:hAnsi="Calibri" w:cs="Calibri"/>
                <w:bCs/>
                <w:sz w:val="18"/>
                <w:szCs w:val="18"/>
              </w:rPr>
            </w:pPr>
            <w:r w:rsidRPr="000A2C50">
              <w:rPr>
                <w:rFonts w:ascii="Calibri" w:hAnsi="Calibri"/>
                <w:bCs/>
                <w:sz w:val="18"/>
                <w:szCs w:val="18"/>
              </w:rPr>
              <w:t>31,045**</w:t>
            </w:r>
          </w:p>
        </w:tc>
        <w:tc>
          <w:tcPr>
            <w:tcW w:w="344" w:type="pct"/>
            <w:vAlign w:val="center"/>
            <w:hideMark/>
          </w:tcPr>
          <w:p w:rsidR="00BE76B5" w:rsidRPr="000A2C50" w:rsidRDefault="00BE76B5" w:rsidP="0052190A">
            <w:pPr>
              <w:jc w:val="center"/>
              <w:rPr>
                <w:rFonts w:ascii="Calibri" w:hAnsi="Calibri" w:cs="Calibri"/>
                <w:bCs/>
                <w:sz w:val="18"/>
                <w:szCs w:val="18"/>
              </w:rPr>
            </w:pPr>
            <w:r w:rsidRPr="000A2C50">
              <w:rPr>
                <w:rFonts w:ascii="Calibri" w:hAnsi="Calibri" w:cs="Calibri"/>
                <w:bCs/>
                <w:sz w:val="18"/>
                <w:szCs w:val="18"/>
              </w:rPr>
              <w:t>N/A</w:t>
            </w:r>
          </w:p>
        </w:tc>
        <w:tc>
          <w:tcPr>
            <w:tcW w:w="560" w:type="pct"/>
            <w:vAlign w:val="center"/>
            <w:hideMark/>
          </w:tcPr>
          <w:p w:rsidR="00BE76B5" w:rsidRPr="000A2C50" w:rsidRDefault="00BE76B5" w:rsidP="0052190A">
            <w:pPr>
              <w:jc w:val="center"/>
              <w:rPr>
                <w:rFonts w:ascii="Calibri" w:hAnsi="Calibri" w:cs="Calibri"/>
                <w:bCs/>
                <w:sz w:val="18"/>
                <w:szCs w:val="18"/>
              </w:rPr>
            </w:pPr>
            <w:r w:rsidRPr="000A2C50">
              <w:rPr>
                <w:rFonts w:ascii="Calibri" w:hAnsi="Calibri" w:cs="Calibri"/>
                <w:bCs/>
                <w:sz w:val="18"/>
                <w:szCs w:val="18"/>
              </w:rPr>
              <w:t>33%</w:t>
            </w:r>
          </w:p>
        </w:tc>
        <w:tc>
          <w:tcPr>
            <w:tcW w:w="474" w:type="pct"/>
            <w:vAlign w:val="center"/>
            <w:hideMark/>
          </w:tcPr>
          <w:p w:rsidR="00BE76B5" w:rsidRPr="000A2C50" w:rsidRDefault="00BE76B5" w:rsidP="0052190A">
            <w:pPr>
              <w:jc w:val="center"/>
              <w:rPr>
                <w:rFonts w:ascii="Calibri" w:hAnsi="Calibri" w:cs="Calibri"/>
                <w:bCs/>
                <w:sz w:val="18"/>
                <w:szCs w:val="18"/>
              </w:rPr>
            </w:pPr>
            <w:r w:rsidRPr="000A2C50">
              <w:rPr>
                <w:rFonts w:ascii="Calibri" w:hAnsi="Calibri" w:cs="Calibri"/>
                <w:bCs/>
                <w:sz w:val="18"/>
                <w:szCs w:val="18"/>
              </w:rPr>
              <w:t>10,245</w:t>
            </w:r>
          </w:p>
        </w:tc>
        <w:tc>
          <w:tcPr>
            <w:tcW w:w="475" w:type="pct"/>
            <w:vAlign w:val="center"/>
            <w:hideMark/>
          </w:tcPr>
          <w:p w:rsidR="00BE76B5" w:rsidRPr="000A2C50" w:rsidRDefault="00BE76B5" w:rsidP="0052190A">
            <w:pPr>
              <w:jc w:val="center"/>
              <w:rPr>
                <w:rFonts w:ascii="Calibri" w:hAnsi="Calibri" w:cs="Calibri"/>
                <w:bCs/>
                <w:sz w:val="18"/>
                <w:szCs w:val="18"/>
              </w:rPr>
            </w:pPr>
            <w:r w:rsidRPr="000A2C50">
              <w:rPr>
                <w:rFonts w:ascii="Calibri" w:hAnsi="Calibri" w:cs="Calibri"/>
                <w:bCs/>
                <w:sz w:val="18"/>
                <w:szCs w:val="18"/>
              </w:rPr>
              <w:t>5</w:t>
            </w:r>
          </w:p>
        </w:tc>
        <w:tc>
          <w:tcPr>
            <w:tcW w:w="491" w:type="pct"/>
            <w:vAlign w:val="center"/>
            <w:hideMark/>
          </w:tcPr>
          <w:p w:rsidR="00BE76B5" w:rsidRPr="000A2C50" w:rsidRDefault="00BE76B5" w:rsidP="0052190A">
            <w:pPr>
              <w:jc w:val="center"/>
              <w:rPr>
                <w:rFonts w:ascii="Calibri" w:hAnsi="Calibri" w:cs="Calibri"/>
                <w:bCs/>
                <w:sz w:val="18"/>
                <w:szCs w:val="18"/>
              </w:rPr>
            </w:pPr>
            <w:r w:rsidRPr="000A2C50">
              <w:rPr>
                <w:rFonts w:ascii="Calibri" w:hAnsi="Calibri" w:cs="Calibri"/>
                <w:bCs/>
                <w:sz w:val="18"/>
                <w:szCs w:val="18"/>
              </w:rPr>
              <w:t>854</w:t>
            </w:r>
          </w:p>
        </w:tc>
        <w:tc>
          <w:tcPr>
            <w:tcW w:w="362" w:type="pct"/>
            <w:vAlign w:val="center"/>
            <w:hideMark/>
          </w:tcPr>
          <w:p w:rsidR="00BE76B5" w:rsidRPr="000A2C50" w:rsidRDefault="00BE76B5" w:rsidP="0052190A">
            <w:pPr>
              <w:jc w:val="right"/>
              <w:rPr>
                <w:rFonts w:ascii="Calibri" w:hAnsi="Calibri" w:cs="Calibri"/>
                <w:bCs/>
                <w:sz w:val="18"/>
                <w:szCs w:val="18"/>
              </w:rPr>
            </w:pPr>
            <w:r w:rsidRPr="000A2C50">
              <w:rPr>
                <w:rFonts w:ascii="Calibri" w:hAnsi="Calibri" w:cs="Calibri"/>
                <w:bCs/>
                <w:sz w:val="18"/>
                <w:szCs w:val="18"/>
              </w:rPr>
              <w:t>$10</w:t>
            </w:r>
          </w:p>
        </w:tc>
        <w:tc>
          <w:tcPr>
            <w:tcW w:w="431" w:type="pct"/>
            <w:vAlign w:val="center"/>
            <w:hideMark/>
          </w:tcPr>
          <w:p w:rsidR="00BE76B5" w:rsidRPr="000A2C50" w:rsidRDefault="00BE76B5" w:rsidP="0052190A">
            <w:pPr>
              <w:jc w:val="right"/>
              <w:rPr>
                <w:rFonts w:ascii="Calibri" w:hAnsi="Calibri" w:cs="Calibri"/>
                <w:bCs/>
                <w:sz w:val="18"/>
                <w:szCs w:val="18"/>
              </w:rPr>
            </w:pPr>
            <w:r w:rsidRPr="000A2C50">
              <w:rPr>
                <w:rFonts w:ascii="Calibri" w:hAnsi="Calibri" w:cs="Calibri"/>
                <w:bCs/>
                <w:sz w:val="18"/>
                <w:szCs w:val="18"/>
              </w:rPr>
              <w:t>$8,540</w:t>
            </w:r>
          </w:p>
        </w:tc>
      </w:tr>
      <w:tr w:rsidR="00520F06" w:rsidTr="00520F06">
        <w:trPr>
          <w:trHeight w:val="144"/>
        </w:trPr>
        <w:tc>
          <w:tcPr>
            <w:tcW w:w="1432" w:type="pct"/>
            <w:tcBorders>
              <w:bottom w:val="single" w:sz="12" w:space="0" w:color="auto"/>
            </w:tcBorders>
            <w:vAlign w:val="center"/>
            <w:hideMark/>
          </w:tcPr>
          <w:p w:rsidR="00BE76B5" w:rsidRPr="00F76BCF" w:rsidRDefault="00BE76B5" w:rsidP="0052190A">
            <w:pPr>
              <w:rPr>
                <w:rFonts w:ascii="Calibri" w:hAnsi="Calibri" w:cs="Calibri"/>
                <w:bCs/>
                <w:color w:val="595959" w:themeColor="text1" w:themeTint="A6"/>
                <w:sz w:val="18"/>
                <w:szCs w:val="18"/>
              </w:rPr>
            </w:pPr>
            <w:r w:rsidRPr="00F76BCF">
              <w:rPr>
                <w:rFonts w:ascii="Calibri" w:hAnsi="Calibri" w:cs="Calibri"/>
                <w:bCs/>
                <w:color w:val="595959" w:themeColor="text1" w:themeTint="A6"/>
                <w:sz w:val="18"/>
                <w:szCs w:val="18"/>
              </w:rPr>
              <w:t>Student Interview</w:t>
            </w:r>
          </w:p>
        </w:tc>
        <w:tc>
          <w:tcPr>
            <w:tcW w:w="431" w:type="pct"/>
            <w:tcBorders>
              <w:bottom w:val="single" w:sz="12" w:space="0" w:color="auto"/>
            </w:tcBorders>
            <w:vAlign w:val="center"/>
            <w:hideMark/>
          </w:tcPr>
          <w:p w:rsidR="00BE76B5" w:rsidRPr="00F76BCF" w:rsidRDefault="00BE76B5" w:rsidP="0052190A">
            <w:pPr>
              <w:jc w:val="center"/>
              <w:rPr>
                <w:rFonts w:ascii="Calibri" w:hAnsi="Calibri" w:cs="Calibri"/>
                <w:bCs/>
                <w:color w:val="595959" w:themeColor="text1" w:themeTint="A6"/>
                <w:sz w:val="18"/>
                <w:szCs w:val="18"/>
              </w:rPr>
            </w:pPr>
            <w:r w:rsidRPr="00F76BCF">
              <w:rPr>
                <w:rFonts w:ascii="Calibri" w:hAnsi="Calibri" w:cs="Calibri"/>
                <w:bCs/>
                <w:color w:val="595959" w:themeColor="text1" w:themeTint="A6"/>
                <w:sz w:val="18"/>
                <w:szCs w:val="18"/>
              </w:rPr>
              <w:t>31,045**</w:t>
            </w:r>
          </w:p>
        </w:tc>
        <w:tc>
          <w:tcPr>
            <w:tcW w:w="344" w:type="pct"/>
            <w:tcBorders>
              <w:bottom w:val="single" w:sz="12" w:space="0" w:color="auto"/>
            </w:tcBorders>
            <w:vAlign w:val="center"/>
            <w:hideMark/>
          </w:tcPr>
          <w:p w:rsidR="00BE76B5" w:rsidRPr="00F76BCF" w:rsidRDefault="00BE76B5" w:rsidP="0052190A">
            <w:pPr>
              <w:jc w:val="center"/>
              <w:rPr>
                <w:rFonts w:ascii="Calibri" w:hAnsi="Calibri" w:cs="Calibri"/>
                <w:bCs/>
                <w:color w:val="595959" w:themeColor="text1" w:themeTint="A6"/>
                <w:sz w:val="18"/>
                <w:szCs w:val="18"/>
              </w:rPr>
            </w:pPr>
            <w:r w:rsidRPr="00F76BCF">
              <w:rPr>
                <w:rFonts w:ascii="Calibri" w:hAnsi="Calibri" w:cs="Calibri"/>
                <w:bCs/>
                <w:color w:val="595959" w:themeColor="text1" w:themeTint="A6"/>
                <w:sz w:val="18"/>
                <w:szCs w:val="18"/>
              </w:rPr>
              <w:t>N/A</w:t>
            </w:r>
          </w:p>
        </w:tc>
        <w:tc>
          <w:tcPr>
            <w:tcW w:w="560" w:type="pct"/>
            <w:tcBorders>
              <w:bottom w:val="single" w:sz="12" w:space="0" w:color="auto"/>
            </w:tcBorders>
            <w:vAlign w:val="center"/>
            <w:hideMark/>
          </w:tcPr>
          <w:p w:rsidR="00BE76B5" w:rsidRPr="00F76BCF" w:rsidRDefault="00BE76B5" w:rsidP="0052190A">
            <w:pPr>
              <w:jc w:val="center"/>
              <w:rPr>
                <w:rFonts w:ascii="Calibri" w:hAnsi="Calibri" w:cs="Calibri"/>
                <w:bCs/>
                <w:color w:val="595959" w:themeColor="text1" w:themeTint="A6"/>
                <w:sz w:val="18"/>
                <w:szCs w:val="18"/>
              </w:rPr>
            </w:pPr>
            <w:r w:rsidRPr="00F76BCF">
              <w:rPr>
                <w:rFonts w:ascii="Calibri" w:hAnsi="Calibri" w:cs="Calibri"/>
                <w:bCs/>
                <w:color w:val="595959" w:themeColor="text1" w:themeTint="A6"/>
                <w:sz w:val="18"/>
                <w:szCs w:val="18"/>
              </w:rPr>
              <w:t>80%</w:t>
            </w:r>
          </w:p>
        </w:tc>
        <w:tc>
          <w:tcPr>
            <w:tcW w:w="474" w:type="pct"/>
            <w:tcBorders>
              <w:bottom w:val="single" w:sz="12" w:space="0" w:color="auto"/>
            </w:tcBorders>
            <w:vAlign w:val="center"/>
            <w:hideMark/>
          </w:tcPr>
          <w:p w:rsidR="00BE76B5" w:rsidRPr="00F76BCF" w:rsidRDefault="00BE76B5" w:rsidP="0052190A">
            <w:pPr>
              <w:jc w:val="center"/>
              <w:rPr>
                <w:rFonts w:ascii="Calibri" w:hAnsi="Calibri" w:cs="Calibri"/>
                <w:bCs/>
                <w:color w:val="595959" w:themeColor="text1" w:themeTint="A6"/>
                <w:sz w:val="18"/>
                <w:szCs w:val="18"/>
              </w:rPr>
            </w:pPr>
            <w:r w:rsidRPr="00F76BCF">
              <w:rPr>
                <w:rFonts w:ascii="Calibri" w:hAnsi="Calibri" w:cs="Calibri"/>
                <w:bCs/>
                <w:color w:val="595959" w:themeColor="text1" w:themeTint="A6"/>
                <w:sz w:val="18"/>
                <w:szCs w:val="18"/>
              </w:rPr>
              <w:t>24,836</w:t>
            </w:r>
          </w:p>
        </w:tc>
        <w:tc>
          <w:tcPr>
            <w:tcW w:w="475" w:type="pct"/>
            <w:tcBorders>
              <w:bottom w:val="single" w:sz="12" w:space="0" w:color="auto"/>
            </w:tcBorders>
            <w:vAlign w:val="center"/>
            <w:hideMark/>
          </w:tcPr>
          <w:p w:rsidR="00BE76B5" w:rsidRPr="00F76BCF" w:rsidRDefault="00BE76B5" w:rsidP="0052190A">
            <w:pPr>
              <w:jc w:val="center"/>
              <w:rPr>
                <w:rFonts w:ascii="Calibri" w:hAnsi="Calibri" w:cs="Calibri"/>
                <w:bCs/>
                <w:color w:val="595959" w:themeColor="text1" w:themeTint="A6"/>
                <w:sz w:val="18"/>
                <w:szCs w:val="18"/>
              </w:rPr>
            </w:pPr>
            <w:r w:rsidRPr="00F76BCF">
              <w:rPr>
                <w:rFonts w:ascii="Calibri" w:hAnsi="Calibri" w:cs="Calibri"/>
                <w:bCs/>
                <w:color w:val="595959" w:themeColor="text1" w:themeTint="A6"/>
                <w:sz w:val="18"/>
                <w:szCs w:val="18"/>
              </w:rPr>
              <w:t>30</w:t>
            </w:r>
          </w:p>
        </w:tc>
        <w:tc>
          <w:tcPr>
            <w:tcW w:w="491" w:type="pct"/>
            <w:tcBorders>
              <w:bottom w:val="single" w:sz="12" w:space="0" w:color="auto"/>
            </w:tcBorders>
            <w:vAlign w:val="center"/>
            <w:hideMark/>
          </w:tcPr>
          <w:p w:rsidR="00BE76B5" w:rsidRPr="00F76BCF" w:rsidRDefault="00BE76B5" w:rsidP="0052190A">
            <w:pPr>
              <w:jc w:val="center"/>
              <w:rPr>
                <w:rFonts w:ascii="Calibri" w:hAnsi="Calibri" w:cs="Calibri"/>
                <w:bCs/>
                <w:color w:val="595959" w:themeColor="text1" w:themeTint="A6"/>
                <w:sz w:val="18"/>
                <w:szCs w:val="18"/>
              </w:rPr>
            </w:pPr>
            <w:r w:rsidRPr="00F76BCF">
              <w:rPr>
                <w:rFonts w:ascii="Calibri" w:hAnsi="Calibri" w:cs="Calibri"/>
                <w:bCs/>
                <w:color w:val="595959" w:themeColor="text1" w:themeTint="A6"/>
                <w:sz w:val="18"/>
                <w:szCs w:val="18"/>
              </w:rPr>
              <w:t>12,418</w:t>
            </w:r>
          </w:p>
        </w:tc>
        <w:tc>
          <w:tcPr>
            <w:tcW w:w="362" w:type="pct"/>
            <w:tcBorders>
              <w:bottom w:val="single" w:sz="12" w:space="0" w:color="auto"/>
            </w:tcBorders>
            <w:vAlign w:val="center"/>
            <w:hideMark/>
          </w:tcPr>
          <w:p w:rsidR="00BE76B5" w:rsidRPr="00F76BCF" w:rsidRDefault="00BE76B5" w:rsidP="0052190A">
            <w:pPr>
              <w:jc w:val="right"/>
              <w:rPr>
                <w:rFonts w:ascii="Calibri" w:hAnsi="Calibri" w:cs="Calibri"/>
                <w:bCs/>
                <w:color w:val="595959" w:themeColor="text1" w:themeTint="A6"/>
                <w:sz w:val="18"/>
                <w:szCs w:val="18"/>
              </w:rPr>
            </w:pPr>
            <w:r w:rsidRPr="00F76BCF">
              <w:rPr>
                <w:rFonts w:ascii="Calibri" w:hAnsi="Calibri" w:cs="Calibri"/>
                <w:bCs/>
                <w:color w:val="595959" w:themeColor="text1" w:themeTint="A6"/>
                <w:sz w:val="18"/>
                <w:szCs w:val="18"/>
              </w:rPr>
              <w:t>$10</w:t>
            </w:r>
          </w:p>
        </w:tc>
        <w:tc>
          <w:tcPr>
            <w:tcW w:w="431" w:type="pct"/>
            <w:tcBorders>
              <w:bottom w:val="single" w:sz="12" w:space="0" w:color="auto"/>
            </w:tcBorders>
            <w:vAlign w:val="center"/>
            <w:hideMark/>
          </w:tcPr>
          <w:p w:rsidR="00BE76B5" w:rsidRPr="00F76BCF" w:rsidRDefault="00BE76B5" w:rsidP="0052190A">
            <w:pPr>
              <w:jc w:val="right"/>
              <w:rPr>
                <w:rFonts w:ascii="Calibri" w:hAnsi="Calibri" w:cs="Calibri"/>
                <w:bCs/>
                <w:color w:val="595959" w:themeColor="text1" w:themeTint="A6"/>
                <w:sz w:val="18"/>
                <w:szCs w:val="18"/>
              </w:rPr>
            </w:pPr>
            <w:r w:rsidRPr="00F76BCF">
              <w:rPr>
                <w:rFonts w:ascii="Calibri" w:hAnsi="Calibri" w:cs="Calibri"/>
                <w:bCs/>
                <w:color w:val="595959" w:themeColor="text1" w:themeTint="A6"/>
                <w:sz w:val="18"/>
                <w:szCs w:val="18"/>
              </w:rPr>
              <w:t>$124,180</w:t>
            </w:r>
          </w:p>
        </w:tc>
      </w:tr>
    </w:tbl>
    <w:p w:rsidR="00127212" w:rsidRDefault="00127212" w:rsidP="004F305A">
      <w:pPr>
        <w:pStyle w:val="Source-8pt"/>
      </w:pPr>
      <w:bookmarkStart w:id="128" w:name="RANGE!A1"/>
      <w:bookmarkStart w:id="129" w:name="RANGE!A3"/>
      <w:bookmarkStart w:id="130" w:name="RANGE!A18"/>
      <w:bookmarkStart w:id="131" w:name="RANGE!A12"/>
      <w:bookmarkEnd w:id="128"/>
      <w:bookmarkEnd w:id="129"/>
      <w:bookmarkEnd w:id="130"/>
      <w:bookmarkEnd w:id="131"/>
      <w:r>
        <w:t xml:space="preserve">* </w:t>
      </w:r>
      <w:r w:rsidRPr="004943AF">
        <w:t>- The student reinterview</w:t>
      </w:r>
      <w:r w:rsidR="005804AB">
        <w:t xml:space="preserve"> which</w:t>
      </w:r>
      <w:r w:rsidR="004F305A">
        <w:t xml:space="preserve">, whenever feasible, is completed in the same mode as the original interview, </w:t>
      </w:r>
      <w:r w:rsidRPr="004943AF">
        <w:t>is given to a subset of interview</w:t>
      </w:r>
      <w:r>
        <w:t xml:space="preserve"> respondents and includes a reduced number of interview questions. See </w:t>
      </w:r>
      <w:r w:rsidR="0052190A">
        <w:t>A</w:t>
      </w:r>
      <w:r>
        <w:t xml:space="preserve">ppendix </w:t>
      </w:r>
      <w:r w:rsidR="004914C7">
        <w:t>H</w:t>
      </w:r>
      <w:r>
        <w:t xml:space="preserve"> for a list of included questions. </w:t>
      </w:r>
    </w:p>
    <w:p w:rsidR="00127212" w:rsidRDefault="00127212" w:rsidP="00B512DF">
      <w:pPr>
        <w:pStyle w:val="Source-8pt"/>
      </w:pPr>
      <w:r>
        <w:t xml:space="preserve">** - The BPS:12/14 full-scale sample will be derived from the NPSAS:12 full-scale study, which is ongoing. The sample sizes used to estimate cost and burden is based on the NPSAS:12 sampling plan. See </w:t>
      </w:r>
      <w:r w:rsidR="0052190A">
        <w:t>A</w:t>
      </w:r>
      <w:r>
        <w:t xml:space="preserve">ppendix </w:t>
      </w:r>
      <w:r w:rsidR="00B512DF">
        <w:t>C</w:t>
      </w:r>
      <w:r>
        <w:t xml:space="preserve"> for more details.</w:t>
      </w:r>
    </w:p>
    <w:p w:rsidR="00127212" w:rsidRDefault="00127212" w:rsidP="00127212">
      <w:pPr>
        <w:pStyle w:val="Source-8pt"/>
      </w:pPr>
      <w:r w:rsidRPr="00425593">
        <w:t>NOTE: B</w:t>
      </w:r>
      <w:r>
        <w:t>PS</w:t>
      </w:r>
      <w:r w:rsidRPr="00425593">
        <w:t>:12</w:t>
      </w:r>
      <w:r>
        <w:t>/14</w:t>
      </w:r>
      <w:r w:rsidRPr="00425593">
        <w:t xml:space="preserve"> = 20</w:t>
      </w:r>
      <w:r>
        <w:t>12</w:t>
      </w:r>
      <w:r w:rsidRPr="00425593">
        <w:t>/1</w:t>
      </w:r>
      <w:r>
        <w:t>4</w:t>
      </w:r>
      <w:r w:rsidRPr="00425593">
        <w:t xml:space="preserve"> B</w:t>
      </w:r>
      <w:r>
        <w:t>eginning Postsecondary Students Longitudinal Study, FTB = First Time Beginner</w:t>
      </w:r>
    </w:p>
    <w:p w:rsidR="00127212" w:rsidRPr="00425593" w:rsidRDefault="00127212" w:rsidP="004943AF">
      <w:pPr>
        <w:pStyle w:val="Source-8pt"/>
      </w:pPr>
      <w:r>
        <w:t>Potential FTB’s = NPSAS:12 non-respondents that appear to be FTB’s in NPSAS:12 student records data.</w:t>
      </w:r>
    </w:p>
    <w:p w:rsidR="00C33221" w:rsidRDefault="00C33221" w:rsidP="00241C35">
      <w:pPr>
        <w:pStyle w:val="Heading2"/>
        <w:numPr>
          <w:ilvl w:val="1"/>
          <w:numId w:val="16"/>
        </w:numPr>
        <w:spacing w:line="320" w:lineRule="atLeast"/>
        <w:ind w:left="1080" w:hanging="540"/>
      </w:pPr>
      <w:bookmarkStart w:id="132" w:name="_Toc284595877"/>
      <w:bookmarkStart w:id="133" w:name="_Toc284595878"/>
      <w:bookmarkStart w:id="134" w:name="_Toc284595960"/>
      <w:bookmarkStart w:id="135" w:name="_Toc284596020"/>
      <w:bookmarkStart w:id="136" w:name="_Toc337878566"/>
      <w:bookmarkEnd w:id="132"/>
      <w:bookmarkEnd w:id="133"/>
      <w:bookmarkEnd w:id="134"/>
      <w:bookmarkEnd w:id="135"/>
      <w:r w:rsidRPr="005C26EF">
        <w:t>Estimates of Cost</w:t>
      </w:r>
      <w:r w:rsidR="008878F3">
        <w:t xml:space="preserve"> to Respondents</w:t>
      </w:r>
      <w:bookmarkEnd w:id="136"/>
    </w:p>
    <w:p w:rsidR="001B4DC0" w:rsidRDefault="00973B10" w:rsidP="00201E71">
      <w:pPr>
        <w:pStyle w:val="BodyText"/>
        <w:ind w:firstLine="540"/>
      </w:pPr>
      <w:r>
        <w:t>Respondents will incur no costs for equipment, printing, postage or any other costs associated with participation in this study.</w:t>
      </w:r>
    </w:p>
    <w:p w:rsidR="00C33221" w:rsidRDefault="00C33221" w:rsidP="00241C35">
      <w:pPr>
        <w:pStyle w:val="Heading2"/>
        <w:numPr>
          <w:ilvl w:val="1"/>
          <w:numId w:val="16"/>
        </w:numPr>
        <w:spacing w:line="320" w:lineRule="atLeast"/>
        <w:ind w:left="1080" w:hanging="540"/>
      </w:pPr>
      <w:bookmarkStart w:id="137" w:name="_Toc337878567"/>
      <w:r w:rsidRPr="005C26EF">
        <w:t xml:space="preserve">Costs to </w:t>
      </w:r>
      <w:r>
        <w:t xml:space="preserve">the </w:t>
      </w:r>
      <w:r w:rsidRPr="005C26EF">
        <w:t>Federal Government</w:t>
      </w:r>
      <w:bookmarkEnd w:id="137"/>
    </w:p>
    <w:p w:rsidR="00C33221" w:rsidRDefault="00C33221" w:rsidP="00382265">
      <w:pPr>
        <w:pStyle w:val="BodyText"/>
        <w:ind w:firstLine="540"/>
      </w:pPr>
      <w:r w:rsidRPr="005C26EF">
        <w:t xml:space="preserve">A summary of </w:t>
      </w:r>
      <w:r w:rsidR="005A732E">
        <w:t xml:space="preserve">the </w:t>
      </w:r>
      <w:r w:rsidRPr="005C26EF">
        <w:t xml:space="preserve">estimated costs to the federal government for </w:t>
      </w:r>
      <w:r w:rsidR="008C26C6">
        <w:t xml:space="preserve">the </w:t>
      </w:r>
      <w:r>
        <w:t>B</w:t>
      </w:r>
      <w:r w:rsidR="00201E71">
        <w:t>PS</w:t>
      </w:r>
      <w:r>
        <w:t>:12</w:t>
      </w:r>
      <w:r w:rsidR="00201E71">
        <w:t>/14</w:t>
      </w:r>
      <w:r w:rsidR="008C26C6">
        <w:t xml:space="preserve"> field test</w:t>
      </w:r>
      <w:r w:rsidR="005A732E">
        <w:t xml:space="preserve"> is</w:t>
      </w:r>
      <w:r w:rsidRPr="005C26EF">
        <w:t xml:space="preserve"> shown in </w:t>
      </w:r>
      <w:r>
        <w:t xml:space="preserve">Table </w:t>
      </w:r>
      <w:r w:rsidR="00382265">
        <w:t>3</w:t>
      </w:r>
      <w:r w:rsidRPr="005C26EF">
        <w:t>. Included in the contract estimates are all staff time, reproduction, postage, and telephone costs associated with the management, data collection, analysis, and reporting for which clearance is requested. A more detailed breakdown of contract costs is provided in table</w:t>
      </w:r>
      <w:r>
        <w:t xml:space="preserve"> </w:t>
      </w:r>
      <w:r w:rsidR="00382265">
        <w:t>4</w:t>
      </w:r>
      <w:r w:rsidR="0052190A">
        <w:t>.</w:t>
      </w:r>
    </w:p>
    <w:p w:rsidR="0052190A" w:rsidRDefault="0052190A" w:rsidP="0052190A">
      <w:pPr>
        <w:pStyle w:val="BodyText"/>
        <w:spacing w:before="0" w:after="0" w:line="240" w:lineRule="auto"/>
        <w:ind w:firstLine="547"/>
      </w:pPr>
    </w:p>
    <w:p w:rsidR="00147ACF" w:rsidRDefault="00147ACF" w:rsidP="00147ACF">
      <w:pPr>
        <w:pStyle w:val="TableTitle"/>
        <w:spacing w:before="120"/>
        <w:ind w:left="994" w:hanging="994"/>
      </w:pPr>
      <w:bookmarkStart w:id="138" w:name="_Toc279664330"/>
      <w:bookmarkStart w:id="139" w:name="_Toc320867486"/>
      <w:bookmarkStart w:id="140" w:name="_Toc320870702"/>
      <w:bookmarkStart w:id="141" w:name="_Toc336282412"/>
      <w:bookmarkStart w:id="142" w:name="_Toc337878574"/>
      <w:bookmarkStart w:id="143" w:name="_Toc279664331"/>
      <w:bookmarkStart w:id="144" w:name="_Toc320867487"/>
      <w:bookmarkStart w:id="145" w:name="_Toc320870703"/>
      <w:bookmarkStart w:id="146" w:name="_Toc336282413"/>
      <w:r>
        <w:t>Ta</w:t>
      </w:r>
      <w:r w:rsidRPr="005C26EF">
        <w:t xml:space="preserve">ble </w:t>
      </w:r>
      <w:r>
        <w:t>3</w:t>
      </w:r>
      <w:r w:rsidRPr="005C26EF">
        <w:t>.</w:t>
      </w:r>
      <w:r w:rsidRPr="005C26EF">
        <w:tab/>
      </w:r>
      <w:r>
        <w:t>Costs</w:t>
      </w:r>
      <w:r w:rsidRPr="005C26EF">
        <w:t xml:space="preserve"> to the National Center for Education Statistics for the B</w:t>
      </w:r>
      <w:r>
        <w:t>PS</w:t>
      </w:r>
      <w:r w:rsidRPr="005C26EF">
        <w:t>:</w:t>
      </w:r>
      <w:r>
        <w:t>12/14 field test</w:t>
      </w:r>
      <w:bookmarkEnd w:id="138"/>
      <w:bookmarkEnd w:id="139"/>
      <w:bookmarkEnd w:id="140"/>
      <w:bookmarkEnd w:id="141"/>
      <w:bookmarkEnd w:id="142"/>
    </w:p>
    <w:tbl>
      <w:tblPr>
        <w:tblStyle w:val="TableGrid"/>
        <w:tblW w:w="5000" w:type="pct"/>
        <w:tblLayout w:type="fixed"/>
        <w:tblLook w:val="0020" w:firstRow="1" w:lastRow="0" w:firstColumn="0" w:lastColumn="0" w:noHBand="0" w:noVBand="0"/>
      </w:tblPr>
      <w:tblGrid>
        <w:gridCol w:w="5616"/>
        <w:gridCol w:w="4824"/>
      </w:tblGrid>
      <w:tr w:rsidR="00147ACF" w:rsidRPr="005C26EF" w:rsidTr="0052190A">
        <w:trPr>
          <w:cnfStyle w:val="100000000000" w:firstRow="1" w:lastRow="0" w:firstColumn="0" w:lastColumn="0" w:oddVBand="0" w:evenVBand="0" w:oddHBand="0" w:evenHBand="0" w:firstRowFirstColumn="0" w:firstRowLastColumn="0" w:lastRowFirstColumn="0" w:lastRowLastColumn="0"/>
          <w:trHeight w:val="20"/>
        </w:trPr>
        <w:tc>
          <w:tcPr>
            <w:tcW w:w="5616" w:type="dxa"/>
            <w:vAlign w:val="center"/>
          </w:tcPr>
          <w:p w:rsidR="00147ACF" w:rsidRDefault="00147ACF" w:rsidP="0052190A">
            <w:pPr>
              <w:pStyle w:val="Tableheading"/>
              <w:spacing w:before="0" w:after="0"/>
              <w:jc w:val="left"/>
            </w:pPr>
            <w:r w:rsidRPr="005C26EF">
              <w:t>Costs to NCES</w:t>
            </w:r>
          </w:p>
        </w:tc>
        <w:tc>
          <w:tcPr>
            <w:tcW w:w="4824" w:type="dxa"/>
            <w:vAlign w:val="center"/>
          </w:tcPr>
          <w:p w:rsidR="00147ACF" w:rsidRDefault="00147ACF" w:rsidP="0052190A">
            <w:pPr>
              <w:pStyle w:val="Tableheading"/>
              <w:spacing w:before="0" w:after="0"/>
            </w:pPr>
            <w:r w:rsidRPr="005C26EF">
              <w:t>Amount</w:t>
            </w:r>
            <w:r>
              <w:t xml:space="preserve"> ($)</w:t>
            </w:r>
          </w:p>
        </w:tc>
      </w:tr>
      <w:tr w:rsidR="00CC4C84" w:rsidRPr="005C26EF" w:rsidTr="006341FB">
        <w:trPr>
          <w:trHeight w:hRule="exact" w:val="29"/>
        </w:trPr>
        <w:tc>
          <w:tcPr>
            <w:tcW w:w="5616" w:type="dxa"/>
            <w:vAlign w:val="center"/>
          </w:tcPr>
          <w:p w:rsidR="00CC4C84" w:rsidRDefault="00CC4C84" w:rsidP="0052190A">
            <w:pPr>
              <w:pStyle w:val="Tabletext"/>
              <w:spacing w:before="0" w:after="0"/>
            </w:pPr>
          </w:p>
        </w:tc>
        <w:tc>
          <w:tcPr>
            <w:tcW w:w="4824" w:type="dxa"/>
            <w:vAlign w:val="center"/>
          </w:tcPr>
          <w:p w:rsidR="00CC4C84" w:rsidRDefault="00CC4C84" w:rsidP="0052190A">
            <w:pPr>
              <w:pStyle w:val="Tablenumbers"/>
              <w:spacing w:before="0" w:after="0"/>
            </w:pPr>
          </w:p>
        </w:tc>
      </w:tr>
      <w:tr w:rsidR="00147ACF" w:rsidRPr="005C26EF" w:rsidTr="0052190A">
        <w:trPr>
          <w:trHeight w:val="20"/>
        </w:trPr>
        <w:tc>
          <w:tcPr>
            <w:tcW w:w="5616" w:type="dxa"/>
            <w:vAlign w:val="center"/>
          </w:tcPr>
          <w:p w:rsidR="00147ACF" w:rsidRDefault="00147ACF" w:rsidP="0052190A">
            <w:pPr>
              <w:pStyle w:val="Tabletext"/>
              <w:spacing w:before="0" w:after="0"/>
            </w:pPr>
            <w:r>
              <w:t>BPS:12/14</w:t>
            </w:r>
            <w:r w:rsidRPr="005C26EF">
              <w:t xml:space="preserve"> </w:t>
            </w:r>
            <w:r>
              <w:t>Field Test</w:t>
            </w:r>
            <w:r w:rsidRPr="005C26EF">
              <w:t xml:space="preserve"> Study</w:t>
            </w:r>
          </w:p>
        </w:tc>
        <w:tc>
          <w:tcPr>
            <w:tcW w:w="4824" w:type="dxa"/>
            <w:vAlign w:val="center"/>
          </w:tcPr>
          <w:p w:rsidR="00147ACF" w:rsidRDefault="00147ACF" w:rsidP="0052190A">
            <w:pPr>
              <w:pStyle w:val="Tablenumbers"/>
              <w:spacing w:before="0" w:after="0"/>
            </w:pPr>
          </w:p>
        </w:tc>
      </w:tr>
      <w:tr w:rsidR="00147ACF" w:rsidRPr="005C26EF" w:rsidTr="0052190A">
        <w:trPr>
          <w:trHeight w:val="20"/>
        </w:trPr>
        <w:tc>
          <w:tcPr>
            <w:tcW w:w="5616" w:type="dxa"/>
            <w:vAlign w:val="center"/>
          </w:tcPr>
          <w:p w:rsidR="00147ACF" w:rsidRDefault="00147ACF" w:rsidP="0052190A">
            <w:pPr>
              <w:pStyle w:val="2enspsubgroup1"/>
              <w:spacing w:before="0" w:after="0"/>
            </w:pPr>
            <w:r w:rsidRPr="005C26EF">
              <w:t>Salaries and expenses</w:t>
            </w:r>
          </w:p>
        </w:tc>
        <w:tc>
          <w:tcPr>
            <w:tcW w:w="4824" w:type="dxa"/>
            <w:vAlign w:val="center"/>
          </w:tcPr>
          <w:p w:rsidR="00147ACF" w:rsidRDefault="00147ACF" w:rsidP="0052190A">
            <w:pPr>
              <w:pStyle w:val="Tablenumbers"/>
              <w:spacing w:before="0" w:after="0"/>
            </w:pPr>
            <w:r>
              <w:t xml:space="preserve"> $    111,290</w:t>
            </w:r>
          </w:p>
        </w:tc>
      </w:tr>
      <w:tr w:rsidR="00147ACF" w:rsidRPr="005C26EF" w:rsidTr="0052190A">
        <w:trPr>
          <w:trHeight w:val="20"/>
        </w:trPr>
        <w:tc>
          <w:tcPr>
            <w:tcW w:w="5616" w:type="dxa"/>
            <w:vAlign w:val="center"/>
          </w:tcPr>
          <w:p w:rsidR="00147ACF" w:rsidRDefault="00147ACF" w:rsidP="0052190A">
            <w:pPr>
              <w:pStyle w:val="2enspsubgroup1"/>
              <w:spacing w:before="0" w:after="0"/>
            </w:pPr>
            <w:r w:rsidRPr="005C26EF">
              <w:t>Contract costs</w:t>
            </w:r>
          </w:p>
        </w:tc>
        <w:tc>
          <w:tcPr>
            <w:tcW w:w="4824" w:type="dxa"/>
            <w:vAlign w:val="center"/>
          </w:tcPr>
          <w:p w:rsidR="00147ACF" w:rsidRDefault="00147ACF" w:rsidP="0052190A">
            <w:pPr>
              <w:pStyle w:val="Tablenumbers"/>
              <w:spacing w:before="0" w:after="0"/>
            </w:pPr>
            <w:r>
              <w:t>2,845,927</w:t>
            </w:r>
          </w:p>
        </w:tc>
      </w:tr>
      <w:tr w:rsidR="00147ACF" w:rsidRPr="005C26EF" w:rsidTr="0052190A">
        <w:trPr>
          <w:trHeight w:val="20"/>
        </w:trPr>
        <w:tc>
          <w:tcPr>
            <w:tcW w:w="5616" w:type="dxa"/>
            <w:vAlign w:val="center"/>
          </w:tcPr>
          <w:p w:rsidR="00147ACF" w:rsidRDefault="00147ACF" w:rsidP="0052190A">
            <w:pPr>
              <w:pStyle w:val="5ensptotal"/>
              <w:spacing w:before="0" w:after="0"/>
            </w:pPr>
            <w:r w:rsidRPr="005C26EF">
              <w:t>Total</w:t>
            </w:r>
          </w:p>
        </w:tc>
        <w:tc>
          <w:tcPr>
            <w:tcW w:w="4824" w:type="dxa"/>
            <w:vAlign w:val="center"/>
          </w:tcPr>
          <w:p w:rsidR="00147ACF" w:rsidRDefault="00147ACF" w:rsidP="0052190A">
            <w:pPr>
              <w:pStyle w:val="Tablenumbers"/>
              <w:spacing w:before="0" w:after="0"/>
            </w:pPr>
            <w:r>
              <w:t>2,957,217</w:t>
            </w:r>
          </w:p>
        </w:tc>
      </w:tr>
      <w:tr w:rsidR="00147ACF" w:rsidRPr="005C26EF" w:rsidTr="006341FB">
        <w:trPr>
          <w:trHeight w:hRule="exact" w:val="29"/>
        </w:trPr>
        <w:tc>
          <w:tcPr>
            <w:tcW w:w="5616" w:type="dxa"/>
            <w:vAlign w:val="center"/>
          </w:tcPr>
          <w:p w:rsidR="00147ACF" w:rsidRPr="005C26EF" w:rsidRDefault="00147ACF" w:rsidP="0052190A">
            <w:pPr>
              <w:pStyle w:val="2enspsubgroup1"/>
              <w:spacing w:before="0" w:after="0"/>
            </w:pPr>
          </w:p>
        </w:tc>
        <w:tc>
          <w:tcPr>
            <w:tcW w:w="4824" w:type="dxa"/>
            <w:vAlign w:val="center"/>
          </w:tcPr>
          <w:p w:rsidR="00147ACF" w:rsidRDefault="00147ACF" w:rsidP="0052190A">
            <w:pPr>
              <w:pStyle w:val="Tablenumbers"/>
              <w:spacing w:before="0" w:after="0"/>
            </w:pPr>
          </w:p>
        </w:tc>
      </w:tr>
      <w:tr w:rsidR="00147ACF" w:rsidRPr="005C26EF" w:rsidTr="0052190A">
        <w:trPr>
          <w:trHeight w:val="20"/>
        </w:trPr>
        <w:tc>
          <w:tcPr>
            <w:tcW w:w="5616" w:type="dxa"/>
            <w:vAlign w:val="center"/>
          </w:tcPr>
          <w:p w:rsidR="00147ACF" w:rsidRDefault="00147ACF" w:rsidP="0052190A">
            <w:pPr>
              <w:pStyle w:val="Tabletext"/>
              <w:spacing w:before="0" w:after="0"/>
            </w:pPr>
            <w:r>
              <w:t>BPS:12/14</w:t>
            </w:r>
            <w:r w:rsidRPr="005C26EF">
              <w:t xml:space="preserve"> </w:t>
            </w:r>
            <w:r>
              <w:t xml:space="preserve">Full-Scale </w:t>
            </w:r>
            <w:r w:rsidRPr="005C26EF">
              <w:t>Study</w:t>
            </w:r>
          </w:p>
        </w:tc>
        <w:tc>
          <w:tcPr>
            <w:tcW w:w="4824" w:type="dxa"/>
            <w:vAlign w:val="center"/>
          </w:tcPr>
          <w:p w:rsidR="00147ACF" w:rsidRDefault="00147ACF" w:rsidP="0052190A">
            <w:pPr>
              <w:pStyle w:val="Tablenumbers"/>
              <w:spacing w:before="0" w:after="0"/>
            </w:pPr>
          </w:p>
        </w:tc>
      </w:tr>
      <w:tr w:rsidR="00915A65" w:rsidRPr="005C26EF" w:rsidTr="0052190A">
        <w:trPr>
          <w:trHeight w:val="20"/>
        </w:trPr>
        <w:tc>
          <w:tcPr>
            <w:tcW w:w="5616" w:type="dxa"/>
            <w:vAlign w:val="center"/>
          </w:tcPr>
          <w:p w:rsidR="00915A65" w:rsidRDefault="00915A65" w:rsidP="0052190A">
            <w:pPr>
              <w:pStyle w:val="2enspsubgroup1"/>
              <w:spacing w:before="0" w:after="0"/>
            </w:pPr>
            <w:r w:rsidRPr="005C26EF">
              <w:t>Salaries and expenses</w:t>
            </w:r>
          </w:p>
        </w:tc>
        <w:tc>
          <w:tcPr>
            <w:tcW w:w="4824" w:type="dxa"/>
            <w:vAlign w:val="center"/>
          </w:tcPr>
          <w:p w:rsidR="00915A65" w:rsidRDefault="00915A65" w:rsidP="0052190A">
            <w:pPr>
              <w:pStyle w:val="Tablenumbers"/>
              <w:spacing w:before="0" w:after="0"/>
            </w:pPr>
            <w:r>
              <w:t>333,870</w:t>
            </w:r>
          </w:p>
        </w:tc>
      </w:tr>
      <w:tr w:rsidR="00915A65" w:rsidRPr="005C26EF" w:rsidTr="0052190A">
        <w:trPr>
          <w:trHeight w:val="20"/>
        </w:trPr>
        <w:tc>
          <w:tcPr>
            <w:tcW w:w="5616" w:type="dxa"/>
            <w:vAlign w:val="center"/>
          </w:tcPr>
          <w:p w:rsidR="00915A65" w:rsidRDefault="00915A65" w:rsidP="0052190A">
            <w:pPr>
              <w:pStyle w:val="2enspsubgroup1"/>
              <w:spacing w:before="0" w:after="0"/>
            </w:pPr>
            <w:r w:rsidRPr="005C26EF">
              <w:t>Contract costs</w:t>
            </w:r>
          </w:p>
        </w:tc>
        <w:tc>
          <w:tcPr>
            <w:tcW w:w="4824" w:type="dxa"/>
            <w:vAlign w:val="center"/>
          </w:tcPr>
          <w:p w:rsidR="00915A65" w:rsidRDefault="00915A65" w:rsidP="0052190A">
            <w:pPr>
              <w:pStyle w:val="Tablenumbers"/>
              <w:spacing w:before="0" w:after="0"/>
            </w:pPr>
            <w:r>
              <w:t>7,508,204</w:t>
            </w:r>
          </w:p>
        </w:tc>
      </w:tr>
      <w:tr w:rsidR="00915A65" w:rsidRPr="005C26EF" w:rsidTr="0052190A">
        <w:trPr>
          <w:trHeight w:val="20"/>
        </w:trPr>
        <w:tc>
          <w:tcPr>
            <w:tcW w:w="5616" w:type="dxa"/>
            <w:vAlign w:val="center"/>
          </w:tcPr>
          <w:p w:rsidR="00915A65" w:rsidRDefault="00915A65" w:rsidP="0052190A">
            <w:pPr>
              <w:pStyle w:val="5ensptotal"/>
              <w:spacing w:before="0" w:after="0"/>
            </w:pPr>
            <w:r w:rsidRPr="005C26EF">
              <w:t>Total</w:t>
            </w:r>
          </w:p>
        </w:tc>
        <w:tc>
          <w:tcPr>
            <w:tcW w:w="4824" w:type="dxa"/>
            <w:vAlign w:val="center"/>
          </w:tcPr>
          <w:p w:rsidR="00915A65" w:rsidRDefault="00915A65" w:rsidP="0052190A">
            <w:pPr>
              <w:pStyle w:val="Tablenumbers"/>
              <w:spacing w:before="0" w:after="0"/>
            </w:pPr>
            <w:r>
              <w:t>7,842,074</w:t>
            </w:r>
          </w:p>
        </w:tc>
      </w:tr>
      <w:tr w:rsidR="00915A65" w:rsidRPr="005C26EF" w:rsidTr="006341FB">
        <w:trPr>
          <w:trHeight w:hRule="exact" w:val="29"/>
        </w:trPr>
        <w:tc>
          <w:tcPr>
            <w:tcW w:w="5616" w:type="dxa"/>
            <w:vAlign w:val="center"/>
          </w:tcPr>
          <w:p w:rsidR="00915A65" w:rsidRPr="005C26EF" w:rsidRDefault="00915A65" w:rsidP="0052190A">
            <w:pPr>
              <w:pStyle w:val="2enspsubgroup1"/>
              <w:spacing w:before="0" w:after="0"/>
            </w:pPr>
          </w:p>
        </w:tc>
        <w:tc>
          <w:tcPr>
            <w:tcW w:w="4824" w:type="dxa"/>
            <w:vAlign w:val="center"/>
          </w:tcPr>
          <w:p w:rsidR="00915A65" w:rsidRDefault="00915A65" w:rsidP="0052190A">
            <w:pPr>
              <w:pStyle w:val="Tablenumbers"/>
              <w:spacing w:before="0" w:after="0"/>
            </w:pPr>
          </w:p>
        </w:tc>
      </w:tr>
      <w:tr w:rsidR="00915A65" w:rsidRPr="005C26EF" w:rsidTr="0052190A">
        <w:trPr>
          <w:trHeight w:val="20"/>
        </w:trPr>
        <w:tc>
          <w:tcPr>
            <w:tcW w:w="5616" w:type="dxa"/>
            <w:vAlign w:val="center"/>
          </w:tcPr>
          <w:p w:rsidR="00915A65" w:rsidRDefault="00915A65" w:rsidP="0052190A">
            <w:pPr>
              <w:pStyle w:val="Tabletext"/>
              <w:spacing w:before="0" w:after="0"/>
            </w:pPr>
            <w:r>
              <w:t>BPS:12/14</w:t>
            </w:r>
            <w:r w:rsidRPr="005C26EF">
              <w:t xml:space="preserve"> </w:t>
            </w:r>
            <w:r>
              <w:t>Total Costs</w:t>
            </w:r>
          </w:p>
        </w:tc>
        <w:tc>
          <w:tcPr>
            <w:tcW w:w="4824" w:type="dxa"/>
            <w:vAlign w:val="center"/>
          </w:tcPr>
          <w:p w:rsidR="00915A65" w:rsidRDefault="00915A65" w:rsidP="0052190A">
            <w:pPr>
              <w:pStyle w:val="Tablenumbers"/>
              <w:spacing w:before="0" w:after="0"/>
            </w:pPr>
          </w:p>
        </w:tc>
      </w:tr>
      <w:tr w:rsidR="00915A65" w:rsidRPr="005C26EF" w:rsidTr="0052190A">
        <w:trPr>
          <w:trHeight w:val="20"/>
        </w:trPr>
        <w:tc>
          <w:tcPr>
            <w:tcW w:w="5616" w:type="dxa"/>
            <w:vAlign w:val="center"/>
          </w:tcPr>
          <w:p w:rsidR="00915A65" w:rsidRDefault="00915A65" w:rsidP="0052190A">
            <w:pPr>
              <w:pStyle w:val="2enspsubgroup1"/>
              <w:spacing w:before="0" w:after="0"/>
            </w:pPr>
            <w:r w:rsidRPr="005C26EF">
              <w:t>Salaries and expenses</w:t>
            </w:r>
          </w:p>
        </w:tc>
        <w:tc>
          <w:tcPr>
            <w:tcW w:w="4824" w:type="dxa"/>
            <w:vAlign w:val="center"/>
          </w:tcPr>
          <w:p w:rsidR="00915A65" w:rsidRDefault="00915A65" w:rsidP="0052190A">
            <w:pPr>
              <w:pStyle w:val="Tablenumbers"/>
              <w:spacing w:before="0" w:after="0"/>
            </w:pPr>
            <w:r>
              <w:t>445,160</w:t>
            </w:r>
          </w:p>
        </w:tc>
      </w:tr>
      <w:tr w:rsidR="00915A65" w:rsidRPr="005C26EF" w:rsidTr="0052190A">
        <w:trPr>
          <w:trHeight w:val="20"/>
        </w:trPr>
        <w:tc>
          <w:tcPr>
            <w:tcW w:w="5616" w:type="dxa"/>
            <w:vAlign w:val="center"/>
          </w:tcPr>
          <w:p w:rsidR="00915A65" w:rsidRDefault="00915A65" w:rsidP="0052190A">
            <w:pPr>
              <w:pStyle w:val="2enspsubgroup1"/>
              <w:spacing w:before="0" w:after="0"/>
            </w:pPr>
            <w:r w:rsidRPr="005C26EF">
              <w:t>Contract costs</w:t>
            </w:r>
          </w:p>
        </w:tc>
        <w:tc>
          <w:tcPr>
            <w:tcW w:w="4824" w:type="dxa"/>
            <w:vAlign w:val="center"/>
          </w:tcPr>
          <w:p w:rsidR="00915A65" w:rsidRDefault="00915A65" w:rsidP="0052190A">
            <w:pPr>
              <w:pStyle w:val="Tablenumbers"/>
              <w:spacing w:before="0" w:after="0"/>
            </w:pPr>
            <w:r>
              <w:t>10,354,130</w:t>
            </w:r>
          </w:p>
        </w:tc>
      </w:tr>
      <w:tr w:rsidR="00915A65" w:rsidRPr="005C26EF" w:rsidTr="0052190A">
        <w:trPr>
          <w:trHeight w:val="20"/>
        </w:trPr>
        <w:tc>
          <w:tcPr>
            <w:tcW w:w="5616" w:type="dxa"/>
            <w:vAlign w:val="center"/>
          </w:tcPr>
          <w:p w:rsidR="00915A65" w:rsidRDefault="00915A65" w:rsidP="0052190A">
            <w:pPr>
              <w:pStyle w:val="5ensptotal"/>
              <w:spacing w:before="0" w:after="0"/>
            </w:pPr>
            <w:r w:rsidRPr="005C26EF">
              <w:t>Total</w:t>
            </w:r>
          </w:p>
        </w:tc>
        <w:tc>
          <w:tcPr>
            <w:tcW w:w="4824" w:type="dxa"/>
            <w:vAlign w:val="center"/>
          </w:tcPr>
          <w:p w:rsidR="00915A65" w:rsidRDefault="00915A65" w:rsidP="0052190A">
            <w:pPr>
              <w:pStyle w:val="Tablenumbers"/>
              <w:spacing w:before="0" w:after="0"/>
            </w:pPr>
            <w:r>
              <w:t>10,799,290</w:t>
            </w:r>
          </w:p>
        </w:tc>
      </w:tr>
    </w:tbl>
    <w:p w:rsidR="00147ACF" w:rsidRDefault="00147ACF" w:rsidP="00147ACF">
      <w:pPr>
        <w:pStyle w:val="Source"/>
      </w:pPr>
      <w:r>
        <w:t xml:space="preserve">NOTE: </w:t>
      </w:r>
      <w:r w:rsidRPr="00425593">
        <w:t>B</w:t>
      </w:r>
      <w:r>
        <w:t>PS</w:t>
      </w:r>
      <w:r w:rsidRPr="00425593">
        <w:t>:12</w:t>
      </w:r>
      <w:r>
        <w:t>/14</w:t>
      </w:r>
      <w:r w:rsidRPr="00425593">
        <w:t xml:space="preserve"> = 20</w:t>
      </w:r>
      <w:r>
        <w:t>12</w:t>
      </w:r>
      <w:r w:rsidRPr="00425593">
        <w:t>/1</w:t>
      </w:r>
      <w:r>
        <w:t>4</w:t>
      </w:r>
      <w:r w:rsidRPr="00425593">
        <w:t xml:space="preserve"> B</w:t>
      </w:r>
      <w:r>
        <w:t xml:space="preserve">eginning Postsecondary Students </w:t>
      </w:r>
      <w:r w:rsidRPr="00425593">
        <w:t>Longitudinal Study.</w:t>
      </w:r>
    </w:p>
    <w:p w:rsidR="00C33221" w:rsidRDefault="00C33221" w:rsidP="008612F9">
      <w:pPr>
        <w:pStyle w:val="TableTitle"/>
        <w:spacing w:before="0" w:line="240" w:lineRule="auto"/>
        <w:ind w:left="994" w:hanging="994"/>
      </w:pPr>
      <w:bookmarkStart w:id="147" w:name="_Toc337878575"/>
      <w:r w:rsidRPr="005C26EF">
        <w:lastRenderedPageBreak/>
        <w:t xml:space="preserve">Table </w:t>
      </w:r>
      <w:r w:rsidR="006E1E9C">
        <w:t>4</w:t>
      </w:r>
      <w:r w:rsidRPr="005C26EF">
        <w:t>.</w:t>
      </w:r>
      <w:r w:rsidRPr="005C26EF">
        <w:tab/>
        <w:t>Contract costs for B</w:t>
      </w:r>
      <w:r w:rsidR="005617FE">
        <w:t>PS</w:t>
      </w:r>
      <w:r w:rsidRPr="005C26EF">
        <w:t>:</w:t>
      </w:r>
      <w:r>
        <w:t>12</w:t>
      </w:r>
      <w:bookmarkEnd w:id="143"/>
      <w:bookmarkEnd w:id="144"/>
      <w:bookmarkEnd w:id="145"/>
      <w:r w:rsidR="005617FE">
        <w:t>/14</w:t>
      </w:r>
      <w:bookmarkEnd w:id="146"/>
      <w:bookmarkEnd w:id="147"/>
    </w:p>
    <w:tbl>
      <w:tblPr>
        <w:tblStyle w:val="TableGrid"/>
        <w:tblW w:w="4991" w:type="pct"/>
        <w:tblBorders>
          <w:top w:val="none" w:sz="0" w:space="0" w:color="auto"/>
          <w:bottom w:val="none" w:sz="0" w:space="0" w:color="auto"/>
        </w:tblBorders>
        <w:tblLayout w:type="fixed"/>
        <w:tblLook w:val="01E0" w:firstRow="1" w:lastRow="1" w:firstColumn="1" w:lastColumn="1" w:noHBand="0" w:noVBand="0"/>
      </w:tblPr>
      <w:tblGrid>
        <w:gridCol w:w="1278"/>
        <w:gridCol w:w="17"/>
        <w:gridCol w:w="6084"/>
        <w:gridCol w:w="3042"/>
      </w:tblGrid>
      <w:tr w:rsidR="00C33221" w:rsidRPr="00345816" w:rsidTr="000E63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79" w:type="dxa"/>
            <w:gridSpan w:val="3"/>
            <w:tcBorders>
              <w:top w:val="single" w:sz="12" w:space="0" w:color="auto"/>
              <w:bottom w:val="single" w:sz="8" w:space="0" w:color="auto"/>
            </w:tcBorders>
          </w:tcPr>
          <w:p w:rsidR="00C33221" w:rsidRPr="00E87169" w:rsidRDefault="00C33221" w:rsidP="00ED30CE">
            <w:pPr>
              <w:pStyle w:val="Tableheading"/>
              <w:spacing w:before="40" w:after="40"/>
              <w:jc w:val="left"/>
            </w:pPr>
            <w:r w:rsidRPr="00E87169">
              <w:t>Study area and task management</w:t>
            </w:r>
          </w:p>
        </w:tc>
        <w:tc>
          <w:tcPr>
            <w:tcW w:w="3042" w:type="dxa"/>
            <w:tcBorders>
              <w:top w:val="single" w:sz="12" w:space="0" w:color="auto"/>
              <w:bottom w:val="single" w:sz="8" w:space="0" w:color="auto"/>
            </w:tcBorders>
          </w:tcPr>
          <w:p w:rsidR="00C33221" w:rsidRPr="00E87169" w:rsidRDefault="00C33221" w:rsidP="00F33D5B">
            <w:pPr>
              <w:pStyle w:val="Tablenumbers"/>
              <w:cnfStyle w:val="100000000000" w:firstRow="1" w:lastRow="0" w:firstColumn="0" w:lastColumn="0" w:oddVBand="0" w:evenVBand="0" w:oddHBand="0" w:evenHBand="0" w:firstRowFirstColumn="0" w:firstRowLastColumn="0" w:lastRowFirstColumn="0" w:lastRowLastColumn="0"/>
            </w:pPr>
            <w:r w:rsidRPr="00E87169">
              <w:t>Budgeted amount ($)</w:t>
            </w:r>
          </w:p>
        </w:tc>
      </w:tr>
      <w:tr w:rsidR="009A7E32" w:rsidRPr="003F4C67" w:rsidTr="008612F9">
        <w:trPr>
          <w:trHeight w:hRule="exact" w:val="101"/>
        </w:trPr>
        <w:tc>
          <w:tcPr>
            <w:cnfStyle w:val="001000000000" w:firstRow="0" w:lastRow="0" w:firstColumn="1" w:lastColumn="0" w:oddVBand="0" w:evenVBand="0" w:oddHBand="0" w:evenHBand="0" w:firstRowFirstColumn="0" w:firstRowLastColumn="0" w:lastRowFirstColumn="0" w:lastRowLastColumn="0"/>
            <w:tcW w:w="1278" w:type="dxa"/>
            <w:tcBorders>
              <w:top w:val="single" w:sz="8" w:space="0" w:color="auto"/>
            </w:tcBorders>
          </w:tcPr>
          <w:p w:rsidR="009A7E32" w:rsidRPr="003F4C67" w:rsidRDefault="009A7E32" w:rsidP="003F4C67">
            <w:pPr>
              <w:pStyle w:val="Tabletext"/>
              <w:spacing w:before="0" w:after="0"/>
              <w:rPr>
                <w:sz w:val="18"/>
                <w:szCs w:val="18"/>
              </w:rPr>
            </w:pPr>
          </w:p>
        </w:tc>
        <w:tc>
          <w:tcPr>
            <w:tcW w:w="6101" w:type="dxa"/>
            <w:gridSpan w:val="2"/>
            <w:tcBorders>
              <w:top w:val="single" w:sz="8" w:space="0" w:color="auto"/>
            </w:tcBorders>
          </w:tcPr>
          <w:p w:rsidR="009A7E32" w:rsidRPr="003F4C67" w:rsidRDefault="009A7E32"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p>
        </w:tc>
        <w:tc>
          <w:tcPr>
            <w:tcW w:w="3042" w:type="dxa"/>
            <w:tcBorders>
              <w:top w:val="single" w:sz="8" w:space="0" w:color="auto"/>
            </w:tcBorders>
          </w:tcPr>
          <w:p w:rsidR="009A7E32" w:rsidRPr="00E03332" w:rsidRDefault="009A7E32" w:rsidP="009A7E32">
            <w:pPr>
              <w:pStyle w:val="Tabletext"/>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110</w:t>
            </w:r>
          </w:p>
        </w:tc>
        <w:tc>
          <w:tcPr>
            <w:tcW w:w="6084" w:type="dxa"/>
          </w:tcPr>
          <w:p w:rsidR="00C33221" w:rsidRPr="003F4C67" w:rsidRDefault="005617FE" w:rsidP="003F4C67">
            <w:pPr>
              <w:pStyle w:val="Tabletext"/>
              <w:tabs>
                <w:tab w:val="left" w:pos="1080"/>
              </w:tabs>
              <w:overflowPunct w:val="0"/>
              <w:autoSpaceDE w:val="0"/>
              <w:autoSpaceDN w:val="0"/>
              <w:adjustRightInd w:val="0"/>
              <w:spacing w:before="0" w:after="0"/>
              <w:textAlignment w:val="baseline"/>
              <w:outlineLvl w:val="1"/>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Initial meeting with NCES</w:t>
            </w:r>
          </w:p>
        </w:tc>
        <w:tc>
          <w:tcPr>
            <w:tcW w:w="3042" w:type="dxa"/>
          </w:tcPr>
          <w:p w:rsidR="00C33221" w:rsidRPr="003F4C67" w:rsidRDefault="00692320" w:rsidP="00692320">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38,245</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120</w:t>
            </w:r>
          </w:p>
        </w:tc>
        <w:tc>
          <w:tcPr>
            <w:tcW w:w="6084"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firstRow="0" w:lastRow="0" w:firstColumn="0" w:lastColumn="0" w:oddVBand="0" w:evenVBand="0" w:oddHBand="0" w:evenHBand="0" w:firstRowFirstColumn="0" w:firstRowLastColumn="0" w:lastRowFirstColumn="0" w:lastRowLastColumn="0"/>
              <w:rPr>
                <w:rFonts w:cs="Arial"/>
                <w:sz w:val="18"/>
                <w:szCs w:val="18"/>
              </w:rPr>
            </w:pPr>
            <w:r w:rsidRPr="003F4C67">
              <w:rPr>
                <w:rFonts w:cs="Arial"/>
                <w:sz w:val="18"/>
                <w:szCs w:val="18"/>
              </w:rPr>
              <w:t>Schedules</w:t>
            </w:r>
          </w:p>
        </w:tc>
        <w:tc>
          <w:tcPr>
            <w:tcW w:w="3042" w:type="dxa"/>
          </w:tcPr>
          <w:p w:rsidR="00C33221" w:rsidRPr="003F4C67" w:rsidRDefault="00692320" w:rsidP="005617FE">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40,235</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130</w:t>
            </w:r>
          </w:p>
        </w:tc>
        <w:tc>
          <w:tcPr>
            <w:tcW w:w="6084"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firstRow="0" w:lastRow="0" w:firstColumn="0" w:lastColumn="0" w:oddVBand="0" w:evenVBand="0" w:oddHBand="0" w:evenHBand="0" w:firstRowFirstColumn="0" w:firstRowLastColumn="0" w:lastRowFirstColumn="0" w:lastRowLastColumn="0"/>
              <w:rPr>
                <w:rFonts w:cs="Arial"/>
                <w:sz w:val="18"/>
                <w:szCs w:val="18"/>
              </w:rPr>
            </w:pPr>
            <w:r w:rsidRPr="003F4C67">
              <w:rPr>
                <w:rFonts w:cs="Arial"/>
                <w:sz w:val="18"/>
                <w:szCs w:val="18"/>
              </w:rPr>
              <w:t>Monthly reports</w:t>
            </w:r>
          </w:p>
        </w:tc>
        <w:tc>
          <w:tcPr>
            <w:tcW w:w="3042" w:type="dxa"/>
          </w:tcPr>
          <w:p w:rsidR="00C33221" w:rsidRPr="003F4C67" w:rsidRDefault="00692320"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367,732</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140</w:t>
            </w:r>
          </w:p>
        </w:tc>
        <w:tc>
          <w:tcPr>
            <w:tcW w:w="6084"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firstRow="0" w:lastRow="0" w:firstColumn="0" w:lastColumn="0" w:oddVBand="0" w:evenVBand="0" w:oddHBand="0" w:evenHBand="0" w:firstRowFirstColumn="0" w:firstRowLastColumn="0" w:lastRowFirstColumn="0" w:lastRowLastColumn="0"/>
              <w:rPr>
                <w:rFonts w:cs="Arial"/>
                <w:sz w:val="18"/>
                <w:szCs w:val="18"/>
              </w:rPr>
            </w:pPr>
            <w:r w:rsidRPr="003F4C67">
              <w:rPr>
                <w:rFonts w:cs="Arial"/>
                <w:sz w:val="18"/>
                <w:szCs w:val="18"/>
              </w:rPr>
              <w:t>Integrated monitoring system</w:t>
            </w:r>
          </w:p>
        </w:tc>
        <w:tc>
          <w:tcPr>
            <w:tcW w:w="3042" w:type="dxa"/>
          </w:tcPr>
          <w:p w:rsidR="00C33221" w:rsidRPr="003F4C67" w:rsidRDefault="00692320"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471,607</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150</w:t>
            </w:r>
          </w:p>
        </w:tc>
        <w:tc>
          <w:tcPr>
            <w:tcW w:w="6084" w:type="dxa"/>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cnfStyle w:val="000000000000" w:firstRow="0" w:lastRow="0" w:firstColumn="0" w:lastColumn="0" w:oddVBand="0" w:evenVBand="0" w:oddHBand="0" w:evenHBand="0" w:firstRowFirstColumn="0" w:firstRowLastColumn="0" w:lastRowFirstColumn="0" w:lastRowLastColumn="0"/>
              <w:rPr>
                <w:rFonts w:cs="Arial"/>
                <w:sz w:val="18"/>
                <w:szCs w:val="18"/>
              </w:rPr>
            </w:pPr>
            <w:r w:rsidRPr="003F4C67">
              <w:rPr>
                <w:rFonts w:cs="Arial"/>
                <w:sz w:val="18"/>
                <w:szCs w:val="18"/>
              </w:rPr>
              <w:t>Technical review panels</w:t>
            </w:r>
          </w:p>
        </w:tc>
        <w:tc>
          <w:tcPr>
            <w:tcW w:w="3042" w:type="dxa"/>
          </w:tcPr>
          <w:p w:rsidR="00C33221" w:rsidRPr="003F4C67" w:rsidRDefault="00692320"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865,358</w:t>
            </w:r>
          </w:p>
        </w:tc>
      </w:tr>
      <w:tr w:rsidR="00F33D5B" w:rsidRPr="003F4C67" w:rsidTr="008612F9">
        <w:trPr>
          <w:trHeight w:hRule="exact" w:val="101"/>
        </w:trPr>
        <w:tc>
          <w:tcPr>
            <w:cnfStyle w:val="001000000000" w:firstRow="0" w:lastRow="0" w:firstColumn="1" w:lastColumn="0" w:oddVBand="0" w:evenVBand="0" w:oddHBand="0" w:evenHBand="0" w:firstRowFirstColumn="0" w:firstRowLastColumn="0" w:lastRowFirstColumn="0" w:lastRowLastColumn="0"/>
            <w:tcW w:w="7379" w:type="dxa"/>
            <w:gridSpan w:val="3"/>
          </w:tcPr>
          <w:p w:rsidR="00F33D5B" w:rsidRPr="003F4C67" w:rsidRDefault="00F33D5B" w:rsidP="003F4C67">
            <w:pPr>
              <w:pStyle w:val="Tabletext"/>
              <w:spacing w:before="0" w:after="0"/>
              <w:rPr>
                <w:sz w:val="18"/>
                <w:szCs w:val="18"/>
              </w:rPr>
            </w:pPr>
          </w:p>
        </w:tc>
        <w:tc>
          <w:tcPr>
            <w:tcW w:w="3042" w:type="dxa"/>
          </w:tcPr>
          <w:p w:rsidR="00F33D5B" w:rsidRPr="003F4C67" w:rsidRDefault="00F33D5B"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7379" w:type="dxa"/>
            <w:gridSpan w:val="3"/>
          </w:tcPr>
          <w:p w:rsidR="00C33221" w:rsidRPr="003F4C67" w:rsidRDefault="00C33221" w:rsidP="003F4C67">
            <w:pPr>
              <w:pStyle w:val="Tabletext"/>
              <w:spacing w:before="0" w:after="0"/>
              <w:rPr>
                <w:sz w:val="18"/>
                <w:szCs w:val="18"/>
              </w:rPr>
            </w:pPr>
            <w:r w:rsidRPr="003F4C67">
              <w:rPr>
                <w:sz w:val="18"/>
                <w:szCs w:val="18"/>
              </w:rPr>
              <w:t>Field test (FT)</w:t>
            </w:r>
          </w:p>
        </w:tc>
        <w:tc>
          <w:tcPr>
            <w:tcW w:w="3042" w:type="dxa"/>
          </w:tcPr>
          <w:p w:rsidR="00C33221" w:rsidRPr="003F4C67" w:rsidRDefault="00C33221"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210</w:t>
            </w:r>
          </w:p>
        </w:tc>
        <w:tc>
          <w:tcPr>
            <w:tcW w:w="6084" w:type="dxa"/>
          </w:tcPr>
          <w:p w:rsidR="00C33221" w:rsidRPr="003F4C67" w:rsidRDefault="00A87343"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FT </w:t>
            </w:r>
            <w:r w:rsidR="00C33221" w:rsidRPr="003F4C67">
              <w:rPr>
                <w:sz w:val="18"/>
                <w:szCs w:val="18"/>
              </w:rPr>
              <w:t>Sampling</w:t>
            </w:r>
          </w:p>
        </w:tc>
        <w:tc>
          <w:tcPr>
            <w:tcW w:w="3042" w:type="dxa"/>
          </w:tcPr>
          <w:p w:rsidR="00C33221" w:rsidRPr="003F4C67" w:rsidRDefault="00B02527"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00692320">
              <w:rPr>
                <w:sz w:val="18"/>
                <w:szCs w:val="18"/>
              </w:rPr>
              <w:t>8,140</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220</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FT RIM</w:t>
            </w:r>
            <w:r w:rsidR="00947DA6">
              <w:rPr>
                <w:sz w:val="18"/>
                <w:szCs w:val="18"/>
              </w:rPr>
              <w:t>G</w:t>
            </w:r>
            <w:r w:rsidRPr="003F4C67">
              <w:rPr>
                <w:sz w:val="18"/>
                <w:szCs w:val="18"/>
              </w:rPr>
              <w:t>/OMB forms clearance</w:t>
            </w:r>
          </w:p>
        </w:tc>
        <w:tc>
          <w:tcPr>
            <w:tcW w:w="3042" w:type="dxa"/>
          </w:tcPr>
          <w:p w:rsidR="00C33221" w:rsidRPr="003F4C67" w:rsidRDefault="00B02527"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w:t>
            </w:r>
            <w:r w:rsidR="00692320">
              <w:rPr>
                <w:sz w:val="18"/>
                <w:szCs w:val="18"/>
              </w:rPr>
              <w:t>0,983</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231</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Instrumentation</w:t>
            </w:r>
          </w:p>
        </w:tc>
        <w:tc>
          <w:tcPr>
            <w:tcW w:w="3042" w:type="dxa"/>
          </w:tcPr>
          <w:p w:rsidR="00C33221" w:rsidRPr="003F4C67" w:rsidRDefault="00692320"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696,220</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232</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Tracing</w:t>
            </w:r>
          </w:p>
        </w:tc>
        <w:tc>
          <w:tcPr>
            <w:tcW w:w="3042" w:type="dxa"/>
          </w:tcPr>
          <w:p w:rsidR="00C33221" w:rsidRPr="003F4C67" w:rsidRDefault="001F5258"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68,368</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234</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 xml:space="preserve">Training for </w:t>
            </w:r>
            <w:r w:rsidR="00F5653D">
              <w:rPr>
                <w:sz w:val="18"/>
                <w:szCs w:val="18"/>
              </w:rPr>
              <w:t>Web/</w:t>
            </w:r>
            <w:r w:rsidRPr="003F4C67">
              <w:rPr>
                <w:sz w:val="18"/>
                <w:szCs w:val="18"/>
              </w:rPr>
              <w:t>CATI data collection</w:t>
            </w:r>
          </w:p>
        </w:tc>
        <w:tc>
          <w:tcPr>
            <w:tcW w:w="3042" w:type="dxa"/>
          </w:tcPr>
          <w:p w:rsidR="00C33221" w:rsidRPr="003F4C67" w:rsidRDefault="00C33221"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1</w:t>
            </w:r>
            <w:r w:rsidR="001F5258">
              <w:rPr>
                <w:sz w:val="18"/>
                <w:szCs w:val="18"/>
              </w:rPr>
              <w:t>26,693</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236</w:t>
            </w:r>
          </w:p>
        </w:tc>
        <w:tc>
          <w:tcPr>
            <w:tcW w:w="6084" w:type="dxa"/>
          </w:tcPr>
          <w:p w:rsidR="00C33221" w:rsidRPr="003F4C67" w:rsidRDefault="00C33221" w:rsidP="00FD4365">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Web/</w:t>
            </w:r>
            <w:r w:rsidR="00F5653D">
              <w:rPr>
                <w:sz w:val="18"/>
                <w:szCs w:val="18"/>
              </w:rPr>
              <w:t xml:space="preserve">CATI </w:t>
            </w:r>
            <w:r w:rsidRPr="003F4C67">
              <w:rPr>
                <w:sz w:val="18"/>
                <w:szCs w:val="18"/>
              </w:rPr>
              <w:t>data collection</w:t>
            </w:r>
            <w:r w:rsidR="00BC025F">
              <w:rPr>
                <w:sz w:val="18"/>
                <w:szCs w:val="18"/>
              </w:rPr>
              <w:t xml:space="preserve"> </w:t>
            </w:r>
          </w:p>
        </w:tc>
        <w:tc>
          <w:tcPr>
            <w:tcW w:w="3042" w:type="dxa"/>
          </w:tcPr>
          <w:p w:rsidR="00C33221" w:rsidRPr="003F4C67" w:rsidRDefault="001F5258"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393,288</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237</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Data processing</w:t>
            </w:r>
          </w:p>
        </w:tc>
        <w:tc>
          <w:tcPr>
            <w:tcW w:w="3042" w:type="dxa"/>
          </w:tcPr>
          <w:p w:rsidR="00C33221" w:rsidRPr="003F4C67" w:rsidRDefault="00B02527"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001F5258">
              <w:rPr>
                <w:sz w:val="18"/>
                <w:szCs w:val="18"/>
              </w:rPr>
              <w:t>58,230</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240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Methodology report</w:t>
            </w:r>
          </w:p>
        </w:tc>
        <w:tc>
          <w:tcPr>
            <w:tcW w:w="3042" w:type="dxa"/>
          </w:tcPr>
          <w:p w:rsidR="00C33221" w:rsidRPr="003F4C67" w:rsidRDefault="00C33221"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1</w:t>
            </w:r>
            <w:r w:rsidR="00B02527">
              <w:rPr>
                <w:sz w:val="18"/>
                <w:szCs w:val="18"/>
              </w:rPr>
              <w:t>8</w:t>
            </w:r>
            <w:r w:rsidR="001F5258">
              <w:rPr>
                <w:sz w:val="18"/>
                <w:szCs w:val="18"/>
              </w:rPr>
              <w:t>2,416</w:t>
            </w:r>
          </w:p>
        </w:tc>
      </w:tr>
      <w:tr w:rsidR="00F33D5B" w:rsidRPr="003F4C67" w:rsidTr="008612F9">
        <w:trPr>
          <w:trHeight w:hRule="exact" w:val="101"/>
        </w:trPr>
        <w:tc>
          <w:tcPr>
            <w:cnfStyle w:val="001000000000" w:firstRow="0" w:lastRow="0" w:firstColumn="1" w:lastColumn="0" w:oddVBand="0" w:evenVBand="0" w:oddHBand="0" w:evenHBand="0" w:firstRowFirstColumn="0" w:firstRowLastColumn="0" w:lastRowFirstColumn="0" w:lastRowLastColumn="0"/>
            <w:tcW w:w="7379" w:type="dxa"/>
            <w:gridSpan w:val="3"/>
          </w:tcPr>
          <w:p w:rsidR="00F33D5B" w:rsidRPr="003F4C67" w:rsidRDefault="00F33D5B" w:rsidP="003F4C67">
            <w:pPr>
              <w:pStyle w:val="Tabletext"/>
              <w:spacing w:before="0" w:after="0"/>
              <w:rPr>
                <w:sz w:val="18"/>
                <w:szCs w:val="18"/>
              </w:rPr>
            </w:pPr>
          </w:p>
        </w:tc>
        <w:tc>
          <w:tcPr>
            <w:tcW w:w="3042" w:type="dxa"/>
          </w:tcPr>
          <w:p w:rsidR="00F33D5B" w:rsidRPr="003F4C67" w:rsidRDefault="00F33D5B"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7379" w:type="dxa"/>
            <w:gridSpan w:val="3"/>
          </w:tcPr>
          <w:p w:rsidR="00C33221" w:rsidRPr="003F4C67" w:rsidRDefault="00C33221" w:rsidP="003F4C67">
            <w:pPr>
              <w:pStyle w:val="Tabletext"/>
              <w:spacing w:before="0" w:after="0"/>
              <w:rPr>
                <w:sz w:val="18"/>
                <w:szCs w:val="18"/>
              </w:rPr>
            </w:pPr>
            <w:r w:rsidRPr="003F4C67">
              <w:rPr>
                <w:sz w:val="18"/>
                <w:szCs w:val="18"/>
              </w:rPr>
              <w:t>Full-scale (FS) data collection</w:t>
            </w:r>
          </w:p>
        </w:tc>
        <w:tc>
          <w:tcPr>
            <w:tcW w:w="3042" w:type="dxa"/>
          </w:tcPr>
          <w:p w:rsidR="00C33221" w:rsidRPr="003F4C67" w:rsidRDefault="00C33221"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31</w:t>
            </w:r>
            <w:r w:rsidR="00F5653D">
              <w:rPr>
                <w:sz w:val="18"/>
                <w:szCs w:val="18"/>
              </w:rPr>
              <w:t>0</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 xml:space="preserve">FS </w:t>
            </w:r>
            <w:r w:rsidR="00F5653D">
              <w:rPr>
                <w:sz w:val="18"/>
                <w:szCs w:val="18"/>
              </w:rPr>
              <w:t>Sampling</w:t>
            </w:r>
          </w:p>
        </w:tc>
        <w:tc>
          <w:tcPr>
            <w:tcW w:w="3042" w:type="dxa"/>
          </w:tcPr>
          <w:p w:rsidR="00C33221" w:rsidRPr="003F4C67" w:rsidRDefault="001F5258"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47,419</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320</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FS RIM</w:t>
            </w:r>
            <w:r w:rsidR="00947DA6">
              <w:rPr>
                <w:sz w:val="18"/>
                <w:szCs w:val="18"/>
              </w:rPr>
              <w:t>G</w:t>
            </w:r>
            <w:r w:rsidRPr="003F4C67">
              <w:rPr>
                <w:sz w:val="18"/>
                <w:szCs w:val="18"/>
              </w:rPr>
              <w:t>/OMB forms clearance</w:t>
            </w:r>
          </w:p>
        </w:tc>
        <w:tc>
          <w:tcPr>
            <w:tcW w:w="3042" w:type="dxa"/>
          </w:tcPr>
          <w:p w:rsidR="00C33221" w:rsidRPr="003F4C67" w:rsidRDefault="001F5258"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56,630</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331</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Instrumentation</w:t>
            </w:r>
          </w:p>
        </w:tc>
        <w:tc>
          <w:tcPr>
            <w:tcW w:w="3042" w:type="dxa"/>
          </w:tcPr>
          <w:p w:rsidR="00C33221" w:rsidRPr="003F4C67" w:rsidRDefault="00F5653D"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w:t>
            </w:r>
            <w:r w:rsidR="001F5258">
              <w:rPr>
                <w:sz w:val="18"/>
                <w:szCs w:val="18"/>
              </w:rPr>
              <w:t>73,805</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332</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Tracing</w:t>
            </w:r>
          </w:p>
        </w:tc>
        <w:tc>
          <w:tcPr>
            <w:tcW w:w="3042" w:type="dxa"/>
          </w:tcPr>
          <w:p w:rsidR="00C33221" w:rsidRPr="003F4C67" w:rsidRDefault="00F5653D"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r w:rsidR="001F5258">
              <w:rPr>
                <w:sz w:val="18"/>
                <w:szCs w:val="18"/>
              </w:rPr>
              <w:t>02,399</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334</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 xml:space="preserve">Training for </w:t>
            </w:r>
            <w:r w:rsidR="00F5653D">
              <w:rPr>
                <w:sz w:val="18"/>
                <w:szCs w:val="18"/>
              </w:rPr>
              <w:t>web</w:t>
            </w:r>
            <w:r w:rsidR="00D628B7">
              <w:rPr>
                <w:sz w:val="18"/>
                <w:szCs w:val="18"/>
              </w:rPr>
              <w:t xml:space="preserve">/CATI </w:t>
            </w:r>
            <w:r w:rsidRPr="003F4C67">
              <w:rPr>
                <w:sz w:val="18"/>
                <w:szCs w:val="18"/>
              </w:rPr>
              <w:t>data collection</w:t>
            </w:r>
            <w:r w:rsidR="00D628B7">
              <w:rPr>
                <w:sz w:val="18"/>
                <w:szCs w:val="18"/>
              </w:rPr>
              <w:t xml:space="preserve"> </w:t>
            </w:r>
          </w:p>
        </w:tc>
        <w:tc>
          <w:tcPr>
            <w:tcW w:w="3042" w:type="dxa"/>
          </w:tcPr>
          <w:p w:rsidR="00C33221" w:rsidRPr="003F4C67" w:rsidRDefault="001F5258" w:rsidP="001F5258">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30</w:t>
            </w:r>
            <w:r w:rsidR="00F5653D">
              <w:rPr>
                <w:sz w:val="18"/>
                <w:szCs w:val="18"/>
              </w:rPr>
              <w:t>9,</w:t>
            </w:r>
            <w:r>
              <w:rPr>
                <w:sz w:val="18"/>
                <w:szCs w:val="18"/>
              </w:rPr>
              <w:t>055</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336</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Web/</w:t>
            </w:r>
            <w:r w:rsidR="00F5653D">
              <w:rPr>
                <w:sz w:val="18"/>
                <w:szCs w:val="18"/>
              </w:rPr>
              <w:t>CATI</w:t>
            </w:r>
            <w:r w:rsidRPr="003F4C67">
              <w:rPr>
                <w:sz w:val="18"/>
                <w:szCs w:val="18"/>
              </w:rPr>
              <w:t xml:space="preserve"> data collection</w:t>
            </w:r>
            <w:r w:rsidR="00BC025F">
              <w:rPr>
                <w:sz w:val="18"/>
                <w:szCs w:val="18"/>
              </w:rPr>
              <w:t xml:space="preserve"> – general </w:t>
            </w:r>
          </w:p>
        </w:tc>
        <w:tc>
          <w:tcPr>
            <w:tcW w:w="3042" w:type="dxa"/>
          </w:tcPr>
          <w:p w:rsidR="00C33221" w:rsidRPr="003F4C67" w:rsidRDefault="00C33221" w:rsidP="00F5653D">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2</w:t>
            </w:r>
            <w:r w:rsidR="00F5653D">
              <w:rPr>
                <w:sz w:val="18"/>
                <w:szCs w:val="18"/>
              </w:rPr>
              <w:t>,</w:t>
            </w:r>
            <w:r w:rsidR="001F5258">
              <w:rPr>
                <w:sz w:val="18"/>
                <w:szCs w:val="18"/>
              </w:rPr>
              <w:t>211,376</w:t>
            </w:r>
          </w:p>
        </w:tc>
      </w:tr>
      <w:tr w:rsidR="00BC025F"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BC025F" w:rsidRPr="003F4C67" w:rsidRDefault="00BC025F" w:rsidP="003F4C67">
            <w:pPr>
              <w:pStyle w:val="2enspsubgroup1"/>
              <w:spacing w:before="0" w:after="0"/>
              <w:rPr>
                <w:sz w:val="18"/>
                <w:szCs w:val="18"/>
              </w:rPr>
            </w:pPr>
          </w:p>
        </w:tc>
        <w:tc>
          <w:tcPr>
            <w:tcW w:w="6084" w:type="dxa"/>
          </w:tcPr>
          <w:p w:rsidR="00BC025F" w:rsidRPr="000E2691" w:rsidRDefault="00BC025F"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0E2691">
              <w:rPr>
                <w:sz w:val="18"/>
                <w:szCs w:val="18"/>
              </w:rPr>
              <w:t xml:space="preserve">Web/CATI data collection – incentives </w:t>
            </w:r>
          </w:p>
        </w:tc>
        <w:tc>
          <w:tcPr>
            <w:tcW w:w="3042" w:type="dxa"/>
          </w:tcPr>
          <w:p w:rsidR="00BC025F" w:rsidRPr="000E2691" w:rsidRDefault="006D7243"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0E2691">
              <w:rPr>
                <w:sz w:val="18"/>
                <w:szCs w:val="18"/>
              </w:rPr>
              <w:t>576,898</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337</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Data processing</w:t>
            </w:r>
          </w:p>
        </w:tc>
        <w:tc>
          <w:tcPr>
            <w:tcW w:w="3042" w:type="dxa"/>
          </w:tcPr>
          <w:p w:rsidR="00C33221" w:rsidRPr="003F4C67" w:rsidRDefault="00F5653D"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w:t>
            </w:r>
            <w:r w:rsidR="001F5258">
              <w:rPr>
                <w:sz w:val="18"/>
                <w:szCs w:val="18"/>
              </w:rPr>
              <w:t>20,259</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338</w:t>
            </w:r>
          </w:p>
        </w:tc>
        <w:tc>
          <w:tcPr>
            <w:tcW w:w="6084" w:type="dxa"/>
          </w:tcPr>
          <w:p w:rsidR="00C33221" w:rsidRPr="003F4C67" w:rsidRDefault="00C33221" w:rsidP="00F5653D">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Weighting, imputation, and nonresponse bias analysis</w:t>
            </w:r>
          </w:p>
        </w:tc>
        <w:tc>
          <w:tcPr>
            <w:tcW w:w="3042" w:type="dxa"/>
          </w:tcPr>
          <w:p w:rsidR="00C33221" w:rsidRPr="003F4C67" w:rsidRDefault="00C33221" w:rsidP="00F5653D">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2</w:t>
            </w:r>
            <w:r w:rsidR="00F5653D">
              <w:rPr>
                <w:sz w:val="18"/>
                <w:szCs w:val="18"/>
              </w:rPr>
              <w:t>1</w:t>
            </w:r>
            <w:r w:rsidR="001F5258">
              <w:rPr>
                <w:sz w:val="18"/>
                <w:szCs w:val="18"/>
              </w:rPr>
              <w:t>1,472</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339</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Data disclosure planning and prevention</w:t>
            </w:r>
          </w:p>
        </w:tc>
        <w:tc>
          <w:tcPr>
            <w:tcW w:w="3042" w:type="dxa"/>
          </w:tcPr>
          <w:p w:rsidR="00C33221" w:rsidRPr="003F4C67" w:rsidRDefault="00F5653D"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w:t>
            </w:r>
            <w:r w:rsidR="001F5258">
              <w:rPr>
                <w:sz w:val="18"/>
                <w:szCs w:val="18"/>
              </w:rPr>
              <w:t>7,574</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340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Methodology report</w:t>
            </w:r>
          </w:p>
        </w:tc>
        <w:tc>
          <w:tcPr>
            <w:tcW w:w="3042" w:type="dxa"/>
          </w:tcPr>
          <w:p w:rsidR="00C33221" w:rsidRPr="003F4C67" w:rsidRDefault="00F5653D" w:rsidP="00F5653D">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w:t>
            </w:r>
            <w:r w:rsidR="001F5258">
              <w:rPr>
                <w:sz w:val="18"/>
                <w:szCs w:val="18"/>
              </w:rPr>
              <w:t>11,049</w:t>
            </w:r>
          </w:p>
        </w:tc>
      </w:tr>
      <w:tr w:rsidR="007014EE" w:rsidRPr="003F4C67" w:rsidTr="008612F9">
        <w:trPr>
          <w:trHeight w:hRule="exact" w:val="101"/>
        </w:trPr>
        <w:tc>
          <w:tcPr>
            <w:cnfStyle w:val="001000000000" w:firstRow="0" w:lastRow="0" w:firstColumn="1" w:lastColumn="0" w:oddVBand="0" w:evenVBand="0" w:oddHBand="0" w:evenHBand="0" w:firstRowFirstColumn="0" w:firstRowLastColumn="0" w:lastRowFirstColumn="0" w:lastRowLastColumn="0"/>
            <w:tcW w:w="7379" w:type="dxa"/>
            <w:gridSpan w:val="3"/>
          </w:tcPr>
          <w:p w:rsidR="007014EE" w:rsidRPr="003F4C67" w:rsidRDefault="007014EE" w:rsidP="003F4C67">
            <w:pPr>
              <w:pStyle w:val="Tabletext"/>
              <w:spacing w:before="0" w:after="0"/>
              <w:rPr>
                <w:sz w:val="18"/>
                <w:szCs w:val="18"/>
              </w:rPr>
            </w:pPr>
          </w:p>
        </w:tc>
        <w:tc>
          <w:tcPr>
            <w:tcW w:w="3042" w:type="dxa"/>
          </w:tcPr>
          <w:p w:rsidR="007014EE" w:rsidRPr="003F4C67" w:rsidRDefault="007014EE"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7379" w:type="dxa"/>
            <w:gridSpan w:val="3"/>
          </w:tcPr>
          <w:p w:rsidR="00C33221" w:rsidRPr="003F4C67" w:rsidRDefault="00C33221" w:rsidP="003F4C67">
            <w:pPr>
              <w:pStyle w:val="Tabletext"/>
              <w:spacing w:before="0" w:after="0"/>
              <w:rPr>
                <w:sz w:val="18"/>
                <w:szCs w:val="18"/>
              </w:rPr>
            </w:pPr>
            <w:r w:rsidRPr="003F4C67">
              <w:rPr>
                <w:sz w:val="18"/>
                <w:szCs w:val="18"/>
              </w:rPr>
              <w:t>Descriptive reporting</w:t>
            </w:r>
          </w:p>
        </w:tc>
        <w:tc>
          <w:tcPr>
            <w:tcW w:w="3042" w:type="dxa"/>
          </w:tcPr>
          <w:p w:rsidR="00C33221" w:rsidRPr="003F4C67" w:rsidRDefault="00C33221"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410</w:t>
            </w:r>
          </w:p>
        </w:tc>
        <w:tc>
          <w:tcPr>
            <w:tcW w:w="6084" w:type="dxa"/>
          </w:tcPr>
          <w:p w:rsidR="00C33221" w:rsidRPr="003F4C67" w:rsidRDefault="00947DA6" w:rsidP="00947DA6">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First Look report</w:t>
            </w:r>
          </w:p>
        </w:tc>
        <w:tc>
          <w:tcPr>
            <w:tcW w:w="3042" w:type="dxa"/>
          </w:tcPr>
          <w:p w:rsidR="00C33221" w:rsidRPr="003F4C67" w:rsidRDefault="00947DA6" w:rsidP="00947DA6">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w:t>
            </w:r>
            <w:r w:rsidR="001F5258">
              <w:rPr>
                <w:sz w:val="18"/>
                <w:szCs w:val="18"/>
              </w:rPr>
              <w:t>3,163</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420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Data analysis system</w:t>
            </w:r>
          </w:p>
        </w:tc>
        <w:tc>
          <w:tcPr>
            <w:tcW w:w="3042" w:type="dxa"/>
          </w:tcPr>
          <w:p w:rsidR="00C33221" w:rsidRPr="003F4C67" w:rsidRDefault="00947DA6"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r w:rsidR="001F5258">
              <w:rPr>
                <w:sz w:val="18"/>
                <w:szCs w:val="18"/>
              </w:rPr>
              <w:t>40,612</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430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Additional special tabulations</w:t>
            </w:r>
          </w:p>
        </w:tc>
        <w:tc>
          <w:tcPr>
            <w:tcW w:w="3042" w:type="dxa"/>
          </w:tcPr>
          <w:p w:rsidR="00C33221" w:rsidRPr="003F4C67" w:rsidRDefault="00947DA6"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r w:rsidR="001F5258">
              <w:rPr>
                <w:sz w:val="18"/>
                <w:szCs w:val="18"/>
              </w:rPr>
              <w:t>35,937</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440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Descriptive reports</w:t>
            </w:r>
          </w:p>
        </w:tc>
        <w:tc>
          <w:tcPr>
            <w:tcW w:w="3042" w:type="dxa"/>
          </w:tcPr>
          <w:p w:rsidR="00C33221" w:rsidRPr="003F4C67" w:rsidRDefault="00947DA6"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w:t>
            </w:r>
            <w:r w:rsidR="001F5258">
              <w:rPr>
                <w:sz w:val="18"/>
                <w:szCs w:val="18"/>
              </w:rPr>
              <w:t>08,415</w:t>
            </w:r>
          </w:p>
        </w:tc>
      </w:tr>
      <w:tr w:rsidR="00C33221"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C33221" w:rsidRPr="003F4C67" w:rsidRDefault="00C33221" w:rsidP="003F4C67">
            <w:pPr>
              <w:pStyle w:val="2enspsubgroup1"/>
              <w:spacing w:before="0" w:after="0"/>
              <w:rPr>
                <w:sz w:val="18"/>
                <w:szCs w:val="18"/>
              </w:rPr>
            </w:pPr>
            <w:r w:rsidRPr="003F4C67">
              <w:rPr>
                <w:sz w:val="18"/>
                <w:szCs w:val="18"/>
              </w:rPr>
              <w:t>450</w:t>
            </w:r>
          </w:p>
        </w:tc>
        <w:tc>
          <w:tcPr>
            <w:tcW w:w="6084" w:type="dxa"/>
          </w:tcPr>
          <w:p w:rsidR="00C33221" w:rsidRPr="003F4C67" w:rsidRDefault="00C33221" w:rsidP="003F4C67">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Respond to information requests</w:t>
            </w:r>
          </w:p>
        </w:tc>
        <w:tc>
          <w:tcPr>
            <w:tcW w:w="3042" w:type="dxa"/>
          </w:tcPr>
          <w:p w:rsidR="00C33221" w:rsidRPr="003F4C67" w:rsidRDefault="00947DA6" w:rsidP="00F33D5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r w:rsidR="001F5258">
              <w:rPr>
                <w:sz w:val="18"/>
                <w:szCs w:val="18"/>
              </w:rPr>
              <w:t>67,645</w:t>
            </w:r>
          </w:p>
        </w:tc>
      </w:tr>
      <w:tr w:rsidR="005363CD" w:rsidRPr="003F4C67" w:rsidTr="000E6373">
        <w:trPr>
          <w:trHeight w:hRule="exact" w:val="245"/>
        </w:trPr>
        <w:tc>
          <w:tcPr>
            <w:cnfStyle w:val="001000000000" w:firstRow="0" w:lastRow="0" w:firstColumn="1" w:lastColumn="0" w:oddVBand="0" w:evenVBand="0" w:oddHBand="0" w:evenHBand="0" w:firstRowFirstColumn="0" w:firstRowLastColumn="0" w:lastRowFirstColumn="0" w:lastRowLastColumn="0"/>
            <w:tcW w:w="1295" w:type="dxa"/>
            <w:gridSpan w:val="2"/>
          </w:tcPr>
          <w:p w:rsidR="005363CD" w:rsidRPr="003F4C67" w:rsidRDefault="005363CD" w:rsidP="008D60AB">
            <w:pPr>
              <w:pStyle w:val="2enspsubgroup1"/>
              <w:spacing w:before="0" w:after="0"/>
              <w:rPr>
                <w:sz w:val="18"/>
                <w:szCs w:val="18"/>
              </w:rPr>
            </w:pPr>
            <w:r w:rsidRPr="003F4C67">
              <w:rPr>
                <w:sz w:val="18"/>
                <w:szCs w:val="18"/>
              </w:rPr>
              <w:t>460</w:t>
            </w:r>
          </w:p>
        </w:tc>
        <w:tc>
          <w:tcPr>
            <w:tcW w:w="6084" w:type="dxa"/>
          </w:tcPr>
          <w:p w:rsidR="005363CD" w:rsidRPr="003F4C67" w:rsidRDefault="005363CD" w:rsidP="008D60AB">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Final technical memo</w:t>
            </w:r>
          </w:p>
        </w:tc>
        <w:tc>
          <w:tcPr>
            <w:tcW w:w="3042" w:type="dxa"/>
          </w:tcPr>
          <w:p w:rsidR="005363CD" w:rsidRPr="003F4C67" w:rsidRDefault="005363CD" w:rsidP="008D60A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3F4C67">
              <w:rPr>
                <w:sz w:val="18"/>
                <w:szCs w:val="18"/>
              </w:rPr>
              <w:t>1</w:t>
            </w:r>
            <w:r>
              <w:rPr>
                <w:sz w:val="18"/>
                <w:szCs w:val="18"/>
              </w:rPr>
              <w:t>2,907</w:t>
            </w:r>
          </w:p>
        </w:tc>
      </w:tr>
      <w:tr w:rsidR="004943AF" w:rsidRPr="003F4C67" w:rsidTr="008612F9">
        <w:trPr>
          <w:trHeight w:hRule="exact" w:val="101"/>
        </w:trPr>
        <w:tc>
          <w:tcPr>
            <w:cnfStyle w:val="001000000000" w:firstRow="0" w:lastRow="0" w:firstColumn="1" w:lastColumn="0" w:oddVBand="0" w:evenVBand="0" w:oddHBand="0" w:evenHBand="0" w:firstRowFirstColumn="0" w:firstRowLastColumn="0" w:lastRowFirstColumn="0" w:lastRowLastColumn="0"/>
            <w:tcW w:w="7379" w:type="dxa"/>
            <w:gridSpan w:val="3"/>
          </w:tcPr>
          <w:p w:rsidR="004943AF" w:rsidRPr="003F4C67" w:rsidRDefault="004943AF" w:rsidP="008D60AB">
            <w:pPr>
              <w:pStyle w:val="Tabletext"/>
              <w:spacing w:before="0" w:after="0"/>
              <w:rPr>
                <w:sz w:val="18"/>
                <w:szCs w:val="18"/>
              </w:rPr>
            </w:pPr>
          </w:p>
        </w:tc>
        <w:tc>
          <w:tcPr>
            <w:tcW w:w="3042" w:type="dxa"/>
          </w:tcPr>
          <w:p w:rsidR="004943AF" w:rsidRPr="000E2691" w:rsidRDefault="004943AF" w:rsidP="008D60AB">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005363CD" w:rsidRPr="003F4C67" w:rsidTr="008D60AB">
        <w:trPr>
          <w:trHeight w:hRule="exact" w:val="245"/>
        </w:trPr>
        <w:tc>
          <w:tcPr>
            <w:cnfStyle w:val="001000000000" w:firstRow="0" w:lastRow="0" w:firstColumn="1" w:lastColumn="0" w:oddVBand="0" w:evenVBand="0" w:oddHBand="0" w:evenHBand="0" w:firstRowFirstColumn="0" w:firstRowLastColumn="0" w:lastRowFirstColumn="0" w:lastRowLastColumn="0"/>
            <w:tcW w:w="7379" w:type="dxa"/>
            <w:gridSpan w:val="3"/>
            <w:tcBorders>
              <w:bottom w:val="single" w:sz="12" w:space="0" w:color="auto"/>
            </w:tcBorders>
          </w:tcPr>
          <w:p w:rsidR="005363CD" w:rsidRPr="003F4C67" w:rsidRDefault="005363CD" w:rsidP="008D60AB">
            <w:pPr>
              <w:pStyle w:val="Tabletext"/>
              <w:spacing w:before="0" w:after="0"/>
              <w:rPr>
                <w:sz w:val="18"/>
                <w:szCs w:val="18"/>
              </w:rPr>
            </w:pPr>
            <w:r w:rsidRPr="003F4C67">
              <w:rPr>
                <w:sz w:val="18"/>
                <w:szCs w:val="18"/>
              </w:rPr>
              <w:t>Total </w:t>
            </w:r>
          </w:p>
        </w:tc>
        <w:tc>
          <w:tcPr>
            <w:tcW w:w="3042" w:type="dxa"/>
            <w:tcBorders>
              <w:bottom w:val="single" w:sz="12" w:space="0" w:color="auto"/>
            </w:tcBorders>
          </w:tcPr>
          <w:p w:rsidR="005363CD" w:rsidRPr="00E03332" w:rsidRDefault="005363CD" w:rsidP="008D60AB">
            <w:pPr>
              <w:pStyle w:val="Tablenumbers"/>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E2691">
              <w:rPr>
                <w:sz w:val="18"/>
                <w:szCs w:val="18"/>
              </w:rPr>
              <w:t>$ 10,354,130</w:t>
            </w:r>
          </w:p>
        </w:tc>
      </w:tr>
    </w:tbl>
    <w:p w:rsidR="00C33221" w:rsidRDefault="00C33221" w:rsidP="00947DA6">
      <w:pPr>
        <w:pStyle w:val="Source"/>
        <w:spacing w:after="360"/>
      </w:pPr>
      <w:r w:rsidRPr="005C26EF">
        <w:t xml:space="preserve">NOTE: Costs presented here do not include base or award fee. </w:t>
      </w:r>
      <w:r>
        <w:t>B</w:t>
      </w:r>
      <w:r w:rsidR="00947DA6">
        <w:t>PS</w:t>
      </w:r>
      <w:r w:rsidR="00800BD1">
        <w:t>:</w:t>
      </w:r>
      <w:r>
        <w:t>12</w:t>
      </w:r>
      <w:r w:rsidR="00947DA6">
        <w:t>/14</w:t>
      </w:r>
      <w:r>
        <w:t xml:space="preserve"> = 20</w:t>
      </w:r>
      <w:r w:rsidR="00947DA6">
        <w:t>12</w:t>
      </w:r>
      <w:r>
        <w:t>/1</w:t>
      </w:r>
      <w:r w:rsidR="00947DA6">
        <w:t>4</w:t>
      </w:r>
      <w:r>
        <w:t xml:space="preserve"> </w:t>
      </w:r>
      <w:r w:rsidR="00947DA6">
        <w:t xml:space="preserve">Beginning Postsecondary Students </w:t>
      </w:r>
      <w:r>
        <w:t xml:space="preserve">Longitudinal Study; </w:t>
      </w:r>
      <w:r w:rsidRPr="005C26EF">
        <w:t>CATI = computer</w:t>
      </w:r>
      <w:r>
        <w:t>-</w:t>
      </w:r>
      <w:r w:rsidRPr="005C26EF">
        <w:t>assisted telephone interview</w:t>
      </w:r>
      <w:r>
        <w:t>ing; OMB = Office of Management and Budget; RIMG = Regulatory Information Management Group.</w:t>
      </w:r>
    </w:p>
    <w:p w:rsidR="000116EC" w:rsidRDefault="00CF5499" w:rsidP="00241C35">
      <w:pPr>
        <w:pStyle w:val="Heading2"/>
        <w:numPr>
          <w:ilvl w:val="1"/>
          <w:numId w:val="16"/>
        </w:numPr>
        <w:spacing w:line="320" w:lineRule="atLeast"/>
      </w:pPr>
      <w:bookmarkStart w:id="148" w:name="_Toc337878568"/>
      <w:r>
        <w:t xml:space="preserve">Reasons for Changes in </w:t>
      </w:r>
      <w:r w:rsidR="000116EC" w:rsidRPr="005C26EF">
        <w:t>Response Burden and Costs</w:t>
      </w:r>
      <w:bookmarkEnd w:id="148"/>
      <w:r w:rsidR="000116EC" w:rsidRPr="005C26EF">
        <w:t xml:space="preserve"> </w:t>
      </w:r>
    </w:p>
    <w:p w:rsidR="000116EC" w:rsidRDefault="00CF5499" w:rsidP="000116EC">
      <w:pPr>
        <w:pStyle w:val="BodyText"/>
      </w:pPr>
      <w:r>
        <w:t>No changes in response burden or cost are anticipated</w:t>
      </w:r>
      <w:r w:rsidR="000116EC" w:rsidRPr="007F3C85">
        <w:t>.</w:t>
      </w:r>
      <w:r w:rsidR="008612F9">
        <w:t xml:space="preserve"> </w:t>
      </w:r>
      <w:r w:rsidR="008612F9" w:rsidRPr="008612F9">
        <w:t>The respondent burden shows an increase because the last OMB approval was discontinued in September 2010.</w:t>
      </w:r>
    </w:p>
    <w:p w:rsidR="00C33221" w:rsidRDefault="00C33221" w:rsidP="00241C35">
      <w:pPr>
        <w:pStyle w:val="Heading2"/>
        <w:numPr>
          <w:ilvl w:val="1"/>
          <w:numId w:val="16"/>
        </w:numPr>
        <w:ind w:left="1080" w:hanging="540"/>
      </w:pPr>
      <w:bookmarkStart w:id="149" w:name="_Toc337878569"/>
      <w:r w:rsidRPr="005C26EF">
        <w:t>Publication Plans and Time Schedule</w:t>
      </w:r>
      <w:bookmarkEnd w:id="149"/>
    </w:p>
    <w:p w:rsidR="002477DC" w:rsidRDefault="00C33221">
      <w:pPr>
        <w:pStyle w:val="BodyText"/>
        <w:ind w:firstLine="540"/>
      </w:pPr>
      <w:r w:rsidRPr="005C26EF">
        <w:t xml:space="preserve">The contract for </w:t>
      </w:r>
      <w:r>
        <w:t>B</w:t>
      </w:r>
      <w:r w:rsidR="00C03280">
        <w:t>PS</w:t>
      </w:r>
      <w:r>
        <w:t>:</w:t>
      </w:r>
      <w:r w:rsidR="008C26C6">
        <w:t>12/</w:t>
      </w:r>
      <w:r w:rsidR="00C03280">
        <w:t>14</w:t>
      </w:r>
      <w:r w:rsidRPr="005C26EF">
        <w:t xml:space="preserve"> requires the following reports, publications, or other public information releases:</w:t>
      </w:r>
    </w:p>
    <w:p w:rsidR="00C33221" w:rsidRPr="002225C7" w:rsidRDefault="00C33221" w:rsidP="00E03332">
      <w:pPr>
        <w:pStyle w:val="bulletround"/>
      </w:pPr>
      <w:r w:rsidRPr="002225C7">
        <w:t>A First Look</w:t>
      </w:r>
      <w:r w:rsidR="003B517B">
        <w:t xml:space="preserve"> report</w:t>
      </w:r>
      <w:r w:rsidR="00E03332">
        <w:t xml:space="preserve"> and </w:t>
      </w:r>
      <w:r w:rsidRPr="002225C7">
        <w:t>Web Tables;</w:t>
      </w:r>
    </w:p>
    <w:p w:rsidR="00306835" w:rsidRDefault="00C33221" w:rsidP="00306835">
      <w:pPr>
        <w:pStyle w:val="bulletround"/>
      </w:pPr>
      <w:r w:rsidRPr="002225C7">
        <w:lastRenderedPageBreak/>
        <w:t xml:space="preserve">Complete data files and documentation for research data users in the form of both a restricted-use </w:t>
      </w:r>
      <w:r w:rsidR="003B517B">
        <w:t>file</w:t>
      </w:r>
      <w:r w:rsidRPr="002225C7">
        <w:t xml:space="preserve"> and public-use data tools (i.</w:t>
      </w:r>
      <w:r w:rsidR="00306835">
        <w:t xml:space="preserve">e., QuickStats, PowerStats); </w:t>
      </w:r>
    </w:p>
    <w:p w:rsidR="00C33221" w:rsidRPr="002225C7" w:rsidRDefault="00306835" w:rsidP="000C30A7">
      <w:pPr>
        <w:pStyle w:val="bulletround"/>
      </w:pPr>
      <w:r w:rsidRPr="002225C7">
        <w:t xml:space="preserve">Detailed </w:t>
      </w:r>
      <w:r>
        <w:t>data file documentation desc</w:t>
      </w:r>
      <w:r w:rsidRPr="002225C7">
        <w:t>ribing all aspects of the full-scale study design and data collection procedures</w:t>
      </w:r>
      <w:r>
        <w:t>; and</w:t>
      </w:r>
    </w:p>
    <w:p w:rsidR="001D10AF" w:rsidRDefault="00C33221" w:rsidP="002225C7">
      <w:pPr>
        <w:pStyle w:val="bulletround"/>
      </w:pPr>
      <w:r w:rsidRPr="002225C7">
        <w:t>Special tabulations of issues of interest to the higher education community, as determined by NCES</w:t>
      </w:r>
    </w:p>
    <w:p w:rsidR="00C33221" w:rsidRPr="002225C7" w:rsidRDefault="001D10AF" w:rsidP="00F7769C">
      <w:pPr>
        <w:pStyle w:val="bulletround"/>
        <w:numPr>
          <w:ilvl w:val="0"/>
          <w:numId w:val="0"/>
        </w:numPr>
      </w:pPr>
      <w:r>
        <w:t>Additional reports, including Statistics in Brief and Statistical Analysis Reports, may also be published from the full-scale data</w:t>
      </w:r>
      <w:r w:rsidR="00C33221" w:rsidRPr="002225C7">
        <w:t>.</w:t>
      </w:r>
      <w:r>
        <w:t xml:space="preserve">  For examples of publications using prior BPS studies, see </w:t>
      </w:r>
      <w:r w:rsidR="002D2C76">
        <w:t>A</w:t>
      </w:r>
      <w:r>
        <w:t xml:space="preserve">ppendix </w:t>
      </w:r>
      <w:r w:rsidR="00B512DF">
        <w:t>D</w:t>
      </w:r>
      <w:r>
        <w:t>.</w:t>
      </w:r>
      <w:r w:rsidR="00C33221" w:rsidRPr="002225C7">
        <w:t xml:space="preserve"> </w:t>
      </w:r>
    </w:p>
    <w:p w:rsidR="00C33221" w:rsidRDefault="00C33221" w:rsidP="00382265">
      <w:pPr>
        <w:pStyle w:val="BodyText"/>
        <w:ind w:firstLine="0"/>
      </w:pPr>
      <w:r w:rsidRPr="005C26EF">
        <w:t xml:space="preserve">The operational schedule for the </w:t>
      </w:r>
      <w:r>
        <w:t>B</w:t>
      </w:r>
      <w:r w:rsidR="000F6FCA">
        <w:t>PS:</w:t>
      </w:r>
      <w:r>
        <w:t>12</w:t>
      </w:r>
      <w:r w:rsidR="000F6FCA">
        <w:t>/14</w:t>
      </w:r>
      <w:r w:rsidRPr="005C26EF">
        <w:t xml:space="preserve"> full-scale study is shown in t</w:t>
      </w:r>
      <w:r>
        <w:t xml:space="preserve">able </w:t>
      </w:r>
      <w:r w:rsidR="00382265">
        <w:t>5</w:t>
      </w:r>
      <w:r w:rsidRPr="005C26EF">
        <w:t>.</w:t>
      </w:r>
    </w:p>
    <w:p w:rsidR="00C33221" w:rsidRPr="002225C7" w:rsidRDefault="00C33221" w:rsidP="006E1E9C">
      <w:pPr>
        <w:pStyle w:val="TableTitle"/>
      </w:pPr>
      <w:bookmarkStart w:id="150" w:name="_Toc279664332"/>
      <w:bookmarkStart w:id="151" w:name="_Toc320867488"/>
      <w:bookmarkStart w:id="152" w:name="_Toc320870704"/>
      <w:bookmarkStart w:id="153" w:name="_Toc336282414"/>
      <w:bookmarkStart w:id="154" w:name="_Toc337878576"/>
      <w:r w:rsidRPr="002225C7">
        <w:t>Table</w:t>
      </w:r>
      <w:r w:rsidRPr="006E1E9C">
        <w:rPr>
          <w:b w:val="0"/>
          <w:bCs/>
        </w:rPr>
        <w:t xml:space="preserve"> </w:t>
      </w:r>
      <w:r w:rsidR="006E1E9C" w:rsidRPr="006E1E9C">
        <w:rPr>
          <w:rStyle w:val="TableTitleChar"/>
          <w:b/>
          <w:bCs/>
        </w:rPr>
        <w:t>5</w:t>
      </w:r>
      <w:r w:rsidR="00A674AE" w:rsidRPr="006E1E9C">
        <w:rPr>
          <w:b w:val="0"/>
          <w:bCs/>
        </w:rPr>
        <w:t>.</w:t>
      </w:r>
      <w:r w:rsidR="00A674AE">
        <w:tab/>
        <w:t>Operational schedule for BP</w:t>
      </w:r>
      <w:r w:rsidR="005C3268">
        <w:t>S</w:t>
      </w:r>
      <w:r w:rsidRPr="002225C7">
        <w:t>:</w:t>
      </w:r>
      <w:r w:rsidR="005C3268">
        <w:t>12/</w:t>
      </w:r>
      <w:r w:rsidR="00A674AE">
        <w:t>14</w:t>
      </w:r>
      <w:bookmarkEnd w:id="150"/>
      <w:bookmarkEnd w:id="151"/>
      <w:bookmarkEnd w:id="152"/>
      <w:bookmarkEnd w:id="153"/>
      <w:bookmarkEnd w:id="154"/>
    </w:p>
    <w:tbl>
      <w:tblPr>
        <w:tblStyle w:val="TableGrid"/>
        <w:tblW w:w="5000" w:type="pct"/>
        <w:tblLayout w:type="fixed"/>
        <w:tblLook w:val="01E0" w:firstRow="1" w:lastRow="1" w:firstColumn="1" w:lastColumn="1" w:noHBand="0" w:noVBand="0"/>
      </w:tblPr>
      <w:tblGrid>
        <w:gridCol w:w="6817"/>
        <w:gridCol w:w="1811"/>
        <w:gridCol w:w="1812"/>
      </w:tblGrid>
      <w:tr w:rsidR="00C33221" w:rsidRPr="005C26EF" w:rsidTr="00FA69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17" w:type="dxa"/>
          </w:tcPr>
          <w:p w:rsidR="00C33221" w:rsidRDefault="00C33221" w:rsidP="00306F8C">
            <w:pPr>
              <w:pStyle w:val="Tableheading"/>
              <w:spacing w:before="40" w:after="40"/>
              <w:jc w:val="left"/>
            </w:pPr>
            <w:r w:rsidRPr="005C26EF">
              <w:t>Activity</w:t>
            </w:r>
          </w:p>
        </w:tc>
        <w:tc>
          <w:tcPr>
            <w:tcW w:w="1811" w:type="dxa"/>
          </w:tcPr>
          <w:p w:rsidR="00C33221" w:rsidRDefault="00C33221" w:rsidP="00306F8C">
            <w:pPr>
              <w:pStyle w:val="Tableheading"/>
              <w:spacing w:before="40" w:after="40"/>
              <w:cnfStyle w:val="100000000000" w:firstRow="1" w:lastRow="0" w:firstColumn="0" w:lastColumn="0" w:oddVBand="0" w:evenVBand="0" w:oddHBand="0" w:evenHBand="0" w:firstRowFirstColumn="0" w:firstRowLastColumn="0" w:lastRowFirstColumn="0" w:lastRowLastColumn="0"/>
            </w:pPr>
            <w:r w:rsidRPr="005C26EF">
              <w:t>Start date</w:t>
            </w:r>
          </w:p>
        </w:tc>
        <w:tc>
          <w:tcPr>
            <w:tcW w:w="1812" w:type="dxa"/>
          </w:tcPr>
          <w:p w:rsidR="00C33221" w:rsidRDefault="00C33221" w:rsidP="00306F8C">
            <w:pPr>
              <w:pStyle w:val="Tableheading"/>
              <w:spacing w:before="40" w:after="40"/>
              <w:cnfStyle w:val="100000000000" w:firstRow="1" w:lastRow="0" w:firstColumn="0" w:lastColumn="0" w:oddVBand="0" w:evenVBand="0" w:oddHBand="0" w:evenHBand="0" w:firstRowFirstColumn="0" w:firstRowLastColumn="0" w:lastRowFirstColumn="0" w:lastRowLastColumn="0"/>
            </w:pPr>
            <w:r w:rsidRPr="005C26EF">
              <w:t>End date</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A674AE">
            <w:pPr>
              <w:pStyle w:val="Tabletext"/>
              <w:spacing w:before="40" w:after="40"/>
            </w:pPr>
            <w:r w:rsidRPr="005C26EF">
              <w:t>F</w:t>
            </w:r>
            <w:r>
              <w:t>ield Test</w:t>
            </w:r>
          </w:p>
        </w:tc>
        <w:tc>
          <w:tcPr>
            <w:tcW w:w="1811" w:type="dxa"/>
          </w:tcPr>
          <w:p w:rsidR="00A674AE" w:rsidRPr="00ED30CE" w:rsidRDefault="00A674AE" w:rsidP="00A674AE">
            <w:pPr>
              <w:pStyle w:val="Tablenumbers"/>
              <w:spacing w:before="40" w:after="40"/>
              <w:cnfStyle w:val="000000000000" w:firstRow="0" w:lastRow="0" w:firstColumn="0" w:lastColumn="0" w:oddVBand="0" w:evenVBand="0" w:oddHBand="0" w:evenHBand="0" w:firstRowFirstColumn="0" w:firstRowLastColumn="0" w:lastRowFirstColumn="0" w:lastRowLastColumn="0"/>
            </w:pPr>
          </w:p>
        </w:tc>
        <w:tc>
          <w:tcPr>
            <w:tcW w:w="1812" w:type="dxa"/>
          </w:tcPr>
          <w:p w:rsidR="00A674AE" w:rsidRPr="00ED30CE" w:rsidRDefault="00A674AE" w:rsidP="00A674AE">
            <w:pPr>
              <w:pStyle w:val="Tablenumbers"/>
              <w:spacing w:before="40" w:after="40"/>
              <w:cnfStyle w:val="000000000000" w:firstRow="0" w:lastRow="0" w:firstColumn="0" w:lastColumn="0" w:oddVBand="0" w:evenVBand="0" w:oddHBand="0" w:evenHBand="0" w:firstRowFirstColumn="0" w:firstRowLastColumn="0" w:lastRowFirstColumn="0" w:lastRowLastColumn="0"/>
            </w:pP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D628B7" w:rsidP="00A674AE">
            <w:pPr>
              <w:pStyle w:val="2enspsubgroup1"/>
              <w:spacing w:before="40" w:after="40"/>
            </w:pPr>
            <w:r>
              <w:t>Update</w:t>
            </w:r>
            <w:r w:rsidR="00A674AE">
              <w:t>/deliver sample specifications</w:t>
            </w:r>
          </w:p>
        </w:tc>
        <w:tc>
          <w:tcPr>
            <w:tcW w:w="1811" w:type="dxa"/>
          </w:tcPr>
          <w:p w:rsidR="00A674AE" w:rsidRPr="00ED30CE" w:rsidRDefault="000F6FCA"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t>7</w:t>
            </w:r>
            <w:r w:rsidR="00A674AE" w:rsidRPr="00ED30CE">
              <w:t>/</w:t>
            </w:r>
            <w:r>
              <w:t>1</w:t>
            </w:r>
            <w:r w:rsidR="00A674AE">
              <w:t>0</w:t>
            </w:r>
            <w:r w:rsidR="00A674AE" w:rsidRPr="00ED30CE">
              <w:t>/2012</w:t>
            </w:r>
          </w:p>
        </w:tc>
        <w:tc>
          <w:tcPr>
            <w:tcW w:w="1812" w:type="dxa"/>
          </w:tcPr>
          <w:p w:rsidR="00A674AE" w:rsidRPr="00ED30CE" w:rsidRDefault="00A674AE"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t>5</w:t>
            </w:r>
            <w:r w:rsidRPr="00ED30CE">
              <w:t>/</w:t>
            </w:r>
            <w:r>
              <w:t>1</w:t>
            </w:r>
            <w:r w:rsidR="000F6FCA">
              <w:t>6</w:t>
            </w:r>
            <w:r w:rsidRPr="00ED30CE">
              <w:t>/201</w:t>
            </w:r>
            <w:r w:rsidR="000F6FCA">
              <w:t>3</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D628B7">
            <w:pPr>
              <w:pStyle w:val="2enspsubgroup1"/>
              <w:spacing w:before="40" w:after="40"/>
            </w:pPr>
            <w:r>
              <w:t>Conduct locating</w:t>
            </w:r>
            <w:r w:rsidR="00D628B7">
              <w:t xml:space="preserve"> and tracing</w:t>
            </w:r>
            <w:r>
              <w:t xml:space="preserve"> activities</w:t>
            </w:r>
          </w:p>
          <w:p w:rsidR="00A674AE" w:rsidRDefault="00A674AE" w:rsidP="00D628B7">
            <w:pPr>
              <w:pStyle w:val="2enspsubgroup1"/>
              <w:spacing w:before="40" w:after="40"/>
            </w:pPr>
            <w:r>
              <w:t xml:space="preserve">Conduct </w:t>
            </w:r>
            <w:r w:rsidR="00D628B7">
              <w:t>help desk and CATI</w:t>
            </w:r>
            <w:r>
              <w:t xml:space="preserve"> training</w:t>
            </w:r>
          </w:p>
        </w:tc>
        <w:tc>
          <w:tcPr>
            <w:tcW w:w="1811" w:type="dxa"/>
          </w:tcPr>
          <w:p w:rsidR="00A674AE" w:rsidRDefault="000F6FCA"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t>8/16</w:t>
            </w:r>
            <w:r w:rsidR="00A674AE">
              <w:t>/</w:t>
            </w:r>
            <w:r>
              <w:t>20</w:t>
            </w:r>
            <w:r w:rsidR="00A674AE">
              <w:t>12</w:t>
            </w:r>
          </w:p>
          <w:p w:rsidR="00A674AE" w:rsidRPr="00ED30CE" w:rsidRDefault="000F6FCA" w:rsidP="00A674AE">
            <w:pPr>
              <w:pStyle w:val="Tablenumbers"/>
              <w:spacing w:before="40" w:after="40"/>
              <w:cnfStyle w:val="000000000000" w:firstRow="0" w:lastRow="0" w:firstColumn="0" w:lastColumn="0" w:oddVBand="0" w:evenVBand="0" w:oddHBand="0" w:evenHBand="0" w:firstRowFirstColumn="0" w:firstRowLastColumn="0" w:lastRowFirstColumn="0" w:lastRowLastColumn="0"/>
            </w:pPr>
            <w:r>
              <w:t>12</w:t>
            </w:r>
            <w:r w:rsidR="00A674AE" w:rsidRPr="00ED30CE">
              <w:t>/</w:t>
            </w:r>
            <w:r>
              <w:t>1</w:t>
            </w:r>
            <w:r w:rsidR="00A674AE" w:rsidRPr="00ED30CE">
              <w:t>9/2012</w:t>
            </w:r>
          </w:p>
        </w:tc>
        <w:tc>
          <w:tcPr>
            <w:tcW w:w="1812" w:type="dxa"/>
          </w:tcPr>
          <w:p w:rsidR="00A674AE" w:rsidRDefault="00A674AE"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t>6/2</w:t>
            </w:r>
            <w:r w:rsidR="000F6FCA">
              <w:t>8</w:t>
            </w:r>
            <w:r>
              <w:t>/</w:t>
            </w:r>
            <w:r w:rsidR="000F6FCA">
              <w:t>2013</w:t>
            </w:r>
          </w:p>
          <w:p w:rsidR="00A674AE" w:rsidRPr="00ED30CE" w:rsidRDefault="000F6FCA"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t>4</w:t>
            </w:r>
            <w:r w:rsidR="00A674AE" w:rsidRPr="00ED30CE">
              <w:t>/</w:t>
            </w:r>
            <w:r>
              <w:t>10</w:t>
            </w:r>
            <w:r w:rsidR="00A674AE" w:rsidRPr="00ED30CE">
              <w:t>/201</w:t>
            </w:r>
            <w:r>
              <w:t>3</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A674AE">
            <w:pPr>
              <w:pStyle w:val="2enspsubgroup1"/>
              <w:spacing w:before="40" w:after="40"/>
            </w:pPr>
            <w:r>
              <w:t>D</w:t>
            </w:r>
            <w:r w:rsidRPr="005C26EF">
              <w:t>ata collection</w:t>
            </w:r>
          </w:p>
        </w:tc>
        <w:tc>
          <w:tcPr>
            <w:tcW w:w="1811" w:type="dxa"/>
          </w:tcPr>
          <w:p w:rsidR="00A674AE" w:rsidRPr="00ED30CE" w:rsidRDefault="00A674AE" w:rsidP="00A674AE">
            <w:pPr>
              <w:pStyle w:val="Tablenumbers"/>
              <w:spacing w:before="40" w:after="40"/>
              <w:cnfStyle w:val="000000000000" w:firstRow="0" w:lastRow="0" w:firstColumn="0" w:lastColumn="0" w:oddVBand="0" w:evenVBand="0" w:oddHBand="0" w:evenHBand="0" w:firstRowFirstColumn="0" w:firstRowLastColumn="0" w:lastRowFirstColumn="0" w:lastRowLastColumn="0"/>
            </w:pPr>
          </w:p>
        </w:tc>
        <w:tc>
          <w:tcPr>
            <w:tcW w:w="1812" w:type="dxa"/>
          </w:tcPr>
          <w:p w:rsidR="00A674AE" w:rsidRPr="00ED30CE" w:rsidRDefault="00A674AE" w:rsidP="00A674AE">
            <w:pPr>
              <w:pStyle w:val="Tablenumbers"/>
              <w:spacing w:before="40" w:after="40"/>
              <w:cnfStyle w:val="000000000000" w:firstRow="0" w:lastRow="0" w:firstColumn="0" w:lastColumn="0" w:oddVBand="0" w:evenVBand="0" w:oddHBand="0" w:evenHBand="0" w:firstRowFirstColumn="0" w:firstRowLastColumn="0" w:lastRowFirstColumn="0" w:lastRowLastColumn="0"/>
            </w:pP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A674AE">
            <w:pPr>
              <w:pStyle w:val="4enspsubgroup2"/>
              <w:spacing w:before="40" w:after="40"/>
            </w:pPr>
            <w:r w:rsidRPr="005C26EF">
              <w:t>Self-administered web interviews</w:t>
            </w:r>
          </w:p>
        </w:tc>
        <w:tc>
          <w:tcPr>
            <w:tcW w:w="1811" w:type="dxa"/>
          </w:tcPr>
          <w:p w:rsidR="00A674AE" w:rsidRPr="00ED30CE" w:rsidRDefault="000F6FCA"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t>3</w:t>
            </w:r>
            <w:r w:rsidR="00A674AE" w:rsidRPr="00ED30CE">
              <w:t>/1</w:t>
            </w:r>
            <w:r>
              <w:t>8</w:t>
            </w:r>
            <w:r w:rsidR="00A674AE" w:rsidRPr="00ED30CE">
              <w:t>/201</w:t>
            </w:r>
            <w:r>
              <w:t>3</w:t>
            </w:r>
          </w:p>
        </w:tc>
        <w:tc>
          <w:tcPr>
            <w:tcW w:w="1812" w:type="dxa"/>
          </w:tcPr>
          <w:p w:rsidR="00A674AE" w:rsidRPr="00ED30CE" w:rsidRDefault="000F6FCA"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t>6</w:t>
            </w:r>
            <w:r w:rsidR="00A674AE" w:rsidRPr="00ED30CE">
              <w:t>/</w:t>
            </w:r>
            <w:r>
              <w:t>28</w:t>
            </w:r>
            <w:r w:rsidR="00A674AE" w:rsidRPr="00ED30CE">
              <w:t>/2013</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A674AE">
            <w:pPr>
              <w:pStyle w:val="4enspsubgroup2"/>
              <w:spacing w:before="40" w:after="40"/>
            </w:pPr>
            <w:r w:rsidRPr="005C26EF">
              <w:t>Conduct telephone interviews of students</w:t>
            </w:r>
          </w:p>
        </w:tc>
        <w:tc>
          <w:tcPr>
            <w:tcW w:w="1811" w:type="dxa"/>
          </w:tcPr>
          <w:p w:rsidR="00A674AE" w:rsidRPr="00ED30CE" w:rsidRDefault="000F6FCA"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t>4/11</w:t>
            </w:r>
            <w:r w:rsidR="00A674AE" w:rsidRPr="00ED30CE">
              <w:t>/201</w:t>
            </w:r>
            <w:r>
              <w:t>3</w:t>
            </w:r>
          </w:p>
        </w:tc>
        <w:tc>
          <w:tcPr>
            <w:tcW w:w="1812" w:type="dxa"/>
          </w:tcPr>
          <w:p w:rsidR="00A674AE" w:rsidRPr="00ED30CE" w:rsidRDefault="000F6FCA" w:rsidP="000F6FCA">
            <w:pPr>
              <w:pStyle w:val="Tablenumbers"/>
              <w:spacing w:before="40" w:after="40"/>
              <w:cnfStyle w:val="000000000000" w:firstRow="0" w:lastRow="0" w:firstColumn="0" w:lastColumn="0" w:oddVBand="0" w:evenVBand="0" w:oddHBand="0" w:evenHBand="0" w:firstRowFirstColumn="0" w:firstRowLastColumn="0" w:lastRowFirstColumn="0" w:lastRowLastColumn="0"/>
            </w:pPr>
            <w:r>
              <w:t>6</w:t>
            </w:r>
            <w:r w:rsidR="00A674AE" w:rsidRPr="00ED30CE">
              <w:t>/</w:t>
            </w:r>
            <w:r>
              <w:t>28</w:t>
            </w:r>
            <w:r w:rsidR="00A674AE" w:rsidRPr="00ED30CE">
              <w:t>/2013</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A674AE">
            <w:pPr>
              <w:pStyle w:val="4enspsubgroup2"/>
              <w:spacing w:before="40" w:after="40"/>
            </w:pPr>
            <w:r w:rsidRPr="005C26EF">
              <w:t>Process data, construct data files</w:t>
            </w:r>
          </w:p>
        </w:tc>
        <w:tc>
          <w:tcPr>
            <w:tcW w:w="1811" w:type="dxa"/>
          </w:tcPr>
          <w:p w:rsidR="00A674AE" w:rsidRPr="00ED30CE" w:rsidRDefault="000F6FCA" w:rsidP="00A20D31">
            <w:pPr>
              <w:pStyle w:val="Tablenumbers"/>
              <w:spacing w:before="40" w:after="40"/>
              <w:cnfStyle w:val="000000000000" w:firstRow="0" w:lastRow="0" w:firstColumn="0" w:lastColumn="0" w:oddVBand="0" w:evenVBand="0" w:oddHBand="0" w:evenHBand="0" w:firstRowFirstColumn="0" w:firstRowLastColumn="0" w:lastRowFirstColumn="0" w:lastRowLastColumn="0"/>
            </w:pPr>
            <w:r>
              <w:t>1/</w:t>
            </w:r>
            <w:r w:rsidR="00A20D31">
              <w:t>28</w:t>
            </w:r>
            <w:r w:rsidR="00A674AE" w:rsidRPr="00ED30CE">
              <w:t>/201</w:t>
            </w:r>
            <w:r w:rsidR="00A20D31">
              <w:t>3</w:t>
            </w:r>
          </w:p>
        </w:tc>
        <w:tc>
          <w:tcPr>
            <w:tcW w:w="1812" w:type="dxa"/>
          </w:tcPr>
          <w:p w:rsidR="00A674AE" w:rsidRPr="00ED30CE" w:rsidRDefault="00A20D31" w:rsidP="00A20D31">
            <w:pPr>
              <w:pStyle w:val="Tablenumbers"/>
              <w:spacing w:before="40" w:after="40"/>
              <w:cnfStyle w:val="000000000000" w:firstRow="0" w:lastRow="0" w:firstColumn="0" w:lastColumn="0" w:oddVBand="0" w:evenVBand="0" w:oddHBand="0" w:evenHBand="0" w:firstRowFirstColumn="0" w:firstRowLastColumn="0" w:lastRowFirstColumn="0" w:lastRowLastColumn="0"/>
            </w:pPr>
            <w:r>
              <w:t>8</w:t>
            </w:r>
            <w:r w:rsidR="00A674AE" w:rsidRPr="00ED30CE">
              <w:t>/</w:t>
            </w:r>
            <w:r>
              <w:t>30</w:t>
            </w:r>
            <w:r w:rsidR="00A674AE" w:rsidRPr="00ED30CE">
              <w:t>/2013</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A20D31">
            <w:pPr>
              <w:pStyle w:val="4enspsubgroup2"/>
              <w:spacing w:before="40" w:after="40"/>
            </w:pPr>
            <w:r w:rsidRPr="005C26EF">
              <w:t xml:space="preserve">Prepare </w:t>
            </w:r>
            <w:r w:rsidR="00A20D31">
              <w:t>data file documentation</w:t>
            </w:r>
          </w:p>
        </w:tc>
        <w:tc>
          <w:tcPr>
            <w:tcW w:w="1811" w:type="dxa"/>
          </w:tcPr>
          <w:p w:rsidR="00A674AE" w:rsidRPr="00ED30CE" w:rsidRDefault="00F8325E" w:rsidP="00F8325E">
            <w:pPr>
              <w:pStyle w:val="Tablenumbers"/>
              <w:spacing w:before="40" w:after="40"/>
              <w:cnfStyle w:val="000000000000" w:firstRow="0" w:lastRow="0" w:firstColumn="0" w:lastColumn="0" w:oddVBand="0" w:evenVBand="0" w:oddHBand="0" w:evenHBand="0" w:firstRowFirstColumn="0" w:firstRowLastColumn="0" w:lastRowFirstColumn="0" w:lastRowLastColumn="0"/>
            </w:pPr>
            <w:r>
              <w:t>4/4</w:t>
            </w:r>
            <w:r w:rsidR="00A674AE" w:rsidRPr="00ED30CE">
              <w:t>/201</w:t>
            </w:r>
            <w:r>
              <w:t>3</w:t>
            </w:r>
          </w:p>
        </w:tc>
        <w:tc>
          <w:tcPr>
            <w:tcW w:w="1812" w:type="dxa"/>
          </w:tcPr>
          <w:p w:rsidR="00A674AE" w:rsidRPr="00ED30CE" w:rsidRDefault="00F8325E" w:rsidP="00F8325E">
            <w:pPr>
              <w:pStyle w:val="Tablenumbers"/>
              <w:spacing w:before="40" w:after="40"/>
              <w:cnfStyle w:val="000000000000" w:firstRow="0" w:lastRow="0" w:firstColumn="0" w:lastColumn="0" w:oddVBand="0" w:evenVBand="0" w:oddHBand="0" w:evenHBand="0" w:firstRowFirstColumn="0" w:firstRowLastColumn="0" w:lastRowFirstColumn="0" w:lastRowLastColumn="0"/>
            </w:pPr>
            <w:r>
              <w:t>11</w:t>
            </w:r>
            <w:r w:rsidR="00A674AE" w:rsidRPr="00ED30CE">
              <w:t>/</w:t>
            </w:r>
            <w:r>
              <w:t>3</w:t>
            </w:r>
            <w:r w:rsidR="00A674AE" w:rsidRPr="00ED30CE">
              <w:t>/201</w:t>
            </w:r>
            <w:r w:rsidR="00A674AE">
              <w:t>4</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4320C5">
            <w:pPr>
              <w:pStyle w:val="Tabletext"/>
              <w:spacing w:before="40" w:after="40"/>
            </w:pPr>
            <w:r w:rsidRPr="005C26EF">
              <w:t>Full</w:t>
            </w:r>
            <w:r>
              <w:t>-s</w:t>
            </w:r>
            <w:r w:rsidRPr="005C26EF">
              <w:t>cale</w:t>
            </w:r>
          </w:p>
        </w:tc>
        <w:tc>
          <w:tcPr>
            <w:tcW w:w="1811" w:type="dxa"/>
          </w:tcPr>
          <w:p w:rsidR="00A674AE" w:rsidRPr="00ED30CE" w:rsidRDefault="00A674AE"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p>
        </w:tc>
        <w:tc>
          <w:tcPr>
            <w:tcW w:w="1812" w:type="dxa"/>
          </w:tcPr>
          <w:p w:rsidR="00A674AE" w:rsidRPr="00ED30CE" w:rsidRDefault="00A674AE"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D628B7" w:rsidP="00306F8C">
            <w:pPr>
              <w:pStyle w:val="2enspsubgroup1"/>
              <w:spacing w:before="40" w:after="40"/>
            </w:pPr>
            <w:r>
              <w:t>Update</w:t>
            </w:r>
            <w:r w:rsidR="00A674AE">
              <w:t>/deliver sample specifications</w:t>
            </w:r>
          </w:p>
        </w:tc>
        <w:tc>
          <w:tcPr>
            <w:tcW w:w="1811" w:type="dxa"/>
          </w:tcPr>
          <w:p w:rsidR="00A674AE" w:rsidRPr="00ED30CE" w:rsidRDefault="00D628B7" w:rsidP="00D628B7">
            <w:pPr>
              <w:pStyle w:val="Tablenumbers"/>
              <w:spacing w:before="40" w:after="40"/>
              <w:cnfStyle w:val="000000000000" w:firstRow="0" w:lastRow="0" w:firstColumn="0" w:lastColumn="0" w:oddVBand="0" w:evenVBand="0" w:oddHBand="0" w:evenHBand="0" w:firstRowFirstColumn="0" w:firstRowLastColumn="0" w:lastRowFirstColumn="0" w:lastRowLastColumn="0"/>
            </w:pPr>
            <w:r>
              <w:t>7</w:t>
            </w:r>
            <w:r w:rsidR="00A674AE" w:rsidRPr="00ED30CE">
              <w:t>/</w:t>
            </w:r>
            <w:r w:rsidR="00BB4F34">
              <w:t>1</w:t>
            </w:r>
            <w:r>
              <w:t>5</w:t>
            </w:r>
            <w:r w:rsidR="00A674AE" w:rsidRPr="00ED30CE">
              <w:t>/201</w:t>
            </w:r>
            <w:r>
              <w:t>3</w:t>
            </w:r>
          </w:p>
        </w:tc>
        <w:tc>
          <w:tcPr>
            <w:tcW w:w="1812" w:type="dxa"/>
          </w:tcPr>
          <w:p w:rsidR="00A674AE" w:rsidRPr="00ED30CE" w:rsidRDefault="00D628B7" w:rsidP="00D628B7">
            <w:pPr>
              <w:pStyle w:val="Tablenumbers"/>
              <w:spacing w:before="40" w:after="40"/>
              <w:cnfStyle w:val="000000000000" w:firstRow="0" w:lastRow="0" w:firstColumn="0" w:lastColumn="0" w:oddVBand="0" w:evenVBand="0" w:oddHBand="0" w:evenHBand="0" w:firstRowFirstColumn="0" w:firstRowLastColumn="0" w:lastRowFirstColumn="0" w:lastRowLastColumn="0"/>
            </w:pPr>
            <w:r>
              <w:t>2</w:t>
            </w:r>
            <w:r w:rsidR="00A674AE" w:rsidRPr="00ED30CE">
              <w:t>/</w:t>
            </w:r>
            <w:r w:rsidR="00A674AE">
              <w:t>11</w:t>
            </w:r>
            <w:r w:rsidR="00A674AE" w:rsidRPr="00ED30CE">
              <w:t>/201</w:t>
            </w:r>
            <w:r>
              <w:t>4</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D628B7">
            <w:pPr>
              <w:pStyle w:val="2enspsubgroup1"/>
              <w:spacing w:before="40" w:after="40"/>
            </w:pPr>
            <w:r>
              <w:t>Conduct locating</w:t>
            </w:r>
            <w:r w:rsidR="00D628B7">
              <w:t xml:space="preserve"> and </w:t>
            </w:r>
            <w:r>
              <w:t>tracing activities</w:t>
            </w:r>
          </w:p>
          <w:p w:rsidR="00A674AE" w:rsidRDefault="00A674AE" w:rsidP="00875E36">
            <w:pPr>
              <w:pStyle w:val="2enspsubgroup1"/>
              <w:spacing w:before="40" w:after="40"/>
            </w:pPr>
            <w:r>
              <w:t xml:space="preserve">Conduct </w:t>
            </w:r>
            <w:r w:rsidR="00D628B7">
              <w:t>help desk</w:t>
            </w:r>
            <w:r w:rsidR="00BB4F34">
              <w:t xml:space="preserve">, CATI, and </w:t>
            </w:r>
            <w:r w:rsidR="00D628B7">
              <w:t>CA</w:t>
            </w:r>
            <w:r w:rsidR="00875E36">
              <w:t>P</w:t>
            </w:r>
            <w:r w:rsidR="00D628B7">
              <w:t>I</w:t>
            </w:r>
            <w:r>
              <w:t xml:space="preserve"> training</w:t>
            </w:r>
          </w:p>
        </w:tc>
        <w:tc>
          <w:tcPr>
            <w:tcW w:w="1811" w:type="dxa"/>
          </w:tcPr>
          <w:p w:rsidR="00A674AE" w:rsidRDefault="00D628B7" w:rsidP="00D628B7">
            <w:pPr>
              <w:pStyle w:val="Tablenumbers"/>
              <w:spacing w:before="40" w:after="40"/>
              <w:cnfStyle w:val="000000000000" w:firstRow="0" w:lastRow="0" w:firstColumn="0" w:lastColumn="0" w:oddVBand="0" w:evenVBand="0" w:oddHBand="0" w:evenHBand="0" w:firstRowFirstColumn="0" w:firstRowLastColumn="0" w:lastRowFirstColumn="0" w:lastRowLastColumn="0"/>
            </w:pPr>
            <w:r>
              <w:t>7</w:t>
            </w:r>
            <w:r w:rsidR="00A674AE">
              <w:t>/</w:t>
            </w:r>
            <w:r>
              <w:t>23/</w:t>
            </w:r>
            <w:r w:rsidR="00A674AE">
              <w:t>2</w:t>
            </w:r>
            <w:r>
              <w:t>013</w:t>
            </w:r>
          </w:p>
          <w:p w:rsidR="00A674AE" w:rsidRPr="00ED30CE" w:rsidRDefault="00BB4F34" w:rsidP="00BB4F34">
            <w:pPr>
              <w:pStyle w:val="Tablenumbers"/>
              <w:spacing w:before="40" w:after="40"/>
              <w:cnfStyle w:val="000000000000" w:firstRow="0" w:lastRow="0" w:firstColumn="0" w:lastColumn="0" w:oddVBand="0" w:evenVBand="0" w:oddHBand="0" w:evenHBand="0" w:firstRowFirstColumn="0" w:firstRowLastColumn="0" w:lastRowFirstColumn="0" w:lastRowLastColumn="0"/>
            </w:pPr>
            <w:r>
              <w:t>11</w:t>
            </w:r>
            <w:r w:rsidR="00A674AE" w:rsidRPr="00ED30CE">
              <w:t>/</w:t>
            </w:r>
            <w:r>
              <w:t>25</w:t>
            </w:r>
            <w:r w:rsidR="00A674AE" w:rsidRPr="00ED30CE">
              <w:t>/201</w:t>
            </w:r>
            <w:r>
              <w:t>3</w:t>
            </w:r>
          </w:p>
        </w:tc>
        <w:tc>
          <w:tcPr>
            <w:tcW w:w="1812" w:type="dxa"/>
          </w:tcPr>
          <w:p w:rsidR="00A674AE" w:rsidRDefault="00BB4F34" w:rsidP="00BB4F34">
            <w:pPr>
              <w:pStyle w:val="Tablenumbers"/>
              <w:spacing w:before="40" w:after="40"/>
              <w:cnfStyle w:val="000000000000" w:firstRow="0" w:lastRow="0" w:firstColumn="0" w:lastColumn="0" w:oddVBand="0" w:evenVBand="0" w:oddHBand="0" w:evenHBand="0" w:firstRowFirstColumn="0" w:firstRowLastColumn="0" w:lastRowFirstColumn="0" w:lastRowLastColumn="0"/>
            </w:pPr>
            <w:r>
              <w:t>9</w:t>
            </w:r>
            <w:r w:rsidR="00D628B7">
              <w:t>/</w:t>
            </w:r>
            <w:r>
              <w:t>15</w:t>
            </w:r>
            <w:r w:rsidR="00D628B7">
              <w:t>/2014</w:t>
            </w:r>
          </w:p>
          <w:p w:rsidR="00A674AE" w:rsidRPr="00ED30CE" w:rsidRDefault="00BB4F34" w:rsidP="00BB4F34">
            <w:pPr>
              <w:pStyle w:val="Tablenumbers"/>
              <w:spacing w:before="40" w:after="40"/>
              <w:cnfStyle w:val="000000000000" w:firstRow="0" w:lastRow="0" w:firstColumn="0" w:lastColumn="0" w:oddVBand="0" w:evenVBand="0" w:oddHBand="0" w:evenHBand="0" w:firstRowFirstColumn="0" w:firstRowLastColumn="0" w:lastRowFirstColumn="0" w:lastRowLastColumn="0"/>
            </w:pPr>
            <w:r>
              <w:t>6</w:t>
            </w:r>
            <w:r w:rsidR="00A674AE" w:rsidRPr="00ED30CE">
              <w:t>/</w:t>
            </w:r>
            <w:r>
              <w:t>11</w:t>
            </w:r>
            <w:r w:rsidR="00A674AE" w:rsidRPr="00ED30CE">
              <w:t>/201</w:t>
            </w:r>
            <w:r>
              <w:t>4</w:t>
            </w:r>
          </w:p>
        </w:tc>
      </w:tr>
      <w:tr w:rsidR="00875E36"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875E36" w:rsidRDefault="00875E36" w:rsidP="00306F8C">
            <w:pPr>
              <w:pStyle w:val="2enspsubgroup1"/>
              <w:spacing w:before="40" w:after="40"/>
            </w:pPr>
            <w:r>
              <w:t>Conduct Institution Contactor training</w:t>
            </w:r>
          </w:p>
        </w:tc>
        <w:tc>
          <w:tcPr>
            <w:tcW w:w="1811" w:type="dxa"/>
          </w:tcPr>
          <w:p w:rsidR="00875E36" w:rsidRPr="00ED30CE" w:rsidRDefault="00875E36"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t>8/12/2014</w:t>
            </w:r>
          </w:p>
        </w:tc>
        <w:tc>
          <w:tcPr>
            <w:tcW w:w="1812" w:type="dxa"/>
          </w:tcPr>
          <w:p w:rsidR="00875E36" w:rsidRPr="00ED30CE" w:rsidRDefault="00875E36"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t>10/10/2014</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306F8C">
            <w:pPr>
              <w:pStyle w:val="2enspsubgroup1"/>
              <w:spacing w:before="40" w:after="40"/>
            </w:pPr>
            <w:r>
              <w:t>D</w:t>
            </w:r>
            <w:r w:rsidRPr="005C26EF">
              <w:t>ata collection</w:t>
            </w:r>
          </w:p>
        </w:tc>
        <w:tc>
          <w:tcPr>
            <w:tcW w:w="1811" w:type="dxa"/>
          </w:tcPr>
          <w:p w:rsidR="00A674AE" w:rsidRPr="00ED30CE" w:rsidRDefault="00A674AE"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p>
        </w:tc>
        <w:tc>
          <w:tcPr>
            <w:tcW w:w="1812" w:type="dxa"/>
          </w:tcPr>
          <w:p w:rsidR="00A674AE" w:rsidRPr="00ED30CE" w:rsidRDefault="00A674AE"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306F8C">
            <w:pPr>
              <w:pStyle w:val="4enspsubgroup2"/>
              <w:spacing w:before="40" w:after="40"/>
            </w:pPr>
            <w:r w:rsidRPr="005C26EF">
              <w:t>Self-administered web interviews</w:t>
            </w:r>
          </w:p>
        </w:tc>
        <w:tc>
          <w:tcPr>
            <w:tcW w:w="1811" w:type="dxa"/>
          </w:tcPr>
          <w:p w:rsidR="00A674AE" w:rsidRPr="00ED30CE" w:rsidRDefault="00875E36" w:rsidP="00875E36">
            <w:pPr>
              <w:pStyle w:val="Tablenumbers"/>
              <w:spacing w:before="40" w:after="40"/>
              <w:cnfStyle w:val="000000000000" w:firstRow="0" w:lastRow="0" w:firstColumn="0" w:lastColumn="0" w:oddVBand="0" w:evenVBand="0" w:oddHBand="0" w:evenHBand="0" w:firstRowFirstColumn="0" w:firstRowLastColumn="0" w:lastRowFirstColumn="0" w:lastRowLastColumn="0"/>
            </w:pPr>
            <w:r>
              <w:t>2</w:t>
            </w:r>
            <w:r w:rsidR="00A674AE" w:rsidRPr="00ED30CE">
              <w:t>/</w:t>
            </w:r>
            <w:r>
              <w:t>8</w:t>
            </w:r>
            <w:r w:rsidR="00A674AE" w:rsidRPr="00ED30CE">
              <w:t>/201</w:t>
            </w:r>
            <w:r>
              <w:t>4</w:t>
            </w:r>
          </w:p>
        </w:tc>
        <w:tc>
          <w:tcPr>
            <w:tcW w:w="1812" w:type="dxa"/>
          </w:tcPr>
          <w:p w:rsidR="00A674AE" w:rsidRPr="00ED30CE" w:rsidRDefault="00875E36" w:rsidP="00875E36">
            <w:pPr>
              <w:pStyle w:val="Tablenumbers"/>
              <w:spacing w:before="40" w:after="40"/>
              <w:cnfStyle w:val="000000000000" w:firstRow="0" w:lastRow="0" w:firstColumn="0" w:lastColumn="0" w:oddVBand="0" w:evenVBand="0" w:oddHBand="0" w:evenHBand="0" w:firstRowFirstColumn="0" w:firstRowLastColumn="0" w:lastRowFirstColumn="0" w:lastRowLastColumn="0"/>
            </w:pPr>
            <w:bookmarkStart w:id="155" w:name="OLE_LINK5"/>
            <w:bookmarkStart w:id="156" w:name="OLE_LINK6"/>
            <w:r>
              <w:t>9</w:t>
            </w:r>
            <w:r w:rsidR="00A674AE" w:rsidRPr="00ED30CE">
              <w:t>/1</w:t>
            </w:r>
            <w:r>
              <w:t>5</w:t>
            </w:r>
            <w:r w:rsidR="00A674AE" w:rsidRPr="00ED30CE">
              <w:t>/20</w:t>
            </w:r>
            <w:bookmarkEnd w:id="155"/>
            <w:bookmarkEnd w:id="156"/>
            <w:r w:rsidR="00A674AE" w:rsidRPr="00ED30CE">
              <w:t>1</w:t>
            </w:r>
            <w:r>
              <w:t>4</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306F8C">
            <w:pPr>
              <w:pStyle w:val="4enspsubgroup2"/>
              <w:spacing w:before="40" w:after="40"/>
            </w:pPr>
            <w:r w:rsidRPr="005C26EF">
              <w:t>Conduct telephone interviews of students</w:t>
            </w:r>
          </w:p>
        </w:tc>
        <w:tc>
          <w:tcPr>
            <w:tcW w:w="1811" w:type="dxa"/>
          </w:tcPr>
          <w:p w:rsidR="00A674AE" w:rsidRPr="00ED30CE" w:rsidRDefault="00875E36"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t>3/14/2014</w:t>
            </w:r>
          </w:p>
        </w:tc>
        <w:tc>
          <w:tcPr>
            <w:tcW w:w="1812" w:type="dxa"/>
          </w:tcPr>
          <w:p w:rsidR="00A674AE" w:rsidRPr="00ED30CE" w:rsidRDefault="00875E36"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t>9/15/2014</w:t>
            </w:r>
          </w:p>
        </w:tc>
      </w:tr>
      <w:tr w:rsidR="00875E36"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875E36" w:rsidRPr="005C26EF" w:rsidRDefault="00875E36" w:rsidP="00306F8C">
            <w:pPr>
              <w:pStyle w:val="4enspsubgroup2"/>
              <w:spacing w:before="40" w:after="40"/>
            </w:pPr>
            <w:r>
              <w:t>Conduct field interviews of students</w:t>
            </w:r>
          </w:p>
        </w:tc>
        <w:tc>
          <w:tcPr>
            <w:tcW w:w="1811" w:type="dxa"/>
          </w:tcPr>
          <w:p w:rsidR="00875E36" w:rsidRPr="00ED30CE" w:rsidRDefault="00875E36"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t>6/12/2014</w:t>
            </w:r>
          </w:p>
        </w:tc>
        <w:tc>
          <w:tcPr>
            <w:tcW w:w="1812" w:type="dxa"/>
          </w:tcPr>
          <w:p w:rsidR="00875E36" w:rsidRPr="00ED30CE" w:rsidRDefault="00875E36"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t>9/15/2014</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306F8C">
            <w:pPr>
              <w:pStyle w:val="4enspsubgroup2"/>
              <w:spacing w:before="40" w:after="40"/>
            </w:pPr>
            <w:r w:rsidRPr="005C26EF">
              <w:t>Process data, construct data files</w:t>
            </w:r>
          </w:p>
        </w:tc>
        <w:tc>
          <w:tcPr>
            <w:tcW w:w="1811" w:type="dxa"/>
          </w:tcPr>
          <w:p w:rsidR="00A674AE" w:rsidRPr="00ED30CE" w:rsidRDefault="00875E36" w:rsidP="00875E36">
            <w:pPr>
              <w:pStyle w:val="Tablenumbers"/>
              <w:spacing w:before="40" w:after="40"/>
              <w:cnfStyle w:val="000000000000" w:firstRow="0" w:lastRow="0" w:firstColumn="0" w:lastColumn="0" w:oddVBand="0" w:evenVBand="0" w:oddHBand="0" w:evenHBand="0" w:firstRowFirstColumn="0" w:firstRowLastColumn="0" w:lastRowFirstColumn="0" w:lastRowLastColumn="0"/>
            </w:pPr>
            <w:r>
              <w:t>2</w:t>
            </w:r>
            <w:r w:rsidR="00A674AE" w:rsidRPr="00ED30CE">
              <w:t>/1</w:t>
            </w:r>
            <w:r>
              <w:t>6</w:t>
            </w:r>
            <w:r w:rsidR="00A674AE" w:rsidRPr="00ED30CE">
              <w:t>/201</w:t>
            </w:r>
            <w:r>
              <w:t>3</w:t>
            </w:r>
          </w:p>
        </w:tc>
        <w:tc>
          <w:tcPr>
            <w:tcW w:w="1812" w:type="dxa"/>
          </w:tcPr>
          <w:p w:rsidR="00A674AE" w:rsidRPr="00ED30CE" w:rsidRDefault="00875E36" w:rsidP="00875E36">
            <w:pPr>
              <w:pStyle w:val="Tablenumbers"/>
              <w:spacing w:before="40" w:after="40"/>
              <w:cnfStyle w:val="000000000000" w:firstRow="0" w:lastRow="0" w:firstColumn="0" w:lastColumn="0" w:oddVBand="0" w:evenVBand="0" w:oddHBand="0" w:evenHBand="0" w:firstRowFirstColumn="0" w:firstRowLastColumn="0" w:lastRowFirstColumn="0" w:lastRowLastColumn="0"/>
            </w:pPr>
            <w:r>
              <w:t>9</w:t>
            </w:r>
            <w:r w:rsidR="00A674AE" w:rsidRPr="00ED30CE">
              <w:t>/</w:t>
            </w:r>
            <w:r>
              <w:t>4</w:t>
            </w:r>
            <w:r w:rsidR="00A674AE" w:rsidRPr="00ED30CE">
              <w:t>/201</w:t>
            </w:r>
            <w:r>
              <w:t>5</w:t>
            </w:r>
          </w:p>
        </w:tc>
      </w:tr>
      <w:tr w:rsidR="00A674AE"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A674AE" w:rsidRDefault="00A674AE" w:rsidP="00306F8C">
            <w:pPr>
              <w:pStyle w:val="4enspsubgroup2"/>
              <w:spacing w:before="40" w:after="40"/>
            </w:pPr>
            <w:r w:rsidRPr="005C26EF">
              <w:t xml:space="preserve">Prepare </w:t>
            </w:r>
            <w:r w:rsidR="002D2C76">
              <w:t xml:space="preserve">and </w:t>
            </w:r>
            <w:r>
              <w:t xml:space="preserve">submit </w:t>
            </w:r>
            <w:r w:rsidRPr="005C26EF">
              <w:t>reports</w:t>
            </w:r>
          </w:p>
        </w:tc>
        <w:tc>
          <w:tcPr>
            <w:tcW w:w="1811" w:type="dxa"/>
          </w:tcPr>
          <w:p w:rsidR="00A674AE" w:rsidRPr="00ED30CE" w:rsidRDefault="008C3143" w:rsidP="008C3143">
            <w:pPr>
              <w:pStyle w:val="Tablenumbers"/>
              <w:spacing w:before="40" w:after="40"/>
              <w:cnfStyle w:val="000000000000" w:firstRow="0" w:lastRow="0" w:firstColumn="0" w:lastColumn="0" w:oddVBand="0" w:evenVBand="0" w:oddHBand="0" w:evenHBand="0" w:firstRowFirstColumn="0" w:firstRowLastColumn="0" w:lastRowFirstColumn="0" w:lastRowLastColumn="0"/>
            </w:pPr>
            <w:r>
              <w:t>9</w:t>
            </w:r>
            <w:r w:rsidR="00A674AE" w:rsidRPr="00ED30CE">
              <w:t>/1</w:t>
            </w:r>
            <w:r>
              <w:t>6</w:t>
            </w:r>
            <w:r w:rsidR="00A674AE" w:rsidRPr="00ED30CE">
              <w:t>/201</w:t>
            </w:r>
            <w:r>
              <w:t>4</w:t>
            </w:r>
          </w:p>
        </w:tc>
        <w:tc>
          <w:tcPr>
            <w:tcW w:w="1812" w:type="dxa"/>
          </w:tcPr>
          <w:p w:rsidR="00A674AE" w:rsidRPr="00ED30CE" w:rsidRDefault="008C3143" w:rsidP="008C3143">
            <w:pPr>
              <w:pStyle w:val="Tablenumbers"/>
              <w:spacing w:before="40" w:after="40"/>
              <w:cnfStyle w:val="000000000000" w:firstRow="0" w:lastRow="0" w:firstColumn="0" w:lastColumn="0" w:oddVBand="0" w:evenVBand="0" w:oddHBand="0" w:evenHBand="0" w:firstRowFirstColumn="0" w:firstRowLastColumn="0" w:lastRowFirstColumn="0" w:lastRowLastColumn="0"/>
            </w:pPr>
            <w:r>
              <w:t>5</w:t>
            </w:r>
            <w:r w:rsidR="00A674AE" w:rsidRPr="00ED30CE">
              <w:t>/</w:t>
            </w:r>
            <w:r w:rsidR="00A674AE">
              <w:t>1</w:t>
            </w:r>
            <w:r>
              <w:t>6</w:t>
            </w:r>
            <w:r w:rsidR="00A674AE" w:rsidRPr="00ED30CE">
              <w:t>/201</w:t>
            </w:r>
            <w:r>
              <w:t>6</w:t>
            </w:r>
          </w:p>
        </w:tc>
      </w:tr>
      <w:tr w:rsidR="00875E36" w:rsidRPr="005C26EF" w:rsidTr="00FA693D">
        <w:tc>
          <w:tcPr>
            <w:cnfStyle w:val="001000000000" w:firstRow="0" w:lastRow="0" w:firstColumn="1" w:lastColumn="0" w:oddVBand="0" w:evenVBand="0" w:oddHBand="0" w:evenHBand="0" w:firstRowFirstColumn="0" w:firstRowLastColumn="0" w:lastRowFirstColumn="0" w:lastRowLastColumn="0"/>
            <w:tcW w:w="6817" w:type="dxa"/>
          </w:tcPr>
          <w:p w:rsidR="00875E36" w:rsidRPr="005C26EF" w:rsidRDefault="00875E36" w:rsidP="00306F8C">
            <w:pPr>
              <w:pStyle w:val="4enspsubgroup2"/>
              <w:spacing w:before="40" w:after="40"/>
            </w:pPr>
            <w:r>
              <w:t>Collect student financial aid data from institutions</w:t>
            </w:r>
          </w:p>
        </w:tc>
        <w:tc>
          <w:tcPr>
            <w:tcW w:w="1811" w:type="dxa"/>
          </w:tcPr>
          <w:p w:rsidR="00875E36" w:rsidRDefault="00875E36" w:rsidP="00875E36">
            <w:pPr>
              <w:pStyle w:val="Tablenumbers"/>
              <w:spacing w:before="40" w:after="40"/>
              <w:cnfStyle w:val="000000000000" w:firstRow="0" w:lastRow="0" w:firstColumn="0" w:lastColumn="0" w:oddVBand="0" w:evenVBand="0" w:oddHBand="0" w:evenHBand="0" w:firstRowFirstColumn="0" w:firstRowLastColumn="0" w:lastRowFirstColumn="0" w:lastRowLastColumn="0"/>
            </w:pPr>
            <w:r>
              <w:t>10/1/2014</w:t>
            </w:r>
          </w:p>
        </w:tc>
        <w:tc>
          <w:tcPr>
            <w:tcW w:w="1812" w:type="dxa"/>
          </w:tcPr>
          <w:p w:rsidR="00875E36" w:rsidRDefault="00875E36" w:rsidP="00306F8C">
            <w:pPr>
              <w:pStyle w:val="Tablenumbers"/>
              <w:spacing w:before="40" w:after="40"/>
              <w:cnfStyle w:val="000000000000" w:firstRow="0" w:lastRow="0" w:firstColumn="0" w:lastColumn="0" w:oddVBand="0" w:evenVBand="0" w:oddHBand="0" w:evenHBand="0" w:firstRowFirstColumn="0" w:firstRowLastColumn="0" w:lastRowFirstColumn="0" w:lastRowLastColumn="0"/>
            </w:pPr>
            <w:r>
              <w:t>4/15/2015</w:t>
            </w:r>
          </w:p>
        </w:tc>
      </w:tr>
    </w:tbl>
    <w:p w:rsidR="00C33221" w:rsidRDefault="00C33221" w:rsidP="000F6FCA">
      <w:pPr>
        <w:pStyle w:val="Source"/>
        <w:spacing w:after="360"/>
      </w:pPr>
      <w:bookmarkStart w:id="157" w:name="_Toc146530915"/>
      <w:bookmarkStart w:id="158" w:name="_Toc371999233"/>
      <w:bookmarkStart w:id="159" w:name="_Toc372098085"/>
      <w:bookmarkEnd w:id="157"/>
      <w:r w:rsidRPr="00ED30CE">
        <w:t>NOTE: B</w:t>
      </w:r>
      <w:r w:rsidR="000F6FCA">
        <w:t>PS:12/14</w:t>
      </w:r>
      <w:r w:rsidRPr="00ED30CE">
        <w:t xml:space="preserve"> = 20</w:t>
      </w:r>
      <w:r w:rsidR="000F6FCA">
        <w:t>12</w:t>
      </w:r>
      <w:r w:rsidRPr="00ED30CE">
        <w:t>/1</w:t>
      </w:r>
      <w:r w:rsidR="000F6FCA">
        <w:t>4</w:t>
      </w:r>
      <w:r w:rsidRPr="00ED30CE">
        <w:t xml:space="preserve"> B</w:t>
      </w:r>
      <w:r w:rsidR="000F6FCA">
        <w:t>eginning Postsecondary Student</w:t>
      </w:r>
      <w:r w:rsidR="00800BD1">
        <w:t>s</w:t>
      </w:r>
      <w:r w:rsidRPr="00ED30CE">
        <w:t xml:space="preserve"> Longitudinal Study</w:t>
      </w:r>
      <w:r w:rsidR="00875E36">
        <w:t>; CATI = Computer assisted telephone interview; CAPI = Computer assisted personal interview</w:t>
      </w:r>
    </w:p>
    <w:p w:rsidR="00C33221" w:rsidRDefault="00C33221" w:rsidP="00241C35">
      <w:pPr>
        <w:pStyle w:val="Heading2"/>
        <w:numPr>
          <w:ilvl w:val="1"/>
          <w:numId w:val="16"/>
        </w:numPr>
        <w:spacing w:line="320" w:lineRule="atLeast"/>
        <w:ind w:left="1080" w:hanging="540"/>
      </w:pPr>
      <w:bookmarkStart w:id="160" w:name="_Toc337878570"/>
      <w:r w:rsidRPr="005C26EF">
        <w:t>Approval to Not Display Expiration Date for OMB Approval</w:t>
      </w:r>
      <w:bookmarkEnd w:id="158"/>
      <w:bookmarkEnd w:id="159"/>
      <w:bookmarkEnd w:id="160"/>
    </w:p>
    <w:p w:rsidR="002477DC" w:rsidRDefault="00C33221">
      <w:pPr>
        <w:pStyle w:val="BodyText"/>
        <w:ind w:firstLine="540"/>
      </w:pPr>
      <w:bookmarkStart w:id="161" w:name="_Toc436108533"/>
      <w:r>
        <w:t>No</w:t>
      </w:r>
      <w:r w:rsidRPr="005C26EF">
        <w:t xml:space="preserve"> special exception is requested.</w:t>
      </w:r>
      <w:bookmarkEnd w:id="161"/>
    </w:p>
    <w:p w:rsidR="00C33221" w:rsidRDefault="00C33221" w:rsidP="00241C35">
      <w:pPr>
        <w:pStyle w:val="Heading2"/>
        <w:numPr>
          <w:ilvl w:val="1"/>
          <w:numId w:val="16"/>
        </w:numPr>
        <w:spacing w:line="320" w:lineRule="atLeast"/>
        <w:ind w:left="1080" w:hanging="540"/>
      </w:pPr>
      <w:bookmarkStart w:id="162" w:name="_Toc371999234"/>
      <w:bookmarkStart w:id="163" w:name="_Toc372098086"/>
      <w:bookmarkStart w:id="164" w:name="_Toc436108534"/>
      <w:bookmarkStart w:id="165" w:name="_Toc337878571"/>
      <w:r w:rsidRPr="005C26EF">
        <w:t>Exceptions to Certification for Paperwork Reduction Act Submissions</w:t>
      </w:r>
      <w:bookmarkEnd w:id="162"/>
      <w:bookmarkEnd w:id="163"/>
      <w:bookmarkEnd w:id="164"/>
      <w:bookmarkEnd w:id="165"/>
    </w:p>
    <w:p w:rsidR="002477DC" w:rsidRDefault="00C33221">
      <w:pPr>
        <w:pStyle w:val="BodyText"/>
        <w:ind w:firstLine="540"/>
      </w:pPr>
      <w:r w:rsidRPr="005C26EF">
        <w:t>There are no exceptions to the certification statement identified in the Certification for Paperwork Reduction Act Submissions of OMB Form 8</w:t>
      </w:r>
      <w:bookmarkStart w:id="166" w:name="_Toc174172900"/>
      <w:bookmarkStart w:id="167" w:name="_Toc174182831"/>
      <w:bookmarkStart w:id="168" w:name="_Toc174182901"/>
      <w:bookmarkStart w:id="169" w:name="_Toc174182987"/>
      <w:bookmarkStart w:id="170" w:name="_Toc174183105"/>
      <w:bookmarkStart w:id="171" w:name="_Toc174183354"/>
      <w:bookmarkStart w:id="172" w:name="_Toc174183416"/>
      <w:bookmarkStart w:id="173" w:name="_Toc279664175"/>
      <w:bookmarkStart w:id="174" w:name="_Toc279664270"/>
      <w:bookmarkStart w:id="175" w:name="_Toc279664318"/>
      <w:bookmarkStart w:id="176" w:name="_Toc279664177"/>
      <w:bookmarkStart w:id="177" w:name="_Toc279664272"/>
      <w:bookmarkStart w:id="178" w:name="_Toc279664320"/>
      <w:bookmarkStart w:id="179" w:name="_Toc281389160"/>
      <w:bookmarkStart w:id="180" w:name="_Toc281391828"/>
      <w:bookmarkStart w:id="181" w:name="_Toc281392153"/>
      <w:bookmarkStart w:id="182" w:name="_Toc281400615"/>
      <w:bookmarkStart w:id="183" w:name="_Toc281402668"/>
      <w:bookmarkStart w:id="184" w:name="_Toc281405364"/>
      <w:bookmarkStart w:id="185" w:name="_Toc281516544"/>
      <w:bookmarkStart w:id="186" w:name="_Toc281389162"/>
      <w:bookmarkStart w:id="187" w:name="_Toc281391830"/>
      <w:bookmarkStart w:id="188" w:name="_Toc281392155"/>
      <w:bookmarkStart w:id="189" w:name="_Toc281400617"/>
      <w:bookmarkStart w:id="190" w:name="_Toc281402670"/>
      <w:bookmarkStart w:id="191" w:name="_Toc281405366"/>
      <w:bookmarkStart w:id="192" w:name="_Toc281516546"/>
      <w:bookmarkStart w:id="193" w:name="_Toc281389166"/>
      <w:bookmarkStart w:id="194" w:name="_Toc281391834"/>
      <w:bookmarkStart w:id="195" w:name="_Toc281392159"/>
      <w:bookmarkStart w:id="196" w:name="_Toc281400621"/>
      <w:bookmarkStart w:id="197" w:name="_Toc281402674"/>
      <w:bookmarkStart w:id="198" w:name="_Toc281405370"/>
      <w:bookmarkStart w:id="199" w:name="_Toc281516550"/>
      <w:bookmarkStart w:id="200" w:name="_Toc281389167"/>
      <w:bookmarkStart w:id="201" w:name="_Toc281391835"/>
      <w:bookmarkStart w:id="202" w:name="_Toc281392160"/>
      <w:bookmarkStart w:id="203" w:name="_Toc281400622"/>
      <w:bookmarkStart w:id="204" w:name="_Toc281402675"/>
      <w:bookmarkStart w:id="205" w:name="_Toc281405371"/>
      <w:bookmarkStart w:id="206" w:name="_Toc281516551"/>
      <w:bookmarkStart w:id="207" w:name="_Toc281389168"/>
      <w:bookmarkStart w:id="208" w:name="_Toc281391836"/>
      <w:bookmarkStart w:id="209" w:name="_Toc281392161"/>
      <w:bookmarkStart w:id="210" w:name="_Toc281400623"/>
      <w:bookmarkStart w:id="211" w:name="_Toc281402676"/>
      <w:bookmarkStart w:id="212" w:name="_Toc281405372"/>
      <w:bookmarkStart w:id="213" w:name="_Toc281516552"/>
      <w:bookmarkStart w:id="214" w:name="_Toc281389169"/>
      <w:bookmarkStart w:id="215" w:name="_Toc281391837"/>
      <w:bookmarkStart w:id="216" w:name="_Toc281392162"/>
      <w:bookmarkStart w:id="217" w:name="_Toc281400624"/>
      <w:bookmarkStart w:id="218" w:name="_Toc281402677"/>
      <w:bookmarkStart w:id="219" w:name="_Toc281405373"/>
      <w:bookmarkStart w:id="220" w:name="_Toc28151655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00A1313C">
        <w:t>.</w:t>
      </w:r>
    </w:p>
    <w:sectPr w:rsidR="002477DC" w:rsidSect="006B5D8C">
      <w:headerReference w:type="even" r:id="rId19"/>
      <w:headerReference w:type="first" r:id="rId20"/>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D51" w:rsidRDefault="00CE3D51">
      <w:r>
        <w:separator/>
      </w:r>
    </w:p>
  </w:endnote>
  <w:endnote w:type="continuationSeparator" w:id="0">
    <w:p w:rsidR="00CE3D51" w:rsidRDefault="00CE3D51">
      <w:r>
        <w:continuationSeparator/>
      </w:r>
    </w:p>
  </w:endnote>
  <w:endnote w:type="continuationNotice" w:id="1">
    <w:p w:rsidR="00CE3D51" w:rsidRDefault="00CE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51" w:rsidRPr="005C6C98" w:rsidRDefault="00CE3D51" w:rsidP="00D217B6">
    <w:pPr>
      <w:pStyle w:val="NCESoddfooter"/>
    </w:pPr>
    <w:r w:rsidRPr="00E84DB5">
      <w:t>Supporting Statement Request</w:t>
    </w:r>
    <w:r>
      <w:t xml:space="preserve"> </w:t>
    </w:r>
    <w:r w:rsidRPr="00E84DB5">
      <w:t xml:space="preserve">for OMB Review </w:t>
    </w:r>
    <w:r w:rsidRPr="002F6E82">
      <w:tab/>
    </w:r>
    <w:r>
      <w:t>C-</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2</w:t>
    </w:r>
    <w:r>
      <w:rPr>
        <w:rStyle w:val="PageNumber"/>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51" w:rsidRPr="0020360F" w:rsidRDefault="00CE3D51" w:rsidP="0020360F">
    <w:pPr>
      <w:pStyle w:val="Footer"/>
    </w:pPr>
    <w:r>
      <w:fldChar w:fldCharType="begin"/>
    </w:r>
    <w:r>
      <w:instrText xml:space="preserve"> PAGE   \* MERGEFORMAT </w:instrText>
    </w:r>
    <w:r>
      <w:fldChar w:fldCharType="separate"/>
    </w:r>
    <w:r>
      <w:rPr>
        <w:noProof/>
      </w:rPr>
      <w:t>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51" w:rsidRPr="0020360F" w:rsidRDefault="00CE3D51" w:rsidP="0020360F">
    <w:pPr>
      <w:pStyle w:val="Footer"/>
    </w:pPr>
    <w:r>
      <w:fldChar w:fldCharType="begin"/>
    </w:r>
    <w:r>
      <w:instrText xml:space="preserve"> PAGE   \* MERGEFORMAT </w:instrText>
    </w:r>
    <w:r>
      <w:fldChar w:fldCharType="separate"/>
    </w:r>
    <w:r w:rsidR="001C10F7">
      <w:rPr>
        <w:noProof/>
      </w:rPr>
      <w:t>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51" w:rsidRPr="0020360F" w:rsidRDefault="00CE3D51" w:rsidP="0020360F">
    <w:pPr>
      <w:pStyle w:val="Footer"/>
    </w:pPr>
    <w:r>
      <w:fldChar w:fldCharType="begin"/>
    </w:r>
    <w:r>
      <w:instrText xml:space="preserve"> PAGE   \* MERGEFORMAT </w:instrText>
    </w:r>
    <w:r>
      <w:fldChar w:fldCharType="separate"/>
    </w:r>
    <w:r>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D51" w:rsidRDefault="00CE3D51">
      <w:r>
        <w:separator/>
      </w:r>
    </w:p>
  </w:footnote>
  <w:footnote w:type="continuationSeparator" w:id="0">
    <w:p w:rsidR="00CE3D51" w:rsidRDefault="00CE3D51">
      <w:r>
        <w:continuationSeparator/>
      </w:r>
    </w:p>
  </w:footnote>
  <w:footnote w:type="continuationNotice" w:id="1">
    <w:p w:rsidR="00CE3D51" w:rsidRDefault="00CE3D51"/>
  </w:footnote>
  <w:footnote w:id="2">
    <w:p w:rsidR="00CE3D51" w:rsidRDefault="00CE3D51" w:rsidP="007B0E0E">
      <w:pPr>
        <w:pStyle w:val="FootnoteText"/>
      </w:pPr>
      <w:r w:rsidRPr="00931796">
        <w:rPr>
          <w:rStyle w:val="FootnoteReference"/>
          <w:sz w:val="20"/>
          <w:szCs w:val="20"/>
        </w:rPr>
        <w:footnoteRef/>
      </w:r>
      <w:r w:rsidRPr="00931796">
        <w:t xml:space="preserve"> RTI International is a trade name of Research Triangle Institute.</w:t>
      </w:r>
    </w:p>
  </w:footnote>
  <w:footnote w:id="3">
    <w:p w:rsidR="00CE3D51" w:rsidRDefault="00CE3D51" w:rsidP="00E472BC">
      <w:pPr>
        <w:pStyle w:val="FootnoteText"/>
      </w:pPr>
      <w:r>
        <w:rPr>
          <w:rStyle w:val="FootnoteReference"/>
        </w:rPr>
        <w:footnoteRef/>
      </w:r>
      <w:r>
        <w:t xml:space="preserve"> </w:t>
      </w:r>
      <w:hyperlink r:id="rId1" w:history="1">
        <w:r w:rsidRPr="001F5F5D">
          <w:rPr>
            <w:rStyle w:val="Hyperlink"/>
            <w:rFonts w:asciiTheme="majorBidi" w:hAnsiTheme="majorBidi" w:cstheme="majorBidi"/>
            <w:sz w:val="24"/>
            <w:szCs w:val="24"/>
          </w:rPr>
          <w:t>ht</w:t>
        </w:r>
        <w:r w:rsidRPr="00E472BC">
          <w:rPr>
            <w:rStyle w:val="Hyperlink"/>
            <w:rFonts w:asciiTheme="majorBidi" w:hAnsiTheme="majorBidi" w:cstheme="majorBidi"/>
            <w:sz w:val="24"/>
            <w:szCs w:val="24"/>
          </w:rPr>
          <w:t>tp://nces.ed.gov/pubs2012/2012273.pdf</w:t>
        </w:r>
      </w:hyperlink>
    </w:p>
  </w:footnote>
  <w:footnote w:id="4">
    <w:p w:rsidR="00CE3D51" w:rsidRDefault="00CE3D51" w:rsidP="00BE5DCC">
      <w:pPr>
        <w:pStyle w:val="FootnoteText"/>
      </w:pPr>
      <w:r w:rsidRPr="00BE5DCC">
        <w:rPr>
          <w:rStyle w:val="FootnoteReference"/>
        </w:rPr>
        <w:footnoteRef/>
      </w:r>
      <w:r w:rsidRPr="00BE5DCC">
        <w:t xml:space="preserve"> Carnevale, Anthony P., Rose, Stephen J., and Hanson, Andrew R. (2012) Certificates: Gateway to Gainful Employment and College Degrees. Washington, DC: Georgetown Center on Education and the Economy.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51" w:rsidRPr="00AA40C2" w:rsidRDefault="00CE3D51" w:rsidP="005C6C98">
    <w:pPr>
      <w:pStyle w:val="NCESheadereven"/>
    </w:pPr>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51" w:rsidRPr="0020360F" w:rsidRDefault="00CE3D51" w:rsidP="002036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51" w:rsidRPr="002225C7" w:rsidRDefault="00CE3D51" w:rsidP="002225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51" w:rsidRDefault="00CE3D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51" w:rsidRPr="0020360F" w:rsidRDefault="00CE3D51" w:rsidP="0020360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D51" w:rsidRDefault="00CE3D51" w:rsidP="007A2305">
    <w:pPr>
      <w:pStyle w:val="NCESheadereven"/>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5BAD0F0"/>
    <w:lvl w:ilvl="0">
      <w:start w:val="1"/>
      <w:numFmt w:val="decimal"/>
      <w:pStyle w:val="ListNumber3"/>
      <w:lvlText w:val="%1."/>
      <w:lvlJc w:val="left"/>
      <w:pPr>
        <w:tabs>
          <w:tab w:val="num" w:pos="1080"/>
        </w:tabs>
        <w:ind w:left="1080" w:hanging="360"/>
      </w:pPr>
    </w:lvl>
  </w:abstractNum>
  <w:abstractNum w:abstractNumId="1">
    <w:nsid w:val="FFFFFF83"/>
    <w:multiLevelType w:val="singleLevel"/>
    <w:tmpl w:val="53CE9198"/>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8C4CD954"/>
    <w:lvl w:ilvl="0">
      <w:start w:val="1"/>
      <w:numFmt w:val="bullet"/>
      <w:lvlText w:val=""/>
      <w:lvlJc w:val="left"/>
      <w:pPr>
        <w:tabs>
          <w:tab w:val="num" w:pos="360"/>
        </w:tabs>
        <w:ind w:left="360" w:hanging="360"/>
      </w:pPr>
      <w:rPr>
        <w:rFonts w:ascii="Symbol" w:hAnsi="Symbol" w:hint="default"/>
      </w:rPr>
    </w:lvl>
  </w:abstractNum>
  <w:abstractNum w:abstractNumId="3">
    <w:nsid w:val="147F0227"/>
    <w:multiLevelType w:val="hybridMultilevel"/>
    <w:tmpl w:val="55B456B4"/>
    <w:lvl w:ilvl="0" w:tplc="A47CDA56">
      <w:start w:val="1"/>
      <w:numFmt w:val="bullet"/>
      <w:lvlText w:val=""/>
      <w:lvlJc w:val="left"/>
      <w:pPr>
        <w:tabs>
          <w:tab w:val="num" w:pos="2790"/>
        </w:tabs>
        <w:ind w:left="279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4">
    <w:nsid w:val="1F925829"/>
    <w:multiLevelType w:val="hybridMultilevel"/>
    <w:tmpl w:val="78FA91FE"/>
    <w:lvl w:ilvl="0" w:tplc="00D418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6824584"/>
    <w:multiLevelType w:val="multilevel"/>
    <w:tmpl w:val="1FE02F3A"/>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8">
    <w:nsid w:val="377F39F8"/>
    <w:multiLevelType w:val="hybridMultilevel"/>
    <w:tmpl w:val="3632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F245EF"/>
    <w:multiLevelType w:val="multilevel"/>
    <w:tmpl w:val="79F08C1A"/>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0">
    <w:nsid w:val="3F660062"/>
    <w:multiLevelType w:val="hybridMultilevel"/>
    <w:tmpl w:val="3C5617DA"/>
    <w:lvl w:ilvl="0" w:tplc="36DE4E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C2CE3"/>
    <w:multiLevelType w:val="multilevel"/>
    <w:tmpl w:val="7ABAC566"/>
    <w:styleLink w:val="OMBHeads"/>
    <w:lvl w:ilvl="0">
      <w:start w:val="1"/>
      <w:numFmt w:val="upperLetter"/>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567174F3"/>
    <w:multiLevelType w:val="hybridMultilevel"/>
    <w:tmpl w:val="F350DFE2"/>
    <w:lvl w:ilvl="0" w:tplc="B6986C16">
      <w:start w:val="1"/>
      <w:numFmt w:val="decimal"/>
      <w:lvlText w:val="%1."/>
      <w:lvlJc w:val="left"/>
      <w:pPr>
        <w:ind w:left="1613" w:hanging="360"/>
      </w:pPr>
      <w:rPr>
        <w:rFonts w:hint="default"/>
      </w:rPr>
    </w:lvl>
    <w:lvl w:ilvl="1" w:tplc="04090019">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13">
    <w:nsid w:val="5A1E7255"/>
    <w:multiLevelType w:val="multilevel"/>
    <w:tmpl w:val="79F08C1A"/>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4">
    <w:nsid w:val="5B330D57"/>
    <w:multiLevelType w:val="multilevel"/>
    <w:tmpl w:val="52865A46"/>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5">
    <w:nsid w:val="5DC46E27"/>
    <w:multiLevelType w:val="hybridMultilevel"/>
    <w:tmpl w:val="452E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8C7901"/>
    <w:multiLevelType w:val="multilevel"/>
    <w:tmpl w:val="D58A901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2"/>
  </w:num>
  <w:num w:numId="3">
    <w:abstractNumId w:val="1"/>
  </w:num>
  <w:num w:numId="4">
    <w:abstractNumId w:val="2"/>
  </w:num>
  <w:num w:numId="5">
    <w:abstractNumId w:val="1"/>
  </w:num>
  <w:num w:numId="6">
    <w:abstractNumId w:val="2"/>
  </w:num>
  <w:num w:numId="7">
    <w:abstractNumId w:val="1"/>
  </w:num>
  <w:num w:numId="8">
    <w:abstractNumId w:val="2"/>
  </w:num>
  <w:num w:numId="9">
    <w:abstractNumId w:val="1"/>
  </w:num>
  <w:num w:numId="10">
    <w:abstractNumId w:val="2"/>
  </w:num>
  <w:num w:numId="11">
    <w:abstractNumId w:val="1"/>
  </w:num>
  <w:num w:numId="12">
    <w:abstractNumId w:val="2"/>
  </w:num>
  <w:num w:numId="13">
    <w:abstractNumId w:val="1"/>
  </w:num>
  <w:num w:numId="14">
    <w:abstractNumId w:val="6"/>
  </w:num>
  <w:num w:numId="15">
    <w:abstractNumId w:val="9"/>
  </w:num>
  <w:num w:numId="16">
    <w:abstractNumId w:val="14"/>
  </w:num>
  <w:num w:numId="17">
    <w:abstractNumId w:val="5"/>
  </w:num>
  <w:num w:numId="18">
    <w:abstractNumId w:val="16"/>
  </w:num>
  <w:num w:numId="19">
    <w:abstractNumId w:val="8"/>
  </w:num>
  <w:num w:numId="20">
    <w:abstractNumId w:val="12"/>
  </w:num>
  <w:num w:numId="21">
    <w:abstractNumId w:val="15"/>
  </w:num>
  <w:num w:numId="22">
    <w:abstractNumId w:val="3"/>
  </w:num>
  <w:num w:numId="23">
    <w:abstractNumId w:val="13"/>
  </w:num>
  <w:num w:numId="24">
    <w:abstractNumId w:val="4"/>
  </w:num>
  <w:num w:numId="25">
    <w:abstractNumId w:val="11"/>
  </w:num>
  <w:num w:numId="26">
    <w:abstractNumId w:val="10"/>
  </w:num>
  <w:num w:numId="27">
    <w:abstractNumId w:val="0"/>
  </w:num>
  <w:num w:numId="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doNotHyphenateCaps/>
  <w:drawingGridHorizontalSpacing w:val="120"/>
  <w:drawingGridVerticalSpacing w:val="187"/>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1A8"/>
    <w:rsid w:val="00002236"/>
    <w:rsid w:val="00002700"/>
    <w:rsid w:val="000029E1"/>
    <w:rsid w:val="00002B1F"/>
    <w:rsid w:val="000042D4"/>
    <w:rsid w:val="00004D46"/>
    <w:rsid w:val="0000562B"/>
    <w:rsid w:val="000056D7"/>
    <w:rsid w:val="000064C5"/>
    <w:rsid w:val="000068C9"/>
    <w:rsid w:val="00006A86"/>
    <w:rsid w:val="00006DD2"/>
    <w:rsid w:val="00006ECC"/>
    <w:rsid w:val="000071C1"/>
    <w:rsid w:val="00007997"/>
    <w:rsid w:val="00010680"/>
    <w:rsid w:val="0001147D"/>
    <w:rsid w:val="000116EC"/>
    <w:rsid w:val="0001207D"/>
    <w:rsid w:val="00012483"/>
    <w:rsid w:val="000135CF"/>
    <w:rsid w:val="00013A1B"/>
    <w:rsid w:val="00013B2D"/>
    <w:rsid w:val="00013C7D"/>
    <w:rsid w:val="000140B1"/>
    <w:rsid w:val="00014256"/>
    <w:rsid w:val="00014705"/>
    <w:rsid w:val="00014A08"/>
    <w:rsid w:val="00014D25"/>
    <w:rsid w:val="00015145"/>
    <w:rsid w:val="00015CD5"/>
    <w:rsid w:val="00016217"/>
    <w:rsid w:val="000166A8"/>
    <w:rsid w:val="00016DC5"/>
    <w:rsid w:val="00016F2E"/>
    <w:rsid w:val="0001749A"/>
    <w:rsid w:val="00017C1E"/>
    <w:rsid w:val="000205BE"/>
    <w:rsid w:val="0002110E"/>
    <w:rsid w:val="00021560"/>
    <w:rsid w:val="00021D9A"/>
    <w:rsid w:val="00021E6E"/>
    <w:rsid w:val="00022F74"/>
    <w:rsid w:val="00023398"/>
    <w:rsid w:val="00023ABD"/>
    <w:rsid w:val="00023C08"/>
    <w:rsid w:val="00023CF3"/>
    <w:rsid w:val="00023EA0"/>
    <w:rsid w:val="00024665"/>
    <w:rsid w:val="00024667"/>
    <w:rsid w:val="00025088"/>
    <w:rsid w:val="00025A15"/>
    <w:rsid w:val="000303AB"/>
    <w:rsid w:val="000307E7"/>
    <w:rsid w:val="00031E5C"/>
    <w:rsid w:val="0003284A"/>
    <w:rsid w:val="000329F7"/>
    <w:rsid w:val="00033DF5"/>
    <w:rsid w:val="00034B40"/>
    <w:rsid w:val="00035515"/>
    <w:rsid w:val="00035743"/>
    <w:rsid w:val="00036511"/>
    <w:rsid w:val="00036819"/>
    <w:rsid w:val="000368B0"/>
    <w:rsid w:val="00036D3F"/>
    <w:rsid w:val="00037631"/>
    <w:rsid w:val="00037B0E"/>
    <w:rsid w:val="0004034F"/>
    <w:rsid w:val="000404EE"/>
    <w:rsid w:val="00040543"/>
    <w:rsid w:val="00040851"/>
    <w:rsid w:val="00041240"/>
    <w:rsid w:val="00041BE0"/>
    <w:rsid w:val="00042D5D"/>
    <w:rsid w:val="000431F0"/>
    <w:rsid w:val="00043DC0"/>
    <w:rsid w:val="00044904"/>
    <w:rsid w:val="0004539F"/>
    <w:rsid w:val="00045447"/>
    <w:rsid w:val="00045455"/>
    <w:rsid w:val="000457DA"/>
    <w:rsid w:val="000465B3"/>
    <w:rsid w:val="00046CD1"/>
    <w:rsid w:val="0004770E"/>
    <w:rsid w:val="000477A7"/>
    <w:rsid w:val="00050C3E"/>
    <w:rsid w:val="000510A8"/>
    <w:rsid w:val="000516A4"/>
    <w:rsid w:val="00052421"/>
    <w:rsid w:val="00052F28"/>
    <w:rsid w:val="00052FAA"/>
    <w:rsid w:val="000531FD"/>
    <w:rsid w:val="00053D57"/>
    <w:rsid w:val="00054E68"/>
    <w:rsid w:val="00057E39"/>
    <w:rsid w:val="00060019"/>
    <w:rsid w:val="000604CC"/>
    <w:rsid w:val="00060932"/>
    <w:rsid w:val="00060D38"/>
    <w:rsid w:val="00061160"/>
    <w:rsid w:val="00061193"/>
    <w:rsid w:val="00061737"/>
    <w:rsid w:val="00061BB0"/>
    <w:rsid w:val="00062311"/>
    <w:rsid w:val="00062DED"/>
    <w:rsid w:val="00062EF6"/>
    <w:rsid w:val="00063377"/>
    <w:rsid w:val="000644BB"/>
    <w:rsid w:val="00064F6B"/>
    <w:rsid w:val="000650FB"/>
    <w:rsid w:val="0006599F"/>
    <w:rsid w:val="00066744"/>
    <w:rsid w:val="00066DB4"/>
    <w:rsid w:val="000675AA"/>
    <w:rsid w:val="0007023C"/>
    <w:rsid w:val="000702A5"/>
    <w:rsid w:val="0007064F"/>
    <w:rsid w:val="00070977"/>
    <w:rsid w:val="00070D9D"/>
    <w:rsid w:val="0007178A"/>
    <w:rsid w:val="0007244B"/>
    <w:rsid w:val="00072A1E"/>
    <w:rsid w:val="00072D1A"/>
    <w:rsid w:val="00073AEF"/>
    <w:rsid w:val="00073C6B"/>
    <w:rsid w:val="00074C4D"/>
    <w:rsid w:val="00075476"/>
    <w:rsid w:val="00076AC8"/>
    <w:rsid w:val="0007721F"/>
    <w:rsid w:val="000775AB"/>
    <w:rsid w:val="00077EAF"/>
    <w:rsid w:val="00080003"/>
    <w:rsid w:val="0008172C"/>
    <w:rsid w:val="00082CE8"/>
    <w:rsid w:val="00083175"/>
    <w:rsid w:val="00083935"/>
    <w:rsid w:val="00085E5D"/>
    <w:rsid w:val="00086117"/>
    <w:rsid w:val="00086659"/>
    <w:rsid w:val="0008668A"/>
    <w:rsid w:val="00086AD0"/>
    <w:rsid w:val="000870E5"/>
    <w:rsid w:val="00087971"/>
    <w:rsid w:val="0009020F"/>
    <w:rsid w:val="000907DE"/>
    <w:rsid w:val="00091671"/>
    <w:rsid w:val="00091CEC"/>
    <w:rsid w:val="00091FB5"/>
    <w:rsid w:val="00092AA2"/>
    <w:rsid w:val="00092C0F"/>
    <w:rsid w:val="00093F25"/>
    <w:rsid w:val="0009412E"/>
    <w:rsid w:val="00094547"/>
    <w:rsid w:val="00096B68"/>
    <w:rsid w:val="000971BA"/>
    <w:rsid w:val="000A000E"/>
    <w:rsid w:val="000A062A"/>
    <w:rsid w:val="000A2219"/>
    <w:rsid w:val="000A270E"/>
    <w:rsid w:val="000A2C50"/>
    <w:rsid w:val="000A5792"/>
    <w:rsid w:val="000A57B8"/>
    <w:rsid w:val="000A5CE0"/>
    <w:rsid w:val="000A6DCB"/>
    <w:rsid w:val="000A730B"/>
    <w:rsid w:val="000A782D"/>
    <w:rsid w:val="000A7C73"/>
    <w:rsid w:val="000A7DA0"/>
    <w:rsid w:val="000B03CB"/>
    <w:rsid w:val="000B065A"/>
    <w:rsid w:val="000B1069"/>
    <w:rsid w:val="000B119E"/>
    <w:rsid w:val="000B2331"/>
    <w:rsid w:val="000B25B8"/>
    <w:rsid w:val="000B25C2"/>
    <w:rsid w:val="000B364C"/>
    <w:rsid w:val="000B3C21"/>
    <w:rsid w:val="000B3F61"/>
    <w:rsid w:val="000B3F6D"/>
    <w:rsid w:val="000B430C"/>
    <w:rsid w:val="000B49E9"/>
    <w:rsid w:val="000B4BC3"/>
    <w:rsid w:val="000B5F0D"/>
    <w:rsid w:val="000B6A2F"/>
    <w:rsid w:val="000B7888"/>
    <w:rsid w:val="000B7AC2"/>
    <w:rsid w:val="000C0281"/>
    <w:rsid w:val="000C0A14"/>
    <w:rsid w:val="000C1041"/>
    <w:rsid w:val="000C133D"/>
    <w:rsid w:val="000C17A7"/>
    <w:rsid w:val="000C26B9"/>
    <w:rsid w:val="000C30A7"/>
    <w:rsid w:val="000C3189"/>
    <w:rsid w:val="000C31CD"/>
    <w:rsid w:val="000C383D"/>
    <w:rsid w:val="000C479F"/>
    <w:rsid w:val="000C63EA"/>
    <w:rsid w:val="000C644C"/>
    <w:rsid w:val="000C650A"/>
    <w:rsid w:val="000D0D78"/>
    <w:rsid w:val="000D0FAB"/>
    <w:rsid w:val="000D11FE"/>
    <w:rsid w:val="000D1AE6"/>
    <w:rsid w:val="000D2493"/>
    <w:rsid w:val="000D2537"/>
    <w:rsid w:val="000D3289"/>
    <w:rsid w:val="000D3E1A"/>
    <w:rsid w:val="000D4376"/>
    <w:rsid w:val="000D4786"/>
    <w:rsid w:val="000D49B4"/>
    <w:rsid w:val="000D56FE"/>
    <w:rsid w:val="000D623F"/>
    <w:rsid w:val="000D69D6"/>
    <w:rsid w:val="000D6BF1"/>
    <w:rsid w:val="000D7BC4"/>
    <w:rsid w:val="000D7D39"/>
    <w:rsid w:val="000E06C8"/>
    <w:rsid w:val="000E0945"/>
    <w:rsid w:val="000E094A"/>
    <w:rsid w:val="000E1AFD"/>
    <w:rsid w:val="000E1C19"/>
    <w:rsid w:val="000E24FF"/>
    <w:rsid w:val="000E2691"/>
    <w:rsid w:val="000E2746"/>
    <w:rsid w:val="000E32AA"/>
    <w:rsid w:val="000E3E35"/>
    <w:rsid w:val="000E43A5"/>
    <w:rsid w:val="000E4FDD"/>
    <w:rsid w:val="000E54DD"/>
    <w:rsid w:val="000E5B16"/>
    <w:rsid w:val="000E6373"/>
    <w:rsid w:val="000E693A"/>
    <w:rsid w:val="000E779A"/>
    <w:rsid w:val="000F0B44"/>
    <w:rsid w:val="000F1B56"/>
    <w:rsid w:val="000F2CAB"/>
    <w:rsid w:val="000F38FB"/>
    <w:rsid w:val="000F3928"/>
    <w:rsid w:val="000F3A15"/>
    <w:rsid w:val="000F3FD1"/>
    <w:rsid w:val="000F578D"/>
    <w:rsid w:val="000F5BB9"/>
    <w:rsid w:val="000F64A4"/>
    <w:rsid w:val="000F6FCA"/>
    <w:rsid w:val="000F7F8A"/>
    <w:rsid w:val="00100F59"/>
    <w:rsid w:val="00103195"/>
    <w:rsid w:val="00103979"/>
    <w:rsid w:val="00103C4A"/>
    <w:rsid w:val="00103ED8"/>
    <w:rsid w:val="00104313"/>
    <w:rsid w:val="00104F2C"/>
    <w:rsid w:val="001056CA"/>
    <w:rsid w:val="00105CFB"/>
    <w:rsid w:val="001067CB"/>
    <w:rsid w:val="001071B0"/>
    <w:rsid w:val="001079B0"/>
    <w:rsid w:val="001108DD"/>
    <w:rsid w:val="0011094F"/>
    <w:rsid w:val="00111E00"/>
    <w:rsid w:val="0011359B"/>
    <w:rsid w:val="001136F9"/>
    <w:rsid w:val="001144A0"/>
    <w:rsid w:val="00114867"/>
    <w:rsid w:val="00115048"/>
    <w:rsid w:val="00115438"/>
    <w:rsid w:val="00115698"/>
    <w:rsid w:val="0011574B"/>
    <w:rsid w:val="00115984"/>
    <w:rsid w:val="00116D15"/>
    <w:rsid w:val="0011706B"/>
    <w:rsid w:val="00117191"/>
    <w:rsid w:val="0011778A"/>
    <w:rsid w:val="0011788C"/>
    <w:rsid w:val="00117D29"/>
    <w:rsid w:val="00120034"/>
    <w:rsid w:val="00121B47"/>
    <w:rsid w:val="001227AB"/>
    <w:rsid w:val="00122D4F"/>
    <w:rsid w:val="00122FC2"/>
    <w:rsid w:val="00123689"/>
    <w:rsid w:val="001239D8"/>
    <w:rsid w:val="00123CC4"/>
    <w:rsid w:val="00123E34"/>
    <w:rsid w:val="001243E5"/>
    <w:rsid w:val="001244B3"/>
    <w:rsid w:val="00124ABC"/>
    <w:rsid w:val="001252ED"/>
    <w:rsid w:val="001254B1"/>
    <w:rsid w:val="00125757"/>
    <w:rsid w:val="001266C4"/>
    <w:rsid w:val="0012676F"/>
    <w:rsid w:val="00126924"/>
    <w:rsid w:val="00126B64"/>
    <w:rsid w:val="00126ECD"/>
    <w:rsid w:val="00127212"/>
    <w:rsid w:val="001276CB"/>
    <w:rsid w:val="0013084B"/>
    <w:rsid w:val="00130F0D"/>
    <w:rsid w:val="00132CB2"/>
    <w:rsid w:val="00132CE8"/>
    <w:rsid w:val="00132EC8"/>
    <w:rsid w:val="0013323A"/>
    <w:rsid w:val="00133361"/>
    <w:rsid w:val="00134EE9"/>
    <w:rsid w:val="00135581"/>
    <w:rsid w:val="001357FA"/>
    <w:rsid w:val="00137344"/>
    <w:rsid w:val="001379E1"/>
    <w:rsid w:val="00140597"/>
    <w:rsid w:val="00142317"/>
    <w:rsid w:val="00142A4B"/>
    <w:rsid w:val="00142E11"/>
    <w:rsid w:val="001431A7"/>
    <w:rsid w:val="001431E7"/>
    <w:rsid w:val="00143269"/>
    <w:rsid w:val="0014339D"/>
    <w:rsid w:val="00143C1C"/>
    <w:rsid w:val="00144325"/>
    <w:rsid w:val="00144A25"/>
    <w:rsid w:val="00145852"/>
    <w:rsid w:val="0014606E"/>
    <w:rsid w:val="00146133"/>
    <w:rsid w:val="0014645F"/>
    <w:rsid w:val="00146944"/>
    <w:rsid w:val="00147448"/>
    <w:rsid w:val="00147ACF"/>
    <w:rsid w:val="00150741"/>
    <w:rsid w:val="00150EA4"/>
    <w:rsid w:val="0015184A"/>
    <w:rsid w:val="0015189C"/>
    <w:rsid w:val="00151998"/>
    <w:rsid w:val="00152120"/>
    <w:rsid w:val="001521D1"/>
    <w:rsid w:val="00152327"/>
    <w:rsid w:val="001524E2"/>
    <w:rsid w:val="00152766"/>
    <w:rsid w:val="00152AB9"/>
    <w:rsid w:val="00152AD3"/>
    <w:rsid w:val="00152FDD"/>
    <w:rsid w:val="001530C3"/>
    <w:rsid w:val="00153145"/>
    <w:rsid w:val="00153185"/>
    <w:rsid w:val="00153442"/>
    <w:rsid w:val="00153802"/>
    <w:rsid w:val="00153E69"/>
    <w:rsid w:val="00154A38"/>
    <w:rsid w:val="00155782"/>
    <w:rsid w:val="00155786"/>
    <w:rsid w:val="001557B6"/>
    <w:rsid w:val="00155890"/>
    <w:rsid w:val="00155D19"/>
    <w:rsid w:val="00155E95"/>
    <w:rsid w:val="00156214"/>
    <w:rsid w:val="00156286"/>
    <w:rsid w:val="001566CE"/>
    <w:rsid w:val="00160371"/>
    <w:rsid w:val="00160924"/>
    <w:rsid w:val="00161114"/>
    <w:rsid w:val="00161407"/>
    <w:rsid w:val="00163F95"/>
    <w:rsid w:val="0016415A"/>
    <w:rsid w:val="00164879"/>
    <w:rsid w:val="001649BA"/>
    <w:rsid w:val="001653CD"/>
    <w:rsid w:val="0016557F"/>
    <w:rsid w:val="0016571E"/>
    <w:rsid w:val="00166C12"/>
    <w:rsid w:val="00166D14"/>
    <w:rsid w:val="00170C78"/>
    <w:rsid w:val="00170E6A"/>
    <w:rsid w:val="00171804"/>
    <w:rsid w:val="00171DB8"/>
    <w:rsid w:val="00171DD2"/>
    <w:rsid w:val="001727AA"/>
    <w:rsid w:val="00172D0C"/>
    <w:rsid w:val="001743C6"/>
    <w:rsid w:val="00174B82"/>
    <w:rsid w:val="0017561E"/>
    <w:rsid w:val="00176538"/>
    <w:rsid w:val="00176A41"/>
    <w:rsid w:val="001775C0"/>
    <w:rsid w:val="00177F97"/>
    <w:rsid w:val="00180041"/>
    <w:rsid w:val="001804B1"/>
    <w:rsid w:val="001804D1"/>
    <w:rsid w:val="00181271"/>
    <w:rsid w:val="00181CAB"/>
    <w:rsid w:val="00182118"/>
    <w:rsid w:val="0018259F"/>
    <w:rsid w:val="00183275"/>
    <w:rsid w:val="001835D7"/>
    <w:rsid w:val="00183D81"/>
    <w:rsid w:val="001848E6"/>
    <w:rsid w:val="0018530D"/>
    <w:rsid w:val="00185923"/>
    <w:rsid w:val="00186D4C"/>
    <w:rsid w:val="00186DED"/>
    <w:rsid w:val="00187ACD"/>
    <w:rsid w:val="001904CA"/>
    <w:rsid w:val="00190686"/>
    <w:rsid w:val="001907BC"/>
    <w:rsid w:val="00191509"/>
    <w:rsid w:val="00191A3E"/>
    <w:rsid w:val="00191E9C"/>
    <w:rsid w:val="001924FF"/>
    <w:rsid w:val="0019274B"/>
    <w:rsid w:val="00193015"/>
    <w:rsid w:val="00193DCC"/>
    <w:rsid w:val="00193DD9"/>
    <w:rsid w:val="00193F8B"/>
    <w:rsid w:val="00194570"/>
    <w:rsid w:val="001950D7"/>
    <w:rsid w:val="00195334"/>
    <w:rsid w:val="00195846"/>
    <w:rsid w:val="00196688"/>
    <w:rsid w:val="001A054D"/>
    <w:rsid w:val="001A06F5"/>
    <w:rsid w:val="001A07C0"/>
    <w:rsid w:val="001A1251"/>
    <w:rsid w:val="001A1405"/>
    <w:rsid w:val="001A3918"/>
    <w:rsid w:val="001A4442"/>
    <w:rsid w:val="001A52A8"/>
    <w:rsid w:val="001A5355"/>
    <w:rsid w:val="001A5D8D"/>
    <w:rsid w:val="001A6144"/>
    <w:rsid w:val="001A6277"/>
    <w:rsid w:val="001A671D"/>
    <w:rsid w:val="001A6C33"/>
    <w:rsid w:val="001A6F28"/>
    <w:rsid w:val="001A7065"/>
    <w:rsid w:val="001A7ECA"/>
    <w:rsid w:val="001B096F"/>
    <w:rsid w:val="001B0A94"/>
    <w:rsid w:val="001B0D0F"/>
    <w:rsid w:val="001B1009"/>
    <w:rsid w:val="001B13AE"/>
    <w:rsid w:val="001B2DB3"/>
    <w:rsid w:val="001B356A"/>
    <w:rsid w:val="001B35DB"/>
    <w:rsid w:val="001B3AF9"/>
    <w:rsid w:val="001B4885"/>
    <w:rsid w:val="001B4AEF"/>
    <w:rsid w:val="001B4DC0"/>
    <w:rsid w:val="001B5343"/>
    <w:rsid w:val="001B5431"/>
    <w:rsid w:val="001B5986"/>
    <w:rsid w:val="001B6B09"/>
    <w:rsid w:val="001B77EF"/>
    <w:rsid w:val="001B792F"/>
    <w:rsid w:val="001B794B"/>
    <w:rsid w:val="001C0068"/>
    <w:rsid w:val="001C10F7"/>
    <w:rsid w:val="001C14FE"/>
    <w:rsid w:val="001C1602"/>
    <w:rsid w:val="001C1A71"/>
    <w:rsid w:val="001C32A7"/>
    <w:rsid w:val="001C3516"/>
    <w:rsid w:val="001C3BFB"/>
    <w:rsid w:val="001C3C83"/>
    <w:rsid w:val="001C483E"/>
    <w:rsid w:val="001C4995"/>
    <w:rsid w:val="001C4A9E"/>
    <w:rsid w:val="001C4CDA"/>
    <w:rsid w:val="001C4D9B"/>
    <w:rsid w:val="001C4DEE"/>
    <w:rsid w:val="001C568A"/>
    <w:rsid w:val="001C5A46"/>
    <w:rsid w:val="001C5C35"/>
    <w:rsid w:val="001C6283"/>
    <w:rsid w:val="001C68F4"/>
    <w:rsid w:val="001C735C"/>
    <w:rsid w:val="001C7770"/>
    <w:rsid w:val="001C7BE3"/>
    <w:rsid w:val="001D006E"/>
    <w:rsid w:val="001D0AED"/>
    <w:rsid w:val="001D0E45"/>
    <w:rsid w:val="001D10AF"/>
    <w:rsid w:val="001D27DD"/>
    <w:rsid w:val="001D3393"/>
    <w:rsid w:val="001D3DC6"/>
    <w:rsid w:val="001D3E94"/>
    <w:rsid w:val="001D4604"/>
    <w:rsid w:val="001D493E"/>
    <w:rsid w:val="001D4BC4"/>
    <w:rsid w:val="001D6284"/>
    <w:rsid w:val="001D680B"/>
    <w:rsid w:val="001D6C48"/>
    <w:rsid w:val="001D6CFC"/>
    <w:rsid w:val="001D6D0F"/>
    <w:rsid w:val="001D782C"/>
    <w:rsid w:val="001D7BF6"/>
    <w:rsid w:val="001D7F88"/>
    <w:rsid w:val="001E0750"/>
    <w:rsid w:val="001E0AA3"/>
    <w:rsid w:val="001E0C0F"/>
    <w:rsid w:val="001E20E3"/>
    <w:rsid w:val="001E2639"/>
    <w:rsid w:val="001E2909"/>
    <w:rsid w:val="001E31AC"/>
    <w:rsid w:val="001E3631"/>
    <w:rsid w:val="001E5D86"/>
    <w:rsid w:val="001E5FAD"/>
    <w:rsid w:val="001E63BB"/>
    <w:rsid w:val="001E7082"/>
    <w:rsid w:val="001E7A49"/>
    <w:rsid w:val="001E7A6E"/>
    <w:rsid w:val="001F087F"/>
    <w:rsid w:val="001F0D48"/>
    <w:rsid w:val="001F196C"/>
    <w:rsid w:val="001F1FD9"/>
    <w:rsid w:val="001F27F6"/>
    <w:rsid w:val="001F2925"/>
    <w:rsid w:val="001F2AB2"/>
    <w:rsid w:val="001F33C7"/>
    <w:rsid w:val="001F3B21"/>
    <w:rsid w:val="001F3C27"/>
    <w:rsid w:val="001F4221"/>
    <w:rsid w:val="001F4387"/>
    <w:rsid w:val="001F4746"/>
    <w:rsid w:val="001F4877"/>
    <w:rsid w:val="001F4E16"/>
    <w:rsid w:val="001F5258"/>
    <w:rsid w:val="001F5506"/>
    <w:rsid w:val="001F5917"/>
    <w:rsid w:val="001F5D38"/>
    <w:rsid w:val="001F5F5D"/>
    <w:rsid w:val="001F642C"/>
    <w:rsid w:val="001F6B92"/>
    <w:rsid w:val="002012F3"/>
    <w:rsid w:val="00201D6E"/>
    <w:rsid w:val="00201E71"/>
    <w:rsid w:val="00201EEE"/>
    <w:rsid w:val="00202AC1"/>
    <w:rsid w:val="00202FC3"/>
    <w:rsid w:val="002034C4"/>
    <w:rsid w:val="0020360F"/>
    <w:rsid w:val="00204045"/>
    <w:rsid w:val="002041BB"/>
    <w:rsid w:val="00204956"/>
    <w:rsid w:val="002057EC"/>
    <w:rsid w:val="00205C54"/>
    <w:rsid w:val="00206E51"/>
    <w:rsid w:val="002078ED"/>
    <w:rsid w:val="00207B57"/>
    <w:rsid w:val="002102E3"/>
    <w:rsid w:val="00210E6E"/>
    <w:rsid w:val="00211048"/>
    <w:rsid w:val="00212017"/>
    <w:rsid w:val="00212E18"/>
    <w:rsid w:val="00213F6A"/>
    <w:rsid w:val="00214600"/>
    <w:rsid w:val="00214BB6"/>
    <w:rsid w:val="0021599F"/>
    <w:rsid w:val="00216885"/>
    <w:rsid w:val="00217AAD"/>
    <w:rsid w:val="00217E5B"/>
    <w:rsid w:val="002203C0"/>
    <w:rsid w:val="00220EFA"/>
    <w:rsid w:val="0022144B"/>
    <w:rsid w:val="00221C87"/>
    <w:rsid w:val="00221CC9"/>
    <w:rsid w:val="00221DEF"/>
    <w:rsid w:val="00222325"/>
    <w:rsid w:val="002225C7"/>
    <w:rsid w:val="00222853"/>
    <w:rsid w:val="00223246"/>
    <w:rsid w:val="002233A7"/>
    <w:rsid w:val="00223484"/>
    <w:rsid w:val="002239F9"/>
    <w:rsid w:val="00223FD3"/>
    <w:rsid w:val="002241E3"/>
    <w:rsid w:val="00224294"/>
    <w:rsid w:val="0022433D"/>
    <w:rsid w:val="002249E0"/>
    <w:rsid w:val="00224A40"/>
    <w:rsid w:val="00224E6A"/>
    <w:rsid w:val="00225468"/>
    <w:rsid w:val="00225715"/>
    <w:rsid w:val="00225BF8"/>
    <w:rsid w:val="0022636A"/>
    <w:rsid w:val="002263C7"/>
    <w:rsid w:val="00226504"/>
    <w:rsid w:val="0022691F"/>
    <w:rsid w:val="00227366"/>
    <w:rsid w:val="002279F5"/>
    <w:rsid w:val="00227E65"/>
    <w:rsid w:val="002302A0"/>
    <w:rsid w:val="00230393"/>
    <w:rsid w:val="00230681"/>
    <w:rsid w:val="00230832"/>
    <w:rsid w:val="00230C88"/>
    <w:rsid w:val="00231ABE"/>
    <w:rsid w:val="00231E30"/>
    <w:rsid w:val="002320FF"/>
    <w:rsid w:val="00232B72"/>
    <w:rsid w:val="00232D74"/>
    <w:rsid w:val="00232D77"/>
    <w:rsid w:val="002337AC"/>
    <w:rsid w:val="00234253"/>
    <w:rsid w:val="002346BE"/>
    <w:rsid w:val="002346ED"/>
    <w:rsid w:val="00234FBE"/>
    <w:rsid w:val="0023549E"/>
    <w:rsid w:val="00235AFA"/>
    <w:rsid w:val="00236014"/>
    <w:rsid w:val="0023649F"/>
    <w:rsid w:val="0023692E"/>
    <w:rsid w:val="002402E4"/>
    <w:rsid w:val="0024196D"/>
    <w:rsid w:val="00241C35"/>
    <w:rsid w:val="00241CE3"/>
    <w:rsid w:val="00241D5E"/>
    <w:rsid w:val="00242FA4"/>
    <w:rsid w:val="00243AA4"/>
    <w:rsid w:val="002442A7"/>
    <w:rsid w:val="002447B5"/>
    <w:rsid w:val="00244F84"/>
    <w:rsid w:val="002453A0"/>
    <w:rsid w:val="00245507"/>
    <w:rsid w:val="00245677"/>
    <w:rsid w:val="002456CD"/>
    <w:rsid w:val="0024588E"/>
    <w:rsid w:val="00245C48"/>
    <w:rsid w:val="002462DD"/>
    <w:rsid w:val="00246715"/>
    <w:rsid w:val="002477DC"/>
    <w:rsid w:val="00247F40"/>
    <w:rsid w:val="00251A03"/>
    <w:rsid w:val="00251D8E"/>
    <w:rsid w:val="00252035"/>
    <w:rsid w:val="00252225"/>
    <w:rsid w:val="00252791"/>
    <w:rsid w:val="00252A45"/>
    <w:rsid w:val="00254A89"/>
    <w:rsid w:val="00254BA2"/>
    <w:rsid w:val="00254CED"/>
    <w:rsid w:val="00254DAC"/>
    <w:rsid w:val="00255253"/>
    <w:rsid w:val="00255CBA"/>
    <w:rsid w:val="00256013"/>
    <w:rsid w:val="00256245"/>
    <w:rsid w:val="0025744B"/>
    <w:rsid w:val="002575B0"/>
    <w:rsid w:val="00257621"/>
    <w:rsid w:val="002600EF"/>
    <w:rsid w:val="00261A0E"/>
    <w:rsid w:val="002621C2"/>
    <w:rsid w:val="0026274A"/>
    <w:rsid w:val="00262A02"/>
    <w:rsid w:val="00262A30"/>
    <w:rsid w:val="002632B5"/>
    <w:rsid w:val="0026357D"/>
    <w:rsid w:val="00263B64"/>
    <w:rsid w:val="00263D6A"/>
    <w:rsid w:val="00264DFF"/>
    <w:rsid w:val="002656C7"/>
    <w:rsid w:val="00265D69"/>
    <w:rsid w:val="00266311"/>
    <w:rsid w:val="0026646C"/>
    <w:rsid w:val="00266A4B"/>
    <w:rsid w:val="00266B75"/>
    <w:rsid w:val="0026703F"/>
    <w:rsid w:val="0026782A"/>
    <w:rsid w:val="00267DEE"/>
    <w:rsid w:val="00267F90"/>
    <w:rsid w:val="00270108"/>
    <w:rsid w:val="0027047D"/>
    <w:rsid w:val="00270868"/>
    <w:rsid w:val="00271F23"/>
    <w:rsid w:val="00272C43"/>
    <w:rsid w:val="0027343C"/>
    <w:rsid w:val="00273781"/>
    <w:rsid w:val="002737D4"/>
    <w:rsid w:val="00273AE8"/>
    <w:rsid w:val="00273B93"/>
    <w:rsid w:val="00274FD1"/>
    <w:rsid w:val="002751CD"/>
    <w:rsid w:val="002758DC"/>
    <w:rsid w:val="00275919"/>
    <w:rsid w:val="00276061"/>
    <w:rsid w:val="0027610A"/>
    <w:rsid w:val="002764D4"/>
    <w:rsid w:val="00277039"/>
    <w:rsid w:val="00280124"/>
    <w:rsid w:val="0028098C"/>
    <w:rsid w:val="002809C1"/>
    <w:rsid w:val="00282465"/>
    <w:rsid w:val="002834E4"/>
    <w:rsid w:val="002840D9"/>
    <w:rsid w:val="0028476A"/>
    <w:rsid w:val="00284771"/>
    <w:rsid w:val="002849B7"/>
    <w:rsid w:val="00285517"/>
    <w:rsid w:val="00285A1E"/>
    <w:rsid w:val="00285D54"/>
    <w:rsid w:val="002865AE"/>
    <w:rsid w:val="00286C3F"/>
    <w:rsid w:val="00286DA1"/>
    <w:rsid w:val="00286EE5"/>
    <w:rsid w:val="00286EF9"/>
    <w:rsid w:val="00287782"/>
    <w:rsid w:val="0029035C"/>
    <w:rsid w:val="00290396"/>
    <w:rsid w:val="00290768"/>
    <w:rsid w:val="00290FA2"/>
    <w:rsid w:val="002935A2"/>
    <w:rsid w:val="002936F5"/>
    <w:rsid w:val="002949E6"/>
    <w:rsid w:val="00294D8A"/>
    <w:rsid w:val="0029500C"/>
    <w:rsid w:val="00295017"/>
    <w:rsid w:val="002953DD"/>
    <w:rsid w:val="00295B31"/>
    <w:rsid w:val="002966E1"/>
    <w:rsid w:val="00296B80"/>
    <w:rsid w:val="00296F54"/>
    <w:rsid w:val="002A29C7"/>
    <w:rsid w:val="002A29DE"/>
    <w:rsid w:val="002A2ABC"/>
    <w:rsid w:val="002A2B44"/>
    <w:rsid w:val="002A471E"/>
    <w:rsid w:val="002A4E44"/>
    <w:rsid w:val="002A51D6"/>
    <w:rsid w:val="002A5CD2"/>
    <w:rsid w:val="002A6C43"/>
    <w:rsid w:val="002A6D0A"/>
    <w:rsid w:val="002A72F8"/>
    <w:rsid w:val="002A78C6"/>
    <w:rsid w:val="002A7A47"/>
    <w:rsid w:val="002B0795"/>
    <w:rsid w:val="002B09C6"/>
    <w:rsid w:val="002B0C5E"/>
    <w:rsid w:val="002B34C6"/>
    <w:rsid w:val="002B3613"/>
    <w:rsid w:val="002B3B43"/>
    <w:rsid w:val="002B4186"/>
    <w:rsid w:val="002B4553"/>
    <w:rsid w:val="002B5282"/>
    <w:rsid w:val="002B53AE"/>
    <w:rsid w:val="002B55A8"/>
    <w:rsid w:val="002B64D5"/>
    <w:rsid w:val="002B6D06"/>
    <w:rsid w:val="002C0158"/>
    <w:rsid w:val="002C08AC"/>
    <w:rsid w:val="002C095E"/>
    <w:rsid w:val="002C0A0F"/>
    <w:rsid w:val="002C227E"/>
    <w:rsid w:val="002C2499"/>
    <w:rsid w:val="002C2B7E"/>
    <w:rsid w:val="002C2EBD"/>
    <w:rsid w:val="002C3450"/>
    <w:rsid w:val="002C351A"/>
    <w:rsid w:val="002C3B78"/>
    <w:rsid w:val="002C4CA0"/>
    <w:rsid w:val="002C506A"/>
    <w:rsid w:val="002C6364"/>
    <w:rsid w:val="002C68D4"/>
    <w:rsid w:val="002C701C"/>
    <w:rsid w:val="002D0AF0"/>
    <w:rsid w:val="002D0F26"/>
    <w:rsid w:val="002D2097"/>
    <w:rsid w:val="002D2120"/>
    <w:rsid w:val="002D24EF"/>
    <w:rsid w:val="002D2C76"/>
    <w:rsid w:val="002D3439"/>
    <w:rsid w:val="002D3F55"/>
    <w:rsid w:val="002D44C3"/>
    <w:rsid w:val="002D490C"/>
    <w:rsid w:val="002D4C3B"/>
    <w:rsid w:val="002D5061"/>
    <w:rsid w:val="002D5513"/>
    <w:rsid w:val="002D552F"/>
    <w:rsid w:val="002D5D3B"/>
    <w:rsid w:val="002D611D"/>
    <w:rsid w:val="002D6D64"/>
    <w:rsid w:val="002D6F61"/>
    <w:rsid w:val="002D7E3C"/>
    <w:rsid w:val="002E0200"/>
    <w:rsid w:val="002E0779"/>
    <w:rsid w:val="002E0E8F"/>
    <w:rsid w:val="002E164E"/>
    <w:rsid w:val="002E2240"/>
    <w:rsid w:val="002E2618"/>
    <w:rsid w:val="002E2D50"/>
    <w:rsid w:val="002E33FB"/>
    <w:rsid w:val="002E3981"/>
    <w:rsid w:val="002E3C1C"/>
    <w:rsid w:val="002E57E0"/>
    <w:rsid w:val="002E593E"/>
    <w:rsid w:val="002E5D7C"/>
    <w:rsid w:val="002E5EE0"/>
    <w:rsid w:val="002E6461"/>
    <w:rsid w:val="002E65D3"/>
    <w:rsid w:val="002E6B0A"/>
    <w:rsid w:val="002E6C81"/>
    <w:rsid w:val="002E7552"/>
    <w:rsid w:val="002E7E25"/>
    <w:rsid w:val="002F0BC7"/>
    <w:rsid w:val="002F0C5D"/>
    <w:rsid w:val="002F0C9D"/>
    <w:rsid w:val="002F0D15"/>
    <w:rsid w:val="002F187D"/>
    <w:rsid w:val="002F213C"/>
    <w:rsid w:val="002F26D0"/>
    <w:rsid w:val="002F3813"/>
    <w:rsid w:val="002F3ACF"/>
    <w:rsid w:val="002F3DCD"/>
    <w:rsid w:val="002F41C9"/>
    <w:rsid w:val="002F46F4"/>
    <w:rsid w:val="002F4A39"/>
    <w:rsid w:val="002F580B"/>
    <w:rsid w:val="002F6112"/>
    <w:rsid w:val="002F6A0B"/>
    <w:rsid w:val="002F6E82"/>
    <w:rsid w:val="002F6FD9"/>
    <w:rsid w:val="002F7049"/>
    <w:rsid w:val="003000FB"/>
    <w:rsid w:val="00300E80"/>
    <w:rsid w:val="00301AF5"/>
    <w:rsid w:val="0030240A"/>
    <w:rsid w:val="00302C4B"/>
    <w:rsid w:val="0030344A"/>
    <w:rsid w:val="00303C33"/>
    <w:rsid w:val="0030432F"/>
    <w:rsid w:val="00304894"/>
    <w:rsid w:val="00304D50"/>
    <w:rsid w:val="00304DDE"/>
    <w:rsid w:val="00305319"/>
    <w:rsid w:val="00305675"/>
    <w:rsid w:val="003058BD"/>
    <w:rsid w:val="00305DE4"/>
    <w:rsid w:val="00306835"/>
    <w:rsid w:val="00306F8C"/>
    <w:rsid w:val="00307021"/>
    <w:rsid w:val="003072A5"/>
    <w:rsid w:val="0030760F"/>
    <w:rsid w:val="00307D92"/>
    <w:rsid w:val="003107A4"/>
    <w:rsid w:val="00310CD3"/>
    <w:rsid w:val="003116F8"/>
    <w:rsid w:val="00311C39"/>
    <w:rsid w:val="0031203F"/>
    <w:rsid w:val="0031253A"/>
    <w:rsid w:val="003129AB"/>
    <w:rsid w:val="00313F8E"/>
    <w:rsid w:val="00314C6C"/>
    <w:rsid w:val="003150F2"/>
    <w:rsid w:val="00315729"/>
    <w:rsid w:val="003164BA"/>
    <w:rsid w:val="00316BBE"/>
    <w:rsid w:val="0031755F"/>
    <w:rsid w:val="00321169"/>
    <w:rsid w:val="003212F5"/>
    <w:rsid w:val="00321B09"/>
    <w:rsid w:val="00321E70"/>
    <w:rsid w:val="00321EAB"/>
    <w:rsid w:val="00322235"/>
    <w:rsid w:val="003224F8"/>
    <w:rsid w:val="0032258C"/>
    <w:rsid w:val="003225CF"/>
    <w:rsid w:val="00322FF8"/>
    <w:rsid w:val="00323C30"/>
    <w:rsid w:val="00323DED"/>
    <w:rsid w:val="003247F6"/>
    <w:rsid w:val="00324CE0"/>
    <w:rsid w:val="00324DC7"/>
    <w:rsid w:val="0032537F"/>
    <w:rsid w:val="00325566"/>
    <w:rsid w:val="003301DA"/>
    <w:rsid w:val="003314B0"/>
    <w:rsid w:val="0033269A"/>
    <w:rsid w:val="00332C07"/>
    <w:rsid w:val="00334B26"/>
    <w:rsid w:val="00334BA3"/>
    <w:rsid w:val="00335136"/>
    <w:rsid w:val="00336346"/>
    <w:rsid w:val="00336445"/>
    <w:rsid w:val="003365B9"/>
    <w:rsid w:val="00336B0B"/>
    <w:rsid w:val="00336C11"/>
    <w:rsid w:val="00337634"/>
    <w:rsid w:val="003377C0"/>
    <w:rsid w:val="00337824"/>
    <w:rsid w:val="00337CC0"/>
    <w:rsid w:val="00341EC4"/>
    <w:rsid w:val="00342008"/>
    <w:rsid w:val="00342CBB"/>
    <w:rsid w:val="0034372C"/>
    <w:rsid w:val="00343CB1"/>
    <w:rsid w:val="00344210"/>
    <w:rsid w:val="00345805"/>
    <w:rsid w:val="00345816"/>
    <w:rsid w:val="00346186"/>
    <w:rsid w:val="00346434"/>
    <w:rsid w:val="00346705"/>
    <w:rsid w:val="00346809"/>
    <w:rsid w:val="00346A85"/>
    <w:rsid w:val="00347B1A"/>
    <w:rsid w:val="00350DF9"/>
    <w:rsid w:val="00352ACC"/>
    <w:rsid w:val="00352DF8"/>
    <w:rsid w:val="00353DA4"/>
    <w:rsid w:val="00353E3A"/>
    <w:rsid w:val="00354128"/>
    <w:rsid w:val="003549E3"/>
    <w:rsid w:val="0035558C"/>
    <w:rsid w:val="003564AC"/>
    <w:rsid w:val="00356870"/>
    <w:rsid w:val="00356B34"/>
    <w:rsid w:val="00356ECF"/>
    <w:rsid w:val="003571BE"/>
    <w:rsid w:val="00360E0F"/>
    <w:rsid w:val="00360EC9"/>
    <w:rsid w:val="00361862"/>
    <w:rsid w:val="003626B6"/>
    <w:rsid w:val="003628C0"/>
    <w:rsid w:val="00365502"/>
    <w:rsid w:val="00366A33"/>
    <w:rsid w:val="003673A2"/>
    <w:rsid w:val="0037064A"/>
    <w:rsid w:val="00370E12"/>
    <w:rsid w:val="0037119B"/>
    <w:rsid w:val="003712B0"/>
    <w:rsid w:val="003719EC"/>
    <w:rsid w:val="00371A28"/>
    <w:rsid w:val="00372745"/>
    <w:rsid w:val="00375850"/>
    <w:rsid w:val="00376083"/>
    <w:rsid w:val="003762EE"/>
    <w:rsid w:val="00376420"/>
    <w:rsid w:val="0037768A"/>
    <w:rsid w:val="00377974"/>
    <w:rsid w:val="00377D96"/>
    <w:rsid w:val="00380AA0"/>
    <w:rsid w:val="00380FA1"/>
    <w:rsid w:val="003811A9"/>
    <w:rsid w:val="00381988"/>
    <w:rsid w:val="00381E63"/>
    <w:rsid w:val="0038211A"/>
    <w:rsid w:val="00382265"/>
    <w:rsid w:val="00382BC3"/>
    <w:rsid w:val="00383B17"/>
    <w:rsid w:val="00384AD6"/>
    <w:rsid w:val="003851CC"/>
    <w:rsid w:val="0038548A"/>
    <w:rsid w:val="00385C85"/>
    <w:rsid w:val="00385F2F"/>
    <w:rsid w:val="00386221"/>
    <w:rsid w:val="00387262"/>
    <w:rsid w:val="00387444"/>
    <w:rsid w:val="00387DB4"/>
    <w:rsid w:val="0039035E"/>
    <w:rsid w:val="003904AC"/>
    <w:rsid w:val="00390668"/>
    <w:rsid w:val="00391098"/>
    <w:rsid w:val="003911C3"/>
    <w:rsid w:val="003917D4"/>
    <w:rsid w:val="00391C00"/>
    <w:rsid w:val="00391C33"/>
    <w:rsid w:val="00393429"/>
    <w:rsid w:val="0039385A"/>
    <w:rsid w:val="003939C7"/>
    <w:rsid w:val="00393AB5"/>
    <w:rsid w:val="00394BB0"/>
    <w:rsid w:val="00394C8C"/>
    <w:rsid w:val="0039527D"/>
    <w:rsid w:val="00395494"/>
    <w:rsid w:val="0039579D"/>
    <w:rsid w:val="0039612A"/>
    <w:rsid w:val="003967B8"/>
    <w:rsid w:val="00396C0D"/>
    <w:rsid w:val="00396D61"/>
    <w:rsid w:val="00396F06"/>
    <w:rsid w:val="00397250"/>
    <w:rsid w:val="003973AE"/>
    <w:rsid w:val="003975AD"/>
    <w:rsid w:val="00397BF1"/>
    <w:rsid w:val="003A1567"/>
    <w:rsid w:val="003A1A03"/>
    <w:rsid w:val="003A1C79"/>
    <w:rsid w:val="003A34FF"/>
    <w:rsid w:val="003A41C7"/>
    <w:rsid w:val="003A4546"/>
    <w:rsid w:val="003A471D"/>
    <w:rsid w:val="003A75A0"/>
    <w:rsid w:val="003A75FA"/>
    <w:rsid w:val="003B008F"/>
    <w:rsid w:val="003B0C51"/>
    <w:rsid w:val="003B0DFB"/>
    <w:rsid w:val="003B1449"/>
    <w:rsid w:val="003B1559"/>
    <w:rsid w:val="003B1D84"/>
    <w:rsid w:val="003B2440"/>
    <w:rsid w:val="003B2F9A"/>
    <w:rsid w:val="003B311A"/>
    <w:rsid w:val="003B3174"/>
    <w:rsid w:val="003B32CA"/>
    <w:rsid w:val="003B3FBF"/>
    <w:rsid w:val="003B48DF"/>
    <w:rsid w:val="003B4B55"/>
    <w:rsid w:val="003B4D95"/>
    <w:rsid w:val="003B517B"/>
    <w:rsid w:val="003B6824"/>
    <w:rsid w:val="003B6B60"/>
    <w:rsid w:val="003B6F9D"/>
    <w:rsid w:val="003B735A"/>
    <w:rsid w:val="003B794A"/>
    <w:rsid w:val="003B7A12"/>
    <w:rsid w:val="003B7E77"/>
    <w:rsid w:val="003C0312"/>
    <w:rsid w:val="003C0753"/>
    <w:rsid w:val="003C0F7E"/>
    <w:rsid w:val="003C0FCB"/>
    <w:rsid w:val="003C22EC"/>
    <w:rsid w:val="003C243E"/>
    <w:rsid w:val="003C2C6A"/>
    <w:rsid w:val="003C3249"/>
    <w:rsid w:val="003C3B5B"/>
    <w:rsid w:val="003C40DE"/>
    <w:rsid w:val="003C42F0"/>
    <w:rsid w:val="003C468E"/>
    <w:rsid w:val="003C499F"/>
    <w:rsid w:val="003C4D48"/>
    <w:rsid w:val="003C6094"/>
    <w:rsid w:val="003C63C9"/>
    <w:rsid w:val="003C6733"/>
    <w:rsid w:val="003C6D2B"/>
    <w:rsid w:val="003C75FE"/>
    <w:rsid w:val="003C7C54"/>
    <w:rsid w:val="003D0197"/>
    <w:rsid w:val="003D0A0E"/>
    <w:rsid w:val="003D0CAA"/>
    <w:rsid w:val="003D1722"/>
    <w:rsid w:val="003D199D"/>
    <w:rsid w:val="003D1F23"/>
    <w:rsid w:val="003D29B4"/>
    <w:rsid w:val="003D3026"/>
    <w:rsid w:val="003D350D"/>
    <w:rsid w:val="003D3B20"/>
    <w:rsid w:val="003D3EEA"/>
    <w:rsid w:val="003D491B"/>
    <w:rsid w:val="003D4B37"/>
    <w:rsid w:val="003D51D3"/>
    <w:rsid w:val="003D5CC8"/>
    <w:rsid w:val="003D6455"/>
    <w:rsid w:val="003D6BDB"/>
    <w:rsid w:val="003D6EFA"/>
    <w:rsid w:val="003D7238"/>
    <w:rsid w:val="003D7955"/>
    <w:rsid w:val="003E0233"/>
    <w:rsid w:val="003E07A4"/>
    <w:rsid w:val="003E14D0"/>
    <w:rsid w:val="003E199C"/>
    <w:rsid w:val="003E1B95"/>
    <w:rsid w:val="003E2EBB"/>
    <w:rsid w:val="003E32A3"/>
    <w:rsid w:val="003E52FC"/>
    <w:rsid w:val="003E5548"/>
    <w:rsid w:val="003E6C33"/>
    <w:rsid w:val="003F0418"/>
    <w:rsid w:val="003F0CBE"/>
    <w:rsid w:val="003F11E9"/>
    <w:rsid w:val="003F1B2E"/>
    <w:rsid w:val="003F1B59"/>
    <w:rsid w:val="003F1F6C"/>
    <w:rsid w:val="003F292A"/>
    <w:rsid w:val="003F2C55"/>
    <w:rsid w:val="003F38ED"/>
    <w:rsid w:val="003F3DAA"/>
    <w:rsid w:val="003F4C67"/>
    <w:rsid w:val="003F4F87"/>
    <w:rsid w:val="003F4F89"/>
    <w:rsid w:val="003F50D8"/>
    <w:rsid w:val="003F5291"/>
    <w:rsid w:val="003F54AB"/>
    <w:rsid w:val="003F5643"/>
    <w:rsid w:val="003F71AB"/>
    <w:rsid w:val="003F7208"/>
    <w:rsid w:val="003F72EC"/>
    <w:rsid w:val="003F753B"/>
    <w:rsid w:val="003F7CA9"/>
    <w:rsid w:val="003F7F1E"/>
    <w:rsid w:val="00401A45"/>
    <w:rsid w:val="0040219D"/>
    <w:rsid w:val="004027BC"/>
    <w:rsid w:val="0040322C"/>
    <w:rsid w:val="00403786"/>
    <w:rsid w:val="004044D7"/>
    <w:rsid w:val="004047DF"/>
    <w:rsid w:val="00404BF1"/>
    <w:rsid w:val="00405AC6"/>
    <w:rsid w:val="004066C0"/>
    <w:rsid w:val="00406758"/>
    <w:rsid w:val="00406CF8"/>
    <w:rsid w:val="00407DEC"/>
    <w:rsid w:val="00407EB2"/>
    <w:rsid w:val="00410558"/>
    <w:rsid w:val="00410CD6"/>
    <w:rsid w:val="00411147"/>
    <w:rsid w:val="004112F0"/>
    <w:rsid w:val="0041228E"/>
    <w:rsid w:val="00413167"/>
    <w:rsid w:val="00413E37"/>
    <w:rsid w:val="004141D1"/>
    <w:rsid w:val="004141FA"/>
    <w:rsid w:val="004154CB"/>
    <w:rsid w:val="00415686"/>
    <w:rsid w:val="00415D09"/>
    <w:rsid w:val="00416076"/>
    <w:rsid w:val="004169AC"/>
    <w:rsid w:val="00416A8F"/>
    <w:rsid w:val="0041703F"/>
    <w:rsid w:val="00417457"/>
    <w:rsid w:val="004177E0"/>
    <w:rsid w:val="00417D32"/>
    <w:rsid w:val="00420249"/>
    <w:rsid w:val="00420432"/>
    <w:rsid w:val="004205D1"/>
    <w:rsid w:val="00420FB4"/>
    <w:rsid w:val="00421D77"/>
    <w:rsid w:val="004229D7"/>
    <w:rsid w:val="00422A4B"/>
    <w:rsid w:val="0042325B"/>
    <w:rsid w:val="004232F1"/>
    <w:rsid w:val="0042331D"/>
    <w:rsid w:val="00423329"/>
    <w:rsid w:val="00423DDC"/>
    <w:rsid w:val="00423F5B"/>
    <w:rsid w:val="004240CF"/>
    <w:rsid w:val="00425593"/>
    <w:rsid w:val="004257E4"/>
    <w:rsid w:val="004260BF"/>
    <w:rsid w:val="004268FB"/>
    <w:rsid w:val="004272F5"/>
    <w:rsid w:val="004275C7"/>
    <w:rsid w:val="00427FFC"/>
    <w:rsid w:val="004309CF"/>
    <w:rsid w:val="00431280"/>
    <w:rsid w:val="00431FF9"/>
    <w:rsid w:val="004320C5"/>
    <w:rsid w:val="00432214"/>
    <w:rsid w:val="0043377D"/>
    <w:rsid w:val="0043483B"/>
    <w:rsid w:val="00434CCA"/>
    <w:rsid w:val="004351B4"/>
    <w:rsid w:val="004352C1"/>
    <w:rsid w:val="004352E3"/>
    <w:rsid w:val="00435DE9"/>
    <w:rsid w:val="0043671D"/>
    <w:rsid w:val="00437343"/>
    <w:rsid w:val="004404C1"/>
    <w:rsid w:val="004405DF"/>
    <w:rsid w:val="00440799"/>
    <w:rsid w:val="00440B76"/>
    <w:rsid w:val="00441B96"/>
    <w:rsid w:val="00441F81"/>
    <w:rsid w:val="00442247"/>
    <w:rsid w:val="00442734"/>
    <w:rsid w:val="004431E7"/>
    <w:rsid w:val="00443340"/>
    <w:rsid w:val="0044336D"/>
    <w:rsid w:val="00443670"/>
    <w:rsid w:val="00444DB3"/>
    <w:rsid w:val="0044521D"/>
    <w:rsid w:val="00446543"/>
    <w:rsid w:val="004474A7"/>
    <w:rsid w:val="004478B3"/>
    <w:rsid w:val="00447A21"/>
    <w:rsid w:val="0045033F"/>
    <w:rsid w:val="00450E60"/>
    <w:rsid w:val="0045196B"/>
    <w:rsid w:val="00451B9B"/>
    <w:rsid w:val="00451D5A"/>
    <w:rsid w:val="00453404"/>
    <w:rsid w:val="00453AE1"/>
    <w:rsid w:val="00453C9B"/>
    <w:rsid w:val="004543F7"/>
    <w:rsid w:val="0045471A"/>
    <w:rsid w:val="00454911"/>
    <w:rsid w:val="00454EF2"/>
    <w:rsid w:val="004550A8"/>
    <w:rsid w:val="004555F1"/>
    <w:rsid w:val="004556A9"/>
    <w:rsid w:val="00455877"/>
    <w:rsid w:val="004561FD"/>
    <w:rsid w:val="00456A7F"/>
    <w:rsid w:val="00456E78"/>
    <w:rsid w:val="004573DC"/>
    <w:rsid w:val="00460280"/>
    <w:rsid w:val="00461133"/>
    <w:rsid w:val="0046137B"/>
    <w:rsid w:val="004618E5"/>
    <w:rsid w:val="00461C5E"/>
    <w:rsid w:val="00461DF5"/>
    <w:rsid w:val="00461EB3"/>
    <w:rsid w:val="0046205E"/>
    <w:rsid w:val="00462551"/>
    <w:rsid w:val="004634AE"/>
    <w:rsid w:val="00464438"/>
    <w:rsid w:val="00464CDE"/>
    <w:rsid w:val="00465139"/>
    <w:rsid w:val="0046513F"/>
    <w:rsid w:val="00465ADD"/>
    <w:rsid w:val="00465F33"/>
    <w:rsid w:val="00466FFC"/>
    <w:rsid w:val="0046745E"/>
    <w:rsid w:val="00467769"/>
    <w:rsid w:val="00467E74"/>
    <w:rsid w:val="00467FFC"/>
    <w:rsid w:val="00471437"/>
    <w:rsid w:val="00471563"/>
    <w:rsid w:val="00471BB0"/>
    <w:rsid w:val="00471DC1"/>
    <w:rsid w:val="00472045"/>
    <w:rsid w:val="004725AB"/>
    <w:rsid w:val="004726F2"/>
    <w:rsid w:val="00473E1D"/>
    <w:rsid w:val="00474640"/>
    <w:rsid w:val="004752F4"/>
    <w:rsid w:val="004755B7"/>
    <w:rsid w:val="00475771"/>
    <w:rsid w:val="00475B0B"/>
    <w:rsid w:val="004766C8"/>
    <w:rsid w:val="00477A4D"/>
    <w:rsid w:val="00477DDB"/>
    <w:rsid w:val="00477E52"/>
    <w:rsid w:val="00480AF9"/>
    <w:rsid w:val="00480EB5"/>
    <w:rsid w:val="00481EAC"/>
    <w:rsid w:val="00483473"/>
    <w:rsid w:val="00484818"/>
    <w:rsid w:val="00484EE6"/>
    <w:rsid w:val="004857B4"/>
    <w:rsid w:val="004860F7"/>
    <w:rsid w:val="00487183"/>
    <w:rsid w:val="00487C65"/>
    <w:rsid w:val="004908DC"/>
    <w:rsid w:val="00490B98"/>
    <w:rsid w:val="004911C3"/>
    <w:rsid w:val="004914A0"/>
    <w:rsid w:val="004914C7"/>
    <w:rsid w:val="00491817"/>
    <w:rsid w:val="004924FA"/>
    <w:rsid w:val="00493A24"/>
    <w:rsid w:val="00493B3D"/>
    <w:rsid w:val="004943AF"/>
    <w:rsid w:val="004951DD"/>
    <w:rsid w:val="004956A8"/>
    <w:rsid w:val="00495820"/>
    <w:rsid w:val="00495920"/>
    <w:rsid w:val="0049670C"/>
    <w:rsid w:val="0049778C"/>
    <w:rsid w:val="004A00B2"/>
    <w:rsid w:val="004A0330"/>
    <w:rsid w:val="004A0420"/>
    <w:rsid w:val="004A0799"/>
    <w:rsid w:val="004A0819"/>
    <w:rsid w:val="004A128E"/>
    <w:rsid w:val="004A17B2"/>
    <w:rsid w:val="004A26CF"/>
    <w:rsid w:val="004A3842"/>
    <w:rsid w:val="004A3CC6"/>
    <w:rsid w:val="004A5199"/>
    <w:rsid w:val="004B0934"/>
    <w:rsid w:val="004B0B94"/>
    <w:rsid w:val="004B0D98"/>
    <w:rsid w:val="004B0E1C"/>
    <w:rsid w:val="004B0F98"/>
    <w:rsid w:val="004B1367"/>
    <w:rsid w:val="004B1B07"/>
    <w:rsid w:val="004B217A"/>
    <w:rsid w:val="004B2788"/>
    <w:rsid w:val="004B4444"/>
    <w:rsid w:val="004B4E5C"/>
    <w:rsid w:val="004B5552"/>
    <w:rsid w:val="004B5AE3"/>
    <w:rsid w:val="004B6705"/>
    <w:rsid w:val="004B6916"/>
    <w:rsid w:val="004B7367"/>
    <w:rsid w:val="004B77B2"/>
    <w:rsid w:val="004C1098"/>
    <w:rsid w:val="004C1250"/>
    <w:rsid w:val="004C4996"/>
    <w:rsid w:val="004C4DD1"/>
    <w:rsid w:val="004C5255"/>
    <w:rsid w:val="004C53C5"/>
    <w:rsid w:val="004C63B7"/>
    <w:rsid w:val="004C6D56"/>
    <w:rsid w:val="004C6EB1"/>
    <w:rsid w:val="004C7173"/>
    <w:rsid w:val="004C7429"/>
    <w:rsid w:val="004C7A10"/>
    <w:rsid w:val="004D1B5D"/>
    <w:rsid w:val="004D28BA"/>
    <w:rsid w:val="004D2A10"/>
    <w:rsid w:val="004D2BB8"/>
    <w:rsid w:val="004D2C4C"/>
    <w:rsid w:val="004D2EC8"/>
    <w:rsid w:val="004D2EF7"/>
    <w:rsid w:val="004D32CF"/>
    <w:rsid w:val="004D424D"/>
    <w:rsid w:val="004D4848"/>
    <w:rsid w:val="004D4FDB"/>
    <w:rsid w:val="004D586F"/>
    <w:rsid w:val="004D6131"/>
    <w:rsid w:val="004D667D"/>
    <w:rsid w:val="004D687F"/>
    <w:rsid w:val="004D7A45"/>
    <w:rsid w:val="004D7F11"/>
    <w:rsid w:val="004E073B"/>
    <w:rsid w:val="004E1372"/>
    <w:rsid w:val="004E14C4"/>
    <w:rsid w:val="004E1E54"/>
    <w:rsid w:val="004E22DB"/>
    <w:rsid w:val="004E303C"/>
    <w:rsid w:val="004E32BC"/>
    <w:rsid w:val="004E4B6B"/>
    <w:rsid w:val="004E4D80"/>
    <w:rsid w:val="004E4FDD"/>
    <w:rsid w:val="004E595B"/>
    <w:rsid w:val="004E5C55"/>
    <w:rsid w:val="004E5D38"/>
    <w:rsid w:val="004E5F80"/>
    <w:rsid w:val="004E69EA"/>
    <w:rsid w:val="004E6E56"/>
    <w:rsid w:val="004E758A"/>
    <w:rsid w:val="004F0401"/>
    <w:rsid w:val="004F07A7"/>
    <w:rsid w:val="004F1598"/>
    <w:rsid w:val="004F1967"/>
    <w:rsid w:val="004F2AAA"/>
    <w:rsid w:val="004F305A"/>
    <w:rsid w:val="004F34C5"/>
    <w:rsid w:val="004F37AA"/>
    <w:rsid w:val="004F3826"/>
    <w:rsid w:val="004F409C"/>
    <w:rsid w:val="004F4E2F"/>
    <w:rsid w:val="004F6620"/>
    <w:rsid w:val="004F67B5"/>
    <w:rsid w:val="004F6C34"/>
    <w:rsid w:val="004F767F"/>
    <w:rsid w:val="004F7729"/>
    <w:rsid w:val="005000DC"/>
    <w:rsid w:val="005003F8"/>
    <w:rsid w:val="00500DD9"/>
    <w:rsid w:val="00500DE4"/>
    <w:rsid w:val="005013EF"/>
    <w:rsid w:val="005014BA"/>
    <w:rsid w:val="0050226F"/>
    <w:rsid w:val="005022F1"/>
    <w:rsid w:val="00503B51"/>
    <w:rsid w:val="00503E1F"/>
    <w:rsid w:val="00503F69"/>
    <w:rsid w:val="00503F9A"/>
    <w:rsid w:val="00504318"/>
    <w:rsid w:val="00504C42"/>
    <w:rsid w:val="00505AFC"/>
    <w:rsid w:val="005063E8"/>
    <w:rsid w:val="0050640F"/>
    <w:rsid w:val="00507688"/>
    <w:rsid w:val="00507AD8"/>
    <w:rsid w:val="0051244B"/>
    <w:rsid w:val="005139F7"/>
    <w:rsid w:val="00514960"/>
    <w:rsid w:val="00514E6E"/>
    <w:rsid w:val="0051556C"/>
    <w:rsid w:val="005166DB"/>
    <w:rsid w:val="00516BDE"/>
    <w:rsid w:val="00516DAA"/>
    <w:rsid w:val="005179E9"/>
    <w:rsid w:val="0052062D"/>
    <w:rsid w:val="005208ED"/>
    <w:rsid w:val="00520F06"/>
    <w:rsid w:val="0052190A"/>
    <w:rsid w:val="00521D32"/>
    <w:rsid w:val="00522BDF"/>
    <w:rsid w:val="00524A74"/>
    <w:rsid w:val="00525278"/>
    <w:rsid w:val="00525D24"/>
    <w:rsid w:val="00526BC2"/>
    <w:rsid w:val="005270FE"/>
    <w:rsid w:val="0052720A"/>
    <w:rsid w:val="005273F1"/>
    <w:rsid w:val="00531754"/>
    <w:rsid w:val="00531941"/>
    <w:rsid w:val="005319B1"/>
    <w:rsid w:val="00532F5B"/>
    <w:rsid w:val="00534AFE"/>
    <w:rsid w:val="00535419"/>
    <w:rsid w:val="0053590A"/>
    <w:rsid w:val="00535E54"/>
    <w:rsid w:val="005363CD"/>
    <w:rsid w:val="005372C3"/>
    <w:rsid w:val="00537C77"/>
    <w:rsid w:val="005400B9"/>
    <w:rsid w:val="005400D8"/>
    <w:rsid w:val="00540542"/>
    <w:rsid w:val="00540AF6"/>
    <w:rsid w:val="00541926"/>
    <w:rsid w:val="005419D1"/>
    <w:rsid w:val="005420B9"/>
    <w:rsid w:val="00542B11"/>
    <w:rsid w:val="005430A2"/>
    <w:rsid w:val="005434B9"/>
    <w:rsid w:val="005435D1"/>
    <w:rsid w:val="00543A0B"/>
    <w:rsid w:val="00544733"/>
    <w:rsid w:val="005447FA"/>
    <w:rsid w:val="00545B0B"/>
    <w:rsid w:val="00545B15"/>
    <w:rsid w:val="0054623A"/>
    <w:rsid w:val="0054629A"/>
    <w:rsid w:val="00547169"/>
    <w:rsid w:val="00547D5C"/>
    <w:rsid w:val="00547FA9"/>
    <w:rsid w:val="00550461"/>
    <w:rsid w:val="005505BE"/>
    <w:rsid w:val="00550741"/>
    <w:rsid w:val="0055190E"/>
    <w:rsid w:val="00551B24"/>
    <w:rsid w:val="00551BE7"/>
    <w:rsid w:val="0055273E"/>
    <w:rsid w:val="0055274E"/>
    <w:rsid w:val="00552B1F"/>
    <w:rsid w:val="005530A6"/>
    <w:rsid w:val="00553643"/>
    <w:rsid w:val="00553A55"/>
    <w:rsid w:val="00554DF6"/>
    <w:rsid w:val="00554EC2"/>
    <w:rsid w:val="00555222"/>
    <w:rsid w:val="005553C8"/>
    <w:rsid w:val="00556E85"/>
    <w:rsid w:val="005576A5"/>
    <w:rsid w:val="00557EAA"/>
    <w:rsid w:val="00560610"/>
    <w:rsid w:val="00560779"/>
    <w:rsid w:val="00561429"/>
    <w:rsid w:val="005617FE"/>
    <w:rsid w:val="00561822"/>
    <w:rsid w:val="0056327A"/>
    <w:rsid w:val="005632BC"/>
    <w:rsid w:val="005633DF"/>
    <w:rsid w:val="00563D2A"/>
    <w:rsid w:val="0056431D"/>
    <w:rsid w:val="0056542E"/>
    <w:rsid w:val="005665B9"/>
    <w:rsid w:val="005678C1"/>
    <w:rsid w:val="005679C4"/>
    <w:rsid w:val="00567F26"/>
    <w:rsid w:val="005705D4"/>
    <w:rsid w:val="005708A4"/>
    <w:rsid w:val="00571294"/>
    <w:rsid w:val="005717C1"/>
    <w:rsid w:val="00571CCD"/>
    <w:rsid w:val="005721C3"/>
    <w:rsid w:val="00572656"/>
    <w:rsid w:val="00573A64"/>
    <w:rsid w:val="005747B6"/>
    <w:rsid w:val="00574B2D"/>
    <w:rsid w:val="005764B0"/>
    <w:rsid w:val="0057660C"/>
    <w:rsid w:val="005771D9"/>
    <w:rsid w:val="005804AB"/>
    <w:rsid w:val="00580853"/>
    <w:rsid w:val="0058223C"/>
    <w:rsid w:val="00582B7F"/>
    <w:rsid w:val="00583929"/>
    <w:rsid w:val="0058424A"/>
    <w:rsid w:val="005842BD"/>
    <w:rsid w:val="005847A2"/>
    <w:rsid w:val="00585B33"/>
    <w:rsid w:val="005872E2"/>
    <w:rsid w:val="00587782"/>
    <w:rsid w:val="00587D2D"/>
    <w:rsid w:val="00587FB4"/>
    <w:rsid w:val="00590260"/>
    <w:rsid w:val="005902AC"/>
    <w:rsid w:val="00590AA0"/>
    <w:rsid w:val="00590FF9"/>
    <w:rsid w:val="00592471"/>
    <w:rsid w:val="00592E12"/>
    <w:rsid w:val="00593371"/>
    <w:rsid w:val="00593677"/>
    <w:rsid w:val="005937EA"/>
    <w:rsid w:val="00593CCC"/>
    <w:rsid w:val="00594768"/>
    <w:rsid w:val="005957E6"/>
    <w:rsid w:val="00595D2B"/>
    <w:rsid w:val="00595E9F"/>
    <w:rsid w:val="0059671F"/>
    <w:rsid w:val="0059676F"/>
    <w:rsid w:val="00597910"/>
    <w:rsid w:val="00597911"/>
    <w:rsid w:val="0059791E"/>
    <w:rsid w:val="005A2019"/>
    <w:rsid w:val="005A3290"/>
    <w:rsid w:val="005A34E3"/>
    <w:rsid w:val="005A3C1D"/>
    <w:rsid w:val="005A51AB"/>
    <w:rsid w:val="005A5251"/>
    <w:rsid w:val="005A5CBF"/>
    <w:rsid w:val="005A6619"/>
    <w:rsid w:val="005A6AB6"/>
    <w:rsid w:val="005A706A"/>
    <w:rsid w:val="005A732E"/>
    <w:rsid w:val="005B0A33"/>
    <w:rsid w:val="005B0C2B"/>
    <w:rsid w:val="005B101F"/>
    <w:rsid w:val="005B137B"/>
    <w:rsid w:val="005B1427"/>
    <w:rsid w:val="005B17A0"/>
    <w:rsid w:val="005B1B38"/>
    <w:rsid w:val="005B1E8A"/>
    <w:rsid w:val="005B1EA5"/>
    <w:rsid w:val="005B238B"/>
    <w:rsid w:val="005B27AA"/>
    <w:rsid w:val="005B3387"/>
    <w:rsid w:val="005B3863"/>
    <w:rsid w:val="005B43C4"/>
    <w:rsid w:val="005B4E6C"/>
    <w:rsid w:val="005B512F"/>
    <w:rsid w:val="005B51E1"/>
    <w:rsid w:val="005B60AD"/>
    <w:rsid w:val="005B6171"/>
    <w:rsid w:val="005B61E6"/>
    <w:rsid w:val="005B6383"/>
    <w:rsid w:val="005B6D68"/>
    <w:rsid w:val="005C1772"/>
    <w:rsid w:val="005C2340"/>
    <w:rsid w:val="005C26EF"/>
    <w:rsid w:val="005C2C01"/>
    <w:rsid w:val="005C2FC3"/>
    <w:rsid w:val="005C30CC"/>
    <w:rsid w:val="005C3268"/>
    <w:rsid w:val="005C4DAE"/>
    <w:rsid w:val="005C5388"/>
    <w:rsid w:val="005C53A3"/>
    <w:rsid w:val="005C5765"/>
    <w:rsid w:val="005C6C98"/>
    <w:rsid w:val="005C6CE1"/>
    <w:rsid w:val="005C6FFD"/>
    <w:rsid w:val="005C7756"/>
    <w:rsid w:val="005C79E2"/>
    <w:rsid w:val="005C7A9D"/>
    <w:rsid w:val="005C7DE4"/>
    <w:rsid w:val="005D00C6"/>
    <w:rsid w:val="005D0313"/>
    <w:rsid w:val="005D03BE"/>
    <w:rsid w:val="005D0F27"/>
    <w:rsid w:val="005D147A"/>
    <w:rsid w:val="005D189B"/>
    <w:rsid w:val="005D2406"/>
    <w:rsid w:val="005D2D17"/>
    <w:rsid w:val="005D412B"/>
    <w:rsid w:val="005D63F2"/>
    <w:rsid w:val="005D657B"/>
    <w:rsid w:val="005D6FA0"/>
    <w:rsid w:val="005D7616"/>
    <w:rsid w:val="005D76C1"/>
    <w:rsid w:val="005D7B05"/>
    <w:rsid w:val="005E00DD"/>
    <w:rsid w:val="005E028F"/>
    <w:rsid w:val="005E0B4E"/>
    <w:rsid w:val="005E1DE2"/>
    <w:rsid w:val="005E3D3D"/>
    <w:rsid w:val="005E47AC"/>
    <w:rsid w:val="005E4CAD"/>
    <w:rsid w:val="005E52F6"/>
    <w:rsid w:val="005E554F"/>
    <w:rsid w:val="005E5738"/>
    <w:rsid w:val="005E601E"/>
    <w:rsid w:val="005E63A1"/>
    <w:rsid w:val="005E7A06"/>
    <w:rsid w:val="005F0DB2"/>
    <w:rsid w:val="005F1B98"/>
    <w:rsid w:val="005F1BB0"/>
    <w:rsid w:val="005F2E8C"/>
    <w:rsid w:val="005F3575"/>
    <w:rsid w:val="005F4129"/>
    <w:rsid w:val="005F45A9"/>
    <w:rsid w:val="005F496F"/>
    <w:rsid w:val="005F5341"/>
    <w:rsid w:val="005F6921"/>
    <w:rsid w:val="005F6BCA"/>
    <w:rsid w:val="005F7540"/>
    <w:rsid w:val="00600198"/>
    <w:rsid w:val="00601F9E"/>
    <w:rsid w:val="006031B3"/>
    <w:rsid w:val="00603B7C"/>
    <w:rsid w:val="00604BBD"/>
    <w:rsid w:val="00605FCD"/>
    <w:rsid w:val="00606143"/>
    <w:rsid w:val="00606B68"/>
    <w:rsid w:val="00606E34"/>
    <w:rsid w:val="006075CF"/>
    <w:rsid w:val="00610045"/>
    <w:rsid w:val="00610DCF"/>
    <w:rsid w:val="00611266"/>
    <w:rsid w:val="006113FC"/>
    <w:rsid w:val="00611ACA"/>
    <w:rsid w:val="00611EA2"/>
    <w:rsid w:val="00611FC0"/>
    <w:rsid w:val="00612C2E"/>
    <w:rsid w:val="00612E4A"/>
    <w:rsid w:val="0061308A"/>
    <w:rsid w:val="00613103"/>
    <w:rsid w:val="006132AB"/>
    <w:rsid w:val="006142C5"/>
    <w:rsid w:val="00614465"/>
    <w:rsid w:val="00614491"/>
    <w:rsid w:val="0061528B"/>
    <w:rsid w:val="006155AC"/>
    <w:rsid w:val="00615A82"/>
    <w:rsid w:val="0061799E"/>
    <w:rsid w:val="0062395E"/>
    <w:rsid w:val="00623D9F"/>
    <w:rsid w:val="0062405E"/>
    <w:rsid w:val="00624EA6"/>
    <w:rsid w:val="00626C86"/>
    <w:rsid w:val="00626D4C"/>
    <w:rsid w:val="00626D57"/>
    <w:rsid w:val="0063081A"/>
    <w:rsid w:val="0063096F"/>
    <w:rsid w:val="00631595"/>
    <w:rsid w:val="00631677"/>
    <w:rsid w:val="0063226F"/>
    <w:rsid w:val="00632337"/>
    <w:rsid w:val="00632826"/>
    <w:rsid w:val="00632BD9"/>
    <w:rsid w:val="00633207"/>
    <w:rsid w:val="0063394D"/>
    <w:rsid w:val="0063401E"/>
    <w:rsid w:val="006341FB"/>
    <w:rsid w:val="00634930"/>
    <w:rsid w:val="00634C18"/>
    <w:rsid w:val="00634E37"/>
    <w:rsid w:val="006360ED"/>
    <w:rsid w:val="00636653"/>
    <w:rsid w:val="00636ADA"/>
    <w:rsid w:val="00637143"/>
    <w:rsid w:val="00637331"/>
    <w:rsid w:val="00637860"/>
    <w:rsid w:val="006406A1"/>
    <w:rsid w:val="006406D2"/>
    <w:rsid w:val="00640C59"/>
    <w:rsid w:val="006413C6"/>
    <w:rsid w:val="00641645"/>
    <w:rsid w:val="00642031"/>
    <w:rsid w:val="006427A7"/>
    <w:rsid w:val="00642E48"/>
    <w:rsid w:val="00643290"/>
    <w:rsid w:val="006436F1"/>
    <w:rsid w:val="0064493B"/>
    <w:rsid w:val="00644DF7"/>
    <w:rsid w:val="0064503E"/>
    <w:rsid w:val="00645751"/>
    <w:rsid w:val="00646289"/>
    <w:rsid w:val="006465AF"/>
    <w:rsid w:val="00646E15"/>
    <w:rsid w:val="0065167C"/>
    <w:rsid w:val="0065180A"/>
    <w:rsid w:val="00651A44"/>
    <w:rsid w:val="00652045"/>
    <w:rsid w:val="006520CD"/>
    <w:rsid w:val="00653819"/>
    <w:rsid w:val="0065414E"/>
    <w:rsid w:val="006544A8"/>
    <w:rsid w:val="006551B9"/>
    <w:rsid w:val="0065670B"/>
    <w:rsid w:val="00656724"/>
    <w:rsid w:val="00656F97"/>
    <w:rsid w:val="006579F6"/>
    <w:rsid w:val="00657B5A"/>
    <w:rsid w:val="00660240"/>
    <w:rsid w:val="00661934"/>
    <w:rsid w:val="00662150"/>
    <w:rsid w:val="0066274A"/>
    <w:rsid w:val="006628FA"/>
    <w:rsid w:val="00662A96"/>
    <w:rsid w:val="006658AF"/>
    <w:rsid w:val="00665EB7"/>
    <w:rsid w:val="00666B7E"/>
    <w:rsid w:val="00666FC2"/>
    <w:rsid w:val="00671121"/>
    <w:rsid w:val="00671720"/>
    <w:rsid w:val="00671807"/>
    <w:rsid w:val="0067194B"/>
    <w:rsid w:val="006720A9"/>
    <w:rsid w:val="006729BE"/>
    <w:rsid w:val="00672A5E"/>
    <w:rsid w:val="00672DBF"/>
    <w:rsid w:val="006736F7"/>
    <w:rsid w:val="00674F3A"/>
    <w:rsid w:val="006752EF"/>
    <w:rsid w:val="00675429"/>
    <w:rsid w:val="0067558D"/>
    <w:rsid w:val="0067606F"/>
    <w:rsid w:val="006761BC"/>
    <w:rsid w:val="006770E0"/>
    <w:rsid w:val="0068051D"/>
    <w:rsid w:val="006809D0"/>
    <w:rsid w:val="00680E51"/>
    <w:rsid w:val="00682089"/>
    <w:rsid w:val="006826F4"/>
    <w:rsid w:val="00684359"/>
    <w:rsid w:val="00684481"/>
    <w:rsid w:val="00684555"/>
    <w:rsid w:val="00684863"/>
    <w:rsid w:val="006854C2"/>
    <w:rsid w:val="006855CF"/>
    <w:rsid w:val="0068616B"/>
    <w:rsid w:val="00687372"/>
    <w:rsid w:val="00687650"/>
    <w:rsid w:val="00687B88"/>
    <w:rsid w:val="00687E79"/>
    <w:rsid w:val="006903C9"/>
    <w:rsid w:val="00690866"/>
    <w:rsid w:val="00690B50"/>
    <w:rsid w:val="00690D4F"/>
    <w:rsid w:val="006911DC"/>
    <w:rsid w:val="00691987"/>
    <w:rsid w:val="00691C87"/>
    <w:rsid w:val="00692320"/>
    <w:rsid w:val="00692F21"/>
    <w:rsid w:val="0069301B"/>
    <w:rsid w:val="006941D0"/>
    <w:rsid w:val="00694B2F"/>
    <w:rsid w:val="00694DB5"/>
    <w:rsid w:val="00694F68"/>
    <w:rsid w:val="00695617"/>
    <w:rsid w:val="006967B7"/>
    <w:rsid w:val="00696A92"/>
    <w:rsid w:val="00697931"/>
    <w:rsid w:val="00697E0D"/>
    <w:rsid w:val="006A02E7"/>
    <w:rsid w:val="006A0300"/>
    <w:rsid w:val="006A0484"/>
    <w:rsid w:val="006A1875"/>
    <w:rsid w:val="006A1D27"/>
    <w:rsid w:val="006A3701"/>
    <w:rsid w:val="006A3BD1"/>
    <w:rsid w:val="006A3D34"/>
    <w:rsid w:val="006A5786"/>
    <w:rsid w:val="006A5999"/>
    <w:rsid w:val="006A5B53"/>
    <w:rsid w:val="006A6328"/>
    <w:rsid w:val="006A6EA1"/>
    <w:rsid w:val="006A6ED3"/>
    <w:rsid w:val="006B0591"/>
    <w:rsid w:val="006B0940"/>
    <w:rsid w:val="006B171C"/>
    <w:rsid w:val="006B17AE"/>
    <w:rsid w:val="006B1952"/>
    <w:rsid w:val="006B1B55"/>
    <w:rsid w:val="006B2A71"/>
    <w:rsid w:val="006B33D7"/>
    <w:rsid w:val="006B450A"/>
    <w:rsid w:val="006B45C4"/>
    <w:rsid w:val="006B4910"/>
    <w:rsid w:val="006B543C"/>
    <w:rsid w:val="006B5D8C"/>
    <w:rsid w:val="006B6586"/>
    <w:rsid w:val="006B6C74"/>
    <w:rsid w:val="006B719A"/>
    <w:rsid w:val="006C18C5"/>
    <w:rsid w:val="006C2F92"/>
    <w:rsid w:val="006C319C"/>
    <w:rsid w:val="006C3367"/>
    <w:rsid w:val="006C3455"/>
    <w:rsid w:val="006C3BA5"/>
    <w:rsid w:val="006C3FB2"/>
    <w:rsid w:val="006C415B"/>
    <w:rsid w:val="006C56E1"/>
    <w:rsid w:val="006C574F"/>
    <w:rsid w:val="006C60D4"/>
    <w:rsid w:val="006C7336"/>
    <w:rsid w:val="006D006E"/>
    <w:rsid w:val="006D02B1"/>
    <w:rsid w:val="006D0819"/>
    <w:rsid w:val="006D14DC"/>
    <w:rsid w:val="006D17D0"/>
    <w:rsid w:val="006D1EA5"/>
    <w:rsid w:val="006D2315"/>
    <w:rsid w:val="006D2863"/>
    <w:rsid w:val="006D31C7"/>
    <w:rsid w:val="006D380A"/>
    <w:rsid w:val="006D3A36"/>
    <w:rsid w:val="006D4607"/>
    <w:rsid w:val="006D478A"/>
    <w:rsid w:val="006D52CC"/>
    <w:rsid w:val="006D6278"/>
    <w:rsid w:val="006D6555"/>
    <w:rsid w:val="006D6DDB"/>
    <w:rsid w:val="006D7243"/>
    <w:rsid w:val="006D7799"/>
    <w:rsid w:val="006E01DF"/>
    <w:rsid w:val="006E022F"/>
    <w:rsid w:val="006E0F18"/>
    <w:rsid w:val="006E1A7E"/>
    <w:rsid w:val="006E1E9C"/>
    <w:rsid w:val="006E317C"/>
    <w:rsid w:val="006E357C"/>
    <w:rsid w:val="006E3A81"/>
    <w:rsid w:val="006E4FE4"/>
    <w:rsid w:val="006E674F"/>
    <w:rsid w:val="006E6765"/>
    <w:rsid w:val="006E7171"/>
    <w:rsid w:val="006E77C8"/>
    <w:rsid w:val="006E7ACA"/>
    <w:rsid w:val="006E7F06"/>
    <w:rsid w:val="006F0872"/>
    <w:rsid w:val="006F2188"/>
    <w:rsid w:val="006F27BE"/>
    <w:rsid w:val="006F2B51"/>
    <w:rsid w:val="006F2EC5"/>
    <w:rsid w:val="006F362C"/>
    <w:rsid w:val="006F43A0"/>
    <w:rsid w:val="006F4CBA"/>
    <w:rsid w:val="006F4D8C"/>
    <w:rsid w:val="006F51F6"/>
    <w:rsid w:val="006F65A8"/>
    <w:rsid w:val="006F6790"/>
    <w:rsid w:val="006F732E"/>
    <w:rsid w:val="006F767C"/>
    <w:rsid w:val="006F78BA"/>
    <w:rsid w:val="006F7A68"/>
    <w:rsid w:val="006F7BD5"/>
    <w:rsid w:val="007014EE"/>
    <w:rsid w:val="00701D4F"/>
    <w:rsid w:val="007024BA"/>
    <w:rsid w:val="0070257A"/>
    <w:rsid w:val="007028C3"/>
    <w:rsid w:val="00703422"/>
    <w:rsid w:val="00703C40"/>
    <w:rsid w:val="00703F7A"/>
    <w:rsid w:val="00704C2E"/>
    <w:rsid w:val="00705214"/>
    <w:rsid w:val="00705A0F"/>
    <w:rsid w:val="0070650E"/>
    <w:rsid w:val="007065E5"/>
    <w:rsid w:val="00706630"/>
    <w:rsid w:val="007069B5"/>
    <w:rsid w:val="00706CB7"/>
    <w:rsid w:val="00707054"/>
    <w:rsid w:val="00707932"/>
    <w:rsid w:val="00710075"/>
    <w:rsid w:val="0071040B"/>
    <w:rsid w:val="00715C2E"/>
    <w:rsid w:val="007171AF"/>
    <w:rsid w:val="0071773A"/>
    <w:rsid w:val="00720771"/>
    <w:rsid w:val="00721099"/>
    <w:rsid w:val="00721352"/>
    <w:rsid w:val="00721B6C"/>
    <w:rsid w:val="0072254B"/>
    <w:rsid w:val="007226C2"/>
    <w:rsid w:val="00722A14"/>
    <w:rsid w:val="00722E5B"/>
    <w:rsid w:val="00723540"/>
    <w:rsid w:val="007235B8"/>
    <w:rsid w:val="007237D0"/>
    <w:rsid w:val="007240E9"/>
    <w:rsid w:val="00724903"/>
    <w:rsid w:val="00724B53"/>
    <w:rsid w:val="00725FB4"/>
    <w:rsid w:val="00725FC0"/>
    <w:rsid w:val="00727B8D"/>
    <w:rsid w:val="00727B9C"/>
    <w:rsid w:val="00727E5D"/>
    <w:rsid w:val="00730EBF"/>
    <w:rsid w:val="00730EFA"/>
    <w:rsid w:val="00731287"/>
    <w:rsid w:val="00731381"/>
    <w:rsid w:val="00732BB0"/>
    <w:rsid w:val="00732EDE"/>
    <w:rsid w:val="00733ACD"/>
    <w:rsid w:val="007345D9"/>
    <w:rsid w:val="0073566D"/>
    <w:rsid w:val="0073595E"/>
    <w:rsid w:val="00735E17"/>
    <w:rsid w:val="00737FFD"/>
    <w:rsid w:val="00740918"/>
    <w:rsid w:val="00740E33"/>
    <w:rsid w:val="00740E8D"/>
    <w:rsid w:val="00741186"/>
    <w:rsid w:val="00741BCE"/>
    <w:rsid w:val="00741F17"/>
    <w:rsid w:val="00741F64"/>
    <w:rsid w:val="00742659"/>
    <w:rsid w:val="00743BA2"/>
    <w:rsid w:val="00743BF1"/>
    <w:rsid w:val="00744152"/>
    <w:rsid w:val="007474C4"/>
    <w:rsid w:val="0074781F"/>
    <w:rsid w:val="00747AF5"/>
    <w:rsid w:val="00747EAB"/>
    <w:rsid w:val="00747EC0"/>
    <w:rsid w:val="007508BD"/>
    <w:rsid w:val="00750976"/>
    <w:rsid w:val="00750B73"/>
    <w:rsid w:val="00750C6F"/>
    <w:rsid w:val="00751712"/>
    <w:rsid w:val="00751B3A"/>
    <w:rsid w:val="00751DB2"/>
    <w:rsid w:val="00751EEB"/>
    <w:rsid w:val="0075340E"/>
    <w:rsid w:val="007559B8"/>
    <w:rsid w:val="00755A94"/>
    <w:rsid w:val="00755DBE"/>
    <w:rsid w:val="0075656A"/>
    <w:rsid w:val="00756C8B"/>
    <w:rsid w:val="00760928"/>
    <w:rsid w:val="00760CE3"/>
    <w:rsid w:val="00760DA5"/>
    <w:rsid w:val="00761899"/>
    <w:rsid w:val="0076314E"/>
    <w:rsid w:val="007637CD"/>
    <w:rsid w:val="00763EFC"/>
    <w:rsid w:val="00764282"/>
    <w:rsid w:val="007644A4"/>
    <w:rsid w:val="0076476B"/>
    <w:rsid w:val="007648C0"/>
    <w:rsid w:val="00765B77"/>
    <w:rsid w:val="00766516"/>
    <w:rsid w:val="0076746E"/>
    <w:rsid w:val="007676E7"/>
    <w:rsid w:val="00770D97"/>
    <w:rsid w:val="007712D4"/>
    <w:rsid w:val="0077135E"/>
    <w:rsid w:val="007716C3"/>
    <w:rsid w:val="007718CA"/>
    <w:rsid w:val="00771921"/>
    <w:rsid w:val="00772AB8"/>
    <w:rsid w:val="00772D94"/>
    <w:rsid w:val="00773EE2"/>
    <w:rsid w:val="00774495"/>
    <w:rsid w:val="007748AF"/>
    <w:rsid w:val="00775C37"/>
    <w:rsid w:val="00775F78"/>
    <w:rsid w:val="007761DB"/>
    <w:rsid w:val="00776CEF"/>
    <w:rsid w:val="00777668"/>
    <w:rsid w:val="00777D67"/>
    <w:rsid w:val="00780386"/>
    <w:rsid w:val="00780D2A"/>
    <w:rsid w:val="007810E6"/>
    <w:rsid w:val="007822FE"/>
    <w:rsid w:val="00782933"/>
    <w:rsid w:val="00783C3F"/>
    <w:rsid w:val="007863FA"/>
    <w:rsid w:val="00787578"/>
    <w:rsid w:val="00787BF6"/>
    <w:rsid w:val="00787DA8"/>
    <w:rsid w:val="00791536"/>
    <w:rsid w:val="00791545"/>
    <w:rsid w:val="0079362E"/>
    <w:rsid w:val="00793ED6"/>
    <w:rsid w:val="007941F6"/>
    <w:rsid w:val="00794425"/>
    <w:rsid w:val="00794882"/>
    <w:rsid w:val="00795225"/>
    <w:rsid w:val="00796800"/>
    <w:rsid w:val="00796BC9"/>
    <w:rsid w:val="00797AE2"/>
    <w:rsid w:val="007A008E"/>
    <w:rsid w:val="007A0622"/>
    <w:rsid w:val="007A2305"/>
    <w:rsid w:val="007A25FE"/>
    <w:rsid w:val="007A2A70"/>
    <w:rsid w:val="007A3774"/>
    <w:rsid w:val="007A3DD2"/>
    <w:rsid w:val="007A400A"/>
    <w:rsid w:val="007A4465"/>
    <w:rsid w:val="007A50D6"/>
    <w:rsid w:val="007A59C5"/>
    <w:rsid w:val="007A5D60"/>
    <w:rsid w:val="007A64ED"/>
    <w:rsid w:val="007A6B5D"/>
    <w:rsid w:val="007A75F9"/>
    <w:rsid w:val="007A7B92"/>
    <w:rsid w:val="007A7E59"/>
    <w:rsid w:val="007B0051"/>
    <w:rsid w:val="007B04CF"/>
    <w:rsid w:val="007B0E0E"/>
    <w:rsid w:val="007B0F8F"/>
    <w:rsid w:val="007B155A"/>
    <w:rsid w:val="007B2447"/>
    <w:rsid w:val="007B25CA"/>
    <w:rsid w:val="007B3807"/>
    <w:rsid w:val="007B474B"/>
    <w:rsid w:val="007B524E"/>
    <w:rsid w:val="007B5DCC"/>
    <w:rsid w:val="007C0222"/>
    <w:rsid w:val="007C05BA"/>
    <w:rsid w:val="007C0B8D"/>
    <w:rsid w:val="007C0F1D"/>
    <w:rsid w:val="007C131D"/>
    <w:rsid w:val="007C18DE"/>
    <w:rsid w:val="007C3166"/>
    <w:rsid w:val="007C3E23"/>
    <w:rsid w:val="007C56B9"/>
    <w:rsid w:val="007D00A2"/>
    <w:rsid w:val="007D0553"/>
    <w:rsid w:val="007D12C1"/>
    <w:rsid w:val="007D13E7"/>
    <w:rsid w:val="007D1856"/>
    <w:rsid w:val="007D27CF"/>
    <w:rsid w:val="007D28ED"/>
    <w:rsid w:val="007D2EC1"/>
    <w:rsid w:val="007D3388"/>
    <w:rsid w:val="007D376D"/>
    <w:rsid w:val="007D4EB3"/>
    <w:rsid w:val="007D4F32"/>
    <w:rsid w:val="007D590E"/>
    <w:rsid w:val="007D6263"/>
    <w:rsid w:val="007D6947"/>
    <w:rsid w:val="007D6B17"/>
    <w:rsid w:val="007D7256"/>
    <w:rsid w:val="007D74ED"/>
    <w:rsid w:val="007D7861"/>
    <w:rsid w:val="007D7B6C"/>
    <w:rsid w:val="007E1E69"/>
    <w:rsid w:val="007E28DC"/>
    <w:rsid w:val="007E2D5B"/>
    <w:rsid w:val="007E2F46"/>
    <w:rsid w:val="007E3EE5"/>
    <w:rsid w:val="007E441C"/>
    <w:rsid w:val="007E555E"/>
    <w:rsid w:val="007E5CEF"/>
    <w:rsid w:val="007E5F04"/>
    <w:rsid w:val="007E6064"/>
    <w:rsid w:val="007E650F"/>
    <w:rsid w:val="007E6E55"/>
    <w:rsid w:val="007E7625"/>
    <w:rsid w:val="007E7CC1"/>
    <w:rsid w:val="007E7DC0"/>
    <w:rsid w:val="007F0559"/>
    <w:rsid w:val="007F110B"/>
    <w:rsid w:val="007F1D7D"/>
    <w:rsid w:val="007F22AA"/>
    <w:rsid w:val="007F3C85"/>
    <w:rsid w:val="007F4023"/>
    <w:rsid w:val="007F4CA0"/>
    <w:rsid w:val="007F5FC8"/>
    <w:rsid w:val="007F733A"/>
    <w:rsid w:val="007F74D3"/>
    <w:rsid w:val="007F768A"/>
    <w:rsid w:val="007F7AE0"/>
    <w:rsid w:val="00800BD1"/>
    <w:rsid w:val="00801379"/>
    <w:rsid w:val="008027CB"/>
    <w:rsid w:val="008028E4"/>
    <w:rsid w:val="00802E69"/>
    <w:rsid w:val="00802FFF"/>
    <w:rsid w:val="00804881"/>
    <w:rsid w:val="00804A75"/>
    <w:rsid w:val="00804B2B"/>
    <w:rsid w:val="00804D01"/>
    <w:rsid w:val="008050D9"/>
    <w:rsid w:val="00805645"/>
    <w:rsid w:val="00805A33"/>
    <w:rsid w:val="00806169"/>
    <w:rsid w:val="00806368"/>
    <w:rsid w:val="00806930"/>
    <w:rsid w:val="00806A28"/>
    <w:rsid w:val="00807790"/>
    <w:rsid w:val="008078FE"/>
    <w:rsid w:val="008108F5"/>
    <w:rsid w:val="00810A8B"/>
    <w:rsid w:val="00810EC2"/>
    <w:rsid w:val="0081161A"/>
    <w:rsid w:val="0081177B"/>
    <w:rsid w:val="008136F9"/>
    <w:rsid w:val="00813ED8"/>
    <w:rsid w:val="008147CE"/>
    <w:rsid w:val="00815B90"/>
    <w:rsid w:val="0081630A"/>
    <w:rsid w:val="008210BD"/>
    <w:rsid w:val="00821757"/>
    <w:rsid w:val="00822048"/>
    <w:rsid w:val="008226DD"/>
    <w:rsid w:val="00822C4E"/>
    <w:rsid w:val="00823B85"/>
    <w:rsid w:val="00823E33"/>
    <w:rsid w:val="00824363"/>
    <w:rsid w:val="00826B9C"/>
    <w:rsid w:val="00827196"/>
    <w:rsid w:val="0083025D"/>
    <w:rsid w:val="00830AF3"/>
    <w:rsid w:val="0083132E"/>
    <w:rsid w:val="00831797"/>
    <w:rsid w:val="00833208"/>
    <w:rsid w:val="008338D9"/>
    <w:rsid w:val="00833918"/>
    <w:rsid w:val="00834118"/>
    <w:rsid w:val="008353FD"/>
    <w:rsid w:val="00835640"/>
    <w:rsid w:val="008357C3"/>
    <w:rsid w:val="00835A08"/>
    <w:rsid w:val="00835FB4"/>
    <w:rsid w:val="0083626E"/>
    <w:rsid w:val="00836592"/>
    <w:rsid w:val="00836E46"/>
    <w:rsid w:val="00837049"/>
    <w:rsid w:val="00837051"/>
    <w:rsid w:val="008376C1"/>
    <w:rsid w:val="008407C4"/>
    <w:rsid w:val="00840A4C"/>
    <w:rsid w:val="008418C9"/>
    <w:rsid w:val="00841AAF"/>
    <w:rsid w:val="00842DE4"/>
    <w:rsid w:val="008432B3"/>
    <w:rsid w:val="008433D9"/>
    <w:rsid w:val="008438B2"/>
    <w:rsid w:val="008469E6"/>
    <w:rsid w:val="008500CD"/>
    <w:rsid w:val="008501C9"/>
    <w:rsid w:val="0085035D"/>
    <w:rsid w:val="00850BE1"/>
    <w:rsid w:val="0085122A"/>
    <w:rsid w:val="008519BD"/>
    <w:rsid w:val="00851B62"/>
    <w:rsid w:val="00851CBB"/>
    <w:rsid w:val="0085300F"/>
    <w:rsid w:val="00853114"/>
    <w:rsid w:val="00853C6C"/>
    <w:rsid w:val="00854546"/>
    <w:rsid w:val="00854A6F"/>
    <w:rsid w:val="00855464"/>
    <w:rsid w:val="008557D8"/>
    <w:rsid w:val="00855B8D"/>
    <w:rsid w:val="008564FC"/>
    <w:rsid w:val="00856D8F"/>
    <w:rsid w:val="00856FC2"/>
    <w:rsid w:val="00857334"/>
    <w:rsid w:val="00857691"/>
    <w:rsid w:val="00857B7E"/>
    <w:rsid w:val="008605DE"/>
    <w:rsid w:val="00860A77"/>
    <w:rsid w:val="008612F9"/>
    <w:rsid w:val="00861347"/>
    <w:rsid w:val="0086149D"/>
    <w:rsid w:val="00861E55"/>
    <w:rsid w:val="00861E95"/>
    <w:rsid w:val="008620CA"/>
    <w:rsid w:val="00864462"/>
    <w:rsid w:val="00865F18"/>
    <w:rsid w:val="008669C6"/>
    <w:rsid w:val="00866C77"/>
    <w:rsid w:val="0086742B"/>
    <w:rsid w:val="008705A8"/>
    <w:rsid w:val="00870CD2"/>
    <w:rsid w:val="00870D71"/>
    <w:rsid w:val="0087130F"/>
    <w:rsid w:val="00871951"/>
    <w:rsid w:val="008722A5"/>
    <w:rsid w:val="00872380"/>
    <w:rsid w:val="008726B2"/>
    <w:rsid w:val="00872BA1"/>
    <w:rsid w:val="00873C10"/>
    <w:rsid w:val="00874095"/>
    <w:rsid w:val="0087411A"/>
    <w:rsid w:val="0087437F"/>
    <w:rsid w:val="0087467F"/>
    <w:rsid w:val="008752FB"/>
    <w:rsid w:val="00875715"/>
    <w:rsid w:val="008757B7"/>
    <w:rsid w:val="00875DFA"/>
    <w:rsid w:val="00875E36"/>
    <w:rsid w:val="00876182"/>
    <w:rsid w:val="00876EA9"/>
    <w:rsid w:val="0087723D"/>
    <w:rsid w:val="00877601"/>
    <w:rsid w:val="00877798"/>
    <w:rsid w:val="00877B2B"/>
    <w:rsid w:val="00880342"/>
    <w:rsid w:val="00880438"/>
    <w:rsid w:val="008813A3"/>
    <w:rsid w:val="00881A66"/>
    <w:rsid w:val="00881F97"/>
    <w:rsid w:val="008823A6"/>
    <w:rsid w:val="00882549"/>
    <w:rsid w:val="00882794"/>
    <w:rsid w:val="00882E04"/>
    <w:rsid w:val="00882E61"/>
    <w:rsid w:val="00884A62"/>
    <w:rsid w:val="008852FF"/>
    <w:rsid w:val="00885797"/>
    <w:rsid w:val="00885EA3"/>
    <w:rsid w:val="00886697"/>
    <w:rsid w:val="00886EB8"/>
    <w:rsid w:val="008878F3"/>
    <w:rsid w:val="008906C1"/>
    <w:rsid w:val="00892286"/>
    <w:rsid w:val="00892758"/>
    <w:rsid w:val="00892F9C"/>
    <w:rsid w:val="00893247"/>
    <w:rsid w:val="00893C0A"/>
    <w:rsid w:val="00896595"/>
    <w:rsid w:val="008966D3"/>
    <w:rsid w:val="008A0C89"/>
    <w:rsid w:val="008A1390"/>
    <w:rsid w:val="008A2FD9"/>
    <w:rsid w:val="008A3F83"/>
    <w:rsid w:val="008A3F9D"/>
    <w:rsid w:val="008A4380"/>
    <w:rsid w:val="008A444D"/>
    <w:rsid w:val="008A45C0"/>
    <w:rsid w:val="008A54D9"/>
    <w:rsid w:val="008A601C"/>
    <w:rsid w:val="008A6FB9"/>
    <w:rsid w:val="008A74AF"/>
    <w:rsid w:val="008A7503"/>
    <w:rsid w:val="008B0064"/>
    <w:rsid w:val="008B0E06"/>
    <w:rsid w:val="008B27A3"/>
    <w:rsid w:val="008B2FEF"/>
    <w:rsid w:val="008B3BA6"/>
    <w:rsid w:val="008B62C9"/>
    <w:rsid w:val="008C0DFC"/>
    <w:rsid w:val="008C12D8"/>
    <w:rsid w:val="008C146F"/>
    <w:rsid w:val="008C16E3"/>
    <w:rsid w:val="008C238C"/>
    <w:rsid w:val="008C26B8"/>
    <w:rsid w:val="008C26C6"/>
    <w:rsid w:val="008C2973"/>
    <w:rsid w:val="008C2FBB"/>
    <w:rsid w:val="008C3143"/>
    <w:rsid w:val="008C3265"/>
    <w:rsid w:val="008C4A83"/>
    <w:rsid w:val="008C511D"/>
    <w:rsid w:val="008C5951"/>
    <w:rsid w:val="008D0A6B"/>
    <w:rsid w:val="008D12F1"/>
    <w:rsid w:val="008D2BE6"/>
    <w:rsid w:val="008D3112"/>
    <w:rsid w:val="008D312F"/>
    <w:rsid w:val="008D42B6"/>
    <w:rsid w:val="008D4A7C"/>
    <w:rsid w:val="008D5FA4"/>
    <w:rsid w:val="008D60AB"/>
    <w:rsid w:val="008D6775"/>
    <w:rsid w:val="008D729C"/>
    <w:rsid w:val="008D79F2"/>
    <w:rsid w:val="008E0929"/>
    <w:rsid w:val="008E0EF3"/>
    <w:rsid w:val="008E1D76"/>
    <w:rsid w:val="008E1F65"/>
    <w:rsid w:val="008E25E6"/>
    <w:rsid w:val="008E31DE"/>
    <w:rsid w:val="008E397C"/>
    <w:rsid w:val="008E4748"/>
    <w:rsid w:val="008E4EE5"/>
    <w:rsid w:val="008E5D0F"/>
    <w:rsid w:val="008E5EF5"/>
    <w:rsid w:val="008E6B5D"/>
    <w:rsid w:val="008E6DA8"/>
    <w:rsid w:val="008E711F"/>
    <w:rsid w:val="008E7600"/>
    <w:rsid w:val="008F0BDF"/>
    <w:rsid w:val="008F25B1"/>
    <w:rsid w:val="008F2655"/>
    <w:rsid w:val="008F2B32"/>
    <w:rsid w:val="008F2D3C"/>
    <w:rsid w:val="008F37E1"/>
    <w:rsid w:val="008F39E6"/>
    <w:rsid w:val="008F3ADE"/>
    <w:rsid w:val="008F4A67"/>
    <w:rsid w:val="008F4F70"/>
    <w:rsid w:val="008F5747"/>
    <w:rsid w:val="008F6CB1"/>
    <w:rsid w:val="008F6E99"/>
    <w:rsid w:val="008F7AFD"/>
    <w:rsid w:val="008F7E60"/>
    <w:rsid w:val="009010B2"/>
    <w:rsid w:val="00901232"/>
    <w:rsid w:val="0090205B"/>
    <w:rsid w:val="00904587"/>
    <w:rsid w:val="00904881"/>
    <w:rsid w:val="00904C41"/>
    <w:rsid w:val="00904D8A"/>
    <w:rsid w:val="00905BAA"/>
    <w:rsid w:val="009064C5"/>
    <w:rsid w:val="00907336"/>
    <w:rsid w:val="009116F5"/>
    <w:rsid w:val="00911A99"/>
    <w:rsid w:val="00911E70"/>
    <w:rsid w:val="0091235D"/>
    <w:rsid w:val="00912BD4"/>
    <w:rsid w:val="00913BFB"/>
    <w:rsid w:val="00914C15"/>
    <w:rsid w:val="0091553A"/>
    <w:rsid w:val="00915A65"/>
    <w:rsid w:val="00915DDF"/>
    <w:rsid w:val="00917CA6"/>
    <w:rsid w:val="0092048C"/>
    <w:rsid w:val="00920492"/>
    <w:rsid w:val="00920958"/>
    <w:rsid w:val="00920E7F"/>
    <w:rsid w:val="00920FAC"/>
    <w:rsid w:val="009221D3"/>
    <w:rsid w:val="00922EC7"/>
    <w:rsid w:val="009232D4"/>
    <w:rsid w:val="00923647"/>
    <w:rsid w:val="0092386E"/>
    <w:rsid w:val="00924064"/>
    <w:rsid w:val="0092429D"/>
    <w:rsid w:val="009248FB"/>
    <w:rsid w:val="00925301"/>
    <w:rsid w:val="0092570E"/>
    <w:rsid w:val="00925A5E"/>
    <w:rsid w:val="00925C89"/>
    <w:rsid w:val="0092671D"/>
    <w:rsid w:val="0092672E"/>
    <w:rsid w:val="009269DE"/>
    <w:rsid w:val="00926B0A"/>
    <w:rsid w:val="00926E04"/>
    <w:rsid w:val="0092702C"/>
    <w:rsid w:val="00927E5A"/>
    <w:rsid w:val="00927F55"/>
    <w:rsid w:val="009301CF"/>
    <w:rsid w:val="00931796"/>
    <w:rsid w:val="009324AF"/>
    <w:rsid w:val="00932B60"/>
    <w:rsid w:val="00932F12"/>
    <w:rsid w:val="00932F8C"/>
    <w:rsid w:val="00933470"/>
    <w:rsid w:val="00933949"/>
    <w:rsid w:val="009350A9"/>
    <w:rsid w:val="00935499"/>
    <w:rsid w:val="00935852"/>
    <w:rsid w:val="00935DC1"/>
    <w:rsid w:val="009360B8"/>
    <w:rsid w:val="0093630B"/>
    <w:rsid w:val="00937BF0"/>
    <w:rsid w:val="009404B4"/>
    <w:rsid w:val="00941D21"/>
    <w:rsid w:val="00941D72"/>
    <w:rsid w:val="00941EFA"/>
    <w:rsid w:val="00942519"/>
    <w:rsid w:val="00942732"/>
    <w:rsid w:val="00943A33"/>
    <w:rsid w:val="009447C6"/>
    <w:rsid w:val="009459A1"/>
    <w:rsid w:val="00945C3C"/>
    <w:rsid w:val="00945EE4"/>
    <w:rsid w:val="0094690E"/>
    <w:rsid w:val="009471FD"/>
    <w:rsid w:val="0094727E"/>
    <w:rsid w:val="0094795A"/>
    <w:rsid w:val="00947D42"/>
    <w:rsid w:val="00947DA6"/>
    <w:rsid w:val="00950257"/>
    <w:rsid w:val="00950ADF"/>
    <w:rsid w:val="009522D2"/>
    <w:rsid w:val="00952C21"/>
    <w:rsid w:val="00952D8B"/>
    <w:rsid w:val="009534B8"/>
    <w:rsid w:val="009538A5"/>
    <w:rsid w:val="00953EEF"/>
    <w:rsid w:val="0095442B"/>
    <w:rsid w:val="00955681"/>
    <w:rsid w:val="00955E26"/>
    <w:rsid w:val="00956000"/>
    <w:rsid w:val="00956126"/>
    <w:rsid w:val="009565CA"/>
    <w:rsid w:val="00956C66"/>
    <w:rsid w:val="00957B99"/>
    <w:rsid w:val="00960019"/>
    <w:rsid w:val="00961BAB"/>
    <w:rsid w:val="00962294"/>
    <w:rsid w:val="00962CC3"/>
    <w:rsid w:val="00963134"/>
    <w:rsid w:val="009635E2"/>
    <w:rsid w:val="00963781"/>
    <w:rsid w:val="00963A40"/>
    <w:rsid w:val="00963FF7"/>
    <w:rsid w:val="009645D3"/>
    <w:rsid w:val="0096495F"/>
    <w:rsid w:val="009658F9"/>
    <w:rsid w:val="009659EA"/>
    <w:rsid w:val="00966384"/>
    <w:rsid w:val="009664F0"/>
    <w:rsid w:val="009667F0"/>
    <w:rsid w:val="00966E88"/>
    <w:rsid w:val="00966FC8"/>
    <w:rsid w:val="00966FFE"/>
    <w:rsid w:val="009671B7"/>
    <w:rsid w:val="009711EB"/>
    <w:rsid w:val="00971331"/>
    <w:rsid w:val="00971629"/>
    <w:rsid w:val="009718E2"/>
    <w:rsid w:val="00971978"/>
    <w:rsid w:val="00972740"/>
    <w:rsid w:val="0097289B"/>
    <w:rsid w:val="009734A0"/>
    <w:rsid w:val="00973B10"/>
    <w:rsid w:val="00973C61"/>
    <w:rsid w:val="009756C1"/>
    <w:rsid w:val="00977042"/>
    <w:rsid w:val="00977346"/>
    <w:rsid w:val="0097775C"/>
    <w:rsid w:val="009777CC"/>
    <w:rsid w:val="009778EF"/>
    <w:rsid w:val="00981331"/>
    <w:rsid w:val="009837ED"/>
    <w:rsid w:val="00983EDE"/>
    <w:rsid w:val="00986580"/>
    <w:rsid w:val="009876AE"/>
    <w:rsid w:val="00987C16"/>
    <w:rsid w:val="009915E1"/>
    <w:rsid w:val="00991814"/>
    <w:rsid w:val="00991E12"/>
    <w:rsid w:val="0099288C"/>
    <w:rsid w:val="009932A5"/>
    <w:rsid w:val="00993A7D"/>
    <w:rsid w:val="009948D0"/>
    <w:rsid w:val="00994AF3"/>
    <w:rsid w:val="00995897"/>
    <w:rsid w:val="00995C5E"/>
    <w:rsid w:val="009967B8"/>
    <w:rsid w:val="0099777A"/>
    <w:rsid w:val="00997E3D"/>
    <w:rsid w:val="00997F67"/>
    <w:rsid w:val="009A0033"/>
    <w:rsid w:val="009A0B8F"/>
    <w:rsid w:val="009A0CCF"/>
    <w:rsid w:val="009A0DCF"/>
    <w:rsid w:val="009A0F5D"/>
    <w:rsid w:val="009A1262"/>
    <w:rsid w:val="009A24FF"/>
    <w:rsid w:val="009A25F6"/>
    <w:rsid w:val="009A34CB"/>
    <w:rsid w:val="009A361E"/>
    <w:rsid w:val="009A42FF"/>
    <w:rsid w:val="009A4348"/>
    <w:rsid w:val="009A48D1"/>
    <w:rsid w:val="009A4DB5"/>
    <w:rsid w:val="009A5374"/>
    <w:rsid w:val="009A6554"/>
    <w:rsid w:val="009A7D36"/>
    <w:rsid w:val="009A7E32"/>
    <w:rsid w:val="009B128E"/>
    <w:rsid w:val="009B132C"/>
    <w:rsid w:val="009B1536"/>
    <w:rsid w:val="009B273F"/>
    <w:rsid w:val="009B290F"/>
    <w:rsid w:val="009B35B4"/>
    <w:rsid w:val="009B4B64"/>
    <w:rsid w:val="009B632D"/>
    <w:rsid w:val="009B696C"/>
    <w:rsid w:val="009B6CF0"/>
    <w:rsid w:val="009B713A"/>
    <w:rsid w:val="009C0149"/>
    <w:rsid w:val="009C02A8"/>
    <w:rsid w:val="009C0354"/>
    <w:rsid w:val="009C0C00"/>
    <w:rsid w:val="009C1282"/>
    <w:rsid w:val="009C1306"/>
    <w:rsid w:val="009C1337"/>
    <w:rsid w:val="009C13FC"/>
    <w:rsid w:val="009C151E"/>
    <w:rsid w:val="009C1E4E"/>
    <w:rsid w:val="009C215E"/>
    <w:rsid w:val="009C309A"/>
    <w:rsid w:val="009C3CB2"/>
    <w:rsid w:val="009C46BF"/>
    <w:rsid w:val="009C476E"/>
    <w:rsid w:val="009C55DD"/>
    <w:rsid w:val="009C62E8"/>
    <w:rsid w:val="009C678B"/>
    <w:rsid w:val="009C763F"/>
    <w:rsid w:val="009D076D"/>
    <w:rsid w:val="009D08AB"/>
    <w:rsid w:val="009D1078"/>
    <w:rsid w:val="009D129F"/>
    <w:rsid w:val="009D18EF"/>
    <w:rsid w:val="009D1AF5"/>
    <w:rsid w:val="009D1C74"/>
    <w:rsid w:val="009D2098"/>
    <w:rsid w:val="009D20A4"/>
    <w:rsid w:val="009D2396"/>
    <w:rsid w:val="009D3D07"/>
    <w:rsid w:val="009D49F0"/>
    <w:rsid w:val="009D4BD8"/>
    <w:rsid w:val="009D505F"/>
    <w:rsid w:val="009D5E72"/>
    <w:rsid w:val="009D707B"/>
    <w:rsid w:val="009D720A"/>
    <w:rsid w:val="009D738F"/>
    <w:rsid w:val="009D75E9"/>
    <w:rsid w:val="009D767A"/>
    <w:rsid w:val="009E005E"/>
    <w:rsid w:val="009E01C4"/>
    <w:rsid w:val="009E0579"/>
    <w:rsid w:val="009E1309"/>
    <w:rsid w:val="009E20C3"/>
    <w:rsid w:val="009E2207"/>
    <w:rsid w:val="009E38B0"/>
    <w:rsid w:val="009E3EBF"/>
    <w:rsid w:val="009E67DF"/>
    <w:rsid w:val="009E6949"/>
    <w:rsid w:val="009E7232"/>
    <w:rsid w:val="009E75B3"/>
    <w:rsid w:val="009E772D"/>
    <w:rsid w:val="009F0D4D"/>
    <w:rsid w:val="009F4286"/>
    <w:rsid w:val="009F43E2"/>
    <w:rsid w:val="009F45EC"/>
    <w:rsid w:val="009F4AB0"/>
    <w:rsid w:val="009F51CF"/>
    <w:rsid w:val="009F5247"/>
    <w:rsid w:val="009F571C"/>
    <w:rsid w:val="009F58FA"/>
    <w:rsid w:val="009F6418"/>
    <w:rsid w:val="009F73F4"/>
    <w:rsid w:val="009F775C"/>
    <w:rsid w:val="009F7C45"/>
    <w:rsid w:val="009F7F61"/>
    <w:rsid w:val="00A01934"/>
    <w:rsid w:val="00A01A7E"/>
    <w:rsid w:val="00A02178"/>
    <w:rsid w:val="00A02C99"/>
    <w:rsid w:val="00A036BB"/>
    <w:rsid w:val="00A03760"/>
    <w:rsid w:val="00A041D7"/>
    <w:rsid w:val="00A042C1"/>
    <w:rsid w:val="00A0465E"/>
    <w:rsid w:val="00A04DC6"/>
    <w:rsid w:val="00A05885"/>
    <w:rsid w:val="00A05A65"/>
    <w:rsid w:val="00A06199"/>
    <w:rsid w:val="00A0687F"/>
    <w:rsid w:val="00A06BCC"/>
    <w:rsid w:val="00A076E4"/>
    <w:rsid w:val="00A11116"/>
    <w:rsid w:val="00A116A5"/>
    <w:rsid w:val="00A128D5"/>
    <w:rsid w:val="00A12BB6"/>
    <w:rsid w:val="00A12E19"/>
    <w:rsid w:val="00A1313C"/>
    <w:rsid w:val="00A13419"/>
    <w:rsid w:val="00A136EE"/>
    <w:rsid w:val="00A13AB6"/>
    <w:rsid w:val="00A14AD6"/>
    <w:rsid w:val="00A1503A"/>
    <w:rsid w:val="00A15B2F"/>
    <w:rsid w:val="00A16905"/>
    <w:rsid w:val="00A16A85"/>
    <w:rsid w:val="00A17214"/>
    <w:rsid w:val="00A20B8E"/>
    <w:rsid w:val="00A20D31"/>
    <w:rsid w:val="00A211A0"/>
    <w:rsid w:val="00A2181D"/>
    <w:rsid w:val="00A21994"/>
    <w:rsid w:val="00A21B8C"/>
    <w:rsid w:val="00A22676"/>
    <w:rsid w:val="00A22AEA"/>
    <w:rsid w:val="00A22B53"/>
    <w:rsid w:val="00A23A9A"/>
    <w:rsid w:val="00A23FEE"/>
    <w:rsid w:val="00A24099"/>
    <w:rsid w:val="00A241E2"/>
    <w:rsid w:val="00A24453"/>
    <w:rsid w:val="00A244C6"/>
    <w:rsid w:val="00A25DF8"/>
    <w:rsid w:val="00A26375"/>
    <w:rsid w:val="00A268E6"/>
    <w:rsid w:val="00A269A6"/>
    <w:rsid w:val="00A27A98"/>
    <w:rsid w:val="00A27B2B"/>
    <w:rsid w:val="00A30217"/>
    <w:rsid w:val="00A302BD"/>
    <w:rsid w:val="00A304D7"/>
    <w:rsid w:val="00A30C8D"/>
    <w:rsid w:val="00A30F28"/>
    <w:rsid w:val="00A31972"/>
    <w:rsid w:val="00A3200F"/>
    <w:rsid w:val="00A32109"/>
    <w:rsid w:val="00A325F8"/>
    <w:rsid w:val="00A32ACC"/>
    <w:rsid w:val="00A33D55"/>
    <w:rsid w:val="00A33FAA"/>
    <w:rsid w:val="00A34335"/>
    <w:rsid w:val="00A3459F"/>
    <w:rsid w:val="00A34AC5"/>
    <w:rsid w:val="00A34E27"/>
    <w:rsid w:val="00A351C7"/>
    <w:rsid w:val="00A36327"/>
    <w:rsid w:val="00A36ACC"/>
    <w:rsid w:val="00A36CDB"/>
    <w:rsid w:val="00A3751B"/>
    <w:rsid w:val="00A402DA"/>
    <w:rsid w:val="00A403BD"/>
    <w:rsid w:val="00A40753"/>
    <w:rsid w:val="00A40EFF"/>
    <w:rsid w:val="00A4144C"/>
    <w:rsid w:val="00A41535"/>
    <w:rsid w:val="00A41A28"/>
    <w:rsid w:val="00A437BA"/>
    <w:rsid w:val="00A441D3"/>
    <w:rsid w:val="00A44C18"/>
    <w:rsid w:val="00A44E32"/>
    <w:rsid w:val="00A45298"/>
    <w:rsid w:val="00A452BC"/>
    <w:rsid w:val="00A45D25"/>
    <w:rsid w:val="00A46692"/>
    <w:rsid w:val="00A47DC2"/>
    <w:rsid w:val="00A506DC"/>
    <w:rsid w:val="00A51381"/>
    <w:rsid w:val="00A52A1C"/>
    <w:rsid w:val="00A52C2E"/>
    <w:rsid w:val="00A52DCF"/>
    <w:rsid w:val="00A54EA0"/>
    <w:rsid w:val="00A56358"/>
    <w:rsid w:val="00A566A9"/>
    <w:rsid w:val="00A56A71"/>
    <w:rsid w:val="00A56BF1"/>
    <w:rsid w:val="00A56FD9"/>
    <w:rsid w:val="00A574C6"/>
    <w:rsid w:val="00A57D03"/>
    <w:rsid w:val="00A6044B"/>
    <w:rsid w:val="00A60547"/>
    <w:rsid w:val="00A6112E"/>
    <w:rsid w:val="00A6118C"/>
    <w:rsid w:val="00A626C0"/>
    <w:rsid w:val="00A6356F"/>
    <w:rsid w:val="00A641A0"/>
    <w:rsid w:val="00A64646"/>
    <w:rsid w:val="00A64A5D"/>
    <w:rsid w:val="00A65160"/>
    <w:rsid w:val="00A65886"/>
    <w:rsid w:val="00A659B5"/>
    <w:rsid w:val="00A674AE"/>
    <w:rsid w:val="00A675D7"/>
    <w:rsid w:val="00A676E6"/>
    <w:rsid w:val="00A67A2C"/>
    <w:rsid w:val="00A67B2E"/>
    <w:rsid w:val="00A71249"/>
    <w:rsid w:val="00A725B6"/>
    <w:rsid w:val="00A7274A"/>
    <w:rsid w:val="00A72A95"/>
    <w:rsid w:val="00A7307E"/>
    <w:rsid w:val="00A73147"/>
    <w:rsid w:val="00A732A7"/>
    <w:rsid w:val="00A73490"/>
    <w:rsid w:val="00A73A59"/>
    <w:rsid w:val="00A73FF8"/>
    <w:rsid w:val="00A745A5"/>
    <w:rsid w:val="00A74B2A"/>
    <w:rsid w:val="00A74F57"/>
    <w:rsid w:val="00A75380"/>
    <w:rsid w:val="00A754C2"/>
    <w:rsid w:val="00A75C76"/>
    <w:rsid w:val="00A7642C"/>
    <w:rsid w:val="00A76BD4"/>
    <w:rsid w:val="00A778EE"/>
    <w:rsid w:val="00A77CC7"/>
    <w:rsid w:val="00A8013E"/>
    <w:rsid w:val="00A81129"/>
    <w:rsid w:val="00A81F62"/>
    <w:rsid w:val="00A82EFE"/>
    <w:rsid w:val="00A8597A"/>
    <w:rsid w:val="00A85E54"/>
    <w:rsid w:val="00A86285"/>
    <w:rsid w:val="00A86C55"/>
    <w:rsid w:val="00A87343"/>
    <w:rsid w:val="00A87A39"/>
    <w:rsid w:val="00A87AD4"/>
    <w:rsid w:val="00A90526"/>
    <w:rsid w:val="00A90704"/>
    <w:rsid w:val="00A9173C"/>
    <w:rsid w:val="00A92277"/>
    <w:rsid w:val="00A92929"/>
    <w:rsid w:val="00A92F1E"/>
    <w:rsid w:val="00A93ECF"/>
    <w:rsid w:val="00A94BA5"/>
    <w:rsid w:val="00A95BAB"/>
    <w:rsid w:val="00A95D68"/>
    <w:rsid w:val="00A96279"/>
    <w:rsid w:val="00A9655B"/>
    <w:rsid w:val="00A9780B"/>
    <w:rsid w:val="00A978CB"/>
    <w:rsid w:val="00AA0803"/>
    <w:rsid w:val="00AA0A3C"/>
    <w:rsid w:val="00AA0A4A"/>
    <w:rsid w:val="00AA11B7"/>
    <w:rsid w:val="00AA1293"/>
    <w:rsid w:val="00AA2310"/>
    <w:rsid w:val="00AA233A"/>
    <w:rsid w:val="00AA361C"/>
    <w:rsid w:val="00AA40C2"/>
    <w:rsid w:val="00AA5FD3"/>
    <w:rsid w:val="00AA6A77"/>
    <w:rsid w:val="00AA7A48"/>
    <w:rsid w:val="00AB0F1D"/>
    <w:rsid w:val="00AB141B"/>
    <w:rsid w:val="00AB1556"/>
    <w:rsid w:val="00AB16D7"/>
    <w:rsid w:val="00AB1CD8"/>
    <w:rsid w:val="00AB1CEC"/>
    <w:rsid w:val="00AB1DD5"/>
    <w:rsid w:val="00AB1F72"/>
    <w:rsid w:val="00AB2443"/>
    <w:rsid w:val="00AB2C77"/>
    <w:rsid w:val="00AB2DC1"/>
    <w:rsid w:val="00AB501A"/>
    <w:rsid w:val="00AB5A13"/>
    <w:rsid w:val="00AB5EA0"/>
    <w:rsid w:val="00AB640B"/>
    <w:rsid w:val="00AB6D7D"/>
    <w:rsid w:val="00AB7904"/>
    <w:rsid w:val="00AB7BAA"/>
    <w:rsid w:val="00AB7D50"/>
    <w:rsid w:val="00AC0B1E"/>
    <w:rsid w:val="00AC0F85"/>
    <w:rsid w:val="00AC155E"/>
    <w:rsid w:val="00AC1925"/>
    <w:rsid w:val="00AC1C4F"/>
    <w:rsid w:val="00AC1CF3"/>
    <w:rsid w:val="00AC2165"/>
    <w:rsid w:val="00AC2536"/>
    <w:rsid w:val="00AC2BC4"/>
    <w:rsid w:val="00AC3288"/>
    <w:rsid w:val="00AC6007"/>
    <w:rsid w:val="00AC67E7"/>
    <w:rsid w:val="00AC7551"/>
    <w:rsid w:val="00AC7671"/>
    <w:rsid w:val="00AC786D"/>
    <w:rsid w:val="00AC7B25"/>
    <w:rsid w:val="00AC7EC0"/>
    <w:rsid w:val="00AD0FA8"/>
    <w:rsid w:val="00AD1460"/>
    <w:rsid w:val="00AD1F90"/>
    <w:rsid w:val="00AD20F9"/>
    <w:rsid w:val="00AD26C0"/>
    <w:rsid w:val="00AD28AD"/>
    <w:rsid w:val="00AD28BB"/>
    <w:rsid w:val="00AD37AA"/>
    <w:rsid w:val="00AD3DBF"/>
    <w:rsid w:val="00AD44EB"/>
    <w:rsid w:val="00AD470F"/>
    <w:rsid w:val="00AD49A8"/>
    <w:rsid w:val="00AD58D4"/>
    <w:rsid w:val="00AD5E7A"/>
    <w:rsid w:val="00AD6809"/>
    <w:rsid w:val="00AD6E69"/>
    <w:rsid w:val="00AD717C"/>
    <w:rsid w:val="00AD757F"/>
    <w:rsid w:val="00AE02A8"/>
    <w:rsid w:val="00AE14EF"/>
    <w:rsid w:val="00AE2205"/>
    <w:rsid w:val="00AE28DE"/>
    <w:rsid w:val="00AE28EF"/>
    <w:rsid w:val="00AE29FA"/>
    <w:rsid w:val="00AE2F18"/>
    <w:rsid w:val="00AE36BB"/>
    <w:rsid w:val="00AE4E65"/>
    <w:rsid w:val="00AE50F2"/>
    <w:rsid w:val="00AE5947"/>
    <w:rsid w:val="00AE599D"/>
    <w:rsid w:val="00AE6044"/>
    <w:rsid w:val="00AE6E82"/>
    <w:rsid w:val="00AF14BB"/>
    <w:rsid w:val="00AF1ABB"/>
    <w:rsid w:val="00AF2F3C"/>
    <w:rsid w:val="00AF30C4"/>
    <w:rsid w:val="00AF4700"/>
    <w:rsid w:val="00AF4D81"/>
    <w:rsid w:val="00AF4E9D"/>
    <w:rsid w:val="00AF5497"/>
    <w:rsid w:val="00AF58A4"/>
    <w:rsid w:val="00AF5A82"/>
    <w:rsid w:val="00AF6AEA"/>
    <w:rsid w:val="00B00F7A"/>
    <w:rsid w:val="00B01816"/>
    <w:rsid w:val="00B02527"/>
    <w:rsid w:val="00B027ED"/>
    <w:rsid w:val="00B02988"/>
    <w:rsid w:val="00B0370E"/>
    <w:rsid w:val="00B03987"/>
    <w:rsid w:val="00B03DED"/>
    <w:rsid w:val="00B05110"/>
    <w:rsid w:val="00B06052"/>
    <w:rsid w:val="00B0606B"/>
    <w:rsid w:val="00B0621B"/>
    <w:rsid w:val="00B06498"/>
    <w:rsid w:val="00B069D5"/>
    <w:rsid w:val="00B072D4"/>
    <w:rsid w:val="00B07315"/>
    <w:rsid w:val="00B07A40"/>
    <w:rsid w:val="00B11E33"/>
    <w:rsid w:val="00B11EAE"/>
    <w:rsid w:val="00B1205C"/>
    <w:rsid w:val="00B122D9"/>
    <w:rsid w:val="00B12760"/>
    <w:rsid w:val="00B12F7D"/>
    <w:rsid w:val="00B13A65"/>
    <w:rsid w:val="00B13D95"/>
    <w:rsid w:val="00B140F6"/>
    <w:rsid w:val="00B14241"/>
    <w:rsid w:val="00B14725"/>
    <w:rsid w:val="00B14D48"/>
    <w:rsid w:val="00B14FE5"/>
    <w:rsid w:val="00B15E11"/>
    <w:rsid w:val="00B15F4B"/>
    <w:rsid w:val="00B16798"/>
    <w:rsid w:val="00B16B51"/>
    <w:rsid w:val="00B2010C"/>
    <w:rsid w:val="00B2012F"/>
    <w:rsid w:val="00B20635"/>
    <w:rsid w:val="00B208AD"/>
    <w:rsid w:val="00B20BE7"/>
    <w:rsid w:val="00B21018"/>
    <w:rsid w:val="00B219A5"/>
    <w:rsid w:val="00B2229F"/>
    <w:rsid w:val="00B22C22"/>
    <w:rsid w:val="00B23940"/>
    <w:rsid w:val="00B23B05"/>
    <w:rsid w:val="00B23DCD"/>
    <w:rsid w:val="00B24C88"/>
    <w:rsid w:val="00B2572C"/>
    <w:rsid w:val="00B259FD"/>
    <w:rsid w:val="00B25B8B"/>
    <w:rsid w:val="00B25B9A"/>
    <w:rsid w:val="00B25BAB"/>
    <w:rsid w:val="00B26338"/>
    <w:rsid w:val="00B26F15"/>
    <w:rsid w:val="00B309DD"/>
    <w:rsid w:val="00B311DB"/>
    <w:rsid w:val="00B327BF"/>
    <w:rsid w:val="00B32828"/>
    <w:rsid w:val="00B32980"/>
    <w:rsid w:val="00B33454"/>
    <w:rsid w:val="00B33CD1"/>
    <w:rsid w:val="00B34621"/>
    <w:rsid w:val="00B34C2A"/>
    <w:rsid w:val="00B34FEE"/>
    <w:rsid w:val="00B35523"/>
    <w:rsid w:val="00B36077"/>
    <w:rsid w:val="00B36626"/>
    <w:rsid w:val="00B36A0A"/>
    <w:rsid w:val="00B372CB"/>
    <w:rsid w:val="00B404A5"/>
    <w:rsid w:val="00B409CB"/>
    <w:rsid w:val="00B40D35"/>
    <w:rsid w:val="00B41453"/>
    <w:rsid w:val="00B41AA7"/>
    <w:rsid w:val="00B42711"/>
    <w:rsid w:val="00B42A44"/>
    <w:rsid w:val="00B4304D"/>
    <w:rsid w:val="00B44304"/>
    <w:rsid w:val="00B445A9"/>
    <w:rsid w:val="00B447B5"/>
    <w:rsid w:val="00B448DC"/>
    <w:rsid w:val="00B44C61"/>
    <w:rsid w:val="00B45486"/>
    <w:rsid w:val="00B4557A"/>
    <w:rsid w:val="00B458BB"/>
    <w:rsid w:val="00B45F03"/>
    <w:rsid w:val="00B4651D"/>
    <w:rsid w:val="00B46F80"/>
    <w:rsid w:val="00B475FD"/>
    <w:rsid w:val="00B47954"/>
    <w:rsid w:val="00B47EC1"/>
    <w:rsid w:val="00B47F4C"/>
    <w:rsid w:val="00B501F0"/>
    <w:rsid w:val="00B50AB5"/>
    <w:rsid w:val="00B512DF"/>
    <w:rsid w:val="00B52F7F"/>
    <w:rsid w:val="00B533EF"/>
    <w:rsid w:val="00B536B2"/>
    <w:rsid w:val="00B53B22"/>
    <w:rsid w:val="00B5413D"/>
    <w:rsid w:val="00B5491C"/>
    <w:rsid w:val="00B55C1E"/>
    <w:rsid w:val="00B563CD"/>
    <w:rsid w:val="00B564CA"/>
    <w:rsid w:val="00B56759"/>
    <w:rsid w:val="00B56A98"/>
    <w:rsid w:val="00B56D44"/>
    <w:rsid w:val="00B57002"/>
    <w:rsid w:val="00B5770E"/>
    <w:rsid w:val="00B579E6"/>
    <w:rsid w:val="00B57CB7"/>
    <w:rsid w:val="00B606CD"/>
    <w:rsid w:val="00B6085D"/>
    <w:rsid w:val="00B628EE"/>
    <w:rsid w:val="00B632BA"/>
    <w:rsid w:val="00B63809"/>
    <w:rsid w:val="00B63DF2"/>
    <w:rsid w:val="00B65D90"/>
    <w:rsid w:val="00B65F9A"/>
    <w:rsid w:val="00B65FAE"/>
    <w:rsid w:val="00B664CC"/>
    <w:rsid w:val="00B66637"/>
    <w:rsid w:val="00B6755E"/>
    <w:rsid w:val="00B70E88"/>
    <w:rsid w:val="00B71239"/>
    <w:rsid w:val="00B71854"/>
    <w:rsid w:val="00B71A1E"/>
    <w:rsid w:val="00B71B7D"/>
    <w:rsid w:val="00B72169"/>
    <w:rsid w:val="00B721F7"/>
    <w:rsid w:val="00B7259C"/>
    <w:rsid w:val="00B73107"/>
    <w:rsid w:val="00B7392A"/>
    <w:rsid w:val="00B73A60"/>
    <w:rsid w:val="00B73D0E"/>
    <w:rsid w:val="00B74E15"/>
    <w:rsid w:val="00B75193"/>
    <w:rsid w:val="00B7723A"/>
    <w:rsid w:val="00B776D5"/>
    <w:rsid w:val="00B77CBA"/>
    <w:rsid w:val="00B77D9A"/>
    <w:rsid w:val="00B808FB"/>
    <w:rsid w:val="00B81A20"/>
    <w:rsid w:val="00B82AC9"/>
    <w:rsid w:val="00B8356B"/>
    <w:rsid w:val="00B836FC"/>
    <w:rsid w:val="00B8460C"/>
    <w:rsid w:val="00B85E89"/>
    <w:rsid w:val="00B8663E"/>
    <w:rsid w:val="00B87B37"/>
    <w:rsid w:val="00B87BEA"/>
    <w:rsid w:val="00B906C1"/>
    <w:rsid w:val="00B9145B"/>
    <w:rsid w:val="00B91C93"/>
    <w:rsid w:val="00B92414"/>
    <w:rsid w:val="00B926E1"/>
    <w:rsid w:val="00B92A79"/>
    <w:rsid w:val="00B92C1D"/>
    <w:rsid w:val="00B92EB3"/>
    <w:rsid w:val="00B93813"/>
    <w:rsid w:val="00B93AA9"/>
    <w:rsid w:val="00B94DD3"/>
    <w:rsid w:val="00B95A3D"/>
    <w:rsid w:val="00B95B33"/>
    <w:rsid w:val="00B96450"/>
    <w:rsid w:val="00B965C0"/>
    <w:rsid w:val="00B97229"/>
    <w:rsid w:val="00B97669"/>
    <w:rsid w:val="00BA04C3"/>
    <w:rsid w:val="00BA0CC5"/>
    <w:rsid w:val="00BA0E3D"/>
    <w:rsid w:val="00BA1A6A"/>
    <w:rsid w:val="00BA3595"/>
    <w:rsid w:val="00BA4531"/>
    <w:rsid w:val="00BA482E"/>
    <w:rsid w:val="00BA5ECC"/>
    <w:rsid w:val="00BA61D3"/>
    <w:rsid w:val="00BB0B12"/>
    <w:rsid w:val="00BB1720"/>
    <w:rsid w:val="00BB4ED3"/>
    <w:rsid w:val="00BB4F34"/>
    <w:rsid w:val="00BB56F8"/>
    <w:rsid w:val="00BB5710"/>
    <w:rsid w:val="00BB5975"/>
    <w:rsid w:val="00BB6317"/>
    <w:rsid w:val="00BB69D2"/>
    <w:rsid w:val="00BB71C8"/>
    <w:rsid w:val="00BC025F"/>
    <w:rsid w:val="00BC05A8"/>
    <w:rsid w:val="00BC12FE"/>
    <w:rsid w:val="00BC35D8"/>
    <w:rsid w:val="00BC390D"/>
    <w:rsid w:val="00BC43FC"/>
    <w:rsid w:val="00BC52CE"/>
    <w:rsid w:val="00BC5384"/>
    <w:rsid w:val="00BC5BC6"/>
    <w:rsid w:val="00BC715B"/>
    <w:rsid w:val="00BC769B"/>
    <w:rsid w:val="00BD03FA"/>
    <w:rsid w:val="00BD0B2B"/>
    <w:rsid w:val="00BD0B70"/>
    <w:rsid w:val="00BD2FD9"/>
    <w:rsid w:val="00BD3533"/>
    <w:rsid w:val="00BD440B"/>
    <w:rsid w:val="00BD4606"/>
    <w:rsid w:val="00BD52E8"/>
    <w:rsid w:val="00BD54C2"/>
    <w:rsid w:val="00BD5CF4"/>
    <w:rsid w:val="00BD62D7"/>
    <w:rsid w:val="00BD7884"/>
    <w:rsid w:val="00BE0D88"/>
    <w:rsid w:val="00BE106F"/>
    <w:rsid w:val="00BE245A"/>
    <w:rsid w:val="00BE27BA"/>
    <w:rsid w:val="00BE28D7"/>
    <w:rsid w:val="00BE2F3C"/>
    <w:rsid w:val="00BE30DE"/>
    <w:rsid w:val="00BE38E5"/>
    <w:rsid w:val="00BE3CE2"/>
    <w:rsid w:val="00BE3E5B"/>
    <w:rsid w:val="00BE4645"/>
    <w:rsid w:val="00BE47B9"/>
    <w:rsid w:val="00BE5DCC"/>
    <w:rsid w:val="00BE69D9"/>
    <w:rsid w:val="00BE6EA0"/>
    <w:rsid w:val="00BE6EB1"/>
    <w:rsid w:val="00BE7543"/>
    <w:rsid w:val="00BE76B5"/>
    <w:rsid w:val="00BE77C4"/>
    <w:rsid w:val="00BE7EE6"/>
    <w:rsid w:val="00BF0744"/>
    <w:rsid w:val="00BF0F98"/>
    <w:rsid w:val="00BF1665"/>
    <w:rsid w:val="00BF1865"/>
    <w:rsid w:val="00BF1FEA"/>
    <w:rsid w:val="00BF3609"/>
    <w:rsid w:val="00BF46F0"/>
    <w:rsid w:val="00BF486C"/>
    <w:rsid w:val="00BF5E6F"/>
    <w:rsid w:val="00BF640F"/>
    <w:rsid w:val="00BF69EC"/>
    <w:rsid w:val="00BF702C"/>
    <w:rsid w:val="00BF715E"/>
    <w:rsid w:val="00BF7177"/>
    <w:rsid w:val="00BF7DC8"/>
    <w:rsid w:val="00C00B9A"/>
    <w:rsid w:val="00C01068"/>
    <w:rsid w:val="00C01ACC"/>
    <w:rsid w:val="00C01B37"/>
    <w:rsid w:val="00C02EA4"/>
    <w:rsid w:val="00C03280"/>
    <w:rsid w:val="00C03AF8"/>
    <w:rsid w:val="00C04725"/>
    <w:rsid w:val="00C048AA"/>
    <w:rsid w:val="00C052E9"/>
    <w:rsid w:val="00C056F8"/>
    <w:rsid w:val="00C05F26"/>
    <w:rsid w:val="00C069B0"/>
    <w:rsid w:val="00C10AAC"/>
    <w:rsid w:val="00C10B51"/>
    <w:rsid w:val="00C10CF2"/>
    <w:rsid w:val="00C1126B"/>
    <w:rsid w:val="00C11555"/>
    <w:rsid w:val="00C118EE"/>
    <w:rsid w:val="00C12069"/>
    <w:rsid w:val="00C1266D"/>
    <w:rsid w:val="00C1311F"/>
    <w:rsid w:val="00C14C8F"/>
    <w:rsid w:val="00C14D93"/>
    <w:rsid w:val="00C15CDB"/>
    <w:rsid w:val="00C160D6"/>
    <w:rsid w:val="00C163F7"/>
    <w:rsid w:val="00C1664F"/>
    <w:rsid w:val="00C1759F"/>
    <w:rsid w:val="00C1770A"/>
    <w:rsid w:val="00C1791E"/>
    <w:rsid w:val="00C17A90"/>
    <w:rsid w:val="00C20D36"/>
    <w:rsid w:val="00C22F51"/>
    <w:rsid w:val="00C238F9"/>
    <w:rsid w:val="00C2396A"/>
    <w:rsid w:val="00C24331"/>
    <w:rsid w:val="00C24BF8"/>
    <w:rsid w:val="00C263F6"/>
    <w:rsid w:val="00C2640C"/>
    <w:rsid w:val="00C26488"/>
    <w:rsid w:val="00C2678D"/>
    <w:rsid w:val="00C2728C"/>
    <w:rsid w:val="00C30728"/>
    <w:rsid w:val="00C30F4E"/>
    <w:rsid w:val="00C30FE6"/>
    <w:rsid w:val="00C31596"/>
    <w:rsid w:val="00C31C9C"/>
    <w:rsid w:val="00C31F62"/>
    <w:rsid w:val="00C33221"/>
    <w:rsid w:val="00C337EE"/>
    <w:rsid w:val="00C33883"/>
    <w:rsid w:val="00C33E06"/>
    <w:rsid w:val="00C348B8"/>
    <w:rsid w:val="00C3561E"/>
    <w:rsid w:val="00C35C5C"/>
    <w:rsid w:val="00C36609"/>
    <w:rsid w:val="00C373A9"/>
    <w:rsid w:val="00C37CC8"/>
    <w:rsid w:val="00C40293"/>
    <w:rsid w:val="00C40F01"/>
    <w:rsid w:val="00C428B6"/>
    <w:rsid w:val="00C44971"/>
    <w:rsid w:val="00C44BE9"/>
    <w:rsid w:val="00C4561A"/>
    <w:rsid w:val="00C5034A"/>
    <w:rsid w:val="00C51C48"/>
    <w:rsid w:val="00C52412"/>
    <w:rsid w:val="00C52777"/>
    <w:rsid w:val="00C52855"/>
    <w:rsid w:val="00C53967"/>
    <w:rsid w:val="00C53D35"/>
    <w:rsid w:val="00C54058"/>
    <w:rsid w:val="00C54073"/>
    <w:rsid w:val="00C541E2"/>
    <w:rsid w:val="00C54296"/>
    <w:rsid w:val="00C54ECA"/>
    <w:rsid w:val="00C5534F"/>
    <w:rsid w:val="00C55451"/>
    <w:rsid w:val="00C56850"/>
    <w:rsid w:val="00C568D3"/>
    <w:rsid w:val="00C569BD"/>
    <w:rsid w:val="00C56C57"/>
    <w:rsid w:val="00C57735"/>
    <w:rsid w:val="00C60300"/>
    <w:rsid w:val="00C60C91"/>
    <w:rsid w:val="00C61B87"/>
    <w:rsid w:val="00C6251A"/>
    <w:rsid w:val="00C6294A"/>
    <w:rsid w:val="00C632C3"/>
    <w:rsid w:val="00C63328"/>
    <w:rsid w:val="00C63B9B"/>
    <w:rsid w:val="00C65330"/>
    <w:rsid w:val="00C6581B"/>
    <w:rsid w:val="00C65AFF"/>
    <w:rsid w:val="00C65EB0"/>
    <w:rsid w:val="00C65FE0"/>
    <w:rsid w:val="00C67053"/>
    <w:rsid w:val="00C67A9E"/>
    <w:rsid w:val="00C70F67"/>
    <w:rsid w:val="00C71B75"/>
    <w:rsid w:val="00C71E99"/>
    <w:rsid w:val="00C7229C"/>
    <w:rsid w:val="00C72EDB"/>
    <w:rsid w:val="00C731BE"/>
    <w:rsid w:val="00C73BD4"/>
    <w:rsid w:val="00C74B58"/>
    <w:rsid w:val="00C7551A"/>
    <w:rsid w:val="00C75D7B"/>
    <w:rsid w:val="00C765FA"/>
    <w:rsid w:val="00C76CEA"/>
    <w:rsid w:val="00C77721"/>
    <w:rsid w:val="00C7788C"/>
    <w:rsid w:val="00C7790C"/>
    <w:rsid w:val="00C77F53"/>
    <w:rsid w:val="00C80450"/>
    <w:rsid w:val="00C8063C"/>
    <w:rsid w:val="00C8134F"/>
    <w:rsid w:val="00C8186F"/>
    <w:rsid w:val="00C81BAC"/>
    <w:rsid w:val="00C82106"/>
    <w:rsid w:val="00C823B0"/>
    <w:rsid w:val="00C82844"/>
    <w:rsid w:val="00C82DFB"/>
    <w:rsid w:val="00C838CB"/>
    <w:rsid w:val="00C83BE4"/>
    <w:rsid w:val="00C848DC"/>
    <w:rsid w:val="00C84D62"/>
    <w:rsid w:val="00C85512"/>
    <w:rsid w:val="00C85ECB"/>
    <w:rsid w:val="00C85F58"/>
    <w:rsid w:val="00C861F7"/>
    <w:rsid w:val="00C864C8"/>
    <w:rsid w:val="00C86858"/>
    <w:rsid w:val="00C86C05"/>
    <w:rsid w:val="00C87FDE"/>
    <w:rsid w:val="00C90853"/>
    <w:rsid w:val="00C908F2"/>
    <w:rsid w:val="00C90E3D"/>
    <w:rsid w:val="00C91285"/>
    <w:rsid w:val="00C912C6"/>
    <w:rsid w:val="00C91C92"/>
    <w:rsid w:val="00C92594"/>
    <w:rsid w:val="00C92CB3"/>
    <w:rsid w:val="00C93056"/>
    <w:rsid w:val="00C94785"/>
    <w:rsid w:val="00C952BE"/>
    <w:rsid w:val="00C955EC"/>
    <w:rsid w:val="00C9560A"/>
    <w:rsid w:val="00C9582D"/>
    <w:rsid w:val="00C965FE"/>
    <w:rsid w:val="00C96CB0"/>
    <w:rsid w:val="00C9733B"/>
    <w:rsid w:val="00C97A1D"/>
    <w:rsid w:val="00CA0F5D"/>
    <w:rsid w:val="00CA1059"/>
    <w:rsid w:val="00CA1B0E"/>
    <w:rsid w:val="00CA1D84"/>
    <w:rsid w:val="00CA2D93"/>
    <w:rsid w:val="00CA3552"/>
    <w:rsid w:val="00CA377C"/>
    <w:rsid w:val="00CA5089"/>
    <w:rsid w:val="00CA60DC"/>
    <w:rsid w:val="00CA6D5A"/>
    <w:rsid w:val="00CA742F"/>
    <w:rsid w:val="00CA7A47"/>
    <w:rsid w:val="00CB01EB"/>
    <w:rsid w:val="00CB0CF5"/>
    <w:rsid w:val="00CB0D15"/>
    <w:rsid w:val="00CB1FB2"/>
    <w:rsid w:val="00CB287C"/>
    <w:rsid w:val="00CB288B"/>
    <w:rsid w:val="00CB2B38"/>
    <w:rsid w:val="00CB325C"/>
    <w:rsid w:val="00CB3311"/>
    <w:rsid w:val="00CB39FC"/>
    <w:rsid w:val="00CB452D"/>
    <w:rsid w:val="00CB5370"/>
    <w:rsid w:val="00CB5970"/>
    <w:rsid w:val="00CB7731"/>
    <w:rsid w:val="00CC0B37"/>
    <w:rsid w:val="00CC1C9F"/>
    <w:rsid w:val="00CC1EEE"/>
    <w:rsid w:val="00CC211E"/>
    <w:rsid w:val="00CC26D9"/>
    <w:rsid w:val="00CC2C96"/>
    <w:rsid w:val="00CC2F5C"/>
    <w:rsid w:val="00CC30F8"/>
    <w:rsid w:val="00CC3852"/>
    <w:rsid w:val="00CC4573"/>
    <w:rsid w:val="00CC4C84"/>
    <w:rsid w:val="00CC4F63"/>
    <w:rsid w:val="00CC5949"/>
    <w:rsid w:val="00CC748F"/>
    <w:rsid w:val="00CC7B8A"/>
    <w:rsid w:val="00CD0B27"/>
    <w:rsid w:val="00CD167A"/>
    <w:rsid w:val="00CD1973"/>
    <w:rsid w:val="00CD1A9F"/>
    <w:rsid w:val="00CD3222"/>
    <w:rsid w:val="00CD334E"/>
    <w:rsid w:val="00CD358E"/>
    <w:rsid w:val="00CD40B0"/>
    <w:rsid w:val="00CD4236"/>
    <w:rsid w:val="00CD4DE5"/>
    <w:rsid w:val="00CD57FE"/>
    <w:rsid w:val="00CD6700"/>
    <w:rsid w:val="00CD68AC"/>
    <w:rsid w:val="00CD6C8A"/>
    <w:rsid w:val="00CE0882"/>
    <w:rsid w:val="00CE0EAE"/>
    <w:rsid w:val="00CE1C23"/>
    <w:rsid w:val="00CE1E4D"/>
    <w:rsid w:val="00CE202F"/>
    <w:rsid w:val="00CE2498"/>
    <w:rsid w:val="00CE2B8F"/>
    <w:rsid w:val="00CE39FB"/>
    <w:rsid w:val="00CE3D51"/>
    <w:rsid w:val="00CE4828"/>
    <w:rsid w:val="00CE4E50"/>
    <w:rsid w:val="00CE5082"/>
    <w:rsid w:val="00CE5A28"/>
    <w:rsid w:val="00CE62EE"/>
    <w:rsid w:val="00CE66E2"/>
    <w:rsid w:val="00CE6882"/>
    <w:rsid w:val="00CE6BA3"/>
    <w:rsid w:val="00CE7387"/>
    <w:rsid w:val="00CE774F"/>
    <w:rsid w:val="00CE792C"/>
    <w:rsid w:val="00CE7F89"/>
    <w:rsid w:val="00CF1B99"/>
    <w:rsid w:val="00CF1F7C"/>
    <w:rsid w:val="00CF20DD"/>
    <w:rsid w:val="00CF257A"/>
    <w:rsid w:val="00CF369E"/>
    <w:rsid w:val="00CF386D"/>
    <w:rsid w:val="00CF4321"/>
    <w:rsid w:val="00CF4579"/>
    <w:rsid w:val="00CF48E2"/>
    <w:rsid w:val="00CF5499"/>
    <w:rsid w:val="00CF5BA2"/>
    <w:rsid w:val="00CF5C3D"/>
    <w:rsid w:val="00CF6082"/>
    <w:rsid w:val="00CF63A7"/>
    <w:rsid w:val="00CF7431"/>
    <w:rsid w:val="00CF766D"/>
    <w:rsid w:val="00CF793C"/>
    <w:rsid w:val="00CF7FC5"/>
    <w:rsid w:val="00D00383"/>
    <w:rsid w:val="00D01AC0"/>
    <w:rsid w:val="00D01CAA"/>
    <w:rsid w:val="00D02182"/>
    <w:rsid w:val="00D02335"/>
    <w:rsid w:val="00D024DE"/>
    <w:rsid w:val="00D02B00"/>
    <w:rsid w:val="00D03E88"/>
    <w:rsid w:val="00D04EDF"/>
    <w:rsid w:val="00D056E8"/>
    <w:rsid w:val="00D05CF6"/>
    <w:rsid w:val="00D05D2A"/>
    <w:rsid w:val="00D06CC8"/>
    <w:rsid w:val="00D074D1"/>
    <w:rsid w:val="00D079ED"/>
    <w:rsid w:val="00D07AA9"/>
    <w:rsid w:val="00D10595"/>
    <w:rsid w:val="00D10DCE"/>
    <w:rsid w:val="00D11188"/>
    <w:rsid w:val="00D12CF9"/>
    <w:rsid w:val="00D13760"/>
    <w:rsid w:val="00D14173"/>
    <w:rsid w:val="00D1436F"/>
    <w:rsid w:val="00D14457"/>
    <w:rsid w:val="00D14849"/>
    <w:rsid w:val="00D149D9"/>
    <w:rsid w:val="00D14AAA"/>
    <w:rsid w:val="00D1742E"/>
    <w:rsid w:val="00D17496"/>
    <w:rsid w:val="00D20198"/>
    <w:rsid w:val="00D207D1"/>
    <w:rsid w:val="00D20E3A"/>
    <w:rsid w:val="00D217B6"/>
    <w:rsid w:val="00D21E2A"/>
    <w:rsid w:val="00D22025"/>
    <w:rsid w:val="00D22C56"/>
    <w:rsid w:val="00D22C6F"/>
    <w:rsid w:val="00D23566"/>
    <w:rsid w:val="00D23F72"/>
    <w:rsid w:val="00D24F1B"/>
    <w:rsid w:val="00D2534E"/>
    <w:rsid w:val="00D25561"/>
    <w:rsid w:val="00D27A1B"/>
    <w:rsid w:val="00D27CA2"/>
    <w:rsid w:val="00D27D66"/>
    <w:rsid w:val="00D30107"/>
    <w:rsid w:val="00D30598"/>
    <w:rsid w:val="00D307BA"/>
    <w:rsid w:val="00D30848"/>
    <w:rsid w:val="00D312E2"/>
    <w:rsid w:val="00D31B84"/>
    <w:rsid w:val="00D31F77"/>
    <w:rsid w:val="00D32C57"/>
    <w:rsid w:val="00D33888"/>
    <w:rsid w:val="00D34354"/>
    <w:rsid w:val="00D34B46"/>
    <w:rsid w:val="00D3531C"/>
    <w:rsid w:val="00D3546F"/>
    <w:rsid w:val="00D36A38"/>
    <w:rsid w:val="00D37568"/>
    <w:rsid w:val="00D3756C"/>
    <w:rsid w:val="00D37DDC"/>
    <w:rsid w:val="00D37F9E"/>
    <w:rsid w:val="00D41074"/>
    <w:rsid w:val="00D424A7"/>
    <w:rsid w:val="00D4281E"/>
    <w:rsid w:val="00D42955"/>
    <w:rsid w:val="00D44116"/>
    <w:rsid w:val="00D44311"/>
    <w:rsid w:val="00D444B1"/>
    <w:rsid w:val="00D44D87"/>
    <w:rsid w:val="00D44DF7"/>
    <w:rsid w:val="00D45342"/>
    <w:rsid w:val="00D45E4D"/>
    <w:rsid w:val="00D46C71"/>
    <w:rsid w:val="00D47136"/>
    <w:rsid w:val="00D4787A"/>
    <w:rsid w:val="00D50016"/>
    <w:rsid w:val="00D50AEB"/>
    <w:rsid w:val="00D50B14"/>
    <w:rsid w:val="00D50D4D"/>
    <w:rsid w:val="00D518A6"/>
    <w:rsid w:val="00D52037"/>
    <w:rsid w:val="00D5225A"/>
    <w:rsid w:val="00D5229E"/>
    <w:rsid w:val="00D52D13"/>
    <w:rsid w:val="00D53B6F"/>
    <w:rsid w:val="00D54F65"/>
    <w:rsid w:val="00D553D3"/>
    <w:rsid w:val="00D55735"/>
    <w:rsid w:val="00D55CF8"/>
    <w:rsid w:val="00D564F6"/>
    <w:rsid w:val="00D5690C"/>
    <w:rsid w:val="00D572E4"/>
    <w:rsid w:val="00D579DA"/>
    <w:rsid w:val="00D57E69"/>
    <w:rsid w:val="00D57E6C"/>
    <w:rsid w:val="00D60518"/>
    <w:rsid w:val="00D606BD"/>
    <w:rsid w:val="00D60910"/>
    <w:rsid w:val="00D60B86"/>
    <w:rsid w:val="00D61B12"/>
    <w:rsid w:val="00D620EE"/>
    <w:rsid w:val="00D628B7"/>
    <w:rsid w:val="00D62900"/>
    <w:rsid w:val="00D629E0"/>
    <w:rsid w:val="00D62DBA"/>
    <w:rsid w:val="00D62E43"/>
    <w:rsid w:val="00D63132"/>
    <w:rsid w:val="00D63140"/>
    <w:rsid w:val="00D6392D"/>
    <w:rsid w:val="00D64248"/>
    <w:rsid w:val="00D643AD"/>
    <w:rsid w:val="00D644DF"/>
    <w:rsid w:val="00D64DCF"/>
    <w:rsid w:val="00D652C5"/>
    <w:rsid w:val="00D65D4F"/>
    <w:rsid w:val="00D66B22"/>
    <w:rsid w:val="00D67048"/>
    <w:rsid w:val="00D7237E"/>
    <w:rsid w:val="00D7259A"/>
    <w:rsid w:val="00D72B1A"/>
    <w:rsid w:val="00D73EDC"/>
    <w:rsid w:val="00D74599"/>
    <w:rsid w:val="00D74A07"/>
    <w:rsid w:val="00D74C81"/>
    <w:rsid w:val="00D75D3E"/>
    <w:rsid w:val="00D7649B"/>
    <w:rsid w:val="00D77886"/>
    <w:rsid w:val="00D801BB"/>
    <w:rsid w:val="00D80592"/>
    <w:rsid w:val="00D80E38"/>
    <w:rsid w:val="00D81484"/>
    <w:rsid w:val="00D823DF"/>
    <w:rsid w:val="00D824FD"/>
    <w:rsid w:val="00D83938"/>
    <w:rsid w:val="00D8428C"/>
    <w:rsid w:val="00D8435B"/>
    <w:rsid w:val="00D843D7"/>
    <w:rsid w:val="00D847B9"/>
    <w:rsid w:val="00D851C1"/>
    <w:rsid w:val="00D857FF"/>
    <w:rsid w:val="00D85E33"/>
    <w:rsid w:val="00D86172"/>
    <w:rsid w:val="00D86E30"/>
    <w:rsid w:val="00D86F53"/>
    <w:rsid w:val="00D8733E"/>
    <w:rsid w:val="00D87979"/>
    <w:rsid w:val="00D90529"/>
    <w:rsid w:val="00D90572"/>
    <w:rsid w:val="00D907BD"/>
    <w:rsid w:val="00D908FF"/>
    <w:rsid w:val="00D920E5"/>
    <w:rsid w:val="00D921F8"/>
    <w:rsid w:val="00D92AE0"/>
    <w:rsid w:val="00D94651"/>
    <w:rsid w:val="00D95178"/>
    <w:rsid w:val="00D95253"/>
    <w:rsid w:val="00D96010"/>
    <w:rsid w:val="00D96D9F"/>
    <w:rsid w:val="00D96E2D"/>
    <w:rsid w:val="00D97A9A"/>
    <w:rsid w:val="00DA0964"/>
    <w:rsid w:val="00DA0F5B"/>
    <w:rsid w:val="00DA1602"/>
    <w:rsid w:val="00DA1E19"/>
    <w:rsid w:val="00DA3007"/>
    <w:rsid w:val="00DA36BF"/>
    <w:rsid w:val="00DA3A19"/>
    <w:rsid w:val="00DA3C31"/>
    <w:rsid w:val="00DA53E2"/>
    <w:rsid w:val="00DA5CEF"/>
    <w:rsid w:val="00DA600F"/>
    <w:rsid w:val="00DA78C1"/>
    <w:rsid w:val="00DA7E96"/>
    <w:rsid w:val="00DB016B"/>
    <w:rsid w:val="00DB0886"/>
    <w:rsid w:val="00DB1499"/>
    <w:rsid w:val="00DB1A02"/>
    <w:rsid w:val="00DB1A8F"/>
    <w:rsid w:val="00DB34D5"/>
    <w:rsid w:val="00DB4C94"/>
    <w:rsid w:val="00DB6B37"/>
    <w:rsid w:val="00DB76DD"/>
    <w:rsid w:val="00DB7F61"/>
    <w:rsid w:val="00DC1003"/>
    <w:rsid w:val="00DC18A2"/>
    <w:rsid w:val="00DC18BE"/>
    <w:rsid w:val="00DC1FD7"/>
    <w:rsid w:val="00DC2192"/>
    <w:rsid w:val="00DC2E3B"/>
    <w:rsid w:val="00DC2E4D"/>
    <w:rsid w:val="00DC31B7"/>
    <w:rsid w:val="00DC4814"/>
    <w:rsid w:val="00DC5099"/>
    <w:rsid w:val="00DC6070"/>
    <w:rsid w:val="00DC6E4A"/>
    <w:rsid w:val="00DC703B"/>
    <w:rsid w:val="00DC73F4"/>
    <w:rsid w:val="00DC770B"/>
    <w:rsid w:val="00DC7FF4"/>
    <w:rsid w:val="00DD0564"/>
    <w:rsid w:val="00DD2E5F"/>
    <w:rsid w:val="00DD3671"/>
    <w:rsid w:val="00DD449F"/>
    <w:rsid w:val="00DD5332"/>
    <w:rsid w:val="00DD543A"/>
    <w:rsid w:val="00DD5AB6"/>
    <w:rsid w:val="00DD5E59"/>
    <w:rsid w:val="00DD6C3A"/>
    <w:rsid w:val="00DD6DF9"/>
    <w:rsid w:val="00DE08F5"/>
    <w:rsid w:val="00DE0BAF"/>
    <w:rsid w:val="00DE0BC8"/>
    <w:rsid w:val="00DE1302"/>
    <w:rsid w:val="00DE33D0"/>
    <w:rsid w:val="00DE3956"/>
    <w:rsid w:val="00DE4314"/>
    <w:rsid w:val="00DE4C11"/>
    <w:rsid w:val="00DE4EE7"/>
    <w:rsid w:val="00DE50DF"/>
    <w:rsid w:val="00DE5A97"/>
    <w:rsid w:val="00DE65DE"/>
    <w:rsid w:val="00DE7108"/>
    <w:rsid w:val="00DE7B8D"/>
    <w:rsid w:val="00DF05BC"/>
    <w:rsid w:val="00DF185E"/>
    <w:rsid w:val="00DF2045"/>
    <w:rsid w:val="00DF2B54"/>
    <w:rsid w:val="00DF2F3D"/>
    <w:rsid w:val="00DF327A"/>
    <w:rsid w:val="00DF46C3"/>
    <w:rsid w:val="00DF5636"/>
    <w:rsid w:val="00DF5783"/>
    <w:rsid w:val="00DF59B5"/>
    <w:rsid w:val="00DF6218"/>
    <w:rsid w:val="00DF62DB"/>
    <w:rsid w:val="00DF6E1C"/>
    <w:rsid w:val="00DF791B"/>
    <w:rsid w:val="00E00014"/>
    <w:rsid w:val="00E00312"/>
    <w:rsid w:val="00E00B2B"/>
    <w:rsid w:val="00E0255D"/>
    <w:rsid w:val="00E02BE1"/>
    <w:rsid w:val="00E03096"/>
    <w:rsid w:val="00E03242"/>
    <w:rsid w:val="00E03332"/>
    <w:rsid w:val="00E04139"/>
    <w:rsid w:val="00E05BEE"/>
    <w:rsid w:val="00E05F9B"/>
    <w:rsid w:val="00E07859"/>
    <w:rsid w:val="00E07926"/>
    <w:rsid w:val="00E1061B"/>
    <w:rsid w:val="00E10AC3"/>
    <w:rsid w:val="00E10FEE"/>
    <w:rsid w:val="00E11B4D"/>
    <w:rsid w:val="00E11D52"/>
    <w:rsid w:val="00E11E09"/>
    <w:rsid w:val="00E123B8"/>
    <w:rsid w:val="00E1280A"/>
    <w:rsid w:val="00E12C6C"/>
    <w:rsid w:val="00E131FB"/>
    <w:rsid w:val="00E14394"/>
    <w:rsid w:val="00E1459E"/>
    <w:rsid w:val="00E1552B"/>
    <w:rsid w:val="00E15556"/>
    <w:rsid w:val="00E166F4"/>
    <w:rsid w:val="00E17216"/>
    <w:rsid w:val="00E17F24"/>
    <w:rsid w:val="00E20803"/>
    <w:rsid w:val="00E20F1F"/>
    <w:rsid w:val="00E226D7"/>
    <w:rsid w:val="00E2439E"/>
    <w:rsid w:val="00E24D0A"/>
    <w:rsid w:val="00E24FA4"/>
    <w:rsid w:val="00E2523C"/>
    <w:rsid w:val="00E25C23"/>
    <w:rsid w:val="00E26403"/>
    <w:rsid w:val="00E26657"/>
    <w:rsid w:val="00E27682"/>
    <w:rsid w:val="00E2783B"/>
    <w:rsid w:val="00E27E91"/>
    <w:rsid w:val="00E30A79"/>
    <w:rsid w:val="00E30AB8"/>
    <w:rsid w:val="00E30D3E"/>
    <w:rsid w:val="00E31828"/>
    <w:rsid w:val="00E334CA"/>
    <w:rsid w:val="00E335E7"/>
    <w:rsid w:val="00E342A7"/>
    <w:rsid w:val="00E34771"/>
    <w:rsid w:val="00E34C30"/>
    <w:rsid w:val="00E35835"/>
    <w:rsid w:val="00E36A9E"/>
    <w:rsid w:val="00E36E1E"/>
    <w:rsid w:val="00E37136"/>
    <w:rsid w:val="00E37CA9"/>
    <w:rsid w:val="00E37E6B"/>
    <w:rsid w:val="00E405F6"/>
    <w:rsid w:val="00E40857"/>
    <w:rsid w:val="00E40B2D"/>
    <w:rsid w:val="00E40CD6"/>
    <w:rsid w:val="00E4110A"/>
    <w:rsid w:val="00E414F0"/>
    <w:rsid w:val="00E41A23"/>
    <w:rsid w:val="00E4205E"/>
    <w:rsid w:val="00E438A0"/>
    <w:rsid w:val="00E43E2C"/>
    <w:rsid w:val="00E4417C"/>
    <w:rsid w:val="00E44A9C"/>
    <w:rsid w:val="00E44CA4"/>
    <w:rsid w:val="00E4514E"/>
    <w:rsid w:val="00E45ED5"/>
    <w:rsid w:val="00E46B2B"/>
    <w:rsid w:val="00E472BC"/>
    <w:rsid w:val="00E516D4"/>
    <w:rsid w:val="00E51B52"/>
    <w:rsid w:val="00E51FB6"/>
    <w:rsid w:val="00E52790"/>
    <w:rsid w:val="00E53359"/>
    <w:rsid w:val="00E538DE"/>
    <w:rsid w:val="00E5428A"/>
    <w:rsid w:val="00E547A5"/>
    <w:rsid w:val="00E54977"/>
    <w:rsid w:val="00E55456"/>
    <w:rsid w:val="00E57BCB"/>
    <w:rsid w:val="00E605B7"/>
    <w:rsid w:val="00E61359"/>
    <w:rsid w:val="00E61E1F"/>
    <w:rsid w:val="00E62340"/>
    <w:rsid w:val="00E63475"/>
    <w:rsid w:val="00E63843"/>
    <w:rsid w:val="00E640D6"/>
    <w:rsid w:val="00E64587"/>
    <w:rsid w:val="00E645CD"/>
    <w:rsid w:val="00E64AED"/>
    <w:rsid w:val="00E64ED3"/>
    <w:rsid w:val="00E66068"/>
    <w:rsid w:val="00E67A4B"/>
    <w:rsid w:val="00E70103"/>
    <w:rsid w:val="00E70138"/>
    <w:rsid w:val="00E71A45"/>
    <w:rsid w:val="00E71E3A"/>
    <w:rsid w:val="00E71F0B"/>
    <w:rsid w:val="00E720ED"/>
    <w:rsid w:val="00E722DB"/>
    <w:rsid w:val="00E73320"/>
    <w:rsid w:val="00E73549"/>
    <w:rsid w:val="00E7390C"/>
    <w:rsid w:val="00E74666"/>
    <w:rsid w:val="00E747D0"/>
    <w:rsid w:val="00E74C79"/>
    <w:rsid w:val="00E75430"/>
    <w:rsid w:val="00E759BB"/>
    <w:rsid w:val="00E75D12"/>
    <w:rsid w:val="00E7731C"/>
    <w:rsid w:val="00E7742A"/>
    <w:rsid w:val="00E810C4"/>
    <w:rsid w:val="00E8113E"/>
    <w:rsid w:val="00E8224A"/>
    <w:rsid w:val="00E84DB5"/>
    <w:rsid w:val="00E85634"/>
    <w:rsid w:val="00E866FA"/>
    <w:rsid w:val="00E86AF3"/>
    <w:rsid w:val="00E86ED8"/>
    <w:rsid w:val="00E87169"/>
    <w:rsid w:val="00E908A7"/>
    <w:rsid w:val="00E91111"/>
    <w:rsid w:val="00E922AF"/>
    <w:rsid w:val="00E92622"/>
    <w:rsid w:val="00E92B15"/>
    <w:rsid w:val="00E92D86"/>
    <w:rsid w:val="00E9504A"/>
    <w:rsid w:val="00E9554B"/>
    <w:rsid w:val="00E95BF8"/>
    <w:rsid w:val="00E96ADE"/>
    <w:rsid w:val="00E96EEF"/>
    <w:rsid w:val="00E97528"/>
    <w:rsid w:val="00E979EC"/>
    <w:rsid w:val="00E97D76"/>
    <w:rsid w:val="00E97E4F"/>
    <w:rsid w:val="00E97EFD"/>
    <w:rsid w:val="00EA027C"/>
    <w:rsid w:val="00EA030A"/>
    <w:rsid w:val="00EA2541"/>
    <w:rsid w:val="00EA2B53"/>
    <w:rsid w:val="00EA3387"/>
    <w:rsid w:val="00EA370B"/>
    <w:rsid w:val="00EA3AF0"/>
    <w:rsid w:val="00EA4455"/>
    <w:rsid w:val="00EA4628"/>
    <w:rsid w:val="00EA4B6C"/>
    <w:rsid w:val="00EA4D9D"/>
    <w:rsid w:val="00EA63A4"/>
    <w:rsid w:val="00EA6EEF"/>
    <w:rsid w:val="00EA787F"/>
    <w:rsid w:val="00EA7B6E"/>
    <w:rsid w:val="00EB0483"/>
    <w:rsid w:val="00EB04FA"/>
    <w:rsid w:val="00EB0DEB"/>
    <w:rsid w:val="00EB16A6"/>
    <w:rsid w:val="00EB198F"/>
    <w:rsid w:val="00EB24F5"/>
    <w:rsid w:val="00EB29F6"/>
    <w:rsid w:val="00EB34D8"/>
    <w:rsid w:val="00EB384C"/>
    <w:rsid w:val="00EB4B91"/>
    <w:rsid w:val="00EB5119"/>
    <w:rsid w:val="00EB57C1"/>
    <w:rsid w:val="00EB591C"/>
    <w:rsid w:val="00EB5FC1"/>
    <w:rsid w:val="00EB60DD"/>
    <w:rsid w:val="00EB74B2"/>
    <w:rsid w:val="00EB7582"/>
    <w:rsid w:val="00EB75BD"/>
    <w:rsid w:val="00EB77F8"/>
    <w:rsid w:val="00EB7B74"/>
    <w:rsid w:val="00EB7BD5"/>
    <w:rsid w:val="00EC10C1"/>
    <w:rsid w:val="00EC126F"/>
    <w:rsid w:val="00EC2EA9"/>
    <w:rsid w:val="00EC303B"/>
    <w:rsid w:val="00EC37A3"/>
    <w:rsid w:val="00EC3AD4"/>
    <w:rsid w:val="00EC3E44"/>
    <w:rsid w:val="00EC46EE"/>
    <w:rsid w:val="00EC471C"/>
    <w:rsid w:val="00EC5A98"/>
    <w:rsid w:val="00EC61B9"/>
    <w:rsid w:val="00EC622B"/>
    <w:rsid w:val="00EC645B"/>
    <w:rsid w:val="00EC65CB"/>
    <w:rsid w:val="00EC6D29"/>
    <w:rsid w:val="00EC6DA7"/>
    <w:rsid w:val="00EC6FC1"/>
    <w:rsid w:val="00EC7157"/>
    <w:rsid w:val="00EC7751"/>
    <w:rsid w:val="00ED0159"/>
    <w:rsid w:val="00ED129D"/>
    <w:rsid w:val="00ED30CE"/>
    <w:rsid w:val="00ED4C23"/>
    <w:rsid w:val="00ED4FC6"/>
    <w:rsid w:val="00ED512D"/>
    <w:rsid w:val="00ED545C"/>
    <w:rsid w:val="00ED58BE"/>
    <w:rsid w:val="00ED59C0"/>
    <w:rsid w:val="00ED61D5"/>
    <w:rsid w:val="00ED66E4"/>
    <w:rsid w:val="00ED6EE4"/>
    <w:rsid w:val="00EE00E6"/>
    <w:rsid w:val="00EE0167"/>
    <w:rsid w:val="00EE0658"/>
    <w:rsid w:val="00EE15A6"/>
    <w:rsid w:val="00EE2253"/>
    <w:rsid w:val="00EE2C51"/>
    <w:rsid w:val="00EE2D61"/>
    <w:rsid w:val="00EE382B"/>
    <w:rsid w:val="00EE4AA5"/>
    <w:rsid w:val="00EE4B43"/>
    <w:rsid w:val="00EE4E8A"/>
    <w:rsid w:val="00EE4EE1"/>
    <w:rsid w:val="00EE6312"/>
    <w:rsid w:val="00EE6D19"/>
    <w:rsid w:val="00EE7670"/>
    <w:rsid w:val="00EE7716"/>
    <w:rsid w:val="00EE7F21"/>
    <w:rsid w:val="00EF03D7"/>
    <w:rsid w:val="00EF0682"/>
    <w:rsid w:val="00EF0C22"/>
    <w:rsid w:val="00EF0E9E"/>
    <w:rsid w:val="00EF0ED4"/>
    <w:rsid w:val="00EF142E"/>
    <w:rsid w:val="00EF1E03"/>
    <w:rsid w:val="00EF1F03"/>
    <w:rsid w:val="00EF1FA4"/>
    <w:rsid w:val="00EF29E4"/>
    <w:rsid w:val="00EF2A66"/>
    <w:rsid w:val="00EF2FDF"/>
    <w:rsid w:val="00EF34E0"/>
    <w:rsid w:val="00EF39A3"/>
    <w:rsid w:val="00EF3A67"/>
    <w:rsid w:val="00EF3EAB"/>
    <w:rsid w:val="00EF4E99"/>
    <w:rsid w:val="00EF536F"/>
    <w:rsid w:val="00EF54D1"/>
    <w:rsid w:val="00EF55CA"/>
    <w:rsid w:val="00EF5D38"/>
    <w:rsid w:val="00EF5EF3"/>
    <w:rsid w:val="00EF65E8"/>
    <w:rsid w:val="00EF744C"/>
    <w:rsid w:val="00EF78F7"/>
    <w:rsid w:val="00F00DE8"/>
    <w:rsid w:val="00F015FB"/>
    <w:rsid w:val="00F01ADB"/>
    <w:rsid w:val="00F01C76"/>
    <w:rsid w:val="00F01E96"/>
    <w:rsid w:val="00F02263"/>
    <w:rsid w:val="00F03025"/>
    <w:rsid w:val="00F03BB3"/>
    <w:rsid w:val="00F03BBA"/>
    <w:rsid w:val="00F03EAD"/>
    <w:rsid w:val="00F04D2B"/>
    <w:rsid w:val="00F05862"/>
    <w:rsid w:val="00F05A93"/>
    <w:rsid w:val="00F061E2"/>
    <w:rsid w:val="00F106CC"/>
    <w:rsid w:val="00F11BBD"/>
    <w:rsid w:val="00F11FC1"/>
    <w:rsid w:val="00F12547"/>
    <w:rsid w:val="00F12AB8"/>
    <w:rsid w:val="00F12DD5"/>
    <w:rsid w:val="00F135CF"/>
    <w:rsid w:val="00F1522D"/>
    <w:rsid w:val="00F156B9"/>
    <w:rsid w:val="00F15BB2"/>
    <w:rsid w:val="00F15FA1"/>
    <w:rsid w:val="00F164D6"/>
    <w:rsid w:val="00F16AB8"/>
    <w:rsid w:val="00F17D1A"/>
    <w:rsid w:val="00F20337"/>
    <w:rsid w:val="00F2059C"/>
    <w:rsid w:val="00F215C4"/>
    <w:rsid w:val="00F21E87"/>
    <w:rsid w:val="00F2237D"/>
    <w:rsid w:val="00F2258A"/>
    <w:rsid w:val="00F22623"/>
    <w:rsid w:val="00F22F91"/>
    <w:rsid w:val="00F24903"/>
    <w:rsid w:val="00F2498B"/>
    <w:rsid w:val="00F24E0C"/>
    <w:rsid w:val="00F26695"/>
    <w:rsid w:val="00F2678D"/>
    <w:rsid w:val="00F26F9A"/>
    <w:rsid w:val="00F271C6"/>
    <w:rsid w:val="00F27662"/>
    <w:rsid w:val="00F2777B"/>
    <w:rsid w:val="00F27A0E"/>
    <w:rsid w:val="00F27A7F"/>
    <w:rsid w:val="00F27BE6"/>
    <w:rsid w:val="00F27D25"/>
    <w:rsid w:val="00F305E4"/>
    <w:rsid w:val="00F32F8A"/>
    <w:rsid w:val="00F332D4"/>
    <w:rsid w:val="00F3387E"/>
    <w:rsid w:val="00F33C4C"/>
    <w:rsid w:val="00F33D5B"/>
    <w:rsid w:val="00F34FD9"/>
    <w:rsid w:val="00F35E56"/>
    <w:rsid w:val="00F366EF"/>
    <w:rsid w:val="00F3703F"/>
    <w:rsid w:val="00F37B7E"/>
    <w:rsid w:val="00F37BFD"/>
    <w:rsid w:val="00F37E21"/>
    <w:rsid w:val="00F40B9E"/>
    <w:rsid w:val="00F410A8"/>
    <w:rsid w:val="00F41E04"/>
    <w:rsid w:val="00F422AF"/>
    <w:rsid w:val="00F44864"/>
    <w:rsid w:val="00F45F64"/>
    <w:rsid w:val="00F464FB"/>
    <w:rsid w:val="00F4679A"/>
    <w:rsid w:val="00F46977"/>
    <w:rsid w:val="00F47B8C"/>
    <w:rsid w:val="00F50047"/>
    <w:rsid w:val="00F506A2"/>
    <w:rsid w:val="00F5093A"/>
    <w:rsid w:val="00F50A29"/>
    <w:rsid w:val="00F50B1F"/>
    <w:rsid w:val="00F512A9"/>
    <w:rsid w:val="00F51419"/>
    <w:rsid w:val="00F517F8"/>
    <w:rsid w:val="00F51CE4"/>
    <w:rsid w:val="00F52513"/>
    <w:rsid w:val="00F527C4"/>
    <w:rsid w:val="00F52D3B"/>
    <w:rsid w:val="00F530B8"/>
    <w:rsid w:val="00F5329E"/>
    <w:rsid w:val="00F53E0B"/>
    <w:rsid w:val="00F53FCF"/>
    <w:rsid w:val="00F544ED"/>
    <w:rsid w:val="00F55228"/>
    <w:rsid w:val="00F5546C"/>
    <w:rsid w:val="00F56388"/>
    <w:rsid w:val="00F5653D"/>
    <w:rsid w:val="00F565E5"/>
    <w:rsid w:val="00F57FF8"/>
    <w:rsid w:val="00F611CD"/>
    <w:rsid w:val="00F61AA9"/>
    <w:rsid w:val="00F61C23"/>
    <w:rsid w:val="00F61FE1"/>
    <w:rsid w:val="00F62A57"/>
    <w:rsid w:val="00F62DCF"/>
    <w:rsid w:val="00F639E6"/>
    <w:rsid w:val="00F63CFE"/>
    <w:rsid w:val="00F642C8"/>
    <w:rsid w:val="00F645ED"/>
    <w:rsid w:val="00F64A90"/>
    <w:rsid w:val="00F64D90"/>
    <w:rsid w:val="00F650AE"/>
    <w:rsid w:val="00F659EB"/>
    <w:rsid w:val="00F66B35"/>
    <w:rsid w:val="00F67894"/>
    <w:rsid w:val="00F702E1"/>
    <w:rsid w:val="00F70302"/>
    <w:rsid w:val="00F707CB"/>
    <w:rsid w:val="00F7198E"/>
    <w:rsid w:val="00F722B3"/>
    <w:rsid w:val="00F7277B"/>
    <w:rsid w:val="00F72AC4"/>
    <w:rsid w:val="00F7353F"/>
    <w:rsid w:val="00F743E5"/>
    <w:rsid w:val="00F7686B"/>
    <w:rsid w:val="00F76BCF"/>
    <w:rsid w:val="00F7708C"/>
    <w:rsid w:val="00F7769C"/>
    <w:rsid w:val="00F776AE"/>
    <w:rsid w:val="00F77E41"/>
    <w:rsid w:val="00F8016D"/>
    <w:rsid w:val="00F81389"/>
    <w:rsid w:val="00F81551"/>
    <w:rsid w:val="00F81A8F"/>
    <w:rsid w:val="00F81FE5"/>
    <w:rsid w:val="00F82C30"/>
    <w:rsid w:val="00F8309A"/>
    <w:rsid w:val="00F831C0"/>
    <w:rsid w:val="00F8325E"/>
    <w:rsid w:val="00F832A4"/>
    <w:rsid w:val="00F835F1"/>
    <w:rsid w:val="00F83884"/>
    <w:rsid w:val="00F845B4"/>
    <w:rsid w:val="00F85AD2"/>
    <w:rsid w:val="00F86712"/>
    <w:rsid w:val="00F87471"/>
    <w:rsid w:val="00F87624"/>
    <w:rsid w:val="00F87B63"/>
    <w:rsid w:val="00F87D2C"/>
    <w:rsid w:val="00F90453"/>
    <w:rsid w:val="00F90D88"/>
    <w:rsid w:val="00F91245"/>
    <w:rsid w:val="00F9163F"/>
    <w:rsid w:val="00F92842"/>
    <w:rsid w:val="00F936E8"/>
    <w:rsid w:val="00F95D86"/>
    <w:rsid w:val="00F95EF5"/>
    <w:rsid w:val="00F96AE6"/>
    <w:rsid w:val="00F9709A"/>
    <w:rsid w:val="00FA0BA0"/>
    <w:rsid w:val="00FA186C"/>
    <w:rsid w:val="00FA29CA"/>
    <w:rsid w:val="00FA2B41"/>
    <w:rsid w:val="00FA2B51"/>
    <w:rsid w:val="00FA2D76"/>
    <w:rsid w:val="00FA3D15"/>
    <w:rsid w:val="00FA3F04"/>
    <w:rsid w:val="00FA3F62"/>
    <w:rsid w:val="00FA4600"/>
    <w:rsid w:val="00FA491F"/>
    <w:rsid w:val="00FA57FB"/>
    <w:rsid w:val="00FA5851"/>
    <w:rsid w:val="00FA647E"/>
    <w:rsid w:val="00FA693D"/>
    <w:rsid w:val="00FA6FED"/>
    <w:rsid w:val="00FA701C"/>
    <w:rsid w:val="00FB030B"/>
    <w:rsid w:val="00FB06E6"/>
    <w:rsid w:val="00FB10C0"/>
    <w:rsid w:val="00FB14C3"/>
    <w:rsid w:val="00FB182A"/>
    <w:rsid w:val="00FB28DF"/>
    <w:rsid w:val="00FB3756"/>
    <w:rsid w:val="00FB3E8F"/>
    <w:rsid w:val="00FB4E3A"/>
    <w:rsid w:val="00FB4E87"/>
    <w:rsid w:val="00FB50E8"/>
    <w:rsid w:val="00FB531C"/>
    <w:rsid w:val="00FB58F8"/>
    <w:rsid w:val="00FB5FAD"/>
    <w:rsid w:val="00FB5FE5"/>
    <w:rsid w:val="00FB62C8"/>
    <w:rsid w:val="00FB6807"/>
    <w:rsid w:val="00FB6F6F"/>
    <w:rsid w:val="00FB72F5"/>
    <w:rsid w:val="00FB7602"/>
    <w:rsid w:val="00FC0901"/>
    <w:rsid w:val="00FC17DF"/>
    <w:rsid w:val="00FC1C52"/>
    <w:rsid w:val="00FC26A7"/>
    <w:rsid w:val="00FC28BF"/>
    <w:rsid w:val="00FC30FA"/>
    <w:rsid w:val="00FC3190"/>
    <w:rsid w:val="00FC37FA"/>
    <w:rsid w:val="00FC40EF"/>
    <w:rsid w:val="00FC44D5"/>
    <w:rsid w:val="00FC455D"/>
    <w:rsid w:val="00FC4CF4"/>
    <w:rsid w:val="00FC57BC"/>
    <w:rsid w:val="00FC5AF9"/>
    <w:rsid w:val="00FC5E0C"/>
    <w:rsid w:val="00FC6445"/>
    <w:rsid w:val="00FC6C15"/>
    <w:rsid w:val="00FC6E53"/>
    <w:rsid w:val="00FC77CA"/>
    <w:rsid w:val="00FC7EDF"/>
    <w:rsid w:val="00FD0173"/>
    <w:rsid w:val="00FD02CF"/>
    <w:rsid w:val="00FD1048"/>
    <w:rsid w:val="00FD10CF"/>
    <w:rsid w:val="00FD16A0"/>
    <w:rsid w:val="00FD17F5"/>
    <w:rsid w:val="00FD1839"/>
    <w:rsid w:val="00FD1BBA"/>
    <w:rsid w:val="00FD225E"/>
    <w:rsid w:val="00FD2DF3"/>
    <w:rsid w:val="00FD3006"/>
    <w:rsid w:val="00FD3403"/>
    <w:rsid w:val="00FD411A"/>
    <w:rsid w:val="00FD4365"/>
    <w:rsid w:val="00FD60D1"/>
    <w:rsid w:val="00FD6EC1"/>
    <w:rsid w:val="00FD798B"/>
    <w:rsid w:val="00FD7B02"/>
    <w:rsid w:val="00FD7B8C"/>
    <w:rsid w:val="00FE0450"/>
    <w:rsid w:val="00FE045F"/>
    <w:rsid w:val="00FE0E3B"/>
    <w:rsid w:val="00FE0F14"/>
    <w:rsid w:val="00FE10E3"/>
    <w:rsid w:val="00FE1803"/>
    <w:rsid w:val="00FE20FA"/>
    <w:rsid w:val="00FE261A"/>
    <w:rsid w:val="00FE2DB8"/>
    <w:rsid w:val="00FE2E28"/>
    <w:rsid w:val="00FE34B3"/>
    <w:rsid w:val="00FE3689"/>
    <w:rsid w:val="00FE3B2A"/>
    <w:rsid w:val="00FE3FCA"/>
    <w:rsid w:val="00FE4112"/>
    <w:rsid w:val="00FE4E84"/>
    <w:rsid w:val="00FE6AE7"/>
    <w:rsid w:val="00FE7AFA"/>
    <w:rsid w:val="00FE7D94"/>
    <w:rsid w:val="00FF02D4"/>
    <w:rsid w:val="00FF034B"/>
    <w:rsid w:val="00FF0930"/>
    <w:rsid w:val="00FF0A5B"/>
    <w:rsid w:val="00FF115D"/>
    <w:rsid w:val="00FF13D2"/>
    <w:rsid w:val="00FF15D7"/>
    <w:rsid w:val="00FF2466"/>
    <w:rsid w:val="00FF25CE"/>
    <w:rsid w:val="00FF38D4"/>
    <w:rsid w:val="00FF43FA"/>
    <w:rsid w:val="00FF481F"/>
    <w:rsid w:val="00FF48A1"/>
    <w:rsid w:val="00FF4E28"/>
    <w:rsid w:val="00FF4EF7"/>
    <w:rsid w:val="00FF5B03"/>
    <w:rsid w:val="00FF5D8B"/>
    <w:rsid w:val="00FF5E3E"/>
    <w:rsid w:val="00FF6719"/>
    <w:rsid w:val="00FF7184"/>
    <w:rsid w:val="00FF762C"/>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3811A9"/>
    <w:rPr>
      <w:sz w:val="24"/>
      <w:szCs w:val="20"/>
    </w:rPr>
  </w:style>
  <w:style w:type="paragraph" w:styleId="Heading1">
    <w:name w:val="heading 1"/>
    <w:basedOn w:val="Normal"/>
    <w:next w:val="BodyText"/>
    <w:link w:val="Heading1Char"/>
    <w:uiPriority w:val="99"/>
    <w:qFormat/>
    <w:rsid w:val="00345816"/>
    <w:pPr>
      <w:keepNext/>
      <w:tabs>
        <w:tab w:val="left" w:pos="540"/>
      </w:tabs>
      <w:spacing w:after="12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tabs>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816"/>
    <w:rPr>
      <w:rFonts w:ascii="Arial" w:hAnsi="Arial" w:cs="Arial"/>
      <w:b/>
      <w:sz w:val="28"/>
      <w:szCs w:val="20"/>
    </w:rPr>
  </w:style>
  <w:style w:type="character" w:customStyle="1" w:styleId="Heading2Char">
    <w:name w:val="Heading 2 Char"/>
    <w:basedOn w:val="DefaultParagraphFont"/>
    <w:link w:val="Heading2"/>
    <w:uiPriority w:val="99"/>
    <w:locked/>
    <w:rsid w:val="001B13AE"/>
    <w:rPr>
      <w:rFonts w:ascii="Arial" w:hAnsi="Arial" w:cs="Arial"/>
      <w:b/>
      <w:bCs/>
      <w:iCs/>
      <w:sz w:val="24"/>
      <w:szCs w:val="28"/>
    </w:rPr>
  </w:style>
  <w:style w:type="character" w:customStyle="1" w:styleId="Heading3Char">
    <w:name w:val="Heading 3 Char"/>
    <w:basedOn w:val="DefaultParagraphFont"/>
    <w:link w:val="Heading3"/>
    <w:uiPriority w:val="99"/>
    <w:locked/>
    <w:rsid w:val="0029035C"/>
    <w:rPr>
      <w:rFonts w:ascii="Arial" w:hAnsi="Arial" w:cs="Arial"/>
      <w:b/>
      <w:bCs/>
      <w:sz w:val="24"/>
      <w:szCs w:val="24"/>
    </w:rPr>
  </w:style>
  <w:style w:type="character" w:customStyle="1" w:styleId="Heading4Char">
    <w:name w:val="Heading 4 Char"/>
    <w:basedOn w:val="DefaultParagraphFont"/>
    <w:link w:val="Heading4"/>
    <w:uiPriority w:val="99"/>
    <w:semiHidden/>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styleId="FootnoteReference">
    <w:name w:val="footnote reference"/>
    <w:aliases w:val="fr"/>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2enspsubgroup1"/>
    <w:link w:val="5ensptotalChar"/>
    <w:rsid w:val="003811A9"/>
    <w:pPr>
      <w:spacing w:before="20" w:after="20"/>
      <w:ind w:left="850"/>
    </w:pPr>
  </w:style>
  <w:style w:type="paragraph" w:customStyle="1" w:styleId="tabletitle-continued">
    <w:name w:val="table title - continued"/>
    <w:basedOn w:val="TableTitle"/>
    <w:rsid w:val="003811A9"/>
  </w:style>
  <w:style w:type="paragraph" w:customStyle="1" w:styleId="TableTitle">
    <w:name w:val="Table Title"/>
    <w:basedOn w:val="Normal"/>
    <w:link w:val="TableTitleChar"/>
    <w:qFormat/>
    <w:rsid w:val="003811A9"/>
    <w:pPr>
      <w:keepNext/>
      <w:tabs>
        <w:tab w:val="left" w:pos="3420"/>
      </w:tabs>
      <w:spacing w:before="240" w:after="120" w:line="253" w:lineRule="atLeast"/>
      <w:ind w:left="900" w:hanging="900"/>
    </w:pPr>
    <w:rPr>
      <w:rFonts w:ascii="Arial" w:eastAsia="MS Mincho" w:hAnsi="Arial"/>
      <w:b/>
      <w:kern w:val="2"/>
      <w:sz w:val="20"/>
    </w:rPr>
  </w:style>
  <w:style w:type="character" w:customStyle="1" w:styleId="TableTitleChar">
    <w:name w:val="Table Title Char"/>
    <w:basedOn w:val="DefaultParagraphFont"/>
    <w:link w:val="TableTitle"/>
    <w:locked/>
    <w:rsid w:val="002D24EF"/>
    <w:rPr>
      <w:rFonts w:ascii="Arial" w:eastAsia="MS Mincho" w:hAnsi="Arial"/>
      <w:b/>
      <w:kern w:val="2"/>
      <w:sz w:val="20"/>
      <w:szCs w:val="20"/>
    </w:rPr>
  </w:style>
  <w:style w:type="paragraph" w:styleId="TOC1">
    <w:name w:val="toc 1"/>
    <w:basedOn w:val="Normal"/>
    <w:next w:val="Normal"/>
    <w:autoRedefine/>
    <w:uiPriority w:val="39"/>
    <w:qFormat/>
    <w:rsid w:val="00B776D5"/>
    <w:pPr>
      <w:tabs>
        <w:tab w:val="right" w:leader="dot" w:pos="10224"/>
      </w:tabs>
      <w:spacing w:after="120" w:line="320" w:lineRule="atLeast"/>
      <w:ind w:left="360" w:right="778" w:hanging="360"/>
    </w:pPr>
    <w:rPr>
      <w:rFonts w:cs="Arial"/>
      <w:b/>
      <w:bCs/>
      <w:noProof/>
    </w:rPr>
  </w:style>
  <w:style w:type="paragraph" w:styleId="TOC2">
    <w:name w:val="toc 2"/>
    <w:basedOn w:val="Normal"/>
    <w:next w:val="Normal"/>
    <w:autoRedefine/>
    <w:uiPriority w:val="39"/>
    <w:qFormat/>
    <w:rsid w:val="00A01934"/>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A01934"/>
    <w:pPr>
      <w:tabs>
        <w:tab w:val="right" w:leader="dot" w:pos="10224"/>
      </w:tabs>
      <w:ind w:left="1080" w:hanging="360"/>
    </w:pPr>
    <w:rPr>
      <w:noProof/>
      <w:sz w:val="22"/>
    </w:rPr>
  </w:style>
  <w:style w:type="paragraph" w:styleId="TOC4">
    <w:name w:val="toc 4"/>
    <w:basedOn w:val="Normal"/>
    <w:next w:val="Normal"/>
    <w:autoRedefine/>
    <w:uiPriority w:val="99"/>
    <w:rsid w:val="0063081A"/>
    <w:pPr>
      <w:ind w:left="480"/>
    </w:pPr>
    <w:rPr>
      <w:sz w:val="20"/>
    </w:rPr>
  </w:style>
  <w:style w:type="paragraph" w:styleId="TOC5">
    <w:name w:val="toc 5"/>
    <w:basedOn w:val="Normal"/>
    <w:next w:val="Normal"/>
    <w:autoRedefine/>
    <w:uiPriority w:val="39"/>
    <w:rsid w:val="00835A08"/>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4"/>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6E77C8"/>
    <w:pPr>
      <w:keepNext/>
      <w:spacing w:before="240" w:after="120"/>
      <w:ind w:left="1233" w:hanging="1233"/>
    </w:pPr>
    <w:rPr>
      <w:rFonts w:cs="Arial"/>
      <w:noProof/>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3811A9"/>
    <w:rPr>
      <w:rFonts w:ascii="Arial" w:hAnsi="Arial"/>
      <w:sz w:val="18"/>
      <w:szCs w:val="18"/>
    </w:rPr>
  </w:style>
  <w:style w:type="character" w:customStyle="1" w:styleId="SourceChar">
    <w:name w:val="Source Char"/>
    <w:basedOn w:val="DefaultParagraphFont"/>
    <w:link w:val="Source"/>
    <w:uiPriority w:val="99"/>
    <w:locked/>
    <w:rsid w:val="00E71A45"/>
    <w:rPr>
      <w:rFonts w:ascii="Arial" w:hAnsi="Arial"/>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semiHidden/>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semiHidden/>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rsid w:val="00F33D5B"/>
    <w:pPr>
      <w:keepNext/>
      <w:spacing w:before="2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text">
    <w:name w:val="Table text"/>
    <w:basedOn w:val="Normal"/>
    <w:link w:val="TabletextChar"/>
    <w:rsid w:val="003811A9"/>
    <w:pPr>
      <w:keepNext/>
      <w:spacing w:before="10" w:after="10"/>
      <w:ind w:left="317" w:hanging="317"/>
    </w:pPr>
    <w:rPr>
      <w:rFonts w:ascii="Arial" w:hAnsi="Arial"/>
      <w:sz w:val="20"/>
    </w:rPr>
  </w:style>
  <w:style w:type="character" w:customStyle="1" w:styleId="TabletextChar">
    <w:name w:val="Table text Char"/>
    <w:basedOn w:val="DefaultParagraphFont"/>
    <w:link w:val="Tabletext"/>
    <w:locked/>
    <w:rsid w:val="009C0354"/>
    <w:rPr>
      <w:rFonts w:ascii="Arial" w:hAnsi="Arial"/>
      <w:sz w:val="20"/>
      <w:szCs w:val="20"/>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2enspsubgroup1">
    <w:name w:val="2 en sp (subgroup 1)"/>
    <w:basedOn w:val="Tabletext"/>
    <w:link w:val="2enspsubgroup1Char"/>
    <w:rsid w:val="003811A9"/>
    <w:pPr>
      <w:ind w:left="576" w:hanging="346"/>
    </w:pPr>
    <w:rPr>
      <w:kern w:val="2"/>
    </w:rPr>
  </w:style>
  <w:style w:type="paragraph" w:customStyle="1" w:styleId="4enspsubgroup2">
    <w:name w:val="4 en sp (subgroup 2)"/>
    <w:basedOn w:val="2enspsubgroup1"/>
    <w:rsid w:val="003811A9"/>
    <w:pPr>
      <w:ind w:left="794"/>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rsid w:val="003811A9"/>
    <w:pPr>
      <w:ind w:left="1019"/>
    </w:pPr>
  </w:style>
  <w:style w:type="paragraph" w:customStyle="1" w:styleId="AppendixTitle">
    <w:name w:val="Appendix Title"/>
    <w:basedOn w:val="Heading1"/>
    <w:link w:val="AppendixTitleChar"/>
    <w:uiPriority w:val="99"/>
    <w:rsid w:val="00593CCC"/>
    <w:p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E75430"/>
    <w:rPr>
      <w:rFonts w:ascii="Cambria" w:hAnsi="Cambria" w:cs="Times New Roman"/>
      <w:b/>
      <w:bCs/>
      <w:kern w:val="28"/>
      <w:sz w:val="32"/>
      <w:szCs w:val="32"/>
    </w:rPr>
  </w:style>
  <w:style w:type="paragraph" w:styleId="TOCHeading">
    <w:name w:val="TOC Heading"/>
    <w:basedOn w:val="Heading1"/>
    <w:uiPriority w:val="39"/>
    <w:qFormat/>
    <w:rsid w:val="001A6C33"/>
    <w:pPr>
      <w:keepNext w:val="0"/>
      <w:tabs>
        <w:tab w:val="clear" w:pos="540"/>
      </w:tabs>
      <w:spacing w:after="360"/>
      <w:outlineLvl w:val="9"/>
    </w:pPr>
    <w:rPr>
      <w:sz w:val="32"/>
    </w:rPr>
  </w:style>
  <w:style w:type="paragraph" w:customStyle="1" w:styleId="3ensptotalnosubgroup">
    <w:name w:val="3 en sp (total no subgroup)"/>
    <w:basedOn w:val="4enspsubgroup2"/>
    <w:rsid w:val="003811A9"/>
    <w:pPr>
      <w:ind w:left="677"/>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3811A9"/>
    <w:pPr>
      <w:spacing w:before="60" w:after="60"/>
      <w:ind w:left="0" w:firstLine="0"/>
      <w:jc w:val="right"/>
    </w:pPr>
    <w:rPr>
      <w:rFonts w:eastAsia="Calibri"/>
    </w:rPr>
  </w:style>
  <w:style w:type="character" w:customStyle="1" w:styleId="TableheadingChar">
    <w:name w:val="Table heading Char"/>
    <w:basedOn w:val="TabletextChar"/>
    <w:link w:val="Tableheading"/>
    <w:uiPriority w:val="99"/>
    <w:locked/>
    <w:rsid w:val="00EF1FA4"/>
    <w:rPr>
      <w:rFonts w:ascii="Arial" w:eastAsia="Calibri" w:hAnsi="Arial"/>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9B713A"/>
    <w:pPr>
      <w:tabs>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7"/>
      </w:numPr>
      <w:tabs>
        <w:tab w:val="clear" w:pos="720"/>
      </w:tabs>
      <w:spacing w:after="120"/>
      <w:ind w:left="1440"/>
    </w:pPr>
    <w:rPr>
      <w:sz w:val="24"/>
      <w:szCs w:val="20"/>
    </w:rPr>
  </w:style>
  <w:style w:type="character" w:styleId="Emphasis">
    <w:name w:val="Emphasis"/>
    <w:basedOn w:val="DefaultParagraphFont"/>
    <w:uiPriority w:val="20"/>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3811A9"/>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sz w:val="20"/>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3811A9"/>
    <w:pPr>
      <w:keepNext/>
      <w:spacing w:before="10" w:after="10"/>
      <w:jc w:val="right"/>
    </w:pPr>
    <w:rPr>
      <w:rFonts w:ascii="Arial" w:hAnsi="Arial" w:cs="Arial"/>
      <w:snapToGrid w:val="0"/>
      <w:sz w:val="20"/>
      <w:szCs w:val="20"/>
    </w:rPr>
  </w:style>
  <w:style w:type="character" w:customStyle="1" w:styleId="2enspsubgroup1Char">
    <w:name w:val="2 en sp (subgroup 1) Char"/>
    <w:basedOn w:val="TabletextChar"/>
    <w:link w:val="2enspsubgroup1"/>
    <w:locked/>
    <w:rsid w:val="00232D77"/>
    <w:rPr>
      <w:rFonts w:ascii="Arial" w:hAnsi="Arial"/>
      <w:kern w:val="2"/>
      <w:sz w:val="20"/>
      <w:szCs w:val="20"/>
    </w:rPr>
  </w:style>
  <w:style w:type="character" w:customStyle="1" w:styleId="5ensptotalChar">
    <w:name w:val="5 en sp (total) Char"/>
    <w:basedOn w:val="2enspsubgroup1Char"/>
    <w:link w:val="5ensptotal"/>
    <w:locked/>
    <w:rsid w:val="00232D77"/>
    <w:rPr>
      <w:rFonts w:ascii="Arial" w:hAnsi="Arial"/>
      <w:kern w:val="2"/>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99"/>
    <w:qFormat/>
    <w:rsid w:val="00554EC2"/>
    <w:pPr>
      <w:ind w:left="720"/>
    </w:pPr>
    <w:rPr>
      <w:rFonts w:ascii="Calibri" w:hAnsi="Calibri" w:cs="Arial"/>
      <w:sz w:val="20"/>
    </w:rPr>
  </w:style>
  <w:style w:type="paragraph" w:customStyle="1" w:styleId="ESHeading1">
    <w:name w:val="ES Heading 1"/>
    <w:basedOn w:val="Heading1"/>
    <w:uiPriority w:val="99"/>
    <w:rsid w:val="00232B72"/>
    <w:p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character" w:customStyle="1" w:styleId="apple-style-span">
    <w:name w:val="apple-style-span"/>
    <w:basedOn w:val="DefaultParagraphFont"/>
    <w:rsid w:val="00347B1A"/>
  </w:style>
  <w:style w:type="paragraph" w:customStyle="1" w:styleId="Source-8pt">
    <w:name w:val="Source - 8pt"/>
    <w:basedOn w:val="Normal"/>
    <w:qFormat/>
    <w:rsid w:val="003811A9"/>
    <w:rPr>
      <w:rFonts w:ascii="Arial" w:hAnsi="Arial"/>
      <w:sz w:val="16"/>
      <w:szCs w:val="16"/>
    </w:rPr>
  </w:style>
  <w:style w:type="paragraph" w:customStyle="1" w:styleId="Source-last">
    <w:name w:val="Source - last"/>
    <w:basedOn w:val="Normal"/>
    <w:qFormat/>
    <w:rsid w:val="003811A9"/>
    <w:pPr>
      <w:spacing w:after="240"/>
    </w:pPr>
    <w:rPr>
      <w:rFonts w:ascii="Arial" w:hAnsi="Arial"/>
      <w:sz w:val="18"/>
      <w:szCs w:val="16"/>
    </w:rPr>
  </w:style>
  <w:style w:type="paragraph" w:customStyle="1" w:styleId="Tableheadingcentered">
    <w:name w:val="Table heading centered"/>
    <w:basedOn w:val="Tabletext"/>
    <w:uiPriority w:val="99"/>
    <w:rsid w:val="003811A9"/>
    <w:pPr>
      <w:ind w:left="0" w:firstLine="0"/>
      <w:jc w:val="center"/>
    </w:pPr>
  </w:style>
  <w:style w:type="paragraph" w:customStyle="1" w:styleId="tabletitle0">
    <w:name w:val="table title"/>
    <w:basedOn w:val="Heading7"/>
    <w:uiPriority w:val="99"/>
    <w:rsid w:val="006F7BD5"/>
    <w:pPr>
      <w:tabs>
        <w:tab w:val="clear" w:pos="1296"/>
      </w:tabs>
      <w:overflowPunct w:val="0"/>
      <w:autoSpaceDE w:val="0"/>
      <w:autoSpaceDN w:val="0"/>
      <w:adjustRightInd w:val="0"/>
      <w:spacing w:before="240" w:after="60"/>
      <w:ind w:left="907" w:hanging="907"/>
      <w:jc w:val="left"/>
      <w:textAlignment w:val="baseline"/>
    </w:pPr>
    <w:rPr>
      <w:rFonts w:cs="Arial"/>
      <w:bCs/>
      <w:sz w:val="20"/>
    </w:rPr>
  </w:style>
  <w:style w:type="paragraph" w:customStyle="1" w:styleId="ListBullet22">
    <w:name w:val="List Bullet 22"/>
    <w:basedOn w:val="ListBullet"/>
    <w:uiPriority w:val="99"/>
    <w:rsid w:val="001848E6"/>
    <w:pPr>
      <w:keepNext/>
      <w:tabs>
        <w:tab w:val="num" w:pos="720"/>
        <w:tab w:val="num" w:pos="1080"/>
      </w:tabs>
      <w:spacing w:before="120"/>
      <w:ind w:left="1080" w:hanging="360"/>
    </w:pPr>
    <w:rPr>
      <w:szCs w:val="24"/>
    </w:rPr>
  </w:style>
  <w:style w:type="numbering" w:customStyle="1" w:styleId="OMBHeads">
    <w:name w:val="OMB_Heads"/>
    <w:rsid w:val="009B696C"/>
    <w:pPr>
      <w:numPr>
        <w:numId w:val="25"/>
      </w:numPr>
    </w:pPr>
  </w:style>
  <w:style w:type="paragraph" w:customStyle="1" w:styleId="body">
    <w:name w:val="body"/>
    <w:basedOn w:val="Normal"/>
    <w:link w:val="bodyChar"/>
    <w:qFormat/>
    <w:rsid w:val="00C9560A"/>
    <w:pPr>
      <w:spacing w:after="120" w:line="360" w:lineRule="auto"/>
      <w:ind w:firstLine="720"/>
    </w:pPr>
    <w:rPr>
      <w:szCs w:val="24"/>
    </w:rPr>
  </w:style>
  <w:style w:type="character" w:customStyle="1" w:styleId="bodyChar">
    <w:name w:val="body Char"/>
    <w:basedOn w:val="DefaultParagraphFont"/>
    <w:link w:val="body"/>
    <w:rsid w:val="00C9560A"/>
    <w:rPr>
      <w:sz w:val="24"/>
      <w:szCs w:val="24"/>
    </w:rPr>
  </w:style>
  <w:style w:type="paragraph" w:styleId="ListNumber3">
    <w:name w:val="List Number 3"/>
    <w:basedOn w:val="Normal"/>
    <w:uiPriority w:val="99"/>
    <w:unhideWhenUsed/>
    <w:locked/>
    <w:rsid w:val="00F03BB3"/>
    <w:pPr>
      <w:numPr>
        <w:numId w:val="2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lsdException w:name="toc 5" w:semiHidden="0" w:uiPriority="39"/>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3811A9"/>
    <w:rPr>
      <w:sz w:val="24"/>
      <w:szCs w:val="20"/>
    </w:rPr>
  </w:style>
  <w:style w:type="paragraph" w:styleId="Heading1">
    <w:name w:val="heading 1"/>
    <w:basedOn w:val="Normal"/>
    <w:next w:val="BodyText"/>
    <w:link w:val="Heading1Char"/>
    <w:uiPriority w:val="99"/>
    <w:qFormat/>
    <w:rsid w:val="00345816"/>
    <w:pPr>
      <w:keepNext/>
      <w:tabs>
        <w:tab w:val="left" w:pos="540"/>
      </w:tabs>
      <w:spacing w:after="12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tabs>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816"/>
    <w:rPr>
      <w:rFonts w:ascii="Arial" w:hAnsi="Arial" w:cs="Arial"/>
      <w:b/>
      <w:sz w:val="28"/>
      <w:szCs w:val="20"/>
    </w:rPr>
  </w:style>
  <w:style w:type="character" w:customStyle="1" w:styleId="Heading2Char">
    <w:name w:val="Heading 2 Char"/>
    <w:basedOn w:val="DefaultParagraphFont"/>
    <w:link w:val="Heading2"/>
    <w:uiPriority w:val="99"/>
    <w:locked/>
    <w:rsid w:val="001B13AE"/>
    <w:rPr>
      <w:rFonts w:ascii="Arial" w:hAnsi="Arial" w:cs="Arial"/>
      <w:b/>
      <w:bCs/>
      <w:iCs/>
      <w:sz w:val="24"/>
      <w:szCs w:val="28"/>
    </w:rPr>
  </w:style>
  <w:style w:type="character" w:customStyle="1" w:styleId="Heading3Char">
    <w:name w:val="Heading 3 Char"/>
    <w:basedOn w:val="DefaultParagraphFont"/>
    <w:link w:val="Heading3"/>
    <w:uiPriority w:val="99"/>
    <w:locked/>
    <w:rsid w:val="0029035C"/>
    <w:rPr>
      <w:rFonts w:ascii="Arial" w:hAnsi="Arial" w:cs="Arial"/>
      <w:b/>
      <w:bCs/>
      <w:sz w:val="24"/>
      <w:szCs w:val="24"/>
    </w:rPr>
  </w:style>
  <w:style w:type="character" w:customStyle="1" w:styleId="Heading4Char">
    <w:name w:val="Heading 4 Char"/>
    <w:basedOn w:val="DefaultParagraphFont"/>
    <w:link w:val="Heading4"/>
    <w:uiPriority w:val="99"/>
    <w:semiHidden/>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styleId="FootnoteReference">
    <w:name w:val="footnote reference"/>
    <w:aliases w:val="fr"/>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2enspsubgroup1"/>
    <w:link w:val="5ensptotalChar"/>
    <w:rsid w:val="003811A9"/>
    <w:pPr>
      <w:spacing w:before="20" w:after="20"/>
      <w:ind w:left="850"/>
    </w:pPr>
  </w:style>
  <w:style w:type="paragraph" w:customStyle="1" w:styleId="tabletitle-continued">
    <w:name w:val="table title - continued"/>
    <w:basedOn w:val="TableTitle"/>
    <w:rsid w:val="003811A9"/>
  </w:style>
  <w:style w:type="paragraph" w:customStyle="1" w:styleId="TableTitle">
    <w:name w:val="Table Title"/>
    <w:basedOn w:val="Normal"/>
    <w:link w:val="TableTitleChar"/>
    <w:qFormat/>
    <w:rsid w:val="003811A9"/>
    <w:pPr>
      <w:keepNext/>
      <w:tabs>
        <w:tab w:val="left" w:pos="3420"/>
      </w:tabs>
      <w:spacing w:before="240" w:after="120" w:line="253" w:lineRule="atLeast"/>
      <w:ind w:left="900" w:hanging="900"/>
    </w:pPr>
    <w:rPr>
      <w:rFonts w:ascii="Arial" w:eastAsia="MS Mincho" w:hAnsi="Arial"/>
      <w:b/>
      <w:kern w:val="2"/>
      <w:sz w:val="20"/>
    </w:rPr>
  </w:style>
  <w:style w:type="character" w:customStyle="1" w:styleId="TableTitleChar">
    <w:name w:val="Table Title Char"/>
    <w:basedOn w:val="DefaultParagraphFont"/>
    <w:link w:val="TableTitle"/>
    <w:locked/>
    <w:rsid w:val="002D24EF"/>
    <w:rPr>
      <w:rFonts w:ascii="Arial" w:eastAsia="MS Mincho" w:hAnsi="Arial"/>
      <w:b/>
      <w:kern w:val="2"/>
      <w:sz w:val="20"/>
      <w:szCs w:val="20"/>
    </w:rPr>
  </w:style>
  <w:style w:type="paragraph" w:styleId="TOC1">
    <w:name w:val="toc 1"/>
    <w:basedOn w:val="Normal"/>
    <w:next w:val="Normal"/>
    <w:autoRedefine/>
    <w:uiPriority w:val="39"/>
    <w:qFormat/>
    <w:rsid w:val="00B776D5"/>
    <w:pPr>
      <w:tabs>
        <w:tab w:val="right" w:leader="dot" w:pos="10224"/>
      </w:tabs>
      <w:spacing w:after="120" w:line="320" w:lineRule="atLeast"/>
      <w:ind w:left="360" w:right="778" w:hanging="360"/>
    </w:pPr>
    <w:rPr>
      <w:rFonts w:cs="Arial"/>
      <w:b/>
      <w:bCs/>
      <w:noProof/>
    </w:rPr>
  </w:style>
  <w:style w:type="paragraph" w:styleId="TOC2">
    <w:name w:val="toc 2"/>
    <w:basedOn w:val="Normal"/>
    <w:next w:val="Normal"/>
    <w:autoRedefine/>
    <w:uiPriority w:val="39"/>
    <w:qFormat/>
    <w:rsid w:val="00A01934"/>
    <w:pPr>
      <w:tabs>
        <w:tab w:val="right" w:leader="dot" w:pos="10224"/>
      </w:tabs>
      <w:spacing w:before="120" w:after="120"/>
      <w:ind w:left="720" w:right="778" w:hanging="360"/>
    </w:pPr>
    <w:rPr>
      <w:bCs/>
      <w:noProof/>
      <w:sz w:val="22"/>
    </w:rPr>
  </w:style>
  <w:style w:type="paragraph" w:styleId="TOC3">
    <w:name w:val="toc 3"/>
    <w:basedOn w:val="Normal"/>
    <w:next w:val="Normal"/>
    <w:autoRedefine/>
    <w:uiPriority w:val="39"/>
    <w:qFormat/>
    <w:rsid w:val="00A01934"/>
    <w:pPr>
      <w:tabs>
        <w:tab w:val="right" w:leader="dot" w:pos="10224"/>
      </w:tabs>
      <w:ind w:left="1080" w:hanging="360"/>
    </w:pPr>
    <w:rPr>
      <w:noProof/>
      <w:sz w:val="22"/>
    </w:rPr>
  </w:style>
  <w:style w:type="paragraph" w:styleId="TOC4">
    <w:name w:val="toc 4"/>
    <w:basedOn w:val="Normal"/>
    <w:next w:val="Normal"/>
    <w:autoRedefine/>
    <w:uiPriority w:val="99"/>
    <w:rsid w:val="0063081A"/>
    <w:pPr>
      <w:ind w:left="480"/>
    </w:pPr>
    <w:rPr>
      <w:sz w:val="20"/>
    </w:rPr>
  </w:style>
  <w:style w:type="paragraph" w:styleId="TOC5">
    <w:name w:val="toc 5"/>
    <w:basedOn w:val="Normal"/>
    <w:next w:val="Normal"/>
    <w:autoRedefine/>
    <w:uiPriority w:val="39"/>
    <w:rsid w:val="00835A08"/>
    <w:pPr>
      <w:tabs>
        <w:tab w:val="left" w:pos="1440"/>
        <w:tab w:val="right" w:leader="dot" w:pos="10224"/>
      </w:tabs>
      <w:spacing w:before="100" w:after="100"/>
      <w:ind w:left="1440" w:right="778" w:hanging="1080"/>
    </w:pPr>
    <w:rPr>
      <w:noProof/>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4"/>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6E77C8"/>
    <w:pPr>
      <w:keepNext/>
      <w:spacing w:before="240" w:after="120"/>
      <w:ind w:left="1233" w:hanging="1233"/>
    </w:pPr>
    <w:rPr>
      <w:rFonts w:cs="Arial"/>
      <w:noProof/>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3811A9"/>
    <w:rPr>
      <w:rFonts w:ascii="Arial" w:hAnsi="Arial"/>
      <w:sz w:val="18"/>
      <w:szCs w:val="18"/>
    </w:rPr>
  </w:style>
  <w:style w:type="character" w:customStyle="1" w:styleId="SourceChar">
    <w:name w:val="Source Char"/>
    <w:basedOn w:val="DefaultParagraphFont"/>
    <w:link w:val="Source"/>
    <w:uiPriority w:val="99"/>
    <w:locked/>
    <w:rsid w:val="00E71A45"/>
    <w:rPr>
      <w:rFonts w:ascii="Arial" w:hAnsi="Arial"/>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semiHidden/>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semiHidden/>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rsid w:val="00F33D5B"/>
    <w:pPr>
      <w:keepNext/>
      <w:spacing w:before="20"/>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text">
    <w:name w:val="Table text"/>
    <w:basedOn w:val="Normal"/>
    <w:link w:val="TabletextChar"/>
    <w:rsid w:val="003811A9"/>
    <w:pPr>
      <w:keepNext/>
      <w:spacing w:before="10" w:after="10"/>
      <w:ind w:left="317" w:hanging="317"/>
    </w:pPr>
    <w:rPr>
      <w:rFonts w:ascii="Arial" w:hAnsi="Arial"/>
      <w:sz w:val="20"/>
    </w:rPr>
  </w:style>
  <w:style w:type="character" w:customStyle="1" w:styleId="TabletextChar">
    <w:name w:val="Table text Char"/>
    <w:basedOn w:val="DefaultParagraphFont"/>
    <w:link w:val="Tabletext"/>
    <w:locked/>
    <w:rsid w:val="009C0354"/>
    <w:rPr>
      <w:rFonts w:ascii="Arial" w:hAnsi="Arial"/>
      <w:sz w:val="20"/>
      <w:szCs w:val="20"/>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2enspsubgroup1">
    <w:name w:val="2 en sp (subgroup 1)"/>
    <w:basedOn w:val="Tabletext"/>
    <w:link w:val="2enspsubgroup1Char"/>
    <w:rsid w:val="003811A9"/>
    <w:pPr>
      <w:ind w:left="576" w:hanging="346"/>
    </w:pPr>
    <w:rPr>
      <w:kern w:val="2"/>
    </w:rPr>
  </w:style>
  <w:style w:type="paragraph" w:customStyle="1" w:styleId="4enspsubgroup2">
    <w:name w:val="4 en sp (subgroup 2)"/>
    <w:basedOn w:val="2enspsubgroup1"/>
    <w:rsid w:val="003811A9"/>
    <w:pPr>
      <w:ind w:left="794"/>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rsid w:val="003811A9"/>
    <w:pPr>
      <w:ind w:left="1019"/>
    </w:pPr>
  </w:style>
  <w:style w:type="paragraph" w:customStyle="1" w:styleId="AppendixTitle">
    <w:name w:val="Appendix Title"/>
    <w:basedOn w:val="Heading1"/>
    <w:link w:val="AppendixTitleChar"/>
    <w:uiPriority w:val="99"/>
    <w:rsid w:val="00593CCC"/>
    <w:p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E75430"/>
    <w:rPr>
      <w:rFonts w:ascii="Cambria" w:hAnsi="Cambria" w:cs="Times New Roman"/>
      <w:b/>
      <w:bCs/>
      <w:kern w:val="28"/>
      <w:sz w:val="32"/>
      <w:szCs w:val="32"/>
    </w:rPr>
  </w:style>
  <w:style w:type="paragraph" w:styleId="TOCHeading">
    <w:name w:val="TOC Heading"/>
    <w:basedOn w:val="Heading1"/>
    <w:uiPriority w:val="39"/>
    <w:qFormat/>
    <w:rsid w:val="001A6C33"/>
    <w:pPr>
      <w:keepNext w:val="0"/>
      <w:tabs>
        <w:tab w:val="clear" w:pos="540"/>
      </w:tabs>
      <w:spacing w:after="360"/>
      <w:outlineLvl w:val="9"/>
    </w:pPr>
    <w:rPr>
      <w:sz w:val="32"/>
    </w:rPr>
  </w:style>
  <w:style w:type="paragraph" w:customStyle="1" w:styleId="3ensptotalnosubgroup">
    <w:name w:val="3 en sp (total no subgroup)"/>
    <w:basedOn w:val="4enspsubgroup2"/>
    <w:rsid w:val="003811A9"/>
    <w:pPr>
      <w:ind w:left="677"/>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3811A9"/>
    <w:pPr>
      <w:spacing w:before="60" w:after="60"/>
      <w:ind w:left="0" w:firstLine="0"/>
      <w:jc w:val="right"/>
    </w:pPr>
    <w:rPr>
      <w:rFonts w:eastAsia="Calibri"/>
    </w:rPr>
  </w:style>
  <w:style w:type="character" w:customStyle="1" w:styleId="TableheadingChar">
    <w:name w:val="Table heading Char"/>
    <w:basedOn w:val="TabletextChar"/>
    <w:link w:val="Tableheading"/>
    <w:uiPriority w:val="99"/>
    <w:locked/>
    <w:rsid w:val="00EF1FA4"/>
    <w:rPr>
      <w:rFonts w:ascii="Arial" w:eastAsia="Calibri" w:hAnsi="Arial"/>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9B713A"/>
    <w:pPr>
      <w:tabs>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7"/>
      </w:numPr>
      <w:tabs>
        <w:tab w:val="clear" w:pos="720"/>
      </w:tabs>
      <w:spacing w:after="120"/>
      <w:ind w:left="1440"/>
    </w:pPr>
    <w:rPr>
      <w:sz w:val="24"/>
      <w:szCs w:val="20"/>
    </w:rPr>
  </w:style>
  <w:style w:type="character" w:styleId="Emphasis">
    <w:name w:val="Emphasis"/>
    <w:basedOn w:val="DefaultParagraphFont"/>
    <w:uiPriority w:val="20"/>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3811A9"/>
    <w:pPr>
      <w:keepNext/>
      <w:spacing w:before="40" w:after="40"/>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sz w:val="20"/>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rsid w:val="003811A9"/>
    <w:pPr>
      <w:keepNext/>
      <w:spacing w:before="10" w:after="10"/>
      <w:jc w:val="right"/>
    </w:pPr>
    <w:rPr>
      <w:rFonts w:ascii="Arial" w:hAnsi="Arial" w:cs="Arial"/>
      <w:snapToGrid w:val="0"/>
      <w:sz w:val="20"/>
      <w:szCs w:val="20"/>
    </w:rPr>
  </w:style>
  <w:style w:type="character" w:customStyle="1" w:styleId="2enspsubgroup1Char">
    <w:name w:val="2 en sp (subgroup 1) Char"/>
    <w:basedOn w:val="TabletextChar"/>
    <w:link w:val="2enspsubgroup1"/>
    <w:locked/>
    <w:rsid w:val="00232D77"/>
    <w:rPr>
      <w:rFonts w:ascii="Arial" w:hAnsi="Arial"/>
      <w:kern w:val="2"/>
      <w:sz w:val="20"/>
      <w:szCs w:val="20"/>
    </w:rPr>
  </w:style>
  <w:style w:type="character" w:customStyle="1" w:styleId="5ensptotalChar">
    <w:name w:val="5 en sp (total) Char"/>
    <w:basedOn w:val="2enspsubgroup1Char"/>
    <w:link w:val="5ensptotal"/>
    <w:locked/>
    <w:rsid w:val="00232D77"/>
    <w:rPr>
      <w:rFonts w:ascii="Arial" w:hAnsi="Arial"/>
      <w:kern w:val="2"/>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99"/>
    <w:qFormat/>
    <w:rsid w:val="00554EC2"/>
    <w:pPr>
      <w:ind w:left="720"/>
    </w:pPr>
    <w:rPr>
      <w:rFonts w:ascii="Calibri" w:hAnsi="Calibri" w:cs="Arial"/>
      <w:sz w:val="20"/>
    </w:rPr>
  </w:style>
  <w:style w:type="paragraph" w:customStyle="1" w:styleId="ESHeading1">
    <w:name w:val="ES Heading 1"/>
    <w:basedOn w:val="Heading1"/>
    <w:uiPriority w:val="99"/>
    <w:rsid w:val="00232B72"/>
    <w:p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 w:type="character" w:customStyle="1" w:styleId="apple-style-span">
    <w:name w:val="apple-style-span"/>
    <w:basedOn w:val="DefaultParagraphFont"/>
    <w:rsid w:val="00347B1A"/>
  </w:style>
  <w:style w:type="paragraph" w:customStyle="1" w:styleId="Source-8pt">
    <w:name w:val="Source - 8pt"/>
    <w:basedOn w:val="Normal"/>
    <w:qFormat/>
    <w:rsid w:val="003811A9"/>
    <w:rPr>
      <w:rFonts w:ascii="Arial" w:hAnsi="Arial"/>
      <w:sz w:val="16"/>
      <w:szCs w:val="16"/>
    </w:rPr>
  </w:style>
  <w:style w:type="paragraph" w:customStyle="1" w:styleId="Source-last">
    <w:name w:val="Source - last"/>
    <w:basedOn w:val="Normal"/>
    <w:qFormat/>
    <w:rsid w:val="003811A9"/>
    <w:pPr>
      <w:spacing w:after="240"/>
    </w:pPr>
    <w:rPr>
      <w:rFonts w:ascii="Arial" w:hAnsi="Arial"/>
      <w:sz w:val="18"/>
      <w:szCs w:val="16"/>
    </w:rPr>
  </w:style>
  <w:style w:type="paragraph" w:customStyle="1" w:styleId="Tableheadingcentered">
    <w:name w:val="Table heading centered"/>
    <w:basedOn w:val="Tabletext"/>
    <w:uiPriority w:val="99"/>
    <w:rsid w:val="003811A9"/>
    <w:pPr>
      <w:ind w:left="0" w:firstLine="0"/>
      <w:jc w:val="center"/>
    </w:pPr>
  </w:style>
  <w:style w:type="paragraph" w:customStyle="1" w:styleId="tabletitle0">
    <w:name w:val="table title"/>
    <w:basedOn w:val="Heading7"/>
    <w:uiPriority w:val="99"/>
    <w:rsid w:val="006F7BD5"/>
    <w:pPr>
      <w:tabs>
        <w:tab w:val="clear" w:pos="1296"/>
      </w:tabs>
      <w:overflowPunct w:val="0"/>
      <w:autoSpaceDE w:val="0"/>
      <w:autoSpaceDN w:val="0"/>
      <w:adjustRightInd w:val="0"/>
      <w:spacing w:before="240" w:after="60"/>
      <w:ind w:left="907" w:hanging="907"/>
      <w:jc w:val="left"/>
      <w:textAlignment w:val="baseline"/>
    </w:pPr>
    <w:rPr>
      <w:rFonts w:cs="Arial"/>
      <w:bCs/>
      <w:sz w:val="20"/>
    </w:rPr>
  </w:style>
  <w:style w:type="paragraph" w:customStyle="1" w:styleId="ListBullet22">
    <w:name w:val="List Bullet 22"/>
    <w:basedOn w:val="ListBullet"/>
    <w:uiPriority w:val="99"/>
    <w:rsid w:val="001848E6"/>
    <w:pPr>
      <w:keepNext/>
      <w:tabs>
        <w:tab w:val="num" w:pos="720"/>
        <w:tab w:val="num" w:pos="1080"/>
      </w:tabs>
      <w:spacing w:before="120"/>
      <w:ind w:left="1080" w:hanging="360"/>
    </w:pPr>
    <w:rPr>
      <w:szCs w:val="24"/>
    </w:rPr>
  </w:style>
  <w:style w:type="numbering" w:customStyle="1" w:styleId="OMBHeads">
    <w:name w:val="OMB_Heads"/>
    <w:rsid w:val="009B696C"/>
    <w:pPr>
      <w:numPr>
        <w:numId w:val="25"/>
      </w:numPr>
    </w:pPr>
  </w:style>
  <w:style w:type="paragraph" w:customStyle="1" w:styleId="body">
    <w:name w:val="body"/>
    <w:basedOn w:val="Normal"/>
    <w:link w:val="bodyChar"/>
    <w:qFormat/>
    <w:rsid w:val="00C9560A"/>
    <w:pPr>
      <w:spacing w:after="120" w:line="360" w:lineRule="auto"/>
      <w:ind w:firstLine="720"/>
    </w:pPr>
    <w:rPr>
      <w:szCs w:val="24"/>
    </w:rPr>
  </w:style>
  <w:style w:type="character" w:customStyle="1" w:styleId="bodyChar">
    <w:name w:val="body Char"/>
    <w:basedOn w:val="DefaultParagraphFont"/>
    <w:link w:val="body"/>
    <w:rsid w:val="00C9560A"/>
    <w:rPr>
      <w:sz w:val="24"/>
      <w:szCs w:val="24"/>
    </w:rPr>
  </w:style>
  <w:style w:type="paragraph" w:styleId="ListNumber3">
    <w:name w:val="List Number 3"/>
    <w:basedOn w:val="Normal"/>
    <w:uiPriority w:val="99"/>
    <w:unhideWhenUsed/>
    <w:locked/>
    <w:rsid w:val="00F03BB3"/>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340">
      <w:bodyDiv w:val="1"/>
      <w:marLeft w:val="0"/>
      <w:marRight w:val="0"/>
      <w:marTop w:val="0"/>
      <w:marBottom w:val="0"/>
      <w:divBdr>
        <w:top w:val="none" w:sz="0" w:space="0" w:color="auto"/>
        <w:left w:val="none" w:sz="0" w:space="0" w:color="auto"/>
        <w:bottom w:val="none" w:sz="0" w:space="0" w:color="auto"/>
        <w:right w:val="none" w:sz="0" w:space="0" w:color="auto"/>
      </w:divBdr>
    </w:div>
    <w:div w:id="225846545">
      <w:marLeft w:val="0"/>
      <w:marRight w:val="0"/>
      <w:marTop w:val="0"/>
      <w:marBottom w:val="0"/>
      <w:divBdr>
        <w:top w:val="none" w:sz="0" w:space="0" w:color="auto"/>
        <w:left w:val="none" w:sz="0" w:space="0" w:color="auto"/>
        <w:bottom w:val="none" w:sz="0" w:space="0" w:color="auto"/>
        <w:right w:val="none" w:sz="0" w:space="0" w:color="auto"/>
      </w:divBdr>
    </w:div>
    <w:div w:id="225846546">
      <w:marLeft w:val="0"/>
      <w:marRight w:val="0"/>
      <w:marTop w:val="0"/>
      <w:marBottom w:val="0"/>
      <w:divBdr>
        <w:top w:val="none" w:sz="0" w:space="0" w:color="auto"/>
        <w:left w:val="none" w:sz="0" w:space="0" w:color="auto"/>
        <w:bottom w:val="none" w:sz="0" w:space="0" w:color="auto"/>
        <w:right w:val="none" w:sz="0" w:space="0" w:color="auto"/>
      </w:divBdr>
    </w:div>
    <w:div w:id="225846547">
      <w:marLeft w:val="0"/>
      <w:marRight w:val="0"/>
      <w:marTop w:val="0"/>
      <w:marBottom w:val="0"/>
      <w:divBdr>
        <w:top w:val="none" w:sz="0" w:space="0" w:color="auto"/>
        <w:left w:val="none" w:sz="0" w:space="0" w:color="auto"/>
        <w:bottom w:val="none" w:sz="0" w:space="0" w:color="auto"/>
        <w:right w:val="none" w:sz="0" w:space="0" w:color="auto"/>
      </w:divBdr>
    </w:div>
    <w:div w:id="225846549">
      <w:marLeft w:val="0"/>
      <w:marRight w:val="0"/>
      <w:marTop w:val="0"/>
      <w:marBottom w:val="0"/>
      <w:divBdr>
        <w:top w:val="none" w:sz="0" w:space="0" w:color="auto"/>
        <w:left w:val="none" w:sz="0" w:space="0" w:color="auto"/>
        <w:bottom w:val="none" w:sz="0" w:space="0" w:color="auto"/>
        <w:right w:val="none" w:sz="0" w:space="0" w:color="auto"/>
      </w:divBdr>
    </w:div>
    <w:div w:id="225846552">
      <w:marLeft w:val="0"/>
      <w:marRight w:val="0"/>
      <w:marTop w:val="0"/>
      <w:marBottom w:val="0"/>
      <w:divBdr>
        <w:top w:val="none" w:sz="0" w:space="0" w:color="auto"/>
        <w:left w:val="none" w:sz="0" w:space="0" w:color="auto"/>
        <w:bottom w:val="none" w:sz="0" w:space="0" w:color="auto"/>
        <w:right w:val="none" w:sz="0" w:space="0" w:color="auto"/>
      </w:divBdr>
    </w:div>
    <w:div w:id="225846553">
      <w:marLeft w:val="0"/>
      <w:marRight w:val="0"/>
      <w:marTop w:val="0"/>
      <w:marBottom w:val="0"/>
      <w:divBdr>
        <w:top w:val="none" w:sz="0" w:space="0" w:color="auto"/>
        <w:left w:val="none" w:sz="0" w:space="0" w:color="auto"/>
        <w:bottom w:val="none" w:sz="0" w:space="0" w:color="auto"/>
        <w:right w:val="none" w:sz="0" w:space="0" w:color="auto"/>
      </w:divBdr>
    </w:div>
    <w:div w:id="225846554">
      <w:marLeft w:val="0"/>
      <w:marRight w:val="0"/>
      <w:marTop w:val="0"/>
      <w:marBottom w:val="0"/>
      <w:divBdr>
        <w:top w:val="none" w:sz="0" w:space="0" w:color="auto"/>
        <w:left w:val="none" w:sz="0" w:space="0" w:color="auto"/>
        <w:bottom w:val="none" w:sz="0" w:space="0" w:color="auto"/>
        <w:right w:val="none" w:sz="0" w:space="0" w:color="auto"/>
      </w:divBdr>
    </w:div>
    <w:div w:id="225846555">
      <w:marLeft w:val="0"/>
      <w:marRight w:val="0"/>
      <w:marTop w:val="0"/>
      <w:marBottom w:val="0"/>
      <w:divBdr>
        <w:top w:val="none" w:sz="0" w:space="0" w:color="auto"/>
        <w:left w:val="none" w:sz="0" w:space="0" w:color="auto"/>
        <w:bottom w:val="none" w:sz="0" w:space="0" w:color="auto"/>
        <w:right w:val="none" w:sz="0" w:space="0" w:color="auto"/>
      </w:divBdr>
    </w:div>
    <w:div w:id="225846556">
      <w:marLeft w:val="0"/>
      <w:marRight w:val="0"/>
      <w:marTop w:val="0"/>
      <w:marBottom w:val="0"/>
      <w:divBdr>
        <w:top w:val="none" w:sz="0" w:space="0" w:color="auto"/>
        <w:left w:val="none" w:sz="0" w:space="0" w:color="auto"/>
        <w:bottom w:val="none" w:sz="0" w:space="0" w:color="auto"/>
        <w:right w:val="none" w:sz="0" w:space="0" w:color="auto"/>
      </w:divBdr>
    </w:div>
    <w:div w:id="225846557">
      <w:marLeft w:val="0"/>
      <w:marRight w:val="0"/>
      <w:marTop w:val="0"/>
      <w:marBottom w:val="0"/>
      <w:divBdr>
        <w:top w:val="none" w:sz="0" w:space="0" w:color="auto"/>
        <w:left w:val="none" w:sz="0" w:space="0" w:color="auto"/>
        <w:bottom w:val="none" w:sz="0" w:space="0" w:color="auto"/>
        <w:right w:val="none" w:sz="0" w:space="0" w:color="auto"/>
      </w:divBdr>
    </w:div>
    <w:div w:id="225846559">
      <w:marLeft w:val="0"/>
      <w:marRight w:val="0"/>
      <w:marTop w:val="0"/>
      <w:marBottom w:val="0"/>
      <w:divBdr>
        <w:top w:val="none" w:sz="0" w:space="0" w:color="auto"/>
        <w:left w:val="none" w:sz="0" w:space="0" w:color="auto"/>
        <w:bottom w:val="none" w:sz="0" w:space="0" w:color="auto"/>
        <w:right w:val="none" w:sz="0" w:space="0" w:color="auto"/>
      </w:divBdr>
      <w:divsChild>
        <w:div w:id="225846558">
          <w:marLeft w:val="0"/>
          <w:marRight w:val="0"/>
          <w:marTop w:val="0"/>
          <w:marBottom w:val="0"/>
          <w:divBdr>
            <w:top w:val="none" w:sz="0" w:space="0" w:color="auto"/>
            <w:left w:val="none" w:sz="0" w:space="0" w:color="auto"/>
            <w:bottom w:val="none" w:sz="0" w:space="0" w:color="auto"/>
            <w:right w:val="none" w:sz="0" w:space="0" w:color="auto"/>
          </w:divBdr>
        </w:div>
      </w:divsChild>
    </w:div>
    <w:div w:id="225846560">
      <w:marLeft w:val="0"/>
      <w:marRight w:val="0"/>
      <w:marTop w:val="0"/>
      <w:marBottom w:val="0"/>
      <w:divBdr>
        <w:top w:val="none" w:sz="0" w:space="0" w:color="auto"/>
        <w:left w:val="none" w:sz="0" w:space="0" w:color="auto"/>
        <w:bottom w:val="none" w:sz="0" w:space="0" w:color="auto"/>
        <w:right w:val="none" w:sz="0" w:space="0" w:color="auto"/>
      </w:divBdr>
    </w:div>
    <w:div w:id="225846562">
      <w:marLeft w:val="0"/>
      <w:marRight w:val="0"/>
      <w:marTop w:val="0"/>
      <w:marBottom w:val="0"/>
      <w:divBdr>
        <w:top w:val="none" w:sz="0" w:space="0" w:color="auto"/>
        <w:left w:val="none" w:sz="0" w:space="0" w:color="auto"/>
        <w:bottom w:val="none" w:sz="0" w:space="0" w:color="auto"/>
        <w:right w:val="none" w:sz="0" w:space="0" w:color="auto"/>
      </w:divBdr>
      <w:divsChild>
        <w:div w:id="225846561">
          <w:marLeft w:val="0"/>
          <w:marRight w:val="0"/>
          <w:marTop w:val="0"/>
          <w:marBottom w:val="0"/>
          <w:divBdr>
            <w:top w:val="none" w:sz="0" w:space="0" w:color="auto"/>
            <w:left w:val="none" w:sz="0" w:space="0" w:color="auto"/>
            <w:bottom w:val="none" w:sz="0" w:space="0" w:color="auto"/>
            <w:right w:val="none" w:sz="0" w:space="0" w:color="auto"/>
          </w:divBdr>
        </w:div>
      </w:divsChild>
    </w:div>
    <w:div w:id="225846563">
      <w:marLeft w:val="0"/>
      <w:marRight w:val="0"/>
      <w:marTop w:val="0"/>
      <w:marBottom w:val="0"/>
      <w:divBdr>
        <w:top w:val="none" w:sz="0" w:space="0" w:color="auto"/>
        <w:left w:val="none" w:sz="0" w:space="0" w:color="auto"/>
        <w:bottom w:val="none" w:sz="0" w:space="0" w:color="auto"/>
        <w:right w:val="none" w:sz="0" w:space="0" w:color="auto"/>
      </w:divBdr>
    </w:div>
    <w:div w:id="225846564">
      <w:marLeft w:val="0"/>
      <w:marRight w:val="0"/>
      <w:marTop w:val="0"/>
      <w:marBottom w:val="0"/>
      <w:divBdr>
        <w:top w:val="none" w:sz="0" w:space="0" w:color="auto"/>
        <w:left w:val="none" w:sz="0" w:space="0" w:color="auto"/>
        <w:bottom w:val="none" w:sz="0" w:space="0" w:color="auto"/>
        <w:right w:val="none" w:sz="0" w:space="0" w:color="auto"/>
      </w:divBdr>
    </w:div>
    <w:div w:id="225846565">
      <w:marLeft w:val="0"/>
      <w:marRight w:val="0"/>
      <w:marTop w:val="0"/>
      <w:marBottom w:val="0"/>
      <w:divBdr>
        <w:top w:val="none" w:sz="0" w:space="0" w:color="auto"/>
        <w:left w:val="none" w:sz="0" w:space="0" w:color="auto"/>
        <w:bottom w:val="none" w:sz="0" w:space="0" w:color="auto"/>
        <w:right w:val="none" w:sz="0" w:space="0" w:color="auto"/>
      </w:divBdr>
    </w:div>
    <w:div w:id="225846566">
      <w:marLeft w:val="0"/>
      <w:marRight w:val="0"/>
      <w:marTop w:val="0"/>
      <w:marBottom w:val="0"/>
      <w:divBdr>
        <w:top w:val="none" w:sz="0" w:space="0" w:color="auto"/>
        <w:left w:val="none" w:sz="0" w:space="0" w:color="auto"/>
        <w:bottom w:val="none" w:sz="0" w:space="0" w:color="auto"/>
        <w:right w:val="none" w:sz="0" w:space="0" w:color="auto"/>
      </w:divBdr>
    </w:div>
    <w:div w:id="225846567">
      <w:marLeft w:val="0"/>
      <w:marRight w:val="0"/>
      <w:marTop w:val="0"/>
      <w:marBottom w:val="0"/>
      <w:divBdr>
        <w:top w:val="none" w:sz="0" w:space="0" w:color="auto"/>
        <w:left w:val="none" w:sz="0" w:space="0" w:color="auto"/>
        <w:bottom w:val="none" w:sz="0" w:space="0" w:color="auto"/>
        <w:right w:val="none" w:sz="0" w:space="0" w:color="auto"/>
      </w:divBdr>
    </w:div>
    <w:div w:id="225846568">
      <w:marLeft w:val="0"/>
      <w:marRight w:val="0"/>
      <w:marTop w:val="0"/>
      <w:marBottom w:val="0"/>
      <w:divBdr>
        <w:top w:val="none" w:sz="0" w:space="0" w:color="auto"/>
        <w:left w:val="none" w:sz="0" w:space="0" w:color="auto"/>
        <w:bottom w:val="none" w:sz="0" w:space="0" w:color="auto"/>
        <w:right w:val="none" w:sz="0" w:space="0" w:color="auto"/>
      </w:divBdr>
    </w:div>
    <w:div w:id="225846569">
      <w:marLeft w:val="0"/>
      <w:marRight w:val="0"/>
      <w:marTop w:val="0"/>
      <w:marBottom w:val="0"/>
      <w:divBdr>
        <w:top w:val="none" w:sz="0" w:space="0" w:color="auto"/>
        <w:left w:val="none" w:sz="0" w:space="0" w:color="auto"/>
        <w:bottom w:val="none" w:sz="0" w:space="0" w:color="auto"/>
        <w:right w:val="none" w:sz="0" w:space="0" w:color="auto"/>
      </w:divBdr>
    </w:div>
    <w:div w:id="225846570">
      <w:marLeft w:val="0"/>
      <w:marRight w:val="0"/>
      <w:marTop w:val="0"/>
      <w:marBottom w:val="0"/>
      <w:divBdr>
        <w:top w:val="none" w:sz="0" w:space="0" w:color="auto"/>
        <w:left w:val="none" w:sz="0" w:space="0" w:color="auto"/>
        <w:bottom w:val="none" w:sz="0" w:space="0" w:color="auto"/>
        <w:right w:val="none" w:sz="0" w:space="0" w:color="auto"/>
      </w:divBdr>
    </w:div>
    <w:div w:id="225846571">
      <w:marLeft w:val="0"/>
      <w:marRight w:val="0"/>
      <w:marTop w:val="0"/>
      <w:marBottom w:val="0"/>
      <w:divBdr>
        <w:top w:val="none" w:sz="0" w:space="0" w:color="auto"/>
        <w:left w:val="none" w:sz="0" w:space="0" w:color="auto"/>
        <w:bottom w:val="none" w:sz="0" w:space="0" w:color="auto"/>
        <w:right w:val="none" w:sz="0" w:space="0" w:color="auto"/>
      </w:divBdr>
    </w:div>
    <w:div w:id="225846572">
      <w:marLeft w:val="0"/>
      <w:marRight w:val="0"/>
      <w:marTop w:val="0"/>
      <w:marBottom w:val="0"/>
      <w:divBdr>
        <w:top w:val="none" w:sz="0" w:space="0" w:color="auto"/>
        <w:left w:val="none" w:sz="0" w:space="0" w:color="auto"/>
        <w:bottom w:val="none" w:sz="0" w:space="0" w:color="auto"/>
        <w:right w:val="none" w:sz="0" w:space="0" w:color="auto"/>
      </w:divBdr>
    </w:div>
    <w:div w:id="225846573">
      <w:marLeft w:val="0"/>
      <w:marRight w:val="0"/>
      <w:marTop w:val="0"/>
      <w:marBottom w:val="0"/>
      <w:divBdr>
        <w:top w:val="none" w:sz="0" w:space="0" w:color="auto"/>
        <w:left w:val="none" w:sz="0" w:space="0" w:color="auto"/>
        <w:bottom w:val="none" w:sz="0" w:space="0" w:color="auto"/>
        <w:right w:val="none" w:sz="0" w:space="0" w:color="auto"/>
      </w:divBdr>
    </w:div>
    <w:div w:id="225846574">
      <w:marLeft w:val="0"/>
      <w:marRight w:val="0"/>
      <w:marTop w:val="0"/>
      <w:marBottom w:val="0"/>
      <w:divBdr>
        <w:top w:val="none" w:sz="0" w:space="0" w:color="auto"/>
        <w:left w:val="none" w:sz="0" w:space="0" w:color="auto"/>
        <w:bottom w:val="none" w:sz="0" w:space="0" w:color="auto"/>
        <w:right w:val="none" w:sz="0" w:space="0" w:color="auto"/>
      </w:divBdr>
    </w:div>
    <w:div w:id="225846575">
      <w:marLeft w:val="0"/>
      <w:marRight w:val="0"/>
      <w:marTop w:val="0"/>
      <w:marBottom w:val="0"/>
      <w:divBdr>
        <w:top w:val="none" w:sz="0" w:space="0" w:color="auto"/>
        <w:left w:val="none" w:sz="0" w:space="0" w:color="auto"/>
        <w:bottom w:val="none" w:sz="0" w:space="0" w:color="auto"/>
        <w:right w:val="none" w:sz="0" w:space="0" w:color="auto"/>
      </w:divBdr>
      <w:divsChild>
        <w:div w:id="225846550">
          <w:marLeft w:val="0"/>
          <w:marRight w:val="0"/>
          <w:marTop w:val="0"/>
          <w:marBottom w:val="0"/>
          <w:divBdr>
            <w:top w:val="none" w:sz="0" w:space="0" w:color="auto"/>
            <w:left w:val="none" w:sz="0" w:space="0" w:color="auto"/>
            <w:bottom w:val="none" w:sz="0" w:space="0" w:color="auto"/>
            <w:right w:val="none" w:sz="0" w:space="0" w:color="auto"/>
          </w:divBdr>
          <w:divsChild>
            <w:div w:id="225846544">
              <w:marLeft w:val="0"/>
              <w:marRight w:val="0"/>
              <w:marTop w:val="0"/>
              <w:marBottom w:val="0"/>
              <w:divBdr>
                <w:top w:val="none" w:sz="0" w:space="0" w:color="auto"/>
                <w:left w:val="none" w:sz="0" w:space="0" w:color="auto"/>
                <w:bottom w:val="none" w:sz="0" w:space="0" w:color="auto"/>
                <w:right w:val="none" w:sz="0" w:space="0" w:color="auto"/>
              </w:divBdr>
              <w:divsChild>
                <w:div w:id="225846551">
                  <w:marLeft w:val="0"/>
                  <w:marRight w:val="0"/>
                  <w:marTop w:val="225"/>
                  <w:marBottom w:val="225"/>
                  <w:divBdr>
                    <w:top w:val="none" w:sz="0" w:space="0" w:color="auto"/>
                    <w:left w:val="none" w:sz="0" w:space="0" w:color="auto"/>
                    <w:bottom w:val="none" w:sz="0" w:space="0" w:color="auto"/>
                    <w:right w:val="none" w:sz="0" w:space="0" w:color="auto"/>
                  </w:divBdr>
                  <w:divsChild>
                    <w:div w:id="225846576">
                      <w:marLeft w:val="0"/>
                      <w:marRight w:val="0"/>
                      <w:marTop w:val="0"/>
                      <w:marBottom w:val="0"/>
                      <w:divBdr>
                        <w:top w:val="none" w:sz="0" w:space="0" w:color="auto"/>
                        <w:left w:val="none" w:sz="0" w:space="0" w:color="auto"/>
                        <w:bottom w:val="none" w:sz="0" w:space="0" w:color="auto"/>
                        <w:right w:val="none" w:sz="0" w:space="0" w:color="auto"/>
                      </w:divBdr>
                      <w:divsChild>
                        <w:div w:id="2258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846577">
      <w:marLeft w:val="0"/>
      <w:marRight w:val="0"/>
      <w:marTop w:val="0"/>
      <w:marBottom w:val="0"/>
      <w:divBdr>
        <w:top w:val="none" w:sz="0" w:space="0" w:color="auto"/>
        <w:left w:val="none" w:sz="0" w:space="0" w:color="auto"/>
        <w:bottom w:val="none" w:sz="0" w:space="0" w:color="auto"/>
        <w:right w:val="none" w:sz="0" w:space="0" w:color="auto"/>
      </w:divBdr>
    </w:div>
    <w:div w:id="225846578">
      <w:marLeft w:val="0"/>
      <w:marRight w:val="0"/>
      <w:marTop w:val="0"/>
      <w:marBottom w:val="0"/>
      <w:divBdr>
        <w:top w:val="none" w:sz="0" w:space="0" w:color="auto"/>
        <w:left w:val="none" w:sz="0" w:space="0" w:color="auto"/>
        <w:bottom w:val="none" w:sz="0" w:space="0" w:color="auto"/>
        <w:right w:val="none" w:sz="0" w:space="0" w:color="auto"/>
      </w:divBdr>
    </w:div>
    <w:div w:id="225846579">
      <w:marLeft w:val="0"/>
      <w:marRight w:val="0"/>
      <w:marTop w:val="0"/>
      <w:marBottom w:val="0"/>
      <w:divBdr>
        <w:top w:val="none" w:sz="0" w:space="0" w:color="auto"/>
        <w:left w:val="none" w:sz="0" w:space="0" w:color="auto"/>
        <w:bottom w:val="none" w:sz="0" w:space="0" w:color="auto"/>
        <w:right w:val="none" w:sz="0" w:space="0" w:color="auto"/>
      </w:divBdr>
    </w:div>
    <w:div w:id="225846580">
      <w:marLeft w:val="0"/>
      <w:marRight w:val="0"/>
      <w:marTop w:val="0"/>
      <w:marBottom w:val="0"/>
      <w:divBdr>
        <w:top w:val="none" w:sz="0" w:space="0" w:color="auto"/>
        <w:left w:val="none" w:sz="0" w:space="0" w:color="auto"/>
        <w:bottom w:val="none" w:sz="0" w:space="0" w:color="auto"/>
        <w:right w:val="none" w:sz="0" w:space="0" w:color="auto"/>
      </w:divBdr>
    </w:div>
    <w:div w:id="225846582">
      <w:marLeft w:val="0"/>
      <w:marRight w:val="0"/>
      <w:marTop w:val="0"/>
      <w:marBottom w:val="0"/>
      <w:divBdr>
        <w:top w:val="none" w:sz="0" w:space="0" w:color="auto"/>
        <w:left w:val="none" w:sz="0" w:space="0" w:color="auto"/>
        <w:bottom w:val="none" w:sz="0" w:space="0" w:color="auto"/>
        <w:right w:val="none" w:sz="0" w:space="0" w:color="auto"/>
      </w:divBdr>
    </w:div>
    <w:div w:id="225846583">
      <w:marLeft w:val="0"/>
      <w:marRight w:val="0"/>
      <w:marTop w:val="0"/>
      <w:marBottom w:val="0"/>
      <w:divBdr>
        <w:top w:val="none" w:sz="0" w:space="0" w:color="auto"/>
        <w:left w:val="none" w:sz="0" w:space="0" w:color="auto"/>
        <w:bottom w:val="none" w:sz="0" w:space="0" w:color="auto"/>
        <w:right w:val="none" w:sz="0" w:space="0" w:color="auto"/>
      </w:divBdr>
    </w:div>
    <w:div w:id="225846584">
      <w:marLeft w:val="0"/>
      <w:marRight w:val="0"/>
      <w:marTop w:val="0"/>
      <w:marBottom w:val="0"/>
      <w:divBdr>
        <w:top w:val="none" w:sz="0" w:space="0" w:color="auto"/>
        <w:left w:val="none" w:sz="0" w:space="0" w:color="auto"/>
        <w:bottom w:val="none" w:sz="0" w:space="0" w:color="auto"/>
        <w:right w:val="none" w:sz="0" w:space="0" w:color="auto"/>
      </w:divBdr>
    </w:div>
    <w:div w:id="225846586">
      <w:marLeft w:val="0"/>
      <w:marRight w:val="0"/>
      <w:marTop w:val="0"/>
      <w:marBottom w:val="0"/>
      <w:divBdr>
        <w:top w:val="none" w:sz="0" w:space="0" w:color="auto"/>
        <w:left w:val="none" w:sz="0" w:space="0" w:color="auto"/>
        <w:bottom w:val="none" w:sz="0" w:space="0" w:color="auto"/>
        <w:right w:val="none" w:sz="0" w:space="0" w:color="auto"/>
      </w:divBdr>
    </w:div>
    <w:div w:id="225846589">
      <w:marLeft w:val="0"/>
      <w:marRight w:val="0"/>
      <w:marTop w:val="0"/>
      <w:marBottom w:val="0"/>
      <w:divBdr>
        <w:top w:val="none" w:sz="0" w:space="0" w:color="auto"/>
        <w:left w:val="none" w:sz="0" w:space="0" w:color="auto"/>
        <w:bottom w:val="none" w:sz="0" w:space="0" w:color="auto"/>
        <w:right w:val="none" w:sz="0" w:space="0" w:color="auto"/>
      </w:divBdr>
    </w:div>
    <w:div w:id="225846590">
      <w:marLeft w:val="0"/>
      <w:marRight w:val="0"/>
      <w:marTop w:val="0"/>
      <w:marBottom w:val="0"/>
      <w:divBdr>
        <w:top w:val="none" w:sz="0" w:space="0" w:color="auto"/>
        <w:left w:val="none" w:sz="0" w:space="0" w:color="auto"/>
        <w:bottom w:val="none" w:sz="0" w:space="0" w:color="auto"/>
        <w:right w:val="none" w:sz="0" w:space="0" w:color="auto"/>
      </w:divBdr>
    </w:div>
    <w:div w:id="225846591">
      <w:marLeft w:val="0"/>
      <w:marRight w:val="0"/>
      <w:marTop w:val="0"/>
      <w:marBottom w:val="0"/>
      <w:divBdr>
        <w:top w:val="none" w:sz="0" w:space="0" w:color="auto"/>
        <w:left w:val="none" w:sz="0" w:space="0" w:color="auto"/>
        <w:bottom w:val="none" w:sz="0" w:space="0" w:color="auto"/>
        <w:right w:val="none" w:sz="0" w:space="0" w:color="auto"/>
      </w:divBdr>
    </w:div>
    <w:div w:id="225846592">
      <w:marLeft w:val="0"/>
      <w:marRight w:val="0"/>
      <w:marTop w:val="0"/>
      <w:marBottom w:val="0"/>
      <w:divBdr>
        <w:top w:val="none" w:sz="0" w:space="0" w:color="auto"/>
        <w:left w:val="none" w:sz="0" w:space="0" w:color="auto"/>
        <w:bottom w:val="none" w:sz="0" w:space="0" w:color="auto"/>
        <w:right w:val="none" w:sz="0" w:space="0" w:color="auto"/>
      </w:divBdr>
    </w:div>
    <w:div w:id="225846593">
      <w:marLeft w:val="0"/>
      <w:marRight w:val="0"/>
      <w:marTop w:val="0"/>
      <w:marBottom w:val="0"/>
      <w:divBdr>
        <w:top w:val="none" w:sz="0" w:space="0" w:color="auto"/>
        <w:left w:val="none" w:sz="0" w:space="0" w:color="auto"/>
        <w:bottom w:val="none" w:sz="0" w:space="0" w:color="auto"/>
        <w:right w:val="none" w:sz="0" w:space="0" w:color="auto"/>
      </w:divBdr>
    </w:div>
    <w:div w:id="225846594">
      <w:marLeft w:val="0"/>
      <w:marRight w:val="0"/>
      <w:marTop w:val="0"/>
      <w:marBottom w:val="0"/>
      <w:divBdr>
        <w:top w:val="none" w:sz="0" w:space="0" w:color="auto"/>
        <w:left w:val="none" w:sz="0" w:space="0" w:color="auto"/>
        <w:bottom w:val="none" w:sz="0" w:space="0" w:color="auto"/>
        <w:right w:val="none" w:sz="0" w:space="0" w:color="auto"/>
      </w:divBdr>
    </w:div>
    <w:div w:id="225846596">
      <w:marLeft w:val="0"/>
      <w:marRight w:val="0"/>
      <w:marTop w:val="0"/>
      <w:marBottom w:val="0"/>
      <w:divBdr>
        <w:top w:val="none" w:sz="0" w:space="0" w:color="auto"/>
        <w:left w:val="none" w:sz="0" w:space="0" w:color="auto"/>
        <w:bottom w:val="none" w:sz="0" w:space="0" w:color="auto"/>
        <w:right w:val="none" w:sz="0" w:space="0" w:color="auto"/>
      </w:divBdr>
      <w:divsChild>
        <w:div w:id="225846595">
          <w:marLeft w:val="0"/>
          <w:marRight w:val="0"/>
          <w:marTop w:val="0"/>
          <w:marBottom w:val="0"/>
          <w:divBdr>
            <w:top w:val="none" w:sz="0" w:space="0" w:color="auto"/>
            <w:left w:val="none" w:sz="0" w:space="0" w:color="auto"/>
            <w:bottom w:val="none" w:sz="0" w:space="0" w:color="auto"/>
            <w:right w:val="none" w:sz="0" w:space="0" w:color="auto"/>
          </w:divBdr>
        </w:div>
      </w:divsChild>
    </w:div>
    <w:div w:id="225846597">
      <w:marLeft w:val="0"/>
      <w:marRight w:val="0"/>
      <w:marTop w:val="0"/>
      <w:marBottom w:val="0"/>
      <w:divBdr>
        <w:top w:val="none" w:sz="0" w:space="0" w:color="auto"/>
        <w:left w:val="none" w:sz="0" w:space="0" w:color="auto"/>
        <w:bottom w:val="none" w:sz="0" w:space="0" w:color="auto"/>
        <w:right w:val="none" w:sz="0" w:space="0" w:color="auto"/>
      </w:divBdr>
    </w:div>
    <w:div w:id="225846599">
      <w:marLeft w:val="0"/>
      <w:marRight w:val="0"/>
      <w:marTop w:val="0"/>
      <w:marBottom w:val="0"/>
      <w:divBdr>
        <w:top w:val="none" w:sz="0" w:space="0" w:color="auto"/>
        <w:left w:val="none" w:sz="0" w:space="0" w:color="auto"/>
        <w:bottom w:val="none" w:sz="0" w:space="0" w:color="auto"/>
        <w:right w:val="none" w:sz="0" w:space="0" w:color="auto"/>
      </w:divBdr>
      <w:divsChild>
        <w:div w:id="225846598">
          <w:marLeft w:val="0"/>
          <w:marRight w:val="0"/>
          <w:marTop w:val="0"/>
          <w:marBottom w:val="0"/>
          <w:divBdr>
            <w:top w:val="none" w:sz="0" w:space="0" w:color="auto"/>
            <w:left w:val="none" w:sz="0" w:space="0" w:color="auto"/>
            <w:bottom w:val="none" w:sz="0" w:space="0" w:color="auto"/>
            <w:right w:val="none" w:sz="0" w:space="0" w:color="auto"/>
          </w:divBdr>
        </w:div>
      </w:divsChild>
    </w:div>
    <w:div w:id="225846600">
      <w:marLeft w:val="0"/>
      <w:marRight w:val="0"/>
      <w:marTop w:val="0"/>
      <w:marBottom w:val="0"/>
      <w:divBdr>
        <w:top w:val="none" w:sz="0" w:space="0" w:color="auto"/>
        <w:left w:val="none" w:sz="0" w:space="0" w:color="auto"/>
        <w:bottom w:val="none" w:sz="0" w:space="0" w:color="auto"/>
        <w:right w:val="none" w:sz="0" w:space="0" w:color="auto"/>
      </w:divBdr>
    </w:div>
    <w:div w:id="225846601">
      <w:marLeft w:val="0"/>
      <w:marRight w:val="0"/>
      <w:marTop w:val="0"/>
      <w:marBottom w:val="0"/>
      <w:divBdr>
        <w:top w:val="none" w:sz="0" w:space="0" w:color="auto"/>
        <w:left w:val="none" w:sz="0" w:space="0" w:color="auto"/>
        <w:bottom w:val="none" w:sz="0" w:space="0" w:color="auto"/>
        <w:right w:val="none" w:sz="0" w:space="0" w:color="auto"/>
      </w:divBdr>
    </w:div>
    <w:div w:id="225846602">
      <w:marLeft w:val="0"/>
      <w:marRight w:val="0"/>
      <w:marTop w:val="0"/>
      <w:marBottom w:val="0"/>
      <w:divBdr>
        <w:top w:val="none" w:sz="0" w:space="0" w:color="auto"/>
        <w:left w:val="none" w:sz="0" w:space="0" w:color="auto"/>
        <w:bottom w:val="none" w:sz="0" w:space="0" w:color="auto"/>
        <w:right w:val="none" w:sz="0" w:space="0" w:color="auto"/>
      </w:divBdr>
    </w:div>
    <w:div w:id="225846603">
      <w:marLeft w:val="0"/>
      <w:marRight w:val="0"/>
      <w:marTop w:val="0"/>
      <w:marBottom w:val="0"/>
      <w:divBdr>
        <w:top w:val="none" w:sz="0" w:space="0" w:color="auto"/>
        <w:left w:val="none" w:sz="0" w:space="0" w:color="auto"/>
        <w:bottom w:val="none" w:sz="0" w:space="0" w:color="auto"/>
        <w:right w:val="none" w:sz="0" w:space="0" w:color="auto"/>
      </w:divBdr>
    </w:div>
    <w:div w:id="225846604">
      <w:marLeft w:val="0"/>
      <w:marRight w:val="0"/>
      <w:marTop w:val="0"/>
      <w:marBottom w:val="0"/>
      <w:divBdr>
        <w:top w:val="none" w:sz="0" w:space="0" w:color="auto"/>
        <w:left w:val="none" w:sz="0" w:space="0" w:color="auto"/>
        <w:bottom w:val="none" w:sz="0" w:space="0" w:color="auto"/>
        <w:right w:val="none" w:sz="0" w:space="0" w:color="auto"/>
      </w:divBdr>
    </w:div>
    <w:div w:id="225846605">
      <w:marLeft w:val="0"/>
      <w:marRight w:val="0"/>
      <w:marTop w:val="0"/>
      <w:marBottom w:val="0"/>
      <w:divBdr>
        <w:top w:val="none" w:sz="0" w:space="0" w:color="auto"/>
        <w:left w:val="none" w:sz="0" w:space="0" w:color="auto"/>
        <w:bottom w:val="none" w:sz="0" w:space="0" w:color="auto"/>
        <w:right w:val="none" w:sz="0" w:space="0" w:color="auto"/>
      </w:divBdr>
    </w:div>
    <w:div w:id="225846606">
      <w:marLeft w:val="0"/>
      <w:marRight w:val="0"/>
      <w:marTop w:val="0"/>
      <w:marBottom w:val="0"/>
      <w:divBdr>
        <w:top w:val="none" w:sz="0" w:space="0" w:color="auto"/>
        <w:left w:val="none" w:sz="0" w:space="0" w:color="auto"/>
        <w:bottom w:val="none" w:sz="0" w:space="0" w:color="auto"/>
        <w:right w:val="none" w:sz="0" w:space="0" w:color="auto"/>
      </w:divBdr>
    </w:div>
    <w:div w:id="225846607">
      <w:marLeft w:val="0"/>
      <w:marRight w:val="0"/>
      <w:marTop w:val="0"/>
      <w:marBottom w:val="0"/>
      <w:divBdr>
        <w:top w:val="none" w:sz="0" w:space="0" w:color="auto"/>
        <w:left w:val="none" w:sz="0" w:space="0" w:color="auto"/>
        <w:bottom w:val="none" w:sz="0" w:space="0" w:color="auto"/>
        <w:right w:val="none" w:sz="0" w:space="0" w:color="auto"/>
      </w:divBdr>
    </w:div>
    <w:div w:id="225846608">
      <w:marLeft w:val="0"/>
      <w:marRight w:val="0"/>
      <w:marTop w:val="0"/>
      <w:marBottom w:val="0"/>
      <w:divBdr>
        <w:top w:val="none" w:sz="0" w:space="0" w:color="auto"/>
        <w:left w:val="none" w:sz="0" w:space="0" w:color="auto"/>
        <w:bottom w:val="none" w:sz="0" w:space="0" w:color="auto"/>
        <w:right w:val="none" w:sz="0" w:space="0" w:color="auto"/>
      </w:divBdr>
    </w:div>
    <w:div w:id="225846609">
      <w:marLeft w:val="0"/>
      <w:marRight w:val="0"/>
      <w:marTop w:val="0"/>
      <w:marBottom w:val="0"/>
      <w:divBdr>
        <w:top w:val="none" w:sz="0" w:space="0" w:color="auto"/>
        <w:left w:val="none" w:sz="0" w:space="0" w:color="auto"/>
        <w:bottom w:val="none" w:sz="0" w:space="0" w:color="auto"/>
        <w:right w:val="none" w:sz="0" w:space="0" w:color="auto"/>
      </w:divBdr>
    </w:div>
    <w:div w:id="225846610">
      <w:marLeft w:val="0"/>
      <w:marRight w:val="0"/>
      <w:marTop w:val="0"/>
      <w:marBottom w:val="0"/>
      <w:divBdr>
        <w:top w:val="none" w:sz="0" w:space="0" w:color="auto"/>
        <w:left w:val="none" w:sz="0" w:space="0" w:color="auto"/>
        <w:bottom w:val="none" w:sz="0" w:space="0" w:color="auto"/>
        <w:right w:val="none" w:sz="0" w:space="0" w:color="auto"/>
      </w:divBdr>
    </w:div>
    <w:div w:id="225846611">
      <w:marLeft w:val="0"/>
      <w:marRight w:val="0"/>
      <w:marTop w:val="0"/>
      <w:marBottom w:val="0"/>
      <w:divBdr>
        <w:top w:val="none" w:sz="0" w:space="0" w:color="auto"/>
        <w:left w:val="none" w:sz="0" w:space="0" w:color="auto"/>
        <w:bottom w:val="none" w:sz="0" w:space="0" w:color="auto"/>
        <w:right w:val="none" w:sz="0" w:space="0" w:color="auto"/>
      </w:divBdr>
    </w:div>
    <w:div w:id="225846612">
      <w:marLeft w:val="0"/>
      <w:marRight w:val="0"/>
      <w:marTop w:val="0"/>
      <w:marBottom w:val="0"/>
      <w:divBdr>
        <w:top w:val="none" w:sz="0" w:space="0" w:color="auto"/>
        <w:left w:val="none" w:sz="0" w:space="0" w:color="auto"/>
        <w:bottom w:val="none" w:sz="0" w:space="0" w:color="auto"/>
        <w:right w:val="none" w:sz="0" w:space="0" w:color="auto"/>
      </w:divBdr>
      <w:divsChild>
        <w:div w:id="225846587">
          <w:marLeft w:val="0"/>
          <w:marRight w:val="0"/>
          <w:marTop w:val="0"/>
          <w:marBottom w:val="0"/>
          <w:divBdr>
            <w:top w:val="none" w:sz="0" w:space="0" w:color="auto"/>
            <w:left w:val="none" w:sz="0" w:space="0" w:color="auto"/>
            <w:bottom w:val="none" w:sz="0" w:space="0" w:color="auto"/>
            <w:right w:val="none" w:sz="0" w:space="0" w:color="auto"/>
          </w:divBdr>
          <w:divsChild>
            <w:div w:id="225846581">
              <w:marLeft w:val="0"/>
              <w:marRight w:val="0"/>
              <w:marTop w:val="0"/>
              <w:marBottom w:val="0"/>
              <w:divBdr>
                <w:top w:val="none" w:sz="0" w:space="0" w:color="auto"/>
                <w:left w:val="none" w:sz="0" w:space="0" w:color="auto"/>
                <w:bottom w:val="none" w:sz="0" w:space="0" w:color="auto"/>
                <w:right w:val="none" w:sz="0" w:space="0" w:color="auto"/>
              </w:divBdr>
              <w:divsChild>
                <w:div w:id="225846588">
                  <w:marLeft w:val="0"/>
                  <w:marRight w:val="0"/>
                  <w:marTop w:val="225"/>
                  <w:marBottom w:val="225"/>
                  <w:divBdr>
                    <w:top w:val="none" w:sz="0" w:space="0" w:color="auto"/>
                    <w:left w:val="none" w:sz="0" w:space="0" w:color="auto"/>
                    <w:bottom w:val="none" w:sz="0" w:space="0" w:color="auto"/>
                    <w:right w:val="none" w:sz="0" w:space="0" w:color="auto"/>
                  </w:divBdr>
                  <w:divsChild>
                    <w:div w:id="225846613">
                      <w:marLeft w:val="0"/>
                      <w:marRight w:val="0"/>
                      <w:marTop w:val="0"/>
                      <w:marBottom w:val="0"/>
                      <w:divBdr>
                        <w:top w:val="none" w:sz="0" w:space="0" w:color="auto"/>
                        <w:left w:val="none" w:sz="0" w:space="0" w:color="auto"/>
                        <w:bottom w:val="none" w:sz="0" w:space="0" w:color="auto"/>
                        <w:right w:val="none" w:sz="0" w:space="0" w:color="auto"/>
                      </w:divBdr>
                      <w:divsChild>
                        <w:div w:id="2258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846614">
      <w:marLeft w:val="0"/>
      <w:marRight w:val="0"/>
      <w:marTop w:val="0"/>
      <w:marBottom w:val="0"/>
      <w:divBdr>
        <w:top w:val="none" w:sz="0" w:space="0" w:color="auto"/>
        <w:left w:val="none" w:sz="0" w:space="0" w:color="auto"/>
        <w:bottom w:val="none" w:sz="0" w:space="0" w:color="auto"/>
        <w:right w:val="none" w:sz="0" w:space="0" w:color="auto"/>
      </w:divBdr>
    </w:div>
    <w:div w:id="225846615">
      <w:marLeft w:val="0"/>
      <w:marRight w:val="0"/>
      <w:marTop w:val="0"/>
      <w:marBottom w:val="0"/>
      <w:divBdr>
        <w:top w:val="none" w:sz="0" w:space="0" w:color="auto"/>
        <w:left w:val="none" w:sz="0" w:space="0" w:color="auto"/>
        <w:bottom w:val="none" w:sz="0" w:space="0" w:color="auto"/>
        <w:right w:val="none" w:sz="0" w:space="0" w:color="auto"/>
      </w:divBdr>
    </w:div>
    <w:div w:id="225846616">
      <w:marLeft w:val="0"/>
      <w:marRight w:val="0"/>
      <w:marTop w:val="0"/>
      <w:marBottom w:val="0"/>
      <w:divBdr>
        <w:top w:val="none" w:sz="0" w:space="0" w:color="auto"/>
        <w:left w:val="none" w:sz="0" w:space="0" w:color="auto"/>
        <w:bottom w:val="none" w:sz="0" w:space="0" w:color="auto"/>
        <w:right w:val="none" w:sz="0" w:space="0" w:color="auto"/>
      </w:divBdr>
    </w:div>
    <w:div w:id="225846617">
      <w:marLeft w:val="0"/>
      <w:marRight w:val="0"/>
      <w:marTop w:val="0"/>
      <w:marBottom w:val="0"/>
      <w:divBdr>
        <w:top w:val="none" w:sz="0" w:space="0" w:color="auto"/>
        <w:left w:val="none" w:sz="0" w:space="0" w:color="auto"/>
        <w:bottom w:val="none" w:sz="0" w:space="0" w:color="auto"/>
        <w:right w:val="none" w:sz="0" w:space="0" w:color="auto"/>
      </w:divBdr>
    </w:div>
    <w:div w:id="538595344">
      <w:bodyDiv w:val="1"/>
      <w:marLeft w:val="0"/>
      <w:marRight w:val="0"/>
      <w:marTop w:val="0"/>
      <w:marBottom w:val="0"/>
      <w:divBdr>
        <w:top w:val="none" w:sz="0" w:space="0" w:color="auto"/>
        <w:left w:val="none" w:sz="0" w:space="0" w:color="auto"/>
        <w:bottom w:val="none" w:sz="0" w:space="0" w:color="auto"/>
        <w:right w:val="none" w:sz="0" w:space="0" w:color="auto"/>
      </w:divBdr>
    </w:div>
    <w:div w:id="627585807">
      <w:bodyDiv w:val="1"/>
      <w:marLeft w:val="0"/>
      <w:marRight w:val="0"/>
      <w:marTop w:val="0"/>
      <w:marBottom w:val="0"/>
      <w:divBdr>
        <w:top w:val="none" w:sz="0" w:space="0" w:color="auto"/>
        <w:left w:val="none" w:sz="0" w:space="0" w:color="auto"/>
        <w:bottom w:val="none" w:sz="0" w:space="0" w:color="auto"/>
        <w:right w:val="none" w:sz="0" w:space="0" w:color="auto"/>
      </w:divBdr>
    </w:div>
    <w:div w:id="953365135">
      <w:bodyDiv w:val="1"/>
      <w:marLeft w:val="0"/>
      <w:marRight w:val="0"/>
      <w:marTop w:val="0"/>
      <w:marBottom w:val="0"/>
      <w:divBdr>
        <w:top w:val="none" w:sz="0" w:space="0" w:color="auto"/>
        <w:left w:val="none" w:sz="0" w:space="0" w:color="auto"/>
        <w:bottom w:val="none" w:sz="0" w:space="0" w:color="auto"/>
        <w:right w:val="none" w:sz="0" w:space="0" w:color="auto"/>
      </w:divBdr>
    </w:div>
    <w:div w:id="1062757899">
      <w:bodyDiv w:val="1"/>
      <w:marLeft w:val="0"/>
      <w:marRight w:val="0"/>
      <w:marTop w:val="0"/>
      <w:marBottom w:val="0"/>
      <w:divBdr>
        <w:top w:val="none" w:sz="0" w:space="0" w:color="auto"/>
        <w:left w:val="none" w:sz="0" w:space="0" w:color="auto"/>
        <w:bottom w:val="none" w:sz="0" w:space="0" w:color="auto"/>
        <w:right w:val="none" w:sz="0" w:space="0" w:color="auto"/>
      </w:divBdr>
    </w:div>
    <w:div w:id="1429038674">
      <w:marLeft w:val="0"/>
      <w:marRight w:val="0"/>
      <w:marTop w:val="0"/>
      <w:marBottom w:val="0"/>
      <w:divBdr>
        <w:top w:val="none" w:sz="0" w:space="0" w:color="auto"/>
        <w:left w:val="none" w:sz="0" w:space="0" w:color="auto"/>
        <w:bottom w:val="none" w:sz="0" w:space="0" w:color="auto"/>
        <w:right w:val="none" w:sz="0" w:space="0" w:color="auto"/>
      </w:divBdr>
    </w:div>
    <w:div w:id="1429038675">
      <w:marLeft w:val="0"/>
      <w:marRight w:val="0"/>
      <w:marTop w:val="0"/>
      <w:marBottom w:val="0"/>
      <w:divBdr>
        <w:top w:val="none" w:sz="0" w:space="0" w:color="auto"/>
        <w:left w:val="none" w:sz="0" w:space="0" w:color="auto"/>
        <w:bottom w:val="none" w:sz="0" w:space="0" w:color="auto"/>
        <w:right w:val="none" w:sz="0" w:space="0" w:color="auto"/>
      </w:divBdr>
    </w:div>
    <w:div w:id="1429038676">
      <w:marLeft w:val="0"/>
      <w:marRight w:val="0"/>
      <w:marTop w:val="0"/>
      <w:marBottom w:val="0"/>
      <w:divBdr>
        <w:top w:val="none" w:sz="0" w:space="0" w:color="auto"/>
        <w:left w:val="none" w:sz="0" w:space="0" w:color="auto"/>
        <w:bottom w:val="none" w:sz="0" w:space="0" w:color="auto"/>
        <w:right w:val="none" w:sz="0" w:space="0" w:color="auto"/>
      </w:divBdr>
    </w:div>
    <w:div w:id="1429038678">
      <w:marLeft w:val="0"/>
      <w:marRight w:val="0"/>
      <w:marTop w:val="0"/>
      <w:marBottom w:val="0"/>
      <w:divBdr>
        <w:top w:val="none" w:sz="0" w:space="0" w:color="auto"/>
        <w:left w:val="none" w:sz="0" w:space="0" w:color="auto"/>
        <w:bottom w:val="none" w:sz="0" w:space="0" w:color="auto"/>
        <w:right w:val="none" w:sz="0" w:space="0" w:color="auto"/>
      </w:divBdr>
    </w:div>
    <w:div w:id="1429038681">
      <w:marLeft w:val="0"/>
      <w:marRight w:val="0"/>
      <w:marTop w:val="0"/>
      <w:marBottom w:val="0"/>
      <w:divBdr>
        <w:top w:val="none" w:sz="0" w:space="0" w:color="auto"/>
        <w:left w:val="none" w:sz="0" w:space="0" w:color="auto"/>
        <w:bottom w:val="none" w:sz="0" w:space="0" w:color="auto"/>
        <w:right w:val="none" w:sz="0" w:space="0" w:color="auto"/>
      </w:divBdr>
    </w:div>
    <w:div w:id="1429038682">
      <w:marLeft w:val="0"/>
      <w:marRight w:val="0"/>
      <w:marTop w:val="0"/>
      <w:marBottom w:val="0"/>
      <w:divBdr>
        <w:top w:val="none" w:sz="0" w:space="0" w:color="auto"/>
        <w:left w:val="none" w:sz="0" w:space="0" w:color="auto"/>
        <w:bottom w:val="none" w:sz="0" w:space="0" w:color="auto"/>
        <w:right w:val="none" w:sz="0" w:space="0" w:color="auto"/>
      </w:divBdr>
    </w:div>
    <w:div w:id="1429038683">
      <w:marLeft w:val="0"/>
      <w:marRight w:val="0"/>
      <w:marTop w:val="0"/>
      <w:marBottom w:val="0"/>
      <w:divBdr>
        <w:top w:val="none" w:sz="0" w:space="0" w:color="auto"/>
        <w:left w:val="none" w:sz="0" w:space="0" w:color="auto"/>
        <w:bottom w:val="none" w:sz="0" w:space="0" w:color="auto"/>
        <w:right w:val="none" w:sz="0" w:space="0" w:color="auto"/>
      </w:divBdr>
    </w:div>
    <w:div w:id="1429038684">
      <w:marLeft w:val="0"/>
      <w:marRight w:val="0"/>
      <w:marTop w:val="0"/>
      <w:marBottom w:val="0"/>
      <w:divBdr>
        <w:top w:val="none" w:sz="0" w:space="0" w:color="auto"/>
        <w:left w:val="none" w:sz="0" w:space="0" w:color="auto"/>
        <w:bottom w:val="none" w:sz="0" w:space="0" w:color="auto"/>
        <w:right w:val="none" w:sz="0" w:space="0" w:color="auto"/>
      </w:divBdr>
    </w:div>
    <w:div w:id="1429038685">
      <w:marLeft w:val="0"/>
      <w:marRight w:val="0"/>
      <w:marTop w:val="0"/>
      <w:marBottom w:val="0"/>
      <w:divBdr>
        <w:top w:val="none" w:sz="0" w:space="0" w:color="auto"/>
        <w:left w:val="none" w:sz="0" w:space="0" w:color="auto"/>
        <w:bottom w:val="none" w:sz="0" w:space="0" w:color="auto"/>
        <w:right w:val="none" w:sz="0" w:space="0" w:color="auto"/>
      </w:divBdr>
    </w:div>
    <w:div w:id="1429038686">
      <w:marLeft w:val="0"/>
      <w:marRight w:val="0"/>
      <w:marTop w:val="0"/>
      <w:marBottom w:val="0"/>
      <w:divBdr>
        <w:top w:val="none" w:sz="0" w:space="0" w:color="auto"/>
        <w:left w:val="none" w:sz="0" w:space="0" w:color="auto"/>
        <w:bottom w:val="none" w:sz="0" w:space="0" w:color="auto"/>
        <w:right w:val="none" w:sz="0" w:space="0" w:color="auto"/>
      </w:divBdr>
    </w:div>
    <w:div w:id="1429038688">
      <w:marLeft w:val="0"/>
      <w:marRight w:val="0"/>
      <w:marTop w:val="0"/>
      <w:marBottom w:val="0"/>
      <w:divBdr>
        <w:top w:val="none" w:sz="0" w:space="0" w:color="auto"/>
        <w:left w:val="none" w:sz="0" w:space="0" w:color="auto"/>
        <w:bottom w:val="none" w:sz="0" w:space="0" w:color="auto"/>
        <w:right w:val="none" w:sz="0" w:space="0" w:color="auto"/>
      </w:divBdr>
      <w:divsChild>
        <w:div w:id="1429038687">
          <w:marLeft w:val="0"/>
          <w:marRight w:val="0"/>
          <w:marTop w:val="0"/>
          <w:marBottom w:val="0"/>
          <w:divBdr>
            <w:top w:val="none" w:sz="0" w:space="0" w:color="auto"/>
            <w:left w:val="none" w:sz="0" w:space="0" w:color="auto"/>
            <w:bottom w:val="none" w:sz="0" w:space="0" w:color="auto"/>
            <w:right w:val="none" w:sz="0" w:space="0" w:color="auto"/>
          </w:divBdr>
        </w:div>
      </w:divsChild>
    </w:div>
    <w:div w:id="1429038689">
      <w:marLeft w:val="0"/>
      <w:marRight w:val="0"/>
      <w:marTop w:val="0"/>
      <w:marBottom w:val="0"/>
      <w:divBdr>
        <w:top w:val="none" w:sz="0" w:space="0" w:color="auto"/>
        <w:left w:val="none" w:sz="0" w:space="0" w:color="auto"/>
        <w:bottom w:val="none" w:sz="0" w:space="0" w:color="auto"/>
        <w:right w:val="none" w:sz="0" w:space="0" w:color="auto"/>
      </w:divBdr>
    </w:div>
    <w:div w:id="1429038691">
      <w:marLeft w:val="0"/>
      <w:marRight w:val="0"/>
      <w:marTop w:val="0"/>
      <w:marBottom w:val="0"/>
      <w:divBdr>
        <w:top w:val="none" w:sz="0" w:space="0" w:color="auto"/>
        <w:left w:val="none" w:sz="0" w:space="0" w:color="auto"/>
        <w:bottom w:val="none" w:sz="0" w:space="0" w:color="auto"/>
        <w:right w:val="none" w:sz="0" w:space="0" w:color="auto"/>
      </w:divBdr>
      <w:divsChild>
        <w:div w:id="1429038690">
          <w:marLeft w:val="0"/>
          <w:marRight w:val="0"/>
          <w:marTop w:val="0"/>
          <w:marBottom w:val="0"/>
          <w:divBdr>
            <w:top w:val="none" w:sz="0" w:space="0" w:color="auto"/>
            <w:left w:val="none" w:sz="0" w:space="0" w:color="auto"/>
            <w:bottom w:val="none" w:sz="0" w:space="0" w:color="auto"/>
            <w:right w:val="none" w:sz="0" w:space="0" w:color="auto"/>
          </w:divBdr>
        </w:div>
      </w:divsChild>
    </w:div>
    <w:div w:id="1429038692">
      <w:marLeft w:val="0"/>
      <w:marRight w:val="0"/>
      <w:marTop w:val="0"/>
      <w:marBottom w:val="0"/>
      <w:divBdr>
        <w:top w:val="none" w:sz="0" w:space="0" w:color="auto"/>
        <w:left w:val="none" w:sz="0" w:space="0" w:color="auto"/>
        <w:bottom w:val="none" w:sz="0" w:space="0" w:color="auto"/>
        <w:right w:val="none" w:sz="0" w:space="0" w:color="auto"/>
      </w:divBdr>
    </w:div>
    <w:div w:id="1429038693">
      <w:marLeft w:val="0"/>
      <w:marRight w:val="0"/>
      <w:marTop w:val="0"/>
      <w:marBottom w:val="0"/>
      <w:divBdr>
        <w:top w:val="none" w:sz="0" w:space="0" w:color="auto"/>
        <w:left w:val="none" w:sz="0" w:space="0" w:color="auto"/>
        <w:bottom w:val="none" w:sz="0" w:space="0" w:color="auto"/>
        <w:right w:val="none" w:sz="0" w:space="0" w:color="auto"/>
      </w:divBdr>
    </w:div>
    <w:div w:id="1429038694">
      <w:marLeft w:val="0"/>
      <w:marRight w:val="0"/>
      <w:marTop w:val="0"/>
      <w:marBottom w:val="0"/>
      <w:divBdr>
        <w:top w:val="none" w:sz="0" w:space="0" w:color="auto"/>
        <w:left w:val="none" w:sz="0" w:space="0" w:color="auto"/>
        <w:bottom w:val="none" w:sz="0" w:space="0" w:color="auto"/>
        <w:right w:val="none" w:sz="0" w:space="0" w:color="auto"/>
      </w:divBdr>
    </w:div>
    <w:div w:id="1429038695">
      <w:marLeft w:val="0"/>
      <w:marRight w:val="0"/>
      <w:marTop w:val="0"/>
      <w:marBottom w:val="0"/>
      <w:divBdr>
        <w:top w:val="none" w:sz="0" w:space="0" w:color="auto"/>
        <w:left w:val="none" w:sz="0" w:space="0" w:color="auto"/>
        <w:bottom w:val="none" w:sz="0" w:space="0" w:color="auto"/>
        <w:right w:val="none" w:sz="0" w:space="0" w:color="auto"/>
      </w:divBdr>
    </w:div>
    <w:div w:id="1429038696">
      <w:marLeft w:val="0"/>
      <w:marRight w:val="0"/>
      <w:marTop w:val="0"/>
      <w:marBottom w:val="0"/>
      <w:divBdr>
        <w:top w:val="none" w:sz="0" w:space="0" w:color="auto"/>
        <w:left w:val="none" w:sz="0" w:space="0" w:color="auto"/>
        <w:bottom w:val="none" w:sz="0" w:space="0" w:color="auto"/>
        <w:right w:val="none" w:sz="0" w:space="0" w:color="auto"/>
      </w:divBdr>
    </w:div>
    <w:div w:id="1429038697">
      <w:marLeft w:val="0"/>
      <w:marRight w:val="0"/>
      <w:marTop w:val="0"/>
      <w:marBottom w:val="0"/>
      <w:divBdr>
        <w:top w:val="none" w:sz="0" w:space="0" w:color="auto"/>
        <w:left w:val="none" w:sz="0" w:space="0" w:color="auto"/>
        <w:bottom w:val="none" w:sz="0" w:space="0" w:color="auto"/>
        <w:right w:val="none" w:sz="0" w:space="0" w:color="auto"/>
      </w:divBdr>
    </w:div>
    <w:div w:id="1429038698">
      <w:marLeft w:val="0"/>
      <w:marRight w:val="0"/>
      <w:marTop w:val="0"/>
      <w:marBottom w:val="0"/>
      <w:divBdr>
        <w:top w:val="none" w:sz="0" w:space="0" w:color="auto"/>
        <w:left w:val="none" w:sz="0" w:space="0" w:color="auto"/>
        <w:bottom w:val="none" w:sz="0" w:space="0" w:color="auto"/>
        <w:right w:val="none" w:sz="0" w:space="0" w:color="auto"/>
      </w:divBdr>
    </w:div>
    <w:div w:id="1429038699">
      <w:marLeft w:val="0"/>
      <w:marRight w:val="0"/>
      <w:marTop w:val="0"/>
      <w:marBottom w:val="0"/>
      <w:divBdr>
        <w:top w:val="none" w:sz="0" w:space="0" w:color="auto"/>
        <w:left w:val="none" w:sz="0" w:space="0" w:color="auto"/>
        <w:bottom w:val="none" w:sz="0" w:space="0" w:color="auto"/>
        <w:right w:val="none" w:sz="0" w:space="0" w:color="auto"/>
      </w:divBdr>
    </w:div>
    <w:div w:id="1429038700">
      <w:marLeft w:val="0"/>
      <w:marRight w:val="0"/>
      <w:marTop w:val="0"/>
      <w:marBottom w:val="0"/>
      <w:divBdr>
        <w:top w:val="none" w:sz="0" w:space="0" w:color="auto"/>
        <w:left w:val="none" w:sz="0" w:space="0" w:color="auto"/>
        <w:bottom w:val="none" w:sz="0" w:space="0" w:color="auto"/>
        <w:right w:val="none" w:sz="0" w:space="0" w:color="auto"/>
      </w:divBdr>
    </w:div>
    <w:div w:id="1429038701">
      <w:marLeft w:val="0"/>
      <w:marRight w:val="0"/>
      <w:marTop w:val="0"/>
      <w:marBottom w:val="0"/>
      <w:divBdr>
        <w:top w:val="none" w:sz="0" w:space="0" w:color="auto"/>
        <w:left w:val="none" w:sz="0" w:space="0" w:color="auto"/>
        <w:bottom w:val="none" w:sz="0" w:space="0" w:color="auto"/>
        <w:right w:val="none" w:sz="0" w:space="0" w:color="auto"/>
      </w:divBdr>
    </w:div>
    <w:div w:id="1429038702">
      <w:marLeft w:val="0"/>
      <w:marRight w:val="0"/>
      <w:marTop w:val="0"/>
      <w:marBottom w:val="0"/>
      <w:divBdr>
        <w:top w:val="none" w:sz="0" w:space="0" w:color="auto"/>
        <w:left w:val="none" w:sz="0" w:space="0" w:color="auto"/>
        <w:bottom w:val="none" w:sz="0" w:space="0" w:color="auto"/>
        <w:right w:val="none" w:sz="0" w:space="0" w:color="auto"/>
      </w:divBdr>
    </w:div>
    <w:div w:id="1429038703">
      <w:marLeft w:val="0"/>
      <w:marRight w:val="0"/>
      <w:marTop w:val="0"/>
      <w:marBottom w:val="0"/>
      <w:divBdr>
        <w:top w:val="none" w:sz="0" w:space="0" w:color="auto"/>
        <w:left w:val="none" w:sz="0" w:space="0" w:color="auto"/>
        <w:bottom w:val="none" w:sz="0" w:space="0" w:color="auto"/>
        <w:right w:val="none" w:sz="0" w:space="0" w:color="auto"/>
      </w:divBdr>
    </w:div>
    <w:div w:id="1429038704">
      <w:marLeft w:val="0"/>
      <w:marRight w:val="0"/>
      <w:marTop w:val="0"/>
      <w:marBottom w:val="0"/>
      <w:divBdr>
        <w:top w:val="none" w:sz="0" w:space="0" w:color="auto"/>
        <w:left w:val="none" w:sz="0" w:space="0" w:color="auto"/>
        <w:bottom w:val="none" w:sz="0" w:space="0" w:color="auto"/>
        <w:right w:val="none" w:sz="0" w:space="0" w:color="auto"/>
      </w:divBdr>
      <w:divsChild>
        <w:div w:id="1429038679">
          <w:marLeft w:val="0"/>
          <w:marRight w:val="0"/>
          <w:marTop w:val="0"/>
          <w:marBottom w:val="0"/>
          <w:divBdr>
            <w:top w:val="none" w:sz="0" w:space="0" w:color="auto"/>
            <w:left w:val="none" w:sz="0" w:space="0" w:color="auto"/>
            <w:bottom w:val="none" w:sz="0" w:space="0" w:color="auto"/>
            <w:right w:val="none" w:sz="0" w:space="0" w:color="auto"/>
          </w:divBdr>
          <w:divsChild>
            <w:div w:id="1429038673">
              <w:marLeft w:val="0"/>
              <w:marRight w:val="0"/>
              <w:marTop w:val="0"/>
              <w:marBottom w:val="0"/>
              <w:divBdr>
                <w:top w:val="none" w:sz="0" w:space="0" w:color="auto"/>
                <w:left w:val="none" w:sz="0" w:space="0" w:color="auto"/>
                <w:bottom w:val="none" w:sz="0" w:space="0" w:color="auto"/>
                <w:right w:val="none" w:sz="0" w:space="0" w:color="auto"/>
              </w:divBdr>
              <w:divsChild>
                <w:div w:id="1429038680">
                  <w:marLeft w:val="0"/>
                  <w:marRight w:val="0"/>
                  <w:marTop w:val="225"/>
                  <w:marBottom w:val="225"/>
                  <w:divBdr>
                    <w:top w:val="none" w:sz="0" w:space="0" w:color="auto"/>
                    <w:left w:val="none" w:sz="0" w:space="0" w:color="auto"/>
                    <w:bottom w:val="none" w:sz="0" w:space="0" w:color="auto"/>
                    <w:right w:val="none" w:sz="0" w:space="0" w:color="auto"/>
                  </w:divBdr>
                  <w:divsChild>
                    <w:div w:id="1429038705">
                      <w:marLeft w:val="0"/>
                      <w:marRight w:val="0"/>
                      <w:marTop w:val="0"/>
                      <w:marBottom w:val="0"/>
                      <w:divBdr>
                        <w:top w:val="none" w:sz="0" w:space="0" w:color="auto"/>
                        <w:left w:val="none" w:sz="0" w:space="0" w:color="auto"/>
                        <w:bottom w:val="none" w:sz="0" w:space="0" w:color="auto"/>
                        <w:right w:val="none" w:sz="0" w:space="0" w:color="auto"/>
                      </w:divBdr>
                      <w:divsChild>
                        <w:div w:id="14290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38706">
      <w:marLeft w:val="0"/>
      <w:marRight w:val="0"/>
      <w:marTop w:val="0"/>
      <w:marBottom w:val="0"/>
      <w:divBdr>
        <w:top w:val="none" w:sz="0" w:space="0" w:color="auto"/>
        <w:left w:val="none" w:sz="0" w:space="0" w:color="auto"/>
        <w:bottom w:val="none" w:sz="0" w:space="0" w:color="auto"/>
        <w:right w:val="none" w:sz="0" w:space="0" w:color="auto"/>
      </w:divBdr>
    </w:div>
    <w:div w:id="1429038707">
      <w:marLeft w:val="0"/>
      <w:marRight w:val="0"/>
      <w:marTop w:val="0"/>
      <w:marBottom w:val="0"/>
      <w:divBdr>
        <w:top w:val="none" w:sz="0" w:space="0" w:color="auto"/>
        <w:left w:val="none" w:sz="0" w:space="0" w:color="auto"/>
        <w:bottom w:val="none" w:sz="0" w:space="0" w:color="auto"/>
        <w:right w:val="none" w:sz="0" w:space="0" w:color="auto"/>
      </w:divBdr>
    </w:div>
    <w:div w:id="1429038708">
      <w:marLeft w:val="0"/>
      <w:marRight w:val="0"/>
      <w:marTop w:val="0"/>
      <w:marBottom w:val="0"/>
      <w:divBdr>
        <w:top w:val="none" w:sz="0" w:space="0" w:color="auto"/>
        <w:left w:val="none" w:sz="0" w:space="0" w:color="auto"/>
        <w:bottom w:val="none" w:sz="0" w:space="0" w:color="auto"/>
        <w:right w:val="none" w:sz="0" w:space="0" w:color="auto"/>
      </w:divBdr>
    </w:div>
    <w:div w:id="1429038709">
      <w:marLeft w:val="0"/>
      <w:marRight w:val="0"/>
      <w:marTop w:val="0"/>
      <w:marBottom w:val="0"/>
      <w:divBdr>
        <w:top w:val="none" w:sz="0" w:space="0" w:color="auto"/>
        <w:left w:val="none" w:sz="0" w:space="0" w:color="auto"/>
        <w:bottom w:val="none" w:sz="0" w:space="0" w:color="auto"/>
        <w:right w:val="none" w:sz="0" w:space="0" w:color="auto"/>
      </w:divBdr>
    </w:div>
    <w:div w:id="1429038711">
      <w:marLeft w:val="0"/>
      <w:marRight w:val="0"/>
      <w:marTop w:val="0"/>
      <w:marBottom w:val="0"/>
      <w:divBdr>
        <w:top w:val="none" w:sz="0" w:space="0" w:color="auto"/>
        <w:left w:val="none" w:sz="0" w:space="0" w:color="auto"/>
        <w:bottom w:val="none" w:sz="0" w:space="0" w:color="auto"/>
        <w:right w:val="none" w:sz="0" w:space="0" w:color="auto"/>
      </w:divBdr>
    </w:div>
    <w:div w:id="1429038712">
      <w:marLeft w:val="0"/>
      <w:marRight w:val="0"/>
      <w:marTop w:val="0"/>
      <w:marBottom w:val="0"/>
      <w:divBdr>
        <w:top w:val="none" w:sz="0" w:space="0" w:color="auto"/>
        <w:left w:val="none" w:sz="0" w:space="0" w:color="auto"/>
        <w:bottom w:val="none" w:sz="0" w:space="0" w:color="auto"/>
        <w:right w:val="none" w:sz="0" w:space="0" w:color="auto"/>
      </w:divBdr>
    </w:div>
    <w:div w:id="1429038713">
      <w:marLeft w:val="0"/>
      <w:marRight w:val="0"/>
      <w:marTop w:val="0"/>
      <w:marBottom w:val="0"/>
      <w:divBdr>
        <w:top w:val="none" w:sz="0" w:space="0" w:color="auto"/>
        <w:left w:val="none" w:sz="0" w:space="0" w:color="auto"/>
        <w:bottom w:val="none" w:sz="0" w:space="0" w:color="auto"/>
        <w:right w:val="none" w:sz="0" w:space="0" w:color="auto"/>
      </w:divBdr>
    </w:div>
    <w:div w:id="1429038715">
      <w:marLeft w:val="0"/>
      <w:marRight w:val="0"/>
      <w:marTop w:val="0"/>
      <w:marBottom w:val="0"/>
      <w:divBdr>
        <w:top w:val="none" w:sz="0" w:space="0" w:color="auto"/>
        <w:left w:val="none" w:sz="0" w:space="0" w:color="auto"/>
        <w:bottom w:val="none" w:sz="0" w:space="0" w:color="auto"/>
        <w:right w:val="none" w:sz="0" w:space="0" w:color="auto"/>
      </w:divBdr>
    </w:div>
    <w:div w:id="1429038718">
      <w:marLeft w:val="0"/>
      <w:marRight w:val="0"/>
      <w:marTop w:val="0"/>
      <w:marBottom w:val="0"/>
      <w:divBdr>
        <w:top w:val="none" w:sz="0" w:space="0" w:color="auto"/>
        <w:left w:val="none" w:sz="0" w:space="0" w:color="auto"/>
        <w:bottom w:val="none" w:sz="0" w:space="0" w:color="auto"/>
        <w:right w:val="none" w:sz="0" w:space="0" w:color="auto"/>
      </w:divBdr>
    </w:div>
    <w:div w:id="1429038719">
      <w:marLeft w:val="0"/>
      <w:marRight w:val="0"/>
      <w:marTop w:val="0"/>
      <w:marBottom w:val="0"/>
      <w:divBdr>
        <w:top w:val="none" w:sz="0" w:space="0" w:color="auto"/>
        <w:left w:val="none" w:sz="0" w:space="0" w:color="auto"/>
        <w:bottom w:val="none" w:sz="0" w:space="0" w:color="auto"/>
        <w:right w:val="none" w:sz="0" w:space="0" w:color="auto"/>
      </w:divBdr>
    </w:div>
    <w:div w:id="1429038720">
      <w:marLeft w:val="0"/>
      <w:marRight w:val="0"/>
      <w:marTop w:val="0"/>
      <w:marBottom w:val="0"/>
      <w:divBdr>
        <w:top w:val="none" w:sz="0" w:space="0" w:color="auto"/>
        <w:left w:val="none" w:sz="0" w:space="0" w:color="auto"/>
        <w:bottom w:val="none" w:sz="0" w:space="0" w:color="auto"/>
        <w:right w:val="none" w:sz="0" w:space="0" w:color="auto"/>
      </w:divBdr>
    </w:div>
    <w:div w:id="1429038721">
      <w:marLeft w:val="0"/>
      <w:marRight w:val="0"/>
      <w:marTop w:val="0"/>
      <w:marBottom w:val="0"/>
      <w:divBdr>
        <w:top w:val="none" w:sz="0" w:space="0" w:color="auto"/>
        <w:left w:val="none" w:sz="0" w:space="0" w:color="auto"/>
        <w:bottom w:val="none" w:sz="0" w:space="0" w:color="auto"/>
        <w:right w:val="none" w:sz="0" w:space="0" w:color="auto"/>
      </w:divBdr>
    </w:div>
    <w:div w:id="1429038722">
      <w:marLeft w:val="0"/>
      <w:marRight w:val="0"/>
      <w:marTop w:val="0"/>
      <w:marBottom w:val="0"/>
      <w:divBdr>
        <w:top w:val="none" w:sz="0" w:space="0" w:color="auto"/>
        <w:left w:val="none" w:sz="0" w:space="0" w:color="auto"/>
        <w:bottom w:val="none" w:sz="0" w:space="0" w:color="auto"/>
        <w:right w:val="none" w:sz="0" w:space="0" w:color="auto"/>
      </w:divBdr>
    </w:div>
    <w:div w:id="1429038723">
      <w:marLeft w:val="0"/>
      <w:marRight w:val="0"/>
      <w:marTop w:val="0"/>
      <w:marBottom w:val="0"/>
      <w:divBdr>
        <w:top w:val="none" w:sz="0" w:space="0" w:color="auto"/>
        <w:left w:val="none" w:sz="0" w:space="0" w:color="auto"/>
        <w:bottom w:val="none" w:sz="0" w:space="0" w:color="auto"/>
        <w:right w:val="none" w:sz="0" w:space="0" w:color="auto"/>
      </w:divBdr>
    </w:div>
    <w:div w:id="1429038725">
      <w:marLeft w:val="0"/>
      <w:marRight w:val="0"/>
      <w:marTop w:val="0"/>
      <w:marBottom w:val="0"/>
      <w:divBdr>
        <w:top w:val="none" w:sz="0" w:space="0" w:color="auto"/>
        <w:left w:val="none" w:sz="0" w:space="0" w:color="auto"/>
        <w:bottom w:val="none" w:sz="0" w:space="0" w:color="auto"/>
        <w:right w:val="none" w:sz="0" w:space="0" w:color="auto"/>
      </w:divBdr>
      <w:divsChild>
        <w:div w:id="1429038724">
          <w:marLeft w:val="0"/>
          <w:marRight w:val="0"/>
          <w:marTop w:val="0"/>
          <w:marBottom w:val="0"/>
          <w:divBdr>
            <w:top w:val="none" w:sz="0" w:space="0" w:color="auto"/>
            <w:left w:val="none" w:sz="0" w:space="0" w:color="auto"/>
            <w:bottom w:val="none" w:sz="0" w:space="0" w:color="auto"/>
            <w:right w:val="none" w:sz="0" w:space="0" w:color="auto"/>
          </w:divBdr>
        </w:div>
      </w:divsChild>
    </w:div>
    <w:div w:id="1429038726">
      <w:marLeft w:val="0"/>
      <w:marRight w:val="0"/>
      <w:marTop w:val="0"/>
      <w:marBottom w:val="0"/>
      <w:divBdr>
        <w:top w:val="none" w:sz="0" w:space="0" w:color="auto"/>
        <w:left w:val="none" w:sz="0" w:space="0" w:color="auto"/>
        <w:bottom w:val="none" w:sz="0" w:space="0" w:color="auto"/>
        <w:right w:val="none" w:sz="0" w:space="0" w:color="auto"/>
      </w:divBdr>
    </w:div>
    <w:div w:id="1429038728">
      <w:marLeft w:val="0"/>
      <w:marRight w:val="0"/>
      <w:marTop w:val="0"/>
      <w:marBottom w:val="0"/>
      <w:divBdr>
        <w:top w:val="none" w:sz="0" w:space="0" w:color="auto"/>
        <w:left w:val="none" w:sz="0" w:space="0" w:color="auto"/>
        <w:bottom w:val="none" w:sz="0" w:space="0" w:color="auto"/>
        <w:right w:val="none" w:sz="0" w:space="0" w:color="auto"/>
      </w:divBdr>
      <w:divsChild>
        <w:div w:id="1429038727">
          <w:marLeft w:val="0"/>
          <w:marRight w:val="0"/>
          <w:marTop w:val="0"/>
          <w:marBottom w:val="0"/>
          <w:divBdr>
            <w:top w:val="none" w:sz="0" w:space="0" w:color="auto"/>
            <w:left w:val="none" w:sz="0" w:space="0" w:color="auto"/>
            <w:bottom w:val="none" w:sz="0" w:space="0" w:color="auto"/>
            <w:right w:val="none" w:sz="0" w:space="0" w:color="auto"/>
          </w:divBdr>
        </w:div>
      </w:divsChild>
    </w:div>
    <w:div w:id="1429038729">
      <w:marLeft w:val="0"/>
      <w:marRight w:val="0"/>
      <w:marTop w:val="0"/>
      <w:marBottom w:val="0"/>
      <w:divBdr>
        <w:top w:val="none" w:sz="0" w:space="0" w:color="auto"/>
        <w:left w:val="none" w:sz="0" w:space="0" w:color="auto"/>
        <w:bottom w:val="none" w:sz="0" w:space="0" w:color="auto"/>
        <w:right w:val="none" w:sz="0" w:space="0" w:color="auto"/>
      </w:divBdr>
    </w:div>
    <w:div w:id="1429038730">
      <w:marLeft w:val="0"/>
      <w:marRight w:val="0"/>
      <w:marTop w:val="0"/>
      <w:marBottom w:val="0"/>
      <w:divBdr>
        <w:top w:val="none" w:sz="0" w:space="0" w:color="auto"/>
        <w:left w:val="none" w:sz="0" w:space="0" w:color="auto"/>
        <w:bottom w:val="none" w:sz="0" w:space="0" w:color="auto"/>
        <w:right w:val="none" w:sz="0" w:space="0" w:color="auto"/>
      </w:divBdr>
    </w:div>
    <w:div w:id="1429038731">
      <w:marLeft w:val="0"/>
      <w:marRight w:val="0"/>
      <w:marTop w:val="0"/>
      <w:marBottom w:val="0"/>
      <w:divBdr>
        <w:top w:val="none" w:sz="0" w:space="0" w:color="auto"/>
        <w:left w:val="none" w:sz="0" w:space="0" w:color="auto"/>
        <w:bottom w:val="none" w:sz="0" w:space="0" w:color="auto"/>
        <w:right w:val="none" w:sz="0" w:space="0" w:color="auto"/>
      </w:divBdr>
    </w:div>
    <w:div w:id="1429038732">
      <w:marLeft w:val="0"/>
      <w:marRight w:val="0"/>
      <w:marTop w:val="0"/>
      <w:marBottom w:val="0"/>
      <w:divBdr>
        <w:top w:val="none" w:sz="0" w:space="0" w:color="auto"/>
        <w:left w:val="none" w:sz="0" w:space="0" w:color="auto"/>
        <w:bottom w:val="none" w:sz="0" w:space="0" w:color="auto"/>
        <w:right w:val="none" w:sz="0" w:space="0" w:color="auto"/>
      </w:divBdr>
    </w:div>
    <w:div w:id="1429038733">
      <w:marLeft w:val="0"/>
      <w:marRight w:val="0"/>
      <w:marTop w:val="0"/>
      <w:marBottom w:val="0"/>
      <w:divBdr>
        <w:top w:val="none" w:sz="0" w:space="0" w:color="auto"/>
        <w:left w:val="none" w:sz="0" w:space="0" w:color="auto"/>
        <w:bottom w:val="none" w:sz="0" w:space="0" w:color="auto"/>
        <w:right w:val="none" w:sz="0" w:space="0" w:color="auto"/>
      </w:divBdr>
    </w:div>
    <w:div w:id="1429038734">
      <w:marLeft w:val="0"/>
      <w:marRight w:val="0"/>
      <w:marTop w:val="0"/>
      <w:marBottom w:val="0"/>
      <w:divBdr>
        <w:top w:val="none" w:sz="0" w:space="0" w:color="auto"/>
        <w:left w:val="none" w:sz="0" w:space="0" w:color="auto"/>
        <w:bottom w:val="none" w:sz="0" w:space="0" w:color="auto"/>
        <w:right w:val="none" w:sz="0" w:space="0" w:color="auto"/>
      </w:divBdr>
    </w:div>
    <w:div w:id="1429038735">
      <w:marLeft w:val="0"/>
      <w:marRight w:val="0"/>
      <w:marTop w:val="0"/>
      <w:marBottom w:val="0"/>
      <w:divBdr>
        <w:top w:val="none" w:sz="0" w:space="0" w:color="auto"/>
        <w:left w:val="none" w:sz="0" w:space="0" w:color="auto"/>
        <w:bottom w:val="none" w:sz="0" w:space="0" w:color="auto"/>
        <w:right w:val="none" w:sz="0" w:space="0" w:color="auto"/>
      </w:divBdr>
    </w:div>
    <w:div w:id="1429038736">
      <w:marLeft w:val="0"/>
      <w:marRight w:val="0"/>
      <w:marTop w:val="0"/>
      <w:marBottom w:val="0"/>
      <w:divBdr>
        <w:top w:val="none" w:sz="0" w:space="0" w:color="auto"/>
        <w:left w:val="none" w:sz="0" w:space="0" w:color="auto"/>
        <w:bottom w:val="none" w:sz="0" w:space="0" w:color="auto"/>
        <w:right w:val="none" w:sz="0" w:space="0" w:color="auto"/>
      </w:divBdr>
    </w:div>
    <w:div w:id="1429038737">
      <w:marLeft w:val="0"/>
      <w:marRight w:val="0"/>
      <w:marTop w:val="0"/>
      <w:marBottom w:val="0"/>
      <w:divBdr>
        <w:top w:val="none" w:sz="0" w:space="0" w:color="auto"/>
        <w:left w:val="none" w:sz="0" w:space="0" w:color="auto"/>
        <w:bottom w:val="none" w:sz="0" w:space="0" w:color="auto"/>
        <w:right w:val="none" w:sz="0" w:space="0" w:color="auto"/>
      </w:divBdr>
    </w:div>
    <w:div w:id="1429038738">
      <w:marLeft w:val="0"/>
      <w:marRight w:val="0"/>
      <w:marTop w:val="0"/>
      <w:marBottom w:val="0"/>
      <w:divBdr>
        <w:top w:val="none" w:sz="0" w:space="0" w:color="auto"/>
        <w:left w:val="none" w:sz="0" w:space="0" w:color="auto"/>
        <w:bottom w:val="none" w:sz="0" w:space="0" w:color="auto"/>
        <w:right w:val="none" w:sz="0" w:space="0" w:color="auto"/>
      </w:divBdr>
    </w:div>
    <w:div w:id="1429038739">
      <w:marLeft w:val="0"/>
      <w:marRight w:val="0"/>
      <w:marTop w:val="0"/>
      <w:marBottom w:val="0"/>
      <w:divBdr>
        <w:top w:val="none" w:sz="0" w:space="0" w:color="auto"/>
        <w:left w:val="none" w:sz="0" w:space="0" w:color="auto"/>
        <w:bottom w:val="none" w:sz="0" w:space="0" w:color="auto"/>
        <w:right w:val="none" w:sz="0" w:space="0" w:color="auto"/>
      </w:divBdr>
    </w:div>
    <w:div w:id="1429038740">
      <w:marLeft w:val="0"/>
      <w:marRight w:val="0"/>
      <w:marTop w:val="0"/>
      <w:marBottom w:val="0"/>
      <w:divBdr>
        <w:top w:val="none" w:sz="0" w:space="0" w:color="auto"/>
        <w:left w:val="none" w:sz="0" w:space="0" w:color="auto"/>
        <w:bottom w:val="none" w:sz="0" w:space="0" w:color="auto"/>
        <w:right w:val="none" w:sz="0" w:space="0" w:color="auto"/>
      </w:divBdr>
    </w:div>
    <w:div w:id="1429038741">
      <w:marLeft w:val="0"/>
      <w:marRight w:val="0"/>
      <w:marTop w:val="0"/>
      <w:marBottom w:val="0"/>
      <w:divBdr>
        <w:top w:val="none" w:sz="0" w:space="0" w:color="auto"/>
        <w:left w:val="none" w:sz="0" w:space="0" w:color="auto"/>
        <w:bottom w:val="none" w:sz="0" w:space="0" w:color="auto"/>
        <w:right w:val="none" w:sz="0" w:space="0" w:color="auto"/>
      </w:divBdr>
      <w:divsChild>
        <w:div w:id="1429038716">
          <w:marLeft w:val="0"/>
          <w:marRight w:val="0"/>
          <w:marTop w:val="0"/>
          <w:marBottom w:val="0"/>
          <w:divBdr>
            <w:top w:val="none" w:sz="0" w:space="0" w:color="auto"/>
            <w:left w:val="none" w:sz="0" w:space="0" w:color="auto"/>
            <w:bottom w:val="none" w:sz="0" w:space="0" w:color="auto"/>
            <w:right w:val="none" w:sz="0" w:space="0" w:color="auto"/>
          </w:divBdr>
          <w:divsChild>
            <w:div w:id="1429038710">
              <w:marLeft w:val="0"/>
              <w:marRight w:val="0"/>
              <w:marTop w:val="0"/>
              <w:marBottom w:val="0"/>
              <w:divBdr>
                <w:top w:val="none" w:sz="0" w:space="0" w:color="auto"/>
                <w:left w:val="none" w:sz="0" w:space="0" w:color="auto"/>
                <w:bottom w:val="none" w:sz="0" w:space="0" w:color="auto"/>
                <w:right w:val="none" w:sz="0" w:space="0" w:color="auto"/>
              </w:divBdr>
              <w:divsChild>
                <w:div w:id="1429038717">
                  <w:marLeft w:val="0"/>
                  <w:marRight w:val="0"/>
                  <w:marTop w:val="225"/>
                  <w:marBottom w:val="225"/>
                  <w:divBdr>
                    <w:top w:val="none" w:sz="0" w:space="0" w:color="auto"/>
                    <w:left w:val="none" w:sz="0" w:space="0" w:color="auto"/>
                    <w:bottom w:val="none" w:sz="0" w:space="0" w:color="auto"/>
                    <w:right w:val="none" w:sz="0" w:space="0" w:color="auto"/>
                  </w:divBdr>
                  <w:divsChild>
                    <w:div w:id="1429038742">
                      <w:marLeft w:val="0"/>
                      <w:marRight w:val="0"/>
                      <w:marTop w:val="0"/>
                      <w:marBottom w:val="0"/>
                      <w:divBdr>
                        <w:top w:val="none" w:sz="0" w:space="0" w:color="auto"/>
                        <w:left w:val="none" w:sz="0" w:space="0" w:color="auto"/>
                        <w:bottom w:val="none" w:sz="0" w:space="0" w:color="auto"/>
                        <w:right w:val="none" w:sz="0" w:space="0" w:color="auto"/>
                      </w:divBdr>
                      <w:divsChild>
                        <w:div w:id="14290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38743">
      <w:marLeft w:val="0"/>
      <w:marRight w:val="0"/>
      <w:marTop w:val="0"/>
      <w:marBottom w:val="0"/>
      <w:divBdr>
        <w:top w:val="none" w:sz="0" w:space="0" w:color="auto"/>
        <w:left w:val="none" w:sz="0" w:space="0" w:color="auto"/>
        <w:bottom w:val="none" w:sz="0" w:space="0" w:color="auto"/>
        <w:right w:val="none" w:sz="0" w:space="0" w:color="auto"/>
      </w:divBdr>
    </w:div>
    <w:div w:id="1429038744">
      <w:marLeft w:val="0"/>
      <w:marRight w:val="0"/>
      <w:marTop w:val="0"/>
      <w:marBottom w:val="0"/>
      <w:divBdr>
        <w:top w:val="none" w:sz="0" w:space="0" w:color="auto"/>
        <w:left w:val="none" w:sz="0" w:space="0" w:color="auto"/>
        <w:bottom w:val="none" w:sz="0" w:space="0" w:color="auto"/>
        <w:right w:val="none" w:sz="0" w:space="0" w:color="auto"/>
      </w:divBdr>
    </w:div>
    <w:div w:id="1429038745">
      <w:marLeft w:val="0"/>
      <w:marRight w:val="0"/>
      <w:marTop w:val="0"/>
      <w:marBottom w:val="0"/>
      <w:divBdr>
        <w:top w:val="none" w:sz="0" w:space="0" w:color="auto"/>
        <w:left w:val="none" w:sz="0" w:space="0" w:color="auto"/>
        <w:bottom w:val="none" w:sz="0" w:space="0" w:color="auto"/>
        <w:right w:val="none" w:sz="0" w:space="0" w:color="auto"/>
      </w:divBdr>
    </w:div>
    <w:div w:id="1429038746">
      <w:marLeft w:val="0"/>
      <w:marRight w:val="0"/>
      <w:marTop w:val="0"/>
      <w:marBottom w:val="0"/>
      <w:divBdr>
        <w:top w:val="none" w:sz="0" w:space="0" w:color="auto"/>
        <w:left w:val="none" w:sz="0" w:space="0" w:color="auto"/>
        <w:bottom w:val="none" w:sz="0" w:space="0" w:color="auto"/>
        <w:right w:val="none" w:sz="0" w:space="0" w:color="auto"/>
      </w:divBdr>
    </w:div>
    <w:div w:id="1636791787">
      <w:bodyDiv w:val="1"/>
      <w:marLeft w:val="0"/>
      <w:marRight w:val="0"/>
      <w:marTop w:val="0"/>
      <w:marBottom w:val="0"/>
      <w:divBdr>
        <w:top w:val="none" w:sz="0" w:space="0" w:color="auto"/>
        <w:left w:val="none" w:sz="0" w:space="0" w:color="auto"/>
        <w:bottom w:val="none" w:sz="0" w:space="0" w:color="auto"/>
        <w:right w:val="none" w:sz="0" w:space="0" w:color="auto"/>
      </w:divBdr>
    </w:div>
    <w:div w:id="19197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nces.ed.gov/statprog/2002/std4_2.as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pubs2012/20122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7EB7C-3878-44EE-9236-BF84F5125D19}">
  <ds:schemaRefs>
    <ds:schemaRef ds:uri="http://schemas.openxmlformats.org/officeDocument/2006/bibliography"/>
  </ds:schemaRefs>
</ds:datastoreItem>
</file>

<file path=customXml/itemProps2.xml><?xml version="1.0" encoding="utf-8"?>
<ds:datastoreItem xmlns:ds="http://schemas.openxmlformats.org/officeDocument/2006/customXml" ds:itemID="{616CF173-A59C-49CC-AADD-5CFAAE7A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8121</Words>
  <Characters>49110</Characters>
  <Application>Microsoft Office Word</Application>
  <DocSecurity>4</DocSecurity>
  <Lines>409</Lines>
  <Paragraphs>114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elyjak</dc:creator>
  <cp:lastModifiedBy>katrina.ingalls</cp:lastModifiedBy>
  <cp:revision>2</cp:revision>
  <cp:lastPrinted>2012-09-14T18:14:00Z</cp:lastPrinted>
  <dcterms:created xsi:type="dcterms:W3CDTF">2013-02-22T18:10:00Z</dcterms:created>
  <dcterms:modified xsi:type="dcterms:W3CDTF">2013-02-22T18:10:00Z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