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B5" w:rsidRPr="00DB3D8E" w:rsidRDefault="009A40B5" w:rsidP="00AE28EF">
      <w:pPr>
        <w:spacing w:line="320" w:lineRule="atLeast"/>
      </w:pPr>
      <w:bookmarkStart w:id="0" w:name="_GoBack"/>
      <w:bookmarkEnd w:id="0"/>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7133BA" w:rsidRDefault="00B623A6" w:rsidP="00B623A6">
      <w:pPr>
        <w:pStyle w:val="Cov-Title"/>
        <w:spacing w:line="320" w:lineRule="atLeast"/>
        <w:rPr>
          <w:szCs w:val="40"/>
        </w:rPr>
      </w:pPr>
      <w:r>
        <w:rPr>
          <w:szCs w:val="40"/>
        </w:rPr>
        <w:t>2012</w:t>
      </w:r>
      <w:r w:rsidR="009A40B5" w:rsidRPr="007133BA">
        <w:rPr>
          <w:szCs w:val="40"/>
        </w:rPr>
        <w:t>/1</w:t>
      </w:r>
      <w:r>
        <w:rPr>
          <w:szCs w:val="40"/>
        </w:rPr>
        <w:t>4</w:t>
      </w:r>
      <w:r w:rsidR="009A40B5" w:rsidRPr="007133BA">
        <w:rPr>
          <w:szCs w:val="40"/>
        </w:rPr>
        <w:t xml:space="preserve"> B</w:t>
      </w:r>
      <w:r>
        <w:rPr>
          <w:szCs w:val="40"/>
        </w:rPr>
        <w:t>eginning Postsecondary Students</w:t>
      </w:r>
    </w:p>
    <w:p w:rsidR="009A40B5" w:rsidRPr="007133BA" w:rsidRDefault="009A40B5" w:rsidP="00B623A6">
      <w:pPr>
        <w:pStyle w:val="Cov-Title"/>
        <w:spacing w:line="320" w:lineRule="atLeast"/>
        <w:rPr>
          <w:szCs w:val="40"/>
        </w:rPr>
      </w:pPr>
      <w:r w:rsidRPr="007133BA">
        <w:rPr>
          <w:szCs w:val="40"/>
        </w:rPr>
        <w:t>Longitudinal Study: (B</w:t>
      </w:r>
      <w:r w:rsidR="00B623A6">
        <w:rPr>
          <w:szCs w:val="40"/>
        </w:rPr>
        <w:t>PS</w:t>
      </w:r>
      <w:r w:rsidRPr="007133BA">
        <w:rPr>
          <w:szCs w:val="40"/>
        </w:rPr>
        <w:t>:12</w:t>
      </w:r>
      <w:r w:rsidR="00B623A6">
        <w:rPr>
          <w:szCs w:val="40"/>
        </w:rPr>
        <w:t>/14</w:t>
      </w:r>
      <w:r w:rsidRPr="007133BA">
        <w:rPr>
          <w:szCs w:val="40"/>
        </w:rPr>
        <w:t>)</w:t>
      </w:r>
      <w:r w:rsidR="00EE06A6">
        <w:rPr>
          <w:szCs w:val="40"/>
        </w:rPr>
        <w:t xml:space="preserve"> Field Test</w:t>
      </w:r>
    </w:p>
    <w:p w:rsidR="009A40B5" w:rsidRPr="007133BA" w:rsidRDefault="009A40B5" w:rsidP="00AA2839">
      <w:pPr>
        <w:pStyle w:val="Cov-Title"/>
        <w:spacing w:line="320" w:lineRule="atLeast"/>
      </w:pPr>
    </w:p>
    <w:p w:rsidR="009A40B5" w:rsidRPr="007133BA" w:rsidRDefault="009A40B5" w:rsidP="00AA2839">
      <w:pPr>
        <w:pStyle w:val="Cov-Title"/>
        <w:spacing w:line="320" w:lineRule="atLeast"/>
      </w:pPr>
    </w:p>
    <w:p w:rsidR="009A40B5" w:rsidRPr="00DB3D8E" w:rsidRDefault="009A40B5" w:rsidP="00AA2839">
      <w:pPr>
        <w:spacing w:line="320" w:lineRule="atLeast"/>
      </w:pPr>
    </w:p>
    <w:p w:rsidR="009A40B5" w:rsidRPr="007133BA" w:rsidRDefault="002C65E7" w:rsidP="00AA2839">
      <w:pPr>
        <w:pStyle w:val="Cov-Subtitle"/>
        <w:spacing w:line="320" w:lineRule="atLeast"/>
      </w:pPr>
      <w:r>
        <w:t>S</w:t>
      </w:r>
      <w:r w:rsidR="009A40B5" w:rsidRPr="007133BA">
        <w:t>upporting Statement Part</w:t>
      </w:r>
      <w:r w:rsidR="0020207E">
        <w:t>s</w:t>
      </w:r>
      <w:r w:rsidR="009A40B5" w:rsidRPr="007133BA">
        <w:t xml:space="preserve"> B</w:t>
      </w:r>
      <w:r w:rsidR="0020207E">
        <w:t xml:space="preserve"> and C</w:t>
      </w:r>
    </w:p>
    <w:p w:rsidR="009A40B5" w:rsidRPr="007133BA" w:rsidRDefault="009A40B5" w:rsidP="00AA2839">
      <w:pPr>
        <w:pStyle w:val="Cov-Subtitle"/>
        <w:spacing w:line="320" w:lineRule="atLeast"/>
      </w:pPr>
      <w:r w:rsidRPr="007133BA">
        <w:t>Request for OMB Review</w:t>
      </w:r>
    </w:p>
    <w:p w:rsidR="009A40B5" w:rsidRPr="007133BA" w:rsidRDefault="009A40B5" w:rsidP="00B623A6">
      <w:pPr>
        <w:pStyle w:val="Cov-Subtitle"/>
        <w:spacing w:line="320" w:lineRule="atLeast"/>
      </w:pPr>
      <w:r w:rsidRPr="007133BA">
        <w:t xml:space="preserve">OMB # </w:t>
      </w:r>
      <w:r w:rsidR="00B623A6" w:rsidRPr="00547FA9">
        <w:t>1850-0</w:t>
      </w:r>
      <w:r w:rsidR="00B623A6">
        <w:t>631</w:t>
      </w:r>
      <w:r w:rsidR="00EC2764">
        <w:t xml:space="preserve"> v.</w:t>
      </w:r>
      <w:r w:rsidR="00EE06A6">
        <w:t>7</w:t>
      </w: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7133BA" w:rsidRDefault="009A40B5" w:rsidP="00AA2839">
      <w:pPr>
        <w:pStyle w:val="Cov-Address"/>
        <w:spacing w:line="320" w:lineRule="atLeast"/>
      </w:pPr>
      <w:r w:rsidRPr="007133BA">
        <w:t>Submitted by</w:t>
      </w:r>
    </w:p>
    <w:p w:rsidR="009A40B5" w:rsidRPr="007133BA" w:rsidRDefault="009A40B5" w:rsidP="00AA2839">
      <w:pPr>
        <w:pStyle w:val="Cov-Address"/>
        <w:spacing w:line="320" w:lineRule="atLeast"/>
      </w:pPr>
      <w:smartTag w:uri="urn:schemas-microsoft-com:office:smarttags" w:element="PlaceName">
        <w:smartTag w:uri="urn:schemas-microsoft-com:office:smarttags" w:element="place">
          <w:r w:rsidRPr="007133BA">
            <w:t>National</w:t>
          </w:r>
        </w:smartTag>
        <w:r w:rsidRPr="007133BA">
          <w:t xml:space="preserve"> </w:t>
        </w:r>
        <w:smartTag w:uri="urn:schemas-microsoft-com:office:smarttags" w:element="PlaceType">
          <w:r w:rsidRPr="007133BA">
            <w:t>Center</w:t>
          </w:r>
        </w:smartTag>
      </w:smartTag>
      <w:r w:rsidRPr="007133BA">
        <w:t xml:space="preserve"> for Education Statistics</w:t>
      </w:r>
    </w:p>
    <w:p w:rsidR="009A40B5" w:rsidRPr="007133BA" w:rsidRDefault="009A40B5" w:rsidP="00AA2839">
      <w:pPr>
        <w:pStyle w:val="Cov-Address"/>
        <w:spacing w:line="320" w:lineRule="atLeast"/>
      </w:pPr>
      <w:smartTag w:uri="urn:schemas-microsoft-com:office:smarttags" w:element="country-region">
        <w:smartTag w:uri="urn:schemas-microsoft-com:office:smarttags" w:element="place">
          <w:r w:rsidRPr="007133BA">
            <w:t>U.S.</w:t>
          </w:r>
        </w:smartTag>
      </w:smartTag>
      <w:r w:rsidRPr="007133BA">
        <w:t xml:space="preserve"> Department of Education</w:t>
      </w:r>
    </w:p>
    <w:p w:rsidR="009A40B5" w:rsidRPr="007133BA" w:rsidRDefault="009A40B5" w:rsidP="00AA2839">
      <w:pPr>
        <w:pStyle w:val="Cov-Address"/>
        <w:spacing w:line="320" w:lineRule="atLeast"/>
        <w:rPr>
          <w:rFonts w:ascii="Arial Black" w:hAnsi="Arial Black"/>
          <w:szCs w:val="24"/>
        </w:rPr>
      </w:pPr>
    </w:p>
    <w:p w:rsidR="009A40B5" w:rsidRPr="007133BA" w:rsidRDefault="009A40B5" w:rsidP="00AA2839">
      <w:pPr>
        <w:pStyle w:val="Cov-Address"/>
        <w:spacing w:line="320" w:lineRule="atLeast"/>
        <w:rPr>
          <w:rFonts w:ascii="Arial Black" w:hAnsi="Arial Black"/>
          <w:szCs w:val="24"/>
        </w:rPr>
      </w:pPr>
    </w:p>
    <w:p w:rsidR="009A40B5" w:rsidRPr="007133BA" w:rsidRDefault="00B623A6" w:rsidP="009818B2">
      <w:pPr>
        <w:pStyle w:val="Cov-Address"/>
        <w:spacing w:line="320" w:lineRule="atLeast"/>
      </w:pPr>
      <w:r>
        <w:rPr>
          <w:rFonts w:ascii="Arial Black" w:hAnsi="Arial Black"/>
          <w:szCs w:val="24"/>
        </w:rPr>
        <w:t>October</w:t>
      </w:r>
      <w:r w:rsidR="007356B0">
        <w:rPr>
          <w:rFonts w:ascii="Arial Black" w:hAnsi="Arial Black"/>
          <w:szCs w:val="24"/>
        </w:rPr>
        <w:t xml:space="preserve"> </w:t>
      </w:r>
      <w:r w:rsidR="00A3765B">
        <w:rPr>
          <w:rFonts w:ascii="Arial Black" w:hAnsi="Arial Black"/>
          <w:szCs w:val="24"/>
        </w:rPr>
        <w:t>1</w:t>
      </w:r>
      <w:r w:rsidR="009818B2">
        <w:rPr>
          <w:rFonts w:ascii="Arial Black" w:hAnsi="Arial Black"/>
          <w:szCs w:val="24"/>
        </w:rPr>
        <w:t>1,</w:t>
      </w:r>
      <w:r w:rsidR="009A40B5" w:rsidRPr="007133BA">
        <w:rPr>
          <w:rFonts w:ascii="Arial Black" w:hAnsi="Arial Black"/>
          <w:szCs w:val="24"/>
        </w:rPr>
        <w:t xml:space="preserve"> 201</w:t>
      </w:r>
      <w:r w:rsidR="005414BC">
        <w:rPr>
          <w:rFonts w:ascii="Arial Black" w:hAnsi="Arial Black"/>
          <w:szCs w:val="24"/>
        </w:rPr>
        <w:t>2</w:t>
      </w:r>
    </w:p>
    <w:p w:rsidR="009A40B5" w:rsidRPr="00DB3D8E" w:rsidRDefault="009A40B5">
      <w:pPr>
        <w:spacing w:after="200" w:line="276" w:lineRule="auto"/>
        <w:sectPr w:rsidR="009A40B5" w:rsidRPr="00DB3D8E" w:rsidSect="005844D3">
          <w:headerReference w:type="even" r:id="rId9"/>
          <w:footerReference w:type="even" r:id="rId10"/>
          <w:type w:val="oddPage"/>
          <w:pgSz w:w="12240" w:h="15840" w:code="1"/>
          <w:pgMar w:top="1008" w:right="1008" w:bottom="1008" w:left="1008" w:header="720" w:footer="720" w:gutter="0"/>
          <w:pgNumType w:start="1"/>
          <w:cols w:space="720"/>
          <w:docGrid w:linePitch="360"/>
        </w:sectPr>
      </w:pPr>
    </w:p>
    <w:p w:rsidR="009A40B5" w:rsidRPr="00DB3D8E" w:rsidRDefault="009A40B5" w:rsidP="008A0DD2">
      <w:pPr>
        <w:pStyle w:val="TOCHeading"/>
        <w:spacing w:after="120"/>
      </w:pPr>
      <w:bookmarkStart w:id="1" w:name="_Toc174182796"/>
      <w:bookmarkStart w:id="2" w:name="_Toc174182866"/>
      <w:bookmarkStart w:id="3" w:name="_Toc174182952"/>
      <w:bookmarkStart w:id="4" w:name="_Toc174183070"/>
      <w:bookmarkStart w:id="5" w:name="_Toc174183319"/>
      <w:bookmarkStart w:id="6" w:name="_Toc174183381"/>
      <w:bookmarkStart w:id="7" w:name="_Toc281389125"/>
      <w:bookmarkStart w:id="8" w:name="_Toc281391793"/>
      <w:bookmarkStart w:id="9" w:name="_Toc281392118"/>
      <w:bookmarkStart w:id="10" w:name="_Toc281400580"/>
      <w:bookmarkStart w:id="11" w:name="_Toc281402633"/>
      <w:bookmarkStart w:id="12" w:name="_Toc281405329"/>
      <w:bookmarkStart w:id="13" w:name="_Toc281389126"/>
      <w:bookmarkStart w:id="14" w:name="_Toc281391794"/>
      <w:bookmarkStart w:id="15" w:name="_Toc281392119"/>
      <w:bookmarkStart w:id="16" w:name="_Toc281400581"/>
      <w:bookmarkStart w:id="17" w:name="_Toc281402634"/>
      <w:bookmarkStart w:id="18" w:name="_Toc281405330"/>
      <w:bookmarkStart w:id="19" w:name="_Toc281389127"/>
      <w:bookmarkStart w:id="20" w:name="_Toc281391795"/>
      <w:bookmarkStart w:id="21" w:name="_Toc281392120"/>
      <w:bookmarkStart w:id="22" w:name="_Toc281400582"/>
      <w:bookmarkStart w:id="23" w:name="_Toc281402635"/>
      <w:bookmarkStart w:id="24" w:name="_Toc281405331"/>
      <w:bookmarkStart w:id="25" w:name="_Toc281389128"/>
      <w:bookmarkStart w:id="26" w:name="_Toc281391796"/>
      <w:bookmarkStart w:id="27" w:name="_Toc281392121"/>
      <w:bookmarkStart w:id="28" w:name="_Toc281400583"/>
      <w:bookmarkStart w:id="29" w:name="_Toc281402636"/>
      <w:bookmarkStart w:id="30" w:name="_Toc281405332"/>
      <w:bookmarkStart w:id="31" w:name="_Toc174182799"/>
      <w:bookmarkStart w:id="32" w:name="_Toc174182869"/>
      <w:bookmarkStart w:id="33" w:name="_Toc174182955"/>
      <w:bookmarkStart w:id="34" w:name="_Toc174183073"/>
      <w:bookmarkStart w:id="35" w:name="_Toc174183322"/>
      <w:bookmarkStart w:id="36" w:name="_Toc174183384"/>
      <w:bookmarkStart w:id="37" w:name="_Toc174182800"/>
      <w:bookmarkStart w:id="38" w:name="_Toc174182870"/>
      <w:bookmarkStart w:id="39" w:name="_Toc174182956"/>
      <w:bookmarkStart w:id="40" w:name="_Toc174183074"/>
      <w:bookmarkStart w:id="41" w:name="_Toc174183323"/>
      <w:bookmarkStart w:id="42" w:name="_Toc174183385"/>
      <w:bookmarkStart w:id="43" w:name="_Toc174182801"/>
      <w:bookmarkStart w:id="44" w:name="_Toc174182871"/>
      <w:bookmarkStart w:id="45" w:name="_Toc174182957"/>
      <w:bookmarkStart w:id="46" w:name="_Toc174183075"/>
      <w:bookmarkStart w:id="47" w:name="_Toc174183324"/>
      <w:bookmarkStart w:id="48" w:name="_Toc174183386"/>
      <w:bookmarkStart w:id="49" w:name="_Toc281389129"/>
      <w:bookmarkStart w:id="50" w:name="_Toc281391797"/>
      <w:bookmarkStart w:id="51" w:name="_Toc281392122"/>
      <w:bookmarkStart w:id="52" w:name="_Toc281400584"/>
      <w:bookmarkStart w:id="53" w:name="_Toc281402637"/>
      <w:bookmarkStart w:id="54" w:name="_Toc281405333"/>
      <w:bookmarkStart w:id="55" w:name="_Toc281516515"/>
      <w:bookmarkStart w:id="56" w:name="_Toc281389133"/>
      <w:bookmarkStart w:id="57" w:name="_Toc281391801"/>
      <w:bookmarkStart w:id="58" w:name="_Toc281392126"/>
      <w:bookmarkStart w:id="59" w:name="_Toc281400588"/>
      <w:bookmarkStart w:id="60" w:name="_Toc281402641"/>
      <w:bookmarkStart w:id="61" w:name="_Toc281405337"/>
      <w:bookmarkStart w:id="62" w:name="_Toc281516517"/>
      <w:bookmarkStart w:id="63" w:name="_Toc174172874"/>
      <w:bookmarkStart w:id="64" w:name="_Toc174182808"/>
      <w:bookmarkStart w:id="65" w:name="_Toc174182878"/>
      <w:bookmarkStart w:id="66" w:name="_Toc174182964"/>
      <w:bookmarkStart w:id="67" w:name="_Toc174183082"/>
      <w:bookmarkStart w:id="68" w:name="_Toc174183331"/>
      <w:bookmarkStart w:id="69" w:name="_Toc174183393"/>
      <w:bookmarkStart w:id="70" w:name="_Toc281389139"/>
      <w:bookmarkStart w:id="71" w:name="_Toc281391807"/>
      <w:bookmarkStart w:id="72" w:name="_Toc281392132"/>
      <w:bookmarkStart w:id="73" w:name="_Toc281400594"/>
      <w:bookmarkStart w:id="74" w:name="_Toc281402647"/>
      <w:bookmarkStart w:id="75" w:name="_Toc281405343"/>
      <w:bookmarkStart w:id="76" w:name="_Toc281516523"/>
      <w:bookmarkStart w:id="77" w:name="_Toc279660029"/>
      <w:bookmarkStart w:id="78" w:name="_Toc279661569"/>
      <w:bookmarkStart w:id="79" w:name="_Toc279662069"/>
      <w:bookmarkStart w:id="80" w:name="_Toc279662115"/>
      <w:bookmarkStart w:id="81" w:name="_Toc279662590"/>
      <w:bookmarkStart w:id="82" w:name="_Toc279662789"/>
      <w:bookmarkStart w:id="83" w:name="_Toc279663304"/>
      <w:bookmarkStart w:id="84" w:name="_Toc279664154"/>
      <w:bookmarkStart w:id="85" w:name="_Toc279664249"/>
      <w:bookmarkStart w:id="86" w:name="_Toc279664297"/>
      <w:bookmarkStart w:id="87" w:name="_Toc174172880"/>
      <w:bookmarkStart w:id="88" w:name="_Toc174182814"/>
      <w:bookmarkStart w:id="89" w:name="_Toc174182884"/>
      <w:bookmarkStart w:id="90" w:name="_Toc174182970"/>
      <w:bookmarkStart w:id="91" w:name="_Toc174183088"/>
      <w:bookmarkStart w:id="92" w:name="_Toc174183337"/>
      <w:bookmarkStart w:id="93" w:name="_Toc174183399"/>
      <w:bookmarkStart w:id="94" w:name="_Toc146530915"/>
      <w:bookmarkStart w:id="95" w:name="_Toc174172900"/>
      <w:bookmarkStart w:id="96" w:name="_Toc174182831"/>
      <w:bookmarkStart w:id="97" w:name="_Toc174182901"/>
      <w:bookmarkStart w:id="98" w:name="_Toc174182987"/>
      <w:bookmarkStart w:id="99" w:name="_Toc174183105"/>
      <w:bookmarkStart w:id="100" w:name="_Toc174183354"/>
      <w:bookmarkStart w:id="101" w:name="_Toc174183416"/>
      <w:bookmarkStart w:id="102" w:name="_Toc174183409"/>
      <w:bookmarkStart w:id="103" w:name="_Toc174435821"/>
      <w:bookmarkStart w:id="104" w:name="_Toc175106848"/>
      <w:bookmarkStart w:id="105" w:name="_Toc179362224"/>
      <w:bookmarkStart w:id="106" w:name="_Toc28157343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DB3D8E">
        <w:lastRenderedPageBreak/>
        <w:t>Contents</w:t>
      </w:r>
    </w:p>
    <w:p w:rsidR="00F221D8" w:rsidRDefault="009D5DB4" w:rsidP="008A0DD2">
      <w:pPr>
        <w:pStyle w:val="TOC1"/>
        <w:rPr>
          <w:rFonts w:asciiTheme="minorHAnsi" w:eastAsiaTheme="minorEastAsia" w:hAnsiTheme="minorHAnsi" w:cstheme="minorBidi"/>
          <w:sz w:val="22"/>
          <w:szCs w:val="22"/>
        </w:rPr>
      </w:pPr>
      <w:r w:rsidRPr="00DB3D8E">
        <w:rPr>
          <w:rFonts w:cs="Times New Roman"/>
        </w:rPr>
        <w:fldChar w:fldCharType="begin"/>
      </w:r>
      <w:r w:rsidR="009A40B5" w:rsidRPr="00DB3D8E">
        <w:rPr>
          <w:rFonts w:cs="Times New Roman"/>
        </w:rPr>
        <w:instrText xml:space="preserve"> TOC \o "1-3" \h \z \u </w:instrText>
      </w:r>
      <w:r w:rsidRPr="00DB3D8E">
        <w:rPr>
          <w:rFonts w:cs="Times New Roman"/>
        </w:rPr>
        <w:fldChar w:fldCharType="separate"/>
      </w:r>
      <w:hyperlink w:anchor="_Toc337840002" w:history="1">
        <w:r w:rsidR="00F221D8" w:rsidRPr="00D92FD4">
          <w:rPr>
            <w:rStyle w:val="Hyperlink"/>
          </w:rPr>
          <w:t>List of Tables</w:t>
        </w:r>
        <w:r w:rsidR="00F221D8">
          <w:rPr>
            <w:webHidden/>
          </w:rPr>
          <w:tab/>
        </w:r>
        <w:r>
          <w:rPr>
            <w:webHidden/>
          </w:rPr>
          <w:fldChar w:fldCharType="begin"/>
        </w:r>
        <w:r w:rsidR="00F221D8">
          <w:rPr>
            <w:webHidden/>
          </w:rPr>
          <w:instrText xml:space="preserve"> PAGEREF _Toc337840002 \h </w:instrText>
        </w:r>
        <w:r>
          <w:rPr>
            <w:webHidden/>
          </w:rPr>
        </w:r>
        <w:r>
          <w:rPr>
            <w:webHidden/>
          </w:rPr>
          <w:fldChar w:fldCharType="separate"/>
        </w:r>
        <w:r w:rsidR="00462CA4">
          <w:rPr>
            <w:webHidden/>
          </w:rPr>
          <w:t>iii</w:t>
        </w:r>
        <w:r>
          <w:rPr>
            <w:webHidden/>
          </w:rPr>
          <w:fldChar w:fldCharType="end"/>
        </w:r>
      </w:hyperlink>
    </w:p>
    <w:p w:rsidR="00F221D8" w:rsidRDefault="0037284D" w:rsidP="008A0DD2">
      <w:pPr>
        <w:pStyle w:val="TOC1"/>
        <w:rPr>
          <w:rFonts w:asciiTheme="minorHAnsi" w:eastAsiaTheme="minorEastAsia" w:hAnsiTheme="minorHAnsi" w:cstheme="minorBidi"/>
          <w:sz w:val="22"/>
          <w:szCs w:val="22"/>
        </w:rPr>
      </w:pPr>
      <w:hyperlink w:anchor="_Toc337840003" w:history="1">
        <w:r w:rsidR="00F221D8" w:rsidRPr="00D92FD4">
          <w:rPr>
            <w:rStyle w:val="Hyperlink"/>
          </w:rPr>
          <w:t>List of Exhibits</w:t>
        </w:r>
        <w:r w:rsidR="00F221D8">
          <w:rPr>
            <w:webHidden/>
          </w:rPr>
          <w:tab/>
        </w:r>
        <w:r w:rsidR="009D5DB4">
          <w:rPr>
            <w:webHidden/>
          </w:rPr>
          <w:fldChar w:fldCharType="begin"/>
        </w:r>
        <w:r w:rsidR="00F221D8">
          <w:rPr>
            <w:webHidden/>
          </w:rPr>
          <w:instrText xml:space="preserve"> PAGEREF _Toc337840003 \h </w:instrText>
        </w:r>
        <w:r w:rsidR="009D5DB4">
          <w:rPr>
            <w:webHidden/>
          </w:rPr>
        </w:r>
        <w:r w:rsidR="009D5DB4">
          <w:rPr>
            <w:webHidden/>
          </w:rPr>
          <w:fldChar w:fldCharType="separate"/>
        </w:r>
        <w:r w:rsidR="00462CA4">
          <w:rPr>
            <w:webHidden/>
          </w:rPr>
          <w:t>iii</w:t>
        </w:r>
        <w:r w:rsidR="009D5DB4">
          <w:rPr>
            <w:webHidden/>
          </w:rPr>
          <w:fldChar w:fldCharType="end"/>
        </w:r>
      </w:hyperlink>
    </w:p>
    <w:p w:rsidR="00F221D8" w:rsidRDefault="0037284D" w:rsidP="008A0DD2">
      <w:pPr>
        <w:pStyle w:val="TOC1"/>
        <w:rPr>
          <w:rFonts w:asciiTheme="minorHAnsi" w:eastAsiaTheme="minorEastAsia" w:hAnsiTheme="minorHAnsi" w:cstheme="minorBidi"/>
          <w:sz w:val="22"/>
          <w:szCs w:val="22"/>
        </w:rPr>
      </w:pPr>
      <w:hyperlink w:anchor="_Toc337840004" w:history="1">
        <w:r w:rsidR="00F221D8" w:rsidRPr="00D92FD4">
          <w:rPr>
            <w:rStyle w:val="Hyperlink"/>
          </w:rPr>
          <w:t>B.</w:t>
        </w:r>
        <w:r w:rsidR="00F221D8">
          <w:rPr>
            <w:rFonts w:asciiTheme="minorHAnsi" w:eastAsiaTheme="minorEastAsia" w:hAnsiTheme="minorHAnsi" w:cstheme="minorBidi"/>
            <w:sz w:val="22"/>
            <w:szCs w:val="22"/>
          </w:rPr>
          <w:tab/>
        </w:r>
        <w:r w:rsidR="00F221D8" w:rsidRPr="00D92FD4">
          <w:rPr>
            <w:rStyle w:val="Hyperlink"/>
          </w:rPr>
          <w:t>Collection of Information Employing Statistical Methods</w:t>
        </w:r>
        <w:r w:rsidR="00F221D8">
          <w:rPr>
            <w:webHidden/>
          </w:rPr>
          <w:tab/>
        </w:r>
        <w:r w:rsidR="009D5DB4">
          <w:rPr>
            <w:webHidden/>
          </w:rPr>
          <w:fldChar w:fldCharType="begin"/>
        </w:r>
        <w:r w:rsidR="00F221D8">
          <w:rPr>
            <w:webHidden/>
          </w:rPr>
          <w:instrText xml:space="preserve"> PAGEREF _Toc337840004 \h </w:instrText>
        </w:r>
        <w:r w:rsidR="009D5DB4">
          <w:rPr>
            <w:webHidden/>
          </w:rPr>
        </w:r>
        <w:r w:rsidR="009D5DB4">
          <w:rPr>
            <w:webHidden/>
          </w:rPr>
          <w:fldChar w:fldCharType="separate"/>
        </w:r>
        <w:r w:rsidR="00462CA4">
          <w:rPr>
            <w:webHidden/>
          </w:rPr>
          <w:t>1</w:t>
        </w:r>
        <w:r w:rsidR="009D5DB4">
          <w:rPr>
            <w:webHidden/>
          </w:rPr>
          <w:fldChar w:fldCharType="end"/>
        </w:r>
      </w:hyperlink>
    </w:p>
    <w:p w:rsidR="00F221D8" w:rsidRDefault="0037284D">
      <w:pPr>
        <w:pStyle w:val="TOC2"/>
        <w:tabs>
          <w:tab w:val="left" w:pos="1080"/>
        </w:tabs>
        <w:rPr>
          <w:rFonts w:asciiTheme="minorHAnsi" w:eastAsiaTheme="minorEastAsia" w:hAnsiTheme="minorHAnsi" w:cstheme="minorBidi"/>
          <w:bCs w:val="0"/>
          <w:szCs w:val="22"/>
        </w:rPr>
      </w:pPr>
      <w:hyperlink w:anchor="_Toc337840005" w:history="1">
        <w:r w:rsidR="00F221D8" w:rsidRPr="00D92FD4">
          <w:rPr>
            <w:rStyle w:val="Hyperlink"/>
          </w:rPr>
          <w:t>1.</w:t>
        </w:r>
        <w:r w:rsidR="00F221D8">
          <w:rPr>
            <w:rFonts w:asciiTheme="minorHAnsi" w:eastAsiaTheme="minorEastAsia" w:hAnsiTheme="minorHAnsi" w:cstheme="minorBidi"/>
            <w:bCs w:val="0"/>
            <w:szCs w:val="22"/>
          </w:rPr>
          <w:tab/>
        </w:r>
        <w:r w:rsidR="00F221D8" w:rsidRPr="00D92FD4">
          <w:rPr>
            <w:rStyle w:val="Hyperlink"/>
          </w:rPr>
          <w:t>Respondent Universe and Sampling</w:t>
        </w:r>
        <w:r w:rsidR="00F221D8">
          <w:rPr>
            <w:webHidden/>
          </w:rPr>
          <w:tab/>
        </w:r>
        <w:r w:rsidR="009D5DB4">
          <w:rPr>
            <w:webHidden/>
          </w:rPr>
          <w:fldChar w:fldCharType="begin"/>
        </w:r>
        <w:r w:rsidR="00F221D8">
          <w:rPr>
            <w:webHidden/>
          </w:rPr>
          <w:instrText xml:space="preserve"> PAGEREF _Toc337840005 \h </w:instrText>
        </w:r>
        <w:r w:rsidR="009D5DB4">
          <w:rPr>
            <w:webHidden/>
          </w:rPr>
        </w:r>
        <w:r w:rsidR="009D5DB4">
          <w:rPr>
            <w:webHidden/>
          </w:rPr>
          <w:fldChar w:fldCharType="separate"/>
        </w:r>
        <w:r w:rsidR="00462CA4">
          <w:rPr>
            <w:webHidden/>
          </w:rPr>
          <w:t>1</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06" w:history="1">
        <w:r w:rsidR="00F221D8" w:rsidRPr="00D92FD4">
          <w:rPr>
            <w:rStyle w:val="Hyperlink"/>
          </w:rPr>
          <w:t>a.</w:t>
        </w:r>
        <w:r w:rsidR="00F221D8">
          <w:rPr>
            <w:rFonts w:asciiTheme="minorHAnsi" w:eastAsiaTheme="minorEastAsia" w:hAnsiTheme="minorHAnsi" w:cstheme="minorBidi"/>
            <w:szCs w:val="22"/>
          </w:rPr>
          <w:tab/>
        </w:r>
        <w:r w:rsidR="00F221D8" w:rsidRPr="00D92FD4">
          <w:rPr>
            <w:rStyle w:val="Hyperlink"/>
          </w:rPr>
          <w:t>NPSAS:12 Field Test Institution Universe and Sample</w:t>
        </w:r>
        <w:r w:rsidR="00F221D8">
          <w:rPr>
            <w:webHidden/>
          </w:rPr>
          <w:tab/>
        </w:r>
        <w:r w:rsidR="009D5DB4">
          <w:rPr>
            <w:webHidden/>
          </w:rPr>
          <w:fldChar w:fldCharType="begin"/>
        </w:r>
        <w:r w:rsidR="00F221D8">
          <w:rPr>
            <w:webHidden/>
          </w:rPr>
          <w:instrText xml:space="preserve"> PAGEREF _Toc337840006 \h </w:instrText>
        </w:r>
        <w:r w:rsidR="009D5DB4">
          <w:rPr>
            <w:webHidden/>
          </w:rPr>
        </w:r>
        <w:r w:rsidR="009D5DB4">
          <w:rPr>
            <w:webHidden/>
          </w:rPr>
          <w:fldChar w:fldCharType="separate"/>
        </w:r>
        <w:r w:rsidR="00462CA4">
          <w:rPr>
            <w:webHidden/>
          </w:rPr>
          <w:t>1</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07" w:history="1">
        <w:r w:rsidR="00F221D8" w:rsidRPr="00D92FD4">
          <w:rPr>
            <w:rStyle w:val="Hyperlink"/>
          </w:rPr>
          <w:t>b.</w:t>
        </w:r>
        <w:r w:rsidR="00F221D8">
          <w:rPr>
            <w:rFonts w:asciiTheme="minorHAnsi" w:eastAsiaTheme="minorEastAsia" w:hAnsiTheme="minorHAnsi" w:cstheme="minorBidi"/>
            <w:szCs w:val="22"/>
          </w:rPr>
          <w:tab/>
        </w:r>
        <w:r w:rsidR="00F221D8" w:rsidRPr="00D92FD4">
          <w:rPr>
            <w:rStyle w:val="Hyperlink"/>
          </w:rPr>
          <w:t>NPSAS:12 Field Test Student Universe and Sample</w:t>
        </w:r>
        <w:r w:rsidR="00F221D8">
          <w:rPr>
            <w:webHidden/>
          </w:rPr>
          <w:tab/>
        </w:r>
        <w:r w:rsidR="009D5DB4">
          <w:rPr>
            <w:webHidden/>
          </w:rPr>
          <w:fldChar w:fldCharType="begin"/>
        </w:r>
        <w:r w:rsidR="00F221D8">
          <w:rPr>
            <w:webHidden/>
          </w:rPr>
          <w:instrText xml:space="preserve"> PAGEREF _Toc337840007 \h </w:instrText>
        </w:r>
        <w:r w:rsidR="009D5DB4">
          <w:rPr>
            <w:webHidden/>
          </w:rPr>
        </w:r>
        <w:r w:rsidR="009D5DB4">
          <w:rPr>
            <w:webHidden/>
          </w:rPr>
          <w:fldChar w:fldCharType="separate"/>
        </w:r>
        <w:r w:rsidR="00462CA4">
          <w:rPr>
            <w:webHidden/>
          </w:rPr>
          <w:t>3</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08" w:history="1">
        <w:r w:rsidR="00F221D8" w:rsidRPr="00D92FD4">
          <w:rPr>
            <w:rStyle w:val="Hyperlink"/>
          </w:rPr>
          <w:t>c.</w:t>
        </w:r>
        <w:r w:rsidR="00F221D8">
          <w:rPr>
            <w:rFonts w:asciiTheme="minorHAnsi" w:eastAsiaTheme="minorEastAsia" w:hAnsiTheme="minorHAnsi" w:cstheme="minorBidi"/>
            <w:szCs w:val="22"/>
          </w:rPr>
          <w:tab/>
        </w:r>
        <w:r w:rsidR="00F221D8" w:rsidRPr="00D92FD4">
          <w:rPr>
            <w:rStyle w:val="Hyperlink"/>
          </w:rPr>
          <w:t>Identification of FTBs in NPSAS:12</w:t>
        </w:r>
        <w:r w:rsidR="00F221D8">
          <w:rPr>
            <w:webHidden/>
          </w:rPr>
          <w:tab/>
        </w:r>
        <w:r w:rsidR="009D5DB4">
          <w:rPr>
            <w:webHidden/>
          </w:rPr>
          <w:fldChar w:fldCharType="begin"/>
        </w:r>
        <w:r w:rsidR="00F221D8">
          <w:rPr>
            <w:webHidden/>
          </w:rPr>
          <w:instrText xml:space="preserve"> PAGEREF _Toc337840008 \h </w:instrText>
        </w:r>
        <w:r w:rsidR="009D5DB4">
          <w:rPr>
            <w:webHidden/>
          </w:rPr>
        </w:r>
        <w:r w:rsidR="009D5DB4">
          <w:rPr>
            <w:webHidden/>
          </w:rPr>
          <w:fldChar w:fldCharType="separate"/>
        </w:r>
        <w:r w:rsidR="00462CA4">
          <w:rPr>
            <w:webHidden/>
          </w:rPr>
          <w:t>4</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09" w:history="1">
        <w:r w:rsidR="00F221D8" w:rsidRPr="00D92FD4">
          <w:rPr>
            <w:rStyle w:val="Hyperlink"/>
          </w:rPr>
          <w:t>d.</w:t>
        </w:r>
        <w:r w:rsidR="00F221D8">
          <w:rPr>
            <w:rFonts w:asciiTheme="minorHAnsi" w:eastAsiaTheme="minorEastAsia" w:hAnsiTheme="minorHAnsi" w:cstheme="minorBidi"/>
            <w:szCs w:val="22"/>
          </w:rPr>
          <w:tab/>
        </w:r>
        <w:r w:rsidR="00F221D8" w:rsidRPr="00D92FD4">
          <w:rPr>
            <w:rStyle w:val="Hyperlink"/>
          </w:rPr>
          <w:t>BPS:12/14 Field Test Sample</w:t>
        </w:r>
        <w:r w:rsidR="00F221D8">
          <w:rPr>
            <w:webHidden/>
          </w:rPr>
          <w:tab/>
        </w:r>
        <w:r w:rsidR="009D5DB4">
          <w:rPr>
            <w:webHidden/>
          </w:rPr>
          <w:fldChar w:fldCharType="begin"/>
        </w:r>
        <w:r w:rsidR="00F221D8">
          <w:rPr>
            <w:webHidden/>
          </w:rPr>
          <w:instrText xml:space="preserve"> PAGEREF _Toc337840009 \h </w:instrText>
        </w:r>
        <w:r w:rsidR="009D5DB4">
          <w:rPr>
            <w:webHidden/>
          </w:rPr>
        </w:r>
        <w:r w:rsidR="009D5DB4">
          <w:rPr>
            <w:webHidden/>
          </w:rPr>
          <w:fldChar w:fldCharType="separate"/>
        </w:r>
        <w:r w:rsidR="00462CA4">
          <w:rPr>
            <w:webHidden/>
          </w:rPr>
          <w:t>5</w:t>
        </w:r>
        <w:r w:rsidR="009D5DB4">
          <w:rPr>
            <w:webHidden/>
          </w:rPr>
          <w:fldChar w:fldCharType="end"/>
        </w:r>
      </w:hyperlink>
    </w:p>
    <w:p w:rsidR="00F221D8" w:rsidRDefault="0037284D">
      <w:pPr>
        <w:pStyle w:val="TOC2"/>
        <w:tabs>
          <w:tab w:val="left" w:pos="1080"/>
        </w:tabs>
        <w:rPr>
          <w:rFonts w:asciiTheme="minorHAnsi" w:eastAsiaTheme="minorEastAsia" w:hAnsiTheme="minorHAnsi" w:cstheme="minorBidi"/>
          <w:bCs w:val="0"/>
          <w:szCs w:val="22"/>
        </w:rPr>
      </w:pPr>
      <w:hyperlink w:anchor="_Toc337840012" w:history="1">
        <w:r w:rsidR="00F221D8" w:rsidRPr="00D92FD4">
          <w:rPr>
            <w:rStyle w:val="Hyperlink"/>
          </w:rPr>
          <w:t>2.</w:t>
        </w:r>
        <w:r w:rsidR="00F221D8">
          <w:rPr>
            <w:rFonts w:asciiTheme="minorHAnsi" w:eastAsiaTheme="minorEastAsia" w:hAnsiTheme="minorHAnsi" w:cstheme="minorBidi"/>
            <w:bCs w:val="0"/>
            <w:szCs w:val="22"/>
          </w:rPr>
          <w:tab/>
        </w:r>
        <w:r w:rsidR="00F221D8" w:rsidRPr="00D92FD4">
          <w:rPr>
            <w:rStyle w:val="Hyperlink"/>
          </w:rPr>
          <w:t>Procedures for the Collection of Information</w:t>
        </w:r>
        <w:r w:rsidR="00F221D8">
          <w:rPr>
            <w:webHidden/>
          </w:rPr>
          <w:tab/>
        </w:r>
        <w:r w:rsidR="009D5DB4">
          <w:rPr>
            <w:webHidden/>
          </w:rPr>
          <w:fldChar w:fldCharType="begin"/>
        </w:r>
        <w:r w:rsidR="00F221D8">
          <w:rPr>
            <w:webHidden/>
          </w:rPr>
          <w:instrText xml:space="preserve"> PAGEREF _Toc337840012 \h </w:instrText>
        </w:r>
        <w:r w:rsidR="009D5DB4">
          <w:rPr>
            <w:webHidden/>
          </w:rPr>
        </w:r>
        <w:r w:rsidR="009D5DB4">
          <w:rPr>
            <w:webHidden/>
          </w:rPr>
          <w:fldChar w:fldCharType="separate"/>
        </w:r>
        <w:r w:rsidR="00462CA4">
          <w:rPr>
            <w:webHidden/>
          </w:rPr>
          <w:t>6</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13" w:history="1">
        <w:r w:rsidR="00F221D8" w:rsidRPr="00D92FD4">
          <w:rPr>
            <w:rStyle w:val="Hyperlink"/>
          </w:rPr>
          <w:t>a.</w:t>
        </w:r>
        <w:r w:rsidR="00F221D8">
          <w:rPr>
            <w:rFonts w:asciiTheme="minorHAnsi" w:eastAsiaTheme="minorEastAsia" w:hAnsiTheme="minorHAnsi" w:cstheme="minorBidi"/>
            <w:szCs w:val="22"/>
          </w:rPr>
          <w:tab/>
        </w:r>
        <w:r w:rsidR="00F221D8" w:rsidRPr="00D92FD4">
          <w:rPr>
            <w:rStyle w:val="Hyperlink"/>
          </w:rPr>
          <w:t>Statistical methodology for stratification and sample selection</w:t>
        </w:r>
        <w:r w:rsidR="00F221D8">
          <w:rPr>
            <w:webHidden/>
          </w:rPr>
          <w:tab/>
        </w:r>
        <w:r w:rsidR="009D5DB4">
          <w:rPr>
            <w:webHidden/>
          </w:rPr>
          <w:fldChar w:fldCharType="begin"/>
        </w:r>
        <w:r w:rsidR="00F221D8">
          <w:rPr>
            <w:webHidden/>
          </w:rPr>
          <w:instrText xml:space="preserve"> PAGEREF _Toc337840013 \h </w:instrText>
        </w:r>
        <w:r w:rsidR="009D5DB4">
          <w:rPr>
            <w:webHidden/>
          </w:rPr>
        </w:r>
        <w:r w:rsidR="009D5DB4">
          <w:rPr>
            <w:webHidden/>
          </w:rPr>
          <w:fldChar w:fldCharType="separate"/>
        </w:r>
        <w:r w:rsidR="00462CA4">
          <w:rPr>
            <w:webHidden/>
          </w:rPr>
          <w:t>6</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14" w:history="1">
        <w:r w:rsidR="00F221D8" w:rsidRPr="00D92FD4">
          <w:rPr>
            <w:rStyle w:val="Hyperlink"/>
          </w:rPr>
          <w:t>b.</w:t>
        </w:r>
        <w:r w:rsidR="00F221D8">
          <w:rPr>
            <w:rFonts w:asciiTheme="minorHAnsi" w:eastAsiaTheme="minorEastAsia" w:hAnsiTheme="minorHAnsi" w:cstheme="minorBidi"/>
            <w:szCs w:val="22"/>
          </w:rPr>
          <w:tab/>
        </w:r>
        <w:r w:rsidR="00F221D8" w:rsidRPr="00D92FD4">
          <w:rPr>
            <w:rStyle w:val="Hyperlink"/>
          </w:rPr>
          <w:t>Estimation procedure</w:t>
        </w:r>
        <w:r w:rsidR="00F221D8">
          <w:rPr>
            <w:webHidden/>
          </w:rPr>
          <w:tab/>
        </w:r>
        <w:r w:rsidR="009D5DB4">
          <w:rPr>
            <w:webHidden/>
          </w:rPr>
          <w:fldChar w:fldCharType="begin"/>
        </w:r>
        <w:r w:rsidR="00F221D8">
          <w:rPr>
            <w:webHidden/>
          </w:rPr>
          <w:instrText xml:space="preserve"> PAGEREF _Toc337840014 \h </w:instrText>
        </w:r>
        <w:r w:rsidR="009D5DB4">
          <w:rPr>
            <w:webHidden/>
          </w:rPr>
        </w:r>
        <w:r w:rsidR="009D5DB4">
          <w:rPr>
            <w:webHidden/>
          </w:rPr>
          <w:fldChar w:fldCharType="separate"/>
        </w:r>
        <w:r w:rsidR="00462CA4">
          <w:rPr>
            <w:webHidden/>
          </w:rPr>
          <w:t>6</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15" w:history="1">
        <w:r w:rsidR="00F221D8" w:rsidRPr="00D92FD4">
          <w:rPr>
            <w:rStyle w:val="Hyperlink"/>
          </w:rPr>
          <w:t>c.</w:t>
        </w:r>
        <w:r w:rsidR="00F221D8">
          <w:rPr>
            <w:rFonts w:asciiTheme="minorHAnsi" w:eastAsiaTheme="minorEastAsia" w:hAnsiTheme="minorHAnsi" w:cstheme="minorBidi"/>
            <w:szCs w:val="22"/>
          </w:rPr>
          <w:tab/>
        </w:r>
        <w:r w:rsidR="00F221D8" w:rsidRPr="00D92FD4">
          <w:rPr>
            <w:rStyle w:val="Hyperlink"/>
          </w:rPr>
          <w:t>Degree of accuracy needed for the purpose described in the justification</w:t>
        </w:r>
        <w:r w:rsidR="00F221D8">
          <w:rPr>
            <w:webHidden/>
          </w:rPr>
          <w:tab/>
        </w:r>
        <w:r w:rsidR="009D5DB4">
          <w:rPr>
            <w:webHidden/>
          </w:rPr>
          <w:fldChar w:fldCharType="begin"/>
        </w:r>
        <w:r w:rsidR="00F221D8">
          <w:rPr>
            <w:webHidden/>
          </w:rPr>
          <w:instrText xml:space="preserve"> PAGEREF _Toc337840015 \h </w:instrText>
        </w:r>
        <w:r w:rsidR="009D5DB4">
          <w:rPr>
            <w:webHidden/>
          </w:rPr>
        </w:r>
        <w:r w:rsidR="009D5DB4">
          <w:rPr>
            <w:webHidden/>
          </w:rPr>
          <w:fldChar w:fldCharType="separate"/>
        </w:r>
        <w:r w:rsidR="00462CA4">
          <w:rPr>
            <w:webHidden/>
          </w:rPr>
          <w:t>6</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16" w:history="1">
        <w:r w:rsidR="00F221D8" w:rsidRPr="00D92FD4">
          <w:rPr>
            <w:rStyle w:val="Hyperlink"/>
          </w:rPr>
          <w:t>d.</w:t>
        </w:r>
        <w:r w:rsidR="00F221D8">
          <w:rPr>
            <w:rFonts w:asciiTheme="minorHAnsi" w:eastAsiaTheme="minorEastAsia" w:hAnsiTheme="minorHAnsi" w:cstheme="minorBidi"/>
            <w:szCs w:val="22"/>
          </w:rPr>
          <w:tab/>
        </w:r>
        <w:r w:rsidR="00F221D8" w:rsidRPr="00D92FD4">
          <w:rPr>
            <w:rStyle w:val="Hyperlink"/>
          </w:rPr>
          <w:t>Unusual problems requiring specialized sample procedures</w:t>
        </w:r>
        <w:r w:rsidR="00F221D8">
          <w:rPr>
            <w:webHidden/>
          </w:rPr>
          <w:tab/>
        </w:r>
        <w:r w:rsidR="009D5DB4">
          <w:rPr>
            <w:webHidden/>
          </w:rPr>
          <w:fldChar w:fldCharType="begin"/>
        </w:r>
        <w:r w:rsidR="00F221D8">
          <w:rPr>
            <w:webHidden/>
          </w:rPr>
          <w:instrText xml:space="preserve"> PAGEREF _Toc337840016 \h </w:instrText>
        </w:r>
        <w:r w:rsidR="009D5DB4">
          <w:rPr>
            <w:webHidden/>
          </w:rPr>
        </w:r>
        <w:r w:rsidR="009D5DB4">
          <w:rPr>
            <w:webHidden/>
          </w:rPr>
          <w:fldChar w:fldCharType="separate"/>
        </w:r>
        <w:r w:rsidR="00462CA4">
          <w:rPr>
            <w:webHidden/>
          </w:rPr>
          <w:t>7</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17" w:history="1">
        <w:r w:rsidR="00F221D8" w:rsidRPr="00D92FD4">
          <w:rPr>
            <w:rStyle w:val="Hyperlink"/>
          </w:rPr>
          <w:t>e.</w:t>
        </w:r>
        <w:r w:rsidR="00F221D8">
          <w:rPr>
            <w:rFonts w:asciiTheme="minorHAnsi" w:eastAsiaTheme="minorEastAsia" w:hAnsiTheme="minorHAnsi" w:cstheme="minorBidi"/>
            <w:szCs w:val="22"/>
          </w:rPr>
          <w:tab/>
        </w:r>
        <w:r w:rsidR="00F221D8" w:rsidRPr="00D92FD4">
          <w:rPr>
            <w:rStyle w:val="Hyperlink"/>
          </w:rPr>
          <w:t>Any use of periodic (less frequent than annual) data collection cycles to reduce the burden</w:t>
        </w:r>
        <w:r w:rsidR="00F221D8">
          <w:rPr>
            <w:webHidden/>
          </w:rPr>
          <w:tab/>
        </w:r>
        <w:r w:rsidR="009D5DB4">
          <w:rPr>
            <w:webHidden/>
          </w:rPr>
          <w:fldChar w:fldCharType="begin"/>
        </w:r>
        <w:r w:rsidR="00F221D8">
          <w:rPr>
            <w:webHidden/>
          </w:rPr>
          <w:instrText xml:space="preserve"> PAGEREF _Toc337840017 \h </w:instrText>
        </w:r>
        <w:r w:rsidR="009D5DB4">
          <w:rPr>
            <w:webHidden/>
          </w:rPr>
        </w:r>
        <w:r w:rsidR="009D5DB4">
          <w:rPr>
            <w:webHidden/>
          </w:rPr>
          <w:fldChar w:fldCharType="separate"/>
        </w:r>
        <w:r w:rsidR="00462CA4">
          <w:rPr>
            <w:webHidden/>
          </w:rPr>
          <w:t>7</w:t>
        </w:r>
        <w:r w:rsidR="009D5DB4">
          <w:rPr>
            <w:webHidden/>
          </w:rPr>
          <w:fldChar w:fldCharType="end"/>
        </w:r>
      </w:hyperlink>
    </w:p>
    <w:p w:rsidR="00F221D8" w:rsidRDefault="0037284D">
      <w:pPr>
        <w:pStyle w:val="TOC2"/>
        <w:tabs>
          <w:tab w:val="left" w:pos="1080"/>
        </w:tabs>
        <w:rPr>
          <w:rFonts w:asciiTheme="minorHAnsi" w:eastAsiaTheme="minorEastAsia" w:hAnsiTheme="minorHAnsi" w:cstheme="minorBidi"/>
          <w:bCs w:val="0"/>
          <w:szCs w:val="22"/>
        </w:rPr>
      </w:pPr>
      <w:hyperlink w:anchor="_Toc337840018" w:history="1">
        <w:r w:rsidR="00F221D8" w:rsidRPr="00D92FD4">
          <w:rPr>
            <w:rStyle w:val="Hyperlink"/>
          </w:rPr>
          <w:t>3.</w:t>
        </w:r>
        <w:r w:rsidR="00F221D8">
          <w:rPr>
            <w:rFonts w:asciiTheme="minorHAnsi" w:eastAsiaTheme="minorEastAsia" w:hAnsiTheme="minorHAnsi" w:cstheme="minorBidi"/>
            <w:bCs w:val="0"/>
            <w:szCs w:val="22"/>
          </w:rPr>
          <w:tab/>
        </w:r>
        <w:r w:rsidR="00F221D8" w:rsidRPr="00D92FD4">
          <w:rPr>
            <w:rStyle w:val="Hyperlink"/>
          </w:rPr>
          <w:t>Methods for Maximizing Response Rates</w:t>
        </w:r>
        <w:r w:rsidR="00F221D8">
          <w:rPr>
            <w:webHidden/>
          </w:rPr>
          <w:tab/>
        </w:r>
        <w:r w:rsidR="009D5DB4">
          <w:rPr>
            <w:webHidden/>
          </w:rPr>
          <w:fldChar w:fldCharType="begin"/>
        </w:r>
        <w:r w:rsidR="00F221D8">
          <w:rPr>
            <w:webHidden/>
          </w:rPr>
          <w:instrText xml:space="preserve"> PAGEREF _Toc337840018 \h </w:instrText>
        </w:r>
        <w:r w:rsidR="009D5DB4">
          <w:rPr>
            <w:webHidden/>
          </w:rPr>
        </w:r>
        <w:r w:rsidR="009D5DB4">
          <w:rPr>
            <w:webHidden/>
          </w:rPr>
          <w:fldChar w:fldCharType="separate"/>
        </w:r>
        <w:r w:rsidR="00462CA4">
          <w:rPr>
            <w:webHidden/>
          </w:rPr>
          <w:t>7</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19" w:history="1">
        <w:r w:rsidR="00F221D8" w:rsidRPr="00D92FD4">
          <w:rPr>
            <w:rStyle w:val="Hyperlink"/>
          </w:rPr>
          <w:t>a.</w:t>
        </w:r>
        <w:r w:rsidR="00F221D8">
          <w:rPr>
            <w:rFonts w:asciiTheme="minorHAnsi" w:eastAsiaTheme="minorEastAsia" w:hAnsiTheme="minorHAnsi" w:cstheme="minorBidi"/>
            <w:szCs w:val="22"/>
          </w:rPr>
          <w:tab/>
        </w:r>
        <w:r w:rsidR="00F221D8" w:rsidRPr="00D92FD4">
          <w:rPr>
            <w:rStyle w:val="Hyperlink"/>
          </w:rPr>
          <w:t>Locating</w:t>
        </w:r>
        <w:r w:rsidR="00F221D8">
          <w:rPr>
            <w:webHidden/>
          </w:rPr>
          <w:tab/>
        </w:r>
        <w:r w:rsidR="009D5DB4">
          <w:rPr>
            <w:webHidden/>
          </w:rPr>
          <w:fldChar w:fldCharType="begin"/>
        </w:r>
        <w:r w:rsidR="00F221D8">
          <w:rPr>
            <w:webHidden/>
          </w:rPr>
          <w:instrText xml:space="preserve"> PAGEREF _Toc337840019 \h </w:instrText>
        </w:r>
        <w:r w:rsidR="009D5DB4">
          <w:rPr>
            <w:webHidden/>
          </w:rPr>
        </w:r>
        <w:r w:rsidR="009D5DB4">
          <w:rPr>
            <w:webHidden/>
          </w:rPr>
          <w:fldChar w:fldCharType="separate"/>
        </w:r>
        <w:r w:rsidR="00462CA4">
          <w:rPr>
            <w:webHidden/>
          </w:rPr>
          <w:t>7</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20" w:history="1">
        <w:r w:rsidR="00F221D8" w:rsidRPr="00D92FD4">
          <w:rPr>
            <w:rStyle w:val="Hyperlink"/>
          </w:rPr>
          <w:t>b.</w:t>
        </w:r>
        <w:r w:rsidR="00F221D8">
          <w:rPr>
            <w:rFonts w:asciiTheme="minorHAnsi" w:eastAsiaTheme="minorEastAsia" w:hAnsiTheme="minorHAnsi" w:cstheme="minorBidi"/>
            <w:szCs w:val="22"/>
          </w:rPr>
          <w:tab/>
        </w:r>
        <w:r w:rsidR="00F221D8" w:rsidRPr="00D92FD4">
          <w:rPr>
            <w:rStyle w:val="Hyperlink"/>
          </w:rPr>
          <w:t>Interviewing Procedures</w:t>
        </w:r>
        <w:r w:rsidR="00F221D8">
          <w:rPr>
            <w:webHidden/>
          </w:rPr>
          <w:tab/>
        </w:r>
        <w:r w:rsidR="009D5DB4">
          <w:rPr>
            <w:webHidden/>
          </w:rPr>
          <w:fldChar w:fldCharType="begin"/>
        </w:r>
        <w:r w:rsidR="00F221D8">
          <w:rPr>
            <w:webHidden/>
          </w:rPr>
          <w:instrText xml:space="preserve"> PAGEREF _Toc337840020 \h </w:instrText>
        </w:r>
        <w:r w:rsidR="009D5DB4">
          <w:rPr>
            <w:webHidden/>
          </w:rPr>
        </w:r>
        <w:r w:rsidR="009D5DB4">
          <w:rPr>
            <w:webHidden/>
          </w:rPr>
          <w:fldChar w:fldCharType="separate"/>
        </w:r>
        <w:r w:rsidR="00462CA4">
          <w:rPr>
            <w:webHidden/>
          </w:rPr>
          <w:t>8</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21" w:history="1">
        <w:r w:rsidR="00F221D8" w:rsidRPr="00D92FD4">
          <w:rPr>
            <w:rStyle w:val="Hyperlink"/>
          </w:rPr>
          <w:t>c.</w:t>
        </w:r>
        <w:r w:rsidR="00F221D8">
          <w:rPr>
            <w:rFonts w:asciiTheme="minorHAnsi" w:eastAsiaTheme="minorEastAsia" w:hAnsiTheme="minorHAnsi" w:cstheme="minorBidi"/>
            <w:szCs w:val="22"/>
          </w:rPr>
          <w:tab/>
        </w:r>
        <w:r w:rsidR="00F221D8" w:rsidRPr="00D92FD4">
          <w:rPr>
            <w:rStyle w:val="Hyperlink"/>
          </w:rPr>
          <w:t>Quality Control</w:t>
        </w:r>
        <w:r w:rsidR="00F221D8">
          <w:rPr>
            <w:webHidden/>
          </w:rPr>
          <w:tab/>
        </w:r>
        <w:r w:rsidR="009D5DB4">
          <w:rPr>
            <w:webHidden/>
          </w:rPr>
          <w:fldChar w:fldCharType="begin"/>
        </w:r>
        <w:r w:rsidR="00F221D8">
          <w:rPr>
            <w:webHidden/>
          </w:rPr>
          <w:instrText xml:space="preserve"> PAGEREF _Toc337840021 \h </w:instrText>
        </w:r>
        <w:r w:rsidR="009D5DB4">
          <w:rPr>
            <w:webHidden/>
          </w:rPr>
        </w:r>
        <w:r w:rsidR="009D5DB4">
          <w:rPr>
            <w:webHidden/>
          </w:rPr>
          <w:fldChar w:fldCharType="separate"/>
        </w:r>
        <w:r w:rsidR="00462CA4">
          <w:rPr>
            <w:webHidden/>
          </w:rPr>
          <w:t>10</w:t>
        </w:r>
        <w:r w:rsidR="009D5DB4">
          <w:rPr>
            <w:webHidden/>
          </w:rPr>
          <w:fldChar w:fldCharType="end"/>
        </w:r>
      </w:hyperlink>
    </w:p>
    <w:p w:rsidR="00F221D8" w:rsidRDefault="0037284D">
      <w:pPr>
        <w:pStyle w:val="TOC2"/>
        <w:tabs>
          <w:tab w:val="left" w:pos="1080"/>
        </w:tabs>
        <w:rPr>
          <w:rFonts w:asciiTheme="minorHAnsi" w:eastAsiaTheme="minorEastAsia" w:hAnsiTheme="minorHAnsi" w:cstheme="minorBidi"/>
          <w:bCs w:val="0"/>
          <w:szCs w:val="22"/>
        </w:rPr>
      </w:pPr>
      <w:hyperlink w:anchor="_Toc337840022" w:history="1">
        <w:r w:rsidR="00F221D8" w:rsidRPr="00D92FD4">
          <w:rPr>
            <w:rStyle w:val="Hyperlink"/>
          </w:rPr>
          <w:t>4.</w:t>
        </w:r>
        <w:r w:rsidR="00F221D8">
          <w:rPr>
            <w:rFonts w:asciiTheme="minorHAnsi" w:eastAsiaTheme="minorEastAsia" w:hAnsiTheme="minorHAnsi" w:cstheme="minorBidi"/>
            <w:bCs w:val="0"/>
            <w:szCs w:val="22"/>
          </w:rPr>
          <w:tab/>
        </w:r>
        <w:r w:rsidR="00F221D8" w:rsidRPr="00D92FD4">
          <w:rPr>
            <w:rStyle w:val="Hyperlink"/>
          </w:rPr>
          <w:t>Tests of Procedures and Methods</w:t>
        </w:r>
        <w:r w:rsidR="00F221D8">
          <w:rPr>
            <w:webHidden/>
          </w:rPr>
          <w:tab/>
        </w:r>
        <w:r w:rsidR="009D5DB4">
          <w:rPr>
            <w:webHidden/>
          </w:rPr>
          <w:fldChar w:fldCharType="begin"/>
        </w:r>
        <w:r w:rsidR="00F221D8">
          <w:rPr>
            <w:webHidden/>
          </w:rPr>
          <w:instrText xml:space="preserve"> PAGEREF _Toc337840022 \h </w:instrText>
        </w:r>
        <w:r w:rsidR="009D5DB4">
          <w:rPr>
            <w:webHidden/>
          </w:rPr>
        </w:r>
        <w:r w:rsidR="009D5DB4">
          <w:rPr>
            <w:webHidden/>
          </w:rPr>
          <w:fldChar w:fldCharType="separate"/>
        </w:r>
        <w:r w:rsidR="00462CA4">
          <w:rPr>
            <w:webHidden/>
          </w:rPr>
          <w:t>10</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23" w:history="1">
        <w:r w:rsidR="00F221D8" w:rsidRPr="00D92FD4">
          <w:rPr>
            <w:rStyle w:val="Hyperlink"/>
          </w:rPr>
          <w:t>a.</w:t>
        </w:r>
        <w:r w:rsidR="00F221D8">
          <w:rPr>
            <w:rFonts w:asciiTheme="minorHAnsi" w:eastAsiaTheme="minorEastAsia" w:hAnsiTheme="minorHAnsi" w:cstheme="minorBidi"/>
            <w:szCs w:val="22"/>
          </w:rPr>
          <w:tab/>
        </w:r>
        <w:r w:rsidR="00F221D8" w:rsidRPr="00D92FD4">
          <w:rPr>
            <w:rStyle w:val="Hyperlink"/>
          </w:rPr>
          <w:t>NPSAS:12</w:t>
        </w:r>
        <w:r w:rsidR="00F221D8">
          <w:rPr>
            <w:webHidden/>
          </w:rPr>
          <w:tab/>
        </w:r>
        <w:r w:rsidR="009D5DB4">
          <w:rPr>
            <w:webHidden/>
          </w:rPr>
          <w:fldChar w:fldCharType="begin"/>
        </w:r>
        <w:r w:rsidR="00F221D8">
          <w:rPr>
            <w:webHidden/>
          </w:rPr>
          <w:instrText xml:space="preserve"> PAGEREF _Toc337840023 \h </w:instrText>
        </w:r>
        <w:r w:rsidR="009D5DB4">
          <w:rPr>
            <w:webHidden/>
          </w:rPr>
        </w:r>
        <w:r w:rsidR="009D5DB4">
          <w:rPr>
            <w:webHidden/>
          </w:rPr>
          <w:fldChar w:fldCharType="separate"/>
        </w:r>
        <w:r w:rsidR="00462CA4">
          <w:rPr>
            <w:webHidden/>
          </w:rPr>
          <w:t>10</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24" w:history="1">
        <w:r w:rsidR="00F221D8" w:rsidRPr="00D92FD4">
          <w:rPr>
            <w:rStyle w:val="Hyperlink"/>
          </w:rPr>
          <w:t>b.</w:t>
        </w:r>
        <w:r w:rsidR="00F221D8">
          <w:rPr>
            <w:rFonts w:asciiTheme="minorHAnsi" w:eastAsiaTheme="minorEastAsia" w:hAnsiTheme="minorHAnsi" w:cstheme="minorBidi"/>
            <w:szCs w:val="22"/>
          </w:rPr>
          <w:tab/>
        </w:r>
        <w:r w:rsidR="00F221D8" w:rsidRPr="00D92FD4">
          <w:rPr>
            <w:rStyle w:val="Hyperlink"/>
          </w:rPr>
          <w:t>B&amp;B:08/12</w:t>
        </w:r>
        <w:r w:rsidR="00F221D8">
          <w:rPr>
            <w:webHidden/>
          </w:rPr>
          <w:tab/>
        </w:r>
        <w:r w:rsidR="009D5DB4">
          <w:rPr>
            <w:webHidden/>
          </w:rPr>
          <w:fldChar w:fldCharType="begin"/>
        </w:r>
        <w:r w:rsidR="00F221D8">
          <w:rPr>
            <w:webHidden/>
          </w:rPr>
          <w:instrText xml:space="preserve"> PAGEREF _Toc337840024 \h </w:instrText>
        </w:r>
        <w:r w:rsidR="009D5DB4">
          <w:rPr>
            <w:webHidden/>
          </w:rPr>
        </w:r>
        <w:r w:rsidR="009D5DB4">
          <w:rPr>
            <w:webHidden/>
          </w:rPr>
          <w:fldChar w:fldCharType="separate"/>
        </w:r>
        <w:r w:rsidR="00462CA4">
          <w:rPr>
            <w:webHidden/>
          </w:rPr>
          <w:t>11</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25" w:history="1">
        <w:r w:rsidR="00F221D8" w:rsidRPr="00D92FD4">
          <w:rPr>
            <w:rStyle w:val="Hyperlink"/>
          </w:rPr>
          <w:t>c.</w:t>
        </w:r>
        <w:r w:rsidR="00F221D8">
          <w:rPr>
            <w:rFonts w:asciiTheme="minorHAnsi" w:eastAsiaTheme="minorEastAsia" w:hAnsiTheme="minorHAnsi" w:cstheme="minorBidi"/>
            <w:szCs w:val="22"/>
          </w:rPr>
          <w:tab/>
        </w:r>
        <w:r w:rsidR="00F221D8" w:rsidRPr="00D92FD4">
          <w:rPr>
            <w:rStyle w:val="Hyperlink"/>
          </w:rPr>
          <w:t>ELS:2002/12</w:t>
        </w:r>
        <w:r w:rsidR="00F221D8">
          <w:rPr>
            <w:webHidden/>
          </w:rPr>
          <w:tab/>
        </w:r>
        <w:r w:rsidR="009D5DB4">
          <w:rPr>
            <w:webHidden/>
          </w:rPr>
          <w:fldChar w:fldCharType="begin"/>
        </w:r>
        <w:r w:rsidR="00F221D8">
          <w:rPr>
            <w:webHidden/>
          </w:rPr>
          <w:instrText xml:space="preserve"> PAGEREF _Toc337840025 \h </w:instrText>
        </w:r>
        <w:r w:rsidR="009D5DB4">
          <w:rPr>
            <w:webHidden/>
          </w:rPr>
        </w:r>
        <w:r w:rsidR="009D5DB4">
          <w:rPr>
            <w:webHidden/>
          </w:rPr>
          <w:fldChar w:fldCharType="separate"/>
        </w:r>
        <w:r w:rsidR="00462CA4">
          <w:rPr>
            <w:webHidden/>
          </w:rPr>
          <w:t>13</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26" w:history="1">
        <w:r w:rsidR="00F221D8" w:rsidRPr="00D92FD4">
          <w:rPr>
            <w:rStyle w:val="Hyperlink"/>
          </w:rPr>
          <w:t>d.</w:t>
        </w:r>
        <w:r w:rsidR="00F221D8">
          <w:rPr>
            <w:rFonts w:asciiTheme="minorHAnsi" w:eastAsiaTheme="minorEastAsia" w:hAnsiTheme="minorHAnsi" w:cstheme="minorBidi"/>
            <w:szCs w:val="22"/>
          </w:rPr>
          <w:tab/>
        </w:r>
        <w:r w:rsidR="00F221D8" w:rsidRPr="00D92FD4">
          <w:rPr>
            <w:rStyle w:val="Hyperlink"/>
          </w:rPr>
          <w:t>BPS:12/14 Field Test</w:t>
        </w:r>
        <w:r w:rsidR="00F221D8">
          <w:rPr>
            <w:webHidden/>
          </w:rPr>
          <w:tab/>
        </w:r>
        <w:r w:rsidR="009D5DB4">
          <w:rPr>
            <w:webHidden/>
          </w:rPr>
          <w:fldChar w:fldCharType="begin"/>
        </w:r>
        <w:r w:rsidR="00F221D8">
          <w:rPr>
            <w:webHidden/>
          </w:rPr>
          <w:instrText xml:space="preserve"> PAGEREF _Toc337840026 \h </w:instrText>
        </w:r>
        <w:r w:rsidR="009D5DB4">
          <w:rPr>
            <w:webHidden/>
          </w:rPr>
        </w:r>
        <w:r w:rsidR="009D5DB4">
          <w:rPr>
            <w:webHidden/>
          </w:rPr>
          <w:fldChar w:fldCharType="separate"/>
        </w:r>
        <w:r w:rsidR="00462CA4">
          <w:rPr>
            <w:webHidden/>
          </w:rPr>
          <w:t>15</w:t>
        </w:r>
        <w:r w:rsidR="009D5DB4">
          <w:rPr>
            <w:webHidden/>
          </w:rPr>
          <w:fldChar w:fldCharType="end"/>
        </w:r>
      </w:hyperlink>
    </w:p>
    <w:p w:rsidR="00F221D8" w:rsidRDefault="0037284D">
      <w:pPr>
        <w:pStyle w:val="TOC2"/>
        <w:tabs>
          <w:tab w:val="left" w:pos="1080"/>
        </w:tabs>
        <w:rPr>
          <w:rFonts w:asciiTheme="minorHAnsi" w:eastAsiaTheme="minorEastAsia" w:hAnsiTheme="minorHAnsi" w:cstheme="minorBidi"/>
          <w:bCs w:val="0"/>
          <w:szCs w:val="22"/>
        </w:rPr>
      </w:pPr>
      <w:hyperlink w:anchor="_Toc337840027" w:history="1">
        <w:r w:rsidR="00F221D8" w:rsidRPr="00D92FD4">
          <w:rPr>
            <w:rStyle w:val="Hyperlink"/>
          </w:rPr>
          <w:t>5.</w:t>
        </w:r>
        <w:r w:rsidR="00F221D8">
          <w:rPr>
            <w:rFonts w:asciiTheme="minorHAnsi" w:eastAsiaTheme="minorEastAsia" w:hAnsiTheme="minorHAnsi" w:cstheme="minorBidi"/>
            <w:bCs w:val="0"/>
            <w:szCs w:val="22"/>
          </w:rPr>
          <w:tab/>
        </w:r>
        <w:r w:rsidR="00F221D8" w:rsidRPr="00D92FD4">
          <w:rPr>
            <w:rStyle w:val="Hyperlink"/>
          </w:rPr>
          <w:t>Reviewing Statisticians and Individuals Responsible for Designing and Conducting the Study</w:t>
        </w:r>
        <w:r w:rsidR="00F221D8">
          <w:rPr>
            <w:webHidden/>
          </w:rPr>
          <w:tab/>
        </w:r>
        <w:r w:rsidR="009D5DB4">
          <w:rPr>
            <w:webHidden/>
          </w:rPr>
          <w:fldChar w:fldCharType="begin"/>
        </w:r>
        <w:r w:rsidR="00F221D8">
          <w:rPr>
            <w:webHidden/>
          </w:rPr>
          <w:instrText xml:space="preserve"> PAGEREF _Toc337840027 \h </w:instrText>
        </w:r>
        <w:r w:rsidR="009D5DB4">
          <w:rPr>
            <w:webHidden/>
          </w:rPr>
        </w:r>
        <w:r w:rsidR="009D5DB4">
          <w:rPr>
            <w:webHidden/>
          </w:rPr>
          <w:fldChar w:fldCharType="separate"/>
        </w:r>
        <w:r w:rsidR="00462CA4">
          <w:rPr>
            <w:webHidden/>
          </w:rPr>
          <w:t>22</w:t>
        </w:r>
        <w:r w:rsidR="009D5DB4">
          <w:rPr>
            <w:webHidden/>
          </w:rPr>
          <w:fldChar w:fldCharType="end"/>
        </w:r>
      </w:hyperlink>
    </w:p>
    <w:p w:rsidR="00F221D8" w:rsidRDefault="0037284D">
      <w:pPr>
        <w:pStyle w:val="TOC3"/>
        <w:tabs>
          <w:tab w:val="left" w:pos="1440"/>
        </w:tabs>
        <w:rPr>
          <w:rFonts w:asciiTheme="minorHAnsi" w:eastAsiaTheme="minorEastAsia" w:hAnsiTheme="minorHAnsi" w:cstheme="minorBidi"/>
          <w:szCs w:val="22"/>
        </w:rPr>
      </w:pPr>
      <w:hyperlink w:anchor="_Toc337840028" w:history="1">
        <w:r w:rsidR="00F221D8" w:rsidRPr="00D92FD4">
          <w:rPr>
            <w:rStyle w:val="Hyperlink"/>
          </w:rPr>
          <w:t>a.</w:t>
        </w:r>
        <w:r w:rsidR="00F221D8">
          <w:rPr>
            <w:rFonts w:asciiTheme="minorHAnsi" w:eastAsiaTheme="minorEastAsia" w:hAnsiTheme="minorHAnsi" w:cstheme="minorBidi"/>
            <w:szCs w:val="22"/>
          </w:rPr>
          <w:tab/>
        </w:r>
        <w:r w:rsidR="00F221D8" w:rsidRPr="00D92FD4">
          <w:rPr>
            <w:rStyle w:val="Hyperlink"/>
          </w:rPr>
          <w:t>Other Contractors’ Staff Responsible for Conducting the Study</w:t>
        </w:r>
        <w:r w:rsidR="00F221D8">
          <w:rPr>
            <w:webHidden/>
          </w:rPr>
          <w:tab/>
        </w:r>
        <w:r w:rsidR="009D5DB4">
          <w:rPr>
            <w:webHidden/>
          </w:rPr>
          <w:fldChar w:fldCharType="begin"/>
        </w:r>
        <w:r w:rsidR="00F221D8">
          <w:rPr>
            <w:webHidden/>
          </w:rPr>
          <w:instrText xml:space="preserve"> PAGEREF _Toc337840028 \h </w:instrText>
        </w:r>
        <w:r w:rsidR="009D5DB4">
          <w:rPr>
            <w:webHidden/>
          </w:rPr>
        </w:r>
        <w:r w:rsidR="009D5DB4">
          <w:rPr>
            <w:webHidden/>
          </w:rPr>
          <w:fldChar w:fldCharType="separate"/>
        </w:r>
        <w:r w:rsidR="00462CA4">
          <w:rPr>
            <w:webHidden/>
          </w:rPr>
          <w:t>22</w:t>
        </w:r>
        <w:r w:rsidR="009D5DB4">
          <w:rPr>
            <w:webHidden/>
          </w:rPr>
          <w:fldChar w:fldCharType="end"/>
        </w:r>
      </w:hyperlink>
    </w:p>
    <w:p w:rsidR="00F221D8" w:rsidRDefault="0037284D" w:rsidP="008A0DD2">
      <w:pPr>
        <w:pStyle w:val="TOC1"/>
        <w:rPr>
          <w:rFonts w:asciiTheme="minorHAnsi" w:eastAsiaTheme="minorEastAsia" w:hAnsiTheme="minorHAnsi" w:cstheme="minorBidi"/>
          <w:sz w:val="22"/>
          <w:szCs w:val="22"/>
        </w:rPr>
      </w:pPr>
      <w:hyperlink w:anchor="_Toc337840029" w:history="1">
        <w:r w:rsidR="00F221D8" w:rsidRPr="00D92FD4">
          <w:rPr>
            <w:rStyle w:val="Hyperlink"/>
          </w:rPr>
          <w:t>C.</w:t>
        </w:r>
        <w:r w:rsidR="00F221D8">
          <w:rPr>
            <w:rFonts w:asciiTheme="minorHAnsi" w:eastAsiaTheme="minorEastAsia" w:hAnsiTheme="minorHAnsi" w:cstheme="minorBidi"/>
            <w:sz w:val="22"/>
            <w:szCs w:val="22"/>
          </w:rPr>
          <w:tab/>
        </w:r>
        <w:r w:rsidR="00F221D8" w:rsidRPr="00D92FD4">
          <w:rPr>
            <w:rStyle w:val="Hyperlink"/>
          </w:rPr>
          <w:t>Overview of Analysis Topics and Survey Items</w:t>
        </w:r>
        <w:r w:rsidR="00F221D8">
          <w:rPr>
            <w:webHidden/>
          </w:rPr>
          <w:tab/>
        </w:r>
        <w:r w:rsidR="009D5DB4">
          <w:rPr>
            <w:webHidden/>
          </w:rPr>
          <w:fldChar w:fldCharType="begin"/>
        </w:r>
        <w:r w:rsidR="00F221D8">
          <w:rPr>
            <w:webHidden/>
          </w:rPr>
          <w:instrText xml:space="preserve"> PAGEREF _Toc337840029 \h </w:instrText>
        </w:r>
        <w:r w:rsidR="009D5DB4">
          <w:rPr>
            <w:webHidden/>
          </w:rPr>
        </w:r>
        <w:r w:rsidR="009D5DB4">
          <w:rPr>
            <w:webHidden/>
          </w:rPr>
          <w:fldChar w:fldCharType="separate"/>
        </w:r>
        <w:r w:rsidR="00462CA4">
          <w:rPr>
            <w:webHidden/>
          </w:rPr>
          <w:t>22</w:t>
        </w:r>
        <w:r w:rsidR="009D5DB4">
          <w:rPr>
            <w:webHidden/>
          </w:rPr>
          <w:fldChar w:fldCharType="end"/>
        </w:r>
      </w:hyperlink>
    </w:p>
    <w:p w:rsidR="00F221D8" w:rsidRDefault="0037284D" w:rsidP="008A0DD2">
      <w:pPr>
        <w:pStyle w:val="TOC1"/>
        <w:rPr>
          <w:rFonts w:asciiTheme="minorHAnsi" w:eastAsiaTheme="minorEastAsia" w:hAnsiTheme="minorHAnsi" w:cstheme="minorBidi"/>
          <w:sz w:val="22"/>
          <w:szCs w:val="22"/>
        </w:rPr>
      </w:pPr>
      <w:hyperlink w:anchor="_Toc337840030" w:history="1">
        <w:r w:rsidR="00F221D8" w:rsidRPr="00D92FD4">
          <w:rPr>
            <w:rStyle w:val="Hyperlink"/>
          </w:rPr>
          <w:t>References</w:t>
        </w:r>
        <w:r w:rsidR="00F221D8">
          <w:rPr>
            <w:webHidden/>
          </w:rPr>
          <w:tab/>
        </w:r>
        <w:r w:rsidR="009D5DB4">
          <w:rPr>
            <w:webHidden/>
          </w:rPr>
          <w:fldChar w:fldCharType="begin"/>
        </w:r>
        <w:r w:rsidR="00F221D8">
          <w:rPr>
            <w:webHidden/>
          </w:rPr>
          <w:instrText xml:space="preserve"> PAGEREF _Toc337840030 \h </w:instrText>
        </w:r>
        <w:r w:rsidR="009D5DB4">
          <w:rPr>
            <w:webHidden/>
          </w:rPr>
        </w:r>
        <w:r w:rsidR="009D5DB4">
          <w:rPr>
            <w:webHidden/>
          </w:rPr>
          <w:fldChar w:fldCharType="separate"/>
        </w:r>
        <w:r w:rsidR="00462CA4">
          <w:rPr>
            <w:webHidden/>
          </w:rPr>
          <w:t>22</w:t>
        </w:r>
        <w:r w:rsidR="009D5DB4">
          <w:rPr>
            <w:webHidden/>
          </w:rPr>
          <w:fldChar w:fldCharType="end"/>
        </w:r>
      </w:hyperlink>
    </w:p>
    <w:p w:rsidR="009A40B5" w:rsidRPr="008A0DD2" w:rsidRDefault="009D5DB4" w:rsidP="008A0DD2">
      <w:pPr>
        <w:pStyle w:val="Title"/>
        <w:spacing w:before="240"/>
        <w:rPr>
          <w:sz w:val="24"/>
          <w:szCs w:val="24"/>
        </w:rPr>
      </w:pPr>
      <w:r w:rsidRPr="00DB3D8E">
        <w:fldChar w:fldCharType="end"/>
      </w:r>
      <w:bookmarkStart w:id="107" w:name="_Toc321166325"/>
      <w:bookmarkStart w:id="108" w:name="_Toc322354443"/>
      <w:bookmarkStart w:id="109" w:name="_Toc337840002"/>
      <w:r w:rsidR="009A40B5" w:rsidRPr="008A0DD2">
        <w:rPr>
          <w:sz w:val="24"/>
          <w:szCs w:val="24"/>
        </w:rPr>
        <w:t>List of Tables</w:t>
      </w:r>
      <w:bookmarkEnd w:id="107"/>
      <w:bookmarkEnd w:id="108"/>
      <w:bookmarkEnd w:id="109"/>
    </w:p>
    <w:p w:rsidR="00F221D8" w:rsidRPr="008A0DD2" w:rsidRDefault="009D5DB4">
      <w:pPr>
        <w:pStyle w:val="TOC5"/>
        <w:rPr>
          <w:rFonts w:asciiTheme="minorHAnsi" w:eastAsiaTheme="minorEastAsia" w:hAnsiTheme="minorHAnsi" w:cstheme="minorBidi"/>
          <w:sz w:val="22"/>
          <w:szCs w:val="22"/>
        </w:rPr>
      </w:pPr>
      <w:r w:rsidRPr="008A0DD2">
        <w:rPr>
          <w:b/>
          <w:bCs/>
          <w:sz w:val="22"/>
          <w:szCs w:val="22"/>
        </w:rPr>
        <w:fldChar w:fldCharType="begin"/>
      </w:r>
      <w:r w:rsidR="003A0B06" w:rsidRPr="008A0DD2">
        <w:rPr>
          <w:b/>
          <w:bCs/>
          <w:sz w:val="22"/>
          <w:szCs w:val="22"/>
        </w:rPr>
        <w:instrText xml:space="preserve"> TOC \t "Table Title,5" </w:instrText>
      </w:r>
      <w:r w:rsidRPr="008A0DD2">
        <w:rPr>
          <w:b/>
          <w:bCs/>
          <w:sz w:val="22"/>
          <w:szCs w:val="22"/>
        </w:rPr>
        <w:fldChar w:fldCharType="separate"/>
      </w:r>
      <w:r w:rsidR="00F221D8" w:rsidRPr="008A0DD2">
        <w:rPr>
          <w:sz w:val="22"/>
          <w:szCs w:val="22"/>
        </w:rPr>
        <w:t>Table 1.  BPS:12/14 Sample Size by institution characteristics: 2011</w:t>
      </w:r>
      <w:r w:rsidR="00F221D8" w:rsidRPr="008A0DD2">
        <w:rPr>
          <w:sz w:val="22"/>
          <w:szCs w:val="22"/>
        </w:rPr>
        <w:tab/>
      </w:r>
      <w:r w:rsidRPr="008A0DD2">
        <w:rPr>
          <w:sz w:val="22"/>
          <w:szCs w:val="22"/>
        </w:rPr>
        <w:fldChar w:fldCharType="begin"/>
      </w:r>
      <w:r w:rsidR="00F221D8" w:rsidRPr="008A0DD2">
        <w:rPr>
          <w:sz w:val="22"/>
          <w:szCs w:val="22"/>
        </w:rPr>
        <w:instrText xml:space="preserve"> PAGEREF _Toc337840031 \h </w:instrText>
      </w:r>
      <w:r w:rsidRPr="008A0DD2">
        <w:rPr>
          <w:sz w:val="22"/>
          <w:szCs w:val="22"/>
        </w:rPr>
      </w:r>
      <w:r w:rsidRPr="008A0DD2">
        <w:rPr>
          <w:sz w:val="22"/>
          <w:szCs w:val="22"/>
        </w:rPr>
        <w:fldChar w:fldCharType="separate"/>
      </w:r>
      <w:r w:rsidR="00462CA4">
        <w:rPr>
          <w:sz w:val="22"/>
          <w:szCs w:val="22"/>
        </w:rPr>
        <w:t>6</w:t>
      </w:r>
      <w:r w:rsidRPr="008A0DD2">
        <w:rPr>
          <w:sz w:val="22"/>
          <w:szCs w:val="22"/>
        </w:rPr>
        <w:fldChar w:fldCharType="end"/>
      </w:r>
    </w:p>
    <w:p w:rsidR="00F221D8" w:rsidRPr="008A0DD2" w:rsidRDefault="00F221D8">
      <w:pPr>
        <w:pStyle w:val="TOC5"/>
        <w:rPr>
          <w:rFonts w:asciiTheme="minorHAnsi" w:eastAsiaTheme="minorEastAsia" w:hAnsiTheme="minorHAnsi" w:cstheme="minorBidi"/>
          <w:sz w:val="22"/>
          <w:szCs w:val="22"/>
        </w:rPr>
      </w:pPr>
      <w:r w:rsidRPr="008A0DD2">
        <w:rPr>
          <w:sz w:val="22"/>
          <w:szCs w:val="22"/>
        </w:rPr>
        <w:t>Table 2.  Start dates for BPS:12/14 field test interviewing, by institution sector</w:t>
      </w:r>
      <w:r w:rsidRPr="008A0DD2">
        <w:rPr>
          <w:sz w:val="22"/>
          <w:szCs w:val="22"/>
        </w:rPr>
        <w:tab/>
      </w:r>
      <w:r w:rsidR="009D5DB4" w:rsidRPr="008A0DD2">
        <w:rPr>
          <w:sz w:val="22"/>
          <w:szCs w:val="22"/>
        </w:rPr>
        <w:fldChar w:fldCharType="begin"/>
      </w:r>
      <w:r w:rsidRPr="008A0DD2">
        <w:rPr>
          <w:sz w:val="22"/>
          <w:szCs w:val="22"/>
        </w:rPr>
        <w:instrText xml:space="preserve"> PAGEREF _Toc337840032 \h </w:instrText>
      </w:r>
      <w:r w:rsidR="009D5DB4" w:rsidRPr="008A0DD2">
        <w:rPr>
          <w:sz w:val="22"/>
          <w:szCs w:val="22"/>
        </w:rPr>
      </w:r>
      <w:r w:rsidR="009D5DB4" w:rsidRPr="008A0DD2">
        <w:rPr>
          <w:sz w:val="22"/>
          <w:szCs w:val="22"/>
        </w:rPr>
        <w:fldChar w:fldCharType="separate"/>
      </w:r>
      <w:r w:rsidR="00462CA4">
        <w:rPr>
          <w:sz w:val="22"/>
          <w:szCs w:val="22"/>
        </w:rPr>
        <w:t>9</w:t>
      </w:r>
      <w:r w:rsidR="009D5DB4" w:rsidRPr="008A0DD2">
        <w:rPr>
          <w:sz w:val="22"/>
          <w:szCs w:val="22"/>
        </w:rPr>
        <w:fldChar w:fldCharType="end"/>
      </w:r>
    </w:p>
    <w:p w:rsidR="00F221D8" w:rsidRPr="008A0DD2" w:rsidRDefault="00F221D8">
      <w:pPr>
        <w:pStyle w:val="TOC5"/>
        <w:rPr>
          <w:rFonts w:asciiTheme="minorHAnsi" w:eastAsiaTheme="minorEastAsia" w:hAnsiTheme="minorHAnsi" w:cstheme="minorBidi"/>
          <w:sz w:val="22"/>
          <w:szCs w:val="22"/>
        </w:rPr>
      </w:pPr>
      <w:r w:rsidRPr="008A0DD2">
        <w:rPr>
          <w:sz w:val="22"/>
          <w:szCs w:val="22"/>
        </w:rPr>
        <w:t>Table 3.  Summary of Field Test and Full-Scale Data Collection Designs, by Study</w:t>
      </w:r>
      <w:r w:rsidRPr="008A0DD2">
        <w:rPr>
          <w:sz w:val="22"/>
          <w:szCs w:val="22"/>
        </w:rPr>
        <w:tab/>
      </w:r>
      <w:r w:rsidR="009D5DB4" w:rsidRPr="008A0DD2">
        <w:rPr>
          <w:sz w:val="22"/>
          <w:szCs w:val="22"/>
        </w:rPr>
        <w:fldChar w:fldCharType="begin"/>
      </w:r>
      <w:r w:rsidRPr="008A0DD2">
        <w:rPr>
          <w:sz w:val="22"/>
          <w:szCs w:val="22"/>
        </w:rPr>
        <w:instrText xml:space="preserve"> PAGEREF _Toc337840033 \h </w:instrText>
      </w:r>
      <w:r w:rsidR="009D5DB4" w:rsidRPr="008A0DD2">
        <w:rPr>
          <w:sz w:val="22"/>
          <w:szCs w:val="22"/>
        </w:rPr>
      </w:r>
      <w:r w:rsidR="009D5DB4" w:rsidRPr="008A0DD2">
        <w:rPr>
          <w:sz w:val="22"/>
          <w:szCs w:val="22"/>
        </w:rPr>
        <w:fldChar w:fldCharType="separate"/>
      </w:r>
      <w:r w:rsidR="00462CA4">
        <w:rPr>
          <w:sz w:val="22"/>
          <w:szCs w:val="22"/>
        </w:rPr>
        <w:t>14</w:t>
      </w:r>
      <w:r w:rsidR="009D5DB4" w:rsidRPr="008A0DD2">
        <w:rPr>
          <w:sz w:val="22"/>
          <w:szCs w:val="22"/>
        </w:rPr>
        <w:fldChar w:fldCharType="end"/>
      </w:r>
    </w:p>
    <w:p w:rsidR="00F221D8" w:rsidRPr="008A0DD2" w:rsidRDefault="00F221D8">
      <w:pPr>
        <w:pStyle w:val="TOC5"/>
        <w:rPr>
          <w:rFonts w:asciiTheme="minorHAnsi" w:eastAsiaTheme="minorEastAsia" w:hAnsiTheme="minorHAnsi" w:cstheme="minorBidi"/>
          <w:sz w:val="22"/>
          <w:szCs w:val="22"/>
        </w:rPr>
      </w:pPr>
      <w:r w:rsidRPr="008A0DD2">
        <w:rPr>
          <w:sz w:val="22"/>
          <w:szCs w:val="22"/>
        </w:rPr>
        <w:t>Table 4.  Distribution of the BPS:12/14 field test sample, by sector and base year response status and mode</w:t>
      </w:r>
      <w:r w:rsidRPr="008A0DD2">
        <w:rPr>
          <w:sz w:val="22"/>
          <w:szCs w:val="22"/>
        </w:rPr>
        <w:tab/>
      </w:r>
      <w:r w:rsidR="009D5DB4" w:rsidRPr="008A0DD2">
        <w:rPr>
          <w:sz w:val="22"/>
          <w:szCs w:val="22"/>
        </w:rPr>
        <w:fldChar w:fldCharType="begin"/>
      </w:r>
      <w:r w:rsidRPr="008A0DD2">
        <w:rPr>
          <w:sz w:val="22"/>
          <w:szCs w:val="22"/>
        </w:rPr>
        <w:instrText xml:space="preserve"> PAGEREF _Toc337840034 \h </w:instrText>
      </w:r>
      <w:r w:rsidR="009D5DB4" w:rsidRPr="008A0DD2">
        <w:rPr>
          <w:sz w:val="22"/>
          <w:szCs w:val="22"/>
        </w:rPr>
      </w:r>
      <w:r w:rsidR="009D5DB4" w:rsidRPr="008A0DD2">
        <w:rPr>
          <w:sz w:val="22"/>
          <w:szCs w:val="22"/>
        </w:rPr>
        <w:fldChar w:fldCharType="separate"/>
      </w:r>
      <w:r w:rsidR="00462CA4">
        <w:rPr>
          <w:sz w:val="22"/>
          <w:szCs w:val="22"/>
        </w:rPr>
        <w:t>16</w:t>
      </w:r>
      <w:r w:rsidR="009D5DB4" w:rsidRPr="008A0DD2">
        <w:rPr>
          <w:sz w:val="22"/>
          <w:szCs w:val="22"/>
        </w:rPr>
        <w:fldChar w:fldCharType="end"/>
      </w:r>
    </w:p>
    <w:p w:rsidR="00F221D8" w:rsidRPr="008A0DD2" w:rsidRDefault="00F221D8">
      <w:pPr>
        <w:pStyle w:val="TOC5"/>
        <w:rPr>
          <w:rFonts w:asciiTheme="minorHAnsi" w:eastAsiaTheme="minorEastAsia" w:hAnsiTheme="minorHAnsi" w:cstheme="minorBidi"/>
          <w:sz w:val="22"/>
          <w:szCs w:val="22"/>
        </w:rPr>
      </w:pPr>
      <w:r w:rsidRPr="008A0DD2">
        <w:rPr>
          <w:sz w:val="22"/>
          <w:szCs w:val="22"/>
        </w:rPr>
        <w:t>Table 5.</w:t>
      </w:r>
      <w:r w:rsidRPr="008A0DD2">
        <w:rPr>
          <w:rFonts w:asciiTheme="minorHAnsi" w:eastAsiaTheme="minorEastAsia" w:hAnsiTheme="minorHAnsi" w:cstheme="minorBidi"/>
          <w:sz w:val="22"/>
          <w:szCs w:val="22"/>
        </w:rPr>
        <w:tab/>
      </w:r>
      <w:r w:rsidRPr="008A0DD2">
        <w:rPr>
          <w:sz w:val="22"/>
          <w:szCs w:val="22"/>
        </w:rPr>
        <w:t>Detectable differences for experimental hypotheses</w:t>
      </w:r>
      <w:r w:rsidRPr="008A0DD2">
        <w:rPr>
          <w:sz w:val="22"/>
          <w:szCs w:val="22"/>
        </w:rPr>
        <w:tab/>
      </w:r>
      <w:r w:rsidR="009D5DB4" w:rsidRPr="008A0DD2">
        <w:rPr>
          <w:sz w:val="22"/>
          <w:szCs w:val="22"/>
        </w:rPr>
        <w:fldChar w:fldCharType="begin"/>
      </w:r>
      <w:r w:rsidRPr="008A0DD2">
        <w:rPr>
          <w:sz w:val="22"/>
          <w:szCs w:val="22"/>
        </w:rPr>
        <w:instrText xml:space="preserve"> PAGEREF _Toc337840035 \h </w:instrText>
      </w:r>
      <w:r w:rsidR="009D5DB4" w:rsidRPr="008A0DD2">
        <w:rPr>
          <w:sz w:val="22"/>
          <w:szCs w:val="22"/>
        </w:rPr>
      </w:r>
      <w:r w:rsidR="009D5DB4" w:rsidRPr="008A0DD2">
        <w:rPr>
          <w:sz w:val="22"/>
          <w:szCs w:val="22"/>
        </w:rPr>
        <w:fldChar w:fldCharType="separate"/>
      </w:r>
      <w:r w:rsidR="00462CA4">
        <w:rPr>
          <w:sz w:val="22"/>
          <w:szCs w:val="22"/>
        </w:rPr>
        <w:t>20</w:t>
      </w:r>
      <w:r w:rsidR="009D5DB4" w:rsidRPr="008A0DD2">
        <w:rPr>
          <w:sz w:val="22"/>
          <w:szCs w:val="22"/>
        </w:rPr>
        <w:fldChar w:fldCharType="end"/>
      </w:r>
    </w:p>
    <w:p w:rsidR="009A40B5" w:rsidRPr="008A0DD2" w:rsidRDefault="009D5DB4" w:rsidP="008A0DD2">
      <w:pPr>
        <w:pStyle w:val="Title"/>
        <w:spacing w:before="240"/>
        <w:rPr>
          <w:sz w:val="24"/>
          <w:szCs w:val="24"/>
        </w:rPr>
      </w:pPr>
      <w:r w:rsidRPr="008A0DD2">
        <w:rPr>
          <w:rFonts w:ascii="Times New Roman" w:hAnsi="Times New Roman"/>
          <w:bCs/>
          <w:sz w:val="22"/>
          <w:szCs w:val="22"/>
        </w:rPr>
        <w:fldChar w:fldCharType="end"/>
      </w:r>
      <w:bookmarkStart w:id="110" w:name="_Toc321166326"/>
      <w:bookmarkStart w:id="111" w:name="_Toc322354444"/>
      <w:bookmarkStart w:id="112" w:name="_Toc337840003"/>
      <w:r w:rsidR="009A40B5" w:rsidRPr="008A0DD2">
        <w:rPr>
          <w:sz w:val="24"/>
          <w:szCs w:val="24"/>
        </w:rPr>
        <w:t xml:space="preserve">List of </w:t>
      </w:r>
      <w:bookmarkEnd w:id="110"/>
      <w:bookmarkEnd w:id="111"/>
      <w:r w:rsidR="002D5D82" w:rsidRPr="008A0DD2">
        <w:rPr>
          <w:sz w:val="24"/>
          <w:szCs w:val="24"/>
        </w:rPr>
        <w:t>Exhibits</w:t>
      </w:r>
      <w:bookmarkEnd w:id="112"/>
    </w:p>
    <w:p w:rsidR="00F23149" w:rsidRPr="008A0DD2" w:rsidRDefault="00F23149" w:rsidP="00462CA4">
      <w:pPr>
        <w:ind w:right="-216" w:firstLine="360"/>
        <w:rPr>
          <w:sz w:val="22"/>
          <w:szCs w:val="22"/>
        </w:rPr>
      </w:pPr>
      <w:r w:rsidRPr="008A0DD2">
        <w:rPr>
          <w:sz w:val="22"/>
          <w:szCs w:val="22"/>
        </w:rPr>
        <w:t>Exhibit 1.  Design of the BPS:12/14 field test data collection experiment…………………………</w:t>
      </w:r>
      <w:r w:rsidR="00462CA4">
        <w:rPr>
          <w:sz w:val="22"/>
          <w:szCs w:val="22"/>
        </w:rPr>
        <w:t>………...</w:t>
      </w:r>
      <w:r w:rsidRPr="008A0DD2">
        <w:rPr>
          <w:sz w:val="22"/>
          <w:szCs w:val="22"/>
        </w:rPr>
        <w:t>…2</w:t>
      </w:r>
      <w:r w:rsidR="00F221D8" w:rsidRPr="008A0DD2">
        <w:rPr>
          <w:sz w:val="22"/>
          <w:szCs w:val="22"/>
        </w:rPr>
        <w:t>1</w:t>
      </w:r>
    </w:p>
    <w:p w:rsidR="003A0B06" w:rsidRDefault="003A0B06">
      <w:pPr>
        <w:tabs>
          <w:tab w:val="left" w:pos="990"/>
          <w:tab w:val="right" w:leader="dot" w:pos="9648"/>
        </w:tabs>
        <w:spacing w:before="120"/>
        <w:rPr>
          <w:sz w:val="22"/>
          <w:szCs w:val="22"/>
        </w:rPr>
      </w:pPr>
    </w:p>
    <w:p w:rsidR="009A40B5" w:rsidRPr="00DB3D8E" w:rsidRDefault="009A40B5" w:rsidP="00D30AB9">
      <w:pPr>
        <w:pStyle w:val="TOCHeading"/>
        <w:sectPr w:rsidR="009A40B5" w:rsidRPr="00DB3D8E" w:rsidSect="005844D3">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pgNumType w:fmt="lowerRoman" w:start="3"/>
          <w:cols w:space="720"/>
          <w:docGrid w:linePitch="360"/>
        </w:sectPr>
      </w:pPr>
    </w:p>
    <w:p w:rsidR="00F62C84" w:rsidRPr="006C3E3B" w:rsidRDefault="009A40B5" w:rsidP="00D30AB9">
      <w:pPr>
        <w:pStyle w:val="Heading1"/>
      </w:pPr>
      <w:bookmarkStart w:id="113" w:name="_Toc337840004"/>
      <w:r w:rsidRPr="00D30AB9">
        <w:lastRenderedPageBreak/>
        <w:t>Collection</w:t>
      </w:r>
      <w:r w:rsidRPr="006C3E3B">
        <w:t xml:space="preserve"> of Information Employing Statistical Methods</w:t>
      </w:r>
      <w:bookmarkEnd w:id="102"/>
      <w:bookmarkEnd w:id="103"/>
      <w:bookmarkEnd w:id="104"/>
      <w:bookmarkEnd w:id="105"/>
      <w:bookmarkEnd w:id="106"/>
      <w:bookmarkEnd w:id="113"/>
    </w:p>
    <w:p w:rsidR="00C6660A" w:rsidRDefault="00AF640C" w:rsidP="00C6660A">
      <w:pPr>
        <w:pStyle w:val="Heading2"/>
      </w:pPr>
      <w:bookmarkStart w:id="114" w:name="_Toc337840005"/>
      <w:r>
        <w:t xml:space="preserve">Respondent </w:t>
      </w:r>
      <w:r w:rsidRPr="00C6660A">
        <w:t>Universe</w:t>
      </w:r>
      <w:r>
        <w:t xml:space="preserve"> and Sampling</w:t>
      </w:r>
      <w:bookmarkEnd w:id="114"/>
    </w:p>
    <w:p w:rsidR="003B42B8" w:rsidRDefault="003B42B8" w:rsidP="006D25F5">
      <w:pPr>
        <w:pStyle w:val="BodyText"/>
      </w:pPr>
      <w:r w:rsidRPr="0036539E">
        <w:rPr>
          <w:rFonts w:eastAsia="Calibri"/>
        </w:rPr>
        <w:t xml:space="preserve">The </w:t>
      </w:r>
      <w:r>
        <w:rPr>
          <w:rFonts w:eastAsia="Calibri"/>
        </w:rPr>
        <w:t>target populatio</w:t>
      </w:r>
      <w:r w:rsidR="007326E1">
        <w:rPr>
          <w:rFonts w:eastAsia="Calibri"/>
        </w:rPr>
        <w:t xml:space="preserve">n </w:t>
      </w:r>
      <w:r>
        <w:rPr>
          <w:rFonts w:eastAsia="Calibri"/>
        </w:rPr>
        <w:t xml:space="preserve">for the </w:t>
      </w:r>
      <w:r w:rsidR="006D25F5">
        <w:rPr>
          <w:rFonts w:eastAsia="Calibri"/>
        </w:rPr>
        <w:t>2012/</w:t>
      </w:r>
      <w:r w:rsidR="0048436F">
        <w:rPr>
          <w:rFonts w:eastAsia="Calibri"/>
        </w:rPr>
        <w:t>14 Beginning Postsecondary Students Longitudinal Study (</w:t>
      </w:r>
      <w:r>
        <w:rPr>
          <w:rFonts w:eastAsia="Calibri"/>
        </w:rPr>
        <w:t>BPS:12/14</w:t>
      </w:r>
      <w:r w:rsidR="0048436F">
        <w:rPr>
          <w:rFonts w:eastAsia="Calibri"/>
        </w:rPr>
        <w:t>)</w:t>
      </w:r>
      <w:r w:rsidRPr="0036539E">
        <w:rPr>
          <w:rFonts w:eastAsia="Calibri"/>
        </w:rPr>
        <w:t xml:space="preserve"> field test consist</w:t>
      </w:r>
      <w:r>
        <w:rPr>
          <w:rFonts w:eastAsia="Calibri"/>
        </w:rPr>
        <w:t>s</w:t>
      </w:r>
      <w:r w:rsidRPr="0036539E">
        <w:rPr>
          <w:rFonts w:eastAsia="Calibri"/>
        </w:rPr>
        <w:t xml:space="preserve"> of all students who began</w:t>
      </w:r>
      <w:r>
        <w:rPr>
          <w:rFonts w:eastAsia="Calibri"/>
        </w:rPr>
        <w:t xml:space="preserve"> </w:t>
      </w:r>
      <w:r w:rsidRPr="0036539E">
        <w:rPr>
          <w:rFonts w:eastAsia="Calibri"/>
        </w:rPr>
        <w:t>their postsecondary education fo</w:t>
      </w:r>
      <w:r>
        <w:rPr>
          <w:rFonts w:eastAsia="Calibri"/>
        </w:rPr>
        <w:t xml:space="preserve">r the first time during the </w:t>
      </w:r>
      <w:r w:rsidRPr="009B3106">
        <w:rPr>
          <w:rFonts w:eastAsia="Calibri"/>
        </w:rPr>
        <w:t>2010–11</w:t>
      </w:r>
      <w:r w:rsidRPr="0036539E">
        <w:rPr>
          <w:rFonts w:eastAsia="Calibri"/>
        </w:rPr>
        <w:t xml:space="preserve"> academic year at any Title</w:t>
      </w:r>
      <w:r>
        <w:rPr>
          <w:rFonts w:eastAsia="Calibri"/>
        </w:rPr>
        <w:t xml:space="preserve"> </w:t>
      </w:r>
      <w:r w:rsidRPr="0036539E">
        <w:rPr>
          <w:rFonts w:eastAsia="Calibri"/>
        </w:rPr>
        <w:t>IV-eligible postsecondary institution in the United States. The sample students</w:t>
      </w:r>
      <w:r>
        <w:rPr>
          <w:rFonts w:eastAsia="Calibri"/>
        </w:rPr>
        <w:t xml:space="preserve"> </w:t>
      </w:r>
      <w:r w:rsidRPr="0036539E">
        <w:rPr>
          <w:rFonts w:eastAsia="Calibri"/>
        </w:rPr>
        <w:t>were the first-time beginners (FTBs) from the 20</w:t>
      </w:r>
      <w:r>
        <w:rPr>
          <w:rFonts w:eastAsia="Calibri"/>
        </w:rPr>
        <w:t>1</w:t>
      </w:r>
      <w:r w:rsidR="007326E1">
        <w:rPr>
          <w:rFonts w:eastAsia="Calibri"/>
        </w:rPr>
        <w:t>1-1</w:t>
      </w:r>
      <w:r>
        <w:rPr>
          <w:rFonts w:eastAsia="Calibri"/>
        </w:rPr>
        <w:t>2</w:t>
      </w:r>
      <w:r w:rsidRPr="0036539E">
        <w:rPr>
          <w:rFonts w:eastAsia="Calibri"/>
        </w:rPr>
        <w:t xml:space="preserve"> National Postsecondary Student Aid Study</w:t>
      </w:r>
      <w:r>
        <w:rPr>
          <w:rFonts w:eastAsia="Calibri"/>
        </w:rPr>
        <w:t xml:space="preserve"> </w:t>
      </w:r>
      <w:r w:rsidRPr="009B3106">
        <w:rPr>
          <w:rFonts w:eastAsia="Calibri"/>
        </w:rPr>
        <w:t>(NPSAS:12</w:t>
      </w:r>
      <w:r w:rsidRPr="0036539E">
        <w:rPr>
          <w:rFonts w:eastAsia="Calibri"/>
        </w:rPr>
        <w:t>) field test</w:t>
      </w:r>
      <w:r>
        <w:rPr>
          <w:rFonts w:eastAsia="Calibri"/>
        </w:rPr>
        <w:t>.</w:t>
      </w:r>
      <w:r w:rsidR="006D25F5">
        <w:rPr>
          <w:rFonts w:eastAsia="Calibri"/>
        </w:rPr>
        <w:t xml:space="preserve">  </w:t>
      </w:r>
      <w:r>
        <w:rPr>
          <w:rFonts w:eastAsia="Calibri"/>
        </w:rPr>
        <w:t>Because the students in the BPS:12/14 field test sample come from the NPSAS:12 field test sample, this section also describes the NPSAS:12 field test sample design</w:t>
      </w:r>
      <w:r w:rsidR="007326E1">
        <w:rPr>
          <w:rFonts w:eastAsia="Calibri"/>
        </w:rPr>
        <w:t>, which</w:t>
      </w:r>
      <w:r>
        <w:rPr>
          <w:rFonts w:eastAsia="Calibri"/>
        </w:rPr>
        <w:t xml:space="preserve"> was a two-stage sample consisting of </w:t>
      </w:r>
      <w:r w:rsidR="007326E1">
        <w:rPr>
          <w:rFonts w:eastAsia="Calibri"/>
        </w:rPr>
        <w:t xml:space="preserve">a sample </w:t>
      </w:r>
      <w:r>
        <w:rPr>
          <w:rFonts w:eastAsia="Calibri"/>
        </w:rPr>
        <w:t xml:space="preserve">of institutions at the first stage, and a sample of students from within sampled institutions at the second stage. The BPS:12/14 field test sample </w:t>
      </w:r>
      <w:r w:rsidR="006D25F5">
        <w:rPr>
          <w:rFonts w:eastAsia="Calibri"/>
        </w:rPr>
        <w:t xml:space="preserve">is comprised of </w:t>
      </w:r>
      <w:r>
        <w:rPr>
          <w:rFonts w:eastAsia="Calibri"/>
        </w:rPr>
        <w:t xml:space="preserve">students from the NPSAS:12 field test sample who </w:t>
      </w:r>
      <w:r w:rsidR="007326E1">
        <w:rPr>
          <w:rFonts w:eastAsia="Calibri"/>
        </w:rPr>
        <w:t xml:space="preserve">were determined to be </w:t>
      </w:r>
      <w:r>
        <w:rPr>
          <w:rFonts w:eastAsia="Calibri"/>
        </w:rPr>
        <w:t>FTB</w:t>
      </w:r>
      <w:r w:rsidR="007326E1">
        <w:rPr>
          <w:rFonts w:eastAsia="Calibri"/>
        </w:rPr>
        <w:t>s</w:t>
      </w:r>
      <w:r w:rsidR="006D25F5">
        <w:rPr>
          <w:rFonts w:eastAsia="Calibri"/>
        </w:rPr>
        <w:t>,</w:t>
      </w:r>
      <w:r>
        <w:rPr>
          <w:rFonts w:eastAsia="Calibri"/>
        </w:rPr>
        <w:t xml:space="preserve"> or </w:t>
      </w:r>
      <w:r w:rsidR="007326E1">
        <w:rPr>
          <w:rFonts w:eastAsia="Calibri"/>
        </w:rPr>
        <w:t xml:space="preserve">were potential </w:t>
      </w:r>
      <w:r>
        <w:rPr>
          <w:rFonts w:eastAsia="Calibri"/>
        </w:rPr>
        <w:t>FTB</w:t>
      </w:r>
      <w:r w:rsidR="00EC2764">
        <w:rPr>
          <w:rFonts w:eastAsia="Calibri"/>
        </w:rPr>
        <w:t>s</w:t>
      </w:r>
      <w:r w:rsidR="007326E1">
        <w:rPr>
          <w:rFonts w:eastAsia="Calibri"/>
        </w:rPr>
        <w:t xml:space="preserve"> as indicated by the NPSAS institution</w:t>
      </w:r>
      <w:r>
        <w:rPr>
          <w:rFonts w:eastAsia="Calibri"/>
        </w:rPr>
        <w:t xml:space="preserve">. </w:t>
      </w:r>
    </w:p>
    <w:p w:rsidR="003B42B8" w:rsidRDefault="003B42B8" w:rsidP="0020207E">
      <w:pPr>
        <w:pStyle w:val="Heading3"/>
      </w:pPr>
      <w:bookmarkStart w:id="115" w:name="_Toc337840006"/>
      <w:bookmarkStart w:id="116" w:name="_Toc317513748"/>
      <w:r>
        <w:t xml:space="preserve">NPSAS:12 Field </w:t>
      </w:r>
      <w:r w:rsidRPr="0020207E">
        <w:t>Test</w:t>
      </w:r>
      <w:r>
        <w:t xml:space="preserve"> Institution Universe and Sample</w:t>
      </w:r>
      <w:bookmarkEnd w:id="115"/>
      <w:r>
        <w:t xml:space="preserve"> </w:t>
      </w:r>
    </w:p>
    <w:bookmarkEnd w:id="116"/>
    <w:p w:rsidR="003B42B8" w:rsidRDefault="003B42B8" w:rsidP="003B42B8">
      <w:pPr>
        <w:pStyle w:val="BodyText"/>
      </w:pPr>
      <w:r>
        <w:t xml:space="preserve">To be eligible for the NPSAS:12 field test, students must have been enrolled in a </w:t>
      </w:r>
      <w:r w:rsidR="00D65F49">
        <w:t>NPSAS eligible institution in a</w:t>
      </w:r>
      <w:r>
        <w:t xml:space="preserve"> term or course of instruction at any time during the 2010–11 academic year. Institutions must have</w:t>
      </w:r>
      <w:r w:rsidRPr="00384468">
        <w:t xml:space="preserve"> </w:t>
      </w:r>
      <w:r>
        <w:t>also met the following requirements:</w:t>
      </w:r>
    </w:p>
    <w:p w:rsidR="003B42B8" w:rsidRDefault="003B42B8" w:rsidP="003B42B8">
      <w:pPr>
        <w:pStyle w:val="bulletround"/>
      </w:pPr>
      <w:r>
        <w:t xml:space="preserve">offer an educational program designed for persons who have completed secondary education; </w:t>
      </w:r>
    </w:p>
    <w:p w:rsidR="003B42B8" w:rsidRDefault="003B42B8" w:rsidP="003B42B8">
      <w:pPr>
        <w:pStyle w:val="bulletround"/>
      </w:pPr>
      <w:r>
        <w:t>offer at least one academic, occupational, or vocational program of study lasting at least 3 months or 300 clock hours;</w:t>
      </w:r>
    </w:p>
    <w:p w:rsidR="003B42B8" w:rsidRDefault="003B42B8" w:rsidP="003B42B8">
      <w:pPr>
        <w:pStyle w:val="bulletround"/>
      </w:pPr>
      <w:r>
        <w:t>offer courses that were open to more than the employees or members of the company or group (e.g. union) that administers the institution;</w:t>
      </w:r>
    </w:p>
    <w:p w:rsidR="003B42B8" w:rsidRDefault="003B42B8" w:rsidP="003B42B8">
      <w:pPr>
        <w:pStyle w:val="bulletround"/>
      </w:pPr>
      <w:r>
        <w:t>be located in the 50 states or the District of Columbia;</w:t>
      </w:r>
    </w:p>
    <w:p w:rsidR="003B42B8" w:rsidRDefault="003B42B8" w:rsidP="003B42B8">
      <w:pPr>
        <w:pStyle w:val="bulletround"/>
      </w:pPr>
      <w:r>
        <w:t>not be a U.S. service academy institution; and</w:t>
      </w:r>
    </w:p>
    <w:p w:rsidR="003B42B8" w:rsidRDefault="003B42B8" w:rsidP="00E474D6">
      <w:pPr>
        <w:pStyle w:val="bulletround"/>
      </w:pPr>
      <w:r>
        <w:t>have signed the Title I</w:t>
      </w:r>
      <w:r w:rsidR="00E474D6">
        <w:t>V participation agreement with the U.S. Department of Education</w:t>
      </w:r>
      <w:r>
        <w:t>.</w:t>
      </w:r>
      <w:r>
        <w:rPr>
          <w:rStyle w:val="FootnoteReference"/>
        </w:rPr>
        <w:footnoteReference w:id="1"/>
      </w:r>
    </w:p>
    <w:p w:rsidR="003B42B8" w:rsidRDefault="003B42B8" w:rsidP="003B42B8">
      <w:pPr>
        <w:pStyle w:val="BodyText"/>
      </w:pPr>
      <w:r>
        <w:t>Institutions providing only avocational, recreational, or remedial courses or only in-house courses for their own employees or members were excluded. U.S. service academies were excluded because of their unique funding/tuition base.</w:t>
      </w:r>
    </w:p>
    <w:p w:rsidR="003B42B8" w:rsidRDefault="003B42B8" w:rsidP="003B42B8">
      <w:pPr>
        <w:pStyle w:val="BodyText"/>
      </w:pPr>
      <w:bookmarkStart w:id="117" w:name="_Ref303837815"/>
      <w:r>
        <w:t xml:space="preserve">The institution samples for the </w:t>
      </w:r>
      <w:r w:rsidRPr="00122CDB">
        <w:t>NPSAS</w:t>
      </w:r>
      <w:r>
        <w:t xml:space="preserve"> field test and full-scale studies were selected simultaneously, prior to the field test study, using stratified random sampling with probabilities proportional to a composite measure of size </w:t>
      </w:r>
      <w:r w:rsidRPr="00BE42FB">
        <w:t>(Folsom, Potter, and Williams 1987).</w:t>
      </w:r>
      <w:r>
        <w:t xml:space="preserve"> Institution measure of size was determined using annual enrollment data from the most recent IPEDS 12-Month Enrollment Component and first time beginner (FTB) enrollment data from the most recent IPEDS Fall Enrollment Component. Composite measure of size sampling was used to e</w:t>
      </w:r>
      <w:r w:rsidR="006D25F5">
        <w:t>nsure that target sample sizes we</w:t>
      </w:r>
      <w:r>
        <w:t>re achieved within institution and student sampling strata, while also achieving approximately equal student weights across institutions</w:t>
      </w:r>
      <w:r w:rsidRPr="00606261">
        <w:t xml:space="preserve">. The institution sampling frame for NPSAS:12 field test was constructed using </w:t>
      </w:r>
      <w:r w:rsidRPr="00487A31">
        <w:t>the 2009 Integrated Postsecondary</w:t>
      </w:r>
      <w:r w:rsidRPr="00606261">
        <w:t xml:space="preserve"> Education Data System (IPEDS) header, Institution Characteristics </w:t>
      </w:r>
      <w:r w:rsidRPr="00606261">
        <w:lastRenderedPageBreak/>
        <w:t>(IC), Fall and 12-Month Enrollment, and Completions files. All eligible students from sampled institutions comprised the student sampling frame</w:t>
      </w:r>
    </w:p>
    <w:p w:rsidR="003B42B8" w:rsidRDefault="003B42B8" w:rsidP="003B42B8">
      <w:pPr>
        <w:pStyle w:val="BodyText"/>
      </w:pPr>
      <w:r>
        <w:t>The field test institution sample for NPSAS:12 was selected using statistical procedures rather than purposively as had been done in past NPSAS cycles. This provided more control to ensure that the field test and the ful</w:t>
      </w:r>
      <w:r w:rsidR="006D25F5">
        <w:t>l-scale institution samples had</w:t>
      </w:r>
      <w:r>
        <w:t xml:space="preserve"> similar characteristics. It also allowed inferences to be made to the target population, supporting the analytic needs of the field test experiments and instrument. </w:t>
      </w:r>
      <w:r w:rsidRPr="00122CDB">
        <w:t>This ability to make analytic inferences extends to the BPS:12/14 field test sample.</w:t>
      </w:r>
      <w:r>
        <w:t xml:space="preserve"> </w:t>
      </w:r>
    </w:p>
    <w:p w:rsidR="003B42B8" w:rsidRDefault="003B42B8" w:rsidP="006D25F5">
      <w:pPr>
        <w:pStyle w:val="BodyText"/>
      </w:pPr>
      <w:r>
        <w:t xml:space="preserve">From the stratified frame, a total of 1,970 institutions </w:t>
      </w:r>
      <w:r w:rsidR="006D25F5">
        <w:t xml:space="preserve">was </w:t>
      </w:r>
      <w:r>
        <w:t xml:space="preserve">selected to participate in either the full-scale or field test study. </w:t>
      </w:r>
      <w:r w:rsidR="006D25F5">
        <w:t xml:space="preserve"> </w:t>
      </w:r>
      <w:r>
        <w:t>From the 1,970 institutions selected</w:t>
      </w:r>
      <w:r w:rsidR="006D25F5">
        <w:t xml:space="preserve">, </w:t>
      </w:r>
      <w:r>
        <w:t>a subsample of 300 institutions was selected using simple random sampling within institution strata to comprise the field test sample. The remaining 1,670 institutions comprise</w:t>
      </w:r>
      <w:r w:rsidR="006D25F5">
        <w:t>d</w:t>
      </w:r>
      <w:r>
        <w:t xml:space="preserve"> the sample for the full-scale study</w:t>
      </w:r>
      <w:r w:rsidRPr="00C755C0">
        <w:t>. This sampling process eliminated the possibility that a</w:t>
      </w:r>
      <w:r>
        <w:t>n</w:t>
      </w:r>
      <w:r w:rsidRPr="00C755C0">
        <w:t xml:space="preserve"> institution </w:t>
      </w:r>
      <w:r>
        <w:t>would</w:t>
      </w:r>
      <w:r w:rsidRPr="00C755C0">
        <w:t xml:space="preserve"> be burdened with participation in both the field test and full-scale samples</w:t>
      </w:r>
      <w:r w:rsidR="006D25F5">
        <w:t>,</w:t>
      </w:r>
      <w:r>
        <w:t xml:space="preserve"> and</w:t>
      </w:r>
      <w:r w:rsidRPr="00C755C0">
        <w:t xml:space="preserve"> maintain</w:t>
      </w:r>
      <w:r>
        <w:t>ed</w:t>
      </w:r>
      <w:r w:rsidRPr="00C755C0">
        <w:t xml:space="preserve"> the representativeness of the full-scale sample. </w:t>
      </w:r>
      <w:r>
        <w:t xml:space="preserve">All institutions in </w:t>
      </w:r>
      <w:r w:rsidR="006D25F5">
        <w:t xml:space="preserve">the </w:t>
      </w:r>
      <w:r>
        <w:t xml:space="preserve">NPSAS:12 sample </w:t>
      </w:r>
      <w:r w:rsidRPr="00C755C0">
        <w:t xml:space="preserve">were eligible for either the full-scale or field test studies. </w:t>
      </w:r>
    </w:p>
    <w:bookmarkEnd w:id="117"/>
    <w:p w:rsidR="003B42B8" w:rsidRDefault="003B42B8" w:rsidP="003B42B8">
      <w:pPr>
        <w:pStyle w:val="BodyText"/>
      </w:pPr>
      <w:r>
        <w:t>The institution strata used for the sampling design were based on institution level, control, and highest level of offering and are the following:</w:t>
      </w:r>
    </w:p>
    <w:p w:rsidR="003B42B8" w:rsidRDefault="003B42B8" w:rsidP="003B42B8">
      <w:pPr>
        <w:pStyle w:val="ListBullet"/>
        <w:numPr>
          <w:ilvl w:val="0"/>
          <w:numId w:val="35"/>
        </w:numPr>
        <w:spacing w:before="120" w:line="253" w:lineRule="atLeast"/>
      </w:pPr>
      <w:r>
        <w:t>public less-than-2-year,</w:t>
      </w:r>
    </w:p>
    <w:p w:rsidR="003B42B8" w:rsidRDefault="003B42B8" w:rsidP="00C50140">
      <w:pPr>
        <w:pStyle w:val="ListBullet"/>
        <w:numPr>
          <w:ilvl w:val="0"/>
          <w:numId w:val="35"/>
        </w:numPr>
      </w:pPr>
      <w:r>
        <w:t>public 2-year,</w:t>
      </w:r>
    </w:p>
    <w:p w:rsidR="003B42B8" w:rsidRDefault="003B42B8" w:rsidP="00C50140">
      <w:pPr>
        <w:pStyle w:val="ListBullet"/>
        <w:numPr>
          <w:ilvl w:val="0"/>
          <w:numId w:val="35"/>
        </w:numPr>
      </w:pPr>
      <w:r>
        <w:t>public 4-year non-doctorate-granting,</w:t>
      </w:r>
    </w:p>
    <w:p w:rsidR="003B42B8" w:rsidRDefault="003B42B8" w:rsidP="00C50140">
      <w:pPr>
        <w:pStyle w:val="ListBullet"/>
        <w:numPr>
          <w:ilvl w:val="0"/>
          <w:numId w:val="35"/>
        </w:numPr>
      </w:pPr>
      <w:r>
        <w:t>public 4-year doctorate-granting,</w:t>
      </w:r>
    </w:p>
    <w:p w:rsidR="003B42B8" w:rsidRDefault="003B42B8" w:rsidP="00C50140">
      <w:pPr>
        <w:pStyle w:val="ListBullet"/>
        <w:numPr>
          <w:ilvl w:val="0"/>
          <w:numId w:val="35"/>
        </w:numPr>
      </w:pPr>
      <w:r>
        <w:t>private nonprofit less-than-4-year,</w:t>
      </w:r>
    </w:p>
    <w:p w:rsidR="003B42B8" w:rsidRDefault="003B42B8" w:rsidP="00C50140">
      <w:pPr>
        <w:pStyle w:val="ListBullet"/>
        <w:numPr>
          <w:ilvl w:val="0"/>
          <w:numId w:val="35"/>
        </w:numPr>
      </w:pPr>
      <w:r>
        <w:t>private nonprofit 4-year non-doctorate-granting,</w:t>
      </w:r>
    </w:p>
    <w:p w:rsidR="003B42B8" w:rsidRDefault="003B42B8" w:rsidP="00C50140">
      <w:pPr>
        <w:pStyle w:val="ListBullet"/>
        <w:numPr>
          <w:ilvl w:val="0"/>
          <w:numId w:val="35"/>
        </w:numPr>
      </w:pPr>
      <w:r>
        <w:t>private nonprofit 4-year doctorate-granting,</w:t>
      </w:r>
    </w:p>
    <w:p w:rsidR="003B42B8" w:rsidRDefault="003B42B8" w:rsidP="00C50140">
      <w:pPr>
        <w:pStyle w:val="ListBullet"/>
        <w:numPr>
          <w:ilvl w:val="0"/>
          <w:numId w:val="35"/>
        </w:numPr>
      </w:pPr>
      <w:r>
        <w:t>private for-profit less-than-2-year,</w:t>
      </w:r>
    </w:p>
    <w:p w:rsidR="003B42B8" w:rsidRDefault="003B42B8" w:rsidP="00C50140">
      <w:pPr>
        <w:pStyle w:val="ListBullet"/>
        <w:numPr>
          <w:ilvl w:val="0"/>
          <w:numId w:val="35"/>
        </w:numPr>
      </w:pPr>
      <w:r>
        <w:t>private for-profit 2-year, and</w:t>
      </w:r>
    </w:p>
    <w:p w:rsidR="003B42B8" w:rsidRDefault="003B42B8" w:rsidP="00C50140">
      <w:pPr>
        <w:pStyle w:val="ListBullet"/>
        <w:numPr>
          <w:ilvl w:val="0"/>
          <w:numId w:val="35"/>
        </w:numPr>
      </w:pPr>
      <w:r>
        <w:t>private for-profit 4-year.</w:t>
      </w:r>
    </w:p>
    <w:p w:rsidR="003B42B8" w:rsidRDefault="003B42B8" w:rsidP="006D25F5">
      <w:pPr>
        <w:pStyle w:val="BodyText"/>
      </w:pPr>
      <w:r>
        <w:t xml:space="preserve">Due to the growth of the for-profit sector, private for-profit 4-year and private for-profit 2-year institutions </w:t>
      </w:r>
      <w:r w:rsidR="006D25F5">
        <w:t>were separated into their own strata</w:t>
      </w:r>
      <w:r>
        <w:t xml:space="preserve"> unlike in previous administrations of NPSAS. </w:t>
      </w:r>
    </w:p>
    <w:p w:rsidR="006D25F5" w:rsidRDefault="003B42B8" w:rsidP="006D25F5">
      <w:pPr>
        <w:pStyle w:val="BodyText"/>
      </w:pPr>
      <w:r>
        <w:t xml:space="preserve">Within each institution stratum, additional implicit stratification for the full-scale was accomplished by sorting the sampling frame within stratum by the following classifications: (1) historically Black colleges and universities indicator; (2) Hispanic-serving institutions indicator (3) Carnegie classifications of degree-granting postsecondary institutions; (4) 2-digit </w:t>
      </w:r>
      <w:r w:rsidRPr="00EB67E5">
        <w:t xml:space="preserve">Classification of Instructional Programs </w:t>
      </w:r>
      <w:r>
        <w:t>(CIP) code for less-than-2-year institutions; (5) the Office of Business Economics Region from the IPEDS header file (Bureau of Economic Analysis of the U.S. Department of Commerce Region); (6) state and system for states with large systems, e.g., the SUNY and CUNY systems in New York, the state and technical colleges in Georgia, and the California State University and University of California systems in California; and (7) the institution measure of size. The objective of this implicit stratification was to approximate proportional representation of institutions on these measures.</w:t>
      </w:r>
      <w:r w:rsidR="006D25F5">
        <w:t xml:space="preserve">  </w:t>
      </w:r>
      <w:bookmarkStart w:id="118" w:name="_Ref303842930"/>
    </w:p>
    <w:p w:rsidR="003B42B8" w:rsidRDefault="003B42B8" w:rsidP="006D25F5">
      <w:pPr>
        <w:pStyle w:val="BodyText"/>
      </w:pPr>
      <w:r>
        <w:t>Approximately 300 institutions were sampled for the NPSAS:12 field test. Overall, almost 100 percent of the sampled institutions met the eligibility requirements; of those, approximately 51 percent (or about 150 institutions) provided enrollment lists.</w:t>
      </w:r>
      <w:bookmarkEnd w:id="118"/>
    </w:p>
    <w:p w:rsidR="003B42B8" w:rsidRDefault="00366169" w:rsidP="00366169">
      <w:pPr>
        <w:pStyle w:val="Heading3"/>
      </w:pPr>
      <w:bookmarkStart w:id="119" w:name="_Toc317513749"/>
      <w:bookmarkStart w:id="120" w:name="_Toc337840007"/>
      <w:r>
        <w:lastRenderedPageBreak/>
        <w:t>NPSAS</w:t>
      </w:r>
      <w:r w:rsidR="00AB2D0A">
        <w:t>:12</w:t>
      </w:r>
      <w:r>
        <w:t xml:space="preserve"> Field Test</w:t>
      </w:r>
      <w:r w:rsidR="00AB2D0A">
        <w:t xml:space="preserve"> </w:t>
      </w:r>
      <w:r w:rsidR="003B42B8" w:rsidRPr="0020207E">
        <w:t>Student</w:t>
      </w:r>
      <w:r w:rsidR="003B42B8">
        <w:t xml:space="preserve"> Universe</w:t>
      </w:r>
      <w:bookmarkEnd w:id="119"/>
      <w:r w:rsidR="003B42B8">
        <w:t xml:space="preserve"> and Sample</w:t>
      </w:r>
      <w:bookmarkEnd w:id="120"/>
    </w:p>
    <w:p w:rsidR="003B42B8" w:rsidRPr="003104C6" w:rsidRDefault="003B42B8" w:rsidP="003B42B8">
      <w:pPr>
        <w:pStyle w:val="BodyText"/>
      </w:pPr>
      <w:r w:rsidRPr="00122CDB">
        <w:t>The students eligible for the BPS:12/14 field test are those eligible to participate in the NPSAS:12 field test who were FTBs at NPSAS sample institutions in the 2010-11 academic year. Student</w:t>
      </w:r>
      <w:r>
        <w:t xml:space="preserve">s eligible for </w:t>
      </w:r>
      <w:r w:rsidR="006D25F5">
        <w:t xml:space="preserve">the </w:t>
      </w:r>
      <w:r>
        <w:t>NPSAS:12 field test were those who attended a NPSAS eligible institution during the 2010–11 academic year and who were</w:t>
      </w:r>
    </w:p>
    <w:p w:rsidR="003B42B8" w:rsidRDefault="003B42B8" w:rsidP="003B42B8">
      <w:pPr>
        <w:pStyle w:val="bulletround"/>
      </w:pPr>
      <w:r>
        <w:t xml:space="preserve">enrolled in </w:t>
      </w:r>
      <w:r w:rsidRPr="00AE34AC">
        <w:rPr>
          <w:i/>
          <w:iCs/>
        </w:rPr>
        <w:t>either</w:t>
      </w:r>
      <w:r>
        <w:t xml:space="preserve">: (a) an academic program; (b) at least one course for credit that could be applied toward fulfilling the requirements for an academic degree; (c) exclusively non-credit remedial coursework but determined by the institution to be eligible for Title IV aid; </w:t>
      </w:r>
      <w:r w:rsidRPr="00AE34AC">
        <w:rPr>
          <w:i/>
          <w:iCs/>
        </w:rPr>
        <w:t>or</w:t>
      </w:r>
      <w:r>
        <w:t xml:space="preserve"> (d) an occupational or vocational program that required at least 3 months or 300 clock hours of instruction to receive a degree, certificate, or other formal award;</w:t>
      </w:r>
    </w:p>
    <w:p w:rsidR="003B42B8" w:rsidRDefault="003B42B8" w:rsidP="003B42B8">
      <w:pPr>
        <w:pStyle w:val="bulletround"/>
      </w:pPr>
      <w:r>
        <w:t>not currently enrolled in high school; and</w:t>
      </w:r>
    </w:p>
    <w:p w:rsidR="003B42B8" w:rsidRDefault="003B42B8" w:rsidP="003B42B8">
      <w:pPr>
        <w:pStyle w:val="bulletround"/>
      </w:pPr>
      <w:r>
        <w:t>not solely enrolled in a General Educational Development (GED) or other high school completion program.</w:t>
      </w:r>
    </w:p>
    <w:p w:rsidR="003B42B8" w:rsidRDefault="003B42B8" w:rsidP="006D25F5">
      <w:pPr>
        <w:pStyle w:val="BodyText"/>
      </w:pPr>
      <w:r w:rsidRPr="00606261">
        <w:t xml:space="preserve">The NPSAS:12 field test institution sample included all levels (less-than-2-year, 2-year and 4-year) and controls (public, private nonprofit and private for-profit) of Title IV eligible postsecondary institutions in the United States. The </w:t>
      </w:r>
      <w:r w:rsidR="00E474D6">
        <w:t xml:space="preserve">field test </w:t>
      </w:r>
      <w:r w:rsidRPr="00606261">
        <w:t>student sample was randomly selected from lists of students enrolled at sampled institutions between July, 1 2010 and April 30, 2011.</w:t>
      </w:r>
    </w:p>
    <w:p w:rsidR="003B42B8" w:rsidRDefault="00755C0D" w:rsidP="003B42B8">
      <w:pPr>
        <w:pStyle w:val="BodyText"/>
      </w:pPr>
      <w:r>
        <w:t xml:space="preserve">The </w:t>
      </w:r>
      <w:r w:rsidR="003B42B8">
        <w:t xml:space="preserve">NPSAS:12 </w:t>
      </w:r>
      <w:r>
        <w:t xml:space="preserve">first test study </w:t>
      </w:r>
      <w:r w:rsidR="003B42B8">
        <w:t>year covers the time period between July 1</w:t>
      </w:r>
      <w:r w:rsidR="00A23355">
        <w:t>, 2010</w:t>
      </w:r>
      <w:r w:rsidR="003B42B8">
        <w:t xml:space="preserve"> and June 30</w:t>
      </w:r>
      <w:r w:rsidR="00A23355">
        <w:t>, 2011</w:t>
      </w:r>
      <w:r w:rsidR="003B42B8">
        <w:t xml:space="preserve">, to coincide with the federal financial aid award year. To facilitate timely completion of data collection and data file preparation, institutions were asked to submit enrollment lists for all eligible students enrolled at any time between July 1 and April 30 or, for institutions with continuous enrollment, between July 1 and March 31. The March 31 deadline for continuous enrollment institutions was used for the field test due to the compressed data collection schedule and </w:t>
      </w:r>
      <w:r w:rsidR="003B42B8" w:rsidRPr="00122CDB">
        <w:t>was</w:t>
      </w:r>
      <w:r w:rsidR="003B42B8">
        <w:t xml:space="preserve"> n</w:t>
      </w:r>
      <w:r w:rsidR="002729E7">
        <w:t xml:space="preserve">ot </w:t>
      </w:r>
      <w:r w:rsidR="003B42B8">
        <w:t>used in the full-scale.</w:t>
      </w:r>
    </w:p>
    <w:p w:rsidR="003B42B8" w:rsidRDefault="003B42B8" w:rsidP="003B42B8">
      <w:pPr>
        <w:pStyle w:val="BodyText"/>
      </w:pPr>
      <w:r>
        <w:t xml:space="preserve">Because previous cycles of NPSAS have shown that the terms beginning in May and June add little to enrollment and aid totals, May-June starters were excluded to allow institutions to provide enrollment lists earlier which, in turn, allowed the student interview process to begin earlier. In the full-scale study, post-stratification of survey estimates based on IPEDS records on enrollment and National Student Loan Data System (NSLDS) records on financial aid distributed </w:t>
      </w:r>
      <w:r w:rsidRPr="00122CDB">
        <w:t>was used to</w:t>
      </w:r>
      <w:r>
        <w:t xml:space="preserve"> adjust for the survey year’s inclusion of any terms that begin by April 30 and the consequent exclusion of a small number of students newly enrolled in May or June. </w:t>
      </w:r>
    </w:p>
    <w:p w:rsidR="003B42B8" w:rsidRDefault="003B42B8" w:rsidP="003B42B8">
      <w:pPr>
        <w:pStyle w:val="BodyText"/>
      </w:pPr>
      <w:r>
        <w:t xml:space="preserve">To create the student sampling frame, each participating institution was asked to submit a list of eligible students. The requests for student enrollment lists specifically indicated how institutions should handle special cases, such as students taking only correspondence or distance learning courses, and foreign exchange, continuing education, extension division, and non-matriculated students. The data required for each enrollee were the following: </w:t>
      </w:r>
    </w:p>
    <w:p w:rsidR="003B42B8" w:rsidRDefault="003B42B8" w:rsidP="002B73FE">
      <w:pPr>
        <w:pStyle w:val="bulletround"/>
        <w:spacing w:after="0"/>
      </w:pPr>
      <w:r>
        <w:t>student’s name;</w:t>
      </w:r>
    </w:p>
    <w:p w:rsidR="003B42B8" w:rsidRDefault="003B42B8" w:rsidP="002B73FE">
      <w:pPr>
        <w:pStyle w:val="bulletround"/>
        <w:spacing w:after="0"/>
      </w:pPr>
      <w:r>
        <w:t>student ID;</w:t>
      </w:r>
    </w:p>
    <w:p w:rsidR="003B42B8" w:rsidRDefault="003B42B8" w:rsidP="002B73FE">
      <w:pPr>
        <w:pStyle w:val="bulletround"/>
        <w:spacing w:after="0"/>
      </w:pPr>
      <w:r>
        <w:t xml:space="preserve">Social Security number; </w:t>
      </w:r>
    </w:p>
    <w:p w:rsidR="003B42B8" w:rsidRDefault="003B42B8" w:rsidP="002B73FE">
      <w:pPr>
        <w:pStyle w:val="bulletround"/>
        <w:spacing w:after="0"/>
      </w:pPr>
      <w:r>
        <w:t>date of birth;</w:t>
      </w:r>
    </w:p>
    <w:p w:rsidR="003B42B8" w:rsidRDefault="003B42B8" w:rsidP="002B73FE">
      <w:pPr>
        <w:pStyle w:val="bulletround"/>
        <w:spacing w:after="0"/>
      </w:pPr>
      <w:r>
        <w:t>date of high school graduation (month and year);</w:t>
      </w:r>
    </w:p>
    <w:p w:rsidR="003B42B8" w:rsidRDefault="003B42B8" w:rsidP="002B73FE">
      <w:pPr>
        <w:pStyle w:val="bulletround"/>
        <w:spacing w:after="0"/>
      </w:pPr>
      <w:r>
        <w:lastRenderedPageBreak/>
        <w:t>degree level during the last term of enrollment (undergraduate, masters, doctoral-research/scholarship/other, doctoral-professional practice, or other graduate);</w:t>
      </w:r>
    </w:p>
    <w:p w:rsidR="003B42B8" w:rsidRDefault="003B42B8" w:rsidP="002B73FE">
      <w:pPr>
        <w:pStyle w:val="bulletround"/>
        <w:spacing w:after="0"/>
      </w:pPr>
      <w:r>
        <w:t>class level if undergraduate (first, second, third, fourth, or fifth year or higher);</w:t>
      </w:r>
    </w:p>
    <w:p w:rsidR="003B42B8" w:rsidRDefault="003B42B8" w:rsidP="002B73FE">
      <w:pPr>
        <w:pStyle w:val="bulletround"/>
        <w:spacing w:after="0"/>
      </w:pPr>
      <w:r>
        <w:t>major;</w:t>
      </w:r>
    </w:p>
    <w:p w:rsidR="003B42B8" w:rsidRDefault="003B42B8" w:rsidP="002B73FE">
      <w:pPr>
        <w:pStyle w:val="bulletround"/>
        <w:spacing w:after="0"/>
      </w:pPr>
      <w:r>
        <w:t>CIP code;</w:t>
      </w:r>
    </w:p>
    <w:p w:rsidR="003B42B8" w:rsidRDefault="003B42B8" w:rsidP="002B73FE">
      <w:pPr>
        <w:pStyle w:val="bulletround"/>
        <w:spacing w:after="0"/>
      </w:pPr>
      <w:r>
        <w:t xml:space="preserve">indicator of whether the institution received an Institutional Student Information Record (ISIR) ( an electronic record summarizing the results of the student’s </w:t>
      </w:r>
      <w:r w:rsidRPr="005F1DA7">
        <w:t>Free Application fo</w:t>
      </w:r>
      <w:r>
        <w:t>r Federal Student Aid [FAFSA] processing) from the Central Processing System (CPS);</w:t>
      </w:r>
    </w:p>
    <w:p w:rsidR="003B42B8" w:rsidRDefault="003B42B8" w:rsidP="002B73FE">
      <w:pPr>
        <w:pStyle w:val="bulletround"/>
        <w:spacing w:after="0"/>
      </w:pPr>
      <w:r>
        <w:t>FTB status; and</w:t>
      </w:r>
    </w:p>
    <w:p w:rsidR="003B42B8" w:rsidRDefault="003B42B8" w:rsidP="002B73FE">
      <w:pPr>
        <w:pStyle w:val="bulletround"/>
        <w:spacing w:after="0"/>
      </w:pPr>
      <w:r>
        <w:t>contacting information, such as cell phone number, local telephone number and address, permanent telephone number and address, campus e-mail address, and permanent e-mail address.</w:t>
      </w:r>
    </w:p>
    <w:p w:rsidR="003B42B8" w:rsidRDefault="003B42B8" w:rsidP="003B42B8">
      <w:pPr>
        <w:pStyle w:val="BodyText"/>
      </w:pPr>
      <w:r>
        <w:t xml:space="preserve">Requesting contact information for eligible students prior to sampling allowed for student record abstraction and student interviewing to begin shortly after sample selection which helped to ensure the management of the field test schedule for data collection, data processing, and file development. </w:t>
      </w:r>
    </w:p>
    <w:p w:rsidR="003B42B8" w:rsidRDefault="003B42B8" w:rsidP="003B42B8">
      <w:pPr>
        <w:pStyle w:val="BodyText"/>
      </w:pPr>
      <w:r>
        <w:t xml:space="preserve">Student sample sizes for the field test were formulated to ensure representation of various types of students. Specifically, the sample included a large number of potential first-time beginners to provide a sufficient sample size to obtain a sample yield of at least 1,000 students for BPS field test. The NPSAS:12 field test sample included 4,530 students of which 4,130 were potential FTBs, 200 were other undergraduate students, and 200 were graduate students. </w:t>
      </w:r>
    </w:p>
    <w:p w:rsidR="003B42B8" w:rsidRDefault="003B42B8" w:rsidP="003B42B8">
      <w:pPr>
        <w:pStyle w:val="BodyText"/>
      </w:pPr>
      <w:r>
        <w:t xml:space="preserve">Students were sampled at fixed rates according to student education level and institution sampling strata. Sample yield was monitored and sampling rates were adjusted when necessary, resulting in a statistical sample of the required sample size for the field test. The same approach was </w:t>
      </w:r>
      <w:r w:rsidR="00CA44B9">
        <w:t xml:space="preserve">to </w:t>
      </w:r>
      <w:r>
        <w:t xml:space="preserve">be used for the full-scale study. Student enrollment lists provided by the institutions were </w:t>
      </w:r>
      <w:r w:rsidR="00A23355">
        <w:t>reviewed to</w:t>
      </w:r>
      <w:r>
        <w:t xml:space="preserve"> make sure that required elements were included, and were also compared for consist</w:t>
      </w:r>
      <w:r w:rsidR="0021656C">
        <w:t>ency</w:t>
      </w:r>
      <w:r>
        <w:t xml:space="preserve"> with counts from the </w:t>
      </w:r>
      <w:r w:rsidRPr="0025424C">
        <w:t>2009 IPEDS 12 Month Enrollment Component.</w:t>
      </w:r>
    </w:p>
    <w:p w:rsidR="003B42B8" w:rsidRPr="00122CDB" w:rsidRDefault="003B42B8" w:rsidP="00366169">
      <w:pPr>
        <w:pStyle w:val="Heading3"/>
      </w:pPr>
      <w:bookmarkStart w:id="121" w:name="_Toc337840008"/>
      <w:r>
        <w:t xml:space="preserve">Identification of </w:t>
      </w:r>
      <w:r w:rsidR="00366169">
        <w:t>FTBs</w:t>
      </w:r>
      <w:r w:rsidRPr="00122CDB">
        <w:t xml:space="preserve"> </w:t>
      </w:r>
      <w:r>
        <w:t>in</w:t>
      </w:r>
      <w:r w:rsidRPr="00122CDB">
        <w:t xml:space="preserve"> NPSAS</w:t>
      </w:r>
      <w:r w:rsidR="00366169">
        <w:t>:12</w:t>
      </w:r>
      <w:bookmarkEnd w:id="121"/>
    </w:p>
    <w:p w:rsidR="003B42B8" w:rsidRDefault="003B42B8" w:rsidP="00CA44B9">
      <w:pPr>
        <w:pStyle w:val="BodyText"/>
      </w:pPr>
      <w:r>
        <w:t xml:space="preserve">To be eligible for </w:t>
      </w:r>
      <w:r w:rsidR="00CA44B9">
        <w:t xml:space="preserve">the </w:t>
      </w:r>
      <w:r>
        <w:t>BPS field test, students must have begun their postsecondary education for the first time after completing high school on or after July 1, 2010</w:t>
      </w:r>
      <w:r w:rsidR="00583EE0">
        <w:t>,</w:t>
      </w:r>
      <w:r w:rsidR="00CA44B9">
        <w:t xml:space="preserve"> and before July 1, 2011</w:t>
      </w:r>
      <w:r>
        <w:t>. Close attention wa</w:t>
      </w:r>
      <w:r w:rsidR="00583EE0">
        <w:t>s paid to accurately identify</w:t>
      </w:r>
      <w:r>
        <w:t xml:space="preserve"> FTBs in the NPSAS field test to avoid unacceptably high rates of misclassification (e.g., false positives)</w:t>
      </w:r>
      <w:r>
        <w:rPr>
          <w:rStyle w:val="FootnoteReference"/>
        </w:rPr>
        <w:footnoteReference w:id="2"/>
      </w:r>
      <w:r>
        <w:t xml:space="preserve"> </w:t>
      </w:r>
      <w:r w:rsidR="00CA44B9">
        <w:t xml:space="preserve">which </w:t>
      </w:r>
      <w:r>
        <w:t>can</w:t>
      </w:r>
      <w:r w:rsidR="00CA44B9">
        <w:t>,</w:t>
      </w:r>
      <w:r>
        <w:t xml:space="preserve"> and have</w:t>
      </w:r>
      <w:r w:rsidR="00CA44B9">
        <w:t>,</w:t>
      </w:r>
      <w:r>
        <w:t xml:space="preserve"> resulted in (1) excessive cohort loss, (2) excessive cost to “replenish” the sample, and (3) an inefficient sample design (excessive oversampling of “potential” FTBs) to compensate for anticipated misclassification error. To address this concern, participating institutions were asked to provide additional information for all eligible students and matching to administrative databases was utilized to further eliminate false positives prior to sample selection.</w:t>
      </w:r>
    </w:p>
    <w:p w:rsidR="003B42B8" w:rsidRDefault="003B42B8" w:rsidP="00583EE0">
      <w:pPr>
        <w:pStyle w:val="BodyText"/>
      </w:pPr>
      <w:r>
        <w:t xml:space="preserve">Participating institutions were asked to provide the FTB status and high school graduation date for every </w:t>
      </w:r>
      <w:r w:rsidR="00583EE0">
        <w:t xml:space="preserve">listed </w:t>
      </w:r>
      <w:r>
        <w:t xml:space="preserve">student. High school graduation date was used to remove students from the frame </w:t>
      </w:r>
      <w:r w:rsidR="00583EE0">
        <w:t xml:space="preserve">who were co-enrolled in </w:t>
      </w:r>
      <w:r>
        <w:t>high school. FTB status</w:t>
      </w:r>
      <w:r w:rsidR="00CA44B9">
        <w:t>,</w:t>
      </w:r>
      <w:r>
        <w:t xml:space="preserve"> along with class level and student level</w:t>
      </w:r>
      <w:r w:rsidR="00CA44B9">
        <w:t>,</w:t>
      </w:r>
      <w:r>
        <w:t xml:space="preserve"> were used to exclude misclassified FTB students in their third year or higher and/or those who were not an undergraduate </w:t>
      </w:r>
      <w:r>
        <w:lastRenderedPageBreak/>
        <w:t>student. FTB status</w:t>
      </w:r>
      <w:r w:rsidR="00CA44B9">
        <w:t>,</w:t>
      </w:r>
      <w:r>
        <w:t xml:space="preserve"> along with date of birth</w:t>
      </w:r>
      <w:r w:rsidR="00CA44B9">
        <w:t>,</w:t>
      </w:r>
      <w:r>
        <w:t xml:space="preserve"> were used to identify students older than 18 to send for pre-sampling matching to administrative databases.</w:t>
      </w:r>
    </w:p>
    <w:p w:rsidR="003B42B8" w:rsidRDefault="003B42B8" w:rsidP="003B42B8">
      <w:pPr>
        <w:pStyle w:val="BodyText"/>
      </w:pPr>
      <w:r>
        <w:t>If the FTB indicator was not provided for a student on the lists</w:t>
      </w:r>
      <w:r w:rsidR="00CA44B9">
        <w:t>,</w:t>
      </w:r>
      <w:r>
        <w:t xml:space="preserve"> but the student was 18 years of age or younger and did not appear to be dually enrolled in high school, the student was sampled as an FTB. Otherwise, if the FTB indicator was not provided for a student on the list and the student was over the age of 18, then the student was sampled as an “other undergraduate” but would be included in </w:t>
      </w:r>
      <w:r w:rsidR="00CA44B9">
        <w:t xml:space="preserve">the </w:t>
      </w:r>
      <w:r>
        <w:t>BPS cohort if identified during the student interview as an FTB.</w:t>
      </w:r>
    </w:p>
    <w:p w:rsidR="003B42B8" w:rsidRDefault="003B42B8" w:rsidP="00583EE0">
      <w:pPr>
        <w:pStyle w:val="BodyText"/>
      </w:pPr>
      <w:r>
        <w:t xml:space="preserve">Prior to sampling, students over the age of 18 listed as potential FTBs were matched to NSLDS records to determine if any had a federal financial aid history pre-dating </w:t>
      </w:r>
      <w:r w:rsidR="00CA44B9">
        <w:t xml:space="preserve">the </w:t>
      </w:r>
      <w:r>
        <w:t xml:space="preserve">NPSAS year (earlier than July 1, 2010 for the field test). Since NSLDS maintains current records of all Title IV federal grant and loan funding, any student with disbursements from the prior year </w:t>
      </w:r>
      <w:r w:rsidR="00CA44B9">
        <w:t xml:space="preserve">or earlier </w:t>
      </w:r>
      <w:r>
        <w:t>could be reliably excluded from the sampling frame of FTBs. Given that about 60 percent of FTBs receive some form of Title IV aid in their first year, this matching process could not exclude all listed FTBs with prior enrollment, but significantly improved the accuracy of the list prior to sampling, yielding fewer false positives. After undergoing NSLDS matching, students over the age of 18 still listed as potential FTBs were matched to the National Student Clearinghouse (NSC) for further narrowing of potential FTBs based on evidence of earlier enrollment.</w:t>
      </w:r>
    </w:p>
    <w:p w:rsidR="003B42B8" w:rsidRDefault="003B42B8" w:rsidP="00CA44B9">
      <w:pPr>
        <w:pStyle w:val="BodyText"/>
      </w:pPr>
      <w:r>
        <w:t xml:space="preserve">Matching to NSLDS identified about 19 percent of cases as false positives and matching to NSC identified about 14 percent of cases as false positives. In addition to NSLDS and NSC, a subset of potential FTBs on the student sampling frame was sent to CPS for matching to evaluate the benefit of the CPS match for the full-scale study. Of the 58,690 students sent, CPS identified about 10 percent as false </w:t>
      </w:r>
      <w:r w:rsidRPr="001A1FF9">
        <w:t>positives.</w:t>
      </w:r>
      <w:r w:rsidRPr="00786E95">
        <w:t xml:space="preserve"> </w:t>
      </w:r>
      <w:r>
        <w:t xml:space="preserve">Overall, matching to all sources identified about 32 percent of potential FTB students over the age of 18 as false positives, with many of the false positives identified by CPS also identified by NSLDS or NSC. The matching appeared most effective among public 2-year and private for-profit institutions. While public less-than 2-year institutions have a high percent of false positives, they represent a small percentage of the total sample. </w:t>
      </w:r>
    </w:p>
    <w:p w:rsidR="003B42B8" w:rsidRPr="00AE7569" w:rsidRDefault="003B42B8" w:rsidP="003B42B8">
      <w:pPr>
        <w:pStyle w:val="BodyText"/>
      </w:pPr>
      <w:r>
        <w:t>Since this pre-sampling matching was new to NPSAS:12, the FTB sample size was set high to ensure that a sufficient number of true FTBs would be interviewed. In addition, FTB selection rates were set taking into account the error rates observed in NPSAS:04 and BPS:04/06 within each sector</w:t>
      </w:r>
      <w:r w:rsidR="002B73FE">
        <w:t xml:space="preserve"> </w:t>
      </w:r>
      <w:r w:rsidR="00CA44B9">
        <w:t>(</w:t>
      </w:r>
      <w:r w:rsidR="002B73FE">
        <w:t>a</w:t>
      </w:r>
      <w:r>
        <w:t xml:space="preserve">dditional information on NPSAS:04 methodology is available in the study methodology report, publication number </w:t>
      </w:r>
      <w:r w:rsidRPr="00914080">
        <w:t>NCES 2006180</w:t>
      </w:r>
      <w:r>
        <w:t xml:space="preserve">, or BPS:04/06 methodology report, publication number </w:t>
      </w:r>
      <w:r w:rsidRPr="00914080">
        <w:t>NCES 2008184</w:t>
      </w:r>
      <w:r>
        <w:t>.</w:t>
      </w:r>
      <w:r w:rsidR="00CA44B9">
        <w:t>)</w:t>
      </w:r>
      <w:r w:rsidR="002B73FE">
        <w:t>.</w:t>
      </w:r>
      <w:r w:rsidR="00CA44B9">
        <w:t xml:space="preserve"> </w:t>
      </w:r>
      <w:r>
        <w:t xml:space="preserve"> These rates were adjusted to reflect the improvement in the accuracy of the frame from the NSLDS and NSC record matching. Sector-level FTB error rates from the field test will be used to help determine the rates necessary for full-scale student sampling.</w:t>
      </w:r>
    </w:p>
    <w:p w:rsidR="003B42B8" w:rsidRDefault="003B42B8" w:rsidP="0020207E">
      <w:pPr>
        <w:pStyle w:val="Heading3"/>
      </w:pPr>
      <w:bookmarkStart w:id="122" w:name="_Toc337840009"/>
      <w:bookmarkStart w:id="123" w:name="_Toc109714786"/>
      <w:r>
        <w:t>BPS:12/14 Field Test Sample</w:t>
      </w:r>
      <w:bookmarkEnd w:id="122"/>
    </w:p>
    <w:p w:rsidR="003B42B8" w:rsidRDefault="003B42B8" w:rsidP="002B73FE">
      <w:pPr>
        <w:pStyle w:val="BodyText"/>
        <w:spacing w:after="0"/>
      </w:pPr>
      <w:r>
        <w:t xml:space="preserve">At the conclusion of the NPSAS:12 field test, </w:t>
      </w:r>
      <w:r w:rsidR="005617C4">
        <w:t>2,003</w:t>
      </w:r>
      <w:r>
        <w:t xml:space="preserve"> students had been interviewed and confirmed to be FTBs</w:t>
      </w:r>
      <w:r w:rsidR="00583EE0">
        <w:t xml:space="preserve">, and all will be included in the </w:t>
      </w:r>
      <w:r>
        <w:t>BPS:12:14 field test.</w:t>
      </w:r>
      <w:r w:rsidR="00583EE0">
        <w:t xml:space="preserve"> </w:t>
      </w:r>
      <w:r>
        <w:t xml:space="preserve"> In addition, </w:t>
      </w:r>
      <w:r w:rsidR="00583EE0">
        <w:t xml:space="preserve">the field test sample </w:t>
      </w:r>
      <w:r>
        <w:t xml:space="preserve">will include the </w:t>
      </w:r>
      <w:r w:rsidR="005617C4">
        <w:t xml:space="preserve">1,493 </w:t>
      </w:r>
      <w:r>
        <w:t>students who did not respond to the NPSAS:12 field test but were potential FTBs</w:t>
      </w:r>
      <w:r w:rsidR="005617C4">
        <w:t xml:space="preserve"> according to </w:t>
      </w:r>
      <w:r>
        <w:t>student records</w:t>
      </w:r>
      <w:r w:rsidR="005617C4">
        <w:t xml:space="preserve"> or institution lists</w:t>
      </w:r>
      <w:r>
        <w:t xml:space="preserve">.  </w:t>
      </w:r>
      <w:r w:rsidR="005617C4">
        <w:t>The distribution of the BPS:12/14 field test sample is shown in table</w:t>
      </w:r>
      <w:r w:rsidR="00366169">
        <w:t xml:space="preserve"> 1</w:t>
      </w:r>
      <w:r w:rsidR="00583EE0">
        <w:t>,</w:t>
      </w:r>
      <w:r w:rsidR="005617C4">
        <w:t xml:space="preserve"> by institution sector.</w:t>
      </w:r>
    </w:p>
    <w:p w:rsidR="005617C4" w:rsidRPr="002B73FE" w:rsidRDefault="005617C4" w:rsidP="005617C4">
      <w:pPr>
        <w:autoSpaceDE w:val="0"/>
        <w:autoSpaceDN w:val="0"/>
        <w:adjustRightInd w:val="0"/>
        <w:ind w:firstLine="720"/>
        <w:rPr>
          <w:sz w:val="16"/>
          <w:szCs w:val="16"/>
        </w:rPr>
      </w:pPr>
    </w:p>
    <w:p w:rsidR="003B42B8" w:rsidRPr="00797556" w:rsidRDefault="003B42B8" w:rsidP="002B73FE">
      <w:pPr>
        <w:pStyle w:val="TableTitle"/>
        <w:spacing w:before="120"/>
        <w:ind w:left="994" w:hanging="994"/>
      </w:pPr>
      <w:bookmarkStart w:id="124" w:name="_Toc337840031"/>
      <w:r>
        <w:lastRenderedPageBreak/>
        <w:t xml:space="preserve">Table </w:t>
      </w:r>
      <w:r w:rsidR="00366169">
        <w:t>1</w:t>
      </w:r>
      <w:r>
        <w:t xml:space="preserve">.  BPS:12/14 Sample Size by </w:t>
      </w:r>
      <w:r w:rsidRPr="00797556">
        <w:t>inst</w:t>
      </w:r>
      <w:r>
        <w:t>itution characteristics: 2011</w:t>
      </w:r>
      <w:bookmarkEnd w:id="124"/>
    </w:p>
    <w:tbl>
      <w:tblPr>
        <w:tblW w:w="5000" w:type="pct"/>
        <w:tblBorders>
          <w:top w:val="single" w:sz="12" w:space="0" w:color="auto"/>
          <w:bottom w:val="single" w:sz="12" w:space="0" w:color="auto"/>
        </w:tblBorders>
        <w:tblLook w:val="04A0" w:firstRow="1" w:lastRow="0" w:firstColumn="1" w:lastColumn="0" w:noHBand="0" w:noVBand="1"/>
      </w:tblPr>
      <w:tblGrid>
        <w:gridCol w:w="3529"/>
        <w:gridCol w:w="2881"/>
        <w:gridCol w:w="1769"/>
        <w:gridCol w:w="2261"/>
      </w:tblGrid>
      <w:tr w:rsidR="003B42B8" w:rsidRPr="00AD62EC" w:rsidTr="00783038">
        <w:trPr>
          <w:trHeight w:val="285"/>
          <w:tblHeader/>
        </w:trPr>
        <w:tc>
          <w:tcPr>
            <w:tcW w:w="1690" w:type="pct"/>
            <w:vMerge w:val="restart"/>
            <w:tcBorders>
              <w:bottom w:val="single" w:sz="4" w:space="0" w:color="auto"/>
            </w:tcBorders>
            <w:noWrap/>
            <w:vAlign w:val="center"/>
            <w:hideMark/>
          </w:tcPr>
          <w:p w:rsidR="003B42B8" w:rsidRPr="00AD62EC" w:rsidRDefault="003B42B8" w:rsidP="00783038">
            <w:pPr>
              <w:pStyle w:val="Tableheading-LEFT"/>
              <w:rPr>
                <w:sz w:val="18"/>
                <w:szCs w:val="18"/>
              </w:rPr>
            </w:pPr>
            <w:r w:rsidRPr="00AD62EC">
              <w:rPr>
                <w:sz w:val="18"/>
                <w:szCs w:val="18"/>
              </w:rPr>
              <w:t xml:space="preserve">Institution </w:t>
            </w:r>
            <w:r>
              <w:rPr>
                <w:sz w:val="18"/>
                <w:szCs w:val="18"/>
              </w:rPr>
              <w:t>characteristics</w:t>
            </w:r>
          </w:p>
        </w:tc>
        <w:tc>
          <w:tcPr>
            <w:tcW w:w="3310" w:type="pct"/>
            <w:gridSpan w:val="3"/>
            <w:noWrap/>
            <w:vAlign w:val="bottom"/>
            <w:hideMark/>
          </w:tcPr>
          <w:p w:rsidR="003B42B8" w:rsidRPr="00AD62EC" w:rsidRDefault="005617C4" w:rsidP="00783038">
            <w:pPr>
              <w:pStyle w:val="Tableheading-CENTER"/>
              <w:rPr>
                <w:sz w:val="18"/>
                <w:szCs w:val="18"/>
              </w:rPr>
            </w:pPr>
            <w:r>
              <w:rPr>
                <w:sz w:val="18"/>
                <w:szCs w:val="18"/>
              </w:rPr>
              <w:t xml:space="preserve">Confirmed and </w:t>
            </w:r>
            <w:r w:rsidR="003B42B8">
              <w:rPr>
                <w:sz w:val="18"/>
                <w:szCs w:val="18"/>
              </w:rPr>
              <w:t xml:space="preserve">Potential FTBs from </w:t>
            </w:r>
            <w:r>
              <w:rPr>
                <w:sz w:val="18"/>
                <w:szCs w:val="18"/>
              </w:rPr>
              <w:t>the</w:t>
            </w:r>
            <w:r w:rsidR="00783038">
              <w:rPr>
                <w:sz w:val="18"/>
                <w:szCs w:val="18"/>
              </w:rPr>
              <w:t xml:space="preserve"> </w:t>
            </w:r>
            <w:r w:rsidR="003B42B8">
              <w:rPr>
                <w:sz w:val="18"/>
                <w:szCs w:val="18"/>
              </w:rPr>
              <w:t>NPSAS:12</w:t>
            </w:r>
            <w:r>
              <w:rPr>
                <w:sz w:val="18"/>
                <w:szCs w:val="18"/>
              </w:rPr>
              <w:t xml:space="preserve"> Field Test</w:t>
            </w:r>
          </w:p>
        </w:tc>
      </w:tr>
      <w:tr w:rsidR="003B42B8" w:rsidRPr="00AD62EC" w:rsidTr="00783038">
        <w:trPr>
          <w:tblHeader/>
        </w:trPr>
        <w:tc>
          <w:tcPr>
            <w:tcW w:w="1690" w:type="pct"/>
            <w:vMerge/>
            <w:tcBorders>
              <w:bottom w:val="single" w:sz="4" w:space="0" w:color="auto"/>
            </w:tcBorders>
            <w:noWrap/>
            <w:vAlign w:val="bottom"/>
            <w:hideMark/>
          </w:tcPr>
          <w:p w:rsidR="003B42B8" w:rsidRPr="00AD62EC" w:rsidRDefault="003B42B8" w:rsidP="00E474D6">
            <w:pPr>
              <w:pStyle w:val="Tableheading-LEFT"/>
              <w:rPr>
                <w:sz w:val="18"/>
                <w:szCs w:val="18"/>
              </w:rPr>
            </w:pPr>
          </w:p>
        </w:tc>
        <w:tc>
          <w:tcPr>
            <w:tcW w:w="1380" w:type="pct"/>
            <w:tcBorders>
              <w:bottom w:val="single" w:sz="4" w:space="0" w:color="auto"/>
            </w:tcBorders>
            <w:noWrap/>
            <w:vAlign w:val="bottom"/>
            <w:hideMark/>
          </w:tcPr>
          <w:p w:rsidR="003B42B8" w:rsidRPr="00AD62EC" w:rsidRDefault="003B42B8" w:rsidP="00E474D6">
            <w:pPr>
              <w:pStyle w:val="Tablenumbers"/>
              <w:rPr>
                <w:sz w:val="18"/>
                <w:szCs w:val="18"/>
              </w:rPr>
            </w:pPr>
            <w:r>
              <w:rPr>
                <w:sz w:val="18"/>
                <w:szCs w:val="18"/>
              </w:rPr>
              <w:t>Total</w:t>
            </w:r>
          </w:p>
        </w:tc>
        <w:tc>
          <w:tcPr>
            <w:tcW w:w="847" w:type="pct"/>
            <w:tcBorders>
              <w:bottom w:val="single" w:sz="4" w:space="0" w:color="auto"/>
            </w:tcBorders>
            <w:noWrap/>
            <w:vAlign w:val="bottom"/>
            <w:hideMark/>
          </w:tcPr>
          <w:p w:rsidR="003B42B8" w:rsidRPr="00AD62EC" w:rsidRDefault="005617C4" w:rsidP="00E474D6">
            <w:pPr>
              <w:pStyle w:val="Tablenumbers"/>
              <w:rPr>
                <w:sz w:val="18"/>
                <w:szCs w:val="18"/>
              </w:rPr>
            </w:pPr>
            <w:r>
              <w:rPr>
                <w:sz w:val="18"/>
                <w:szCs w:val="18"/>
              </w:rPr>
              <w:t xml:space="preserve">Confirmed </w:t>
            </w:r>
            <w:r w:rsidR="003B42B8">
              <w:rPr>
                <w:sz w:val="18"/>
                <w:szCs w:val="18"/>
              </w:rPr>
              <w:t>FTBs</w:t>
            </w:r>
          </w:p>
        </w:tc>
        <w:tc>
          <w:tcPr>
            <w:tcW w:w="1083" w:type="pct"/>
            <w:tcBorders>
              <w:bottom w:val="single" w:sz="4" w:space="0" w:color="auto"/>
            </w:tcBorders>
          </w:tcPr>
          <w:p w:rsidR="003B42B8" w:rsidRPr="00AD62EC" w:rsidRDefault="003B42B8" w:rsidP="005617C4">
            <w:pPr>
              <w:pStyle w:val="Tablenumbers"/>
              <w:rPr>
                <w:sz w:val="18"/>
                <w:szCs w:val="18"/>
              </w:rPr>
            </w:pPr>
            <w:r>
              <w:rPr>
                <w:sz w:val="18"/>
                <w:szCs w:val="18"/>
              </w:rPr>
              <w:t>Potentia</w:t>
            </w:r>
            <w:r w:rsidR="005617C4">
              <w:rPr>
                <w:sz w:val="18"/>
                <w:szCs w:val="18"/>
              </w:rPr>
              <w:t xml:space="preserve">l </w:t>
            </w:r>
            <w:r>
              <w:rPr>
                <w:sz w:val="18"/>
                <w:szCs w:val="18"/>
              </w:rPr>
              <w:t>FTBs</w:t>
            </w:r>
          </w:p>
        </w:tc>
      </w:tr>
      <w:tr w:rsidR="003B42B8" w:rsidRPr="00AD62EC" w:rsidTr="00783038">
        <w:tc>
          <w:tcPr>
            <w:tcW w:w="1690" w:type="pct"/>
            <w:noWrap/>
            <w:vAlign w:val="bottom"/>
            <w:hideMark/>
          </w:tcPr>
          <w:p w:rsidR="003B42B8" w:rsidRPr="00AD62EC" w:rsidRDefault="003B42B8" w:rsidP="00E474D6">
            <w:pPr>
              <w:pStyle w:val="5ensptotal"/>
              <w:rPr>
                <w:sz w:val="18"/>
                <w:szCs w:val="18"/>
              </w:rPr>
            </w:pPr>
            <w:r w:rsidRPr="00AD62EC">
              <w:rPr>
                <w:sz w:val="18"/>
                <w:szCs w:val="18"/>
              </w:rPr>
              <w:t>Total</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3,496</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2,003</w:t>
            </w:r>
          </w:p>
        </w:tc>
        <w:tc>
          <w:tcPr>
            <w:tcW w:w="1083" w:type="pct"/>
            <w:vAlign w:val="bottom"/>
          </w:tcPr>
          <w:p w:rsidR="003B42B8" w:rsidRPr="00AD62EC" w:rsidRDefault="003B42B8" w:rsidP="00E474D6">
            <w:pPr>
              <w:pStyle w:val="Tablenumbers"/>
              <w:rPr>
                <w:sz w:val="18"/>
                <w:szCs w:val="18"/>
              </w:rPr>
            </w:pPr>
            <w:r>
              <w:rPr>
                <w:color w:val="000000"/>
                <w:sz w:val="18"/>
                <w:szCs w:val="18"/>
              </w:rPr>
              <w:t>1,493</w:t>
            </w:r>
          </w:p>
        </w:tc>
      </w:tr>
      <w:tr w:rsidR="003B42B8" w:rsidRPr="00AD62EC" w:rsidTr="00783038">
        <w:trPr>
          <w:trHeight w:hRule="exact" w:val="160"/>
        </w:trPr>
        <w:tc>
          <w:tcPr>
            <w:tcW w:w="1690" w:type="pct"/>
            <w:noWrap/>
            <w:vAlign w:val="bottom"/>
            <w:hideMark/>
          </w:tcPr>
          <w:p w:rsidR="003B42B8" w:rsidRPr="00AD62EC" w:rsidRDefault="003B42B8" w:rsidP="00E474D6">
            <w:pPr>
              <w:pStyle w:val="Tabletext"/>
              <w:rPr>
                <w:sz w:val="18"/>
                <w:szCs w:val="18"/>
              </w:rPr>
            </w:pPr>
          </w:p>
        </w:tc>
        <w:tc>
          <w:tcPr>
            <w:tcW w:w="1380" w:type="pct"/>
            <w:noWrap/>
            <w:vAlign w:val="bottom"/>
            <w:hideMark/>
          </w:tcPr>
          <w:p w:rsidR="003B42B8" w:rsidRPr="00AD62EC" w:rsidRDefault="003B42B8" w:rsidP="00E474D6">
            <w:pPr>
              <w:pStyle w:val="Tablenumbers"/>
              <w:rPr>
                <w:sz w:val="18"/>
                <w:szCs w:val="18"/>
              </w:rPr>
            </w:pPr>
          </w:p>
        </w:tc>
        <w:tc>
          <w:tcPr>
            <w:tcW w:w="847" w:type="pct"/>
            <w:noWrap/>
            <w:vAlign w:val="bottom"/>
            <w:hideMark/>
          </w:tcPr>
          <w:p w:rsidR="003B42B8" w:rsidRPr="00AD62EC" w:rsidRDefault="003B42B8" w:rsidP="00E474D6">
            <w:pPr>
              <w:pStyle w:val="Tablenumbers"/>
              <w:rPr>
                <w:sz w:val="18"/>
                <w:szCs w:val="18"/>
              </w:rPr>
            </w:pPr>
          </w:p>
        </w:tc>
        <w:tc>
          <w:tcPr>
            <w:tcW w:w="1083" w:type="pct"/>
            <w:vAlign w:val="bottom"/>
          </w:tcPr>
          <w:p w:rsidR="003B42B8" w:rsidRPr="00AD62EC" w:rsidRDefault="003B42B8" w:rsidP="00E474D6">
            <w:pPr>
              <w:pStyle w:val="Tablenumbers"/>
              <w:rPr>
                <w:sz w:val="18"/>
                <w:szCs w:val="18"/>
              </w:rPr>
            </w:pPr>
          </w:p>
        </w:tc>
      </w:tr>
      <w:tr w:rsidR="003B42B8" w:rsidRPr="00AD62EC" w:rsidTr="00783038">
        <w:tc>
          <w:tcPr>
            <w:tcW w:w="1690" w:type="pct"/>
            <w:noWrap/>
            <w:vAlign w:val="bottom"/>
            <w:hideMark/>
          </w:tcPr>
          <w:p w:rsidR="003B42B8" w:rsidRPr="00AD62EC" w:rsidRDefault="003B42B8" w:rsidP="00E474D6">
            <w:pPr>
              <w:pStyle w:val="Tabletext"/>
              <w:rPr>
                <w:sz w:val="18"/>
                <w:szCs w:val="18"/>
              </w:rPr>
            </w:pPr>
            <w:r>
              <w:rPr>
                <w:sz w:val="18"/>
                <w:szCs w:val="18"/>
              </w:rPr>
              <w:t>Institution</w:t>
            </w:r>
            <w:r w:rsidRPr="00AD62EC">
              <w:rPr>
                <w:sz w:val="18"/>
                <w:szCs w:val="18"/>
              </w:rPr>
              <w:t xml:space="preserve"> </w:t>
            </w:r>
            <w:r>
              <w:rPr>
                <w:sz w:val="18"/>
                <w:szCs w:val="18"/>
              </w:rPr>
              <w:t>type</w:t>
            </w:r>
          </w:p>
        </w:tc>
        <w:tc>
          <w:tcPr>
            <w:tcW w:w="1380" w:type="pct"/>
            <w:noWrap/>
            <w:vAlign w:val="bottom"/>
            <w:hideMark/>
          </w:tcPr>
          <w:p w:rsidR="003B42B8" w:rsidRPr="00AD62EC" w:rsidRDefault="003B42B8" w:rsidP="00E474D6">
            <w:pPr>
              <w:pStyle w:val="Tablenumbers"/>
              <w:rPr>
                <w:sz w:val="18"/>
                <w:szCs w:val="18"/>
              </w:rPr>
            </w:pPr>
          </w:p>
        </w:tc>
        <w:tc>
          <w:tcPr>
            <w:tcW w:w="847" w:type="pct"/>
            <w:noWrap/>
            <w:vAlign w:val="bottom"/>
            <w:hideMark/>
          </w:tcPr>
          <w:p w:rsidR="003B42B8" w:rsidRPr="00AD62EC" w:rsidRDefault="003B42B8" w:rsidP="00E474D6">
            <w:pPr>
              <w:pStyle w:val="Tablenumbers"/>
              <w:rPr>
                <w:sz w:val="18"/>
                <w:szCs w:val="18"/>
              </w:rPr>
            </w:pPr>
          </w:p>
        </w:tc>
        <w:tc>
          <w:tcPr>
            <w:tcW w:w="1083" w:type="pct"/>
            <w:vAlign w:val="bottom"/>
          </w:tcPr>
          <w:p w:rsidR="003B42B8" w:rsidRPr="00AD62EC" w:rsidRDefault="003B42B8" w:rsidP="00E474D6">
            <w:pPr>
              <w:pStyle w:val="Tablenumbers"/>
              <w:rPr>
                <w:sz w:val="18"/>
                <w:szCs w:val="18"/>
              </w:rPr>
            </w:pPr>
          </w:p>
        </w:tc>
      </w:tr>
      <w:tr w:rsidR="003B42B8" w:rsidRPr="00AD62EC" w:rsidTr="00783038">
        <w:tc>
          <w:tcPr>
            <w:tcW w:w="1690" w:type="pct"/>
            <w:noWrap/>
            <w:vAlign w:val="bottom"/>
            <w:hideMark/>
          </w:tcPr>
          <w:p w:rsidR="003B42B8" w:rsidRPr="00AD62EC" w:rsidRDefault="003B42B8" w:rsidP="00E474D6">
            <w:pPr>
              <w:pStyle w:val="2enspsubgroup1"/>
              <w:rPr>
                <w:sz w:val="18"/>
                <w:szCs w:val="18"/>
              </w:rPr>
            </w:pPr>
            <w:r w:rsidRPr="00AD62EC">
              <w:rPr>
                <w:sz w:val="18"/>
                <w:szCs w:val="18"/>
              </w:rPr>
              <w:t>Public</w:t>
            </w:r>
          </w:p>
        </w:tc>
        <w:tc>
          <w:tcPr>
            <w:tcW w:w="1380" w:type="pct"/>
            <w:noWrap/>
            <w:vAlign w:val="bottom"/>
            <w:hideMark/>
          </w:tcPr>
          <w:p w:rsidR="003B42B8" w:rsidRPr="00AD62EC" w:rsidRDefault="003B42B8" w:rsidP="00E474D6">
            <w:pPr>
              <w:pStyle w:val="Tablenumbers"/>
              <w:rPr>
                <w:sz w:val="18"/>
                <w:szCs w:val="18"/>
              </w:rPr>
            </w:pPr>
          </w:p>
        </w:tc>
        <w:tc>
          <w:tcPr>
            <w:tcW w:w="847" w:type="pct"/>
            <w:noWrap/>
            <w:vAlign w:val="bottom"/>
            <w:hideMark/>
          </w:tcPr>
          <w:p w:rsidR="003B42B8" w:rsidRPr="00AD62EC" w:rsidRDefault="003B42B8" w:rsidP="00E474D6">
            <w:pPr>
              <w:pStyle w:val="Tablenumbers"/>
              <w:rPr>
                <w:sz w:val="18"/>
                <w:szCs w:val="18"/>
              </w:rPr>
            </w:pPr>
          </w:p>
        </w:tc>
        <w:tc>
          <w:tcPr>
            <w:tcW w:w="1083" w:type="pct"/>
            <w:vAlign w:val="bottom"/>
          </w:tcPr>
          <w:p w:rsidR="003B42B8" w:rsidRPr="00AD62EC" w:rsidRDefault="003B42B8" w:rsidP="00E474D6">
            <w:pPr>
              <w:pStyle w:val="Tablenumbers"/>
              <w:rPr>
                <w:sz w:val="18"/>
                <w:szCs w:val="18"/>
              </w:rPr>
            </w:pP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Less-than-2-year</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17</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6</w:t>
            </w:r>
          </w:p>
        </w:tc>
        <w:tc>
          <w:tcPr>
            <w:tcW w:w="1083" w:type="pct"/>
            <w:vAlign w:val="bottom"/>
          </w:tcPr>
          <w:p w:rsidR="003B42B8" w:rsidRPr="00AD62EC" w:rsidRDefault="003B42B8" w:rsidP="00E474D6">
            <w:pPr>
              <w:pStyle w:val="Tablenumbers"/>
              <w:rPr>
                <w:sz w:val="18"/>
                <w:szCs w:val="18"/>
              </w:rPr>
            </w:pPr>
            <w:r>
              <w:rPr>
                <w:color w:val="000000"/>
                <w:sz w:val="18"/>
                <w:szCs w:val="18"/>
              </w:rPr>
              <w:t>11</w:t>
            </w: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2-year</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1,526</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827</w:t>
            </w:r>
          </w:p>
        </w:tc>
        <w:tc>
          <w:tcPr>
            <w:tcW w:w="1083" w:type="pct"/>
            <w:vAlign w:val="bottom"/>
          </w:tcPr>
          <w:p w:rsidR="003B42B8" w:rsidRPr="00AD62EC" w:rsidRDefault="003B42B8" w:rsidP="00E474D6">
            <w:pPr>
              <w:pStyle w:val="Tablenumbers"/>
              <w:rPr>
                <w:sz w:val="18"/>
                <w:szCs w:val="18"/>
              </w:rPr>
            </w:pPr>
            <w:r>
              <w:rPr>
                <w:color w:val="000000"/>
                <w:sz w:val="18"/>
                <w:szCs w:val="18"/>
              </w:rPr>
              <w:t>699</w:t>
            </w: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4-year non-doctorate-granting</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204</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142</w:t>
            </w:r>
          </w:p>
        </w:tc>
        <w:tc>
          <w:tcPr>
            <w:tcW w:w="1083" w:type="pct"/>
            <w:vAlign w:val="bottom"/>
          </w:tcPr>
          <w:p w:rsidR="003B42B8" w:rsidRPr="00AD62EC" w:rsidRDefault="003B42B8" w:rsidP="00E474D6">
            <w:pPr>
              <w:pStyle w:val="Tablenumbers"/>
              <w:rPr>
                <w:sz w:val="18"/>
                <w:szCs w:val="18"/>
              </w:rPr>
            </w:pPr>
            <w:r>
              <w:rPr>
                <w:color w:val="000000"/>
                <w:sz w:val="18"/>
                <w:szCs w:val="18"/>
              </w:rPr>
              <w:t>62</w:t>
            </w: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4-year doctorate-granting</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436</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321</w:t>
            </w:r>
          </w:p>
        </w:tc>
        <w:tc>
          <w:tcPr>
            <w:tcW w:w="1083" w:type="pct"/>
            <w:vAlign w:val="bottom"/>
          </w:tcPr>
          <w:p w:rsidR="003B42B8" w:rsidRPr="00AD62EC" w:rsidRDefault="003B42B8" w:rsidP="00E474D6">
            <w:pPr>
              <w:pStyle w:val="Tablenumbers"/>
              <w:rPr>
                <w:sz w:val="18"/>
                <w:szCs w:val="18"/>
              </w:rPr>
            </w:pPr>
            <w:r>
              <w:rPr>
                <w:color w:val="000000"/>
                <w:sz w:val="18"/>
                <w:szCs w:val="18"/>
              </w:rPr>
              <w:t>115</w:t>
            </w:r>
          </w:p>
        </w:tc>
      </w:tr>
      <w:tr w:rsidR="003B42B8" w:rsidRPr="00AD62EC" w:rsidTr="00783038">
        <w:tc>
          <w:tcPr>
            <w:tcW w:w="1690" w:type="pct"/>
            <w:noWrap/>
            <w:vAlign w:val="bottom"/>
            <w:hideMark/>
          </w:tcPr>
          <w:p w:rsidR="003B42B8" w:rsidRPr="00AD62EC" w:rsidRDefault="003B42B8" w:rsidP="00E474D6">
            <w:pPr>
              <w:pStyle w:val="2enspsubgroup1"/>
              <w:rPr>
                <w:sz w:val="18"/>
                <w:szCs w:val="18"/>
              </w:rPr>
            </w:pPr>
            <w:r w:rsidRPr="00AD62EC">
              <w:rPr>
                <w:sz w:val="18"/>
                <w:szCs w:val="18"/>
              </w:rPr>
              <w:t>Private nonprofit</w:t>
            </w:r>
          </w:p>
        </w:tc>
        <w:tc>
          <w:tcPr>
            <w:tcW w:w="1380" w:type="pct"/>
            <w:noWrap/>
            <w:vAlign w:val="bottom"/>
            <w:hideMark/>
          </w:tcPr>
          <w:p w:rsidR="003B42B8" w:rsidRPr="00AD62EC" w:rsidRDefault="003B42B8" w:rsidP="00E474D6">
            <w:pPr>
              <w:pStyle w:val="Tablenumbers"/>
              <w:rPr>
                <w:sz w:val="18"/>
                <w:szCs w:val="18"/>
              </w:rPr>
            </w:pPr>
          </w:p>
        </w:tc>
        <w:tc>
          <w:tcPr>
            <w:tcW w:w="847" w:type="pct"/>
            <w:noWrap/>
            <w:vAlign w:val="bottom"/>
            <w:hideMark/>
          </w:tcPr>
          <w:p w:rsidR="003B42B8" w:rsidRPr="00AD62EC" w:rsidRDefault="003B42B8" w:rsidP="00E474D6">
            <w:pPr>
              <w:pStyle w:val="Tablenumbers"/>
              <w:rPr>
                <w:sz w:val="18"/>
                <w:szCs w:val="18"/>
              </w:rPr>
            </w:pPr>
          </w:p>
        </w:tc>
        <w:tc>
          <w:tcPr>
            <w:tcW w:w="1083" w:type="pct"/>
            <w:vAlign w:val="bottom"/>
          </w:tcPr>
          <w:p w:rsidR="003B42B8" w:rsidRPr="00AD62EC" w:rsidRDefault="003B42B8" w:rsidP="00E474D6">
            <w:pPr>
              <w:pStyle w:val="Tablenumbers"/>
              <w:rPr>
                <w:sz w:val="18"/>
                <w:szCs w:val="18"/>
              </w:rPr>
            </w:pP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Less-than-4-year</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37</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23</w:t>
            </w:r>
          </w:p>
        </w:tc>
        <w:tc>
          <w:tcPr>
            <w:tcW w:w="1083" w:type="pct"/>
            <w:vAlign w:val="bottom"/>
          </w:tcPr>
          <w:p w:rsidR="003B42B8" w:rsidRPr="00AD62EC" w:rsidRDefault="003B42B8" w:rsidP="00E474D6">
            <w:pPr>
              <w:pStyle w:val="Tablenumbers"/>
              <w:rPr>
                <w:sz w:val="18"/>
                <w:szCs w:val="18"/>
              </w:rPr>
            </w:pPr>
            <w:r>
              <w:rPr>
                <w:color w:val="000000"/>
                <w:sz w:val="18"/>
                <w:szCs w:val="18"/>
              </w:rPr>
              <w:t>14</w:t>
            </w: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4-year non-doctorate-granting</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205</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155</w:t>
            </w:r>
          </w:p>
        </w:tc>
        <w:tc>
          <w:tcPr>
            <w:tcW w:w="1083" w:type="pct"/>
            <w:vAlign w:val="bottom"/>
          </w:tcPr>
          <w:p w:rsidR="003B42B8" w:rsidRPr="00AD62EC" w:rsidRDefault="003B42B8" w:rsidP="00E474D6">
            <w:pPr>
              <w:pStyle w:val="Tablenumbers"/>
              <w:rPr>
                <w:sz w:val="18"/>
                <w:szCs w:val="18"/>
              </w:rPr>
            </w:pPr>
            <w:r>
              <w:rPr>
                <w:color w:val="000000"/>
                <w:sz w:val="18"/>
                <w:szCs w:val="18"/>
              </w:rPr>
              <w:t>50</w:t>
            </w: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4-year doctorate-granting</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139</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107</w:t>
            </w:r>
          </w:p>
        </w:tc>
        <w:tc>
          <w:tcPr>
            <w:tcW w:w="1083" w:type="pct"/>
            <w:vAlign w:val="bottom"/>
          </w:tcPr>
          <w:p w:rsidR="003B42B8" w:rsidRPr="00AD62EC" w:rsidRDefault="003B42B8" w:rsidP="00E474D6">
            <w:pPr>
              <w:pStyle w:val="Tablenumbers"/>
              <w:rPr>
                <w:sz w:val="18"/>
                <w:szCs w:val="18"/>
              </w:rPr>
            </w:pPr>
            <w:r>
              <w:rPr>
                <w:color w:val="000000"/>
                <w:sz w:val="18"/>
                <w:szCs w:val="18"/>
              </w:rPr>
              <w:t>32</w:t>
            </w:r>
          </w:p>
        </w:tc>
      </w:tr>
      <w:tr w:rsidR="003B42B8" w:rsidRPr="00AD62EC" w:rsidTr="00783038">
        <w:tc>
          <w:tcPr>
            <w:tcW w:w="1690" w:type="pct"/>
            <w:noWrap/>
            <w:vAlign w:val="bottom"/>
            <w:hideMark/>
          </w:tcPr>
          <w:p w:rsidR="003B42B8" w:rsidRPr="00AD62EC" w:rsidRDefault="003B42B8" w:rsidP="00E474D6">
            <w:pPr>
              <w:pStyle w:val="2enspsubgroup1"/>
              <w:rPr>
                <w:sz w:val="18"/>
                <w:szCs w:val="18"/>
              </w:rPr>
            </w:pPr>
            <w:r w:rsidRPr="00AD62EC">
              <w:rPr>
                <w:sz w:val="18"/>
                <w:szCs w:val="18"/>
              </w:rPr>
              <w:t>Private for-profit</w:t>
            </w:r>
          </w:p>
        </w:tc>
        <w:tc>
          <w:tcPr>
            <w:tcW w:w="1380" w:type="pct"/>
            <w:noWrap/>
            <w:vAlign w:val="bottom"/>
            <w:hideMark/>
          </w:tcPr>
          <w:p w:rsidR="003B42B8" w:rsidRPr="00AD62EC" w:rsidRDefault="003B42B8" w:rsidP="00E474D6">
            <w:pPr>
              <w:pStyle w:val="Tablenumbers"/>
              <w:rPr>
                <w:sz w:val="18"/>
                <w:szCs w:val="18"/>
              </w:rPr>
            </w:pPr>
          </w:p>
        </w:tc>
        <w:tc>
          <w:tcPr>
            <w:tcW w:w="847" w:type="pct"/>
            <w:noWrap/>
            <w:vAlign w:val="bottom"/>
            <w:hideMark/>
          </w:tcPr>
          <w:p w:rsidR="003B42B8" w:rsidRPr="00AD62EC" w:rsidRDefault="003B42B8" w:rsidP="00E474D6">
            <w:pPr>
              <w:pStyle w:val="Tablenumbers"/>
              <w:rPr>
                <w:sz w:val="18"/>
                <w:szCs w:val="18"/>
              </w:rPr>
            </w:pPr>
          </w:p>
        </w:tc>
        <w:tc>
          <w:tcPr>
            <w:tcW w:w="1083" w:type="pct"/>
            <w:vAlign w:val="bottom"/>
          </w:tcPr>
          <w:p w:rsidR="003B42B8" w:rsidRPr="00AD62EC" w:rsidRDefault="003B42B8" w:rsidP="00E474D6">
            <w:pPr>
              <w:pStyle w:val="Tablenumbers"/>
              <w:rPr>
                <w:sz w:val="18"/>
                <w:szCs w:val="18"/>
              </w:rPr>
            </w:pP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Less-than-2-year</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139</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71</w:t>
            </w:r>
          </w:p>
        </w:tc>
        <w:tc>
          <w:tcPr>
            <w:tcW w:w="1083" w:type="pct"/>
            <w:vAlign w:val="bottom"/>
          </w:tcPr>
          <w:p w:rsidR="003B42B8" w:rsidRPr="00AD62EC" w:rsidRDefault="003B42B8" w:rsidP="00E474D6">
            <w:pPr>
              <w:pStyle w:val="Tablenumbers"/>
              <w:rPr>
                <w:sz w:val="18"/>
                <w:szCs w:val="18"/>
              </w:rPr>
            </w:pPr>
            <w:r>
              <w:rPr>
                <w:color w:val="000000"/>
                <w:sz w:val="18"/>
                <w:szCs w:val="18"/>
              </w:rPr>
              <w:t>68</w:t>
            </w: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2-year</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211</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70</w:t>
            </w:r>
          </w:p>
        </w:tc>
        <w:tc>
          <w:tcPr>
            <w:tcW w:w="1083" w:type="pct"/>
            <w:vAlign w:val="bottom"/>
          </w:tcPr>
          <w:p w:rsidR="003B42B8" w:rsidRPr="00AD62EC" w:rsidRDefault="003B42B8" w:rsidP="00E474D6">
            <w:pPr>
              <w:pStyle w:val="Tablenumbers"/>
              <w:rPr>
                <w:sz w:val="18"/>
                <w:szCs w:val="18"/>
              </w:rPr>
            </w:pPr>
            <w:r>
              <w:rPr>
                <w:color w:val="000000"/>
                <w:sz w:val="18"/>
                <w:szCs w:val="18"/>
              </w:rPr>
              <w:t>141</w:t>
            </w:r>
          </w:p>
        </w:tc>
      </w:tr>
      <w:tr w:rsidR="003B42B8" w:rsidRPr="00AD62EC" w:rsidTr="00783038">
        <w:tc>
          <w:tcPr>
            <w:tcW w:w="1690" w:type="pct"/>
            <w:noWrap/>
            <w:vAlign w:val="bottom"/>
            <w:hideMark/>
          </w:tcPr>
          <w:p w:rsidR="003B42B8" w:rsidRPr="00AD62EC" w:rsidRDefault="003B42B8" w:rsidP="00E474D6">
            <w:pPr>
              <w:pStyle w:val="4enspsubgroup2"/>
              <w:rPr>
                <w:sz w:val="18"/>
                <w:szCs w:val="18"/>
              </w:rPr>
            </w:pPr>
            <w:r w:rsidRPr="00AD62EC">
              <w:rPr>
                <w:sz w:val="18"/>
                <w:szCs w:val="18"/>
              </w:rPr>
              <w:t>4-year</w:t>
            </w:r>
          </w:p>
        </w:tc>
        <w:tc>
          <w:tcPr>
            <w:tcW w:w="1380" w:type="pct"/>
            <w:noWrap/>
            <w:vAlign w:val="bottom"/>
            <w:hideMark/>
          </w:tcPr>
          <w:p w:rsidR="003B42B8" w:rsidRPr="00AD62EC" w:rsidRDefault="003B42B8" w:rsidP="00E474D6">
            <w:pPr>
              <w:pStyle w:val="Tablenumbers"/>
              <w:rPr>
                <w:sz w:val="18"/>
                <w:szCs w:val="18"/>
              </w:rPr>
            </w:pPr>
            <w:r>
              <w:rPr>
                <w:color w:val="000000"/>
                <w:sz w:val="18"/>
                <w:szCs w:val="18"/>
              </w:rPr>
              <w:t>582</w:t>
            </w:r>
          </w:p>
        </w:tc>
        <w:tc>
          <w:tcPr>
            <w:tcW w:w="847" w:type="pct"/>
            <w:noWrap/>
            <w:vAlign w:val="bottom"/>
            <w:hideMark/>
          </w:tcPr>
          <w:p w:rsidR="003B42B8" w:rsidRPr="00AD62EC" w:rsidRDefault="003B42B8" w:rsidP="00E474D6">
            <w:pPr>
              <w:pStyle w:val="Tablenumbers"/>
              <w:rPr>
                <w:sz w:val="18"/>
                <w:szCs w:val="18"/>
              </w:rPr>
            </w:pPr>
            <w:r>
              <w:rPr>
                <w:color w:val="000000"/>
                <w:sz w:val="18"/>
                <w:szCs w:val="18"/>
              </w:rPr>
              <w:t>281</w:t>
            </w:r>
          </w:p>
        </w:tc>
        <w:tc>
          <w:tcPr>
            <w:tcW w:w="1083" w:type="pct"/>
            <w:vAlign w:val="bottom"/>
          </w:tcPr>
          <w:p w:rsidR="003B42B8" w:rsidRPr="00AD62EC" w:rsidRDefault="003B42B8" w:rsidP="00E474D6">
            <w:pPr>
              <w:pStyle w:val="Tablenumbers"/>
              <w:rPr>
                <w:sz w:val="18"/>
                <w:szCs w:val="18"/>
              </w:rPr>
            </w:pPr>
            <w:r>
              <w:rPr>
                <w:color w:val="000000"/>
                <w:sz w:val="18"/>
                <w:szCs w:val="18"/>
              </w:rPr>
              <w:t>301</w:t>
            </w:r>
          </w:p>
        </w:tc>
      </w:tr>
    </w:tbl>
    <w:p w:rsidR="003B42B8" w:rsidRPr="00487A31" w:rsidRDefault="003B42B8" w:rsidP="00487A31">
      <w:pPr>
        <w:pStyle w:val="Source"/>
        <w:spacing w:before="0"/>
        <w:rPr>
          <w:rFonts w:asciiTheme="majorBidi" w:hAnsiTheme="majorBidi" w:cstheme="majorBidi"/>
          <w:sz w:val="16"/>
          <w:szCs w:val="16"/>
        </w:rPr>
      </w:pPr>
      <w:r w:rsidRPr="00487A31">
        <w:rPr>
          <w:rFonts w:asciiTheme="majorBidi" w:hAnsiTheme="majorBidi" w:cstheme="majorBidi"/>
          <w:sz w:val="16"/>
          <w:szCs w:val="16"/>
        </w:rPr>
        <w:t># Rounds to zero.</w:t>
      </w:r>
    </w:p>
    <w:p w:rsidR="003B42B8" w:rsidRPr="00487A31" w:rsidRDefault="003B42B8" w:rsidP="00487A31">
      <w:pPr>
        <w:pStyle w:val="Source"/>
        <w:spacing w:before="0"/>
        <w:rPr>
          <w:rFonts w:asciiTheme="majorBidi" w:hAnsiTheme="majorBidi" w:cstheme="majorBidi"/>
          <w:sz w:val="16"/>
          <w:szCs w:val="16"/>
        </w:rPr>
      </w:pPr>
      <w:r w:rsidRPr="00487A31">
        <w:rPr>
          <w:rFonts w:asciiTheme="majorBidi" w:hAnsiTheme="majorBidi" w:cstheme="majorBidi"/>
          <w:sz w:val="16"/>
          <w:szCs w:val="16"/>
          <w:vertAlign w:val="superscript"/>
        </w:rPr>
        <w:t>1</w:t>
      </w:r>
      <w:r w:rsidRPr="00487A31">
        <w:rPr>
          <w:rFonts w:asciiTheme="majorBidi" w:hAnsiTheme="majorBidi" w:cstheme="majorBidi"/>
          <w:sz w:val="16"/>
          <w:szCs w:val="16"/>
        </w:rPr>
        <w:t>Includes master's, doctoral-research/scholarship/other, doctoral-professional practice, and other graduate students.</w:t>
      </w:r>
    </w:p>
    <w:p w:rsidR="003B42B8" w:rsidRPr="00487A31" w:rsidRDefault="003B42B8" w:rsidP="00487A31">
      <w:pPr>
        <w:pStyle w:val="Source"/>
        <w:spacing w:before="0"/>
        <w:rPr>
          <w:rFonts w:asciiTheme="majorBidi" w:hAnsiTheme="majorBidi" w:cstheme="majorBidi"/>
          <w:sz w:val="16"/>
          <w:szCs w:val="16"/>
        </w:rPr>
      </w:pPr>
      <w:r w:rsidRPr="00487A31">
        <w:rPr>
          <w:rFonts w:asciiTheme="majorBidi" w:hAnsiTheme="majorBidi" w:cstheme="majorBidi"/>
          <w:sz w:val="16"/>
          <w:szCs w:val="16"/>
        </w:rPr>
        <w:t>NOTE: Detail may not sum to totals because of rounding. FTB = first-time beginner.</w:t>
      </w:r>
    </w:p>
    <w:p w:rsidR="003B42B8" w:rsidRDefault="003B42B8" w:rsidP="00487A31">
      <w:pPr>
        <w:pStyle w:val="BodyText"/>
        <w:spacing w:before="0" w:line="240" w:lineRule="auto"/>
        <w:ind w:firstLine="0"/>
        <w:rPr>
          <w:sz w:val="16"/>
          <w:szCs w:val="14"/>
        </w:rPr>
      </w:pPr>
      <w:r w:rsidRPr="001D4B07">
        <w:rPr>
          <w:sz w:val="16"/>
          <w:szCs w:val="14"/>
        </w:rPr>
        <w:t>SOURCE: U.S. Department of Education, National Center for Education Statistics, 2011–12 National Postsecondary Student Aid Study (NPSAS:12) Field Tes</w:t>
      </w:r>
      <w:bookmarkEnd w:id="123"/>
      <w:r>
        <w:rPr>
          <w:sz w:val="16"/>
          <w:szCs w:val="14"/>
        </w:rPr>
        <w:t>t</w:t>
      </w:r>
    </w:p>
    <w:p w:rsidR="003B42B8" w:rsidRPr="003B42B8" w:rsidRDefault="003B42B8" w:rsidP="003B42B8">
      <w:pPr>
        <w:pStyle w:val="ListParagraph"/>
        <w:keepNext/>
        <w:numPr>
          <w:ilvl w:val="0"/>
          <w:numId w:val="21"/>
        </w:numPr>
        <w:tabs>
          <w:tab w:val="left" w:pos="1080"/>
        </w:tabs>
        <w:overflowPunct w:val="0"/>
        <w:autoSpaceDE w:val="0"/>
        <w:autoSpaceDN w:val="0"/>
        <w:adjustRightInd w:val="0"/>
        <w:spacing w:before="240" w:after="120" w:line="320" w:lineRule="atLeast"/>
        <w:textAlignment w:val="baseline"/>
        <w:outlineLvl w:val="1"/>
        <w:rPr>
          <w:rFonts w:ascii="Arial" w:hAnsi="Arial"/>
          <w:b/>
          <w:bCs/>
          <w:iCs/>
          <w:vanish/>
          <w:sz w:val="24"/>
          <w:szCs w:val="28"/>
        </w:rPr>
      </w:pPr>
      <w:bookmarkStart w:id="125" w:name="_Toc335742332"/>
      <w:bookmarkStart w:id="126" w:name="_Toc336344082"/>
      <w:bookmarkStart w:id="127" w:name="_Toc336344199"/>
      <w:bookmarkStart w:id="128" w:name="_Toc336344257"/>
      <w:bookmarkStart w:id="129" w:name="_Toc336344752"/>
      <w:bookmarkStart w:id="130" w:name="_Toc336345019"/>
      <w:bookmarkStart w:id="131" w:name="_Toc336345683"/>
      <w:bookmarkStart w:id="132" w:name="_Toc336353852"/>
      <w:bookmarkStart w:id="133" w:name="_Toc336973936"/>
      <w:bookmarkStart w:id="134" w:name="_Toc337122723"/>
      <w:bookmarkStart w:id="135" w:name="_Toc337123818"/>
      <w:bookmarkStart w:id="136" w:name="_Toc337840010"/>
      <w:bookmarkStart w:id="137" w:name="_Toc174183414"/>
      <w:bookmarkStart w:id="138" w:name="_Toc174435826"/>
      <w:bookmarkStart w:id="139" w:name="_Toc175106853"/>
      <w:bookmarkStart w:id="140" w:name="_Toc179362229"/>
      <w:bookmarkStart w:id="141" w:name="_Toc281573442"/>
      <w:bookmarkEnd w:id="125"/>
      <w:bookmarkEnd w:id="126"/>
      <w:bookmarkEnd w:id="127"/>
      <w:bookmarkEnd w:id="128"/>
      <w:bookmarkEnd w:id="129"/>
      <w:bookmarkEnd w:id="130"/>
      <w:bookmarkEnd w:id="131"/>
      <w:bookmarkEnd w:id="132"/>
      <w:bookmarkEnd w:id="133"/>
      <w:bookmarkEnd w:id="134"/>
      <w:bookmarkEnd w:id="135"/>
      <w:bookmarkEnd w:id="136"/>
    </w:p>
    <w:p w:rsidR="003B42B8" w:rsidRPr="003B42B8" w:rsidRDefault="003B42B8" w:rsidP="003B42B8">
      <w:pPr>
        <w:pStyle w:val="ListParagraph"/>
        <w:keepNext/>
        <w:numPr>
          <w:ilvl w:val="1"/>
          <w:numId w:val="21"/>
        </w:numPr>
        <w:tabs>
          <w:tab w:val="clear" w:pos="990"/>
          <w:tab w:val="left" w:pos="1080"/>
        </w:tabs>
        <w:overflowPunct w:val="0"/>
        <w:autoSpaceDE w:val="0"/>
        <w:autoSpaceDN w:val="0"/>
        <w:adjustRightInd w:val="0"/>
        <w:spacing w:before="240" w:after="120" w:line="320" w:lineRule="atLeast"/>
        <w:ind w:left="1094" w:hanging="547"/>
        <w:textAlignment w:val="baseline"/>
        <w:outlineLvl w:val="1"/>
        <w:rPr>
          <w:rFonts w:ascii="Arial" w:hAnsi="Arial"/>
          <w:b/>
          <w:bCs/>
          <w:iCs/>
          <w:vanish/>
          <w:sz w:val="24"/>
          <w:szCs w:val="28"/>
        </w:rPr>
      </w:pPr>
      <w:bookmarkStart w:id="142" w:name="_Toc335742333"/>
      <w:bookmarkStart w:id="143" w:name="_Toc336344083"/>
      <w:bookmarkStart w:id="144" w:name="_Toc336344200"/>
      <w:bookmarkStart w:id="145" w:name="_Toc336344258"/>
      <w:bookmarkStart w:id="146" w:name="_Toc336344753"/>
      <w:bookmarkStart w:id="147" w:name="_Toc336345020"/>
      <w:bookmarkStart w:id="148" w:name="_Toc336345684"/>
      <w:bookmarkStart w:id="149" w:name="_Toc336353853"/>
      <w:bookmarkStart w:id="150" w:name="_Toc336973937"/>
      <w:bookmarkStart w:id="151" w:name="_Toc337122724"/>
      <w:bookmarkStart w:id="152" w:name="_Toc337123819"/>
      <w:bookmarkStart w:id="153" w:name="_Toc337840011"/>
      <w:bookmarkEnd w:id="142"/>
      <w:bookmarkEnd w:id="143"/>
      <w:bookmarkEnd w:id="144"/>
      <w:bookmarkEnd w:id="145"/>
      <w:bookmarkEnd w:id="146"/>
      <w:bookmarkEnd w:id="147"/>
      <w:bookmarkEnd w:id="148"/>
      <w:bookmarkEnd w:id="149"/>
      <w:bookmarkEnd w:id="150"/>
      <w:bookmarkEnd w:id="151"/>
      <w:bookmarkEnd w:id="152"/>
      <w:bookmarkEnd w:id="153"/>
    </w:p>
    <w:p w:rsidR="007B04C4" w:rsidRDefault="007B04C4" w:rsidP="003B42B8">
      <w:pPr>
        <w:pStyle w:val="Heading2"/>
      </w:pPr>
      <w:bookmarkStart w:id="154" w:name="_Toc337840012"/>
      <w:r>
        <w:t>Procedures for the Collection of Information</w:t>
      </w:r>
      <w:bookmarkEnd w:id="154"/>
    </w:p>
    <w:p w:rsidR="007B04C4" w:rsidRDefault="007B04C4" w:rsidP="007B04C4">
      <w:pPr>
        <w:pStyle w:val="Heading3"/>
      </w:pPr>
      <w:bookmarkStart w:id="155" w:name="_Toc337840013"/>
      <w:r>
        <w:t>Statistical methodology for stratification and sample selection</w:t>
      </w:r>
      <w:bookmarkEnd w:id="155"/>
    </w:p>
    <w:p w:rsidR="007B04C4" w:rsidRDefault="007B04C4" w:rsidP="00EE6B11">
      <w:pPr>
        <w:pStyle w:val="BodyText"/>
      </w:pPr>
      <w:r w:rsidRPr="007B04C4">
        <w:t xml:space="preserve">The BPS:12/14 field test sample will consist of all interviewed and confirmed FTBs from the NPSAS:12 field test and also all potential FTBs who did not respond to the NPSAS:12 field test; no further sampling or subsampling will be needed. The institution and student sampling strata used in the NPSAS:12 field test will be retained for use in analysis. An experiment to test methods for improving response rates and reducing bias </w:t>
      </w:r>
      <w:r w:rsidR="00EE6B11">
        <w:t xml:space="preserve">due to nonresponse </w:t>
      </w:r>
      <w:r w:rsidRPr="007B04C4">
        <w:t xml:space="preserve">is being conducted as a part of the </w:t>
      </w:r>
      <w:r w:rsidR="00EE6B11">
        <w:t>field test</w:t>
      </w:r>
      <w:r w:rsidRPr="007B04C4">
        <w:t>, and random assignment to treatments will be balanced across the NPSAS:12 strata and response status</w:t>
      </w:r>
      <w:r w:rsidR="00EE6B11">
        <w:t>es.</w:t>
      </w:r>
      <w:r w:rsidRPr="007B04C4">
        <w:t xml:space="preserve">  </w:t>
      </w:r>
    </w:p>
    <w:p w:rsidR="007B04C4" w:rsidRDefault="007B04C4" w:rsidP="007B04C4">
      <w:pPr>
        <w:pStyle w:val="Heading3"/>
      </w:pPr>
      <w:bookmarkStart w:id="156" w:name="_Toc337840014"/>
      <w:r>
        <w:t>Estimation procedure</w:t>
      </w:r>
      <w:bookmarkEnd w:id="156"/>
    </w:p>
    <w:p w:rsidR="007B04C4" w:rsidRDefault="007B04C4" w:rsidP="00EE6B11">
      <w:pPr>
        <w:pStyle w:val="BodyText"/>
      </w:pPr>
      <w:r w:rsidRPr="007B04C4">
        <w:t xml:space="preserve">The students in the BPS:12/14 field test were also in the NPSAS:12 field test. Because the NPSAS:12 field test was a probability sample, sampling weights (which are the inverse of the selection probability) are available for each of the students in the NPSAS:12 field test and BPS:12/14 field test. These base weights can be used in </w:t>
      </w:r>
      <w:r w:rsidR="00EE6B11">
        <w:t>analyse</w:t>
      </w:r>
      <w:r w:rsidRPr="007B04C4">
        <w:t>s of the results of the field test experiment. In addition, response weight adjustments will be applied to these base weights, and the response-adjusted weights will be used in the analysis of BPS:12/14 field test interview data.</w:t>
      </w:r>
    </w:p>
    <w:p w:rsidR="003C58F3" w:rsidRDefault="003C58F3" w:rsidP="003C58F3">
      <w:pPr>
        <w:pStyle w:val="Heading3"/>
      </w:pPr>
      <w:bookmarkStart w:id="157" w:name="_Toc337840015"/>
      <w:r>
        <w:t>Degree of accuracy needed for the purpose described in the justification</w:t>
      </w:r>
      <w:bookmarkEnd w:id="157"/>
    </w:p>
    <w:p w:rsidR="003C58F3" w:rsidRDefault="00EE6B11" w:rsidP="00DD1DA0">
      <w:pPr>
        <w:pStyle w:val="BodyText"/>
      </w:pPr>
      <w:r>
        <w:t>One</w:t>
      </w:r>
      <w:r w:rsidR="00F63963" w:rsidRPr="00F63963">
        <w:t xml:space="preserve"> purpose of the field test experiments </w:t>
      </w:r>
      <w:r w:rsidR="00F63963">
        <w:t xml:space="preserve">described in section 3 is </w:t>
      </w:r>
      <w:r w:rsidR="00F63963" w:rsidRPr="00F63963">
        <w:t xml:space="preserve">to improve response rates and reduce nonresponse bias. The sample will include interviewed FTBs from the NPSAS:12 field test and </w:t>
      </w:r>
      <w:r>
        <w:t xml:space="preserve">interview </w:t>
      </w:r>
      <w:r w:rsidR="00F63963" w:rsidRPr="00F63963">
        <w:t>non</w:t>
      </w:r>
      <w:r>
        <w:t>respondents who were potential</w:t>
      </w:r>
      <w:r w:rsidR="00F63963" w:rsidRPr="00F63963">
        <w:t xml:space="preserve"> FTBs. Table </w:t>
      </w:r>
      <w:r w:rsidR="00F63963">
        <w:t>5</w:t>
      </w:r>
      <w:r w:rsidR="00DD1DA0">
        <w:t>,</w:t>
      </w:r>
      <w:r w:rsidR="00F63963">
        <w:t xml:space="preserve"> </w:t>
      </w:r>
      <w:r w:rsidR="00DD1DA0">
        <w:t xml:space="preserve">at the end of this section, </w:t>
      </w:r>
      <w:r w:rsidR="00F63963" w:rsidRPr="00F63963">
        <w:t xml:space="preserve">shows that the </w:t>
      </w:r>
      <w:r w:rsidR="00F63963" w:rsidRPr="00F63963">
        <w:lastRenderedPageBreak/>
        <w:t>dete</w:t>
      </w:r>
      <w:r>
        <w:t>ctable differences range from 3 percent to 20 percent</w:t>
      </w:r>
      <w:r w:rsidR="00F63963" w:rsidRPr="00F63963">
        <w:t xml:space="preserve"> for the hypotheses being tested using the field test data.</w:t>
      </w:r>
    </w:p>
    <w:p w:rsidR="003C58F3" w:rsidRDefault="003C58F3" w:rsidP="003C58F3">
      <w:pPr>
        <w:pStyle w:val="Heading3"/>
      </w:pPr>
      <w:bookmarkStart w:id="158" w:name="_Toc337840016"/>
      <w:r>
        <w:t>Unusual problems requiring specialized sample procedures</w:t>
      </w:r>
      <w:bookmarkEnd w:id="158"/>
    </w:p>
    <w:p w:rsidR="003C58F3" w:rsidRDefault="003C58F3" w:rsidP="007B04C4">
      <w:pPr>
        <w:pStyle w:val="BodyText"/>
      </w:pPr>
      <w:r>
        <w:t xml:space="preserve">No special problems requiring specialized sample procedures have been identified. </w:t>
      </w:r>
    </w:p>
    <w:p w:rsidR="003C58F3" w:rsidRDefault="003C58F3" w:rsidP="003C58F3">
      <w:pPr>
        <w:pStyle w:val="Heading3"/>
      </w:pPr>
      <w:bookmarkStart w:id="159" w:name="_Toc337840017"/>
      <w:r>
        <w:t>Any use of periodic (less frequent than annual) data collection cycles to reduce the burden</w:t>
      </w:r>
      <w:bookmarkEnd w:id="159"/>
    </w:p>
    <w:p w:rsidR="003C58F3" w:rsidRDefault="003C58F3" w:rsidP="00F63963">
      <w:pPr>
        <w:pStyle w:val="BodyText"/>
      </w:pPr>
      <w:r>
        <w:t>BPS</w:t>
      </w:r>
      <w:r w:rsidR="00F63963">
        <w:t xml:space="preserve"> interviews are conducted no more frequently than every two years.</w:t>
      </w:r>
      <w:r>
        <w:t xml:space="preserve"> </w:t>
      </w:r>
    </w:p>
    <w:p w:rsidR="00BE12E2" w:rsidRDefault="009A40B5" w:rsidP="003B42B8">
      <w:pPr>
        <w:pStyle w:val="Heading2"/>
      </w:pPr>
      <w:bookmarkStart w:id="160" w:name="_Toc337840018"/>
      <w:r w:rsidRPr="00DB3D8E">
        <w:t>Methods for Maximizing Response Rates</w:t>
      </w:r>
      <w:bookmarkEnd w:id="137"/>
      <w:bookmarkEnd w:id="138"/>
      <w:bookmarkEnd w:id="139"/>
      <w:bookmarkEnd w:id="140"/>
      <w:bookmarkEnd w:id="141"/>
      <w:bookmarkEnd w:id="160"/>
      <w:r w:rsidR="00522427">
        <w:t xml:space="preserve"> </w:t>
      </w:r>
    </w:p>
    <w:p w:rsidR="006B00AE" w:rsidRDefault="005B7B5B" w:rsidP="003B42B8">
      <w:pPr>
        <w:pStyle w:val="Heading3"/>
      </w:pPr>
      <w:bookmarkStart w:id="161" w:name="_Toc337840019"/>
      <w:r>
        <w:t>Locating</w:t>
      </w:r>
      <w:bookmarkEnd w:id="161"/>
    </w:p>
    <w:p w:rsidR="003B42B8" w:rsidRDefault="00A157CB" w:rsidP="00A157CB">
      <w:pPr>
        <w:pStyle w:val="BodyTextnoindent0"/>
        <w:ind w:firstLine="720"/>
      </w:pPr>
      <w:bookmarkStart w:id="162" w:name="_Toc281389160"/>
      <w:bookmarkStart w:id="163" w:name="_Toc281391828"/>
      <w:bookmarkStart w:id="164" w:name="_Toc281392153"/>
      <w:bookmarkStart w:id="165" w:name="_Toc281400615"/>
      <w:bookmarkStart w:id="166" w:name="_Toc281402668"/>
      <w:bookmarkStart w:id="167" w:name="_Toc281405364"/>
      <w:bookmarkStart w:id="168" w:name="_Toc281516544"/>
      <w:bookmarkStart w:id="169" w:name="_Toc281389162"/>
      <w:bookmarkStart w:id="170" w:name="_Toc281391830"/>
      <w:bookmarkStart w:id="171" w:name="_Toc281392155"/>
      <w:bookmarkStart w:id="172" w:name="_Toc281400617"/>
      <w:bookmarkStart w:id="173" w:name="_Toc281402670"/>
      <w:bookmarkStart w:id="174" w:name="_Toc281405366"/>
      <w:bookmarkStart w:id="175" w:name="_Toc281516546"/>
      <w:bookmarkStart w:id="176" w:name="_Toc281573446"/>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0F5C9A">
        <w:t>The response rate for the B</w:t>
      </w:r>
      <w:r>
        <w:t>PS:12/14</w:t>
      </w:r>
      <w:r w:rsidRPr="000F5C9A">
        <w:t xml:space="preserve"> data collection is a function of success in two basic activities: locating the sample members and gaining their cooperation. </w:t>
      </w:r>
      <w:r w:rsidR="003B42B8">
        <w:t xml:space="preserve">Several locating methods will be used to find and collect up-to-date contact information for the BPS:12/14 sample. During </w:t>
      </w:r>
      <w:r w:rsidR="008B6503">
        <w:t>BPS</w:t>
      </w:r>
      <w:r w:rsidR="003B42B8">
        <w:t>:</w:t>
      </w:r>
      <w:r w:rsidR="00583EE0">
        <w:t>12/</w:t>
      </w:r>
      <w:r w:rsidR="003B42B8">
        <w:t>1</w:t>
      </w:r>
      <w:r w:rsidR="008B6503">
        <w:t>4</w:t>
      </w:r>
      <w:r w:rsidR="003B42B8">
        <w:t>, batch searches of national databases will be conducted prior to the start of data collection. Follow-up locating methods will be employed</w:t>
      </w:r>
      <w:r w:rsidR="003B42B8" w:rsidDel="004B4DBB">
        <w:t xml:space="preserve"> </w:t>
      </w:r>
      <w:r w:rsidR="003B42B8">
        <w:t>for those sample members not found after the start of data collection.</w:t>
      </w:r>
      <w:r w:rsidR="001157A9">
        <w:t xml:space="preserve">  </w:t>
      </w:r>
      <w:r w:rsidR="003B42B8" w:rsidRPr="000F5C9A">
        <w:t xml:space="preserve">The methods </w:t>
      </w:r>
      <w:r>
        <w:t xml:space="preserve">chosen </w:t>
      </w:r>
      <w:r w:rsidR="003B42B8" w:rsidRPr="000F5C9A">
        <w:t xml:space="preserve">to locate sample members are based on the experience gained from the </w:t>
      </w:r>
      <w:r w:rsidR="003B42B8">
        <w:t xml:space="preserve">NPSAS:12 field test and full-scale studies, </w:t>
      </w:r>
      <w:r w:rsidR="003B42B8" w:rsidRPr="000F5C9A">
        <w:t>the B&amp;B:08/12 field test</w:t>
      </w:r>
      <w:r w:rsidR="003B42B8">
        <w:t xml:space="preserve"> and full-scale studies</w:t>
      </w:r>
      <w:r w:rsidR="003B42B8" w:rsidRPr="000F5C9A">
        <w:t xml:space="preserve">, and other recent postsecondary education studies. </w:t>
      </w:r>
    </w:p>
    <w:p w:rsidR="003B42B8" w:rsidRPr="000F5C9A" w:rsidRDefault="003B42B8" w:rsidP="00C441CB">
      <w:pPr>
        <w:pStyle w:val="BodyText"/>
      </w:pPr>
      <w:r w:rsidRPr="000F5C9A">
        <w:t xml:space="preserve">Many factors will affect </w:t>
      </w:r>
      <w:r w:rsidR="00C441CB">
        <w:t xml:space="preserve">the </w:t>
      </w:r>
      <w:r w:rsidRPr="000F5C9A">
        <w:t xml:space="preserve">ability to successfully locate and survey sample members for </w:t>
      </w:r>
      <w:r>
        <w:t>BPS:12/14</w:t>
      </w:r>
      <w:r w:rsidRPr="000F5C9A">
        <w:t xml:space="preserve">. Among them are the availability, completeness, and accuracy of the locating data </w:t>
      </w:r>
      <w:r w:rsidR="00067714">
        <w:t xml:space="preserve">collected in the </w:t>
      </w:r>
      <w:r w:rsidRPr="000F5C9A">
        <w:t>NPSAS:</w:t>
      </w:r>
      <w:r>
        <w:t>12</w:t>
      </w:r>
      <w:r w:rsidR="00067714">
        <w:t xml:space="preserve"> field test interview and institution records</w:t>
      </w:r>
      <w:r w:rsidRPr="000F5C9A">
        <w:t xml:space="preserve">. </w:t>
      </w:r>
      <w:r w:rsidR="00C441CB">
        <w:t xml:space="preserve">The </w:t>
      </w:r>
      <w:r w:rsidRPr="000F5C9A">
        <w:t xml:space="preserve">locator database includes critical tracing information for nearly all sample members, including address information for their previous residences, telephone numbers, and e-mail addresses. This database allows telephone interviewers and tracers to have ready access to all the contact information available for </w:t>
      </w:r>
      <w:r>
        <w:t>BPS:12/14</w:t>
      </w:r>
      <w:r w:rsidRPr="000F5C9A">
        <w:t xml:space="preserve"> sample members and to new leads developed through locating efforts. </w:t>
      </w:r>
    </w:p>
    <w:p w:rsidR="003B42B8" w:rsidRPr="000F5C9A" w:rsidRDefault="003B42B8" w:rsidP="00180AF6">
      <w:pPr>
        <w:pStyle w:val="BodyText"/>
        <w:rPr>
          <w:color w:val="000000"/>
        </w:rPr>
      </w:pPr>
      <w:r w:rsidRPr="000F5C9A">
        <w:t xml:space="preserve">To achieve the desired </w:t>
      </w:r>
      <w:r w:rsidRPr="000F5C9A">
        <w:rPr>
          <w:color w:val="000000"/>
        </w:rPr>
        <w:t xml:space="preserve">locating and </w:t>
      </w:r>
      <w:r w:rsidRPr="000F5C9A">
        <w:t xml:space="preserve">response rates, </w:t>
      </w:r>
      <w:r w:rsidR="00180AF6">
        <w:t xml:space="preserve">RTI </w:t>
      </w:r>
      <w:r w:rsidRPr="000F5C9A">
        <w:t>will use a</w:t>
      </w:r>
      <w:r w:rsidRPr="000F5C9A">
        <w:rPr>
          <w:color w:val="000000"/>
        </w:rPr>
        <w:t xml:space="preserve"> multistage</w:t>
      </w:r>
      <w:r w:rsidRPr="000F5C9A">
        <w:t xml:space="preserve"> locating approach that capitalize</w:t>
      </w:r>
      <w:r w:rsidR="00067714">
        <w:t>s</w:t>
      </w:r>
      <w:r w:rsidRPr="000F5C9A">
        <w:t xml:space="preserve"> on available data for the </w:t>
      </w:r>
      <w:r>
        <w:t>BPS:12/14</w:t>
      </w:r>
      <w:r w:rsidR="008B6503">
        <w:t xml:space="preserve"> sample</w:t>
      </w:r>
      <w:r w:rsidRPr="000F5C9A">
        <w:t>. RTI</w:t>
      </w:r>
      <w:r w:rsidRPr="000F5C9A">
        <w:rPr>
          <w:color w:val="000000"/>
        </w:rPr>
        <w:t>’</w:t>
      </w:r>
      <w:r w:rsidRPr="000F5C9A">
        <w:t xml:space="preserve">s proposed locating approach </w:t>
      </w:r>
      <w:r w:rsidRPr="000F5C9A">
        <w:rPr>
          <w:color w:val="000000"/>
        </w:rPr>
        <w:t xml:space="preserve">includes five </w:t>
      </w:r>
      <w:r w:rsidRPr="000F5C9A">
        <w:t>basic stages</w:t>
      </w:r>
      <w:r w:rsidRPr="000F5C9A">
        <w:rPr>
          <w:color w:val="000000"/>
        </w:rPr>
        <w:t xml:space="preserve">: </w:t>
      </w:r>
    </w:p>
    <w:p w:rsidR="003B42B8" w:rsidRPr="000F5C9A" w:rsidRDefault="003B42B8" w:rsidP="003B42B8">
      <w:pPr>
        <w:pStyle w:val="ListNumber"/>
        <w:tabs>
          <w:tab w:val="clear" w:pos="360"/>
          <w:tab w:val="num" w:pos="1080"/>
        </w:tabs>
        <w:spacing w:after="120"/>
        <w:ind w:left="1080"/>
        <w:contextualSpacing w:val="0"/>
      </w:pPr>
      <w:r w:rsidRPr="000F5C9A">
        <w:rPr>
          <w:b/>
          <w:bCs/>
          <w:color w:val="000000"/>
        </w:rPr>
        <w:t xml:space="preserve">Advance Tracing </w:t>
      </w:r>
      <w:r w:rsidRPr="000F5C9A">
        <w:t xml:space="preserve">includes batch </w:t>
      </w:r>
      <w:r w:rsidRPr="000F5C9A">
        <w:rPr>
          <w:color w:val="000000"/>
        </w:rPr>
        <w:t>database</w:t>
      </w:r>
      <w:r w:rsidRPr="000F5C9A">
        <w:t xml:space="preserve"> searches, </w:t>
      </w:r>
      <w:r w:rsidRPr="000F5C9A">
        <w:rPr>
          <w:color w:val="000000"/>
        </w:rPr>
        <w:t>contact information</w:t>
      </w:r>
      <w:r w:rsidRPr="000F5C9A">
        <w:t xml:space="preserve"> updates</w:t>
      </w:r>
      <w:r w:rsidRPr="000F5C9A">
        <w:rPr>
          <w:color w:val="000000"/>
        </w:rPr>
        <w:t>,</w:t>
      </w:r>
      <w:r w:rsidRPr="000F5C9A">
        <w:t xml:space="preserve"> and advance intensive tracing conducted as necessary.</w:t>
      </w:r>
    </w:p>
    <w:p w:rsidR="003B42B8" w:rsidRPr="000F5C9A" w:rsidRDefault="003B42B8" w:rsidP="003B42B8">
      <w:pPr>
        <w:pStyle w:val="ListNumber"/>
        <w:tabs>
          <w:tab w:val="clear" w:pos="360"/>
          <w:tab w:val="num" w:pos="1080"/>
        </w:tabs>
        <w:spacing w:after="120"/>
        <w:ind w:left="1080"/>
        <w:contextualSpacing w:val="0"/>
      </w:pPr>
      <w:r w:rsidRPr="000F5C9A">
        <w:rPr>
          <w:b/>
          <w:bCs/>
        </w:rPr>
        <w:t xml:space="preserve">Telephone Locating and Interviewing </w:t>
      </w:r>
      <w:r w:rsidRPr="000F5C9A">
        <w:t xml:space="preserve">includes calling all available telephone numbers and following up on leads provided by parents and other contacts. </w:t>
      </w:r>
    </w:p>
    <w:p w:rsidR="003B42B8" w:rsidRPr="000F5C9A" w:rsidRDefault="003B42B8" w:rsidP="003B42B8">
      <w:pPr>
        <w:pStyle w:val="ListNumber"/>
        <w:tabs>
          <w:tab w:val="clear" w:pos="360"/>
          <w:tab w:val="num" w:pos="1080"/>
        </w:tabs>
        <w:spacing w:after="120"/>
        <w:ind w:left="1080"/>
        <w:contextualSpacing w:val="0"/>
      </w:pPr>
      <w:r w:rsidRPr="000F5C9A">
        <w:rPr>
          <w:b/>
          <w:bCs/>
        </w:rPr>
        <w:t xml:space="preserve">Pre-Intensive Batch Tracing </w:t>
      </w:r>
      <w:r w:rsidRPr="000F5C9A">
        <w:t>consists of the Premium Phone searches that will be conducted between the telephone locating and interviewing stage and the intensive tracing stage.</w:t>
      </w:r>
    </w:p>
    <w:p w:rsidR="003B42B8" w:rsidRPr="000F5C9A" w:rsidRDefault="003B42B8" w:rsidP="003B42B8">
      <w:pPr>
        <w:pStyle w:val="ListNumber"/>
        <w:tabs>
          <w:tab w:val="clear" w:pos="360"/>
          <w:tab w:val="num" w:pos="1080"/>
        </w:tabs>
        <w:spacing w:after="120"/>
        <w:ind w:left="1080"/>
        <w:contextualSpacing w:val="0"/>
      </w:pPr>
      <w:r w:rsidRPr="000F5C9A">
        <w:rPr>
          <w:b/>
          <w:bCs/>
        </w:rPr>
        <w:t xml:space="preserve">Intensive Tracing </w:t>
      </w:r>
      <w:r w:rsidRPr="000F5C9A">
        <w:t xml:space="preserve">consists of tracers checking all telephone numbers </w:t>
      </w:r>
      <w:r w:rsidRPr="000F5C9A">
        <w:rPr>
          <w:color w:val="000000"/>
        </w:rPr>
        <w:t>and conducting credit bureau database searches after all current telephone numbers have been exhausted</w:t>
      </w:r>
      <w:r w:rsidRPr="000F5C9A">
        <w:t xml:space="preserve">. </w:t>
      </w:r>
    </w:p>
    <w:p w:rsidR="003B42B8" w:rsidRPr="000F5C9A" w:rsidRDefault="003B42B8" w:rsidP="003B42B8">
      <w:pPr>
        <w:pStyle w:val="ListNumber"/>
        <w:tabs>
          <w:tab w:val="clear" w:pos="360"/>
          <w:tab w:val="num" w:pos="1080"/>
        </w:tabs>
        <w:spacing w:after="120"/>
        <w:ind w:left="1080"/>
        <w:contextualSpacing w:val="0"/>
      </w:pPr>
      <w:r w:rsidRPr="000F5C9A">
        <w:rPr>
          <w:b/>
          <w:bCs/>
        </w:rPr>
        <w:t xml:space="preserve">Other Locating Activities </w:t>
      </w:r>
      <w:r w:rsidRPr="000F5C9A">
        <w:t>will take place as needed and may include use of social networking sites and additional tracing resources that are not part of the previous stages.</w:t>
      </w:r>
    </w:p>
    <w:p w:rsidR="003B42B8" w:rsidRDefault="003B42B8" w:rsidP="00C441CB">
      <w:pPr>
        <w:pStyle w:val="BodyTextnoindent0"/>
        <w:rPr>
          <w:color w:val="000000"/>
        </w:rPr>
      </w:pPr>
      <w:r w:rsidRPr="000F5C9A">
        <w:rPr>
          <w:color w:val="000000"/>
        </w:rPr>
        <w:lastRenderedPageBreak/>
        <w:t xml:space="preserve">The steps </w:t>
      </w:r>
      <w:r w:rsidRPr="000F5C9A">
        <w:t xml:space="preserve">described in </w:t>
      </w:r>
      <w:r w:rsidR="00C441CB">
        <w:t xml:space="preserve">the </w:t>
      </w:r>
      <w:r w:rsidRPr="000F5C9A">
        <w:t xml:space="preserve">tracing plan are designed to </w:t>
      </w:r>
      <w:r w:rsidRPr="000F5C9A">
        <w:rPr>
          <w:color w:val="000000"/>
        </w:rPr>
        <w:t>locate</w:t>
      </w:r>
      <w:r w:rsidRPr="000F5C9A">
        <w:t xml:space="preserve"> the maximum number of </w:t>
      </w:r>
      <w:r w:rsidRPr="000F5C9A">
        <w:rPr>
          <w:color w:val="000000"/>
        </w:rPr>
        <w:t>sample members</w:t>
      </w:r>
      <w:r w:rsidRPr="000F5C9A">
        <w:t xml:space="preserve"> with the least expense</w:t>
      </w:r>
      <w:r w:rsidRPr="000F5C9A">
        <w:rPr>
          <w:color w:val="000000"/>
        </w:rPr>
        <w:t xml:space="preserve">. </w:t>
      </w:r>
      <w:r w:rsidRPr="000F5C9A">
        <w:t>The most cost-effective steps will be taken first</w:t>
      </w:r>
      <w:r w:rsidRPr="000F5C9A">
        <w:rPr>
          <w:color w:val="000000"/>
        </w:rPr>
        <w:t xml:space="preserve"> so as to minimize</w:t>
      </w:r>
      <w:r w:rsidRPr="000F5C9A">
        <w:t xml:space="preserve"> the number of cases </w:t>
      </w:r>
      <w:r w:rsidRPr="000F5C9A">
        <w:rPr>
          <w:color w:val="000000"/>
        </w:rPr>
        <w:t>requiring</w:t>
      </w:r>
      <w:r w:rsidRPr="000F5C9A">
        <w:t xml:space="preserve"> more costly intensive tracing efforts.</w:t>
      </w:r>
      <w:r w:rsidRPr="000F5C9A">
        <w:rPr>
          <w:color w:val="000000"/>
        </w:rPr>
        <w:t xml:space="preserve"> </w:t>
      </w:r>
    </w:p>
    <w:p w:rsidR="00025C8F" w:rsidRPr="00025C8F" w:rsidRDefault="00025C8F" w:rsidP="00EE6B11">
      <w:pPr>
        <w:pStyle w:val="BodyTextnoindent0"/>
        <w:rPr>
          <w:iCs/>
        </w:rPr>
      </w:pPr>
      <w:r>
        <w:rPr>
          <w:color w:val="000000"/>
        </w:rPr>
        <w:tab/>
        <w:t>BPS:12/14 will a</w:t>
      </w:r>
      <w:r w:rsidR="00067714">
        <w:rPr>
          <w:color w:val="000000"/>
        </w:rPr>
        <w:t xml:space="preserve">lso conduct an address update (panel maintenance) </w:t>
      </w:r>
      <w:r>
        <w:rPr>
          <w:color w:val="000000"/>
        </w:rPr>
        <w:t>procedure t</w:t>
      </w:r>
      <w:r w:rsidRPr="00025C8F">
        <w:rPr>
          <w:iCs/>
        </w:rPr>
        <w:t xml:space="preserve">o encourage sample members to update their contact information prior to the start of data collection. All cases will be offered an incentive of $10 to update their contact information via the study website prior to the start of data collection (approximately </w:t>
      </w:r>
      <w:r w:rsidR="00D372A3">
        <w:rPr>
          <w:iCs/>
        </w:rPr>
        <w:t>2</w:t>
      </w:r>
      <w:r w:rsidRPr="00025C8F">
        <w:rPr>
          <w:iCs/>
        </w:rPr>
        <w:t>-</w:t>
      </w:r>
      <w:r w:rsidR="00D372A3">
        <w:rPr>
          <w:iCs/>
        </w:rPr>
        <w:t>3</w:t>
      </w:r>
      <w:r w:rsidRPr="00025C8F">
        <w:rPr>
          <w:iCs/>
        </w:rPr>
        <w:t xml:space="preserve"> weeks before the 2013 </w:t>
      </w:r>
      <w:r w:rsidR="00D372A3">
        <w:rPr>
          <w:iCs/>
        </w:rPr>
        <w:t xml:space="preserve">field test </w:t>
      </w:r>
      <w:r w:rsidRPr="00025C8F">
        <w:rPr>
          <w:iCs/>
        </w:rPr>
        <w:t>data collection begins</w:t>
      </w:r>
      <w:r w:rsidR="00067714">
        <w:rPr>
          <w:iCs/>
        </w:rPr>
        <w:t xml:space="preserve">, </w:t>
      </w:r>
      <w:r>
        <w:rPr>
          <w:iCs/>
        </w:rPr>
        <w:t>upon OMB approval</w:t>
      </w:r>
      <w:r w:rsidR="00067714">
        <w:rPr>
          <w:iCs/>
        </w:rPr>
        <w:t>)</w:t>
      </w:r>
      <w:r>
        <w:rPr>
          <w:iCs/>
        </w:rPr>
        <w:t xml:space="preserve">.  </w:t>
      </w:r>
      <w:r w:rsidR="00D372A3">
        <w:rPr>
          <w:iCs/>
        </w:rPr>
        <w:t>W</w:t>
      </w:r>
      <w:r>
        <w:rPr>
          <w:iCs/>
        </w:rPr>
        <w:t xml:space="preserve">e are also requesting approval to conduct </w:t>
      </w:r>
      <w:r w:rsidR="00D372A3">
        <w:rPr>
          <w:iCs/>
        </w:rPr>
        <w:t xml:space="preserve">full scale </w:t>
      </w:r>
      <w:r>
        <w:rPr>
          <w:iCs/>
        </w:rPr>
        <w:t>address updates</w:t>
      </w:r>
      <w:r w:rsidR="00067714">
        <w:rPr>
          <w:iCs/>
        </w:rPr>
        <w:t xml:space="preserve"> since </w:t>
      </w:r>
      <w:r w:rsidR="000B3FC2">
        <w:rPr>
          <w:iCs/>
        </w:rPr>
        <w:t xml:space="preserve">little time </w:t>
      </w:r>
      <w:r w:rsidR="00067714">
        <w:rPr>
          <w:iCs/>
        </w:rPr>
        <w:t xml:space="preserve">will be available </w:t>
      </w:r>
      <w:r w:rsidR="000B3FC2">
        <w:rPr>
          <w:iCs/>
        </w:rPr>
        <w:t xml:space="preserve">to conduct address update </w:t>
      </w:r>
      <w:r w:rsidR="00067714">
        <w:rPr>
          <w:iCs/>
        </w:rPr>
        <w:t xml:space="preserve">activities once OMB clearance is received in 2014, </w:t>
      </w:r>
      <w:r w:rsidR="009F6E66">
        <w:rPr>
          <w:iCs/>
        </w:rPr>
        <w:t>in advance of</w:t>
      </w:r>
      <w:r w:rsidR="000B3FC2">
        <w:rPr>
          <w:iCs/>
        </w:rPr>
        <w:t xml:space="preserve"> </w:t>
      </w:r>
      <w:r w:rsidR="00067714">
        <w:rPr>
          <w:iCs/>
        </w:rPr>
        <w:t xml:space="preserve">the start of </w:t>
      </w:r>
      <w:r w:rsidR="000B3FC2">
        <w:rPr>
          <w:iCs/>
        </w:rPr>
        <w:t xml:space="preserve">data collection. </w:t>
      </w:r>
      <w:r>
        <w:rPr>
          <w:iCs/>
        </w:rPr>
        <w:t xml:space="preserve">Receiving approval </w:t>
      </w:r>
      <w:r w:rsidR="00067714">
        <w:rPr>
          <w:iCs/>
        </w:rPr>
        <w:t xml:space="preserve">to conduct </w:t>
      </w:r>
      <w:r>
        <w:rPr>
          <w:iCs/>
        </w:rPr>
        <w:t xml:space="preserve">full scale </w:t>
      </w:r>
      <w:r w:rsidR="00067714">
        <w:rPr>
          <w:iCs/>
        </w:rPr>
        <w:t xml:space="preserve">panel maintenance </w:t>
      </w:r>
      <w:r w:rsidR="00D372A3">
        <w:rPr>
          <w:iCs/>
        </w:rPr>
        <w:t>in conjunction with this field test OMB package</w:t>
      </w:r>
      <w:r>
        <w:rPr>
          <w:iCs/>
        </w:rPr>
        <w:t xml:space="preserve"> will enable the address update activity to take place </w:t>
      </w:r>
      <w:r w:rsidR="000B3FC2">
        <w:rPr>
          <w:iCs/>
        </w:rPr>
        <w:t>approximately two months before data collection begins</w:t>
      </w:r>
      <w:r>
        <w:rPr>
          <w:iCs/>
        </w:rPr>
        <w:t xml:space="preserve">. </w:t>
      </w:r>
    </w:p>
    <w:p w:rsidR="003B42B8" w:rsidRDefault="003B42B8" w:rsidP="003B42B8">
      <w:pPr>
        <w:pStyle w:val="Heading3"/>
      </w:pPr>
      <w:bookmarkStart w:id="177" w:name="_Toc281573444"/>
      <w:bookmarkStart w:id="178" w:name="_Toc337840020"/>
      <w:r w:rsidRPr="00DB3D8E">
        <w:t>Interviewing</w:t>
      </w:r>
      <w:bookmarkEnd w:id="177"/>
      <w:r>
        <w:t xml:space="preserve"> Procedures</w:t>
      </w:r>
      <w:bookmarkEnd w:id="178"/>
    </w:p>
    <w:p w:rsidR="008013E1" w:rsidRDefault="008013E1" w:rsidP="003070E3">
      <w:pPr>
        <w:pStyle w:val="BodyTextnoindent0"/>
        <w:ind w:firstLine="720"/>
      </w:pPr>
      <w:r>
        <w:rPr>
          <w:b/>
          <w:bCs/>
        </w:rPr>
        <w:t>Telephone interviewer t</w:t>
      </w:r>
      <w:r w:rsidRPr="004E27F9">
        <w:rPr>
          <w:b/>
          <w:bCs/>
        </w:rPr>
        <w:t>raining procedures.</w:t>
      </w:r>
      <w:r>
        <w:t xml:space="preserve"> </w:t>
      </w:r>
      <w:r w:rsidRPr="00DB3D8E">
        <w:t>Training for individuals working in survey data collection will include critical quality control elements. Contractor staff with experience in training interviewers will prepare the B</w:t>
      </w:r>
      <w:r>
        <w:t>PS:12/14</w:t>
      </w:r>
      <w:r w:rsidRPr="00DB3D8E">
        <w:t xml:space="preserve"> Telephone Interviewer Manual, which will provide detailed coverage of the background and purpose of B</w:t>
      </w:r>
      <w:r>
        <w:t>PS</w:t>
      </w:r>
      <w:r w:rsidRPr="00DB3D8E">
        <w:t xml:space="preserve">, sample design, </w:t>
      </w:r>
      <w:r w:rsidR="003070E3">
        <w:t xml:space="preserve">the </w:t>
      </w:r>
      <w:r w:rsidRPr="00DB3D8E">
        <w:t xml:space="preserve">questionnaire, and procedures for the telephone interview. </w:t>
      </w:r>
      <w:r w:rsidR="003070E3">
        <w:t xml:space="preserve">The </w:t>
      </w:r>
      <w:r w:rsidRPr="00DB3D8E">
        <w:t xml:space="preserve">manual will </w:t>
      </w:r>
      <w:r w:rsidR="003070E3">
        <w:t xml:space="preserve">also serve </w:t>
      </w:r>
      <w:r w:rsidRPr="00DB3D8E">
        <w:t xml:space="preserve">as a reference </w:t>
      </w:r>
      <w:r w:rsidR="003070E3">
        <w:t>throughout data collection</w:t>
      </w:r>
      <w:r w:rsidRPr="00DB3D8E">
        <w:t>. Training staff will prepare training exercises, mock interviews (specially constructed to highlight the potential of definitional and response problems), and other training aids.</w:t>
      </w:r>
    </w:p>
    <w:p w:rsidR="008013E1" w:rsidRPr="00DB3D8E" w:rsidRDefault="008013E1" w:rsidP="00240A6F">
      <w:pPr>
        <w:pStyle w:val="BodyTextnoindent0"/>
        <w:ind w:firstLine="720"/>
      </w:pPr>
      <w:r w:rsidRPr="004E27F9">
        <w:rPr>
          <w:b/>
          <w:bCs/>
        </w:rPr>
        <w:t>Interviews.</w:t>
      </w:r>
      <w:r>
        <w:t xml:space="preserve"> I</w:t>
      </w:r>
      <w:r w:rsidRPr="00DB3D8E">
        <w:t>nterviews will be conducted using a single web-based survey instrument for self-administered</w:t>
      </w:r>
      <w:r>
        <w:t xml:space="preserve"> and</w:t>
      </w:r>
      <w:r w:rsidRPr="00DB3D8E">
        <w:t xml:space="preserve"> telephone data collection. The data collection activities will be accomplished through the Case Management System (CMS), which is equipped with the following capabilities:</w:t>
      </w:r>
    </w:p>
    <w:p w:rsidR="008013E1" w:rsidRPr="00DB3D8E" w:rsidRDefault="008013E1" w:rsidP="008013E1">
      <w:pPr>
        <w:pStyle w:val="bulletround"/>
        <w:tabs>
          <w:tab w:val="clear" w:pos="1080"/>
        </w:tabs>
        <w:spacing w:line="320" w:lineRule="atLeast"/>
        <w:rPr>
          <w:rFonts w:cs="Times New Roman"/>
        </w:rPr>
      </w:pPr>
      <w:r w:rsidRPr="00DB3D8E">
        <w:rPr>
          <w:rFonts w:cs="Times New Roman"/>
          <w:szCs w:val="24"/>
        </w:rPr>
        <w:t>online access</w:t>
      </w:r>
      <w:r w:rsidRPr="00DB3D8E">
        <w:rPr>
          <w:rFonts w:cs="Times New Roman"/>
        </w:rPr>
        <w:t xml:space="preserve"> to locating information and histories of locating efforts for each case;</w:t>
      </w:r>
    </w:p>
    <w:p w:rsidR="008013E1" w:rsidRPr="00DB3D8E" w:rsidRDefault="008013E1" w:rsidP="008013E1">
      <w:pPr>
        <w:pStyle w:val="bulletround"/>
        <w:tabs>
          <w:tab w:val="clear" w:pos="1080"/>
        </w:tabs>
        <w:spacing w:line="320" w:lineRule="atLeast"/>
        <w:rPr>
          <w:rFonts w:cs="Times New Roman"/>
        </w:rPr>
      </w:pPr>
      <w:r w:rsidRPr="00DB3D8E">
        <w:rPr>
          <w:rFonts w:cs="Times New Roman"/>
        </w:rPr>
        <w:t xml:space="preserve">questionnaire administration module with </w:t>
      </w:r>
      <w:r>
        <w:rPr>
          <w:rFonts w:cs="Times New Roman"/>
        </w:rPr>
        <w:t xml:space="preserve">input validation </w:t>
      </w:r>
      <w:r w:rsidRPr="00DB3D8E">
        <w:rPr>
          <w:rFonts w:cs="Times New Roman"/>
        </w:rPr>
        <w:t>capabilities (i.e., editing as information is obtained from respondents);</w:t>
      </w:r>
    </w:p>
    <w:p w:rsidR="008013E1" w:rsidRPr="00DB3D8E" w:rsidRDefault="008013E1" w:rsidP="008013E1">
      <w:pPr>
        <w:pStyle w:val="bulletround"/>
        <w:tabs>
          <w:tab w:val="clear" w:pos="1080"/>
        </w:tabs>
        <w:spacing w:line="320" w:lineRule="atLeast"/>
        <w:rPr>
          <w:rFonts w:cs="Times New Roman"/>
        </w:rPr>
      </w:pPr>
      <w:r w:rsidRPr="00DB3D8E">
        <w:rPr>
          <w:rFonts w:cs="Times New Roman"/>
        </w:rPr>
        <w:t xml:space="preserve">sample management module for tracking case progress and status; and </w:t>
      </w:r>
    </w:p>
    <w:p w:rsidR="008013E1" w:rsidRPr="00DB3D8E" w:rsidRDefault="008013E1" w:rsidP="008013E1">
      <w:pPr>
        <w:pStyle w:val="bulletround"/>
        <w:tabs>
          <w:tab w:val="clear" w:pos="1080"/>
        </w:tabs>
        <w:spacing w:line="320" w:lineRule="atLeast"/>
        <w:rPr>
          <w:rFonts w:cs="Times New Roman"/>
        </w:rPr>
      </w:pPr>
      <w:r w:rsidRPr="00DB3D8E">
        <w:rPr>
          <w:rFonts w:cs="Times New Roman"/>
        </w:rPr>
        <w:t>automated scheduling module, which delivers cases to interviewers and incorporates the following features:</w:t>
      </w:r>
    </w:p>
    <w:p w:rsidR="008013E1" w:rsidRPr="00DB3D8E" w:rsidRDefault="008013E1" w:rsidP="008013E1">
      <w:pPr>
        <w:pStyle w:val="bulletround"/>
        <w:numPr>
          <w:ilvl w:val="1"/>
          <w:numId w:val="26"/>
        </w:numPr>
      </w:pPr>
      <w:r w:rsidRPr="00DB3D8E">
        <w:t xml:space="preserve">Automatic delivery of appointment and call-back cases at specified times. </w:t>
      </w:r>
    </w:p>
    <w:p w:rsidR="008013E1" w:rsidRPr="00DB3D8E" w:rsidRDefault="008013E1" w:rsidP="008013E1">
      <w:pPr>
        <w:pStyle w:val="bulletround"/>
        <w:numPr>
          <w:ilvl w:val="1"/>
          <w:numId w:val="26"/>
        </w:numPr>
      </w:pPr>
      <w:r w:rsidRPr="00DB3D8E">
        <w:t xml:space="preserve">Sorting of non-appointment cases according to parameters and priorities set by project staff. </w:t>
      </w:r>
    </w:p>
    <w:p w:rsidR="008013E1" w:rsidRPr="00DB3D8E" w:rsidRDefault="008013E1" w:rsidP="008013E1">
      <w:pPr>
        <w:pStyle w:val="bulletround"/>
        <w:numPr>
          <w:ilvl w:val="1"/>
          <w:numId w:val="26"/>
        </w:numPr>
      </w:pPr>
      <w:r w:rsidRPr="00DB3D8E">
        <w:t xml:space="preserve">Restriction on allowable interviewers. Complete records of calls and tracking of all previous outcomes. Flagging of problem cases for supervisor action or supervisor review. Complete reporting capabilities. </w:t>
      </w:r>
    </w:p>
    <w:p w:rsidR="008013E1" w:rsidRPr="00DB3D8E" w:rsidRDefault="008013E1" w:rsidP="008013E1">
      <w:pPr>
        <w:pStyle w:val="BodyText"/>
        <w:ind w:firstLine="0"/>
      </w:pPr>
      <w:r>
        <w:t>A system such as the CMS that integrates</w:t>
      </w:r>
      <w:r w:rsidRPr="00DB3D8E">
        <w:t xml:space="preserve"> these capabilities reduces the number of discrete stages required in data collection and data preparation activities</w:t>
      </w:r>
      <w:r>
        <w:t xml:space="preserve">. </w:t>
      </w:r>
      <w:r w:rsidRPr="00DB3D8E">
        <w:t>Overall, the scheduler provides a highly efficient case assignment and delivery function</w:t>
      </w:r>
      <w:r>
        <w:t>,</w:t>
      </w:r>
      <w:r w:rsidRPr="00DB3D8E">
        <w:t xml:space="preserve"> reduc</w:t>
      </w:r>
      <w:r>
        <w:t>es</w:t>
      </w:r>
      <w:r w:rsidRPr="00DB3D8E">
        <w:t xml:space="preserve"> supervisory and clerical time,</w:t>
      </w:r>
      <w:r>
        <w:t xml:space="preserve"> </w:t>
      </w:r>
      <w:r w:rsidRPr="00DB3D8E">
        <w:t>improv</w:t>
      </w:r>
      <w:r>
        <w:t>es</w:t>
      </w:r>
      <w:r w:rsidRPr="00DB3D8E">
        <w:t xml:space="preserve"> execution on the part </w:t>
      </w:r>
      <w:r w:rsidRPr="00DB3D8E">
        <w:lastRenderedPageBreak/>
        <w:t>of interviewers and supervisors by automatically monitoring appointments and callbacks, and reduc</w:t>
      </w:r>
      <w:r>
        <w:t>es</w:t>
      </w:r>
      <w:r w:rsidRPr="00DB3D8E">
        <w:t xml:space="preserve"> variation in implementing survey priorities and objectives. </w:t>
      </w:r>
    </w:p>
    <w:p w:rsidR="003B42B8" w:rsidRDefault="003B42B8" w:rsidP="00180AF6">
      <w:pPr>
        <w:pStyle w:val="BodyTextnoindent0"/>
        <w:ind w:firstLine="720"/>
      </w:pPr>
      <w:r>
        <w:rPr>
          <w:b/>
          <w:bCs/>
        </w:rPr>
        <w:t xml:space="preserve">CATI Start Dates.   </w:t>
      </w:r>
      <w:r>
        <w:t xml:space="preserve">As with NPSAS:12 full-scale study,  </w:t>
      </w:r>
      <w:r w:rsidR="00180AF6">
        <w:t>RTI</w:t>
      </w:r>
      <w:r>
        <w:t xml:space="preserve"> plan</w:t>
      </w:r>
      <w:r w:rsidR="00180AF6">
        <w:t>s</w:t>
      </w:r>
      <w:r>
        <w:t xml:space="preserve"> to initiate telephone efforts at varying times in order to maximize participation for sample members from sectors that have historically been</w:t>
      </w:r>
      <w:r w:rsidR="00366169">
        <w:t xml:space="preserve"> challenging. Please see Table 2</w:t>
      </w:r>
      <w:r>
        <w:t xml:space="preserve"> below for details.</w:t>
      </w:r>
    </w:p>
    <w:p w:rsidR="003B42B8" w:rsidRPr="00487A31" w:rsidRDefault="00487A31" w:rsidP="00366169">
      <w:pPr>
        <w:pStyle w:val="TableTitle"/>
      </w:pPr>
      <w:bookmarkStart w:id="179" w:name="_Toc337840032"/>
      <w:r>
        <w:t xml:space="preserve">Table </w:t>
      </w:r>
      <w:r w:rsidR="00366169">
        <w:t>2</w:t>
      </w:r>
      <w:r w:rsidR="003B42B8" w:rsidRPr="00487A31">
        <w:t xml:space="preserve">.  </w:t>
      </w:r>
      <w:r>
        <w:t>Start dates for BPS:12/14 field test interviewing, by institution sector</w:t>
      </w:r>
      <w:bookmarkEnd w:id="179"/>
    </w:p>
    <w:tbl>
      <w:tblPr>
        <w:tblStyle w:val="LightShading1"/>
        <w:tblW w:w="0" w:type="auto"/>
        <w:tblLook w:val="04A0" w:firstRow="1" w:lastRow="0" w:firstColumn="1" w:lastColumn="0" w:noHBand="0" w:noVBand="1"/>
      </w:tblPr>
      <w:tblGrid>
        <w:gridCol w:w="849"/>
        <w:gridCol w:w="4569"/>
        <w:gridCol w:w="4158"/>
      </w:tblGrid>
      <w:tr w:rsidR="003B42B8" w:rsidRPr="00A3412B" w:rsidTr="00462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rsidR="003B42B8" w:rsidRPr="00487A31" w:rsidRDefault="003B42B8" w:rsidP="00462CA4">
            <w:pPr>
              <w:keepNext/>
              <w:keepLines/>
              <w:jc w:val="center"/>
              <w:rPr>
                <w:b w:val="0"/>
                <w:bCs w:val="0"/>
                <w:color w:val="000000" w:themeColor="text1"/>
              </w:rPr>
            </w:pPr>
            <w:r w:rsidRPr="00487A31">
              <w:rPr>
                <w:color w:val="000000" w:themeColor="text1"/>
              </w:rPr>
              <w:t>Sector</w:t>
            </w:r>
          </w:p>
        </w:tc>
        <w:tc>
          <w:tcPr>
            <w:tcW w:w="4569" w:type="dxa"/>
          </w:tcPr>
          <w:p w:rsidR="003B42B8" w:rsidRPr="00487A31" w:rsidRDefault="00487A31" w:rsidP="0017223E">
            <w:pPr>
              <w:keepNext/>
              <w:keepLines/>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Institution sector</w:t>
            </w:r>
          </w:p>
        </w:tc>
        <w:tc>
          <w:tcPr>
            <w:tcW w:w="4158" w:type="dxa"/>
          </w:tcPr>
          <w:p w:rsidR="003B42B8" w:rsidRPr="00487A31" w:rsidRDefault="003B42B8" w:rsidP="0017223E">
            <w:pPr>
              <w:keepNext/>
              <w:keepLines/>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487A31">
              <w:rPr>
                <w:color w:val="000000" w:themeColor="text1"/>
              </w:rPr>
              <w:t>Cases begin CATI…</w:t>
            </w:r>
          </w:p>
        </w:tc>
      </w:tr>
      <w:tr w:rsidR="00487A31" w:rsidRPr="00A3412B" w:rsidTr="00F32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487A31" w:rsidRPr="00487A31" w:rsidRDefault="00487A31" w:rsidP="00462CA4">
            <w:pPr>
              <w:keepNext/>
              <w:keepLines/>
              <w:rPr>
                <w:color w:val="000000" w:themeColor="text1"/>
              </w:rPr>
            </w:pPr>
            <w:r>
              <w:rPr>
                <w:color w:val="000000" w:themeColor="text1"/>
              </w:rPr>
              <w:t>Base year respondents</w:t>
            </w:r>
          </w:p>
        </w:tc>
      </w:tr>
      <w:tr w:rsidR="003B42B8" w:rsidRPr="00A3412B" w:rsidTr="00462CA4">
        <w:tc>
          <w:tcPr>
            <w:cnfStyle w:val="001000000000" w:firstRow="0" w:lastRow="0" w:firstColumn="1" w:lastColumn="0" w:oddVBand="0" w:evenVBand="0" w:oddHBand="0" w:evenHBand="0" w:firstRowFirstColumn="0" w:firstRowLastColumn="0" w:lastRowFirstColumn="0" w:lastRowLastColumn="0"/>
            <w:tcW w:w="849" w:type="dxa"/>
          </w:tcPr>
          <w:p w:rsidR="003B42B8" w:rsidRPr="00487A31" w:rsidRDefault="003B42B8" w:rsidP="00462CA4">
            <w:pPr>
              <w:keepNext/>
              <w:keepLines/>
              <w:jc w:val="center"/>
              <w:rPr>
                <w:color w:val="000000" w:themeColor="text1"/>
              </w:rPr>
            </w:pPr>
            <w:r w:rsidRPr="00487A31">
              <w:rPr>
                <w:color w:val="000000" w:themeColor="text1"/>
              </w:rPr>
              <w:t>1</w:t>
            </w:r>
          </w:p>
        </w:tc>
        <w:tc>
          <w:tcPr>
            <w:tcW w:w="4569" w:type="dxa"/>
          </w:tcPr>
          <w:p w:rsidR="003B42B8" w:rsidRPr="00487A31" w:rsidRDefault="003B42B8" w:rsidP="0017223E">
            <w:pPr>
              <w:keepNext/>
              <w:keepLines/>
              <w:cnfStyle w:val="000000000000" w:firstRow="0" w:lastRow="0" w:firstColumn="0" w:lastColumn="0" w:oddVBand="0" w:evenVBand="0" w:oddHBand="0" w:evenHBand="0" w:firstRowFirstColumn="0" w:firstRowLastColumn="0" w:lastRowFirstColumn="0" w:lastRowLastColumn="0"/>
              <w:rPr>
                <w:color w:val="000000" w:themeColor="text1"/>
              </w:rPr>
            </w:pPr>
            <w:r w:rsidRPr="00487A31">
              <w:rPr>
                <w:color w:val="000000" w:themeColor="text1"/>
              </w:rPr>
              <w:t>Public less-than-2-year</w:t>
            </w:r>
          </w:p>
        </w:tc>
        <w:tc>
          <w:tcPr>
            <w:tcW w:w="4158" w:type="dxa"/>
          </w:tcPr>
          <w:p w:rsidR="003B42B8" w:rsidRPr="00487A31" w:rsidRDefault="003B42B8" w:rsidP="0017223E">
            <w:pPr>
              <w:keepNext/>
              <w:keepLines/>
              <w:cnfStyle w:val="000000000000" w:firstRow="0" w:lastRow="0" w:firstColumn="0" w:lastColumn="0" w:oddVBand="0" w:evenVBand="0" w:oddHBand="0" w:evenHBand="0" w:firstRowFirstColumn="0" w:firstRowLastColumn="0" w:lastRowFirstColumn="0" w:lastRowLastColumn="0"/>
              <w:rPr>
                <w:color w:val="000000" w:themeColor="text1"/>
              </w:rPr>
            </w:pPr>
            <w:r w:rsidRPr="00487A31">
              <w:rPr>
                <w:color w:val="000000" w:themeColor="text1"/>
              </w:rPr>
              <w:t>5 days after lead letters are sent</w:t>
            </w:r>
          </w:p>
        </w:tc>
      </w:tr>
      <w:tr w:rsidR="003B42B8" w:rsidRPr="00A3412B" w:rsidTr="00462CA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2</w:t>
            </w:r>
          </w:p>
        </w:tc>
        <w:tc>
          <w:tcPr>
            <w:tcW w:w="4569"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A3412B">
              <w:t>Public 2-year</w:t>
            </w:r>
          </w:p>
        </w:tc>
        <w:tc>
          <w:tcPr>
            <w:tcW w:w="4158"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t>5 days after lead letters are sent</w:t>
            </w:r>
          </w:p>
        </w:tc>
      </w:tr>
      <w:tr w:rsidR="003B42B8" w:rsidRPr="00A3412B" w:rsidTr="00462CA4">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3</w:t>
            </w:r>
          </w:p>
        </w:tc>
        <w:tc>
          <w:tcPr>
            <w:tcW w:w="4569"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rsidRPr="00A3412B">
              <w:t>Public 4-year non-doctorate-granting</w:t>
            </w:r>
          </w:p>
        </w:tc>
        <w:tc>
          <w:tcPr>
            <w:tcW w:w="4158"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rsidRPr="00A3412B">
              <w:t xml:space="preserve">3 weeks + 1 day after </w:t>
            </w:r>
            <w:r>
              <w:t xml:space="preserve">lead letter </w:t>
            </w:r>
            <w:r w:rsidRPr="00A3412B">
              <w:t>mailing</w:t>
            </w:r>
          </w:p>
        </w:tc>
      </w:tr>
      <w:tr w:rsidR="003B42B8" w:rsidRPr="00A3412B" w:rsidTr="00462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4</w:t>
            </w:r>
          </w:p>
        </w:tc>
        <w:tc>
          <w:tcPr>
            <w:tcW w:w="4569"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A3412B">
              <w:t>Public 4-year doctorate-granting</w:t>
            </w:r>
          </w:p>
        </w:tc>
        <w:tc>
          <w:tcPr>
            <w:tcW w:w="4158"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A3412B">
              <w:t xml:space="preserve">3 weeks + 1 day after </w:t>
            </w:r>
            <w:r>
              <w:t xml:space="preserve">lead letter </w:t>
            </w:r>
            <w:r w:rsidRPr="00A3412B">
              <w:t>mailing</w:t>
            </w:r>
          </w:p>
        </w:tc>
      </w:tr>
      <w:tr w:rsidR="003B42B8" w:rsidRPr="00A3412B" w:rsidTr="00462CA4">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5</w:t>
            </w:r>
          </w:p>
        </w:tc>
        <w:tc>
          <w:tcPr>
            <w:tcW w:w="4569"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rsidRPr="00A3412B">
              <w:t>Private not-for-profit less-than-4-year</w:t>
            </w:r>
          </w:p>
        </w:tc>
        <w:tc>
          <w:tcPr>
            <w:tcW w:w="4158"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t>5 days after lead letters are sent</w:t>
            </w:r>
          </w:p>
        </w:tc>
      </w:tr>
      <w:tr w:rsidR="003B42B8" w:rsidRPr="00A3412B" w:rsidTr="00462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6</w:t>
            </w:r>
          </w:p>
        </w:tc>
        <w:tc>
          <w:tcPr>
            <w:tcW w:w="4569"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A3412B">
              <w:t>Private not-for-profit 4-year non-doctorate-granting</w:t>
            </w:r>
          </w:p>
        </w:tc>
        <w:tc>
          <w:tcPr>
            <w:tcW w:w="4158"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370768">
              <w:t>3 weeks + 1 day after lead letter mailing</w:t>
            </w:r>
          </w:p>
        </w:tc>
      </w:tr>
      <w:tr w:rsidR="003B42B8" w:rsidRPr="00A3412B" w:rsidTr="00462CA4">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7</w:t>
            </w:r>
          </w:p>
        </w:tc>
        <w:tc>
          <w:tcPr>
            <w:tcW w:w="4569"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rsidRPr="00A3412B">
              <w:t>Private not-for-profit 4-year doctorate granting</w:t>
            </w:r>
          </w:p>
        </w:tc>
        <w:tc>
          <w:tcPr>
            <w:tcW w:w="4158"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rsidRPr="00370768">
              <w:t>3 weeks + 1 day after lead letter mailing</w:t>
            </w:r>
          </w:p>
        </w:tc>
      </w:tr>
      <w:tr w:rsidR="003B42B8" w:rsidRPr="00A3412B" w:rsidTr="00462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8</w:t>
            </w:r>
          </w:p>
        </w:tc>
        <w:tc>
          <w:tcPr>
            <w:tcW w:w="4569"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A3412B">
              <w:t>Private for-profit less-than-2-year</w:t>
            </w:r>
          </w:p>
        </w:tc>
        <w:tc>
          <w:tcPr>
            <w:tcW w:w="4158"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t>5 days after lead letters are sent</w:t>
            </w:r>
          </w:p>
        </w:tc>
      </w:tr>
      <w:tr w:rsidR="003B42B8" w:rsidRPr="00A3412B" w:rsidTr="00462CA4">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9</w:t>
            </w:r>
          </w:p>
        </w:tc>
        <w:tc>
          <w:tcPr>
            <w:tcW w:w="4569"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rsidRPr="00A3412B">
              <w:t>Private for-profit 2-year</w:t>
            </w:r>
          </w:p>
        </w:tc>
        <w:tc>
          <w:tcPr>
            <w:tcW w:w="4158" w:type="dxa"/>
          </w:tcPr>
          <w:p w:rsidR="003B42B8" w:rsidRPr="00A3412B" w:rsidRDefault="003B42B8" w:rsidP="0017223E">
            <w:pPr>
              <w:keepNext/>
              <w:keepLines/>
              <w:cnfStyle w:val="000000000000" w:firstRow="0" w:lastRow="0" w:firstColumn="0" w:lastColumn="0" w:oddVBand="0" w:evenVBand="0" w:oddHBand="0" w:evenHBand="0" w:firstRowFirstColumn="0" w:firstRowLastColumn="0" w:lastRowFirstColumn="0" w:lastRowLastColumn="0"/>
            </w:pPr>
            <w:r w:rsidRPr="00C727F9">
              <w:t>5 days after lead letters are sent</w:t>
            </w:r>
          </w:p>
        </w:tc>
      </w:tr>
      <w:tr w:rsidR="003B42B8" w:rsidRPr="00A3412B" w:rsidTr="00462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rsidR="003B42B8" w:rsidRPr="00A3412B" w:rsidRDefault="003B42B8" w:rsidP="00462CA4">
            <w:pPr>
              <w:keepNext/>
              <w:keepLines/>
              <w:jc w:val="center"/>
            </w:pPr>
            <w:r w:rsidRPr="00A3412B">
              <w:t>10</w:t>
            </w:r>
          </w:p>
        </w:tc>
        <w:tc>
          <w:tcPr>
            <w:tcW w:w="4569"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A3412B">
              <w:t>Private for-profit 4-year</w:t>
            </w:r>
          </w:p>
        </w:tc>
        <w:tc>
          <w:tcPr>
            <w:tcW w:w="4158" w:type="dxa"/>
          </w:tcPr>
          <w:p w:rsidR="003B42B8" w:rsidRPr="00A3412B" w:rsidRDefault="003B42B8" w:rsidP="0017223E">
            <w:pPr>
              <w:keepNext/>
              <w:keepLines/>
              <w:cnfStyle w:val="000000100000" w:firstRow="0" w:lastRow="0" w:firstColumn="0" w:lastColumn="0" w:oddVBand="0" w:evenVBand="0" w:oddHBand="1" w:evenHBand="0" w:firstRowFirstColumn="0" w:firstRowLastColumn="0" w:lastRowFirstColumn="0" w:lastRowLastColumn="0"/>
            </w:pPr>
            <w:r w:rsidRPr="00C727F9">
              <w:t>5 days after lead letters are sent</w:t>
            </w:r>
          </w:p>
        </w:tc>
      </w:tr>
      <w:tr w:rsidR="00487A31" w:rsidRPr="00A3412B" w:rsidTr="00462CA4">
        <w:tc>
          <w:tcPr>
            <w:cnfStyle w:val="001000000000" w:firstRow="0" w:lastRow="0" w:firstColumn="1" w:lastColumn="0" w:oddVBand="0" w:evenVBand="0" w:oddHBand="0" w:evenHBand="0" w:firstRowFirstColumn="0" w:firstRowLastColumn="0" w:lastRowFirstColumn="0" w:lastRowLastColumn="0"/>
            <w:tcW w:w="5418" w:type="dxa"/>
            <w:gridSpan w:val="2"/>
          </w:tcPr>
          <w:p w:rsidR="00487A31" w:rsidRPr="00A3412B" w:rsidRDefault="00487A31" w:rsidP="00462CA4">
            <w:pPr>
              <w:keepNext/>
              <w:keepLines/>
            </w:pPr>
            <w:r>
              <w:t>All base year nonrespondents</w:t>
            </w:r>
          </w:p>
        </w:tc>
        <w:tc>
          <w:tcPr>
            <w:tcW w:w="4158" w:type="dxa"/>
          </w:tcPr>
          <w:p w:rsidR="00487A31" w:rsidRPr="00C727F9" w:rsidRDefault="00487A31" w:rsidP="0017223E">
            <w:pPr>
              <w:keepNext/>
              <w:keepLines/>
              <w:cnfStyle w:val="000000000000" w:firstRow="0" w:lastRow="0" w:firstColumn="0" w:lastColumn="0" w:oddVBand="0" w:evenVBand="0" w:oddHBand="0" w:evenHBand="0" w:firstRowFirstColumn="0" w:firstRowLastColumn="0" w:lastRowFirstColumn="0" w:lastRowLastColumn="0"/>
            </w:pPr>
            <w:r w:rsidRPr="00C727F9">
              <w:t>5 days after lead letters are sent</w:t>
            </w:r>
          </w:p>
        </w:tc>
      </w:tr>
    </w:tbl>
    <w:p w:rsidR="003B42B8" w:rsidRPr="00834F7A" w:rsidRDefault="003B42B8" w:rsidP="00834F7A">
      <w:pPr>
        <w:pStyle w:val="BodyTextnoindent0"/>
        <w:keepNext/>
        <w:keepLines/>
        <w:spacing w:after="0" w:line="240" w:lineRule="auto"/>
        <w:rPr>
          <w:iCs/>
        </w:rPr>
      </w:pPr>
    </w:p>
    <w:p w:rsidR="003B42B8" w:rsidRPr="00DB3D8E" w:rsidRDefault="003B42B8" w:rsidP="00240A6F">
      <w:pPr>
        <w:pStyle w:val="BodyTextnoindent0"/>
        <w:ind w:firstLine="720"/>
      </w:pPr>
      <w:r w:rsidRPr="004E27F9">
        <w:rPr>
          <w:b/>
          <w:bCs/>
        </w:rPr>
        <w:t>Refusal Conversion.</w:t>
      </w:r>
      <w:r>
        <w:t xml:space="preserve"> </w:t>
      </w:r>
      <w:r w:rsidRPr="00DB3D8E">
        <w:t xml:space="preserve">Recognizing and avoiding refusals is important to maximize the response rate. Supervisors will monitor interviewers intensely during the early data collection and provide retraining as necessary. In addition, supervisors will review daily interviewer production reports to identify and retrain any interviewers </w:t>
      </w:r>
      <w:r>
        <w:t>with</w:t>
      </w:r>
      <w:r w:rsidRPr="00DB3D8E">
        <w:t xml:space="preserve"> unacceptable numbers of refusals or other problems.</w:t>
      </w:r>
    </w:p>
    <w:p w:rsidR="003B42B8" w:rsidRPr="00DB3D8E" w:rsidRDefault="003B42B8" w:rsidP="003B42B8">
      <w:pPr>
        <w:pStyle w:val="BodyText"/>
      </w:pPr>
      <w:r w:rsidRPr="00DB3D8E">
        <w:t>After encountering a refusal, comments are entered into the CMS record that include all pertinent data regarding the refusal situation, including any unusual circumstances and any reasons given by the sample member for refusing. Supervisors review these comments to determine what action to take with each refusal</w:t>
      </w:r>
      <w:r>
        <w:t>; n</w:t>
      </w:r>
      <w:r w:rsidRPr="00DB3D8E">
        <w:t xml:space="preserve">o refusal or partial interview will be coded as final without supervisory review and approval. </w:t>
      </w:r>
    </w:p>
    <w:p w:rsidR="003B42B8" w:rsidRPr="00DB3D8E" w:rsidRDefault="003B42B8" w:rsidP="003B42B8">
      <w:pPr>
        <w:pStyle w:val="BodyText"/>
      </w:pPr>
      <w:r w:rsidRPr="00DB3D8E">
        <w:t xml:space="preserve">If a follow-up is </w:t>
      </w:r>
      <w:r>
        <w:t xml:space="preserve">not </w:t>
      </w:r>
      <w:r w:rsidRPr="00DB3D8E">
        <w:t>appropriate (e.g., there are extenuating circumstances, such as illness or the sample member firmly requested no further contact), the case will be coded as final and no additional contact will be made. If the case appears to be a “soft” refusal, follow-up will be assigned to an interviewer other than the one who received the initial refusal. The case will be assigned to a member of a special refusal conversion team made up of interviewers who have proven especially skilled at converting refusals.</w:t>
      </w:r>
    </w:p>
    <w:p w:rsidR="003B42B8" w:rsidRPr="00DB3D8E" w:rsidRDefault="003B42B8" w:rsidP="00240A6F">
      <w:pPr>
        <w:pStyle w:val="BodyText"/>
      </w:pPr>
      <w:r w:rsidRPr="00DB3D8E">
        <w:t xml:space="preserve">Refusal conversion efforts will be delayed </w:t>
      </w:r>
      <w:r>
        <w:t>until</w:t>
      </w:r>
      <w:r w:rsidRPr="00DB3D8E">
        <w:t xml:space="preserve"> at least 1 week after the initial refusal. Attempts at refusal conversion will not be made with individuals who become verbally aggressive or who threaten to take legal or other action</w:t>
      </w:r>
      <w:r>
        <w:t xml:space="preserve">. </w:t>
      </w:r>
      <w:r w:rsidR="00240A6F">
        <w:t xml:space="preserve"> </w:t>
      </w:r>
      <w:r>
        <w:t xml:space="preserve">Project staff sometimes receive refusals via email or calls to the project </w:t>
      </w:r>
      <w:r>
        <w:lastRenderedPageBreak/>
        <w:t xml:space="preserve">director’s direct line.  These refusals are included in the CATI record of events and coded as final when appropriate. </w:t>
      </w:r>
    </w:p>
    <w:p w:rsidR="003B42B8" w:rsidRDefault="003B42B8" w:rsidP="003B42B8">
      <w:pPr>
        <w:pStyle w:val="Heading3"/>
      </w:pPr>
      <w:bookmarkStart w:id="180" w:name="_Toc279664175"/>
      <w:bookmarkStart w:id="181" w:name="_Toc279664270"/>
      <w:bookmarkStart w:id="182" w:name="_Toc279664318"/>
      <w:bookmarkStart w:id="183" w:name="_Toc279664177"/>
      <w:bookmarkStart w:id="184" w:name="_Toc279664272"/>
      <w:bookmarkStart w:id="185" w:name="_Toc279664320"/>
      <w:bookmarkStart w:id="186" w:name="_Toc281573445"/>
      <w:bookmarkStart w:id="187" w:name="_Toc337840021"/>
      <w:bookmarkEnd w:id="180"/>
      <w:bookmarkEnd w:id="181"/>
      <w:bookmarkEnd w:id="182"/>
      <w:bookmarkEnd w:id="183"/>
      <w:bookmarkEnd w:id="184"/>
      <w:bookmarkEnd w:id="185"/>
      <w:r w:rsidRPr="00DB3D8E">
        <w:t xml:space="preserve">Quality </w:t>
      </w:r>
      <w:r w:rsidRPr="006B00AE">
        <w:t>Control</w:t>
      </w:r>
      <w:bookmarkEnd w:id="186"/>
      <w:bookmarkEnd w:id="187"/>
    </w:p>
    <w:p w:rsidR="003B42B8" w:rsidRPr="00DB3D8E" w:rsidRDefault="003B42B8" w:rsidP="003B42B8">
      <w:pPr>
        <w:pStyle w:val="BodyTextnoindent0"/>
        <w:ind w:firstLine="720"/>
      </w:pPr>
      <w:r>
        <w:t>I</w:t>
      </w:r>
      <w:r w:rsidRPr="00DB3D8E">
        <w:t>nterviewer monitoring will be conducted using RTI’s Quality Evaluation Syste</w:t>
      </w:r>
      <w:r>
        <w:t>m (</w:t>
      </w:r>
      <w:r w:rsidRPr="00DB3D8E">
        <w:t>QUEST</w:t>
      </w:r>
      <w:r>
        <w:t>) a</w:t>
      </w:r>
      <w:r w:rsidRPr="00DB3D8E">
        <w:t xml:space="preserve">s a quality control measure throughout the </w:t>
      </w:r>
      <w:r>
        <w:t>field test</w:t>
      </w:r>
      <w:r w:rsidRPr="00DB3D8E">
        <w:t xml:space="preserve"> and </w:t>
      </w:r>
      <w:r>
        <w:t>full scale</w:t>
      </w:r>
      <w:r w:rsidRPr="00DB3D8E">
        <w:t xml:space="preserve"> data collections. QUEST is a system developed by a team of RTI researchers, methodologists, and operations staff focus</w:t>
      </w:r>
      <w:r>
        <w:t xml:space="preserve">ed on </w:t>
      </w:r>
      <w:r w:rsidRPr="00DB3D8E">
        <w:t>develop</w:t>
      </w:r>
      <w:r>
        <w:t>ing</w:t>
      </w:r>
      <w:r w:rsidRPr="00DB3D8E">
        <w:t xml:space="preserve"> standardized monitoring protocols, performance measures, evaluation criteria, reports, and appropriate systems security controls. It is a comprehensive performance quality monitoring system that includes standard systems and procedures for all phases of quality monitoring, including obtaining respondent consent for recording, procedures for interviewing respondents who refuse consent and for monitoring refusals at the interviewer level; sampling of completed interviews by interviewer, evaluating interviewer performance; maintaining an online database of interviewer performance data; and addressing potential problems through supplemental training. These systems and procedures are based on “best practices” identified by RTI in the course of conducting thousands of survey research projects.</w:t>
      </w:r>
    </w:p>
    <w:p w:rsidR="003B42B8" w:rsidRDefault="003B42B8" w:rsidP="003B42B8">
      <w:pPr>
        <w:pStyle w:val="BodyText"/>
      </w:pPr>
      <w:r>
        <w:t xml:space="preserve">As in previous studies, </w:t>
      </w:r>
      <w:r w:rsidRPr="00DB3D8E">
        <w:t xml:space="preserve">RTI will use QUEST to monitor approximately </w:t>
      </w:r>
      <w:r>
        <w:t>7 percent</w:t>
      </w:r>
      <w:r w:rsidRPr="00915971">
        <w:t xml:space="preserve"> of all completed interviews plus an additional 2.5</w:t>
      </w:r>
      <w:r>
        <w:t xml:space="preserve"> percent</w:t>
      </w:r>
      <w:r w:rsidRPr="00915971">
        <w:t xml:space="preserve"> of recorded refusals. In addition, quality supervisors will conduct silent monitoring for 2.5</w:t>
      </w:r>
      <w:r>
        <w:t xml:space="preserve"> - 3 percent</w:t>
      </w:r>
      <w:r w:rsidRPr="00915971">
        <w:t xml:space="preserve"> of budgeted interviewer hours on the project. This will allow real-time evaluation of a variety of call outcomes and interviewer-respondent interactions</w:t>
      </w:r>
      <w:r w:rsidRPr="00DB3D8E">
        <w:t xml:space="preserve">. Recorded interviews will be reviewed by call center supervisors for key elements such as professionalism and presentation; case management and refusal conversion; and reading, probing, and keying skills. Any problems observed during the interview will be documented on problem reports generated by QUEST. </w:t>
      </w:r>
      <w:r>
        <w:t>Feedback</w:t>
      </w:r>
      <w:r w:rsidRPr="00DB3D8E">
        <w:t xml:space="preserve"> will be provided to interviewers and patterns of poor performance (e.g., failure to use conversational interviewing techniques, failure to probe, etc.) will be carefully monitored and noted in the feedback </w:t>
      </w:r>
      <w:r>
        <w:t xml:space="preserve">form </w:t>
      </w:r>
      <w:r w:rsidRPr="00DB3D8E">
        <w:t xml:space="preserve">that will be provided to the interviewers. As needed, interviewers will receive supplemental training in areas where deficiencies are noted. In all cases, sample members will be notified that the interview may be monitored by supervisory staff. </w:t>
      </w:r>
    </w:p>
    <w:p w:rsidR="006B00AE" w:rsidRDefault="009A40B5" w:rsidP="003C041C">
      <w:pPr>
        <w:pStyle w:val="Heading2"/>
      </w:pPr>
      <w:bookmarkStart w:id="188" w:name="_Toc337840022"/>
      <w:r w:rsidRPr="00DB3D8E">
        <w:t xml:space="preserve">Tests of </w:t>
      </w:r>
      <w:r w:rsidR="006463FF">
        <w:t>Procedures</w:t>
      </w:r>
      <w:r w:rsidRPr="00DB3D8E">
        <w:t xml:space="preserve"> and Methods</w:t>
      </w:r>
      <w:bookmarkEnd w:id="176"/>
      <w:bookmarkEnd w:id="188"/>
    </w:p>
    <w:p w:rsidR="00DB1501" w:rsidRPr="00394BC9" w:rsidRDefault="00970EF1" w:rsidP="00454AF8">
      <w:pPr>
        <w:pStyle w:val="BodyText"/>
      </w:pPr>
      <w:bookmarkStart w:id="189" w:name="_Toc174182946"/>
      <w:bookmarkStart w:id="190" w:name="_Toc174437466"/>
      <w:r w:rsidRPr="00394BC9">
        <w:t xml:space="preserve">The design of the BPS:12/14 field test experiment </w:t>
      </w:r>
      <w:r w:rsidR="00454AF8">
        <w:t>expand</w:t>
      </w:r>
      <w:r w:rsidR="00D34BB3">
        <w:t>s</w:t>
      </w:r>
      <w:r w:rsidR="00454AF8">
        <w:t xml:space="preserve"> </w:t>
      </w:r>
      <w:r w:rsidRPr="00394BC9">
        <w:t xml:space="preserve">on </w:t>
      </w:r>
      <w:r w:rsidR="0017223E">
        <w:t xml:space="preserve">data collection </w:t>
      </w:r>
      <w:r w:rsidRPr="00394BC9">
        <w:t>experiments designed for  three NCES studies which preceded it, including the NPSAS:12 field test which served as the base year interview for the current study.  Brief summaries of each experiment are provided below</w:t>
      </w:r>
      <w:r w:rsidR="002E7B43">
        <w:t>, and in table 3</w:t>
      </w:r>
      <w:r w:rsidRPr="00394BC9">
        <w:t xml:space="preserve">.  Although results are not available for the most recent experiments, the design proposed for the BPS:12/14 field test builds on what is known about those experiments and target populations, and how they compare to the BPS:12 cohort.   </w:t>
      </w:r>
    </w:p>
    <w:p w:rsidR="0020207E" w:rsidRDefault="00970EF1" w:rsidP="002D5D82">
      <w:pPr>
        <w:pStyle w:val="Heading3"/>
      </w:pPr>
      <w:r>
        <w:tab/>
      </w:r>
      <w:bookmarkStart w:id="191" w:name="_Toc337840023"/>
      <w:r w:rsidR="00BB45C5" w:rsidRPr="0016414C">
        <w:t>NPSAS:12</w:t>
      </w:r>
      <w:bookmarkEnd w:id="191"/>
      <w:r w:rsidR="0016414C" w:rsidRPr="0016414C">
        <w:t xml:space="preserve">  </w:t>
      </w:r>
    </w:p>
    <w:p w:rsidR="00BB45C5" w:rsidRPr="0016414C" w:rsidRDefault="00BB45C5" w:rsidP="00180AF6">
      <w:pPr>
        <w:pStyle w:val="BodyText"/>
      </w:pPr>
      <w:r w:rsidRPr="0016414C">
        <w:rPr>
          <w:snapToGrid w:val="0"/>
        </w:rPr>
        <w:t xml:space="preserve">The response propensity experiment conducted during the NPSAS:12 field test data collection (March 2011 to June 2011) was designed to reduce nonresponse bias through targeted use of incentives. Using data from NPSAS:04, </w:t>
      </w:r>
      <w:r w:rsidR="00180AF6">
        <w:rPr>
          <w:snapToGrid w:val="0"/>
        </w:rPr>
        <w:t xml:space="preserve">RTI </w:t>
      </w:r>
      <w:r w:rsidRPr="0016414C">
        <w:rPr>
          <w:snapToGrid w:val="0"/>
        </w:rPr>
        <w:t>identified variables available prior to data collection which were predictive of response likelihood</w:t>
      </w:r>
      <w:r w:rsidR="00454AF8">
        <w:rPr>
          <w:snapToGrid w:val="0"/>
        </w:rPr>
        <w:t>,</w:t>
      </w:r>
      <w:r w:rsidRPr="0016414C">
        <w:rPr>
          <w:snapToGrid w:val="0"/>
        </w:rPr>
        <w:t xml:space="preserve"> then used the variables to estimate a NPSAS:12 field test sample member’s response propensity.  Sample members with a low response propensity were sorted at random </w:t>
      </w:r>
      <w:r w:rsidRPr="0016414C">
        <w:rPr>
          <w:snapToGrid w:val="0"/>
        </w:rPr>
        <w:lastRenderedPageBreak/>
        <w:t xml:space="preserve">into either a control group, which was offered the usual $30 incentive for participation, or an experimental group, which was offered $45.  High response propensity sample members were sorted at random into a control group that was offered $30 or an experimental group that was offered $15.  Following data collection, </w:t>
      </w:r>
      <w:r w:rsidR="00180AF6">
        <w:rPr>
          <w:snapToGrid w:val="0"/>
        </w:rPr>
        <w:t xml:space="preserve">RTI </w:t>
      </w:r>
      <w:r w:rsidRPr="0016414C">
        <w:rPr>
          <w:snapToGrid w:val="0"/>
        </w:rPr>
        <w:t>evaluated the predictive ability of the response propensity model and determined if bias was reduced in the experimental cases</w:t>
      </w:r>
      <w:r w:rsidRPr="000C559D">
        <w:rPr>
          <w:snapToGrid w:val="0"/>
        </w:rPr>
        <w:t>.</w:t>
      </w:r>
      <w:r w:rsidRPr="000C559D">
        <w:rPr>
          <w:rStyle w:val="FootnoteReference"/>
          <w:rFonts w:asciiTheme="majorBidi" w:hAnsiTheme="majorBidi" w:cstheme="majorBidi"/>
          <w:bCs/>
          <w:snapToGrid w:val="0"/>
          <w:sz w:val="24"/>
          <w:szCs w:val="24"/>
        </w:rPr>
        <w:footnoteReference w:id="3"/>
      </w:r>
      <w:r w:rsidRPr="0016414C">
        <w:rPr>
          <w:snapToGrid w:val="0"/>
        </w:rPr>
        <w:t xml:space="preserve">  </w:t>
      </w:r>
    </w:p>
    <w:p w:rsidR="00BB45C5" w:rsidRPr="0093260A" w:rsidRDefault="00BB45C5" w:rsidP="00AA4106">
      <w:pPr>
        <w:spacing w:before="120" w:after="120" w:line="320" w:lineRule="atLeast"/>
        <w:ind w:firstLine="720"/>
      </w:pPr>
      <w:r w:rsidRPr="0016414C">
        <w:rPr>
          <w:rFonts w:asciiTheme="majorBidi" w:hAnsiTheme="majorBidi" w:cstheme="majorBidi"/>
          <w:szCs w:val="24"/>
        </w:rPr>
        <w:t>The propensity model successfully distinguished between high and low propensity cases in terms of response rate.  The unweighted low propensity response rate was 57.7% and the unweighted high propensity respons</w:t>
      </w:r>
      <w:r w:rsidRPr="0093260A">
        <w:t xml:space="preserve">e rate was 67.7%, a statistically significant difference (χ2 = 42.003, p &lt; .0001).  However, while the primary goal of </w:t>
      </w:r>
      <w:r w:rsidR="00AA4106">
        <w:t xml:space="preserve">the </w:t>
      </w:r>
      <w:r w:rsidRPr="0093260A">
        <w:t xml:space="preserve">response propensity approach was to reduce bias in key estimates, the weighted estimates in both the low propensity control and treatment groups were virtually identical, suggesting that differential incentives did not have any effect on </w:t>
      </w:r>
      <w:r w:rsidR="00454AF8">
        <w:t xml:space="preserve">reducing </w:t>
      </w:r>
      <w:r w:rsidRPr="0093260A">
        <w:t>bias.</w:t>
      </w:r>
      <w:r w:rsidR="00D70555">
        <w:t xml:space="preserve">  </w:t>
      </w:r>
      <w:r w:rsidRPr="0093260A">
        <w:t xml:space="preserve">Although the NPSAS:12 field test experiment was not designed to increase response rates </w:t>
      </w:r>
      <w:r w:rsidRPr="0093260A">
        <w:rPr>
          <w:i/>
        </w:rPr>
        <w:t>per se</w:t>
      </w:r>
      <w:r w:rsidRPr="0093260A">
        <w:t>, response rates by incentive amount within propensity groups were tested. Within the low propensity group, no statistically significant difference between experimental and control groups was noted</w:t>
      </w:r>
      <w:r w:rsidR="000A0DBE">
        <w:t xml:space="preserve"> (</w:t>
      </w:r>
      <w:r w:rsidRPr="0093260A">
        <w:t>χ2 = 2.527, p &gt; .05) while the difference observed between high propensity control and treatment groups was statistically significant, with lower incentives being associated with lower response rates (χ2 =</w:t>
      </w:r>
      <w:r w:rsidR="00EE6B11">
        <w:t xml:space="preserve"> 13.576, p &lt; .001).</w:t>
      </w:r>
    </w:p>
    <w:p w:rsidR="00BB45C5" w:rsidRDefault="00BB45C5" w:rsidP="00D70555">
      <w:pPr>
        <w:spacing w:before="120" w:after="120" w:line="320" w:lineRule="atLeast"/>
        <w:ind w:firstLine="720"/>
        <w:rPr>
          <w:color w:val="000000"/>
        </w:rPr>
      </w:pPr>
      <w:r w:rsidRPr="0093260A">
        <w:t xml:space="preserve">Given the equivocal results of the response propensity experiment, RTI </w:t>
      </w:r>
      <w:r w:rsidR="00F535B0">
        <w:t xml:space="preserve">adopted a responsive design approach to </w:t>
      </w:r>
      <w:r w:rsidRPr="0093260A">
        <w:t xml:space="preserve">the NPSAS:12 full-scale data collection (February 2012 to </w:t>
      </w:r>
      <w:r w:rsidR="00D70555">
        <w:t>present</w:t>
      </w:r>
      <w:r w:rsidRPr="0093260A">
        <w:t>)</w:t>
      </w:r>
      <w:r w:rsidR="00D029D7">
        <w:t xml:space="preserve">, dropping </w:t>
      </w:r>
      <w:r w:rsidR="00D029D7" w:rsidRPr="0093260A">
        <w:t>pre-data collection modeling of either responses or paradata</w:t>
      </w:r>
      <w:r w:rsidR="00D029D7">
        <w:t xml:space="preserve">.  All sample members </w:t>
      </w:r>
      <w:r w:rsidR="00D70555">
        <w:t xml:space="preserve">are being </w:t>
      </w:r>
      <w:r w:rsidR="00D029D7">
        <w:t xml:space="preserve">offered </w:t>
      </w:r>
      <w:r w:rsidRPr="0093260A">
        <w:t>a $30 incentive</w:t>
      </w:r>
      <w:r w:rsidR="00E8520F">
        <w:t>.  This</w:t>
      </w:r>
      <w:r w:rsidR="00F535B0">
        <w:t xml:space="preserve"> approach to data collection </w:t>
      </w:r>
      <w:r w:rsidR="00D70555">
        <w:t xml:space="preserve">has been </w:t>
      </w:r>
      <w:r w:rsidR="00F535B0">
        <w:t xml:space="preserve">used during the early response phase </w:t>
      </w:r>
      <w:r w:rsidR="00EE6B11">
        <w:rPr>
          <w:color w:val="000000"/>
        </w:rPr>
        <w:t xml:space="preserve">varied by </w:t>
      </w:r>
      <w:r w:rsidRPr="0093260A">
        <w:rPr>
          <w:color w:val="000000"/>
        </w:rPr>
        <w:t xml:space="preserve">institution sector (e.g., public, 2-year) </w:t>
      </w:r>
      <w:r w:rsidR="00EE6B11">
        <w:rPr>
          <w:color w:val="000000"/>
        </w:rPr>
        <w:t xml:space="preserve">as a substitute </w:t>
      </w:r>
      <w:r w:rsidRPr="0093260A">
        <w:rPr>
          <w:color w:val="000000"/>
        </w:rPr>
        <w:t>for response propensity</w:t>
      </w:r>
      <w:r w:rsidR="00D029D7">
        <w:rPr>
          <w:color w:val="000000"/>
        </w:rPr>
        <w:t xml:space="preserve">.  For example, </w:t>
      </w:r>
      <w:r w:rsidRPr="0093260A">
        <w:rPr>
          <w:color w:val="000000"/>
        </w:rPr>
        <w:t xml:space="preserve">students in public, 4-year institutions, with historically higher response rates, were </w:t>
      </w:r>
      <w:r w:rsidR="00D029D7">
        <w:rPr>
          <w:color w:val="000000"/>
        </w:rPr>
        <w:t xml:space="preserve">handled with </w:t>
      </w:r>
      <w:r w:rsidRPr="0093260A">
        <w:rPr>
          <w:color w:val="000000"/>
        </w:rPr>
        <w:t xml:space="preserve">the typical data collection plan: three weeks of online-only interviewing followed by outbound calling to nonrespondents.  In contrast, students in institutions with historically lower response rates and a lower likelihood of responding online, were moved almost immediately to outbound calling, shortening the time to initial contact and, when needed, referral to intensive tracing.  </w:t>
      </w:r>
    </w:p>
    <w:p w:rsidR="00CF442A" w:rsidRPr="0093260A" w:rsidRDefault="00F535B0" w:rsidP="009737DB">
      <w:pPr>
        <w:spacing w:before="120" w:after="120" w:line="320" w:lineRule="atLeast"/>
        <w:ind w:firstLine="720"/>
        <w:rPr>
          <w:color w:val="000000"/>
        </w:rPr>
      </w:pPr>
      <w:r>
        <w:rPr>
          <w:color w:val="000000"/>
        </w:rPr>
        <w:t xml:space="preserve">As each wave of the NPSAS:12 sample </w:t>
      </w:r>
      <w:r w:rsidR="00D70555">
        <w:rPr>
          <w:color w:val="000000"/>
        </w:rPr>
        <w:t xml:space="preserve">has </w:t>
      </w:r>
      <w:r>
        <w:rPr>
          <w:color w:val="000000"/>
        </w:rPr>
        <w:t xml:space="preserve">moved from the early response to the production phase of </w:t>
      </w:r>
      <w:r w:rsidR="00CF442A">
        <w:rPr>
          <w:color w:val="000000"/>
        </w:rPr>
        <w:t>data collection</w:t>
      </w:r>
      <w:r>
        <w:rPr>
          <w:color w:val="000000"/>
        </w:rPr>
        <w:t>, the approach taken to encourage response continued to depend on institution sector</w:t>
      </w:r>
      <w:r w:rsidR="00FB436A">
        <w:rPr>
          <w:color w:val="000000"/>
        </w:rPr>
        <w:t>.  Other factors about an individual’s experience in data collection were also considered.  For example,</w:t>
      </w:r>
      <w:r w:rsidR="001606D6">
        <w:rPr>
          <w:color w:val="000000"/>
        </w:rPr>
        <w:t xml:space="preserve"> specialized emails are being prepared based on</w:t>
      </w:r>
      <w:r w:rsidR="00FB436A">
        <w:rPr>
          <w:color w:val="000000"/>
        </w:rPr>
        <w:t xml:space="preserve"> </w:t>
      </w:r>
      <w:r>
        <w:rPr>
          <w:color w:val="000000"/>
        </w:rPr>
        <w:t>paradata, such as break offs and expressed preference to complete the online interview</w:t>
      </w:r>
      <w:r w:rsidR="00D70555">
        <w:rPr>
          <w:color w:val="000000"/>
        </w:rPr>
        <w:t>,</w:t>
      </w:r>
      <w:r w:rsidR="001606D6">
        <w:rPr>
          <w:color w:val="000000"/>
        </w:rPr>
        <w:t xml:space="preserve"> and USPS Priority Mail is being used to contact cases sampled as FTBs.  </w:t>
      </w:r>
      <w:r w:rsidR="00D70555">
        <w:rPr>
          <w:color w:val="000000"/>
        </w:rPr>
        <w:t>As the data collection period is ending, c</w:t>
      </w:r>
      <w:r w:rsidR="001606D6">
        <w:rPr>
          <w:color w:val="000000"/>
        </w:rPr>
        <w:t xml:space="preserve">ases are being offered </w:t>
      </w:r>
      <w:r w:rsidR="00FB436A">
        <w:rPr>
          <w:color w:val="000000"/>
        </w:rPr>
        <w:t xml:space="preserve">the abbreviated interview </w:t>
      </w:r>
      <w:r w:rsidR="001606D6">
        <w:rPr>
          <w:color w:val="000000"/>
        </w:rPr>
        <w:t xml:space="preserve">depending on their time in data collection and expressed reluctance to commit time to the interview.  </w:t>
      </w:r>
    </w:p>
    <w:p w:rsidR="00BB45C5" w:rsidRPr="0016414C" w:rsidRDefault="00BB45C5" w:rsidP="0020207E">
      <w:pPr>
        <w:pStyle w:val="Heading3"/>
      </w:pPr>
      <w:bookmarkStart w:id="192" w:name="_Toc337840024"/>
      <w:r w:rsidRPr="0016414C">
        <w:t>B&amp;B:08/12</w:t>
      </w:r>
      <w:bookmarkEnd w:id="192"/>
      <w:r w:rsidRPr="0016414C">
        <w:t xml:space="preserve">  </w:t>
      </w:r>
    </w:p>
    <w:p w:rsidR="00BB45C5" w:rsidRPr="0016414C" w:rsidRDefault="00BB45C5" w:rsidP="00D70555">
      <w:pPr>
        <w:pStyle w:val="BodyText"/>
        <w:rPr>
          <w:rFonts w:asciiTheme="majorBidi" w:hAnsiTheme="majorBidi" w:cstheme="majorBidi"/>
          <w:b/>
          <w:bCs/>
        </w:rPr>
      </w:pPr>
      <w:r w:rsidRPr="0016414C">
        <w:rPr>
          <w:rFonts w:asciiTheme="majorBidi" w:hAnsiTheme="majorBidi" w:cstheme="majorBidi"/>
        </w:rPr>
        <w:t xml:space="preserve">In the B&amp;B:08/12 field-test (July 2011 to October 2011), </w:t>
      </w:r>
      <w:r w:rsidR="00A00F69">
        <w:rPr>
          <w:rFonts w:asciiTheme="majorBidi" w:hAnsiTheme="majorBidi" w:cstheme="majorBidi"/>
        </w:rPr>
        <w:t xml:space="preserve">RTI </w:t>
      </w:r>
      <w:r w:rsidRPr="0016414C">
        <w:rPr>
          <w:rFonts w:asciiTheme="majorBidi" w:hAnsiTheme="majorBidi" w:cstheme="majorBidi"/>
        </w:rPr>
        <w:t xml:space="preserve">targeted cases with a low </w:t>
      </w:r>
      <w:r w:rsidR="00D70555">
        <w:rPr>
          <w:rFonts w:asciiTheme="majorBidi" w:hAnsiTheme="majorBidi" w:cstheme="majorBidi"/>
        </w:rPr>
        <w:t xml:space="preserve">propensity to respond </w:t>
      </w:r>
      <w:r w:rsidRPr="0016414C">
        <w:rPr>
          <w:rFonts w:asciiTheme="majorBidi" w:hAnsiTheme="majorBidi" w:cstheme="majorBidi"/>
        </w:rPr>
        <w:t>and a high likelihood of contributing to nonresponse bias</w:t>
      </w:r>
      <w:r w:rsidR="00D70555">
        <w:rPr>
          <w:rFonts w:asciiTheme="majorBidi" w:hAnsiTheme="majorBidi" w:cstheme="majorBidi"/>
        </w:rPr>
        <w:t xml:space="preserve"> in order to increase </w:t>
      </w:r>
      <w:r w:rsidRPr="0016414C">
        <w:rPr>
          <w:rFonts w:asciiTheme="majorBidi" w:hAnsiTheme="majorBidi" w:cstheme="majorBidi"/>
        </w:rPr>
        <w:t xml:space="preserve">the response rate and </w:t>
      </w:r>
      <w:r w:rsidR="00D70555">
        <w:rPr>
          <w:rFonts w:asciiTheme="majorBidi" w:hAnsiTheme="majorBidi" w:cstheme="majorBidi"/>
        </w:rPr>
        <w:t xml:space="preserve">yield </w:t>
      </w:r>
      <w:r w:rsidRPr="0016414C">
        <w:rPr>
          <w:rFonts w:asciiTheme="majorBidi" w:hAnsiTheme="majorBidi" w:cstheme="majorBidi"/>
        </w:rPr>
        <w:t xml:space="preserve">less biased survey estimates.  To begin, frame data, paradata, and indicators of previous </w:t>
      </w:r>
      <w:r w:rsidRPr="0016414C">
        <w:rPr>
          <w:rFonts w:asciiTheme="majorBidi" w:hAnsiTheme="majorBidi" w:cstheme="majorBidi"/>
        </w:rPr>
        <w:lastRenderedPageBreak/>
        <w:t xml:space="preserve">response behavior were used to develop a predictive model of a given sample member’s propensity to respond. To build the model, </w:t>
      </w:r>
      <w:r w:rsidR="00180AF6">
        <w:rPr>
          <w:rFonts w:asciiTheme="majorBidi" w:hAnsiTheme="majorBidi" w:cstheme="majorBidi"/>
        </w:rPr>
        <w:t xml:space="preserve">RTI </w:t>
      </w:r>
      <w:r w:rsidRPr="0016414C">
        <w:rPr>
          <w:rFonts w:asciiTheme="majorBidi" w:hAnsiTheme="majorBidi" w:cstheme="majorBidi"/>
        </w:rPr>
        <w:t xml:space="preserve">estimated logistic regression coefficients using data from the </w:t>
      </w:r>
      <w:r w:rsidR="007C36C8">
        <w:rPr>
          <w:rFonts w:asciiTheme="majorBidi" w:hAnsiTheme="majorBidi" w:cstheme="majorBidi"/>
        </w:rPr>
        <w:t xml:space="preserve">NPSAS:08 </w:t>
      </w:r>
      <w:r w:rsidRPr="0016414C">
        <w:rPr>
          <w:rFonts w:asciiTheme="majorBidi" w:hAnsiTheme="majorBidi" w:cstheme="majorBidi"/>
        </w:rPr>
        <w:t>base</w:t>
      </w:r>
      <w:r w:rsidR="007C36C8">
        <w:rPr>
          <w:rFonts w:asciiTheme="majorBidi" w:hAnsiTheme="majorBidi" w:cstheme="majorBidi"/>
        </w:rPr>
        <w:t xml:space="preserve"> </w:t>
      </w:r>
      <w:r w:rsidRPr="0016414C">
        <w:rPr>
          <w:rFonts w:asciiTheme="majorBidi" w:hAnsiTheme="majorBidi" w:cstheme="majorBidi"/>
        </w:rPr>
        <w:t xml:space="preserve">year to predict response in </w:t>
      </w:r>
      <w:r w:rsidR="00A00F69">
        <w:rPr>
          <w:rFonts w:asciiTheme="majorBidi" w:hAnsiTheme="majorBidi" w:cstheme="majorBidi"/>
        </w:rPr>
        <w:t xml:space="preserve">the </w:t>
      </w:r>
      <w:r w:rsidRPr="0016414C">
        <w:rPr>
          <w:rFonts w:asciiTheme="majorBidi" w:hAnsiTheme="majorBidi" w:cstheme="majorBidi"/>
        </w:rPr>
        <w:t xml:space="preserve">first follow-up (B&amp;B:08/09). The resulting model produced odds ratios ranging from 0.99 to 2.65 with an r-squared value of 0.19.  </w:t>
      </w:r>
    </w:p>
    <w:p w:rsidR="00BB45C5" w:rsidRPr="0016414C" w:rsidRDefault="00BB45C5" w:rsidP="00CA44B9">
      <w:pPr>
        <w:pStyle w:val="BodyText"/>
        <w:rPr>
          <w:rFonts w:asciiTheme="majorBidi" w:hAnsiTheme="majorBidi" w:cstheme="majorBidi"/>
          <w:b/>
          <w:bCs/>
        </w:rPr>
      </w:pPr>
      <w:r w:rsidRPr="0016414C">
        <w:rPr>
          <w:rFonts w:asciiTheme="majorBidi" w:hAnsiTheme="majorBidi" w:cstheme="majorBidi"/>
        </w:rPr>
        <w:t>Before the start of data collection, response propensities for all sample members were calculated based on the developed model, then used to divide the sample into low and high response propensity groups. Approximately one-third of the cases were in the high propensity group, and two-thirds were in the low propensity group.  The low propensity group was comprised of those less likely to complete and most likely to introduce nonresponse bias if they remained nonrespondents. Within each of the propensity levels, cases were randomly assigned into a control group, which received the same incentive offered in the prior field test round ($35 or $55), and an experimental group</w:t>
      </w:r>
      <w:r w:rsidR="00D70555">
        <w:rPr>
          <w:rFonts w:asciiTheme="majorBidi" w:hAnsiTheme="majorBidi" w:cstheme="majorBidi"/>
        </w:rPr>
        <w:t>,</w:t>
      </w:r>
      <w:r w:rsidRPr="0016414C">
        <w:rPr>
          <w:rFonts w:asciiTheme="majorBidi" w:hAnsiTheme="majorBidi" w:cstheme="majorBidi"/>
        </w:rPr>
        <w:t xml:space="preserve"> whose incentive amounts varied by response propensity:  $20 or $40 was offered to all cases in the high propensity group, and $50 or $70 was offered to cases in the low propensity group, depending on the amount they received in the prior field test, with those receiving $55 in 2009 receiving $70 in 2011.</w:t>
      </w:r>
    </w:p>
    <w:p w:rsidR="00970EF1" w:rsidRDefault="007C36C8" w:rsidP="007C36C8">
      <w:pPr>
        <w:pStyle w:val="BodyTextnoindent0"/>
        <w:ind w:firstLine="720"/>
        <w:rPr>
          <w:rFonts w:asciiTheme="majorBidi" w:hAnsiTheme="majorBidi" w:cstheme="majorBidi"/>
        </w:rPr>
      </w:pPr>
      <w:r>
        <w:rPr>
          <w:rFonts w:asciiTheme="majorBidi" w:hAnsiTheme="majorBidi" w:cstheme="majorBidi"/>
        </w:rPr>
        <w:t>Like the NPSAS:12 field test, e</w:t>
      </w:r>
      <w:r w:rsidR="00BB45C5" w:rsidRPr="0016414C">
        <w:rPr>
          <w:rFonts w:asciiTheme="majorBidi" w:hAnsiTheme="majorBidi" w:cstheme="majorBidi"/>
        </w:rPr>
        <w:t>valuation of the field test results showed that the propensity model was able to accurately predict relative likelihood to respond. The proportion of nonrespondents in the low propensity group (39 percent) was more than three times the proportion in the high propensity group (11 percent; χ</w:t>
      </w:r>
      <w:r w:rsidR="00BB45C5" w:rsidRPr="0016414C">
        <w:rPr>
          <w:rFonts w:asciiTheme="majorBidi" w:hAnsiTheme="majorBidi" w:cstheme="majorBidi"/>
          <w:vertAlign w:val="superscript"/>
        </w:rPr>
        <w:t>2</w:t>
      </w:r>
      <w:r w:rsidR="00BB45C5" w:rsidRPr="0016414C">
        <w:rPr>
          <w:rFonts w:asciiTheme="majorBidi" w:hAnsiTheme="majorBidi" w:cstheme="majorBidi"/>
        </w:rPr>
        <w:t>, (1, N=1,588)=139.0; p &lt;.01)</w:t>
      </w:r>
      <w:bookmarkStart w:id="193" w:name="RANGE!B2"/>
      <w:bookmarkEnd w:id="193"/>
      <w:r w:rsidR="00BB45C5" w:rsidRPr="0016414C">
        <w:rPr>
          <w:rFonts w:asciiTheme="majorBidi" w:hAnsiTheme="majorBidi" w:cstheme="majorBidi"/>
        </w:rPr>
        <w:t xml:space="preserve">.  Analyses of response rates for the treatment and control groups indicated that changes in incentives had the strongest impact on response rates for those individuals in the middle of the propensity score range.  Observed response rates were higher in the incentive treatment group for those individuals with the highest propensity scores within the low propensity classification (81.4 and 73.3 percent, </w:t>
      </w:r>
      <w:r w:rsidR="00BB45C5" w:rsidRPr="0016414C">
        <w:rPr>
          <w:rFonts w:asciiTheme="majorBidi" w:hAnsiTheme="majorBidi" w:cstheme="majorBidi"/>
          <w:i/>
          <w:iCs/>
        </w:rPr>
        <w:t>t</w:t>
      </w:r>
      <w:r w:rsidR="00BB45C5" w:rsidRPr="0016414C">
        <w:rPr>
          <w:rFonts w:asciiTheme="majorBidi" w:hAnsiTheme="majorBidi" w:cstheme="majorBidi"/>
        </w:rPr>
        <w:t xml:space="preserve"> = 2.04, </w:t>
      </w:r>
      <w:r w:rsidR="00BB45C5" w:rsidRPr="0016414C">
        <w:rPr>
          <w:rFonts w:asciiTheme="majorBidi" w:hAnsiTheme="majorBidi" w:cstheme="majorBidi"/>
          <w:i/>
          <w:iCs/>
        </w:rPr>
        <w:t>df</w:t>
      </w:r>
      <w:r w:rsidR="00BB45C5" w:rsidRPr="0016414C">
        <w:rPr>
          <w:rFonts w:asciiTheme="majorBidi" w:hAnsiTheme="majorBidi" w:cstheme="majorBidi"/>
        </w:rPr>
        <w:t> = 539, p</w:t>
      </w:r>
      <w:r w:rsidR="00BB45C5" w:rsidRPr="0016414C">
        <w:rPr>
          <w:rFonts w:asciiTheme="majorBidi" w:hAnsiTheme="majorBidi" w:cstheme="majorBidi"/>
          <w:u w:val="single"/>
        </w:rPr>
        <w:t>&lt;</w:t>
      </w:r>
      <w:r w:rsidR="00BB45C5" w:rsidRPr="0016414C">
        <w:rPr>
          <w:rFonts w:asciiTheme="majorBidi" w:hAnsiTheme="majorBidi" w:cstheme="majorBidi"/>
        </w:rPr>
        <w:t xml:space="preserve">.05). Those with the lowest propensity scores within the high propensity classification showed a numerical difference in response rates between treatment and control groups (79 and 89 percent, respectively), but the difference was not statistically significant.  </w:t>
      </w:r>
      <w:bookmarkStart w:id="194" w:name="_Toc296522193"/>
      <w:bookmarkStart w:id="195" w:name="_Toc296522417"/>
      <w:bookmarkStart w:id="196" w:name="_Toc296522506"/>
      <w:bookmarkStart w:id="197" w:name="_Toc296522582"/>
      <w:bookmarkStart w:id="198" w:name="_Toc296523046"/>
      <w:bookmarkStart w:id="199" w:name="_Toc296524974"/>
      <w:bookmarkStart w:id="200" w:name="_Toc296522419"/>
      <w:bookmarkStart w:id="201" w:name="_Toc296522508"/>
      <w:bookmarkStart w:id="202" w:name="_Toc296522584"/>
      <w:bookmarkStart w:id="203" w:name="_Toc296523048"/>
      <w:bookmarkStart w:id="204" w:name="_Toc296524976"/>
      <w:bookmarkEnd w:id="194"/>
      <w:bookmarkEnd w:id="195"/>
      <w:bookmarkEnd w:id="196"/>
      <w:bookmarkEnd w:id="197"/>
      <w:bookmarkEnd w:id="198"/>
      <w:bookmarkEnd w:id="199"/>
      <w:bookmarkEnd w:id="200"/>
      <w:bookmarkEnd w:id="201"/>
      <w:bookmarkEnd w:id="202"/>
      <w:bookmarkEnd w:id="203"/>
      <w:bookmarkEnd w:id="204"/>
      <w:r>
        <w:rPr>
          <w:rFonts w:asciiTheme="majorBidi" w:hAnsiTheme="majorBidi" w:cstheme="majorBidi"/>
        </w:rPr>
        <w:t>However, f</w:t>
      </w:r>
      <w:r w:rsidR="00BB45C5" w:rsidRPr="0016414C">
        <w:rPr>
          <w:rFonts w:asciiTheme="majorBidi" w:hAnsiTheme="majorBidi" w:cstheme="majorBidi"/>
        </w:rPr>
        <w:t xml:space="preserve">ield test results did not show a reduction in bias as a result of the additional response. </w:t>
      </w:r>
    </w:p>
    <w:p w:rsidR="00BB45C5" w:rsidRPr="0016414C" w:rsidRDefault="007C36C8" w:rsidP="00003958">
      <w:pPr>
        <w:spacing w:before="120" w:after="120" w:line="320" w:lineRule="atLeast"/>
        <w:ind w:firstLine="720"/>
        <w:rPr>
          <w:rFonts w:asciiTheme="majorBidi" w:hAnsiTheme="majorBidi" w:cstheme="majorBidi"/>
        </w:rPr>
      </w:pPr>
      <w:r>
        <w:rPr>
          <w:rFonts w:asciiTheme="majorBidi" w:hAnsiTheme="majorBidi" w:cstheme="majorBidi"/>
        </w:rPr>
        <w:t xml:space="preserve">In order to focus on identifying and targeting cases most likely to contribute to nonresponse bias, </w:t>
      </w:r>
      <w:r w:rsidR="00BB45C5" w:rsidRPr="0016414C">
        <w:rPr>
          <w:rFonts w:asciiTheme="majorBidi" w:hAnsiTheme="majorBidi" w:cstheme="majorBidi"/>
        </w:rPr>
        <w:t>a revised approach is being tried in the B&amp;B:08/12 full-scale data collection</w:t>
      </w:r>
      <w:r>
        <w:rPr>
          <w:rFonts w:asciiTheme="majorBidi" w:hAnsiTheme="majorBidi" w:cstheme="majorBidi"/>
        </w:rPr>
        <w:t xml:space="preserve"> </w:t>
      </w:r>
      <w:r w:rsidR="00D70555">
        <w:rPr>
          <w:rFonts w:asciiTheme="majorBidi" w:hAnsiTheme="majorBidi" w:cstheme="majorBidi"/>
        </w:rPr>
        <w:t xml:space="preserve">that uses </w:t>
      </w:r>
      <w:r w:rsidR="00BB45C5" w:rsidRPr="0016414C">
        <w:rPr>
          <w:rFonts w:asciiTheme="majorBidi" w:hAnsiTheme="majorBidi" w:cstheme="majorBidi"/>
        </w:rPr>
        <w:t>a responsive design and the Mahalanobis distance measure to identify cases for targeted treatments</w:t>
      </w:r>
      <w:r w:rsidR="00D70555">
        <w:rPr>
          <w:rFonts w:asciiTheme="majorBidi" w:hAnsiTheme="majorBidi" w:cstheme="majorBidi"/>
        </w:rPr>
        <w:t xml:space="preserve">.  </w:t>
      </w:r>
      <w:r w:rsidR="00BB45C5" w:rsidRPr="0016414C">
        <w:rPr>
          <w:rFonts w:asciiTheme="majorBidi" w:hAnsiTheme="majorBidi" w:cstheme="majorBidi"/>
        </w:rPr>
        <w:t xml:space="preserve">For the first three months of data collection, </w:t>
      </w:r>
      <w:r w:rsidR="00003958">
        <w:rPr>
          <w:rFonts w:asciiTheme="majorBidi" w:hAnsiTheme="majorBidi" w:cstheme="majorBidi"/>
        </w:rPr>
        <w:t xml:space="preserve">which began in August 2012, </w:t>
      </w:r>
      <w:r w:rsidR="00BB45C5" w:rsidRPr="0016414C">
        <w:rPr>
          <w:rFonts w:asciiTheme="majorBidi" w:hAnsiTheme="majorBidi" w:cstheme="majorBidi"/>
        </w:rPr>
        <w:t xml:space="preserve">all sample members are receiving the same treatment in data collection – the web, online interview option with “CATI-light,” during which a small number of calls is being made, mainly to prompt sample members to complete the online interview. </w:t>
      </w:r>
      <w:r>
        <w:rPr>
          <w:rFonts w:asciiTheme="majorBidi" w:hAnsiTheme="majorBidi" w:cstheme="majorBidi"/>
        </w:rPr>
        <w:t>I</w:t>
      </w:r>
      <w:r w:rsidR="00BB45C5" w:rsidRPr="0016414C">
        <w:rPr>
          <w:rFonts w:asciiTheme="majorBidi" w:hAnsiTheme="majorBidi" w:cstheme="majorBidi"/>
        </w:rPr>
        <w:t xml:space="preserve">ncentive offers during the first three months are </w:t>
      </w:r>
      <w:r>
        <w:rPr>
          <w:rFonts w:asciiTheme="majorBidi" w:hAnsiTheme="majorBidi" w:cstheme="majorBidi"/>
        </w:rPr>
        <w:t xml:space="preserve">determined by </w:t>
      </w:r>
      <w:r w:rsidR="00BB45C5" w:rsidRPr="0016414C">
        <w:rPr>
          <w:rFonts w:asciiTheme="majorBidi" w:hAnsiTheme="majorBidi" w:cstheme="majorBidi"/>
        </w:rPr>
        <w:t>a case’s propensity score</w:t>
      </w:r>
      <w:r>
        <w:rPr>
          <w:rFonts w:asciiTheme="majorBidi" w:hAnsiTheme="majorBidi" w:cstheme="majorBidi"/>
        </w:rPr>
        <w:t>, calculated prior to the start of data collection</w:t>
      </w:r>
      <w:r w:rsidR="00BB45C5" w:rsidRPr="0016414C">
        <w:rPr>
          <w:rFonts w:asciiTheme="majorBidi" w:hAnsiTheme="majorBidi" w:cstheme="majorBidi"/>
        </w:rPr>
        <w:t>.  Cases with the highest propensity scores are being offered $20, midrange $35, and lowest propensity $55.</w:t>
      </w:r>
      <w:r w:rsidR="00E76EC2">
        <w:rPr>
          <w:rFonts w:asciiTheme="majorBidi" w:hAnsiTheme="majorBidi" w:cstheme="majorBidi"/>
        </w:rPr>
        <w:t xml:space="preserve">  </w:t>
      </w:r>
    </w:p>
    <w:p w:rsidR="00BB45C5" w:rsidRPr="0016414C" w:rsidRDefault="00003958" w:rsidP="00003958">
      <w:pPr>
        <w:pStyle w:val="BodyText"/>
        <w:rPr>
          <w:rFonts w:asciiTheme="majorBidi" w:hAnsiTheme="majorBidi" w:cstheme="majorBidi"/>
          <w:b/>
          <w:bCs/>
        </w:rPr>
      </w:pPr>
      <w:r>
        <w:rPr>
          <w:rFonts w:asciiTheme="majorBidi" w:hAnsiTheme="majorBidi" w:cstheme="majorBidi"/>
        </w:rPr>
        <w:t>The B&amp;B full-scale sample has been split into a treatment and a control group at random and, i</w:t>
      </w:r>
      <w:r w:rsidR="00BB45C5" w:rsidRPr="0016414C">
        <w:rPr>
          <w:rFonts w:asciiTheme="majorBidi" w:hAnsiTheme="majorBidi" w:cstheme="majorBidi"/>
          <w:iCs/>
        </w:rPr>
        <w:t xml:space="preserve">n Month 3 (November 2012), </w:t>
      </w:r>
      <w:r w:rsidR="00BB45C5" w:rsidRPr="0016414C">
        <w:rPr>
          <w:rFonts w:asciiTheme="majorBidi" w:hAnsiTheme="majorBidi" w:cstheme="majorBidi"/>
        </w:rPr>
        <w:t xml:space="preserve">Mahalanobis values of </w:t>
      </w:r>
      <w:r w:rsidR="00E76EC2">
        <w:rPr>
          <w:rFonts w:asciiTheme="majorBidi" w:hAnsiTheme="majorBidi" w:cstheme="majorBidi"/>
        </w:rPr>
        <w:t xml:space="preserve">treatment group </w:t>
      </w:r>
      <w:r w:rsidR="00BB45C5" w:rsidRPr="0016414C">
        <w:rPr>
          <w:rFonts w:asciiTheme="majorBidi" w:hAnsiTheme="majorBidi" w:cstheme="majorBidi"/>
        </w:rPr>
        <w:t xml:space="preserve">nonrespondents will be </w:t>
      </w:r>
      <w:r>
        <w:rPr>
          <w:rFonts w:asciiTheme="majorBidi" w:hAnsiTheme="majorBidi" w:cstheme="majorBidi"/>
        </w:rPr>
        <w:t>calculated.  C</w:t>
      </w:r>
      <w:r w:rsidR="00BB45C5" w:rsidRPr="0016414C">
        <w:rPr>
          <w:rFonts w:asciiTheme="majorBidi" w:hAnsiTheme="majorBidi" w:cstheme="majorBidi"/>
        </w:rPr>
        <w:t xml:space="preserve">ases above a threshold value (high-distance) will be offered another $15 in addition to </w:t>
      </w:r>
      <w:r w:rsidR="00E76EC2">
        <w:rPr>
          <w:rFonts w:asciiTheme="majorBidi" w:hAnsiTheme="majorBidi" w:cstheme="majorBidi"/>
        </w:rPr>
        <w:t xml:space="preserve">their original incentive offer </w:t>
      </w:r>
      <w:r w:rsidR="00BB45C5" w:rsidRPr="0016414C">
        <w:rPr>
          <w:rFonts w:asciiTheme="majorBidi" w:hAnsiTheme="majorBidi" w:cstheme="majorBidi"/>
        </w:rPr>
        <w:t xml:space="preserve">of $20, $35, or $55 </w:t>
      </w:r>
      <w:r>
        <w:rPr>
          <w:rFonts w:asciiTheme="majorBidi" w:hAnsiTheme="majorBidi" w:cstheme="majorBidi"/>
        </w:rPr>
        <w:t>(</w:t>
      </w:r>
      <w:r w:rsidR="00E8520F">
        <w:rPr>
          <w:rFonts w:asciiTheme="majorBidi" w:hAnsiTheme="majorBidi" w:cstheme="majorBidi"/>
        </w:rPr>
        <w:t>o</w:t>
      </w:r>
      <w:r w:rsidR="00BB45C5" w:rsidRPr="0016414C">
        <w:rPr>
          <w:rFonts w:asciiTheme="majorBidi" w:hAnsiTheme="majorBidi" w:cstheme="majorBidi"/>
        </w:rPr>
        <w:t>nce a case becomes eligible for the additional $15, they will remain eligible for the additional $15</w:t>
      </w:r>
      <w:r>
        <w:rPr>
          <w:rFonts w:asciiTheme="majorBidi" w:hAnsiTheme="majorBidi" w:cstheme="majorBidi"/>
        </w:rPr>
        <w:t>)</w:t>
      </w:r>
      <w:r w:rsidR="00E8520F">
        <w:rPr>
          <w:rFonts w:asciiTheme="majorBidi" w:hAnsiTheme="majorBidi" w:cstheme="majorBidi"/>
        </w:rPr>
        <w:t>.</w:t>
      </w:r>
      <w:r w:rsidR="00BB45C5" w:rsidRPr="0016414C">
        <w:rPr>
          <w:rFonts w:asciiTheme="majorBidi" w:hAnsiTheme="majorBidi" w:cstheme="majorBidi"/>
        </w:rPr>
        <w:t xml:space="preserve"> </w:t>
      </w:r>
      <w:r w:rsidR="00E76EC2">
        <w:rPr>
          <w:rFonts w:asciiTheme="majorBidi" w:hAnsiTheme="majorBidi" w:cstheme="majorBidi"/>
        </w:rPr>
        <w:t xml:space="preserve"> All other treatment group and control group members will continue at their initial incentive level.</w:t>
      </w:r>
    </w:p>
    <w:p w:rsidR="00BB45C5" w:rsidRPr="0016414C" w:rsidRDefault="00BB45C5" w:rsidP="00CA44B9">
      <w:pPr>
        <w:pStyle w:val="BodyText"/>
        <w:rPr>
          <w:rFonts w:asciiTheme="majorBidi" w:hAnsiTheme="majorBidi" w:cstheme="majorBidi"/>
          <w:b/>
          <w:bCs/>
        </w:rPr>
      </w:pPr>
      <w:r w:rsidRPr="0016414C">
        <w:rPr>
          <w:rFonts w:asciiTheme="majorBidi" w:hAnsiTheme="majorBidi" w:cstheme="majorBidi"/>
        </w:rPr>
        <w:lastRenderedPageBreak/>
        <w:t xml:space="preserve">After an additional month of data collection (December 2012), Mahalanobis values will be reevaluated for the remaining treatment group nonrespondents.  Those above a new cut point (determined based on the remaining nonrespondents at Month 4) will receive extensive case review in which project staff will review the CMS-CATI events log and paradata available for a particular case (e.g., availability of e-mail address, parent address, etc.) to identify any specific actions that may encourage a sample member’s participation. Cases eligible for extensive case review will also be prioritized in the CMS. The high-distance nonrespondents in the control group and all low-distance nonrespondents will receive extensive case review, but on the regular schedule (i.e., six weeks later). </w:t>
      </w:r>
    </w:p>
    <w:p w:rsidR="00BB45C5" w:rsidRPr="0016414C" w:rsidRDefault="00BB45C5" w:rsidP="00CA44B9">
      <w:pPr>
        <w:pStyle w:val="BodyText"/>
        <w:rPr>
          <w:rFonts w:asciiTheme="majorBidi" w:hAnsiTheme="majorBidi" w:cstheme="majorBidi"/>
          <w:b/>
          <w:bCs/>
        </w:rPr>
      </w:pPr>
      <w:r w:rsidRPr="0016414C">
        <w:rPr>
          <w:rFonts w:asciiTheme="majorBidi" w:hAnsiTheme="majorBidi" w:cstheme="majorBidi"/>
          <w:iCs/>
        </w:rPr>
        <w:t xml:space="preserve">In Month 6 (February 2013), </w:t>
      </w:r>
      <w:r w:rsidRPr="0016414C">
        <w:rPr>
          <w:rFonts w:asciiTheme="majorBidi" w:hAnsiTheme="majorBidi" w:cstheme="majorBidi"/>
        </w:rPr>
        <w:t>Mahalanobis values will be evaluated again for remaining nonrespondents, and those above the cut point (determined based on the remaining nonrespondents at month 6) will be offered an abbreviated interview. The high-distance nonrespondents in the control group and all low-distance nonrespondents will receive an abbreviated interview, but on the regular schedule (i.e., 6 weeks later).</w:t>
      </w:r>
    </w:p>
    <w:p w:rsidR="00BB45C5" w:rsidRPr="0016414C" w:rsidRDefault="00BB45C5" w:rsidP="0020207E">
      <w:pPr>
        <w:pStyle w:val="Heading3"/>
      </w:pPr>
      <w:bookmarkStart w:id="205" w:name="_Toc337840025"/>
      <w:r w:rsidRPr="0016414C">
        <w:t>ELS:2002/12</w:t>
      </w:r>
      <w:bookmarkEnd w:id="205"/>
    </w:p>
    <w:p w:rsidR="00BB45C5" w:rsidRPr="0016414C" w:rsidRDefault="00BB45C5" w:rsidP="00CA44B9">
      <w:pPr>
        <w:spacing w:before="120" w:after="120" w:line="320" w:lineRule="atLeast"/>
        <w:ind w:firstLine="720"/>
        <w:rPr>
          <w:rFonts w:asciiTheme="majorBidi" w:hAnsiTheme="majorBidi" w:cstheme="majorBidi"/>
          <w:szCs w:val="24"/>
        </w:rPr>
      </w:pPr>
      <w:r w:rsidRPr="0016414C">
        <w:rPr>
          <w:rFonts w:asciiTheme="majorBidi" w:hAnsiTheme="majorBidi" w:cstheme="majorBidi"/>
          <w:szCs w:val="24"/>
        </w:rPr>
        <w:t xml:space="preserve">For the ELS </w:t>
      </w:r>
      <w:r w:rsidR="00003958">
        <w:rPr>
          <w:rFonts w:asciiTheme="majorBidi" w:hAnsiTheme="majorBidi" w:cstheme="majorBidi"/>
          <w:szCs w:val="24"/>
        </w:rPr>
        <w:t xml:space="preserve">third follow-up </w:t>
      </w:r>
      <w:r w:rsidRPr="0016414C">
        <w:rPr>
          <w:rFonts w:asciiTheme="majorBidi" w:hAnsiTheme="majorBidi" w:cstheme="majorBidi"/>
          <w:szCs w:val="24"/>
        </w:rPr>
        <w:t xml:space="preserve">field test (July 2011 to September 2011), sample members with the lowest response propensities were empirically identified, then targeted with interventions in an attempt to encourage participation. A logistic regression model was fitted with the sample member’s ELS:2002 second follow-up field test response status as the dependent variable.  As independent variables, a range of information known for </w:t>
      </w:r>
      <w:r w:rsidRPr="0016414C">
        <w:rPr>
          <w:rFonts w:asciiTheme="majorBidi" w:hAnsiTheme="majorBidi" w:cstheme="majorBidi"/>
          <w:i/>
          <w:iCs/>
          <w:szCs w:val="24"/>
        </w:rPr>
        <w:t>all</w:t>
      </w:r>
      <w:r w:rsidRPr="0016414C">
        <w:rPr>
          <w:rFonts w:asciiTheme="majorBidi" w:hAnsiTheme="majorBidi" w:cstheme="majorBidi"/>
          <w:szCs w:val="24"/>
        </w:rPr>
        <w:t xml:space="preserve"> respondents and nonrespondents from each prior wave of the longitudinal field test, including information from panel maintenance activities were examined for significance.</w:t>
      </w:r>
    </w:p>
    <w:p w:rsidR="00BB45C5" w:rsidRPr="0016414C" w:rsidRDefault="00BB45C5" w:rsidP="00003958">
      <w:pPr>
        <w:spacing w:before="120" w:after="120" w:line="320" w:lineRule="atLeast"/>
        <w:ind w:firstLine="720"/>
        <w:rPr>
          <w:rFonts w:asciiTheme="majorBidi" w:hAnsiTheme="majorBidi" w:cstheme="majorBidi"/>
          <w:szCs w:val="24"/>
        </w:rPr>
      </w:pPr>
      <w:r w:rsidRPr="0016414C">
        <w:rPr>
          <w:rFonts w:asciiTheme="majorBidi" w:hAnsiTheme="majorBidi" w:cstheme="majorBidi"/>
          <w:szCs w:val="24"/>
        </w:rPr>
        <w:t xml:space="preserve">Predicted probabilities derived from the logistic regression model were used to get an estimate of a case’s response propensity for the field test. Cases were split into two groups of equal size.  Field test sample members above the median response propensity were classified as high propensity (528 cases), and those below the median as low propensity (527 cases).  For the implementation of the experiment, the low propensity cases were randomly split into experimental and control groups.  </w:t>
      </w:r>
      <w:r w:rsidR="00003958">
        <w:rPr>
          <w:rFonts w:asciiTheme="majorBidi" w:hAnsiTheme="majorBidi" w:cstheme="majorBidi"/>
          <w:szCs w:val="24"/>
        </w:rPr>
        <w:t>L</w:t>
      </w:r>
      <w:r w:rsidRPr="0016414C">
        <w:rPr>
          <w:rFonts w:asciiTheme="majorBidi" w:hAnsiTheme="majorBidi" w:cstheme="majorBidi"/>
          <w:szCs w:val="24"/>
        </w:rPr>
        <w:t>ow propensity experimental group cases were offered a higher incentive of $45 at the start of data collection (weeks 1-9)</w:t>
      </w:r>
      <w:r w:rsidR="00003958">
        <w:rPr>
          <w:rFonts w:asciiTheme="majorBidi" w:hAnsiTheme="majorBidi" w:cstheme="majorBidi"/>
          <w:szCs w:val="24"/>
        </w:rPr>
        <w:t>,</w:t>
      </w:r>
      <w:r w:rsidRPr="0016414C">
        <w:rPr>
          <w:rFonts w:asciiTheme="majorBidi" w:hAnsiTheme="majorBidi" w:cstheme="majorBidi"/>
          <w:szCs w:val="24"/>
        </w:rPr>
        <w:t xml:space="preserve"> </w:t>
      </w:r>
      <w:r w:rsidR="00003958">
        <w:rPr>
          <w:rFonts w:asciiTheme="majorBidi" w:hAnsiTheme="majorBidi" w:cstheme="majorBidi"/>
          <w:szCs w:val="24"/>
        </w:rPr>
        <w:t xml:space="preserve">increasing </w:t>
      </w:r>
      <w:r w:rsidRPr="0016414C">
        <w:rPr>
          <w:rFonts w:asciiTheme="majorBidi" w:hAnsiTheme="majorBidi" w:cstheme="majorBidi"/>
          <w:szCs w:val="24"/>
        </w:rPr>
        <w:t xml:space="preserve">to $55 starting at week 10.  High propensity and low propensity control group cases were offered $25 until week 10 of data collection, after which the incentive increased to $35. </w:t>
      </w:r>
    </w:p>
    <w:p w:rsidR="00BB45C5" w:rsidRPr="0016414C" w:rsidRDefault="00BB45C5" w:rsidP="00480435">
      <w:pPr>
        <w:spacing w:before="120" w:after="120" w:line="320" w:lineRule="atLeast"/>
        <w:ind w:firstLine="720"/>
        <w:rPr>
          <w:rFonts w:asciiTheme="majorBidi" w:hAnsiTheme="majorBidi" w:cstheme="majorBidi"/>
          <w:szCs w:val="24"/>
        </w:rPr>
      </w:pPr>
      <w:r w:rsidRPr="0016414C">
        <w:rPr>
          <w:rFonts w:asciiTheme="majorBidi" w:hAnsiTheme="majorBidi" w:cstheme="majorBidi"/>
          <w:szCs w:val="24"/>
        </w:rPr>
        <w:t>The predictive model developed ahead of the field test data collection effectively predicted the eventual response outcome for sample members.  The high propensity group’s response rate (67.4%) was significantly higher than that of the low propensity control group (45.4%).  This difference was statistically significant (</w:t>
      </w:r>
      <w:r w:rsidRPr="0016414C">
        <w:rPr>
          <w:rFonts w:asciiTheme="majorBidi" w:hAnsiTheme="majorBidi" w:cstheme="majorBidi"/>
          <w:i/>
          <w:iCs/>
          <w:szCs w:val="24"/>
        </w:rPr>
        <w:t>χ</w:t>
      </w:r>
      <w:r w:rsidRPr="0016414C">
        <w:rPr>
          <w:rFonts w:asciiTheme="majorBidi" w:hAnsiTheme="majorBidi" w:cstheme="majorBidi"/>
          <w:szCs w:val="24"/>
          <w:vertAlign w:val="superscript"/>
        </w:rPr>
        <w:t>2</w:t>
      </w:r>
      <w:r w:rsidRPr="0016414C">
        <w:rPr>
          <w:rFonts w:asciiTheme="majorBidi" w:hAnsiTheme="majorBidi" w:cstheme="majorBidi"/>
          <w:szCs w:val="24"/>
        </w:rPr>
        <w:t xml:space="preserve"> = 34.9; p &lt; .0001). </w:t>
      </w:r>
      <w:r w:rsidR="00003958">
        <w:rPr>
          <w:rFonts w:asciiTheme="majorBidi" w:hAnsiTheme="majorBidi" w:cstheme="majorBidi"/>
          <w:szCs w:val="24"/>
        </w:rPr>
        <w:t xml:space="preserve"> </w:t>
      </w:r>
      <w:r w:rsidRPr="0016414C">
        <w:rPr>
          <w:rFonts w:asciiTheme="majorBidi" w:hAnsiTheme="majorBidi" w:cstheme="majorBidi"/>
          <w:szCs w:val="24"/>
        </w:rPr>
        <w:t>In examining the effect of the higher incentive treatment for low propensity cases, a numerical difference in participation (51.6% for treatment cases v</w:t>
      </w:r>
      <w:r w:rsidR="002D6E82">
        <w:rPr>
          <w:rFonts w:asciiTheme="majorBidi" w:hAnsiTheme="majorBidi" w:cstheme="majorBidi"/>
          <w:szCs w:val="24"/>
        </w:rPr>
        <w:t>s</w:t>
      </w:r>
      <w:r w:rsidRPr="0016414C">
        <w:rPr>
          <w:rFonts w:asciiTheme="majorBidi" w:hAnsiTheme="majorBidi" w:cstheme="majorBidi"/>
          <w:szCs w:val="24"/>
        </w:rPr>
        <w:t xml:space="preserve">. 45.4%) was observed, however, the difference was not statistically significant.  </w:t>
      </w:r>
      <w:r w:rsidR="00003958">
        <w:rPr>
          <w:rFonts w:asciiTheme="majorBidi" w:hAnsiTheme="majorBidi" w:cstheme="majorBidi"/>
          <w:szCs w:val="24"/>
        </w:rPr>
        <w:t>T</w:t>
      </w:r>
      <w:r w:rsidRPr="0016414C">
        <w:rPr>
          <w:rFonts w:asciiTheme="majorBidi" w:hAnsiTheme="majorBidi" w:cstheme="majorBidi"/>
          <w:szCs w:val="24"/>
        </w:rPr>
        <w:t>he small ELS:2002 field test sample size and the brevity of the data collection period may have contributed to the inability to detect a significant difference in the results.</w:t>
      </w:r>
      <w:r w:rsidR="00480435">
        <w:rPr>
          <w:rFonts w:asciiTheme="majorBidi" w:hAnsiTheme="majorBidi" w:cstheme="majorBidi"/>
          <w:szCs w:val="24"/>
        </w:rPr>
        <w:t xml:space="preserve">  </w:t>
      </w:r>
      <w:r w:rsidRPr="0016414C">
        <w:rPr>
          <w:rFonts w:asciiTheme="majorBidi" w:hAnsiTheme="majorBidi" w:cstheme="majorBidi"/>
          <w:szCs w:val="24"/>
        </w:rPr>
        <w:t xml:space="preserve">In reviewing the mean relative bias, </w:t>
      </w:r>
      <w:r w:rsidRPr="0016414C">
        <w:rPr>
          <w:rFonts w:asciiTheme="majorBidi" w:eastAsia="ヒラギノ角ゴ Pro W3" w:hAnsiTheme="majorBidi" w:cstheme="majorBidi"/>
          <w:color w:val="000000"/>
          <w:kern w:val="24"/>
          <w:szCs w:val="24"/>
        </w:rPr>
        <w:t xml:space="preserve">it appeared that including low propensity cases in the dataset may </w:t>
      </w:r>
      <w:r w:rsidR="00003958">
        <w:rPr>
          <w:rFonts w:asciiTheme="majorBidi" w:eastAsia="ヒラギノ角ゴ Pro W3" w:hAnsiTheme="majorBidi" w:cstheme="majorBidi"/>
          <w:color w:val="000000"/>
          <w:kern w:val="24"/>
          <w:szCs w:val="24"/>
        </w:rPr>
        <w:t xml:space="preserve">have </w:t>
      </w:r>
      <w:r w:rsidRPr="0016414C">
        <w:rPr>
          <w:rFonts w:asciiTheme="majorBidi" w:eastAsia="ヒラギノ角ゴ Pro W3" w:hAnsiTheme="majorBidi" w:cstheme="majorBidi"/>
          <w:color w:val="000000"/>
          <w:kern w:val="24"/>
          <w:szCs w:val="24"/>
        </w:rPr>
        <w:t>help</w:t>
      </w:r>
      <w:r w:rsidR="00003958">
        <w:rPr>
          <w:rFonts w:asciiTheme="majorBidi" w:eastAsia="ヒラギノ角ゴ Pro W3" w:hAnsiTheme="majorBidi" w:cstheme="majorBidi"/>
          <w:color w:val="000000"/>
          <w:kern w:val="24"/>
          <w:szCs w:val="24"/>
        </w:rPr>
        <w:t>ed</w:t>
      </w:r>
      <w:r w:rsidRPr="0016414C">
        <w:rPr>
          <w:rFonts w:asciiTheme="majorBidi" w:eastAsia="ヒラギノ角ゴ Pro W3" w:hAnsiTheme="majorBidi" w:cstheme="majorBidi"/>
          <w:color w:val="000000"/>
          <w:kern w:val="24"/>
          <w:szCs w:val="24"/>
        </w:rPr>
        <w:t xml:space="preserve"> reduce bias, if only slightly, and the higher incentive for the low propensity experimental cases may have lowered the bias relative to the low propensity control group.  </w:t>
      </w:r>
    </w:p>
    <w:p w:rsidR="00BB45C5" w:rsidRPr="0093260A" w:rsidRDefault="00BB45C5"/>
    <w:p w:rsidR="00BB45C5" w:rsidRPr="0093260A" w:rsidRDefault="00BB45C5" w:rsidP="00CA44B9">
      <w:pPr>
        <w:spacing w:before="120" w:after="120" w:line="320" w:lineRule="atLeast"/>
        <w:sectPr w:rsidR="00BB45C5" w:rsidRPr="0093260A" w:rsidSect="00C50140">
          <w:pgSz w:w="12240" w:h="15840" w:code="1"/>
          <w:pgMar w:top="1008" w:right="1008" w:bottom="1008" w:left="1008" w:header="432" w:footer="432" w:gutter="0"/>
          <w:pgNumType w:start="1"/>
          <w:cols w:space="720"/>
          <w:docGrid w:linePitch="360"/>
        </w:sectPr>
      </w:pPr>
    </w:p>
    <w:p w:rsidR="008B26FF" w:rsidRDefault="008B26FF" w:rsidP="008B26FF">
      <w:pPr>
        <w:pStyle w:val="TableTitle"/>
        <w:ind w:left="0" w:firstLine="0"/>
      </w:pPr>
    </w:p>
    <w:p w:rsidR="008B26FF" w:rsidRDefault="008B26FF" w:rsidP="008B26FF">
      <w:pPr>
        <w:pStyle w:val="TableTitle"/>
        <w:ind w:left="0" w:firstLine="0"/>
      </w:pPr>
    </w:p>
    <w:p w:rsidR="00BB45C5" w:rsidRPr="00335B4F" w:rsidRDefault="00BB45C5" w:rsidP="008B26FF">
      <w:pPr>
        <w:pStyle w:val="TableTitle"/>
        <w:ind w:left="0" w:firstLine="0"/>
      </w:pPr>
      <w:bookmarkStart w:id="206" w:name="_Toc337840033"/>
      <w:r w:rsidRPr="00335B4F">
        <w:t xml:space="preserve">Table </w:t>
      </w:r>
      <w:r w:rsidR="00366169">
        <w:t>3</w:t>
      </w:r>
      <w:r w:rsidRPr="00335B4F">
        <w:t>.  Summary of Field Test and Full-Scale Data Collection Designs, by Study</w:t>
      </w:r>
      <w:bookmarkEnd w:id="206"/>
    </w:p>
    <w:tbl>
      <w:tblPr>
        <w:tblStyle w:val="LightShading1"/>
        <w:tblW w:w="5000" w:type="pct"/>
        <w:tblLook w:val="04A0" w:firstRow="1" w:lastRow="0" w:firstColumn="1" w:lastColumn="0" w:noHBand="0" w:noVBand="1"/>
      </w:tblPr>
      <w:tblGrid>
        <w:gridCol w:w="1230"/>
        <w:gridCol w:w="6194"/>
        <w:gridCol w:w="6616"/>
      </w:tblGrid>
      <w:tr w:rsidR="00BB45C5" w:rsidRPr="0093260A" w:rsidTr="008370AC">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38" w:type="pct"/>
          </w:tcPr>
          <w:p w:rsidR="00BB45C5" w:rsidRPr="008370AC" w:rsidRDefault="008370AC" w:rsidP="008370AC">
            <w:pPr>
              <w:spacing w:before="120" w:after="120" w:line="320" w:lineRule="atLeast"/>
              <w:jc w:val="center"/>
            </w:pPr>
            <w:r>
              <w:t>Study</w:t>
            </w:r>
          </w:p>
        </w:tc>
        <w:tc>
          <w:tcPr>
            <w:tcW w:w="2206" w:type="pct"/>
          </w:tcPr>
          <w:p w:rsidR="00BB45C5" w:rsidRPr="00335B4F" w:rsidRDefault="00BB45C5" w:rsidP="00CA44B9">
            <w:pPr>
              <w:spacing w:before="120" w:after="120" w:line="320" w:lineRule="atLeast"/>
              <w:jc w:val="center"/>
              <w:cnfStyle w:val="100000000000" w:firstRow="1" w:lastRow="0" w:firstColumn="0" w:lastColumn="0" w:oddVBand="0" w:evenVBand="0" w:oddHBand="0" w:evenHBand="0" w:firstRowFirstColumn="0" w:firstRowLastColumn="0" w:lastRowFirstColumn="0" w:lastRowLastColumn="0"/>
            </w:pPr>
            <w:r w:rsidRPr="00335B4F">
              <w:t>Field Test</w:t>
            </w:r>
          </w:p>
        </w:tc>
        <w:tc>
          <w:tcPr>
            <w:tcW w:w="2356" w:type="pct"/>
          </w:tcPr>
          <w:p w:rsidR="00BB45C5" w:rsidRPr="00335B4F" w:rsidRDefault="00BB45C5" w:rsidP="00CA44B9">
            <w:pPr>
              <w:spacing w:before="120" w:after="120" w:line="320" w:lineRule="atLeast"/>
              <w:jc w:val="center"/>
              <w:cnfStyle w:val="100000000000" w:firstRow="1" w:lastRow="0" w:firstColumn="0" w:lastColumn="0" w:oddVBand="0" w:evenVBand="0" w:oddHBand="0" w:evenHBand="0" w:firstRowFirstColumn="0" w:firstRowLastColumn="0" w:lastRowFirstColumn="0" w:lastRowLastColumn="0"/>
            </w:pPr>
            <w:r w:rsidRPr="00335B4F">
              <w:t>Full-Scale*</w:t>
            </w:r>
          </w:p>
        </w:tc>
      </w:tr>
      <w:tr w:rsidR="00BB45C5" w:rsidRPr="0093260A" w:rsidTr="0083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BB45C5" w:rsidRPr="00335B4F" w:rsidRDefault="00BB45C5" w:rsidP="00CA44B9">
            <w:pPr>
              <w:spacing w:before="40" w:after="40"/>
              <w:contextualSpacing/>
              <w:rPr>
                <w:b w:val="0"/>
                <w:bCs w:val="0"/>
                <w:sz w:val="20"/>
              </w:rPr>
            </w:pPr>
            <w:r w:rsidRPr="00335B4F">
              <w:rPr>
                <w:b w:val="0"/>
                <w:bCs w:val="0"/>
                <w:sz w:val="20"/>
              </w:rPr>
              <w:t>NPSAS:12</w:t>
            </w:r>
          </w:p>
        </w:tc>
        <w:tc>
          <w:tcPr>
            <w:tcW w:w="2206" w:type="pct"/>
          </w:tcPr>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Sample sorted by modeled response propensity into 4 groups:</w:t>
            </w:r>
          </w:p>
          <w:p w:rsidR="00BB45C5" w:rsidRPr="00335B4F" w:rsidRDefault="00BB45C5" w:rsidP="00BB45C5">
            <w:pPr>
              <w:pStyle w:val="ListParagraph"/>
              <w:keepNext/>
              <w:numPr>
                <w:ilvl w:val="1"/>
                <w:numId w:val="37"/>
              </w:numPr>
              <w:spacing w:before="40" w:after="40"/>
              <w:ind w:left="43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High propensity:         $15 (E)     $30 (C)</w:t>
            </w:r>
          </w:p>
          <w:p w:rsidR="00BB45C5" w:rsidRPr="00335B4F" w:rsidRDefault="00BB45C5" w:rsidP="00BB45C5">
            <w:pPr>
              <w:pStyle w:val="ListParagraph"/>
              <w:keepNext/>
              <w:numPr>
                <w:ilvl w:val="1"/>
                <w:numId w:val="37"/>
              </w:numPr>
              <w:spacing w:before="40" w:after="40"/>
              <w:ind w:left="43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Low propensity:          $45 (E)     $30 (C)</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Modeling successfully differentiated groups by propensity</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Response rate differences observed only in high propensity group</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No effect on bias reduction</w:t>
            </w:r>
          </w:p>
        </w:tc>
        <w:tc>
          <w:tcPr>
            <w:tcW w:w="2356" w:type="pct"/>
          </w:tcPr>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$30 for all sample members</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Institution sector used as proxy for response propensity</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Different data collection strategies applied depending on institution sector</w:t>
            </w:r>
          </w:p>
          <w:p w:rsidR="00BB45C5" w:rsidRPr="00335B4F" w:rsidRDefault="00BB45C5" w:rsidP="00CA44B9">
            <w:pPr>
              <w:spacing w:before="40" w:after="40"/>
              <w:ind w:left="72"/>
              <w:contextualSpacing/>
              <w:cnfStyle w:val="000000100000" w:firstRow="0" w:lastRow="0" w:firstColumn="0" w:lastColumn="0" w:oddVBand="0" w:evenVBand="0" w:oddHBand="1" w:evenHBand="0" w:firstRowFirstColumn="0" w:firstRowLastColumn="0" w:lastRowFirstColumn="0" w:lastRowLastColumn="0"/>
              <w:rPr>
                <w:sz w:val="20"/>
              </w:rPr>
            </w:pPr>
          </w:p>
        </w:tc>
      </w:tr>
      <w:tr w:rsidR="00BB45C5" w:rsidRPr="0093260A" w:rsidTr="008370AC">
        <w:tc>
          <w:tcPr>
            <w:cnfStyle w:val="001000000000" w:firstRow="0" w:lastRow="0" w:firstColumn="1" w:lastColumn="0" w:oddVBand="0" w:evenVBand="0" w:oddHBand="0" w:evenHBand="0" w:firstRowFirstColumn="0" w:firstRowLastColumn="0" w:lastRowFirstColumn="0" w:lastRowLastColumn="0"/>
            <w:tcW w:w="438" w:type="pct"/>
          </w:tcPr>
          <w:p w:rsidR="00BB45C5" w:rsidRPr="00335B4F" w:rsidRDefault="00BB45C5" w:rsidP="00CA44B9">
            <w:pPr>
              <w:spacing w:before="40" w:after="40"/>
              <w:contextualSpacing/>
              <w:rPr>
                <w:b w:val="0"/>
                <w:bCs w:val="0"/>
                <w:sz w:val="20"/>
              </w:rPr>
            </w:pPr>
            <w:r w:rsidRPr="00335B4F">
              <w:rPr>
                <w:b w:val="0"/>
                <w:bCs w:val="0"/>
                <w:sz w:val="20"/>
              </w:rPr>
              <w:t>B&amp;B:08/12</w:t>
            </w:r>
          </w:p>
        </w:tc>
        <w:tc>
          <w:tcPr>
            <w:tcW w:w="2206" w:type="pct"/>
          </w:tcPr>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 xml:space="preserve">Sample sorted by modeled response propensity into </w:t>
            </w:r>
            <w:r>
              <w:rPr>
                <w:rFonts w:asciiTheme="minorHAnsi" w:hAnsiTheme="minorHAnsi"/>
              </w:rPr>
              <w:t>4</w:t>
            </w:r>
            <w:r w:rsidRPr="00335B4F">
              <w:rPr>
                <w:rFonts w:asciiTheme="minorHAnsi" w:hAnsiTheme="minorHAnsi"/>
              </w:rPr>
              <w:t xml:space="preserve"> groups:</w:t>
            </w:r>
          </w:p>
          <w:p w:rsidR="00BB45C5" w:rsidRPr="00335B4F" w:rsidRDefault="00BB45C5" w:rsidP="00BB45C5">
            <w:pPr>
              <w:pStyle w:val="ListParagraph"/>
              <w:keepNext/>
              <w:numPr>
                <w:ilvl w:val="1"/>
                <w:numId w:val="37"/>
              </w:numPr>
              <w:spacing w:before="40" w:after="40"/>
              <w:ind w:left="43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High propensity:          $20</w:t>
            </w:r>
            <w:r>
              <w:rPr>
                <w:rFonts w:asciiTheme="minorHAnsi" w:hAnsiTheme="minorHAnsi"/>
              </w:rPr>
              <w:t>/$40</w:t>
            </w:r>
            <w:r w:rsidRPr="00335B4F">
              <w:rPr>
                <w:rFonts w:asciiTheme="minorHAnsi" w:hAnsiTheme="minorHAnsi"/>
              </w:rPr>
              <w:t xml:space="preserve"> (E)     $35/$55 (C)</w:t>
            </w:r>
          </w:p>
          <w:p w:rsidR="00BB45C5" w:rsidRPr="00335B4F" w:rsidRDefault="00BB45C5" w:rsidP="00BB45C5">
            <w:pPr>
              <w:pStyle w:val="ListParagraph"/>
              <w:keepNext/>
              <w:numPr>
                <w:ilvl w:val="1"/>
                <w:numId w:val="37"/>
              </w:numPr>
              <w:spacing w:before="40" w:after="40"/>
              <w:ind w:left="43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rPr>
              <w:t>L</w:t>
            </w:r>
            <w:r w:rsidRPr="00335B4F">
              <w:rPr>
                <w:rFonts w:asciiTheme="minorHAnsi" w:hAnsiTheme="minorHAnsi"/>
              </w:rPr>
              <w:t>ow propensity:           $70 (E)     $35/$55 (C)</w:t>
            </w:r>
          </w:p>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Modeling successfully differentiated groups by propensity</w:t>
            </w:r>
          </w:p>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Response rate differences observed only in low propensity group among highest propensity scores</w:t>
            </w:r>
          </w:p>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No effect on bias reduction</w:t>
            </w:r>
          </w:p>
        </w:tc>
        <w:tc>
          <w:tcPr>
            <w:tcW w:w="2356" w:type="pct"/>
          </w:tcPr>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Calculated response propensities and Mahalanobis distances for all sample members.  Sorted sample into experimental and control groups within 3 propensity groups:</w:t>
            </w:r>
          </w:p>
          <w:p w:rsidR="00BB45C5" w:rsidRPr="00335B4F" w:rsidRDefault="00BB45C5" w:rsidP="00BB45C5">
            <w:pPr>
              <w:pStyle w:val="ListParagraph"/>
              <w:keepNext/>
              <w:numPr>
                <w:ilvl w:val="1"/>
                <w:numId w:val="37"/>
              </w:numPr>
              <w:spacing w:before="40" w:after="40"/>
              <w:ind w:left="43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High propensity:         $20</w:t>
            </w:r>
          </w:p>
          <w:p w:rsidR="00BB45C5" w:rsidRPr="00335B4F" w:rsidRDefault="00BB45C5" w:rsidP="00BB45C5">
            <w:pPr>
              <w:pStyle w:val="ListParagraph"/>
              <w:keepNext/>
              <w:numPr>
                <w:ilvl w:val="1"/>
                <w:numId w:val="37"/>
              </w:numPr>
              <w:spacing w:before="40" w:after="40"/>
              <w:ind w:left="43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Medium propensity:  $35</w:t>
            </w:r>
          </w:p>
          <w:p w:rsidR="00BB45C5" w:rsidRPr="00335B4F" w:rsidRDefault="00BB45C5" w:rsidP="00BB45C5">
            <w:pPr>
              <w:pStyle w:val="ListParagraph"/>
              <w:keepNext/>
              <w:numPr>
                <w:ilvl w:val="1"/>
                <w:numId w:val="37"/>
              </w:numPr>
              <w:spacing w:before="40" w:after="40"/>
              <w:ind w:left="43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Low propensity:          $55</w:t>
            </w:r>
          </w:p>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 xml:space="preserve">At Time 1, Mahalanobis recalculated for experimental group – greatest distance cases offered an additional $15 </w:t>
            </w:r>
          </w:p>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At Time 2, Mahalanobis recalculated for experimental group – greatest distance cases to receive intensive case review</w:t>
            </w:r>
            <w:r>
              <w:rPr>
                <w:rFonts w:asciiTheme="minorHAnsi" w:hAnsiTheme="minorHAnsi"/>
              </w:rPr>
              <w:t xml:space="preserve"> early</w:t>
            </w:r>
          </w:p>
          <w:p w:rsidR="00BB45C5" w:rsidRPr="00335B4F" w:rsidRDefault="00BB45C5" w:rsidP="00BB45C5">
            <w:pPr>
              <w:pStyle w:val="ListParagraph"/>
              <w:keepNext/>
              <w:numPr>
                <w:ilvl w:val="0"/>
                <w:numId w:val="37"/>
              </w:numPr>
              <w:spacing w:before="40" w:after="40"/>
              <w:ind w:left="252" w:hanging="18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35B4F">
              <w:rPr>
                <w:rFonts w:asciiTheme="minorHAnsi" w:hAnsiTheme="minorHAnsi"/>
              </w:rPr>
              <w:t>At Time 3, Mahalanobis recalculated for experimental group – greatest distance cases offered abbreviated interview</w:t>
            </w:r>
            <w:r>
              <w:rPr>
                <w:rFonts w:asciiTheme="minorHAnsi" w:hAnsiTheme="minorHAnsi"/>
              </w:rPr>
              <w:t xml:space="preserve"> early</w:t>
            </w:r>
          </w:p>
        </w:tc>
      </w:tr>
      <w:tr w:rsidR="00BB45C5" w:rsidRPr="0093260A" w:rsidTr="0083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BB45C5" w:rsidRPr="00335B4F" w:rsidRDefault="00BB45C5" w:rsidP="00CA44B9">
            <w:pPr>
              <w:spacing w:before="40" w:after="40"/>
              <w:contextualSpacing/>
              <w:rPr>
                <w:b w:val="0"/>
                <w:bCs w:val="0"/>
                <w:sz w:val="20"/>
              </w:rPr>
            </w:pPr>
            <w:r w:rsidRPr="00335B4F">
              <w:rPr>
                <w:b w:val="0"/>
                <w:bCs w:val="0"/>
                <w:sz w:val="20"/>
              </w:rPr>
              <w:t>ELS:2002/12</w:t>
            </w:r>
          </w:p>
        </w:tc>
        <w:tc>
          <w:tcPr>
            <w:tcW w:w="2206" w:type="pct"/>
          </w:tcPr>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Sample sorted by modeled response propensity into 3 groups:</w:t>
            </w:r>
          </w:p>
          <w:p w:rsidR="00BB45C5" w:rsidRPr="00335B4F" w:rsidRDefault="00BB45C5" w:rsidP="00BB45C5">
            <w:pPr>
              <w:pStyle w:val="ListParagraph"/>
              <w:keepNext/>
              <w:numPr>
                <w:ilvl w:val="1"/>
                <w:numId w:val="37"/>
              </w:numPr>
              <w:spacing w:before="40" w:after="40"/>
              <w:ind w:left="43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 xml:space="preserve">High propensity:  $25 ($35 in Week 10)     </w:t>
            </w:r>
          </w:p>
          <w:p w:rsidR="00BB45C5" w:rsidRPr="00335B4F" w:rsidRDefault="00BB45C5" w:rsidP="00BB45C5">
            <w:pPr>
              <w:pStyle w:val="ListParagraph"/>
              <w:keepNext/>
              <w:numPr>
                <w:ilvl w:val="1"/>
                <w:numId w:val="37"/>
              </w:numPr>
              <w:spacing w:before="40" w:after="40"/>
              <w:ind w:left="43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 xml:space="preserve">Low propensity:   $45 (E; $55 in Week 10)    $25 (C; $35 in Week 10)     </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Modeling successfully differentiated groups by propensity</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Response rate differences observed only in high propensity group</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Slight reduction of bias among low propensity group receiving higher incentive</w:t>
            </w:r>
          </w:p>
        </w:tc>
        <w:tc>
          <w:tcPr>
            <w:tcW w:w="2356" w:type="pct"/>
          </w:tcPr>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 xml:space="preserve">$25 base incentive offered to all sample members </w:t>
            </w:r>
          </w:p>
          <w:p w:rsidR="00BB45C5" w:rsidRPr="00335B4F" w:rsidRDefault="00BB45C5" w:rsidP="00BB45C5">
            <w:pPr>
              <w:pStyle w:val="ListParagraph"/>
              <w:keepNext/>
              <w:numPr>
                <w:ilvl w:val="0"/>
                <w:numId w:val="37"/>
              </w:numPr>
              <w:spacing w:before="40" w:after="40"/>
              <w:ind w:left="25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Mahalanobis distance calculated at 3 time points:</w:t>
            </w:r>
          </w:p>
          <w:p w:rsidR="00BB45C5" w:rsidRPr="00335B4F" w:rsidRDefault="00BB45C5" w:rsidP="00BB45C5">
            <w:pPr>
              <w:pStyle w:val="ListParagraph"/>
              <w:keepNext/>
              <w:numPr>
                <w:ilvl w:val="1"/>
                <w:numId w:val="37"/>
              </w:numPr>
              <w:spacing w:before="40" w:after="40"/>
              <w:ind w:left="43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Time 1:  Highest distance cases offered additional $30</w:t>
            </w:r>
          </w:p>
          <w:p w:rsidR="00BB45C5" w:rsidRPr="00335B4F" w:rsidRDefault="00BB45C5" w:rsidP="00BB45C5">
            <w:pPr>
              <w:pStyle w:val="ListParagraph"/>
              <w:keepNext/>
              <w:numPr>
                <w:ilvl w:val="1"/>
                <w:numId w:val="37"/>
              </w:numPr>
              <w:spacing w:before="40" w:after="40"/>
              <w:ind w:left="43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 xml:space="preserve">Time 2:  New “highest distance” cases offered additional $30; all highest distance cases will receive intensive tracing and limited field interviewing </w:t>
            </w:r>
          </w:p>
          <w:p w:rsidR="00BB45C5" w:rsidRPr="00335B4F" w:rsidRDefault="00BB45C5" w:rsidP="00BB45C5">
            <w:pPr>
              <w:pStyle w:val="ListParagraph"/>
              <w:keepNext/>
              <w:numPr>
                <w:ilvl w:val="1"/>
                <w:numId w:val="37"/>
              </w:numPr>
              <w:spacing w:before="40" w:after="40"/>
              <w:ind w:left="432"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35B4F">
              <w:rPr>
                <w:rFonts w:asciiTheme="minorHAnsi" w:hAnsiTheme="minorHAnsi"/>
              </w:rPr>
              <w:t>Time 3:  New “highest distance” cases offered additional $30; all highest distance cases will receive $5 prepaid incentive</w:t>
            </w:r>
          </w:p>
        </w:tc>
      </w:tr>
    </w:tbl>
    <w:p w:rsidR="00BB45C5" w:rsidRPr="00335B4F" w:rsidRDefault="00BB45C5" w:rsidP="00CA44B9">
      <w:pPr>
        <w:rPr>
          <w:sz w:val="18"/>
          <w:szCs w:val="18"/>
        </w:rPr>
      </w:pPr>
      <w:r w:rsidRPr="00335B4F">
        <w:rPr>
          <w:sz w:val="18"/>
          <w:szCs w:val="18"/>
        </w:rPr>
        <w:t>(E) = Experimental Group; (C) = Control Group</w:t>
      </w:r>
    </w:p>
    <w:p w:rsidR="00BB45C5" w:rsidRDefault="00BB45C5" w:rsidP="00081361">
      <w:pPr>
        <w:rPr>
          <w:sz w:val="18"/>
          <w:szCs w:val="18"/>
        </w:rPr>
      </w:pPr>
      <w:r w:rsidRPr="00335B4F">
        <w:rPr>
          <w:sz w:val="18"/>
          <w:szCs w:val="18"/>
        </w:rPr>
        <w:t>*Full-scale data collection is underway for all three studies.</w:t>
      </w:r>
    </w:p>
    <w:p w:rsidR="00081361" w:rsidRPr="00335B4F" w:rsidRDefault="00081361" w:rsidP="00081361">
      <w:pPr>
        <w:rPr>
          <w:sz w:val="18"/>
          <w:szCs w:val="18"/>
        </w:rPr>
      </w:pPr>
    </w:p>
    <w:p w:rsidR="00BB45C5" w:rsidRPr="0093260A" w:rsidRDefault="00BB45C5" w:rsidP="00CA44B9">
      <w:pPr>
        <w:spacing w:before="120" w:after="120" w:line="320" w:lineRule="atLeast"/>
        <w:ind w:firstLine="720"/>
        <w:sectPr w:rsidR="00BB45C5" w:rsidRPr="0093260A" w:rsidSect="008B26FF">
          <w:headerReference w:type="default" r:id="rId17"/>
          <w:footerReference w:type="default" r:id="rId18"/>
          <w:pgSz w:w="15840" w:h="12240" w:orient="landscape"/>
          <w:pgMar w:top="1008" w:right="1008" w:bottom="1008" w:left="1008" w:header="720" w:footer="720" w:gutter="0"/>
          <w:cols w:space="720"/>
          <w:docGrid w:linePitch="360"/>
        </w:sectPr>
      </w:pPr>
    </w:p>
    <w:p w:rsidR="00E23CA6" w:rsidRPr="0016414C" w:rsidRDefault="00E23CA6" w:rsidP="00E23CA6">
      <w:pPr>
        <w:spacing w:before="120" w:after="120" w:line="320" w:lineRule="atLeast"/>
        <w:ind w:firstLine="720"/>
        <w:rPr>
          <w:rFonts w:asciiTheme="majorBidi" w:hAnsiTheme="majorBidi" w:cstheme="majorBidi"/>
          <w:szCs w:val="24"/>
        </w:rPr>
      </w:pPr>
      <w:r>
        <w:rPr>
          <w:rFonts w:asciiTheme="majorBidi" w:hAnsiTheme="majorBidi" w:cstheme="majorBidi"/>
          <w:szCs w:val="24"/>
        </w:rPr>
        <w:lastRenderedPageBreak/>
        <w:t>An alternative approach, like that being used for the B&amp;B:08/12 full-scale data collection, is being implemented f</w:t>
      </w:r>
      <w:r w:rsidRPr="0016414C">
        <w:rPr>
          <w:rFonts w:asciiTheme="majorBidi" w:hAnsiTheme="majorBidi" w:cstheme="majorBidi"/>
          <w:szCs w:val="24"/>
        </w:rPr>
        <w:t>or the ELS:2002/12 full scale study (July 2012 to January 2013)</w:t>
      </w:r>
      <w:r>
        <w:rPr>
          <w:rFonts w:asciiTheme="majorBidi" w:hAnsiTheme="majorBidi" w:cstheme="majorBidi"/>
          <w:szCs w:val="24"/>
        </w:rPr>
        <w:t xml:space="preserve">.  </w:t>
      </w:r>
      <w:r w:rsidRPr="0016414C">
        <w:rPr>
          <w:rFonts w:asciiTheme="majorBidi" w:hAnsiTheme="majorBidi" w:cstheme="majorBidi"/>
          <w:szCs w:val="24"/>
        </w:rPr>
        <w:t>Mahalanobis distance</w:t>
      </w:r>
      <w:r>
        <w:rPr>
          <w:rFonts w:asciiTheme="majorBidi" w:hAnsiTheme="majorBidi" w:cstheme="majorBidi"/>
          <w:szCs w:val="24"/>
        </w:rPr>
        <w:t>s</w:t>
      </w:r>
      <w:r w:rsidRPr="0016414C">
        <w:rPr>
          <w:rFonts w:asciiTheme="majorBidi" w:hAnsiTheme="majorBidi" w:cstheme="majorBidi"/>
          <w:szCs w:val="24"/>
        </w:rPr>
        <w:t xml:space="preserve"> </w:t>
      </w:r>
      <w:r>
        <w:rPr>
          <w:rFonts w:asciiTheme="majorBidi" w:hAnsiTheme="majorBidi" w:cstheme="majorBidi"/>
          <w:szCs w:val="24"/>
        </w:rPr>
        <w:t xml:space="preserve">are being </w:t>
      </w:r>
      <w:r w:rsidRPr="0016414C">
        <w:rPr>
          <w:rFonts w:asciiTheme="majorBidi" w:hAnsiTheme="majorBidi" w:cstheme="majorBidi"/>
          <w:szCs w:val="24"/>
        </w:rPr>
        <w:t xml:space="preserve">calculated to identify </w:t>
      </w:r>
      <w:r>
        <w:rPr>
          <w:rFonts w:asciiTheme="majorBidi" w:hAnsiTheme="majorBidi" w:cstheme="majorBidi"/>
          <w:szCs w:val="24"/>
        </w:rPr>
        <w:t xml:space="preserve">those </w:t>
      </w:r>
      <w:r w:rsidRPr="0016414C">
        <w:rPr>
          <w:rFonts w:asciiTheme="majorBidi" w:hAnsiTheme="majorBidi" w:cstheme="majorBidi"/>
          <w:szCs w:val="24"/>
        </w:rPr>
        <w:t>nonrespondent cases which are most unlike existing respondents</w:t>
      </w:r>
      <w:r>
        <w:rPr>
          <w:rFonts w:asciiTheme="majorBidi" w:hAnsiTheme="majorBidi" w:cstheme="majorBidi"/>
          <w:szCs w:val="24"/>
        </w:rPr>
        <w:t xml:space="preserve"> and, therefore </w:t>
      </w:r>
      <w:r w:rsidRPr="0016414C">
        <w:rPr>
          <w:rFonts w:asciiTheme="majorBidi" w:hAnsiTheme="majorBidi" w:cstheme="majorBidi"/>
          <w:szCs w:val="24"/>
        </w:rPr>
        <w:t xml:space="preserve">most likely to </w:t>
      </w:r>
      <w:r>
        <w:rPr>
          <w:rFonts w:asciiTheme="majorBidi" w:hAnsiTheme="majorBidi" w:cstheme="majorBidi"/>
          <w:szCs w:val="24"/>
        </w:rPr>
        <w:t xml:space="preserve">contribute to </w:t>
      </w:r>
      <w:r w:rsidRPr="0016414C">
        <w:rPr>
          <w:rFonts w:asciiTheme="majorBidi" w:hAnsiTheme="majorBidi" w:cstheme="majorBidi"/>
          <w:szCs w:val="24"/>
        </w:rPr>
        <w:t>response bias.  Substantive data (</w:t>
      </w:r>
      <w:r w:rsidRPr="0016414C">
        <w:rPr>
          <w:rFonts w:asciiTheme="majorBidi" w:hAnsiTheme="majorBidi" w:cstheme="majorBidi"/>
          <w:i/>
          <w:iCs/>
          <w:szCs w:val="24"/>
        </w:rPr>
        <w:t>e.g.</w:t>
      </w:r>
      <w:r w:rsidRPr="0016414C">
        <w:rPr>
          <w:rFonts w:asciiTheme="majorBidi" w:hAnsiTheme="majorBidi" w:cstheme="majorBidi"/>
          <w:szCs w:val="24"/>
        </w:rPr>
        <w:t>, enrollment status, parent’s education, high school completion status) and paradata (</w:t>
      </w:r>
      <w:r w:rsidRPr="0016414C">
        <w:rPr>
          <w:rFonts w:asciiTheme="majorBidi" w:hAnsiTheme="majorBidi" w:cstheme="majorBidi"/>
          <w:i/>
          <w:iCs/>
          <w:szCs w:val="24"/>
        </w:rPr>
        <w:t>e.g.</w:t>
      </w:r>
      <w:r w:rsidRPr="0016414C">
        <w:rPr>
          <w:rFonts w:asciiTheme="majorBidi" w:hAnsiTheme="majorBidi" w:cstheme="majorBidi"/>
          <w:szCs w:val="24"/>
        </w:rPr>
        <w:t xml:space="preserve">, response status, number of contact attempts in the early data collection period) already available from the base year and first and second follow-ups </w:t>
      </w:r>
      <w:r>
        <w:rPr>
          <w:rFonts w:asciiTheme="majorBidi" w:hAnsiTheme="majorBidi" w:cstheme="majorBidi"/>
          <w:szCs w:val="24"/>
        </w:rPr>
        <w:t xml:space="preserve">are being </w:t>
      </w:r>
      <w:r w:rsidRPr="0016414C">
        <w:rPr>
          <w:rFonts w:asciiTheme="majorBidi" w:hAnsiTheme="majorBidi" w:cstheme="majorBidi"/>
          <w:szCs w:val="24"/>
        </w:rPr>
        <w:t>used to calculate the Mahalanobis distance</w:t>
      </w:r>
      <w:r>
        <w:rPr>
          <w:rFonts w:asciiTheme="majorBidi" w:hAnsiTheme="majorBidi" w:cstheme="majorBidi"/>
          <w:szCs w:val="24"/>
        </w:rPr>
        <w:t>s</w:t>
      </w:r>
      <w:r w:rsidRPr="0016414C">
        <w:rPr>
          <w:rFonts w:asciiTheme="majorBidi" w:hAnsiTheme="majorBidi" w:cstheme="majorBidi"/>
          <w:szCs w:val="24"/>
        </w:rPr>
        <w:t xml:space="preserve">. </w:t>
      </w:r>
    </w:p>
    <w:p w:rsidR="00E23CA6" w:rsidRDefault="00E23CA6" w:rsidP="00E23CA6">
      <w:pPr>
        <w:spacing w:before="120" w:after="120" w:line="320" w:lineRule="atLeast"/>
        <w:ind w:firstLine="720"/>
      </w:pPr>
      <w:r w:rsidRPr="0016414C">
        <w:rPr>
          <w:rFonts w:asciiTheme="majorBidi" w:hAnsiTheme="majorBidi" w:cstheme="majorBidi"/>
          <w:szCs w:val="24"/>
        </w:rPr>
        <w:t xml:space="preserve">Distance functions </w:t>
      </w:r>
      <w:r>
        <w:rPr>
          <w:rFonts w:asciiTheme="majorBidi" w:hAnsiTheme="majorBidi" w:cstheme="majorBidi"/>
          <w:szCs w:val="24"/>
        </w:rPr>
        <w:t xml:space="preserve">are being </w:t>
      </w:r>
      <w:r w:rsidRPr="0016414C">
        <w:rPr>
          <w:rFonts w:asciiTheme="majorBidi" w:hAnsiTheme="majorBidi" w:cstheme="majorBidi"/>
          <w:szCs w:val="24"/>
        </w:rPr>
        <w:t xml:space="preserve">measured at three points during data collection: 4 weeks and 9 weeks after the start of data collection (Phases 1 and 2, respectively), and at 8 weeks prior to the end of data collection (Phase 3).  </w:t>
      </w:r>
      <w:r>
        <w:rPr>
          <w:rFonts w:asciiTheme="majorBidi" w:hAnsiTheme="majorBidi" w:cstheme="majorBidi"/>
          <w:szCs w:val="24"/>
        </w:rPr>
        <w:t xml:space="preserve">Most </w:t>
      </w:r>
      <w:r w:rsidRPr="0016414C">
        <w:rPr>
          <w:rFonts w:asciiTheme="majorBidi" w:hAnsiTheme="majorBidi" w:cstheme="majorBidi"/>
          <w:szCs w:val="24"/>
        </w:rPr>
        <w:t xml:space="preserve">cases </w:t>
      </w:r>
      <w:r>
        <w:rPr>
          <w:rFonts w:asciiTheme="majorBidi" w:hAnsiTheme="majorBidi" w:cstheme="majorBidi"/>
          <w:szCs w:val="24"/>
        </w:rPr>
        <w:t xml:space="preserve">are being offered </w:t>
      </w:r>
      <w:r w:rsidRPr="0016414C">
        <w:rPr>
          <w:rFonts w:asciiTheme="majorBidi" w:hAnsiTheme="majorBidi" w:cstheme="majorBidi"/>
          <w:szCs w:val="24"/>
        </w:rPr>
        <w:t xml:space="preserve">an initial incentive of $25.  Cases with the largest calculated distance scores at each time </w:t>
      </w:r>
      <w:r>
        <w:rPr>
          <w:rFonts w:asciiTheme="majorBidi" w:hAnsiTheme="majorBidi" w:cstheme="majorBidi"/>
          <w:szCs w:val="24"/>
        </w:rPr>
        <w:t xml:space="preserve">point </w:t>
      </w:r>
      <w:r w:rsidRPr="0016414C">
        <w:rPr>
          <w:rFonts w:asciiTheme="majorBidi" w:hAnsiTheme="majorBidi" w:cstheme="majorBidi"/>
          <w:szCs w:val="24"/>
        </w:rPr>
        <w:t>will be offered a</w:t>
      </w:r>
      <w:r>
        <w:rPr>
          <w:rFonts w:asciiTheme="majorBidi" w:hAnsiTheme="majorBidi" w:cstheme="majorBidi"/>
          <w:szCs w:val="24"/>
        </w:rPr>
        <w:t xml:space="preserve">n increased incentive of </w:t>
      </w:r>
      <w:r w:rsidRPr="0016414C">
        <w:rPr>
          <w:rFonts w:asciiTheme="majorBidi" w:hAnsiTheme="majorBidi" w:cstheme="majorBidi"/>
          <w:szCs w:val="24"/>
        </w:rPr>
        <w:t>$55</w:t>
      </w:r>
      <w:r>
        <w:rPr>
          <w:rFonts w:asciiTheme="majorBidi" w:hAnsiTheme="majorBidi" w:cstheme="majorBidi"/>
          <w:szCs w:val="24"/>
        </w:rPr>
        <w:t xml:space="preserve"> (</w:t>
      </w:r>
      <w:r w:rsidRPr="0016414C">
        <w:rPr>
          <w:rFonts w:asciiTheme="majorBidi" w:hAnsiTheme="majorBidi" w:cstheme="majorBidi"/>
          <w:szCs w:val="24"/>
        </w:rPr>
        <w:t>once at $55, the incentive offer will not decrease</w:t>
      </w:r>
      <w:r>
        <w:rPr>
          <w:rFonts w:asciiTheme="majorBidi" w:hAnsiTheme="majorBidi" w:cstheme="majorBidi"/>
          <w:szCs w:val="24"/>
        </w:rPr>
        <w:t>)</w:t>
      </w:r>
      <w:r w:rsidRPr="0016414C">
        <w:rPr>
          <w:rFonts w:asciiTheme="majorBidi" w:hAnsiTheme="majorBidi" w:cstheme="majorBidi"/>
          <w:szCs w:val="24"/>
        </w:rPr>
        <w:t xml:space="preserve">. </w:t>
      </w:r>
      <w:r>
        <w:rPr>
          <w:rFonts w:asciiTheme="majorBidi" w:hAnsiTheme="majorBidi" w:cstheme="majorBidi"/>
          <w:szCs w:val="24"/>
        </w:rPr>
        <w:t xml:space="preserve"> Additional </w:t>
      </w:r>
      <w:r w:rsidRPr="0016414C">
        <w:rPr>
          <w:rFonts w:asciiTheme="majorBidi" w:hAnsiTheme="majorBidi" w:cstheme="majorBidi"/>
          <w:szCs w:val="24"/>
        </w:rPr>
        <w:t xml:space="preserve">activities will be conducted to locate and </w:t>
      </w:r>
      <w:r>
        <w:rPr>
          <w:rFonts w:asciiTheme="majorBidi" w:hAnsiTheme="majorBidi" w:cstheme="majorBidi"/>
          <w:szCs w:val="24"/>
        </w:rPr>
        <w:t>interview targeted cases including</w:t>
      </w:r>
      <w:r w:rsidRPr="0016414C">
        <w:rPr>
          <w:rFonts w:asciiTheme="majorBidi" w:hAnsiTheme="majorBidi" w:cstheme="majorBidi"/>
          <w:szCs w:val="24"/>
        </w:rPr>
        <w:t>, at Time 2, performing pre-data collection intensive tracing and pursuing the cases in person with field locator/interviewers</w:t>
      </w:r>
      <w:r>
        <w:rPr>
          <w:rFonts w:asciiTheme="majorBidi" w:hAnsiTheme="majorBidi" w:cstheme="majorBidi"/>
          <w:szCs w:val="24"/>
        </w:rPr>
        <w:t xml:space="preserve"> and, a</w:t>
      </w:r>
      <w:r w:rsidRPr="0016414C">
        <w:rPr>
          <w:rFonts w:asciiTheme="majorBidi" w:hAnsiTheme="majorBidi" w:cstheme="majorBidi"/>
          <w:szCs w:val="24"/>
        </w:rPr>
        <w:t xml:space="preserve">t Time 3, </w:t>
      </w:r>
      <w:r>
        <w:rPr>
          <w:rFonts w:asciiTheme="majorBidi" w:hAnsiTheme="majorBidi" w:cstheme="majorBidi"/>
          <w:szCs w:val="24"/>
        </w:rPr>
        <w:t xml:space="preserve">including </w:t>
      </w:r>
      <w:r w:rsidRPr="0016414C">
        <w:rPr>
          <w:rFonts w:asciiTheme="majorBidi" w:hAnsiTheme="majorBidi" w:cstheme="majorBidi"/>
          <w:szCs w:val="24"/>
        </w:rPr>
        <w:t>a $5 prepaid incentive with the mailing.</w:t>
      </w:r>
      <w:r w:rsidRPr="0093260A">
        <w:t xml:space="preserve"> </w:t>
      </w:r>
    </w:p>
    <w:p w:rsidR="00802B79" w:rsidRDefault="00E00E48" w:rsidP="0020207E">
      <w:pPr>
        <w:pStyle w:val="Heading3"/>
      </w:pPr>
      <w:r>
        <w:tab/>
      </w:r>
      <w:bookmarkStart w:id="207" w:name="_Toc337840026"/>
      <w:r w:rsidR="00BB45C5" w:rsidRPr="00DC2432">
        <w:t>BPS</w:t>
      </w:r>
      <w:r w:rsidR="00802B79">
        <w:t>:12/14</w:t>
      </w:r>
      <w:r w:rsidR="00BB45C5" w:rsidRPr="00DC2432">
        <w:t xml:space="preserve"> </w:t>
      </w:r>
      <w:r w:rsidR="00046F23">
        <w:t>Field Test</w:t>
      </w:r>
      <w:bookmarkEnd w:id="207"/>
    </w:p>
    <w:p w:rsidR="005013EA" w:rsidRDefault="005013EA" w:rsidP="00681B17">
      <w:pPr>
        <w:pStyle w:val="BodyText"/>
      </w:pPr>
      <w:r>
        <w:t>T</w:t>
      </w:r>
      <w:r w:rsidR="003B1EB1">
        <w:t xml:space="preserve">he </w:t>
      </w:r>
      <w:r>
        <w:t xml:space="preserve">two </w:t>
      </w:r>
      <w:r w:rsidR="003B1EB1">
        <w:t>BPS:12/14 field test experiment</w:t>
      </w:r>
      <w:r>
        <w:t xml:space="preserve">s were developed out of recent experiences with the NPSAS:12 full-scale study and the </w:t>
      </w:r>
      <w:r w:rsidR="00491CA2">
        <w:t xml:space="preserve">data collections </w:t>
      </w:r>
      <w:r>
        <w:t>underway in B&amp;B:08/12 and ELS:2002 third follow-up.  The first experiment</w:t>
      </w:r>
      <w:r w:rsidR="00E90168">
        <w:t xml:space="preserve"> emerged from anecdotal reports offered by NPSAS:12 interviewers that sample members refused to participate upon hearing the estimated time required to complete the interview (average of 25 minutes)</w:t>
      </w:r>
      <w:r w:rsidR="00491CA2">
        <w:t>; t</w:t>
      </w:r>
      <w:r w:rsidR="00E90168">
        <w:t xml:space="preserve">hey simply </w:t>
      </w:r>
      <w:r w:rsidR="00491CA2">
        <w:t xml:space="preserve">did not have the </w:t>
      </w:r>
      <w:r w:rsidR="00681B17">
        <w:t xml:space="preserve">amount of </w:t>
      </w:r>
      <w:r w:rsidR="00491CA2">
        <w:t xml:space="preserve">time </w:t>
      </w:r>
      <w:r w:rsidR="00681B17">
        <w:t>available to complete the interview</w:t>
      </w:r>
      <w:r w:rsidR="00E90168">
        <w:t xml:space="preserve">.  </w:t>
      </w:r>
      <w:r w:rsidR="00491CA2">
        <w:t xml:space="preserve">For the BPS:12/14 field test, participation rates of </w:t>
      </w:r>
      <w:r>
        <w:t xml:space="preserve">base year nonrespondents offered </w:t>
      </w:r>
      <w:r w:rsidR="00491CA2">
        <w:t xml:space="preserve">the full length interview (35 minutes) will be compared to the participation rates of nonrespondents offered a shorter, </w:t>
      </w:r>
      <w:r>
        <w:t xml:space="preserve">modified interview </w:t>
      </w:r>
      <w:r w:rsidR="00491CA2">
        <w:t xml:space="preserve">(20 minutes) to determine if the </w:t>
      </w:r>
      <w:r w:rsidR="00681B17">
        <w:t xml:space="preserve">expected </w:t>
      </w:r>
      <w:r w:rsidR="00491CA2">
        <w:t xml:space="preserve">level of effort </w:t>
      </w:r>
      <w:r w:rsidR="00681B17">
        <w:t xml:space="preserve">reported to sample members </w:t>
      </w:r>
      <w:r w:rsidR="00491CA2">
        <w:t>affects willingness to participate.</w:t>
      </w:r>
      <w:r>
        <w:t xml:space="preserve"> </w:t>
      </w:r>
    </w:p>
    <w:p w:rsidR="00491CA2" w:rsidRDefault="00491CA2" w:rsidP="006027E3">
      <w:pPr>
        <w:pStyle w:val="BodyText"/>
      </w:pPr>
      <w:r>
        <w:t xml:space="preserve">The </w:t>
      </w:r>
      <w:r w:rsidR="006027E3">
        <w:t xml:space="preserve">BPS:12/14 responsive design </w:t>
      </w:r>
      <w:r>
        <w:t>experiment builds on the respons</w:t>
      </w:r>
      <w:r w:rsidR="00681B17">
        <w:t>iv</w:t>
      </w:r>
      <w:r>
        <w:t xml:space="preserve">e design </w:t>
      </w:r>
      <w:r w:rsidR="004571A9">
        <w:t xml:space="preserve">work </w:t>
      </w:r>
      <w:r>
        <w:t>currently being conducted in B&amp;B:08/12 and ELS:2002.</w:t>
      </w:r>
      <w:r w:rsidR="00377A8B">
        <w:t xml:space="preserve">  The basic design will be the same – Mahalanobis distances will be calculated at several time points and </w:t>
      </w:r>
      <w:r w:rsidR="006F0EFB">
        <w:t xml:space="preserve">specific treatments applied to encourage response among sample members likely to contribute the most to bias if they do not participate.  There is an important difference in target populations, however, which warrants examination of the responsive design approach for BPS.  B&amp;B and ELS follow cohorts of students who </w:t>
      </w:r>
      <w:r w:rsidR="00681B17">
        <w:t xml:space="preserve">are </w:t>
      </w:r>
      <w:r w:rsidR="006F0EFB">
        <w:t xml:space="preserve">more </w:t>
      </w:r>
      <w:r w:rsidR="006027E3">
        <w:t xml:space="preserve">homogenous </w:t>
      </w:r>
      <w:r w:rsidR="006F0EFB">
        <w:t>th</w:t>
      </w:r>
      <w:r w:rsidR="00BA1B9E">
        <w:t>an the BPS cohort</w:t>
      </w:r>
      <w:r w:rsidR="00681B17">
        <w:t xml:space="preserve"> will be</w:t>
      </w:r>
      <w:r w:rsidR="00BA1B9E">
        <w:t xml:space="preserve">.  That is, </w:t>
      </w:r>
      <w:r w:rsidR="008C20B7">
        <w:t xml:space="preserve">while </w:t>
      </w:r>
      <w:r w:rsidR="00BA1B9E">
        <w:t xml:space="preserve">all B&amp;B sample members will have earned a </w:t>
      </w:r>
      <w:r w:rsidR="006F0EFB">
        <w:t xml:space="preserve">bachelor’s degree </w:t>
      </w:r>
      <w:r w:rsidR="00BA1B9E">
        <w:t>during the same academic year and all ELS sample members will be the same age</w:t>
      </w:r>
      <w:r w:rsidR="008C20B7">
        <w:t xml:space="preserve">, </w:t>
      </w:r>
      <w:r w:rsidR="00BA1B9E">
        <w:t>BPS sample members</w:t>
      </w:r>
      <w:r w:rsidR="008C20B7">
        <w:t xml:space="preserve"> </w:t>
      </w:r>
      <w:r w:rsidR="00BA1B9E">
        <w:t>will not have a common postsecondary experience nor will they all be of the same age.  The distinctly different populations could result in considerably dif</w:t>
      </w:r>
      <w:r w:rsidR="001D24BC">
        <w:t>ferent Mahalanobis calculations and</w:t>
      </w:r>
      <w:r w:rsidR="00BA1B9E">
        <w:t xml:space="preserve"> distributions, and </w:t>
      </w:r>
      <w:r w:rsidR="001D24BC">
        <w:t xml:space="preserve">data collection </w:t>
      </w:r>
      <w:r w:rsidR="00BA1B9E">
        <w:t>outcomes.</w:t>
      </w:r>
      <w:r w:rsidR="006F0EFB">
        <w:t xml:space="preserve">   </w:t>
      </w:r>
    </w:p>
    <w:p w:rsidR="004957C4" w:rsidRDefault="004957C4" w:rsidP="004957C4">
      <w:pPr>
        <w:spacing w:before="120" w:after="120" w:line="320" w:lineRule="atLeast"/>
      </w:pPr>
      <w:r>
        <w:t xml:space="preserve">1. </w:t>
      </w:r>
      <w:r w:rsidR="00BB45C5" w:rsidRPr="004957C4">
        <w:rPr>
          <w:u w:val="single"/>
        </w:rPr>
        <w:t>Early Response Phase</w:t>
      </w:r>
      <w:r>
        <w:rPr>
          <w:u w:val="single"/>
        </w:rPr>
        <w:t xml:space="preserve"> (</w:t>
      </w:r>
      <w:r w:rsidR="0017223E">
        <w:rPr>
          <w:u w:val="single"/>
        </w:rPr>
        <w:t>W</w:t>
      </w:r>
      <w:r>
        <w:rPr>
          <w:u w:val="single"/>
        </w:rPr>
        <w:t>eeks 1-3)</w:t>
      </w:r>
      <w:r w:rsidR="00BB45C5" w:rsidRPr="0093260A">
        <w:t xml:space="preserve">.  </w:t>
      </w:r>
    </w:p>
    <w:p w:rsidR="00124110" w:rsidRDefault="00425D5E" w:rsidP="00425D5E">
      <w:pPr>
        <w:pStyle w:val="BodyText"/>
      </w:pPr>
      <w:r>
        <w:t>A</w:t>
      </w:r>
      <w:r w:rsidR="00B5374A">
        <w:t>ll NPSAS:12 base year interview respondents, and all nonrespondents who were potential FTBs, will be included</w:t>
      </w:r>
      <w:r>
        <w:t xml:space="preserve"> </w:t>
      </w:r>
      <w:r w:rsidR="00B27106">
        <w:t xml:space="preserve">in </w:t>
      </w:r>
      <w:r>
        <w:t>the BPS:12/14 field test data collection experiment</w:t>
      </w:r>
      <w:r w:rsidR="00B5374A">
        <w:t xml:space="preserve">.  Data collection will occur in two main phases, an early response phase, during the first 3 weeks of data collection, followed by the main, </w:t>
      </w:r>
      <w:r w:rsidR="00B5374A">
        <w:lastRenderedPageBreak/>
        <w:t xml:space="preserve">production interviewing phase.  </w:t>
      </w:r>
      <w:r w:rsidR="00BB45C5" w:rsidRPr="0093260A">
        <w:t xml:space="preserve">The </w:t>
      </w:r>
      <w:r w:rsidR="00BB45C5">
        <w:t xml:space="preserve">distribution of the NPSAS:12 FTB field test sample is shown in table </w:t>
      </w:r>
      <w:r w:rsidR="00366169">
        <w:t>4</w:t>
      </w:r>
      <w:r w:rsidR="00BB45C5">
        <w:t xml:space="preserve"> by the mode in which they completed the NPSAS:12 field test interview.  At the start of the BPS:12/14 field test interview, the </w:t>
      </w:r>
      <w:r w:rsidR="00BB45C5" w:rsidRPr="0093260A">
        <w:t>entire field test sample (N=</w:t>
      </w:r>
      <w:r w:rsidR="00BB45C5">
        <w:t>3,496</w:t>
      </w:r>
      <w:r w:rsidR="005A0DF0">
        <w:t>) will be moved to interviewing</w:t>
      </w:r>
      <w:r w:rsidR="00BB45C5" w:rsidRPr="0093260A">
        <w:t xml:space="preserve">.  </w:t>
      </w:r>
      <w:r>
        <w:t xml:space="preserve">Treatment during this early phase will depend </w:t>
      </w:r>
      <w:r w:rsidR="0003109E">
        <w:t xml:space="preserve">on </w:t>
      </w:r>
      <w:r>
        <w:t xml:space="preserve">a sample member’s </w:t>
      </w:r>
      <w:r w:rsidR="0003109E">
        <w:t>base year response status and</w:t>
      </w:r>
      <w:r>
        <w:t xml:space="preserve"> </w:t>
      </w:r>
      <w:r w:rsidR="0003109E">
        <w:t>mode of interview completion</w:t>
      </w:r>
      <w:r>
        <w:t xml:space="preserve"> as described </w:t>
      </w:r>
      <w:r w:rsidR="00B27106">
        <w:t>below</w:t>
      </w:r>
      <w:r>
        <w:t xml:space="preserve">.  </w:t>
      </w:r>
    </w:p>
    <w:p w:rsidR="004957C4" w:rsidRPr="004957C4" w:rsidRDefault="00862575" w:rsidP="0003109E">
      <w:pPr>
        <w:spacing w:before="120" w:after="120" w:line="320" w:lineRule="atLeast"/>
        <w:ind w:firstLine="720"/>
        <w:rPr>
          <w:i/>
          <w:iCs/>
        </w:rPr>
      </w:pPr>
      <w:r w:rsidRPr="00862575">
        <w:rPr>
          <w:i/>
          <w:iCs/>
        </w:rPr>
        <w:t>Base Year Respondents</w:t>
      </w:r>
    </w:p>
    <w:p w:rsidR="00BB45C5" w:rsidRDefault="003F650A" w:rsidP="00425D5E">
      <w:pPr>
        <w:spacing w:before="120" w:after="120" w:line="320" w:lineRule="atLeast"/>
        <w:ind w:firstLine="720"/>
      </w:pPr>
      <w:r>
        <w:t>A</w:t>
      </w:r>
      <w:r w:rsidR="00684A12">
        <w:t xml:space="preserve">mong </w:t>
      </w:r>
      <w:r w:rsidR="00BB45C5">
        <w:t xml:space="preserve">the 2,003 NPSAS:12 field test base year respondents, </w:t>
      </w:r>
      <w:r w:rsidR="00034418">
        <w:t>the</w:t>
      </w:r>
      <w:r>
        <w:t>re were</w:t>
      </w:r>
      <w:r w:rsidR="00034418">
        <w:t xml:space="preserve"> 725 </w:t>
      </w:r>
      <w:r>
        <w:t xml:space="preserve">sample members </w:t>
      </w:r>
      <w:r w:rsidR="00BB45C5">
        <w:t>whose NPSAS institution was a public 4-year or a private, nonprofit 4-year institution</w:t>
      </w:r>
      <w:r w:rsidR="00BB45C5" w:rsidRPr="0093260A">
        <w:t>.</w:t>
      </w:r>
      <w:r w:rsidR="00BB45C5">
        <w:t xml:space="preserve">  </w:t>
      </w:r>
      <w:r w:rsidR="00FE2263">
        <w:t>Most of the</w:t>
      </w:r>
      <w:r>
        <w:t>se</w:t>
      </w:r>
      <w:r w:rsidR="00FE2263">
        <w:t xml:space="preserve"> sample members completed the base year interview online, and will be </w:t>
      </w:r>
      <w:r w:rsidR="0017223E" w:rsidRPr="0017223E">
        <w:t>encouraged</w:t>
      </w:r>
      <w:r w:rsidR="0017223E">
        <w:t xml:space="preserve"> </w:t>
      </w:r>
      <w:r>
        <w:t xml:space="preserve">to complete </w:t>
      </w:r>
      <w:r w:rsidRPr="0093260A">
        <w:t xml:space="preserve">the </w:t>
      </w:r>
      <w:r>
        <w:t xml:space="preserve">full, 35-minute </w:t>
      </w:r>
      <w:r w:rsidR="00425D5E">
        <w:t xml:space="preserve">BPS:12/14 </w:t>
      </w:r>
      <w:r w:rsidRPr="0093260A">
        <w:t xml:space="preserve">interview </w:t>
      </w:r>
      <w:r>
        <w:t>online during the first 3 weeks of data collection</w:t>
      </w:r>
      <w:r w:rsidR="00FE2263">
        <w:t xml:space="preserve">.  </w:t>
      </w:r>
      <w:r w:rsidR="00425D5E">
        <w:t xml:space="preserve">If a </w:t>
      </w:r>
      <w:r w:rsidR="00034418">
        <w:t>s</w:t>
      </w:r>
      <w:r w:rsidR="00CF47F9">
        <w:t>ample member</w:t>
      </w:r>
      <w:r w:rsidR="00BB45C5">
        <w:t xml:space="preserve"> </w:t>
      </w:r>
      <w:r>
        <w:t>from those institutions</w:t>
      </w:r>
      <w:r w:rsidR="00425D5E">
        <w:t xml:space="preserve"> contacts </w:t>
      </w:r>
      <w:r w:rsidR="00BB45C5">
        <w:t xml:space="preserve">the study help desk </w:t>
      </w:r>
      <w:r w:rsidR="00034418">
        <w:t>for any reason</w:t>
      </w:r>
      <w:r w:rsidR="0017223E">
        <w:t>,</w:t>
      </w:r>
      <w:r w:rsidR="00034418">
        <w:t xml:space="preserve"> </w:t>
      </w:r>
      <w:r w:rsidR="00425D5E">
        <w:t xml:space="preserve">he/she </w:t>
      </w:r>
      <w:r w:rsidR="00BB45C5">
        <w:t xml:space="preserve">will be offered the </w:t>
      </w:r>
      <w:r w:rsidR="00034418">
        <w:t xml:space="preserve">option of completing a </w:t>
      </w:r>
      <w:r w:rsidR="00BB45C5">
        <w:t>telephone interview</w:t>
      </w:r>
      <w:r w:rsidR="00034418">
        <w:t xml:space="preserve"> at that time</w:t>
      </w:r>
      <w:r w:rsidR="00BB45C5">
        <w:t>, but may still complete the interview online if preferred.</w:t>
      </w:r>
    </w:p>
    <w:p w:rsidR="00CF47F9" w:rsidRPr="00CF47F9" w:rsidRDefault="00CF47F9" w:rsidP="00366169">
      <w:pPr>
        <w:pStyle w:val="TableTitle"/>
      </w:pPr>
      <w:bookmarkStart w:id="208" w:name="_Toc337840034"/>
      <w:r>
        <w:t xml:space="preserve">Table </w:t>
      </w:r>
      <w:r w:rsidR="00366169">
        <w:t>4</w:t>
      </w:r>
      <w:r>
        <w:t>.  Distribution of the BPS:12/14 field test sample, by sector and base year response status and mode</w:t>
      </w:r>
      <w:bookmarkEnd w:id="208"/>
    </w:p>
    <w:tbl>
      <w:tblPr>
        <w:tblStyle w:val="TableGrid"/>
        <w:tblW w:w="9738" w:type="dxa"/>
        <w:tblLayout w:type="fixed"/>
        <w:tblLook w:val="04A0" w:firstRow="1" w:lastRow="0" w:firstColumn="1" w:lastColumn="0" w:noHBand="0" w:noVBand="1"/>
      </w:tblPr>
      <w:tblGrid>
        <w:gridCol w:w="1908"/>
        <w:gridCol w:w="810"/>
        <w:gridCol w:w="900"/>
        <w:gridCol w:w="896"/>
        <w:gridCol w:w="818"/>
        <w:gridCol w:w="807"/>
        <w:gridCol w:w="991"/>
        <w:gridCol w:w="809"/>
        <w:gridCol w:w="900"/>
        <w:gridCol w:w="899"/>
      </w:tblGrid>
      <w:tr w:rsidR="004F7F72" w:rsidTr="00D650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18" w:type="dxa"/>
            <w:gridSpan w:val="2"/>
            <w:vMerge w:val="restart"/>
            <w:vAlign w:val="top"/>
          </w:tcPr>
          <w:p w:rsidR="004F7F72" w:rsidRPr="004F7F72" w:rsidRDefault="004F7F72" w:rsidP="00124110">
            <w:pPr>
              <w:keepNext/>
              <w:keepLines/>
              <w:spacing w:before="0" w:after="0"/>
              <w:rPr>
                <w:rFonts w:asciiTheme="minorHAnsi" w:hAnsiTheme="minorHAnsi"/>
                <w:sz w:val="18"/>
                <w:szCs w:val="18"/>
              </w:rPr>
            </w:pPr>
          </w:p>
        </w:tc>
        <w:tc>
          <w:tcPr>
            <w:tcW w:w="1796" w:type="dxa"/>
            <w:gridSpan w:val="2"/>
            <w:vMerge w:val="restart"/>
          </w:tcPr>
          <w:p w:rsidR="004F7F72" w:rsidRDefault="004F7F72" w:rsidP="00124110">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Nonrespondents</w:t>
            </w:r>
          </w:p>
          <w:p w:rsidR="0017223E" w:rsidRPr="004F7F72" w:rsidRDefault="0017223E" w:rsidP="00124110">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(Potential FTBs)</w:t>
            </w:r>
          </w:p>
        </w:tc>
        <w:tc>
          <w:tcPr>
            <w:tcW w:w="5224" w:type="dxa"/>
            <w:gridSpan w:val="6"/>
          </w:tcPr>
          <w:p w:rsidR="004F7F72" w:rsidRPr="004F7F72" w:rsidRDefault="004F7F72" w:rsidP="00124110">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Respondents</w:t>
            </w:r>
            <w:r w:rsidR="0017223E">
              <w:rPr>
                <w:rFonts w:asciiTheme="minorHAnsi" w:hAnsiTheme="minorHAnsi"/>
                <w:sz w:val="18"/>
                <w:szCs w:val="18"/>
              </w:rPr>
              <w:t xml:space="preserve"> (Confirmed FTBs)</w:t>
            </w:r>
          </w:p>
        </w:tc>
      </w:tr>
      <w:tr w:rsidR="004F7F72" w:rsidTr="00D65086">
        <w:tc>
          <w:tcPr>
            <w:cnfStyle w:val="001000000000" w:firstRow="0" w:lastRow="0" w:firstColumn="1" w:lastColumn="0" w:oddVBand="0" w:evenVBand="0" w:oddHBand="0" w:evenHBand="0" w:firstRowFirstColumn="0" w:firstRowLastColumn="0" w:lastRowFirstColumn="0" w:lastRowLastColumn="0"/>
            <w:tcW w:w="2718" w:type="dxa"/>
            <w:gridSpan w:val="2"/>
            <w:vMerge/>
            <w:tcBorders>
              <w:bottom w:val="nil"/>
            </w:tcBorders>
            <w:vAlign w:val="top"/>
          </w:tcPr>
          <w:p w:rsidR="004F7F72" w:rsidRPr="004F7F72" w:rsidRDefault="004F7F72" w:rsidP="00124110">
            <w:pPr>
              <w:keepNext/>
              <w:keepLines/>
              <w:spacing w:before="0" w:after="0"/>
              <w:rPr>
                <w:rFonts w:asciiTheme="minorHAnsi" w:hAnsiTheme="minorHAnsi"/>
                <w:sz w:val="18"/>
                <w:szCs w:val="18"/>
              </w:rPr>
            </w:pPr>
          </w:p>
        </w:tc>
        <w:tc>
          <w:tcPr>
            <w:tcW w:w="1796" w:type="dxa"/>
            <w:gridSpan w:val="2"/>
            <w:vMerge/>
            <w:tcBorders>
              <w:bottom w:val="nil"/>
            </w:tcBorders>
          </w:tcPr>
          <w:p w:rsidR="004F7F72" w:rsidRPr="004F7F72" w:rsidRDefault="004F7F72"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625" w:type="dxa"/>
            <w:gridSpan w:val="2"/>
            <w:tcBorders>
              <w:bottom w:val="nil"/>
            </w:tcBorders>
          </w:tcPr>
          <w:p w:rsidR="004F7F72" w:rsidRPr="004F7F72" w:rsidRDefault="004F7F72"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Web</w:t>
            </w:r>
          </w:p>
        </w:tc>
        <w:tc>
          <w:tcPr>
            <w:tcW w:w="1800" w:type="dxa"/>
            <w:gridSpan w:val="2"/>
            <w:tcBorders>
              <w:bottom w:val="nil"/>
            </w:tcBorders>
          </w:tcPr>
          <w:p w:rsidR="004F7F72" w:rsidRPr="004F7F72" w:rsidRDefault="004F7F72"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4F7F72">
              <w:rPr>
                <w:rFonts w:asciiTheme="minorHAnsi" w:hAnsiTheme="minorHAnsi"/>
                <w:sz w:val="18"/>
                <w:szCs w:val="18"/>
              </w:rPr>
              <w:t>Telephone</w:t>
            </w:r>
          </w:p>
        </w:tc>
        <w:tc>
          <w:tcPr>
            <w:tcW w:w="1799" w:type="dxa"/>
            <w:gridSpan w:val="2"/>
            <w:tcBorders>
              <w:bottom w:val="nil"/>
            </w:tcBorders>
          </w:tcPr>
          <w:p w:rsidR="004F7F72" w:rsidRPr="004F7F72" w:rsidRDefault="004F7F72"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Partial</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tcBorders>
              <w:top w:val="nil"/>
              <w:bottom w:val="single" w:sz="4" w:space="0" w:color="auto"/>
            </w:tcBorders>
            <w:vAlign w:val="top"/>
          </w:tcPr>
          <w:p w:rsidR="00BB45C5" w:rsidRPr="004F7F72" w:rsidRDefault="00BB45C5" w:rsidP="00124110">
            <w:pPr>
              <w:keepNext/>
              <w:keepLines/>
              <w:spacing w:before="0" w:after="0"/>
              <w:rPr>
                <w:rFonts w:asciiTheme="minorHAnsi" w:hAnsiTheme="minorHAnsi"/>
                <w:sz w:val="18"/>
                <w:szCs w:val="18"/>
              </w:rPr>
            </w:pPr>
          </w:p>
          <w:p w:rsidR="00BB45C5" w:rsidRPr="004F7F72" w:rsidRDefault="00BB45C5" w:rsidP="00124110">
            <w:pPr>
              <w:keepNext/>
              <w:keepLines/>
              <w:spacing w:before="0" w:after="0"/>
              <w:rPr>
                <w:rFonts w:asciiTheme="minorHAnsi" w:hAnsiTheme="minorHAnsi"/>
                <w:sz w:val="18"/>
                <w:szCs w:val="18"/>
              </w:rPr>
            </w:pPr>
          </w:p>
          <w:p w:rsidR="00BB45C5" w:rsidRPr="004F7F72" w:rsidRDefault="00BB45C5" w:rsidP="00124110">
            <w:pPr>
              <w:keepNext/>
              <w:keepLines/>
              <w:spacing w:before="0" w:after="0"/>
              <w:rPr>
                <w:rFonts w:asciiTheme="minorHAnsi" w:hAnsiTheme="minorHAnsi"/>
                <w:sz w:val="18"/>
                <w:szCs w:val="18"/>
              </w:rPr>
            </w:pPr>
            <w:r w:rsidRPr="004F7F72">
              <w:rPr>
                <w:rFonts w:asciiTheme="minorHAnsi" w:hAnsiTheme="minorHAnsi"/>
                <w:sz w:val="18"/>
                <w:szCs w:val="18"/>
              </w:rPr>
              <w:t>Type of institution</w:t>
            </w:r>
          </w:p>
        </w:tc>
        <w:tc>
          <w:tcPr>
            <w:tcW w:w="810" w:type="dxa"/>
            <w:tcBorders>
              <w:top w:val="nil"/>
              <w:bottom w:val="single" w:sz="4" w:space="0" w:color="auto"/>
            </w:tcBorders>
          </w:tcPr>
          <w:p w:rsidR="00BB45C5" w:rsidRPr="004F7F72" w:rsidRDefault="004F7F72" w:rsidP="00124110">
            <w:pPr>
              <w:keepNext/>
              <w:keepLine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S</w:t>
            </w:r>
            <w:r w:rsidR="00BB45C5" w:rsidRPr="004F7F72">
              <w:rPr>
                <w:rFonts w:asciiTheme="minorHAnsi" w:hAnsiTheme="minorHAnsi"/>
                <w:sz w:val="18"/>
                <w:szCs w:val="18"/>
              </w:rPr>
              <w:t>ample</w:t>
            </w:r>
          </w:p>
        </w:tc>
        <w:tc>
          <w:tcPr>
            <w:tcW w:w="900"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Number</w:t>
            </w:r>
          </w:p>
        </w:tc>
        <w:tc>
          <w:tcPr>
            <w:tcW w:w="896"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Percent</w:t>
            </w:r>
          </w:p>
        </w:tc>
        <w:tc>
          <w:tcPr>
            <w:tcW w:w="818"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Number</w:t>
            </w:r>
          </w:p>
        </w:tc>
        <w:tc>
          <w:tcPr>
            <w:tcW w:w="807"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Percent</w:t>
            </w:r>
          </w:p>
        </w:tc>
        <w:tc>
          <w:tcPr>
            <w:tcW w:w="991"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Number</w:t>
            </w:r>
          </w:p>
        </w:tc>
        <w:tc>
          <w:tcPr>
            <w:tcW w:w="809"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Percent</w:t>
            </w:r>
          </w:p>
        </w:tc>
        <w:tc>
          <w:tcPr>
            <w:tcW w:w="900"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Number</w:t>
            </w:r>
          </w:p>
        </w:tc>
        <w:tc>
          <w:tcPr>
            <w:tcW w:w="899" w:type="dxa"/>
            <w:tcBorders>
              <w:top w:val="nil"/>
              <w:bottom w:val="single" w:sz="4" w:space="0" w:color="auto"/>
            </w:tcBorders>
          </w:tcPr>
          <w:p w:rsidR="00BB45C5" w:rsidRPr="004F7F72" w:rsidRDefault="00BB45C5" w:rsidP="00124110">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F7F72">
              <w:rPr>
                <w:rFonts w:asciiTheme="minorHAnsi" w:hAnsiTheme="minorHAnsi"/>
                <w:sz w:val="18"/>
                <w:szCs w:val="18"/>
              </w:rPr>
              <w:t>Percent</w:t>
            </w:r>
          </w:p>
        </w:tc>
      </w:tr>
      <w:tr w:rsidR="00BB45C5" w:rsidTr="00CA44B9">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tcBorders>
            <w:vAlign w:val="top"/>
          </w:tcPr>
          <w:p w:rsidR="00BB45C5" w:rsidRPr="004F7F72" w:rsidRDefault="00BB45C5" w:rsidP="00124110">
            <w:pPr>
              <w:keepNext/>
              <w:keepLines/>
              <w:spacing w:after="0"/>
              <w:ind w:left="1066"/>
              <w:rPr>
                <w:rFonts w:asciiTheme="minorHAnsi" w:hAnsiTheme="minorHAnsi"/>
                <w:sz w:val="18"/>
                <w:szCs w:val="18"/>
              </w:rPr>
            </w:pPr>
            <w:r w:rsidRPr="004F7F72">
              <w:rPr>
                <w:rFonts w:asciiTheme="minorHAnsi" w:hAnsiTheme="minorHAnsi"/>
                <w:sz w:val="18"/>
                <w:szCs w:val="18"/>
              </w:rPr>
              <w:t>Total</w:t>
            </w:r>
          </w:p>
        </w:tc>
        <w:tc>
          <w:tcPr>
            <w:tcW w:w="810"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3,496</w:t>
            </w:r>
          </w:p>
        </w:tc>
        <w:tc>
          <w:tcPr>
            <w:tcW w:w="900"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1,493</w:t>
            </w:r>
          </w:p>
        </w:tc>
        <w:tc>
          <w:tcPr>
            <w:tcW w:w="896"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42.7</w:t>
            </w:r>
          </w:p>
        </w:tc>
        <w:tc>
          <w:tcPr>
            <w:tcW w:w="818"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1,535</w:t>
            </w:r>
          </w:p>
        </w:tc>
        <w:tc>
          <w:tcPr>
            <w:tcW w:w="807"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79.0</w:t>
            </w:r>
          </w:p>
        </w:tc>
        <w:tc>
          <w:tcPr>
            <w:tcW w:w="991"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409</w:t>
            </w:r>
          </w:p>
        </w:tc>
        <w:tc>
          <w:tcPr>
            <w:tcW w:w="809"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21.0</w:t>
            </w:r>
          </w:p>
        </w:tc>
        <w:tc>
          <w:tcPr>
            <w:tcW w:w="900"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59</w:t>
            </w:r>
          </w:p>
        </w:tc>
        <w:tc>
          <w:tcPr>
            <w:tcW w:w="899" w:type="dxa"/>
            <w:tcBorders>
              <w:top w:val="single" w:sz="4" w:space="0" w:color="auto"/>
            </w:tcBorders>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2.9</w:t>
            </w:r>
          </w:p>
        </w:tc>
      </w:tr>
      <w:tr w:rsidR="00BB45C5" w:rsidTr="00CA44B9">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Public less-than-2-year</w:t>
            </w:r>
          </w:p>
        </w:tc>
        <w:tc>
          <w:tcPr>
            <w:tcW w:w="810"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17</w:t>
            </w:r>
          </w:p>
        </w:tc>
        <w:tc>
          <w:tcPr>
            <w:tcW w:w="900"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11</w:t>
            </w:r>
          </w:p>
        </w:tc>
        <w:tc>
          <w:tcPr>
            <w:tcW w:w="896"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64.7</w:t>
            </w:r>
          </w:p>
        </w:tc>
        <w:tc>
          <w:tcPr>
            <w:tcW w:w="818"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w:t>
            </w:r>
          </w:p>
        </w:tc>
        <w:tc>
          <w:tcPr>
            <w:tcW w:w="807"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16.7</w:t>
            </w:r>
          </w:p>
        </w:tc>
        <w:tc>
          <w:tcPr>
            <w:tcW w:w="991"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5</w:t>
            </w:r>
          </w:p>
        </w:tc>
        <w:tc>
          <w:tcPr>
            <w:tcW w:w="809"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83.3</w:t>
            </w:r>
          </w:p>
        </w:tc>
        <w:tc>
          <w:tcPr>
            <w:tcW w:w="900"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0</w:t>
            </w:r>
          </w:p>
        </w:tc>
        <w:tc>
          <w:tcPr>
            <w:tcW w:w="899"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0.0</w:t>
            </w:r>
          </w:p>
        </w:tc>
      </w:tr>
      <w:tr w:rsidR="00BB45C5" w:rsidTr="00CA44B9">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Public 2-year</w:t>
            </w:r>
          </w:p>
        </w:tc>
        <w:tc>
          <w:tcPr>
            <w:tcW w:w="810"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1,526</w:t>
            </w:r>
          </w:p>
        </w:tc>
        <w:tc>
          <w:tcPr>
            <w:tcW w:w="900"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699</w:t>
            </w:r>
          </w:p>
        </w:tc>
        <w:tc>
          <w:tcPr>
            <w:tcW w:w="896"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45.8</w:t>
            </w:r>
          </w:p>
        </w:tc>
        <w:tc>
          <w:tcPr>
            <w:tcW w:w="818"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603</w:t>
            </w:r>
          </w:p>
        </w:tc>
        <w:tc>
          <w:tcPr>
            <w:tcW w:w="807"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75.1</w:t>
            </w:r>
          </w:p>
        </w:tc>
        <w:tc>
          <w:tcPr>
            <w:tcW w:w="991"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200</w:t>
            </w:r>
          </w:p>
        </w:tc>
        <w:tc>
          <w:tcPr>
            <w:tcW w:w="809"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24.9</w:t>
            </w:r>
          </w:p>
        </w:tc>
        <w:tc>
          <w:tcPr>
            <w:tcW w:w="900"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24</w:t>
            </w:r>
          </w:p>
        </w:tc>
        <w:tc>
          <w:tcPr>
            <w:tcW w:w="899" w:type="dxa"/>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2.9</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Public 4-year non-doctorate-granting</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204</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62</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30.4</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121</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85.8</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20</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14.2</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1</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0.7</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Public 4-year doctorate-granting</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436</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115</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26.4</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270</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87.1</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40</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12.9</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11</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3.4</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Private nonprofit less-than-4-year</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37</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14</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37.8</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19</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82.6</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17.4</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0</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0.0</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Private 4-year non-doctorate-granting</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205</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50</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24.4</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140</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90.9</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14</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9.1</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1</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0.6</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Private 4-year doctorate-granting</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139</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32</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23.0</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100</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93.5</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7</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6.5</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0</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0.0</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Private for-profit less-than-2-year</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139</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68</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48.9</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43</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63.2</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25</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36.8</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3</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4.2</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Private for-profit 2-year</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211</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141</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66.8</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38</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58.5</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27</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41.5</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5</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7.1</w:t>
            </w:r>
          </w:p>
        </w:tc>
      </w:tr>
      <w:tr w:rsidR="00BB45C5" w:rsidTr="004F7F72">
        <w:tc>
          <w:tcPr>
            <w:cnfStyle w:val="001000000000" w:firstRow="0" w:lastRow="0" w:firstColumn="1" w:lastColumn="0" w:oddVBand="0" w:evenVBand="0" w:oddHBand="0" w:evenHBand="0" w:firstRowFirstColumn="0" w:firstRowLastColumn="0" w:lastRowFirstColumn="0" w:lastRowLastColumn="0"/>
            <w:tcW w:w="1908" w:type="dxa"/>
            <w:vAlign w:val="top"/>
          </w:tcPr>
          <w:p w:rsidR="00BB45C5" w:rsidRPr="004F7F72" w:rsidRDefault="00BB45C5" w:rsidP="00124110">
            <w:pPr>
              <w:keepNext/>
              <w:keepLines/>
              <w:spacing w:before="0" w:after="0"/>
              <w:ind w:left="0" w:firstLine="0"/>
              <w:rPr>
                <w:rFonts w:asciiTheme="minorHAnsi" w:hAnsiTheme="minorHAnsi"/>
                <w:sz w:val="18"/>
                <w:szCs w:val="18"/>
              </w:rPr>
            </w:pPr>
            <w:r w:rsidRPr="004F7F72">
              <w:rPr>
                <w:rFonts w:asciiTheme="minorHAnsi" w:hAnsiTheme="minorHAnsi"/>
                <w:sz w:val="18"/>
                <w:szCs w:val="18"/>
              </w:rPr>
              <w:t>Private for-profit 4-year</w:t>
            </w:r>
          </w:p>
        </w:tc>
        <w:tc>
          <w:tcPr>
            <w:tcW w:w="81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582</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301</w:t>
            </w:r>
          </w:p>
        </w:tc>
        <w:tc>
          <w:tcPr>
            <w:tcW w:w="896"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51.7</w:t>
            </w:r>
          </w:p>
        </w:tc>
        <w:tc>
          <w:tcPr>
            <w:tcW w:w="818"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200</w:t>
            </w:r>
          </w:p>
        </w:tc>
        <w:tc>
          <w:tcPr>
            <w:tcW w:w="807"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74.9</w:t>
            </w:r>
          </w:p>
        </w:tc>
        <w:tc>
          <w:tcPr>
            <w:tcW w:w="991"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67</w:t>
            </w:r>
          </w:p>
        </w:tc>
        <w:tc>
          <w:tcPr>
            <w:tcW w:w="80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25.1</w:t>
            </w:r>
          </w:p>
        </w:tc>
        <w:tc>
          <w:tcPr>
            <w:tcW w:w="900"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8"/>
                <w:szCs w:val="18"/>
              </w:rPr>
            </w:pPr>
            <w:r w:rsidRPr="004F7F72">
              <w:rPr>
                <w:rFonts w:asciiTheme="minorHAnsi" w:hAnsiTheme="minorHAnsi" w:cs="Arial"/>
                <w:color w:val="000000"/>
                <w:sz w:val="18"/>
                <w:szCs w:val="18"/>
              </w:rPr>
              <w:t>14</w:t>
            </w:r>
          </w:p>
        </w:tc>
        <w:tc>
          <w:tcPr>
            <w:tcW w:w="899" w:type="dxa"/>
            <w:vAlign w:val="top"/>
          </w:tcPr>
          <w:p w:rsidR="00BB45C5" w:rsidRPr="004F7F72" w:rsidRDefault="00BB45C5" w:rsidP="00124110">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4F7F72">
              <w:rPr>
                <w:rFonts w:asciiTheme="minorHAnsi" w:hAnsiTheme="minorHAnsi"/>
                <w:color w:val="000000"/>
                <w:sz w:val="18"/>
                <w:szCs w:val="18"/>
              </w:rPr>
              <w:t>5.0</w:t>
            </w:r>
          </w:p>
        </w:tc>
      </w:tr>
    </w:tbl>
    <w:p w:rsidR="00BB45C5" w:rsidRDefault="00BB45C5" w:rsidP="00124110">
      <w:pPr>
        <w:keepNext/>
        <w:keepLines/>
        <w:spacing w:before="120" w:after="120" w:line="320" w:lineRule="atLeast"/>
        <w:ind w:firstLine="720"/>
      </w:pPr>
    </w:p>
    <w:p w:rsidR="00BB45C5" w:rsidRDefault="00FE2263" w:rsidP="00F24957">
      <w:pPr>
        <w:spacing w:before="120" w:after="120" w:line="320" w:lineRule="atLeast"/>
        <w:ind w:firstLine="720"/>
      </w:pPr>
      <w:r>
        <w:t xml:space="preserve">The remaining base year respondents – those </w:t>
      </w:r>
      <w:r w:rsidR="00BB45C5">
        <w:t>whose first</w:t>
      </w:r>
      <w:r>
        <w:t xml:space="preserve"> </w:t>
      </w:r>
      <w:r w:rsidR="00BB45C5">
        <w:t>institution was a public, less-than 2-year or 2-year institution; a private, not-for-profit less-than-4-year institution; or any of the 3 levels of for-profit institution</w:t>
      </w:r>
      <w:r>
        <w:t xml:space="preserve"> – </w:t>
      </w:r>
      <w:r w:rsidR="00BB45C5">
        <w:t xml:space="preserve">had </w:t>
      </w:r>
      <w:r>
        <w:t xml:space="preserve">comparatively </w:t>
      </w:r>
      <w:r w:rsidR="00BB45C5">
        <w:t xml:space="preserve">low online completion rates.  Those who did complete the NPSAS:12 field test interview online (N=904) will be </w:t>
      </w:r>
      <w:r w:rsidR="00425D5E">
        <w:t xml:space="preserve">given time </w:t>
      </w:r>
      <w:r w:rsidR="00BB45C5">
        <w:t xml:space="preserve">to </w:t>
      </w:r>
      <w:r>
        <w:t xml:space="preserve">complete </w:t>
      </w:r>
      <w:r w:rsidR="003F650A">
        <w:t xml:space="preserve">it </w:t>
      </w:r>
      <w:r>
        <w:t xml:space="preserve">online </w:t>
      </w:r>
      <w:r w:rsidR="00BB45C5">
        <w:t>again during the first 3 weeks of data collection</w:t>
      </w:r>
      <w:r>
        <w:t xml:space="preserve">, or by telephone if they </w:t>
      </w:r>
      <w:r w:rsidR="00425D5E">
        <w:t xml:space="preserve">contact </w:t>
      </w:r>
      <w:r>
        <w:t>the Help Desk</w:t>
      </w:r>
      <w:r w:rsidR="00BB45C5">
        <w:t xml:space="preserve">.  However, those who completed a telephone interview </w:t>
      </w:r>
      <w:r w:rsidR="00034418">
        <w:t xml:space="preserve">(N=374) </w:t>
      </w:r>
      <w:r w:rsidR="00BB45C5">
        <w:t xml:space="preserve">during the base year </w:t>
      </w:r>
      <w:r w:rsidR="00BB45C5" w:rsidRPr="0093260A">
        <w:t xml:space="preserve">will be moved to outbound calling </w:t>
      </w:r>
      <w:r w:rsidR="00034418">
        <w:t>within 5</w:t>
      </w:r>
      <w:r w:rsidR="00BB45C5">
        <w:t xml:space="preserve"> days of the initial data collection mailing, </w:t>
      </w:r>
      <w:r w:rsidR="00BB45C5" w:rsidRPr="0093260A">
        <w:t xml:space="preserve">allowing </w:t>
      </w:r>
      <w:r w:rsidR="00BB45C5">
        <w:t xml:space="preserve">only enough </w:t>
      </w:r>
      <w:r w:rsidR="00BB45C5" w:rsidRPr="0093260A">
        <w:t xml:space="preserve">time for </w:t>
      </w:r>
      <w:r w:rsidR="00BB45C5">
        <w:t xml:space="preserve">the </w:t>
      </w:r>
      <w:r w:rsidR="00BB45C5" w:rsidRPr="0093260A">
        <w:t>initial contact materials to reach them by regular mail.</w:t>
      </w:r>
      <w:r w:rsidR="00BB45C5">
        <w:t xml:space="preserve">  Calls from interviewers are primarily intended to prompt </w:t>
      </w:r>
      <w:r w:rsidR="00D65086">
        <w:t xml:space="preserve">sample members </w:t>
      </w:r>
      <w:r w:rsidR="00BB45C5">
        <w:t xml:space="preserve">to complete the online interview, although any willing to complete the interview by telephone will be </w:t>
      </w:r>
      <w:r w:rsidR="00BB45C5">
        <w:lastRenderedPageBreak/>
        <w:t xml:space="preserve">encouraged to do so.  </w:t>
      </w:r>
      <w:r w:rsidR="00F24957">
        <w:t>During the early response phase, b</w:t>
      </w:r>
      <w:r w:rsidR="00BB45C5">
        <w:t xml:space="preserve">ase year respondents </w:t>
      </w:r>
      <w:r w:rsidR="00BB45C5" w:rsidRPr="0093260A">
        <w:t xml:space="preserve">completing the first follow-up interview, either online or by telephone, will receive a check in the amount of $30.  </w:t>
      </w:r>
    </w:p>
    <w:p w:rsidR="004957C4" w:rsidRPr="004957C4" w:rsidRDefault="00862575" w:rsidP="0003109E">
      <w:pPr>
        <w:spacing w:before="120" w:after="120" w:line="320" w:lineRule="atLeast"/>
        <w:ind w:firstLine="720"/>
        <w:rPr>
          <w:i/>
          <w:iCs/>
        </w:rPr>
      </w:pPr>
      <w:r w:rsidRPr="00862575">
        <w:rPr>
          <w:i/>
          <w:iCs/>
        </w:rPr>
        <w:t>Base Year Nonresp</w:t>
      </w:r>
      <w:r w:rsidR="00124110">
        <w:rPr>
          <w:i/>
          <w:iCs/>
        </w:rPr>
        <w:t>o</w:t>
      </w:r>
      <w:r w:rsidRPr="00862575">
        <w:rPr>
          <w:i/>
          <w:iCs/>
        </w:rPr>
        <w:t>ndents</w:t>
      </w:r>
    </w:p>
    <w:p w:rsidR="00BB45C5" w:rsidRDefault="004957C4" w:rsidP="003F0825">
      <w:pPr>
        <w:spacing w:before="120" w:after="120" w:line="320" w:lineRule="atLeast"/>
        <w:ind w:firstLine="720"/>
      </w:pPr>
      <w:r>
        <w:t xml:space="preserve">At the completion of </w:t>
      </w:r>
      <w:r w:rsidR="00BB45C5">
        <w:t xml:space="preserve">the NPSAS:12 field test there were 1,493 interview nonrespondents with unknown eligibility for BPS.  </w:t>
      </w:r>
      <w:r w:rsidR="003F0825">
        <w:t xml:space="preserve">For Experiment 1, </w:t>
      </w:r>
      <w:r w:rsidR="00BB45C5">
        <w:t>these nonrespondents will be randomly assigned into one of two groups.  Half of the nonrespondents will be invited to complete the full BPS:12/14 field test interview requiring, on average, approximately 35 minutes of their time (Full Interview group).  The other half will be invited to complete a modified BPS:12/14 field test interview</w:t>
      </w:r>
      <w:r w:rsidR="005E17C4">
        <w:t>, containing just the enrollment, employment, and locating sections,</w:t>
      </w:r>
      <w:r w:rsidR="00BB45C5">
        <w:t xml:space="preserve"> of about 20 minutes’ duration (Modified Interview group).  All base year nonrespondents </w:t>
      </w:r>
      <w:r w:rsidR="00BB45C5" w:rsidRPr="0093260A">
        <w:t xml:space="preserve">will be </w:t>
      </w:r>
      <w:r w:rsidR="00BB45C5">
        <w:t>able to complete the BPS interview online at any</w:t>
      </w:r>
      <w:r w:rsidR="00D13D12">
        <w:t xml:space="preserve"> </w:t>
      </w:r>
      <w:r w:rsidR="00BB45C5">
        <w:t xml:space="preserve">time, once the initial notification is received by email.  Their cases also will be </w:t>
      </w:r>
      <w:r w:rsidR="00BB45C5" w:rsidRPr="0093260A">
        <w:t xml:space="preserve">moved to outbound calling </w:t>
      </w:r>
      <w:r w:rsidR="00D70828">
        <w:t xml:space="preserve">5 </w:t>
      </w:r>
      <w:r w:rsidR="00BB45C5">
        <w:t xml:space="preserve">days after the initial data collection mailing, </w:t>
      </w:r>
      <w:r w:rsidR="00BB45C5" w:rsidRPr="0093260A">
        <w:t>allowing time for initial contact materials to reach them by regular mail.</w:t>
      </w:r>
      <w:r w:rsidR="00BB45C5">
        <w:t xml:space="preserve">  The early response phase will continue for 3 weeks, with all base year nonrespondents receiving a $30 check for a completed interview.  Throughout the BPS:12/14 field test, the assignment of base year nonrespondents to either the full or modified interview will not change.  </w:t>
      </w:r>
    </w:p>
    <w:p w:rsidR="004957C4" w:rsidRDefault="004957C4" w:rsidP="005E17C4">
      <w:pPr>
        <w:spacing w:before="120" w:after="120" w:line="320" w:lineRule="atLeast"/>
        <w:ind w:firstLine="720"/>
      </w:pPr>
      <w:r>
        <w:rPr>
          <w:u w:val="single"/>
        </w:rPr>
        <w:t xml:space="preserve">2. </w:t>
      </w:r>
      <w:r w:rsidR="00BB45C5">
        <w:rPr>
          <w:u w:val="single"/>
        </w:rPr>
        <w:t>Production Interviewing</w:t>
      </w:r>
      <w:r>
        <w:rPr>
          <w:u w:val="single"/>
        </w:rPr>
        <w:t xml:space="preserve"> Phase (</w:t>
      </w:r>
      <w:r w:rsidR="005E17C4">
        <w:rPr>
          <w:u w:val="single"/>
        </w:rPr>
        <w:t>W</w:t>
      </w:r>
      <w:r>
        <w:rPr>
          <w:u w:val="single"/>
        </w:rPr>
        <w:t xml:space="preserve">eeks 4 – </w:t>
      </w:r>
      <w:r w:rsidR="005E17C4">
        <w:rPr>
          <w:u w:val="single"/>
        </w:rPr>
        <w:t>end of data collection</w:t>
      </w:r>
      <w:r>
        <w:rPr>
          <w:u w:val="single"/>
        </w:rPr>
        <w:t>)</w:t>
      </w:r>
      <w:r w:rsidR="00BB45C5">
        <w:t xml:space="preserve">.  </w:t>
      </w:r>
    </w:p>
    <w:p w:rsidR="00414CDD" w:rsidRDefault="007A6B27" w:rsidP="005E17C4">
      <w:pPr>
        <w:spacing w:before="120" w:after="120" w:line="320" w:lineRule="atLeast"/>
        <w:ind w:firstLine="720"/>
      </w:pPr>
      <w:r>
        <w:t>Following</w:t>
      </w:r>
      <w:r w:rsidR="00BB45C5">
        <w:t xml:space="preserve"> the 3-week early response </w:t>
      </w:r>
      <w:r w:rsidR="004957C4">
        <w:t>phase</w:t>
      </w:r>
      <w:r w:rsidR="00BB45C5">
        <w:t xml:space="preserve">, all </w:t>
      </w:r>
      <w:r w:rsidR="004957C4">
        <w:t xml:space="preserve">sample members who did not respond </w:t>
      </w:r>
      <w:r w:rsidR="00BB45C5">
        <w:t xml:space="preserve">will be made available to RTI’s Call Center Services </w:t>
      </w:r>
      <w:r w:rsidR="004957C4">
        <w:t xml:space="preserve">(CCS) </w:t>
      </w:r>
      <w:r w:rsidR="00BB45C5">
        <w:t xml:space="preserve">for outbound calling.  While some sample members will have already received calls from CCS during the Early Response Phase, the frequency of calls will increase to the level of routine production interviewing.    </w:t>
      </w:r>
    </w:p>
    <w:p w:rsidR="00BB45C5" w:rsidRPr="005E3CD1" w:rsidRDefault="00BB45C5" w:rsidP="00DD1DA0">
      <w:pPr>
        <w:spacing w:before="120" w:after="120" w:line="320" w:lineRule="atLeast"/>
        <w:ind w:firstLine="720"/>
      </w:pPr>
      <w:r w:rsidRPr="0093260A">
        <w:t xml:space="preserve">At the end of </w:t>
      </w:r>
      <w:r w:rsidR="004957C4">
        <w:t xml:space="preserve">the first </w:t>
      </w:r>
      <w:r>
        <w:t>two weeks</w:t>
      </w:r>
      <w:r w:rsidR="004957C4">
        <w:t xml:space="preserve"> of the production phase</w:t>
      </w:r>
      <w:r w:rsidRPr="0093260A">
        <w:t xml:space="preserve">, </w:t>
      </w:r>
      <w:r>
        <w:t>remaining nonrespondents will be divided into a control and experimental group</w:t>
      </w:r>
      <w:r w:rsidR="00414CDD">
        <w:t>. E</w:t>
      </w:r>
      <w:r>
        <w:t xml:space="preserve">ach group </w:t>
      </w:r>
      <w:r w:rsidR="00414CDD">
        <w:t>will have</w:t>
      </w:r>
      <w:r>
        <w:t xml:space="preserve"> an equal number of base year respondents, base year nonrespondents </w:t>
      </w:r>
      <w:r w:rsidR="00DD1DA0">
        <w:t xml:space="preserve">offered </w:t>
      </w:r>
      <w:r>
        <w:t xml:space="preserve">the full interview, and base year nonrespondents </w:t>
      </w:r>
      <w:r w:rsidR="00DD1DA0">
        <w:t xml:space="preserve">offered </w:t>
      </w:r>
      <w:r>
        <w:t>the modified interview</w:t>
      </w:r>
      <w:r w:rsidR="00D70828">
        <w:t xml:space="preserve"> from the early phase</w:t>
      </w:r>
      <w:r>
        <w:t xml:space="preserve">.    </w:t>
      </w:r>
    </w:p>
    <w:p w:rsidR="00BB45C5" w:rsidRDefault="00BB45C5" w:rsidP="005835B1">
      <w:pPr>
        <w:spacing w:before="120" w:after="120" w:line="320" w:lineRule="atLeast"/>
      </w:pPr>
      <w:r w:rsidRPr="0093260A">
        <w:tab/>
      </w:r>
      <w:r>
        <w:rPr>
          <w:u w:val="single"/>
        </w:rPr>
        <w:t xml:space="preserve">Time 1 </w:t>
      </w:r>
      <w:r w:rsidRPr="0093260A">
        <w:rPr>
          <w:u w:val="single"/>
        </w:rPr>
        <w:t>Mahalanobis</w:t>
      </w:r>
      <w:r>
        <w:rPr>
          <w:u w:val="single"/>
        </w:rPr>
        <w:t xml:space="preserve"> Calculation</w:t>
      </w:r>
      <w:r w:rsidRPr="0093260A">
        <w:t xml:space="preserve">.  </w:t>
      </w:r>
      <w:r w:rsidR="00414CDD">
        <w:t>A</w:t>
      </w:r>
      <w:r>
        <w:t xml:space="preserve">t the end of the first two weeks of production interviewing, a </w:t>
      </w:r>
      <w:r w:rsidRPr="0093260A">
        <w:t xml:space="preserve">Mahalanobis distance will be calculated </w:t>
      </w:r>
      <w:r>
        <w:t xml:space="preserve">across all sample members in the control and experimental groups.  </w:t>
      </w:r>
      <w:r w:rsidRPr="0093260A">
        <w:t xml:space="preserve">Cases with </w:t>
      </w:r>
      <w:r>
        <w:t xml:space="preserve">the highest </w:t>
      </w:r>
      <w:r w:rsidRPr="0093260A">
        <w:t xml:space="preserve">Mahalanobis values will be identified as </w:t>
      </w:r>
      <w:r>
        <w:t>T</w:t>
      </w:r>
      <w:r w:rsidRPr="0093260A">
        <w:t>ime 1 high distance cases</w:t>
      </w:r>
      <w:r>
        <w:t>, irrespective of group assignment</w:t>
      </w:r>
      <w:r w:rsidR="003069C3">
        <w:t xml:space="preserve"> although, with random assignment, we anticipate an approximately equal number of high distance cases in both groups</w:t>
      </w:r>
      <w:r>
        <w:t>.  Those sample members assigned to the control group will be tracked as either Control-High Distance or Control-Normal Distance</w:t>
      </w:r>
      <w:r w:rsidR="00D13D12">
        <w:t xml:space="preserve"> but, otherwise, d</w:t>
      </w:r>
      <w:r>
        <w:t xml:space="preserve">ata collection will continue as in the production interviewing phase, </w:t>
      </w:r>
      <w:r w:rsidR="00D13D12">
        <w:t xml:space="preserve">with </w:t>
      </w:r>
      <w:r>
        <w:t>sample members able to complete the interview online</w:t>
      </w:r>
      <w:r w:rsidR="00D13D12">
        <w:t xml:space="preserve"> or by telephone</w:t>
      </w:r>
      <w:r>
        <w:t xml:space="preserve">.  </w:t>
      </w:r>
      <w:r w:rsidR="00D13D12">
        <w:t xml:space="preserve">Those </w:t>
      </w:r>
      <w:r w:rsidR="005835B1">
        <w:t xml:space="preserve">in the control group </w:t>
      </w:r>
      <w:r>
        <w:t>who complete the interview will receive a $30 check.</w:t>
      </w:r>
    </w:p>
    <w:p w:rsidR="00D13D12" w:rsidRDefault="00BB45C5" w:rsidP="005835B1">
      <w:pPr>
        <w:spacing w:before="120" w:after="120" w:line="320" w:lineRule="atLeast"/>
        <w:ind w:firstLine="720"/>
      </w:pPr>
      <w:r>
        <w:t>In the Experimental group, Experimental-</w:t>
      </w:r>
      <w:r w:rsidRPr="007A6B27">
        <w:rPr>
          <w:u w:val="single"/>
        </w:rPr>
        <w:t>Normal</w:t>
      </w:r>
      <w:r>
        <w:t xml:space="preserve"> Distance cases will be treated like </w:t>
      </w:r>
      <w:r w:rsidR="007A6B27">
        <w:t>the c</w:t>
      </w:r>
      <w:r w:rsidR="00D13D12">
        <w:t>ontrol group</w:t>
      </w:r>
      <w:r w:rsidR="005835B1">
        <w:t xml:space="preserve"> in that they </w:t>
      </w:r>
      <w:r>
        <w:t>will be able to complete the interview online or by telephone, and will receive a $30 check for a completed interview.  The Experimental-</w:t>
      </w:r>
      <w:r w:rsidRPr="007A6B27">
        <w:rPr>
          <w:u w:val="single"/>
        </w:rPr>
        <w:t>High</w:t>
      </w:r>
      <w:r>
        <w:t xml:space="preserve"> Distance cases will</w:t>
      </w:r>
      <w:r w:rsidR="00D13D12">
        <w:t xml:space="preserve">, </w:t>
      </w:r>
      <w:r>
        <w:t>like the other three groups</w:t>
      </w:r>
      <w:r w:rsidR="00D13D12">
        <w:t xml:space="preserve">, be </w:t>
      </w:r>
      <w:r>
        <w:t xml:space="preserve">able to complete the interview online or by telephone, and the frequency with which they are contacted will be the same.  However, those </w:t>
      </w:r>
      <w:r w:rsidR="005835B1">
        <w:t xml:space="preserve">Experimental-High Distance cases </w:t>
      </w:r>
      <w:r>
        <w:t>completing the interview will receive a check for $55, instead of $30</w:t>
      </w:r>
      <w:r w:rsidRPr="0093260A">
        <w:t>.</w:t>
      </w:r>
    </w:p>
    <w:p w:rsidR="00BB45C5" w:rsidRDefault="00BB45C5" w:rsidP="00D13D12">
      <w:pPr>
        <w:spacing w:before="120" w:after="120" w:line="320" w:lineRule="atLeast"/>
        <w:ind w:firstLine="720"/>
      </w:pPr>
      <w:r w:rsidRPr="00556484">
        <w:lastRenderedPageBreak/>
        <w:t xml:space="preserve">Mailings </w:t>
      </w:r>
      <w:r>
        <w:t xml:space="preserve">to the four groups </w:t>
      </w:r>
      <w:r w:rsidRPr="00556484">
        <w:t>will follow what is considered a standard schedule of contacts, in both conventional mail and electronic mail forms.</w:t>
      </w:r>
      <w:r>
        <w:t xml:space="preserve">  </w:t>
      </w:r>
      <w:r w:rsidR="00D13D12">
        <w:t>Production i</w:t>
      </w:r>
      <w:r>
        <w:t xml:space="preserve">nterviewing following the Time 1 Mahalanobis calculation will continue for 3 weeks.  </w:t>
      </w:r>
    </w:p>
    <w:p w:rsidR="00BB45C5" w:rsidRDefault="00BB45C5" w:rsidP="007A6B27">
      <w:pPr>
        <w:spacing w:before="120" w:after="120" w:line="320" w:lineRule="atLeast"/>
        <w:ind w:firstLine="720"/>
      </w:pPr>
      <w:r>
        <w:rPr>
          <w:u w:val="single"/>
        </w:rPr>
        <w:t xml:space="preserve">Time 2 </w:t>
      </w:r>
      <w:r w:rsidRPr="00B74B5E">
        <w:rPr>
          <w:u w:val="single"/>
        </w:rPr>
        <w:t>Mahalanobis</w:t>
      </w:r>
      <w:r>
        <w:rPr>
          <w:u w:val="single"/>
        </w:rPr>
        <w:t xml:space="preserve"> Calculation</w:t>
      </w:r>
      <w:r>
        <w:t xml:space="preserve">.  After the 3 weeks of outbound calling, </w:t>
      </w:r>
      <w:r w:rsidRPr="00D13D12">
        <w:t>Mahalanobis</w:t>
      </w:r>
      <w:r>
        <w:t xml:space="preserve"> values for all remaining </w:t>
      </w:r>
      <w:r w:rsidR="007A6B27">
        <w:t xml:space="preserve">BPS interview </w:t>
      </w:r>
      <w:r>
        <w:t xml:space="preserve">nonrespondents will be recalculated.  </w:t>
      </w:r>
      <w:r w:rsidR="00D13D12">
        <w:t xml:space="preserve">From the Control-Normal Distance and Experimental-Normal Distance groups, a subsample of </w:t>
      </w:r>
      <w:r>
        <w:t xml:space="preserve">new </w:t>
      </w:r>
      <w:r w:rsidRPr="00C522A9">
        <w:t xml:space="preserve">high-distance nonrespondent cases will be </w:t>
      </w:r>
      <w:r w:rsidR="00D13D12">
        <w:t xml:space="preserve">identified.  </w:t>
      </w:r>
      <w:r w:rsidR="004A43EF">
        <w:t xml:space="preserve">Sample members in the Control-High Distance group will </w:t>
      </w:r>
      <w:r w:rsidR="007A6B27">
        <w:t xml:space="preserve">still </w:t>
      </w:r>
      <w:r w:rsidR="004A43EF">
        <w:t xml:space="preserve">receive $30 for a completed interview; sample members in the Experimental-High Distance group will have their incentive offer increased to $55.  </w:t>
      </w:r>
      <w:r w:rsidR="007A6B27">
        <w:t xml:space="preserve">Cases </w:t>
      </w:r>
      <w:r>
        <w:t xml:space="preserve">already offered the higher </w:t>
      </w:r>
      <w:r w:rsidR="007A6B27">
        <w:t xml:space="preserve">$55 </w:t>
      </w:r>
      <w:r>
        <w:t>incentive at Time 1 will continue at that incentive level</w:t>
      </w:r>
      <w:r w:rsidR="004A43EF">
        <w:t xml:space="preserve"> while a</w:t>
      </w:r>
      <w:r w:rsidR="007A6B27">
        <w:t>ll other</w:t>
      </w:r>
      <w:r>
        <w:t xml:space="preserve">s will continue to </w:t>
      </w:r>
      <w:r w:rsidR="007A6B27">
        <w:t xml:space="preserve">be offered </w:t>
      </w:r>
      <w:r>
        <w:t>$30 for a completed interview whether in the</w:t>
      </w:r>
      <w:r w:rsidR="005C1DC4">
        <w:t xml:space="preserve"> Control-</w:t>
      </w:r>
      <w:r>
        <w:t>High Distance or Normal Distance</w:t>
      </w:r>
      <w:r w:rsidR="005C1DC4">
        <w:t xml:space="preserve"> </w:t>
      </w:r>
      <w:r>
        <w:t xml:space="preserve">group.  </w:t>
      </w:r>
      <w:r w:rsidR="004A43EF">
        <w:t xml:space="preserve">Production interviewing following the Time 2 Mahalanobis calculation will continue for </w:t>
      </w:r>
      <w:r w:rsidR="007A6B27">
        <w:t xml:space="preserve">another </w:t>
      </w:r>
      <w:r w:rsidR="004A43EF">
        <w:t>3 weeks.</w:t>
      </w:r>
    </w:p>
    <w:p w:rsidR="009D388D" w:rsidRDefault="00BB45C5" w:rsidP="00514D41">
      <w:pPr>
        <w:spacing w:before="120" w:after="120" w:line="320" w:lineRule="atLeast"/>
        <w:ind w:firstLine="720"/>
      </w:pPr>
      <w:r w:rsidRPr="00B74B5E">
        <w:rPr>
          <w:u w:val="single"/>
        </w:rPr>
        <w:t>Mahalanobis</w:t>
      </w:r>
      <w:r>
        <w:rPr>
          <w:u w:val="single"/>
        </w:rPr>
        <w:t xml:space="preserve"> Calculations</w:t>
      </w:r>
      <w:r w:rsidRPr="00B74B5E">
        <w:rPr>
          <w:u w:val="single"/>
        </w:rPr>
        <w:t xml:space="preserve">, </w:t>
      </w:r>
      <w:r>
        <w:rPr>
          <w:u w:val="single"/>
        </w:rPr>
        <w:t>Time X</w:t>
      </w:r>
      <w:r w:rsidR="004A43EF" w:rsidRPr="004A43EF">
        <w:rPr>
          <w:u w:val="single"/>
          <w:vertAlign w:val="subscript"/>
        </w:rPr>
        <w:t>3-4</w:t>
      </w:r>
      <w:r>
        <w:t xml:space="preserve">.  Mahalanobis values for all </w:t>
      </w:r>
      <w:r w:rsidR="005C1DC4">
        <w:t xml:space="preserve">remaining </w:t>
      </w:r>
      <w:r w:rsidR="007A6B27">
        <w:t xml:space="preserve">interview </w:t>
      </w:r>
      <w:r>
        <w:t xml:space="preserve">nonrespondents will be recalculated </w:t>
      </w:r>
      <w:r w:rsidR="004A43EF">
        <w:t xml:space="preserve">after two </w:t>
      </w:r>
      <w:r w:rsidR="005C1DC4">
        <w:t xml:space="preserve">additional </w:t>
      </w:r>
      <w:r w:rsidR="004A43EF">
        <w:t xml:space="preserve">3-week periods </w:t>
      </w:r>
      <w:r w:rsidR="005C1DC4">
        <w:t xml:space="preserve">of outbound calling, </w:t>
      </w:r>
      <w:r w:rsidR="004A43EF">
        <w:t xml:space="preserve">for a total of 4 calculations covering 12 weeks of </w:t>
      </w:r>
      <w:r w:rsidR="005C1DC4">
        <w:t>data collection</w:t>
      </w:r>
      <w:r w:rsidR="004A43EF">
        <w:t xml:space="preserve">.  </w:t>
      </w:r>
      <w:r w:rsidR="005C1DC4">
        <w:t>A</w:t>
      </w:r>
      <w:r>
        <w:t>s in prior weeks, nonrespondents with the highest Mahalanobis distances will be assigned to either the</w:t>
      </w:r>
      <w:r w:rsidR="005C1DC4">
        <w:t xml:space="preserve"> </w:t>
      </w:r>
      <w:r>
        <w:t>Control</w:t>
      </w:r>
      <w:r w:rsidR="005C1DC4">
        <w:t>-</w:t>
      </w:r>
      <w:r w:rsidR="005C1DC4" w:rsidRPr="005C1DC4">
        <w:t xml:space="preserve"> </w:t>
      </w:r>
      <w:r w:rsidR="005C1DC4">
        <w:t>High Distance</w:t>
      </w:r>
      <w:r>
        <w:t xml:space="preserve"> or the </w:t>
      </w:r>
      <w:r w:rsidR="005C1DC4">
        <w:t>Experimental-High Distance</w:t>
      </w:r>
      <w:r>
        <w:t xml:space="preserve"> group ($55).  The field test design is </w:t>
      </w:r>
      <w:r w:rsidR="00827642">
        <w:t xml:space="preserve">summarized </w:t>
      </w:r>
      <w:r>
        <w:t xml:space="preserve">in exhibit </w:t>
      </w:r>
      <w:r w:rsidR="00514D41">
        <w:t>1</w:t>
      </w:r>
      <w:r>
        <w:t>.</w:t>
      </w:r>
    </w:p>
    <w:p w:rsidR="00135DCB" w:rsidRDefault="00135DCB" w:rsidP="00135DCB">
      <w:pPr>
        <w:pStyle w:val="Heading4"/>
      </w:pPr>
      <w:r>
        <w:t>Re</w:t>
      </w:r>
      <w:r w:rsidR="00F24957">
        <w:t>sponsive Design Re</w:t>
      </w:r>
      <w:r>
        <w:t>search Questions</w:t>
      </w:r>
    </w:p>
    <w:p w:rsidR="00135DCB" w:rsidRDefault="00C441CB" w:rsidP="00F24957">
      <w:pPr>
        <w:pStyle w:val="BodyText"/>
      </w:pPr>
      <w:r>
        <w:t xml:space="preserve">With the </w:t>
      </w:r>
      <w:r w:rsidR="00135DCB">
        <w:t xml:space="preserve">assumption that increasing the rate of response among high-distance cases will reduce nonresponse bias, the BPS:12/14 </w:t>
      </w:r>
      <w:r w:rsidR="00F24957">
        <w:t xml:space="preserve">responsive design </w:t>
      </w:r>
      <w:r w:rsidR="00135DCB">
        <w:t xml:space="preserve">experiment </w:t>
      </w:r>
      <w:r w:rsidR="00F24957">
        <w:t xml:space="preserve">will </w:t>
      </w:r>
      <w:r w:rsidR="00135DCB">
        <w:t xml:space="preserve">explore the following research questions: </w:t>
      </w:r>
    </w:p>
    <w:p w:rsidR="00135DCB" w:rsidRDefault="00135DCB" w:rsidP="00135DCB">
      <w:pPr>
        <w:pStyle w:val="ListNumber3"/>
        <w:spacing w:after="120"/>
        <w:contextualSpacing w:val="0"/>
      </w:pPr>
      <w:r>
        <w:t xml:space="preserve">Do response rates differ between high-distance cases in the </w:t>
      </w:r>
      <w:r w:rsidR="003069C3">
        <w:t xml:space="preserve">experimental </w:t>
      </w:r>
      <w:r>
        <w:t xml:space="preserve">and control groups? </w:t>
      </w:r>
    </w:p>
    <w:p w:rsidR="00135DCB" w:rsidRPr="00D40CB4" w:rsidRDefault="00135DCB" w:rsidP="005E17C4">
      <w:pPr>
        <w:pStyle w:val="ListNumber3"/>
        <w:spacing w:after="120"/>
        <w:contextualSpacing w:val="0"/>
      </w:pPr>
      <w:r>
        <w:t xml:space="preserve">Do </w:t>
      </w:r>
      <w:r w:rsidR="005E17C4">
        <w:t xml:space="preserve">estimates of key variables </w:t>
      </w:r>
      <w:r>
        <w:t xml:space="preserve">differ between </w:t>
      </w:r>
      <w:r w:rsidRPr="00F3375E">
        <w:t>high</w:t>
      </w:r>
      <w:r>
        <w:t>-distance</w:t>
      </w:r>
      <w:r w:rsidRPr="00F3375E">
        <w:t xml:space="preserve"> and low</w:t>
      </w:r>
      <w:r>
        <w:t>-</w:t>
      </w:r>
      <w:r w:rsidRPr="00F3375E">
        <w:t>distance cases?</w:t>
      </w:r>
    </w:p>
    <w:p w:rsidR="00135DCB" w:rsidRDefault="00135DCB" w:rsidP="00135DCB">
      <w:pPr>
        <w:pStyle w:val="ListNumber3"/>
        <w:spacing w:after="120"/>
        <w:contextualSpacing w:val="0"/>
      </w:pPr>
      <w:r>
        <w:t xml:space="preserve">Does treatment of high-distance cases reduce </w:t>
      </w:r>
      <w:r w:rsidRPr="00DB3D8E">
        <w:t>nonresponse bias</w:t>
      </w:r>
      <w:r>
        <w:t xml:space="preserve">? </w:t>
      </w:r>
    </w:p>
    <w:p w:rsidR="00135DCB" w:rsidRDefault="00135DCB" w:rsidP="00135DCB">
      <w:pPr>
        <w:pStyle w:val="Heading4"/>
        <w:rPr>
          <w:i/>
        </w:rPr>
      </w:pPr>
      <w:r>
        <w:t>Methods and Null Hypotheses</w:t>
      </w:r>
    </w:p>
    <w:p w:rsidR="00135DCB" w:rsidRPr="000D2623" w:rsidRDefault="00135DCB" w:rsidP="00135DCB">
      <w:pPr>
        <w:pStyle w:val="BodyTextnoindent0"/>
      </w:pPr>
      <w:r w:rsidRPr="00A26EFD">
        <w:rPr>
          <w:u w:val="single"/>
        </w:rPr>
        <w:t xml:space="preserve">Research question </w:t>
      </w:r>
      <w:r w:rsidR="00394BC9">
        <w:rPr>
          <w:u w:val="single"/>
        </w:rPr>
        <w:t>1</w:t>
      </w:r>
      <w:r w:rsidRPr="00A26EFD">
        <w:t>: d</w:t>
      </w:r>
      <w:r w:rsidRPr="000D2623">
        <w:t xml:space="preserve">o response rates differ between high-distance cases in the </w:t>
      </w:r>
      <w:r w:rsidR="003069C3">
        <w:t xml:space="preserve">experimental </w:t>
      </w:r>
      <w:r w:rsidRPr="000D2623">
        <w:t xml:space="preserve">and control groups? </w:t>
      </w:r>
    </w:p>
    <w:p w:rsidR="00135DCB" w:rsidRDefault="00135DCB" w:rsidP="00C441CB">
      <w:pPr>
        <w:pStyle w:val="BodyTextnoindent0"/>
        <w:ind w:firstLine="720"/>
      </w:pPr>
      <w:r>
        <w:t xml:space="preserve">Because of </w:t>
      </w:r>
      <w:r w:rsidR="00C441CB">
        <w:t xml:space="preserve">the </w:t>
      </w:r>
      <w:r>
        <w:t xml:space="preserve">assumption that yielding a greater number of high-distance cases will reduce nonresponse bias, </w:t>
      </w:r>
      <w:r w:rsidRPr="00DB3D8E">
        <w:t xml:space="preserve">response rates for </w:t>
      </w:r>
      <w:r>
        <w:t>the high-distance control and treatment groups</w:t>
      </w:r>
      <w:r w:rsidRPr="00DB3D8E">
        <w:t xml:space="preserve"> </w:t>
      </w:r>
      <w:r w:rsidR="00F24957">
        <w:t xml:space="preserve">will be compared </w:t>
      </w:r>
      <w:r w:rsidRPr="00DB3D8E">
        <w:t xml:space="preserve">to </w:t>
      </w:r>
      <w:r>
        <w:t xml:space="preserve">determine whether </w:t>
      </w:r>
      <w:r w:rsidRPr="00DB3D8E">
        <w:t>the overall response rate</w:t>
      </w:r>
      <w:r>
        <w:t>s</w:t>
      </w:r>
      <w:r w:rsidRPr="00DB3D8E">
        <w:t xml:space="preserve"> for the </w:t>
      </w:r>
      <w:r>
        <w:t>treatment</w:t>
      </w:r>
      <w:r w:rsidRPr="00DB3D8E">
        <w:t xml:space="preserve"> </w:t>
      </w:r>
      <w:r>
        <w:t xml:space="preserve">and control </w:t>
      </w:r>
      <w:r w:rsidRPr="00DB3D8E">
        <w:t>group</w:t>
      </w:r>
      <w:r>
        <w:t>s</w:t>
      </w:r>
      <w:r w:rsidRPr="00DB3D8E">
        <w:t xml:space="preserve"> </w:t>
      </w:r>
      <w:r>
        <w:t>differ significantly</w:t>
      </w:r>
      <w:r w:rsidRPr="00DB3D8E">
        <w:t>.</w:t>
      </w:r>
      <w:r>
        <w:t xml:space="preserve"> Specifically:</w:t>
      </w:r>
    </w:p>
    <w:p w:rsidR="00135DCB" w:rsidRDefault="00135DCB" w:rsidP="00135DCB">
      <w:pPr>
        <w:pStyle w:val="BodyTextnoindent0"/>
        <w:numPr>
          <w:ilvl w:val="0"/>
          <w:numId w:val="33"/>
        </w:numPr>
      </w:pPr>
      <w:r>
        <w:t>H</w:t>
      </w:r>
      <w:r w:rsidRPr="00A26EFD">
        <w:rPr>
          <w:vertAlign w:val="subscript"/>
        </w:rPr>
        <w:t>0</w:t>
      </w:r>
      <w:r>
        <w:t>: There will be no difference in r</w:t>
      </w:r>
      <w:r w:rsidRPr="00DB3D8E">
        <w:t xml:space="preserve">esponse rates </w:t>
      </w:r>
      <w:r>
        <w:t>between</w:t>
      </w:r>
      <w:r w:rsidRPr="00DB3D8E">
        <w:t xml:space="preserve"> the </w:t>
      </w:r>
      <w:r>
        <w:t xml:space="preserve">high-distance </w:t>
      </w:r>
      <w:r w:rsidR="001B5D9D">
        <w:t xml:space="preserve">experimental </w:t>
      </w:r>
      <w:r>
        <w:t xml:space="preserve">and </w:t>
      </w:r>
      <w:r w:rsidRPr="00DB3D8E">
        <w:t>control group</w:t>
      </w:r>
      <w:r>
        <w:t xml:space="preserve">s </w:t>
      </w:r>
      <w:r w:rsidRPr="00DB3D8E">
        <w:t xml:space="preserve"> </w:t>
      </w:r>
    </w:p>
    <w:p w:rsidR="00394BC9" w:rsidRPr="00B43A1F" w:rsidRDefault="00DE5170" w:rsidP="006E4927">
      <w:pPr>
        <w:pStyle w:val="BodyTextnoindent0"/>
      </w:pPr>
      <w:r w:rsidRPr="00DE5170">
        <w:rPr>
          <w:u w:val="single"/>
        </w:rPr>
        <w:t>Research question 2</w:t>
      </w:r>
      <w:r w:rsidRPr="00DE5170">
        <w:t>: do estimates on key variables differ between high-distance and low-distance cases?</w:t>
      </w:r>
    </w:p>
    <w:p w:rsidR="00135DCB" w:rsidRPr="00B43A1F" w:rsidRDefault="00DE5170" w:rsidP="00180AF6">
      <w:pPr>
        <w:pStyle w:val="BodyTextnoindent0"/>
        <w:ind w:firstLine="360"/>
      </w:pPr>
      <w:r w:rsidRPr="00DE5170">
        <w:t xml:space="preserve">Using administrative record data available for the entire sample, such as indicators of federal aid data from NSLDS, </w:t>
      </w:r>
      <w:r w:rsidR="00180AF6">
        <w:t xml:space="preserve">RTI </w:t>
      </w:r>
      <w:r w:rsidRPr="00DE5170">
        <w:t xml:space="preserve">will compare </w:t>
      </w:r>
      <w:r w:rsidR="00B43A1F">
        <w:t xml:space="preserve">estimates of key variables </w:t>
      </w:r>
      <w:r w:rsidRPr="00DE5170">
        <w:t xml:space="preserve">between high- and low-distance sample members. </w:t>
      </w:r>
      <w:r w:rsidR="00180AF6">
        <w:t>They</w:t>
      </w:r>
      <w:r w:rsidRPr="00DE5170">
        <w:t xml:space="preserve"> will also compare interview outcome measures between all high-distance respondents and all low-distance respondents. Specifically:</w:t>
      </w:r>
    </w:p>
    <w:p w:rsidR="00135DCB" w:rsidRPr="00B43A1F" w:rsidRDefault="00DE5170" w:rsidP="006E4927">
      <w:pPr>
        <w:pStyle w:val="BodyTextnoindent0"/>
        <w:numPr>
          <w:ilvl w:val="0"/>
          <w:numId w:val="33"/>
        </w:numPr>
      </w:pPr>
      <w:r w:rsidRPr="00DE5170">
        <w:lastRenderedPageBreak/>
        <w:t>H</w:t>
      </w:r>
      <w:r w:rsidRPr="00DE5170">
        <w:rPr>
          <w:vertAlign w:val="subscript"/>
        </w:rPr>
        <w:t>0</w:t>
      </w:r>
      <w:r w:rsidRPr="00DE5170">
        <w:t>: There will be no difference in estimates for key variables known for all cases (e.g., enrollment beyond year 1, federal financial aid applications, federal loan amount) between the high- and low-distance sample members</w:t>
      </w:r>
    </w:p>
    <w:p w:rsidR="00135DCB" w:rsidRPr="00B43A1F" w:rsidRDefault="00DE5170" w:rsidP="002E7B43">
      <w:pPr>
        <w:pStyle w:val="BodyTextnoindent0"/>
        <w:numPr>
          <w:ilvl w:val="0"/>
          <w:numId w:val="33"/>
        </w:numPr>
      </w:pPr>
      <w:r w:rsidRPr="00DE5170">
        <w:t>H</w:t>
      </w:r>
      <w:r w:rsidRPr="00DE5170">
        <w:rPr>
          <w:vertAlign w:val="subscript"/>
        </w:rPr>
        <w:t>0</w:t>
      </w:r>
      <w:r w:rsidRPr="00DE5170">
        <w:t xml:space="preserve">: There will be no difference in survey estimates </w:t>
      </w:r>
      <w:r w:rsidR="00E56108" w:rsidRPr="00E56108">
        <w:t>between the high- and low-distance survey respondents</w:t>
      </w:r>
    </w:p>
    <w:p w:rsidR="00135DCB" w:rsidRPr="00B43A1F" w:rsidRDefault="00E56108" w:rsidP="00135DCB">
      <w:pPr>
        <w:pStyle w:val="BodyTextnoindent0"/>
        <w:numPr>
          <w:ilvl w:val="0"/>
          <w:numId w:val="33"/>
        </w:numPr>
      </w:pPr>
      <w:r w:rsidRPr="00E56108">
        <w:t>H</w:t>
      </w:r>
      <w:r w:rsidRPr="00E56108">
        <w:rPr>
          <w:vertAlign w:val="subscript"/>
        </w:rPr>
        <w:t>0</w:t>
      </w:r>
      <w:r w:rsidRPr="00E56108">
        <w:t xml:space="preserve">: There will be no difference in </w:t>
      </w:r>
      <w:r w:rsidR="002E7B43">
        <w:t xml:space="preserve">survey </w:t>
      </w:r>
      <w:r w:rsidRPr="00E56108">
        <w:t xml:space="preserve">estimates between all respondents excluding the high-distance </w:t>
      </w:r>
      <w:r w:rsidR="003069C3">
        <w:t xml:space="preserve">experimental </w:t>
      </w:r>
      <w:r w:rsidRPr="00E56108">
        <w:t xml:space="preserve">group, and all respondents, </w:t>
      </w:r>
      <w:r w:rsidR="00C76FB0">
        <w:t>ex</w:t>
      </w:r>
      <w:r w:rsidRPr="00E56108">
        <w:t>cluding the high-distance control group</w:t>
      </w:r>
    </w:p>
    <w:p w:rsidR="00135DCB" w:rsidRPr="00B43A1F" w:rsidRDefault="00135DCB" w:rsidP="00340A75">
      <w:pPr>
        <w:pStyle w:val="BodyTextnoindent0"/>
      </w:pPr>
      <w:r w:rsidRPr="00B43A1F">
        <w:rPr>
          <w:u w:val="single"/>
        </w:rPr>
        <w:t xml:space="preserve">Research question </w:t>
      </w:r>
      <w:r w:rsidR="00340A75" w:rsidRPr="00B43A1F">
        <w:rPr>
          <w:u w:val="single"/>
        </w:rPr>
        <w:t>3</w:t>
      </w:r>
      <w:r w:rsidRPr="00B43A1F">
        <w:t xml:space="preserve">: does treatment of high-distance cases reduce nonresponse bias? </w:t>
      </w:r>
    </w:p>
    <w:p w:rsidR="00135DCB" w:rsidRPr="00B43A1F" w:rsidRDefault="00135DCB" w:rsidP="00180AF6">
      <w:pPr>
        <w:pStyle w:val="BodyTextnoindent0"/>
      </w:pPr>
      <w:r w:rsidRPr="00B43A1F">
        <w:t xml:space="preserve">In addition to calculating nonresponse bias statistics for the whole sample, </w:t>
      </w:r>
      <w:r w:rsidR="00180AF6">
        <w:t xml:space="preserve">RTI </w:t>
      </w:r>
      <w:r w:rsidRPr="00B43A1F">
        <w:t>will measure the effect of the responsive design approach on nonresponse bias by comparing estimates between the control and treatment groups. Specifically:</w:t>
      </w:r>
    </w:p>
    <w:p w:rsidR="000C133C" w:rsidRPr="00B43A1F" w:rsidRDefault="00135DCB" w:rsidP="00C76FB0">
      <w:pPr>
        <w:pStyle w:val="Number1"/>
        <w:numPr>
          <w:ilvl w:val="0"/>
          <w:numId w:val="34"/>
        </w:numPr>
        <w:tabs>
          <w:tab w:val="clear" w:pos="1080"/>
        </w:tabs>
        <w:spacing w:before="120" w:after="120" w:line="320" w:lineRule="atLeast"/>
      </w:pPr>
      <w:r w:rsidRPr="00B43A1F">
        <w:t>H</w:t>
      </w:r>
      <w:r w:rsidRPr="00B43A1F">
        <w:rPr>
          <w:vertAlign w:val="subscript"/>
        </w:rPr>
        <w:t>0</w:t>
      </w:r>
      <w:r w:rsidRPr="00B43A1F">
        <w:t xml:space="preserve">: There will be no difference in unit nonresponse bias between </w:t>
      </w:r>
      <w:r w:rsidR="00C76FB0">
        <w:t>all eligible cases excluding the high –distance treatment group, and all eligible cases excluding the high-distance control group.</w:t>
      </w:r>
    </w:p>
    <w:p w:rsidR="00135DCB" w:rsidRDefault="00135DCB" w:rsidP="00DD7A80">
      <w:pPr>
        <w:pStyle w:val="Number1"/>
        <w:tabs>
          <w:tab w:val="clear" w:pos="720"/>
          <w:tab w:val="clear" w:pos="1080"/>
        </w:tabs>
        <w:spacing w:before="120" w:after="120" w:line="320" w:lineRule="atLeast"/>
        <w:ind w:left="0" w:firstLine="0"/>
      </w:pPr>
      <w:r>
        <w:t xml:space="preserve">The analysis will rely upon </w:t>
      </w:r>
      <w:r w:rsidRPr="00DB3D8E">
        <w:t>the variables listed below</w:t>
      </w:r>
      <w:r w:rsidR="00DD7A80">
        <w:t xml:space="preserve">, </w:t>
      </w:r>
      <w:r w:rsidR="00F24957">
        <w:t xml:space="preserve">typically used in BPS to evaluate bias, </w:t>
      </w:r>
      <w:r>
        <w:t xml:space="preserve">and will identify </w:t>
      </w:r>
      <w:r w:rsidRPr="00DB3D8E">
        <w:t xml:space="preserve">significant </w:t>
      </w:r>
      <w:r>
        <w:t xml:space="preserve">bias </w:t>
      </w:r>
      <w:r w:rsidRPr="00DB3D8E">
        <w:t>at the p&lt;.</w:t>
      </w:r>
      <w:r w:rsidR="00C76FB0">
        <w:t>10</w:t>
      </w:r>
      <w:r w:rsidRPr="00DB3D8E">
        <w:t xml:space="preserve"> level</w:t>
      </w:r>
      <w:r>
        <w:t>, if any</w:t>
      </w:r>
      <w:r w:rsidRPr="00DB3D8E">
        <w:t>:</w:t>
      </w:r>
    </w:p>
    <w:tbl>
      <w:tblPr>
        <w:tblW w:w="5000" w:type="pct"/>
        <w:tblCellMar>
          <w:left w:w="0" w:type="dxa"/>
          <w:right w:w="0" w:type="dxa"/>
        </w:tblCellMar>
        <w:tblLook w:val="04A0" w:firstRow="1" w:lastRow="0" w:firstColumn="1" w:lastColumn="0" w:noHBand="0" w:noVBand="1"/>
      </w:tblPr>
      <w:tblGrid>
        <w:gridCol w:w="10440"/>
      </w:tblGrid>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Type of base year institution</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Region</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Central Processing match during base year</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Federal aid applicant</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Pell Grant recipient</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Total Pell Grant amount received</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Stafford Loan recipient</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F24957"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Total Stafford Loan amount received</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Base year institution undergraduate enrollment</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Age at base year</w:t>
            </w:r>
          </w:p>
        </w:tc>
      </w:tr>
      <w:tr w:rsidR="009E726A" w:rsidRPr="000C133C" w:rsidTr="000C133C">
        <w:tc>
          <w:tcPr>
            <w:tcW w:w="5158" w:type="dxa"/>
            <w:tcMar>
              <w:top w:w="0" w:type="dxa"/>
              <w:left w:w="108" w:type="dxa"/>
              <w:bottom w:w="0" w:type="dxa"/>
              <w:right w:w="108" w:type="dxa"/>
            </w:tcMar>
            <w:vAlign w:val="bottom"/>
            <w:hideMark/>
          </w:tcPr>
          <w:p w:rsidR="009E726A" w:rsidRPr="000C133C"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High school graduation year</w:t>
            </w:r>
          </w:p>
        </w:tc>
      </w:tr>
      <w:tr w:rsidR="009E726A" w:rsidRPr="000C133C" w:rsidTr="000C133C">
        <w:tc>
          <w:tcPr>
            <w:tcW w:w="5158" w:type="dxa"/>
            <w:tcMar>
              <w:top w:w="0" w:type="dxa"/>
              <w:left w:w="108" w:type="dxa"/>
              <w:bottom w:w="0" w:type="dxa"/>
              <w:right w:w="108" w:type="dxa"/>
            </w:tcMar>
            <w:vAlign w:val="bottom"/>
            <w:hideMark/>
          </w:tcPr>
          <w:p w:rsidR="009E726A" w:rsidRPr="000C133C"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Dependency status at base year</w:t>
            </w:r>
          </w:p>
        </w:tc>
      </w:tr>
      <w:tr w:rsidR="009E726A" w:rsidRPr="000C133C" w:rsidTr="000C133C">
        <w:tc>
          <w:tcPr>
            <w:tcW w:w="5158" w:type="dxa"/>
            <w:tcMar>
              <w:top w:w="0" w:type="dxa"/>
              <w:left w:w="108" w:type="dxa"/>
              <w:bottom w:w="0" w:type="dxa"/>
              <w:right w:w="108" w:type="dxa"/>
            </w:tcMar>
            <w:vAlign w:val="bottom"/>
            <w:hideMark/>
          </w:tcPr>
          <w:p w:rsidR="009E726A" w:rsidRPr="000C133C"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Income level at base year</w:t>
            </w:r>
          </w:p>
        </w:tc>
      </w:tr>
      <w:tr w:rsidR="000C133C" w:rsidRPr="000C133C" w:rsidTr="000C133C">
        <w:tc>
          <w:tcPr>
            <w:tcW w:w="5158" w:type="dxa"/>
            <w:tcMar>
              <w:top w:w="0" w:type="dxa"/>
              <w:left w:w="108" w:type="dxa"/>
              <w:bottom w:w="0" w:type="dxa"/>
              <w:right w:w="108" w:type="dxa"/>
            </w:tcMar>
            <w:vAlign w:val="bottom"/>
            <w:hideMark/>
          </w:tcPr>
          <w:p w:rsidR="000C133C" w:rsidRPr="000C133C"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Race/ethnicity</w:t>
            </w:r>
          </w:p>
        </w:tc>
      </w:tr>
      <w:tr w:rsidR="009E726A" w:rsidRPr="000C133C" w:rsidTr="000C133C">
        <w:tc>
          <w:tcPr>
            <w:tcW w:w="5158" w:type="dxa"/>
            <w:tcMar>
              <w:top w:w="0" w:type="dxa"/>
              <w:left w:w="108" w:type="dxa"/>
              <w:bottom w:w="0" w:type="dxa"/>
              <w:right w:w="108" w:type="dxa"/>
            </w:tcMar>
            <w:vAlign w:val="bottom"/>
            <w:hideMark/>
          </w:tcPr>
          <w:p w:rsidR="009E726A"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Gender</w:t>
            </w:r>
          </w:p>
        </w:tc>
      </w:tr>
      <w:tr w:rsidR="009E726A" w:rsidRPr="000C133C" w:rsidTr="000C133C">
        <w:tc>
          <w:tcPr>
            <w:tcW w:w="5158" w:type="dxa"/>
            <w:tcMar>
              <w:top w:w="0" w:type="dxa"/>
              <w:left w:w="108" w:type="dxa"/>
              <w:bottom w:w="0" w:type="dxa"/>
              <w:right w:w="108" w:type="dxa"/>
            </w:tcMar>
            <w:vAlign w:val="bottom"/>
            <w:hideMark/>
          </w:tcPr>
          <w:p w:rsidR="009E726A"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Marital status at base year</w:t>
            </w:r>
          </w:p>
        </w:tc>
      </w:tr>
      <w:tr w:rsidR="009E726A" w:rsidRPr="000C133C" w:rsidTr="000C133C">
        <w:tc>
          <w:tcPr>
            <w:tcW w:w="5158" w:type="dxa"/>
            <w:tcMar>
              <w:top w:w="0" w:type="dxa"/>
              <w:left w:w="108" w:type="dxa"/>
              <w:bottom w:w="0" w:type="dxa"/>
              <w:right w:w="108" w:type="dxa"/>
            </w:tcMar>
            <w:vAlign w:val="bottom"/>
            <w:hideMark/>
          </w:tcPr>
          <w:p w:rsidR="009E726A" w:rsidRDefault="009E726A" w:rsidP="00E853CB">
            <w:pPr>
              <w:pStyle w:val="Tabletext"/>
              <w:numPr>
                <w:ilvl w:val="0"/>
                <w:numId w:val="34"/>
              </w:numPr>
              <w:rPr>
                <w:rFonts w:asciiTheme="majorBidi" w:hAnsiTheme="majorBidi" w:cstheme="majorBidi"/>
                <w:sz w:val="24"/>
                <w:szCs w:val="24"/>
              </w:rPr>
            </w:pPr>
            <w:r>
              <w:rPr>
                <w:rFonts w:asciiTheme="majorBidi" w:hAnsiTheme="majorBidi" w:cstheme="majorBidi"/>
                <w:sz w:val="24"/>
                <w:szCs w:val="24"/>
              </w:rPr>
              <w:t>Citizenship status at base year</w:t>
            </w:r>
          </w:p>
        </w:tc>
      </w:tr>
    </w:tbl>
    <w:p w:rsidR="00135DCB" w:rsidRDefault="00135DCB" w:rsidP="000C133C">
      <w:pPr>
        <w:pStyle w:val="BodyTextnoindent0"/>
        <w:ind w:firstLine="720"/>
      </w:pPr>
      <w:r w:rsidRPr="00DB3D8E">
        <w:t>As part of the planning process for developing the experiment</w:t>
      </w:r>
      <w:r w:rsidR="003069C3">
        <w:t>al</w:t>
      </w:r>
      <w:r w:rsidRPr="00DB3D8E">
        <w:t xml:space="preserve"> design, the differences necessary to detect statistically significant differences have been estimated. That is, how large of a difference between the control and </w:t>
      </w:r>
      <w:r w:rsidR="003069C3">
        <w:t xml:space="preserve">experimental </w:t>
      </w:r>
      <w:r w:rsidRPr="00DB3D8E">
        <w:t>groups is necessary to determine whether the response rates are different in hypothes</w:t>
      </w:r>
      <w:r>
        <w:t>i</w:t>
      </w:r>
      <w:r w:rsidRPr="00DB3D8E">
        <w:t>s 1</w:t>
      </w:r>
      <w:r>
        <w:t xml:space="preserve"> </w:t>
      </w:r>
      <w:r w:rsidRPr="00DB3D8E">
        <w:t xml:space="preserve">or how large of a difference </w:t>
      </w:r>
      <w:r>
        <w:t xml:space="preserve">between the groups </w:t>
      </w:r>
      <w:r w:rsidRPr="00DB3D8E">
        <w:t>is necessary to determine whether the estimates are different in hypothes</w:t>
      </w:r>
      <w:r>
        <w:t>e</w:t>
      </w:r>
      <w:r w:rsidRPr="00DB3D8E">
        <w:t xml:space="preserve">s </w:t>
      </w:r>
      <w:r>
        <w:t>2 through 5</w:t>
      </w:r>
      <w:r w:rsidRPr="00DB3D8E">
        <w:t>.</w:t>
      </w:r>
    </w:p>
    <w:p w:rsidR="00135DCB" w:rsidRPr="00DB3D8E" w:rsidRDefault="00135DCB" w:rsidP="00C909CE">
      <w:pPr>
        <w:pStyle w:val="BodyText"/>
      </w:pPr>
      <w:r w:rsidRPr="00DB3D8E">
        <w:lastRenderedPageBreak/>
        <w:t xml:space="preserve">Table </w:t>
      </w:r>
      <w:r w:rsidR="00366169">
        <w:t>5</w:t>
      </w:r>
      <w:r w:rsidR="00C909CE">
        <w:t xml:space="preserve"> </w:t>
      </w:r>
      <w:r w:rsidRPr="00DB3D8E">
        <w:t>shows the expected sample sizes and statistically significant detectable difference for the hypotheses</w:t>
      </w:r>
      <w:r>
        <w:t xml:space="preserve"> to be tested</w:t>
      </w:r>
      <w:r w:rsidR="0067119F">
        <w:t xml:space="preserve"> at both </w:t>
      </w:r>
      <w:r w:rsidR="0067119F">
        <w:sym w:font="Symbol" w:char="F061"/>
      </w:r>
      <w:r w:rsidR="0067119F">
        <w:t xml:space="preserve"> = .05 and .10</w:t>
      </w:r>
      <w:r w:rsidRPr="00DB3D8E">
        <w:t>. Several assumptions were made regarding response rates and sample sizes. In general, the closer a rate is to 50 percent (either less than or greater than), the larger the detectable difference. Likewise, smaller sample sizes require larger detectable differences.</w:t>
      </w:r>
    </w:p>
    <w:p w:rsidR="00135DCB" w:rsidRPr="00DB3D8E" w:rsidRDefault="00135DCB" w:rsidP="00455D03">
      <w:pPr>
        <w:pStyle w:val="BodyText"/>
        <w:ind w:left="360" w:firstLine="0"/>
      </w:pPr>
      <w:r w:rsidRPr="00DB3D8E">
        <w:t>Assumptions:</w:t>
      </w:r>
    </w:p>
    <w:p w:rsidR="00135DCB" w:rsidRPr="00DB3D8E" w:rsidRDefault="00135DCB" w:rsidP="00455D03">
      <w:pPr>
        <w:pStyle w:val="ListBullet2"/>
        <w:numPr>
          <w:ilvl w:val="0"/>
          <w:numId w:val="5"/>
        </w:numPr>
        <w:spacing w:before="0" w:after="120"/>
      </w:pPr>
      <w:r w:rsidRPr="00DB3D8E">
        <w:t>Detectable differences with 9</w:t>
      </w:r>
      <w:r w:rsidR="001F742B">
        <w:t>0</w:t>
      </w:r>
      <w:r w:rsidRPr="00DB3D8E">
        <w:t xml:space="preserve"> percent confidence were calculated </w:t>
      </w:r>
      <w:r>
        <w:t xml:space="preserve">with a two-tailed test for all hypotheses.  </w:t>
      </w:r>
    </w:p>
    <w:p w:rsidR="00135DCB" w:rsidRPr="00DB3D8E" w:rsidRDefault="00AB21C2" w:rsidP="00455D03">
      <w:pPr>
        <w:pStyle w:val="ListBullet2"/>
        <w:numPr>
          <w:ilvl w:val="0"/>
          <w:numId w:val="5"/>
        </w:numPr>
        <w:spacing w:before="0" w:after="120"/>
      </w:pPr>
      <w:r>
        <w:t>Initially, t</w:t>
      </w:r>
      <w:r w:rsidR="00135DCB" w:rsidRPr="00DB3D8E">
        <w:t xml:space="preserve">he sample will be equally distributed across experimental cells. </w:t>
      </w:r>
    </w:p>
    <w:p w:rsidR="00135DCB" w:rsidRDefault="00135DCB" w:rsidP="00455D03">
      <w:pPr>
        <w:pStyle w:val="ListBullet2"/>
        <w:numPr>
          <w:ilvl w:val="0"/>
          <w:numId w:val="5"/>
        </w:numPr>
        <w:spacing w:before="0" w:after="120"/>
      </w:pPr>
      <w:r>
        <w:t>All</w:t>
      </w:r>
      <w:r w:rsidRPr="00DB3D8E">
        <w:t xml:space="preserve"> </w:t>
      </w:r>
      <w:r w:rsidR="003069C3">
        <w:t xml:space="preserve">eligible </w:t>
      </w:r>
      <w:r>
        <w:t>sample members</w:t>
      </w:r>
      <w:r w:rsidR="003069C3">
        <w:t xml:space="preserve">, that is, those who are nonrespondents at the time of the first Mahalanobis calculation, </w:t>
      </w:r>
      <w:r w:rsidRPr="00DB3D8E">
        <w:t>will be included in the ana</w:t>
      </w:r>
      <w:r>
        <w:t>lyses of hypotheses 1</w:t>
      </w:r>
      <w:r w:rsidR="00AB21C2">
        <w:t xml:space="preserve"> and </w:t>
      </w:r>
      <w:r>
        <w:t>2</w:t>
      </w:r>
      <w:r w:rsidR="00AB21C2">
        <w:t>a</w:t>
      </w:r>
      <w:r>
        <w:t>.</w:t>
      </w:r>
    </w:p>
    <w:p w:rsidR="00AB21C2" w:rsidRPr="00DB3D8E" w:rsidRDefault="00AB21C2" w:rsidP="00455D03">
      <w:pPr>
        <w:pStyle w:val="ListBullet2"/>
        <w:numPr>
          <w:ilvl w:val="0"/>
          <w:numId w:val="5"/>
        </w:numPr>
        <w:spacing w:before="0" w:after="120"/>
      </w:pPr>
      <w:r>
        <w:t>All eligible sample members will be included in the analysis of hypothesis 3.</w:t>
      </w:r>
    </w:p>
    <w:p w:rsidR="00135DCB" w:rsidRDefault="00135DCB" w:rsidP="00455D03">
      <w:pPr>
        <w:pStyle w:val="ListBullet2"/>
        <w:numPr>
          <w:ilvl w:val="0"/>
          <w:numId w:val="5"/>
        </w:numPr>
        <w:spacing w:before="0" w:after="120"/>
      </w:pPr>
      <w:r>
        <w:t>Only</w:t>
      </w:r>
      <w:r w:rsidRPr="00DB3D8E">
        <w:t xml:space="preserve"> </w:t>
      </w:r>
      <w:r>
        <w:t xml:space="preserve">respondents </w:t>
      </w:r>
      <w:r w:rsidRPr="00DB3D8E">
        <w:t xml:space="preserve">will be included in the analyses of hypotheses </w:t>
      </w:r>
      <w:r w:rsidR="00AB21C2">
        <w:t>2b</w:t>
      </w:r>
      <w:r w:rsidRPr="00DB3D8E">
        <w:t xml:space="preserve"> and </w:t>
      </w:r>
      <w:r w:rsidR="00AB21C2">
        <w:t>2c</w:t>
      </w:r>
      <w:r w:rsidR="00AB21C2" w:rsidRPr="00DB3D8E">
        <w:t xml:space="preserve"> </w:t>
      </w:r>
      <w:r w:rsidRPr="00DB3D8E">
        <w:t xml:space="preserve">because </w:t>
      </w:r>
      <w:r>
        <w:t xml:space="preserve">outcome measure data </w:t>
      </w:r>
      <w:r w:rsidRPr="00DB3D8E">
        <w:t xml:space="preserve">will </w:t>
      </w:r>
      <w:r>
        <w:t xml:space="preserve">only </w:t>
      </w:r>
      <w:r w:rsidRPr="00DB3D8E">
        <w:t xml:space="preserve">be </w:t>
      </w:r>
      <w:r>
        <w:t>known for respondents.</w:t>
      </w:r>
    </w:p>
    <w:p w:rsidR="00135DCB" w:rsidRPr="00DB3D8E" w:rsidRDefault="00135DCB" w:rsidP="00455D03">
      <w:pPr>
        <w:pStyle w:val="ListBullet2"/>
        <w:numPr>
          <w:ilvl w:val="0"/>
          <w:numId w:val="5"/>
        </w:numPr>
        <w:spacing w:before="0" w:after="120"/>
      </w:pPr>
      <w:r>
        <w:t xml:space="preserve">The </w:t>
      </w:r>
      <w:r w:rsidR="00AB21C2">
        <w:t xml:space="preserve">top 30 percent </w:t>
      </w:r>
      <w:r>
        <w:t xml:space="preserve">will be used for determining the cut point for high and </w:t>
      </w:r>
      <w:r w:rsidR="00AB21C2">
        <w:t xml:space="preserve">normal </w:t>
      </w:r>
      <w:r>
        <w:t>distance cases.</w:t>
      </w:r>
    </w:p>
    <w:p w:rsidR="00135DCB" w:rsidRPr="00DB3D8E" w:rsidRDefault="00135DCB" w:rsidP="00455D03">
      <w:pPr>
        <w:pStyle w:val="ListBullet2"/>
        <w:numPr>
          <w:ilvl w:val="0"/>
          <w:numId w:val="5"/>
        </w:numPr>
        <w:spacing w:before="0" w:after="120"/>
      </w:pPr>
      <w:r w:rsidRPr="00DB3D8E">
        <w:t xml:space="preserve">The response rate for the control group for hypothesis 1 will be </w:t>
      </w:r>
      <w:r>
        <w:t>30</w:t>
      </w:r>
      <w:r w:rsidRPr="00DB3D8E">
        <w:t xml:space="preserve"> percent.</w:t>
      </w:r>
    </w:p>
    <w:p w:rsidR="00135DCB" w:rsidRPr="00DB3D8E" w:rsidRDefault="00135DCB" w:rsidP="00455D03">
      <w:pPr>
        <w:pStyle w:val="ListBullet2"/>
        <w:numPr>
          <w:ilvl w:val="0"/>
          <w:numId w:val="5"/>
        </w:numPr>
        <w:spacing w:before="0" w:after="120"/>
      </w:pPr>
      <w:r w:rsidRPr="00DB3D8E">
        <w:t xml:space="preserve">Unit nonresponse bias for the control group for hypothesis </w:t>
      </w:r>
      <w:r w:rsidR="00AB21C2">
        <w:t>3</w:t>
      </w:r>
      <w:r w:rsidRPr="00DB3D8E">
        <w:t xml:space="preserve"> will be ten percent.</w:t>
      </w:r>
      <w:r w:rsidRPr="00DB3D8E">
        <w:rPr>
          <w:rStyle w:val="FootnoteReference"/>
        </w:rPr>
        <w:footnoteReference w:id="4"/>
      </w:r>
    </w:p>
    <w:p w:rsidR="00135DCB" w:rsidRDefault="00135DCB" w:rsidP="00455D03">
      <w:pPr>
        <w:pStyle w:val="ListBullet2"/>
        <w:numPr>
          <w:ilvl w:val="0"/>
          <w:numId w:val="5"/>
        </w:numPr>
        <w:spacing w:before="0" w:after="120"/>
      </w:pPr>
      <w:r w:rsidRPr="00DB3D8E">
        <w:t>The statistical tests will have 80 percent power with an alpha of 0.</w:t>
      </w:r>
      <w:r w:rsidR="001F742B">
        <w:t>10</w:t>
      </w:r>
      <w:r w:rsidRPr="00DB3D8E">
        <w:t>.</w:t>
      </w:r>
    </w:p>
    <w:p w:rsidR="00135DCB" w:rsidRDefault="00135DCB" w:rsidP="00455D03">
      <w:pPr>
        <w:pStyle w:val="ListBullet2"/>
        <w:numPr>
          <w:ilvl w:val="0"/>
          <w:numId w:val="5"/>
        </w:numPr>
        <w:spacing w:before="0" w:after="120"/>
      </w:pPr>
      <w:r>
        <w:t>The statistical tests will use weighted data.</w:t>
      </w:r>
    </w:p>
    <w:p w:rsidR="00AB21C2" w:rsidRPr="00DB3D8E" w:rsidRDefault="00AB21C2" w:rsidP="00455D03">
      <w:pPr>
        <w:pStyle w:val="ListBullet2"/>
        <w:numPr>
          <w:ilvl w:val="0"/>
          <w:numId w:val="5"/>
        </w:numPr>
        <w:spacing w:before="0" w:after="120"/>
      </w:pPr>
      <w:r>
        <w:t>A design effect of 2.0 is assumed.</w:t>
      </w:r>
    </w:p>
    <w:p w:rsidR="00927550" w:rsidRDefault="001E67EB" w:rsidP="00743CB8">
      <w:pPr>
        <w:pStyle w:val="TableTitle"/>
        <w:keepLines/>
        <w:ind w:left="1080" w:firstLine="0"/>
      </w:pPr>
      <w:bookmarkStart w:id="209" w:name="_Toc322354684"/>
      <w:bookmarkStart w:id="210" w:name="_Toc337840035"/>
      <w:r>
        <w:t>Table 5.    Detectable differences for experimental hypotheses</w:t>
      </w:r>
    </w:p>
    <w:tbl>
      <w:tblPr>
        <w:tblW w:w="10440" w:type="dxa"/>
        <w:tblInd w:w="93" w:type="dxa"/>
        <w:tblLook w:val="04A0" w:firstRow="1" w:lastRow="0" w:firstColumn="1" w:lastColumn="0" w:noHBand="0" w:noVBand="1"/>
      </w:tblPr>
      <w:tblGrid>
        <w:gridCol w:w="1107"/>
        <w:gridCol w:w="2575"/>
        <w:gridCol w:w="949"/>
        <w:gridCol w:w="267"/>
        <w:gridCol w:w="2590"/>
        <w:gridCol w:w="952"/>
        <w:gridCol w:w="267"/>
        <w:gridCol w:w="853"/>
        <w:gridCol w:w="880"/>
      </w:tblGrid>
      <w:tr w:rsidR="00927550" w:rsidRPr="00877870" w:rsidTr="009701AB">
        <w:trPr>
          <w:trHeight w:val="600"/>
        </w:trPr>
        <w:tc>
          <w:tcPr>
            <w:tcW w:w="1000" w:type="dxa"/>
            <w:vMerge w:val="restart"/>
            <w:tcBorders>
              <w:top w:val="single" w:sz="12" w:space="0" w:color="auto"/>
              <w:left w:val="nil"/>
              <w:bottom w:val="single" w:sz="8" w:space="0" w:color="000000"/>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Hypothesis</w:t>
            </w:r>
          </w:p>
        </w:tc>
        <w:tc>
          <w:tcPr>
            <w:tcW w:w="3660" w:type="dxa"/>
            <w:gridSpan w:val="2"/>
            <w:tcBorders>
              <w:top w:val="single" w:sz="12" w:space="0" w:color="auto"/>
              <w:left w:val="nil"/>
              <w:bottom w:val="single" w:sz="8" w:space="0" w:color="auto"/>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Control group</w:t>
            </w:r>
          </w:p>
        </w:tc>
        <w:tc>
          <w:tcPr>
            <w:tcW w:w="180" w:type="dxa"/>
            <w:vMerge w:val="restart"/>
            <w:tcBorders>
              <w:top w:val="single" w:sz="12" w:space="0" w:color="auto"/>
              <w:left w:val="nil"/>
              <w:bottom w:val="single" w:sz="8" w:space="0" w:color="000000"/>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 </w:t>
            </w:r>
          </w:p>
        </w:tc>
        <w:tc>
          <w:tcPr>
            <w:tcW w:w="3660" w:type="dxa"/>
            <w:gridSpan w:val="2"/>
            <w:tcBorders>
              <w:top w:val="single" w:sz="12" w:space="0" w:color="auto"/>
              <w:left w:val="nil"/>
              <w:bottom w:val="single" w:sz="8" w:space="0" w:color="auto"/>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Experimental</w:t>
            </w:r>
            <w:r w:rsidR="009701AB">
              <w:rPr>
                <w:rFonts w:ascii="Arial" w:hAnsi="Arial" w:cs="Arial"/>
                <w:color w:val="000000"/>
                <w:sz w:val="18"/>
                <w:szCs w:val="18"/>
              </w:rPr>
              <w:t>/Comparison</w:t>
            </w:r>
            <w:r w:rsidRPr="00877870">
              <w:rPr>
                <w:rFonts w:ascii="Arial" w:hAnsi="Arial" w:cs="Arial"/>
                <w:color w:val="000000"/>
                <w:sz w:val="18"/>
                <w:szCs w:val="18"/>
              </w:rPr>
              <w:t xml:space="preserve"> group</w:t>
            </w:r>
          </w:p>
        </w:tc>
        <w:tc>
          <w:tcPr>
            <w:tcW w:w="180" w:type="dxa"/>
            <w:tcBorders>
              <w:top w:val="single" w:sz="12" w:space="0" w:color="auto"/>
              <w:left w:val="nil"/>
              <w:bottom w:val="nil"/>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 </w:t>
            </w:r>
          </w:p>
        </w:tc>
        <w:tc>
          <w:tcPr>
            <w:tcW w:w="1760" w:type="dxa"/>
            <w:gridSpan w:val="2"/>
            <w:tcBorders>
              <w:top w:val="single" w:sz="12" w:space="0" w:color="auto"/>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Detectable difference at alpha</w:t>
            </w:r>
          </w:p>
        </w:tc>
      </w:tr>
      <w:tr w:rsidR="00927550" w:rsidRPr="00877870" w:rsidTr="009701AB">
        <w:trPr>
          <w:trHeight w:val="495"/>
        </w:trPr>
        <w:tc>
          <w:tcPr>
            <w:tcW w:w="1000" w:type="dxa"/>
            <w:vMerge/>
            <w:tcBorders>
              <w:top w:val="single" w:sz="12" w:space="0" w:color="auto"/>
              <w:left w:val="nil"/>
              <w:bottom w:val="single" w:sz="8" w:space="0" w:color="000000"/>
              <w:right w:val="nil"/>
            </w:tcBorders>
            <w:vAlign w:val="center"/>
            <w:hideMark/>
          </w:tcPr>
          <w:p w:rsidR="00927550" w:rsidRPr="00877870" w:rsidRDefault="00927550" w:rsidP="009701AB">
            <w:pPr>
              <w:rPr>
                <w:rFonts w:ascii="Arial" w:hAnsi="Arial" w:cs="Arial"/>
                <w:color w:val="000000"/>
                <w:sz w:val="18"/>
                <w:szCs w:val="18"/>
              </w:rPr>
            </w:pPr>
          </w:p>
        </w:tc>
        <w:tc>
          <w:tcPr>
            <w:tcW w:w="2700" w:type="dxa"/>
            <w:tcBorders>
              <w:top w:val="nil"/>
              <w:left w:val="nil"/>
              <w:bottom w:val="single" w:sz="8" w:space="0" w:color="auto"/>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Definition</w:t>
            </w:r>
          </w:p>
        </w:tc>
        <w:tc>
          <w:tcPr>
            <w:tcW w:w="96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Sample size</w:t>
            </w:r>
          </w:p>
        </w:tc>
        <w:tc>
          <w:tcPr>
            <w:tcW w:w="180" w:type="dxa"/>
            <w:vMerge/>
            <w:tcBorders>
              <w:top w:val="single" w:sz="12" w:space="0" w:color="auto"/>
              <w:left w:val="nil"/>
              <w:bottom w:val="single" w:sz="8" w:space="0" w:color="000000"/>
              <w:right w:val="nil"/>
            </w:tcBorders>
            <w:vAlign w:val="center"/>
            <w:hideMark/>
          </w:tcPr>
          <w:p w:rsidR="00927550" w:rsidRPr="00877870" w:rsidRDefault="00927550" w:rsidP="009701AB">
            <w:pPr>
              <w:rPr>
                <w:rFonts w:ascii="Arial" w:hAnsi="Arial" w:cs="Arial"/>
                <w:color w:val="000000"/>
                <w:sz w:val="18"/>
                <w:szCs w:val="18"/>
              </w:rPr>
            </w:pPr>
          </w:p>
        </w:tc>
        <w:tc>
          <w:tcPr>
            <w:tcW w:w="2700" w:type="dxa"/>
            <w:tcBorders>
              <w:top w:val="nil"/>
              <w:left w:val="nil"/>
              <w:bottom w:val="single" w:sz="8" w:space="0" w:color="auto"/>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Definition</w:t>
            </w:r>
          </w:p>
        </w:tc>
        <w:tc>
          <w:tcPr>
            <w:tcW w:w="96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Sample size</w:t>
            </w:r>
          </w:p>
        </w:tc>
        <w:tc>
          <w:tcPr>
            <w:tcW w:w="18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 </w:t>
            </w:r>
          </w:p>
        </w:tc>
        <w:tc>
          <w:tcPr>
            <w:tcW w:w="88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7A5F41">
              <w:rPr>
                <w:rFonts w:ascii="Symbol" w:hAnsi="Symbol" w:cs="Arial"/>
                <w:color w:val="000000"/>
                <w:sz w:val="18"/>
                <w:szCs w:val="18"/>
              </w:rPr>
              <w:t></w:t>
            </w:r>
            <w:r w:rsidRPr="00877870">
              <w:rPr>
                <w:rFonts w:ascii="Arial" w:hAnsi="Arial" w:cs="Arial"/>
                <w:color w:val="000000"/>
                <w:sz w:val="18"/>
                <w:szCs w:val="18"/>
              </w:rPr>
              <w:t xml:space="preserve"> = .05</w:t>
            </w:r>
          </w:p>
        </w:tc>
        <w:tc>
          <w:tcPr>
            <w:tcW w:w="88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7A5F41">
              <w:rPr>
                <w:rFonts w:ascii="Symbol" w:hAnsi="Symbol" w:cs="Arial"/>
                <w:color w:val="000000"/>
                <w:sz w:val="18"/>
                <w:szCs w:val="18"/>
              </w:rPr>
              <w:t></w:t>
            </w:r>
            <w:r w:rsidRPr="00877870">
              <w:rPr>
                <w:rFonts w:ascii="Arial" w:hAnsi="Arial" w:cs="Arial"/>
                <w:color w:val="000000"/>
                <w:sz w:val="18"/>
                <w:szCs w:val="18"/>
              </w:rPr>
              <w:t xml:space="preserve"> = .10</w:t>
            </w:r>
          </w:p>
        </w:tc>
      </w:tr>
      <w:tr w:rsidR="00927550" w:rsidRPr="00877870" w:rsidTr="009701AB">
        <w:trPr>
          <w:trHeight w:val="900"/>
        </w:trPr>
        <w:tc>
          <w:tcPr>
            <w:tcW w:w="1000" w:type="dxa"/>
            <w:tcBorders>
              <w:top w:val="nil"/>
              <w:left w:val="nil"/>
              <w:bottom w:val="nil"/>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1</w:t>
            </w: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High-distance cases that did not receive treatment</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341</w:t>
            </w:r>
          </w:p>
        </w:tc>
        <w:tc>
          <w:tcPr>
            <w:tcW w:w="18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High distance cases that ever received treatment ($55)</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341</w:t>
            </w:r>
          </w:p>
        </w:tc>
        <w:tc>
          <w:tcPr>
            <w:tcW w:w="1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p>
        </w:tc>
        <w:tc>
          <w:tcPr>
            <w:tcW w:w="8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9.3</w:t>
            </w:r>
          </w:p>
        </w:tc>
        <w:tc>
          <w:tcPr>
            <w:tcW w:w="880" w:type="dxa"/>
            <w:tcBorders>
              <w:top w:val="nil"/>
              <w:left w:val="nil"/>
              <w:bottom w:val="nil"/>
              <w:right w:val="nil"/>
            </w:tcBorders>
            <w:shd w:val="clear" w:color="auto" w:fill="auto"/>
            <w:noWrap/>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7.8</w:t>
            </w:r>
          </w:p>
        </w:tc>
      </w:tr>
      <w:tr w:rsidR="00927550" w:rsidRPr="00877870" w:rsidTr="009701AB">
        <w:trPr>
          <w:trHeight w:val="600"/>
        </w:trPr>
        <w:tc>
          <w:tcPr>
            <w:tcW w:w="1000" w:type="dxa"/>
            <w:tcBorders>
              <w:top w:val="nil"/>
              <w:left w:val="nil"/>
              <w:bottom w:val="nil"/>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2a</w:t>
            </w: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Normal distance cases</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1,154</w:t>
            </w:r>
          </w:p>
        </w:tc>
        <w:tc>
          <w:tcPr>
            <w:tcW w:w="18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High distance cases</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682</w:t>
            </w:r>
          </w:p>
        </w:tc>
        <w:tc>
          <w:tcPr>
            <w:tcW w:w="1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p>
        </w:tc>
        <w:tc>
          <w:tcPr>
            <w:tcW w:w="8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8.1</w:t>
            </w:r>
          </w:p>
        </w:tc>
        <w:tc>
          <w:tcPr>
            <w:tcW w:w="880" w:type="dxa"/>
            <w:tcBorders>
              <w:top w:val="nil"/>
              <w:left w:val="nil"/>
              <w:bottom w:val="nil"/>
              <w:right w:val="nil"/>
            </w:tcBorders>
            <w:shd w:val="clear" w:color="auto" w:fill="auto"/>
            <w:noWrap/>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6.9</w:t>
            </w:r>
          </w:p>
        </w:tc>
      </w:tr>
      <w:tr w:rsidR="00927550" w:rsidRPr="00877870" w:rsidTr="009701AB">
        <w:trPr>
          <w:trHeight w:val="600"/>
        </w:trPr>
        <w:tc>
          <w:tcPr>
            <w:tcW w:w="1000" w:type="dxa"/>
            <w:tcBorders>
              <w:top w:val="nil"/>
              <w:left w:val="nil"/>
              <w:bottom w:val="nil"/>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2b</w:t>
            </w: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Normal distance respondents</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593</w:t>
            </w:r>
          </w:p>
        </w:tc>
        <w:tc>
          <w:tcPr>
            <w:tcW w:w="18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High distance respondents</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350</w:t>
            </w:r>
          </w:p>
        </w:tc>
        <w:tc>
          <w:tcPr>
            <w:tcW w:w="1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p>
        </w:tc>
        <w:tc>
          <w:tcPr>
            <w:tcW w:w="8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11.7</w:t>
            </w:r>
          </w:p>
        </w:tc>
        <w:tc>
          <w:tcPr>
            <w:tcW w:w="880" w:type="dxa"/>
            <w:tcBorders>
              <w:top w:val="nil"/>
              <w:left w:val="nil"/>
              <w:bottom w:val="nil"/>
              <w:right w:val="nil"/>
            </w:tcBorders>
            <w:shd w:val="clear" w:color="auto" w:fill="auto"/>
            <w:noWrap/>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1</w:t>
            </w:r>
            <w:r>
              <w:rPr>
                <w:rFonts w:ascii="Arial" w:hAnsi="Arial" w:cs="Arial"/>
                <w:color w:val="000000"/>
                <w:sz w:val="18"/>
                <w:szCs w:val="18"/>
              </w:rPr>
              <w:t>.0</w:t>
            </w:r>
          </w:p>
        </w:tc>
      </w:tr>
      <w:tr w:rsidR="00927550" w:rsidRPr="00877870" w:rsidTr="009701AB">
        <w:trPr>
          <w:trHeight w:val="900"/>
        </w:trPr>
        <w:tc>
          <w:tcPr>
            <w:tcW w:w="1000" w:type="dxa"/>
            <w:tcBorders>
              <w:top w:val="nil"/>
              <w:left w:val="nil"/>
              <w:bottom w:val="nil"/>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2c</w:t>
            </w: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All respondents, excluding high-distance experimental cases,</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2,405</w:t>
            </w:r>
          </w:p>
        </w:tc>
        <w:tc>
          <w:tcPr>
            <w:tcW w:w="18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p>
        </w:tc>
        <w:tc>
          <w:tcPr>
            <w:tcW w:w="2700" w:type="dxa"/>
            <w:tcBorders>
              <w:top w:val="nil"/>
              <w:left w:val="nil"/>
              <w:bottom w:val="nil"/>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 xml:space="preserve">All respondents, excluding high-distance control cases </w:t>
            </w:r>
          </w:p>
        </w:tc>
        <w:tc>
          <w:tcPr>
            <w:tcW w:w="96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2,446</w:t>
            </w:r>
          </w:p>
        </w:tc>
        <w:tc>
          <w:tcPr>
            <w:tcW w:w="1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p>
        </w:tc>
        <w:tc>
          <w:tcPr>
            <w:tcW w:w="880" w:type="dxa"/>
            <w:tcBorders>
              <w:top w:val="nil"/>
              <w:left w:val="nil"/>
              <w:bottom w:val="nil"/>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4.5</w:t>
            </w:r>
          </w:p>
        </w:tc>
        <w:tc>
          <w:tcPr>
            <w:tcW w:w="880" w:type="dxa"/>
            <w:tcBorders>
              <w:top w:val="nil"/>
              <w:left w:val="nil"/>
              <w:bottom w:val="nil"/>
              <w:right w:val="nil"/>
            </w:tcBorders>
            <w:shd w:val="clear" w:color="auto" w:fill="auto"/>
            <w:noWrap/>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3.8</w:t>
            </w:r>
          </w:p>
        </w:tc>
      </w:tr>
      <w:tr w:rsidR="00927550" w:rsidRPr="00877870" w:rsidTr="009701AB">
        <w:trPr>
          <w:trHeight w:val="900"/>
        </w:trPr>
        <w:tc>
          <w:tcPr>
            <w:tcW w:w="1000" w:type="dxa"/>
            <w:tcBorders>
              <w:top w:val="nil"/>
              <w:left w:val="nil"/>
              <w:bottom w:val="single" w:sz="8" w:space="0" w:color="auto"/>
              <w:right w:val="nil"/>
            </w:tcBorders>
            <w:shd w:val="clear" w:color="auto" w:fill="auto"/>
            <w:vAlign w:val="center"/>
            <w:hideMark/>
          </w:tcPr>
          <w:p w:rsidR="00927550" w:rsidRPr="00877870" w:rsidRDefault="00927550" w:rsidP="009701AB">
            <w:pPr>
              <w:jc w:val="center"/>
              <w:rPr>
                <w:rFonts w:ascii="Arial" w:hAnsi="Arial" w:cs="Arial"/>
                <w:color w:val="000000"/>
                <w:sz w:val="18"/>
                <w:szCs w:val="18"/>
              </w:rPr>
            </w:pPr>
            <w:r w:rsidRPr="00877870">
              <w:rPr>
                <w:rFonts w:ascii="Arial" w:hAnsi="Arial" w:cs="Arial"/>
                <w:color w:val="000000"/>
                <w:sz w:val="18"/>
                <w:szCs w:val="18"/>
              </w:rPr>
              <w:t>3</w:t>
            </w:r>
          </w:p>
        </w:tc>
        <w:tc>
          <w:tcPr>
            <w:tcW w:w="2700" w:type="dxa"/>
            <w:tcBorders>
              <w:top w:val="nil"/>
              <w:left w:val="nil"/>
              <w:bottom w:val="single" w:sz="8" w:space="0" w:color="auto"/>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Eligible cases, excluding high-distance treatment cases</w:t>
            </w:r>
          </w:p>
        </w:tc>
        <w:tc>
          <w:tcPr>
            <w:tcW w:w="96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2,616</w:t>
            </w:r>
          </w:p>
        </w:tc>
        <w:tc>
          <w:tcPr>
            <w:tcW w:w="180" w:type="dxa"/>
            <w:tcBorders>
              <w:top w:val="nil"/>
              <w:left w:val="nil"/>
              <w:bottom w:val="single" w:sz="8" w:space="0" w:color="auto"/>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 </w:t>
            </w:r>
          </w:p>
        </w:tc>
        <w:tc>
          <w:tcPr>
            <w:tcW w:w="2700" w:type="dxa"/>
            <w:tcBorders>
              <w:top w:val="nil"/>
              <w:left w:val="nil"/>
              <w:bottom w:val="single" w:sz="8" w:space="0" w:color="auto"/>
              <w:right w:val="nil"/>
            </w:tcBorders>
            <w:shd w:val="clear" w:color="auto" w:fill="auto"/>
            <w:vAlign w:val="center"/>
            <w:hideMark/>
          </w:tcPr>
          <w:p w:rsidR="00927550" w:rsidRPr="00877870" w:rsidRDefault="00927550" w:rsidP="009701AB">
            <w:pPr>
              <w:rPr>
                <w:rFonts w:ascii="Arial" w:hAnsi="Arial" w:cs="Arial"/>
                <w:color w:val="000000"/>
                <w:sz w:val="18"/>
                <w:szCs w:val="18"/>
              </w:rPr>
            </w:pPr>
            <w:r w:rsidRPr="00877870">
              <w:rPr>
                <w:rFonts w:ascii="Arial" w:hAnsi="Arial" w:cs="Arial"/>
                <w:color w:val="000000"/>
                <w:sz w:val="18"/>
                <w:szCs w:val="18"/>
              </w:rPr>
              <w:t xml:space="preserve">Eligible cases, excluding high-distance control cases </w:t>
            </w:r>
          </w:p>
        </w:tc>
        <w:tc>
          <w:tcPr>
            <w:tcW w:w="96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2,616</w:t>
            </w:r>
          </w:p>
        </w:tc>
        <w:tc>
          <w:tcPr>
            <w:tcW w:w="18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 </w:t>
            </w:r>
          </w:p>
        </w:tc>
        <w:tc>
          <w:tcPr>
            <w:tcW w:w="880" w:type="dxa"/>
            <w:tcBorders>
              <w:top w:val="nil"/>
              <w:left w:val="nil"/>
              <w:bottom w:val="single" w:sz="8" w:space="0" w:color="auto"/>
              <w:right w:val="nil"/>
            </w:tcBorders>
            <w:shd w:val="clear" w:color="auto" w:fill="auto"/>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2.5</w:t>
            </w:r>
          </w:p>
        </w:tc>
        <w:tc>
          <w:tcPr>
            <w:tcW w:w="880" w:type="dxa"/>
            <w:tcBorders>
              <w:top w:val="nil"/>
              <w:left w:val="nil"/>
              <w:bottom w:val="single" w:sz="8" w:space="0" w:color="auto"/>
              <w:right w:val="nil"/>
            </w:tcBorders>
            <w:shd w:val="clear" w:color="auto" w:fill="auto"/>
            <w:noWrap/>
            <w:vAlign w:val="center"/>
            <w:hideMark/>
          </w:tcPr>
          <w:p w:rsidR="00927550" w:rsidRPr="00877870" w:rsidRDefault="00927550" w:rsidP="009701AB">
            <w:pPr>
              <w:jc w:val="right"/>
              <w:rPr>
                <w:rFonts w:ascii="Arial" w:hAnsi="Arial" w:cs="Arial"/>
                <w:color w:val="000000"/>
                <w:sz w:val="18"/>
                <w:szCs w:val="18"/>
              </w:rPr>
            </w:pPr>
            <w:r w:rsidRPr="00877870">
              <w:rPr>
                <w:rFonts w:ascii="Arial" w:hAnsi="Arial" w:cs="Arial"/>
                <w:color w:val="000000"/>
                <w:sz w:val="18"/>
                <w:szCs w:val="18"/>
              </w:rPr>
              <w:t>2.2</w:t>
            </w:r>
          </w:p>
        </w:tc>
      </w:tr>
      <w:bookmarkEnd w:id="209"/>
      <w:bookmarkEnd w:id="210"/>
    </w:tbl>
    <w:p w:rsidR="009D388D" w:rsidRDefault="009D388D"/>
    <w:p w:rsidR="00E63E7C" w:rsidRDefault="00E63E7C" w:rsidP="00E63E7C">
      <w:pPr>
        <w:spacing w:before="120" w:after="120" w:line="320" w:lineRule="atLeast"/>
        <w:ind w:firstLine="720"/>
        <w:rPr>
          <w:b/>
          <w:bCs/>
        </w:rPr>
        <w:sectPr w:rsidR="00E63E7C" w:rsidSect="005844D3">
          <w:headerReference w:type="even" r:id="rId19"/>
          <w:headerReference w:type="default" r:id="rId20"/>
          <w:footerReference w:type="even" r:id="rId21"/>
          <w:footerReference w:type="default" r:id="rId22"/>
          <w:headerReference w:type="first" r:id="rId23"/>
          <w:footerReference w:type="first" r:id="rId24"/>
          <w:pgSz w:w="12240" w:h="15840" w:code="1"/>
          <w:pgMar w:top="1008" w:right="1008" w:bottom="1008" w:left="1008" w:header="720" w:footer="720" w:gutter="0"/>
          <w:cols w:space="720"/>
          <w:docGrid w:linePitch="360"/>
        </w:sectPr>
      </w:pPr>
    </w:p>
    <w:p w:rsidR="00C86AD1" w:rsidRDefault="00C86AD1" w:rsidP="00366169">
      <w:r w:rsidRPr="00E63E7C">
        <w:rPr>
          <w:b/>
          <w:bCs/>
        </w:rPr>
        <w:lastRenderedPageBreak/>
        <w:t xml:space="preserve">Exhibit </w:t>
      </w:r>
      <w:r w:rsidR="00366169">
        <w:rPr>
          <w:b/>
          <w:bCs/>
        </w:rPr>
        <w:t>1</w:t>
      </w:r>
      <w:r w:rsidRPr="00E63E7C">
        <w:rPr>
          <w:b/>
          <w:bCs/>
        </w:rPr>
        <w:t>.  Design of the BPS:12/14 field test data collection experiment</w:t>
      </w:r>
    </w:p>
    <w:p w:rsidR="00C86AD1" w:rsidRDefault="00950E41" w:rsidP="00E63E7C">
      <w:pPr>
        <w:spacing w:before="120" w:after="120" w:line="320" w:lineRule="atLeast"/>
        <w:ind w:firstLine="720"/>
        <w:rPr>
          <w:b/>
          <w:bCs/>
        </w:rPr>
      </w:pPr>
      <w:r>
        <w:rPr>
          <w:noProof/>
        </w:rPr>
        <mc:AlternateContent>
          <mc:Choice Requires="wps">
            <w:drawing>
              <wp:anchor distT="0" distB="0" distL="114300" distR="114300" simplePos="0" relativeHeight="251659264" behindDoc="0" locked="0" layoutInCell="1" allowOverlap="1">
                <wp:simplePos x="0" y="0"/>
                <wp:positionH relativeFrom="column">
                  <wp:posOffset>-631825</wp:posOffset>
                </wp:positionH>
                <wp:positionV relativeFrom="paragraph">
                  <wp:posOffset>64770</wp:posOffset>
                </wp:positionV>
                <wp:extent cx="992505" cy="6210935"/>
                <wp:effectExtent l="6350" t="7620" r="107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621093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0DD2" w:rsidRDefault="008A0DD2" w:rsidP="007051DB">
                            <w:pPr>
                              <w:jc w:val="center"/>
                              <w:rPr>
                                <w:rFonts w:ascii="Arial" w:hAnsi="Arial" w:cs="Arial"/>
                                <w:sz w:val="18"/>
                                <w:szCs w:val="18"/>
                              </w:rPr>
                            </w:pPr>
                          </w:p>
                          <w:p w:rsidR="008A0DD2" w:rsidRDefault="008A0DD2" w:rsidP="007051DB">
                            <w:pPr>
                              <w:jc w:val="center"/>
                              <w:rPr>
                                <w:rFonts w:ascii="Arial" w:hAnsi="Arial" w:cs="Arial"/>
                                <w:sz w:val="18"/>
                                <w:szCs w:val="18"/>
                              </w:rPr>
                            </w:pPr>
                          </w:p>
                          <w:p w:rsidR="008A0DD2" w:rsidRDefault="008A0DD2" w:rsidP="007051DB">
                            <w:pPr>
                              <w:jc w:val="center"/>
                              <w:rPr>
                                <w:rFonts w:ascii="Arial" w:hAnsi="Arial" w:cs="Arial"/>
                                <w:sz w:val="18"/>
                                <w:szCs w:val="18"/>
                              </w:rPr>
                            </w:pPr>
                          </w:p>
                          <w:p w:rsidR="008A0DD2" w:rsidRPr="007051DB" w:rsidRDefault="008A0DD2" w:rsidP="007051DB">
                            <w:pPr>
                              <w:jc w:val="center"/>
                              <w:rPr>
                                <w:rFonts w:ascii="Arial" w:hAnsi="Arial" w:cs="Arial"/>
                                <w:sz w:val="18"/>
                                <w:szCs w:val="18"/>
                              </w:rPr>
                            </w:pPr>
                            <w:r>
                              <w:rPr>
                                <w:rFonts w:ascii="Arial" w:hAnsi="Arial" w:cs="Arial"/>
                                <w:sz w:val="18"/>
                                <w:szCs w:val="18"/>
                              </w:rPr>
                              <w:t xml:space="preserve">  </w:t>
                            </w:r>
                            <w:r w:rsidRPr="007051DB">
                              <w:rPr>
                                <w:rFonts w:ascii="Arial" w:hAnsi="Arial" w:cs="Arial"/>
                                <w:sz w:val="18"/>
                                <w:szCs w:val="18"/>
                              </w:rPr>
                              <w:t>2</w:t>
                            </w:r>
                            <w:r w:rsidR="00462CA4">
                              <w:rPr>
                                <w:rFonts w:ascii="Arial" w:hAnsi="Arial" w:cs="Arial"/>
                                <w:sz w:val="18"/>
                                <w:szCs w:val="18"/>
                              </w:rPr>
                              <w:t>1</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75pt;margin-top:5.1pt;width:78.15pt;height:48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" filled="f" strokecolor="white [3212]">
                <v:textbox style="layout-flow:vertical">
                  <w:txbxContent>
                    <w:p w:rsidR="008A0DD2" w:rsidRDefault="008A0DD2" w:rsidP="007051DB">
                      <w:pPr>
                        <w:jc w:val="center"/>
                        <w:rPr>
                          <w:rFonts w:ascii="Arial" w:hAnsi="Arial" w:cs="Arial"/>
                          <w:sz w:val="18"/>
                          <w:szCs w:val="18"/>
                        </w:rPr>
                      </w:pPr>
                    </w:p>
                    <w:p w:rsidR="008A0DD2" w:rsidRDefault="008A0DD2" w:rsidP="007051DB">
                      <w:pPr>
                        <w:jc w:val="center"/>
                        <w:rPr>
                          <w:rFonts w:ascii="Arial" w:hAnsi="Arial" w:cs="Arial"/>
                          <w:sz w:val="18"/>
                          <w:szCs w:val="18"/>
                        </w:rPr>
                      </w:pPr>
                    </w:p>
                    <w:p w:rsidR="008A0DD2" w:rsidRDefault="008A0DD2" w:rsidP="007051DB">
                      <w:pPr>
                        <w:jc w:val="center"/>
                        <w:rPr>
                          <w:rFonts w:ascii="Arial" w:hAnsi="Arial" w:cs="Arial"/>
                          <w:sz w:val="18"/>
                          <w:szCs w:val="18"/>
                        </w:rPr>
                      </w:pPr>
                    </w:p>
                    <w:p w:rsidR="008A0DD2" w:rsidRPr="007051DB" w:rsidRDefault="008A0DD2" w:rsidP="007051DB">
                      <w:pPr>
                        <w:jc w:val="center"/>
                        <w:rPr>
                          <w:rFonts w:ascii="Arial" w:hAnsi="Arial" w:cs="Arial"/>
                          <w:sz w:val="18"/>
                          <w:szCs w:val="18"/>
                        </w:rPr>
                      </w:pPr>
                      <w:r>
                        <w:rPr>
                          <w:rFonts w:ascii="Arial" w:hAnsi="Arial" w:cs="Arial"/>
                          <w:sz w:val="18"/>
                          <w:szCs w:val="18"/>
                        </w:rPr>
                        <w:t xml:space="preserve">  </w:t>
                      </w:r>
                      <w:r w:rsidRPr="007051DB">
                        <w:rPr>
                          <w:rFonts w:ascii="Arial" w:hAnsi="Arial" w:cs="Arial"/>
                          <w:sz w:val="18"/>
                          <w:szCs w:val="18"/>
                        </w:rPr>
                        <w:t>2</w:t>
                      </w:r>
                      <w:r w:rsidR="00462CA4">
                        <w:rPr>
                          <w:rFonts w:ascii="Arial" w:hAnsi="Arial" w:cs="Arial"/>
                          <w:sz w:val="18"/>
                          <w:szCs w:val="18"/>
                        </w:rPr>
                        <w:t>1</w:t>
                      </w:r>
                    </w:p>
                  </w:txbxContent>
                </v:textbox>
              </v:shape>
            </w:pict>
          </mc:Fallback>
        </mc:AlternateContent>
      </w:r>
      <w:r w:rsidR="00C86AD1">
        <w:rPr>
          <w:b/>
          <w:bCs/>
          <w:noProof/>
        </w:rPr>
        <w:drawing>
          <wp:inline distT="0" distB="0" distL="0" distR="0">
            <wp:extent cx="7800094" cy="6217920"/>
            <wp:effectExtent l="19050" t="0" r="0" b="0"/>
            <wp:docPr id="5" name="Picture 4" descr="Draw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1.gif"/>
                    <pic:cNvPicPr/>
                  </pic:nvPicPr>
                  <pic:blipFill>
                    <a:blip r:embed="rId25"/>
                    <a:stretch>
                      <a:fillRect/>
                    </a:stretch>
                  </pic:blipFill>
                  <pic:spPr>
                    <a:xfrm>
                      <a:off x="0" y="0"/>
                      <a:ext cx="7800094" cy="6217920"/>
                    </a:xfrm>
                    <a:prstGeom prst="rect">
                      <a:avLst/>
                    </a:prstGeom>
                  </pic:spPr>
                </pic:pic>
              </a:graphicData>
            </a:graphic>
          </wp:inline>
        </w:drawing>
      </w:r>
    </w:p>
    <w:p w:rsidR="000B2955" w:rsidRDefault="000B2955" w:rsidP="00E63E7C">
      <w:pPr>
        <w:spacing w:before="120" w:after="120" w:line="320" w:lineRule="atLeast"/>
        <w:ind w:firstLine="720"/>
        <w:rPr>
          <w:b/>
          <w:bCs/>
        </w:rPr>
        <w:sectPr w:rsidR="000B2955" w:rsidSect="00E63E7C">
          <w:headerReference w:type="even" r:id="rId26"/>
          <w:headerReference w:type="default" r:id="rId27"/>
          <w:footerReference w:type="even" r:id="rId28"/>
          <w:footerReference w:type="default" r:id="rId29"/>
          <w:headerReference w:type="first" r:id="rId30"/>
          <w:footerReference w:type="first" r:id="rId31"/>
          <w:pgSz w:w="15840" w:h="12240" w:orient="landscape" w:code="1"/>
          <w:pgMar w:top="1008" w:right="1008" w:bottom="1008" w:left="1008" w:header="720" w:footer="720" w:gutter="0"/>
          <w:cols w:space="720"/>
          <w:docGrid w:linePitch="360"/>
        </w:sectPr>
      </w:pPr>
    </w:p>
    <w:p w:rsidR="005E17C4" w:rsidRDefault="005E17C4" w:rsidP="005E17C4">
      <w:pPr>
        <w:pStyle w:val="Heading2"/>
      </w:pPr>
      <w:bookmarkStart w:id="211" w:name="_Toc174183429"/>
      <w:bookmarkStart w:id="212" w:name="_Toc174435838"/>
      <w:bookmarkStart w:id="213" w:name="_Toc175106865"/>
      <w:bookmarkStart w:id="214" w:name="_Toc179362241"/>
      <w:bookmarkStart w:id="215" w:name="_Toc281573449"/>
      <w:bookmarkStart w:id="216" w:name="_Toc322354457"/>
      <w:bookmarkStart w:id="217" w:name="_Toc337840027"/>
      <w:r>
        <w:lastRenderedPageBreak/>
        <w:t>Reviewing</w:t>
      </w:r>
      <w:r w:rsidRPr="00DB3D8E">
        <w:t xml:space="preserve"> Statisticians and Individuals Responsible for Designing and Conducting the Study</w:t>
      </w:r>
      <w:bookmarkEnd w:id="211"/>
      <w:bookmarkEnd w:id="212"/>
      <w:bookmarkEnd w:id="213"/>
      <w:bookmarkEnd w:id="214"/>
      <w:bookmarkEnd w:id="215"/>
      <w:bookmarkEnd w:id="216"/>
      <w:bookmarkEnd w:id="217"/>
    </w:p>
    <w:p w:rsidR="005E17C4" w:rsidRPr="00DB3D8E" w:rsidRDefault="005E17C4" w:rsidP="005E17C4">
      <w:pPr>
        <w:pStyle w:val="BodyTextnoindent0"/>
      </w:pPr>
      <w:r w:rsidRPr="00DB3D8E">
        <w:t>Names of individuals consulted on statistical aspects of study design, along with their affiliation and telephone numbers</w:t>
      </w:r>
      <w:r w:rsidR="00455D03">
        <w:t xml:space="preserve"> are:</w:t>
      </w:r>
    </w:p>
    <w:tbl>
      <w:tblPr>
        <w:tblW w:w="663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543"/>
        <w:gridCol w:w="2044"/>
        <w:gridCol w:w="2044"/>
      </w:tblGrid>
      <w:tr w:rsidR="005E17C4" w:rsidRPr="00DB3D8E" w:rsidTr="008E3B78">
        <w:trPr>
          <w:cantSplit/>
          <w:trHeight w:val="279"/>
        </w:trPr>
        <w:tc>
          <w:tcPr>
            <w:tcW w:w="2543" w:type="dxa"/>
            <w:tcBorders>
              <w:top w:val="single" w:sz="12" w:space="0" w:color="auto"/>
              <w:bottom w:val="single" w:sz="6"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Name</w:t>
            </w:r>
          </w:p>
        </w:tc>
        <w:tc>
          <w:tcPr>
            <w:tcW w:w="2044" w:type="dxa"/>
            <w:tcBorders>
              <w:top w:val="single" w:sz="12" w:space="0" w:color="auto"/>
              <w:bottom w:val="single" w:sz="6"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Affiliation</w:t>
            </w:r>
          </w:p>
        </w:tc>
        <w:tc>
          <w:tcPr>
            <w:tcW w:w="2044" w:type="dxa"/>
            <w:tcBorders>
              <w:top w:val="single" w:sz="12" w:space="0" w:color="auto"/>
              <w:bottom w:val="single" w:sz="6"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Telephone</w:t>
            </w:r>
          </w:p>
        </w:tc>
      </w:tr>
      <w:tr w:rsidR="005E17C4" w:rsidRPr="00DB3D8E" w:rsidTr="008E3B78">
        <w:trPr>
          <w:cantSplit/>
          <w:trHeight w:val="279"/>
        </w:trPr>
        <w:tc>
          <w:tcPr>
            <w:tcW w:w="2543"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Dr. John Riccobono</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(919) 541-7006</w:t>
            </w:r>
          </w:p>
        </w:tc>
      </w:tr>
      <w:tr w:rsidR="005E17C4" w:rsidRPr="00DB3D8E" w:rsidTr="008E3B78">
        <w:trPr>
          <w:cantSplit/>
          <w:trHeight w:val="279"/>
        </w:trPr>
        <w:tc>
          <w:tcPr>
            <w:tcW w:w="2543" w:type="dxa"/>
            <w:tcBorders>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Dr. Jennifer Wine</w:t>
            </w:r>
          </w:p>
        </w:tc>
        <w:tc>
          <w:tcPr>
            <w:tcW w:w="2044" w:type="dxa"/>
            <w:tcBorders>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tcBorders>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(919) 541-6870</w:t>
            </w:r>
          </w:p>
        </w:tc>
      </w:tr>
      <w:tr w:rsidR="005E17C4" w:rsidRPr="00DB3D8E" w:rsidTr="008E3B78">
        <w:trPr>
          <w:cantSplit/>
          <w:trHeight w:val="279"/>
        </w:trPr>
        <w:tc>
          <w:tcPr>
            <w:tcW w:w="2543"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Dr. James Chromy</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(919) 541-7019</w:t>
            </w:r>
          </w:p>
        </w:tc>
      </w:tr>
      <w:tr w:rsidR="005E17C4" w:rsidRPr="00DB3D8E" w:rsidTr="008E3B78">
        <w:trPr>
          <w:cantSplit/>
          <w:trHeight w:val="279"/>
        </w:trPr>
        <w:tc>
          <w:tcPr>
            <w:tcW w:w="2543" w:type="dxa"/>
            <w:tcBorders>
              <w:top w:val="nil"/>
              <w:bottom w:val="nil"/>
            </w:tcBorders>
            <w:vAlign w:val="bottom"/>
          </w:tcPr>
          <w:p w:rsidR="005E17C4" w:rsidRPr="00D30AB9" w:rsidRDefault="00C76C73" w:rsidP="00C76C73">
            <w:pPr>
              <w:pStyle w:val="Tabletext"/>
              <w:rPr>
                <w:rFonts w:asciiTheme="minorBidi" w:hAnsiTheme="minorBidi" w:cstheme="minorBidi"/>
                <w:sz w:val="18"/>
                <w:szCs w:val="18"/>
              </w:rPr>
            </w:pPr>
            <w:r>
              <w:rPr>
                <w:rFonts w:asciiTheme="minorBidi" w:hAnsiTheme="minorBidi" w:cstheme="minorBidi"/>
                <w:color w:val="000000"/>
                <w:sz w:val="18"/>
                <w:szCs w:val="18"/>
              </w:rPr>
              <w:t>Dr</w:t>
            </w:r>
            <w:r w:rsidR="005E17C4" w:rsidRPr="00D30AB9">
              <w:rPr>
                <w:rFonts w:asciiTheme="minorBidi" w:hAnsiTheme="minorBidi" w:cstheme="minorBidi"/>
                <w:color w:val="000000"/>
                <w:sz w:val="18"/>
                <w:szCs w:val="18"/>
              </w:rPr>
              <w:t xml:space="preserve">. </w:t>
            </w:r>
            <w:r>
              <w:rPr>
                <w:rFonts w:asciiTheme="minorBidi" w:hAnsiTheme="minorBidi" w:cstheme="minorBidi"/>
                <w:color w:val="000000"/>
                <w:sz w:val="18"/>
                <w:szCs w:val="18"/>
              </w:rPr>
              <w:t>Natasha Janson</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tcBorders>
              <w:top w:val="nil"/>
              <w:bottom w:val="nil"/>
            </w:tcBorders>
            <w:vAlign w:val="bottom"/>
          </w:tcPr>
          <w:p w:rsidR="005E17C4" w:rsidRPr="00D30AB9" w:rsidRDefault="005E17C4" w:rsidP="00C76C73">
            <w:pPr>
              <w:pStyle w:val="Tabletext"/>
              <w:rPr>
                <w:rFonts w:asciiTheme="minorBidi" w:hAnsiTheme="minorBidi" w:cstheme="minorBidi"/>
                <w:sz w:val="18"/>
                <w:szCs w:val="18"/>
              </w:rPr>
            </w:pPr>
            <w:r w:rsidRPr="00D30AB9">
              <w:rPr>
                <w:rFonts w:asciiTheme="minorBidi" w:hAnsiTheme="minorBidi" w:cstheme="minorBidi"/>
                <w:color w:val="000000"/>
                <w:sz w:val="18"/>
                <w:szCs w:val="18"/>
              </w:rPr>
              <w:t xml:space="preserve">(919) </w:t>
            </w:r>
            <w:r w:rsidR="00C76C73">
              <w:rPr>
                <w:rFonts w:asciiTheme="minorBidi" w:hAnsiTheme="minorBidi" w:cstheme="minorBidi"/>
                <w:color w:val="000000"/>
                <w:sz w:val="18"/>
                <w:szCs w:val="18"/>
              </w:rPr>
              <w:t>316-3394</w:t>
            </w:r>
          </w:p>
        </w:tc>
      </w:tr>
      <w:tr w:rsidR="005E17C4" w:rsidRPr="00DB3D8E" w:rsidTr="008E3B78">
        <w:trPr>
          <w:cantSplit/>
          <w:trHeight w:val="279"/>
        </w:trPr>
        <w:tc>
          <w:tcPr>
            <w:tcW w:w="2543"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Mr. Peter Siegel</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(919) 541-6348</w:t>
            </w:r>
          </w:p>
        </w:tc>
      </w:tr>
      <w:tr w:rsidR="005E17C4" w:rsidRPr="00DB3D8E" w:rsidTr="008E3B78">
        <w:trPr>
          <w:cantSplit/>
          <w:trHeight w:val="279"/>
        </w:trPr>
        <w:tc>
          <w:tcPr>
            <w:tcW w:w="2543" w:type="dxa"/>
            <w:tcBorders>
              <w:top w:val="nil"/>
              <w:bottom w:val="nil"/>
            </w:tcBorders>
            <w:vAlign w:val="bottom"/>
          </w:tcPr>
          <w:p w:rsidR="005E17C4" w:rsidRPr="00D30AB9" w:rsidRDefault="005E17C4" w:rsidP="00C76C73">
            <w:pPr>
              <w:pStyle w:val="Tabletext"/>
              <w:rPr>
                <w:rFonts w:asciiTheme="minorBidi" w:hAnsiTheme="minorBidi" w:cstheme="minorBidi"/>
                <w:sz w:val="18"/>
                <w:szCs w:val="18"/>
              </w:rPr>
            </w:pPr>
            <w:r w:rsidRPr="00D30AB9">
              <w:rPr>
                <w:rFonts w:asciiTheme="minorBidi" w:hAnsiTheme="minorBidi" w:cstheme="minorBidi"/>
                <w:sz w:val="18"/>
                <w:szCs w:val="18"/>
              </w:rPr>
              <w:t xml:space="preserve">Dr. </w:t>
            </w:r>
            <w:r w:rsidR="00C76C73">
              <w:rPr>
                <w:rFonts w:asciiTheme="minorBidi" w:hAnsiTheme="minorBidi" w:cstheme="minorBidi"/>
                <w:sz w:val="18"/>
                <w:szCs w:val="18"/>
              </w:rPr>
              <w:t>Sara Wheeless</w:t>
            </w:r>
          </w:p>
        </w:tc>
        <w:tc>
          <w:tcPr>
            <w:tcW w:w="2044" w:type="dxa"/>
            <w:tcBorders>
              <w:top w:val="nil"/>
              <w:bottom w:val="nil"/>
            </w:tcBorders>
            <w:vAlign w:val="bottom"/>
          </w:tcPr>
          <w:p w:rsidR="005E17C4" w:rsidRPr="00D30AB9" w:rsidRDefault="00C76C73" w:rsidP="008E3B78">
            <w:pPr>
              <w:pStyle w:val="Tabletext"/>
              <w:rPr>
                <w:rFonts w:asciiTheme="minorBidi" w:hAnsiTheme="minorBidi" w:cstheme="minorBidi"/>
                <w:sz w:val="18"/>
                <w:szCs w:val="18"/>
              </w:rPr>
            </w:pPr>
            <w:r>
              <w:rPr>
                <w:rFonts w:asciiTheme="minorBidi" w:hAnsiTheme="minorBidi" w:cstheme="minorBidi"/>
                <w:sz w:val="18"/>
                <w:szCs w:val="18"/>
              </w:rPr>
              <w:t>RTI</w:t>
            </w:r>
          </w:p>
        </w:tc>
        <w:tc>
          <w:tcPr>
            <w:tcW w:w="2044" w:type="dxa"/>
            <w:tcBorders>
              <w:top w:val="nil"/>
              <w:bottom w:val="nil"/>
            </w:tcBorders>
            <w:vAlign w:val="bottom"/>
          </w:tcPr>
          <w:p w:rsidR="005E17C4" w:rsidRPr="00D30AB9" w:rsidRDefault="00C76C73" w:rsidP="00C76C73">
            <w:pPr>
              <w:pStyle w:val="Tabletext"/>
              <w:rPr>
                <w:rFonts w:asciiTheme="minorBidi" w:hAnsiTheme="minorBidi" w:cstheme="minorBidi"/>
                <w:sz w:val="18"/>
                <w:szCs w:val="18"/>
              </w:rPr>
            </w:pPr>
            <w:r w:rsidRPr="00D30AB9">
              <w:rPr>
                <w:rFonts w:asciiTheme="minorBidi" w:hAnsiTheme="minorBidi" w:cstheme="minorBidi"/>
                <w:sz w:val="18"/>
                <w:szCs w:val="18"/>
              </w:rPr>
              <w:t>(919) 541-</w:t>
            </w:r>
            <w:r>
              <w:rPr>
                <w:rFonts w:asciiTheme="minorBidi" w:hAnsiTheme="minorBidi" w:cstheme="minorBidi"/>
                <w:sz w:val="18"/>
                <w:szCs w:val="18"/>
              </w:rPr>
              <w:t>5891</w:t>
            </w:r>
          </w:p>
        </w:tc>
      </w:tr>
      <w:tr w:rsidR="005E17C4" w:rsidRPr="00DB3D8E" w:rsidTr="008E3B78">
        <w:trPr>
          <w:cantSplit/>
          <w:trHeight w:val="279"/>
        </w:trPr>
        <w:tc>
          <w:tcPr>
            <w:tcW w:w="2543" w:type="dxa"/>
            <w:tcBorders>
              <w:top w:val="nil"/>
              <w:bottom w:val="nil"/>
            </w:tcBorders>
            <w:vAlign w:val="bottom"/>
          </w:tcPr>
          <w:p w:rsidR="005E17C4" w:rsidRPr="00D30AB9" w:rsidRDefault="005E17C4" w:rsidP="00C76C73">
            <w:pPr>
              <w:pStyle w:val="Tabletext"/>
              <w:rPr>
                <w:rFonts w:asciiTheme="minorBidi" w:hAnsiTheme="minorBidi" w:cstheme="minorBidi"/>
                <w:sz w:val="18"/>
                <w:szCs w:val="18"/>
              </w:rPr>
            </w:pPr>
            <w:r w:rsidRPr="00D30AB9">
              <w:rPr>
                <w:rFonts w:asciiTheme="minorBidi" w:hAnsiTheme="minorBidi" w:cstheme="minorBidi"/>
                <w:sz w:val="18"/>
                <w:szCs w:val="18"/>
              </w:rPr>
              <w:t xml:space="preserve">Dr. </w:t>
            </w:r>
            <w:r w:rsidR="00C76C73">
              <w:rPr>
                <w:rFonts w:asciiTheme="minorBidi" w:hAnsiTheme="minorBidi" w:cstheme="minorBidi"/>
                <w:sz w:val="18"/>
                <w:szCs w:val="18"/>
              </w:rPr>
              <w:t>Alexandria Radford</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MPR</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w:t>
            </w:r>
            <w:r w:rsidR="00C76C73">
              <w:rPr>
                <w:rFonts w:asciiTheme="minorBidi" w:hAnsiTheme="minorBidi" w:cstheme="minorBidi"/>
                <w:sz w:val="18"/>
                <w:szCs w:val="18"/>
              </w:rPr>
              <w:t>202</w:t>
            </w:r>
            <w:r w:rsidRPr="00D30AB9">
              <w:rPr>
                <w:rFonts w:asciiTheme="minorBidi" w:hAnsiTheme="minorBidi" w:cstheme="minorBidi"/>
                <w:sz w:val="18"/>
                <w:szCs w:val="18"/>
              </w:rPr>
              <w:t xml:space="preserve">) </w:t>
            </w:r>
            <w:r w:rsidR="00C76C73">
              <w:rPr>
                <w:rFonts w:asciiTheme="minorBidi" w:hAnsiTheme="minorBidi" w:cstheme="minorBidi"/>
                <w:sz w:val="18"/>
                <w:szCs w:val="18"/>
              </w:rPr>
              <w:t>478</w:t>
            </w:r>
            <w:r w:rsidRPr="00D30AB9">
              <w:rPr>
                <w:rFonts w:asciiTheme="minorBidi" w:hAnsiTheme="minorBidi" w:cstheme="minorBidi"/>
                <w:sz w:val="18"/>
                <w:szCs w:val="18"/>
              </w:rPr>
              <w:t>-</w:t>
            </w:r>
            <w:r w:rsidR="00C76C73">
              <w:rPr>
                <w:rFonts w:asciiTheme="minorBidi" w:hAnsiTheme="minorBidi" w:cstheme="minorBidi"/>
                <w:sz w:val="18"/>
                <w:szCs w:val="18"/>
              </w:rPr>
              <w:t>1027</w:t>
            </w:r>
          </w:p>
        </w:tc>
      </w:tr>
    </w:tbl>
    <w:p w:rsidR="005E17C4" w:rsidRPr="00DB3D8E" w:rsidRDefault="005E17C4" w:rsidP="00C76C73">
      <w:pPr>
        <w:pStyle w:val="BodyTextnoindent0"/>
      </w:pPr>
      <w:r w:rsidRPr="00DB3D8E">
        <w:t xml:space="preserve">In addition to these statisticians and survey design experts, the following statisticians at NCES have also reviewed and approved the statistical aspects of the study: Dr. Tracy Hunt-White, Ted Socha, </w:t>
      </w:r>
      <w:r>
        <w:t xml:space="preserve">Dr. </w:t>
      </w:r>
      <w:r w:rsidRPr="00DB3D8E">
        <w:t xml:space="preserve">Matt Soldner, Dr. Sean Simone, </w:t>
      </w:r>
      <w:r w:rsidR="00C76C73">
        <w:t xml:space="preserve">and </w:t>
      </w:r>
      <w:r>
        <w:t>Dr. Sarah Crissey</w:t>
      </w:r>
      <w:r w:rsidRPr="00DB3D8E">
        <w:t>.</w:t>
      </w:r>
      <w:r w:rsidR="00C76C73" w:rsidRPr="00C76C73">
        <w:t xml:space="preserve"> </w:t>
      </w:r>
    </w:p>
    <w:p w:rsidR="005E17C4" w:rsidRDefault="005E17C4" w:rsidP="005E17C4">
      <w:pPr>
        <w:pStyle w:val="Heading3"/>
      </w:pPr>
      <w:bookmarkStart w:id="218" w:name="_Toc174183430"/>
      <w:bookmarkStart w:id="219" w:name="_Toc174435839"/>
      <w:bookmarkStart w:id="220" w:name="_Toc175106866"/>
      <w:bookmarkStart w:id="221" w:name="_Toc179362242"/>
      <w:bookmarkStart w:id="222" w:name="_Toc281573450"/>
      <w:bookmarkStart w:id="223" w:name="_Toc322354458"/>
      <w:bookmarkStart w:id="224" w:name="_Toc337840028"/>
      <w:r w:rsidRPr="00DB3D8E">
        <w:t>Other Contractors’ Staff Responsible for Conducting the Study</w:t>
      </w:r>
      <w:bookmarkEnd w:id="218"/>
      <w:bookmarkEnd w:id="219"/>
      <w:bookmarkEnd w:id="220"/>
      <w:bookmarkEnd w:id="221"/>
      <w:bookmarkEnd w:id="222"/>
      <w:bookmarkEnd w:id="223"/>
      <w:bookmarkEnd w:id="224"/>
    </w:p>
    <w:p w:rsidR="005E17C4" w:rsidRPr="00DB3D8E" w:rsidRDefault="005E17C4" w:rsidP="00C76C73">
      <w:pPr>
        <w:pStyle w:val="BodyTextnoindent0"/>
      </w:pPr>
      <w:r w:rsidRPr="00DB3D8E">
        <w:t xml:space="preserve">The study is being conducted by the </w:t>
      </w:r>
      <w:r w:rsidRPr="00F12AB8">
        <w:t>Postsecondary</w:t>
      </w:r>
      <w:r>
        <w:t>, Adult, and Career Education (PACE)</w:t>
      </w:r>
      <w:r w:rsidRPr="00F12AB8">
        <w:t xml:space="preserve"> </w:t>
      </w:r>
      <w:r>
        <w:t xml:space="preserve">division </w:t>
      </w:r>
      <w:r w:rsidRPr="00F12AB8">
        <w:t>of the National Center for Education Statistics (NCES), U.S. Department of Education</w:t>
      </w:r>
      <w:r w:rsidRPr="00DB3D8E">
        <w:t>. NCES’s prime contractor is RTI. RTI is being assisted through subcontracted activities by MPR Associates. Principal professional staff of the contractors, not listed above, who are assigned to the study are provided below:</w:t>
      </w:r>
    </w:p>
    <w:tbl>
      <w:tblPr>
        <w:tblW w:w="663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543"/>
        <w:gridCol w:w="2044"/>
        <w:gridCol w:w="2044"/>
      </w:tblGrid>
      <w:tr w:rsidR="005E17C4" w:rsidRPr="00DB3D8E" w:rsidTr="008E3B78">
        <w:trPr>
          <w:cantSplit/>
        </w:trPr>
        <w:tc>
          <w:tcPr>
            <w:tcW w:w="2543" w:type="dxa"/>
            <w:tcBorders>
              <w:top w:val="single" w:sz="12" w:space="0" w:color="auto"/>
              <w:bottom w:val="single" w:sz="6"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Name</w:t>
            </w:r>
          </w:p>
        </w:tc>
        <w:tc>
          <w:tcPr>
            <w:tcW w:w="2044" w:type="dxa"/>
            <w:tcBorders>
              <w:top w:val="single" w:sz="12" w:space="0" w:color="auto"/>
              <w:bottom w:val="single" w:sz="6"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Affiliation</w:t>
            </w:r>
          </w:p>
        </w:tc>
        <w:tc>
          <w:tcPr>
            <w:tcW w:w="2044" w:type="dxa"/>
            <w:tcBorders>
              <w:top w:val="single" w:sz="12" w:space="0" w:color="auto"/>
              <w:bottom w:val="single" w:sz="6"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sz w:val="18"/>
                <w:szCs w:val="18"/>
              </w:rPr>
              <w:t>Telephone</w:t>
            </w:r>
          </w:p>
        </w:tc>
      </w:tr>
      <w:tr w:rsidR="005E17C4" w:rsidRPr="00DB3D8E" w:rsidTr="008E3B78">
        <w:trPr>
          <w:cantSplit/>
          <w:trHeight w:val="222"/>
        </w:trPr>
        <w:tc>
          <w:tcPr>
            <w:tcW w:w="2543"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 xml:space="preserve">Dr. </w:t>
            </w:r>
            <w:r w:rsidR="00C76C73">
              <w:rPr>
                <w:rFonts w:asciiTheme="minorBidi" w:hAnsiTheme="minorBidi" w:cstheme="minorBidi"/>
                <w:color w:val="000000"/>
                <w:sz w:val="18"/>
                <w:szCs w:val="18"/>
              </w:rPr>
              <w:t xml:space="preserve"> </w:t>
            </w:r>
            <w:r w:rsidRPr="00D30AB9">
              <w:rPr>
                <w:rFonts w:asciiTheme="minorBidi" w:hAnsiTheme="minorBidi" w:cstheme="minorBidi"/>
                <w:color w:val="000000"/>
                <w:sz w:val="18"/>
                <w:szCs w:val="18"/>
              </w:rPr>
              <w:t>Bryan Shepherd</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316-3482</w:t>
            </w:r>
          </w:p>
        </w:tc>
      </w:tr>
      <w:tr w:rsidR="005E17C4" w:rsidRPr="00DB3D8E" w:rsidTr="008E3B78">
        <w:trPr>
          <w:cantSplit/>
          <w:trHeight w:val="222"/>
        </w:trPr>
        <w:tc>
          <w:tcPr>
            <w:tcW w:w="2543"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Ms. Donna Anderson</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990-8399</w:t>
            </w:r>
          </w:p>
        </w:tc>
      </w:tr>
      <w:tr w:rsidR="005E17C4" w:rsidRPr="00DB3D8E" w:rsidTr="008E3B78">
        <w:trPr>
          <w:cantSplit/>
          <w:trHeight w:val="222"/>
        </w:trPr>
        <w:tc>
          <w:tcPr>
            <w:tcW w:w="2543"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Mr. Jeff Franklin</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485-2614</w:t>
            </w:r>
          </w:p>
        </w:tc>
      </w:tr>
      <w:tr w:rsidR="005E17C4" w:rsidRPr="00DB3D8E" w:rsidTr="008E3B78">
        <w:trPr>
          <w:cantSplit/>
          <w:trHeight w:val="222"/>
        </w:trPr>
        <w:tc>
          <w:tcPr>
            <w:tcW w:w="2543" w:type="dxa"/>
            <w:vAlign w:val="bottom"/>
          </w:tcPr>
          <w:p w:rsidR="005E17C4" w:rsidRPr="00D30AB9" w:rsidRDefault="005E17C4" w:rsidP="00C76C73">
            <w:pPr>
              <w:pStyle w:val="Tabletext"/>
              <w:rPr>
                <w:rFonts w:asciiTheme="minorBidi" w:hAnsiTheme="minorBidi" w:cstheme="minorBidi"/>
                <w:sz w:val="18"/>
                <w:szCs w:val="18"/>
              </w:rPr>
            </w:pPr>
            <w:r w:rsidRPr="00D30AB9">
              <w:rPr>
                <w:rFonts w:asciiTheme="minorBidi" w:hAnsiTheme="minorBidi" w:cstheme="minorBidi"/>
                <w:color w:val="000000"/>
                <w:sz w:val="18"/>
                <w:szCs w:val="18"/>
              </w:rPr>
              <w:t>M</w:t>
            </w:r>
            <w:r w:rsidR="00C76C73">
              <w:rPr>
                <w:rFonts w:asciiTheme="minorBidi" w:hAnsiTheme="minorBidi" w:cstheme="minorBidi"/>
                <w:color w:val="000000"/>
                <w:sz w:val="18"/>
                <w:szCs w:val="18"/>
              </w:rPr>
              <w:t>s. Chris Rasmussen</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541-</w:t>
            </w:r>
            <w:r w:rsidR="00C76C73">
              <w:rPr>
                <w:rFonts w:asciiTheme="minorBidi" w:hAnsiTheme="minorBidi" w:cstheme="minorBidi"/>
                <w:color w:val="000000"/>
                <w:sz w:val="18"/>
                <w:szCs w:val="18"/>
              </w:rPr>
              <w:t>6775</w:t>
            </w:r>
          </w:p>
        </w:tc>
      </w:tr>
      <w:tr w:rsidR="005E17C4" w:rsidRPr="00DB3D8E" w:rsidTr="008E3B78">
        <w:trPr>
          <w:cantSplit/>
          <w:trHeight w:val="222"/>
        </w:trPr>
        <w:tc>
          <w:tcPr>
            <w:tcW w:w="2543" w:type="dxa"/>
            <w:tcBorders>
              <w:bottom w:val="nil"/>
            </w:tcBorders>
            <w:vAlign w:val="bottom"/>
          </w:tcPr>
          <w:p w:rsidR="005E17C4" w:rsidRPr="00D30AB9" w:rsidRDefault="00C76C73" w:rsidP="008E3B78">
            <w:pPr>
              <w:pStyle w:val="Tabletext"/>
              <w:rPr>
                <w:rFonts w:asciiTheme="minorBidi" w:hAnsiTheme="minorBidi" w:cstheme="minorBidi"/>
                <w:sz w:val="18"/>
                <w:szCs w:val="18"/>
              </w:rPr>
            </w:pPr>
            <w:r>
              <w:rPr>
                <w:rFonts w:asciiTheme="minorBidi" w:hAnsiTheme="minorBidi" w:cstheme="minorBidi"/>
                <w:color w:val="000000"/>
                <w:sz w:val="18"/>
                <w:szCs w:val="18"/>
              </w:rPr>
              <w:t>Mr. Michael Bryan</w:t>
            </w:r>
          </w:p>
        </w:tc>
        <w:tc>
          <w:tcPr>
            <w:tcW w:w="2044" w:type="dxa"/>
            <w:tcBorders>
              <w:bottom w:val="nil"/>
            </w:tcBorders>
            <w:vAlign w:val="bottom"/>
          </w:tcPr>
          <w:p w:rsidR="005E17C4" w:rsidRPr="00D30AB9" w:rsidRDefault="00C76C73" w:rsidP="008E3B78">
            <w:pPr>
              <w:pStyle w:val="Tabletext"/>
              <w:rPr>
                <w:rFonts w:asciiTheme="minorBidi" w:hAnsiTheme="minorBidi" w:cstheme="minorBidi"/>
                <w:sz w:val="18"/>
                <w:szCs w:val="18"/>
              </w:rPr>
            </w:pPr>
            <w:r>
              <w:rPr>
                <w:rFonts w:asciiTheme="minorBidi" w:hAnsiTheme="minorBidi" w:cstheme="minorBidi"/>
                <w:color w:val="000000"/>
                <w:sz w:val="18"/>
                <w:szCs w:val="18"/>
              </w:rPr>
              <w:t>RTI</w:t>
            </w:r>
          </w:p>
        </w:tc>
        <w:tc>
          <w:tcPr>
            <w:tcW w:w="2044" w:type="dxa"/>
            <w:tcBorders>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w:t>
            </w:r>
            <w:r w:rsidR="00C76C73">
              <w:rPr>
                <w:rFonts w:asciiTheme="minorBidi" w:hAnsiTheme="minorBidi" w:cstheme="minorBidi"/>
                <w:color w:val="000000"/>
                <w:sz w:val="18"/>
                <w:szCs w:val="18"/>
              </w:rPr>
              <w:t>919</w:t>
            </w:r>
            <w:r w:rsidRPr="00D30AB9">
              <w:rPr>
                <w:rFonts w:asciiTheme="minorBidi" w:hAnsiTheme="minorBidi" w:cstheme="minorBidi"/>
                <w:color w:val="000000"/>
                <w:sz w:val="18"/>
                <w:szCs w:val="18"/>
              </w:rPr>
              <w:t xml:space="preserve">) </w:t>
            </w:r>
            <w:r w:rsidR="00C76C73">
              <w:rPr>
                <w:rFonts w:asciiTheme="minorBidi" w:hAnsiTheme="minorBidi" w:cstheme="minorBidi"/>
                <w:color w:val="000000"/>
                <w:sz w:val="18"/>
                <w:szCs w:val="18"/>
              </w:rPr>
              <w:t>541</w:t>
            </w:r>
            <w:r w:rsidRPr="00D30AB9">
              <w:rPr>
                <w:rFonts w:asciiTheme="minorBidi" w:hAnsiTheme="minorBidi" w:cstheme="minorBidi"/>
                <w:color w:val="000000"/>
                <w:sz w:val="18"/>
                <w:szCs w:val="18"/>
              </w:rPr>
              <w:t>-</w:t>
            </w:r>
            <w:r w:rsidR="00C76C73">
              <w:rPr>
                <w:rFonts w:asciiTheme="minorBidi" w:hAnsiTheme="minorBidi" w:cstheme="minorBidi"/>
                <w:color w:val="000000"/>
                <w:sz w:val="18"/>
                <w:szCs w:val="18"/>
              </w:rPr>
              <w:t>7498</w:t>
            </w:r>
          </w:p>
        </w:tc>
      </w:tr>
      <w:tr w:rsidR="005E17C4" w:rsidRPr="00DB3D8E" w:rsidTr="008E3B78">
        <w:trPr>
          <w:cantSplit/>
          <w:trHeight w:val="222"/>
        </w:trPr>
        <w:tc>
          <w:tcPr>
            <w:tcW w:w="2543" w:type="dxa"/>
            <w:tcBorders>
              <w:top w:val="nil"/>
              <w:bottom w:val="nil"/>
            </w:tcBorders>
            <w:vAlign w:val="bottom"/>
          </w:tcPr>
          <w:p w:rsidR="005E17C4" w:rsidRPr="00D30AB9" w:rsidRDefault="00C76C73" w:rsidP="008E3B78">
            <w:pPr>
              <w:pStyle w:val="Tabletext"/>
              <w:rPr>
                <w:rFonts w:asciiTheme="minorBidi" w:hAnsiTheme="minorBidi" w:cstheme="minorBidi"/>
                <w:sz w:val="18"/>
                <w:szCs w:val="18"/>
              </w:rPr>
            </w:pPr>
            <w:r>
              <w:rPr>
                <w:rFonts w:asciiTheme="minorBidi" w:hAnsiTheme="minorBidi" w:cstheme="minorBidi"/>
                <w:color w:val="000000"/>
                <w:sz w:val="18"/>
                <w:szCs w:val="18"/>
              </w:rPr>
              <w:t>Dr. Jennie Woo</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MPR</w:t>
            </w:r>
          </w:p>
        </w:tc>
        <w:tc>
          <w:tcPr>
            <w:tcW w:w="2044" w:type="dxa"/>
            <w:tcBorders>
              <w:top w:val="nil"/>
              <w:bottom w:val="nil"/>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(510) 849-4942</w:t>
            </w:r>
          </w:p>
        </w:tc>
      </w:tr>
      <w:tr w:rsidR="005E17C4" w:rsidRPr="00DB3D8E" w:rsidTr="008E3B78">
        <w:trPr>
          <w:cantSplit/>
        </w:trPr>
        <w:tc>
          <w:tcPr>
            <w:tcW w:w="2543" w:type="dxa"/>
            <w:tcBorders>
              <w:top w:val="nil"/>
              <w:bottom w:val="single" w:sz="12" w:space="0" w:color="auto"/>
            </w:tcBorders>
            <w:vAlign w:val="bottom"/>
          </w:tcPr>
          <w:p w:rsidR="005E17C4" w:rsidRPr="00D30AB9" w:rsidRDefault="005E17C4" w:rsidP="00C76C73">
            <w:pPr>
              <w:pStyle w:val="Tabletext"/>
              <w:keepNext w:val="0"/>
              <w:rPr>
                <w:rFonts w:asciiTheme="minorBidi" w:hAnsiTheme="minorBidi" w:cstheme="minorBidi"/>
                <w:sz w:val="18"/>
                <w:szCs w:val="18"/>
              </w:rPr>
            </w:pPr>
            <w:r w:rsidRPr="00D30AB9">
              <w:rPr>
                <w:rFonts w:asciiTheme="minorBidi" w:hAnsiTheme="minorBidi" w:cstheme="minorBidi"/>
                <w:color w:val="000000"/>
                <w:sz w:val="18"/>
                <w:szCs w:val="18"/>
              </w:rPr>
              <w:t xml:space="preserve">Ms. </w:t>
            </w:r>
            <w:r w:rsidR="00C76C73">
              <w:rPr>
                <w:rFonts w:asciiTheme="minorBidi" w:hAnsiTheme="minorBidi" w:cstheme="minorBidi"/>
                <w:color w:val="000000"/>
                <w:sz w:val="18"/>
                <w:szCs w:val="18"/>
              </w:rPr>
              <w:t>Shirley He Chan</w:t>
            </w:r>
          </w:p>
        </w:tc>
        <w:tc>
          <w:tcPr>
            <w:tcW w:w="2044" w:type="dxa"/>
            <w:tcBorders>
              <w:top w:val="nil"/>
              <w:bottom w:val="single" w:sz="12"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MPR</w:t>
            </w:r>
          </w:p>
        </w:tc>
        <w:tc>
          <w:tcPr>
            <w:tcW w:w="2044" w:type="dxa"/>
            <w:tcBorders>
              <w:top w:val="nil"/>
              <w:bottom w:val="single" w:sz="12" w:space="0" w:color="auto"/>
            </w:tcBorders>
            <w:vAlign w:val="bottom"/>
          </w:tcPr>
          <w:p w:rsidR="005E17C4" w:rsidRPr="00D30AB9" w:rsidRDefault="005E17C4" w:rsidP="008E3B78">
            <w:pPr>
              <w:pStyle w:val="Tabletext"/>
              <w:rPr>
                <w:rFonts w:asciiTheme="minorBidi" w:hAnsiTheme="minorBidi" w:cstheme="minorBidi"/>
                <w:sz w:val="18"/>
                <w:szCs w:val="18"/>
              </w:rPr>
            </w:pPr>
            <w:r w:rsidRPr="00D30AB9">
              <w:rPr>
                <w:rFonts w:asciiTheme="minorBidi" w:hAnsiTheme="minorBidi" w:cstheme="minorBidi"/>
                <w:color w:val="000000"/>
                <w:sz w:val="18"/>
                <w:szCs w:val="18"/>
              </w:rPr>
              <w:t>(510) 849-4942</w:t>
            </w:r>
          </w:p>
        </w:tc>
      </w:tr>
    </w:tbl>
    <w:p w:rsidR="005E17C4" w:rsidRPr="00DB3D8E" w:rsidRDefault="005E17C4" w:rsidP="005E17C4">
      <w:pPr>
        <w:spacing w:line="320" w:lineRule="atLeast"/>
      </w:pPr>
    </w:p>
    <w:p w:rsidR="005E17C4" w:rsidRDefault="005E17C4" w:rsidP="005E17C4">
      <w:pPr>
        <w:pStyle w:val="Heading1"/>
      </w:pPr>
      <w:bookmarkStart w:id="225" w:name="_Toc322354459"/>
      <w:bookmarkStart w:id="226" w:name="_Toc337840029"/>
      <w:r w:rsidRPr="00DB3D8E">
        <w:t xml:space="preserve">Overview of Analysis Topics </w:t>
      </w:r>
      <w:r w:rsidRPr="00D30AB9">
        <w:t>and</w:t>
      </w:r>
      <w:r w:rsidRPr="00DB3D8E">
        <w:t xml:space="preserve"> Survey Items</w:t>
      </w:r>
      <w:bookmarkEnd w:id="225"/>
      <w:bookmarkEnd w:id="226"/>
    </w:p>
    <w:p w:rsidR="00455D03" w:rsidRDefault="005E17C4" w:rsidP="00455D03">
      <w:pPr>
        <w:pStyle w:val="BodyText"/>
      </w:pPr>
      <w:r w:rsidRPr="00DB3D8E">
        <w:t xml:space="preserve">The </w:t>
      </w:r>
      <w:r w:rsidR="00B013CE">
        <w:t>BPS:12/14 field test</w:t>
      </w:r>
      <w:r w:rsidRPr="00DB3D8E">
        <w:t xml:space="preserve"> data collection instrument is presented </w:t>
      </w:r>
      <w:r w:rsidRPr="00F23149">
        <w:t xml:space="preserve">in </w:t>
      </w:r>
      <w:r w:rsidR="00A0629D">
        <w:t>A</w:t>
      </w:r>
      <w:r w:rsidR="00AA2D02">
        <w:t>ppendix H</w:t>
      </w:r>
      <w:r w:rsidRPr="00F23149">
        <w:t>.</w:t>
      </w:r>
      <w:r w:rsidRPr="00DB3D8E">
        <w:t xml:space="preserve"> Many of the data elements to be used in </w:t>
      </w:r>
      <w:r w:rsidR="00B013CE">
        <w:t xml:space="preserve">BPS:12/14 </w:t>
      </w:r>
      <w:r w:rsidRPr="00DB3D8E">
        <w:t xml:space="preserve">appeared in the previously approved </w:t>
      </w:r>
      <w:r w:rsidR="00B013CE">
        <w:t>NPSAS:12 and BPS:04/09 interviews</w:t>
      </w:r>
      <w:r w:rsidRPr="00DB3D8E">
        <w:t xml:space="preserve">. </w:t>
      </w:r>
      <w:r w:rsidR="002D5D82">
        <w:t xml:space="preserve"> New items, as well as items that are to be included in the r</w:t>
      </w:r>
      <w:r w:rsidR="00A0629D">
        <w:t xml:space="preserve">e-interview and in the modified </w:t>
      </w:r>
      <w:r w:rsidR="002D5D82">
        <w:t>interview used in the experime</w:t>
      </w:r>
      <w:r w:rsidR="00AA2D02">
        <w:t>nt</w:t>
      </w:r>
      <w:r w:rsidR="00A0629D">
        <w:t>,</w:t>
      </w:r>
      <w:r w:rsidR="00AA2D02">
        <w:t xml:space="preserve"> are identified in </w:t>
      </w:r>
      <w:r w:rsidR="00A0629D">
        <w:t>A</w:t>
      </w:r>
      <w:r w:rsidR="00AA2D02">
        <w:t>ppendix H</w:t>
      </w:r>
      <w:r w:rsidR="002D5D82">
        <w:t>.</w:t>
      </w:r>
    </w:p>
    <w:p w:rsidR="00455D03" w:rsidRDefault="00455D03" w:rsidP="00455D03">
      <w:pPr>
        <w:pStyle w:val="BodyText"/>
        <w:spacing w:before="0" w:after="0" w:line="240" w:lineRule="auto"/>
        <w:ind w:firstLine="0"/>
      </w:pPr>
    </w:p>
    <w:p w:rsidR="009A40B5" w:rsidRPr="00DB3D8E" w:rsidRDefault="009A40B5" w:rsidP="00D30AB9">
      <w:pPr>
        <w:pStyle w:val="ESHeading1"/>
      </w:pPr>
      <w:bookmarkStart w:id="227" w:name="_Toc131923923"/>
      <w:bookmarkStart w:id="228" w:name="_Toc174183432"/>
      <w:bookmarkStart w:id="229" w:name="_Toc174435841"/>
      <w:bookmarkStart w:id="230" w:name="_Toc175106868"/>
      <w:bookmarkStart w:id="231" w:name="_Toc179362244"/>
      <w:bookmarkStart w:id="232" w:name="_Toc281573452"/>
      <w:bookmarkStart w:id="233" w:name="_Toc337840030"/>
      <w:bookmarkEnd w:id="189"/>
      <w:bookmarkEnd w:id="190"/>
      <w:r w:rsidRPr="00DB3D8E">
        <w:t>References</w:t>
      </w:r>
      <w:bookmarkEnd w:id="227"/>
      <w:bookmarkEnd w:id="228"/>
      <w:bookmarkEnd w:id="229"/>
      <w:bookmarkEnd w:id="230"/>
      <w:bookmarkEnd w:id="231"/>
      <w:bookmarkEnd w:id="232"/>
      <w:bookmarkEnd w:id="233"/>
    </w:p>
    <w:p w:rsidR="003D3986" w:rsidRDefault="003B42B8" w:rsidP="00455D03">
      <w:pPr>
        <w:pStyle w:val="Biblio"/>
        <w:tabs>
          <w:tab w:val="left" w:pos="3420"/>
        </w:tabs>
      </w:pPr>
      <w:r>
        <w:t>Folsom, R.E., Potter, F.J., &amp;</w:t>
      </w:r>
      <w:r w:rsidRPr="00AE34AC">
        <w:t xml:space="preserve"> Williams, S.R. (1987). Notes on a Composite Size Measure for Self-Weighting Samples in Multiple Domains. </w:t>
      </w:r>
      <w:r w:rsidRPr="00AE34AC">
        <w:rPr>
          <w:i/>
          <w:iCs/>
        </w:rPr>
        <w:t>Proceedings of the Section on Survey Research Methods of the American Statistical Association</w:t>
      </w:r>
      <w:r w:rsidRPr="00AE34AC">
        <w:t>, 792-796.</w:t>
      </w:r>
    </w:p>
    <w:sectPr w:rsidR="003D3986" w:rsidSect="000B2955">
      <w:footerReference w:type="default" r:id="rId32"/>
      <w:headerReference w:type="first" r:id="rId33"/>
      <w:footerReference w:type="first" r:id="rId3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D2" w:rsidRDefault="008A0DD2">
      <w:r>
        <w:separator/>
      </w:r>
    </w:p>
  </w:endnote>
  <w:endnote w:type="continuationSeparator" w:id="0">
    <w:p w:rsidR="008A0DD2" w:rsidRDefault="008A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ITC Avant Garde Std Bk">
    <w:altName w:val="Arial"/>
    <w:panose1 w:val="00000000000000000000"/>
    <w:charset w:val="00"/>
    <w:family w:val="swiss"/>
    <w:notTrueType/>
    <w:pitch w:val="variable"/>
    <w:sig w:usb0="00000003" w:usb1="00000000" w:usb2="00000000" w:usb3="00000000" w:csb0="00000001" w:csb1="00000000"/>
  </w:font>
  <w:font w:name="ヒラギノ角ゴ Pro W3">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5A021F">
    <w:pPr>
      <w:pStyle w:val="NCESevenfooter"/>
    </w:pPr>
    <w:r>
      <w:rPr>
        <w:rStyle w:val="PageNumber"/>
        <w:smallCaps w:val="0"/>
      </w:rPr>
      <w:fldChar w:fldCharType="begin"/>
    </w:r>
    <w:r>
      <w:rPr>
        <w:rStyle w:val="PageNumber"/>
        <w:smallCaps w:val="0"/>
      </w:rPr>
      <w:instrText xml:space="preserve"> PAGE </w:instrText>
    </w:r>
    <w:r>
      <w:rPr>
        <w:rStyle w:val="PageNumber"/>
        <w:smallCaps w:val="0"/>
      </w:rPr>
      <w:fldChar w:fldCharType="separate"/>
    </w:r>
    <w:r>
      <w:rPr>
        <w:rStyle w:val="PageNumber"/>
        <w:smallCaps w:val="0"/>
        <w:noProof/>
      </w:rPr>
      <w:t>35</w:t>
    </w:r>
    <w:r>
      <w:rPr>
        <w:rStyle w:val="PageNumber"/>
        <w:smallCaps w:val="0"/>
      </w:rPr>
      <w:fldChar w:fldCharType="end"/>
    </w:r>
    <w:r>
      <w:rPr>
        <w:rStyle w:val="PageNumber"/>
        <w:smallCaps w:val="0"/>
      </w:rPr>
      <w:tab/>
    </w:r>
    <w:r w:rsidRPr="00E84DB5">
      <w:t>Supporting Statement Request</w:t>
    </w:r>
    <w:r>
      <w:t xml:space="preserve"> </w:t>
    </w:r>
    <w:r w:rsidRPr="00E84DB5">
      <w:t>for OMB Review</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081361" w:rsidRDefault="008A0DD2" w:rsidP="000813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pPr>
      <w:pStyle w:val="NCESoddfooter"/>
      <w:tabs>
        <w:tab w:val="clear" w:pos="4320"/>
      </w:tabs>
      <w:jc w:val="left"/>
    </w:pPr>
    <w:r w:rsidRPr="00E84DB5">
      <w:t>Supporting Statement Request</w:t>
    </w:r>
    <w:r>
      <w:t xml:space="preserve"> </w:t>
    </w:r>
    <w:r w:rsidRPr="00E84DB5">
      <w:t>for OMB Review</w:t>
    </w:r>
    <w: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37</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1C7180">
    <w:pPr>
      <w:pStyle w:val="NCESevenfooter"/>
      <w:tabs>
        <w:tab w:val="clear" w:pos="9360"/>
      </w:tabs>
      <w:jc w:val="center"/>
    </w:pPr>
    <w:r>
      <w:fldChar w:fldCharType="begin"/>
    </w:r>
    <w:r>
      <w:instrText xml:space="preserve"> PAGE   \* MERGEFORMAT </w:instrText>
    </w:r>
    <w:r>
      <w:fldChar w:fldCharType="separate"/>
    </w:r>
    <w:r w:rsidR="0037284D">
      <w:rPr>
        <w:noProof/>
      </w:rPr>
      <w:t>22</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pPr>
      <w:pStyle w:val="NCESoddfooter"/>
      <w:tabs>
        <w:tab w:val="clear" w:pos="4320"/>
      </w:tabs>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5844D3" w:rsidRDefault="008A0DD2" w:rsidP="005844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5844D3">
    <w:pPr>
      <w:pStyle w:val="NCESevenfooter"/>
      <w:jc w:val="center"/>
    </w:pPr>
    <w:r>
      <w:fldChar w:fldCharType="begin"/>
    </w:r>
    <w:r>
      <w:instrText xml:space="preserve"> PAGE   \* MERGEFORMAT </w:instrText>
    </w:r>
    <w:r>
      <w:fldChar w:fldCharType="separate"/>
    </w:r>
    <w:r w:rsidR="0037284D">
      <w:rPr>
        <w:noProof/>
      </w:rPr>
      <w:t>13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5844D3" w:rsidRDefault="008A0DD2" w:rsidP="005844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5844D3">
    <w:pPr>
      <w:pStyle w:val="NCESeven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921268">
    <w:pPr>
      <w:pStyle w:val="NCESoddfooter"/>
      <w:tabs>
        <w:tab w:val="clear" w:pos="4320"/>
      </w:tabs>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38</w:t>
    </w:r>
    <w:r>
      <w:rPr>
        <w:rStyle w:val="PageNumber"/>
        <w:szCs w:val="20"/>
      </w:rPr>
      <w:fldChar w:fldCharType="end"/>
    </w:r>
    <w:r>
      <w:rPr>
        <w:rStyle w:val="PageNumber"/>
        <w:szCs w:val="20"/>
      </w:rPr>
      <w:tab/>
    </w:r>
    <w:r w:rsidRPr="00E84DB5">
      <w:t>Supporting Statement Request</w:t>
    </w:r>
    <w:r>
      <w:t xml:space="preserve"> </w:t>
    </w:r>
    <w:r w:rsidRPr="00E84DB5">
      <w:t>for OMB Review</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1C7180">
    <w:pPr>
      <w:pStyle w:val="NCESevenfooter"/>
      <w:tabs>
        <w:tab w:val="clear" w:pos="9360"/>
      </w:tabs>
      <w:jc w:val="center"/>
    </w:pPr>
    <w:r>
      <w:fldChar w:fldCharType="begin"/>
    </w:r>
    <w:r>
      <w:instrText xml:space="preserve"> PAGE   \* MERGEFORMAT </w:instrText>
    </w:r>
    <w:r>
      <w:fldChar w:fldCharType="separate"/>
    </w:r>
    <w:r w:rsidR="0037284D">
      <w:rPr>
        <w:noProof/>
      </w:rPr>
      <w:t>20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pPr>
      <w:pStyle w:val="NCESoddfooter"/>
      <w:tabs>
        <w:tab w:val="clear" w:pos="4320"/>
      </w:tabs>
      <w:jc w:val="left"/>
    </w:pPr>
    <w:r w:rsidRPr="00E84DB5">
      <w:t>Supporting Statement Request</w:t>
    </w:r>
    <w:r>
      <w:t xml:space="preserve"> </w:t>
    </w:r>
    <w:r w:rsidRPr="00E84DB5">
      <w:t>for OMB Review</w:t>
    </w:r>
    <w: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37</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921268">
    <w:pPr>
      <w:pStyle w:val="NCESoddfooter"/>
      <w:tabs>
        <w:tab w:val="clear" w:pos="4320"/>
      </w:tabs>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38</w:t>
    </w:r>
    <w:r>
      <w:rPr>
        <w:rStyle w:val="PageNumber"/>
        <w:szCs w:val="20"/>
      </w:rPr>
      <w:fldChar w:fldCharType="end"/>
    </w:r>
    <w:r>
      <w:rPr>
        <w:rStyle w:val="PageNumber"/>
        <w:szCs w:val="20"/>
      </w:rPr>
      <w:tab/>
    </w:r>
    <w:r w:rsidRPr="00E84DB5">
      <w:t>Supporting Statement Request</w:t>
    </w:r>
    <w:r>
      <w:t xml:space="preserve"> </w:t>
    </w:r>
    <w:r w:rsidRPr="00E84DB5">
      <w:t>for OMB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D2" w:rsidRDefault="008A0DD2">
      <w:r>
        <w:separator/>
      </w:r>
    </w:p>
  </w:footnote>
  <w:footnote w:type="continuationSeparator" w:id="0">
    <w:p w:rsidR="008A0DD2" w:rsidRDefault="008A0DD2">
      <w:r>
        <w:continuationSeparator/>
      </w:r>
    </w:p>
  </w:footnote>
  <w:footnote w:id="1">
    <w:p w:rsidR="008A0DD2" w:rsidRPr="0021656C" w:rsidRDefault="008A0DD2" w:rsidP="003B42B8">
      <w:pPr>
        <w:pStyle w:val="FootnoteText"/>
        <w:rPr>
          <w:sz w:val="16"/>
          <w:szCs w:val="16"/>
        </w:rPr>
      </w:pPr>
      <w:r w:rsidRPr="0021656C">
        <w:rPr>
          <w:rStyle w:val="FootnoteReference"/>
          <w:sz w:val="16"/>
          <w:szCs w:val="16"/>
        </w:rPr>
        <w:footnoteRef/>
      </w:r>
      <w:r w:rsidRPr="0021656C">
        <w:rPr>
          <w:sz w:val="16"/>
          <w:szCs w:val="16"/>
        </w:rPr>
        <w:t xml:space="preserve"> 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(SSIG) and the National Early Intervention Scholarship and Partnership (NEISP) programs.</w:t>
      </w:r>
    </w:p>
  </w:footnote>
  <w:footnote w:id="2">
    <w:p w:rsidR="008A0DD2" w:rsidRPr="0021656C" w:rsidRDefault="008A0DD2" w:rsidP="003B42B8">
      <w:pPr>
        <w:pStyle w:val="FootnoteText"/>
        <w:rPr>
          <w:sz w:val="16"/>
          <w:szCs w:val="16"/>
        </w:rPr>
      </w:pPr>
      <w:r w:rsidRPr="0021656C">
        <w:rPr>
          <w:rStyle w:val="FootnoteReference"/>
          <w:sz w:val="16"/>
          <w:szCs w:val="16"/>
        </w:rPr>
        <w:footnoteRef/>
      </w:r>
      <w:r w:rsidRPr="0021656C">
        <w:rPr>
          <w:sz w:val="16"/>
          <w:szCs w:val="16"/>
        </w:rPr>
        <w:t xml:space="preserve"> A student identified by the institution on the enrollment list as an FTB who turns out to not be an FTB is a false positive.</w:t>
      </w:r>
    </w:p>
  </w:footnote>
  <w:footnote w:id="3">
    <w:p w:rsidR="008A0DD2" w:rsidRPr="0021656C" w:rsidRDefault="008A0DD2" w:rsidP="00EE6B11">
      <w:pPr>
        <w:pStyle w:val="FootnoteText"/>
        <w:rPr>
          <w:rFonts w:asciiTheme="majorBidi" w:hAnsiTheme="majorBidi" w:cstheme="majorBidi"/>
          <w:sz w:val="16"/>
          <w:szCs w:val="16"/>
        </w:rPr>
      </w:pPr>
      <w:r w:rsidRPr="0021656C">
        <w:rPr>
          <w:rStyle w:val="FootnoteReference"/>
          <w:rFonts w:asciiTheme="majorBidi" w:hAnsiTheme="majorBidi" w:cstheme="majorBidi"/>
          <w:sz w:val="16"/>
          <w:szCs w:val="16"/>
        </w:rPr>
        <w:footnoteRef/>
      </w:r>
      <w:r w:rsidRPr="0021656C">
        <w:rPr>
          <w:rFonts w:asciiTheme="majorBidi" w:hAnsiTheme="majorBidi" w:cstheme="majorBidi"/>
          <w:sz w:val="16"/>
          <w:szCs w:val="16"/>
        </w:rPr>
        <w:t xml:space="preserve"> For the NPSAS:12 field test, the institution sample was selected statistically, rather than purposively, as had been done in past NPSAS cycles, in order to allow inferences to be made to the target population, supporting the analytic needs of the field test experiments.  </w:t>
      </w:r>
    </w:p>
  </w:footnote>
  <w:footnote w:id="4">
    <w:p w:rsidR="008A0DD2" w:rsidRPr="0021656C" w:rsidRDefault="008A0DD2" w:rsidP="00135DCB">
      <w:pPr>
        <w:pStyle w:val="FootnoteText"/>
        <w:rPr>
          <w:sz w:val="16"/>
          <w:szCs w:val="16"/>
        </w:rPr>
      </w:pPr>
      <w:r w:rsidRPr="0021656C">
        <w:rPr>
          <w:rStyle w:val="FootnoteReference"/>
          <w:sz w:val="16"/>
          <w:szCs w:val="16"/>
        </w:rPr>
        <w:footnoteRef/>
      </w:r>
      <w:r w:rsidRPr="0021656C">
        <w:rPr>
          <w:sz w:val="16"/>
          <w:szCs w:val="16"/>
        </w:rPr>
        <w:t xml:space="preserve"> Ten percent is generally considered the maximum acceptable value for unit nonresponse bias analysis.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DE7669" w:rsidRDefault="008A0DD2" w:rsidP="00DE7669">
    <w:pPr>
      <w:pStyle w:val="NCESheadereven"/>
    </w:pPr>
    <w:r>
      <w:t>B. Collection of Information Employing Statistical Methods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5844D3" w:rsidRDefault="008A0DD2" w:rsidP="005844D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7A2305">
    <w:pPr>
      <w:pStyle w:val="NCESheadereven"/>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683057">
    <w:pPr>
      <w:pStyle w:val="NCESheadereven"/>
      <w:pBdr>
        <w:bottom w:val="single" w:sz="4" w:space="1" w:color="auto"/>
      </w:pBdr>
    </w:pPr>
    <w:r w:rsidRPr="00683057">
      <w:t>B.</w:t>
    </w:r>
    <w:r>
      <w:t xml:space="preserve"> </w:t>
    </w:r>
    <w:r w:rsidRPr="00683057">
      <w:t>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455EB1" w:rsidRDefault="008A0DD2" w:rsidP="00455EB1">
    <w:pPr>
      <w:pStyle w:val="NCESheadereven"/>
      <w:pBdr>
        <w:bottom w:val="single" w:sz="8" w:space="0" w:color="auto"/>
      </w:pBdr>
    </w:pPr>
    <w:r>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1009F0" w:rsidRDefault="008A0DD2" w:rsidP="00D13FE8">
    <w:pPr>
      <w:pStyle w:val="NCESheadereven"/>
      <w:pBdr>
        <w:bottom w:val="none" w:sz="0" w:space="0"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1009F0" w:rsidRDefault="008A0DD2" w:rsidP="00D13FE8">
    <w:pPr>
      <w:pStyle w:val="NCESheadereven"/>
      <w:pBdr>
        <w:bottom w:val="none" w:sz="0" w:space="0" w:color="auto"/>
      </w:pBd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-575945</wp:posOffset>
              </wp:positionH>
              <wp:positionV relativeFrom="paragraph">
                <wp:posOffset>448310</wp:posOffset>
              </wp:positionV>
              <wp:extent cx="318135" cy="5943600"/>
              <wp:effectExtent l="0" t="635" r="63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594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DD2" w:rsidRPr="00623FCB" w:rsidRDefault="008A0DD2" w:rsidP="00081361">
                          <w:pPr>
                            <w:pStyle w:val="NCESevenfooter"/>
                            <w:jc w:val="center"/>
                          </w:pPr>
                          <w:r>
                            <w:fldChar w:fldCharType="begin"/>
                          </w:r>
                          <w:r>
                            <w:instrText xml:space="preserve"> PAGE   \* MERGEFORMAT </w:instrText>
                          </w:r>
                          <w:r>
                            <w:fldChar w:fldCharType="separate"/>
                          </w:r>
                          <w:r w:rsidR="0037284D">
                            <w:rPr>
                              <w:noProof/>
                            </w:rPr>
                            <w:t>14</w:t>
                          </w:r>
                          <w:r>
                            <w:rPr>
                              <w:noProof/>
                            </w:rPr>
                            <w:fldChar w:fldCharType="end"/>
                          </w:r>
                        </w:p>
                      </w:txbxContent>
                    </wps:txbx>
                    <wps:bodyPr rot="0" vert="vert"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5.35pt;margin-top:35.3pt;width:25.0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" stroked="f">
              <v:textbox style="layout-flow:vertical">
                <w:txbxContent>
                  <w:p w:rsidR="008A0DD2" w:rsidRPr="00623FCB" w:rsidRDefault="008A0DD2" w:rsidP="00081361">
                    <w:pPr>
                      <w:pStyle w:val="NCESevenfooter"/>
                      <w:jc w:val="center"/>
                    </w:pPr>
                    <w:r>
                      <w:fldChar w:fldCharType="begin"/>
                    </w:r>
                    <w:r>
                      <w:instrText xml:space="preserve"> PAGE   \* MERGEFORMAT </w:instrText>
                    </w:r>
                    <w:r>
                      <w:fldChar w:fldCharType="separate"/>
                    </w:r>
                    <w:r w:rsidR="0037284D">
                      <w:rPr>
                        <w:noProof/>
                      </w:rPr>
                      <w:t>14</w:t>
                    </w:r>
                    <w:r>
                      <w:rPr>
                        <w:noProof/>
                      </w:rPr>
                      <w:fldChar w:fldCharType="end"/>
                    </w:r>
                  </w:p>
                </w:txbxContent>
              </v:textbox>
              <w10:wrap type="squar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CE6BA3" w:rsidRDefault="008A0DD2" w:rsidP="009C0354">
    <w:pPr>
      <w:pStyle w:val="NCESheadereven"/>
    </w:pPr>
    <w:r>
      <w:t>References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081361" w:rsidRDefault="008A0DD2" w:rsidP="0008136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Default="008A0DD2" w:rsidP="007A2305">
    <w:pPr>
      <w:pStyle w:val="NCESheadereven"/>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2" w:rsidRPr="00CE6BA3" w:rsidRDefault="008A0DD2" w:rsidP="009C0354">
    <w:pPr>
      <w:pStyle w:val="NCESheadereven"/>
    </w:pPr>
    <w:r>
      <w:t>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C41A12"/>
    <w:lvl w:ilvl="0">
      <w:start w:val="1"/>
      <w:numFmt w:val="decimal"/>
      <w:lvlText w:val="%1."/>
      <w:lvlJc w:val="left"/>
      <w:pPr>
        <w:tabs>
          <w:tab w:val="num" w:pos="1800"/>
        </w:tabs>
        <w:ind w:left="1800" w:hanging="360"/>
      </w:pPr>
    </w:lvl>
  </w:abstractNum>
  <w:abstractNum w:abstractNumId="1">
    <w:nsid w:val="FFFFFF7D"/>
    <w:multiLevelType w:val="singleLevel"/>
    <w:tmpl w:val="DA3CD012"/>
    <w:lvl w:ilvl="0">
      <w:start w:val="1"/>
      <w:numFmt w:val="decimal"/>
      <w:lvlText w:val="%1."/>
      <w:lvlJc w:val="left"/>
      <w:pPr>
        <w:tabs>
          <w:tab w:val="num" w:pos="1440"/>
        </w:tabs>
        <w:ind w:left="1440" w:hanging="360"/>
      </w:pPr>
    </w:lvl>
  </w:abstractNum>
  <w:abstractNum w:abstractNumId="2">
    <w:nsid w:val="FFFFFF7E"/>
    <w:multiLevelType w:val="singleLevel"/>
    <w:tmpl w:val="947CC43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B6F7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E43D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B4B8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067B6C"/>
    <w:lvl w:ilvl="0">
      <w:start w:val="1"/>
      <w:numFmt w:val="decimal"/>
      <w:pStyle w:val="ListNumber"/>
      <w:lvlText w:val="%1."/>
      <w:lvlJc w:val="left"/>
      <w:pPr>
        <w:tabs>
          <w:tab w:val="num" w:pos="360"/>
        </w:tabs>
        <w:ind w:left="360" w:hanging="360"/>
      </w:pPr>
    </w:lvl>
  </w:abstractNum>
  <w:abstractNum w:abstractNumId="9">
    <w:nsid w:val="055D767D"/>
    <w:multiLevelType w:val="hybridMultilevel"/>
    <w:tmpl w:val="4D0A0252"/>
    <w:lvl w:ilvl="0" w:tplc="76C2865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08C5184C"/>
    <w:multiLevelType w:val="hybridMultilevel"/>
    <w:tmpl w:val="9280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9962F9"/>
    <w:multiLevelType w:val="hybridMultilevel"/>
    <w:tmpl w:val="47D64E3C"/>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DC44F62"/>
    <w:multiLevelType w:val="hybridMultilevel"/>
    <w:tmpl w:val="7350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301E50"/>
    <w:multiLevelType w:val="hybridMultilevel"/>
    <w:tmpl w:val="22B87334"/>
    <w:lvl w:ilvl="0" w:tplc="A44434E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5">
    <w:nsid w:val="16AC04AD"/>
    <w:multiLevelType w:val="hybridMultilevel"/>
    <w:tmpl w:val="C7081F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037E5D"/>
    <w:multiLevelType w:val="hybridMultilevel"/>
    <w:tmpl w:val="03CE4E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19E595B"/>
    <w:multiLevelType w:val="hybridMultilevel"/>
    <w:tmpl w:val="7DB6263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0642541"/>
    <w:multiLevelType w:val="hybridMultilevel"/>
    <w:tmpl w:val="CFBCD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22">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F245EF"/>
    <w:multiLevelType w:val="hybridMultilevel"/>
    <w:tmpl w:val="31C6D6B2"/>
    <w:lvl w:ilvl="0" w:tplc="F0102E7A">
      <w:start w:val="1"/>
      <w:numFmt w:val="upperLetter"/>
      <w:lvlText w:val="%1."/>
      <w:lvlJc w:val="left"/>
      <w:pPr>
        <w:ind w:left="1080" w:hanging="360"/>
      </w:pPr>
      <w:rPr>
        <w:rFonts w:hint="default"/>
      </w:rPr>
    </w:lvl>
    <w:lvl w:ilvl="1" w:tplc="097E96B2">
      <w:start w:val="1"/>
      <w:numFmt w:val="decimal"/>
      <w:pStyle w:val="Heading2"/>
      <w:lvlText w:val="%2."/>
      <w:lvlJc w:val="left"/>
      <w:pPr>
        <w:tabs>
          <w:tab w:val="num" w:pos="990"/>
        </w:tabs>
        <w:ind w:left="990" w:hanging="360"/>
      </w:pPr>
    </w:lvl>
    <w:lvl w:ilvl="2" w:tplc="C59201C4">
      <w:start w:val="1"/>
      <w:numFmt w:val="lowerLetter"/>
      <w:pStyle w:val="Heading3"/>
      <w:lvlText w:val="%3."/>
      <w:lvlJc w:val="left"/>
      <w:pPr>
        <w:tabs>
          <w:tab w:val="num" w:pos="3240"/>
        </w:tabs>
        <w:ind w:left="3240" w:hanging="18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3E23146B"/>
    <w:multiLevelType w:val="hybridMultilevel"/>
    <w:tmpl w:val="34D8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B40526"/>
    <w:multiLevelType w:val="hybridMultilevel"/>
    <w:tmpl w:val="3F564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20958E6"/>
    <w:multiLevelType w:val="hybridMultilevel"/>
    <w:tmpl w:val="69820018"/>
    <w:lvl w:ilvl="0" w:tplc="F0102E7A">
      <w:start w:val="1"/>
      <w:numFmt w:val="upperLetter"/>
      <w:lvlText w:val="%1."/>
      <w:lvlJc w:val="left"/>
      <w:pPr>
        <w:ind w:left="1440" w:hanging="360"/>
      </w:pPr>
      <w:rPr>
        <w:rFonts w:hint="default"/>
      </w:rPr>
    </w:lvl>
    <w:lvl w:ilvl="1" w:tplc="76C28650">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8">
    <w:nsid w:val="54A90E58"/>
    <w:multiLevelType w:val="hybridMultilevel"/>
    <w:tmpl w:val="1E9ED936"/>
    <w:lvl w:ilvl="0" w:tplc="DC262628">
      <w:start w:val="1"/>
      <w:numFmt w:val="lowerLetter"/>
      <w:lvlText w:val="%1."/>
      <w:lvlJc w:val="left"/>
      <w:pPr>
        <w:ind w:left="1624" w:hanging="360"/>
      </w:pPr>
      <w:rPr>
        <w:rFonts w:hint="default"/>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9">
    <w:nsid w:val="5B330D57"/>
    <w:multiLevelType w:val="multilevel"/>
    <w:tmpl w:val="E17624E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BF62724"/>
    <w:multiLevelType w:val="hybridMultilevel"/>
    <w:tmpl w:val="EE640656"/>
    <w:lvl w:ilvl="0" w:tplc="A8181048">
      <w:start w:val="2"/>
      <w:numFmt w:val="lowerLetter"/>
      <w:lvlText w:val="%1."/>
      <w:lvlJc w:val="left"/>
      <w:pPr>
        <w:ind w:left="1440" w:hanging="360"/>
      </w:pPr>
      <w:rPr>
        <w:rFonts w:cs="Times New Roman" w:hint="default"/>
      </w:rPr>
    </w:lvl>
    <w:lvl w:ilvl="1" w:tplc="EA6490D2">
      <w:start w:val="2"/>
      <w:numFmt w:val="decimal"/>
      <w:lvlText w:val="%2."/>
      <w:lvlJc w:val="left"/>
      <w:pPr>
        <w:ind w:left="2160" w:hanging="360"/>
      </w:pPr>
      <w:rPr>
        <w:rFonts w:cs="Times New Roman" w:hint="default"/>
      </w:rPr>
    </w:lvl>
    <w:lvl w:ilvl="2" w:tplc="5140742E">
      <w:start w:val="1"/>
      <w:numFmt w:val="lowerRoman"/>
      <w:lvlText w:val="%3."/>
      <w:lvlJc w:val="right"/>
      <w:pPr>
        <w:ind w:left="2880" w:hanging="180"/>
      </w:pPr>
      <w:rPr>
        <w:rFonts w:cs="Times New Roman"/>
      </w:rPr>
    </w:lvl>
    <w:lvl w:ilvl="3" w:tplc="84485C6A">
      <w:start w:val="8"/>
      <w:numFmt w:val="decimal"/>
      <w:lvlText w:val="%4"/>
      <w:lvlJc w:val="left"/>
      <w:pPr>
        <w:ind w:left="3600" w:hanging="360"/>
      </w:pPr>
      <w:rPr>
        <w:rFonts w:hint="default"/>
      </w:rPr>
    </w:lvl>
    <w:lvl w:ilvl="4" w:tplc="CEFAC3C4" w:tentative="1">
      <w:start w:val="1"/>
      <w:numFmt w:val="lowerLetter"/>
      <w:lvlText w:val="%5."/>
      <w:lvlJc w:val="left"/>
      <w:pPr>
        <w:ind w:left="4320" w:hanging="360"/>
      </w:pPr>
      <w:rPr>
        <w:rFonts w:cs="Times New Roman"/>
      </w:rPr>
    </w:lvl>
    <w:lvl w:ilvl="5" w:tplc="D81064AA" w:tentative="1">
      <w:start w:val="1"/>
      <w:numFmt w:val="lowerRoman"/>
      <w:lvlText w:val="%6."/>
      <w:lvlJc w:val="right"/>
      <w:pPr>
        <w:ind w:left="5040" w:hanging="180"/>
      </w:pPr>
      <w:rPr>
        <w:rFonts w:cs="Times New Roman"/>
      </w:rPr>
    </w:lvl>
    <w:lvl w:ilvl="6" w:tplc="485C526E" w:tentative="1">
      <w:start w:val="1"/>
      <w:numFmt w:val="decimal"/>
      <w:lvlText w:val="%7."/>
      <w:lvlJc w:val="left"/>
      <w:pPr>
        <w:ind w:left="5760" w:hanging="360"/>
      </w:pPr>
      <w:rPr>
        <w:rFonts w:cs="Times New Roman"/>
      </w:rPr>
    </w:lvl>
    <w:lvl w:ilvl="7" w:tplc="ABAC8EB2" w:tentative="1">
      <w:start w:val="1"/>
      <w:numFmt w:val="lowerLetter"/>
      <w:lvlText w:val="%8."/>
      <w:lvlJc w:val="left"/>
      <w:pPr>
        <w:ind w:left="6480" w:hanging="360"/>
      </w:pPr>
      <w:rPr>
        <w:rFonts w:cs="Times New Roman"/>
      </w:rPr>
    </w:lvl>
    <w:lvl w:ilvl="8" w:tplc="C9ECD9D2" w:tentative="1">
      <w:start w:val="1"/>
      <w:numFmt w:val="lowerRoman"/>
      <w:lvlText w:val="%9."/>
      <w:lvlJc w:val="right"/>
      <w:pPr>
        <w:ind w:left="7200" w:hanging="180"/>
      </w:pPr>
      <w:rPr>
        <w:rFonts w:cs="Times New Roman"/>
      </w:rPr>
    </w:lvl>
  </w:abstractNum>
  <w:abstractNum w:abstractNumId="31">
    <w:nsid w:val="5D63782B"/>
    <w:multiLevelType w:val="hybridMultilevel"/>
    <w:tmpl w:val="F786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8F68C0"/>
    <w:multiLevelType w:val="hybridMultilevel"/>
    <w:tmpl w:val="B968832A"/>
    <w:lvl w:ilvl="0" w:tplc="D40EBACC">
      <w:start w:val="1"/>
      <w:numFmt w:val="bullet"/>
      <w:lvlText w:val=""/>
      <w:lvlJc w:val="left"/>
      <w:pPr>
        <w:ind w:left="720" w:hanging="360"/>
      </w:pPr>
      <w:rPr>
        <w:rFonts w:ascii="Symbol" w:hAnsi="Symbol" w:hint="default"/>
      </w:rPr>
    </w:lvl>
    <w:lvl w:ilvl="1" w:tplc="F47E20C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92C87836"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nsid w:val="64641230"/>
    <w:multiLevelType w:val="hybridMultilevel"/>
    <w:tmpl w:val="CE809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47471A6"/>
    <w:multiLevelType w:val="hybridMultilevel"/>
    <w:tmpl w:val="60CCCF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6">
    <w:nsid w:val="6A800C19"/>
    <w:multiLevelType w:val="hybridMultilevel"/>
    <w:tmpl w:val="1E9ED936"/>
    <w:lvl w:ilvl="0" w:tplc="DC262628">
      <w:start w:val="1"/>
      <w:numFmt w:val="lowerLetter"/>
      <w:lvlText w:val="%1."/>
      <w:lvlJc w:val="left"/>
      <w:pPr>
        <w:ind w:left="1624" w:hanging="360"/>
      </w:pPr>
      <w:rPr>
        <w:rFonts w:hint="default"/>
      </w:r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37">
    <w:nsid w:val="73414C1E"/>
    <w:multiLevelType w:val="hybridMultilevel"/>
    <w:tmpl w:val="CD527752"/>
    <w:lvl w:ilvl="0" w:tplc="76C28650">
      <w:numFmt w:val="bullet"/>
      <w:lvlText w:val="-"/>
      <w:lvlJc w:val="left"/>
      <w:pPr>
        <w:ind w:left="1440" w:hanging="360"/>
      </w:pPr>
      <w:rPr>
        <w:rFonts w:ascii="Times New Roman" w:eastAsia="Times New Roman" w:hAnsi="Times New Roman" w:cs="Times New Roman" w:hint="default"/>
      </w:rPr>
    </w:lvl>
    <w:lvl w:ilvl="1" w:tplc="76C28650">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num w:numId="1">
    <w:abstractNumId w:val="19"/>
  </w:num>
  <w:num w:numId="2">
    <w:abstractNumId w:val="29"/>
  </w:num>
  <w:num w:numId="3">
    <w:abstractNumId w:val="18"/>
  </w:num>
  <w:num w:numId="4">
    <w:abstractNumId w:val="14"/>
  </w:num>
  <w:num w:numId="5">
    <w:abstractNumId w:val="13"/>
  </w:num>
  <w:num w:numId="6">
    <w:abstractNumId w:val="30"/>
  </w:num>
  <w:num w:numId="7">
    <w:abstractNumId w:val="16"/>
  </w:num>
  <w:num w:numId="8">
    <w:abstractNumId w:val="17"/>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21"/>
  </w:num>
  <w:num w:numId="13">
    <w:abstractNumId w:val="34"/>
  </w:num>
  <w:num w:numId="14">
    <w:abstractNumId w:val="20"/>
  </w:num>
  <w:num w:numId="15">
    <w:abstractNumId w:val="35"/>
  </w:num>
  <w:num w:numId="16">
    <w:abstractNumId w:val="31"/>
  </w:num>
  <w:num w:numId="17">
    <w:abstractNumId w:val="8"/>
  </w:num>
  <w:num w:numId="18">
    <w:abstractNumId w:val="36"/>
  </w:num>
  <w:num w:numId="19">
    <w:abstractNumId w:val="28"/>
  </w:num>
  <w:num w:numId="20">
    <w:abstractNumId w:val="10"/>
  </w:num>
  <w:num w:numId="21">
    <w:abstractNumId w:val="23"/>
  </w:num>
  <w:num w:numId="22">
    <w:abstractNumId w:val="9"/>
  </w:num>
  <w:num w:numId="23">
    <w:abstractNumId w:val="27"/>
  </w:num>
  <w:num w:numId="24">
    <w:abstractNumId w:val="37"/>
  </w:num>
  <w:num w:numId="25">
    <w:abstractNumId w:val="11"/>
  </w:num>
  <w:num w:numId="26">
    <w:abstractNumId w:val="2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2"/>
  </w:num>
  <w:num w:numId="34">
    <w:abstractNumId w:val="24"/>
  </w:num>
  <w:num w:numId="35">
    <w:abstractNumId w:val="25"/>
  </w:num>
  <w:num w:numId="36">
    <w:abstractNumId w:val="32"/>
  </w:num>
  <w:num w:numId="37">
    <w:abstractNumId w:val="15"/>
  </w:num>
  <w:num w:numId="3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1A8"/>
    <w:rsid w:val="00002236"/>
    <w:rsid w:val="00002700"/>
    <w:rsid w:val="00002B1F"/>
    <w:rsid w:val="00003958"/>
    <w:rsid w:val="00004D46"/>
    <w:rsid w:val="00004DA3"/>
    <w:rsid w:val="0000562B"/>
    <w:rsid w:val="000056D7"/>
    <w:rsid w:val="000064C5"/>
    <w:rsid w:val="000068C9"/>
    <w:rsid w:val="00006A86"/>
    <w:rsid w:val="00006DD2"/>
    <w:rsid w:val="00006ECC"/>
    <w:rsid w:val="000071C1"/>
    <w:rsid w:val="00007997"/>
    <w:rsid w:val="00007F8A"/>
    <w:rsid w:val="00010C4F"/>
    <w:rsid w:val="0001147D"/>
    <w:rsid w:val="0001207D"/>
    <w:rsid w:val="00012483"/>
    <w:rsid w:val="000135CF"/>
    <w:rsid w:val="00013B2D"/>
    <w:rsid w:val="00013C7D"/>
    <w:rsid w:val="00014256"/>
    <w:rsid w:val="00014705"/>
    <w:rsid w:val="00014A08"/>
    <w:rsid w:val="00014D25"/>
    <w:rsid w:val="00015145"/>
    <w:rsid w:val="00015CD5"/>
    <w:rsid w:val="00016217"/>
    <w:rsid w:val="000166A8"/>
    <w:rsid w:val="00016DC5"/>
    <w:rsid w:val="0001749A"/>
    <w:rsid w:val="00017C1E"/>
    <w:rsid w:val="000205BE"/>
    <w:rsid w:val="0002110E"/>
    <w:rsid w:val="00021560"/>
    <w:rsid w:val="00021572"/>
    <w:rsid w:val="00022F74"/>
    <w:rsid w:val="00023398"/>
    <w:rsid w:val="00023C08"/>
    <w:rsid w:val="00023CF3"/>
    <w:rsid w:val="00023EA0"/>
    <w:rsid w:val="00024665"/>
    <w:rsid w:val="00024667"/>
    <w:rsid w:val="00025088"/>
    <w:rsid w:val="00025A15"/>
    <w:rsid w:val="00025C8C"/>
    <w:rsid w:val="00025C8F"/>
    <w:rsid w:val="00026991"/>
    <w:rsid w:val="000301B4"/>
    <w:rsid w:val="000307E7"/>
    <w:rsid w:val="0003109E"/>
    <w:rsid w:val="00031E5C"/>
    <w:rsid w:val="0003284A"/>
    <w:rsid w:val="000329F7"/>
    <w:rsid w:val="00033B6D"/>
    <w:rsid w:val="00033DF5"/>
    <w:rsid w:val="00034418"/>
    <w:rsid w:val="00034B40"/>
    <w:rsid w:val="00035515"/>
    <w:rsid w:val="00035743"/>
    <w:rsid w:val="00036070"/>
    <w:rsid w:val="00036511"/>
    <w:rsid w:val="00036819"/>
    <w:rsid w:val="000368B0"/>
    <w:rsid w:val="00036D3F"/>
    <w:rsid w:val="00036D44"/>
    <w:rsid w:val="00037631"/>
    <w:rsid w:val="00037B0E"/>
    <w:rsid w:val="000404D2"/>
    <w:rsid w:val="000404EE"/>
    <w:rsid w:val="00040543"/>
    <w:rsid w:val="00040851"/>
    <w:rsid w:val="00041240"/>
    <w:rsid w:val="00041BE0"/>
    <w:rsid w:val="00042D5D"/>
    <w:rsid w:val="000437E1"/>
    <w:rsid w:val="00043DC0"/>
    <w:rsid w:val="00044904"/>
    <w:rsid w:val="0004539F"/>
    <w:rsid w:val="00045447"/>
    <w:rsid w:val="00045455"/>
    <w:rsid w:val="00045DA9"/>
    <w:rsid w:val="000465B3"/>
    <w:rsid w:val="00046CD1"/>
    <w:rsid w:val="00046F23"/>
    <w:rsid w:val="0004770E"/>
    <w:rsid w:val="000477A7"/>
    <w:rsid w:val="00050C3E"/>
    <w:rsid w:val="0005133B"/>
    <w:rsid w:val="000516A4"/>
    <w:rsid w:val="00052421"/>
    <w:rsid w:val="0005293B"/>
    <w:rsid w:val="00052F28"/>
    <w:rsid w:val="000531FD"/>
    <w:rsid w:val="000539BD"/>
    <w:rsid w:val="00053D57"/>
    <w:rsid w:val="00054DB6"/>
    <w:rsid w:val="00054E68"/>
    <w:rsid w:val="00057E39"/>
    <w:rsid w:val="00060019"/>
    <w:rsid w:val="000604CC"/>
    <w:rsid w:val="00060932"/>
    <w:rsid w:val="00060D38"/>
    <w:rsid w:val="00061193"/>
    <w:rsid w:val="00061737"/>
    <w:rsid w:val="00061BB0"/>
    <w:rsid w:val="00062EF6"/>
    <w:rsid w:val="00063377"/>
    <w:rsid w:val="000644BB"/>
    <w:rsid w:val="00064F6B"/>
    <w:rsid w:val="000650FB"/>
    <w:rsid w:val="000657F7"/>
    <w:rsid w:val="0006599F"/>
    <w:rsid w:val="00065FD8"/>
    <w:rsid w:val="00066744"/>
    <w:rsid w:val="00066B55"/>
    <w:rsid w:val="00066DB4"/>
    <w:rsid w:val="00067205"/>
    <w:rsid w:val="0006754F"/>
    <w:rsid w:val="000675AA"/>
    <w:rsid w:val="00067714"/>
    <w:rsid w:val="0007023C"/>
    <w:rsid w:val="000702A5"/>
    <w:rsid w:val="00070366"/>
    <w:rsid w:val="0007064F"/>
    <w:rsid w:val="00070D9D"/>
    <w:rsid w:val="0007178A"/>
    <w:rsid w:val="0007244B"/>
    <w:rsid w:val="00072A1E"/>
    <w:rsid w:val="00072D1A"/>
    <w:rsid w:val="00073AEF"/>
    <w:rsid w:val="00073C6B"/>
    <w:rsid w:val="00074C4D"/>
    <w:rsid w:val="00075476"/>
    <w:rsid w:val="00076A2B"/>
    <w:rsid w:val="00076AC8"/>
    <w:rsid w:val="000775AB"/>
    <w:rsid w:val="00077EAF"/>
    <w:rsid w:val="00081361"/>
    <w:rsid w:val="00082CE8"/>
    <w:rsid w:val="00083229"/>
    <w:rsid w:val="00083935"/>
    <w:rsid w:val="000841CF"/>
    <w:rsid w:val="00085355"/>
    <w:rsid w:val="00086117"/>
    <w:rsid w:val="00086659"/>
    <w:rsid w:val="0008668A"/>
    <w:rsid w:val="00086AD0"/>
    <w:rsid w:val="000870E5"/>
    <w:rsid w:val="00087971"/>
    <w:rsid w:val="0009020F"/>
    <w:rsid w:val="000907DE"/>
    <w:rsid w:val="00091671"/>
    <w:rsid w:val="00091CEC"/>
    <w:rsid w:val="00092AA2"/>
    <w:rsid w:val="00092C0F"/>
    <w:rsid w:val="00093F25"/>
    <w:rsid w:val="0009412E"/>
    <w:rsid w:val="00094547"/>
    <w:rsid w:val="00096B68"/>
    <w:rsid w:val="000971BA"/>
    <w:rsid w:val="000A000E"/>
    <w:rsid w:val="000A062A"/>
    <w:rsid w:val="000A0DBE"/>
    <w:rsid w:val="000A2219"/>
    <w:rsid w:val="000A270E"/>
    <w:rsid w:val="000A5792"/>
    <w:rsid w:val="000A57B8"/>
    <w:rsid w:val="000A5CE0"/>
    <w:rsid w:val="000A6DCB"/>
    <w:rsid w:val="000A730B"/>
    <w:rsid w:val="000A782D"/>
    <w:rsid w:val="000A7C73"/>
    <w:rsid w:val="000A7DA0"/>
    <w:rsid w:val="000B03CB"/>
    <w:rsid w:val="000B065A"/>
    <w:rsid w:val="000B1069"/>
    <w:rsid w:val="000B168D"/>
    <w:rsid w:val="000B1AB7"/>
    <w:rsid w:val="000B1FFE"/>
    <w:rsid w:val="000B25B8"/>
    <w:rsid w:val="000B25C2"/>
    <w:rsid w:val="000B2955"/>
    <w:rsid w:val="000B364C"/>
    <w:rsid w:val="000B3C21"/>
    <w:rsid w:val="000B3F61"/>
    <w:rsid w:val="000B3F6D"/>
    <w:rsid w:val="000B3FC2"/>
    <w:rsid w:val="000B430C"/>
    <w:rsid w:val="000B470A"/>
    <w:rsid w:val="000B49E9"/>
    <w:rsid w:val="000B4BC3"/>
    <w:rsid w:val="000B50E0"/>
    <w:rsid w:val="000B5F0D"/>
    <w:rsid w:val="000B6A2F"/>
    <w:rsid w:val="000B6CC5"/>
    <w:rsid w:val="000B7228"/>
    <w:rsid w:val="000B7888"/>
    <w:rsid w:val="000B7AC2"/>
    <w:rsid w:val="000C0281"/>
    <w:rsid w:val="000C0A14"/>
    <w:rsid w:val="000C1041"/>
    <w:rsid w:val="000C133C"/>
    <w:rsid w:val="000C133D"/>
    <w:rsid w:val="000C17A7"/>
    <w:rsid w:val="000C26B9"/>
    <w:rsid w:val="000C2F42"/>
    <w:rsid w:val="000C3189"/>
    <w:rsid w:val="000C31CD"/>
    <w:rsid w:val="000C383D"/>
    <w:rsid w:val="000C559D"/>
    <w:rsid w:val="000C63EA"/>
    <w:rsid w:val="000C650A"/>
    <w:rsid w:val="000C6527"/>
    <w:rsid w:val="000D0D78"/>
    <w:rsid w:val="000D0DF5"/>
    <w:rsid w:val="000D11FE"/>
    <w:rsid w:val="000D1AE6"/>
    <w:rsid w:val="000D2493"/>
    <w:rsid w:val="000D2623"/>
    <w:rsid w:val="000D3289"/>
    <w:rsid w:val="000D3840"/>
    <w:rsid w:val="000D3E1A"/>
    <w:rsid w:val="000D4376"/>
    <w:rsid w:val="000D4786"/>
    <w:rsid w:val="000D49B4"/>
    <w:rsid w:val="000D56FE"/>
    <w:rsid w:val="000D623F"/>
    <w:rsid w:val="000D69D6"/>
    <w:rsid w:val="000D6BF1"/>
    <w:rsid w:val="000D7BC4"/>
    <w:rsid w:val="000D7D39"/>
    <w:rsid w:val="000E0289"/>
    <w:rsid w:val="000E06C8"/>
    <w:rsid w:val="000E1906"/>
    <w:rsid w:val="000E1AFD"/>
    <w:rsid w:val="000E1C19"/>
    <w:rsid w:val="000E2746"/>
    <w:rsid w:val="000E32AA"/>
    <w:rsid w:val="000E35F7"/>
    <w:rsid w:val="000E3E35"/>
    <w:rsid w:val="000E3F47"/>
    <w:rsid w:val="000E43A5"/>
    <w:rsid w:val="000E43D5"/>
    <w:rsid w:val="000E4FDD"/>
    <w:rsid w:val="000E54DD"/>
    <w:rsid w:val="000E5B16"/>
    <w:rsid w:val="000E5E67"/>
    <w:rsid w:val="000E779A"/>
    <w:rsid w:val="000E7F26"/>
    <w:rsid w:val="000F0577"/>
    <w:rsid w:val="000F0B44"/>
    <w:rsid w:val="000F1B56"/>
    <w:rsid w:val="000F1E97"/>
    <w:rsid w:val="000F2CAB"/>
    <w:rsid w:val="000F38FB"/>
    <w:rsid w:val="000F3928"/>
    <w:rsid w:val="000F3A15"/>
    <w:rsid w:val="000F3FD1"/>
    <w:rsid w:val="000F4FF9"/>
    <w:rsid w:val="000F578D"/>
    <w:rsid w:val="000F5BB9"/>
    <w:rsid w:val="000F64A4"/>
    <w:rsid w:val="000F68CB"/>
    <w:rsid w:val="000F7F8A"/>
    <w:rsid w:val="001009F0"/>
    <w:rsid w:val="00100F59"/>
    <w:rsid w:val="00102649"/>
    <w:rsid w:val="00102BCC"/>
    <w:rsid w:val="00103195"/>
    <w:rsid w:val="00103979"/>
    <w:rsid w:val="00103C4A"/>
    <w:rsid w:val="00103ED8"/>
    <w:rsid w:val="00104F2C"/>
    <w:rsid w:val="001056CA"/>
    <w:rsid w:val="0010586B"/>
    <w:rsid w:val="00105CFB"/>
    <w:rsid w:val="001067CB"/>
    <w:rsid w:val="001071AB"/>
    <w:rsid w:val="001071B0"/>
    <w:rsid w:val="001079B0"/>
    <w:rsid w:val="001108DD"/>
    <w:rsid w:val="0011094F"/>
    <w:rsid w:val="00111CB1"/>
    <w:rsid w:val="00111E00"/>
    <w:rsid w:val="001136F9"/>
    <w:rsid w:val="001144A0"/>
    <w:rsid w:val="0011452F"/>
    <w:rsid w:val="00114867"/>
    <w:rsid w:val="00115048"/>
    <w:rsid w:val="00115438"/>
    <w:rsid w:val="00115698"/>
    <w:rsid w:val="0011574B"/>
    <w:rsid w:val="001157A9"/>
    <w:rsid w:val="00115984"/>
    <w:rsid w:val="00116312"/>
    <w:rsid w:val="00116D15"/>
    <w:rsid w:val="0011706B"/>
    <w:rsid w:val="00117191"/>
    <w:rsid w:val="0011778A"/>
    <w:rsid w:val="001177DF"/>
    <w:rsid w:val="0011788C"/>
    <w:rsid w:val="00117D29"/>
    <w:rsid w:val="00120034"/>
    <w:rsid w:val="00120BF7"/>
    <w:rsid w:val="001227AB"/>
    <w:rsid w:val="00122D4F"/>
    <w:rsid w:val="00122F99"/>
    <w:rsid w:val="00122FC2"/>
    <w:rsid w:val="00123689"/>
    <w:rsid w:val="001239D8"/>
    <w:rsid w:val="00124110"/>
    <w:rsid w:val="001243E5"/>
    <w:rsid w:val="001244B3"/>
    <w:rsid w:val="00124ABC"/>
    <w:rsid w:val="001254B1"/>
    <w:rsid w:val="0012587A"/>
    <w:rsid w:val="00126614"/>
    <w:rsid w:val="001266C4"/>
    <w:rsid w:val="0012676F"/>
    <w:rsid w:val="00126924"/>
    <w:rsid w:val="00126B41"/>
    <w:rsid w:val="00126B64"/>
    <w:rsid w:val="00126ECD"/>
    <w:rsid w:val="00127B32"/>
    <w:rsid w:val="00130739"/>
    <w:rsid w:val="0013084B"/>
    <w:rsid w:val="00131F0A"/>
    <w:rsid w:val="00132CB2"/>
    <w:rsid w:val="00132CE8"/>
    <w:rsid w:val="0013323A"/>
    <w:rsid w:val="00133361"/>
    <w:rsid w:val="001338DF"/>
    <w:rsid w:val="0013522E"/>
    <w:rsid w:val="00135581"/>
    <w:rsid w:val="001357FA"/>
    <w:rsid w:val="00135DCB"/>
    <w:rsid w:val="00137344"/>
    <w:rsid w:val="001379E1"/>
    <w:rsid w:val="00140597"/>
    <w:rsid w:val="0014155A"/>
    <w:rsid w:val="00142317"/>
    <w:rsid w:val="00142A4B"/>
    <w:rsid w:val="00142E11"/>
    <w:rsid w:val="001431A7"/>
    <w:rsid w:val="001431E7"/>
    <w:rsid w:val="0014339D"/>
    <w:rsid w:val="00143C1C"/>
    <w:rsid w:val="00144325"/>
    <w:rsid w:val="00144A25"/>
    <w:rsid w:val="00145852"/>
    <w:rsid w:val="0014606E"/>
    <w:rsid w:val="0014645F"/>
    <w:rsid w:val="00146944"/>
    <w:rsid w:val="00147448"/>
    <w:rsid w:val="00147D19"/>
    <w:rsid w:val="00150741"/>
    <w:rsid w:val="00150DDD"/>
    <w:rsid w:val="0015184A"/>
    <w:rsid w:val="0015189C"/>
    <w:rsid w:val="00151998"/>
    <w:rsid w:val="00152327"/>
    <w:rsid w:val="001524E2"/>
    <w:rsid w:val="00152766"/>
    <w:rsid w:val="00152AB9"/>
    <w:rsid w:val="00152AD3"/>
    <w:rsid w:val="00152FDD"/>
    <w:rsid w:val="001530C3"/>
    <w:rsid w:val="00153145"/>
    <w:rsid w:val="00153185"/>
    <w:rsid w:val="00153442"/>
    <w:rsid w:val="00153802"/>
    <w:rsid w:val="00154A38"/>
    <w:rsid w:val="00155782"/>
    <w:rsid w:val="00155786"/>
    <w:rsid w:val="001557B6"/>
    <w:rsid w:val="00155890"/>
    <w:rsid w:val="00155D19"/>
    <w:rsid w:val="00155E95"/>
    <w:rsid w:val="00156214"/>
    <w:rsid w:val="00156286"/>
    <w:rsid w:val="00156B48"/>
    <w:rsid w:val="001573A7"/>
    <w:rsid w:val="00160371"/>
    <w:rsid w:val="001606D6"/>
    <w:rsid w:val="00160924"/>
    <w:rsid w:val="00160945"/>
    <w:rsid w:val="00161114"/>
    <w:rsid w:val="00161407"/>
    <w:rsid w:val="001634D8"/>
    <w:rsid w:val="00163C8C"/>
    <w:rsid w:val="00163F95"/>
    <w:rsid w:val="0016414C"/>
    <w:rsid w:val="0016415A"/>
    <w:rsid w:val="00164879"/>
    <w:rsid w:val="001649BA"/>
    <w:rsid w:val="0016557F"/>
    <w:rsid w:val="0016571E"/>
    <w:rsid w:val="00166C12"/>
    <w:rsid w:val="00166D0C"/>
    <w:rsid w:val="00166D14"/>
    <w:rsid w:val="00170C78"/>
    <w:rsid w:val="00170E6A"/>
    <w:rsid w:val="00171804"/>
    <w:rsid w:val="00171DB8"/>
    <w:rsid w:val="00171DD2"/>
    <w:rsid w:val="0017223E"/>
    <w:rsid w:val="00172D0C"/>
    <w:rsid w:val="00173838"/>
    <w:rsid w:val="001743C6"/>
    <w:rsid w:val="0017561E"/>
    <w:rsid w:val="00176538"/>
    <w:rsid w:val="00176A41"/>
    <w:rsid w:val="00176DD2"/>
    <w:rsid w:val="001775C0"/>
    <w:rsid w:val="00177F97"/>
    <w:rsid w:val="00180041"/>
    <w:rsid w:val="001804B1"/>
    <w:rsid w:val="001804D1"/>
    <w:rsid w:val="00180AF6"/>
    <w:rsid w:val="00181271"/>
    <w:rsid w:val="00181CAB"/>
    <w:rsid w:val="0018210B"/>
    <w:rsid w:val="00182118"/>
    <w:rsid w:val="0018259F"/>
    <w:rsid w:val="001835D7"/>
    <w:rsid w:val="00183D81"/>
    <w:rsid w:val="00184E6B"/>
    <w:rsid w:val="001851EB"/>
    <w:rsid w:val="0018530D"/>
    <w:rsid w:val="00185923"/>
    <w:rsid w:val="00186D4C"/>
    <w:rsid w:val="00186DED"/>
    <w:rsid w:val="00187ACD"/>
    <w:rsid w:val="001904CA"/>
    <w:rsid w:val="001907BC"/>
    <w:rsid w:val="00191433"/>
    <w:rsid w:val="00191509"/>
    <w:rsid w:val="00191E9C"/>
    <w:rsid w:val="001924FF"/>
    <w:rsid w:val="0019274B"/>
    <w:rsid w:val="00193015"/>
    <w:rsid w:val="00193DCC"/>
    <w:rsid w:val="00193DD9"/>
    <w:rsid w:val="00193F8B"/>
    <w:rsid w:val="001950D7"/>
    <w:rsid w:val="00195334"/>
    <w:rsid w:val="00195846"/>
    <w:rsid w:val="001963A7"/>
    <w:rsid w:val="00196C16"/>
    <w:rsid w:val="001A054D"/>
    <w:rsid w:val="001A1405"/>
    <w:rsid w:val="001A3918"/>
    <w:rsid w:val="001A3CD4"/>
    <w:rsid w:val="001A4428"/>
    <w:rsid w:val="001A4442"/>
    <w:rsid w:val="001A52A8"/>
    <w:rsid w:val="001A5D8D"/>
    <w:rsid w:val="001A6144"/>
    <w:rsid w:val="001A6277"/>
    <w:rsid w:val="001A6328"/>
    <w:rsid w:val="001A671D"/>
    <w:rsid w:val="001A6C33"/>
    <w:rsid w:val="001A6F28"/>
    <w:rsid w:val="001A7065"/>
    <w:rsid w:val="001A7ECA"/>
    <w:rsid w:val="001B090F"/>
    <w:rsid w:val="001B096F"/>
    <w:rsid w:val="001B0D0F"/>
    <w:rsid w:val="001B1193"/>
    <w:rsid w:val="001B13AE"/>
    <w:rsid w:val="001B356A"/>
    <w:rsid w:val="001B35DB"/>
    <w:rsid w:val="001B3AF9"/>
    <w:rsid w:val="001B4AEF"/>
    <w:rsid w:val="001B5343"/>
    <w:rsid w:val="001B5431"/>
    <w:rsid w:val="001B5986"/>
    <w:rsid w:val="001B5D9D"/>
    <w:rsid w:val="001B77EF"/>
    <w:rsid w:val="001B792F"/>
    <w:rsid w:val="001B794B"/>
    <w:rsid w:val="001C0B0F"/>
    <w:rsid w:val="001C10CB"/>
    <w:rsid w:val="001C14FE"/>
    <w:rsid w:val="001C1602"/>
    <w:rsid w:val="001C1A71"/>
    <w:rsid w:val="001C2603"/>
    <w:rsid w:val="001C32A7"/>
    <w:rsid w:val="001C3409"/>
    <w:rsid w:val="001C3516"/>
    <w:rsid w:val="001C3BFB"/>
    <w:rsid w:val="001C3C83"/>
    <w:rsid w:val="001C4137"/>
    <w:rsid w:val="001C483E"/>
    <w:rsid w:val="001C4CDA"/>
    <w:rsid w:val="001C4DEE"/>
    <w:rsid w:val="001C568A"/>
    <w:rsid w:val="001C5C35"/>
    <w:rsid w:val="001C6283"/>
    <w:rsid w:val="001C6C06"/>
    <w:rsid w:val="001C7180"/>
    <w:rsid w:val="001C735C"/>
    <w:rsid w:val="001C7770"/>
    <w:rsid w:val="001C7BE3"/>
    <w:rsid w:val="001D006E"/>
    <w:rsid w:val="001D0AED"/>
    <w:rsid w:val="001D0E45"/>
    <w:rsid w:val="001D105E"/>
    <w:rsid w:val="001D1D9F"/>
    <w:rsid w:val="001D24BC"/>
    <w:rsid w:val="001D27DD"/>
    <w:rsid w:val="001D3393"/>
    <w:rsid w:val="001D3DC6"/>
    <w:rsid w:val="001D4604"/>
    <w:rsid w:val="001D493E"/>
    <w:rsid w:val="001D4BC4"/>
    <w:rsid w:val="001D6284"/>
    <w:rsid w:val="001D680B"/>
    <w:rsid w:val="001D6981"/>
    <w:rsid w:val="001D6CFC"/>
    <w:rsid w:val="001D6D0F"/>
    <w:rsid w:val="001D7025"/>
    <w:rsid w:val="001D782C"/>
    <w:rsid w:val="001D7BF6"/>
    <w:rsid w:val="001D7F88"/>
    <w:rsid w:val="001E0927"/>
    <w:rsid w:val="001E0AA3"/>
    <w:rsid w:val="001E0C0F"/>
    <w:rsid w:val="001E175D"/>
    <w:rsid w:val="001E20A6"/>
    <w:rsid w:val="001E20E3"/>
    <w:rsid w:val="001E2639"/>
    <w:rsid w:val="001E2909"/>
    <w:rsid w:val="001E31AC"/>
    <w:rsid w:val="001E3631"/>
    <w:rsid w:val="001E491A"/>
    <w:rsid w:val="001E4E98"/>
    <w:rsid w:val="001E54C9"/>
    <w:rsid w:val="001E5D86"/>
    <w:rsid w:val="001E63BB"/>
    <w:rsid w:val="001E67EB"/>
    <w:rsid w:val="001E7082"/>
    <w:rsid w:val="001E7A49"/>
    <w:rsid w:val="001E7FAC"/>
    <w:rsid w:val="001F087F"/>
    <w:rsid w:val="001F196C"/>
    <w:rsid w:val="001F1FD9"/>
    <w:rsid w:val="001F27F6"/>
    <w:rsid w:val="001F2925"/>
    <w:rsid w:val="001F2AB2"/>
    <w:rsid w:val="001F33C7"/>
    <w:rsid w:val="001F3B21"/>
    <w:rsid w:val="001F3C27"/>
    <w:rsid w:val="001F408F"/>
    <w:rsid w:val="001F4221"/>
    <w:rsid w:val="001F422D"/>
    <w:rsid w:val="001F4387"/>
    <w:rsid w:val="001F4746"/>
    <w:rsid w:val="001F4877"/>
    <w:rsid w:val="001F4E16"/>
    <w:rsid w:val="001F5506"/>
    <w:rsid w:val="001F5D38"/>
    <w:rsid w:val="001F6524"/>
    <w:rsid w:val="001F6A13"/>
    <w:rsid w:val="001F6B92"/>
    <w:rsid w:val="001F742B"/>
    <w:rsid w:val="001F7F27"/>
    <w:rsid w:val="002012F3"/>
    <w:rsid w:val="00201EEE"/>
    <w:rsid w:val="0020207E"/>
    <w:rsid w:val="00202AC1"/>
    <w:rsid w:val="00202FC3"/>
    <w:rsid w:val="0020337A"/>
    <w:rsid w:val="002034C4"/>
    <w:rsid w:val="00203BC3"/>
    <w:rsid w:val="00204171"/>
    <w:rsid w:val="002041BB"/>
    <w:rsid w:val="00204956"/>
    <w:rsid w:val="002055CF"/>
    <w:rsid w:val="002057EC"/>
    <w:rsid w:val="00205C54"/>
    <w:rsid w:val="00206E51"/>
    <w:rsid w:val="00207395"/>
    <w:rsid w:val="00207B57"/>
    <w:rsid w:val="00207E88"/>
    <w:rsid w:val="002102E3"/>
    <w:rsid w:val="00210E6E"/>
    <w:rsid w:val="00211048"/>
    <w:rsid w:val="002125FD"/>
    <w:rsid w:val="00212E18"/>
    <w:rsid w:val="0021371D"/>
    <w:rsid w:val="00213F6A"/>
    <w:rsid w:val="00214BB6"/>
    <w:rsid w:val="0021599F"/>
    <w:rsid w:val="0021656C"/>
    <w:rsid w:val="00216885"/>
    <w:rsid w:val="00217AAD"/>
    <w:rsid w:val="00217BDD"/>
    <w:rsid w:val="00220EFA"/>
    <w:rsid w:val="002210E9"/>
    <w:rsid w:val="00221348"/>
    <w:rsid w:val="0022144B"/>
    <w:rsid w:val="00221C87"/>
    <w:rsid w:val="00221DEF"/>
    <w:rsid w:val="00222325"/>
    <w:rsid w:val="00222853"/>
    <w:rsid w:val="002233A7"/>
    <w:rsid w:val="00223484"/>
    <w:rsid w:val="00223FD3"/>
    <w:rsid w:val="002241E3"/>
    <w:rsid w:val="00224294"/>
    <w:rsid w:val="0022433D"/>
    <w:rsid w:val="002249E0"/>
    <w:rsid w:val="00224A40"/>
    <w:rsid w:val="00224E6A"/>
    <w:rsid w:val="00225715"/>
    <w:rsid w:val="002263C7"/>
    <w:rsid w:val="00226504"/>
    <w:rsid w:val="00227366"/>
    <w:rsid w:val="002279F5"/>
    <w:rsid w:val="00227E65"/>
    <w:rsid w:val="002302A0"/>
    <w:rsid w:val="00230393"/>
    <w:rsid w:val="00230681"/>
    <w:rsid w:val="00230832"/>
    <w:rsid w:val="00230C88"/>
    <w:rsid w:val="00230E47"/>
    <w:rsid w:val="00231ABE"/>
    <w:rsid w:val="00231E30"/>
    <w:rsid w:val="002320FF"/>
    <w:rsid w:val="00232B72"/>
    <w:rsid w:val="00232D74"/>
    <w:rsid w:val="00232D77"/>
    <w:rsid w:val="002337AC"/>
    <w:rsid w:val="002346ED"/>
    <w:rsid w:val="00234FBE"/>
    <w:rsid w:val="0023549E"/>
    <w:rsid w:val="00235AFA"/>
    <w:rsid w:val="00236014"/>
    <w:rsid w:val="0023649F"/>
    <w:rsid w:val="0023692E"/>
    <w:rsid w:val="00240A6F"/>
    <w:rsid w:val="00240BFA"/>
    <w:rsid w:val="0024196D"/>
    <w:rsid w:val="00241D5E"/>
    <w:rsid w:val="00242A24"/>
    <w:rsid w:val="00242FA4"/>
    <w:rsid w:val="00243AA4"/>
    <w:rsid w:val="00243B79"/>
    <w:rsid w:val="002442A7"/>
    <w:rsid w:val="002447B5"/>
    <w:rsid w:val="00244B03"/>
    <w:rsid w:val="00244F84"/>
    <w:rsid w:val="00245507"/>
    <w:rsid w:val="00245677"/>
    <w:rsid w:val="002456CD"/>
    <w:rsid w:val="0024588E"/>
    <w:rsid w:val="00245C48"/>
    <w:rsid w:val="002462DD"/>
    <w:rsid w:val="00246715"/>
    <w:rsid w:val="00247B2F"/>
    <w:rsid w:val="00247CC5"/>
    <w:rsid w:val="00247F40"/>
    <w:rsid w:val="00251A03"/>
    <w:rsid w:val="00251D8E"/>
    <w:rsid w:val="00252035"/>
    <w:rsid w:val="00252225"/>
    <w:rsid w:val="00252791"/>
    <w:rsid w:val="00252A45"/>
    <w:rsid w:val="00254A89"/>
    <w:rsid w:val="00254B2B"/>
    <w:rsid w:val="00254BA2"/>
    <w:rsid w:val="00254CED"/>
    <w:rsid w:val="00254DAC"/>
    <w:rsid w:val="00255253"/>
    <w:rsid w:val="0025562C"/>
    <w:rsid w:val="00255CBA"/>
    <w:rsid w:val="00256013"/>
    <w:rsid w:val="00256245"/>
    <w:rsid w:val="00256957"/>
    <w:rsid w:val="0025744B"/>
    <w:rsid w:val="00257621"/>
    <w:rsid w:val="00257729"/>
    <w:rsid w:val="00257C45"/>
    <w:rsid w:val="0026023B"/>
    <w:rsid w:val="00260577"/>
    <w:rsid w:val="00261A0E"/>
    <w:rsid w:val="002621C2"/>
    <w:rsid w:val="0026274A"/>
    <w:rsid w:val="00262A02"/>
    <w:rsid w:val="00262A30"/>
    <w:rsid w:val="00263712"/>
    <w:rsid w:val="00263B07"/>
    <w:rsid w:val="00263B64"/>
    <w:rsid w:val="00263D6A"/>
    <w:rsid w:val="00264DFF"/>
    <w:rsid w:val="002656C7"/>
    <w:rsid w:val="0026582B"/>
    <w:rsid w:val="00265D69"/>
    <w:rsid w:val="0026646C"/>
    <w:rsid w:val="00266A4B"/>
    <w:rsid w:val="00266B75"/>
    <w:rsid w:val="0026703F"/>
    <w:rsid w:val="0026782A"/>
    <w:rsid w:val="00267DEE"/>
    <w:rsid w:val="00267F90"/>
    <w:rsid w:val="0027047D"/>
    <w:rsid w:val="00271F23"/>
    <w:rsid w:val="002729E7"/>
    <w:rsid w:val="00272C43"/>
    <w:rsid w:val="0027343C"/>
    <w:rsid w:val="00273781"/>
    <w:rsid w:val="002737D4"/>
    <w:rsid w:val="00273AE8"/>
    <w:rsid w:val="00273B93"/>
    <w:rsid w:val="002749F4"/>
    <w:rsid w:val="00274F76"/>
    <w:rsid w:val="00274FD1"/>
    <w:rsid w:val="002751CD"/>
    <w:rsid w:val="002758DC"/>
    <w:rsid w:val="00275919"/>
    <w:rsid w:val="00276061"/>
    <w:rsid w:val="0027610A"/>
    <w:rsid w:val="002764D4"/>
    <w:rsid w:val="00276758"/>
    <w:rsid w:val="00277039"/>
    <w:rsid w:val="00280124"/>
    <w:rsid w:val="0028098C"/>
    <w:rsid w:val="00281220"/>
    <w:rsid w:val="00282465"/>
    <w:rsid w:val="00282B92"/>
    <w:rsid w:val="002834E4"/>
    <w:rsid w:val="002840D9"/>
    <w:rsid w:val="0028476A"/>
    <w:rsid w:val="00284771"/>
    <w:rsid w:val="002849B7"/>
    <w:rsid w:val="00285517"/>
    <w:rsid w:val="00285A1E"/>
    <w:rsid w:val="002865AE"/>
    <w:rsid w:val="00286C3F"/>
    <w:rsid w:val="00286EE5"/>
    <w:rsid w:val="00286EF9"/>
    <w:rsid w:val="00287782"/>
    <w:rsid w:val="002879B6"/>
    <w:rsid w:val="0029035C"/>
    <w:rsid w:val="00290396"/>
    <w:rsid w:val="00290768"/>
    <w:rsid w:val="00290FA2"/>
    <w:rsid w:val="002913C3"/>
    <w:rsid w:val="002935A2"/>
    <w:rsid w:val="002936F5"/>
    <w:rsid w:val="00294D8A"/>
    <w:rsid w:val="0029500C"/>
    <w:rsid w:val="00295C11"/>
    <w:rsid w:val="002962DF"/>
    <w:rsid w:val="002966E1"/>
    <w:rsid w:val="00296B80"/>
    <w:rsid w:val="00296F54"/>
    <w:rsid w:val="002A076F"/>
    <w:rsid w:val="002A1F90"/>
    <w:rsid w:val="002A29C7"/>
    <w:rsid w:val="002A29DE"/>
    <w:rsid w:val="002A2ABC"/>
    <w:rsid w:val="002A2B44"/>
    <w:rsid w:val="002A3407"/>
    <w:rsid w:val="002A442C"/>
    <w:rsid w:val="002A5CD2"/>
    <w:rsid w:val="002A63BB"/>
    <w:rsid w:val="002A6C43"/>
    <w:rsid w:val="002A6D0A"/>
    <w:rsid w:val="002A72F8"/>
    <w:rsid w:val="002A78C6"/>
    <w:rsid w:val="002A7A47"/>
    <w:rsid w:val="002B0795"/>
    <w:rsid w:val="002B09C6"/>
    <w:rsid w:val="002B164B"/>
    <w:rsid w:val="002B1E92"/>
    <w:rsid w:val="002B3613"/>
    <w:rsid w:val="002B3B43"/>
    <w:rsid w:val="002B3FCA"/>
    <w:rsid w:val="002B4186"/>
    <w:rsid w:val="002B53AE"/>
    <w:rsid w:val="002B5715"/>
    <w:rsid w:val="002B59B2"/>
    <w:rsid w:val="002B5C03"/>
    <w:rsid w:val="002B64D5"/>
    <w:rsid w:val="002B6B53"/>
    <w:rsid w:val="002B6D06"/>
    <w:rsid w:val="002B73FE"/>
    <w:rsid w:val="002C0158"/>
    <w:rsid w:val="002C0A0F"/>
    <w:rsid w:val="002C227E"/>
    <w:rsid w:val="002C2499"/>
    <w:rsid w:val="002C2EBD"/>
    <w:rsid w:val="002C3450"/>
    <w:rsid w:val="002C351A"/>
    <w:rsid w:val="002C406E"/>
    <w:rsid w:val="002C4CA0"/>
    <w:rsid w:val="002C506A"/>
    <w:rsid w:val="002C5916"/>
    <w:rsid w:val="002C592D"/>
    <w:rsid w:val="002C593F"/>
    <w:rsid w:val="002C6364"/>
    <w:rsid w:val="002C65E7"/>
    <w:rsid w:val="002C68D4"/>
    <w:rsid w:val="002C701C"/>
    <w:rsid w:val="002D01E9"/>
    <w:rsid w:val="002D0AF0"/>
    <w:rsid w:val="002D0F26"/>
    <w:rsid w:val="002D2097"/>
    <w:rsid w:val="002D2120"/>
    <w:rsid w:val="002D24EF"/>
    <w:rsid w:val="002D301B"/>
    <w:rsid w:val="002D3439"/>
    <w:rsid w:val="002D3F55"/>
    <w:rsid w:val="002D44C3"/>
    <w:rsid w:val="002D490C"/>
    <w:rsid w:val="002D499A"/>
    <w:rsid w:val="002D4C3B"/>
    <w:rsid w:val="002D5061"/>
    <w:rsid w:val="002D5513"/>
    <w:rsid w:val="002D552F"/>
    <w:rsid w:val="002D5D3B"/>
    <w:rsid w:val="002D5D82"/>
    <w:rsid w:val="002D6E82"/>
    <w:rsid w:val="002D6F61"/>
    <w:rsid w:val="002D7219"/>
    <w:rsid w:val="002D7919"/>
    <w:rsid w:val="002D7ABF"/>
    <w:rsid w:val="002D7E3C"/>
    <w:rsid w:val="002E0200"/>
    <w:rsid w:val="002E0779"/>
    <w:rsid w:val="002E0E8F"/>
    <w:rsid w:val="002E100A"/>
    <w:rsid w:val="002E164E"/>
    <w:rsid w:val="002E2618"/>
    <w:rsid w:val="002E2CBB"/>
    <w:rsid w:val="002E2D50"/>
    <w:rsid w:val="002E33FB"/>
    <w:rsid w:val="002E3805"/>
    <w:rsid w:val="002E3981"/>
    <w:rsid w:val="002E3C1C"/>
    <w:rsid w:val="002E5421"/>
    <w:rsid w:val="002E57E0"/>
    <w:rsid w:val="002E593E"/>
    <w:rsid w:val="002E5D7C"/>
    <w:rsid w:val="002E5EE0"/>
    <w:rsid w:val="002E6461"/>
    <w:rsid w:val="002E65D3"/>
    <w:rsid w:val="002E6B0A"/>
    <w:rsid w:val="002E6C81"/>
    <w:rsid w:val="002E7552"/>
    <w:rsid w:val="002E77FE"/>
    <w:rsid w:val="002E7AF2"/>
    <w:rsid w:val="002E7B43"/>
    <w:rsid w:val="002F0B68"/>
    <w:rsid w:val="002F0C5D"/>
    <w:rsid w:val="002F0C9D"/>
    <w:rsid w:val="002F0D15"/>
    <w:rsid w:val="002F26D0"/>
    <w:rsid w:val="002F3813"/>
    <w:rsid w:val="002F3ACF"/>
    <w:rsid w:val="002F3DCD"/>
    <w:rsid w:val="002F41C9"/>
    <w:rsid w:val="002F46F4"/>
    <w:rsid w:val="002F4A39"/>
    <w:rsid w:val="002F580B"/>
    <w:rsid w:val="002F6112"/>
    <w:rsid w:val="002F6A0B"/>
    <w:rsid w:val="002F6E82"/>
    <w:rsid w:val="002F6FD9"/>
    <w:rsid w:val="002F7049"/>
    <w:rsid w:val="002F7752"/>
    <w:rsid w:val="002F7A2D"/>
    <w:rsid w:val="003000FB"/>
    <w:rsid w:val="00300E80"/>
    <w:rsid w:val="00301AF5"/>
    <w:rsid w:val="00302C4B"/>
    <w:rsid w:val="0030344A"/>
    <w:rsid w:val="00303C23"/>
    <w:rsid w:val="00303C33"/>
    <w:rsid w:val="00303EB5"/>
    <w:rsid w:val="0030432F"/>
    <w:rsid w:val="00304D50"/>
    <w:rsid w:val="00304DDE"/>
    <w:rsid w:val="00305319"/>
    <w:rsid w:val="00305675"/>
    <w:rsid w:val="003058BD"/>
    <w:rsid w:val="00305DE4"/>
    <w:rsid w:val="003067C0"/>
    <w:rsid w:val="003069C3"/>
    <w:rsid w:val="00307021"/>
    <w:rsid w:val="003070E3"/>
    <w:rsid w:val="003072A5"/>
    <w:rsid w:val="0030760F"/>
    <w:rsid w:val="00307D92"/>
    <w:rsid w:val="003107A4"/>
    <w:rsid w:val="00310CD3"/>
    <w:rsid w:val="003116F8"/>
    <w:rsid w:val="0031203F"/>
    <w:rsid w:val="0031253A"/>
    <w:rsid w:val="0031285D"/>
    <w:rsid w:val="003129AB"/>
    <w:rsid w:val="00313F8E"/>
    <w:rsid w:val="00314C6C"/>
    <w:rsid w:val="003150F2"/>
    <w:rsid w:val="00315729"/>
    <w:rsid w:val="003159E9"/>
    <w:rsid w:val="00316BBE"/>
    <w:rsid w:val="0031755F"/>
    <w:rsid w:val="00317CE8"/>
    <w:rsid w:val="00321007"/>
    <w:rsid w:val="00321169"/>
    <w:rsid w:val="003212F5"/>
    <w:rsid w:val="00321E70"/>
    <w:rsid w:val="003224F8"/>
    <w:rsid w:val="0032258C"/>
    <w:rsid w:val="003225CF"/>
    <w:rsid w:val="00322FF8"/>
    <w:rsid w:val="00323DED"/>
    <w:rsid w:val="003247F6"/>
    <w:rsid w:val="00324CE0"/>
    <w:rsid w:val="00324DC7"/>
    <w:rsid w:val="0032537F"/>
    <w:rsid w:val="00325566"/>
    <w:rsid w:val="00325D45"/>
    <w:rsid w:val="00325E1D"/>
    <w:rsid w:val="003260E3"/>
    <w:rsid w:val="003261CB"/>
    <w:rsid w:val="003268B6"/>
    <w:rsid w:val="003301DA"/>
    <w:rsid w:val="003308DD"/>
    <w:rsid w:val="003314B0"/>
    <w:rsid w:val="0033203F"/>
    <w:rsid w:val="003320AE"/>
    <w:rsid w:val="0033269A"/>
    <w:rsid w:val="00332C07"/>
    <w:rsid w:val="0033333D"/>
    <w:rsid w:val="003344D6"/>
    <w:rsid w:val="00334BA3"/>
    <w:rsid w:val="0033601E"/>
    <w:rsid w:val="00336346"/>
    <w:rsid w:val="00336445"/>
    <w:rsid w:val="003365B9"/>
    <w:rsid w:val="00336B0B"/>
    <w:rsid w:val="00337634"/>
    <w:rsid w:val="003377C0"/>
    <w:rsid w:val="00337824"/>
    <w:rsid w:val="00337CC0"/>
    <w:rsid w:val="003408E4"/>
    <w:rsid w:val="00340A75"/>
    <w:rsid w:val="00341826"/>
    <w:rsid w:val="00341EC4"/>
    <w:rsid w:val="00342008"/>
    <w:rsid w:val="00342CBB"/>
    <w:rsid w:val="0034372C"/>
    <w:rsid w:val="00344210"/>
    <w:rsid w:val="00345805"/>
    <w:rsid w:val="00345816"/>
    <w:rsid w:val="00346186"/>
    <w:rsid w:val="00346705"/>
    <w:rsid w:val="00346759"/>
    <w:rsid w:val="00346809"/>
    <w:rsid w:val="00346A85"/>
    <w:rsid w:val="00352A1B"/>
    <w:rsid w:val="00352ACC"/>
    <w:rsid w:val="00352DF8"/>
    <w:rsid w:val="00353DA4"/>
    <w:rsid w:val="00353E3A"/>
    <w:rsid w:val="00354128"/>
    <w:rsid w:val="0035558C"/>
    <w:rsid w:val="00355B01"/>
    <w:rsid w:val="003564AC"/>
    <w:rsid w:val="00356870"/>
    <w:rsid w:val="003568FD"/>
    <w:rsid w:val="00356B34"/>
    <w:rsid w:val="00356ECF"/>
    <w:rsid w:val="003571BE"/>
    <w:rsid w:val="0036034E"/>
    <w:rsid w:val="00360E0F"/>
    <w:rsid w:val="00360EC9"/>
    <w:rsid w:val="00361862"/>
    <w:rsid w:val="00361BD5"/>
    <w:rsid w:val="003626B6"/>
    <w:rsid w:val="003628C0"/>
    <w:rsid w:val="0036420F"/>
    <w:rsid w:val="00365502"/>
    <w:rsid w:val="00366169"/>
    <w:rsid w:val="00366A33"/>
    <w:rsid w:val="003673A2"/>
    <w:rsid w:val="0037024A"/>
    <w:rsid w:val="0037064A"/>
    <w:rsid w:val="00370BEE"/>
    <w:rsid w:val="00370E12"/>
    <w:rsid w:val="0037119B"/>
    <w:rsid w:val="003712B0"/>
    <w:rsid w:val="00372745"/>
    <w:rsid w:val="0037284D"/>
    <w:rsid w:val="003753EF"/>
    <w:rsid w:val="00375850"/>
    <w:rsid w:val="00376083"/>
    <w:rsid w:val="003762EE"/>
    <w:rsid w:val="0037768A"/>
    <w:rsid w:val="0037783B"/>
    <w:rsid w:val="00377974"/>
    <w:rsid w:val="00377A8B"/>
    <w:rsid w:val="00377C87"/>
    <w:rsid w:val="00381988"/>
    <w:rsid w:val="00381E63"/>
    <w:rsid w:val="0038211A"/>
    <w:rsid w:val="00382A49"/>
    <w:rsid w:val="00382BC3"/>
    <w:rsid w:val="003837CA"/>
    <w:rsid w:val="00383B17"/>
    <w:rsid w:val="003851CC"/>
    <w:rsid w:val="0038548A"/>
    <w:rsid w:val="00385C85"/>
    <w:rsid w:val="00385E18"/>
    <w:rsid w:val="00385F2F"/>
    <w:rsid w:val="00386221"/>
    <w:rsid w:val="00386DC4"/>
    <w:rsid w:val="00387262"/>
    <w:rsid w:val="00387444"/>
    <w:rsid w:val="00387543"/>
    <w:rsid w:val="00387AEC"/>
    <w:rsid w:val="00387DB4"/>
    <w:rsid w:val="0039035E"/>
    <w:rsid w:val="003904AC"/>
    <w:rsid w:val="00390668"/>
    <w:rsid w:val="003911C3"/>
    <w:rsid w:val="003917D4"/>
    <w:rsid w:val="00391C26"/>
    <w:rsid w:val="00391C33"/>
    <w:rsid w:val="00393429"/>
    <w:rsid w:val="0039385A"/>
    <w:rsid w:val="003939C7"/>
    <w:rsid w:val="00394643"/>
    <w:rsid w:val="00394B26"/>
    <w:rsid w:val="00394BB0"/>
    <w:rsid w:val="00394BC9"/>
    <w:rsid w:val="00394C8C"/>
    <w:rsid w:val="0039527D"/>
    <w:rsid w:val="0039579D"/>
    <w:rsid w:val="0039612A"/>
    <w:rsid w:val="003967B8"/>
    <w:rsid w:val="00396C0D"/>
    <w:rsid w:val="00396D61"/>
    <w:rsid w:val="00396F06"/>
    <w:rsid w:val="00397250"/>
    <w:rsid w:val="003973AE"/>
    <w:rsid w:val="003975AD"/>
    <w:rsid w:val="00397BF1"/>
    <w:rsid w:val="003A0B06"/>
    <w:rsid w:val="003A1A03"/>
    <w:rsid w:val="003A1C79"/>
    <w:rsid w:val="003A34FF"/>
    <w:rsid w:val="003A41C7"/>
    <w:rsid w:val="003A4546"/>
    <w:rsid w:val="003A5435"/>
    <w:rsid w:val="003A75A0"/>
    <w:rsid w:val="003A75FA"/>
    <w:rsid w:val="003A777D"/>
    <w:rsid w:val="003B006D"/>
    <w:rsid w:val="003B008F"/>
    <w:rsid w:val="003B069A"/>
    <w:rsid w:val="003B0C51"/>
    <w:rsid w:val="003B0D7B"/>
    <w:rsid w:val="003B0DFB"/>
    <w:rsid w:val="003B0E9F"/>
    <w:rsid w:val="003B1449"/>
    <w:rsid w:val="003B1559"/>
    <w:rsid w:val="003B1D84"/>
    <w:rsid w:val="003B1EB1"/>
    <w:rsid w:val="003B2440"/>
    <w:rsid w:val="003B2F9A"/>
    <w:rsid w:val="003B3267"/>
    <w:rsid w:val="003B32CA"/>
    <w:rsid w:val="003B3F41"/>
    <w:rsid w:val="003B42B8"/>
    <w:rsid w:val="003B48DF"/>
    <w:rsid w:val="003B4B55"/>
    <w:rsid w:val="003B4D95"/>
    <w:rsid w:val="003B6824"/>
    <w:rsid w:val="003B6B60"/>
    <w:rsid w:val="003B6F9D"/>
    <w:rsid w:val="003B735A"/>
    <w:rsid w:val="003B794A"/>
    <w:rsid w:val="003B7A12"/>
    <w:rsid w:val="003B7E77"/>
    <w:rsid w:val="003C0312"/>
    <w:rsid w:val="003C041C"/>
    <w:rsid w:val="003C0753"/>
    <w:rsid w:val="003C0D93"/>
    <w:rsid w:val="003C0F7E"/>
    <w:rsid w:val="003C0FCB"/>
    <w:rsid w:val="003C22EC"/>
    <w:rsid w:val="003C243E"/>
    <w:rsid w:val="003C28A9"/>
    <w:rsid w:val="003C2C6A"/>
    <w:rsid w:val="003C3249"/>
    <w:rsid w:val="003C34A2"/>
    <w:rsid w:val="003C3951"/>
    <w:rsid w:val="003C3B5B"/>
    <w:rsid w:val="003C4018"/>
    <w:rsid w:val="003C40DE"/>
    <w:rsid w:val="003C42F0"/>
    <w:rsid w:val="003C468E"/>
    <w:rsid w:val="003C499F"/>
    <w:rsid w:val="003C4D48"/>
    <w:rsid w:val="003C58F3"/>
    <w:rsid w:val="003C6094"/>
    <w:rsid w:val="003C63C9"/>
    <w:rsid w:val="003C6733"/>
    <w:rsid w:val="003C6C82"/>
    <w:rsid w:val="003C6D2B"/>
    <w:rsid w:val="003C75FE"/>
    <w:rsid w:val="003C76EC"/>
    <w:rsid w:val="003C7C54"/>
    <w:rsid w:val="003C7D6C"/>
    <w:rsid w:val="003D0197"/>
    <w:rsid w:val="003D07A8"/>
    <w:rsid w:val="003D0A0E"/>
    <w:rsid w:val="003D0CAA"/>
    <w:rsid w:val="003D10CC"/>
    <w:rsid w:val="003D1722"/>
    <w:rsid w:val="003D199D"/>
    <w:rsid w:val="003D1F23"/>
    <w:rsid w:val="003D3026"/>
    <w:rsid w:val="003D350D"/>
    <w:rsid w:val="003D3986"/>
    <w:rsid w:val="003D3B20"/>
    <w:rsid w:val="003D3EEA"/>
    <w:rsid w:val="003D4073"/>
    <w:rsid w:val="003D4B37"/>
    <w:rsid w:val="003D51D3"/>
    <w:rsid w:val="003D5F22"/>
    <w:rsid w:val="003D6455"/>
    <w:rsid w:val="003D6BDB"/>
    <w:rsid w:val="003D6EFA"/>
    <w:rsid w:val="003D7238"/>
    <w:rsid w:val="003D7955"/>
    <w:rsid w:val="003E0233"/>
    <w:rsid w:val="003E199C"/>
    <w:rsid w:val="003E1AD0"/>
    <w:rsid w:val="003E1B95"/>
    <w:rsid w:val="003E2D79"/>
    <w:rsid w:val="003E2EBB"/>
    <w:rsid w:val="003E3D15"/>
    <w:rsid w:val="003E52FC"/>
    <w:rsid w:val="003E5548"/>
    <w:rsid w:val="003E6C33"/>
    <w:rsid w:val="003F0825"/>
    <w:rsid w:val="003F11E9"/>
    <w:rsid w:val="003F1B2E"/>
    <w:rsid w:val="003F1F6C"/>
    <w:rsid w:val="003F2C55"/>
    <w:rsid w:val="003F3DAA"/>
    <w:rsid w:val="003F4AFD"/>
    <w:rsid w:val="003F4F87"/>
    <w:rsid w:val="003F4F89"/>
    <w:rsid w:val="003F50D8"/>
    <w:rsid w:val="003F5291"/>
    <w:rsid w:val="003F54AB"/>
    <w:rsid w:val="003F5643"/>
    <w:rsid w:val="003F574B"/>
    <w:rsid w:val="003F57AF"/>
    <w:rsid w:val="003F650A"/>
    <w:rsid w:val="003F71AB"/>
    <w:rsid w:val="003F7208"/>
    <w:rsid w:val="003F72EC"/>
    <w:rsid w:val="003F753B"/>
    <w:rsid w:val="003F7CA9"/>
    <w:rsid w:val="003F7F1E"/>
    <w:rsid w:val="004000C2"/>
    <w:rsid w:val="00400408"/>
    <w:rsid w:val="00400F51"/>
    <w:rsid w:val="00401A45"/>
    <w:rsid w:val="0040219D"/>
    <w:rsid w:val="004027BC"/>
    <w:rsid w:val="00402CA2"/>
    <w:rsid w:val="0040322C"/>
    <w:rsid w:val="00403786"/>
    <w:rsid w:val="004044D7"/>
    <w:rsid w:val="004046DF"/>
    <w:rsid w:val="004047DF"/>
    <w:rsid w:val="00404BF1"/>
    <w:rsid w:val="00404D3D"/>
    <w:rsid w:val="00405AC6"/>
    <w:rsid w:val="00405ADB"/>
    <w:rsid w:val="004066C0"/>
    <w:rsid w:val="00406758"/>
    <w:rsid w:val="00406CF8"/>
    <w:rsid w:val="004076EC"/>
    <w:rsid w:val="00407D37"/>
    <w:rsid w:val="00410558"/>
    <w:rsid w:val="00410CD6"/>
    <w:rsid w:val="00411147"/>
    <w:rsid w:val="004112F0"/>
    <w:rsid w:val="00411D23"/>
    <w:rsid w:val="0041228E"/>
    <w:rsid w:val="00413167"/>
    <w:rsid w:val="00413596"/>
    <w:rsid w:val="00413E37"/>
    <w:rsid w:val="00413EEE"/>
    <w:rsid w:val="004141D1"/>
    <w:rsid w:val="0041484F"/>
    <w:rsid w:val="004149E5"/>
    <w:rsid w:val="00414CDD"/>
    <w:rsid w:val="004154C9"/>
    <w:rsid w:val="004154CB"/>
    <w:rsid w:val="00415686"/>
    <w:rsid w:val="00415D09"/>
    <w:rsid w:val="00416076"/>
    <w:rsid w:val="004169AC"/>
    <w:rsid w:val="00416A8F"/>
    <w:rsid w:val="0041703F"/>
    <w:rsid w:val="00417457"/>
    <w:rsid w:val="004177E0"/>
    <w:rsid w:val="00417D32"/>
    <w:rsid w:val="00420249"/>
    <w:rsid w:val="00420432"/>
    <w:rsid w:val="004205D1"/>
    <w:rsid w:val="00420A34"/>
    <w:rsid w:val="00420FB4"/>
    <w:rsid w:val="00421227"/>
    <w:rsid w:val="00421D77"/>
    <w:rsid w:val="004229D7"/>
    <w:rsid w:val="00422A4B"/>
    <w:rsid w:val="0042325B"/>
    <w:rsid w:val="004232F1"/>
    <w:rsid w:val="0042331D"/>
    <w:rsid w:val="00423329"/>
    <w:rsid w:val="00423DDC"/>
    <w:rsid w:val="00423F5B"/>
    <w:rsid w:val="004240CF"/>
    <w:rsid w:val="0042550F"/>
    <w:rsid w:val="004257E4"/>
    <w:rsid w:val="00425D5E"/>
    <w:rsid w:val="004260BF"/>
    <w:rsid w:val="004268FB"/>
    <w:rsid w:val="004269BA"/>
    <w:rsid w:val="004272F5"/>
    <w:rsid w:val="004275C7"/>
    <w:rsid w:val="00427C7B"/>
    <w:rsid w:val="00430287"/>
    <w:rsid w:val="004309CF"/>
    <w:rsid w:val="00430F7A"/>
    <w:rsid w:val="00431FF9"/>
    <w:rsid w:val="00432214"/>
    <w:rsid w:val="0043377D"/>
    <w:rsid w:val="00433D42"/>
    <w:rsid w:val="0043483B"/>
    <w:rsid w:val="00434CCA"/>
    <w:rsid w:val="004351B4"/>
    <w:rsid w:val="004352C1"/>
    <w:rsid w:val="004359E1"/>
    <w:rsid w:val="00435DE9"/>
    <w:rsid w:val="0043671D"/>
    <w:rsid w:val="00437343"/>
    <w:rsid w:val="004377AB"/>
    <w:rsid w:val="004404C1"/>
    <w:rsid w:val="004405DF"/>
    <w:rsid w:val="00440799"/>
    <w:rsid w:val="00440B76"/>
    <w:rsid w:val="00441B96"/>
    <w:rsid w:val="00442247"/>
    <w:rsid w:val="00442734"/>
    <w:rsid w:val="004431E7"/>
    <w:rsid w:val="00443340"/>
    <w:rsid w:val="00443670"/>
    <w:rsid w:val="00444DB3"/>
    <w:rsid w:val="0044521D"/>
    <w:rsid w:val="00445FEA"/>
    <w:rsid w:val="00446543"/>
    <w:rsid w:val="00447047"/>
    <w:rsid w:val="004478B3"/>
    <w:rsid w:val="00447A96"/>
    <w:rsid w:val="00447B3B"/>
    <w:rsid w:val="0045033F"/>
    <w:rsid w:val="00450E60"/>
    <w:rsid w:val="00451209"/>
    <w:rsid w:val="00451448"/>
    <w:rsid w:val="0045196B"/>
    <w:rsid w:val="00451B9B"/>
    <w:rsid w:val="00451D5A"/>
    <w:rsid w:val="00452A5E"/>
    <w:rsid w:val="00453223"/>
    <w:rsid w:val="00453404"/>
    <w:rsid w:val="00453AE1"/>
    <w:rsid w:val="00453C9B"/>
    <w:rsid w:val="004543F7"/>
    <w:rsid w:val="0045471A"/>
    <w:rsid w:val="00454911"/>
    <w:rsid w:val="00454AF8"/>
    <w:rsid w:val="00454EF2"/>
    <w:rsid w:val="004556A9"/>
    <w:rsid w:val="00455877"/>
    <w:rsid w:val="00455D03"/>
    <w:rsid w:val="00455EB1"/>
    <w:rsid w:val="004561FD"/>
    <w:rsid w:val="00456E78"/>
    <w:rsid w:val="00456F87"/>
    <w:rsid w:val="004571A9"/>
    <w:rsid w:val="00460683"/>
    <w:rsid w:val="004606F3"/>
    <w:rsid w:val="00461133"/>
    <w:rsid w:val="004618E5"/>
    <w:rsid w:val="00461C5E"/>
    <w:rsid w:val="00461DF5"/>
    <w:rsid w:val="00461EB3"/>
    <w:rsid w:val="00462551"/>
    <w:rsid w:val="00462CA4"/>
    <w:rsid w:val="00462D25"/>
    <w:rsid w:val="00463038"/>
    <w:rsid w:val="00464CDE"/>
    <w:rsid w:val="0046513F"/>
    <w:rsid w:val="004654C1"/>
    <w:rsid w:val="00465ADD"/>
    <w:rsid w:val="00465F33"/>
    <w:rsid w:val="00466FFC"/>
    <w:rsid w:val="0046745E"/>
    <w:rsid w:val="00467769"/>
    <w:rsid w:val="00467E74"/>
    <w:rsid w:val="00467FFC"/>
    <w:rsid w:val="0047108B"/>
    <w:rsid w:val="004711F7"/>
    <w:rsid w:val="00471437"/>
    <w:rsid w:val="00471563"/>
    <w:rsid w:val="00471BB0"/>
    <w:rsid w:val="00472045"/>
    <w:rsid w:val="004725AB"/>
    <w:rsid w:val="004726F2"/>
    <w:rsid w:val="00473E1D"/>
    <w:rsid w:val="00474C2C"/>
    <w:rsid w:val="004752F4"/>
    <w:rsid w:val="004755B7"/>
    <w:rsid w:val="00475771"/>
    <w:rsid w:val="00475B0B"/>
    <w:rsid w:val="004766C8"/>
    <w:rsid w:val="00477A4D"/>
    <w:rsid w:val="00477DDB"/>
    <w:rsid w:val="00477E52"/>
    <w:rsid w:val="00480435"/>
    <w:rsid w:val="00480AF9"/>
    <w:rsid w:val="00480EB5"/>
    <w:rsid w:val="00481EAC"/>
    <w:rsid w:val="00482911"/>
    <w:rsid w:val="0048436F"/>
    <w:rsid w:val="00484818"/>
    <w:rsid w:val="00484EE6"/>
    <w:rsid w:val="004857B4"/>
    <w:rsid w:val="00486088"/>
    <w:rsid w:val="004860F7"/>
    <w:rsid w:val="00487183"/>
    <w:rsid w:val="00487A31"/>
    <w:rsid w:val="00487AC6"/>
    <w:rsid w:val="004901DF"/>
    <w:rsid w:val="004908DC"/>
    <w:rsid w:val="00490B98"/>
    <w:rsid w:val="004914A0"/>
    <w:rsid w:val="00491817"/>
    <w:rsid w:val="00491CA2"/>
    <w:rsid w:val="004924FA"/>
    <w:rsid w:val="00493A24"/>
    <w:rsid w:val="00493B3D"/>
    <w:rsid w:val="00495022"/>
    <w:rsid w:val="004951DD"/>
    <w:rsid w:val="004956A8"/>
    <w:rsid w:val="004957C4"/>
    <w:rsid w:val="00495820"/>
    <w:rsid w:val="00495920"/>
    <w:rsid w:val="0049733C"/>
    <w:rsid w:val="00497552"/>
    <w:rsid w:val="004A00B2"/>
    <w:rsid w:val="004A0330"/>
    <w:rsid w:val="004A0420"/>
    <w:rsid w:val="004A0799"/>
    <w:rsid w:val="004A0819"/>
    <w:rsid w:val="004A09C9"/>
    <w:rsid w:val="004A128E"/>
    <w:rsid w:val="004A17B2"/>
    <w:rsid w:val="004A1ABB"/>
    <w:rsid w:val="004A26CF"/>
    <w:rsid w:val="004A26D0"/>
    <w:rsid w:val="004A3842"/>
    <w:rsid w:val="004A3CC6"/>
    <w:rsid w:val="004A4093"/>
    <w:rsid w:val="004A43EF"/>
    <w:rsid w:val="004A5199"/>
    <w:rsid w:val="004A57C7"/>
    <w:rsid w:val="004A6543"/>
    <w:rsid w:val="004B0934"/>
    <w:rsid w:val="004B0E1C"/>
    <w:rsid w:val="004B0F98"/>
    <w:rsid w:val="004B1367"/>
    <w:rsid w:val="004B1B07"/>
    <w:rsid w:val="004B217A"/>
    <w:rsid w:val="004B2788"/>
    <w:rsid w:val="004B4444"/>
    <w:rsid w:val="004B5552"/>
    <w:rsid w:val="004B59A4"/>
    <w:rsid w:val="004B5AE3"/>
    <w:rsid w:val="004B5E9C"/>
    <w:rsid w:val="004B6022"/>
    <w:rsid w:val="004B6705"/>
    <w:rsid w:val="004B6916"/>
    <w:rsid w:val="004B7367"/>
    <w:rsid w:val="004B77B2"/>
    <w:rsid w:val="004B7C60"/>
    <w:rsid w:val="004C030D"/>
    <w:rsid w:val="004C1098"/>
    <w:rsid w:val="004C1250"/>
    <w:rsid w:val="004C4996"/>
    <w:rsid w:val="004C4DD1"/>
    <w:rsid w:val="004C5255"/>
    <w:rsid w:val="004C53C5"/>
    <w:rsid w:val="004C63B7"/>
    <w:rsid w:val="004C6C4E"/>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5EAF"/>
    <w:rsid w:val="004D6131"/>
    <w:rsid w:val="004D667D"/>
    <w:rsid w:val="004D6802"/>
    <w:rsid w:val="004D687F"/>
    <w:rsid w:val="004D7A45"/>
    <w:rsid w:val="004D7F11"/>
    <w:rsid w:val="004E073B"/>
    <w:rsid w:val="004E1372"/>
    <w:rsid w:val="004E1481"/>
    <w:rsid w:val="004E14C4"/>
    <w:rsid w:val="004E1E45"/>
    <w:rsid w:val="004E1E54"/>
    <w:rsid w:val="004E1F29"/>
    <w:rsid w:val="004E22DB"/>
    <w:rsid w:val="004E26BC"/>
    <w:rsid w:val="004E26E9"/>
    <w:rsid w:val="004E27F9"/>
    <w:rsid w:val="004E303C"/>
    <w:rsid w:val="004E32BC"/>
    <w:rsid w:val="004E43DE"/>
    <w:rsid w:val="004E4D38"/>
    <w:rsid w:val="004E4D80"/>
    <w:rsid w:val="004E4FDD"/>
    <w:rsid w:val="004E595B"/>
    <w:rsid w:val="004E5C55"/>
    <w:rsid w:val="004E5F1C"/>
    <w:rsid w:val="004E5F80"/>
    <w:rsid w:val="004E6033"/>
    <w:rsid w:val="004E69EA"/>
    <w:rsid w:val="004E6E56"/>
    <w:rsid w:val="004E7068"/>
    <w:rsid w:val="004E758A"/>
    <w:rsid w:val="004F07A7"/>
    <w:rsid w:val="004F2AAA"/>
    <w:rsid w:val="004F3826"/>
    <w:rsid w:val="004F3DB1"/>
    <w:rsid w:val="004F3DDE"/>
    <w:rsid w:val="004F409C"/>
    <w:rsid w:val="004F465F"/>
    <w:rsid w:val="004F469C"/>
    <w:rsid w:val="004F48EA"/>
    <w:rsid w:val="004F4E2F"/>
    <w:rsid w:val="004F67B5"/>
    <w:rsid w:val="004F767F"/>
    <w:rsid w:val="004F7729"/>
    <w:rsid w:val="004F7F72"/>
    <w:rsid w:val="005000DC"/>
    <w:rsid w:val="005003F8"/>
    <w:rsid w:val="00500DD9"/>
    <w:rsid w:val="00500DE4"/>
    <w:rsid w:val="00500E8C"/>
    <w:rsid w:val="005013EA"/>
    <w:rsid w:val="005013EF"/>
    <w:rsid w:val="005014BA"/>
    <w:rsid w:val="00501EB9"/>
    <w:rsid w:val="005022F1"/>
    <w:rsid w:val="00502303"/>
    <w:rsid w:val="00503E1F"/>
    <w:rsid w:val="00503F69"/>
    <w:rsid w:val="00503F9A"/>
    <w:rsid w:val="00504318"/>
    <w:rsid w:val="00504C42"/>
    <w:rsid w:val="0050558D"/>
    <w:rsid w:val="005059BB"/>
    <w:rsid w:val="00505AFC"/>
    <w:rsid w:val="005061BA"/>
    <w:rsid w:val="0050640F"/>
    <w:rsid w:val="00507688"/>
    <w:rsid w:val="00507AD8"/>
    <w:rsid w:val="0051013E"/>
    <w:rsid w:val="005118F6"/>
    <w:rsid w:val="0051244B"/>
    <w:rsid w:val="00513432"/>
    <w:rsid w:val="005139F7"/>
    <w:rsid w:val="00514D41"/>
    <w:rsid w:val="00514E6E"/>
    <w:rsid w:val="0051556C"/>
    <w:rsid w:val="005166DB"/>
    <w:rsid w:val="00516BDE"/>
    <w:rsid w:val="00516DAA"/>
    <w:rsid w:val="005179E9"/>
    <w:rsid w:val="0052062D"/>
    <w:rsid w:val="005207B5"/>
    <w:rsid w:val="00521D32"/>
    <w:rsid w:val="00522427"/>
    <w:rsid w:val="00522BDF"/>
    <w:rsid w:val="00524A74"/>
    <w:rsid w:val="005255A4"/>
    <w:rsid w:val="00526BC2"/>
    <w:rsid w:val="005270FE"/>
    <w:rsid w:val="005271BF"/>
    <w:rsid w:val="0052720A"/>
    <w:rsid w:val="00530043"/>
    <w:rsid w:val="005300E7"/>
    <w:rsid w:val="005311E1"/>
    <w:rsid w:val="00532F5B"/>
    <w:rsid w:val="00533206"/>
    <w:rsid w:val="00534AFE"/>
    <w:rsid w:val="00535419"/>
    <w:rsid w:val="0053590A"/>
    <w:rsid w:val="00536A80"/>
    <w:rsid w:val="005372C3"/>
    <w:rsid w:val="00537607"/>
    <w:rsid w:val="005400B9"/>
    <w:rsid w:val="005400D8"/>
    <w:rsid w:val="00540AF6"/>
    <w:rsid w:val="005414BC"/>
    <w:rsid w:val="00541926"/>
    <w:rsid w:val="005419D1"/>
    <w:rsid w:val="005420B9"/>
    <w:rsid w:val="0054275E"/>
    <w:rsid w:val="005430A2"/>
    <w:rsid w:val="005434B9"/>
    <w:rsid w:val="005435D1"/>
    <w:rsid w:val="00543A0B"/>
    <w:rsid w:val="00544733"/>
    <w:rsid w:val="005447FA"/>
    <w:rsid w:val="00544FDB"/>
    <w:rsid w:val="00545A43"/>
    <w:rsid w:val="00545B0B"/>
    <w:rsid w:val="00545B15"/>
    <w:rsid w:val="0054629A"/>
    <w:rsid w:val="00547169"/>
    <w:rsid w:val="00547D5C"/>
    <w:rsid w:val="00547FA9"/>
    <w:rsid w:val="00550461"/>
    <w:rsid w:val="00550741"/>
    <w:rsid w:val="0055190E"/>
    <w:rsid w:val="00551B24"/>
    <w:rsid w:val="00551BE7"/>
    <w:rsid w:val="0055273E"/>
    <w:rsid w:val="0055274E"/>
    <w:rsid w:val="00552B1F"/>
    <w:rsid w:val="005530A6"/>
    <w:rsid w:val="00553643"/>
    <w:rsid w:val="00553A55"/>
    <w:rsid w:val="00553AD3"/>
    <w:rsid w:val="00553BBA"/>
    <w:rsid w:val="00554CD4"/>
    <w:rsid w:val="00554DF6"/>
    <w:rsid w:val="00554EC2"/>
    <w:rsid w:val="00555222"/>
    <w:rsid w:val="005553C8"/>
    <w:rsid w:val="00555603"/>
    <w:rsid w:val="00556E85"/>
    <w:rsid w:val="00557EAA"/>
    <w:rsid w:val="00560610"/>
    <w:rsid w:val="00560779"/>
    <w:rsid w:val="00561429"/>
    <w:rsid w:val="005617C4"/>
    <w:rsid w:val="00561822"/>
    <w:rsid w:val="0056260C"/>
    <w:rsid w:val="0056327A"/>
    <w:rsid w:val="005632BC"/>
    <w:rsid w:val="005633DF"/>
    <w:rsid w:val="0056358A"/>
    <w:rsid w:val="00563D2A"/>
    <w:rsid w:val="0056433E"/>
    <w:rsid w:val="0056542E"/>
    <w:rsid w:val="005665B9"/>
    <w:rsid w:val="00566BE6"/>
    <w:rsid w:val="005678C1"/>
    <w:rsid w:val="005679C4"/>
    <w:rsid w:val="00567F26"/>
    <w:rsid w:val="005708A4"/>
    <w:rsid w:val="00570FBE"/>
    <w:rsid w:val="00571294"/>
    <w:rsid w:val="005717C1"/>
    <w:rsid w:val="00571CCD"/>
    <w:rsid w:val="005721C3"/>
    <w:rsid w:val="00572656"/>
    <w:rsid w:val="0057298C"/>
    <w:rsid w:val="00572F28"/>
    <w:rsid w:val="00573082"/>
    <w:rsid w:val="0057396E"/>
    <w:rsid w:val="005747B6"/>
    <w:rsid w:val="00574B2D"/>
    <w:rsid w:val="005758D6"/>
    <w:rsid w:val="00575BC9"/>
    <w:rsid w:val="0057660C"/>
    <w:rsid w:val="005770D9"/>
    <w:rsid w:val="005771D9"/>
    <w:rsid w:val="00580203"/>
    <w:rsid w:val="00580853"/>
    <w:rsid w:val="0058223C"/>
    <w:rsid w:val="00582523"/>
    <w:rsid w:val="00582B7F"/>
    <w:rsid w:val="00582DDA"/>
    <w:rsid w:val="005835B1"/>
    <w:rsid w:val="0058366F"/>
    <w:rsid w:val="00583929"/>
    <w:rsid w:val="00583EE0"/>
    <w:rsid w:val="005844D3"/>
    <w:rsid w:val="005847A2"/>
    <w:rsid w:val="005847A9"/>
    <w:rsid w:val="00584E74"/>
    <w:rsid w:val="00585B33"/>
    <w:rsid w:val="005872E2"/>
    <w:rsid w:val="00587782"/>
    <w:rsid w:val="00587D2D"/>
    <w:rsid w:val="00587FB4"/>
    <w:rsid w:val="00590260"/>
    <w:rsid w:val="005902AC"/>
    <w:rsid w:val="00590929"/>
    <w:rsid w:val="00590FF9"/>
    <w:rsid w:val="00591A29"/>
    <w:rsid w:val="00592471"/>
    <w:rsid w:val="00592E12"/>
    <w:rsid w:val="00593371"/>
    <w:rsid w:val="005937EA"/>
    <w:rsid w:val="00593CCC"/>
    <w:rsid w:val="00594768"/>
    <w:rsid w:val="00595A23"/>
    <w:rsid w:val="00595D2B"/>
    <w:rsid w:val="00595E9F"/>
    <w:rsid w:val="0059671F"/>
    <w:rsid w:val="0059676F"/>
    <w:rsid w:val="00597910"/>
    <w:rsid w:val="00597911"/>
    <w:rsid w:val="0059791E"/>
    <w:rsid w:val="005A021F"/>
    <w:rsid w:val="005A0B87"/>
    <w:rsid w:val="005A0DF0"/>
    <w:rsid w:val="005A34E3"/>
    <w:rsid w:val="005A3C1D"/>
    <w:rsid w:val="005A51AB"/>
    <w:rsid w:val="005A5251"/>
    <w:rsid w:val="005A52DD"/>
    <w:rsid w:val="005A5CBF"/>
    <w:rsid w:val="005A6619"/>
    <w:rsid w:val="005A6633"/>
    <w:rsid w:val="005A6AB6"/>
    <w:rsid w:val="005A706A"/>
    <w:rsid w:val="005B0A33"/>
    <w:rsid w:val="005B0C2B"/>
    <w:rsid w:val="005B1427"/>
    <w:rsid w:val="005B19CE"/>
    <w:rsid w:val="005B1B38"/>
    <w:rsid w:val="005B1E8A"/>
    <w:rsid w:val="005B1EA5"/>
    <w:rsid w:val="005B1EEB"/>
    <w:rsid w:val="005B1F51"/>
    <w:rsid w:val="005B238B"/>
    <w:rsid w:val="005B2589"/>
    <w:rsid w:val="005B27AA"/>
    <w:rsid w:val="005B298E"/>
    <w:rsid w:val="005B3863"/>
    <w:rsid w:val="005B43C4"/>
    <w:rsid w:val="005B474A"/>
    <w:rsid w:val="005B4E6C"/>
    <w:rsid w:val="005B512F"/>
    <w:rsid w:val="005B51E1"/>
    <w:rsid w:val="005B60AD"/>
    <w:rsid w:val="005B61E6"/>
    <w:rsid w:val="005B6383"/>
    <w:rsid w:val="005B6BC8"/>
    <w:rsid w:val="005B6D68"/>
    <w:rsid w:val="005B7B5B"/>
    <w:rsid w:val="005B7DF3"/>
    <w:rsid w:val="005C0028"/>
    <w:rsid w:val="005C1288"/>
    <w:rsid w:val="005C1772"/>
    <w:rsid w:val="005C1DC4"/>
    <w:rsid w:val="005C26EF"/>
    <w:rsid w:val="005C2C01"/>
    <w:rsid w:val="005C2FC3"/>
    <w:rsid w:val="005C30CC"/>
    <w:rsid w:val="005C4DAE"/>
    <w:rsid w:val="005C5388"/>
    <w:rsid w:val="005C53A3"/>
    <w:rsid w:val="005C5765"/>
    <w:rsid w:val="005C6C98"/>
    <w:rsid w:val="005C6CE1"/>
    <w:rsid w:val="005C6FFD"/>
    <w:rsid w:val="005C7689"/>
    <w:rsid w:val="005C79E2"/>
    <w:rsid w:val="005C7A9D"/>
    <w:rsid w:val="005D0106"/>
    <w:rsid w:val="005D0313"/>
    <w:rsid w:val="005D03BE"/>
    <w:rsid w:val="005D04AA"/>
    <w:rsid w:val="005D0F27"/>
    <w:rsid w:val="005D147A"/>
    <w:rsid w:val="005D1753"/>
    <w:rsid w:val="005D189B"/>
    <w:rsid w:val="005D2406"/>
    <w:rsid w:val="005D2D17"/>
    <w:rsid w:val="005D412B"/>
    <w:rsid w:val="005D4A51"/>
    <w:rsid w:val="005D657B"/>
    <w:rsid w:val="005D6EB0"/>
    <w:rsid w:val="005D6FA0"/>
    <w:rsid w:val="005D7616"/>
    <w:rsid w:val="005D76C1"/>
    <w:rsid w:val="005D7B05"/>
    <w:rsid w:val="005E028F"/>
    <w:rsid w:val="005E02D4"/>
    <w:rsid w:val="005E0650"/>
    <w:rsid w:val="005E0B4E"/>
    <w:rsid w:val="005E17C4"/>
    <w:rsid w:val="005E1DE2"/>
    <w:rsid w:val="005E36E4"/>
    <w:rsid w:val="005E47AC"/>
    <w:rsid w:val="005E52F6"/>
    <w:rsid w:val="005E5738"/>
    <w:rsid w:val="005E601E"/>
    <w:rsid w:val="005E63A1"/>
    <w:rsid w:val="005E66FD"/>
    <w:rsid w:val="005E6B16"/>
    <w:rsid w:val="005E7A06"/>
    <w:rsid w:val="005F0DB2"/>
    <w:rsid w:val="005F1B98"/>
    <w:rsid w:val="005F1BB0"/>
    <w:rsid w:val="005F2E8C"/>
    <w:rsid w:val="005F3575"/>
    <w:rsid w:val="005F3AC3"/>
    <w:rsid w:val="005F4129"/>
    <w:rsid w:val="005F45A9"/>
    <w:rsid w:val="005F496F"/>
    <w:rsid w:val="005F5341"/>
    <w:rsid w:val="005F5B2F"/>
    <w:rsid w:val="005F6921"/>
    <w:rsid w:val="005F6BCA"/>
    <w:rsid w:val="005F7293"/>
    <w:rsid w:val="005F7540"/>
    <w:rsid w:val="00600198"/>
    <w:rsid w:val="00601F9E"/>
    <w:rsid w:val="006027E3"/>
    <w:rsid w:val="006031B3"/>
    <w:rsid w:val="00603B7C"/>
    <w:rsid w:val="006045F1"/>
    <w:rsid w:val="00604BBD"/>
    <w:rsid w:val="00605EE2"/>
    <w:rsid w:val="00606E34"/>
    <w:rsid w:val="006075CF"/>
    <w:rsid w:val="00610045"/>
    <w:rsid w:val="00611266"/>
    <w:rsid w:val="006113FC"/>
    <w:rsid w:val="006115E5"/>
    <w:rsid w:val="00611ACA"/>
    <w:rsid w:val="00611EA2"/>
    <w:rsid w:val="00612E4A"/>
    <w:rsid w:val="0061308A"/>
    <w:rsid w:val="00613103"/>
    <w:rsid w:val="006132AB"/>
    <w:rsid w:val="00613671"/>
    <w:rsid w:val="00614234"/>
    <w:rsid w:val="00614465"/>
    <w:rsid w:val="00614491"/>
    <w:rsid w:val="006145FD"/>
    <w:rsid w:val="0061528B"/>
    <w:rsid w:val="006155AC"/>
    <w:rsid w:val="00615A82"/>
    <w:rsid w:val="00622282"/>
    <w:rsid w:val="0062395E"/>
    <w:rsid w:val="00623D9F"/>
    <w:rsid w:val="0062405E"/>
    <w:rsid w:val="00624EA6"/>
    <w:rsid w:val="00626C86"/>
    <w:rsid w:val="00626D4C"/>
    <w:rsid w:val="00626D57"/>
    <w:rsid w:val="0062743D"/>
    <w:rsid w:val="00627E4B"/>
    <w:rsid w:val="0063081A"/>
    <w:rsid w:val="0063096F"/>
    <w:rsid w:val="0063156D"/>
    <w:rsid w:val="00631595"/>
    <w:rsid w:val="00631677"/>
    <w:rsid w:val="00631683"/>
    <w:rsid w:val="00632337"/>
    <w:rsid w:val="00632826"/>
    <w:rsid w:val="00632833"/>
    <w:rsid w:val="00632BD9"/>
    <w:rsid w:val="00633207"/>
    <w:rsid w:val="0063394D"/>
    <w:rsid w:val="0063401E"/>
    <w:rsid w:val="00634930"/>
    <w:rsid w:val="00634C18"/>
    <w:rsid w:val="00634E37"/>
    <w:rsid w:val="00635D6C"/>
    <w:rsid w:val="006360ED"/>
    <w:rsid w:val="00636ADA"/>
    <w:rsid w:val="00637143"/>
    <w:rsid w:val="0063716C"/>
    <w:rsid w:val="00637331"/>
    <w:rsid w:val="006375A9"/>
    <w:rsid w:val="00637860"/>
    <w:rsid w:val="0064000F"/>
    <w:rsid w:val="0064038D"/>
    <w:rsid w:val="006406A1"/>
    <w:rsid w:val="00640DE1"/>
    <w:rsid w:val="006413C6"/>
    <w:rsid w:val="00641645"/>
    <w:rsid w:val="00642031"/>
    <w:rsid w:val="006427A7"/>
    <w:rsid w:val="00642D38"/>
    <w:rsid w:val="00642E48"/>
    <w:rsid w:val="00643290"/>
    <w:rsid w:val="006439A7"/>
    <w:rsid w:val="0064493B"/>
    <w:rsid w:val="00644A97"/>
    <w:rsid w:val="0064503E"/>
    <w:rsid w:val="00645751"/>
    <w:rsid w:val="00645A74"/>
    <w:rsid w:val="006463FF"/>
    <w:rsid w:val="006465AF"/>
    <w:rsid w:val="00646E15"/>
    <w:rsid w:val="006504D1"/>
    <w:rsid w:val="0065167C"/>
    <w:rsid w:val="0065180A"/>
    <w:rsid w:val="00651A44"/>
    <w:rsid w:val="00652045"/>
    <w:rsid w:val="006529AD"/>
    <w:rsid w:val="00653819"/>
    <w:rsid w:val="0065504B"/>
    <w:rsid w:val="006551B9"/>
    <w:rsid w:val="006553B8"/>
    <w:rsid w:val="00656724"/>
    <w:rsid w:val="0065673A"/>
    <w:rsid w:val="00656789"/>
    <w:rsid w:val="00656F97"/>
    <w:rsid w:val="006579F6"/>
    <w:rsid w:val="00657B5A"/>
    <w:rsid w:val="00660240"/>
    <w:rsid w:val="00661934"/>
    <w:rsid w:val="00662150"/>
    <w:rsid w:val="0066274A"/>
    <w:rsid w:val="006628FA"/>
    <w:rsid w:val="00662A96"/>
    <w:rsid w:val="0066437A"/>
    <w:rsid w:val="006658AF"/>
    <w:rsid w:val="00665EB7"/>
    <w:rsid w:val="00665F68"/>
    <w:rsid w:val="00666B7E"/>
    <w:rsid w:val="0067119F"/>
    <w:rsid w:val="00671720"/>
    <w:rsid w:val="0067194B"/>
    <w:rsid w:val="006720A9"/>
    <w:rsid w:val="006729BE"/>
    <w:rsid w:val="00672A5E"/>
    <w:rsid w:val="00672DBF"/>
    <w:rsid w:val="00673593"/>
    <w:rsid w:val="006736F7"/>
    <w:rsid w:val="00674F14"/>
    <w:rsid w:val="00674F3A"/>
    <w:rsid w:val="006752EF"/>
    <w:rsid w:val="00675429"/>
    <w:rsid w:val="0067558D"/>
    <w:rsid w:val="0067606F"/>
    <w:rsid w:val="006761BC"/>
    <w:rsid w:val="006766EC"/>
    <w:rsid w:val="006770E0"/>
    <w:rsid w:val="006802FE"/>
    <w:rsid w:val="0068051D"/>
    <w:rsid w:val="00680E51"/>
    <w:rsid w:val="00681B17"/>
    <w:rsid w:val="00682089"/>
    <w:rsid w:val="006826F4"/>
    <w:rsid w:val="00682CA1"/>
    <w:rsid w:val="00683057"/>
    <w:rsid w:val="00684359"/>
    <w:rsid w:val="00684863"/>
    <w:rsid w:val="00684968"/>
    <w:rsid w:val="00684A12"/>
    <w:rsid w:val="006854C2"/>
    <w:rsid w:val="006855CF"/>
    <w:rsid w:val="0068616B"/>
    <w:rsid w:val="00687372"/>
    <w:rsid w:val="00687650"/>
    <w:rsid w:val="00687B88"/>
    <w:rsid w:val="00687E79"/>
    <w:rsid w:val="00690403"/>
    <w:rsid w:val="00690866"/>
    <w:rsid w:val="00690B50"/>
    <w:rsid w:val="00690D4F"/>
    <w:rsid w:val="006911DC"/>
    <w:rsid w:val="006914AA"/>
    <w:rsid w:val="00691987"/>
    <w:rsid w:val="00691EDC"/>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875"/>
    <w:rsid w:val="006A1D27"/>
    <w:rsid w:val="006A1D4A"/>
    <w:rsid w:val="006A357B"/>
    <w:rsid w:val="006A3701"/>
    <w:rsid w:val="006A3D34"/>
    <w:rsid w:val="006A5786"/>
    <w:rsid w:val="006A5999"/>
    <w:rsid w:val="006A5B53"/>
    <w:rsid w:val="006A6328"/>
    <w:rsid w:val="006A6E5C"/>
    <w:rsid w:val="006A6EA1"/>
    <w:rsid w:val="006A6ED3"/>
    <w:rsid w:val="006B00AE"/>
    <w:rsid w:val="006B0162"/>
    <w:rsid w:val="006B0591"/>
    <w:rsid w:val="006B0940"/>
    <w:rsid w:val="006B1281"/>
    <w:rsid w:val="006B171C"/>
    <w:rsid w:val="006B17AE"/>
    <w:rsid w:val="006B1952"/>
    <w:rsid w:val="006B1B55"/>
    <w:rsid w:val="006B2A71"/>
    <w:rsid w:val="006B2E22"/>
    <w:rsid w:val="006B3236"/>
    <w:rsid w:val="006B33D7"/>
    <w:rsid w:val="006B450A"/>
    <w:rsid w:val="006B45C4"/>
    <w:rsid w:val="006B4910"/>
    <w:rsid w:val="006B6586"/>
    <w:rsid w:val="006B6C74"/>
    <w:rsid w:val="006B719A"/>
    <w:rsid w:val="006C1678"/>
    <w:rsid w:val="006C18C5"/>
    <w:rsid w:val="006C1B45"/>
    <w:rsid w:val="006C2F92"/>
    <w:rsid w:val="006C2FB0"/>
    <w:rsid w:val="006C319C"/>
    <w:rsid w:val="006C3367"/>
    <w:rsid w:val="006C3455"/>
    <w:rsid w:val="006C3BA5"/>
    <w:rsid w:val="006C3E3B"/>
    <w:rsid w:val="006C4033"/>
    <w:rsid w:val="006C415B"/>
    <w:rsid w:val="006C44FF"/>
    <w:rsid w:val="006C5298"/>
    <w:rsid w:val="006C56E1"/>
    <w:rsid w:val="006C574F"/>
    <w:rsid w:val="006C60D4"/>
    <w:rsid w:val="006C6C17"/>
    <w:rsid w:val="006D006E"/>
    <w:rsid w:val="006D02B1"/>
    <w:rsid w:val="006D0819"/>
    <w:rsid w:val="006D14DC"/>
    <w:rsid w:val="006D17D0"/>
    <w:rsid w:val="006D1EA5"/>
    <w:rsid w:val="006D2315"/>
    <w:rsid w:val="006D25F5"/>
    <w:rsid w:val="006D2863"/>
    <w:rsid w:val="006D31C7"/>
    <w:rsid w:val="006D380A"/>
    <w:rsid w:val="006D45A9"/>
    <w:rsid w:val="006D4607"/>
    <w:rsid w:val="006D478A"/>
    <w:rsid w:val="006D52CC"/>
    <w:rsid w:val="006D6278"/>
    <w:rsid w:val="006D6555"/>
    <w:rsid w:val="006D6DDB"/>
    <w:rsid w:val="006D70A3"/>
    <w:rsid w:val="006D74BD"/>
    <w:rsid w:val="006D7799"/>
    <w:rsid w:val="006E022F"/>
    <w:rsid w:val="006E0AE9"/>
    <w:rsid w:val="006E0BB8"/>
    <w:rsid w:val="006E0F18"/>
    <w:rsid w:val="006E1A7E"/>
    <w:rsid w:val="006E317C"/>
    <w:rsid w:val="006E32AE"/>
    <w:rsid w:val="006E357C"/>
    <w:rsid w:val="006E3A81"/>
    <w:rsid w:val="006E3D7A"/>
    <w:rsid w:val="006E4927"/>
    <w:rsid w:val="006E4FE4"/>
    <w:rsid w:val="006E643C"/>
    <w:rsid w:val="006E674F"/>
    <w:rsid w:val="006E6765"/>
    <w:rsid w:val="006E77C8"/>
    <w:rsid w:val="006E7ACA"/>
    <w:rsid w:val="006E7F06"/>
    <w:rsid w:val="006F0872"/>
    <w:rsid w:val="006F0EFB"/>
    <w:rsid w:val="006F2188"/>
    <w:rsid w:val="006F27BE"/>
    <w:rsid w:val="006F2B51"/>
    <w:rsid w:val="006F2EC5"/>
    <w:rsid w:val="006F362C"/>
    <w:rsid w:val="006F4CBA"/>
    <w:rsid w:val="006F4D8C"/>
    <w:rsid w:val="006F51F6"/>
    <w:rsid w:val="006F6156"/>
    <w:rsid w:val="006F6790"/>
    <w:rsid w:val="006F732E"/>
    <w:rsid w:val="006F767C"/>
    <w:rsid w:val="006F78BA"/>
    <w:rsid w:val="006F7A68"/>
    <w:rsid w:val="00701D4F"/>
    <w:rsid w:val="007024BA"/>
    <w:rsid w:val="007028C3"/>
    <w:rsid w:val="00703422"/>
    <w:rsid w:val="00703C40"/>
    <w:rsid w:val="00703CBA"/>
    <w:rsid w:val="00703F7A"/>
    <w:rsid w:val="00703F9C"/>
    <w:rsid w:val="007044D2"/>
    <w:rsid w:val="00704C2E"/>
    <w:rsid w:val="007051DB"/>
    <w:rsid w:val="00705214"/>
    <w:rsid w:val="00705A0F"/>
    <w:rsid w:val="0070650E"/>
    <w:rsid w:val="007065E5"/>
    <w:rsid w:val="007069B5"/>
    <w:rsid w:val="00706CB7"/>
    <w:rsid w:val="00707932"/>
    <w:rsid w:val="0071040B"/>
    <w:rsid w:val="00711931"/>
    <w:rsid w:val="007133BA"/>
    <w:rsid w:val="0071595E"/>
    <w:rsid w:val="00715C2E"/>
    <w:rsid w:val="007164BC"/>
    <w:rsid w:val="007171AF"/>
    <w:rsid w:val="00717646"/>
    <w:rsid w:val="0071766B"/>
    <w:rsid w:val="0071773A"/>
    <w:rsid w:val="00720771"/>
    <w:rsid w:val="00721352"/>
    <w:rsid w:val="00721B6C"/>
    <w:rsid w:val="0072254B"/>
    <w:rsid w:val="007226C2"/>
    <w:rsid w:val="00722A14"/>
    <w:rsid w:val="00722E5B"/>
    <w:rsid w:val="0072312A"/>
    <w:rsid w:val="00723540"/>
    <w:rsid w:val="007235B8"/>
    <w:rsid w:val="007237D0"/>
    <w:rsid w:val="007240E9"/>
    <w:rsid w:val="00724B53"/>
    <w:rsid w:val="00725FB4"/>
    <w:rsid w:val="00725FC0"/>
    <w:rsid w:val="00727B8D"/>
    <w:rsid w:val="00727B9C"/>
    <w:rsid w:val="00727E5D"/>
    <w:rsid w:val="00730EBF"/>
    <w:rsid w:val="00730EFA"/>
    <w:rsid w:val="00731287"/>
    <w:rsid w:val="00731381"/>
    <w:rsid w:val="007326E1"/>
    <w:rsid w:val="00732BB0"/>
    <w:rsid w:val="00732EDE"/>
    <w:rsid w:val="00733ACD"/>
    <w:rsid w:val="007345D9"/>
    <w:rsid w:val="0073498E"/>
    <w:rsid w:val="0073566D"/>
    <w:rsid w:val="007356B0"/>
    <w:rsid w:val="0073595E"/>
    <w:rsid w:val="00735E17"/>
    <w:rsid w:val="00736879"/>
    <w:rsid w:val="00737351"/>
    <w:rsid w:val="00740E33"/>
    <w:rsid w:val="00740E8D"/>
    <w:rsid w:val="00741186"/>
    <w:rsid w:val="00741BCE"/>
    <w:rsid w:val="00741F17"/>
    <w:rsid w:val="00741F64"/>
    <w:rsid w:val="00742659"/>
    <w:rsid w:val="00743BA2"/>
    <w:rsid w:val="00743BF1"/>
    <w:rsid w:val="00743CB8"/>
    <w:rsid w:val="00744152"/>
    <w:rsid w:val="00744E38"/>
    <w:rsid w:val="00745DD2"/>
    <w:rsid w:val="007474C4"/>
    <w:rsid w:val="0074781F"/>
    <w:rsid w:val="00747AF5"/>
    <w:rsid w:val="00747EAB"/>
    <w:rsid w:val="00747EC0"/>
    <w:rsid w:val="00750013"/>
    <w:rsid w:val="0075068A"/>
    <w:rsid w:val="007508BD"/>
    <w:rsid w:val="00750976"/>
    <w:rsid w:val="00750B73"/>
    <w:rsid w:val="00750C6F"/>
    <w:rsid w:val="00751712"/>
    <w:rsid w:val="00751B3A"/>
    <w:rsid w:val="00751DB2"/>
    <w:rsid w:val="00751EEB"/>
    <w:rsid w:val="0075340E"/>
    <w:rsid w:val="00754D6A"/>
    <w:rsid w:val="00755902"/>
    <w:rsid w:val="00755A94"/>
    <w:rsid w:val="00755C0D"/>
    <w:rsid w:val="00755DBE"/>
    <w:rsid w:val="0075656A"/>
    <w:rsid w:val="0075727B"/>
    <w:rsid w:val="00760928"/>
    <w:rsid w:val="00760DA5"/>
    <w:rsid w:val="00761899"/>
    <w:rsid w:val="0076314E"/>
    <w:rsid w:val="0076356C"/>
    <w:rsid w:val="00763EFC"/>
    <w:rsid w:val="00764282"/>
    <w:rsid w:val="0076476B"/>
    <w:rsid w:val="007648C0"/>
    <w:rsid w:val="00765B77"/>
    <w:rsid w:val="00766436"/>
    <w:rsid w:val="00766516"/>
    <w:rsid w:val="0076746E"/>
    <w:rsid w:val="007676E7"/>
    <w:rsid w:val="00770D97"/>
    <w:rsid w:val="007712B6"/>
    <w:rsid w:val="007712D4"/>
    <w:rsid w:val="0077135E"/>
    <w:rsid w:val="007718CA"/>
    <w:rsid w:val="00771921"/>
    <w:rsid w:val="00772044"/>
    <w:rsid w:val="00772AB8"/>
    <w:rsid w:val="00773EE2"/>
    <w:rsid w:val="00774495"/>
    <w:rsid w:val="007748AF"/>
    <w:rsid w:val="00775C37"/>
    <w:rsid w:val="00775F78"/>
    <w:rsid w:val="0077674E"/>
    <w:rsid w:val="00776CEF"/>
    <w:rsid w:val="00777668"/>
    <w:rsid w:val="00777B68"/>
    <w:rsid w:val="00780386"/>
    <w:rsid w:val="00780D2A"/>
    <w:rsid w:val="007810E6"/>
    <w:rsid w:val="007822FE"/>
    <w:rsid w:val="00782933"/>
    <w:rsid w:val="00783038"/>
    <w:rsid w:val="00783C3F"/>
    <w:rsid w:val="00785592"/>
    <w:rsid w:val="007863FA"/>
    <w:rsid w:val="00787578"/>
    <w:rsid w:val="00787BF6"/>
    <w:rsid w:val="00787DA8"/>
    <w:rsid w:val="0079045E"/>
    <w:rsid w:val="00791536"/>
    <w:rsid w:val="00791545"/>
    <w:rsid w:val="0079155A"/>
    <w:rsid w:val="00792A2D"/>
    <w:rsid w:val="0079302D"/>
    <w:rsid w:val="0079362E"/>
    <w:rsid w:val="007941F6"/>
    <w:rsid w:val="0079438B"/>
    <w:rsid w:val="00794882"/>
    <w:rsid w:val="00794B48"/>
    <w:rsid w:val="00795225"/>
    <w:rsid w:val="00795C21"/>
    <w:rsid w:val="00796800"/>
    <w:rsid w:val="00797AE2"/>
    <w:rsid w:val="007A008E"/>
    <w:rsid w:val="007A01E3"/>
    <w:rsid w:val="007A0622"/>
    <w:rsid w:val="007A0C25"/>
    <w:rsid w:val="007A2305"/>
    <w:rsid w:val="007A25FE"/>
    <w:rsid w:val="007A2A70"/>
    <w:rsid w:val="007A36AD"/>
    <w:rsid w:val="007A37CB"/>
    <w:rsid w:val="007A3DD2"/>
    <w:rsid w:val="007A3E8D"/>
    <w:rsid w:val="007A400A"/>
    <w:rsid w:val="007A4465"/>
    <w:rsid w:val="007A50D6"/>
    <w:rsid w:val="007A56ED"/>
    <w:rsid w:val="007A59C5"/>
    <w:rsid w:val="007A5D60"/>
    <w:rsid w:val="007A64ED"/>
    <w:rsid w:val="007A6B27"/>
    <w:rsid w:val="007A6B5D"/>
    <w:rsid w:val="007A75F9"/>
    <w:rsid w:val="007A7E59"/>
    <w:rsid w:val="007A7F69"/>
    <w:rsid w:val="007B0051"/>
    <w:rsid w:val="007B04C4"/>
    <w:rsid w:val="007B04CF"/>
    <w:rsid w:val="007B0B42"/>
    <w:rsid w:val="007B0EAE"/>
    <w:rsid w:val="007B0F8F"/>
    <w:rsid w:val="007B155A"/>
    <w:rsid w:val="007B220E"/>
    <w:rsid w:val="007B2447"/>
    <w:rsid w:val="007B25CA"/>
    <w:rsid w:val="007B3807"/>
    <w:rsid w:val="007B3D8B"/>
    <w:rsid w:val="007B3E04"/>
    <w:rsid w:val="007B474B"/>
    <w:rsid w:val="007B524E"/>
    <w:rsid w:val="007B54C5"/>
    <w:rsid w:val="007B5DCC"/>
    <w:rsid w:val="007B6203"/>
    <w:rsid w:val="007B6DF6"/>
    <w:rsid w:val="007C0222"/>
    <w:rsid w:val="007C05BA"/>
    <w:rsid w:val="007C0B8D"/>
    <w:rsid w:val="007C0F1D"/>
    <w:rsid w:val="007C13A6"/>
    <w:rsid w:val="007C18DE"/>
    <w:rsid w:val="007C1C19"/>
    <w:rsid w:val="007C3166"/>
    <w:rsid w:val="007C3538"/>
    <w:rsid w:val="007C36C8"/>
    <w:rsid w:val="007C4DD7"/>
    <w:rsid w:val="007C6D9E"/>
    <w:rsid w:val="007D00A2"/>
    <w:rsid w:val="007D0553"/>
    <w:rsid w:val="007D12C1"/>
    <w:rsid w:val="007D13E7"/>
    <w:rsid w:val="007D1856"/>
    <w:rsid w:val="007D2457"/>
    <w:rsid w:val="007D27CF"/>
    <w:rsid w:val="007D28ED"/>
    <w:rsid w:val="007D2EC1"/>
    <w:rsid w:val="007D3298"/>
    <w:rsid w:val="007D3388"/>
    <w:rsid w:val="007D35F2"/>
    <w:rsid w:val="007D376D"/>
    <w:rsid w:val="007D4605"/>
    <w:rsid w:val="007D4EB3"/>
    <w:rsid w:val="007D4F32"/>
    <w:rsid w:val="007D590E"/>
    <w:rsid w:val="007D5B28"/>
    <w:rsid w:val="007D6263"/>
    <w:rsid w:val="007D6947"/>
    <w:rsid w:val="007D6B17"/>
    <w:rsid w:val="007D7256"/>
    <w:rsid w:val="007D74ED"/>
    <w:rsid w:val="007D7861"/>
    <w:rsid w:val="007D7B6C"/>
    <w:rsid w:val="007E1E69"/>
    <w:rsid w:val="007E24E6"/>
    <w:rsid w:val="007E28DC"/>
    <w:rsid w:val="007E2D5B"/>
    <w:rsid w:val="007E2F46"/>
    <w:rsid w:val="007E3EE5"/>
    <w:rsid w:val="007E441C"/>
    <w:rsid w:val="007E5488"/>
    <w:rsid w:val="007E555E"/>
    <w:rsid w:val="007E56E3"/>
    <w:rsid w:val="007E5CEF"/>
    <w:rsid w:val="007E5F04"/>
    <w:rsid w:val="007E6064"/>
    <w:rsid w:val="007E650F"/>
    <w:rsid w:val="007E6E55"/>
    <w:rsid w:val="007E7CC1"/>
    <w:rsid w:val="007E7DC0"/>
    <w:rsid w:val="007F0559"/>
    <w:rsid w:val="007F110B"/>
    <w:rsid w:val="007F1738"/>
    <w:rsid w:val="007F1D7D"/>
    <w:rsid w:val="007F22AA"/>
    <w:rsid w:val="007F4173"/>
    <w:rsid w:val="007F44A5"/>
    <w:rsid w:val="007F4CA0"/>
    <w:rsid w:val="007F54D5"/>
    <w:rsid w:val="007F5FC8"/>
    <w:rsid w:val="007F733A"/>
    <w:rsid w:val="007F74D3"/>
    <w:rsid w:val="007F768A"/>
    <w:rsid w:val="007F7AE0"/>
    <w:rsid w:val="008013E1"/>
    <w:rsid w:val="0080169C"/>
    <w:rsid w:val="008027CB"/>
    <w:rsid w:val="008028E4"/>
    <w:rsid w:val="00802B79"/>
    <w:rsid w:val="00802D21"/>
    <w:rsid w:val="00802E69"/>
    <w:rsid w:val="00802FFF"/>
    <w:rsid w:val="00804881"/>
    <w:rsid w:val="00804B2B"/>
    <w:rsid w:val="00804C63"/>
    <w:rsid w:val="008050D9"/>
    <w:rsid w:val="0080556B"/>
    <w:rsid w:val="00805A33"/>
    <w:rsid w:val="00806169"/>
    <w:rsid w:val="008066C3"/>
    <w:rsid w:val="00806930"/>
    <w:rsid w:val="00806A28"/>
    <w:rsid w:val="008078FE"/>
    <w:rsid w:val="008108F5"/>
    <w:rsid w:val="00810E5A"/>
    <w:rsid w:val="00810EC2"/>
    <w:rsid w:val="0081161A"/>
    <w:rsid w:val="008116C6"/>
    <w:rsid w:val="0081177B"/>
    <w:rsid w:val="0081216B"/>
    <w:rsid w:val="008136F9"/>
    <w:rsid w:val="00813ED8"/>
    <w:rsid w:val="00814327"/>
    <w:rsid w:val="00814D17"/>
    <w:rsid w:val="0081584F"/>
    <w:rsid w:val="00815B90"/>
    <w:rsid w:val="0081630A"/>
    <w:rsid w:val="008210BD"/>
    <w:rsid w:val="00821757"/>
    <w:rsid w:val="00822048"/>
    <w:rsid w:val="008226DD"/>
    <w:rsid w:val="00822C1D"/>
    <w:rsid w:val="00822C4E"/>
    <w:rsid w:val="00822D04"/>
    <w:rsid w:val="00823B85"/>
    <w:rsid w:val="00823E33"/>
    <w:rsid w:val="00824363"/>
    <w:rsid w:val="0082685A"/>
    <w:rsid w:val="00826D55"/>
    <w:rsid w:val="00827196"/>
    <w:rsid w:val="00827309"/>
    <w:rsid w:val="00827642"/>
    <w:rsid w:val="0083132E"/>
    <w:rsid w:val="00831797"/>
    <w:rsid w:val="008326D3"/>
    <w:rsid w:val="00833208"/>
    <w:rsid w:val="008338D9"/>
    <w:rsid w:val="00833918"/>
    <w:rsid w:val="00834F7A"/>
    <w:rsid w:val="008353FD"/>
    <w:rsid w:val="008357C3"/>
    <w:rsid w:val="00835FB4"/>
    <w:rsid w:val="0083626E"/>
    <w:rsid w:val="00836592"/>
    <w:rsid w:val="00836E46"/>
    <w:rsid w:val="00837049"/>
    <w:rsid w:val="00837051"/>
    <w:rsid w:val="008370AC"/>
    <w:rsid w:val="00837317"/>
    <w:rsid w:val="008376C1"/>
    <w:rsid w:val="008407C4"/>
    <w:rsid w:val="00840A4C"/>
    <w:rsid w:val="008418C9"/>
    <w:rsid w:val="00841AAF"/>
    <w:rsid w:val="00842DE4"/>
    <w:rsid w:val="008433D9"/>
    <w:rsid w:val="00843855"/>
    <w:rsid w:val="008438B2"/>
    <w:rsid w:val="008469E6"/>
    <w:rsid w:val="008500CD"/>
    <w:rsid w:val="008501C9"/>
    <w:rsid w:val="0085035D"/>
    <w:rsid w:val="0085122A"/>
    <w:rsid w:val="008514C5"/>
    <w:rsid w:val="008519BD"/>
    <w:rsid w:val="00851B62"/>
    <w:rsid w:val="00851CBB"/>
    <w:rsid w:val="008526C5"/>
    <w:rsid w:val="0085300F"/>
    <w:rsid w:val="00853C6C"/>
    <w:rsid w:val="00854A6F"/>
    <w:rsid w:val="00855464"/>
    <w:rsid w:val="008554C3"/>
    <w:rsid w:val="008557D8"/>
    <w:rsid w:val="00855B8D"/>
    <w:rsid w:val="00856D8F"/>
    <w:rsid w:val="00856FC2"/>
    <w:rsid w:val="00857334"/>
    <w:rsid w:val="00857B7E"/>
    <w:rsid w:val="008605DE"/>
    <w:rsid w:val="00860A77"/>
    <w:rsid w:val="00861347"/>
    <w:rsid w:val="0086149D"/>
    <w:rsid w:val="00861E55"/>
    <w:rsid w:val="00861E95"/>
    <w:rsid w:val="00862575"/>
    <w:rsid w:val="0086372D"/>
    <w:rsid w:val="00864462"/>
    <w:rsid w:val="008647C4"/>
    <w:rsid w:val="00865F18"/>
    <w:rsid w:val="0086667B"/>
    <w:rsid w:val="008669C6"/>
    <w:rsid w:val="00866B19"/>
    <w:rsid w:val="00866C77"/>
    <w:rsid w:val="0086742B"/>
    <w:rsid w:val="0086752A"/>
    <w:rsid w:val="008705A8"/>
    <w:rsid w:val="00870D71"/>
    <w:rsid w:val="0087130F"/>
    <w:rsid w:val="00871951"/>
    <w:rsid w:val="00871BF3"/>
    <w:rsid w:val="008722A5"/>
    <w:rsid w:val="008726B2"/>
    <w:rsid w:val="008728FF"/>
    <w:rsid w:val="00872BA1"/>
    <w:rsid w:val="00873C10"/>
    <w:rsid w:val="00874095"/>
    <w:rsid w:val="0087411A"/>
    <w:rsid w:val="0087437F"/>
    <w:rsid w:val="0087467F"/>
    <w:rsid w:val="00874A70"/>
    <w:rsid w:val="00874E76"/>
    <w:rsid w:val="00875715"/>
    <w:rsid w:val="008757B7"/>
    <w:rsid w:val="00875DFA"/>
    <w:rsid w:val="00876182"/>
    <w:rsid w:val="008766FB"/>
    <w:rsid w:val="0087701F"/>
    <w:rsid w:val="00877601"/>
    <w:rsid w:val="00877798"/>
    <w:rsid w:val="00877B2B"/>
    <w:rsid w:val="00880438"/>
    <w:rsid w:val="00880817"/>
    <w:rsid w:val="008813A3"/>
    <w:rsid w:val="00881A66"/>
    <w:rsid w:val="00881F97"/>
    <w:rsid w:val="00882549"/>
    <w:rsid w:val="00882794"/>
    <w:rsid w:val="00882A2E"/>
    <w:rsid w:val="00882E04"/>
    <w:rsid w:val="00882E61"/>
    <w:rsid w:val="00884A62"/>
    <w:rsid w:val="00884AF4"/>
    <w:rsid w:val="00884F7E"/>
    <w:rsid w:val="00885797"/>
    <w:rsid w:val="00886697"/>
    <w:rsid w:val="00886EB8"/>
    <w:rsid w:val="00887615"/>
    <w:rsid w:val="008906C1"/>
    <w:rsid w:val="00890FB6"/>
    <w:rsid w:val="00892286"/>
    <w:rsid w:val="00892758"/>
    <w:rsid w:val="00892F9C"/>
    <w:rsid w:val="00893C0A"/>
    <w:rsid w:val="00894A87"/>
    <w:rsid w:val="00896595"/>
    <w:rsid w:val="008966D3"/>
    <w:rsid w:val="008A0DD2"/>
    <w:rsid w:val="008A1390"/>
    <w:rsid w:val="008A2FD9"/>
    <w:rsid w:val="008A369C"/>
    <w:rsid w:val="008A3F83"/>
    <w:rsid w:val="008A3F9D"/>
    <w:rsid w:val="008A4380"/>
    <w:rsid w:val="008A444D"/>
    <w:rsid w:val="008A45C0"/>
    <w:rsid w:val="008A54D9"/>
    <w:rsid w:val="008A601C"/>
    <w:rsid w:val="008A6FB9"/>
    <w:rsid w:val="008A74AF"/>
    <w:rsid w:val="008A7503"/>
    <w:rsid w:val="008B0064"/>
    <w:rsid w:val="008B0E06"/>
    <w:rsid w:val="008B1571"/>
    <w:rsid w:val="008B26FF"/>
    <w:rsid w:val="008B27A3"/>
    <w:rsid w:val="008B2FEF"/>
    <w:rsid w:val="008B3BA6"/>
    <w:rsid w:val="008B62C9"/>
    <w:rsid w:val="008B6503"/>
    <w:rsid w:val="008B6CD0"/>
    <w:rsid w:val="008C0DFC"/>
    <w:rsid w:val="008C12D8"/>
    <w:rsid w:val="008C146F"/>
    <w:rsid w:val="008C16E3"/>
    <w:rsid w:val="008C20B7"/>
    <w:rsid w:val="008C238C"/>
    <w:rsid w:val="008C26B8"/>
    <w:rsid w:val="008C2973"/>
    <w:rsid w:val="008C2A3A"/>
    <w:rsid w:val="008C2BE1"/>
    <w:rsid w:val="008C2FBB"/>
    <w:rsid w:val="008C3265"/>
    <w:rsid w:val="008C33CF"/>
    <w:rsid w:val="008C4A83"/>
    <w:rsid w:val="008C511D"/>
    <w:rsid w:val="008C5951"/>
    <w:rsid w:val="008C5D3A"/>
    <w:rsid w:val="008D0A6B"/>
    <w:rsid w:val="008D1003"/>
    <w:rsid w:val="008D12F1"/>
    <w:rsid w:val="008D3112"/>
    <w:rsid w:val="008D312F"/>
    <w:rsid w:val="008D42B6"/>
    <w:rsid w:val="008D46AA"/>
    <w:rsid w:val="008D4A7C"/>
    <w:rsid w:val="008D5DE8"/>
    <w:rsid w:val="008D5FA4"/>
    <w:rsid w:val="008D729C"/>
    <w:rsid w:val="008D79F2"/>
    <w:rsid w:val="008E0EF3"/>
    <w:rsid w:val="008E1D76"/>
    <w:rsid w:val="008E1F65"/>
    <w:rsid w:val="008E25E6"/>
    <w:rsid w:val="008E31DE"/>
    <w:rsid w:val="008E397C"/>
    <w:rsid w:val="008E3A7E"/>
    <w:rsid w:val="008E3B78"/>
    <w:rsid w:val="008E4748"/>
    <w:rsid w:val="008E5D0F"/>
    <w:rsid w:val="008E6B5D"/>
    <w:rsid w:val="008E7600"/>
    <w:rsid w:val="008F0BDF"/>
    <w:rsid w:val="008F1F30"/>
    <w:rsid w:val="008F2655"/>
    <w:rsid w:val="008F2B32"/>
    <w:rsid w:val="008F37E1"/>
    <w:rsid w:val="008F39E6"/>
    <w:rsid w:val="008F3ADE"/>
    <w:rsid w:val="008F4A67"/>
    <w:rsid w:val="008F4F70"/>
    <w:rsid w:val="008F5747"/>
    <w:rsid w:val="008F6743"/>
    <w:rsid w:val="008F6CB1"/>
    <w:rsid w:val="008F6E99"/>
    <w:rsid w:val="008F746E"/>
    <w:rsid w:val="008F7AFD"/>
    <w:rsid w:val="008F7E60"/>
    <w:rsid w:val="009010B2"/>
    <w:rsid w:val="00901232"/>
    <w:rsid w:val="0090205B"/>
    <w:rsid w:val="00904587"/>
    <w:rsid w:val="00904881"/>
    <w:rsid w:val="00904C41"/>
    <w:rsid w:val="00904D8A"/>
    <w:rsid w:val="0090529B"/>
    <w:rsid w:val="009054BD"/>
    <w:rsid w:val="00905BAA"/>
    <w:rsid w:val="00906367"/>
    <w:rsid w:val="009064C5"/>
    <w:rsid w:val="00907336"/>
    <w:rsid w:val="00907AF9"/>
    <w:rsid w:val="00911451"/>
    <w:rsid w:val="009116F5"/>
    <w:rsid w:val="00911A99"/>
    <w:rsid w:val="00911E70"/>
    <w:rsid w:val="0091235D"/>
    <w:rsid w:val="00912BD4"/>
    <w:rsid w:val="00912E52"/>
    <w:rsid w:val="00913BFB"/>
    <w:rsid w:val="00914C15"/>
    <w:rsid w:val="0091553A"/>
    <w:rsid w:val="00915DDF"/>
    <w:rsid w:val="00917CA6"/>
    <w:rsid w:val="00920232"/>
    <w:rsid w:val="0092048C"/>
    <w:rsid w:val="00920958"/>
    <w:rsid w:val="00920E7F"/>
    <w:rsid w:val="00920FAC"/>
    <w:rsid w:val="00921268"/>
    <w:rsid w:val="00922EC7"/>
    <w:rsid w:val="009232D4"/>
    <w:rsid w:val="00923647"/>
    <w:rsid w:val="0092386E"/>
    <w:rsid w:val="00923D91"/>
    <w:rsid w:val="00924064"/>
    <w:rsid w:val="00924234"/>
    <w:rsid w:val="0092429D"/>
    <w:rsid w:val="009248FB"/>
    <w:rsid w:val="00925301"/>
    <w:rsid w:val="00925D8D"/>
    <w:rsid w:val="0092671D"/>
    <w:rsid w:val="0092672E"/>
    <w:rsid w:val="00926B0A"/>
    <w:rsid w:val="00926E04"/>
    <w:rsid w:val="00926E2A"/>
    <w:rsid w:val="0092702C"/>
    <w:rsid w:val="009272EE"/>
    <w:rsid w:val="00927550"/>
    <w:rsid w:val="00927E5A"/>
    <w:rsid w:val="00927F55"/>
    <w:rsid w:val="009301CF"/>
    <w:rsid w:val="009302BA"/>
    <w:rsid w:val="00931796"/>
    <w:rsid w:val="009324AF"/>
    <w:rsid w:val="0093276C"/>
    <w:rsid w:val="00932B60"/>
    <w:rsid w:val="00932F12"/>
    <w:rsid w:val="00932F8C"/>
    <w:rsid w:val="00933470"/>
    <w:rsid w:val="0093367A"/>
    <w:rsid w:val="00933949"/>
    <w:rsid w:val="009350A9"/>
    <w:rsid w:val="00935499"/>
    <w:rsid w:val="00935852"/>
    <w:rsid w:val="00935DC1"/>
    <w:rsid w:val="009360B8"/>
    <w:rsid w:val="0093630B"/>
    <w:rsid w:val="00937BF0"/>
    <w:rsid w:val="009404B4"/>
    <w:rsid w:val="009414B9"/>
    <w:rsid w:val="00941D72"/>
    <w:rsid w:val="00942519"/>
    <w:rsid w:val="00943A33"/>
    <w:rsid w:val="009444F0"/>
    <w:rsid w:val="009447C6"/>
    <w:rsid w:val="009455AD"/>
    <w:rsid w:val="009459A1"/>
    <w:rsid w:val="00945C3C"/>
    <w:rsid w:val="00945EE4"/>
    <w:rsid w:val="0094690E"/>
    <w:rsid w:val="009471FD"/>
    <w:rsid w:val="0094727E"/>
    <w:rsid w:val="00947D11"/>
    <w:rsid w:val="00950257"/>
    <w:rsid w:val="00950ADF"/>
    <w:rsid w:val="00950E41"/>
    <w:rsid w:val="00952B34"/>
    <w:rsid w:val="00952C21"/>
    <w:rsid w:val="00952D8B"/>
    <w:rsid w:val="009534B8"/>
    <w:rsid w:val="009538A5"/>
    <w:rsid w:val="00953EEF"/>
    <w:rsid w:val="00955681"/>
    <w:rsid w:val="00955E26"/>
    <w:rsid w:val="00956126"/>
    <w:rsid w:val="00956C66"/>
    <w:rsid w:val="00957B99"/>
    <w:rsid w:val="00961BAB"/>
    <w:rsid w:val="00961D0E"/>
    <w:rsid w:val="00962294"/>
    <w:rsid w:val="0096287B"/>
    <w:rsid w:val="00962CC3"/>
    <w:rsid w:val="00962EA3"/>
    <w:rsid w:val="00963118"/>
    <w:rsid w:val="00963459"/>
    <w:rsid w:val="009635E2"/>
    <w:rsid w:val="00963781"/>
    <w:rsid w:val="00963A0E"/>
    <w:rsid w:val="00963A40"/>
    <w:rsid w:val="009645D3"/>
    <w:rsid w:val="0096495F"/>
    <w:rsid w:val="009658F9"/>
    <w:rsid w:val="009659EA"/>
    <w:rsid w:val="00965B3D"/>
    <w:rsid w:val="0096633E"/>
    <w:rsid w:val="00966384"/>
    <w:rsid w:val="009664F0"/>
    <w:rsid w:val="009667F0"/>
    <w:rsid w:val="00966E88"/>
    <w:rsid w:val="00966FC8"/>
    <w:rsid w:val="00966FFE"/>
    <w:rsid w:val="009671B7"/>
    <w:rsid w:val="00967C17"/>
    <w:rsid w:val="009701AB"/>
    <w:rsid w:val="00970C91"/>
    <w:rsid w:val="00970EF1"/>
    <w:rsid w:val="009711EB"/>
    <w:rsid w:val="00971331"/>
    <w:rsid w:val="009718E2"/>
    <w:rsid w:val="00971978"/>
    <w:rsid w:val="00972740"/>
    <w:rsid w:val="00972998"/>
    <w:rsid w:val="009737DB"/>
    <w:rsid w:val="00973C61"/>
    <w:rsid w:val="009751E4"/>
    <w:rsid w:val="00975F45"/>
    <w:rsid w:val="00976376"/>
    <w:rsid w:val="00977042"/>
    <w:rsid w:val="00977346"/>
    <w:rsid w:val="009777A2"/>
    <w:rsid w:val="009777CC"/>
    <w:rsid w:val="009778EF"/>
    <w:rsid w:val="00980F16"/>
    <w:rsid w:val="00981331"/>
    <w:rsid w:val="009818B2"/>
    <w:rsid w:val="00983496"/>
    <w:rsid w:val="009837ED"/>
    <w:rsid w:val="00983C62"/>
    <w:rsid w:val="00983EDE"/>
    <w:rsid w:val="00985742"/>
    <w:rsid w:val="00985894"/>
    <w:rsid w:val="00986848"/>
    <w:rsid w:val="009876AE"/>
    <w:rsid w:val="00987C16"/>
    <w:rsid w:val="009915E1"/>
    <w:rsid w:val="00991814"/>
    <w:rsid w:val="009918BB"/>
    <w:rsid w:val="00991E12"/>
    <w:rsid w:val="0099288C"/>
    <w:rsid w:val="009932A5"/>
    <w:rsid w:val="00993A7D"/>
    <w:rsid w:val="00993EDB"/>
    <w:rsid w:val="00994AF3"/>
    <w:rsid w:val="00995897"/>
    <w:rsid w:val="00995C5E"/>
    <w:rsid w:val="009967B8"/>
    <w:rsid w:val="0099777A"/>
    <w:rsid w:val="00997A2D"/>
    <w:rsid w:val="00997E3D"/>
    <w:rsid w:val="009A0033"/>
    <w:rsid w:val="009A06E3"/>
    <w:rsid w:val="009A0B8F"/>
    <w:rsid w:val="009A0CCF"/>
    <w:rsid w:val="009A0DCF"/>
    <w:rsid w:val="009A0F5D"/>
    <w:rsid w:val="009A1262"/>
    <w:rsid w:val="009A24FF"/>
    <w:rsid w:val="009A25F6"/>
    <w:rsid w:val="009A34CB"/>
    <w:rsid w:val="009A361E"/>
    <w:rsid w:val="009A40B5"/>
    <w:rsid w:val="009A42FF"/>
    <w:rsid w:val="009A4348"/>
    <w:rsid w:val="009A4718"/>
    <w:rsid w:val="009A48D1"/>
    <w:rsid w:val="009A4DB5"/>
    <w:rsid w:val="009A4DED"/>
    <w:rsid w:val="009A5374"/>
    <w:rsid w:val="009A6554"/>
    <w:rsid w:val="009A7D36"/>
    <w:rsid w:val="009A7D93"/>
    <w:rsid w:val="009B0694"/>
    <w:rsid w:val="009B0EE7"/>
    <w:rsid w:val="009B128E"/>
    <w:rsid w:val="009B132C"/>
    <w:rsid w:val="009B273F"/>
    <w:rsid w:val="009B276C"/>
    <w:rsid w:val="009B290F"/>
    <w:rsid w:val="009B35B4"/>
    <w:rsid w:val="009B4B64"/>
    <w:rsid w:val="009B632D"/>
    <w:rsid w:val="009B6CF0"/>
    <w:rsid w:val="009B713A"/>
    <w:rsid w:val="009B72B4"/>
    <w:rsid w:val="009C0149"/>
    <w:rsid w:val="009C02A8"/>
    <w:rsid w:val="009C0354"/>
    <w:rsid w:val="009C0C00"/>
    <w:rsid w:val="009C1282"/>
    <w:rsid w:val="009C1306"/>
    <w:rsid w:val="009C13FC"/>
    <w:rsid w:val="009C151E"/>
    <w:rsid w:val="009C1E4E"/>
    <w:rsid w:val="009C309A"/>
    <w:rsid w:val="009C3CB2"/>
    <w:rsid w:val="009C4401"/>
    <w:rsid w:val="009C46BF"/>
    <w:rsid w:val="009C476E"/>
    <w:rsid w:val="009C4923"/>
    <w:rsid w:val="009C5457"/>
    <w:rsid w:val="009C55DD"/>
    <w:rsid w:val="009C62E8"/>
    <w:rsid w:val="009C678B"/>
    <w:rsid w:val="009C6DCE"/>
    <w:rsid w:val="009C763F"/>
    <w:rsid w:val="009C7893"/>
    <w:rsid w:val="009D076D"/>
    <w:rsid w:val="009D08AB"/>
    <w:rsid w:val="009D129F"/>
    <w:rsid w:val="009D18EF"/>
    <w:rsid w:val="009D1AF5"/>
    <w:rsid w:val="009D1C74"/>
    <w:rsid w:val="009D2098"/>
    <w:rsid w:val="009D2396"/>
    <w:rsid w:val="009D33C1"/>
    <w:rsid w:val="009D388D"/>
    <w:rsid w:val="009D3D07"/>
    <w:rsid w:val="009D505F"/>
    <w:rsid w:val="009D550F"/>
    <w:rsid w:val="009D5DB4"/>
    <w:rsid w:val="009D5E72"/>
    <w:rsid w:val="009D6676"/>
    <w:rsid w:val="009D707B"/>
    <w:rsid w:val="009D720A"/>
    <w:rsid w:val="009D738F"/>
    <w:rsid w:val="009D75E9"/>
    <w:rsid w:val="009D767A"/>
    <w:rsid w:val="009E0579"/>
    <w:rsid w:val="009E20C3"/>
    <w:rsid w:val="009E2AFD"/>
    <w:rsid w:val="009E38B0"/>
    <w:rsid w:val="009E3EBF"/>
    <w:rsid w:val="009E67DF"/>
    <w:rsid w:val="009E6949"/>
    <w:rsid w:val="009E726A"/>
    <w:rsid w:val="009E75B3"/>
    <w:rsid w:val="009E76A4"/>
    <w:rsid w:val="009E772D"/>
    <w:rsid w:val="009E7F9D"/>
    <w:rsid w:val="009F0D4D"/>
    <w:rsid w:val="009F23F1"/>
    <w:rsid w:val="009F3374"/>
    <w:rsid w:val="009F4286"/>
    <w:rsid w:val="009F43E2"/>
    <w:rsid w:val="009F4564"/>
    <w:rsid w:val="009F45EC"/>
    <w:rsid w:val="009F4AB0"/>
    <w:rsid w:val="009F5247"/>
    <w:rsid w:val="009F545A"/>
    <w:rsid w:val="009F571C"/>
    <w:rsid w:val="009F6418"/>
    <w:rsid w:val="009F6B52"/>
    <w:rsid w:val="009F6E66"/>
    <w:rsid w:val="009F73F4"/>
    <w:rsid w:val="009F775C"/>
    <w:rsid w:val="009F7C45"/>
    <w:rsid w:val="009F7F61"/>
    <w:rsid w:val="00A00F69"/>
    <w:rsid w:val="00A01A7E"/>
    <w:rsid w:val="00A02178"/>
    <w:rsid w:val="00A02C99"/>
    <w:rsid w:val="00A036BB"/>
    <w:rsid w:val="00A03760"/>
    <w:rsid w:val="00A041D7"/>
    <w:rsid w:val="00A042C1"/>
    <w:rsid w:val="00A0465E"/>
    <w:rsid w:val="00A04DC6"/>
    <w:rsid w:val="00A0573A"/>
    <w:rsid w:val="00A05885"/>
    <w:rsid w:val="00A05A65"/>
    <w:rsid w:val="00A06199"/>
    <w:rsid w:val="00A0629D"/>
    <w:rsid w:val="00A0687F"/>
    <w:rsid w:val="00A06BCC"/>
    <w:rsid w:val="00A076E4"/>
    <w:rsid w:val="00A07B27"/>
    <w:rsid w:val="00A07DC0"/>
    <w:rsid w:val="00A10135"/>
    <w:rsid w:val="00A10CCE"/>
    <w:rsid w:val="00A11116"/>
    <w:rsid w:val="00A116A5"/>
    <w:rsid w:val="00A128D5"/>
    <w:rsid w:val="00A12BB6"/>
    <w:rsid w:val="00A132CF"/>
    <w:rsid w:val="00A13419"/>
    <w:rsid w:val="00A13AB6"/>
    <w:rsid w:val="00A14AD6"/>
    <w:rsid w:val="00A1503A"/>
    <w:rsid w:val="00A157CB"/>
    <w:rsid w:val="00A15B2F"/>
    <w:rsid w:val="00A17214"/>
    <w:rsid w:val="00A17292"/>
    <w:rsid w:val="00A17465"/>
    <w:rsid w:val="00A211A0"/>
    <w:rsid w:val="00A2181D"/>
    <w:rsid w:val="00A21994"/>
    <w:rsid w:val="00A21B8C"/>
    <w:rsid w:val="00A21D87"/>
    <w:rsid w:val="00A22AEA"/>
    <w:rsid w:val="00A22B53"/>
    <w:rsid w:val="00A23355"/>
    <w:rsid w:val="00A23A9A"/>
    <w:rsid w:val="00A23FEE"/>
    <w:rsid w:val="00A24099"/>
    <w:rsid w:val="00A241E2"/>
    <w:rsid w:val="00A24453"/>
    <w:rsid w:val="00A244C6"/>
    <w:rsid w:val="00A25DF8"/>
    <w:rsid w:val="00A26375"/>
    <w:rsid w:val="00A2652F"/>
    <w:rsid w:val="00A268E6"/>
    <w:rsid w:val="00A269A6"/>
    <w:rsid w:val="00A26EFD"/>
    <w:rsid w:val="00A27B2B"/>
    <w:rsid w:val="00A30217"/>
    <w:rsid w:val="00A302BD"/>
    <w:rsid w:val="00A30A2F"/>
    <w:rsid w:val="00A30C8D"/>
    <w:rsid w:val="00A30F28"/>
    <w:rsid w:val="00A31972"/>
    <w:rsid w:val="00A3200F"/>
    <w:rsid w:val="00A32109"/>
    <w:rsid w:val="00A325F8"/>
    <w:rsid w:val="00A32698"/>
    <w:rsid w:val="00A32ACC"/>
    <w:rsid w:val="00A334EF"/>
    <w:rsid w:val="00A33D55"/>
    <w:rsid w:val="00A33FAA"/>
    <w:rsid w:val="00A34335"/>
    <w:rsid w:val="00A3459F"/>
    <w:rsid w:val="00A34910"/>
    <w:rsid w:val="00A34AC5"/>
    <w:rsid w:val="00A34E27"/>
    <w:rsid w:val="00A34E67"/>
    <w:rsid w:val="00A351C7"/>
    <w:rsid w:val="00A36ACC"/>
    <w:rsid w:val="00A36CDB"/>
    <w:rsid w:val="00A3751B"/>
    <w:rsid w:val="00A3758D"/>
    <w:rsid w:val="00A3765B"/>
    <w:rsid w:val="00A37D72"/>
    <w:rsid w:val="00A37E56"/>
    <w:rsid w:val="00A402DA"/>
    <w:rsid w:val="00A403BD"/>
    <w:rsid w:val="00A40753"/>
    <w:rsid w:val="00A40CCB"/>
    <w:rsid w:val="00A41367"/>
    <w:rsid w:val="00A4144C"/>
    <w:rsid w:val="00A41535"/>
    <w:rsid w:val="00A41A28"/>
    <w:rsid w:val="00A437BA"/>
    <w:rsid w:val="00A441D3"/>
    <w:rsid w:val="00A4424B"/>
    <w:rsid w:val="00A443BB"/>
    <w:rsid w:val="00A44C18"/>
    <w:rsid w:val="00A44E32"/>
    <w:rsid w:val="00A45298"/>
    <w:rsid w:val="00A452BC"/>
    <w:rsid w:val="00A45D25"/>
    <w:rsid w:val="00A46692"/>
    <w:rsid w:val="00A47CEA"/>
    <w:rsid w:val="00A47DC2"/>
    <w:rsid w:val="00A506DC"/>
    <w:rsid w:val="00A51381"/>
    <w:rsid w:val="00A52DCF"/>
    <w:rsid w:val="00A54EA0"/>
    <w:rsid w:val="00A55B80"/>
    <w:rsid w:val="00A56358"/>
    <w:rsid w:val="00A566A9"/>
    <w:rsid w:val="00A56A71"/>
    <w:rsid w:val="00A56BF1"/>
    <w:rsid w:val="00A56DF6"/>
    <w:rsid w:val="00A56FD9"/>
    <w:rsid w:val="00A574C6"/>
    <w:rsid w:val="00A60547"/>
    <w:rsid w:val="00A6112E"/>
    <w:rsid w:val="00A6118C"/>
    <w:rsid w:val="00A61406"/>
    <w:rsid w:val="00A623C3"/>
    <w:rsid w:val="00A62CB1"/>
    <w:rsid w:val="00A6319F"/>
    <w:rsid w:val="00A6382A"/>
    <w:rsid w:val="00A641A0"/>
    <w:rsid w:val="00A64646"/>
    <w:rsid w:val="00A64A5D"/>
    <w:rsid w:val="00A64F3E"/>
    <w:rsid w:val="00A65160"/>
    <w:rsid w:val="00A65886"/>
    <w:rsid w:val="00A659B5"/>
    <w:rsid w:val="00A66E9C"/>
    <w:rsid w:val="00A675D7"/>
    <w:rsid w:val="00A676E6"/>
    <w:rsid w:val="00A67A2C"/>
    <w:rsid w:val="00A67B2E"/>
    <w:rsid w:val="00A71249"/>
    <w:rsid w:val="00A71E3D"/>
    <w:rsid w:val="00A725B6"/>
    <w:rsid w:val="00A72A95"/>
    <w:rsid w:val="00A72BBC"/>
    <w:rsid w:val="00A7307E"/>
    <w:rsid w:val="00A73147"/>
    <w:rsid w:val="00A732A7"/>
    <w:rsid w:val="00A73385"/>
    <w:rsid w:val="00A733E2"/>
    <w:rsid w:val="00A73490"/>
    <w:rsid w:val="00A73A59"/>
    <w:rsid w:val="00A73EBA"/>
    <w:rsid w:val="00A74016"/>
    <w:rsid w:val="00A7431E"/>
    <w:rsid w:val="00A745A5"/>
    <w:rsid w:val="00A75380"/>
    <w:rsid w:val="00A754C2"/>
    <w:rsid w:val="00A75C76"/>
    <w:rsid w:val="00A7642C"/>
    <w:rsid w:val="00A76BD4"/>
    <w:rsid w:val="00A76CEC"/>
    <w:rsid w:val="00A7748C"/>
    <w:rsid w:val="00A778EE"/>
    <w:rsid w:val="00A77CC7"/>
    <w:rsid w:val="00A8013E"/>
    <w:rsid w:val="00A81129"/>
    <w:rsid w:val="00A82EFE"/>
    <w:rsid w:val="00A84202"/>
    <w:rsid w:val="00A86285"/>
    <w:rsid w:val="00A86C55"/>
    <w:rsid w:val="00A87A39"/>
    <w:rsid w:val="00A87AD4"/>
    <w:rsid w:val="00A90526"/>
    <w:rsid w:val="00A90704"/>
    <w:rsid w:val="00A90A88"/>
    <w:rsid w:val="00A913AC"/>
    <w:rsid w:val="00A9173C"/>
    <w:rsid w:val="00A91A64"/>
    <w:rsid w:val="00A92277"/>
    <w:rsid w:val="00A92929"/>
    <w:rsid w:val="00A92F1E"/>
    <w:rsid w:val="00A93ECF"/>
    <w:rsid w:val="00A9531C"/>
    <w:rsid w:val="00A957B9"/>
    <w:rsid w:val="00A95BAB"/>
    <w:rsid w:val="00A95D68"/>
    <w:rsid w:val="00A96279"/>
    <w:rsid w:val="00A9655B"/>
    <w:rsid w:val="00A966F8"/>
    <w:rsid w:val="00A9780B"/>
    <w:rsid w:val="00A978CB"/>
    <w:rsid w:val="00AA0803"/>
    <w:rsid w:val="00AA0A3C"/>
    <w:rsid w:val="00AA0A4A"/>
    <w:rsid w:val="00AA0C84"/>
    <w:rsid w:val="00AA11B7"/>
    <w:rsid w:val="00AA2310"/>
    <w:rsid w:val="00AA233A"/>
    <w:rsid w:val="00AA2839"/>
    <w:rsid w:val="00AA2D02"/>
    <w:rsid w:val="00AA361C"/>
    <w:rsid w:val="00AA3809"/>
    <w:rsid w:val="00AA40C2"/>
    <w:rsid w:val="00AA4106"/>
    <w:rsid w:val="00AA5A79"/>
    <w:rsid w:val="00AA5FD3"/>
    <w:rsid w:val="00AA6019"/>
    <w:rsid w:val="00AA6A77"/>
    <w:rsid w:val="00AA7A48"/>
    <w:rsid w:val="00AB0B94"/>
    <w:rsid w:val="00AB0F1D"/>
    <w:rsid w:val="00AB141B"/>
    <w:rsid w:val="00AB1556"/>
    <w:rsid w:val="00AB16D7"/>
    <w:rsid w:val="00AB1CD8"/>
    <w:rsid w:val="00AB1CEC"/>
    <w:rsid w:val="00AB1DD5"/>
    <w:rsid w:val="00AB1F72"/>
    <w:rsid w:val="00AB21C2"/>
    <w:rsid w:val="00AB2349"/>
    <w:rsid w:val="00AB2443"/>
    <w:rsid w:val="00AB29F0"/>
    <w:rsid w:val="00AB2C77"/>
    <w:rsid w:val="00AB2D0A"/>
    <w:rsid w:val="00AB5823"/>
    <w:rsid w:val="00AB5A13"/>
    <w:rsid w:val="00AB5C55"/>
    <w:rsid w:val="00AB5EA0"/>
    <w:rsid w:val="00AB5F6A"/>
    <w:rsid w:val="00AB671E"/>
    <w:rsid w:val="00AB7D50"/>
    <w:rsid w:val="00AC07DE"/>
    <w:rsid w:val="00AC0B1E"/>
    <w:rsid w:val="00AC0F85"/>
    <w:rsid w:val="00AC155E"/>
    <w:rsid w:val="00AC1827"/>
    <w:rsid w:val="00AC1C4F"/>
    <w:rsid w:val="00AC1CF3"/>
    <w:rsid w:val="00AC1E77"/>
    <w:rsid w:val="00AC2165"/>
    <w:rsid w:val="00AC2536"/>
    <w:rsid w:val="00AC2BC4"/>
    <w:rsid w:val="00AC2E7C"/>
    <w:rsid w:val="00AC2E96"/>
    <w:rsid w:val="00AC4760"/>
    <w:rsid w:val="00AC5396"/>
    <w:rsid w:val="00AC6007"/>
    <w:rsid w:val="00AC67E7"/>
    <w:rsid w:val="00AC7551"/>
    <w:rsid w:val="00AC7671"/>
    <w:rsid w:val="00AC7B25"/>
    <w:rsid w:val="00AC7C4F"/>
    <w:rsid w:val="00AC7EC0"/>
    <w:rsid w:val="00AD1460"/>
    <w:rsid w:val="00AD1F90"/>
    <w:rsid w:val="00AD20F9"/>
    <w:rsid w:val="00AD26C0"/>
    <w:rsid w:val="00AD28BB"/>
    <w:rsid w:val="00AD37AA"/>
    <w:rsid w:val="00AD4442"/>
    <w:rsid w:val="00AD44EB"/>
    <w:rsid w:val="00AD49A8"/>
    <w:rsid w:val="00AD58D4"/>
    <w:rsid w:val="00AD668D"/>
    <w:rsid w:val="00AD6809"/>
    <w:rsid w:val="00AD6E69"/>
    <w:rsid w:val="00AD717C"/>
    <w:rsid w:val="00AD757F"/>
    <w:rsid w:val="00AE02A8"/>
    <w:rsid w:val="00AE02ED"/>
    <w:rsid w:val="00AE0A59"/>
    <w:rsid w:val="00AE14EF"/>
    <w:rsid w:val="00AE1F26"/>
    <w:rsid w:val="00AE2205"/>
    <w:rsid w:val="00AE2764"/>
    <w:rsid w:val="00AE28DE"/>
    <w:rsid w:val="00AE28EF"/>
    <w:rsid w:val="00AE29FA"/>
    <w:rsid w:val="00AE2F18"/>
    <w:rsid w:val="00AE36BB"/>
    <w:rsid w:val="00AE4E65"/>
    <w:rsid w:val="00AE50F2"/>
    <w:rsid w:val="00AE5947"/>
    <w:rsid w:val="00AE599D"/>
    <w:rsid w:val="00AE6044"/>
    <w:rsid w:val="00AE65BE"/>
    <w:rsid w:val="00AE6E82"/>
    <w:rsid w:val="00AE7B9F"/>
    <w:rsid w:val="00AF0CFF"/>
    <w:rsid w:val="00AF14BB"/>
    <w:rsid w:val="00AF1ABB"/>
    <w:rsid w:val="00AF2F3C"/>
    <w:rsid w:val="00AF30C4"/>
    <w:rsid w:val="00AF33A7"/>
    <w:rsid w:val="00AF4700"/>
    <w:rsid w:val="00AF4D81"/>
    <w:rsid w:val="00AF4E9D"/>
    <w:rsid w:val="00AF5497"/>
    <w:rsid w:val="00AF58A4"/>
    <w:rsid w:val="00AF5A82"/>
    <w:rsid w:val="00AF5E31"/>
    <w:rsid w:val="00AF5F59"/>
    <w:rsid w:val="00AF640C"/>
    <w:rsid w:val="00AF6AEA"/>
    <w:rsid w:val="00B00F7A"/>
    <w:rsid w:val="00B013CE"/>
    <w:rsid w:val="00B01816"/>
    <w:rsid w:val="00B027ED"/>
    <w:rsid w:val="00B03049"/>
    <w:rsid w:val="00B0370E"/>
    <w:rsid w:val="00B037C0"/>
    <w:rsid w:val="00B0393B"/>
    <w:rsid w:val="00B03987"/>
    <w:rsid w:val="00B03DED"/>
    <w:rsid w:val="00B048EB"/>
    <w:rsid w:val="00B04E39"/>
    <w:rsid w:val="00B05110"/>
    <w:rsid w:val="00B06052"/>
    <w:rsid w:val="00B0606B"/>
    <w:rsid w:val="00B0621B"/>
    <w:rsid w:val="00B062B3"/>
    <w:rsid w:val="00B062E1"/>
    <w:rsid w:val="00B069D5"/>
    <w:rsid w:val="00B072D4"/>
    <w:rsid w:val="00B07315"/>
    <w:rsid w:val="00B07341"/>
    <w:rsid w:val="00B07A40"/>
    <w:rsid w:val="00B07CE3"/>
    <w:rsid w:val="00B108AA"/>
    <w:rsid w:val="00B115E8"/>
    <w:rsid w:val="00B11E33"/>
    <w:rsid w:val="00B11EAE"/>
    <w:rsid w:val="00B1205C"/>
    <w:rsid w:val="00B122D9"/>
    <w:rsid w:val="00B12760"/>
    <w:rsid w:val="00B12F7D"/>
    <w:rsid w:val="00B13A65"/>
    <w:rsid w:val="00B13D95"/>
    <w:rsid w:val="00B14241"/>
    <w:rsid w:val="00B14725"/>
    <w:rsid w:val="00B14D48"/>
    <w:rsid w:val="00B14FE5"/>
    <w:rsid w:val="00B15E11"/>
    <w:rsid w:val="00B15F4B"/>
    <w:rsid w:val="00B15F67"/>
    <w:rsid w:val="00B16798"/>
    <w:rsid w:val="00B16B51"/>
    <w:rsid w:val="00B1701E"/>
    <w:rsid w:val="00B17024"/>
    <w:rsid w:val="00B1767F"/>
    <w:rsid w:val="00B17AA4"/>
    <w:rsid w:val="00B2010C"/>
    <w:rsid w:val="00B2012F"/>
    <w:rsid w:val="00B20635"/>
    <w:rsid w:val="00B208AD"/>
    <w:rsid w:val="00B20BE7"/>
    <w:rsid w:val="00B21018"/>
    <w:rsid w:val="00B2154C"/>
    <w:rsid w:val="00B218E9"/>
    <w:rsid w:val="00B218F4"/>
    <w:rsid w:val="00B219A5"/>
    <w:rsid w:val="00B21EB2"/>
    <w:rsid w:val="00B22061"/>
    <w:rsid w:val="00B22C22"/>
    <w:rsid w:val="00B23940"/>
    <w:rsid w:val="00B23B05"/>
    <w:rsid w:val="00B23DCD"/>
    <w:rsid w:val="00B24C88"/>
    <w:rsid w:val="00B2572C"/>
    <w:rsid w:val="00B259FD"/>
    <w:rsid w:val="00B25B8B"/>
    <w:rsid w:val="00B25B9A"/>
    <w:rsid w:val="00B25BAB"/>
    <w:rsid w:val="00B26338"/>
    <w:rsid w:val="00B26F15"/>
    <w:rsid w:val="00B27106"/>
    <w:rsid w:val="00B309DD"/>
    <w:rsid w:val="00B311DB"/>
    <w:rsid w:val="00B318AF"/>
    <w:rsid w:val="00B321E2"/>
    <w:rsid w:val="00B32828"/>
    <w:rsid w:val="00B32980"/>
    <w:rsid w:val="00B33CD1"/>
    <w:rsid w:val="00B3410B"/>
    <w:rsid w:val="00B34621"/>
    <w:rsid w:val="00B34C2A"/>
    <w:rsid w:val="00B34FEE"/>
    <w:rsid w:val="00B353E0"/>
    <w:rsid w:val="00B35523"/>
    <w:rsid w:val="00B35F2E"/>
    <w:rsid w:val="00B36077"/>
    <w:rsid w:val="00B36517"/>
    <w:rsid w:val="00B36854"/>
    <w:rsid w:val="00B36A0A"/>
    <w:rsid w:val="00B372CB"/>
    <w:rsid w:val="00B404A5"/>
    <w:rsid w:val="00B409CB"/>
    <w:rsid w:val="00B41AA7"/>
    <w:rsid w:val="00B42711"/>
    <w:rsid w:val="00B42A44"/>
    <w:rsid w:val="00B4304D"/>
    <w:rsid w:val="00B434B7"/>
    <w:rsid w:val="00B43A1F"/>
    <w:rsid w:val="00B44304"/>
    <w:rsid w:val="00B445A9"/>
    <w:rsid w:val="00B447B5"/>
    <w:rsid w:val="00B4491D"/>
    <w:rsid w:val="00B45486"/>
    <w:rsid w:val="00B458BB"/>
    <w:rsid w:val="00B45F03"/>
    <w:rsid w:val="00B46A72"/>
    <w:rsid w:val="00B46C88"/>
    <w:rsid w:val="00B46DE6"/>
    <w:rsid w:val="00B46F80"/>
    <w:rsid w:val="00B470A0"/>
    <w:rsid w:val="00B475FD"/>
    <w:rsid w:val="00B47954"/>
    <w:rsid w:val="00B47EC1"/>
    <w:rsid w:val="00B47F4C"/>
    <w:rsid w:val="00B501F0"/>
    <w:rsid w:val="00B50AB5"/>
    <w:rsid w:val="00B52F7F"/>
    <w:rsid w:val="00B533EF"/>
    <w:rsid w:val="00B536B2"/>
    <w:rsid w:val="00B5374A"/>
    <w:rsid w:val="00B53B22"/>
    <w:rsid w:val="00B5413D"/>
    <w:rsid w:val="00B5446A"/>
    <w:rsid w:val="00B5491C"/>
    <w:rsid w:val="00B55C1E"/>
    <w:rsid w:val="00B563CD"/>
    <w:rsid w:val="00B564CA"/>
    <w:rsid w:val="00B56759"/>
    <w:rsid w:val="00B56A98"/>
    <w:rsid w:val="00B57002"/>
    <w:rsid w:val="00B5770E"/>
    <w:rsid w:val="00B579E6"/>
    <w:rsid w:val="00B57CB7"/>
    <w:rsid w:val="00B606CD"/>
    <w:rsid w:val="00B6085D"/>
    <w:rsid w:val="00B60896"/>
    <w:rsid w:val="00B60FA7"/>
    <w:rsid w:val="00B623A6"/>
    <w:rsid w:val="00B628EE"/>
    <w:rsid w:val="00B632BA"/>
    <w:rsid w:val="00B634D9"/>
    <w:rsid w:val="00B63809"/>
    <w:rsid w:val="00B63F3F"/>
    <w:rsid w:val="00B6446E"/>
    <w:rsid w:val="00B65D90"/>
    <w:rsid w:val="00B65FAE"/>
    <w:rsid w:val="00B66637"/>
    <w:rsid w:val="00B66A27"/>
    <w:rsid w:val="00B6755E"/>
    <w:rsid w:val="00B7068C"/>
    <w:rsid w:val="00B70E88"/>
    <w:rsid w:val="00B71854"/>
    <w:rsid w:val="00B71B7D"/>
    <w:rsid w:val="00B72169"/>
    <w:rsid w:val="00B7259C"/>
    <w:rsid w:val="00B73107"/>
    <w:rsid w:val="00B7392A"/>
    <w:rsid w:val="00B73A60"/>
    <w:rsid w:val="00B73D0E"/>
    <w:rsid w:val="00B74E15"/>
    <w:rsid w:val="00B75193"/>
    <w:rsid w:val="00B7723A"/>
    <w:rsid w:val="00B77CBA"/>
    <w:rsid w:val="00B77D9A"/>
    <w:rsid w:val="00B808FB"/>
    <w:rsid w:val="00B80CFF"/>
    <w:rsid w:val="00B81A20"/>
    <w:rsid w:val="00B82EE7"/>
    <w:rsid w:val="00B8356B"/>
    <w:rsid w:val="00B836FC"/>
    <w:rsid w:val="00B8663E"/>
    <w:rsid w:val="00B87B37"/>
    <w:rsid w:val="00B87BEA"/>
    <w:rsid w:val="00B900C9"/>
    <w:rsid w:val="00B906C1"/>
    <w:rsid w:val="00B90767"/>
    <w:rsid w:val="00B91117"/>
    <w:rsid w:val="00B9145B"/>
    <w:rsid w:val="00B91A54"/>
    <w:rsid w:val="00B91C93"/>
    <w:rsid w:val="00B926E1"/>
    <w:rsid w:val="00B9286B"/>
    <w:rsid w:val="00B92A79"/>
    <w:rsid w:val="00B92C1D"/>
    <w:rsid w:val="00B92EB3"/>
    <w:rsid w:val="00B93813"/>
    <w:rsid w:val="00B93AA9"/>
    <w:rsid w:val="00B93AFF"/>
    <w:rsid w:val="00B947FB"/>
    <w:rsid w:val="00B94DD3"/>
    <w:rsid w:val="00B95A3D"/>
    <w:rsid w:val="00B965C0"/>
    <w:rsid w:val="00B97229"/>
    <w:rsid w:val="00B97669"/>
    <w:rsid w:val="00BA04C3"/>
    <w:rsid w:val="00BA0CC5"/>
    <w:rsid w:val="00BA1A6A"/>
    <w:rsid w:val="00BA1B9E"/>
    <w:rsid w:val="00BA3939"/>
    <w:rsid w:val="00BA4531"/>
    <w:rsid w:val="00BA482E"/>
    <w:rsid w:val="00BA61D3"/>
    <w:rsid w:val="00BB036C"/>
    <w:rsid w:val="00BB06B7"/>
    <w:rsid w:val="00BB0B12"/>
    <w:rsid w:val="00BB170B"/>
    <w:rsid w:val="00BB1720"/>
    <w:rsid w:val="00BB17DA"/>
    <w:rsid w:val="00BB3F6B"/>
    <w:rsid w:val="00BB45C5"/>
    <w:rsid w:val="00BB47D0"/>
    <w:rsid w:val="00BB4ED3"/>
    <w:rsid w:val="00BB56F8"/>
    <w:rsid w:val="00BB5710"/>
    <w:rsid w:val="00BB5975"/>
    <w:rsid w:val="00BB62B2"/>
    <w:rsid w:val="00BB6317"/>
    <w:rsid w:val="00BB6361"/>
    <w:rsid w:val="00BB69D2"/>
    <w:rsid w:val="00BB71C8"/>
    <w:rsid w:val="00BC05A8"/>
    <w:rsid w:val="00BC12FE"/>
    <w:rsid w:val="00BC1B3D"/>
    <w:rsid w:val="00BC2F93"/>
    <w:rsid w:val="00BC43FC"/>
    <w:rsid w:val="00BC4A14"/>
    <w:rsid w:val="00BC52CE"/>
    <w:rsid w:val="00BC5384"/>
    <w:rsid w:val="00BC5BC6"/>
    <w:rsid w:val="00BC5DB8"/>
    <w:rsid w:val="00BC5E20"/>
    <w:rsid w:val="00BC68D4"/>
    <w:rsid w:val="00BC715B"/>
    <w:rsid w:val="00BC769B"/>
    <w:rsid w:val="00BC7ABE"/>
    <w:rsid w:val="00BD03FA"/>
    <w:rsid w:val="00BD0B2B"/>
    <w:rsid w:val="00BD0B70"/>
    <w:rsid w:val="00BD0E80"/>
    <w:rsid w:val="00BD2FD9"/>
    <w:rsid w:val="00BD3533"/>
    <w:rsid w:val="00BD440B"/>
    <w:rsid w:val="00BD4606"/>
    <w:rsid w:val="00BD52E8"/>
    <w:rsid w:val="00BD54C2"/>
    <w:rsid w:val="00BD5CF4"/>
    <w:rsid w:val="00BD62D7"/>
    <w:rsid w:val="00BD7884"/>
    <w:rsid w:val="00BE0D88"/>
    <w:rsid w:val="00BE106F"/>
    <w:rsid w:val="00BE12E2"/>
    <w:rsid w:val="00BE2357"/>
    <w:rsid w:val="00BE245A"/>
    <w:rsid w:val="00BE27BA"/>
    <w:rsid w:val="00BE28D6"/>
    <w:rsid w:val="00BE28D7"/>
    <w:rsid w:val="00BE30DE"/>
    <w:rsid w:val="00BE38E5"/>
    <w:rsid w:val="00BE3CE2"/>
    <w:rsid w:val="00BE3DD3"/>
    <w:rsid w:val="00BE3E5B"/>
    <w:rsid w:val="00BE47B9"/>
    <w:rsid w:val="00BE536D"/>
    <w:rsid w:val="00BE662D"/>
    <w:rsid w:val="00BE6EA0"/>
    <w:rsid w:val="00BE6EB1"/>
    <w:rsid w:val="00BE79C9"/>
    <w:rsid w:val="00BE7EE6"/>
    <w:rsid w:val="00BF1865"/>
    <w:rsid w:val="00BF1FEA"/>
    <w:rsid w:val="00BF241C"/>
    <w:rsid w:val="00BF3609"/>
    <w:rsid w:val="00BF394B"/>
    <w:rsid w:val="00BF46F0"/>
    <w:rsid w:val="00BF486C"/>
    <w:rsid w:val="00BF640F"/>
    <w:rsid w:val="00BF69EC"/>
    <w:rsid w:val="00BF6D80"/>
    <w:rsid w:val="00BF702C"/>
    <w:rsid w:val="00BF7DC8"/>
    <w:rsid w:val="00C0061A"/>
    <w:rsid w:val="00C007D2"/>
    <w:rsid w:val="00C00B9A"/>
    <w:rsid w:val="00C01068"/>
    <w:rsid w:val="00C01ACC"/>
    <w:rsid w:val="00C02B74"/>
    <w:rsid w:val="00C032B4"/>
    <w:rsid w:val="00C03AF8"/>
    <w:rsid w:val="00C03DBA"/>
    <w:rsid w:val="00C052E9"/>
    <w:rsid w:val="00C06039"/>
    <w:rsid w:val="00C062FE"/>
    <w:rsid w:val="00C0688A"/>
    <w:rsid w:val="00C069B0"/>
    <w:rsid w:val="00C10AAC"/>
    <w:rsid w:val="00C10B51"/>
    <w:rsid w:val="00C1126B"/>
    <w:rsid w:val="00C1126C"/>
    <w:rsid w:val="00C11555"/>
    <w:rsid w:val="00C116A0"/>
    <w:rsid w:val="00C118EE"/>
    <w:rsid w:val="00C12069"/>
    <w:rsid w:val="00C1266D"/>
    <w:rsid w:val="00C1311F"/>
    <w:rsid w:val="00C14D2B"/>
    <w:rsid w:val="00C14D93"/>
    <w:rsid w:val="00C15A7C"/>
    <w:rsid w:val="00C15CDB"/>
    <w:rsid w:val="00C160D6"/>
    <w:rsid w:val="00C163F7"/>
    <w:rsid w:val="00C1759F"/>
    <w:rsid w:val="00C1791E"/>
    <w:rsid w:val="00C17A90"/>
    <w:rsid w:val="00C20D36"/>
    <w:rsid w:val="00C20DEA"/>
    <w:rsid w:val="00C21EBD"/>
    <w:rsid w:val="00C22F51"/>
    <w:rsid w:val="00C238F9"/>
    <w:rsid w:val="00C2396A"/>
    <w:rsid w:val="00C23C93"/>
    <w:rsid w:val="00C24331"/>
    <w:rsid w:val="00C24B80"/>
    <w:rsid w:val="00C2529A"/>
    <w:rsid w:val="00C25586"/>
    <w:rsid w:val="00C25C71"/>
    <w:rsid w:val="00C25E21"/>
    <w:rsid w:val="00C263F6"/>
    <w:rsid w:val="00C2640C"/>
    <w:rsid w:val="00C26488"/>
    <w:rsid w:val="00C2678D"/>
    <w:rsid w:val="00C2728C"/>
    <w:rsid w:val="00C27540"/>
    <w:rsid w:val="00C30728"/>
    <w:rsid w:val="00C3074B"/>
    <w:rsid w:val="00C30F4E"/>
    <w:rsid w:val="00C31C9C"/>
    <w:rsid w:val="00C31F62"/>
    <w:rsid w:val="00C33102"/>
    <w:rsid w:val="00C337EE"/>
    <w:rsid w:val="00C33883"/>
    <w:rsid w:val="00C33E06"/>
    <w:rsid w:val="00C348B8"/>
    <w:rsid w:val="00C3561E"/>
    <w:rsid w:val="00C35C5C"/>
    <w:rsid w:val="00C36609"/>
    <w:rsid w:val="00C3678B"/>
    <w:rsid w:val="00C372FF"/>
    <w:rsid w:val="00C373A9"/>
    <w:rsid w:val="00C37CC8"/>
    <w:rsid w:val="00C40293"/>
    <w:rsid w:val="00C40F01"/>
    <w:rsid w:val="00C428B6"/>
    <w:rsid w:val="00C441CB"/>
    <w:rsid w:val="00C44971"/>
    <w:rsid w:val="00C44BBB"/>
    <w:rsid w:val="00C44BE9"/>
    <w:rsid w:val="00C454EF"/>
    <w:rsid w:val="00C4561A"/>
    <w:rsid w:val="00C50140"/>
    <w:rsid w:val="00C5034A"/>
    <w:rsid w:val="00C508D6"/>
    <w:rsid w:val="00C50FFE"/>
    <w:rsid w:val="00C51013"/>
    <w:rsid w:val="00C51C48"/>
    <w:rsid w:val="00C51F0D"/>
    <w:rsid w:val="00C52412"/>
    <w:rsid w:val="00C5266F"/>
    <w:rsid w:val="00C52777"/>
    <w:rsid w:val="00C52855"/>
    <w:rsid w:val="00C52DD9"/>
    <w:rsid w:val="00C53967"/>
    <w:rsid w:val="00C53D35"/>
    <w:rsid w:val="00C54058"/>
    <w:rsid w:val="00C54073"/>
    <w:rsid w:val="00C541E2"/>
    <w:rsid w:val="00C54296"/>
    <w:rsid w:val="00C54ECA"/>
    <w:rsid w:val="00C5534F"/>
    <w:rsid w:val="00C55451"/>
    <w:rsid w:val="00C568D3"/>
    <w:rsid w:val="00C569BD"/>
    <w:rsid w:val="00C56C57"/>
    <w:rsid w:val="00C60300"/>
    <w:rsid w:val="00C60963"/>
    <w:rsid w:val="00C60C91"/>
    <w:rsid w:val="00C6177C"/>
    <w:rsid w:val="00C61B87"/>
    <w:rsid w:val="00C6251A"/>
    <w:rsid w:val="00C6294A"/>
    <w:rsid w:val="00C63328"/>
    <w:rsid w:val="00C63B9B"/>
    <w:rsid w:val="00C65330"/>
    <w:rsid w:val="00C6581B"/>
    <w:rsid w:val="00C65AFF"/>
    <w:rsid w:val="00C6660A"/>
    <w:rsid w:val="00C67053"/>
    <w:rsid w:val="00C67A9E"/>
    <w:rsid w:val="00C67AB6"/>
    <w:rsid w:val="00C70F67"/>
    <w:rsid w:val="00C71906"/>
    <w:rsid w:val="00C71AE2"/>
    <w:rsid w:val="00C71B75"/>
    <w:rsid w:val="00C71E99"/>
    <w:rsid w:val="00C7229C"/>
    <w:rsid w:val="00C7241B"/>
    <w:rsid w:val="00C72EDB"/>
    <w:rsid w:val="00C731BE"/>
    <w:rsid w:val="00C73BD4"/>
    <w:rsid w:val="00C73BDF"/>
    <w:rsid w:val="00C74664"/>
    <w:rsid w:val="00C74B58"/>
    <w:rsid w:val="00C7551A"/>
    <w:rsid w:val="00C757CD"/>
    <w:rsid w:val="00C75D7B"/>
    <w:rsid w:val="00C765FA"/>
    <w:rsid w:val="00C76C73"/>
    <w:rsid w:val="00C76CEA"/>
    <w:rsid w:val="00C76FB0"/>
    <w:rsid w:val="00C77721"/>
    <w:rsid w:val="00C7790C"/>
    <w:rsid w:val="00C77F53"/>
    <w:rsid w:val="00C80450"/>
    <w:rsid w:val="00C8063C"/>
    <w:rsid w:val="00C8134F"/>
    <w:rsid w:val="00C81BAC"/>
    <w:rsid w:val="00C82106"/>
    <w:rsid w:val="00C823B0"/>
    <w:rsid w:val="00C82844"/>
    <w:rsid w:val="00C82DFB"/>
    <w:rsid w:val="00C838CB"/>
    <w:rsid w:val="00C84364"/>
    <w:rsid w:val="00C848DC"/>
    <w:rsid w:val="00C84D62"/>
    <w:rsid w:val="00C85512"/>
    <w:rsid w:val="00C85ECB"/>
    <w:rsid w:val="00C85F58"/>
    <w:rsid w:val="00C864C8"/>
    <w:rsid w:val="00C86858"/>
    <w:rsid w:val="00C86AD1"/>
    <w:rsid w:val="00C86C05"/>
    <w:rsid w:val="00C87828"/>
    <w:rsid w:val="00C87FDE"/>
    <w:rsid w:val="00C908F2"/>
    <w:rsid w:val="00C909CE"/>
    <w:rsid w:val="00C90E3D"/>
    <w:rsid w:val="00C91285"/>
    <w:rsid w:val="00C91880"/>
    <w:rsid w:val="00C91A9F"/>
    <w:rsid w:val="00C91C92"/>
    <w:rsid w:val="00C92594"/>
    <w:rsid w:val="00C92709"/>
    <w:rsid w:val="00C92CB3"/>
    <w:rsid w:val="00C93056"/>
    <w:rsid w:val="00C94785"/>
    <w:rsid w:val="00C952BE"/>
    <w:rsid w:val="00C955EC"/>
    <w:rsid w:val="00C9582D"/>
    <w:rsid w:val="00C959D4"/>
    <w:rsid w:val="00C965FE"/>
    <w:rsid w:val="00C96CB0"/>
    <w:rsid w:val="00C9733B"/>
    <w:rsid w:val="00C97A1D"/>
    <w:rsid w:val="00CA036F"/>
    <w:rsid w:val="00CA0652"/>
    <w:rsid w:val="00CA0F5D"/>
    <w:rsid w:val="00CA1059"/>
    <w:rsid w:val="00CA1B0E"/>
    <w:rsid w:val="00CA1D84"/>
    <w:rsid w:val="00CA2A05"/>
    <w:rsid w:val="00CA2D93"/>
    <w:rsid w:val="00CA3552"/>
    <w:rsid w:val="00CA377C"/>
    <w:rsid w:val="00CA44B9"/>
    <w:rsid w:val="00CA5089"/>
    <w:rsid w:val="00CA660E"/>
    <w:rsid w:val="00CA6D5A"/>
    <w:rsid w:val="00CA7265"/>
    <w:rsid w:val="00CA7A47"/>
    <w:rsid w:val="00CB0CF5"/>
    <w:rsid w:val="00CB0D15"/>
    <w:rsid w:val="00CB151A"/>
    <w:rsid w:val="00CB1FB2"/>
    <w:rsid w:val="00CB204B"/>
    <w:rsid w:val="00CB25C8"/>
    <w:rsid w:val="00CB287C"/>
    <w:rsid w:val="00CB2B38"/>
    <w:rsid w:val="00CB325C"/>
    <w:rsid w:val="00CB3311"/>
    <w:rsid w:val="00CB39FC"/>
    <w:rsid w:val="00CB452D"/>
    <w:rsid w:val="00CB5370"/>
    <w:rsid w:val="00CB53E8"/>
    <w:rsid w:val="00CB559A"/>
    <w:rsid w:val="00CB5970"/>
    <w:rsid w:val="00CB7731"/>
    <w:rsid w:val="00CC1961"/>
    <w:rsid w:val="00CC1C9F"/>
    <w:rsid w:val="00CC211E"/>
    <w:rsid w:val="00CC26D9"/>
    <w:rsid w:val="00CC2BC0"/>
    <w:rsid w:val="00CC2C96"/>
    <w:rsid w:val="00CC2F5C"/>
    <w:rsid w:val="00CC30F8"/>
    <w:rsid w:val="00CC3852"/>
    <w:rsid w:val="00CC4573"/>
    <w:rsid w:val="00CC4F63"/>
    <w:rsid w:val="00CC5949"/>
    <w:rsid w:val="00CC7340"/>
    <w:rsid w:val="00CC748F"/>
    <w:rsid w:val="00CC7966"/>
    <w:rsid w:val="00CC7DBA"/>
    <w:rsid w:val="00CD0B27"/>
    <w:rsid w:val="00CD167A"/>
    <w:rsid w:val="00CD1973"/>
    <w:rsid w:val="00CD1A9F"/>
    <w:rsid w:val="00CD2529"/>
    <w:rsid w:val="00CD3222"/>
    <w:rsid w:val="00CD334E"/>
    <w:rsid w:val="00CD358E"/>
    <w:rsid w:val="00CD40B0"/>
    <w:rsid w:val="00CD4236"/>
    <w:rsid w:val="00CD4DE5"/>
    <w:rsid w:val="00CD5052"/>
    <w:rsid w:val="00CD511F"/>
    <w:rsid w:val="00CD5E27"/>
    <w:rsid w:val="00CD68AC"/>
    <w:rsid w:val="00CD6C8A"/>
    <w:rsid w:val="00CE0882"/>
    <w:rsid w:val="00CE0EAE"/>
    <w:rsid w:val="00CE1C23"/>
    <w:rsid w:val="00CE1E4D"/>
    <w:rsid w:val="00CE202F"/>
    <w:rsid w:val="00CE2498"/>
    <w:rsid w:val="00CE2B8F"/>
    <w:rsid w:val="00CE39FB"/>
    <w:rsid w:val="00CE44FB"/>
    <w:rsid w:val="00CE4828"/>
    <w:rsid w:val="00CE4E50"/>
    <w:rsid w:val="00CE5A28"/>
    <w:rsid w:val="00CE62EE"/>
    <w:rsid w:val="00CE6882"/>
    <w:rsid w:val="00CE68EA"/>
    <w:rsid w:val="00CE6BA3"/>
    <w:rsid w:val="00CE6D0A"/>
    <w:rsid w:val="00CE7387"/>
    <w:rsid w:val="00CE774F"/>
    <w:rsid w:val="00CE792C"/>
    <w:rsid w:val="00CE7F89"/>
    <w:rsid w:val="00CF1408"/>
    <w:rsid w:val="00CF1AB0"/>
    <w:rsid w:val="00CF1B99"/>
    <w:rsid w:val="00CF20DD"/>
    <w:rsid w:val="00CF257A"/>
    <w:rsid w:val="00CF2C1E"/>
    <w:rsid w:val="00CF356C"/>
    <w:rsid w:val="00CF369E"/>
    <w:rsid w:val="00CF386D"/>
    <w:rsid w:val="00CF4321"/>
    <w:rsid w:val="00CF442A"/>
    <w:rsid w:val="00CF4579"/>
    <w:rsid w:val="00CF47F9"/>
    <w:rsid w:val="00CF48E2"/>
    <w:rsid w:val="00CF5BA2"/>
    <w:rsid w:val="00CF5C3D"/>
    <w:rsid w:val="00CF6082"/>
    <w:rsid w:val="00CF63A7"/>
    <w:rsid w:val="00CF7431"/>
    <w:rsid w:val="00CF766D"/>
    <w:rsid w:val="00CF793C"/>
    <w:rsid w:val="00CF7E30"/>
    <w:rsid w:val="00CF7FC5"/>
    <w:rsid w:val="00D00383"/>
    <w:rsid w:val="00D01A86"/>
    <w:rsid w:val="00D01AC0"/>
    <w:rsid w:val="00D020AF"/>
    <w:rsid w:val="00D02182"/>
    <w:rsid w:val="00D02335"/>
    <w:rsid w:val="00D024DE"/>
    <w:rsid w:val="00D029D7"/>
    <w:rsid w:val="00D02B00"/>
    <w:rsid w:val="00D03E88"/>
    <w:rsid w:val="00D04EDF"/>
    <w:rsid w:val="00D056E8"/>
    <w:rsid w:val="00D05CF6"/>
    <w:rsid w:val="00D05D2A"/>
    <w:rsid w:val="00D06364"/>
    <w:rsid w:val="00D06CC8"/>
    <w:rsid w:val="00D074D1"/>
    <w:rsid w:val="00D0784C"/>
    <w:rsid w:val="00D079ED"/>
    <w:rsid w:val="00D10595"/>
    <w:rsid w:val="00D10CF2"/>
    <w:rsid w:val="00D10DCE"/>
    <w:rsid w:val="00D10DF5"/>
    <w:rsid w:val="00D11188"/>
    <w:rsid w:val="00D113AC"/>
    <w:rsid w:val="00D118F9"/>
    <w:rsid w:val="00D12CF9"/>
    <w:rsid w:val="00D13760"/>
    <w:rsid w:val="00D13D12"/>
    <w:rsid w:val="00D13FE8"/>
    <w:rsid w:val="00D14173"/>
    <w:rsid w:val="00D1436F"/>
    <w:rsid w:val="00D14457"/>
    <w:rsid w:val="00D14849"/>
    <w:rsid w:val="00D149D9"/>
    <w:rsid w:val="00D16A1B"/>
    <w:rsid w:val="00D1742E"/>
    <w:rsid w:val="00D17496"/>
    <w:rsid w:val="00D207D1"/>
    <w:rsid w:val="00D20E3A"/>
    <w:rsid w:val="00D217B6"/>
    <w:rsid w:val="00D21E2A"/>
    <w:rsid w:val="00D22025"/>
    <w:rsid w:val="00D22AF0"/>
    <w:rsid w:val="00D22C56"/>
    <w:rsid w:val="00D23566"/>
    <w:rsid w:val="00D23F72"/>
    <w:rsid w:val="00D2534E"/>
    <w:rsid w:val="00D25561"/>
    <w:rsid w:val="00D27974"/>
    <w:rsid w:val="00D27A1B"/>
    <w:rsid w:val="00D27CA2"/>
    <w:rsid w:val="00D27D66"/>
    <w:rsid w:val="00D30005"/>
    <w:rsid w:val="00D30107"/>
    <w:rsid w:val="00D30598"/>
    <w:rsid w:val="00D30AB9"/>
    <w:rsid w:val="00D312E2"/>
    <w:rsid w:val="00D31B84"/>
    <w:rsid w:val="00D31F77"/>
    <w:rsid w:val="00D3235C"/>
    <w:rsid w:val="00D32C57"/>
    <w:rsid w:val="00D34354"/>
    <w:rsid w:val="00D34B46"/>
    <w:rsid w:val="00D34BB3"/>
    <w:rsid w:val="00D351CE"/>
    <w:rsid w:val="00D35DDF"/>
    <w:rsid w:val="00D36A38"/>
    <w:rsid w:val="00D372A3"/>
    <w:rsid w:val="00D37560"/>
    <w:rsid w:val="00D37568"/>
    <w:rsid w:val="00D3756C"/>
    <w:rsid w:val="00D37DDC"/>
    <w:rsid w:val="00D40CB4"/>
    <w:rsid w:val="00D40FE4"/>
    <w:rsid w:val="00D41074"/>
    <w:rsid w:val="00D411D1"/>
    <w:rsid w:val="00D4210C"/>
    <w:rsid w:val="00D42277"/>
    <w:rsid w:val="00D424A7"/>
    <w:rsid w:val="00D4281E"/>
    <w:rsid w:val="00D43E4B"/>
    <w:rsid w:val="00D44116"/>
    <w:rsid w:val="00D44311"/>
    <w:rsid w:val="00D444B1"/>
    <w:rsid w:val="00D44D87"/>
    <w:rsid w:val="00D45645"/>
    <w:rsid w:val="00D45DF3"/>
    <w:rsid w:val="00D45E4D"/>
    <w:rsid w:val="00D46C71"/>
    <w:rsid w:val="00D47136"/>
    <w:rsid w:val="00D4787A"/>
    <w:rsid w:val="00D50016"/>
    <w:rsid w:val="00D50B14"/>
    <w:rsid w:val="00D50D4D"/>
    <w:rsid w:val="00D5120E"/>
    <w:rsid w:val="00D51641"/>
    <w:rsid w:val="00D5184C"/>
    <w:rsid w:val="00D518A6"/>
    <w:rsid w:val="00D52037"/>
    <w:rsid w:val="00D52563"/>
    <w:rsid w:val="00D52D13"/>
    <w:rsid w:val="00D53B6F"/>
    <w:rsid w:val="00D5420F"/>
    <w:rsid w:val="00D54F65"/>
    <w:rsid w:val="00D5535C"/>
    <w:rsid w:val="00D553BD"/>
    <w:rsid w:val="00D553D3"/>
    <w:rsid w:val="00D55735"/>
    <w:rsid w:val="00D564F6"/>
    <w:rsid w:val="00D5690C"/>
    <w:rsid w:val="00D5719F"/>
    <w:rsid w:val="00D572E4"/>
    <w:rsid w:val="00D579DA"/>
    <w:rsid w:val="00D57E69"/>
    <w:rsid w:val="00D57E6C"/>
    <w:rsid w:val="00D60518"/>
    <w:rsid w:val="00D606BD"/>
    <w:rsid w:val="00D60910"/>
    <w:rsid w:val="00D60B86"/>
    <w:rsid w:val="00D61B12"/>
    <w:rsid w:val="00D6264F"/>
    <w:rsid w:val="00D62900"/>
    <w:rsid w:val="00D62DBA"/>
    <w:rsid w:val="00D62E43"/>
    <w:rsid w:val="00D62E4D"/>
    <w:rsid w:val="00D63010"/>
    <w:rsid w:val="00D63132"/>
    <w:rsid w:val="00D63140"/>
    <w:rsid w:val="00D6392D"/>
    <w:rsid w:val="00D64248"/>
    <w:rsid w:val="00D643AD"/>
    <w:rsid w:val="00D644DF"/>
    <w:rsid w:val="00D64DCF"/>
    <w:rsid w:val="00D6506B"/>
    <w:rsid w:val="00D65086"/>
    <w:rsid w:val="00D652C5"/>
    <w:rsid w:val="00D65D4F"/>
    <w:rsid w:val="00D65F49"/>
    <w:rsid w:val="00D66040"/>
    <w:rsid w:val="00D66B22"/>
    <w:rsid w:val="00D67048"/>
    <w:rsid w:val="00D70555"/>
    <w:rsid w:val="00D70828"/>
    <w:rsid w:val="00D711C0"/>
    <w:rsid w:val="00D71B97"/>
    <w:rsid w:val="00D7237E"/>
    <w:rsid w:val="00D724BA"/>
    <w:rsid w:val="00D7259A"/>
    <w:rsid w:val="00D73528"/>
    <w:rsid w:val="00D73EDC"/>
    <w:rsid w:val="00D7446C"/>
    <w:rsid w:val="00D74599"/>
    <w:rsid w:val="00D74A07"/>
    <w:rsid w:val="00D74C81"/>
    <w:rsid w:val="00D75D3E"/>
    <w:rsid w:val="00D75EF0"/>
    <w:rsid w:val="00D7649B"/>
    <w:rsid w:val="00D77886"/>
    <w:rsid w:val="00D801BB"/>
    <w:rsid w:val="00D80592"/>
    <w:rsid w:val="00D80E38"/>
    <w:rsid w:val="00D81484"/>
    <w:rsid w:val="00D817CC"/>
    <w:rsid w:val="00D823DF"/>
    <w:rsid w:val="00D823EF"/>
    <w:rsid w:val="00D824FD"/>
    <w:rsid w:val="00D83938"/>
    <w:rsid w:val="00D8428C"/>
    <w:rsid w:val="00D843D7"/>
    <w:rsid w:val="00D847B9"/>
    <w:rsid w:val="00D857FF"/>
    <w:rsid w:val="00D85E33"/>
    <w:rsid w:val="00D86172"/>
    <w:rsid w:val="00D86308"/>
    <w:rsid w:val="00D86E30"/>
    <w:rsid w:val="00D86F53"/>
    <w:rsid w:val="00D8733E"/>
    <w:rsid w:val="00D87979"/>
    <w:rsid w:val="00D90572"/>
    <w:rsid w:val="00D907BD"/>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7351"/>
    <w:rsid w:val="00DA7685"/>
    <w:rsid w:val="00DA78C1"/>
    <w:rsid w:val="00DA7E96"/>
    <w:rsid w:val="00DB016B"/>
    <w:rsid w:val="00DB0886"/>
    <w:rsid w:val="00DB1499"/>
    <w:rsid w:val="00DB1501"/>
    <w:rsid w:val="00DB1A02"/>
    <w:rsid w:val="00DB1A8F"/>
    <w:rsid w:val="00DB3124"/>
    <w:rsid w:val="00DB34D5"/>
    <w:rsid w:val="00DB3D8E"/>
    <w:rsid w:val="00DB4872"/>
    <w:rsid w:val="00DB5427"/>
    <w:rsid w:val="00DB6228"/>
    <w:rsid w:val="00DB7F61"/>
    <w:rsid w:val="00DC1003"/>
    <w:rsid w:val="00DC18A2"/>
    <w:rsid w:val="00DC18BE"/>
    <w:rsid w:val="00DC1FD7"/>
    <w:rsid w:val="00DC2192"/>
    <w:rsid w:val="00DC2432"/>
    <w:rsid w:val="00DC2E3B"/>
    <w:rsid w:val="00DC2E4D"/>
    <w:rsid w:val="00DC31B7"/>
    <w:rsid w:val="00DC4814"/>
    <w:rsid w:val="00DC5099"/>
    <w:rsid w:val="00DC6070"/>
    <w:rsid w:val="00DC6E4A"/>
    <w:rsid w:val="00DC703B"/>
    <w:rsid w:val="00DC7FF4"/>
    <w:rsid w:val="00DD0564"/>
    <w:rsid w:val="00DD0649"/>
    <w:rsid w:val="00DD1968"/>
    <w:rsid w:val="00DD1DA0"/>
    <w:rsid w:val="00DD3671"/>
    <w:rsid w:val="00DD449F"/>
    <w:rsid w:val="00DD5332"/>
    <w:rsid w:val="00DD543A"/>
    <w:rsid w:val="00DD559E"/>
    <w:rsid w:val="00DD59FC"/>
    <w:rsid w:val="00DD5E59"/>
    <w:rsid w:val="00DD6C3A"/>
    <w:rsid w:val="00DD6DF9"/>
    <w:rsid w:val="00DD7A80"/>
    <w:rsid w:val="00DD7EE9"/>
    <w:rsid w:val="00DE0BAF"/>
    <w:rsid w:val="00DE0BC8"/>
    <w:rsid w:val="00DE1302"/>
    <w:rsid w:val="00DE199E"/>
    <w:rsid w:val="00DE33D0"/>
    <w:rsid w:val="00DE3956"/>
    <w:rsid w:val="00DE4314"/>
    <w:rsid w:val="00DE4466"/>
    <w:rsid w:val="00DE4C11"/>
    <w:rsid w:val="00DE50DF"/>
    <w:rsid w:val="00DE50EF"/>
    <w:rsid w:val="00DE5170"/>
    <w:rsid w:val="00DE5FC2"/>
    <w:rsid w:val="00DE65DE"/>
    <w:rsid w:val="00DE7669"/>
    <w:rsid w:val="00DE7B8D"/>
    <w:rsid w:val="00DF05BC"/>
    <w:rsid w:val="00DF097A"/>
    <w:rsid w:val="00DF185E"/>
    <w:rsid w:val="00DF2045"/>
    <w:rsid w:val="00DF2B54"/>
    <w:rsid w:val="00DF2F3D"/>
    <w:rsid w:val="00DF327A"/>
    <w:rsid w:val="00DF380A"/>
    <w:rsid w:val="00DF46C3"/>
    <w:rsid w:val="00DF5636"/>
    <w:rsid w:val="00DF59B5"/>
    <w:rsid w:val="00DF62DB"/>
    <w:rsid w:val="00DF6634"/>
    <w:rsid w:val="00DF6E1C"/>
    <w:rsid w:val="00DF7449"/>
    <w:rsid w:val="00DF74BE"/>
    <w:rsid w:val="00DF791B"/>
    <w:rsid w:val="00E00014"/>
    <w:rsid w:val="00E00312"/>
    <w:rsid w:val="00E00AE1"/>
    <w:rsid w:val="00E00B2B"/>
    <w:rsid w:val="00E00E48"/>
    <w:rsid w:val="00E00F20"/>
    <w:rsid w:val="00E02BE1"/>
    <w:rsid w:val="00E03096"/>
    <w:rsid w:val="00E03242"/>
    <w:rsid w:val="00E04139"/>
    <w:rsid w:val="00E05EBC"/>
    <w:rsid w:val="00E0777A"/>
    <w:rsid w:val="00E07859"/>
    <w:rsid w:val="00E07926"/>
    <w:rsid w:val="00E1061B"/>
    <w:rsid w:val="00E10FEE"/>
    <w:rsid w:val="00E11786"/>
    <w:rsid w:val="00E11B4D"/>
    <w:rsid w:val="00E11B92"/>
    <w:rsid w:val="00E11D52"/>
    <w:rsid w:val="00E120E9"/>
    <w:rsid w:val="00E12592"/>
    <w:rsid w:val="00E1280A"/>
    <w:rsid w:val="00E12C6C"/>
    <w:rsid w:val="00E13F73"/>
    <w:rsid w:val="00E14394"/>
    <w:rsid w:val="00E1459E"/>
    <w:rsid w:val="00E14752"/>
    <w:rsid w:val="00E1552B"/>
    <w:rsid w:val="00E15556"/>
    <w:rsid w:val="00E166F4"/>
    <w:rsid w:val="00E16826"/>
    <w:rsid w:val="00E17216"/>
    <w:rsid w:val="00E17F24"/>
    <w:rsid w:val="00E20803"/>
    <w:rsid w:val="00E20F1F"/>
    <w:rsid w:val="00E22677"/>
    <w:rsid w:val="00E226D7"/>
    <w:rsid w:val="00E226E4"/>
    <w:rsid w:val="00E22CD8"/>
    <w:rsid w:val="00E23CA6"/>
    <w:rsid w:val="00E2439E"/>
    <w:rsid w:val="00E24D0A"/>
    <w:rsid w:val="00E2523C"/>
    <w:rsid w:val="00E25C23"/>
    <w:rsid w:val="00E26362"/>
    <w:rsid w:val="00E26403"/>
    <w:rsid w:val="00E26657"/>
    <w:rsid w:val="00E27682"/>
    <w:rsid w:val="00E278DF"/>
    <w:rsid w:val="00E27E91"/>
    <w:rsid w:val="00E30209"/>
    <w:rsid w:val="00E30AB8"/>
    <w:rsid w:val="00E30C93"/>
    <w:rsid w:val="00E30D3E"/>
    <w:rsid w:val="00E31828"/>
    <w:rsid w:val="00E334CA"/>
    <w:rsid w:val="00E335E7"/>
    <w:rsid w:val="00E342A7"/>
    <w:rsid w:val="00E37136"/>
    <w:rsid w:val="00E375B8"/>
    <w:rsid w:val="00E37655"/>
    <w:rsid w:val="00E37E6B"/>
    <w:rsid w:val="00E40857"/>
    <w:rsid w:val="00E40AFE"/>
    <w:rsid w:val="00E40B2D"/>
    <w:rsid w:val="00E40CD6"/>
    <w:rsid w:val="00E4110A"/>
    <w:rsid w:val="00E414F0"/>
    <w:rsid w:val="00E4160C"/>
    <w:rsid w:val="00E4205E"/>
    <w:rsid w:val="00E438A0"/>
    <w:rsid w:val="00E43E2C"/>
    <w:rsid w:val="00E4417C"/>
    <w:rsid w:val="00E44A9C"/>
    <w:rsid w:val="00E44CA4"/>
    <w:rsid w:val="00E4514E"/>
    <w:rsid w:val="00E452A9"/>
    <w:rsid w:val="00E46B2B"/>
    <w:rsid w:val="00E474D6"/>
    <w:rsid w:val="00E477B6"/>
    <w:rsid w:val="00E50616"/>
    <w:rsid w:val="00E516D4"/>
    <w:rsid w:val="00E51FB6"/>
    <w:rsid w:val="00E51FEA"/>
    <w:rsid w:val="00E52790"/>
    <w:rsid w:val="00E538DE"/>
    <w:rsid w:val="00E5428A"/>
    <w:rsid w:val="00E547A5"/>
    <w:rsid w:val="00E55456"/>
    <w:rsid w:val="00E56108"/>
    <w:rsid w:val="00E572EB"/>
    <w:rsid w:val="00E57BCB"/>
    <w:rsid w:val="00E605B7"/>
    <w:rsid w:val="00E61359"/>
    <w:rsid w:val="00E617D0"/>
    <w:rsid w:val="00E61E1F"/>
    <w:rsid w:val="00E62340"/>
    <w:rsid w:val="00E62CB4"/>
    <w:rsid w:val="00E63475"/>
    <w:rsid w:val="00E63843"/>
    <w:rsid w:val="00E63E7C"/>
    <w:rsid w:val="00E640D6"/>
    <w:rsid w:val="00E64587"/>
    <w:rsid w:val="00E645CD"/>
    <w:rsid w:val="00E64897"/>
    <w:rsid w:val="00E64AED"/>
    <w:rsid w:val="00E64ED3"/>
    <w:rsid w:val="00E6600B"/>
    <w:rsid w:val="00E66068"/>
    <w:rsid w:val="00E67146"/>
    <w:rsid w:val="00E67A4B"/>
    <w:rsid w:val="00E70103"/>
    <w:rsid w:val="00E70138"/>
    <w:rsid w:val="00E707BF"/>
    <w:rsid w:val="00E71A45"/>
    <w:rsid w:val="00E71E3A"/>
    <w:rsid w:val="00E722DB"/>
    <w:rsid w:val="00E73320"/>
    <w:rsid w:val="00E73ED5"/>
    <w:rsid w:val="00E74666"/>
    <w:rsid w:val="00E747D0"/>
    <w:rsid w:val="00E74C79"/>
    <w:rsid w:val="00E75430"/>
    <w:rsid w:val="00E759BB"/>
    <w:rsid w:val="00E75D12"/>
    <w:rsid w:val="00E766FB"/>
    <w:rsid w:val="00E76EC2"/>
    <w:rsid w:val="00E7731C"/>
    <w:rsid w:val="00E7742A"/>
    <w:rsid w:val="00E810C4"/>
    <w:rsid w:val="00E8113E"/>
    <w:rsid w:val="00E8224A"/>
    <w:rsid w:val="00E84DB5"/>
    <w:rsid w:val="00E8520F"/>
    <w:rsid w:val="00E853CB"/>
    <w:rsid w:val="00E85634"/>
    <w:rsid w:val="00E85C54"/>
    <w:rsid w:val="00E866FA"/>
    <w:rsid w:val="00E86ED8"/>
    <w:rsid w:val="00E87637"/>
    <w:rsid w:val="00E90168"/>
    <w:rsid w:val="00E908A7"/>
    <w:rsid w:val="00E91111"/>
    <w:rsid w:val="00E915EC"/>
    <w:rsid w:val="00E922AF"/>
    <w:rsid w:val="00E92622"/>
    <w:rsid w:val="00E9264D"/>
    <w:rsid w:val="00E92B15"/>
    <w:rsid w:val="00E92EDC"/>
    <w:rsid w:val="00E94E32"/>
    <w:rsid w:val="00E9504A"/>
    <w:rsid w:val="00E9554B"/>
    <w:rsid w:val="00E95BF8"/>
    <w:rsid w:val="00E96ADE"/>
    <w:rsid w:val="00E96EEF"/>
    <w:rsid w:val="00E97528"/>
    <w:rsid w:val="00E9778B"/>
    <w:rsid w:val="00E979EC"/>
    <w:rsid w:val="00E97A1A"/>
    <w:rsid w:val="00E97D76"/>
    <w:rsid w:val="00E97E4F"/>
    <w:rsid w:val="00EA027C"/>
    <w:rsid w:val="00EA1213"/>
    <w:rsid w:val="00EA2541"/>
    <w:rsid w:val="00EA2B53"/>
    <w:rsid w:val="00EA3387"/>
    <w:rsid w:val="00EA370B"/>
    <w:rsid w:val="00EA3AF0"/>
    <w:rsid w:val="00EA4455"/>
    <w:rsid w:val="00EA4628"/>
    <w:rsid w:val="00EA4D9D"/>
    <w:rsid w:val="00EA5B6D"/>
    <w:rsid w:val="00EA5D19"/>
    <w:rsid w:val="00EA63A4"/>
    <w:rsid w:val="00EA6EEF"/>
    <w:rsid w:val="00EA787F"/>
    <w:rsid w:val="00EA7B6E"/>
    <w:rsid w:val="00EA7BBF"/>
    <w:rsid w:val="00EB0122"/>
    <w:rsid w:val="00EB0483"/>
    <w:rsid w:val="00EB0DEB"/>
    <w:rsid w:val="00EB16A6"/>
    <w:rsid w:val="00EB198F"/>
    <w:rsid w:val="00EB1C82"/>
    <w:rsid w:val="00EB24F5"/>
    <w:rsid w:val="00EB29F6"/>
    <w:rsid w:val="00EB30DD"/>
    <w:rsid w:val="00EB34D8"/>
    <w:rsid w:val="00EB384C"/>
    <w:rsid w:val="00EB5119"/>
    <w:rsid w:val="00EB57C1"/>
    <w:rsid w:val="00EB591C"/>
    <w:rsid w:val="00EB5FC1"/>
    <w:rsid w:val="00EB60DD"/>
    <w:rsid w:val="00EB6DA4"/>
    <w:rsid w:val="00EB75BD"/>
    <w:rsid w:val="00EB77F8"/>
    <w:rsid w:val="00EB7B74"/>
    <w:rsid w:val="00EB7BD5"/>
    <w:rsid w:val="00EC0F86"/>
    <w:rsid w:val="00EC126F"/>
    <w:rsid w:val="00EC136D"/>
    <w:rsid w:val="00EC2764"/>
    <w:rsid w:val="00EC2EA9"/>
    <w:rsid w:val="00EC303B"/>
    <w:rsid w:val="00EC3AD4"/>
    <w:rsid w:val="00EC46EE"/>
    <w:rsid w:val="00EC471C"/>
    <w:rsid w:val="00EC4720"/>
    <w:rsid w:val="00EC5905"/>
    <w:rsid w:val="00EC61B9"/>
    <w:rsid w:val="00EC61BA"/>
    <w:rsid w:val="00EC622B"/>
    <w:rsid w:val="00EC645B"/>
    <w:rsid w:val="00EC6D29"/>
    <w:rsid w:val="00EC6DA7"/>
    <w:rsid w:val="00EC6FC1"/>
    <w:rsid w:val="00EC7157"/>
    <w:rsid w:val="00EC7751"/>
    <w:rsid w:val="00ED0159"/>
    <w:rsid w:val="00ED129D"/>
    <w:rsid w:val="00ED12A5"/>
    <w:rsid w:val="00ED30CE"/>
    <w:rsid w:val="00ED4C23"/>
    <w:rsid w:val="00ED4FC6"/>
    <w:rsid w:val="00ED512D"/>
    <w:rsid w:val="00ED545C"/>
    <w:rsid w:val="00ED58BE"/>
    <w:rsid w:val="00ED61D5"/>
    <w:rsid w:val="00ED6EE4"/>
    <w:rsid w:val="00EE00E6"/>
    <w:rsid w:val="00EE0167"/>
    <w:rsid w:val="00EE0658"/>
    <w:rsid w:val="00EE06A6"/>
    <w:rsid w:val="00EE15A6"/>
    <w:rsid w:val="00EE2253"/>
    <w:rsid w:val="00EE2C51"/>
    <w:rsid w:val="00EE2D61"/>
    <w:rsid w:val="00EE30D4"/>
    <w:rsid w:val="00EE382B"/>
    <w:rsid w:val="00EE4AA5"/>
    <w:rsid w:val="00EE4B43"/>
    <w:rsid w:val="00EE4E8A"/>
    <w:rsid w:val="00EE4EE1"/>
    <w:rsid w:val="00EE61BA"/>
    <w:rsid w:val="00EE6312"/>
    <w:rsid w:val="00EE6359"/>
    <w:rsid w:val="00EE6B11"/>
    <w:rsid w:val="00EE6D19"/>
    <w:rsid w:val="00EE7670"/>
    <w:rsid w:val="00EE7716"/>
    <w:rsid w:val="00EE7F21"/>
    <w:rsid w:val="00EF0193"/>
    <w:rsid w:val="00EF03D7"/>
    <w:rsid w:val="00EF0682"/>
    <w:rsid w:val="00EF0C22"/>
    <w:rsid w:val="00EF0E9E"/>
    <w:rsid w:val="00EF0ED4"/>
    <w:rsid w:val="00EF142E"/>
    <w:rsid w:val="00EF17FB"/>
    <w:rsid w:val="00EF1E03"/>
    <w:rsid w:val="00EF1FA4"/>
    <w:rsid w:val="00EF29E4"/>
    <w:rsid w:val="00EF2A66"/>
    <w:rsid w:val="00EF34E0"/>
    <w:rsid w:val="00EF3A67"/>
    <w:rsid w:val="00EF3EAB"/>
    <w:rsid w:val="00EF4E99"/>
    <w:rsid w:val="00EF536F"/>
    <w:rsid w:val="00EF54D1"/>
    <w:rsid w:val="00EF5D38"/>
    <w:rsid w:val="00EF5EF3"/>
    <w:rsid w:val="00EF603F"/>
    <w:rsid w:val="00EF6A32"/>
    <w:rsid w:val="00EF744C"/>
    <w:rsid w:val="00EF7837"/>
    <w:rsid w:val="00EF78F7"/>
    <w:rsid w:val="00EF7DEF"/>
    <w:rsid w:val="00F00D08"/>
    <w:rsid w:val="00F00DE8"/>
    <w:rsid w:val="00F01C76"/>
    <w:rsid w:val="00F01E96"/>
    <w:rsid w:val="00F02263"/>
    <w:rsid w:val="00F03BBA"/>
    <w:rsid w:val="00F03DB3"/>
    <w:rsid w:val="00F03EAD"/>
    <w:rsid w:val="00F04D2B"/>
    <w:rsid w:val="00F04F2B"/>
    <w:rsid w:val="00F054A0"/>
    <w:rsid w:val="00F05862"/>
    <w:rsid w:val="00F05A93"/>
    <w:rsid w:val="00F061E2"/>
    <w:rsid w:val="00F06A32"/>
    <w:rsid w:val="00F1006F"/>
    <w:rsid w:val="00F106CC"/>
    <w:rsid w:val="00F11BBD"/>
    <w:rsid w:val="00F11F18"/>
    <w:rsid w:val="00F121FF"/>
    <w:rsid w:val="00F12547"/>
    <w:rsid w:val="00F12AB8"/>
    <w:rsid w:val="00F12BB1"/>
    <w:rsid w:val="00F12DD5"/>
    <w:rsid w:val="00F135CF"/>
    <w:rsid w:val="00F156B9"/>
    <w:rsid w:val="00F15BB2"/>
    <w:rsid w:val="00F15FA1"/>
    <w:rsid w:val="00F164D6"/>
    <w:rsid w:val="00F16AB8"/>
    <w:rsid w:val="00F16B20"/>
    <w:rsid w:val="00F17D1A"/>
    <w:rsid w:val="00F20337"/>
    <w:rsid w:val="00F2059C"/>
    <w:rsid w:val="00F2109B"/>
    <w:rsid w:val="00F215C4"/>
    <w:rsid w:val="00F2170F"/>
    <w:rsid w:val="00F21E87"/>
    <w:rsid w:val="00F221D8"/>
    <w:rsid w:val="00F2237D"/>
    <w:rsid w:val="00F2258A"/>
    <w:rsid w:val="00F22623"/>
    <w:rsid w:val="00F22F91"/>
    <w:rsid w:val="00F23149"/>
    <w:rsid w:val="00F237D9"/>
    <w:rsid w:val="00F24957"/>
    <w:rsid w:val="00F2498B"/>
    <w:rsid w:val="00F24E0C"/>
    <w:rsid w:val="00F26130"/>
    <w:rsid w:val="00F26695"/>
    <w:rsid w:val="00F2678D"/>
    <w:rsid w:val="00F26F9A"/>
    <w:rsid w:val="00F27662"/>
    <w:rsid w:val="00F2777B"/>
    <w:rsid w:val="00F27A0E"/>
    <w:rsid w:val="00F27A7F"/>
    <w:rsid w:val="00F27BE6"/>
    <w:rsid w:val="00F27D25"/>
    <w:rsid w:val="00F305E4"/>
    <w:rsid w:val="00F31F40"/>
    <w:rsid w:val="00F32E3F"/>
    <w:rsid w:val="00F32F8A"/>
    <w:rsid w:val="00F332D4"/>
    <w:rsid w:val="00F3375E"/>
    <w:rsid w:val="00F33C4C"/>
    <w:rsid w:val="00F345AD"/>
    <w:rsid w:val="00F34FD9"/>
    <w:rsid w:val="00F35E56"/>
    <w:rsid w:val="00F35F54"/>
    <w:rsid w:val="00F366EF"/>
    <w:rsid w:val="00F36B8E"/>
    <w:rsid w:val="00F3703F"/>
    <w:rsid w:val="00F37B7E"/>
    <w:rsid w:val="00F37BFD"/>
    <w:rsid w:val="00F37E21"/>
    <w:rsid w:val="00F40952"/>
    <w:rsid w:val="00F40B9E"/>
    <w:rsid w:val="00F41E04"/>
    <w:rsid w:val="00F422AF"/>
    <w:rsid w:val="00F426CB"/>
    <w:rsid w:val="00F44864"/>
    <w:rsid w:val="00F45F64"/>
    <w:rsid w:val="00F464FB"/>
    <w:rsid w:val="00F4679A"/>
    <w:rsid w:val="00F46977"/>
    <w:rsid w:val="00F4752C"/>
    <w:rsid w:val="00F4787F"/>
    <w:rsid w:val="00F47B8C"/>
    <w:rsid w:val="00F47F60"/>
    <w:rsid w:val="00F502BC"/>
    <w:rsid w:val="00F5093A"/>
    <w:rsid w:val="00F50A29"/>
    <w:rsid w:val="00F512A9"/>
    <w:rsid w:val="00F51419"/>
    <w:rsid w:val="00F517F8"/>
    <w:rsid w:val="00F52513"/>
    <w:rsid w:val="00F527C4"/>
    <w:rsid w:val="00F52D3B"/>
    <w:rsid w:val="00F5329E"/>
    <w:rsid w:val="00F535B0"/>
    <w:rsid w:val="00F536BE"/>
    <w:rsid w:val="00F53E0B"/>
    <w:rsid w:val="00F53FCF"/>
    <w:rsid w:val="00F544ED"/>
    <w:rsid w:val="00F55228"/>
    <w:rsid w:val="00F5546C"/>
    <w:rsid w:val="00F55BF7"/>
    <w:rsid w:val="00F56388"/>
    <w:rsid w:val="00F565E5"/>
    <w:rsid w:val="00F611CD"/>
    <w:rsid w:val="00F61AA9"/>
    <w:rsid w:val="00F61FE1"/>
    <w:rsid w:val="00F62A57"/>
    <w:rsid w:val="00F62C84"/>
    <w:rsid w:val="00F62DCF"/>
    <w:rsid w:val="00F63963"/>
    <w:rsid w:val="00F639E6"/>
    <w:rsid w:val="00F63CFE"/>
    <w:rsid w:val="00F642C8"/>
    <w:rsid w:val="00F64594"/>
    <w:rsid w:val="00F645ED"/>
    <w:rsid w:val="00F64A90"/>
    <w:rsid w:val="00F64D90"/>
    <w:rsid w:val="00F650AE"/>
    <w:rsid w:val="00F659EB"/>
    <w:rsid w:val="00F661F5"/>
    <w:rsid w:val="00F66499"/>
    <w:rsid w:val="00F66B35"/>
    <w:rsid w:val="00F67894"/>
    <w:rsid w:val="00F679A7"/>
    <w:rsid w:val="00F67C75"/>
    <w:rsid w:val="00F702E1"/>
    <w:rsid w:val="00F70302"/>
    <w:rsid w:val="00F70480"/>
    <w:rsid w:val="00F707CB"/>
    <w:rsid w:val="00F712B2"/>
    <w:rsid w:val="00F71DFC"/>
    <w:rsid w:val="00F722B3"/>
    <w:rsid w:val="00F7277B"/>
    <w:rsid w:val="00F727BC"/>
    <w:rsid w:val="00F7353F"/>
    <w:rsid w:val="00F743E5"/>
    <w:rsid w:val="00F7686B"/>
    <w:rsid w:val="00F7708C"/>
    <w:rsid w:val="00F77E41"/>
    <w:rsid w:val="00F81389"/>
    <w:rsid w:val="00F81551"/>
    <w:rsid w:val="00F81890"/>
    <w:rsid w:val="00F81A8F"/>
    <w:rsid w:val="00F81FE5"/>
    <w:rsid w:val="00F82C30"/>
    <w:rsid w:val="00F82D12"/>
    <w:rsid w:val="00F8309A"/>
    <w:rsid w:val="00F831C0"/>
    <w:rsid w:val="00F832A4"/>
    <w:rsid w:val="00F835F1"/>
    <w:rsid w:val="00F83884"/>
    <w:rsid w:val="00F845B4"/>
    <w:rsid w:val="00F85B94"/>
    <w:rsid w:val="00F86712"/>
    <w:rsid w:val="00F87471"/>
    <w:rsid w:val="00F87624"/>
    <w:rsid w:val="00F87D2C"/>
    <w:rsid w:val="00F90453"/>
    <w:rsid w:val="00F90655"/>
    <w:rsid w:val="00F91245"/>
    <w:rsid w:val="00F9163F"/>
    <w:rsid w:val="00F92842"/>
    <w:rsid w:val="00F936E8"/>
    <w:rsid w:val="00F93CE1"/>
    <w:rsid w:val="00F94623"/>
    <w:rsid w:val="00F9475B"/>
    <w:rsid w:val="00F94E19"/>
    <w:rsid w:val="00F9505D"/>
    <w:rsid w:val="00F95D86"/>
    <w:rsid w:val="00F95EF5"/>
    <w:rsid w:val="00F96AE6"/>
    <w:rsid w:val="00FA089A"/>
    <w:rsid w:val="00FA0BA0"/>
    <w:rsid w:val="00FA186C"/>
    <w:rsid w:val="00FA2578"/>
    <w:rsid w:val="00FA25AC"/>
    <w:rsid w:val="00FA268C"/>
    <w:rsid w:val="00FA29CA"/>
    <w:rsid w:val="00FA2B41"/>
    <w:rsid w:val="00FA2D76"/>
    <w:rsid w:val="00FA3F04"/>
    <w:rsid w:val="00FA3F62"/>
    <w:rsid w:val="00FA4600"/>
    <w:rsid w:val="00FA491F"/>
    <w:rsid w:val="00FA5851"/>
    <w:rsid w:val="00FA647E"/>
    <w:rsid w:val="00FA6FED"/>
    <w:rsid w:val="00FA701C"/>
    <w:rsid w:val="00FA7864"/>
    <w:rsid w:val="00FB030B"/>
    <w:rsid w:val="00FB06E6"/>
    <w:rsid w:val="00FB0A35"/>
    <w:rsid w:val="00FB10C0"/>
    <w:rsid w:val="00FB14C3"/>
    <w:rsid w:val="00FB182A"/>
    <w:rsid w:val="00FB3756"/>
    <w:rsid w:val="00FB3E8F"/>
    <w:rsid w:val="00FB436A"/>
    <w:rsid w:val="00FB4E3A"/>
    <w:rsid w:val="00FB4E87"/>
    <w:rsid w:val="00FB531C"/>
    <w:rsid w:val="00FB58F8"/>
    <w:rsid w:val="00FB5FE5"/>
    <w:rsid w:val="00FB62C8"/>
    <w:rsid w:val="00FB6807"/>
    <w:rsid w:val="00FB6F6F"/>
    <w:rsid w:val="00FB72F5"/>
    <w:rsid w:val="00FB7602"/>
    <w:rsid w:val="00FC17DF"/>
    <w:rsid w:val="00FC1C52"/>
    <w:rsid w:val="00FC26A7"/>
    <w:rsid w:val="00FC28BF"/>
    <w:rsid w:val="00FC2ADE"/>
    <w:rsid w:val="00FC2CCB"/>
    <w:rsid w:val="00FC316C"/>
    <w:rsid w:val="00FC3190"/>
    <w:rsid w:val="00FC37FA"/>
    <w:rsid w:val="00FC3A06"/>
    <w:rsid w:val="00FC40EF"/>
    <w:rsid w:val="00FC455D"/>
    <w:rsid w:val="00FC4CF4"/>
    <w:rsid w:val="00FC57BC"/>
    <w:rsid w:val="00FC5E0C"/>
    <w:rsid w:val="00FC6445"/>
    <w:rsid w:val="00FC663B"/>
    <w:rsid w:val="00FC6E53"/>
    <w:rsid w:val="00FC77CA"/>
    <w:rsid w:val="00FC7EDF"/>
    <w:rsid w:val="00FD0173"/>
    <w:rsid w:val="00FD02CF"/>
    <w:rsid w:val="00FD1048"/>
    <w:rsid w:val="00FD10CF"/>
    <w:rsid w:val="00FD16A0"/>
    <w:rsid w:val="00FD17F5"/>
    <w:rsid w:val="00FD1839"/>
    <w:rsid w:val="00FD1BBA"/>
    <w:rsid w:val="00FD2DF3"/>
    <w:rsid w:val="00FD3006"/>
    <w:rsid w:val="00FD30C4"/>
    <w:rsid w:val="00FD3403"/>
    <w:rsid w:val="00FD468B"/>
    <w:rsid w:val="00FD5B86"/>
    <w:rsid w:val="00FD60D1"/>
    <w:rsid w:val="00FD68F5"/>
    <w:rsid w:val="00FD6EC1"/>
    <w:rsid w:val="00FD798B"/>
    <w:rsid w:val="00FD7B02"/>
    <w:rsid w:val="00FD7B8C"/>
    <w:rsid w:val="00FD7DF8"/>
    <w:rsid w:val="00FE0450"/>
    <w:rsid w:val="00FE045F"/>
    <w:rsid w:val="00FE07F3"/>
    <w:rsid w:val="00FE0E3B"/>
    <w:rsid w:val="00FE0F14"/>
    <w:rsid w:val="00FE16F9"/>
    <w:rsid w:val="00FE1803"/>
    <w:rsid w:val="00FE20FA"/>
    <w:rsid w:val="00FE2263"/>
    <w:rsid w:val="00FE261A"/>
    <w:rsid w:val="00FE290A"/>
    <w:rsid w:val="00FE34B3"/>
    <w:rsid w:val="00FE3689"/>
    <w:rsid w:val="00FE3B2A"/>
    <w:rsid w:val="00FE3BB3"/>
    <w:rsid w:val="00FE3FCA"/>
    <w:rsid w:val="00FE4112"/>
    <w:rsid w:val="00FE47B6"/>
    <w:rsid w:val="00FE4E84"/>
    <w:rsid w:val="00FF02D4"/>
    <w:rsid w:val="00FF0371"/>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uiPriority w:val="99"/>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21"/>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21"/>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uiPriority w:val="99"/>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
    <w:uiPriority w:val="99"/>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C6660A"/>
    <w:rPr>
      <w:rFonts w:ascii="Arial" w:hAnsi="Arial"/>
      <w:sz w:val="20"/>
      <w:szCs w:val="20"/>
    </w:rPr>
  </w:style>
  <w:style w:type="paragraph" w:customStyle="1" w:styleId="Tabletext">
    <w:name w:val="Table text"/>
    <w:basedOn w:val="Normal"/>
    <w:link w:val="TabletextChar"/>
    <w:uiPriority w:val="99"/>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8A0DD2"/>
    <w:pPr>
      <w:tabs>
        <w:tab w:val="right" w:leader="dot" w:pos="10224"/>
      </w:tabs>
      <w:spacing w:after="120" w:line="240" w:lineRule="atLeast"/>
      <w:ind w:left="360" w:right="778" w:hanging="360"/>
    </w:pPr>
    <w:rPr>
      <w:rFonts w:cs="Arial"/>
      <w:b/>
      <w:bCs/>
      <w:noProof/>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4E5F1C"/>
    <w:pPr>
      <w:spacing w:before="40" w:after="4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10"/>
      </w:numPr>
      <w:contextualSpacing/>
    </w:pPr>
  </w:style>
  <w:style w:type="paragraph" w:customStyle="1" w:styleId="paragraphtext">
    <w:name w:val="paragraph text"/>
    <w:aliases w:val="pt"/>
    <w:basedOn w:val="Normal"/>
    <w:rsid w:val="000E1906"/>
    <w:pPr>
      <w:numPr>
        <w:numId w:val="12"/>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11"/>
      </w:numPr>
      <w:tabs>
        <w:tab w:val="left" w:pos="980"/>
      </w:tabs>
      <w:spacing w:after="120"/>
      <w:ind w:left="979"/>
    </w:pPr>
  </w:style>
  <w:style w:type="paragraph" w:styleId="ListNumber">
    <w:name w:val="List Number"/>
    <w:basedOn w:val="Normal"/>
    <w:uiPriority w:val="99"/>
    <w:unhideWhenUsed/>
    <w:locked/>
    <w:rsid w:val="004000C2"/>
    <w:pPr>
      <w:numPr>
        <w:numId w:val="1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29"/>
      </w:numPr>
      <w:contextualSpacing/>
    </w:pPr>
  </w:style>
  <w:style w:type="paragraph" w:styleId="ListNumber3">
    <w:name w:val="List Number 3"/>
    <w:basedOn w:val="Normal"/>
    <w:uiPriority w:val="99"/>
    <w:unhideWhenUsed/>
    <w:locked/>
    <w:rsid w:val="006802FE"/>
    <w:pPr>
      <w:numPr>
        <w:numId w:val="3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uiPriority w:val="99"/>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21"/>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21"/>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uiPriority w:val="99"/>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
    <w:uiPriority w:val="99"/>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C6660A"/>
    <w:rPr>
      <w:rFonts w:ascii="Arial" w:hAnsi="Arial"/>
      <w:sz w:val="20"/>
      <w:szCs w:val="20"/>
    </w:rPr>
  </w:style>
  <w:style w:type="paragraph" w:customStyle="1" w:styleId="Tabletext">
    <w:name w:val="Table text"/>
    <w:basedOn w:val="Normal"/>
    <w:link w:val="TabletextChar"/>
    <w:uiPriority w:val="99"/>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8A0DD2"/>
    <w:pPr>
      <w:tabs>
        <w:tab w:val="right" w:leader="dot" w:pos="10224"/>
      </w:tabs>
      <w:spacing w:after="120" w:line="240" w:lineRule="atLeast"/>
      <w:ind w:left="360" w:right="778" w:hanging="360"/>
    </w:pPr>
    <w:rPr>
      <w:rFonts w:cs="Arial"/>
      <w:b/>
      <w:bCs/>
      <w:noProof/>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4E5F1C"/>
    <w:pPr>
      <w:spacing w:before="40" w:after="4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10"/>
      </w:numPr>
      <w:contextualSpacing/>
    </w:pPr>
  </w:style>
  <w:style w:type="paragraph" w:customStyle="1" w:styleId="paragraphtext">
    <w:name w:val="paragraph text"/>
    <w:aliases w:val="pt"/>
    <w:basedOn w:val="Normal"/>
    <w:rsid w:val="000E1906"/>
    <w:pPr>
      <w:numPr>
        <w:numId w:val="12"/>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11"/>
      </w:numPr>
      <w:tabs>
        <w:tab w:val="left" w:pos="980"/>
      </w:tabs>
      <w:spacing w:after="120"/>
      <w:ind w:left="979"/>
    </w:pPr>
  </w:style>
  <w:style w:type="paragraph" w:styleId="ListNumber">
    <w:name w:val="List Number"/>
    <w:basedOn w:val="Normal"/>
    <w:uiPriority w:val="99"/>
    <w:unhideWhenUsed/>
    <w:locked/>
    <w:rsid w:val="004000C2"/>
    <w:pPr>
      <w:numPr>
        <w:numId w:val="1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29"/>
      </w:numPr>
      <w:contextualSpacing/>
    </w:pPr>
  </w:style>
  <w:style w:type="paragraph" w:styleId="ListNumber3">
    <w:name w:val="List Number 3"/>
    <w:basedOn w:val="Normal"/>
    <w:uiPriority w:val="99"/>
    <w:unhideWhenUsed/>
    <w:locked/>
    <w:rsid w:val="006802FE"/>
    <w:pPr>
      <w:numPr>
        <w:numId w:val="3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099">
      <w:bodyDiv w:val="1"/>
      <w:marLeft w:val="0"/>
      <w:marRight w:val="0"/>
      <w:marTop w:val="0"/>
      <w:marBottom w:val="0"/>
      <w:divBdr>
        <w:top w:val="none" w:sz="0" w:space="0" w:color="auto"/>
        <w:left w:val="none" w:sz="0" w:space="0" w:color="auto"/>
        <w:bottom w:val="none" w:sz="0" w:space="0" w:color="auto"/>
        <w:right w:val="none" w:sz="0" w:space="0" w:color="auto"/>
      </w:divBdr>
    </w:div>
    <w:div w:id="91629386">
      <w:bodyDiv w:val="1"/>
      <w:marLeft w:val="0"/>
      <w:marRight w:val="0"/>
      <w:marTop w:val="0"/>
      <w:marBottom w:val="0"/>
      <w:divBdr>
        <w:top w:val="none" w:sz="0" w:space="0" w:color="auto"/>
        <w:left w:val="none" w:sz="0" w:space="0" w:color="auto"/>
        <w:bottom w:val="none" w:sz="0" w:space="0" w:color="auto"/>
        <w:right w:val="none" w:sz="0" w:space="0" w:color="auto"/>
      </w:divBdr>
    </w:div>
    <w:div w:id="211889992">
      <w:bodyDiv w:val="1"/>
      <w:marLeft w:val="0"/>
      <w:marRight w:val="0"/>
      <w:marTop w:val="0"/>
      <w:marBottom w:val="0"/>
      <w:divBdr>
        <w:top w:val="none" w:sz="0" w:space="0" w:color="auto"/>
        <w:left w:val="none" w:sz="0" w:space="0" w:color="auto"/>
        <w:bottom w:val="none" w:sz="0" w:space="0" w:color="auto"/>
        <w:right w:val="none" w:sz="0" w:space="0" w:color="auto"/>
      </w:divBdr>
    </w:div>
    <w:div w:id="367605564">
      <w:bodyDiv w:val="1"/>
      <w:marLeft w:val="0"/>
      <w:marRight w:val="0"/>
      <w:marTop w:val="0"/>
      <w:marBottom w:val="0"/>
      <w:divBdr>
        <w:top w:val="none" w:sz="0" w:space="0" w:color="auto"/>
        <w:left w:val="none" w:sz="0" w:space="0" w:color="auto"/>
        <w:bottom w:val="none" w:sz="0" w:space="0" w:color="auto"/>
        <w:right w:val="none" w:sz="0" w:space="0" w:color="auto"/>
      </w:divBdr>
    </w:div>
    <w:div w:id="374232635">
      <w:bodyDiv w:val="1"/>
      <w:marLeft w:val="0"/>
      <w:marRight w:val="0"/>
      <w:marTop w:val="0"/>
      <w:marBottom w:val="0"/>
      <w:divBdr>
        <w:top w:val="none" w:sz="0" w:space="0" w:color="auto"/>
        <w:left w:val="none" w:sz="0" w:space="0" w:color="auto"/>
        <w:bottom w:val="none" w:sz="0" w:space="0" w:color="auto"/>
        <w:right w:val="none" w:sz="0" w:space="0" w:color="auto"/>
      </w:divBdr>
    </w:div>
    <w:div w:id="542711359">
      <w:bodyDiv w:val="1"/>
      <w:marLeft w:val="0"/>
      <w:marRight w:val="0"/>
      <w:marTop w:val="0"/>
      <w:marBottom w:val="0"/>
      <w:divBdr>
        <w:top w:val="none" w:sz="0" w:space="0" w:color="auto"/>
        <w:left w:val="none" w:sz="0" w:space="0" w:color="auto"/>
        <w:bottom w:val="none" w:sz="0" w:space="0" w:color="auto"/>
        <w:right w:val="none" w:sz="0" w:space="0" w:color="auto"/>
      </w:divBdr>
    </w:div>
    <w:div w:id="670106025">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8228730">
      <w:bodyDiv w:val="1"/>
      <w:marLeft w:val="0"/>
      <w:marRight w:val="0"/>
      <w:marTop w:val="0"/>
      <w:marBottom w:val="0"/>
      <w:divBdr>
        <w:top w:val="none" w:sz="0" w:space="0" w:color="auto"/>
        <w:left w:val="none" w:sz="0" w:space="0" w:color="auto"/>
        <w:bottom w:val="none" w:sz="0" w:space="0" w:color="auto"/>
        <w:right w:val="none" w:sz="0" w:space="0" w:color="auto"/>
      </w:divBdr>
    </w:div>
    <w:div w:id="936867259">
      <w:bodyDiv w:val="1"/>
      <w:marLeft w:val="0"/>
      <w:marRight w:val="0"/>
      <w:marTop w:val="0"/>
      <w:marBottom w:val="0"/>
      <w:divBdr>
        <w:top w:val="none" w:sz="0" w:space="0" w:color="auto"/>
        <w:left w:val="none" w:sz="0" w:space="0" w:color="auto"/>
        <w:bottom w:val="none" w:sz="0" w:space="0" w:color="auto"/>
        <w:right w:val="none" w:sz="0" w:space="0" w:color="auto"/>
      </w:divBdr>
    </w:div>
    <w:div w:id="1023285178">
      <w:bodyDiv w:val="1"/>
      <w:marLeft w:val="0"/>
      <w:marRight w:val="0"/>
      <w:marTop w:val="0"/>
      <w:marBottom w:val="0"/>
      <w:divBdr>
        <w:top w:val="none" w:sz="0" w:space="0" w:color="auto"/>
        <w:left w:val="none" w:sz="0" w:space="0" w:color="auto"/>
        <w:bottom w:val="none" w:sz="0" w:space="0" w:color="auto"/>
        <w:right w:val="none" w:sz="0" w:space="0" w:color="auto"/>
      </w:divBdr>
    </w:div>
    <w:div w:id="1068305982">
      <w:bodyDiv w:val="1"/>
      <w:marLeft w:val="0"/>
      <w:marRight w:val="0"/>
      <w:marTop w:val="0"/>
      <w:marBottom w:val="0"/>
      <w:divBdr>
        <w:top w:val="none" w:sz="0" w:space="0" w:color="auto"/>
        <w:left w:val="none" w:sz="0" w:space="0" w:color="auto"/>
        <w:bottom w:val="none" w:sz="0" w:space="0" w:color="auto"/>
        <w:right w:val="none" w:sz="0" w:space="0" w:color="auto"/>
      </w:divBdr>
    </w:div>
    <w:div w:id="1281911426">
      <w:bodyDiv w:val="1"/>
      <w:marLeft w:val="0"/>
      <w:marRight w:val="0"/>
      <w:marTop w:val="0"/>
      <w:marBottom w:val="0"/>
      <w:divBdr>
        <w:top w:val="none" w:sz="0" w:space="0" w:color="auto"/>
        <w:left w:val="none" w:sz="0" w:space="0" w:color="auto"/>
        <w:bottom w:val="none" w:sz="0" w:space="0" w:color="auto"/>
        <w:right w:val="none" w:sz="0" w:space="0" w:color="auto"/>
      </w:divBdr>
    </w:div>
    <w:div w:id="1342854994">
      <w:bodyDiv w:val="1"/>
      <w:marLeft w:val="0"/>
      <w:marRight w:val="0"/>
      <w:marTop w:val="0"/>
      <w:marBottom w:val="0"/>
      <w:divBdr>
        <w:top w:val="none" w:sz="0" w:space="0" w:color="auto"/>
        <w:left w:val="none" w:sz="0" w:space="0" w:color="auto"/>
        <w:bottom w:val="none" w:sz="0" w:space="0" w:color="auto"/>
        <w:right w:val="none" w:sz="0" w:space="0" w:color="auto"/>
      </w:divBdr>
    </w:div>
    <w:div w:id="1558782845">
      <w:bodyDiv w:val="1"/>
      <w:marLeft w:val="0"/>
      <w:marRight w:val="0"/>
      <w:marTop w:val="0"/>
      <w:marBottom w:val="0"/>
      <w:divBdr>
        <w:top w:val="none" w:sz="0" w:space="0" w:color="auto"/>
        <w:left w:val="none" w:sz="0" w:space="0" w:color="auto"/>
        <w:bottom w:val="none" w:sz="0" w:space="0" w:color="auto"/>
        <w:right w:val="none" w:sz="0" w:space="0" w:color="auto"/>
      </w:divBdr>
    </w:div>
    <w:div w:id="1682316118">
      <w:bodyDiv w:val="1"/>
      <w:marLeft w:val="0"/>
      <w:marRight w:val="0"/>
      <w:marTop w:val="0"/>
      <w:marBottom w:val="0"/>
      <w:divBdr>
        <w:top w:val="none" w:sz="0" w:space="0" w:color="auto"/>
        <w:left w:val="none" w:sz="0" w:space="0" w:color="auto"/>
        <w:bottom w:val="none" w:sz="0" w:space="0" w:color="auto"/>
        <w:right w:val="none" w:sz="0" w:space="0" w:color="auto"/>
      </w:divBdr>
    </w:div>
    <w:div w:id="1731003013">
      <w:bodyDiv w:val="1"/>
      <w:marLeft w:val="0"/>
      <w:marRight w:val="0"/>
      <w:marTop w:val="0"/>
      <w:marBottom w:val="0"/>
      <w:divBdr>
        <w:top w:val="none" w:sz="0" w:space="0" w:color="auto"/>
        <w:left w:val="none" w:sz="0" w:space="0" w:color="auto"/>
        <w:bottom w:val="none" w:sz="0" w:space="0" w:color="auto"/>
        <w:right w:val="none" w:sz="0" w:space="0" w:color="auto"/>
      </w:divBdr>
    </w:div>
    <w:div w:id="1966156461">
      <w:bodyDiv w:val="1"/>
      <w:marLeft w:val="0"/>
      <w:marRight w:val="0"/>
      <w:marTop w:val="0"/>
      <w:marBottom w:val="0"/>
      <w:divBdr>
        <w:top w:val="none" w:sz="0" w:space="0" w:color="auto"/>
        <w:left w:val="none" w:sz="0" w:space="0" w:color="auto"/>
        <w:bottom w:val="none" w:sz="0" w:space="0" w:color="auto"/>
        <w:right w:val="none" w:sz="0" w:space="0" w:color="auto"/>
      </w:divBdr>
    </w:div>
    <w:div w:id="1981299749">
      <w:bodyDiv w:val="1"/>
      <w:marLeft w:val="0"/>
      <w:marRight w:val="0"/>
      <w:marTop w:val="0"/>
      <w:marBottom w:val="0"/>
      <w:divBdr>
        <w:top w:val="none" w:sz="0" w:space="0" w:color="auto"/>
        <w:left w:val="none" w:sz="0" w:space="0" w:color="auto"/>
        <w:bottom w:val="none" w:sz="0" w:space="0" w:color="auto"/>
        <w:right w:val="none" w:sz="0" w:space="0" w:color="auto"/>
      </w:divBdr>
    </w:div>
    <w:div w:id="2012246333">
      <w:bodyDiv w:val="1"/>
      <w:marLeft w:val="0"/>
      <w:marRight w:val="0"/>
      <w:marTop w:val="0"/>
      <w:marBottom w:val="0"/>
      <w:divBdr>
        <w:top w:val="none" w:sz="0" w:space="0" w:color="auto"/>
        <w:left w:val="none" w:sz="0" w:space="0" w:color="auto"/>
        <w:bottom w:val="none" w:sz="0" w:space="0" w:color="auto"/>
        <w:right w:val="none" w:sz="0" w:space="0" w:color="auto"/>
      </w:divBdr>
    </w:div>
    <w:div w:id="2060744313">
      <w:bodyDiv w:val="1"/>
      <w:marLeft w:val="0"/>
      <w:marRight w:val="0"/>
      <w:marTop w:val="0"/>
      <w:marBottom w:val="0"/>
      <w:divBdr>
        <w:top w:val="none" w:sz="0" w:space="0" w:color="auto"/>
        <w:left w:val="none" w:sz="0" w:space="0" w:color="auto"/>
        <w:bottom w:val="none" w:sz="0" w:space="0" w:color="auto"/>
        <w:right w:val="none" w:sz="0" w:space="0" w:color="auto"/>
      </w:divBdr>
    </w:div>
    <w:div w:id="2116364918">
      <w:marLeft w:val="0"/>
      <w:marRight w:val="0"/>
      <w:marTop w:val="0"/>
      <w:marBottom w:val="0"/>
      <w:divBdr>
        <w:top w:val="none" w:sz="0" w:space="0" w:color="auto"/>
        <w:left w:val="none" w:sz="0" w:space="0" w:color="auto"/>
        <w:bottom w:val="none" w:sz="0" w:space="0" w:color="auto"/>
        <w:right w:val="none" w:sz="0" w:space="0" w:color="auto"/>
      </w:divBdr>
    </w:div>
    <w:div w:id="2116364920">
      <w:marLeft w:val="0"/>
      <w:marRight w:val="0"/>
      <w:marTop w:val="0"/>
      <w:marBottom w:val="0"/>
      <w:divBdr>
        <w:top w:val="none" w:sz="0" w:space="0" w:color="auto"/>
        <w:left w:val="none" w:sz="0" w:space="0" w:color="auto"/>
        <w:bottom w:val="none" w:sz="0" w:space="0" w:color="auto"/>
        <w:right w:val="none" w:sz="0" w:space="0" w:color="auto"/>
      </w:divBdr>
    </w:div>
    <w:div w:id="2116364921">
      <w:marLeft w:val="0"/>
      <w:marRight w:val="0"/>
      <w:marTop w:val="0"/>
      <w:marBottom w:val="0"/>
      <w:divBdr>
        <w:top w:val="none" w:sz="0" w:space="0" w:color="auto"/>
        <w:left w:val="none" w:sz="0" w:space="0" w:color="auto"/>
        <w:bottom w:val="none" w:sz="0" w:space="0" w:color="auto"/>
        <w:right w:val="none" w:sz="0" w:space="0" w:color="auto"/>
      </w:divBdr>
    </w:div>
    <w:div w:id="2116364922">
      <w:marLeft w:val="0"/>
      <w:marRight w:val="0"/>
      <w:marTop w:val="0"/>
      <w:marBottom w:val="0"/>
      <w:divBdr>
        <w:top w:val="none" w:sz="0" w:space="0" w:color="auto"/>
        <w:left w:val="none" w:sz="0" w:space="0" w:color="auto"/>
        <w:bottom w:val="none" w:sz="0" w:space="0" w:color="auto"/>
        <w:right w:val="none" w:sz="0" w:space="0" w:color="auto"/>
      </w:divBdr>
    </w:div>
    <w:div w:id="2116364924">
      <w:marLeft w:val="0"/>
      <w:marRight w:val="0"/>
      <w:marTop w:val="0"/>
      <w:marBottom w:val="0"/>
      <w:divBdr>
        <w:top w:val="none" w:sz="0" w:space="0" w:color="auto"/>
        <w:left w:val="none" w:sz="0" w:space="0" w:color="auto"/>
        <w:bottom w:val="none" w:sz="0" w:space="0" w:color="auto"/>
        <w:right w:val="none" w:sz="0" w:space="0" w:color="auto"/>
      </w:divBdr>
    </w:div>
    <w:div w:id="2116364927">
      <w:marLeft w:val="0"/>
      <w:marRight w:val="0"/>
      <w:marTop w:val="0"/>
      <w:marBottom w:val="0"/>
      <w:divBdr>
        <w:top w:val="none" w:sz="0" w:space="0" w:color="auto"/>
        <w:left w:val="none" w:sz="0" w:space="0" w:color="auto"/>
        <w:bottom w:val="none" w:sz="0" w:space="0" w:color="auto"/>
        <w:right w:val="none" w:sz="0" w:space="0" w:color="auto"/>
      </w:divBdr>
    </w:div>
    <w:div w:id="2116364928">
      <w:marLeft w:val="0"/>
      <w:marRight w:val="0"/>
      <w:marTop w:val="0"/>
      <w:marBottom w:val="0"/>
      <w:divBdr>
        <w:top w:val="none" w:sz="0" w:space="0" w:color="auto"/>
        <w:left w:val="none" w:sz="0" w:space="0" w:color="auto"/>
        <w:bottom w:val="none" w:sz="0" w:space="0" w:color="auto"/>
        <w:right w:val="none" w:sz="0" w:space="0" w:color="auto"/>
      </w:divBdr>
    </w:div>
    <w:div w:id="2116364929">
      <w:marLeft w:val="0"/>
      <w:marRight w:val="0"/>
      <w:marTop w:val="0"/>
      <w:marBottom w:val="0"/>
      <w:divBdr>
        <w:top w:val="none" w:sz="0" w:space="0" w:color="auto"/>
        <w:left w:val="none" w:sz="0" w:space="0" w:color="auto"/>
        <w:bottom w:val="none" w:sz="0" w:space="0" w:color="auto"/>
        <w:right w:val="none" w:sz="0" w:space="0" w:color="auto"/>
      </w:divBdr>
    </w:div>
    <w:div w:id="2116364930">
      <w:marLeft w:val="0"/>
      <w:marRight w:val="0"/>
      <w:marTop w:val="0"/>
      <w:marBottom w:val="0"/>
      <w:divBdr>
        <w:top w:val="none" w:sz="0" w:space="0" w:color="auto"/>
        <w:left w:val="none" w:sz="0" w:space="0" w:color="auto"/>
        <w:bottom w:val="none" w:sz="0" w:space="0" w:color="auto"/>
        <w:right w:val="none" w:sz="0" w:space="0" w:color="auto"/>
      </w:divBdr>
    </w:div>
    <w:div w:id="2116364931">
      <w:marLeft w:val="0"/>
      <w:marRight w:val="0"/>
      <w:marTop w:val="0"/>
      <w:marBottom w:val="0"/>
      <w:divBdr>
        <w:top w:val="none" w:sz="0" w:space="0" w:color="auto"/>
        <w:left w:val="none" w:sz="0" w:space="0" w:color="auto"/>
        <w:bottom w:val="none" w:sz="0" w:space="0" w:color="auto"/>
        <w:right w:val="none" w:sz="0" w:space="0" w:color="auto"/>
      </w:divBdr>
    </w:div>
    <w:div w:id="2116364932">
      <w:marLeft w:val="0"/>
      <w:marRight w:val="0"/>
      <w:marTop w:val="0"/>
      <w:marBottom w:val="0"/>
      <w:divBdr>
        <w:top w:val="none" w:sz="0" w:space="0" w:color="auto"/>
        <w:left w:val="none" w:sz="0" w:space="0" w:color="auto"/>
        <w:bottom w:val="none" w:sz="0" w:space="0" w:color="auto"/>
        <w:right w:val="none" w:sz="0" w:space="0" w:color="auto"/>
      </w:divBdr>
    </w:div>
    <w:div w:id="2116364934">
      <w:marLeft w:val="0"/>
      <w:marRight w:val="0"/>
      <w:marTop w:val="0"/>
      <w:marBottom w:val="0"/>
      <w:divBdr>
        <w:top w:val="none" w:sz="0" w:space="0" w:color="auto"/>
        <w:left w:val="none" w:sz="0" w:space="0" w:color="auto"/>
        <w:bottom w:val="none" w:sz="0" w:space="0" w:color="auto"/>
        <w:right w:val="none" w:sz="0" w:space="0" w:color="auto"/>
      </w:divBdr>
      <w:divsChild>
        <w:div w:id="2116364933">
          <w:marLeft w:val="0"/>
          <w:marRight w:val="0"/>
          <w:marTop w:val="0"/>
          <w:marBottom w:val="0"/>
          <w:divBdr>
            <w:top w:val="none" w:sz="0" w:space="0" w:color="auto"/>
            <w:left w:val="none" w:sz="0" w:space="0" w:color="auto"/>
            <w:bottom w:val="none" w:sz="0" w:space="0" w:color="auto"/>
            <w:right w:val="none" w:sz="0" w:space="0" w:color="auto"/>
          </w:divBdr>
        </w:div>
      </w:divsChild>
    </w:div>
    <w:div w:id="2116364935">
      <w:marLeft w:val="0"/>
      <w:marRight w:val="0"/>
      <w:marTop w:val="0"/>
      <w:marBottom w:val="0"/>
      <w:divBdr>
        <w:top w:val="none" w:sz="0" w:space="0" w:color="auto"/>
        <w:left w:val="none" w:sz="0" w:space="0" w:color="auto"/>
        <w:bottom w:val="none" w:sz="0" w:space="0" w:color="auto"/>
        <w:right w:val="none" w:sz="0" w:space="0" w:color="auto"/>
      </w:divBdr>
    </w:div>
    <w:div w:id="2116364937">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
      </w:divsChild>
    </w:div>
    <w:div w:id="2116364938">
      <w:marLeft w:val="0"/>
      <w:marRight w:val="0"/>
      <w:marTop w:val="0"/>
      <w:marBottom w:val="0"/>
      <w:divBdr>
        <w:top w:val="none" w:sz="0" w:space="0" w:color="auto"/>
        <w:left w:val="none" w:sz="0" w:space="0" w:color="auto"/>
        <w:bottom w:val="none" w:sz="0" w:space="0" w:color="auto"/>
        <w:right w:val="none" w:sz="0" w:space="0" w:color="auto"/>
      </w:divBdr>
    </w:div>
    <w:div w:id="2116364939">
      <w:marLeft w:val="0"/>
      <w:marRight w:val="0"/>
      <w:marTop w:val="0"/>
      <w:marBottom w:val="0"/>
      <w:divBdr>
        <w:top w:val="none" w:sz="0" w:space="0" w:color="auto"/>
        <w:left w:val="none" w:sz="0" w:space="0" w:color="auto"/>
        <w:bottom w:val="none" w:sz="0" w:space="0" w:color="auto"/>
        <w:right w:val="none" w:sz="0" w:space="0" w:color="auto"/>
      </w:divBdr>
    </w:div>
    <w:div w:id="2116364940">
      <w:marLeft w:val="0"/>
      <w:marRight w:val="0"/>
      <w:marTop w:val="0"/>
      <w:marBottom w:val="0"/>
      <w:divBdr>
        <w:top w:val="none" w:sz="0" w:space="0" w:color="auto"/>
        <w:left w:val="none" w:sz="0" w:space="0" w:color="auto"/>
        <w:bottom w:val="none" w:sz="0" w:space="0" w:color="auto"/>
        <w:right w:val="none" w:sz="0" w:space="0" w:color="auto"/>
      </w:divBdr>
    </w:div>
    <w:div w:id="2116364941">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 w:id="2116364943">
      <w:marLeft w:val="0"/>
      <w:marRight w:val="0"/>
      <w:marTop w:val="0"/>
      <w:marBottom w:val="0"/>
      <w:divBdr>
        <w:top w:val="none" w:sz="0" w:space="0" w:color="auto"/>
        <w:left w:val="none" w:sz="0" w:space="0" w:color="auto"/>
        <w:bottom w:val="none" w:sz="0" w:space="0" w:color="auto"/>
        <w:right w:val="none" w:sz="0" w:space="0" w:color="auto"/>
      </w:divBdr>
    </w:div>
    <w:div w:id="2116364944">
      <w:marLeft w:val="0"/>
      <w:marRight w:val="0"/>
      <w:marTop w:val="0"/>
      <w:marBottom w:val="0"/>
      <w:divBdr>
        <w:top w:val="none" w:sz="0" w:space="0" w:color="auto"/>
        <w:left w:val="none" w:sz="0" w:space="0" w:color="auto"/>
        <w:bottom w:val="none" w:sz="0" w:space="0" w:color="auto"/>
        <w:right w:val="none" w:sz="0" w:space="0" w:color="auto"/>
      </w:divBdr>
    </w:div>
    <w:div w:id="2116364945">
      <w:marLeft w:val="0"/>
      <w:marRight w:val="0"/>
      <w:marTop w:val="0"/>
      <w:marBottom w:val="0"/>
      <w:divBdr>
        <w:top w:val="none" w:sz="0" w:space="0" w:color="auto"/>
        <w:left w:val="none" w:sz="0" w:space="0" w:color="auto"/>
        <w:bottom w:val="none" w:sz="0" w:space="0" w:color="auto"/>
        <w:right w:val="none" w:sz="0" w:space="0" w:color="auto"/>
      </w:divBdr>
    </w:div>
    <w:div w:id="2116364946">
      <w:marLeft w:val="0"/>
      <w:marRight w:val="0"/>
      <w:marTop w:val="0"/>
      <w:marBottom w:val="0"/>
      <w:divBdr>
        <w:top w:val="none" w:sz="0" w:space="0" w:color="auto"/>
        <w:left w:val="none" w:sz="0" w:space="0" w:color="auto"/>
        <w:bottom w:val="none" w:sz="0" w:space="0" w:color="auto"/>
        <w:right w:val="none" w:sz="0" w:space="0" w:color="auto"/>
      </w:divBdr>
    </w:div>
    <w:div w:id="2116364947">
      <w:marLeft w:val="0"/>
      <w:marRight w:val="0"/>
      <w:marTop w:val="0"/>
      <w:marBottom w:val="0"/>
      <w:divBdr>
        <w:top w:val="none" w:sz="0" w:space="0" w:color="auto"/>
        <w:left w:val="none" w:sz="0" w:space="0" w:color="auto"/>
        <w:bottom w:val="none" w:sz="0" w:space="0" w:color="auto"/>
        <w:right w:val="none" w:sz="0" w:space="0" w:color="auto"/>
      </w:divBdr>
    </w:div>
    <w:div w:id="2116364948">
      <w:marLeft w:val="0"/>
      <w:marRight w:val="0"/>
      <w:marTop w:val="0"/>
      <w:marBottom w:val="0"/>
      <w:divBdr>
        <w:top w:val="none" w:sz="0" w:space="0" w:color="auto"/>
        <w:left w:val="none" w:sz="0" w:space="0" w:color="auto"/>
        <w:bottom w:val="none" w:sz="0" w:space="0" w:color="auto"/>
        <w:right w:val="none" w:sz="0" w:space="0" w:color="auto"/>
      </w:divBdr>
    </w:div>
    <w:div w:id="2116364949">
      <w:marLeft w:val="0"/>
      <w:marRight w:val="0"/>
      <w:marTop w:val="0"/>
      <w:marBottom w:val="0"/>
      <w:divBdr>
        <w:top w:val="none" w:sz="0" w:space="0" w:color="auto"/>
        <w:left w:val="none" w:sz="0" w:space="0" w:color="auto"/>
        <w:bottom w:val="none" w:sz="0" w:space="0" w:color="auto"/>
        <w:right w:val="none" w:sz="0" w:space="0" w:color="auto"/>
      </w:divBdr>
    </w:div>
    <w:div w:id="2116364950">
      <w:marLeft w:val="0"/>
      <w:marRight w:val="0"/>
      <w:marTop w:val="0"/>
      <w:marBottom w:val="0"/>
      <w:divBdr>
        <w:top w:val="none" w:sz="0" w:space="0" w:color="auto"/>
        <w:left w:val="none" w:sz="0" w:space="0" w:color="auto"/>
        <w:bottom w:val="none" w:sz="0" w:space="0" w:color="auto"/>
        <w:right w:val="none" w:sz="0" w:space="0" w:color="auto"/>
      </w:divBdr>
      <w:divsChild>
        <w:div w:id="2116364925">
          <w:marLeft w:val="0"/>
          <w:marRight w:val="0"/>
          <w:marTop w:val="0"/>
          <w:marBottom w:val="0"/>
          <w:divBdr>
            <w:top w:val="none" w:sz="0" w:space="0" w:color="auto"/>
            <w:left w:val="none" w:sz="0" w:space="0" w:color="auto"/>
            <w:bottom w:val="none" w:sz="0" w:space="0" w:color="auto"/>
            <w:right w:val="none" w:sz="0" w:space="0" w:color="auto"/>
          </w:divBdr>
          <w:divsChild>
            <w:div w:id="2116364919">
              <w:marLeft w:val="0"/>
              <w:marRight w:val="0"/>
              <w:marTop w:val="0"/>
              <w:marBottom w:val="0"/>
              <w:divBdr>
                <w:top w:val="none" w:sz="0" w:space="0" w:color="auto"/>
                <w:left w:val="none" w:sz="0" w:space="0" w:color="auto"/>
                <w:bottom w:val="none" w:sz="0" w:space="0" w:color="auto"/>
                <w:right w:val="none" w:sz="0" w:space="0" w:color="auto"/>
              </w:divBdr>
              <w:divsChild>
                <w:div w:id="2116364926">
                  <w:marLeft w:val="0"/>
                  <w:marRight w:val="0"/>
                  <w:marTop w:val="225"/>
                  <w:marBottom w:val="225"/>
                  <w:divBdr>
                    <w:top w:val="none" w:sz="0" w:space="0" w:color="auto"/>
                    <w:left w:val="none" w:sz="0" w:space="0" w:color="auto"/>
                    <w:bottom w:val="none" w:sz="0" w:space="0" w:color="auto"/>
                    <w:right w:val="none" w:sz="0" w:space="0" w:color="auto"/>
                  </w:divBdr>
                  <w:divsChild>
                    <w:div w:id="2116364951">
                      <w:marLeft w:val="0"/>
                      <w:marRight w:val="0"/>
                      <w:marTop w:val="0"/>
                      <w:marBottom w:val="0"/>
                      <w:divBdr>
                        <w:top w:val="none" w:sz="0" w:space="0" w:color="auto"/>
                        <w:left w:val="none" w:sz="0" w:space="0" w:color="auto"/>
                        <w:bottom w:val="none" w:sz="0" w:space="0" w:color="auto"/>
                        <w:right w:val="none" w:sz="0" w:space="0" w:color="auto"/>
                      </w:divBdr>
                      <w:divsChild>
                        <w:div w:id="2116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4952">
      <w:marLeft w:val="0"/>
      <w:marRight w:val="0"/>
      <w:marTop w:val="0"/>
      <w:marBottom w:val="0"/>
      <w:divBdr>
        <w:top w:val="none" w:sz="0" w:space="0" w:color="auto"/>
        <w:left w:val="none" w:sz="0" w:space="0" w:color="auto"/>
        <w:bottom w:val="none" w:sz="0" w:space="0" w:color="auto"/>
        <w:right w:val="none" w:sz="0" w:space="0" w:color="auto"/>
      </w:divBdr>
    </w:div>
    <w:div w:id="2116364953">
      <w:marLeft w:val="0"/>
      <w:marRight w:val="0"/>
      <w:marTop w:val="0"/>
      <w:marBottom w:val="0"/>
      <w:divBdr>
        <w:top w:val="none" w:sz="0" w:space="0" w:color="auto"/>
        <w:left w:val="none" w:sz="0" w:space="0" w:color="auto"/>
        <w:bottom w:val="none" w:sz="0" w:space="0" w:color="auto"/>
        <w:right w:val="none" w:sz="0" w:space="0" w:color="auto"/>
      </w:divBdr>
    </w:div>
    <w:div w:id="2116364954">
      <w:marLeft w:val="0"/>
      <w:marRight w:val="0"/>
      <w:marTop w:val="0"/>
      <w:marBottom w:val="0"/>
      <w:divBdr>
        <w:top w:val="none" w:sz="0" w:space="0" w:color="auto"/>
        <w:left w:val="none" w:sz="0" w:space="0" w:color="auto"/>
        <w:bottom w:val="none" w:sz="0" w:space="0" w:color="auto"/>
        <w:right w:val="none" w:sz="0" w:space="0" w:color="auto"/>
      </w:divBdr>
    </w:div>
    <w:div w:id="2116364955">
      <w:marLeft w:val="0"/>
      <w:marRight w:val="0"/>
      <w:marTop w:val="0"/>
      <w:marBottom w:val="0"/>
      <w:divBdr>
        <w:top w:val="none" w:sz="0" w:space="0" w:color="auto"/>
        <w:left w:val="none" w:sz="0" w:space="0" w:color="auto"/>
        <w:bottom w:val="none" w:sz="0" w:space="0" w:color="auto"/>
        <w:right w:val="none" w:sz="0" w:space="0" w:color="auto"/>
      </w:divBdr>
    </w:div>
    <w:div w:id="21434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gif"/><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A5D46-E0AE-4833-B0BC-C2C1836E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10304</Words>
  <Characters>58738</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katrina.ingalls</cp:lastModifiedBy>
  <cp:revision>2</cp:revision>
  <cp:lastPrinted>2013-02-19T18:25:00Z</cp:lastPrinted>
  <dcterms:created xsi:type="dcterms:W3CDTF">2013-02-22T18:11:00Z</dcterms:created>
  <dcterms:modified xsi:type="dcterms:W3CDTF">2013-02-22T18:11:00Z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zotero-version="2.1.1"&gt;&lt;session id="La8kxnAF"/&gt;&lt;style id="http://www.zotero.org/styles/apa" hasBibliography="1" bibliographyStyleHasBeenSet="0"/&gt;&lt;prefs&gt;&lt;pref name="fieldType" value="Field"/&gt;&lt;pref name="noteType" value="0"/&gt;&lt;/prefs&gt;&lt;</vt:lpwstr>
  </property>
  <property fmtid="{D5CDD505-2E9C-101B-9397-08002B2CF9AE}" pid="4" name="ZOTERO_PREF_2">
    <vt:lpwstr>/data&gt;</vt:lpwstr>
  </property>
</Properties>
</file>