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BE" w:rsidRPr="00DD03D0" w:rsidRDefault="00D006BE" w:rsidP="00D006BE">
      <w:pPr>
        <w:jc w:val="center"/>
        <w:rPr>
          <w:rFonts w:ascii="Arial" w:hAnsi="Arial" w:cs="Arial"/>
        </w:rPr>
      </w:pPr>
      <w:r w:rsidRPr="00DD03D0">
        <w:rPr>
          <w:rFonts w:ascii="Arial" w:hAnsi="Arial" w:cs="Arial"/>
        </w:rPr>
        <w:t>INFOR</w:t>
      </w:r>
      <w:r w:rsidR="0062073C" w:rsidRPr="00DD03D0">
        <w:rPr>
          <w:rFonts w:ascii="Arial" w:hAnsi="Arial" w:cs="Arial"/>
        </w:rPr>
        <w:t>MATION COLLECTION REQUEST (ICR)</w:t>
      </w:r>
    </w:p>
    <w:p w:rsidR="0020543F" w:rsidRPr="00DD03D0" w:rsidRDefault="00856BBB" w:rsidP="00D006BE">
      <w:pPr>
        <w:jc w:val="center"/>
        <w:rPr>
          <w:rFonts w:ascii="Arial" w:hAnsi="Arial" w:cs="Arial"/>
        </w:rPr>
      </w:pPr>
      <w:r w:rsidRPr="00DD03D0">
        <w:rPr>
          <w:rFonts w:ascii="Arial" w:hAnsi="Arial" w:cs="Arial"/>
        </w:rPr>
        <w:t>Testing and Recordkeeping Requirements under the Standard for the Flammability (Open Flame) of Mattresses</w:t>
      </w:r>
    </w:p>
    <w:p w:rsidR="004C7BBC" w:rsidRDefault="00D006BE" w:rsidP="00D006BE">
      <w:pPr>
        <w:spacing w:after="240"/>
        <w:jc w:val="center"/>
        <w:rPr>
          <w:rFonts w:ascii="Arial" w:hAnsi="Arial" w:cs="Arial"/>
        </w:rPr>
      </w:pPr>
      <w:r w:rsidRPr="00DD03D0">
        <w:rPr>
          <w:rFonts w:ascii="Arial" w:hAnsi="Arial" w:cs="Arial"/>
        </w:rPr>
        <w:t>SUPPORTING STATEMENT</w:t>
      </w:r>
    </w:p>
    <w:p w:rsidR="00DD03D0" w:rsidRPr="00DD03D0" w:rsidRDefault="00DD03D0" w:rsidP="00D006BE">
      <w:pPr>
        <w:spacing w:after="240"/>
        <w:jc w:val="center"/>
        <w:rPr>
          <w:rFonts w:ascii="Arial" w:hAnsi="Arial" w:cs="Arial"/>
        </w:rPr>
      </w:pPr>
    </w:p>
    <w:p w:rsidR="00633D50" w:rsidRPr="00BA47F2" w:rsidRDefault="00077777" w:rsidP="00C90A4B">
      <w:pPr>
        <w:keepNext/>
        <w:tabs>
          <w:tab w:val="left" w:pos="360"/>
          <w:tab w:val="left" w:pos="720"/>
          <w:tab w:val="left" w:pos="1080"/>
          <w:tab w:val="left" w:pos="1440"/>
          <w:tab w:val="left" w:pos="7830"/>
        </w:tabs>
        <w:spacing w:after="240"/>
        <w:jc w:val="both"/>
        <w:rPr>
          <w:rFonts w:ascii="Arial" w:hAnsi="Arial" w:cs="Arial"/>
          <w:b/>
        </w:rPr>
      </w:pPr>
      <w:r w:rsidRPr="00BA47F2">
        <w:rPr>
          <w:rFonts w:ascii="Arial" w:hAnsi="Arial" w:cs="Arial"/>
          <w:b/>
        </w:rPr>
        <w:t>A.</w:t>
      </w:r>
      <w:r w:rsidR="0003472B" w:rsidRPr="00BA47F2">
        <w:rPr>
          <w:rFonts w:ascii="Arial" w:hAnsi="Arial" w:cs="Arial"/>
          <w:b/>
        </w:rPr>
        <w:tab/>
      </w:r>
      <w:r w:rsidRPr="00BA47F2">
        <w:rPr>
          <w:rFonts w:ascii="Arial" w:hAnsi="Arial" w:cs="Arial"/>
          <w:b/>
        </w:rPr>
        <w:t>Justification</w:t>
      </w:r>
      <w:r w:rsidR="00C90A4B" w:rsidRPr="00BA47F2">
        <w:rPr>
          <w:rFonts w:ascii="Arial" w:hAnsi="Arial" w:cs="Arial"/>
          <w:b/>
        </w:rPr>
        <w:tab/>
      </w:r>
    </w:p>
    <w:p w:rsidR="003E7565" w:rsidRPr="0020543F" w:rsidRDefault="00DD03D0" w:rsidP="0005172F">
      <w:pPr>
        <w:pStyle w:val="BodyTextIndent"/>
        <w:keepNext/>
        <w:numPr>
          <w:ilvl w:val="0"/>
          <w:numId w:val="27"/>
        </w:numPr>
        <w:tabs>
          <w:tab w:val="clear" w:pos="720"/>
          <w:tab w:val="num" w:pos="0"/>
        </w:tabs>
        <w:spacing w:after="240"/>
        <w:ind w:left="0" w:firstLine="0"/>
        <w:rPr>
          <w:rFonts w:ascii="Arial" w:hAnsi="Arial" w:cs="Arial"/>
          <w:b/>
          <w:i/>
        </w:rPr>
      </w:pPr>
      <w:r>
        <w:rPr>
          <w:rFonts w:ascii="Arial" w:hAnsi="Arial" w:cs="Arial"/>
          <w:b/>
          <w:i/>
        </w:rPr>
        <w:t xml:space="preserve"> </w:t>
      </w:r>
      <w:r>
        <w:rPr>
          <w:rFonts w:ascii="Arial" w:hAnsi="Arial" w:cs="Arial"/>
          <w:b/>
          <w:i/>
        </w:rPr>
        <w:tab/>
      </w:r>
      <w:r w:rsidR="00F114FC" w:rsidRPr="00BA47F2">
        <w:rPr>
          <w:rFonts w:ascii="Arial" w:hAnsi="Arial" w:cs="Arial"/>
          <w:b/>
          <w:i/>
        </w:rPr>
        <w:t>Information to be collected and c</w:t>
      </w:r>
      <w:r w:rsidR="00D56FD9" w:rsidRPr="00BA47F2">
        <w:rPr>
          <w:rFonts w:ascii="Arial" w:hAnsi="Arial" w:cs="Arial"/>
          <w:b/>
          <w:i/>
        </w:rPr>
        <w:t>ircumstances that make the collection of information necessary</w:t>
      </w:r>
    </w:p>
    <w:p w:rsidR="0020543F" w:rsidRDefault="0005172F" w:rsidP="0005172F">
      <w:pPr>
        <w:pStyle w:val="BodyTextIndent"/>
        <w:spacing w:after="240"/>
        <w:ind w:left="0"/>
        <w:rPr>
          <w:rFonts w:ascii="Arial" w:hAnsi="Arial" w:cs="Arial"/>
        </w:rPr>
      </w:pPr>
      <w:r>
        <w:rPr>
          <w:rFonts w:ascii="Arial" w:hAnsi="Arial" w:cs="Arial"/>
        </w:rPr>
        <w:tab/>
      </w:r>
      <w:r w:rsidR="00134876">
        <w:rPr>
          <w:rFonts w:ascii="Arial" w:hAnsi="Arial" w:cs="Arial"/>
        </w:rPr>
        <w:tab/>
      </w:r>
      <w:r w:rsidR="003E7565">
        <w:rPr>
          <w:rFonts w:ascii="Arial" w:hAnsi="Arial" w:cs="Arial"/>
        </w:rPr>
        <w:t xml:space="preserve">The </w:t>
      </w:r>
      <w:r w:rsidR="0020543F">
        <w:rPr>
          <w:rFonts w:ascii="Arial" w:hAnsi="Arial" w:cs="Arial"/>
        </w:rPr>
        <w:t xml:space="preserve">Consumer Product Safety </w:t>
      </w:r>
      <w:r w:rsidR="003E7565">
        <w:rPr>
          <w:rFonts w:ascii="Arial" w:hAnsi="Arial" w:cs="Arial"/>
        </w:rPr>
        <w:t>C</w:t>
      </w:r>
      <w:r w:rsidR="00316981">
        <w:rPr>
          <w:rFonts w:ascii="Arial" w:hAnsi="Arial" w:cs="Arial"/>
        </w:rPr>
        <w:t xml:space="preserve">ommission </w:t>
      </w:r>
      <w:r w:rsidR="0020543F">
        <w:rPr>
          <w:rFonts w:ascii="Arial" w:hAnsi="Arial" w:cs="Arial"/>
        </w:rPr>
        <w:t>issued</w:t>
      </w:r>
      <w:r w:rsidR="003E7565">
        <w:rPr>
          <w:rFonts w:ascii="Arial" w:hAnsi="Arial" w:cs="Arial"/>
        </w:rPr>
        <w:t xml:space="preserve"> </w:t>
      </w:r>
      <w:r w:rsidR="009430AE">
        <w:rPr>
          <w:rFonts w:ascii="Arial" w:hAnsi="Arial" w:cs="Arial"/>
        </w:rPr>
        <w:t xml:space="preserve">in 2007 </w:t>
      </w:r>
      <w:r w:rsidR="003E7565">
        <w:rPr>
          <w:rFonts w:ascii="Arial" w:hAnsi="Arial" w:cs="Arial"/>
        </w:rPr>
        <w:t xml:space="preserve">a flammability standard under the authority of the </w:t>
      </w:r>
      <w:r w:rsidR="0020543F">
        <w:rPr>
          <w:rFonts w:ascii="Arial" w:hAnsi="Arial" w:cs="Arial"/>
        </w:rPr>
        <w:t xml:space="preserve">Flammable Fabrics Act that </w:t>
      </w:r>
      <w:r w:rsidR="003E7565">
        <w:rPr>
          <w:rFonts w:ascii="Arial" w:hAnsi="Arial" w:cs="Arial"/>
        </w:rPr>
        <w:t>address</w:t>
      </w:r>
      <w:r w:rsidR="0020543F">
        <w:rPr>
          <w:rFonts w:ascii="Arial" w:hAnsi="Arial" w:cs="Arial"/>
        </w:rPr>
        <w:t>es</w:t>
      </w:r>
      <w:r w:rsidR="003E7565">
        <w:rPr>
          <w:rFonts w:ascii="Arial" w:hAnsi="Arial" w:cs="Arial"/>
        </w:rPr>
        <w:t xml:space="preserve"> open flame ignition of mattresses </w:t>
      </w:r>
      <w:r w:rsidR="00D71405">
        <w:rPr>
          <w:rFonts w:ascii="Arial" w:hAnsi="Arial" w:cs="Arial"/>
        </w:rPr>
        <w:t>and foundations labeled by the manufacturer for sale together</w:t>
      </w:r>
      <w:r w:rsidR="0020543F">
        <w:rPr>
          <w:rFonts w:ascii="Arial" w:hAnsi="Arial" w:cs="Arial"/>
        </w:rPr>
        <w:t xml:space="preserve"> (“mattress sets”)</w:t>
      </w:r>
      <w:r w:rsidR="00D71405">
        <w:rPr>
          <w:rFonts w:ascii="Arial" w:hAnsi="Arial" w:cs="Arial"/>
        </w:rPr>
        <w:t>, or a mattress labeled by the manufacturer for sale alone</w:t>
      </w:r>
      <w:r w:rsidR="00DE2579">
        <w:rPr>
          <w:rFonts w:ascii="Arial" w:hAnsi="Arial" w:cs="Arial"/>
        </w:rPr>
        <w:t xml:space="preserve">.  </w:t>
      </w:r>
      <w:r w:rsidR="0020543F">
        <w:rPr>
          <w:rFonts w:ascii="Arial" w:hAnsi="Arial" w:cs="Arial"/>
        </w:rPr>
        <w:t>The rule became effective on July 1, 2007 and applies to mattresses and mattress sets manufactured, imported, or renovated on or after that date.  The standard sets performa</w:t>
      </w:r>
      <w:r w:rsidR="00916F5E">
        <w:rPr>
          <w:rFonts w:ascii="Arial" w:hAnsi="Arial" w:cs="Arial"/>
        </w:rPr>
        <w:t xml:space="preserve">nce requirements that each </w:t>
      </w:r>
      <w:r w:rsidR="0020543F">
        <w:rPr>
          <w:rFonts w:ascii="Arial" w:hAnsi="Arial" w:cs="Arial"/>
        </w:rPr>
        <w:t>mattress set must meet before being introduced into commerce.  Mattress sets that comply with the requirements</w:t>
      </w:r>
      <w:r w:rsidR="00916F5E">
        <w:rPr>
          <w:rFonts w:ascii="Arial" w:hAnsi="Arial" w:cs="Arial"/>
        </w:rPr>
        <w:t xml:space="preserve"> will limit the spread and intensity of a fire</w:t>
      </w:r>
      <w:r w:rsidR="0020543F">
        <w:rPr>
          <w:rFonts w:ascii="Arial" w:hAnsi="Arial" w:cs="Arial"/>
        </w:rPr>
        <w:t>, thus reducing the possibility of flashover occurring.  These improved mattresses should result in significant reductions in deaths and injuries associated with mattress fires.</w:t>
      </w:r>
    </w:p>
    <w:p w:rsidR="0020543F" w:rsidRDefault="0020543F" w:rsidP="0005172F">
      <w:pPr>
        <w:pStyle w:val="BodyTextIndent"/>
        <w:spacing w:after="240"/>
        <w:ind w:left="0"/>
        <w:rPr>
          <w:rFonts w:ascii="Arial" w:hAnsi="Arial" w:cs="Arial"/>
        </w:rPr>
      </w:pPr>
      <w:r>
        <w:rPr>
          <w:rFonts w:ascii="Arial" w:hAnsi="Arial" w:cs="Arial"/>
        </w:rPr>
        <w:tab/>
      </w:r>
      <w:r w:rsidR="00134876">
        <w:rPr>
          <w:rFonts w:ascii="Arial" w:hAnsi="Arial" w:cs="Arial"/>
        </w:rPr>
        <w:tab/>
      </w:r>
      <w:r>
        <w:rPr>
          <w:rFonts w:ascii="Arial" w:hAnsi="Arial" w:cs="Arial"/>
        </w:rPr>
        <w:t xml:space="preserve">The Standard requires manufacturers to maintain certain records to document compliance with the standard.  This includes records concerning prototype testing, pooling and confirmation testing, and quality assurance procedures and any associated testing.  The required records must be maintained for as long as mattress sets based on the prototype are in production and must be retained for three years thereafter.  </w:t>
      </w:r>
    </w:p>
    <w:p w:rsidR="00633D50" w:rsidRPr="00BA47F2" w:rsidRDefault="00DD03D0" w:rsidP="0005172F">
      <w:pPr>
        <w:pStyle w:val="BodyTextIndent"/>
        <w:keepNext/>
        <w:numPr>
          <w:ilvl w:val="0"/>
          <w:numId w:val="27"/>
        </w:numPr>
        <w:tabs>
          <w:tab w:val="clear" w:pos="720"/>
          <w:tab w:val="num" w:pos="0"/>
        </w:tabs>
        <w:spacing w:after="240"/>
        <w:ind w:left="0" w:firstLine="0"/>
        <w:rPr>
          <w:rFonts w:ascii="Arial" w:hAnsi="Arial" w:cs="Arial"/>
          <w:b/>
          <w:i/>
        </w:rPr>
      </w:pPr>
      <w:r>
        <w:rPr>
          <w:rFonts w:ascii="Arial" w:hAnsi="Arial" w:cs="Arial"/>
          <w:b/>
          <w:i/>
        </w:rPr>
        <w:t xml:space="preserve"> </w:t>
      </w:r>
      <w:r>
        <w:rPr>
          <w:rFonts w:ascii="Arial" w:hAnsi="Arial" w:cs="Arial"/>
          <w:b/>
          <w:i/>
        </w:rPr>
        <w:tab/>
      </w:r>
      <w:r w:rsidR="0003472B" w:rsidRPr="00BA47F2">
        <w:rPr>
          <w:rFonts w:ascii="Arial" w:hAnsi="Arial" w:cs="Arial"/>
          <w:b/>
          <w:i/>
        </w:rPr>
        <w:t xml:space="preserve">Use </w:t>
      </w:r>
      <w:r w:rsidR="005152D9" w:rsidRPr="00BA47F2">
        <w:rPr>
          <w:rFonts w:ascii="Arial" w:hAnsi="Arial" w:cs="Arial"/>
          <w:b/>
          <w:i/>
        </w:rPr>
        <w:t xml:space="preserve">and sharing </w:t>
      </w:r>
      <w:r w:rsidR="0003472B" w:rsidRPr="00BA47F2">
        <w:rPr>
          <w:rFonts w:ascii="Arial" w:hAnsi="Arial" w:cs="Arial"/>
          <w:b/>
          <w:i/>
        </w:rPr>
        <w:t>of collected information</w:t>
      </w:r>
    </w:p>
    <w:p w:rsidR="00633D50" w:rsidRDefault="0005172F" w:rsidP="0005172F">
      <w:pPr>
        <w:pStyle w:val="BodyTextIndent"/>
        <w:spacing w:after="240"/>
        <w:ind w:left="0"/>
        <w:rPr>
          <w:rFonts w:ascii="Arial" w:hAnsi="Arial" w:cs="Arial"/>
        </w:rPr>
      </w:pPr>
      <w:r>
        <w:rPr>
          <w:rFonts w:ascii="Arial" w:hAnsi="Arial" w:cs="Arial"/>
        </w:rPr>
        <w:tab/>
      </w:r>
      <w:r w:rsidR="00134876">
        <w:rPr>
          <w:rFonts w:ascii="Arial" w:hAnsi="Arial" w:cs="Arial"/>
        </w:rPr>
        <w:tab/>
      </w:r>
      <w:r w:rsidR="00316981">
        <w:rPr>
          <w:rFonts w:ascii="Arial" w:hAnsi="Arial" w:cs="Arial"/>
        </w:rPr>
        <w:t>The purpose</w:t>
      </w:r>
      <w:r w:rsidR="003A0A71">
        <w:rPr>
          <w:rFonts w:ascii="Arial" w:hAnsi="Arial" w:cs="Arial"/>
        </w:rPr>
        <w:t xml:space="preserve"> of these recordkeeping requirements is to enable manufacturers to keep track of materials, construction methods and testing.  Thus, if a m</w:t>
      </w:r>
      <w:r w:rsidR="00316981">
        <w:rPr>
          <w:rFonts w:ascii="Arial" w:hAnsi="Arial" w:cs="Arial"/>
        </w:rPr>
        <w:t xml:space="preserve">anufacturer produced a mattress </w:t>
      </w:r>
      <w:r w:rsidR="003A0A71">
        <w:rPr>
          <w:rFonts w:ascii="Arial" w:hAnsi="Arial" w:cs="Arial"/>
        </w:rPr>
        <w:t>set that failed to meet the test criteria, he/she should be able to use the records to determine the prototype on which the failing mattress was based, as well as the components and method of construction that were used</w:t>
      </w:r>
      <w:r w:rsidR="009430AE">
        <w:rPr>
          <w:rFonts w:ascii="Arial" w:hAnsi="Arial" w:cs="Arial"/>
        </w:rPr>
        <w:t xml:space="preserve"> and the number of units in the production cycle affected</w:t>
      </w:r>
      <w:r w:rsidR="003A0A71">
        <w:rPr>
          <w:rFonts w:ascii="Arial" w:hAnsi="Arial" w:cs="Arial"/>
        </w:rPr>
        <w:t xml:space="preserve">.  This information would help the manufacturer correct the problem that caused the mattress to fail the test criteria. </w:t>
      </w:r>
      <w:r w:rsidR="009430AE">
        <w:rPr>
          <w:rFonts w:ascii="Arial" w:hAnsi="Arial" w:cs="Arial"/>
        </w:rPr>
        <w:t>(See 16 CFR §1633.ll, 16 CFR §1632.31(c)).</w:t>
      </w:r>
      <w:r w:rsidR="003A0A71">
        <w:rPr>
          <w:rFonts w:ascii="Arial" w:hAnsi="Arial" w:cs="Arial"/>
        </w:rPr>
        <w:t xml:space="preserve"> </w:t>
      </w:r>
    </w:p>
    <w:p w:rsidR="00FD2BB5" w:rsidRDefault="00D71405" w:rsidP="0005172F">
      <w:pPr>
        <w:keepNext/>
        <w:spacing w:after="240"/>
        <w:rPr>
          <w:rFonts w:ascii="Arial" w:hAnsi="Arial" w:cs="Arial"/>
          <w:i/>
        </w:rPr>
      </w:pPr>
      <w:r>
        <w:rPr>
          <w:rFonts w:ascii="Arial" w:hAnsi="Arial" w:cs="Arial"/>
          <w:b/>
          <w:i/>
        </w:rPr>
        <w:t xml:space="preserve">3.  </w:t>
      </w:r>
      <w:r w:rsidR="00DD03D0">
        <w:rPr>
          <w:rFonts w:ascii="Arial" w:hAnsi="Arial" w:cs="Arial"/>
          <w:b/>
          <w:i/>
        </w:rPr>
        <w:tab/>
      </w:r>
      <w:r w:rsidR="00DD03D0">
        <w:rPr>
          <w:rFonts w:ascii="Arial" w:hAnsi="Arial" w:cs="Arial"/>
          <w:b/>
          <w:i/>
        </w:rPr>
        <w:tab/>
      </w:r>
      <w:r w:rsidR="0003472B" w:rsidRPr="00BA47F2">
        <w:rPr>
          <w:rFonts w:ascii="Arial" w:hAnsi="Arial" w:cs="Arial"/>
          <w:b/>
          <w:i/>
        </w:rPr>
        <w:t xml:space="preserve">Use of information technology </w:t>
      </w:r>
      <w:r w:rsidR="001662FA" w:rsidRPr="00BA47F2">
        <w:rPr>
          <w:rFonts w:ascii="Arial" w:hAnsi="Arial" w:cs="Arial"/>
          <w:b/>
          <w:i/>
        </w:rPr>
        <w:t xml:space="preserve">(IT) </w:t>
      </w:r>
      <w:r w:rsidR="0003472B" w:rsidRPr="00BA47F2">
        <w:rPr>
          <w:rFonts w:ascii="Arial" w:hAnsi="Arial" w:cs="Arial"/>
          <w:b/>
          <w:i/>
        </w:rPr>
        <w:t>in information collection</w:t>
      </w:r>
    </w:p>
    <w:p w:rsidR="00FD2BB5" w:rsidRPr="00FD2BB5" w:rsidRDefault="00AB048E" w:rsidP="0005172F">
      <w:pPr>
        <w:keepNext/>
        <w:spacing w:after="240"/>
        <w:rPr>
          <w:rFonts w:ascii="Arial" w:hAnsi="Arial" w:cs="Arial"/>
        </w:rPr>
      </w:pPr>
      <w:r>
        <w:rPr>
          <w:rFonts w:ascii="Arial" w:hAnsi="Arial" w:cs="Arial"/>
        </w:rPr>
        <w:tab/>
      </w:r>
      <w:r w:rsidR="00134876">
        <w:rPr>
          <w:rFonts w:ascii="Arial" w:hAnsi="Arial" w:cs="Arial"/>
        </w:rPr>
        <w:tab/>
      </w:r>
      <w:r w:rsidR="00FD2BB5">
        <w:rPr>
          <w:rFonts w:ascii="Arial" w:hAnsi="Arial" w:cs="Arial"/>
        </w:rPr>
        <w:t xml:space="preserve">At the option of the firm, any technology, including electronic recordkeeping, to compile and maintain business records may be used to comply </w:t>
      </w:r>
      <w:r w:rsidR="00FD2BB5">
        <w:rPr>
          <w:rFonts w:ascii="Arial" w:hAnsi="Arial" w:cs="Arial"/>
        </w:rPr>
        <w:lastRenderedPageBreak/>
        <w:t>with the regulation.  Information is not normally submitted to CPSC unless specifically requested during compliance related activities.</w:t>
      </w:r>
    </w:p>
    <w:p w:rsidR="00633D50" w:rsidRPr="00BA47F2" w:rsidRDefault="00077777" w:rsidP="0005172F">
      <w:pPr>
        <w:pStyle w:val="BodyTextIndent2"/>
        <w:keepNext/>
        <w:spacing w:after="240"/>
        <w:ind w:left="0"/>
        <w:jc w:val="left"/>
        <w:rPr>
          <w:rFonts w:ascii="Arial" w:hAnsi="Arial" w:cs="Arial"/>
          <w:b/>
          <w:i/>
        </w:rPr>
      </w:pPr>
      <w:r w:rsidRPr="00BA47F2">
        <w:rPr>
          <w:rFonts w:ascii="Arial" w:hAnsi="Arial" w:cs="Arial"/>
          <w:b/>
          <w:i/>
        </w:rPr>
        <w:t>4.</w:t>
      </w:r>
      <w:r w:rsidRPr="00BA47F2">
        <w:rPr>
          <w:rFonts w:ascii="Arial" w:hAnsi="Arial" w:cs="Arial"/>
          <w:b/>
          <w:i/>
        </w:rPr>
        <w:tab/>
      </w:r>
      <w:r w:rsidR="00DD03D0">
        <w:rPr>
          <w:rFonts w:ascii="Arial" w:hAnsi="Arial" w:cs="Arial"/>
          <w:b/>
          <w:i/>
        </w:rPr>
        <w:tab/>
      </w:r>
      <w:r w:rsidR="0003472B" w:rsidRPr="00BA47F2">
        <w:rPr>
          <w:rFonts w:ascii="Arial" w:hAnsi="Arial" w:cs="Arial"/>
          <w:b/>
          <w:i/>
        </w:rPr>
        <w:t>Efforts to identify duplication</w:t>
      </w:r>
    </w:p>
    <w:p w:rsidR="00FD2BB5" w:rsidRPr="00FD2BB5" w:rsidRDefault="0005172F" w:rsidP="0005172F">
      <w:pPr>
        <w:pStyle w:val="BodyTextIndent2"/>
        <w:keepNext/>
        <w:tabs>
          <w:tab w:val="left" w:pos="0"/>
        </w:tabs>
        <w:spacing w:after="240"/>
        <w:ind w:left="0"/>
        <w:jc w:val="left"/>
        <w:rPr>
          <w:rFonts w:ascii="Arial" w:hAnsi="Arial" w:cs="Arial"/>
        </w:rPr>
      </w:pPr>
      <w:r>
        <w:rPr>
          <w:rFonts w:ascii="Arial" w:hAnsi="Arial" w:cs="Arial"/>
        </w:rPr>
        <w:tab/>
      </w:r>
      <w:r w:rsidR="00134876">
        <w:rPr>
          <w:rFonts w:ascii="Arial" w:hAnsi="Arial" w:cs="Arial"/>
        </w:rPr>
        <w:tab/>
      </w:r>
      <w:r w:rsidR="00FD2BB5">
        <w:rPr>
          <w:rFonts w:ascii="Arial" w:hAnsi="Arial" w:cs="Arial"/>
        </w:rPr>
        <w:t xml:space="preserve">The </w:t>
      </w:r>
      <w:proofErr w:type="gramStart"/>
      <w:r w:rsidR="00FD2BB5">
        <w:rPr>
          <w:rFonts w:ascii="Arial" w:hAnsi="Arial" w:cs="Arial"/>
        </w:rPr>
        <w:t>recordkeeping  requirements</w:t>
      </w:r>
      <w:proofErr w:type="gramEnd"/>
      <w:r w:rsidR="00FD2BB5">
        <w:rPr>
          <w:rFonts w:ascii="Arial" w:hAnsi="Arial" w:cs="Arial"/>
        </w:rPr>
        <w:t xml:space="preserve"> were reviewed for potential duplication by CPSC, by members of the affected industry, and other interested parties during the proceedings to promulgate the regulations.  No duplication was identified.</w:t>
      </w:r>
      <w:r w:rsidR="00D71405">
        <w:rPr>
          <w:rFonts w:ascii="Arial" w:hAnsi="Arial" w:cs="Arial"/>
        </w:rPr>
        <w:t xml:space="preserve">  </w:t>
      </w:r>
      <w:r w:rsidR="00965A18">
        <w:rPr>
          <w:rFonts w:ascii="Arial" w:hAnsi="Arial" w:cs="Arial"/>
        </w:rPr>
        <w:t>The staff</w:t>
      </w:r>
      <w:r w:rsidR="009430AE">
        <w:rPr>
          <w:rFonts w:ascii="Arial" w:hAnsi="Arial" w:cs="Arial"/>
        </w:rPr>
        <w:t xml:space="preserve"> will review</w:t>
      </w:r>
      <w:r w:rsidR="00C7430F">
        <w:rPr>
          <w:rFonts w:ascii="Arial" w:hAnsi="Arial" w:cs="Arial"/>
        </w:rPr>
        <w:t xml:space="preserve"> the existing matt</w:t>
      </w:r>
      <w:r w:rsidR="00454AE3">
        <w:rPr>
          <w:rFonts w:ascii="Arial" w:hAnsi="Arial" w:cs="Arial"/>
        </w:rPr>
        <w:t>r</w:t>
      </w:r>
      <w:r w:rsidR="00C7430F">
        <w:rPr>
          <w:rFonts w:ascii="Arial" w:hAnsi="Arial" w:cs="Arial"/>
        </w:rPr>
        <w:t>ess flammability s</w:t>
      </w:r>
      <w:r w:rsidR="009430AE">
        <w:rPr>
          <w:rFonts w:ascii="Arial" w:hAnsi="Arial" w:cs="Arial"/>
        </w:rPr>
        <w:t>tandard that primarily addresses</w:t>
      </w:r>
      <w:r w:rsidR="00D71405">
        <w:rPr>
          <w:rFonts w:ascii="Arial" w:hAnsi="Arial" w:cs="Arial"/>
        </w:rPr>
        <w:t xml:space="preserve"> </w:t>
      </w:r>
      <w:r w:rsidR="00965A18">
        <w:rPr>
          <w:rFonts w:ascii="Arial" w:hAnsi="Arial" w:cs="Arial"/>
        </w:rPr>
        <w:t xml:space="preserve">cigarette </w:t>
      </w:r>
      <w:r w:rsidR="00C7430F">
        <w:rPr>
          <w:rFonts w:ascii="Arial" w:hAnsi="Arial" w:cs="Arial"/>
        </w:rPr>
        <w:t>ignition</w:t>
      </w:r>
      <w:r w:rsidR="00D71405">
        <w:rPr>
          <w:rFonts w:ascii="Arial" w:hAnsi="Arial" w:cs="Arial"/>
        </w:rPr>
        <w:t xml:space="preserve"> to consider </w:t>
      </w:r>
      <w:r w:rsidR="00965A18">
        <w:rPr>
          <w:rFonts w:ascii="Arial" w:hAnsi="Arial" w:cs="Arial"/>
        </w:rPr>
        <w:t>the possibility of</w:t>
      </w:r>
      <w:r w:rsidR="00D71405">
        <w:rPr>
          <w:rFonts w:ascii="Arial" w:hAnsi="Arial" w:cs="Arial"/>
        </w:rPr>
        <w:t xml:space="preserve"> merging some of the recordkeeping requirements.</w:t>
      </w:r>
    </w:p>
    <w:p w:rsidR="00633D50" w:rsidRPr="00BA47F2" w:rsidRDefault="0003472B" w:rsidP="0005172F">
      <w:pPr>
        <w:pStyle w:val="BodyTextIndent2"/>
        <w:keepNext/>
        <w:numPr>
          <w:ilvl w:val="0"/>
          <w:numId w:val="28"/>
        </w:numPr>
        <w:tabs>
          <w:tab w:val="num" w:pos="0"/>
        </w:tabs>
        <w:spacing w:after="240"/>
        <w:ind w:left="0" w:firstLine="0"/>
        <w:jc w:val="left"/>
        <w:rPr>
          <w:rFonts w:ascii="Arial" w:hAnsi="Arial" w:cs="Arial"/>
          <w:b/>
          <w:i/>
        </w:rPr>
      </w:pPr>
      <w:r w:rsidRPr="00BA47F2">
        <w:rPr>
          <w:rFonts w:ascii="Arial" w:hAnsi="Arial" w:cs="Arial"/>
          <w:b/>
          <w:i/>
        </w:rPr>
        <w:t>Impact on small businesses</w:t>
      </w:r>
    </w:p>
    <w:p w:rsidR="00FD2BB5" w:rsidRDefault="0005172F" w:rsidP="0005172F">
      <w:pPr>
        <w:pStyle w:val="BodyTextIndent2"/>
        <w:keepNext/>
        <w:spacing w:after="240"/>
        <w:ind w:left="0"/>
        <w:jc w:val="left"/>
        <w:rPr>
          <w:rFonts w:ascii="Arial" w:hAnsi="Arial" w:cs="Arial"/>
        </w:rPr>
      </w:pPr>
      <w:r>
        <w:rPr>
          <w:rFonts w:ascii="Arial" w:hAnsi="Arial" w:cs="Arial"/>
        </w:rPr>
        <w:tab/>
      </w:r>
      <w:r w:rsidR="00134876">
        <w:rPr>
          <w:rFonts w:ascii="Arial" w:hAnsi="Arial" w:cs="Arial"/>
        </w:rPr>
        <w:tab/>
      </w:r>
      <w:r w:rsidR="00FD2BB5">
        <w:rPr>
          <w:rFonts w:ascii="Arial" w:hAnsi="Arial" w:cs="Arial"/>
        </w:rPr>
        <w:t xml:space="preserve">The Regulatory Flexibility Act (RFA) generally requires that agencies review proposed rules for their potential economic impact on small entities, </w:t>
      </w:r>
      <w:r w:rsidR="00B70150">
        <w:rPr>
          <w:rFonts w:ascii="Arial" w:hAnsi="Arial" w:cs="Arial"/>
        </w:rPr>
        <w:t>including small businesses.  Se</w:t>
      </w:r>
      <w:r w:rsidR="00FD2BB5">
        <w:rPr>
          <w:rFonts w:ascii="Arial" w:hAnsi="Arial" w:cs="Arial"/>
        </w:rPr>
        <w:t>ction 603 of the RFA calls for agencies to prepare and make available for public comment an initial regulatory flexibility analysis describing the impact of th</w:t>
      </w:r>
      <w:r w:rsidR="00B70150">
        <w:rPr>
          <w:rFonts w:ascii="Arial" w:hAnsi="Arial" w:cs="Arial"/>
        </w:rPr>
        <w:t>e proposed rule on small entiti</w:t>
      </w:r>
      <w:r w:rsidR="00FD2BB5">
        <w:rPr>
          <w:rFonts w:ascii="Arial" w:hAnsi="Arial" w:cs="Arial"/>
        </w:rPr>
        <w:t>es and identifying</w:t>
      </w:r>
      <w:r w:rsidR="00E50CFF">
        <w:rPr>
          <w:rFonts w:ascii="Arial" w:hAnsi="Arial" w:cs="Arial"/>
        </w:rPr>
        <w:t xml:space="preserve"> impact-reducing alternatives. </w:t>
      </w:r>
      <w:r w:rsidR="00965A18">
        <w:rPr>
          <w:rFonts w:ascii="Arial" w:hAnsi="Arial" w:cs="Arial"/>
        </w:rPr>
        <w:t>The staff prepared such an analysis for the pr</w:t>
      </w:r>
      <w:r w:rsidR="00DE2579">
        <w:rPr>
          <w:rFonts w:ascii="Arial" w:hAnsi="Arial" w:cs="Arial"/>
        </w:rPr>
        <w:t>o</w:t>
      </w:r>
      <w:r w:rsidR="00965A18">
        <w:rPr>
          <w:rFonts w:ascii="Arial" w:hAnsi="Arial" w:cs="Arial"/>
        </w:rPr>
        <w:t xml:space="preserve">posed rule which the Commission issued on </w:t>
      </w:r>
      <w:smartTag w:uri="urn:schemas-microsoft-com:office:smarttags" w:element="date">
        <w:smartTagPr>
          <w:attr w:name="Month" w:val="1"/>
          <w:attr w:name="Day" w:val="13"/>
          <w:attr w:name="Year" w:val="2005"/>
        </w:smartTagPr>
        <w:r w:rsidR="00B70150">
          <w:rPr>
            <w:rFonts w:ascii="Arial" w:hAnsi="Arial" w:cs="Arial"/>
          </w:rPr>
          <w:t>January 13, 2005</w:t>
        </w:r>
      </w:smartTag>
      <w:r w:rsidR="00C7430F">
        <w:rPr>
          <w:rFonts w:ascii="Arial" w:hAnsi="Arial" w:cs="Arial"/>
        </w:rPr>
        <w:t>, 70 FR 2479-2488</w:t>
      </w:r>
      <w:r w:rsidR="00D71405">
        <w:rPr>
          <w:rFonts w:ascii="Arial" w:hAnsi="Arial" w:cs="Arial"/>
        </w:rPr>
        <w:t xml:space="preserve">.  </w:t>
      </w:r>
      <w:r w:rsidR="00965A18">
        <w:rPr>
          <w:rFonts w:ascii="Arial" w:hAnsi="Arial" w:cs="Arial"/>
        </w:rPr>
        <w:t>For the final rule, the staff prepared a final regulatory fle</w:t>
      </w:r>
      <w:r w:rsidR="00916F5E">
        <w:rPr>
          <w:rFonts w:ascii="Arial" w:hAnsi="Arial" w:cs="Arial"/>
        </w:rPr>
        <w:t>xibility analysis</w:t>
      </w:r>
      <w:r w:rsidR="00965A18">
        <w:rPr>
          <w:rFonts w:ascii="Arial" w:hAnsi="Arial" w:cs="Arial"/>
        </w:rPr>
        <w:t xml:space="preserve">.  </w:t>
      </w:r>
      <w:r w:rsidR="00D71405">
        <w:rPr>
          <w:rFonts w:ascii="Arial" w:hAnsi="Arial" w:cs="Arial"/>
        </w:rPr>
        <w:t xml:space="preserve">We estimate that </w:t>
      </w:r>
      <w:r w:rsidR="00965A18">
        <w:rPr>
          <w:rFonts w:ascii="Arial" w:hAnsi="Arial" w:cs="Arial"/>
        </w:rPr>
        <w:t xml:space="preserve">there are </w:t>
      </w:r>
      <w:r w:rsidR="00D71405">
        <w:rPr>
          <w:rFonts w:ascii="Arial" w:hAnsi="Arial" w:cs="Arial"/>
        </w:rPr>
        <w:t>571 establishments (plants) producing conventional mattresses and 100 establishments producing non-conventional mattresses</w:t>
      </w:r>
      <w:r w:rsidR="00965A18">
        <w:rPr>
          <w:rFonts w:ascii="Arial" w:hAnsi="Arial" w:cs="Arial"/>
        </w:rPr>
        <w:t xml:space="preserve"> in the U.S.</w:t>
      </w:r>
      <w:r w:rsidR="00D71405">
        <w:rPr>
          <w:rFonts w:ascii="Arial" w:hAnsi="Arial" w:cs="Arial"/>
        </w:rPr>
        <w:t xml:space="preserve">, </w:t>
      </w:r>
      <w:r w:rsidR="0053084B">
        <w:rPr>
          <w:rFonts w:ascii="Arial" w:hAnsi="Arial" w:cs="Arial"/>
        </w:rPr>
        <w:t>thus a total of 671 firms are</w:t>
      </w:r>
      <w:r w:rsidR="004120A6">
        <w:rPr>
          <w:rFonts w:ascii="Arial" w:hAnsi="Arial" w:cs="Arial"/>
        </w:rPr>
        <w:t xml:space="preserve"> a</w:t>
      </w:r>
      <w:r w:rsidR="00B70150">
        <w:rPr>
          <w:rFonts w:ascii="Arial" w:hAnsi="Arial" w:cs="Arial"/>
        </w:rPr>
        <w:t xml:space="preserve">ffected by this standard.  </w:t>
      </w:r>
      <w:r w:rsidR="00D71405">
        <w:rPr>
          <w:rFonts w:ascii="Arial" w:hAnsi="Arial" w:cs="Arial"/>
        </w:rPr>
        <w:t xml:space="preserve">Almost all mattress firms would be considered small businesses using the Small Business Administration definition.  </w:t>
      </w:r>
      <w:r w:rsidR="00B70150">
        <w:rPr>
          <w:rFonts w:ascii="Arial" w:hAnsi="Arial" w:cs="Arial"/>
        </w:rPr>
        <w:t xml:space="preserve">This analysis found that the </w:t>
      </w:r>
      <w:r w:rsidR="00CF7170">
        <w:rPr>
          <w:rFonts w:ascii="Arial" w:hAnsi="Arial" w:cs="Arial"/>
        </w:rPr>
        <w:t>cost of testing, in</w:t>
      </w:r>
      <w:r w:rsidR="00DE2579">
        <w:rPr>
          <w:rFonts w:ascii="Arial" w:hAnsi="Arial" w:cs="Arial"/>
        </w:rPr>
        <w:t>formation collection and record</w:t>
      </w:r>
      <w:r w:rsidR="00CF7170">
        <w:rPr>
          <w:rFonts w:ascii="Arial" w:hAnsi="Arial" w:cs="Arial"/>
        </w:rPr>
        <w:t>keeping and quality</w:t>
      </w:r>
      <w:r w:rsidR="00DE2579">
        <w:rPr>
          <w:rFonts w:ascii="Arial" w:hAnsi="Arial" w:cs="Arial"/>
        </w:rPr>
        <w:t xml:space="preserve"> </w:t>
      </w:r>
      <w:r w:rsidR="00CF7170">
        <w:rPr>
          <w:rFonts w:ascii="Arial" w:hAnsi="Arial" w:cs="Arial"/>
        </w:rPr>
        <w:t>control/quality assurance programs may be</w:t>
      </w:r>
      <w:r w:rsidR="00B70150">
        <w:rPr>
          <w:rFonts w:ascii="Arial" w:hAnsi="Arial" w:cs="Arial"/>
        </w:rPr>
        <w:t xml:space="preserve"> disproportionately </w:t>
      </w:r>
      <w:r w:rsidR="00CF7170">
        <w:rPr>
          <w:rFonts w:ascii="Arial" w:hAnsi="Arial" w:cs="Arial"/>
        </w:rPr>
        <w:t xml:space="preserve">higher per mattress set for </w:t>
      </w:r>
      <w:r w:rsidR="00B70150">
        <w:rPr>
          <w:rFonts w:ascii="Arial" w:hAnsi="Arial" w:cs="Arial"/>
        </w:rPr>
        <w:t>small businesses</w:t>
      </w:r>
      <w:r w:rsidR="00CF7170">
        <w:rPr>
          <w:rFonts w:ascii="Arial" w:hAnsi="Arial" w:cs="Arial"/>
        </w:rPr>
        <w:t>.  To reduce the impact on small busine</w:t>
      </w:r>
      <w:r w:rsidR="00DE2579">
        <w:rPr>
          <w:rFonts w:ascii="Arial" w:hAnsi="Arial" w:cs="Arial"/>
        </w:rPr>
        <w:t>sses, the Commission</w:t>
      </w:r>
      <w:r w:rsidR="00CF7170">
        <w:rPr>
          <w:rFonts w:ascii="Arial" w:hAnsi="Arial" w:cs="Arial"/>
        </w:rPr>
        <w:t xml:space="preserve"> eliminated the requirement of keeping physical samples</w:t>
      </w:r>
      <w:r w:rsidR="00D13996">
        <w:rPr>
          <w:rFonts w:ascii="Arial" w:hAnsi="Arial" w:cs="Arial"/>
        </w:rPr>
        <w:t>,</w:t>
      </w:r>
      <w:r w:rsidR="00CF7170">
        <w:rPr>
          <w:rFonts w:ascii="Arial" w:hAnsi="Arial" w:cs="Arial"/>
        </w:rPr>
        <w:t xml:space="preserve"> included in the proposed standard.  This reduced the average recordkeeping cost per establi</w:t>
      </w:r>
      <w:r w:rsidR="00965A18">
        <w:rPr>
          <w:rFonts w:ascii="Arial" w:hAnsi="Arial" w:cs="Arial"/>
        </w:rPr>
        <w:t>shment.  The</w:t>
      </w:r>
      <w:r w:rsidR="00CF7170">
        <w:rPr>
          <w:rFonts w:ascii="Arial" w:hAnsi="Arial" w:cs="Arial"/>
        </w:rPr>
        <w:t xml:space="preserve"> </w:t>
      </w:r>
      <w:r w:rsidR="00DE2579">
        <w:rPr>
          <w:rFonts w:ascii="Arial" w:hAnsi="Arial" w:cs="Arial"/>
        </w:rPr>
        <w:t xml:space="preserve">final </w:t>
      </w:r>
      <w:r w:rsidR="00CF7170">
        <w:rPr>
          <w:rFonts w:ascii="Arial" w:hAnsi="Arial" w:cs="Arial"/>
        </w:rPr>
        <w:t>standard allows two or more establishments (plants within the same firm) or independe</w:t>
      </w:r>
      <w:r w:rsidR="00E50CFF">
        <w:rPr>
          <w:rFonts w:ascii="Arial" w:hAnsi="Arial" w:cs="Arial"/>
        </w:rPr>
        <w:t xml:space="preserve">nt firms to “pool” prototypes. </w:t>
      </w:r>
      <w:r w:rsidR="00CF7170">
        <w:rPr>
          <w:rFonts w:ascii="Arial" w:hAnsi="Arial" w:cs="Arial"/>
        </w:rPr>
        <w:t>This reduces the cost of testing because only one of the pooling firms is required to test three sets with all remaining firms testing one set.</w:t>
      </w:r>
      <w:r w:rsidR="00B70150">
        <w:rPr>
          <w:rFonts w:ascii="Arial" w:hAnsi="Arial" w:cs="Arial"/>
        </w:rPr>
        <w:t xml:space="preserve"> </w:t>
      </w:r>
    </w:p>
    <w:p w:rsidR="004A446D" w:rsidRDefault="004A446D" w:rsidP="0005172F">
      <w:pPr>
        <w:pStyle w:val="BodyTextIndent2"/>
        <w:keepNext/>
        <w:spacing w:after="240"/>
        <w:ind w:left="0"/>
        <w:jc w:val="left"/>
        <w:rPr>
          <w:rFonts w:ascii="Arial" w:hAnsi="Arial" w:cs="Arial"/>
        </w:rPr>
      </w:pPr>
      <w:r>
        <w:rPr>
          <w:rFonts w:ascii="Arial" w:hAnsi="Arial" w:cs="Arial"/>
        </w:rPr>
        <w:tab/>
      </w:r>
      <w:r w:rsidR="00134876">
        <w:rPr>
          <w:rFonts w:ascii="Arial" w:hAnsi="Arial" w:cs="Arial"/>
        </w:rPr>
        <w:tab/>
      </w:r>
      <w:r>
        <w:rPr>
          <w:rFonts w:ascii="Arial" w:hAnsi="Arial" w:cs="Arial"/>
        </w:rPr>
        <w:t>Targeted efforts were made to relay and explain information to small businesses.  The CPSC Mattress Flammability webpage (</w:t>
      </w:r>
      <w:hyperlink r:id="rId9" w:history="1">
        <w:r w:rsidRPr="00440B39">
          <w:rPr>
            <w:rStyle w:val="Hyperlink"/>
            <w:rFonts w:ascii="Arial" w:hAnsi="Arial" w:cs="Arial"/>
          </w:rPr>
          <w:t>https://www.cpsc.gov/BUSINFO/mattress.aspx</w:t>
        </w:r>
      </w:hyperlink>
      <w:r>
        <w:rPr>
          <w:rFonts w:ascii="Arial" w:hAnsi="Arial" w:cs="Arial"/>
        </w:rPr>
        <w:t xml:space="preserve">) was created as a portal to convey information to interested entities.  A </w:t>
      </w:r>
      <w:proofErr w:type="spellStart"/>
      <w:r>
        <w:rPr>
          <w:rFonts w:ascii="Arial" w:hAnsi="Arial" w:cs="Arial"/>
        </w:rPr>
        <w:t>listserve</w:t>
      </w:r>
      <w:proofErr w:type="spellEnd"/>
      <w:r>
        <w:rPr>
          <w:rFonts w:ascii="Arial" w:hAnsi="Arial" w:cs="Arial"/>
        </w:rPr>
        <w:t xml:space="preserve"> sends periodic updates to those who sign up.  In addition, CPSC staff hosted informational seminars which were free of charge and were offered on both the East and West coasts.  Links to presentations are also available via CPSC’s Mattress Flammability webpage.</w:t>
      </w:r>
    </w:p>
    <w:p w:rsidR="00134876" w:rsidRPr="00FD2BB5" w:rsidRDefault="00134876" w:rsidP="0005172F">
      <w:pPr>
        <w:pStyle w:val="BodyTextIndent2"/>
        <w:keepNext/>
        <w:spacing w:after="240"/>
        <w:ind w:left="0"/>
        <w:jc w:val="left"/>
        <w:rPr>
          <w:rFonts w:ascii="Arial" w:hAnsi="Arial" w:cs="Arial"/>
        </w:rPr>
      </w:pPr>
    </w:p>
    <w:p w:rsidR="0005172F" w:rsidRDefault="009A1755" w:rsidP="0005172F">
      <w:pPr>
        <w:pStyle w:val="BodyTextIndent2"/>
        <w:keepNext/>
        <w:spacing w:after="240"/>
        <w:ind w:left="0"/>
        <w:jc w:val="left"/>
        <w:rPr>
          <w:rFonts w:ascii="Arial" w:hAnsi="Arial" w:cs="Arial"/>
          <w:b/>
          <w:i/>
        </w:rPr>
      </w:pPr>
      <w:r w:rsidRPr="00BA47F2">
        <w:rPr>
          <w:rFonts w:ascii="Arial" w:hAnsi="Arial" w:cs="Arial"/>
          <w:b/>
          <w:i/>
        </w:rPr>
        <w:lastRenderedPageBreak/>
        <w:t>6.</w:t>
      </w:r>
      <w:r w:rsidRPr="00BA47F2">
        <w:rPr>
          <w:rFonts w:ascii="Arial" w:hAnsi="Arial" w:cs="Arial"/>
          <w:b/>
          <w:i/>
        </w:rPr>
        <w:tab/>
      </w:r>
      <w:r w:rsidR="00DD03D0">
        <w:rPr>
          <w:rFonts w:ascii="Arial" w:hAnsi="Arial" w:cs="Arial"/>
          <w:b/>
          <w:i/>
        </w:rPr>
        <w:tab/>
      </w:r>
      <w:r w:rsidR="0003472B" w:rsidRPr="00BA47F2">
        <w:rPr>
          <w:rFonts w:ascii="Arial" w:hAnsi="Arial" w:cs="Arial"/>
          <w:b/>
          <w:i/>
        </w:rPr>
        <w:t>Consequence to Federal program or policy activities if collection is not conducted or is conducted less frequently</w:t>
      </w:r>
    </w:p>
    <w:p w:rsidR="00CF7170" w:rsidRPr="0005172F" w:rsidRDefault="0005172F" w:rsidP="0005172F">
      <w:pPr>
        <w:pStyle w:val="BodyTextIndent2"/>
        <w:keepNext/>
        <w:spacing w:after="240"/>
        <w:ind w:left="0"/>
        <w:jc w:val="left"/>
        <w:rPr>
          <w:rFonts w:ascii="Arial" w:hAnsi="Arial" w:cs="Arial"/>
          <w:b/>
          <w:i/>
        </w:rPr>
      </w:pPr>
      <w:r>
        <w:rPr>
          <w:rFonts w:ascii="Arial" w:hAnsi="Arial" w:cs="Arial"/>
          <w:b/>
          <w:i/>
        </w:rPr>
        <w:tab/>
      </w:r>
      <w:r w:rsidR="00134876">
        <w:rPr>
          <w:rFonts w:ascii="Arial" w:hAnsi="Arial" w:cs="Arial"/>
          <w:b/>
          <w:i/>
        </w:rPr>
        <w:tab/>
      </w:r>
      <w:r w:rsidR="00CF7170">
        <w:rPr>
          <w:rFonts w:ascii="Arial" w:hAnsi="Arial" w:cs="Arial"/>
        </w:rPr>
        <w:t>Without the paperwork requirements, manufacturers would be unable to track information about mattress manufacturing that would enable them to determin</w:t>
      </w:r>
      <w:r w:rsidR="004A446D">
        <w:rPr>
          <w:rFonts w:ascii="Arial" w:hAnsi="Arial" w:cs="Arial"/>
        </w:rPr>
        <w:t xml:space="preserve">e why a mattress was failing, </w:t>
      </w:r>
      <w:r w:rsidR="00CF7170">
        <w:rPr>
          <w:rFonts w:ascii="Arial" w:hAnsi="Arial" w:cs="Arial"/>
        </w:rPr>
        <w:t>how to correct the problem</w:t>
      </w:r>
      <w:r w:rsidR="004A446D">
        <w:rPr>
          <w:rFonts w:ascii="Arial" w:hAnsi="Arial" w:cs="Arial"/>
        </w:rPr>
        <w:t>, and how to limit the scope of a recall if that became necessary</w:t>
      </w:r>
      <w:r w:rsidR="00CF7170">
        <w:rPr>
          <w:rFonts w:ascii="Arial" w:hAnsi="Arial" w:cs="Arial"/>
        </w:rPr>
        <w:t>.</w:t>
      </w:r>
    </w:p>
    <w:p w:rsidR="00633D50" w:rsidRDefault="0003472B" w:rsidP="0005172F">
      <w:pPr>
        <w:keepNext/>
        <w:spacing w:after="240"/>
        <w:rPr>
          <w:rFonts w:ascii="Arial" w:hAnsi="Arial" w:cs="Arial"/>
          <w:b/>
          <w:i/>
        </w:rPr>
      </w:pPr>
      <w:r w:rsidRPr="00BA47F2">
        <w:rPr>
          <w:rFonts w:ascii="Arial" w:hAnsi="Arial" w:cs="Arial"/>
          <w:b/>
          <w:i/>
        </w:rPr>
        <w:t>7.</w:t>
      </w:r>
      <w:r w:rsidRPr="00BA47F2">
        <w:rPr>
          <w:rFonts w:ascii="Arial" w:hAnsi="Arial" w:cs="Arial"/>
          <w:b/>
          <w:i/>
        </w:rPr>
        <w:tab/>
      </w:r>
      <w:r w:rsidR="00DD03D0">
        <w:rPr>
          <w:rFonts w:ascii="Arial" w:hAnsi="Arial" w:cs="Arial"/>
          <w:b/>
          <w:i/>
        </w:rPr>
        <w:tab/>
      </w:r>
      <w:r w:rsidRPr="00BA47F2">
        <w:rPr>
          <w:rFonts w:ascii="Arial" w:hAnsi="Arial" w:cs="Arial"/>
          <w:b/>
          <w:i/>
        </w:rPr>
        <w:t>Special circumstances</w:t>
      </w:r>
      <w:r w:rsidR="00715B7A" w:rsidRPr="00BA47F2">
        <w:rPr>
          <w:rFonts w:ascii="Arial" w:hAnsi="Arial" w:cs="Arial"/>
          <w:b/>
          <w:i/>
        </w:rPr>
        <w:t xml:space="preserve"> r</w:t>
      </w:r>
      <w:r w:rsidR="00D67C48" w:rsidRPr="00BA47F2">
        <w:rPr>
          <w:rFonts w:ascii="Arial" w:hAnsi="Arial" w:cs="Arial"/>
          <w:b/>
          <w:i/>
        </w:rPr>
        <w:t>equiring respondents to report information more often than quarterly</w:t>
      </w:r>
      <w:r w:rsidR="00715B7A" w:rsidRPr="00BA47F2">
        <w:rPr>
          <w:rFonts w:ascii="Arial" w:hAnsi="Arial" w:cs="Arial"/>
          <w:b/>
          <w:i/>
        </w:rPr>
        <w:t xml:space="preserve"> or to prepare responses in fewer than 30 days</w:t>
      </w:r>
    </w:p>
    <w:p w:rsidR="00CF7170" w:rsidRPr="00CF7170" w:rsidRDefault="00CF7170" w:rsidP="0005172F">
      <w:pPr>
        <w:keepNext/>
        <w:spacing w:after="240"/>
        <w:rPr>
          <w:rFonts w:ascii="Arial" w:hAnsi="Arial" w:cs="Arial"/>
        </w:rPr>
      </w:pPr>
      <w:r>
        <w:rPr>
          <w:rFonts w:ascii="Arial" w:hAnsi="Arial" w:cs="Arial"/>
          <w:b/>
          <w:i/>
        </w:rPr>
        <w:tab/>
      </w:r>
      <w:r>
        <w:rPr>
          <w:rFonts w:ascii="Arial" w:hAnsi="Arial" w:cs="Arial"/>
        </w:rPr>
        <w:t>Not applicable.</w:t>
      </w:r>
    </w:p>
    <w:p w:rsidR="00633D50" w:rsidRPr="00BA47F2" w:rsidRDefault="00504179" w:rsidP="0005172F">
      <w:pPr>
        <w:keepNext/>
        <w:spacing w:after="240"/>
        <w:rPr>
          <w:rFonts w:ascii="Arial" w:hAnsi="Arial" w:cs="Arial"/>
          <w:b/>
          <w:i/>
        </w:rPr>
      </w:pPr>
      <w:r w:rsidRPr="00BA47F2">
        <w:rPr>
          <w:rFonts w:ascii="Arial" w:hAnsi="Arial" w:cs="Arial"/>
          <w:b/>
          <w:i/>
        </w:rPr>
        <w:t>8.</w:t>
      </w:r>
      <w:r w:rsidR="00D67C48" w:rsidRPr="00BA47F2">
        <w:rPr>
          <w:rFonts w:ascii="Arial" w:hAnsi="Arial" w:cs="Arial"/>
          <w:b/>
          <w:i/>
        </w:rPr>
        <w:tab/>
      </w:r>
      <w:r w:rsidR="00DD03D0">
        <w:rPr>
          <w:rFonts w:ascii="Arial" w:hAnsi="Arial" w:cs="Arial"/>
          <w:b/>
          <w:i/>
        </w:rPr>
        <w:tab/>
      </w:r>
      <w:r w:rsidR="00D67C48" w:rsidRPr="00BA47F2">
        <w:rPr>
          <w:rFonts w:ascii="Arial" w:hAnsi="Arial" w:cs="Arial"/>
          <w:b/>
          <w:i/>
        </w:rPr>
        <w:t>Agency’s Federal Register Notice</w:t>
      </w:r>
      <w:r w:rsidR="00774960" w:rsidRPr="00BA47F2">
        <w:rPr>
          <w:rFonts w:ascii="Arial" w:hAnsi="Arial" w:cs="Arial"/>
          <w:b/>
          <w:i/>
        </w:rPr>
        <w:t xml:space="preserve"> and related information</w:t>
      </w:r>
    </w:p>
    <w:p w:rsidR="00077777" w:rsidRPr="003E7565" w:rsidRDefault="0005172F" w:rsidP="0005172F">
      <w:pPr>
        <w:spacing w:after="240"/>
        <w:rPr>
          <w:rFonts w:ascii="Arial" w:hAnsi="Arial" w:cs="Arial"/>
        </w:rPr>
      </w:pPr>
      <w:r>
        <w:rPr>
          <w:rFonts w:ascii="Arial" w:hAnsi="Arial" w:cs="Arial"/>
        </w:rPr>
        <w:tab/>
      </w:r>
      <w:r w:rsidR="00134876">
        <w:rPr>
          <w:rFonts w:ascii="Arial" w:hAnsi="Arial" w:cs="Arial"/>
        </w:rPr>
        <w:tab/>
      </w:r>
      <w:r w:rsidR="00815E3D">
        <w:rPr>
          <w:rFonts w:ascii="Arial" w:hAnsi="Arial" w:cs="Arial"/>
        </w:rPr>
        <w:t xml:space="preserve">An FR notice was published </w:t>
      </w:r>
      <w:r w:rsidR="00911EE2">
        <w:rPr>
          <w:rFonts w:ascii="Arial" w:hAnsi="Arial" w:cs="Arial"/>
        </w:rPr>
        <w:t>January 4, 2013</w:t>
      </w:r>
      <w:bookmarkStart w:id="0" w:name="_GoBack"/>
      <w:bookmarkEnd w:id="0"/>
      <w:r w:rsidR="00E24210">
        <w:rPr>
          <w:rFonts w:ascii="Arial" w:hAnsi="Arial" w:cs="Arial"/>
        </w:rPr>
        <w:t>.  No comments were</w:t>
      </w:r>
      <w:r w:rsidR="00815E3D">
        <w:rPr>
          <w:rFonts w:ascii="Arial" w:hAnsi="Arial" w:cs="Arial"/>
        </w:rPr>
        <w:t xml:space="preserve"> received.</w:t>
      </w:r>
    </w:p>
    <w:p w:rsidR="00633D50" w:rsidRPr="00BA47F2" w:rsidRDefault="00077777" w:rsidP="0005172F">
      <w:pPr>
        <w:pStyle w:val="BodyText"/>
        <w:keepNext/>
        <w:spacing w:after="240"/>
        <w:jc w:val="left"/>
        <w:rPr>
          <w:rFonts w:ascii="Arial" w:hAnsi="Arial" w:cs="Arial"/>
          <w:b/>
          <w:i/>
        </w:rPr>
      </w:pPr>
      <w:r w:rsidRPr="00BA47F2">
        <w:rPr>
          <w:rFonts w:ascii="Arial" w:hAnsi="Arial" w:cs="Arial"/>
          <w:b/>
          <w:i/>
        </w:rPr>
        <w:t>9.</w:t>
      </w:r>
      <w:r w:rsidRPr="00BA47F2">
        <w:rPr>
          <w:rFonts w:ascii="Arial" w:hAnsi="Arial" w:cs="Arial"/>
          <w:b/>
          <w:i/>
        </w:rPr>
        <w:tab/>
      </w:r>
      <w:r w:rsidR="00DD03D0">
        <w:rPr>
          <w:rFonts w:ascii="Arial" w:hAnsi="Arial" w:cs="Arial"/>
          <w:b/>
          <w:i/>
        </w:rPr>
        <w:tab/>
      </w:r>
      <w:r w:rsidR="00D67C48" w:rsidRPr="00BA47F2">
        <w:rPr>
          <w:rFonts w:ascii="Arial" w:hAnsi="Arial" w:cs="Arial"/>
          <w:b/>
          <w:i/>
        </w:rPr>
        <w:t>Decision to provide payment or gift</w:t>
      </w:r>
    </w:p>
    <w:p w:rsidR="00670467" w:rsidRPr="00CF7170" w:rsidRDefault="00670467" w:rsidP="0005172F">
      <w:pPr>
        <w:pStyle w:val="BodyText"/>
        <w:keepNext/>
        <w:spacing w:after="240"/>
        <w:jc w:val="left"/>
        <w:rPr>
          <w:rFonts w:ascii="Arial" w:hAnsi="Arial" w:cs="Arial"/>
        </w:rPr>
      </w:pPr>
      <w:r w:rsidRPr="00BA47F2">
        <w:rPr>
          <w:rFonts w:ascii="Arial" w:hAnsi="Arial" w:cs="Arial"/>
          <w:b/>
        </w:rPr>
        <w:tab/>
      </w:r>
      <w:r w:rsidR="00134876">
        <w:rPr>
          <w:rFonts w:ascii="Arial" w:hAnsi="Arial" w:cs="Arial"/>
          <w:b/>
        </w:rPr>
        <w:tab/>
      </w:r>
      <w:r w:rsidRPr="00CF7170">
        <w:rPr>
          <w:rFonts w:ascii="Arial" w:hAnsi="Arial" w:cs="Arial"/>
        </w:rPr>
        <w:t>There is no payment or gift associated with this collection effort.</w:t>
      </w:r>
    </w:p>
    <w:p w:rsidR="00633D50" w:rsidRPr="00BA47F2" w:rsidRDefault="00D67C48" w:rsidP="0005172F">
      <w:pPr>
        <w:pStyle w:val="BodyText"/>
        <w:keepNext/>
        <w:spacing w:after="240"/>
        <w:jc w:val="left"/>
        <w:rPr>
          <w:rFonts w:ascii="Arial" w:hAnsi="Arial" w:cs="Arial"/>
          <w:b/>
          <w:i/>
        </w:rPr>
      </w:pPr>
      <w:r w:rsidRPr="00BA47F2">
        <w:rPr>
          <w:rFonts w:ascii="Arial" w:hAnsi="Arial" w:cs="Arial"/>
          <w:b/>
          <w:i/>
        </w:rPr>
        <w:t>10.</w:t>
      </w:r>
      <w:r w:rsidRPr="00BA47F2">
        <w:rPr>
          <w:rFonts w:ascii="Arial" w:hAnsi="Arial" w:cs="Arial"/>
          <w:b/>
          <w:i/>
        </w:rPr>
        <w:tab/>
      </w:r>
      <w:r w:rsidR="00DD03D0">
        <w:rPr>
          <w:rFonts w:ascii="Arial" w:hAnsi="Arial" w:cs="Arial"/>
          <w:b/>
          <w:i/>
        </w:rPr>
        <w:tab/>
      </w:r>
      <w:r w:rsidRPr="00BA47F2">
        <w:rPr>
          <w:rFonts w:ascii="Arial" w:hAnsi="Arial" w:cs="Arial"/>
          <w:b/>
          <w:i/>
        </w:rPr>
        <w:t>Assurance of confidentiality</w:t>
      </w:r>
    </w:p>
    <w:p w:rsidR="00E50CFF" w:rsidRPr="00E50CFF" w:rsidRDefault="00E50CFF" w:rsidP="00E50CFF">
      <w:pPr>
        <w:rPr>
          <w:rFonts w:ascii="Arial" w:hAnsi="Arial" w:cs="Arial"/>
        </w:rPr>
      </w:pPr>
      <w:r>
        <w:t xml:space="preserve"> </w:t>
      </w:r>
      <w:r>
        <w:tab/>
      </w:r>
      <w:r>
        <w:tab/>
      </w:r>
      <w:r w:rsidRPr="00E50CFF">
        <w:rPr>
          <w:rFonts w:ascii="Arial" w:hAnsi="Arial" w:cs="Arial"/>
        </w:rPr>
        <w:t>Any information required to be maintained by the Commission’s rule which</w:t>
      </w:r>
    </w:p>
    <w:p w:rsidR="00670467" w:rsidRPr="00E50CFF" w:rsidRDefault="00670467" w:rsidP="00E50CFF">
      <w:pPr>
        <w:rPr>
          <w:rFonts w:ascii="Arial" w:hAnsi="Arial" w:cs="Arial"/>
        </w:rPr>
      </w:pPr>
      <w:r w:rsidRPr="00E50CFF">
        <w:rPr>
          <w:rFonts w:ascii="Arial" w:hAnsi="Arial" w:cs="Arial"/>
        </w:rPr>
        <w:t>the manufacturer or importer claims to be confidential is subject to procedures for withholding confidential information from public disclosure set forth at 16 C.F.R. Part 1015, Subpart B.</w:t>
      </w:r>
    </w:p>
    <w:p w:rsidR="00E50CFF" w:rsidRPr="00E50CFF" w:rsidRDefault="00E50CFF" w:rsidP="00E50CFF"/>
    <w:p w:rsidR="00633D50" w:rsidRPr="00BA47F2" w:rsidRDefault="00D67C48" w:rsidP="0005172F">
      <w:pPr>
        <w:pStyle w:val="BodyText"/>
        <w:keepNext/>
        <w:spacing w:after="240"/>
        <w:rPr>
          <w:rFonts w:ascii="Arial" w:hAnsi="Arial" w:cs="Arial"/>
          <w:b/>
          <w:i/>
        </w:rPr>
      </w:pPr>
      <w:r w:rsidRPr="00BA47F2">
        <w:rPr>
          <w:rFonts w:ascii="Arial" w:hAnsi="Arial" w:cs="Arial"/>
          <w:b/>
          <w:i/>
        </w:rPr>
        <w:t>11.</w:t>
      </w:r>
      <w:r w:rsidRPr="00BA47F2">
        <w:rPr>
          <w:rFonts w:ascii="Arial" w:hAnsi="Arial" w:cs="Arial"/>
          <w:b/>
          <w:i/>
        </w:rPr>
        <w:tab/>
      </w:r>
      <w:r w:rsidR="00DD03D0">
        <w:rPr>
          <w:rFonts w:ascii="Arial" w:hAnsi="Arial" w:cs="Arial"/>
          <w:b/>
          <w:i/>
        </w:rPr>
        <w:tab/>
      </w:r>
      <w:r w:rsidRPr="00BA47F2">
        <w:rPr>
          <w:rFonts w:ascii="Arial" w:hAnsi="Arial" w:cs="Arial"/>
          <w:b/>
          <w:i/>
        </w:rPr>
        <w:t>Questions of a sensitive nature</w:t>
      </w:r>
    </w:p>
    <w:p w:rsidR="00057798" w:rsidRDefault="0005172F" w:rsidP="00057798">
      <w:pPr>
        <w:pStyle w:val="BodyText"/>
        <w:spacing w:after="240"/>
        <w:jc w:val="left"/>
        <w:rPr>
          <w:rFonts w:ascii="Arial" w:hAnsi="Arial" w:cs="Arial"/>
        </w:rPr>
      </w:pPr>
      <w:r>
        <w:rPr>
          <w:rFonts w:ascii="Arial" w:hAnsi="Arial" w:cs="Arial"/>
        </w:rPr>
        <w:tab/>
      </w:r>
      <w:r w:rsidR="00E50CFF">
        <w:rPr>
          <w:rFonts w:ascii="Arial" w:hAnsi="Arial" w:cs="Arial"/>
        </w:rPr>
        <w:tab/>
      </w:r>
      <w:r w:rsidR="00670467">
        <w:rPr>
          <w:rFonts w:ascii="Arial" w:hAnsi="Arial" w:cs="Arial"/>
        </w:rPr>
        <w:t xml:space="preserve">There are no </w:t>
      </w:r>
      <w:r w:rsidR="00057798">
        <w:rPr>
          <w:rFonts w:ascii="Arial" w:hAnsi="Arial" w:cs="Arial"/>
        </w:rPr>
        <w:t>questions of a sensitive nature.</w:t>
      </w:r>
    </w:p>
    <w:p w:rsidR="00057798" w:rsidRDefault="00D67C48" w:rsidP="00057798">
      <w:pPr>
        <w:pStyle w:val="BodyText"/>
        <w:spacing w:after="240"/>
        <w:jc w:val="left"/>
        <w:rPr>
          <w:rFonts w:ascii="Arial" w:hAnsi="Arial" w:cs="Arial"/>
        </w:rPr>
      </w:pPr>
      <w:r w:rsidRPr="00BA47F2">
        <w:rPr>
          <w:rFonts w:ascii="Arial" w:hAnsi="Arial" w:cs="Arial"/>
          <w:b/>
          <w:i/>
        </w:rPr>
        <w:t>12.</w:t>
      </w:r>
      <w:r w:rsidRPr="00BA47F2">
        <w:rPr>
          <w:rFonts w:ascii="Arial" w:hAnsi="Arial" w:cs="Arial"/>
          <w:b/>
          <w:i/>
        </w:rPr>
        <w:tab/>
      </w:r>
      <w:r w:rsidR="00DD03D0">
        <w:rPr>
          <w:rFonts w:ascii="Arial" w:hAnsi="Arial" w:cs="Arial"/>
          <w:b/>
          <w:i/>
        </w:rPr>
        <w:tab/>
      </w:r>
      <w:r w:rsidRPr="00BA47F2">
        <w:rPr>
          <w:rFonts w:ascii="Arial" w:hAnsi="Arial" w:cs="Arial"/>
          <w:b/>
          <w:i/>
        </w:rPr>
        <w:t>Estimate of hour burden</w:t>
      </w:r>
      <w:r w:rsidR="00414FAE" w:rsidRPr="00BA47F2">
        <w:rPr>
          <w:rFonts w:ascii="Arial" w:hAnsi="Arial" w:cs="Arial"/>
          <w:b/>
          <w:i/>
        </w:rPr>
        <w:t xml:space="preserve"> to respondents</w:t>
      </w:r>
    </w:p>
    <w:p w:rsidR="00057798" w:rsidRDefault="00DE2579" w:rsidP="00057798">
      <w:pPr>
        <w:pStyle w:val="BodyText"/>
        <w:spacing w:after="240"/>
        <w:jc w:val="left"/>
        <w:rPr>
          <w:rFonts w:ascii="Arial" w:hAnsi="Arial" w:cs="Arial"/>
        </w:rPr>
      </w:pPr>
      <w:r>
        <w:rPr>
          <w:rFonts w:ascii="Arial" w:hAnsi="Arial" w:cs="Arial"/>
        </w:rPr>
        <w:tab/>
      </w:r>
      <w:r w:rsidR="00501447">
        <w:rPr>
          <w:rFonts w:ascii="Arial" w:hAnsi="Arial" w:cs="Arial"/>
        </w:rPr>
        <w:tab/>
      </w:r>
      <w:r>
        <w:rPr>
          <w:rFonts w:ascii="Arial" w:hAnsi="Arial" w:cs="Arial"/>
        </w:rPr>
        <w:t>The standard</w:t>
      </w:r>
      <w:r w:rsidR="00670467">
        <w:rPr>
          <w:rFonts w:ascii="Arial" w:hAnsi="Arial" w:cs="Arial"/>
        </w:rPr>
        <w:t xml:space="preserve"> require</w:t>
      </w:r>
      <w:r>
        <w:rPr>
          <w:rFonts w:ascii="Arial" w:hAnsi="Arial" w:cs="Arial"/>
        </w:rPr>
        <w:t>s</w:t>
      </w:r>
      <w:r w:rsidR="00670467">
        <w:rPr>
          <w:rFonts w:ascii="Arial" w:hAnsi="Arial" w:cs="Arial"/>
        </w:rPr>
        <w:t xml:space="preserve"> detailed documentation of prototype identification and testing records, model and prototype specifications, inputs used, name and location of suppliers, and confirmation test record</w:t>
      </w:r>
      <w:r>
        <w:rPr>
          <w:rFonts w:ascii="Arial" w:hAnsi="Arial" w:cs="Arial"/>
        </w:rPr>
        <w:t>s</w:t>
      </w:r>
      <w:r w:rsidR="00670467">
        <w:rPr>
          <w:rFonts w:ascii="Arial" w:hAnsi="Arial" w:cs="Arial"/>
        </w:rPr>
        <w:t xml:space="preserve">, if establishments choose to pool a prototype.  </w:t>
      </w:r>
      <w:r w:rsidR="004A446D">
        <w:rPr>
          <w:rFonts w:ascii="Arial" w:hAnsi="Arial" w:cs="Arial"/>
        </w:rPr>
        <w:t xml:space="preserve">This documentation is in addition to documentation already conducted by mattress manufacturers in their efforts to meet the cigarette standard.  </w:t>
      </w:r>
      <w:r w:rsidR="00670467">
        <w:rPr>
          <w:rFonts w:ascii="Arial" w:hAnsi="Arial" w:cs="Arial"/>
        </w:rPr>
        <w:t xml:space="preserve">Based </w:t>
      </w:r>
      <w:r w:rsidR="00C7430F">
        <w:rPr>
          <w:rFonts w:ascii="Arial" w:hAnsi="Arial" w:cs="Arial"/>
        </w:rPr>
        <w:t>on staff estimates, the</w:t>
      </w:r>
      <w:r w:rsidR="00670467">
        <w:rPr>
          <w:rFonts w:ascii="Arial" w:hAnsi="Arial" w:cs="Arial"/>
        </w:rPr>
        <w:t xml:space="preserve"> recordkeeping </w:t>
      </w:r>
      <w:r w:rsidR="00C7430F">
        <w:rPr>
          <w:rFonts w:ascii="Arial" w:hAnsi="Arial" w:cs="Arial"/>
        </w:rPr>
        <w:t>requirements are expected to require</w:t>
      </w:r>
      <w:r w:rsidR="004120A6">
        <w:rPr>
          <w:rFonts w:ascii="Arial" w:hAnsi="Arial" w:cs="Arial"/>
        </w:rPr>
        <w:t xml:space="preserve"> about 4</w:t>
      </w:r>
      <w:r w:rsidR="0031145F">
        <w:rPr>
          <w:rFonts w:ascii="Arial" w:hAnsi="Arial" w:cs="Arial"/>
        </w:rPr>
        <w:t xml:space="preserve"> </w:t>
      </w:r>
      <w:r w:rsidR="00670467">
        <w:rPr>
          <w:rFonts w:ascii="Arial" w:hAnsi="Arial" w:cs="Arial"/>
        </w:rPr>
        <w:t>hours</w:t>
      </w:r>
      <w:r w:rsidR="004120A6">
        <w:rPr>
          <w:rFonts w:ascii="Arial" w:hAnsi="Arial" w:cs="Arial"/>
        </w:rPr>
        <w:t xml:space="preserve"> and 44 minutes</w:t>
      </w:r>
      <w:r w:rsidR="00C7430F">
        <w:rPr>
          <w:rFonts w:ascii="Arial" w:hAnsi="Arial" w:cs="Arial"/>
        </w:rPr>
        <w:t xml:space="preserve"> per establishment</w:t>
      </w:r>
      <w:r w:rsidR="00670467">
        <w:rPr>
          <w:rFonts w:ascii="Arial" w:hAnsi="Arial" w:cs="Arial"/>
        </w:rPr>
        <w:t xml:space="preserve">, per qualified prototype.  </w:t>
      </w:r>
      <w:r w:rsidR="00815E3D">
        <w:rPr>
          <w:rFonts w:ascii="Arial" w:hAnsi="Arial" w:cs="Arial"/>
        </w:rPr>
        <w:t xml:space="preserve">Although some larger manufacturers reportedly are producing mattresses based on more than 100 prototypes, most mattress manufacturers probably base their complying production on 15 to 20 prototypes, according to an industry representative contacted by the staff.  Assuming that </w:t>
      </w:r>
      <w:r w:rsidR="00670467">
        <w:rPr>
          <w:rFonts w:ascii="Arial" w:hAnsi="Arial" w:cs="Arial"/>
        </w:rPr>
        <w:t>establishment</w:t>
      </w:r>
      <w:r w:rsidR="00815E3D">
        <w:rPr>
          <w:rFonts w:ascii="Arial" w:hAnsi="Arial" w:cs="Arial"/>
        </w:rPr>
        <w:t xml:space="preserve">s qualify their production with an average of 20 different qualified prototypes, recordkeeping time is about </w:t>
      </w:r>
      <w:r w:rsidR="004120A6">
        <w:rPr>
          <w:rFonts w:ascii="Arial" w:hAnsi="Arial" w:cs="Arial"/>
        </w:rPr>
        <w:t>94.7</w:t>
      </w:r>
      <w:r w:rsidR="0031145F">
        <w:rPr>
          <w:rFonts w:ascii="Arial" w:hAnsi="Arial" w:cs="Arial"/>
        </w:rPr>
        <w:t xml:space="preserve"> hours (4.73 ho</w:t>
      </w:r>
      <w:r>
        <w:rPr>
          <w:rFonts w:ascii="Arial" w:hAnsi="Arial" w:cs="Arial"/>
        </w:rPr>
        <w:t>urs x 20 prototypes)</w:t>
      </w:r>
      <w:r w:rsidR="00670467">
        <w:rPr>
          <w:rFonts w:ascii="Arial" w:hAnsi="Arial" w:cs="Arial"/>
        </w:rPr>
        <w:t xml:space="preserve"> </w:t>
      </w:r>
      <w:r w:rsidR="00670467">
        <w:rPr>
          <w:rFonts w:ascii="Arial" w:hAnsi="Arial" w:cs="Arial"/>
        </w:rPr>
        <w:lastRenderedPageBreak/>
        <w:t xml:space="preserve">per establishment per year.  (Note that pooling among establishments or using a prototype qualification </w:t>
      </w:r>
      <w:r w:rsidR="00D13996">
        <w:rPr>
          <w:rFonts w:ascii="Arial" w:hAnsi="Arial" w:cs="Arial"/>
        </w:rPr>
        <w:t>f</w:t>
      </w:r>
      <w:r w:rsidR="00670467">
        <w:rPr>
          <w:rFonts w:ascii="Arial" w:hAnsi="Arial" w:cs="Arial"/>
        </w:rPr>
        <w:t xml:space="preserve">or longer than one year will reduce this estimate.)  This translates to an annual recordkeeping </w:t>
      </w:r>
      <w:r w:rsidR="0031145F">
        <w:rPr>
          <w:rFonts w:ascii="Arial" w:hAnsi="Arial" w:cs="Arial"/>
        </w:rPr>
        <w:t xml:space="preserve">time </w:t>
      </w:r>
      <w:r w:rsidR="00670467">
        <w:rPr>
          <w:rFonts w:ascii="Arial" w:hAnsi="Arial" w:cs="Arial"/>
        </w:rPr>
        <w:t>cost to al</w:t>
      </w:r>
      <w:r w:rsidR="0031145F">
        <w:rPr>
          <w:rFonts w:ascii="Arial" w:hAnsi="Arial" w:cs="Arial"/>
        </w:rPr>
        <w:t xml:space="preserve">l mattress producers </w:t>
      </w:r>
      <w:r w:rsidR="00D13996">
        <w:rPr>
          <w:rFonts w:ascii="Arial" w:hAnsi="Arial" w:cs="Arial"/>
        </w:rPr>
        <w:t xml:space="preserve">of </w:t>
      </w:r>
      <w:r w:rsidR="004120A6">
        <w:rPr>
          <w:rFonts w:ascii="Arial" w:hAnsi="Arial" w:cs="Arial"/>
        </w:rPr>
        <w:t>63,521 hours (94.7</w:t>
      </w:r>
      <w:r w:rsidR="0031145F">
        <w:rPr>
          <w:rFonts w:ascii="Arial" w:hAnsi="Arial" w:cs="Arial"/>
        </w:rPr>
        <w:t xml:space="preserve"> </w:t>
      </w:r>
      <w:r w:rsidR="00D13996">
        <w:rPr>
          <w:rFonts w:ascii="Arial" w:hAnsi="Arial" w:cs="Arial"/>
        </w:rPr>
        <w:t xml:space="preserve">hours </w:t>
      </w:r>
      <w:r w:rsidR="0031145F">
        <w:rPr>
          <w:rFonts w:ascii="Arial" w:hAnsi="Arial" w:cs="Arial"/>
        </w:rPr>
        <w:t xml:space="preserve">x </w:t>
      </w:r>
      <w:r w:rsidR="0031145F" w:rsidRPr="00501447">
        <w:rPr>
          <w:rFonts w:ascii="Arial" w:hAnsi="Arial" w:cs="Arial"/>
        </w:rPr>
        <w:t>671</w:t>
      </w:r>
      <w:r>
        <w:rPr>
          <w:rFonts w:ascii="Arial" w:hAnsi="Arial" w:cs="Arial"/>
        </w:rPr>
        <w:t xml:space="preserve"> establishments</w:t>
      </w:r>
      <w:r w:rsidR="00670467">
        <w:rPr>
          <w:rFonts w:ascii="Arial" w:hAnsi="Arial" w:cs="Arial"/>
        </w:rPr>
        <w:t>.)</w:t>
      </w:r>
    </w:p>
    <w:p w:rsidR="007B2BA4" w:rsidRPr="00501447" w:rsidRDefault="007B2BA4" w:rsidP="00501447">
      <w:pPr>
        <w:pStyle w:val="BodyText"/>
        <w:spacing w:after="240"/>
        <w:ind w:firstLine="360"/>
        <w:jc w:val="left"/>
        <w:rPr>
          <w:rFonts w:ascii="Arial" w:hAnsi="Arial"/>
        </w:rPr>
      </w:pPr>
      <w:r>
        <w:rPr>
          <w:rFonts w:ascii="Arial" w:hAnsi="Arial"/>
        </w:rPr>
        <w:t>The hourly compensation for the time required for record keeping is $27.64 (U</w:t>
      </w:r>
      <w:r w:rsidRPr="00EA598E">
        <w:rPr>
          <w:rFonts w:ascii="Arial" w:hAnsi="Arial"/>
        </w:rPr>
        <w:t>.S. Bureau of Labor Statistics, “Employer Costs for Employee Compensation,”</w:t>
      </w:r>
      <w:r>
        <w:rPr>
          <w:rFonts w:ascii="Arial" w:hAnsi="Arial"/>
        </w:rPr>
        <w:t xml:space="preserve"> June 2012</w:t>
      </w:r>
      <w:r w:rsidRPr="00EA598E">
        <w:rPr>
          <w:rFonts w:ascii="Arial" w:hAnsi="Arial"/>
        </w:rPr>
        <w:t>, Table 9, total compensation for all sales and office workers in goods-producing, private industries:</w:t>
      </w:r>
      <w:r w:rsidRPr="00CC49A2">
        <w:rPr>
          <w:rFonts w:ascii="Arial" w:hAnsi="Arial"/>
        </w:rPr>
        <w:t xml:space="preserve"> </w:t>
      </w:r>
      <w:hyperlink r:id="rId10" w:history="1">
        <w:r w:rsidRPr="005A5177">
          <w:rPr>
            <w:rStyle w:val="Hyperlink"/>
            <w:rFonts w:ascii="Arial" w:hAnsi="Arial"/>
          </w:rPr>
          <w:t>http://www.bls.gov/ncs</w:t>
        </w:r>
      </w:hyperlink>
      <w:r w:rsidRPr="00EA598E">
        <w:rPr>
          <w:rFonts w:ascii="Arial" w:hAnsi="Arial"/>
        </w:rPr>
        <w:t>)</w:t>
      </w:r>
      <w:r>
        <w:rPr>
          <w:rFonts w:ascii="Arial" w:hAnsi="Arial"/>
        </w:rPr>
        <w:t>.</w:t>
      </w:r>
      <w:r w:rsidR="00501447">
        <w:rPr>
          <w:rFonts w:ascii="Arial" w:hAnsi="Arial"/>
        </w:rPr>
        <w:t xml:space="preserve"> T</w:t>
      </w:r>
      <w:r>
        <w:rPr>
          <w:rFonts w:ascii="Arial" w:hAnsi="Arial"/>
        </w:rPr>
        <w:t xml:space="preserve">otal </w:t>
      </w:r>
      <w:r w:rsidR="00501447">
        <w:rPr>
          <w:rFonts w:ascii="Arial" w:hAnsi="Arial"/>
        </w:rPr>
        <w:t>estimated costs</w:t>
      </w:r>
      <w:r>
        <w:rPr>
          <w:rFonts w:ascii="Arial" w:hAnsi="Arial"/>
        </w:rPr>
        <w:t xml:space="preserve"> for recordkeeping </w:t>
      </w:r>
      <w:r w:rsidR="00501447">
        <w:rPr>
          <w:rFonts w:ascii="Arial" w:hAnsi="Arial"/>
        </w:rPr>
        <w:t>are about $1.7 million</w:t>
      </w:r>
      <w:r>
        <w:rPr>
          <w:rFonts w:ascii="Arial" w:hAnsi="Arial"/>
        </w:rPr>
        <w:t xml:space="preserve"> (63,521</w:t>
      </w:r>
      <w:r w:rsidR="00965676">
        <w:rPr>
          <w:rFonts w:ascii="Arial" w:hAnsi="Arial"/>
        </w:rPr>
        <w:t xml:space="preserve"> </w:t>
      </w:r>
      <w:r w:rsidR="00E50CFF">
        <w:rPr>
          <w:rFonts w:ascii="Arial" w:hAnsi="Arial"/>
        </w:rPr>
        <w:t>hours</w:t>
      </w:r>
      <w:r>
        <w:rPr>
          <w:rFonts w:ascii="Arial" w:hAnsi="Arial"/>
        </w:rPr>
        <w:t xml:space="preserve"> x $27.64).</w:t>
      </w:r>
    </w:p>
    <w:p w:rsidR="00057798" w:rsidRDefault="004120A6" w:rsidP="00057798">
      <w:pPr>
        <w:pStyle w:val="BodyText"/>
        <w:spacing w:after="240"/>
        <w:jc w:val="left"/>
        <w:rPr>
          <w:rFonts w:ascii="Arial" w:hAnsi="Arial" w:cs="Arial"/>
        </w:rPr>
      </w:pPr>
      <w:r>
        <w:rPr>
          <w:rFonts w:ascii="Arial" w:hAnsi="Arial" w:cs="Arial"/>
          <w:b/>
          <w:i/>
        </w:rPr>
        <w:t>13.</w:t>
      </w:r>
      <w:r>
        <w:rPr>
          <w:rFonts w:ascii="Arial" w:hAnsi="Arial" w:cs="Arial"/>
          <w:b/>
          <w:i/>
        </w:rPr>
        <w:tab/>
      </w:r>
      <w:r w:rsidR="0086308A">
        <w:rPr>
          <w:rFonts w:ascii="Arial" w:hAnsi="Arial" w:cs="Arial"/>
          <w:b/>
          <w:i/>
        </w:rPr>
        <w:tab/>
        <w:t>Estimates</w:t>
      </w:r>
      <w:r w:rsidR="00A51308">
        <w:rPr>
          <w:rFonts w:ascii="Arial" w:hAnsi="Arial" w:cs="Arial"/>
          <w:b/>
          <w:i/>
        </w:rPr>
        <w:t xml:space="preserve"> of other total annual cost burden to respondents or </w:t>
      </w:r>
      <w:proofErr w:type="spellStart"/>
      <w:r w:rsidR="00A51308">
        <w:rPr>
          <w:rFonts w:ascii="Arial" w:hAnsi="Arial" w:cs="Arial"/>
          <w:b/>
          <w:i/>
        </w:rPr>
        <w:t>recordkeepers</w:t>
      </w:r>
      <w:proofErr w:type="spellEnd"/>
    </w:p>
    <w:p w:rsidR="00670467" w:rsidRPr="00670467" w:rsidRDefault="00057798" w:rsidP="00057798">
      <w:pPr>
        <w:pStyle w:val="BodyText"/>
        <w:spacing w:after="240"/>
        <w:jc w:val="left"/>
        <w:rPr>
          <w:rFonts w:ascii="Arial" w:hAnsi="Arial" w:cs="Arial"/>
        </w:rPr>
      </w:pPr>
      <w:r>
        <w:rPr>
          <w:rFonts w:ascii="Arial" w:hAnsi="Arial" w:cs="Arial"/>
        </w:rPr>
        <w:tab/>
      </w:r>
      <w:r w:rsidR="0086308A">
        <w:rPr>
          <w:rFonts w:ascii="Arial" w:hAnsi="Arial" w:cs="Arial"/>
        </w:rPr>
        <w:tab/>
      </w:r>
      <w:r w:rsidR="00A51308">
        <w:rPr>
          <w:rFonts w:ascii="Arial" w:hAnsi="Arial" w:cs="Arial"/>
        </w:rPr>
        <w:t xml:space="preserve">There are no costs to respondents beyond those presented in Section A.12. There </w:t>
      </w:r>
      <w:proofErr w:type="gramStart"/>
      <w:r w:rsidR="00A51308">
        <w:rPr>
          <w:rFonts w:ascii="Arial" w:hAnsi="Arial" w:cs="Arial"/>
        </w:rPr>
        <w:t>are</w:t>
      </w:r>
      <w:proofErr w:type="gramEnd"/>
      <w:r w:rsidR="00A51308">
        <w:rPr>
          <w:rFonts w:ascii="Arial" w:hAnsi="Arial" w:cs="Arial"/>
        </w:rPr>
        <w:t xml:space="preserve"> no operating, maintenance, or capital costs associated with the collection. </w:t>
      </w:r>
    </w:p>
    <w:p w:rsidR="00633D50" w:rsidRPr="00BA47F2" w:rsidRDefault="00077777" w:rsidP="0005172F">
      <w:pPr>
        <w:pStyle w:val="BodyText"/>
        <w:keepNext/>
        <w:spacing w:after="240"/>
        <w:jc w:val="left"/>
        <w:rPr>
          <w:rFonts w:ascii="Arial" w:hAnsi="Arial" w:cs="Arial"/>
          <w:b/>
          <w:i/>
        </w:rPr>
      </w:pPr>
      <w:r w:rsidRPr="00BA47F2">
        <w:rPr>
          <w:rFonts w:ascii="Arial" w:hAnsi="Arial" w:cs="Arial"/>
          <w:b/>
          <w:i/>
        </w:rPr>
        <w:t>14.</w:t>
      </w:r>
      <w:r w:rsidR="00670467" w:rsidRPr="00BA47F2">
        <w:rPr>
          <w:rFonts w:ascii="Arial" w:hAnsi="Arial" w:cs="Arial"/>
          <w:b/>
          <w:i/>
        </w:rPr>
        <w:tab/>
      </w:r>
      <w:r w:rsidR="00DD03D0">
        <w:rPr>
          <w:rFonts w:ascii="Arial" w:hAnsi="Arial" w:cs="Arial"/>
          <w:b/>
          <w:i/>
        </w:rPr>
        <w:tab/>
      </w:r>
      <w:r w:rsidR="00670467" w:rsidRPr="00BA47F2">
        <w:rPr>
          <w:rFonts w:ascii="Arial" w:hAnsi="Arial" w:cs="Arial"/>
          <w:b/>
          <w:i/>
        </w:rPr>
        <w:t>E</w:t>
      </w:r>
      <w:r w:rsidR="00CD44FF" w:rsidRPr="00BA47F2">
        <w:rPr>
          <w:rFonts w:ascii="Arial" w:hAnsi="Arial" w:cs="Arial"/>
          <w:b/>
          <w:i/>
        </w:rPr>
        <w:t>stimate of annualized costs to the Federal government</w:t>
      </w:r>
    </w:p>
    <w:p w:rsidR="00A9086A" w:rsidRDefault="00A9086A" w:rsidP="00134876">
      <w:pPr>
        <w:ind w:firstLine="360"/>
        <w:rPr>
          <w:rFonts w:ascii="Arial" w:hAnsi="Arial" w:cs="Arial"/>
        </w:rPr>
      </w:pPr>
      <w:r w:rsidRPr="006E26CE">
        <w:rPr>
          <w:rFonts w:ascii="Arial" w:hAnsi="Arial" w:cs="Arial"/>
        </w:rPr>
        <w:t>The estimated annual cost of information collection requirements</w:t>
      </w:r>
      <w:r w:rsidR="006E26CE" w:rsidRPr="006E26CE">
        <w:rPr>
          <w:rFonts w:ascii="Arial" w:hAnsi="Arial" w:cs="Arial"/>
        </w:rPr>
        <w:t xml:space="preserve"> to the federal </w:t>
      </w:r>
      <w:r w:rsidRPr="006E26CE">
        <w:rPr>
          <w:rFonts w:ascii="Arial" w:hAnsi="Arial" w:cs="Arial"/>
        </w:rPr>
        <w:t>government is approximately $</w:t>
      </w:r>
      <w:r w:rsidR="00DD084C">
        <w:rPr>
          <w:rFonts w:ascii="Arial" w:hAnsi="Arial" w:cs="Arial"/>
        </w:rPr>
        <w:t>717,954</w:t>
      </w:r>
      <w:r w:rsidRPr="006E26CE">
        <w:rPr>
          <w:rFonts w:ascii="Arial" w:hAnsi="Arial" w:cs="Arial"/>
        </w:rPr>
        <w:t>.</w:t>
      </w:r>
      <w:r w:rsidR="00DD084C">
        <w:rPr>
          <w:rFonts w:ascii="Arial" w:hAnsi="Arial" w:cs="Arial"/>
        </w:rPr>
        <w:t xml:space="preserve"> This represents 50 FTE staff hours.</w:t>
      </w:r>
      <w:r w:rsidRPr="006E26CE">
        <w:rPr>
          <w:rFonts w:ascii="Arial" w:hAnsi="Arial" w:cs="Arial"/>
        </w:rPr>
        <w:t xml:space="preserve"> </w:t>
      </w:r>
      <w:r w:rsidR="00134876">
        <w:rPr>
          <w:rFonts w:ascii="Arial" w:hAnsi="Arial" w:cs="Arial"/>
        </w:rPr>
        <w:t>Record review will be performed during compliance inspections conducted to follow-up on consumer complaints and reports of injury which indicate possible violations of the regulations.</w:t>
      </w:r>
      <w:r w:rsidR="00134876" w:rsidRPr="006E26CE">
        <w:rPr>
          <w:rFonts w:ascii="Arial" w:hAnsi="Arial" w:cs="Arial"/>
        </w:rPr>
        <w:t xml:space="preserve"> </w:t>
      </w:r>
      <w:r w:rsidR="00134876">
        <w:rPr>
          <w:rFonts w:ascii="Arial" w:hAnsi="Arial" w:cs="Arial"/>
        </w:rPr>
        <w:t xml:space="preserve"> </w:t>
      </w:r>
      <w:r w:rsidRPr="006E26CE">
        <w:rPr>
          <w:rFonts w:ascii="Arial" w:hAnsi="Arial" w:cs="Arial"/>
        </w:rPr>
        <w:t>This estimate uses an annual wage of $119,238 (the equivalent of a GS-14 Step 5 e</w:t>
      </w:r>
      <w:r w:rsidR="00DD084C">
        <w:rPr>
          <w:rFonts w:ascii="Arial" w:hAnsi="Arial" w:cs="Arial"/>
        </w:rPr>
        <w:t>mployee) with an additional 30.8</w:t>
      </w:r>
      <w:r w:rsidRPr="006E26CE">
        <w:rPr>
          <w:rFonts w:ascii="Arial" w:hAnsi="Arial" w:cs="Arial"/>
        </w:rPr>
        <w:t xml:space="preserve"> percent added for benefits (U.S. Bureau of Labor Statistics, “Employer Costs </w:t>
      </w:r>
      <w:r w:rsidR="00DD084C">
        <w:rPr>
          <w:rFonts w:ascii="Arial" w:hAnsi="Arial" w:cs="Arial"/>
        </w:rPr>
        <w:t>for Employee Compensation,” September</w:t>
      </w:r>
      <w:r w:rsidRPr="006E26CE">
        <w:rPr>
          <w:rFonts w:ascii="Arial" w:hAnsi="Arial" w:cs="Arial"/>
        </w:rPr>
        <w:t xml:space="preserve"> 2012, Table 1, percentage of wages and salaries for all civilian management, profes</w:t>
      </w:r>
      <w:r w:rsidR="00DD03D0">
        <w:rPr>
          <w:rFonts w:ascii="Arial" w:hAnsi="Arial" w:cs="Arial"/>
        </w:rPr>
        <w:t>si</w:t>
      </w:r>
      <w:r w:rsidR="00DD084C">
        <w:rPr>
          <w:rFonts w:ascii="Arial" w:hAnsi="Arial" w:cs="Arial"/>
        </w:rPr>
        <w:t xml:space="preserve">onal, and related employees) for total annual compensation $172,309 per FTE. </w:t>
      </w:r>
    </w:p>
    <w:p w:rsidR="0086308A" w:rsidRDefault="0086308A" w:rsidP="0086308A">
      <w:pPr>
        <w:rPr>
          <w:rFonts w:ascii="Arial" w:hAnsi="Arial" w:cs="Arial"/>
        </w:rPr>
      </w:pPr>
    </w:p>
    <w:p w:rsidR="00633D50" w:rsidRPr="00BA47F2" w:rsidRDefault="00545900" w:rsidP="0005172F">
      <w:pPr>
        <w:pStyle w:val="BodyText"/>
        <w:keepNext/>
        <w:spacing w:after="240"/>
        <w:jc w:val="left"/>
        <w:rPr>
          <w:rFonts w:ascii="Arial" w:hAnsi="Arial" w:cs="Arial"/>
          <w:b/>
          <w:i/>
        </w:rPr>
      </w:pPr>
      <w:r w:rsidRPr="00BA47F2">
        <w:rPr>
          <w:rFonts w:ascii="Arial" w:hAnsi="Arial" w:cs="Arial"/>
          <w:b/>
          <w:i/>
        </w:rPr>
        <w:t>15.</w:t>
      </w:r>
      <w:r w:rsidR="00CD44FF" w:rsidRPr="00BA47F2">
        <w:rPr>
          <w:rFonts w:ascii="Arial" w:hAnsi="Arial" w:cs="Arial"/>
          <w:b/>
          <w:i/>
        </w:rPr>
        <w:tab/>
      </w:r>
      <w:r w:rsidR="00DD03D0">
        <w:rPr>
          <w:rFonts w:ascii="Arial" w:hAnsi="Arial" w:cs="Arial"/>
          <w:b/>
          <w:i/>
        </w:rPr>
        <w:tab/>
      </w:r>
      <w:r w:rsidR="00CD44FF" w:rsidRPr="00BA47F2">
        <w:rPr>
          <w:rFonts w:ascii="Arial" w:hAnsi="Arial" w:cs="Arial"/>
          <w:b/>
          <w:i/>
        </w:rPr>
        <w:t>Program changes or adjustments</w:t>
      </w:r>
    </w:p>
    <w:p w:rsidR="00633D50" w:rsidRPr="003E7565" w:rsidRDefault="0005172F" w:rsidP="0005172F">
      <w:pPr>
        <w:pStyle w:val="BodyText"/>
        <w:spacing w:after="240"/>
        <w:jc w:val="left"/>
        <w:rPr>
          <w:rFonts w:ascii="Arial" w:hAnsi="Arial" w:cs="Arial"/>
        </w:rPr>
      </w:pPr>
      <w:r>
        <w:rPr>
          <w:rFonts w:ascii="Arial" w:hAnsi="Arial" w:cs="Arial"/>
        </w:rPr>
        <w:tab/>
      </w:r>
      <w:r w:rsidR="0086308A">
        <w:rPr>
          <w:rFonts w:ascii="Arial" w:hAnsi="Arial" w:cs="Arial"/>
        </w:rPr>
        <w:tab/>
      </w:r>
      <w:r w:rsidR="00E50CFF" w:rsidRPr="001D579F">
        <w:rPr>
          <w:rFonts w:ascii="Arial" w:hAnsi="Arial" w:cs="Arial"/>
        </w:rPr>
        <w:t>Recordkeeping burden has been included in this estimate for the burden on respondents</w:t>
      </w:r>
      <w:r w:rsidR="00E50CFF">
        <w:rPr>
          <w:rFonts w:ascii="Arial" w:hAnsi="Arial" w:cs="Arial"/>
        </w:rPr>
        <w:t xml:space="preserve">. </w:t>
      </w:r>
    </w:p>
    <w:p w:rsidR="00633D50" w:rsidRPr="00BA47F2" w:rsidRDefault="00077777" w:rsidP="0005172F">
      <w:pPr>
        <w:pStyle w:val="BodyText"/>
        <w:keepNext/>
        <w:spacing w:after="240"/>
        <w:jc w:val="left"/>
        <w:rPr>
          <w:rFonts w:ascii="Arial" w:hAnsi="Arial" w:cs="Arial"/>
          <w:b/>
          <w:i/>
        </w:rPr>
      </w:pPr>
      <w:r w:rsidRPr="00BA47F2">
        <w:rPr>
          <w:rFonts w:ascii="Arial" w:hAnsi="Arial" w:cs="Arial"/>
          <w:b/>
          <w:i/>
        </w:rPr>
        <w:t>16.</w:t>
      </w:r>
      <w:r w:rsidRPr="00BA47F2">
        <w:rPr>
          <w:rFonts w:ascii="Arial" w:hAnsi="Arial" w:cs="Arial"/>
          <w:b/>
          <w:i/>
        </w:rPr>
        <w:tab/>
      </w:r>
      <w:r w:rsidR="00DD03D0">
        <w:rPr>
          <w:rFonts w:ascii="Arial" w:hAnsi="Arial" w:cs="Arial"/>
          <w:b/>
          <w:i/>
        </w:rPr>
        <w:tab/>
      </w:r>
      <w:r w:rsidR="00CD44FF" w:rsidRPr="00BA47F2">
        <w:rPr>
          <w:rFonts w:ascii="Arial" w:hAnsi="Arial" w:cs="Arial"/>
          <w:b/>
          <w:i/>
        </w:rPr>
        <w:t>Plans for tabulation and publication</w:t>
      </w:r>
    </w:p>
    <w:p w:rsidR="00633D50" w:rsidRPr="003E7565" w:rsidRDefault="0005172F" w:rsidP="0005172F">
      <w:pPr>
        <w:pStyle w:val="BodyText"/>
        <w:spacing w:after="240"/>
        <w:jc w:val="left"/>
        <w:rPr>
          <w:rFonts w:ascii="Arial" w:hAnsi="Arial" w:cs="Arial"/>
        </w:rPr>
      </w:pPr>
      <w:r>
        <w:rPr>
          <w:rFonts w:ascii="Arial" w:hAnsi="Arial" w:cs="Arial"/>
        </w:rPr>
        <w:tab/>
      </w:r>
      <w:r w:rsidR="004629FF">
        <w:rPr>
          <w:rFonts w:ascii="Arial" w:hAnsi="Arial" w:cs="Arial"/>
        </w:rPr>
        <w:t>There are no plans for tabulation and publication.</w:t>
      </w:r>
    </w:p>
    <w:p w:rsidR="00633D50" w:rsidRPr="00BA47F2" w:rsidRDefault="00077777" w:rsidP="0005172F">
      <w:pPr>
        <w:pStyle w:val="BodyText"/>
        <w:keepNext/>
        <w:spacing w:after="240"/>
        <w:jc w:val="left"/>
        <w:rPr>
          <w:rFonts w:ascii="Arial" w:hAnsi="Arial" w:cs="Arial"/>
          <w:b/>
          <w:i/>
        </w:rPr>
      </w:pPr>
      <w:r w:rsidRPr="00BA47F2">
        <w:rPr>
          <w:rFonts w:ascii="Arial" w:hAnsi="Arial" w:cs="Arial"/>
          <w:b/>
          <w:i/>
        </w:rPr>
        <w:t>17.</w:t>
      </w:r>
      <w:r w:rsidRPr="00BA47F2">
        <w:rPr>
          <w:rFonts w:ascii="Arial" w:hAnsi="Arial" w:cs="Arial"/>
          <w:b/>
          <w:i/>
        </w:rPr>
        <w:tab/>
      </w:r>
      <w:r w:rsidR="00DD03D0">
        <w:rPr>
          <w:rFonts w:ascii="Arial" w:hAnsi="Arial" w:cs="Arial"/>
          <w:b/>
          <w:i/>
        </w:rPr>
        <w:tab/>
      </w:r>
      <w:r w:rsidR="00CD44FF" w:rsidRPr="00BA47F2">
        <w:rPr>
          <w:rFonts w:ascii="Arial" w:hAnsi="Arial" w:cs="Arial"/>
          <w:b/>
          <w:i/>
        </w:rPr>
        <w:t>Rationale for not displaying the expiration date for OMB approval</w:t>
      </w:r>
    </w:p>
    <w:p w:rsidR="00633D50" w:rsidRPr="003E7565" w:rsidRDefault="0005172F" w:rsidP="0005172F">
      <w:pPr>
        <w:pStyle w:val="BodyText"/>
        <w:spacing w:after="240"/>
        <w:jc w:val="left"/>
        <w:rPr>
          <w:rFonts w:ascii="Arial" w:hAnsi="Arial" w:cs="Arial"/>
        </w:rPr>
      </w:pPr>
      <w:r>
        <w:rPr>
          <w:rFonts w:ascii="Arial" w:hAnsi="Arial" w:cs="Arial"/>
        </w:rPr>
        <w:tab/>
      </w:r>
      <w:r w:rsidR="0086308A">
        <w:rPr>
          <w:rFonts w:ascii="Arial" w:hAnsi="Arial" w:cs="Arial"/>
        </w:rPr>
        <w:tab/>
      </w:r>
      <w:r w:rsidR="00077777" w:rsidRPr="003E7565">
        <w:rPr>
          <w:rFonts w:ascii="Arial" w:hAnsi="Arial" w:cs="Arial"/>
        </w:rPr>
        <w:t>Not applicable.</w:t>
      </w:r>
      <w:r w:rsidR="00077777" w:rsidRPr="003E7565">
        <w:rPr>
          <w:rFonts w:ascii="Arial" w:hAnsi="Arial" w:cs="Arial"/>
        </w:rPr>
        <w:tab/>
      </w:r>
    </w:p>
    <w:p w:rsidR="00633D50" w:rsidRPr="00BA47F2" w:rsidRDefault="00077777" w:rsidP="0005172F">
      <w:pPr>
        <w:pStyle w:val="BodyText"/>
        <w:keepNext/>
        <w:spacing w:after="240"/>
        <w:jc w:val="left"/>
        <w:rPr>
          <w:rFonts w:ascii="Arial" w:hAnsi="Arial" w:cs="Arial"/>
          <w:b/>
          <w:i/>
        </w:rPr>
      </w:pPr>
      <w:r w:rsidRPr="00BA47F2">
        <w:rPr>
          <w:rFonts w:ascii="Arial" w:hAnsi="Arial" w:cs="Arial"/>
          <w:b/>
          <w:i/>
        </w:rPr>
        <w:t>18.</w:t>
      </w:r>
      <w:r w:rsidRPr="00BA47F2">
        <w:rPr>
          <w:rFonts w:ascii="Arial" w:hAnsi="Arial" w:cs="Arial"/>
          <w:b/>
          <w:i/>
        </w:rPr>
        <w:tab/>
      </w:r>
      <w:r w:rsidR="00DD03D0">
        <w:rPr>
          <w:rFonts w:ascii="Arial" w:hAnsi="Arial" w:cs="Arial"/>
          <w:b/>
          <w:i/>
        </w:rPr>
        <w:tab/>
      </w:r>
      <w:r w:rsidR="00CD44FF" w:rsidRPr="00BA47F2">
        <w:rPr>
          <w:rFonts w:ascii="Arial" w:hAnsi="Arial" w:cs="Arial"/>
          <w:b/>
          <w:i/>
        </w:rPr>
        <w:t>Exception to the certification statement</w:t>
      </w:r>
    </w:p>
    <w:p w:rsidR="00633D50" w:rsidRPr="003E7565" w:rsidRDefault="0005172F" w:rsidP="0005172F">
      <w:pPr>
        <w:pStyle w:val="BodyText"/>
        <w:spacing w:after="240"/>
        <w:jc w:val="left"/>
        <w:rPr>
          <w:rFonts w:ascii="Arial" w:hAnsi="Arial" w:cs="Arial"/>
        </w:rPr>
      </w:pPr>
      <w:r>
        <w:rPr>
          <w:rFonts w:ascii="Arial" w:hAnsi="Arial" w:cs="Arial"/>
        </w:rPr>
        <w:tab/>
      </w:r>
      <w:r w:rsidR="0086308A">
        <w:rPr>
          <w:rFonts w:ascii="Arial" w:hAnsi="Arial" w:cs="Arial"/>
        </w:rPr>
        <w:tab/>
      </w:r>
      <w:r w:rsidR="00077777" w:rsidRPr="003E7565">
        <w:rPr>
          <w:rFonts w:ascii="Arial" w:hAnsi="Arial" w:cs="Arial"/>
        </w:rPr>
        <w:t>Not applicable.</w:t>
      </w:r>
      <w:r w:rsidR="00077777" w:rsidRPr="003E7565">
        <w:rPr>
          <w:rFonts w:ascii="Arial" w:hAnsi="Arial" w:cs="Arial"/>
        </w:rPr>
        <w:tab/>
      </w:r>
    </w:p>
    <w:p w:rsidR="00633D50" w:rsidRPr="00BA47F2" w:rsidRDefault="00DD03D0" w:rsidP="00C90A4B">
      <w:pPr>
        <w:keepNext/>
        <w:numPr>
          <w:ilvl w:val="0"/>
          <w:numId w:val="30"/>
        </w:numPr>
        <w:spacing w:after="240"/>
        <w:rPr>
          <w:rFonts w:ascii="Arial" w:hAnsi="Arial" w:cs="Arial"/>
          <w:b/>
        </w:rPr>
      </w:pPr>
      <w:r>
        <w:rPr>
          <w:rFonts w:ascii="Arial" w:hAnsi="Arial" w:cs="Arial"/>
          <w:b/>
        </w:rPr>
        <w:lastRenderedPageBreak/>
        <w:t xml:space="preserve">     </w:t>
      </w:r>
      <w:r>
        <w:rPr>
          <w:rFonts w:ascii="Arial" w:hAnsi="Arial" w:cs="Arial"/>
          <w:b/>
        </w:rPr>
        <w:tab/>
      </w:r>
      <w:r w:rsidR="00077777" w:rsidRPr="00BA47F2">
        <w:rPr>
          <w:rFonts w:ascii="Arial" w:hAnsi="Arial" w:cs="Arial"/>
          <w:b/>
        </w:rPr>
        <w:t>Collections of Information Employing Statistical Methods</w:t>
      </w:r>
    </w:p>
    <w:p w:rsidR="00077777" w:rsidRPr="003E7565" w:rsidRDefault="00CD44FF" w:rsidP="0086308A">
      <w:pPr>
        <w:spacing w:after="240"/>
        <w:ind w:left="360" w:firstLine="360"/>
        <w:rPr>
          <w:rFonts w:ascii="Arial" w:hAnsi="Arial" w:cs="Arial"/>
        </w:rPr>
      </w:pPr>
      <w:r w:rsidRPr="003E7565">
        <w:rPr>
          <w:rFonts w:ascii="Arial" w:hAnsi="Arial" w:cs="Arial"/>
        </w:rPr>
        <w:t>N</w:t>
      </w:r>
      <w:r w:rsidR="005F0717" w:rsidRPr="003E7565">
        <w:rPr>
          <w:rFonts w:ascii="Arial" w:hAnsi="Arial" w:cs="Arial"/>
        </w:rPr>
        <w:t>ot applicable.</w:t>
      </w:r>
    </w:p>
    <w:sectPr w:rsidR="00077777" w:rsidRPr="003E75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0D" w:rsidRDefault="00C2620D">
      <w:r>
        <w:separator/>
      </w:r>
    </w:p>
  </w:endnote>
  <w:endnote w:type="continuationSeparator" w:id="0">
    <w:p w:rsidR="00C2620D" w:rsidRDefault="00C2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0D" w:rsidRDefault="00C2620D">
      <w:r>
        <w:separator/>
      </w:r>
    </w:p>
  </w:footnote>
  <w:footnote w:type="continuationSeparator" w:id="0">
    <w:p w:rsidR="00C2620D" w:rsidRDefault="00C26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BD6"/>
    <w:multiLevelType w:val="hybridMultilevel"/>
    <w:tmpl w:val="029454F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B6BD5"/>
    <w:multiLevelType w:val="hybridMultilevel"/>
    <w:tmpl w:val="6682192E"/>
    <w:lvl w:ilvl="0" w:tplc="82A2EDA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C33FD"/>
    <w:multiLevelType w:val="hybridMultilevel"/>
    <w:tmpl w:val="CA30150C"/>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875CC"/>
    <w:multiLevelType w:val="hybridMultilevel"/>
    <w:tmpl w:val="2BC6992C"/>
    <w:lvl w:ilvl="0" w:tplc="F544CF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F53F8"/>
    <w:multiLevelType w:val="hybridMultilevel"/>
    <w:tmpl w:val="E01E9A8C"/>
    <w:lvl w:ilvl="0" w:tplc="3526836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0282E"/>
    <w:multiLevelType w:val="hybridMultilevel"/>
    <w:tmpl w:val="C3F627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31226"/>
    <w:multiLevelType w:val="hybridMultilevel"/>
    <w:tmpl w:val="2C00774A"/>
    <w:lvl w:ilvl="0" w:tplc="B7A6FE22">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AE5E0E"/>
    <w:multiLevelType w:val="hybridMultilevel"/>
    <w:tmpl w:val="AB684E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80F01"/>
    <w:multiLevelType w:val="hybridMultilevel"/>
    <w:tmpl w:val="74CE7410"/>
    <w:lvl w:ilvl="0" w:tplc="04090015">
      <w:start w:val="1"/>
      <w:numFmt w:val="upperLetter"/>
      <w:lvlText w:val="%1."/>
      <w:lvlJc w:val="left"/>
      <w:pPr>
        <w:tabs>
          <w:tab w:val="num" w:pos="720"/>
        </w:tabs>
        <w:ind w:left="720" w:hanging="360"/>
      </w:pPr>
      <w:rPr>
        <w:rFonts w:hint="default"/>
      </w:rPr>
    </w:lvl>
    <w:lvl w:ilvl="1" w:tplc="8EB67980">
      <w:start w:val="1"/>
      <w:numFmt w:val="decimal"/>
      <w:lvlText w:val="%2."/>
      <w:lvlJc w:val="left"/>
      <w:pPr>
        <w:tabs>
          <w:tab w:val="num" w:pos="1440"/>
        </w:tabs>
        <w:ind w:left="1440" w:hanging="360"/>
      </w:pPr>
      <w:rPr>
        <w:rFonts w:hint="default"/>
      </w:rPr>
    </w:lvl>
    <w:lvl w:ilvl="2" w:tplc="028CF5E2">
      <w:start w:val="1"/>
      <w:numFmt w:val="decimal"/>
      <w:lvlText w:val="%3)"/>
      <w:lvlJc w:val="left"/>
      <w:pPr>
        <w:tabs>
          <w:tab w:val="num" w:pos="2595"/>
        </w:tabs>
        <w:ind w:left="2595" w:hanging="615"/>
      </w:pPr>
      <w:rPr>
        <w:rFonts w:hint="default"/>
      </w:rPr>
    </w:lvl>
    <w:lvl w:ilvl="3" w:tplc="1BD413F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7011A"/>
    <w:multiLevelType w:val="hybridMultilevel"/>
    <w:tmpl w:val="7D386224"/>
    <w:lvl w:ilvl="0" w:tplc="9196CC0C">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6E7FB1"/>
    <w:multiLevelType w:val="hybridMultilevel"/>
    <w:tmpl w:val="0B76EF3A"/>
    <w:lvl w:ilvl="0" w:tplc="7A323254">
      <w:start w:val="1"/>
      <w:numFmt w:val="bullet"/>
      <w:lvlText w:val=""/>
      <w:lvlJc w:val="left"/>
      <w:pPr>
        <w:tabs>
          <w:tab w:val="num" w:pos="1440"/>
        </w:tabs>
        <w:ind w:left="1440" w:hanging="360"/>
      </w:pPr>
      <w:rPr>
        <w:rFonts w:ascii="Symbol" w:hAnsi="Symbol" w:hint="default"/>
      </w:rPr>
    </w:lvl>
    <w:lvl w:ilvl="1" w:tplc="3E688036">
      <w:numFmt w:val="bullet"/>
      <w:lvlText w:val="-"/>
      <w:lvlJc w:val="left"/>
      <w:pPr>
        <w:tabs>
          <w:tab w:val="num" w:pos="2160"/>
        </w:tabs>
        <w:ind w:left="2160" w:hanging="360"/>
      </w:pPr>
      <w:rPr>
        <w:rFonts w:ascii="Garamond" w:eastAsia="Times New Roman" w:hAnsi="Garamond"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076AB5"/>
    <w:multiLevelType w:val="hybridMultilevel"/>
    <w:tmpl w:val="634CF1C8"/>
    <w:lvl w:ilvl="0" w:tplc="705E582E">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31281B"/>
    <w:multiLevelType w:val="hybridMultilevel"/>
    <w:tmpl w:val="AF18CFFA"/>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611592C"/>
    <w:multiLevelType w:val="hybridMultilevel"/>
    <w:tmpl w:val="90441F0E"/>
    <w:lvl w:ilvl="0" w:tplc="5AE43A28">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214BB2"/>
    <w:multiLevelType w:val="hybridMultilevel"/>
    <w:tmpl w:val="52724034"/>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BE3DC2"/>
    <w:multiLevelType w:val="hybridMultilevel"/>
    <w:tmpl w:val="A680302A"/>
    <w:lvl w:ilvl="0" w:tplc="68A0547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A44733"/>
    <w:multiLevelType w:val="hybridMultilevel"/>
    <w:tmpl w:val="D83AD58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D180A12"/>
    <w:multiLevelType w:val="hybridMultilevel"/>
    <w:tmpl w:val="94B69CA6"/>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B5ED7"/>
    <w:multiLevelType w:val="hybridMultilevel"/>
    <w:tmpl w:val="7E68DA58"/>
    <w:lvl w:ilvl="0" w:tplc="299E091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356EC6"/>
    <w:multiLevelType w:val="hybridMultilevel"/>
    <w:tmpl w:val="792AB1C4"/>
    <w:lvl w:ilvl="0" w:tplc="02DC311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60BC9"/>
    <w:multiLevelType w:val="hybridMultilevel"/>
    <w:tmpl w:val="3FB678D2"/>
    <w:lvl w:ilvl="0" w:tplc="13FE4BB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B976D8"/>
    <w:multiLevelType w:val="hybridMultilevel"/>
    <w:tmpl w:val="06146FC8"/>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CA7C35"/>
    <w:multiLevelType w:val="hybridMultilevel"/>
    <w:tmpl w:val="C154575E"/>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66168B"/>
    <w:multiLevelType w:val="hybridMultilevel"/>
    <w:tmpl w:val="3AF431C2"/>
    <w:lvl w:ilvl="0" w:tplc="8BFEF00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A31198"/>
    <w:multiLevelType w:val="hybridMultilevel"/>
    <w:tmpl w:val="80584BE8"/>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363849"/>
    <w:multiLevelType w:val="hybridMultilevel"/>
    <w:tmpl w:val="77742968"/>
    <w:lvl w:ilvl="0" w:tplc="2A30FD9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A43529"/>
    <w:multiLevelType w:val="hybridMultilevel"/>
    <w:tmpl w:val="22184C66"/>
    <w:lvl w:ilvl="0" w:tplc="4D982356">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233E08"/>
    <w:multiLevelType w:val="hybridMultilevel"/>
    <w:tmpl w:val="305ED3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FE7141"/>
    <w:multiLevelType w:val="hybridMultilevel"/>
    <w:tmpl w:val="4776DB84"/>
    <w:lvl w:ilvl="0" w:tplc="7A323254">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ADE751C"/>
    <w:multiLevelType w:val="hybridMultilevel"/>
    <w:tmpl w:val="CB527E64"/>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F37E00"/>
    <w:multiLevelType w:val="hybridMultilevel"/>
    <w:tmpl w:val="843C6C7E"/>
    <w:lvl w:ilvl="0" w:tplc="7FA8CCC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3"/>
  </w:num>
  <w:num w:numId="4">
    <w:abstractNumId w:val="21"/>
  </w:num>
  <w:num w:numId="5">
    <w:abstractNumId w:val="24"/>
  </w:num>
  <w:num w:numId="6">
    <w:abstractNumId w:val="17"/>
  </w:num>
  <w:num w:numId="7">
    <w:abstractNumId w:val="2"/>
  </w:num>
  <w:num w:numId="8">
    <w:abstractNumId w:val="22"/>
  </w:num>
  <w:num w:numId="9">
    <w:abstractNumId w:val="0"/>
  </w:num>
  <w:num w:numId="10">
    <w:abstractNumId w:val="5"/>
  </w:num>
  <w:num w:numId="11">
    <w:abstractNumId w:val="29"/>
  </w:num>
  <w:num w:numId="12">
    <w:abstractNumId w:val="7"/>
  </w:num>
  <w:num w:numId="13">
    <w:abstractNumId w:val="30"/>
  </w:num>
  <w:num w:numId="14">
    <w:abstractNumId w:val="18"/>
  </w:num>
  <w:num w:numId="15">
    <w:abstractNumId w:val="4"/>
  </w:num>
  <w:num w:numId="16">
    <w:abstractNumId w:val="15"/>
  </w:num>
  <w:num w:numId="17">
    <w:abstractNumId w:val="1"/>
  </w:num>
  <w:num w:numId="18">
    <w:abstractNumId w:val="12"/>
  </w:num>
  <w:num w:numId="19">
    <w:abstractNumId w:val="19"/>
  </w:num>
  <w:num w:numId="20">
    <w:abstractNumId w:val="20"/>
  </w:num>
  <w:num w:numId="21">
    <w:abstractNumId w:val="25"/>
  </w:num>
  <w:num w:numId="22">
    <w:abstractNumId w:val="11"/>
  </w:num>
  <w:num w:numId="23">
    <w:abstractNumId w:val="6"/>
  </w:num>
  <w:num w:numId="24">
    <w:abstractNumId w:val="26"/>
  </w:num>
  <w:num w:numId="25">
    <w:abstractNumId w:val="23"/>
  </w:num>
  <w:num w:numId="26">
    <w:abstractNumId w:val="3"/>
  </w:num>
  <w:num w:numId="27">
    <w:abstractNumId w:val="27"/>
  </w:num>
  <w:num w:numId="28">
    <w:abstractNumId w:val="14"/>
  </w:num>
  <w:num w:numId="29">
    <w:abstractNumId w:val="10"/>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C5"/>
    <w:rsid w:val="000307B2"/>
    <w:rsid w:val="0003472B"/>
    <w:rsid w:val="0005172F"/>
    <w:rsid w:val="00057798"/>
    <w:rsid w:val="00066AB5"/>
    <w:rsid w:val="000703E1"/>
    <w:rsid w:val="0007401B"/>
    <w:rsid w:val="000744D7"/>
    <w:rsid w:val="00077777"/>
    <w:rsid w:val="000D1D28"/>
    <w:rsid w:val="000D5F6C"/>
    <w:rsid w:val="000D7674"/>
    <w:rsid w:val="00105319"/>
    <w:rsid w:val="00134876"/>
    <w:rsid w:val="00153EF5"/>
    <w:rsid w:val="00165A2C"/>
    <w:rsid w:val="001662FA"/>
    <w:rsid w:val="001B11E1"/>
    <w:rsid w:val="001D579F"/>
    <w:rsid w:val="001F512F"/>
    <w:rsid w:val="0020543F"/>
    <w:rsid w:val="00214E49"/>
    <w:rsid w:val="002233AA"/>
    <w:rsid w:val="00250E14"/>
    <w:rsid w:val="00276709"/>
    <w:rsid w:val="002C5295"/>
    <w:rsid w:val="002D3C52"/>
    <w:rsid w:val="00311380"/>
    <w:rsid w:val="0031145F"/>
    <w:rsid w:val="00316981"/>
    <w:rsid w:val="00327FF9"/>
    <w:rsid w:val="003575E7"/>
    <w:rsid w:val="003817A0"/>
    <w:rsid w:val="003947A0"/>
    <w:rsid w:val="003A0A71"/>
    <w:rsid w:val="003A35D0"/>
    <w:rsid w:val="003B12D5"/>
    <w:rsid w:val="003B3735"/>
    <w:rsid w:val="003C1930"/>
    <w:rsid w:val="003C44CD"/>
    <w:rsid w:val="003D2D16"/>
    <w:rsid w:val="003D5453"/>
    <w:rsid w:val="003E7565"/>
    <w:rsid w:val="004120A6"/>
    <w:rsid w:val="00414FAE"/>
    <w:rsid w:val="0041521D"/>
    <w:rsid w:val="00437DBA"/>
    <w:rsid w:val="00445398"/>
    <w:rsid w:val="004475D1"/>
    <w:rsid w:val="00454AE3"/>
    <w:rsid w:val="004629FF"/>
    <w:rsid w:val="00484E48"/>
    <w:rsid w:val="0048560E"/>
    <w:rsid w:val="004A446D"/>
    <w:rsid w:val="004B090F"/>
    <w:rsid w:val="004B0B46"/>
    <w:rsid w:val="004C7BBC"/>
    <w:rsid w:val="004D4622"/>
    <w:rsid w:val="00501447"/>
    <w:rsid w:val="00504179"/>
    <w:rsid w:val="005152D9"/>
    <w:rsid w:val="0053084B"/>
    <w:rsid w:val="00545900"/>
    <w:rsid w:val="0055052E"/>
    <w:rsid w:val="00561CB7"/>
    <w:rsid w:val="005E73C5"/>
    <w:rsid w:val="005F0717"/>
    <w:rsid w:val="0062073C"/>
    <w:rsid w:val="0062117F"/>
    <w:rsid w:val="00630DC7"/>
    <w:rsid w:val="00633D50"/>
    <w:rsid w:val="00652BF6"/>
    <w:rsid w:val="00660293"/>
    <w:rsid w:val="00670467"/>
    <w:rsid w:val="006977C2"/>
    <w:rsid w:val="006E1F43"/>
    <w:rsid w:val="006E26CE"/>
    <w:rsid w:val="00715B7A"/>
    <w:rsid w:val="00722EC5"/>
    <w:rsid w:val="00742A2C"/>
    <w:rsid w:val="007556E7"/>
    <w:rsid w:val="00764167"/>
    <w:rsid w:val="007660DF"/>
    <w:rsid w:val="00766102"/>
    <w:rsid w:val="00774960"/>
    <w:rsid w:val="00792770"/>
    <w:rsid w:val="007A0271"/>
    <w:rsid w:val="007B2BA4"/>
    <w:rsid w:val="007D3119"/>
    <w:rsid w:val="007F38B3"/>
    <w:rsid w:val="00815E3D"/>
    <w:rsid w:val="008438F7"/>
    <w:rsid w:val="00846AD3"/>
    <w:rsid w:val="00856BBB"/>
    <w:rsid w:val="0086308A"/>
    <w:rsid w:val="00882BD3"/>
    <w:rsid w:val="008E10E8"/>
    <w:rsid w:val="008E2852"/>
    <w:rsid w:val="008E6613"/>
    <w:rsid w:val="008F1B42"/>
    <w:rsid w:val="00905614"/>
    <w:rsid w:val="00911EE2"/>
    <w:rsid w:val="00916F5E"/>
    <w:rsid w:val="009430AE"/>
    <w:rsid w:val="00963506"/>
    <w:rsid w:val="00965676"/>
    <w:rsid w:val="00965A18"/>
    <w:rsid w:val="00970AAE"/>
    <w:rsid w:val="00970D11"/>
    <w:rsid w:val="00974B50"/>
    <w:rsid w:val="0098465D"/>
    <w:rsid w:val="0099155F"/>
    <w:rsid w:val="0099173E"/>
    <w:rsid w:val="009A1755"/>
    <w:rsid w:val="00A15FFB"/>
    <w:rsid w:val="00A20E4E"/>
    <w:rsid w:val="00A432FA"/>
    <w:rsid w:val="00A51308"/>
    <w:rsid w:val="00A60995"/>
    <w:rsid w:val="00A650B0"/>
    <w:rsid w:val="00A82F4C"/>
    <w:rsid w:val="00A9086A"/>
    <w:rsid w:val="00A93370"/>
    <w:rsid w:val="00AA20E9"/>
    <w:rsid w:val="00AB048E"/>
    <w:rsid w:val="00AD4A67"/>
    <w:rsid w:val="00B03B49"/>
    <w:rsid w:val="00B348D9"/>
    <w:rsid w:val="00B43517"/>
    <w:rsid w:val="00B6187A"/>
    <w:rsid w:val="00B70150"/>
    <w:rsid w:val="00B83F3A"/>
    <w:rsid w:val="00B9203F"/>
    <w:rsid w:val="00B953F7"/>
    <w:rsid w:val="00BA47F2"/>
    <w:rsid w:val="00BD1306"/>
    <w:rsid w:val="00BE0A2D"/>
    <w:rsid w:val="00BE1BD0"/>
    <w:rsid w:val="00C04CA5"/>
    <w:rsid w:val="00C20793"/>
    <w:rsid w:val="00C259AF"/>
    <w:rsid w:val="00C2620D"/>
    <w:rsid w:val="00C42E74"/>
    <w:rsid w:val="00C4564D"/>
    <w:rsid w:val="00C64663"/>
    <w:rsid w:val="00C7430F"/>
    <w:rsid w:val="00C87F4A"/>
    <w:rsid w:val="00C87F56"/>
    <w:rsid w:val="00C90A4B"/>
    <w:rsid w:val="00CB0B16"/>
    <w:rsid w:val="00CC43C4"/>
    <w:rsid w:val="00CD44FF"/>
    <w:rsid w:val="00CD462B"/>
    <w:rsid w:val="00CF7170"/>
    <w:rsid w:val="00CF7DDF"/>
    <w:rsid w:val="00D006BE"/>
    <w:rsid w:val="00D07F62"/>
    <w:rsid w:val="00D13996"/>
    <w:rsid w:val="00D23D94"/>
    <w:rsid w:val="00D306EA"/>
    <w:rsid w:val="00D314DF"/>
    <w:rsid w:val="00D441B6"/>
    <w:rsid w:val="00D47789"/>
    <w:rsid w:val="00D56996"/>
    <w:rsid w:val="00D56FD9"/>
    <w:rsid w:val="00D6438A"/>
    <w:rsid w:val="00D67C48"/>
    <w:rsid w:val="00D67D99"/>
    <w:rsid w:val="00D706CA"/>
    <w:rsid w:val="00D71405"/>
    <w:rsid w:val="00D740AF"/>
    <w:rsid w:val="00D7506C"/>
    <w:rsid w:val="00D81FE3"/>
    <w:rsid w:val="00D85CBF"/>
    <w:rsid w:val="00DD03D0"/>
    <w:rsid w:val="00DD084C"/>
    <w:rsid w:val="00DD3639"/>
    <w:rsid w:val="00DE191A"/>
    <w:rsid w:val="00DE2579"/>
    <w:rsid w:val="00DE7F41"/>
    <w:rsid w:val="00DF7490"/>
    <w:rsid w:val="00E24210"/>
    <w:rsid w:val="00E50CFF"/>
    <w:rsid w:val="00E67C3B"/>
    <w:rsid w:val="00E70B71"/>
    <w:rsid w:val="00F03AE4"/>
    <w:rsid w:val="00F114FC"/>
    <w:rsid w:val="00F41882"/>
    <w:rsid w:val="00F52A3E"/>
    <w:rsid w:val="00F631AD"/>
    <w:rsid w:val="00F65268"/>
    <w:rsid w:val="00F83567"/>
    <w:rsid w:val="00F94870"/>
    <w:rsid w:val="00FB26C7"/>
    <w:rsid w:val="00FD2BB5"/>
    <w:rsid w:val="00FF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left="360" w:firstLine="360"/>
      <w:jc w:val="both"/>
    </w:pPr>
  </w:style>
  <w:style w:type="character" w:styleId="Hyperlink">
    <w:name w:val="Hyperlink"/>
    <w:rsid w:val="003B3735"/>
    <w:rPr>
      <w:color w:val="0000FF"/>
      <w:u w:val="single"/>
    </w:rPr>
  </w:style>
  <w:style w:type="paragraph" w:styleId="BalloonText">
    <w:name w:val="Balloon Text"/>
    <w:basedOn w:val="Normal"/>
    <w:semiHidden/>
    <w:rsid w:val="00DF7490"/>
    <w:rPr>
      <w:rFonts w:ascii="Tahoma" w:hAnsi="Tahoma" w:cs="Tahoma"/>
      <w:sz w:val="16"/>
      <w:szCs w:val="16"/>
    </w:rPr>
  </w:style>
  <w:style w:type="character" w:styleId="FollowedHyperlink">
    <w:name w:val="FollowedHyperlink"/>
    <w:rsid w:val="00F83567"/>
    <w:rPr>
      <w:color w:val="800080"/>
      <w:u w:val="single"/>
    </w:rPr>
  </w:style>
  <w:style w:type="paragraph" w:styleId="FootnoteText">
    <w:name w:val="footnote text"/>
    <w:basedOn w:val="Normal"/>
    <w:semiHidden/>
    <w:rsid w:val="00BE1BD0"/>
    <w:rPr>
      <w:sz w:val="20"/>
      <w:szCs w:val="20"/>
    </w:rPr>
  </w:style>
  <w:style w:type="character" w:styleId="FootnoteReference">
    <w:name w:val="footnote reference"/>
    <w:semiHidden/>
    <w:rsid w:val="00BE1BD0"/>
    <w:rPr>
      <w:vertAlign w:val="superscript"/>
    </w:rPr>
  </w:style>
  <w:style w:type="paragraph" w:styleId="BodyText2">
    <w:name w:val="Body Text 2"/>
    <w:basedOn w:val="Normal"/>
    <w:link w:val="BodyText2Char"/>
    <w:rsid w:val="00A9086A"/>
    <w:pPr>
      <w:spacing w:after="120" w:line="480" w:lineRule="auto"/>
    </w:pPr>
  </w:style>
  <w:style w:type="character" w:customStyle="1" w:styleId="BodyText2Char">
    <w:name w:val="Body Text 2 Char"/>
    <w:basedOn w:val="DefaultParagraphFont"/>
    <w:link w:val="BodyText2"/>
    <w:rsid w:val="00A9086A"/>
    <w:rPr>
      <w:sz w:val="24"/>
      <w:szCs w:val="24"/>
    </w:rPr>
  </w:style>
  <w:style w:type="paragraph" w:styleId="ListParagraph">
    <w:name w:val="List Paragraph"/>
    <w:basedOn w:val="Normal"/>
    <w:uiPriority w:val="34"/>
    <w:qFormat/>
    <w:rsid w:val="00DD0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left="360" w:firstLine="360"/>
      <w:jc w:val="both"/>
    </w:pPr>
  </w:style>
  <w:style w:type="character" w:styleId="Hyperlink">
    <w:name w:val="Hyperlink"/>
    <w:rsid w:val="003B3735"/>
    <w:rPr>
      <w:color w:val="0000FF"/>
      <w:u w:val="single"/>
    </w:rPr>
  </w:style>
  <w:style w:type="paragraph" w:styleId="BalloonText">
    <w:name w:val="Balloon Text"/>
    <w:basedOn w:val="Normal"/>
    <w:semiHidden/>
    <w:rsid w:val="00DF7490"/>
    <w:rPr>
      <w:rFonts w:ascii="Tahoma" w:hAnsi="Tahoma" w:cs="Tahoma"/>
      <w:sz w:val="16"/>
      <w:szCs w:val="16"/>
    </w:rPr>
  </w:style>
  <w:style w:type="character" w:styleId="FollowedHyperlink">
    <w:name w:val="FollowedHyperlink"/>
    <w:rsid w:val="00F83567"/>
    <w:rPr>
      <w:color w:val="800080"/>
      <w:u w:val="single"/>
    </w:rPr>
  </w:style>
  <w:style w:type="paragraph" w:styleId="FootnoteText">
    <w:name w:val="footnote text"/>
    <w:basedOn w:val="Normal"/>
    <w:semiHidden/>
    <w:rsid w:val="00BE1BD0"/>
    <w:rPr>
      <w:sz w:val="20"/>
      <w:szCs w:val="20"/>
    </w:rPr>
  </w:style>
  <w:style w:type="character" w:styleId="FootnoteReference">
    <w:name w:val="footnote reference"/>
    <w:semiHidden/>
    <w:rsid w:val="00BE1BD0"/>
    <w:rPr>
      <w:vertAlign w:val="superscript"/>
    </w:rPr>
  </w:style>
  <w:style w:type="paragraph" w:styleId="BodyText2">
    <w:name w:val="Body Text 2"/>
    <w:basedOn w:val="Normal"/>
    <w:link w:val="BodyText2Char"/>
    <w:rsid w:val="00A9086A"/>
    <w:pPr>
      <w:spacing w:after="120" w:line="480" w:lineRule="auto"/>
    </w:pPr>
  </w:style>
  <w:style w:type="character" w:customStyle="1" w:styleId="BodyText2Char">
    <w:name w:val="Body Text 2 Char"/>
    <w:basedOn w:val="DefaultParagraphFont"/>
    <w:link w:val="BodyText2"/>
    <w:rsid w:val="00A9086A"/>
    <w:rPr>
      <w:sz w:val="24"/>
      <w:szCs w:val="24"/>
    </w:rPr>
  </w:style>
  <w:style w:type="paragraph" w:styleId="ListParagraph">
    <w:name w:val="List Paragraph"/>
    <w:basedOn w:val="Normal"/>
    <w:uiPriority w:val="34"/>
    <w:qFormat/>
    <w:rsid w:val="00DD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s://www.cpsc.gov/BUSINFO/mattr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4128-1A34-48ED-A5C0-0F4413C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CPSC</Company>
  <LinksUpToDate>false</LinksUpToDate>
  <CharactersWithSpaces>9678</CharactersWithSpaces>
  <SharedDoc>false</SharedDoc>
  <HLinks>
    <vt:vector size="6" baseType="variant">
      <vt:variant>
        <vt:i4>6750329</vt:i4>
      </vt:variant>
      <vt:variant>
        <vt:i4>0</vt:i4>
      </vt:variant>
      <vt:variant>
        <vt:i4>0</vt:i4>
      </vt:variant>
      <vt:variant>
        <vt:i4>5</vt:i4>
      </vt:variant>
      <vt:variant>
        <vt:lpwstr>https://www.cpsc.gov/BUSINFO/mattress.aspx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CUSB</cp:lastModifiedBy>
  <cp:revision>4</cp:revision>
  <cp:lastPrinted>2012-10-05T17:40:00Z</cp:lastPrinted>
  <dcterms:created xsi:type="dcterms:W3CDTF">2012-12-03T18:52:00Z</dcterms:created>
  <dcterms:modified xsi:type="dcterms:W3CDTF">2013-03-15T13:45:00Z</dcterms:modified>
</cp:coreProperties>
</file>