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E3B19" w:rsidRPr="00B149AC" w:rsidRDefault="00FE133D" w:rsidP="002E3B19">
      <w:pPr>
        <w:jc w:val="center"/>
        <w:rPr>
          <w:b/>
          <w:bCs/>
          <w:color w:val="000000"/>
        </w:rPr>
      </w:pPr>
      <w:r w:rsidRPr="00B149AC">
        <w:rPr>
          <w:lang w:val="en-CA"/>
        </w:rPr>
        <w:fldChar w:fldCharType="begin"/>
      </w:r>
      <w:r w:rsidR="002E3B19" w:rsidRPr="00B149AC">
        <w:rPr>
          <w:lang w:val="en-CA"/>
        </w:rPr>
        <w:instrText xml:space="preserve"> SEQ CHAPTER \h \r 1</w:instrText>
      </w:r>
      <w:r w:rsidRPr="00B149AC">
        <w:rPr>
          <w:lang w:val="en-CA"/>
        </w:rPr>
        <w:fldChar w:fldCharType="end"/>
      </w:r>
      <w:r w:rsidR="002E3B19" w:rsidRPr="00B149AC">
        <w:rPr>
          <w:b/>
          <w:bCs/>
          <w:color w:val="000000"/>
        </w:rPr>
        <w:t xml:space="preserve">Supporting Statement for the </w:t>
      </w:r>
    </w:p>
    <w:p w:rsidR="002E3B19" w:rsidRPr="00B149AC" w:rsidRDefault="002E3B19" w:rsidP="002E3B19">
      <w:pPr>
        <w:jc w:val="center"/>
        <w:rPr>
          <w:b/>
          <w:bCs/>
          <w:color w:val="000000"/>
        </w:rPr>
      </w:pPr>
      <w:r w:rsidRPr="00B149AC">
        <w:rPr>
          <w:b/>
          <w:bCs/>
          <w:color w:val="000000"/>
        </w:rPr>
        <w:t>Recordkeeping Requirements Associated with the</w:t>
      </w:r>
    </w:p>
    <w:p w:rsidR="002E3B19" w:rsidRPr="00B149AC" w:rsidRDefault="002E3B19" w:rsidP="002E3B19">
      <w:pPr>
        <w:jc w:val="center"/>
        <w:rPr>
          <w:b/>
          <w:bCs/>
          <w:color w:val="000000"/>
        </w:rPr>
      </w:pPr>
      <w:r w:rsidRPr="00B149AC">
        <w:rPr>
          <w:b/>
          <w:bCs/>
          <w:color w:val="000000"/>
        </w:rPr>
        <w:t xml:space="preserve">Interagency Statement on Complex Structured Finance Activities </w:t>
      </w:r>
    </w:p>
    <w:p w:rsidR="002E3B19" w:rsidRPr="00B149AC" w:rsidRDefault="002E3B19" w:rsidP="002E3B19">
      <w:pPr>
        <w:jc w:val="center"/>
        <w:rPr>
          <w:color w:val="000000"/>
        </w:rPr>
      </w:pPr>
      <w:r w:rsidRPr="00B149AC">
        <w:rPr>
          <w:b/>
          <w:bCs/>
          <w:color w:val="000000"/>
        </w:rPr>
        <w:t>(FR 4022; OMB No. 7100-0311)</w:t>
      </w:r>
    </w:p>
    <w:p w:rsidR="002E3B19" w:rsidRPr="00B149AC" w:rsidRDefault="002E3B19" w:rsidP="00A664D7">
      <w:pPr>
        <w:jc w:val="both"/>
        <w:rPr>
          <w:b/>
          <w:bCs/>
          <w:color w:val="000000"/>
        </w:rPr>
      </w:pPr>
    </w:p>
    <w:p w:rsidR="00A664D7" w:rsidRPr="00B149AC" w:rsidRDefault="00A664D7" w:rsidP="00A664D7">
      <w:pPr>
        <w:jc w:val="both"/>
        <w:rPr>
          <w:color w:val="000000"/>
        </w:rPr>
      </w:pPr>
      <w:r w:rsidRPr="00B149AC">
        <w:rPr>
          <w:b/>
          <w:bCs/>
          <w:color w:val="000000"/>
        </w:rPr>
        <w:t>Summary</w:t>
      </w:r>
    </w:p>
    <w:p w:rsidR="00A664D7" w:rsidRPr="00B149AC" w:rsidRDefault="00A664D7" w:rsidP="00A664D7">
      <w:pPr>
        <w:jc w:val="both"/>
        <w:rPr>
          <w:color w:val="000000"/>
        </w:rPr>
      </w:pPr>
    </w:p>
    <w:p w:rsidR="002E3B19" w:rsidRPr="00B149AC" w:rsidRDefault="002E3B19" w:rsidP="002E3B19">
      <w:pPr>
        <w:rPr>
          <w:color w:val="000000"/>
        </w:rPr>
      </w:pPr>
      <w:r w:rsidRPr="00B149AC">
        <w:rPr>
          <w:color w:val="000000"/>
        </w:rPr>
        <w:tab/>
        <w:t>The Board of Governors of the Federal Reserve System, under delegated authority from the Office of Management and Budget (OMB), propose to extend for three years, without revision, the Recordkeeping Requirements Associated with the Interagency Statement on Complex Structured Finance Activities (FR 4022; OMB No. 7100-0311).</w:t>
      </w:r>
      <w:r w:rsidRPr="00B149AC">
        <w:rPr>
          <w:rStyle w:val="FootnoteReference"/>
          <w:color w:val="000000"/>
        </w:rPr>
        <w:footnoteReference w:id="1"/>
      </w:r>
      <w:r w:rsidRPr="00B149AC">
        <w:rPr>
          <w:color w:val="000000"/>
        </w:rPr>
        <w:t xml:space="preserve">  </w:t>
      </w:r>
    </w:p>
    <w:p w:rsidR="00551D3E" w:rsidRPr="00B149AC" w:rsidRDefault="00551D3E" w:rsidP="00A664D7">
      <w:pPr>
        <w:rPr>
          <w:color w:val="000000"/>
        </w:rPr>
      </w:pPr>
    </w:p>
    <w:p w:rsidR="00A664D7" w:rsidRPr="00B149AC" w:rsidRDefault="00A664D7" w:rsidP="00A664D7">
      <w:r w:rsidRPr="00B149AC">
        <w:tab/>
        <w:t xml:space="preserve">The </w:t>
      </w:r>
      <w:r w:rsidR="00C030A7" w:rsidRPr="00B149AC">
        <w:t>guidance</w:t>
      </w:r>
      <w:r w:rsidRPr="00B149AC">
        <w:t xml:space="preserve"> </w:t>
      </w:r>
      <w:r w:rsidR="00744C12" w:rsidRPr="00B149AC">
        <w:t xml:space="preserve">provides that </w:t>
      </w:r>
      <w:r w:rsidR="00C030A7" w:rsidRPr="00B149AC">
        <w:t xml:space="preserve">state member banks, bank holding companies, and U.S. branches and agencies of foreign banks </w:t>
      </w:r>
      <w:r w:rsidRPr="00B149AC">
        <w:t xml:space="preserve">supervised by the Federal Reserve </w:t>
      </w:r>
      <w:r w:rsidR="00744C12" w:rsidRPr="00B149AC">
        <w:t>should</w:t>
      </w:r>
      <w:r w:rsidRPr="00B149AC">
        <w:t xml:space="preserve"> establish and maintain </w:t>
      </w:r>
      <w:r w:rsidR="00C030A7" w:rsidRPr="00B149AC">
        <w:t xml:space="preserve">policies and </w:t>
      </w:r>
      <w:r w:rsidRPr="00B149AC">
        <w:t xml:space="preserve">procedures </w:t>
      </w:r>
      <w:r w:rsidR="003657C7" w:rsidRPr="00B149AC">
        <w:t>for identifying, evaluating, assessing, documenting, and controlling risks associated with certain complex structured finance transactions (CSFTs)</w:t>
      </w:r>
      <w:r w:rsidRPr="00B149AC">
        <w:t xml:space="preserve">.  The Federal Reserve’s total annual burden is estimated to be </w:t>
      </w:r>
      <w:r w:rsidR="005F467E" w:rsidRPr="00B149AC">
        <w:t>200</w:t>
      </w:r>
      <w:r w:rsidR="0032276F" w:rsidRPr="00B149AC">
        <w:t xml:space="preserve"> </w:t>
      </w:r>
      <w:r w:rsidRPr="00B149AC">
        <w:t xml:space="preserve">hours for the </w:t>
      </w:r>
      <w:r w:rsidR="00FB1C11" w:rsidRPr="00B149AC">
        <w:t xml:space="preserve">20 </w:t>
      </w:r>
      <w:r w:rsidRPr="00B149AC">
        <w:t xml:space="preserve">financial institutions that are </w:t>
      </w:r>
      <w:r w:rsidR="003657C7" w:rsidRPr="00B149AC">
        <w:t xml:space="preserve">likely to be </w:t>
      </w:r>
      <w:r w:rsidRPr="00B149AC">
        <w:t xml:space="preserve">subject to the </w:t>
      </w:r>
      <w:r w:rsidR="00C030A7" w:rsidRPr="00B149AC">
        <w:t>guidance</w:t>
      </w:r>
      <w:r w:rsidRPr="00B149AC">
        <w:t xml:space="preserve">.  There are no required reporting forms associated with </w:t>
      </w:r>
      <w:r w:rsidR="00C030A7" w:rsidRPr="00B149AC">
        <w:rPr>
          <w:color w:val="000000"/>
        </w:rPr>
        <w:t>the guidance.</w:t>
      </w:r>
    </w:p>
    <w:p w:rsidR="002F2569" w:rsidRPr="00B149AC" w:rsidRDefault="002F2569">
      <w:pPr>
        <w:rPr>
          <w:b/>
          <w:bCs/>
          <w:color w:val="000000"/>
        </w:rPr>
      </w:pPr>
    </w:p>
    <w:p w:rsidR="00A664D7" w:rsidRPr="00B149AC" w:rsidRDefault="00A664D7" w:rsidP="00A664D7">
      <w:pPr>
        <w:jc w:val="both"/>
        <w:rPr>
          <w:color w:val="000000"/>
        </w:rPr>
      </w:pPr>
      <w:r w:rsidRPr="00B149AC">
        <w:rPr>
          <w:b/>
          <w:bCs/>
          <w:color w:val="000000"/>
        </w:rPr>
        <w:t>Background and Justification</w:t>
      </w:r>
    </w:p>
    <w:p w:rsidR="00A664D7" w:rsidRPr="00B149AC" w:rsidRDefault="00A664D7" w:rsidP="00A664D7">
      <w:pPr>
        <w:jc w:val="both"/>
        <w:rPr>
          <w:color w:val="000000"/>
        </w:rPr>
      </w:pPr>
    </w:p>
    <w:p w:rsidR="00C030A7" w:rsidRPr="00B149AC" w:rsidRDefault="00C030A7" w:rsidP="00C030A7">
      <w:pPr>
        <w:pStyle w:val="Default"/>
        <w:ind w:firstLine="720"/>
      </w:pPr>
      <w:r w:rsidRPr="00B149AC">
        <w:t xml:space="preserve">Financial markets have grown rapidly over </w:t>
      </w:r>
      <w:r w:rsidR="00B50810" w:rsidRPr="00B149AC">
        <w:t>recent decades</w:t>
      </w:r>
      <w:r w:rsidRPr="00B149AC">
        <w:t xml:space="preserve"> and innovations in financial instruments have facilitated the structuring of cash flows and allocation of risk among creditors, borrowers</w:t>
      </w:r>
      <w:r w:rsidR="006E2B98" w:rsidRPr="00B149AC">
        <w:t>,</w:t>
      </w:r>
      <w:r w:rsidRPr="00B149AC">
        <w:t xml:space="preserve"> and investors in more efficient ways. </w:t>
      </w:r>
      <w:r w:rsidR="005F467E" w:rsidRPr="00B149AC">
        <w:t xml:space="preserve"> </w:t>
      </w:r>
      <w:r w:rsidRPr="00B149AC">
        <w:t xml:space="preserve">Financial derivatives for market and credit risk, asset-backed securities with customized cash flow features, specialized financial conduits that manage pools of assets, and other types of structured finance transactions serve important purposes, such as diversifying risks, allocating cash flows, and reducing cost of capital. </w:t>
      </w:r>
      <w:r w:rsidR="005F467E" w:rsidRPr="00B149AC">
        <w:t xml:space="preserve"> </w:t>
      </w:r>
      <w:r w:rsidRPr="00B149AC">
        <w:t xml:space="preserve">As a result, structured finance transactions, including the more complex variations of these transactions, now are an essential part of U.S. and international capital markets. </w:t>
      </w:r>
    </w:p>
    <w:p w:rsidR="00C030A7" w:rsidRPr="00B149AC" w:rsidRDefault="00C030A7" w:rsidP="00C030A7">
      <w:pPr>
        <w:pStyle w:val="Default"/>
      </w:pPr>
    </w:p>
    <w:p w:rsidR="00C030A7" w:rsidRPr="00B149AC" w:rsidRDefault="00C030A7" w:rsidP="00C030A7">
      <w:pPr>
        <w:pStyle w:val="Default"/>
        <w:ind w:firstLine="720"/>
      </w:pPr>
      <w:r w:rsidRPr="00B149AC">
        <w:t>When a financial institution participates in a CSFT, it bears the usual market, credit, and operational risks associated with the transaction.</w:t>
      </w:r>
      <w:r w:rsidR="00EF132C" w:rsidRPr="00B149AC">
        <w:t xml:space="preserve"> </w:t>
      </w:r>
      <w:r w:rsidRPr="00B149AC">
        <w:t xml:space="preserve"> In some circumstances, a financial institution also may face heightened legal or reputational risks due to its involvement in a CSFT. </w:t>
      </w:r>
      <w:r w:rsidR="00EF132C" w:rsidRPr="00B149AC">
        <w:t xml:space="preserve"> </w:t>
      </w:r>
      <w:r w:rsidRPr="00B149AC">
        <w:t>For example, a financial institution involved in a CSFT may face heightened risk if the customer’s regulatory, tax</w:t>
      </w:r>
      <w:r w:rsidR="006F17A1" w:rsidRPr="00B149AC">
        <w:t>,</w:t>
      </w:r>
      <w:r w:rsidRPr="00B149AC">
        <w:t xml:space="preserve"> or accounting treatment for the CSFT, or disclosures concerning the CSFT in its public filings or financial statements, do not comply with applicable laws, regulations</w:t>
      </w:r>
      <w:r w:rsidR="006F17A1" w:rsidRPr="00B149AC">
        <w:t>,</w:t>
      </w:r>
      <w:r w:rsidRPr="00B149AC">
        <w:t xml:space="preserve"> or accounting principles. </w:t>
      </w:r>
    </w:p>
    <w:p w:rsidR="00C030A7" w:rsidRPr="00B149AC" w:rsidRDefault="00C030A7" w:rsidP="00C030A7">
      <w:pPr>
        <w:pStyle w:val="Default"/>
        <w:ind w:firstLine="720"/>
      </w:pPr>
    </w:p>
    <w:p w:rsidR="00C030A7" w:rsidRPr="00B149AC" w:rsidRDefault="00C030A7" w:rsidP="00150F83">
      <w:pPr>
        <w:pStyle w:val="Default"/>
        <w:ind w:firstLine="720"/>
      </w:pPr>
      <w:r w:rsidRPr="00B149AC">
        <w:t xml:space="preserve">In some cases, certain CSFTs appear to have been used in illegal schemes that misrepresented the financial condition of public companies to investors and regulatory authorities. </w:t>
      </w:r>
      <w:r w:rsidR="00EF132C" w:rsidRPr="00B149AC">
        <w:t xml:space="preserve"> </w:t>
      </w:r>
      <w:r w:rsidRPr="00B149AC">
        <w:t>Those cases highlight the substantial legal and reputational risks that financial institutions may face when they participate in a CSFT that is used by the institutions</w:t>
      </w:r>
      <w:r w:rsidR="006F17A1" w:rsidRPr="00B149AC">
        <w:t>’</w:t>
      </w:r>
      <w:r w:rsidRPr="00B149AC">
        <w:t xml:space="preserve"> customer</w:t>
      </w:r>
      <w:r w:rsidR="006F17A1" w:rsidRPr="00B149AC">
        <w:t>s</w:t>
      </w:r>
      <w:r w:rsidRPr="00B149AC">
        <w:t xml:space="preserve"> to circumvent regulatory or financial reporting requirements or </w:t>
      </w:r>
      <w:r w:rsidRPr="00B149AC">
        <w:lastRenderedPageBreak/>
        <w:t>further other illegal behavior</w:t>
      </w:r>
      <w:r w:rsidR="006F17A1" w:rsidRPr="00B149AC">
        <w:t>s</w:t>
      </w:r>
      <w:r w:rsidRPr="00B149AC">
        <w:t xml:space="preserve">. </w:t>
      </w:r>
      <w:r w:rsidR="009033A4" w:rsidRPr="00B149AC">
        <w:t xml:space="preserve"> </w:t>
      </w:r>
      <w:r w:rsidRPr="00B149AC">
        <w:t>After conducting investigations, the O</w:t>
      </w:r>
      <w:r w:rsidR="00FB1C11" w:rsidRPr="00B149AC">
        <w:t xml:space="preserve">ffice of the </w:t>
      </w:r>
      <w:r w:rsidRPr="00B149AC">
        <w:t>C</w:t>
      </w:r>
      <w:r w:rsidR="00FB1C11" w:rsidRPr="00B149AC">
        <w:t xml:space="preserve">omptroller of the </w:t>
      </w:r>
      <w:r w:rsidRPr="00B149AC">
        <w:t>C</w:t>
      </w:r>
      <w:r w:rsidR="00FB1C11" w:rsidRPr="00B149AC">
        <w:t>urrency (OCC)</w:t>
      </w:r>
      <w:r w:rsidRPr="00B149AC">
        <w:t xml:space="preserve">, </w:t>
      </w:r>
      <w:r w:rsidR="006E2B98" w:rsidRPr="00B149AC">
        <w:t xml:space="preserve">the </w:t>
      </w:r>
      <w:r w:rsidRPr="00B149AC">
        <w:t>Federal Reserve</w:t>
      </w:r>
      <w:r w:rsidR="006E2B98" w:rsidRPr="00B149AC">
        <w:t>,</w:t>
      </w:r>
      <w:r w:rsidRPr="00B149AC">
        <w:t xml:space="preserve"> and the S</w:t>
      </w:r>
      <w:r w:rsidR="00FB1C11" w:rsidRPr="00B149AC">
        <w:t xml:space="preserve">ecurities and </w:t>
      </w:r>
      <w:r w:rsidRPr="00B149AC">
        <w:t>E</w:t>
      </w:r>
      <w:r w:rsidR="00FB1C11" w:rsidRPr="00B149AC">
        <w:t xml:space="preserve">xchange </w:t>
      </w:r>
      <w:r w:rsidRPr="00B149AC">
        <w:t>C</w:t>
      </w:r>
      <w:r w:rsidR="00FB1C11" w:rsidRPr="00B149AC">
        <w:t>ommission</w:t>
      </w:r>
      <w:r w:rsidRPr="00B149AC">
        <w:t xml:space="preserve"> </w:t>
      </w:r>
      <w:r w:rsidR="00FB1C11" w:rsidRPr="00B149AC">
        <w:t xml:space="preserve">(SEC) </w:t>
      </w:r>
      <w:r w:rsidRPr="00B149AC">
        <w:t xml:space="preserve">took strong and coordinated civil and administrative enforcement actions </w:t>
      </w:r>
      <w:r w:rsidR="001B3F9A" w:rsidRPr="00B149AC">
        <w:t xml:space="preserve">in July 2003 </w:t>
      </w:r>
      <w:r w:rsidRPr="00B149AC">
        <w:t xml:space="preserve">against certain financial institutions that engaged in CSFTs that appeared to have been designed or used to shield their customers’ true financial health from the public. </w:t>
      </w:r>
      <w:r w:rsidR="00EF132C" w:rsidRPr="00B149AC">
        <w:t xml:space="preserve"> </w:t>
      </w:r>
      <w:r w:rsidRPr="00B149AC">
        <w:t>These actions involved significant financial penalties on the institutions and required the institutions to take several measures to strengthen their risk management procedures for CSFTs.</w:t>
      </w:r>
      <w:r w:rsidR="00150F83" w:rsidRPr="00B149AC">
        <w:t xml:space="preserve">  </w:t>
      </w:r>
      <w:r w:rsidRPr="00B149AC">
        <w:t xml:space="preserve">The complex structured finance relationships involving </w:t>
      </w:r>
      <w:r w:rsidR="00150F83" w:rsidRPr="00B149AC">
        <w:t>these financial institutions also sparked an investigation by the Permanent Subcommittee on Governmental Affairs of the United States Senate, as well as numerous lawsuits by private litigants.</w:t>
      </w:r>
    </w:p>
    <w:p w:rsidR="00150F83" w:rsidRPr="00B149AC" w:rsidRDefault="00150F83" w:rsidP="00150F83">
      <w:pPr>
        <w:pStyle w:val="Default"/>
        <w:ind w:firstLine="720"/>
      </w:pPr>
    </w:p>
    <w:p w:rsidR="00150F83" w:rsidRPr="00B149AC" w:rsidRDefault="00150F83" w:rsidP="00150F83">
      <w:pPr>
        <w:pStyle w:val="Default"/>
        <w:ind w:firstLine="720"/>
      </w:pPr>
      <w:r w:rsidRPr="00B149AC">
        <w:t>Following these investigations</w:t>
      </w:r>
      <w:r w:rsidR="001B3F9A" w:rsidRPr="00B149AC">
        <w:t xml:space="preserve"> from 2003 to 2004</w:t>
      </w:r>
      <w:r w:rsidRPr="00B149AC">
        <w:t xml:space="preserve">, the OCC, </w:t>
      </w:r>
      <w:r w:rsidR="006E2B98" w:rsidRPr="00B149AC">
        <w:t>Federal Reserve,</w:t>
      </w:r>
      <w:r w:rsidRPr="00B149AC">
        <w:t xml:space="preserve"> and SEC conducted special reviews of several large banking and securities firms that are significant participants in the market for CSFTs.  These reviews were designed to evaluate the new product approval, transaction approval, and other internal controls and processes used by these institutions to identify and manage the legal, reputational</w:t>
      </w:r>
      <w:r w:rsidR="006F17A1" w:rsidRPr="00B149AC">
        <w:t>,</w:t>
      </w:r>
      <w:r w:rsidRPr="00B149AC">
        <w:t xml:space="preserve"> and other risks associated with CSFTs.  These assessments indicated that many of the large financial institutions engaged in CSFTs already had taken meaningful steps to improve their control infrastructure relating to CSFTs.  </w:t>
      </w:r>
      <w:r w:rsidR="001B3F9A" w:rsidRPr="00B149AC">
        <w:t>Further, the agencies’ supervisory staff</w:t>
      </w:r>
      <w:r w:rsidR="006F17A1" w:rsidRPr="00B149AC">
        <w:t>s</w:t>
      </w:r>
      <w:r w:rsidR="001B3F9A" w:rsidRPr="00B149AC">
        <w:t xml:space="preserve"> </w:t>
      </w:r>
      <w:r w:rsidR="00EF132C" w:rsidRPr="00B149AC">
        <w:t xml:space="preserve">continue to </w:t>
      </w:r>
      <w:r w:rsidR="001B3F9A" w:rsidRPr="00B149AC">
        <w:t>monitor</w:t>
      </w:r>
      <w:r w:rsidRPr="00B149AC">
        <w:t xml:space="preserve"> the complex structured finance activities of financial institutions </w:t>
      </w:r>
      <w:r w:rsidR="001B3F9A" w:rsidRPr="00B149AC">
        <w:t xml:space="preserve">during </w:t>
      </w:r>
      <w:r w:rsidRPr="00B149AC">
        <w:t>the normal course of the supervisory process.</w:t>
      </w:r>
    </w:p>
    <w:p w:rsidR="00A664D7" w:rsidRPr="00B149AC" w:rsidRDefault="00A664D7" w:rsidP="00A664D7">
      <w:pPr>
        <w:jc w:val="both"/>
        <w:rPr>
          <w:color w:val="000000"/>
        </w:rPr>
      </w:pPr>
    </w:p>
    <w:p w:rsidR="005B0795" w:rsidRPr="00B149AC" w:rsidRDefault="005B0795" w:rsidP="003657C7">
      <w:pPr>
        <w:ind w:firstLine="720"/>
      </w:pPr>
      <w:r w:rsidRPr="00B149AC">
        <w:t xml:space="preserve">To further assist financial institutions in identifying, managing, and addressing the risks that may be associated with CSFTs, the </w:t>
      </w:r>
      <w:r w:rsidR="008E4001" w:rsidRPr="00B149AC">
        <w:t>a</w:t>
      </w:r>
      <w:r w:rsidRPr="00B149AC">
        <w:t xml:space="preserve">gencies developed </w:t>
      </w:r>
      <w:r w:rsidR="003B5EAA" w:rsidRPr="00B149AC">
        <w:t xml:space="preserve">the </w:t>
      </w:r>
      <w:r w:rsidR="008E4001" w:rsidRPr="00B149AC">
        <w:t>interagency guidance</w:t>
      </w:r>
      <w:r w:rsidR="003B5EAA" w:rsidRPr="00B149AC">
        <w:t xml:space="preserve"> titled</w:t>
      </w:r>
      <w:r w:rsidR="00FB1C11" w:rsidRPr="00B149AC">
        <w:t>,</w:t>
      </w:r>
      <w:r w:rsidR="003B5EAA" w:rsidRPr="00B149AC">
        <w:t xml:space="preserve"> “</w:t>
      </w:r>
      <w:r w:rsidR="003B5EAA" w:rsidRPr="00B149AC">
        <w:rPr>
          <w:color w:val="000000"/>
        </w:rPr>
        <w:t>Interagency Statement on Sound Practices Concerning Elevated Risk Complex Structured Finance Activities</w:t>
      </w:r>
      <w:r w:rsidR="003B5EAA" w:rsidRPr="00B149AC">
        <w:t>”</w:t>
      </w:r>
      <w:r w:rsidR="00744C12" w:rsidRPr="00B149AC">
        <w:t xml:space="preserve"> (the Statement).</w:t>
      </w:r>
      <w:r w:rsidR="003B5EAA" w:rsidRPr="00B149AC">
        <w:t xml:space="preserve"> </w:t>
      </w:r>
    </w:p>
    <w:p w:rsidR="00295D4C" w:rsidRPr="00B149AC" w:rsidRDefault="00295D4C" w:rsidP="00295D4C">
      <w:pPr>
        <w:jc w:val="both"/>
        <w:rPr>
          <w:b/>
          <w:bCs/>
          <w:color w:val="000000"/>
        </w:rPr>
      </w:pPr>
    </w:p>
    <w:p w:rsidR="00295D4C" w:rsidRPr="00B149AC" w:rsidRDefault="00295D4C" w:rsidP="00295D4C">
      <w:pPr>
        <w:jc w:val="both"/>
        <w:rPr>
          <w:color w:val="000000"/>
        </w:rPr>
      </w:pPr>
      <w:r w:rsidRPr="00B149AC">
        <w:rPr>
          <w:b/>
          <w:bCs/>
          <w:color w:val="000000"/>
        </w:rPr>
        <w:t>Description of Information Collection</w:t>
      </w:r>
    </w:p>
    <w:p w:rsidR="005B0795" w:rsidRPr="00B149AC" w:rsidRDefault="005B0795" w:rsidP="005B0795">
      <w:pPr>
        <w:ind w:firstLine="720"/>
        <w:jc w:val="both"/>
        <w:rPr>
          <w:color w:val="000000"/>
        </w:rPr>
      </w:pPr>
    </w:p>
    <w:p w:rsidR="00744C12" w:rsidRPr="00B149AC" w:rsidRDefault="00744C12" w:rsidP="00295D4C">
      <w:pPr>
        <w:pStyle w:val="Default"/>
        <w:ind w:firstLine="720"/>
      </w:pPr>
      <w:r w:rsidRPr="00B149AC">
        <w:t xml:space="preserve">The Statement provides the following: </w:t>
      </w:r>
    </w:p>
    <w:p w:rsidR="00744C12" w:rsidRPr="00B149AC" w:rsidRDefault="00744C12" w:rsidP="00295D4C">
      <w:pPr>
        <w:pStyle w:val="Default"/>
        <w:ind w:firstLine="720"/>
      </w:pPr>
    </w:p>
    <w:p w:rsidR="00295D4C" w:rsidRPr="00B149AC" w:rsidRDefault="00295D4C" w:rsidP="00295D4C">
      <w:pPr>
        <w:pStyle w:val="Default"/>
        <w:ind w:firstLine="720"/>
      </w:pPr>
      <w:r w:rsidRPr="00B149AC">
        <w:t>A financial institution engage</w:t>
      </w:r>
      <w:r w:rsidR="00744C12" w:rsidRPr="00B149AC">
        <w:t>d</w:t>
      </w:r>
      <w:r w:rsidRPr="00B149AC">
        <w:t xml:space="preserve"> in CSFTs </w:t>
      </w:r>
      <w:r w:rsidR="00744C12" w:rsidRPr="00B149AC">
        <w:t>should</w:t>
      </w:r>
      <w:r w:rsidRPr="00B149AC">
        <w:t xml:space="preserve"> maintain a set of formal, firm-wide policies and procedures that are designed to allow the institution to identify, evaluate, assess, document, and control the full range of credit, market, operational, legal</w:t>
      </w:r>
      <w:r w:rsidR="0038626D" w:rsidRPr="00B149AC">
        <w:t>,</w:t>
      </w:r>
      <w:r w:rsidRPr="00B149AC">
        <w:t xml:space="preserve"> and reputational risks associated with these transactions. </w:t>
      </w:r>
      <w:r w:rsidR="00EF132C" w:rsidRPr="00B149AC">
        <w:t xml:space="preserve"> </w:t>
      </w:r>
      <w:r w:rsidRPr="00B149AC">
        <w:t xml:space="preserve">These policies may be developed specifically for CSFTs or included in the set of broader policies governing the institution generally. </w:t>
      </w:r>
      <w:r w:rsidR="00EF132C" w:rsidRPr="00B149AC">
        <w:t xml:space="preserve"> </w:t>
      </w:r>
      <w:r w:rsidRPr="00B149AC">
        <w:t>A financial institution operating in foreign jurisdictions may tailor its policies and procedures as appropriate to account for, and comply with, the applicable laws, regulations</w:t>
      </w:r>
      <w:r w:rsidR="006F17A1" w:rsidRPr="00B149AC">
        <w:t>,</w:t>
      </w:r>
      <w:r w:rsidRPr="00B149AC">
        <w:t xml:space="preserve"> and standards of those jurisdictions.</w:t>
      </w:r>
    </w:p>
    <w:p w:rsidR="00650704" w:rsidRPr="00B149AC" w:rsidRDefault="00650704" w:rsidP="00295D4C">
      <w:pPr>
        <w:pStyle w:val="Default"/>
        <w:ind w:firstLine="720"/>
      </w:pPr>
    </w:p>
    <w:p w:rsidR="00295D4C" w:rsidRPr="00B149AC" w:rsidRDefault="00295D4C" w:rsidP="003B5EAA">
      <w:pPr>
        <w:pStyle w:val="Default"/>
        <w:ind w:firstLine="720"/>
      </w:pPr>
      <w:r w:rsidRPr="00B149AC">
        <w:t xml:space="preserve">A financial institution’s policies and procedures </w:t>
      </w:r>
      <w:r w:rsidR="00744C12" w:rsidRPr="00B149AC">
        <w:t>should</w:t>
      </w:r>
      <w:r w:rsidRPr="00B149AC">
        <w:t xml:space="preserve"> establish a clear framework for the review and approval of individual CSFTs. </w:t>
      </w:r>
      <w:r w:rsidR="00EF132C" w:rsidRPr="00B149AC">
        <w:t xml:space="preserve"> </w:t>
      </w:r>
      <w:r w:rsidRPr="00B149AC">
        <w:t>These policies and procedures</w:t>
      </w:r>
      <w:r w:rsidR="00744C12" w:rsidRPr="00B149AC">
        <w:t xml:space="preserve"> should</w:t>
      </w:r>
      <w:r w:rsidR="003B5EAA" w:rsidRPr="00B149AC">
        <w:t xml:space="preserve"> </w:t>
      </w:r>
      <w:r w:rsidRPr="00B149AC">
        <w:t xml:space="preserve">set forth the responsibilities of the personnel involved in the origination, structuring, trading, review, approval, documentation, verification, and execution of CSFTs. </w:t>
      </w:r>
      <w:r w:rsidR="009033A4" w:rsidRPr="00B149AC">
        <w:t xml:space="preserve"> A</w:t>
      </w:r>
      <w:r w:rsidRPr="00B149AC">
        <w:t xml:space="preserve"> financial institution </w:t>
      </w:r>
      <w:r w:rsidR="00744C12" w:rsidRPr="00B149AC">
        <w:t>should</w:t>
      </w:r>
      <w:r w:rsidR="006E2B98" w:rsidRPr="00B149AC">
        <w:t xml:space="preserve"> define what constitutes a new</w:t>
      </w:r>
      <w:r w:rsidRPr="00B149AC">
        <w:t xml:space="preserve"> </w:t>
      </w:r>
      <w:r w:rsidRPr="00B149AC">
        <w:lastRenderedPageBreak/>
        <w:t xml:space="preserve">complex structured finance product and establish a control process for the approval of such new product. </w:t>
      </w:r>
      <w:r w:rsidR="009033A4" w:rsidRPr="00B149AC">
        <w:t xml:space="preserve"> </w:t>
      </w:r>
      <w:r w:rsidRPr="00B149AC">
        <w:t xml:space="preserve">An institution’s policies </w:t>
      </w:r>
      <w:r w:rsidR="009F4040" w:rsidRPr="00B149AC">
        <w:t xml:space="preserve">also </w:t>
      </w:r>
      <w:r w:rsidR="00744C12" w:rsidRPr="00B149AC">
        <w:t>should</w:t>
      </w:r>
      <w:r w:rsidR="009F4040" w:rsidRPr="00B149AC">
        <w:t xml:space="preserve"> provide for</w:t>
      </w:r>
      <w:r w:rsidRPr="00B149AC">
        <w:t xml:space="preserve"> new complex structured finance products to receive the approval of all relevant control areas that are independent of the profit center before the product</w:t>
      </w:r>
      <w:r w:rsidR="006F17A1" w:rsidRPr="00B149AC">
        <w:t>s are</w:t>
      </w:r>
      <w:r w:rsidRPr="00B149AC">
        <w:t xml:space="preserve"> offered to customers. </w:t>
      </w:r>
    </w:p>
    <w:p w:rsidR="003B5EAA" w:rsidRPr="00B149AC" w:rsidRDefault="003B5EAA" w:rsidP="003B5EAA">
      <w:pPr>
        <w:pStyle w:val="Default"/>
        <w:ind w:firstLine="720"/>
        <w:rPr>
          <w:b/>
          <w:bCs/>
        </w:rPr>
      </w:pPr>
    </w:p>
    <w:p w:rsidR="00295D4C" w:rsidRPr="00B149AC" w:rsidRDefault="00295D4C" w:rsidP="00295D4C">
      <w:pPr>
        <w:pStyle w:val="Default"/>
        <w:jc w:val="center"/>
        <w:rPr>
          <w:i/>
        </w:rPr>
      </w:pPr>
      <w:r w:rsidRPr="00B149AC">
        <w:rPr>
          <w:bCs/>
          <w:i/>
        </w:rPr>
        <w:t>Identifying Elevated Risk CSFTs</w:t>
      </w:r>
    </w:p>
    <w:p w:rsidR="00295D4C" w:rsidRPr="00B149AC" w:rsidRDefault="00295D4C" w:rsidP="00295D4C">
      <w:pPr>
        <w:pStyle w:val="Default"/>
      </w:pPr>
    </w:p>
    <w:p w:rsidR="00295D4C" w:rsidRPr="00B149AC" w:rsidRDefault="00295D4C" w:rsidP="00295D4C">
      <w:pPr>
        <w:pStyle w:val="Default"/>
        <w:ind w:firstLine="720"/>
      </w:pPr>
      <w:r w:rsidRPr="00B149AC">
        <w:t xml:space="preserve">As part of its transaction and new product approval controls, a financial institution </w:t>
      </w:r>
      <w:r w:rsidR="00744C12" w:rsidRPr="00B149AC">
        <w:t>should</w:t>
      </w:r>
      <w:r w:rsidRPr="00B149AC">
        <w:t xml:space="preserve"> establish and maintain policies, procedures</w:t>
      </w:r>
      <w:r w:rsidR="0038626D" w:rsidRPr="00B149AC">
        <w:t>,</w:t>
      </w:r>
      <w:r w:rsidRPr="00B149AC">
        <w:t xml:space="preserve"> and systems to identify elevated risk CSFTs. </w:t>
      </w:r>
      <w:r w:rsidR="00150EEF" w:rsidRPr="00B149AC">
        <w:t xml:space="preserve"> </w:t>
      </w:r>
      <w:r w:rsidRPr="00B149AC">
        <w:t xml:space="preserve">Because of the potential risks they present to the institution, transactions or new products identified as elevated risk CSFTs </w:t>
      </w:r>
      <w:r w:rsidR="00744C12" w:rsidRPr="00B149AC">
        <w:t>should</w:t>
      </w:r>
      <w:r w:rsidR="003B5EAA" w:rsidRPr="00B149AC">
        <w:t xml:space="preserve"> </w:t>
      </w:r>
      <w:r w:rsidRPr="00B149AC">
        <w:t xml:space="preserve">be subject to heightened reviews during the institution’s transaction or new product approval processes. </w:t>
      </w:r>
      <w:r w:rsidR="00150EEF" w:rsidRPr="00B149AC">
        <w:t xml:space="preserve"> </w:t>
      </w:r>
      <w:r w:rsidRPr="00B149AC">
        <w:t xml:space="preserve">The goal of each institution’s policies and procedures </w:t>
      </w:r>
      <w:r w:rsidR="00744C12" w:rsidRPr="00B149AC">
        <w:t>should</w:t>
      </w:r>
      <w:r w:rsidRPr="00B149AC">
        <w:t xml:space="preserve"> be to identify those CSFTs that warrant additional scrutiny in the transaction or new product approval process due to concerns regarding legal or reputational risks. </w:t>
      </w:r>
    </w:p>
    <w:p w:rsidR="00295D4C" w:rsidRPr="00B149AC" w:rsidRDefault="00295D4C" w:rsidP="00295D4C">
      <w:pPr>
        <w:pStyle w:val="Default"/>
      </w:pPr>
    </w:p>
    <w:p w:rsidR="00295D4C" w:rsidRPr="00B149AC" w:rsidRDefault="00295D4C" w:rsidP="00295D4C">
      <w:pPr>
        <w:pStyle w:val="Default"/>
        <w:jc w:val="center"/>
        <w:rPr>
          <w:i/>
        </w:rPr>
      </w:pPr>
      <w:r w:rsidRPr="00B149AC">
        <w:rPr>
          <w:bCs/>
          <w:i/>
        </w:rPr>
        <w:t>Due Diligence, Approval</w:t>
      </w:r>
      <w:r w:rsidR="00FB1C11" w:rsidRPr="00B149AC">
        <w:rPr>
          <w:bCs/>
          <w:i/>
        </w:rPr>
        <w:t>,</w:t>
      </w:r>
      <w:r w:rsidRPr="00B149AC">
        <w:rPr>
          <w:bCs/>
          <w:i/>
        </w:rPr>
        <w:t xml:space="preserve"> and Documentation Process for Elevated Risk CSFTs</w:t>
      </w:r>
    </w:p>
    <w:p w:rsidR="00295D4C" w:rsidRPr="00B149AC" w:rsidRDefault="00295D4C" w:rsidP="00295D4C">
      <w:pPr>
        <w:pStyle w:val="Default"/>
      </w:pPr>
    </w:p>
    <w:p w:rsidR="00295D4C" w:rsidRPr="00B149AC" w:rsidRDefault="00295D4C" w:rsidP="00295D4C">
      <w:pPr>
        <w:pStyle w:val="Default"/>
        <w:ind w:firstLine="720"/>
      </w:pPr>
      <w:r w:rsidRPr="00B149AC">
        <w:t xml:space="preserve">Having developed a process to identify elevated risk CSFTs, a financial institution </w:t>
      </w:r>
      <w:r w:rsidR="00744C12" w:rsidRPr="00B149AC">
        <w:t>should</w:t>
      </w:r>
      <w:r w:rsidRPr="00B149AC">
        <w:t xml:space="preserve"> implement policies and procedures to conduct a heightened level of due diligence for these transactions. </w:t>
      </w:r>
      <w:r w:rsidR="00150EEF" w:rsidRPr="00B149AC">
        <w:t xml:space="preserve"> </w:t>
      </w:r>
      <w:r w:rsidRPr="00B149AC">
        <w:t xml:space="preserve">The financial institution </w:t>
      </w:r>
      <w:r w:rsidR="00744C12" w:rsidRPr="00B149AC">
        <w:t>should</w:t>
      </w:r>
      <w:r w:rsidR="003B5EAA" w:rsidRPr="00B149AC">
        <w:t xml:space="preserve"> </w:t>
      </w:r>
      <w:r w:rsidRPr="00B149AC">
        <w:t xml:space="preserve">design these policies and procedures to allow personnel at an appropriate level to understand and evaluate the potential legal or reputational risks presented by the transaction to the institution and to manage and address any heightened legal or reputational risks ultimately found to exist with the transaction. </w:t>
      </w:r>
    </w:p>
    <w:p w:rsidR="00295D4C" w:rsidRPr="00B149AC" w:rsidRDefault="00295D4C" w:rsidP="00295D4C">
      <w:pPr>
        <w:pStyle w:val="Default"/>
        <w:ind w:firstLine="720"/>
      </w:pPr>
    </w:p>
    <w:p w:rsidR="00295D4C" w:rsidRPr="00B149AC" w:rsidRDefault="00295D4C" w:rsidP="00295D4C">
      <w:pPr>
        <w:pStyle w:val="Default"/>
        <w:ind w:firstLine="720"/>
      </w:pPr>
      <w:r w:rsidRPr="00B149AC">
        <w:t xml:space="preserve">If a CSFT is identified as an elevated risk CSFT, the institution </w:t>
      </w:r>
      <w:r w:rsidR="00523C2D" w:rsidRPr="00B149AC">
        <w:t>should</w:t>
      </w:r>
      <w:r w:rsidRPr="00B149AC">
        <w:t xml:space="preserve"> carefully evaluate and take appropriate steps to address the risks presented by the transaction with a particular focus on those issues identified as potentially creating heightened levels of legal or reputational risk for the institution. In general, a financial institution </w:t>
      </w:r>
      <w:r w:rsidR="00523C2D" w:rsidRPr="00B149AC">
        <w:t>should</w:t>
      </w:r>
      <w:r w:rsidRPr="00B149AC">
        <w:t xml:space="preserve"> conduct the level and amount of due diligence for an elevated risk CSFT that is commensurate with the level of risks identified. </w:t>
      </w:r>
    </w:p>
    <w:p w:rsidR="003B5EAA" w:rsidRPr="00B149AC" w:rsidRDefault="003B5EAA" w:rsidP="00295D4C">
      <w:pPr>
        <w:pStyle w:val="Default"/>
        <w:ind w:firstLine="720"/>
      </w:pPr>
    </w:p>
    <w:p w:rsidR="00295D4C" w:rsidRPr="00B149AC" w:rsidRDefault="00295D4C" w:rsidP="00295D4C">
      <w:pPr>
        <w:pStyle w:val="Default"/>
        <w:ind w:firstLine="720"/>
      </w:pPr>
      <w:r w:rsidRPr="00B149AC">
        <w:t xml:space="preserve">To appropriately understand and evaluate the potential legal and reputational risks associated with an elevated risk CSFT that a financial institution has identified, the institution may find it useful or necessary to obtain additional information from the customer or to obtain specialized advice from qualified in-house or outside accounting, tax, legal, or other professionals. </w:t>
      </w:r>
      <w:r w:rsidR="00150EEF" w:rsidRPr="00B149AC">
        <w:t xml:space="preserve"> </w:t>
      </w:r>
      <w:r w:rsidRPr="00B149AC">
        <w:t xml:space="preserve">As with any transaction, an institution </w:t>
      </w:r>
      <w:r w:rsidR="00523C2D" w:rsidRPr="00B149AC">
        <w:t>should</w:t>
      </w:r>
      <w:r w:rsidR="003B5EAA" w:rsidRPr="00B149AC">
        <w:t xml:space="preserve"> </w:t>
      </w:r>
      <w:r w:rsidRPr="00B149AC">
        <w:t>obtain satisfactory responses to its material questions and concerns prior to consummation of a transaction.</w:t>
      </w:r>
    </w:p>
    <w:p w:rsidR="00295D4C" w:rsidRPr="00B149AC" w:rsidRDefault="00295D4C" w:rsidP="00295D4C">
      <w:pPr>
        <w:pStyle w:val="Default"/>
        <w:ind w:firstLine="720"/>
      </w:pPr>
    </w:p>
    <w:p w:rsidR="00295D4C" w:rsidRPr="00B149AC" w:rsidRDefault="00295D4C" w:rsidP="003657C7">
      <w:pPr>
        <w:pStyle w:val="Default"/>
        <w:ind w:firstLine="720"/>
      </w:pPr>
      <w:r w:rsidRPr="00B149AC">
        <w:t xml:space="preserve">In conducting its due diligence for an elevated risk CSFT, a financial institution </w:t>
      </w:r>
      <w:r w:rsidR="00523C2D" w:rsidRPr="00B149AC">
        <w:t>should</w:t>
      </w:r>
      <w:r w:rsidRPr="00B149AC">
        <w:t xml:space="preserve"> independently analyze the potential risks to the institution from both the transaction and the institution’s overall relationship with the customer. </w:t>
      </w:r>
      <w:r w:rsidR="00150EEF" w:rsidRPr="00B149AC">
        <w:t xml:space="preserve"> </w:t>
      </w:r>
      <w:r w:rsidRPr="00B149AC">
        <w:t xml:space="preserve">Moreover, a financial institution </w:t>
      </w:r>
      <w:r w:rsidR="00523C2D" w:rsidRPr="00B149AC">
        <w:t>should</w:t>
      </w:r>
      <w:r w:rsidR="003B5EAA" w:rsidRPr="00B149AC">
        <w:t xml:space="preserve"> </w:t>
      </w:r>
      <w:r w:rsidRPr="00B149AC">
        <w:t xml:space="preserve">carefully consider whether it would be appropriate to rely on </w:t>
      </w:r>
      <w:r w:rsidRPr="00B149AC">
        <w:lastRenderedPageBreak/>
        <w:t>opinions or analyses prepared by or for the customer concerning any significant accounting, tax</w:t>
      </w:r>
      <w:r w:rsidR="006F17A1" w:rsidRPr="00B149AC">
        <w:t>,</w:t>
      </w:r>
      <w:r w:rsidRPr="00B149AC">
        <w:t xml:space="preserve"> or legal issues associa</w:t>
      </w:r>
      <w:r w:rsidR="003657C7" w:rsidRPr="00B149AC">
        <w:t>ted with an elevated risk CSFT.</w:t>
      </w:r>
    </w:p>
    <w:p w:rsidR="003657C7" w:rsidRPr="00B149AC" w:rsidRDefault="003657C7" w:rsidP="003657C7">
      <w:pPr>
        <w:pStyle w:val="Default"/>
        <w:ind w:firstLine="720"/>
        <w:rPr>
          <w:u w:val="single"/>
        </w:rPr>
      </w:pPr>
    </w:p>
    <w:p w:rsidR="00295D4C" w:rsidRPr="00B149AC" w:rsidRDefault="00295D4C" w:rsidP="00E533B3">
      <w:pPr>
        <w:pStyle w:val="Default"/>
        <w:ind w:firstLine="720"/>
      </w:pPr>
      <w:r w:rsidRPr="00B149AC">
        <w:t xml:space="preserve">A financial institution’s policies and procedures </w:t>
      </w:r>
      <w:r w:rsidR="003B5EAA" w:rsidRPr="00B149AC">
        <w:t>must</w:t>
      </w:r>
      <w:r w:rsidRPr="00B149AC">
        <w:t xml:space="preserve"> provide that CSFTs identified as having elevated legal or reputational risk are reviewed and approved by appropriate levels of control and management personnel.</w:t>
      </w:r>
      <w:r w:rsidR="00E533B3" w:rsidRPr="00B149AC">
        <w:t xml:space="preserve"> </w:t>
      </w:r>
      <w:r w:rsidRPr="00B149AC">
        <w:t xml:space="preserve"> The institution’s control framework </w:t>
      </w:r>
      <w:r w:rsidR="00523C2D" w:rsidRPr="00B149AC">
        <w:t>should</w:t>
      </w:r>
      <w:r w:rsidRPr="00B149AC">
        <w:t xml:space="preserve"> have procedures to deliver the necessary or appropriate information to the personnel responsible for reviewing or approving an elevated risk CSFT to allow them to properly perform their duties. </w:t>
      </w:r>
      <w:r w:rsidR="00150EEF" w:rsidRPr="00B149AC">
        <w:t xml:space="preserve"> </w:t>
      </w:r>
      <w:r w:rsidRPr="00B149AC">
        <w:t>Such information may include, for example, the material terms of the transaction, a summary of the institution’s relationship with the customer, and a discussion of the significant legal, reputational, credit, market</w:t>
      </w:r>
      <w:r w:rsidR="006F17A1" w:rsidRPr="00B149AC">
        <w:t>,</w:t>
      </w:r>
      <w:r w:rsidRPr="00B149AC">
        <w:t xml:space="preserve"> and operational risks presented by the transaction. </w:t>
      </w:r>
    </w:p>
    <w:p w:rsidR="009033A4" w:rsidRPr="00B149AC" w:rsidRDefault="009033A4" w:rsidP="009033A4">
      <w:pPr>
        <w:pStyle w:val="Default"/>
        <w:ind w:firstLine="720"/>
        <w:rPr>
          <w:u w:val="single"/>
        </w:rPr>
      </w:pPr>
    </w:p>
    <w:p w:rsidR="00295D4C" w:rsidRPr="00B149AC" w:rsidRDefault="00295D4C" w:rsidP="00991A70">
      <w:pPr>
        <w:pStyle w:val="Default"/>
        <w:spacing w:after="120"/>
        <w:ind w:firstLine="720"/>
      </w:pPr>
      <w:r w:rsidRPr="00B149AC">
        <w:t xml:space="preserve">The documentation that financial institutions use to support CSFTs is often highly customized for individual transactions and negotiated with the customer. </w:t>
      </w:r>
      <w:r w:rsidR="00E533B3" w:rsidRPr="00B149AC">
        <w:t xml:space="preserve"> </w:t>
      </w:r>
      <w:r w:rsidR="003B5EAA" w:rsidRPr="00B149AC">
        <w:t xml:space="preserve">A financial institution </w:t>
      </w:r>
      <w:r w:rsidR="00523C2D" w:rsidRPr="00B149AC">
        <w:t>should</w:t>
      </w:r>
      <w:r w:rsidRPr="00B149AC">
        <w:t xml:space="preserve"> create and collect sufficient documentation to allow the institution to: </w:t>
      </w:r>
    </w:p>
    <w:p w:rsidR="002D0881" w:rsidRPr="00B149AC" w:rsidRDefault="00295D4C">
      <w:pPr>
        <w:pStyle w:val="Default"/>
        <w:spacing w:after="120"/>
        <w:ind w:left="720"/>
      </w:pPr>
      <w:r w:rsidRPr="00B149AC">
        <w:t>● Document the material terms of the transaction</w:t>
      </w:r>
      <w:r w:rsidR="00FB1C11" w:rsidRPr="00B149AC">
        <w:t xml:space="preserve">, </w:t>
      </w:r>
    </w:p>
    <w:p w:rsidR="002D0881" w:rsidRPr="00B149AC" w:rsidRDefault="00295D4C">
      <w:pPr>
        <w:pStyle w:val="Default"/>
        <w:spacing w:after="120"/>
        <w:ind w:left="720"/>
      </w:pPr>
      <w:r w:rsidRPr="00B149AC">
        <w:t>● Enforce the material obligations of the counterparties</w:t>
      </w:r>
      <w:r w:rsidR="00FB1C11" w:rsidRPr="00B149AC">
        <w:t xml:space="preserve">, </w:t>
      </w:r>
    </w:p>
    <w:p w:rsidR="002D0881" w:rsidRPr="00B149AC" w:rsidRDefault="00295D4C">
      <w:pPr>
        <w:pStyle w:val="Default"/>
        <w:spacing w:after="120"/>
        <w:ind w:left="720"/>
      </w:pPr>
      <w:r w:rsidRPr="00B149AC">
        <w:t xml:space="preserve">● Confirm that customers have received </w:t>
      </w:r>
      <w:r w:rsidR="006F17A1" w:rsidRPr="00B149AC">
        <w:t>all</w:t>
      </w:r>
      <w:r w:rsidRPr="00B149AC">
        <w:t xml:space="preserve"> required disclosures concerning the transaction</w:t>
      </w:r>
      <w:r w:rsidR="00FB1C11" w:rsidRPr="00B149AC">
        <w:t xml:space="preserve">, </w:t>
      </w:r>
      <w:r w:rsidRPr="00B149AC">
        <w:t xml:space="preserve">and </w:t>
      </w:r>
    </w:p>
    <w:p w:rsidR="00295D4C" w:rsidRPr="00B149AC" w:rsidRDefault="00295D4C" w:rsidP="00764A10">
      <w:pPr>
        <w:pStyle w:val="Default"/>
        <w:ind w:left="720"/>
      </w:pPr>
      <w:r w:rsidRPr="00B149AC">
        <w:t xml:space="preserve">● Verify that the institution’s policies and procedures are being followed and allow the internal audit function to monitor compliance with those policies and procedures. </w:t>
      </w:r>
    </w:p>
    <w:p w:rsidR="00764A10" w:rsidRPr="00B149AC" w:rsidRDefault="00764A10" w:rsidP="00764A10">
      <w:pPr>
        <w:pStyle w:val="Default"/>
        <w:ind w:left="720"/>
      </w:pPr>
    </w:p>
    <w:p w:rsidR="00295D4C" w:rsidRPr="00B149AC" w:rsidRDefault="00295D4C" w:rsidP="00764A10">
      <w:pPr>
        <w:pStyle w:val="Default"/>
        <w:ind w:firstLine="720"/>
      </w:pPr>
      <w:r w:rsidRPr="00B149AC">
        <w:t xml:space="preserve">When an institution’s policies and procedures require an elevated risk CSFT to be submitted for approval to senior management, the institution </w:t>
      </w:r>
      <w:r w:rsidR="00523C2D" w:rsidRPr="00B149AC">
        <w:t>should</w:t>
      </w:r>
      <w:r w:rsidRPr="00B149AC">
        <w:t xml:space="preserve"> maintain the transaction-related documentation provided to senior management as well as other documentation that reflect management’s approval (or disapproval) of the transaction, any conditions imposed by senior management, and the reasons for such action. </w:t>
      </w:r>
      <w:r w:rsidR="00150EEF" w:rsidRPr="00B149AC">
        <w:t xml:space="preserve"> </w:t>
      </w:r>
      <w:r w:rsidRPr="00B149AC">
        <w:t xml:space="preserve">The institution </w:t>
      </w:r>
      <w:r w:rsidR="00523C2D" w:rsidRPr="00B149AC">
        <w:t>should</w:t>
      </w:r>
      <w:r w:rsidR="003B5EAA" w:rsidRPr="00B149AC">
        <w:t xml:space="preserve"> </w:t>
      </w:r>
      <w:r w:rsidRPr="00B149AC">
        <w:t xml:space="preserve">retain documents created for elevated risk CSFTs in accordance with its record retention policies and procedures as well as applicable statutes and regulations. </w:t>
      </w:r>
    </w:p>
    <w:p w:rsidR="00764A10" w:rsidRPr="00B149AC" w:rsidRDefault="00764A10" w:rsidP="00764A10">
      <w:pPr>
        <w:pStyle w:val="Default"/>
        <w:ind w:firstLine="720"/>
      </w:pPr>
    </w:p>
    <w:p w:rsidR="00295D4C" w:rsidRPr="00B149AC" w:rsidRDefault="00295D4C" w:rsidP="00764A10">
      <w:pPr>
        <w:pStyle w:val="Default"/>
        <w:jc w:val="center"/>
        <w:rPr>
          <w:i/>
        </w:rPr>
      </w:pPr>
      <w:r w:rsidRPr="00B149AC">
        <w:rPr>
          <w:bCs/>
          <w:i/>
        </w:rPr>
        <w:t>Other Risk Management Principles for Elevated Risk CSFTs</w:t>
      </w:r>
    </w:p>
    <w:p w:rsidR="00764A10" w:rsidRPr="00B149AC" w:rsidRDefault="00764A10" w:rsidP="00295D4C">
      <w:pPr>
        <w:pStyle w:val="Default"/>
        <w:ind w:firstLine="1440"/>
        <w:rPr>
          <w:u w:val="single"/>
        </w:rPr>
      </w:pPr>
    </w:p>
    <w:p w:rsidR="00295D4C" w:rsidRPr="00B149AC" w:rsidRDefault="00295D4C" w:rsidP="00764A10">
      <w:pPr>
        <w:pStyle w:val="Default"/>
        <w:ind w:firstLine="720"/>
      </w:pPr>
      <w:r w:rsidRPr="00B149AC">
        <w:t xml:space="preserve">The board and senior management of a financial institution also </w:t>
      </w:r>
      <w:r w:rsidR="00523C2D" w:rsidRPr="00B149AC">
        <w:t>should</w:t>
      </w:r>
      <w:r w:rsidR="006E2B98" w:rsidRPr="00B149AC">
        <w:t>,</w:t>
      </w:r>
      <w:r w:rsidRPr="00B149AC">
        <w:t xml:space="preserve"> through both actions and formalized policies</w:t>
      </w:r>
      <w:r w:rsidR="006E2B98" w:rsidRPr="00B149AC">
        <w:t>,</w:t>
      </w:r>
      <w:r w:rsidRPr="00B149AC">
        <w:t xml:space="preserve"> send a strong message throughout the financial institution about the importance of compliance with the law and overall good business ethics. </w:t>
      </w:r>
      <w:r w:rsidR="00150EEF" w:rsidRPr="00B149AC">
        <w:t xml:space="preserve"> </w:t>
      </w:r>
      <w:r w:rsidRPr="00B149AC">
        <w:t xml:space="preserve">In appropriate circumstances, </w:t>
      </w:r>
      <w:r w:rsidR="006F17A1" w:rsidRPr="00B149AC">
        <w:t xml:space="preserve">a </w:t>
      </w:r>
      <w:r w:rsidRPr="00B149AC">
        <w:t xml:space="preserve">financial institution may also </w:t>
      </w:r>
      <w:r w:rsidR="009F5E24" w:rsidRPr="00B149AC">
        <w:t>wish</w:t>
      </w:r>
      <w:r w:rsidRPr="00B149AC">
        <w:t xml:space="preserve"> to consider implementing mechanisms </w:t>
      </w:r>
      <w:r w:rsidR="009F5E24" w:rsidRPr="00B149AC">
        <w:t>allowing</w:t>
      </w:r>
      <w:r w:rsidRPr="00B149AC">
        <w:t xml:space="preserve"> personnel </w:t>
      </w:r>
      <w:r w:rsidR="009F5E24" w:rsidRPr="00B149AC">
        <w:t>to confidentially submit concerns about the institution’s CSFT activities to senior management</w:t>
      </w:r>
      <w:r w:rsidRPr="00B149AC">
        <w:t>.</w:t>
      </w:r>
      <w:r w:rsidR="003B5EAA" w:rsidRPr="00B149AC">
        <w:t xml:space="preserve">  </w:t>
      </w:r>
      <w:r w:rsidRPr="00B149AC">
        <w:t xml:space="preserve">As in other areas of financial institution management, compensation and incentive plans </w:t>
      </w:r>
      <w:r w:rsidR="00523C2D" w:rsidRPr="00B149AC">
        <w:t>should</w:t>
      </w:r>
      <w:r w:rsidRPr="00B149AC">
        <w:t xml:space="preserve"> be structured, in the context of elevated risk CSFTs, so that they provide personnel with appropriate incentives to have due regard for the legal, ethical</w:t>
      </w:r>
      <w:r w:rsidR="006E2B98" w:rsidRPr="00B149AC">
        <w:t>,</w:t>
      </w:r>
      <w:r w:rsidRPr="00B149AC">
        <w:t xml:space="preserve"> and reputational risk interests of the institution. </w:t>
      </w:r>
    </w:p>
    <w:p w:rsidR="00764A10" w:rsidRPr="00B149AC" w:rsidRDefault="00764A10" w:rsidP="00764A10">
      <w:pPr>
        <w:pStyle w:val="Default"/>
      </w:pPr>
    </w:p>
    <w:p w:rsidR="00295D4C" w:rsidRPr="00B149AC" w:rsidRDefault="00295D4C" w:rsidP="00764A10">
      <w:pPr>
        <w:pStyle w:val="Default"/>
        <w:ind w:firstLine="720"/>
      </w:pPr>
      <w:r w:rsidRPr="00B149AC">
        <w:lastRenderedPageBreak/>
        <w:t xml:space="preserve">Financial institutions </w:t>
      </w:r>
      <w:r w:rsidR="00523C2D" w:rsidRPr="00B149AC">
        <w:t>should</w:t>
      </w:r>
      <w:r w:rsidR="003B5EAA" w:rsidRPr="00B149AC">
        <w:t xml:space="preserve"> </w:t>
      </w:r>
      <w:r w:rsidRPr="00B149AC">
        <w:t xml:space="preserve">conduct periodic independent reviews of their CSFT activities to verify that their policies and controls relating to elevated risk CSFTs are being implemented effectively and that elevated risk CSFTs are accurately identified and receive proper approvals. </w:t>
      </w:r>
      <w:r w:rsidR="00150EEF" w:rsidRPr="00B149AC">
        <w:t xml:space="preserve"> </w:t>
      </w:r>
      <w:r w:rsidRPr="00B149AC">
        <w:t xml:space="preserve">Such monitoring may include more frequent assessments of the risk arising from elevated risk CSFTs, both individually and within the context of the overall customer relationship, and the results of this monitoring </w:t>
      </w:r>
      <w:r w:rsidR="00523C2D" w:rsidRPr="00B149AC">
        <w:t>should</w:t>
      </w:r>
      <w:r w:rsidRPr="00B149AC">
        <w:t xml:space="preserve"> be provided to an appropriate level of management in the financial institution. </w:t>
      </w:r>
    </w:p>
    <w:p w:rsidR="00764A10" w:rsidRPr="00B149AC" w:rsidRDefault="00764A10" w:rsidP="00764A10">
      <w:pPr>
        <w:pStyle w:val="Default"/>
        <w:ind w:firstLine="720"/>
      </w:pPr>
    </w:p>
    <w:p w:rsidR="00295D4C" w:rsidRPr="00B149AC" w:rsidRDefault="00295D4C" w:rsidP="00764A10">
      <w:pPr>
        <w:pStyle w:val="Default"/>
        <w:ind w:firstLine="720"/>
      </w:pPr>
      <w:r w:rsidRPr="00B149AC">
        <w:t xml:space="preserve">An institution </w:t>
      </w:r>
      <w:r w:rsidR="00523C2D" w:rsidRPr="00B149AC">
        <w:t>should</w:t>
      </w:r>
      <w:r w:rsidR="003B5EAA" w:rsidRPr="00B149AC">
        <w:t xml:space="preserve"> </w:t>
      </w:r>
      <w:r w:rsidRPr="00B149AC">
        <w:t xml:space="preserve">identify relevant personnel who may need specialized training regarding CSFTs to be able to effectively perform their oversight and review responsibilities. </w:t>
      </w:r>
      <w:r w:rsidR="00150EEF" w:rsidRPr="00B149AC">
        <w:t xml:space="preserve"> </w:t>
      </w:r>
      <w:r w:rsidRPr="00B149AC">
        <w:t xml:space="preserve">Appropriate training on the financial institution’s policies and procedures for handling elevated risk CSFTs is critical. </w:t>
      </w:r>
      <w:r w:rsidR="00150EEF" w:rsidRPr="00B149AC">
        <w:t xml:space="preserve"> </w:t>
      </w:r>
      <w:r w:rsidRPr="00B149AC">
        <w:t>Financial instituti</w:t>
      </w:r>
      <w:r w:rsidR="003B5EAA" w:rsidRPr="00B149AC">
        <w:t xml:space="preserve">on personnel involved in CSFTs </w:t>
      </w:r>
      <w:r w:rsidR="00523C2D" w:rsidRPr="00B149AC">
        <w:t>should</w:t>
      </w:r>
      <w:r w:rsidRPr="00B149AC">
        <w:t xml:space="preserve"> be familiar with the institution’s policies and procedures concerning elevated risk CSFTs, including the processes established by the institution for identification and approval of elevated risk CSFTs and new complex structured finance products and for the elevation of concerns regarding transactions or products to appropriate levels of management. </w:t>
      </w:r>
      <w:r w:rsidR="00150EEF" w:rsidRPr="00B149AC">
        <w:t xml:space="preserve"> </w:t>
      </w:r>
      <w:r w:rsidRPr="00B149AC">
        <w:t xml:space="preserve">Financial institution personnel </w:t>
      </w:r>
      <w:r w:rsidR="00523C2D" w:rsidRPr="00B149AC">
        <w:t>should</w:t>
      </w:r>
      <w:r w:rsidR="003B5EAA" w:rsidRPr="00B149AC">
        <w:t xml:space="preserve"> </w:t>
      </w:r>
      <w:r w:rsidRPr="00B149AC">
        <w:t xml:space="preserve">be trained to identify and properly handle elevated risk CSFTs that may result in a violation of law. </w:t>
      </w:r>
    </w:p>
    <w:p w:rsidR="009033A4" w:rsidRPr="00B149AC" w:rsidRDefault="009033A4" w:rsidP="009033A4">
      <w:pPr>
        <w:pStyle w:val="Default"/>
        <w:ind w:firstLine="720"/>
        <w:rPr>
          <w:u w:val="single"/>
        </w:rPr>
      </w:pPr>
    </w:p>
    <w:p w:rsidR="00295D4C" w:rsidRPr="00B149AC" w:rsidRDefault="00295D4C" w:rsidP="009033A4">
      <w:pPr>
        <w:pStyle w:val="Default"/>
        <w:ind w:firstLine="720"/>
      </w:pPr>
      <w:r w:rsidRPr="00B149AC">
        <w:t>The internal audit departm</w:t>
      </w:r>
      <w:r w:rsidR="002708E8" w:rsidRPr="00B149AC">
        <w:t xml:space="preserve">ent of a financial institution </w:t>
      </w:r>
      <w:r w:rsidR="00523C2D" w:rsidRPr="00B149AC">
        <w:t>should</w:t>
      </w:r>
      <w:r w:rsidRPr="00B149AC">
        <w:t xml:space="preserve"> regularly audit the financial institution’s adherence to its own control procedures relating to elevated risk CSFTs and further assess the adequacy of its policies and procedures related to elevated risk CSFTs. </w:t>
      </w:r>
      <w:r w:rsidR="00150EEF" w:rsidRPr="00B149AC">
        <w:t xml:space="preserve"> </w:t>
      </w:r>
      <w:r w:rsidRPr="00B149AC">
        <w:t xml:space="preserve">Internal audit </w:t>
      </w:r>
      <w:r w:rsidR="00523C2D" w:rsidRPr="00B149AC">
        <w:t>should</w:t>
      </w:r>
      <w:r w:rsidRPr="00B149AC">
        <w:t xml:space="preserve"> periodically validate that business lines and individual employees are complying with the financial institution’s standards for elevated risk CSFTs and appropriately identifying any exceptions. </w:t>
      </w:r>
      <w:r w:rsidR="00150EEF" w:rsidRPr="00B149AC">
        <w:t xml:space="preserve"> </w:t>
      </w:r>
      <w:r w:rsidRPr="00B149AC">
        <w:t xml:space="preserve">This validation </w:t>
      </w:r>
      <w:r w:rsidR="00523C2D" w:rsidRPr="00B149AC">
        <w:t>should</w:t>
      </w:r>
      <w:r w:rsidRPr="00B149AC">
        <w:t xml:space="preserve"> include transaction testing for elevated risk CSFTs. </w:t>
      </w:r>
    </w:p>
    <w:p w:rsidR="00764A10" w:rsidRPr="00B149AC" w:rsidRDefault="00764A10" w:rsidP="00295D4C">
      <w:pPr>
        <w:pStyle w:val="Default"/>
        <w:ind w:firstLine="1440"/>
        <w:rPr>
          <w:u w:val="single"/>
        </w:rPr>
      </w:pPr>
    </w:p>
    <w:p w:rsidR="00295D4C" w:rsidRPr="00B149AC" w:rsidRDefault="00295D4C" w:rsidP="00764A10">
      <w:pPr>
        <w:pStyle w:val="Default"/>
        <w:ind w:firstLine="720"/>
      </w:pPr>
      <w:r w:rsidRPr="00B149AC">
        <w:t xml:space="preserve">A financial institution’s policies and procedures </w:t>
      </w:r>
      <w:r w:rsidR="00523C2D" w:rsidRPr="00B149AC">
        <w:t>should</w:t>
      </w:r>
      <w:r w:rsidR="002708E8" w:rsidRPr="00B149AC">
        <w:t xml:space="preserve"> </w:t>
      </w:r>
      <w:r w:rsidRPr="00B149AC">
        <w:t xml:space="preserve">provide for the appropriate levels of management and the board of directors to receive sufficient information and reports concerning the institution’s elevated risk CSFTs to perform their oversight functions. </w:t>
      </w:r>
    </w:p>
    <w:p w:rsidR="00295D4C" w:rsidRPr="00B149AC" w:rsidRDefault="00295D4C" w:rsidP="00A664D7">
      <w:pPr>
        <w:jc w:val="both"/>
        <w:rPr>
          <w:b/>
          <w:bCs/>
          <w:color w:val="000000"/>
        </w:rPr>
      </w:pPr>
    </w:p>
    <w:p w:rsidR="00A664D7" w:rsidRPr="00B149AC" w:rsidRDefault="00A664D7" w:rsidP="00A664D7">
      <w:pPr>
        <w:jc w:val="both"/>
        <w:rPr>
          <w:color w:val="000000"/>
        </w:rPr>
      </w:pPr>
      <w:r w:rsidRPr="00B149AC">
        <w:rPr>
          <w:b/>
          <w:bCs/>
          <w:color w:val="000000"/>
        </w:rPr>
        <w:t>Time Schedule for Information Collection</w:t>
      </w:r>
    </w:p>
    <w:p w:rsidR="00A664D7" w:rsidRPr="00B149AC" w:rsidRDefault="00A664D7" w:rsidP="00A664D7">
      <w:pPr>
        <w:jc w:val="both"/>
        <w:rPr>
          <w:color w:val="000000"/>
        </w:rPr>
      </w:pPr>
    </w:p>
    <w:p w:rsidR="00A664D7" w:rsidRPr="00B149AC" w:rsidRDefault="00A664D7" w:rsidP="00A664D7">
      <w:pPr>
        <w:pStyle w:val="BodyText"/>
        <w:rPr>
          <w:rFonts w:ascii="Times New Roman" w:hAnsi="Times New Roman"/>
        </w:rPr>
      </w:pPr>
      <w:r w:rsidRPr="00B149AC">
        <w:rPr>
          <w:rFonts w:ascii="Times New Roman" w:hAnsi="Times New Roman"/>
        </w:rPr>
        <w:tab/>
      </w:r>
      <w:r w:rsidR="009F5E24" w:rsidRPr="00B149AC">
        <w:rPr>
          <w:rFonts w:ascii="Times New Roman" w:hAnsi="Times New Roman"/>
        </w:rPr>
        <w:t>The Statement includes the provisions discussed above</w:t>
      </w:r>
      <w:r w:rsidR="00150EEF" w:rsidRPr="00B149AC">
        <w:rPr>
          <w:rFonts w:ascii="Times New Roman" w:hAnsi="Times New Roman"/>
        </w:rPr>
        <w:t xml:space="preserve"> and acknowledges that this activity is one in which only large banking organization</w:t>
      </w:r>
      <w:r w:rsidR="006F17A1" w:rsidRPr="00B149AC">
        <w:rPr>
          <w:rFonts w:ascii="Times New Roman" w:hAnsi="Times New Roman"/>
        </w:rPr>
        <w:t>s</w:t>
      </w:r>
      <w:r w:rsidR="00150EEF" w:rsidRPr="00B149AC">
        <w:rPr>
          <w:rFonts w:ascii="Times New Roman" w:hAnsi="Times New Roman"/>
        </w:rPr>
        <w:t xml:space="preserve"> engage and that few, if any new institutions, would enter into this business activity.  Therefore</w:t>
      </w:r>
      <w:r w:rsidR="009F5E24" w:rsidRPr="00B149AC">
        <w:rPr>
          <w:rFonts w:ascii="Times New Roman" w:hAnsi="Times New Roman"/>
        </w:rPr>
        <w:t xml:space="preserve">, </w:t>
      </w:r>
      <w:r w:rsidR="00673051" w:rsidRPr="00B149AC">
        <w:rPr>
          <w:rFonts w:ascii="Times New Roman" w:hAnsi="Times New Roman"/>
        </w:rPr>
        <w:t xml:space="preserve">the </w:t>
      </w:r>
      <w:r w:rsidR="00150EEF" w:rsidRPr="00B149AC">
        <w:rPr>
          <w:rFonts w:ascii="Times New Roman" w:hAnsi="Times New Roman"/>
        </w:rPr>
        <w:t xml:space="preserve">estimate of burden reflects </w:t>
      </w:r>
      <w:r w:rsidR="00673051" w:rsidRPr="00B149AC">
        <w:rPr>
          <w:rFonts w:ascii="Times New Roman" w:hAnsi="Times New Roman"/>
        </w:rPr>
        <w:t>the time to revisit CSFT policies and procedures on a periodic basis to ensure that an institution’s risk management systems continue to address the CSFT guidance.</w:t>
      </w:r>
    </w:p>
    <w:p w:rsidR="00A664D7" w:rsidRPr="00B149AC" w:rsidRDefault="00A664D7" w:rsidP="00A664D7">
      <w:pPr>
        <w:jc w:val="both"/>
        <w:rPr>
          <w:color w:val="000000"/>
        </w:rPr>
      </w:pPr>
    </w:p>
    <w:p w:rsidR="0032276F" w:rsidRPr="00B149AC" w:rsidRDefault="005C49F7" w:rsidP="0032276F">
      <w:pPr>
        <w:jc w:val="both"/>
        <w:rPr>
          <w:color w:val="000000"/>
        </w:rPr>
      </w:pPr>
      <w:r w:rsidRPr="00B149AC">
        <w:rPr>
          <w:b/>
          <w:bCs/>
          <w:color w:val="000000"/>
        </w:rPr>
        <w:t xml:space="preserve">Consultation Outside of the Agency </w:t>
      </w:r>
    </w:p>
    <w:p w:rsidR="0032276F" w:rsidRPr="00B149AC" w:rsidRDefault="0032276F" w:rsidP="0032276F">
      <w:pPr>
        <w:jc w:val="both"/>
        <w:rPr>
          <w:color w:val="000000"/>
        </w:rPr>
      </w:pPr>
    </w:p>
    <w:p w:rsidR="00B149AC" w:rsidRPr="00B149AC" w:rsidRDefault="00E455BA" w:rsidP="00B14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r>
        <w:tab/>
      </w:r>
      <w:r w:rsidR="002E3B19" w:rsidRPr="00B149AC">
        <w:t xml:space="preserve">On August 28, 2012, the Federal Reserve published a notice in the </w:t>
      </w:r>
      <w:r w:rsidR="002E3B19" w:rsidRPr="00B149AC">
        <w:rPr>
          <w:i/>
        </w:rPr>
        <w:t>Federal Register</w:t>
      </w:r>
      <w:r w:rsidR="002E3B19" w:rsidRPr="00B149AC">
        <w:t xml:space="preserve"> (77 FR 52031) requesting public comment for 60 days on the extension, without revision, of the </w:t>
      </w:r>
      <w:r w:rsidR="002E3B19" w:rsidRPr="00B149AC">
        <w:rPr>
          <w:color w:val="000000"/>
        </w:rPr>
        <w:t xml:space="preserve">Recordkeeping Requirements Associated with the Interagency Statement </w:t>
      </w:r>
      <w:r w:rsidR="002E3B19" w:rsidRPr="00B149AC">
        <w:rPr>
          <w:color w:val="000000"/>
        </w:rPr>
        <w:lastRenderedPageBreak/>
        <w:t>on Complex Structured Finance Activities</w:t>
      </w:r>
      <w:r w:rsidR="002E3B19" w:rsidRPr="00B149AC">
        <w:t>.  The comment period for this notice expire</w:t>
      </w:r>
      <w:r w:rsidR="0058790B" w:rsidRPr="00B149AC">
        <w:t>d</w:t>
      </w:r>
      <w:r w:rsidR="002E3B19" w:rsidRPr="00B149AC">
        <w:t xml:space="preserve"> on October 29, 2012.  </w:t>
      </w:r>
      <w:r w:rsidR="0058790B" w:rsidRPr="00B149AC">
        <w:t>The Federal Reserve did not receive any comments.</w:t>
      </w:r>
      <w:r w:rsidR="00B149AC" w:rsidRPr="00B149AC">
        <w:t xml:space="preserve">  On November 21, 2012, the Federal Reserve published a final notice in the </w:t>
      </w:r>
      <w:r w:rsidR="00B149AC" w:rsidRPr="00B149AC">
        <w:rPr>
          <w:i/>
        </w:rPr>
        <w:t>Federal Register</w:t>
      </w:r>
      <w:r w:rsidR="00B149AC" w:rsidRPr="00B149AC">
        <w:t xml:space="preserve"> (77 FR 69844).</w:t>
      </w:r>
    </w:p>
    <w:p w:rsidR="00BD4C86" w:rsidRPr="00B149AC" w:rsidRDefault="00BD4C86" w:rsidP="003227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p>
    <w:p w:rsidR="0032276F" w:rsidRPr="00B149AC" w:rsidRDefault="0032276F" w:rsidP="003227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149AC">
        <w:rPr>
          <w:b/>
          <w:bCs/>
          <w:color w:val="000000"/>
        </w:rPr>
        <w:t>Sensitive Questions</w:t>
      </w:r>
    </w:p>
    <w:p w:rsidR="0032276F" w:rsidRPr="00B149AC" w:rsidRDefault="0032276F" w:rsidP="003227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2276F" w:rsidRPr="00B149AC" w:rsidRDefault="0032276F" w:rsidP="0032276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149AC">
        <w:rPr>
          <w:color w:val="000000"/>
        </w:rPr>
        <w:tab/>
      </w:r>
      <w:r w:rsidRPr="00B149AC">
        <w:rPr>
          <w:color w:val="000000"/>
        </w:rPr>
        <w:tab/>
        <w:t>This collection of information contains no questions of a sensitive nature, as defined by OMB guidelines.</w:t>
      </w:r>
    </w:p>
    <w:p w:rsidR="0032276F" w:rsidRPr="00B149AC" w:rsidRDefault="0032276F" w:rsidP="0038626D">
      <w:pPr>
        <w:rPr>
          <w:b/>
          <w:bCs/>
          <w:color w:val="000000"/>
        </w:rPr>
      </w:pPr>
    </w:p>
    <w:p w:rsidR="000D0FAF" w:rsidRPr="00B149AC" w:rsidRDefault="000D0FAF" w:rsidP="000D0FAF">
      <w:pPr>
        <w:rPr>
          <w:color w:val="000000"/>
        </w:rPr>
      </w:pPr>
      <w:r w:rsidRPr="00B149AC">
        <w:rPr>
          <w:b/>
          <w:bCs/>
          <w:color w:val="000000"/>
        </w:rPr>
        <w:t xml:space="preserve">Legal Status </w:t>
      </w:r>
    </w:p>
    <w:p w:rsidR="000D0FAF" w:rsidRPr="00B149AC" w:rsidRDefault="000D0FAF" w:rsidP="000D0FAF">
      <w:pPr>
        <w:jc w:val="both"/>
        <w:rPr>
          <w:color w:val="000000"/>
        </w:rPr>
      </w:pPr>
    </w:p>
    <w:p w:rsidR="000D0FAF" w:rsidRPr="00B149AC" w:rsidRDefault="000D0FAF" w:rsidP="000D0FAF">
      <w:pPr>
        <w:rPr>
          <w:color w:val="000000"/>
        </w:rPr>
      </w:pPr>
      <w:r w:rsidRPr="00B149AC">
        <w:rPr>
          <w:color w:val="000000"/>
        </w:rPr>
        <w:tab/>
        <w:t>The Board's Legal Division has determined that the FR 4022 is authorized by sections 11(a), 11(i), 21, and 25 of the Federal Reserve Act (12 U.S.C. 248(a), 248(i), 483, and 602), section 5 of the Bank Holding Company Act (12 U.S.C. 1844), and section 13(a) of the International Banking Act (12 U.S.C. 3108(a)) and is voluntary guidance for supervised institutions.  However, the Federal Reserve expects to use the Statement in reviewing the internal controls and risk management systems of those financial institutions engaged in CSFTs as part of the Federal Reserve’s supervisory process.  Since the Federal Reserve does not collect any information, no issue of confidentiality normally arises.  However, in the event records generated under the guidance are obtained by the Federal Reserve during an examination of a state member bank or U.S. branch or agency of a foreign bank, or during an inspection of a bank holding company, confidential treatment may be afforded to the records under exemption 8 of the Freedom of Information Act (FOIA), 5 U.S.C. 552(b)(8).  FOIA exemption 8 exempts from disclosure matters that are contained in or related to examination, operating, or condition reports prepared by, on behalf of, or for the use of an agency responsible for the regulation or supervision of financial institutions.</w:t>
      </w:r>
    </w:p>
    <w:p w:rsidR="00315E64" w:rsidRPr="00B149AC" w:rsidRDefault="00315E64">
      <w:pPr>
        <w:rPr>
          <w:b/>
          <w:bCs/>
          <w:color w:val="000000"/>
        </w:rPr>
      </w:pPr>
    </w:p>
    <w:p w:rsidR="00A664D7" w:rsidRPr="00B149AC" w:rsidRDefault="00A664D7" w:rsidP="00A664D7">
      <w:pPr>
        <w:jc w:val="both"/>
        <w:rPr>
          <w:color w:val="000000"/>
        </w:rPr>
      </w:pPr>
      <w:r w:rsidRPr="00B149AC">
        <w:rPr>
          <w:b/>
          <w:bCs/>
          <w:color w:val="000000"/>
        </w:rPr>
        <w:t>Estimate of Respondent Burden</w:t>
      </w:r>
    </w:p>
    <w:p w:rsidR="00A664D7" w:rsidRPr="00B149AC" w:rsidRDefault="00A664D7" w:rsidP="00A664D7">
      <w:pPr>
        <w:jc w:val="both"/>
        <w:rPr>
          <w:color w:val="000000"/>
        </w:rPr>
      </w:pPr>
    </w:p>
    <w:p w:rsidR="00551183" w:rsidRPr="00B149AC" w:rsidRDefault="00A664D7">
      <w:pPr>
        <w:pStyle w:val="BodyText"/>
        <w:ind w:firstLine="720"/>
        <w:rPr>
          <w:rFonts w:ascii="Times New Roman" w:hAnsi="Times New Roman"/>
        </w:rPr>
      </w:pPr>
      <w:r w:rsidRPr="00B149AC">
        <w:rPr>
          <w:rFonts w:ascii="Times New Roman" w:hAnsi="Times New Roman"/>
        </w:rPr>
        <w:t xml:space="preserve">The total annual burden for the </w:t>
      </w:r>
      <w:r w:rsidR="00764A10" w:rsidRPr="00B149AC">
        <w:rPr>
          <w:rFonts w:ascii="Times New Roman" w:hAnsi="Times New Roman"/>
        </w:rPr>
        <w:t>guidance</w:t>
      </w:r>
      <w:r w:rsidRPr="00B149AC">
        <w:rPr>
          <w:rFonts w:ascii="Times New Roman" w:hAnsi="Times New Roman"/>
        </w:rPr>
        <w:t xml:space="preserve"> is </w:t>
      </w:r>
      <w:r w:rsidR="002A09E8" w:rsidRPr="00B149AC">
        <w:rPr>
          <w:rFonts w:ascii="Times New Roman" w:hAnsi="Times New Roman"/>
        </w:rPr>
        <w:t>200</w:t>
      </w:r>
      <w:r w:rsidR="001B3F9A" w:rsidRPr="00B149AC">
        <w:rPr>
          <w:rFonts w:ascii="Times New Roman" w:hAnsi="Times New Roman"/>
        </w:rPr>
        <w:t xml:space="preserve"> </w:t>
      </w:r>
      <w:r w:rsidRPr="00B149AC">
        <w:rPr>
          <w:rFonts w:ascii="Times New Roman" w:hAnsi="Times New Roman"/>
        </w:rPr>
        <w:t xml:space="preserve">hours, as shown in the table below.  </w:t>
      </w:r>
      <w:r w:rsidR="003657C7" w:rsidRPr="00B149AC">
        <w:rPr>
          <w:rFonts w:ascii="Times New Roman" w:hAnsi="Times New Roman"/>
        </w:rPr>
        <w:t xml:space="preserve">Since CSFTs are typically conducted by a limited number of large financial institutions, the </w:t>
      </w:r>
      <w:r w:rsidR="00BD4C86" w:rsidRPr="00B149AC">
        <w:rPr>
          <w:rFonts w:ascii="Times New Roman" w:hAnsi="Times New Roman"/>
        </w:rPr>
        <w:t xml:space="preserve">Federal Reserve </w:t>
      </w:r>
      <w:r w:rsidR="003657C7" w:rsidRPr="00B149AC">
        <w:rPr>
          <w:rFonts w:ascii="Times New Roman" w:hAnsi="Times New Roman"/>
        </w:rPr>
        <w:t xml:space="preserve">estimates that only </w:t>
      </w:r>
      <w:r w:rsidR="00FB1C11" w:rsidRPr="00B149AC">
        <w:rPr>
          <w:rFonts w:ascii="Times New Roman" w:hAnsi="Times New Roman"/>
        </w:rPr>
        <w:t xml:space="preserve">20 </w:t>
      </w:r>
      <w:r w:rsidR="003657C7" w:rsidRPr="00B149AC">
        <w:rPr>
          <w:rFonts w:ascii="Times New Roman" w:hAnsi="Times New Roman"/>
        </w:rPr>
        <w:t xml:space="preserve">of the institutions it supervises </w:t>
      </w:r>
      <w:r w:rsidR="005C09BC" w:rsidRPr="00B149AC">
        <w:rPr>
          <w:rFonts w:ascii="Times New Roman" w:hAnsi="Times New Roman"/>
        </w:rPr>
        <w:t xml:space="preserve">are </w:t>
      </w:r>
      <w:r w:rsidR="004304AA" w:rsidRPr="00B149AC">
        <w:rPr>
          <w:rFonts w:ascii="Times New Roman" w:hAnsi="Times New Roman"/>
        </w:rPr>
        <w:t>affected by the guidance</w:t>
      </w:r>
      <w:r w:rsidR="003657C7" w:rsidRPr="00B149AC">
        <w:rPr>
          <w:rFonts w:ascii="Times New Roman" w:hAnsi="Times New Roman"/>
        </w:rPr>
        <w:t xml:space="preserve">.  </w:t>
      </w:r>
      <w:r w:rsidR="00BD4C86" w:rsidRPr="00B149AC">
        <w:rPr>
          <w:rFonts w:ascii="Times New Roman" w:hAnsi="Times New Roman"/>
        </w:rPr>
        <w:t>The Federal Reserve</w:t>
      </w:r>
      <w:r w:rsidR="004304AA" w:rsidRPr="00B149AC">
        <w:rPr>
          <w:rFonts w:ascii="Times New Roman" w:hAnsi="Times New Roman"/>
        </w:rPr>
        <w:t xml:space="preserve"> </w:t>
      </w:r>
      <w:r w:rsidR="001B3F9A" w:rsidRPr="00B149AC">
        <w:rPr>
          <w:rFonts w:ascii="Times New Roman" w:hAnsi="Times New Roman"/>
        </w:rPr>
        <w:t xml:space="preserve">estimates that it will take the </w:t>
      </w:r>
      <w:r w:rsidR="0085552F" w:rsidRPr="00B149AC">
        <w:rPr>
          <w:rFonts w:ascii="Times New Roman" w:hAnsi="Times New Roman"/>
        </w:rPr>
        <w:t>20 </w:t>
      </w:r>
      <w:r w:rsidR="00624BB1" w:rsidRPr="00B149AC">
        <w:rPr>
          <w:rFonts w:ascii="Times New Roman" w:hAnsi="Times New Roman"/>
        </w:rPr>
        <w:t>respondents 10 </w:t>
      </w:r>
      <w:r w:rsidR="001B3F9A" w:rsidRPr="00B149AC">
        <w:rPr>
          <w:rFonts w:ascii="Times New Roman" w:hAnsi="Times New Roman"/>
        </w:rPr>
        <w:t xml:space="preserve">hours </w:t>
      </w:r>
      <w:r w:rsidR="0032276F" w:rsidRPr="00B149AC">
        <w:rPr>
          <w:rFonts w:ascii="Times New Roman" w:hAnsi="Times New Roman"/>
        </w:rPr>
        <w:t xml:space="preserve">each year </w:t>
      </w:r>
      <w:r w:rsidR="001B3F9A" w:rsidRPr="00B149AC">
        <w:rPr>
          <w:rFonts w:ascii="Times New Roman" w:hAnsi="Times New Roman"/>
        </w:rPr>
        <w:t xml:space="preserve">to maintain their CSFT policies and procedures.  </w:t>
      </w:r>
      <w:r w:rsidR="009F5E24" w:rsidRPr="00B149AC">
        <w:rPr>
          <w:rFonts w:ascii="Times New Roman" w:hAnsi="Times New Roman"/>
        </w:rPr>
        <w:t xml:space="preserve">Based on the </w:t>
      </w:r>
      <w:r w:rsidR="006E2B98" w:rsidRPr="00B149AC">
        <w:rPr>
          <w:rFonts w:ascii="Times New Roman" w:hAnsi="Times New Roman"/>
        </w:rPr>
        <w:t>Federal Reserve</w:t>
      </w:r>
      <w:r w:rsidR="009F5E24" w:rsidRPr="00B149AC">
        <w:rPr>
          <w:rFonts w:ascii="Times New Roman" w:hAnsi="Times New Roman"/>
        </w:rPr>
        <w:t xml:space="preserve">’s experience in supervising the CSFT activities of financial institutions, the </w:t>
      </w:r>
      <w:r w:rsidR="006E2B98" w:rsidRPr="00B149AC">
        <w:rPr>
          <w:rFonts w:ascii="Times New Roman" w:hAnsi="Times New Roman"/>
        </w:rPr>
        <w:t>Federal Reserve</w:t>
      </w:r>
      <w:r w:rsidR="009F5E24" w:rsidRPr="00B149AC">
        <w:rPr>
          <w:rFonts w:ascii="Times New Roman" w:hAnsi="Times New Roman"/>
        </w:rPr>
        <w:t xml:space="preserve"> believes that the </w:t>
      </w:r>
      <w:r w:rsidR="00D00B60" w:rsidRPr="00B149AC">
        <w:rPr>
          <w:rFonts w:ascii="Times New Roman" w:hAnsi="Times New Roman"/>
        </w:rPr>
        <w:t>recordkeeping requirements</w:t>
      </w:r>
      <w:r w:rsidR="00E20E2C" w:rsidRPr="00B149AC">
        <w:rPr>
          <w:rFonts w:ascii="Times New Roman" w:hAnsi="Times New Roman"/>
        </w:rPr>
        <w:t xml:space="preserve"> (i.e., the information collection)</w:t>
      </w:r>
      <w:r w:rsidR="009F5E24" w:rsidRPr="00B149AC">
        <w:rPr>
          <w:rFonts w:ascii="Times New Roman" w:hAnsi="Times New Roman"/>
        </w:rPr>
        <w:t xml:space="preserve"> included in the Statement are generally consistent with the types of policies and procedures that</w:t>
      </w:r>
      <w:r w:rsidR="008821AB" w:rsidRPr="00B149AC">
        <w:rPr>
          <w:rFonts w:ascii="Times New Roman" w:hAnsi="Times New Roman"/>
        </w:rPr>
        <w:t xml:space="preserve"> large financial </w:t>
      </w:r>
      <w:r w:rsidR="009F5E24" w:rsidRPr="00B149AC">
        <w:rPr>
          <w:rFonts w:ascii="Times New Roman" w:hAnsi="Times New Roman"/>
        </w:rPr>
        <w:t>in</w:t>
      </w:r>
      <w:r w:rsidR="0029377D" w:rsidRPr="00B149AC">
        <w:rPr>
          <w:rFonts w:ascii="Times New Roman" w:hAnsi="Times New Roman"/>
        </w:rPr>
        <w:t>s</w:t>
      </w:r>
      <w:r w:rsidR="009F5E24" w:rsidRPr="00B149AC">
        <w:rPr>
          <w:rFonts w:ascii="Times New Roman" w:hAnsi="Times New Roman"/>
        </w:rPr>
        <w:t>titutions actively involved in CSFTs already have developed and implemented</w:t>
      </w:r>
      <w:r w:rsidR="004304AA" w:rsidRPr="00B149AC">
        <w:rPr>
          <w:rFonts w:ascii="Times New Roman" w:hAnsi="Times New Roman"/>
        </w:rPr>
        <w:t xml:space="preserve"> </w:t>
      </w:r>
      <w:r w:rsidR="00E20E2C" w:rsidRPr="00B149AC">
        <w:rPr>
          <w:rFonts w:ascii="Times New Roman" w:hAnsi="Times New Roman"/>
        </w:rPr>
        <w:t>as part of their</w:t>
      </w:r>
      <w:r w:rsidRPr="00B149AC">
        <w:rPr>
          <w:rFonts w:ascii="Times New Roman" w:hAnsi="Times New Roman"/>
        </w:rPr>
        <w:t xml:space="preserve"> usual and customary business practices.  </w:t>
      </w:r>
      <w:r w:rsidR="008B34A0" w:rsidRPr="00B149AC">
        <w:rPr>
          <w:rFonts w:ascii="Times New Roman" w:hAnsi="Times New Roman"/>
        </w:rPr>
        <w:t xml:space="preserve">The burden estimate </w:t>
      </w:r>
      <w:r w:rsidR="00E203E9" w:rsidRPr="00B149AC">
        <w:rPr>
          <w:rFonts w:ascii="Times New Roman" w:hAnsi="Times New Roman"/>
        </w:rPr>
        <w:t>for</w:t>
      </w:r>
      <w:r w:rsidR="005D1CC9" w:rsidRPr="00B149AC">
        <w:rPr>
          <w:rFonts w:ascii="Times New Roman" w:hAnsi="Times New Roman"/>
        </w:rPr>
        <w:t xml:space="preserve"> the recordkeeping requirements </w:t>
      </w:r>
      <w:r w:rsidR="008B34A0" w:rsidRPr="00B149AC">
        <w:rPr>
          <w:rFonts w:ascii="Times New Roman" w:hAnsi="Times New Roman"/>
        </w:rPr>
        <w:t xml:space="preserve">reflects the time to revisit CSFT policies and procedures on a periodic basis to ensure that an institution’s risk management systems continue to address the CSFT guidance.  </w:t>
      </w:r>
      <w:r w:rsidR="004304AA" w:rsidRPr="00B149AC">
        <w:rPr>
          <w:rFonts w:ascii="Times New Roman" w:hAnsi="Times New Roman"/>
        </w:rPr>
        <w:t>The total annual burden represents less than 1 percent of the total Federal Reserve System paperwork burden.</w:t>
      </w:r>
    </w:p>
    <w:p w:rsidR="009C08B6" w:rsidRPr="00B149AC" w:rsidRDefault="009C08B6">
      <w:pPr>
        <w:pStyle w:val="BodyText"/>
        <w:ind w:firstLine="720"/>
        <w:rPr>
          <w:rFonts w:ascii="Times New Roman" w:hAnsi="Times New Roman"/>
        </w:rPr>
      </w:pPr>
    </w:p>
    <w:tbl>
      <w:tblPr>
        <w:tblW w:w="8640" w:type="dxa"/>
        <w:tblInd w:w="139" w:type="dxa"/>
        <w:tblBorders>
          <w:top w:val="single" w:sz="4" w:space="0" w:color="auto"/>
          <w:bottom w:val="single" w:sz="4" w:space="0" w:color="auto"/>
        </w:tblBorders>
        <w:tblLayout w:type="fixed"/>
        <w:tblCellMar>
          <w:left w:w="139" w:type="dxa"/>
          <w:right w:w="139" w:type="dxa"/>
        </w:tblCellMar>
        <w:tblLook w:val="0000" w:firstRow="0" w:lastRow="0" w:firstColumn="0" w:lastColumn="0" w:noHBand="0" w:noVBand="0"/>
      </w:tblPr>
      <w:tblGrid>
        <w:gridCol w:w="3330"/>
        <w:gridCol w:w="1440"/>
        <w:gridCol w:w="1260"/>
        <w:gridCol w:w="1260"/>
        <w:gridCol w:w="1350"/>
      </w:tblGrid>
      <w:tr w:rsidR="00A664D7" w:rsidRPr="00B149AC" w:rsidTr="009730C7">
        <w:trPr>
          <w:cantSplit/>
        </w:trPr>
        <w:tc>
          <w:tcPr>
            <w:tcW w:w="3330" w:type="dxa"/>
            <w:vAlign w:val="center"/>
          </w:tcPr>
          <w:p w:rsidR="00A664D7" w:rsidRPr="00B149AC" w:rsidRDefault="002E3B19" w:rsidP="002E6E4C">
            <w:pPr>
              <w:jc w:val="center"/>
            </w:pPr>
            <w:r w:rsidRPr="00B149AC">
              <w:rPr>
                <w:color w:val="000000"/>
              </w:rPr>
              <w:br w:type="page"/>
            </w:r>
          </w:p>
        </w:tc>
        <w:tc>
          <w:tcPr>
            <w:tcW w:w="1440" w:type="dxa"/>
            <w:vAlign w:val="center"/>
          </w:tcPr>
          <w:p w:rsidR="00A664D7" w:rsidRPr="00B149AC" w:rsidRDefault="00A664D7" w:rsidP="002E6E4C">
            <w:pPr>
              <w:jc w:val="center"/>
              <w:rPr>
                <w:i/>
                <w:iCs/>
                <w:color w:val="000000"/>
              </w:rPr>
            </w:pPr>
            <w:r w:rsidRPr="00B149AC">
              <w:rPr>
                <w:i/>
                <w:iCs/>
                <w:color w:val="000000"/>
              </w:rPr>
              <w:t>Number</w:t>
            </w:r>
          </w:p>
          <w:p w:rsidR="00A664D7" w:rsidRPr="00B149AC" w:rsidRDefault="00A664D7" w:rsidP="002E6E4C">
            <w:pPr>
              <w:jc w:val="center"/>
            </w:pPr>
            <w:r w:rsidRPr="00B149AC">
              <w:rPr>
                <w:i/>
                <w:iCs/>
                <w:color w:val="000000"/>
              </w:rPr>
              <w:t>of respondents</w:t>
            </w:r>
          </w:p>
        </w:tc>
        <w:tc>
          <w:tcPr>
            <w:tcW w:w="1260" w:type="dxa"/>
            <w:vAlign w:val="center"/>
          </w:tcPr>
          <w:p w:rsidR="00A664D7" w:rsidRPr="00B149AC" w:rsidRDefault="00A664D7" w:rsidP="002E6E4C">
            <w:pPr>
              <w:jc w:val="center"/>
            </w:pPr>
            <w:r w:rsidRPr="00B149AC">
              <w:rPr>
                <w:i/>
                <w:iCs/>
                <w:color w:val="000000"/>
              </w:rPr>
              <w:t>Estimated annual frequency</w:t>
            </w:r>
          </w:p>
        </w:tc>
        <w:tc>
          <w:tcPr>
            <w:tcW w:w="1260" w:type="dxa"/>
            <w:vAlign w:val="center"/>
          </w:tcPr>
          <w:p w:rsidR="00A664D7" w:rsidRPr="00B149AC" w:rsidRDefault="00A664D7" w:rsidP="002E6E4C">
            <w:pPr>
              <w:jc w:val="center"/>
              <w:rPr>
                <w:color w:val="000000"/>
              </w:rPr>
            </w:pPr>
            <w:r w:rsidRPr="00B149AC">
              <w:rPr>
                <w:i/>
                <w:iCs/>
                <w:color w:val="000000"/>
              </w:rPr>
              <w:t>Estimated response</w:t>
            </w:r>
          </w:p>
          <w:p w:rsidR="00A664D7" w:rsidRPr="00B149AC" w:rsidRDefault="00A664D7" w:rsidP="002E6E4C">
            <w:pPr>
              <w:jc w:val="center"/>
            </w:pPr>
            <w:r w:rsidRPr="00B149AC">
              <w:rPr>
                <w:i/>
                <w:iCs/>
                <w:color w:val="000000"/>
              </w:rPr>
              <w:t>time</w:t>
            </w:r>
          </w:p>
        </w:tc>
        <w:tc>
          <w:tcPr>
            <w:tcW w:w="1350" w:type="dxa"/>
            <w:vAlign w:val="center"/>
          </w:tcPr>
          <w:p w:rsidR="00A664D7" w:rsidRPr="00B149AC" w:rsidRDefault="00A664D7" w:rsidP="002E6E4C">
            <w:pPr>
              <w:jc w:val="center"/>
            </w:pPr>
            <w:r w:rsidRPr="00B149AC">
              <w:rPr>
                <w:i/>
                <w:iCs/>
                <w:color w:val="000000"/>
              </w:rPr>
              <w:t>Estimated annual burden hours</w:t>
            </w:r>
          </w:p>
        </w:tc>
      </w:tr>
      <w:tr w:rsidR="001B3F9A" w:rsidRPr="00B149AC" w:rsidTr="009C08B6">
        <w:trPr>
          <w:cantSplit/>
          <w:trHeight w:val="552"/>
        </w:trPr>
        <w:tc>
          <w:tcPr>
            <w:tcW w:w="3330" w:type="dxa"/>
            <w:vAlign w:val="bottom"/>
          </w:tcPr>
          <w:p w:rsidR="000D0FAF" w:rsidRPr="00B149AC" w:rsidRDefault="00B72E83" w:rsidP="009730C7">
            <w:pPr>
              <w:rPr>
                <w:i/>
              </w:rPr>
            </w:pPr>
            <w:r w:rsidRPr="00B149AC">
              <w:t>Maintain compliance program</w:t>
            </w:r>
          </w:p>
        </w:tc>
        <w:tc>
          <w:tcPr>
            <w:tcW w:w="1440" w:type="dxa"/>
            <w:vAlign w:val="bottom"/>
          </w:tcPr>
          <w:p w:rsidR="001B3F9A" w:rsidRPr="00B149AC" w:rsidRDefault="00B72E83" w:rsidP="009730C7">
            <w:pPr>
              <w:jc w:val="center"/>
            </w:pPr>
            <w:r w:rsidRPr="00B149AC">
              <w:t>20</w:t>
            </w:r>
          </w:p>
        </w:tc>
        <w:tc>
          <w:tcPr>
            <w:tcW w:w="1260" w:type="dxa"/>
            <w:vAlign w:val="bottom"/>
          </w:tcPr>
          <w:p w:rsidR="001B3F9A" w:rsidRPr="00B149AC" w:rsidRDefault="001B3F9A" w:rsidP="009730C7">
            <w:pPr>
              <w:jc w:val="center"/>
            </w:pPr>
            <w:r w:rsidRPr="00B149AC">
              <w:t>1</w:t>
            </w:r>
          </w:p>
        </w:tc>
        <w:tc>
          <w:tcPr>
            <w:tcW w:w="1260" w:type="dxa"/>
            <w:vAlign w:val="bottom"/>
          </w:tcPr>
          <w:p w:rsidR="001B3F9A" w:rsidRPr="00B149AC" w:rsidRDefault="001B3F9A" w:rsidP="009730C7">
            <w:pPr>
              <w:jc w:val="center"/>
            </w:pPr>
            <w:r w:rsidRPr="00B149AC">
              <w:t>10 hours</w:t>
            </w:r>
          </w:p>
        </w:tc>
        <w:tc>
          <w:tcPr>
            <w:tcW w:w="1350" w:type="dxa"/>
            <w:vAlign w:val="bottom"/>
          </w:tcPr>
          <w:p w:rsidR="001B3F9A" w:rsidRPr="00B149AC" w:rsidRDefault="00B72E83" w:rsidP="009730C7">
            <w:pPr>
              <w:jc w:val="center"/>
            </w:pPr>
            <w:r w:rsidRPr="00B149AC">
              <w:t>200</w:t>
            </w:r>
          </w:p>
        </w:tc>
      </w:tr>
      <w:tr w:rsidR="001B3F9A" w:rsidRPr="00B149AC" w:rsidTr="009C08B6">
        <w:trPr>
          <w:cantSplit/>
          <w:trHeight w:val="552"/>
        </w:trPr>
        <w:tc>
          <w:tcPr>
            <w:tcW w:w="3330" w:type="dxa"/>
          </w:tcPr>
          <w:p w:rsidR="001B3F9A" w:rsidRPr="00B149AC" w:rsidRDefault="001B3F9A" w:rsidP="009730C7">
            <w:pPr>
              <w:rPr>
                <w:i/>
              </w:rPr>
            </w:pPr>
          </w:p>
        </w:tc>
        <w:tc>
          <w:tcPr>
            <w:tcW w:w="1440" w:type="dxa"/>
          </w:tcPr>
          <w:p w:rsidR="001B3F9A" w:rsidRPr="00B149AC" w:rsidRDefault="001B3F9A" w:rsidP="009730C7"/>
        </w:tc>
        <w:tc>
          <w:tcPr>
            <w:tcW w:w="1260" w:type="dxa"/>
          </w:tcPr>
          <w:p w:rsidR="001B3F9A" w:rsidRPr="00B149AC" w:rsidRDefault="001B3F9A" w:rsidP="009730C7"/>
        </w:tc>
        <w:tc>
          <w:tcPr>
            <w:tcW w:w="1260" w:type="dxa"/>
          </w:tcPr>
          <w:p w:rsidR="001B3F9A" w:rsidRPr="00B149AC" w:rsidRDefault="001B3F9A" w:rsidP="009730C7"/>
        </w:tc>
        <w:tc>
          <w:tcPr>
            <w:tcW w:w="1350" w:type="dxa"/>
          </w:tcPr>
          <w:p w:rsidR="001B3F9A" w:rsidRPr="00B149AC" w:rsidRDefault="001B3F9A" w:rsidP="009730C7"/>
        </w:tc>
      </w:tr>
    </w:tbl>
    <w:p w:rsidR="00A664D7" w:rsidRPr="00B149AC" w:rsidRDefault="00A664D7" w:rsidP="00A664D7">
      <w:pPr>
        <w:pStyle w:val="Footer"/>
        <w:tabs>
          <w:tab w:val="clear" w:pos="4320"/>
          <w:tab w:val="clear" w:pos="8640"/>
        </w:tabs>
        <w:rPr>
          <w:szCs w:val="24"/>
        </w:rPr>
      </w:pPr>
    </w:p>
    <w:p w:rsidR="00A664D7" w:rsidRPr="00B149AC" w:rsidRDefault="006E2B98" w:rsidP="00A664D7">
      <w:pPr>
        <w:pStyle w:val="Footer"/>
        <w:tabs>
          <w:tab w:val="clear" w:pos="4320"/>
          <w:tab w:val="clear" w:pos="8640"/>
        </w:tabs>
        <w:rPr>
          <w:szCs w:val="24"/>
        </w:rPr>
      </w:pPr>
      <w:r w:rsidRPr="00B149AC">
        <w:rPr>
          <w:szCs w:val="24"/>
        </w:rPr>
        <w:t>The total</w:t>
      </w:r>
      <w:r w:rsidR="00A664D7" w:rsidRPr="00B149AC">
        <w:rPr>
          <w:szCs w:val="24"/>
        </w:rPr>
        <w:t xml:space="preserve"> cost to the public for this information collection is </w:t>
      </w:r>
      <w:r w:rsidRPr="00B149AC">
        <w:rPr>
          <w:szCs w:val="24"/>
        </w:rPr>
        <w:t xml:space="preserve">estimated to be </w:t>
      </w:r>
      <w:r w:rsidR="00A664D7" w:rsidRPr="00B149AC">
        <w:rPr>
          <w:szCs w:val="24"/>
        </w:rPr>
        <w:t>$</w:t>
      </w:r>
      <w:r w:rsidR="006D4EEA" w:rsidRPr="00B149AC">
        <w:rPr>
          <w:szCs w:val="24"/>
        </w:rPr>
        <w:t>8</w:t>
      </w:r>
      <w:r w:rsidR="006B3709" w:rsidRPr="00B149AC">
        <w:rPr>
          <w:szCs w:val="24"/>
        </w:rPr>
        <w:t>,</w:t>
      </w:r>
      <w:r w:rsidR="006D4EEA" w:rsidRPr="00B149AC">
        <w:rPr>
          <w:szCs w:val="24"/>
        </w:rPr>
        <w:t>970</w:t>
      </w:r>
      <w:r w:rsidR="00C866FB" w:rsidRPr="00B149AC">
        <w:rPr>
          <w:szCs w:val="24"/>
        </w:rPr>
        <w:t>.</w:t>
      </w:r>
      <w:r w:rsidR="006D4EEA" w:rsidRPr="00B149AC">
        <w:rPr>
          <w:rStyle w:val="FootnoteReference"/>
          <w:szCs w:val="24"/>
        </w:rPr>
        <w:footnoteReference w:id="2"/>
      </w:r>
    </w:p>
    <w:p w:rsidR="00A664D7" w:rsidRPr="00B149AC" w:rsidRDefault="00A664D7" w:rsidP="00A664D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664D7" w:rsidRPr="00B149AC" w:rsidRDefault="00A664D7" w:rsidP="00A664D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149AC">
        <w:rPr>
          <w:b/>
          <w:bCs/>
          <w:color w:val="000000"/>
        </w:rPr>
        <w:t>Estimate of Cost to the Federal Reserve System</w:t>
      </w:r>
    </w:p>
    <w:p w:rsidR="00A664D7" w:rsidRPr="00B149AC" w:rsidRDefault="00A664D7" w:rsidP="00A664D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664D7" w:rsidRPr="00B149AC" w:rsidRDefault="00A664D7" w:rsidP="0038626D">
      <w:r w:rsidRPr="00B149AC">
        <w:tab/>
        <w:t>Since the Federal Reserve does not collect any information, the cost to the Federal Reserve System is negligible.</w:t>
      </w:r>
    </w:p>
    <w:sectPr w:rsidR="00A664D7" w:rsidRPr="00B149AC" w:rsidSect="00764A10">
      <w:footerReference w:type="even" r:id="rId9"/>
      <w:footerReference w:type="default" r:id="rId10"/>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0B" w:rsidRDefault="0058790B">
      <w:r>
        <w:separator/>
      </w:r>
    </w:p>
  </w:endnote>
  <w:endnote w:type="continuationSeparator" w:id="0">
    <w:p w:rsidR="0058790B" w:rsidRDefault="0058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0B" w:rsidRDefault="00FE133D" w:rsidP="00803B15">
    <w:pPr>
      <w:pStyle w:val="Footer"/>
      <w:framePr w:wrap="around" w:vAnchor="text" w:hAnchor="margin" w:xAlign="center" w:y="1"/>
      <w:rPr>
        <w:rStyle w:val="PageNumber"/>
      </w:rPr>
    </w:pPr>
    <w:r>
      <w:rPr>
        <w:rStyle w:val="PageNumber"/>
      </w:rPr>
      <w:fldChar w:fldCharType="begin"/>
    </w:r>
    <w:r w:rsidR="0058790B">
      <w:rPr>
        <w:rStyle w:val="PageNumber"/>
      </w:rPr>
      <w:instrText xml:space="preserve">PAGE  </w:instrText>
    </w:r>
    <w:r>
      <w:rPr>
        <w:rStyle w:val="PageNumber"/>
      </w:rPr>
      <w:fldChar w:fldCharType="end"/>
    </w:r>
  </w:p>
  <w:p w:rsidR="0058790B" w:rsidRDefault="00587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0B" w:rsidRDefault="00FE133D" w:rsidP="00803B15">
    <w:pPr>
      <w:pStyle w:val="Footer"/>
      <w:framePr w:wrap="around" w:vAnchor="text" w:hAnchor="margin" w:xAlign="center" w:y="1"/>
      <w:rPr>
        <w:rStyle w:val="PageNumber"/>
      </w:rPr>
    </w:pPr>
    <w:r>
      <w:rPr>
        <w:rStyle w:val="PageNumber"/>
      </w:rPr>
      <w:fldChar w:fldCharType="begin"/>
    </w:r>
    <w:r w:rsidR="0058790B">
      <w:rPr>
        <w:rStyle w:val="PageNumber"/>
      </w:rPr>
      <w:instrText xml:space="preserve">PAGE  </w:instrText>
    </w:r>
    <w:r>
      <w:rPr>
        <w:rStyle w:val="PageNumber"/>
      </w:rPr>
      <w:fldChar w:fldCharType="separate"/>
    </w:r>
    <w:r w:rsidR="000A639E">
      <w:rPr>
        <w:rStyle w:val="PageNumber"/>
        <w:noProof/>
      </w:rPr>
      <w:t>1</w:t>
    </w:r>
    <w:r>
      <w:rPr>
        <w:rStyle w:val="PageNumber"/>
      </w:rPr>
      <w:fldChar w:fldCharType="end"/>
    </w:r>
  </w:p>
  <w:p w:rsidR="0058790B" w:rsidRDefault="00587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0B" w:rsidRDefault="0058790B">
      <w:r>
        <w:separator/>
      </w:r>
    </w:p>
  </w:footnote>
  <w:footnote w:type="continuationSeparator" w:id="0">
    <w:p w:rsidR="0058790B" w:rsidRDefault="0058790B">
      <w:r>
        <w:continuationSeparator/>
      </w:r>
    </w:p>
  </w:footnote>
  <w:footnote w:id="1">
    <w:p w:rsidR="0058790B" w:rsidRPr="00036B8C" w:rsidRDefault="0058790B" w:rsidP="002E3B19">
      <w:pPr>
        <w:autoSpaceDE w:val="0"/>
        <w:autoSpaceDN w:val="0"/>
        <w:adjustRightInd w:val="0"/>
        <w:rPr>
          <w:color w:val="000000"/>
          <w:sz w:val="20"/>
          <w:szCs w:val="20"/>
        </w:rPr>
      </w:pPr>
      <w:r w:rsidRPr="00036B8C">
        <w:rPr>
          <w:rStyle w:val="FootnoteReference"/>
          <w:sz w:val="20"/>
          <w:szCs w:val="20"/>
        </w:rPr>
        <w:footnoteRef/>
      </w:r>
      <w:r w:rsidRPr="00036B8C">
        <w:rPr>
          <w:sz w:val="20"/>
          <w:szCs w:val="20"/>
        </w:rPr>
        <w:t xml:space="preserve"> </w:t>
      </w:r>
      <w:r w:rsidRPr="00036B8C">
        <w:rPr>
          <w:color w:val="000000"/>
          <w:sz w:val="20"/>
          <w:szCs w:val="20"/>
        </w:rPr>
        <w:t>Refer to SR letter 07-5 for the interagency statement.</w:t>
      </w:r>
    </w:p>
  </w:footnote>
  <w:footnote w:id="2">
    <w:p w:rsidR="0058790B" w:rsidRDefault="0058790B">
      <w:pPr>
        <w:pStyle w:val="FootnoteText"/>
      </w:pPr>
      <w:r>
        <w:rPr>
          <w:rStyle w:val="FootnoteReference"/>
        </w:rPr>
        <w:footnoteRef/>
      </w:r>
      <w:r>
        <w:t xml:space="preserve"> </w:t>
      </w:r>
      <w:r w:rsidRPr="006D4EEA">
        <w:t>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E9B63"/>
    <w:multiLevelType w:val="hybridMultilevel"/>
    <w:tmpl w:val="2B2E7B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C0F10C"/>
    <w:multiLevelType w:val="hybridMultilevel"/>
    <w:tmpl w:val="51EB1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3CBE0A9"/>
    <w:multiLevelType w:val="hybridMultilevel"/>
    <w:tmpl w:val="102BDB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B30860"/>
    <w:multiLevelType w:val="hybridMultilevel"/>
    <w:tmpl w:val="4041FE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62ACCF3"/>
    <w:multiLevelType w:val="hybridMultilevel"/>
    <w:tmpl w:val="9F5977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A664D7"/>
    <w:rsid w:val="0000061F"/>
    <w:rsid w:val="00015D06"/>
    <w:rsid w:val="00036B8C"/>
    <w:rsid w:val="00056247"/>
    <w:rsid w:val="0009077B"/>
    <w:rsid w:val="000A639E"/>
    <w:rsid w:val="000D0FAF"/>
    <w:rsid w:val="000E349B"/>
    <w:rsid w:val="000F4BBD"/>
    <w:rsid w:val="00123F96"/>
    <w:rsid w:val="001442B7"/>
    <w:rsid w:val="00150EEF"/>
    <w:rsid w:val="00150F83"/>
    <w:rsid w:val="00160B5E"/>
    <w:rsid w:val="00162A6F"/>
    <w:rsid w:val="00163155"/>
    <w:rsid w:val="00194DB4"/>
    <w:rsid w:val="001A742B"/>
    <w:rsid w:val="001B27E0"/>
    <w:rsid w:val="001B3F9A"/>
    <w:rsid w:val="001D2D61"/>
    <w:rsid w:val="001D434A"/>
    <w:rsid w:val="00206EB5"/>
    <w:rsid w:val="00211312"/>
    <w:rsid w:val="00265DD4"/>
    <w:rsid w:val="00267874"/>
    <w:rsid w:val="002708E8"/>
    <w:rsid w:val="00292D81"/>
    <w:rsid w:val="0029377D"/>
    <w:rsid w:val="00295D4C"/>
    <w:rsid w:val="002A09E8"/>
    <w:rsid w:val="002D0881"/>
    <w:rsid w:val="002E3B19"/>
    <w:rsid w:val="002E6E4C"/>
    <w:rsid w:val="002F2569"/>
    <w:rsid w:val="002F7F96"/>
    <w:rsid w:val="00315E64"/>
    <w:rsid w:val="0032276F"/>
    <w:rsid w:val="00355F4E"/>
    <w:rsid w:val="003657C7"/>
    <w:rsid w:val="00384D74"/>
    <w:rsid w:val="0038626D"/>
    <w:rsid w:val="003979A8"/>
    <w:rsid w:val="003B5EAA"/>
    <w:rsid w:val="003C535D"/>
    <w:rsid w:val="003E0DFA"/>
    <w:rsid w:val="004115CC"/>
    <w:rsid w:val="004304AA"/>
    <w:rsid w:val="004501E6"/>
    <w:rsid w:val="00454609"/>
    <w:rsid w:val="0047220C"/>
    <w:rsid w:val="00493E9E"/>
    <w:rsid w:val="004B70F9"/>
    <w:rsid w:val="004E48A2"/>
    <w:rsid w:val="004F3772"/>
    <w:rsid w:val="00501D00"/>
    <w:rsid w:val="00523C2D"/>
    <w:rsid w:val="00527EFF"/>
    <w:rsid w:val="00544FCC"/>
    <w:rsid w:val="0054790E"/>
    <w:rsid w:val="00551183"/>
    <w:rsid w:val="00551D3E"/>
    <w:rsid w:val="005739C1"/>
    <w:rsid w:val="005823CB"/>
    <w:rsid w:val="0058790B"/>
    <w:rsid w:val="005B0795"/>
    <w:rsid w:val="005C09BC"/>
    <w:rsid w:val="005C49F7"/>
    <w:rsid w:val="005D1CC9"/>
    <w:rsid w:val="005D23DC"/>
    <w:rsid w:val="005F0121"/>
    <w:rsid w:val="005F283B"/>
    <w:rsid w:val="005F467E"/>
    <w:rsid w:val="006219F7"/>
    <w:rsid w:val="00622230"/>
    <w:rsid w:val="00624704"/>
    <w:rsid w:val="00624BB1"/>
    <w:rsid w:val="00636D87"/>
    <w:rsid w:val="00650704"/>
    <w:rsid w:val="00657A55"/>
    <w:rsid w:val="00673051"/>
    <w:rsid w:val="006B3709"/>
    <w:rsid w:val="006D4EEA"/>
    <w:rsid w:val="006E2B98"/>
    <w:rsid w:val="006F17A1"/>
    <w:rsid w:val="006F3B8D"/>
    <w:rsid w:val="00710273"/>
    <w:rsid w:val="00741630"/>
    <w:rsid w:val="00744C12"/>
    <w:rsid w:val="00746188"/>
    <w:rsid w:val="00764A10"/>
    <w:rsid w:val="00780987"/>
    <w:rsid w:val="007930F0"/>
    <w:rsid w:val="007C7E7F"/>
    <w:rsid w:val="00803B15"/>
    <w:rsid w:val="00825CE5"/>
    <w:rsid w:val="00846276"/>
    <w:rsid w:val="0085552F"/>
    <w:rsid w:val="008578BF"/>
    <w:rsid w:val="008639E4"/>
    <w:rsid w:val="008664B4"/>
    <w:rsid w:val="008821AB"/>
    <w:rsid w:val="008B34A0"/>
    <w:rsid w:val="008C2670"/>
    <w:rsid w:val="008D6AC6"/>
    <w:rsid w:val="008E4001"/>
    <w:rsid w:val="008F0325"/>
    <w:rsid w:val="009009DB"/>
    <w:rsid w:val="009033A4"/>
    <w:rsid w:val="00917428"/>
    <w:rsid w:val="00946E27"/>
    <w:rsid w:val="009730C7"/>
    <w:rsid w:val="00983DDE"/>
    <w:rsid w:val="00991A70"/>
    <w:rsid w:val="009A3CEC"/>
    <w:rsid w:val="009A7F01"/>
    <w:rsid w:val="009C08B6"/>
    <w:rsid w:val="009D6BDA"/>
    <w:rsid w:val="009F4040"/>
    <w:rsid w:val="009F599F"/>
    <w:rsid w:val="009F5E24"/>
    <w:rsid w:val="00A664D7"/>
    <w:rsid w:val="00AD3ABD"/>
    <w:rsid w:val="00AE14C5"/>
    <w:rsid w:val="00B149AC"/>
    <w:rsid w:val="00B41838"/>
    <w:rsid w:val="00B50810"/>
    <w:rsid w:val="00B72E83"/>
    <w:rsid w:val="00BA4E86"/>
    <w:rsid w:val="00BB5CB9"/>
    <w:rsid w:val="00BD3C94"/>
    <w:rsid w:val="00BD4C86"/>
    <w:rsid w:val="00C030A7"/>
    <w:rsid w:val="00C40A95"/>
    <w:rsid w:val="00C6289A"/>
    <w:rsid w:val="00C866FB"/>
    <w:rsid w:val="00CA65DC"/>
    <w:rsid w:val="00CC0864"/>
    <w:rsid w:val="00CC527E"/>
    <w:rsid w:val="00CE08F8"/>
    <w:rsid w:val="00CE67FB"/>
    <w:rsid w:val="00D00B60"/>
    <w:rsid w:val="00D13E33"/>
    <w:rsid w:val="00D21663"/>
    <w:rsid w:val="00D21FB2"/>
    <w:rsid w:val="00D25D5A"/>
    <w:rsid w:val="00D4594E"/>
    <w:rsid w:val="00D50D56"/>
    <w:rsid w:val="00D71165"/>
    <w:rsid w:val="00D83B60"/>
    <w:rsid w:val="00DF29BB"/>
    <w:rsid w:val="00E203E9"/>
    <w:rsid w:val="00E20E2C"/>
    <w:rsid w:val="00E43D8C"/>
    <w:rsid w:val="00E455BA"/>
    <w:rsid w:val="00E51F94"/>
    <w:rsid w:val="00E533B3"/>
    <w:rsid w:val="00E61BAC"/>
    <w:rsid w:val="00E736A9"/>
    <w:rsid w:val="00E82CC4"/>
    <w:rsid w:val="00ED23B5"/>
    <w:rsid w:val="00EF132C"/>
    <w:rsid w:val="00F15047"/>
    <w:rsid w:val="00F3586A"/>
    <w:rsid w:val="00F50C25"/>
    <w:rsid w:val="00F87D0B"/>
    <w:rsid w:val="00FA1023"/>
    <w:rsid w:val="00FA37C3"/>
    <w:rsid w:val="00FA4E60"/>
    <w:rsid w:val="00FB1C11"/>
    <w:rsid w:val="00FD0870"/>
    <w:rsid w:val="00FE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4D7"/>
    <w:pPr>
      <w:autoSpaceDE w:val="0"/>
      <w:autoSpaceDN w:val="0"/>
      <w:adjustRightInd w:val="0"/>
    </w:pPr>
    <w:rPr>
      <w:color w:val="000000"/>
      <w:sz w:val="24"/>
      <w:szCs w:val="24"/>
    </w:rPr>
  </w:style>
  <w:style w:type="paragraph" w:styleId="FootnoteText">
    <w:name w:val="footnote text"/>
    <w:basedOn w:val="Normal"/>
    <w:semiHidden/>
    <w:rsid w:val="00A664D7"/>
    <w:rPr>
      <w:sz w:val="20"/>
      <w:szCs w:val="20"/>
    </w:rPr>
  </w:style>
  <w:style w:type="character" w:styleId="FootnoteReference">
    <w:name w:val="footnote reference"/>
    <w:basedOn w:val="DefaultParagraphFont"/>
    <w:semiHidden/>
    <w:rsid w:val="00A664D7"/>
    <w:rPr>
      <w:vertAlign w:val="superscript"/>
    </w:rPr>
  </w:style>
  <w:style w:type="paragraph" w:styleId="Footer">
    <w:name w:val="footer"/>
    <w:basedOn w:val="Normal"/>
    <w:rsid w:val="00A664D7"/>
    <w:pPr>
      <w:tabs>
        <w:tab w:val="center" w:pos="4320"/>
        <w:tab w:val="right" w:pos="8640"/>
      </w:tabs>
    </w:pPr>
    <w:rPr>
      <w:snapToGrid w:val="0"/>
      <w:szCs w:val="20"/>
    </w:rPr>
  </w:style>
  <w:style w:type="paragraph" w:styleId="BodyText">
    <w:name w:val="Body Text"/>
    <w:basedOn w:val="Normal"/>
    <w:rsid w:val="00A664D7"/>
    <w:rPr>
      <w:rFonts w:ascii="Times" w:hAnsi="Times"/>
      <w:snapToGrid w:val="0"/>
      <w:color w:val="000000"/>
    </w:rPr>
  </w:style>
  <w:style w:type="character" w:styleId="CommentReference">
    <w:name w:val="annotation reference"/>
    <w:basedOn w:val="DefaultParagraphFont"/>
    <w:semiHidden/>
    <w:rsid w:val="002708E8"/>
    <w:rPr>
      <w:sz w:val="16"/>
      <w:szCs w:val="16"/>
    </w:rPr>
  </w:style>
  <w:style w:type="paragraph" w:styleId="CommentText">
    <w:name w:val="annotation text"/>
    <w:basedOn w:val="Normal"/>
    <w:semiHidden/>
    <w:rsid w:val="002708E8"/>
    <w:rPr>
      <w:sz w:val="20"/>
      <w:szCs w:val="20"/>
    </w:rPr>
  </w:style>
  <w:style w:type="paragraph" w:styleId="CommentSubject">
    <w:name w:val="annotation subject"/>
    <w:basedOn w:val="CommentText"/>
    <w:next w:val="CommentText"/>
    <w:semiHidden/>
    <w:rsid w:val="002708E8"/>
    <w:rPr>
      <w:b/>
      <w:bCs/>
    </w:rPr>
  </w:style>
  <w:style w:type="paragraph" w:styleId="BalloonText">
    <w:name w:val="Balloon Text"/>
    <w:basedOn w:val="Normal"/>
    <w:semiHidden/>
    <w:rsid w:val="002708E8"/>
    <w:rPr>
      <w:rFonts w:ascii="Tahoma" w:hAnsi="Tahoma" w:cs="Tahoma"/>
      <w:sz w:val="16"/>
      <w:szCs w:val="16"/>
    </w:rPr>
  </w:style>
  <w:style w:type="character" w:styleId="PageNumber">
    <w:name w:val="page number"/>
    <w:basedOn w:val="DefaultParagraphFont"/>
    <w:rsid w:val="00803B15"/>
  </w:style>
  <w:style w:type="paragraph" w:styleId="Header">
    <w:name w:val="header"/>
    <w:basedOn w:val="Normal"/>
    <w:rsid w:val="00AE14C5"/>
    <w:pPr>
      <w:tabs>
        <w:tab w:val="center" w:pos="4320"/>
        <w:tab w:val="right" w:pos="8640"/>
      </w:tabs>
    </w:pPr>
  </w:style>
  <w:style w:type="paragraph" w:styleId="BodyTextIndent">
    <w:name w:val="Body Text Indent"/>
    <w:basedOn w:val="Normal"/>
    <w:link w:val="BodyTextIndentChar"/>
    <w:uiPriority w:val="99"/>
    <w:semiHidden/>
    <w:unhideWhenUsed/>
    <w:rsid w:val="002E3B19"/>
    <w:pPr>
      <w:spacing w:after="120"/>
      <w:ind w:left="360"/>
    </w:pPr>
  </w:style>
  <w:style w:type="character" w:customStyle="1" w:styleId="BodyTextIndentChar">
    <w:name w:val="Body Text Indent Char"/>
    <w:basedOn w:val="DefaultParagraphFont"/>
    <w:link w:val="BodyTextIndent"/>
    <w:uiPriority w:val="99"/>
    <w:semiHidden/>
    <w:rsid w:val="002E3B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4D7"/>
    <w:pPr>
      <w:autoSpaceDE w:val="0"/>
      <w:autoSpaceDN w:val="0"/>
      <w:adjustRightInd w:val="0"/>
    </w:pPr>
    <w:rPr>
      <w:color w:val="000000"/>
      <w:sz w:val="24"/>
      <w:szCs w:val="24"/>
    </w:rPr>
  </w:style>
  <w:style w:type="paragraph" w:styleId="FootnoteText">
    <w:name w:val="footnote text"/>
    <w:basedOn w:val="Normal"/>
    <w:semiHidden/>
    <w:rsid w:val="00A664D7"/>
    <w:rPr>
      <w:sz w:val="20"/>
      <w:szCs w:val="20"/>
    </w:rPr>
  </w:style>
  <w:style w:type="character" w:styleId="FootnoteReference">
    <w:name w:val="footnote reference"/>
    <w:basedOn w:val="DefaultParagraphFont"/>
    <w:semiHidden/>
    <w:rsid w:val="00A664D7"/>
    <w:rPr>
      <w:vertAlign w:val="superscript"/>
    </w:rPr>
  </w:style>
  <w:style w:type="paragraph" w:styleId="Footer">
    <w:name w:val="footer"/>
    <w:basedOn w:val="Normal"/>
    <w:rsid w:val="00A664D7"/>
    <w:pPr>
      <w:tabs>
        <w:tab w:val="center" w:pos="4320"/>
        <w:tab w:val="right" w:pos="8640"/>
      </w:tabs>
    </w:pPr>
    <w:rPr>
      <w:snapToGrid w:val="0"/>
      <w:szCs w:val="20"/>
    </w:rPr>
  </w:style>
  <w:style w:type="paragraph" w:styleId="BodyText">
    <w:name w:val="Body Text"/>
    <w:basedOn w:val="Normal"/>
    <w:rsid w:val="00A664D7"/>
    <w:rPr>
      <w:rFonts w:ascii="Times" w:hAnsi="Times"/>
      <w:snapToGrid w:val="0"/>
      <w:color w:val="000000"/>
    </w:rPr>
  </w:style>
  <w:style w:type="character" w:styleId="CommentReference">
    <w:name w:val="annotation reference"/>
    <w:basedOn w:val="DefaultParagraphFont"/>
    <w:semiHidden/>
    <w:rsid w:val="002708E8"/>
    <w:rPr>
      <w:sz w:val="16"/>
      <w:szCs w:val="16"/>
    </w:rPr>
  </w:style>
  <w:style w:type="paragraph" w:styleId="CommentText">
    <w:name w:val="annotation text"/>
    <w:basedOn w:val="Normal"/>
    <w:semiHidden/>
    <w:rsid w:val="002708E8"/>
    <w:rPr>
      <w:sz w:val="20"/>
      <w:szCs w:val="20"/>
    </w:rPr>
  </w:style>
  <w:style w:type="paragraph" w:styleId="CommentSubject">
    <w:name w:val="annotation subject"/>
    <w:basedOn w:val="CommentText"/>
    <w:next w:val="CommentText"/>
    <w:semiHidden/>
    <w:rsid w:val="002708E8"/>
    <w:rPr>
      <w:b/>
      <w:bCs/>
    </w:rPr>
  </w:style>
  <w:style w:type="paragraph" w:styleId="BalloonText">
    <w:name w:val="Balloon Text"/>
    <w:basedOn w:val="Normal"/>
    <w:semiHidden/>
    <w:rsid w:val="002708E8"/>
    <w:rPr>
      <w:rFonts w:ascii="Tahoma" w:hAnsi="Tahoma" w:cs="Tahoma"/>
      <w:sz w:val="16"/>
      <w:szCs w:val="16"/>
    </w:rPr>
  </w:style>
  <w:style w:type="character" w:styleId="PageNumber">
    <w:name w:val="page number"/>
    <w:basedOn w:val="DefaultParagraphFont"/>
    <w:rsid w:val="00803B15"/>
  </w:style>
  <w:style w:type="paragraph" w:styleId="Header">
    <w:name w:val="header"/>
    <w:basedOn w:val="Normal"/>
    <w:rsid w:val="00AE14C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0F79-3340-4B38-9E05-F6F442DE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634690E1</Template>
  <TotalTime>144</TotalTime>
  <Pages>7</Pages>
  <Words>2639</Words>
  <Characters>15858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Supporting Statement for the Interagency Statement on Complex Structured Finance Activities (FR 4022; OMB No</vt:lpstr>
    </vt:vector>
  </TitlesOfParts>
  <Company>Federal Reserve Board</Company>
  <LinksUpToDate>false</LinksUpToDate>
  <CharactersWithSpaces>18461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Interagency Statement on Complex Structured Finance Activities (FR 4022; OMB No</dc:title>
  <dc:subject/>
  <dc:creator>cindy ayouch</dc:creator>
  <cp:keywords/>
  <dc:description/>
  <cp:lastModifiedBy>John A. Schmidt</cp:lastModifiedBy>
  <cp:revision>18</cp:revision>
  <cp:lastPrinted>2012-12-12T19:51:00Z</cp:lastPrinted>
  <dcterms:created xsi:type="dcterms:W3CDTF">2012-08-28T12:14:00Z</dcterms:created>
  <dcterms:modified xsi:type="dcterms:W3CDTF">2012-12-12T19:51:00Z</dcterms:modified>
</cp:coreProperties>
</file>