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3AE" w:rsidRPr="00B542EF" w:rsidRDefault="006813AE" w:rsidP="006813AE">
      <w:pPr>
        <w:tabs>
          <w:tab w:val="left" w:pos="720"/>
          <w:tab w:val="left" w:pos="1440"/>
        </w:tabs>
        <w:ind w:left="1440" w:hanging="1440"/>
        <w:jc w:val="center"/>
        <w:rPr>
          <w:b/>
          <w:bCs/>
          <w:color w:val="000000"/>
        </w:rPr>
      </w:pPr>
      <w:r w:rsidRPr="00B542EF">
        <w:rPr>
          <w:b/>
          <w:bCs/>
          <w:color w:val="000000"/>
        </w:rPr>
        <w:t>Supporting Statement for the</w:t>
      </w:r>
    </w:p>
    <w:p w:rsidR="005F021A" w:rsidRDefault="006813AE" w:rsidP="006813AE">
      <w:pPr>
        <w:ind w:left="1440" w:hanging="1440"/>
        <w:jc w:val="center"/>
        <w:rPr>
          <w:b/>
        </w:rPr>
      </w:pPr>
      <w:r w:rsidRPr="005F021A">
        <w:rPr>
          <w:b/>
        </w:rPr>
        <w:t xml:space="preserve">Disclosure and Reporting Requirements of </w:t>
      </w:r>
    </w:p>
    <w:p w:rsidR="006813AE" w:rsidRPr="00B542EF" w:rsidRDefault="005F021A" w:rsidP="006813AE">
      <w:pPr>
        <w:ind w:left="1440" w:hanging="1440"/>
        <w:jc w:val="center"/>
        <w:rPr>
          <w:b/>
          <w:color w:val="000000"/>
        </w:rPr>
      </w:pPr>
      <w:r w:rsidRPr="005F021A">
        <w:rPr>
          <w:b/>
          <w:color w:val="000000"/>
        </w:rPr>
        <w:t>Community Reinvestment Act</w:t>
      </w:r>
      <w:r w:rsidR="006813AE" w:rsidRPr="00B542EF">
        <w:rPr>
          <w:b/>
        </w:rPr>
        <w:t>-Related Agreements</w:t>
      </w:r>
    </w:p>
    <w:p w:rsidR="006813AE" w:rsidRPr="00B542EF" w:rsidRDefault="006813AE" w:rsidP="006813AE">
      <w:pPr>
        <w:jc w:val="center"/>
        <w:rPr>
          <w:b/>
          <w:color w:val="000000"/>
        </w:rPr>
      </w:pPr>
      <w:r w:rsidRPr="00B542EF">
        <w:rPr>
          <w:b/>
        </w:rPr>
        <w:t>(</w:t>
      </w:r>
      <w:proofErr w:type="spellStart"/>
      <w:r w:rsidRPr="00B542EF">
        <w:rPr>
          <w:b/>
        </w:rPr>
        <w:t>Reg</w:t>
      </w:r>
      <w:proofErr w:type="spellEnd"/>
      <w:r w:rsidRPr="00B542EF">
        <w:rPr>
          <w:b/>
        </w:rPr>
        <w:t xml:space="preserve"> G; OMB No. 7100-0299)</w:t>
      </w:r>
    </w:p>
    <w:p w:rsidR="00756545" w:rsidRPr="00DE5FFE" w:rsidRDefault="00756545" w:rsidP="00756545">
      <w:pPr>
        <w:rPr>
          <w:color w:val="000000"/>
        </w:rPr>
      </w:pPr>
    </w:p>
    <w:p w:rsidR="00756545" w:rsidRPr="00DE5FFE" w:rsidRDefault="005E1899" w:rsidP="00756545">
      <w:pPr>
        <w:rPr>
          <w:color w:val="000000"/>
        </w:rPr>
      </w:pPr>
      <w:r>
        <w:rPr>
          <w:noProof/>
        </w:rPr>
        <mc:AlternateContent>
          <mc:Choice Requires="wps">
            <w:drawing>
              <wp:anchor distT="4294967295" distB="4294967295" distL="114299" distR="114299" simplePos="0" relativeHeight="251662336" behindDoc="0" locked="0" layoutInCell="0" allowOverlap="1">
                <wp:simplePos x="0" y="0"/>
                <wp:positionH relativeFrom="margin">
                  <wp:posOffset>-1</wp:posOffset>
                </wp:positionH>
                <wp:positionV relativeFrom="paragraph">
                  <wp:posOffset>-1</wp:posOffset>
                </wp:positionV>
                <wp:extent cx="0" cy="0"/>
                <wp:effectExtent l="0" t="0" r="0" b="0"/>
                <wp:wrapNone/>
                <wp:docPr id="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62336;visibility:visible;mso-wrap-style:square;mso-width-percent:0;mso-height-percent:0;mso-wrap-distance-left:3.17497mm;mso-wrap-distance-top:-3e-5mm;mso-wrap-distance-right:3.17497mm;mso-wrap-distance-bottom:-3e-5mm;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" o:allowincell="f" strokecolor="#020000" strokeweight=".96pt">
                <w10:wrap anchorx="margin"/>
              </v:line>
            </w:pict>
          </mc:Fallback>
        </mc:AlternateContent>
      </w:r>
    </w:p>
    <w:p w:rsidR="00756545" w:rsidRPr="00DE5FFE" w:rsidRDefault="00756545" w:rsidP="00756545">
      <w:pPr>
        <w:rPr>
          <w:color w:val="000000"/>
        </w:rPr>
      </w:pPr>
      <w:r w:rsidRPr="00DE5FFE">
        <w:rPr>
          <w:b/>
          <w:color w:val="000000"/>
        </w:rPr>
        <w:t>Summary</w:t>
      </w:r>
    </w:p>
    <w:p w:rsidR="00756545" w:rsidRPr="00DE5FFE" w:rsidRDefault="00756545" w:rsidP="00756545">
      <w:pPr>
        <w:rPr>
          <w:color w:val="000000"/>
        </w:rPr>
      </w:pPr>
    </w:p>
    <w:p w:rsidR="00B542EF" w:rsidRPr="00B542EF" w:rsidRDefault="00756545" w:rsidP="00756545">
      <w:pPr>
        <w:rPr>
          <w:color w:val="000000"/>
        </w:rPr>
      </w:pPr>
      <w:r>
        <w:tab/>
      </w:r>
      <w:r w:rsidR="00976DFB" w:rsidRPr="008C0E7B">
        <w:t>The Board of Governors of the Federal Reserve System (the Board), under delegated authority from the Office of Management and Budget (OMB),</w:t>
      </w:r>
      <w:r w:rsidR="008C37AC">
        <w:t xml:space="preserve"> </w:t>
      </w:r>
      <w:r w:rsidRPr="00DE5FFE">
        <w:t>propose</w:t>
      </w:r>
      <w:r w:rsidR="00976DFB">
        <w:t>s</w:t>
      </w:r>
      <w:r w:rsidRPr="00DE5FFE">
        <w:t xml:space="preserve"> </w:t>
      </w:r>
      <w:r w:rsidR="00B542EF" w:rsidRPr="00B542EF">
        <w:t>to extend for three years, without revision</w:t>
      </w:r>
      <w:r w:rsidR="00B542EF" w:rsidRPr="00B542EF">
        <w:rPr>
          <w:bCs/>
        </w:rPr>
        <w:t xml:space="preserve">, </w:t>
      </w:r>
      <w:r w:rsidR="00A65485">
        <w:t xml:space="preserve">Regulation G’s </w:t>
      </w:r>
      <w:r w:rsidR="004924AB">
        <w:t>mandatory disclosure and reporting r</w:t>
      </w:r>
      <w:r w:rsidR="00B542EF" w:rsidRPr="00B542EF">
        <w:t xml:space="preserve">equirements </w:t>
      </w:r>
      <w:r w:rsidR="00F154C1">
        <w:t>for</w:t>
      </w:r>
      <w:r w:rsidR="00F154C1" w:rsidRPr="00B542EF">
        <w:t xml:space="preserve"> </w:t>
      </w:r>
      <w:r w:rsidR="00B542EF" w:rsidRPr="00B542EF">
        <w:t xml:space="preserve">CRA-Related Agreements.  The </w:t>
      </w:r>
      <w:r w:rsidR="00EA38DF">
        <w:t>Federal Reserve</w:t>
      </w:r>
      <w:r w:rsidR="00356FD4">
        <w:t xml:space="preserve"> </w:t>
      </w:r>
      <w:r w:rsidR="002D4BCB">
        <w:t xml:space="preserve">is required to renew these requirements every three years pursuant to the </w:t>
      </w:r>
      <w:r w:rsidR="00B542EF" w:rsidRPr="00B542EF">
        <w:t>Paperwork Reduction Act (PRA)</w:t>
      </w:r>
      <w:r w:rsidR="002D4BCB">
        <w:t>, which</w:t>
      </w:r>
      <w:r w:rsidR="00B542EF" w:rsidRPr="00B542EF">
        <w:t xml:space="preserve"> classifies reporting, recordkeeping, or disclosure requirements of </w:t>
      </w:r>
      <w:r w:rsidR="002D4BCB">
        <w:t>certain</w:t>
      </w:r>
      <w:r w:rsidR="00B542EF" w:rsidRPr="00B542EF">
        <w:t xml:space="preserve"> regulation</w:t>
      </w:r>
      <w:r w:rsidR="002D4BCB">
        <w:t>s, including Regulation G,</w:t>
      </w:r>
      <w:r w:rsidR="00B542EF" w:rsidRPr="00B542EF">
        <w:t xml:space="preserve"> as an “information collection.”</w:t>
      </w:r>
      <w:r w:rsidR="00B542EF" w:rsidRPr="00B542EF">
        <w:rPr>
          <w:rStyle w:val="FootnoteReference"/>
          <w:color w:val="000000"/>
        </w:rPr>
        <w:footnoteReference w:id="1"/>
      </w:r>
      <w:r w:rsidR="00B542EF" w:rsidRPr="00B542EF">
        <w:t xml:space="preserve">  </w:t>
      </w:r>
    </w:p>
    <w:p w:rsidR="00875E99" w:rsidRPr="00B542EF" w:rsidRDefault="00875E99">
      <w:pPr>
        <w:rPr>
          <w:color w:val="000000"/>
        </w:rPr>
      </w:pPr>
    </w:p>
    <w:p w:rsidR="00930FA7" w:rsidRPr="00B542EF" w:rsidRDefault="00930FA7" w:rsidP="00930FA7">
      <w:pPr>
        <w:shd w:val="clear" w:color="auto" w:fill="FFFFFF"/>
        <w:rPr>
          <w:color w:val="000000"/>
        </w:rPr>
      </w:pPr>
      <w:r w:rsidRPr="00B542EF">
        <w:rPr>
          <w:color w:val="000000"/>
        </w:rPr>
        <w:tab/>
        <w:t>Regulation G implements provisions of the Gramm-Leach-Bliley Act that require reporting and public disclosure of written agreements between (1) insured depository institutions</w:t>
      </w:r>
      <w:r w:rsidR="000F41E5" w:rsidRPr="00B542EF">
        <w:rPr>
          <w:color w:val="000000"/>
        </w:rPr>
        <w:t xml:space="preserve"> </w:t>
      </w:r>
      <w:r w:rsidR="000F41E5" w:rsidRPr="00B542EF">
        <w:t xml:space="preserve">(IDIs) </w:t>
      </w:r>
      <w:r w:rsidRPr="00B542EF">
        <w:rPr>
          <w:color w:val="000000"/>
        </w:rPr>
        <w:t>or their affiliates</w:t>
      </w:r>
      <w:r w:rsidR="000F41E5" w:rsidRPr="00B542EF">
        <w:rPr>
          <w:color w:val="000000"/>
        </w:rPr>
        <w:t xml:space="preserve"> </w:t>
      </w:r>
      <w:r w:rsidRPr="00B542EF">
        <w:rPr>
          <w:color w:val="000000"/>
        </w:rPr>
        <w:t>and (2) nongovernmental entities or persons</w:t>
      </w:r>
      <w:r w:rsidR="000F41E5" w:rsidRPr="00B542EF">
        <w:rPr>
          <w:color w:val="000000"/>
        </w:rPr>
        <w:t xml:space="preserve"> </w:t>
      </w:r>
      <w:r w:rsidR="000F41E5" w:rsidRPr="00B542EF">
        <w:t>(NGEPs)</w:t>
      </w:r>
      <w:r w:rsidRPr="00B542EF">
        <w:rPr>
          <w:color w:val="000000"/>
        </w:rPr>
        <w:t xml:space="preserve">, </w:t>
      </w:r>
      <w:r w:rsidR="00B05A5B">
        <w:rPr>
          <w:color w:val="000000"/>
        </w:rPr>
        <w:t xml:space="preserve">that are </w:t>
      </w:r>
      <w:r w:rsidRPr="00B542EF">
        <w:rPr>
          <w:color w:val="000000"/>
        </w:rPr>
        <w:t>made in connection with</w:t>
      </w:r>
      <w:r w:rsidR="00F5204E">
        <w:rPr>
          <w:color w:val="000000"/>
        </w:rPr>
        <w:t xml:space="preserve"> the</w:t>
      </w:r>
      <w:r w:rsidRPr="00B542EF">
        <w:rPr>
          <w:color w:val="000000"/>
        </w:rPr>
        <w:t xml:space="preserve"> fulfillment of Community Reinvestment Act</w:t>
      </w:r>
      <w:r w:rsidR="0096135F">
        <w:rPr>
          <w:color w:val="000000"/>
        </w:rPr>
        <w:t xml:space="preserve"> of 1977</w:t>
      </w:r>
      <w:r w:rsidR="00F5204E">
        <w:rPr>
          <w:color w:val="000000"/>
        </w:rPr>
        <w:t xml:space="preserve"> </w:t>
      </w:r>
      <w:r w:rsidR="00BA3050">
        <w:rPr>
          <w:color w:val="000000"/>
        </w:rPr>
        <w:t>(</w:t>
      </w:r>
      <w:r w:rsidR="00F5204E">
        <w:rPr>
          <w:color w:val="000000"/>
        </w:rPr>
        <w:t>CRA</w:t>
      </w:r>
      <w:r w:rsidR="00BA3050">
        <w:rPr>
          <w:color w:val="000000"/>
        </w:rPr>
        <w:t>)</w:t>
      </w:r>
      <w:r w:rsidRPr="00B542EF">
        <w:rPr>
          <w:color w:val="000000"/>
        </w:rPr>
        <w:t xml:space="preserve"> requirements</w:t>
      </w:r>
      <w:r w:rsidR="00A65485">
        <w:rPr>
          <w:color w:val="000000"/>
        </w:rPr>
        <w:t>.</w:t>
      </w:r>
      <w:r w:rsidR="00A65485">
        <w:rPr>
          <w:rStyle w:val="FootnoteReference"/>
          <w:color w:val="000000"/>
        </w:rPr>
        <w:footnoteReference w:id="2"/>
      </w:r>
      <w:r w:rsidR="00A65485" w:rsidRPr="00B542EF">
        <w:rPr>
          <w:color w:val="000000"/>
        </w:rPr>
        <w:t xml:space="preserve"> </w:t>
      </w:r>
      <w:r w:rsidR="004D4840">
        <w:rPr>
          <w:color w:val="000000"/>
        </w:rPr>
        <w:t xml:space="preserve"> </w:t>
      </w:r>
    </w:p>
    <w:p w:rsidR="00930FA7" w:rsidRPr="00B542EF" w:rsidRDefault="00930FA7">
      <w:pPr>
        <w:rPr>
          <w:color w:val="000000"/>
        </w:rPr>
      </w:pPr>
    </w:p>
    <w:p w:rsidR="00875E99" w:rsidRPr="00B542EF" w:rsidRDefault="00382851" w:rsidP="00382851">
      <w:pPr>
        <w:ind w:firstLine="720"/>
      </w:pPr>
      <w:r w:rsidRPr="00B542EF">
        <w:t xml:space="preserve">The </w:t>
      </w:r>
      <w:r w:rsidR="00BC6470">
        <w:rPr>
          <w:color w:val="000000"/>
        </w:rPr>
        <w:t>Federal Reserve</w:t>
      </w:r>
      <w:r w:rsidRPr="00B542EF">
        <w:rPr>
          <w:color w:val="000000"/>
        </w:rPr>
        <w:t xml:space="preserve"> </w:t>
      </w:r>
      <w:r w:rsidRPr="00B542EF">
        <w:t xml:space="preserve">accounts for the paperwork burden associated with Regulation G only for </w:t>
      </w:r>
      <w:r w:rsidR="00BC6470">
        <w:rPr>
          <w:color w:val="000000"/>
        </w:rPr>
        <w:t>Federal Reserve</w:t>
      </w:r>
      <w:r w:rsidRPr="00B542EF">
        <w:t xml:space="preserve">-supervised institutions.  Other federal </w:t>
      </w:r>
      <w:r w:rsidR="00F8189A" w:rsidRPr="00B542EF">
        <w:t xml:space="preserve">banking </w:t>
      </w:r>
      <w:r w:rsidRPr="00B542EF">
        <w:t>agencies</w:t>
      </w:r>
      <w:r w:rsidRPr="00B542EF">
        <w:rPr>
          <w:rStyle w:val="FootnoteReference"/>
        </w:rPr>
        <w:footnoteReference w:id="3"/>
      </w:r>
      <w:r w:rsidRPr="00B542EF">
        <w:t xml:space="preserve"> account for the paperwork burden </w:t>
      </w:r>
      <w:r w:rsidR="00F8189A" w:rsidRPr="00B542EF">
        <w:t xml:space="preserve">imposed </w:t>
      </w:r>
      <w:r w:rsidRPr="00B542EF">
        <w:t xml:space="preserve">on entities for which they have administrative enforcement authority.  </w:t>
      </w:r>
      <w:r w:rsidR="00875E99" w:rsidRPr="00B542EF">
        <w:t xml:space="preserve">The estimated annual burden for this information collection is </w:t>
      </w:r>
      <w:r w:rsidR="004B58DF" w:rsidRPr="00B542EF">
        <w:t xml:space="preserve">78 </w:t>
      </w:r>
      <w:r w:rsidR="00A3722A" w:rsidRPr="00B542EF">
        <w:t>hours.  T</w:t>
      </w:r>
      <w:r w:rsidR="00875E99" w:rsidRPr="00B542EF">
        <w:t>he burden estimate</w:t>
      </w:r>
      <w:r w:rsidR="00A3722A" w:rsidRPr="00B542EF">
        <w:t xml:space="preserve"> is </w:t>
      </w:r>
      <w:r w:rsidR="006F661F" w:rsidRPr="00B542EF">
        <w:t xml:space="preserve">an average </w:t>
      </w:r>
      <w:r w:rsidR="00A3722A" w:rsidRPr="00B542EF">
        <w:t>based</w:t>
      </w:r>
      <w:r w:rsidR="00875E99" w:rsidRPr="00B542EF">
        <w:t xml:space="preserve"> on </w:t>
      </w:r>
      <w:r w:rsidR="00754AA6">
        <w:t xml:space="preserve">(1) </w:t>
      </w:r>
      <w:r w:rsidR="00875E99" w:rsidRPr="00B542EF">
        <w:t xml:space="preserve">the number of </w:t>
      </w:r>
      <w:r w:rsidR="00F8189A" w:rsidRPr="00B542EF">
        <w:t>IDIs</w:t>
      </w:r>
      <w:r w:rsidR="00875E99" w:rsidRPr="00B542EF">
        <w:t xml:space="preserve"> and affiliates</w:t>
      </w:r>
      <w:r w:rsidR="007A1180" w:rsidRPr="00B542EF">
        <w:t xml:space="preserve"> of </w:t>
      </w:r>
      <w:r w:rsidR="00F8189A" w:rsidRPr="00B542EF">
        <w:t>IDIs</w:t>
      </w:r>
      <w:r w:rsidR="00875E99" w:rsidRPr="00B542EF">
        <w:t xml:space="preserve"> that reported covered agreements to the </w:t>
      </w:r>
      <w:r w:rsidR="00BC6470">
        <w:t>Federal Reserve</w:t>
      </w:r>
      <w:r w:rsidR="00356FD4">
        <w:t xml:space="preserve"> </w:t>
      </w:r>
      <w:r w:rsidR="004B58DF" w:rsidRPr="00B542EF">
        <w:t xml:space="preserve">from </w:t>
      </w:r>
      <w:r w:rsidR="00930FA7" w:rsidRPr="00B542EF">
        <w:t>20</w:t>
      </w:r>
      <w:r w:rsidR="00CA7383">
        <w:t>10</w:t>
      </w:r>
      <w:r w:rsidR="00930FA7" w:rsidRPr="00B542EF">
        <w:t xml:space="preserve"> </w:t>
      </w:r>
      <w:r w:rsidR="004B58DF" w:rsidRPr="00B542EF">
        <w:t xml:space="preserve">to </w:t>
      </w:r>
      <w:r w:rsidR="00930FA7" w:rsidRPr="00B542EF">
        <w:t>20</w:t>
      </w:r>
      <w:r w:rsidR="00CA7383">
        <w:t>12</w:t>
      </w:r>
      <w:r w:rsidR="00952CAA">
        <w:t>,</w:t>
      </w:r>
      <w:r w:rsidR="00952CAA" w:rsidRPr="00952CAA">
        <w:t xml:space="preserve"> </w:t>
      </w:r>
      <w:r w:rsidR="00754AA6">
        <w:t xml:space="preserve">and (2) </w:t>
      </w:r>
      <w:r w:rsidR="00952CAA">
        <w:t xml:space="preserve">the additional </w:t>
      </w:r>
      <w:r w:rsidR="00754AA6">
        <w:t>savings and loan holding companies (</w:t>
      </w:r>
      <w:r w:rsidR="00952CAA">
        <w:t>SLHCs</w:t>
      </w:r>
      <w:r w:rsidR="00754AA6">
        <w:t>),</w:t>
      </w:r>
      <w:r w:rsidR="00952CAA">
        <w:t xml:space="preserve"> which</w:t>
      </w:r>
      <w:r w:rsidR="00042852">
        <w:t xml:space="preserve"> formerly reported to the </w:t>
      </w:r>
      <w:r w:rsidR="00754AA6">
        <w:t>Office of Thrift Supervision (</w:t>
      </w:r>
      <w:r w:rsidR="00042852">
        <w:t>OTS</w:t>
      </w:r>
      <w:r w:rsidR="00754AA6">
        <w:t>)</w:t>
      </w:r>
      <w:r w:rsidR="00042852">
        <w:t xml:space="preserve"> </w:t>
      </w:r>
      <w:r w:rsidR="00754AA6">
        <w:t xml:space="preserve">but </w:t>
      </w:r>
      <w:r w:rsidR="00952CAA">
        <w:t xml:space="preserve">are now required to report to the </w:t>
      </w:r>
      <w:r w:rsidR="00BC6470">
        <w:t>Federal Reserve</w:t>
      </w:r>
      <w:r w:rsidR="00952CAA">
        <w:t>.</w:t>
      </w:r>
      <w:r w:rsidR="00D07CE9" w:rsidRPr="00D07CE9">
        <w:rPr>
          <w:rStyle w:val="FootnoteReference"/>
        </w:rPr>
        <w:t xml:space="preserve"> </w:t>
      </w:r>
      <w:r w:rsidR="00D07CE9" w:rsidRPr="00B542EF">
        <w:rPr>
          <w:rStyle w:val="FootnoteReference"/>
        </w:rPr>
        <w:footnoteReference w:id="4"/>
      </w:r>
      <w:r w:rsidR="00A3722A" w:rsidRPr="00B542EF">
        <w:t xml:space="preserve">  </w:t>
      </w:r>
      <w:r w:rsidR="00875E99" w:rsidRPr="00B542EF">
        <w:t>There are no required reporting forms associated with Regulation G.</w:t>
      </w:r>
      <w:r w:rsidR="00F40C70">
        <w:t xml:space="preserve">  </w:t>
      </w:r>
    </w:p>
    <w:p w:rsidR="00875E99" w:rsidRPr="00B542EF" w:rsidRDefault="00875E99"/>
    <w:p w:rsidR="00875E99" w:rsidRPr="00B542EF" w:rsidRDefault="00875E99">
      <w:r w:rsidRPr="00B542EF">
        <w:rPr>
          <w:b/>
        </w:rPr>
        <w:t>Background and Justification</w:t>
      </w:r>
    </w:p>
    <w:p w:rsidR="00875E99" w:rsidRPr="00B542EF" w:rsidRDefault="00875E99"/>
    <w:p w:rsidR="00875E99" w:rsidRPr="00B542EF" w:rsidRDefault="00875E99">
      <w:pPr>
        <w:pStyle w:val="BodyTextIndent3"/>
      </w:pPr>
      <w:r w:rsidRPr="00B542EF">
        <w:t xml:space="preserve">Section 48 </w:t>
      </w:r>
      <w:r w:rsidR="007A1180" w:rsidRPr="00B542EF">
        <w:t xml:space="preserve">of </w:t>
      </w:r>
      <w:r w:rsidRPr="00B542EF">
        <w:t>the Federal Deposit Insurance Act (FDI Act)</w:t>
      </w:r>
      <w:r w:rsidR="007A1180" w:rsidRPr="00B542EF">
        <w:t>,</w:t>
      </w:r>
      <w:r w:rsidRPr="00B542EF">
        <w:t xml:space="preserve"> entitled “CRA Sunshine Requirements,” imposes disclosure and reporting requirements on </w:t>
      </w:r>
      <w:r w:rsidR="000F41E5" w:rsidRPr="00B542EF">
        <w:t>IDIs</w:t>
      </w:r>
      <w:r w:rsidR="00301F75">
        <w:t xml:space="preserve"> </w:t>
      </w:r>
      <w:r w:rsidR="00754AA6">
        <w:t xml:space="preserve">or </w:t>
      </w:r>
      <w:r w:rsidR="00301F75">
        <w:t>their</w:t>
      </w:r>
      <w:r w:rsidR="000F41E5" w:rsidRPr="00B542EF">
        <w:t xml:space="preserve"> </w:t>
      </w:r>
      <w:r w:rsidR="00122E1A" w:rsidRPr="00B542EF">
        <w:t>affiliates</w:t>
      </w:r>
      <w:r w:rsidR="007A1180" w:rsidRPr="00B542EF">
        <w:t>,</w:t>
      </w:r>
      <w:r w:rsidRPr="00B542EF">
        <w:t xml:space="preserve"> and </w:t>
      </w:r>
      <w:r w:rsidRPr="00B542EF">
        <w:lastRenderedPageBreak/>
        <w:t>NGEPs that enter into written agreements that meet certain criteria</w:t>
      </w:r>
      <w:r w:rsidR="00A65485">
        <w:t xml:space="preserve"> </w:t>
      </w:r>
      <w:r w:rsidR="00A65485">
        <w:rPr>
          <w:color w:val="000000"/>
        </w:rPr>
        <w:t>(covered agreements)</w:t>
      </w:r>
      <w:r w:rsidR="00A65485" w:rsidRPr="00B542EF">
        <w:rPr>
          <w:color w:val="000000"/>
        </w:rPr>
        <w:t>.</w:t>
      </w:r>
      <w:r w:rsidR="00A65485">
        <w:rPr>
          <w:rStyle w:val="FootnoteReference"/>
          <w:color w:val="000000"/>
        </w:rPr>
        <w:footnoteReference w:id="5"/>
      </w:r>
      <w:r w:rsidRPr="00B542EF">
        <w:t xml:space="preserve">  The written agreements must (1) be made in fulfillment of the </w:t>
      </w:r>
      <w:r w:rsidR="00CA7383">
        <w:t xml:space="preserve">CRA </w:t>
      </w:r>
      <w:r w:rsidRPr="00B542EF">
        <w:t xml:space="preserve">and (2) involve funds or other resources of an IDI or affiliate with an aggregate value of more than $10,000 in a year, or loans with an aggregate principal value of more than $50,000 in a year.  Section 48 excludes from the disclosure and reporting requirements any agreement between an IDI or its affiliate and an NGEP if the NGEP has not contacted the IDI or its affiliate, or a banking agency, concerning the CRA performance of the IDI. </w:t>
      </w:r>
    </w:p>
    <w:p w:rsidR="00875E99" w:rsidRPr="00B542EF" w:rsidRDefault="00875E99">
      <w:pPr>
        <w:pStyle w:val="BodyTextIndent3"/>
      </w:pPr>
    </w:p>
    <w:p w:rsidR="00875E99" w:rsidRPr="00B542EF" w:rsidRDefault="00875E99" w:rsidP="00BC53BC">
      <w:pPr>
        <w:pStyle w:val="BodyTextIndent3"/>
        <w:rPr>
          <w:strike/>
        </w:rPr>
      </w:pPr>
      <w:r w:rsidRPr="00B542EF">
        <w:t xml:space="preserve">The Gramm-Leach-Bliley Act directed the </w:t>
      </w:r>
      <w:r w:rsidR="00BC6470">
        <w:t>Federal Reserve</w:t>
      </w:r>
      <w:r w:rsidRPr="00B542EF">
        <w:t xml:space="preserve">, as well as the </w:t>
      </w:r>
      <w:r w:rsidR="00F8189A" w:rsidRPr="00B542EF">
        <w:t>other federal banking agencies</w:t>
      </w:r>
      <w:r w:rsidRPr="00B542EF">
        <w:t xml:space="preserve">, to issue consistent and comparable regulations to implement the requirements of Section 48 of the FDI Act.  In 2001, the agencies promulgated substantially identical regulations, which interpret the scope of written agreements that are subject to the statute and implement the disclosure and reporting requirements of Section 48.  </w:t>
      </w:r>
    </w:p>
    <w:p w:rsidR="00875E99" w:rsidRPr="00B542EF" w:rsidRDefault="00875E99">
      <w:pPr>
        <w:pStyle w:val="BodyTextIndent3"/>
      </w:pPr>
      <w:r w:rsidRPr="00B542EF">
        <w:t xml:space="preserve"> </w:t>
      </w:r>
    </w:p>
    <w:p w:rsidR="00875E99" w:rsidRPr="00B542EF" w:rsidRDefault="00875E99">
      <w:pPr>
        <w:rPr>
          <w:color w:val="000000"/>
        </w:rPr>
      </w:pPr>
      <w:r w:rsidRPr="00B542EF">
        <w:rPr>
          <w:b/>
          <w:color w:val="000000"/>
        </w:rPr>
        <w:t>Description of Information Collection</w:t>
      </w:r>
    </w:p>
    <w:p w:rsidR="00875E99" w:rsidRPr="00B542EF" w:rsidRDefault="00875E99">
      <w:pPr>
        <w:jc w:val="both"/>
      </w:pPr>
    </w:p>
    <w:p w:rsidR="00875E99" w:rsidRPr="00B542EF" w:rsidRDefault="00875E99">
      <w:r w:rsidRPr="00B542EF">
        <w:tab/>
        <w:t xml:space="preserve">Regulation G contains </w:t>
      </w:r>
      <w:r w:rsidR="00F97553">
        <w:t xml:space="preserve">the </w:t>
      </w:r>
      <w:r w:rsidR="00DB456D">
        <w:t>following</w:t>
      </w:r>
      <w:r w:rsidR="00DB456D" w:rsidRPr="00B542EF">
        <w:t xml:space="preserve"> disclosure</w:t>
      </w:r>
      <w:r w:rsidRPr="00B542EF">
        <w:t xml:space="preserve"> and reporting requirements for IDIs and affiliates</w:t>
      </w:r>
      <w:r w:rsidR="002356C4" w:rsidRPr="00B542EF">
        <w:t xml:space="preserve"> </w:t>
      </w:r>
      <w:r w:rsidRPr="00B542EF">
        <w:t xml:space="preserve">and NGEPs.  </w:t>
      </w:r>
    </w:p>
    <w:p w:rsidR="008061E4" w:rsidRPr="00B542EF" w:rsidRDefault="008061E4">
      <w:pPr>
        <w:jc w:val="both"/>
      </w:pPr>
    </w:p>
    <w:p w:rsidR="00875E99" w:rsidRPr="00B542EF" w:rsidRDefault="00875E99">
      <w:pPr>
        <w:jc w:val="center"/>
        <w:rPr>
          <w:i/>
          <w:iCs/>
        </w:rPr>
      </w:pPr>
      <w:r w:rsidRPr="00B542EF">
        <w:rPr>
          <w:i/>
          <w:iCs/>
        </w:rPr>
        <w:t>Requirements for Insured Depository Institutions</w:t>
      </w:r>
      <w:r w:rsidR="00122E1A" w:rsidRPr="00B542EF">
        <w:rPr>
          <w:i/>
          <w:iCs/>
        </w:rPr>
        <w:t>,</w:t>
      </w:r>
      <w:r w:rsidRPr="00B542EF">
        <w:rPr>
          <w:i/>
          <w:iCs/>
        </w:rPr>
        <w:t xml:space="preserve"> Affiliates</w:t>
      </w:r>
      <w:r w:rsidR="00122E1A" w:rsidRPr="00B542EF">
        <w:rPr>
          <w:i/>
          <w:iCs/>
        </w:rPr>
        <w:t>,</w:t>
      </w:r>
    </w:p>
    <w:p w:rsidR="008061E4" w:rsidRPr="008061E4" w:rsidRDefault="00875E99" w:rsidP="008061E4">
      <w:pPr>
        <w:jc w:val="center"/>
        <w:rPr>
          <w:i/>
          <w:iCs/>
        </w:rPr>
      </w:pPr>
      <w:proofErr w:type="gramStart"/>
      <w:r w:rsidRPr="00B542EF">
        <w:rPr>
          <w:i/>
          <w:iCs/>
        </w:rPr>
        <w:t>and</w:t>
      </w:r>
      <w:proofErr w:type="gramEnd"/>
      <w:r w:rsidRPr="00B542EF">
        <w:rPr>
          <w:i/>
          <w:iCs/>
        </w:rPr>
        <w:t xml:space="preserve"> Nongovernmental Entities or Persons</w:t>
      </w:r>
    </w:p>
    <w:p w:rsidR="00875E99" w:rsidRPr="00B542EF" w:rsidRDefault="00875E99">
      <w:pPr>
        <w:jc w:val="both"/>
      </w:pPr>
    </w:p>
    <w:p w:rsidR="00875E99" w:rsidRPr="00B542EF" w:rsidRDefault="00875E99">
      <w:r w:rsidRPr="00B542EF">
        <w:tab/>
      </w:r>
      <w:r w:rsidRPr="00B542EF">
        <w:rPr>
          <w:b/>
          <w:bCs/>
        </w:rPr>
        <w:t>Disclosure of covered agreements to the public – Disclosure requirements (</w:t>
      </w:r>
      <w:r w:rsidR="00F5169D">
        <w:rPr>
          <w:b/>
          <w:bCs/>
        </w:rPr>
        <w:t xml:space="preserve">12 CFR </w:t>
      </w:r>
      <w:r w:rsidRPr="00B542EF">
        <w:rPr>
          <w:b/>
          <w:bCs/>
        </w:rPr>
        <w:t>207.6(b</w:t>
      </w:r>
      <w:proofErr w:type="gramStart"/>
      <w:r w:rsidRPr="00B542EF">
        <w:rPr>
          <w:b/>
          <w:bCs/>
        </w:rPr>
        <w:t>)(</w:t>
      </w:r>
      <w:proofErr w:type="gramEnd"/>
      <w:r w:rsidRPr="00B542EF">
        <w:rPr>
          <w:b/>
          <w:bCs/>
        </w:rPr>
        <w:t>1)).</w:t>
      </w:r>
      <w:r w:rsidRPr="00B542EF">
        <w:t xml:space="preserve">  Each NGEP and each IDI or affiliate that enters into a covered agreement must promptly make a copy of the covered agreement available to any individual or entity upon request.</w:t>
      </w:r>
    </w:p>
    <w:p w:rsidR="00875E99" w:rsidRPr="00B542EF" w:rsidRDefault="00875E99">
      <w:pPr>
        <w:rPr>
          <w:b/>
          <w:bCs/>
        </w:rPr>
      </w:pPr>
    </w:p>
    <w:p w:rsidR="00ED124E" w:rsidRDefault="00875E99">
      <w:pPr>
        <w:ind w:firstLine="720"/>
      </w:pPr>
      <w:r w:rsidRPr="00B542EF">
        <w:rPr>
          <w:b/>
          <w:bCs/>
        </w:rPr>
        <w:t>Annual report required (</w:t>
      </w:r>
      <w:r w:rsidR="00F5169D">
        <w:rPr>
          <w:b/>
          <w:bCs/>
        </w:rPr>
        <w:t xml:space="preserve">12 CFR </w:t>
      </w:r>
      <w:r w:rsidRPr="00B542EF">
        <w:rPr>
          <w:b/>
          <w:bCs/>
        </w:rPr>
        <w:t>207.7(b)).</w:t>
      </w:r>
      <w:r w:rsidRPr="00B542EF">
        <w:t xml:space="preserve">  Each NGEP and each IDI or affiliate that is a party to a covered agreement must file an annual report with each relevant supervisory agency concerning the disbursement, receipt, and use of funds or other resources under the covered agreement.  An NGEP must file an annual report for any fiscal year in which the NGEP receives or uses funds or other resources under the agreement.  An IDI or affiliate must file an annual report for any fiscal year in which it provides or receives any payments, fees, or loans under the covered agreement or has data to report on loans, investments, and services provided by a party to the covered agreement under the covered agreement.  This requirement applies only to covered agreements entered into on or after May 12, 2000.</w:t>
      </w:r>
    </w:p>
    <w:p w:rsidR="00ED124E" w:rsidRDefault="00875E99">
      <w:pPr>
        <w:ind w:firstLine="720"/>
        <w:rPr>
          <w:i/>
          <w:iCs/>
        </w:rPr>
      </w:pPr>
      <w:r w:rsidRPr="00B542EF">
        <w:rPr>
          <w:i/>
          <w:iCs/>
        </w:rPr>
        <w:t xml:space="preserve"> </w:t>
      </w:r>
    </w:p>
    <w:p w:rsidR="007644A8" w:rsidRPr="007644A8" w:rsidRDefault="00ED124E" w:rsidP="007644A8">
      <w:pPr>
        <w:ind w:firstLine="720"/>
        <w:rPr>
          <w:iCs/>
        </w:rPr>
      </w:pPr>
      <w:r w:rsidRPr="00B542EF">
        <w:rPr>
          <w:b/>
          <w:bCs/>
        </w:rPr>
        <w:t>Alternative method of fulfilling annual reporting requirement for a NGEP (</w:t>
      </w:r>
      <w:r>
        <w:rPr>
          <w:b/>
          <w:bCs/>
        </w:rPr>
        <w:t xml:space="preserve">12 CFR </w:t>
      </w:r>
      <w:r w:rsidRPr="00B542EF">
        <w:rPr>
          <w:b/>
          <w:bCs/>
        </w:rPr>
        <w:t>207.7(f</w:t>
      </w:r>
      <w:proofErr w:type="gramStart"/>
      <w:r w:rsidRPr="00B542EF">
        <w:rPr>
          <w:b/>
          <w:bCs/>
        </w:rPr>
        <w:t>)(</w:t>
      </w:r>
      <w:proofErr w:type="gramEnd"/>
      <w:r w:rsidRPr="00B542EF">
        <w:rPr>
          <w:b/>
          <w:bCs/>
        </w:rPr>
        <w:t>2)(ii)).</w:t>
      </w:r>
      <w:r w:rsidRPr="00B542EF">
        <w:t xml:space="preserve">  An IDI or affiliate that receives an annual report from an NGEP pursuant to </w:t>
      </w:r>
      <w:r>
        <w:t xml:space="preserve">Section </w:t>
      </w:r>
      <w:r w:rsidRPr="00B542EF">
        <w:t>207.7(f</w:t>
      </w:r>
      <w:proofErr w:type="gramStart"/>
      <w:r w:rsidRPr="00B542EF">
        <w:t>)(</w:t>
      </w:r>
      <w:proofErr w:type="gramEnd"/>
      <w:r w:rsidRPr="00B542EF">
        <w:t>2)(i) must file the report with the relevant supervisory agency or agencies on behalf of the NGEP within 30 days.</w:t>
      </w:r>
    </w:p>
    <w:p w:rsidR="00EA38DF" w:rsidRDefault="00EA38DF" w:rsidP="00EA38DF"/>
    <w:p w:rsidR="003605B7" w:rsidRDefault="003605B7" w:rsidP="00EA38DF"/>
    <w:p w:rsidR="003605B7" w:rsidRDefault="003605B7" w:rsidP="00EA38DF"/>
    <w:p w:rsidR="003605B7" w:rsidRPr="00EA38DF" w:rsidRDefault="003605B7" w:rsidP="00EA38DF"/>
    <w:p w:rsidR="00875E99" w:rsidRPr="00B542EF" w:rsidRDefault="00875E99">
      <w:pPr>
        <w:pStyle w:val="Heading5"/>
        <w:rPr>
          <w:rFonts w:ascii="Times New Roman" w:hAnsi="Times New Roman"/>
        </w:rPr>
      </w:pPr>
      <w:r w:rsidRPr="00B542EF">
        <w:rPr>
          <w:rFonts w:ascii="Times New Roman" w:hAnsi="Times New Roman"/>
        </w:rPr>
        <w:lastRenderedPageBreak/>
        <w:t xml:space="preserve">Requirements for Insured Depository Institutions </w:t>
      </w:r>
      <w:r w:rsidR="00122E1A" w:rsidRPr="00B542EF">
        <w:rPr>
          <w:rFonts w:ascii="Times New Roman" w:hAnsi="Times New Roman"/>
        </w:rPr>
        <w:t>and</w:t>
      </w:r>
      <w:r w:rsidRPr="00B542EF">
        <w:rPr>
          <w:rFonts w:ascii="Times New Roman" w:hAnsi="Times New Roman"/>
        </w:rPr>
        <w:t xml:space="preserve"> Affiliates Only</w:t>
      </w:r>
    </w:p>
    <w:p w:rsidR="00875E99" w:rsidRPr="00B542EF" w:rsidRDefault="00875E99">
      <w:pPr>
        <w:jc w:val="both"/>
      </w:pPr>
    </w:p>
    <w:p w:rsidR="00875E99" w:rsidRPr="00B542EF" w:rsidRDefault="00875E99">
      <w:r w:rsidRPr="00B542EF">
        <w:tab/>
      </w:r>
      <w:proofErr w:type="gramStart"/>
      <w:r w:rsidR="00E87970" w:rsidRPr="00E87970">
        <w:rPr>
          <w:b/>
        </w:rPr>
        <w:t xml:space="preserve">Disclosure </w:t>
      </w:r>
      <w:r w:rsidRPr="00B542EF">
        <w:rPr>
          <w:b/>
          <w:bCs/>
        </w:rPr>
        <w:t>Agreements relating to activities of CRA affiliates (</w:t>
      </w:r>
      <w:r w:rsidR="00F5169D">
        <w:rPr>
          <w:b/>
          <w:bCs/>
        </w:rPr>
        <w:t xml:space="preserve">12 CFR </w:t>
      </w:r>
      <w:r w:rsidRPr="00B542EF">
        <w:rPr>
          <w:b/>
          <w:bCs/>
        </w:rPr>
        <w:t>207.4(b)).</w:t>
      </w:r>
      <w:proofErr w:type="gramEnd"/>
      <w:r w:rsidRPr="00B542EF">
        <w:t xml:space="preserve">  An IDI or affiliate that is a party to a covered agreement that concerns any activity of a CRA affiliate</w:t>
      </w:r>
      <w:r w:rsidR="00404185">
        <w:rPr>
          <w:rStyle w:val="FootnoteReference"/>
        </w:rPr>
        <w:footnoteReference w:id="6"/>
      </w:r>
      <w:r w:rsidRPr="00B542EF">
        <w:t xml:space="preserve"> as described in </w:t>
      </w:r>
      <w:r w:rsidR="00C47427">
        <w:t xml:space="preserve">Section </w:t>
      </w:r>
      <w:r w:rsidRPr="00B542EF">
        <w:t xml:space="preserve">207.4(a) must, </w:t>
      </w:r>
      <w:r w:rsidR="000E5C50" w:rsidRPr="00B542EF">
        <w:t>before</w:t>
      </w:r>
      <w:r w:rsidRPr="00B542EF">
        <w:t xml:space="preserve"> the </w:t>
      </w:r>
      <w:r w:rsidR="00264359">
        <w:t xml:space="preserve">covered </w:t>
      </w:r>
      <w:r w:rsidRPr="00B542EF">
        <w:t xml:space="preserve">agreement is entered into, notify each NGEP that is a party to the agreement that the agreement concerns a CRA affiliate. </w:t>
      </w:r>
    </w:p>
    <w:p w:rsidR="00875E99" w:rsidRPr="00B542EF" w:rsidRDefault="00875E99">
      <w:pPr>
        <w:pStyle w:val="Footer"/>
        <w:tabs>
          <w:tab w:val="clear" w:pos="4320"/>
          <w:tab w:val="clear" w:pos="8640"/>
        </w:tabs>
      </w:pPr>
    </w:p>
    <w:p w:rsidR="00875E99" w:rsidRPr="00B542EF" w:rsidRDefault="00875E99">
      <w:r w:rsidRPr="00B542EF">
        <w:tab/>
      </w:r>
      <w:r w:rsidRPr="00BB6B80">
        <w:rPr>
          <w:b/>
          <w:bCs/>
        </w:rPr>
        <w:t>Disclosure</w:t>
      </w:r>
      <w:r w:rsidRPr="00B542EF">
        <w:rPr>
          <w:b/>
          <w:bCs/>
        </w:rPr>
        <w:t xml:space="preserve"> of covered agreements </w:t>
      </w:r>
      <w:r w:rsidR="00DD401E" w:rsidRPr="00B542EF">
        <w:rPr>
          <w:b/>
          <w:bCs/>
        </w:rPr>
        <w:t>by</w:t>
      </w:r>
      <w:r w:rsidR="00264359">
        <w:rPr>
          <w:b/>
          <w:bCs/>
        </w:rPr>
        <w:t xml:space="preserve"> the</w:t>
      </w:r>
      <w:r w:rsidR="00DD401E" w:rsidRPr="00B542EF">
        <w:rPr>
          <w:b/>
          <w:bCs/>
        </w:rPr>
        <w:t xml:space="preserve"> IDI or affiliate</w:t>
      </w:r>
      <w:r w:rsidR="006A1409" w:rsidRPr="00B542EF">
        <w:rPr>
          <w:b/>
          <w:bCs/>
        </w:rPr>
        <w:t xml:space="preserve"> </w:t>
      </w:r>
      <w:r w:rsidRPr="00B542EF">
        <w:rPr>
          <w:b/>
          <w:bCs/>
        </w:rPr>
        <w:t>to the relevant supervisory agency</w:t>
      </w:r>
      <w:r w:rsidR="006445CC" w:rsidRPr="00B542EF">
        <w:rPr>
          <w:b/>
          <w:bCs/>
        </w:rPr>
        <w:t xml:space="preserve"> </w:t>
      </w:r>
      <w:r w:rsidRPr="00B542EF">
        <w:rPr>
          <w:b/>
          <w:bCs/>
        </w:rPr>
        <w:t>(</w:t>
      </w:r>
      <w:r w:rsidR="00F5169D">
        <w:rPr>
          <w:b/>
          <w:bCs/>
        </w:rPr>
        <w:t xml:space="preserve">12 CFR </w:t>
      </w:r>
      <w:r w:rsidRPr="00B542EF">
        <w:rPr>
          <w:b/>
          <w:bCs/>
        </w:rPr>
        <w:t>207.6(d</w:t>
      </w:r>
      <w:proofErr w:type="gramStart"/>
      <w:r w:rsidRPr="00B542EF">
        <w:rPr>
          <w:b/>
          <w:bCs/>
        </w:rPr>
        <w:t>)(</w:t>
      </w:r>
      <w:proofErr w:type="gramEnd"/>
      <w:r w:rsidRPr="00B542EF">
        <w:rPr>
          <w:b/>
          <w:bCs/>
        </w:rPr>
        <w:t>1)).</w:t>
      </w:r>
      <w:r w:rsidRPr="00B542EF">
        <w:t xml:space="preserve"> Within </w:t>
      </w:r>
      <w:r w:rsidR="004F788B" w:rsidRPr="00B542EF">
        <w:t>60</w:t>
      </w:r>
      <w:r w:rsidRPr="00B542EF">
        <w:t xml:space="preserve"> days of the end of each calendar quarter, each IDI and affiliate must provide each relevant supervisory agency with - </w:t>
      </w:r>
    </w:p>
    <w:p w:rsidR="00875E99" w:rsidRPr="00B542EF" w:rsidRDefault="00875E99">
      <w:pPr>
        <w:ind w:left="720"/>
      </w:pPr>
      <w:r w:rsidRPr="00B542EF">
        <w:t>(i) A copy of each covered agreement entered into by the IDI or affiliate during the calendar quarter</w:t>
      </w:r>
      <w:r w:rsidR="00264359">
        <w:t>,</w:t>
      </w:r>
      <w:r w:rsidRPr="00B542EF">
        <w:t xml:space="preserve"> and in the event the IDI or affiliate proposes the withholding of any information contained in the agreement in accordance with </w:t>
      </w:r>
      <w:r w:rsidR="00C47427">
        <w:t xml:space="preserve">Section </w:t>
      </w:r>
      <w:r w:rsidRPr="00B542EF">
        <w:t>207.6(b)(2), a public version of the agreement with an explanation justifying the exclusions</w:t>
      </w:r>
      <w:r w:rsidR="00754AA6">
        <w:t>;</w:t>
      </w:r>
      <w:r w:rsidRPr="00B542EF">
        <w:t xml:space="preserve"> </w:t>
      </w:r>
      <w:r w:rsidR="008318EE">
        <w:rPr>
          <w:b/>
        </w:rPr>
        <w:t>or</w:t>
      </w:r>
      <w:r w:rsidRPr="00B542EF">
        <w:t xml:space="preserve"> </w:t>
      </w:r>
    </w:p>
    <w:p w:rsidR="00875E99" w:rsidRPr="00B542EF" w:rsidRDefault="00875E99">
      <w:pPr>
        <w:ind w:left="720"/>
      </w:pPr>
      <w:r w:rsidRPr="00B542EF">
        <w:t xml:space="preserve">(ii) A list of all covered agreements entered into by the IDI or affiliate during the calendar quarter.  The list must contain: the name and address of each IDI or affiliate that is a party to the agreement; the name and address of each NGEP that is a party to the </w:t>
      </w:r>
      <w:r w:rsidR="008318EE">
        <w:t xml:space="preserve">covered </w:t>
      </w:r>
      <w:r w:rsidRPr="00B542EF">
        <w:t xml:space="preserve">agreement; the date the </w:t>
      </w:r>
      <w:r w:rsidR="008318EE">
        <w:t xml:space="preserve">covered </w:t>
      </w:r>
      <w:r w:rsidRPr="00B542EF">
        <w:t>agreement was entered into; the estimated total value of all payments, fees, loans, and other considerations to be provided by the IDI or affiliate under the</w:t>
      </w:r>
      <w:r w:rsidR="008318EE">
        <w:t xml:space="preserve"> covered</w:t>
      </w:r>
      <w:r w:rsidRPr="00B542EF">
        <w:t xml:space="preserve"> agreement; and the date the </w:t>
      </w:r>
      <w:r w:rsidR="008318EE">
        <w:t xml:space="preserve">covered </w:t>
      </w:r>
      <w:r w:rsidRPr="00B542EF">
        <w:t>agreement terminates.</w:t>
      </w:r>
    </w:p>
    <w:p w:rsidR="00875E99" w:rsidRPr="00B542EF" w:rsidRDefault="00875E99">
      <w:pPr>
        <w:pStyle w:val="BodyText2"/>
        <w:rPr>
          <w:rFonts w:ascii="Times New Roman" w:hAnsi="Times New Roman"/>
        </w:rPr>
      </w:pPr>
    </w:p>
    <w:p w:rsidR="00875E99" w:rsidRPr="00B542EF" w:rsidRDefault="00875E99" w:rsidP="00CA55EC">
      <w:pPr>
        <w:ind w:firstLine="720"/>
      </w:pPr>
      <w:r w:rsidRPr="00B542EF">
        <w:rPr>
          <w:b/>
          <w:bCs/>
        </w:rPr>
        <w:t xml:space="preserve">Prompt </w:t>
      </w:r>
      <w:r w:rsidR="00DB456D" w:rsidRPr="00BB6B80">
        <w:rPr>
          <w:b/>
          <w:bCs/>
        </w:rPr>
        <w:t>filing</w:t>
      </w:r>
      <w:r w:rsidRPr="00B542EF">
        <w:rPr>
          <w:b/>
          <w:bCs/>
        </w:rPr>
        <w:t xml:space="preserve"> of covered agreements contained in list (</w:t>
      </w:r>
      <w:r w:rsidR="00F5169D">
        <w:rPr>
          <w:b/>
          <w:bCs/>
        </w:rPr>
        <w:t xml:space="preserve">12 CFR </w:t>
      </w:r>
      <w:r w:rsidRPr="00B542EF">
        <w:rPr>
          <w:b/>
          <w:bCs/>
        </w:rPr>
        <w:t>207.6(d</w:t>
      </w:r>
      <w:proofErr w:type="gramStart"/>
      <w:r w:rsidRPr="00B542EF">
        <w:rPr>
          <w:b/>
          <w:bCs/>
        </w:rPr>
        <w:t>)(</w:t>
      </w:r>
      <w:proofErr w:type="gramEnd"/>
      <w:r w:rsidRPr="00B542EF">
        <w:rPr>
          <w:b/>
          <w:bCs/>
        </w:rPr>
        <w:t>2)).</w:t>
      </w:r>
      <w:r w:rsidRPr="00B542EF">
        <w:t xml:space="preserve">  If an IDI or affiliate files a list of the covered agreements entered into by the IDI or affiliate pursuant to </w:t>
      </w:r>
      <w:r w:rsidR="00C47427">
        <w:t xml:space="preserve">Section </w:t>
      </w:r>
      <w:r w:rsidRPr="00B542EF">
        <w:t>207.6 (d</w:t>
      </w:r>
      <w:proofErr w:type="gramStart"/>
      <w:r w:rsidRPr="00B542EF">
        <w:t>)(</w:t>
      </w:r>
      <w:proofErr w:type="gramEnd"/>
      <w:r w:rsidRPr="00B542EF">
        <w:t xml:space="preserve">1)(ii), the IDI or affiliate must provide any relevant supervisory agency a complete copy and public version of any covered agreement referenced in the list within seven calendar days of receiving a request from the agency for a copy of the agreement.  The obligation to provide the covered agreement to the relevant supervisory agency extends until </w:t>
      </w:r>
      <w:r w:rsidR="004F788B" w:rsidRPr="00B542EF">
        <w:t xml:space="preserve">36 </w:t>
      </w:r>
      <w:r w:rsidRPr="00B542EF">
        <w:t>months after the termination of the agreement.  The</w:t>
      </w:r>
      <w:r w:rsidR="004C512F" w:rsidRPr="00B542EF">
        <w:t xml:space="preserve"> estimated</w:t>
      </w:r>
      <w:r w:rsidRPr="00B542EF">
        <w:t xml:space="preserve"> burden </w:t>
      </w:r>
      <w:r w:rsidR="004C512F" w:rsidRPr="00B542EF">
        <w:t>to</w:t>
      </w:r>
      <w:r w:rsidRPr="00B542EF">
        <w:t xml:space="preserve"> provid</w:t>
      </w:r>
      <w:r w:rsidR="004C512F" w:rsidRPr="00B542EF">
        <w:t>e</w:t>
      </w:r>
      <w:r w:rsidRPr="00B542EF">
        <w:t xml:space="preserve"> a copy of the covered agreement is included </w:t>
      </w:r>
      <w:r w:rsidR="004C512F" w:rsidRPr="00B542EF">
        <w:t>in the estimate of the burden to provide</w:t>
      </w:r>
      <w:r w:rsidRPr="00B542EF">
        <w:t xml:space="preserve"> the list of covered agreements to the agencies.</w:t>
      </w:r>
    </w:p>
    <w:p w:rsidR="00460D3E" w:rsidRDefault="00460D3E" w:rsidP="00460D3E">
      <w:pPr>
        <w:rPr>
          <w:i/>
          <w:iCs/>
        </w:rPr>
      </w:pPr>
    </w:p>
    <w:p w:rsidR="00875E99" w:rsidRPr="00B542EF" w:rsidRDefault="00875E99" w:rsidP="00460D3E">
      <w:pPr>
        <w:ind w:left="1440"/>
      </w:pPr>
      <w:r w:rsidRPr="00B542EF">
        <w:rPr>
          <w:i/>
          <w:iCs/>
        </w:rPr>
        <w:t>Requirement for Nongovernmental Entities or Persons Only</w:t>
      </w:r>
    </w:p>
    <w:p w:rsidR="00875E99" w:rsidRPr="00B542EF" w:rsidRDefault="00875E99">
      <w:pPr>
        <w:jc w:val="both"/>
      </w:pPr>
    </w:p>
    <w:p w:rsidR="00875E99" w:rsidRPr="00B542EF" w:rsidRDefault="00875E99">
      <w:r w:rsidRPr="00B542EF">
        <w:tab/>
      </w:r>
      <w:r w:rsidR="00F97553">
        <w:rPr>
          <w:b/>
          <w:bCs/>
        </w:rPr>
        <w:t>Reporting</w:t>
      </w:r>
      <w:r w:rsidRPr="00B542EF">
        <w:rPr>
          <w:b/>
          <w:bCs/>
        </w:rPr>
        <w:t xml:space="preserve"> by NGEPs of covered agreements to the relevant supervisory agency (</w:t>
      </w:r>
      <w:r w:rsidR="00F5169D">
        <w:rPr>
          <w:b/>
          <w:bCs/>
        </w:rPr>
        <w:t xml:space="preserve">12 CFR </w:t>
      </w:r>
      <w:r w:rsidRPr="00B542EF">
        <w:rPr>
          <w:b/>
          <w:bCs/>
        </w:rPr>
        <w:t>207.6(c</w:t>
      </w:r>
      <w:proofErr w:type="gramStart"/>
      <w:r w:rsidRPr="00B542EF">
        <w:rPr>
          <w:b/>
          <w:bCs/>
        </w:rPr>
        <w:t>)(</w:t>
      </w:r>
      <w:proofErr w:type="gramEnd"/>
      <w:r w:rsidRPr="00B542EF">
        <w:rPr>
          <w:b/>
          <w:bCs/>
        </w:rPr>
        <w:t>1)).</w:t>
      </w:r>
      <w:r w:rsidRPr="00B542EF">
        <w:t xml:space="preserve">  Each NGEP that is a party to a covered agreement must provide a complete copy of the </w:t>
      </w:r>
      <w:r w:rsidR="008318EE">
        <w:t xml:space="preserve">covered </w:t>
      </w:r>
      <w:r w:rsidRPr="00B542EF">
        <w:t xml:space="preserve">agreement within </w:t>
      </w:r>
      <w:r w:rsidR="004F788B" w:rsidRPr="00B542EF">
        <w:t>30</w:t>
      </w:r>
      <w:r w:rsidRPr="00B542EF">
        <w:t xml:space="preserve"> days of receiving a request from the relevant supervisory agency.  </w:t>
      </w:r>
    </w:p>
    <w:p w:rsidR="00875E99" w:rsidRDefault="00875E99"/>
    <w:p w:rsidR="00D66E50" w:rsidRDefault="00D66E50"/>
    <w:p w:rsidR="00D66E50" w:rsidRPr="00B542EF" w:rsidRDefault="00D66E50"/>
    <w:p w:rsidR="00875E99" w:rsidRPr="00B542EF" w:rsidRDefault="00875E99">
      <w:pPr>
        <w:rPr>
          <w:color w:val="000000"/>
        </w:rPr>
      </w:pPr>
      <w:r w:rsidRPr="00B542EF">
        <w:rPr>
          <w:b/>
          <w:color w:val="000000"/>
        </w:rPr>
        <w:lastRenderedPageBreak/>
        <w:t>Time Schedule for Information Collection</w:t>
      </w:r>
    </w:p>
    <w:p w:rsidR="00875E99" w:rsidRPr="00B542EF" w:rsidRDefault="00875E99">
      <w:pPr>
        <w:rPr>
          <w:color w:val="000000"/>
        </w:rPr>
      </w:pPr>
    </w:p>
    <w:p w:rsidR="00875E99" w:rsidRPr="00B542EF" w:rsidRDefault="00875E99">
      <w:pPr>
        <w:ind w:firstLine="720"/>
      </w:pPr>
      <w:r w:rsidRPr="00B542EF">
        <w:t xml:space="preserve">The disclosure of a covered agreement to the public by each NGEP and each IDI or affiliate that enters into a covered agreement must be made promptly upon request.  An NGEP must file an annual report for any fiscal year in which the NGEP receives or uses funds or other resources under the agreement.  An IDI or affiliate must file an annual report for any fiscal year in which it provides or receives any payments, fees, or loans under the covered agreement or has data to report on loans, investments, and services provided by a party to the covered agreement under the covered agreement.  </w:t>
      </w:r>
    </w:p>
    <w:p w:rsidR="009029ED" w:rsidRPr="00B542EF" w:rsidRDefault="009029ED">
      <w:pPr>
        <w:ind w:firstLine="720"/>
      </w:pPr>
    </w:p>
    <w:p w:rsidR="00875E99" w:rsidRPr="00B542EF" w:rsidRDefault="00875E99">
      <w:pPr>
        <w:pStyle w:val="BodyTextIndent3"/>
      </w:pPr>
      <w:r w:rsidRPr="00B542EF">
        <w:t xml:space="preserve">An NGEP that is entering into a covered agreement with an IDI or affiliate </w:t>
      </w:r>
      <w:r w:rsidR="00D930AF" w:rsidRPr="00B542EF">
        <w:t>that</w:t>
      </w:r>
      <w:r w:rsidRPr="00B542EF">
        <w:t xml:space="preserve"> concerns any activity of a CRA affiliate must be notified </w:t>
      </w:r>
      <w:r w:rsidR="00D930AF" w:rsidRPr="00B542EF">
        <w:t>before</w:t>
      </w:r>
      <w:r w:rsidRPr="00B542EF">
        <w:t xml:space="preserve"> the covered agreement is entered into</w:t>
      </w:r>
      <w:r w:rsidR="00D930AF" w:rsidRPr="00B542EF">
        <w:t xml:space="preserve"> that concerns a CRA affiliate</w:t>
      </w:r>
      <w:r w:rsidRPr="00B542EF">
        <w:t xml:space="preserve">.  Within </w:t>
      </w:r>
      <w:r w:rsidR="00B04437" w:rsidRPr="00B542EF">
        <w:t>60</w:t>
      </w:r>
      <w:r w:rsidRPr="00B542EF">
        <w:t xml:space="preserve"> days of the end of each calendar quarter, each IDI and affiliate must provide each relevant supervisory agency with either a copy of each covered agreement entered into by the IDI or affiliate during the calendar quarter or a list of all covered agreements entered into by the IDI or affiliate during the calendar quarter.  If an IDI or affiliate chooses to file a list of covered agreements with the relevant supervisory agency, then the IDI or affiliate must provide a complete copy and public version of any covered agreement referenced in the list to the agency within seven calendar days of receiving a request from the agency for a copy of the agreement.  The obligation to provide the covered agreement to the relevant supervisory agency extends until </w:t>
      </w:r>
      <w:r w:rsidR="00B04437" w:rsidRPr="00B542EF">
        <w:t>36</w:t>
      </w:r>
      <w:r w:rsidRPr="00B542EF">
        <w:t xml:space="preserve"> months after the termination of the agreement.  An IDI or affiliate that receives an annual report from an NGEP must file the report with the relevant supervisory agency or agencies on behalf of the NGEP within </w:t>
      </w:r>
      <w:r w:rsidR="004F788B" w:rsidRPr="00B542EF">
        <w:t>30</w:t>
      </w:r>
      <w:r w:rsidRPr="00B542EF">
        <w:t xml:space="preserve"> days.  Each NGEP that is a party to a covered agreement must provide a complete copy of the agreement within </w:t>
      </w:r>
      <w:r w:rsidR="00B04437" w:rsidRPr="00B542EF">
        <w:t>30</w:t>
      </w:r>
      <w:r w:rsidRPr="00B542EF">
        <w:t xml:space="preserve"> days of receiving a request from the relevant supervisory agency.</w:t>
      </w:r>
    </w:p>
    <w:p w:rsidR="00875E99" w:rsidRPr="00B542EF" w:rsidRDefault="00875E99">
      <w:pPr>
        <w:pStyle w:val="BodyTextIndent3"/>
      </w:pPr>
    </w:p>
    <w:p w:rsidR="00875E99" w:rsidRPr="00B542EF" w:rsidRDefault="00875E99">
      <w:pPr>
        <w:rPr>
          <w:color w:val="000000"/>
        </w:rPr>
      </w:pPr>
      <w:r w:rsidRPr="00B542EF">
        <w:rPr>
          <w:b/>
          <w:color w:val="000000"/>
        </w:rPr>
        <w:t>Legal Status</w:t>
      </w:r>
    </w:p>
    <w:p w:rsidR="00875E99" w:rsidRPr="00B542EF" w:rsidRDefault="00875E99">
      <w:pPr>
        <w:rPr>
          <w:color w:val="000000"/>
        </w:rPr>
      </w:pPr>
    </w:p>
    <w:p w:rsidR="00CB5900" w:rsidRDefault="00875E99" w:rsidP="00BB6B80">
      <w:r w:rsidRPr="00B542EF">
        <w:rPr>
          <w:color w:val="000000"/>
        </w:rPr>
        <w:tab/>
      </w:r>
      <w:r w:rsidRPr="00B542EF">
        <w:t xml:space="preserve">The Board's Legal Division determined that </w:t>
      </w:r>
      <w:r w:rsidR="00A65854">
        <w:t xml:space="preserve">Section 48 of </w:t>
      </w:r>
      <w:r w:rsidR="004A4A86">
        <w:t xml:space="preserve">the FDI </w:t>
      </w:r>
      <w:r w:rsidR="005634A9" w:rsidRPr="00B542EF">
        <w:t>Act</w:t>
      </w:r>
      <w:r w:rsidR="00A65854">
        <w:t>, 12 U.S.C. § 1831y</w:t>
      </w:r>
      <w:r w:rsidRPr="00B542EF">
        <w:t xml:space="preserve"> authorize</w:t>
      </w:r>
      <w:r w:rsidR="004A4A86">
        <w:t>s</w:t>
      </w:r>
      <w:r w:rsidRPr="00B542EF">
        <w:t xml:space="preserve"> the Board to require the disclosure and reporting requirements of Regulation G.  </w:t>
      </w:r>
      <w:r w:rsidR="00AB1CBC" w:rsidRPr="00B542EF">
        <w:t>In general, the Board does not consider i</w:t>
      </w:r>
      <w:r w:rsidRPr="00B542EF">
        <w:t xml:space="preserve">ndividual respondent commercial and financial information collected by </w:t>
      </w:r>
      <w:r w:rsidR="00D930AF" w:rsidRPr="00B542EF">
        <w:t xml:space="preserve">the Board pursuant to </w:t>
      </w:r>
      <w:r w:rsidRPr="00B542EF">
        <w:t xml:space="preserve">Regulation </w:t>
      </w:r>
      <w:proofErr w:type="spellStart"/>
      <w:r w:rsidRPr="00B542EF">
        <w:t xml:space="preserve">G </w:t>
      </w:r>
      <w:r w:rsidR="00AB1CBC" w:rsidRPr="00B542EF">
        <w:t>as</w:t>
      </w:r>
      <w:proofErr w:type="spellEnd"/>
      <w:r w:rsidR="00AB1CBC" w:rsidRPr="00B542EF">
        <w:t xml:space="preserve"> confidential</w:t>
      </w:r>
      <w:r w:rsidR="00A76E96" w:rsidRPr="00B542EF">
        <w:t xml:space="preserve">.  </w:t>
      </w:r>
      <w:r w:rsidR="00AB1CBC" w:rsidRPr="00B542EF">
        <w:t xml:space="preserve">However, </w:t>
      </w:r>
      <w:r w:rsidR="00A76E96" w:rsidRPr="00B542EF">
        <w:t>a</w:t>
      </w:r>
      <w:r w:rsidRPr="00B542EF">
        <w:t xml:space="preserve"> respondent </w:t>
      </w:r>
      <w:r w:rsidR="00A76E96" w:rsidRPr="00B542EF">
        <w:t>may request confidential treatment pursuant to section (b</w:t>
      </w:r>
      <w:proofErr w:type="gramStart"/>
      <w:r w:rsidR="00A76E96" w:rsidRPr="00B542EF">
        <w:t>)(</w:t>
      </w:r>
      <w:proofErr w:type="gramEnd"/>
      <w:r w:rsidR="00A76E96" w:rsidRPr="00B542EF">
        <w:t>4) of</w:t>
      </w:r>
      <w:r w:rsidRPr="00B542EF">
        <w:t xml:space="preserve"> Freedom of Information Act, 5 U.S.C 552(b)(4).  </w:t>
      </w:r>
    </w:p>
    <w:p w:rsidR="00D07B1F" w:rsidRPr="003B7825" w:rsidRDefault="00D07B1F" w:rsidP="00BB6B80"/>
    <w:p w:rsidR="00BD58CF" w:rsidRDefault="00875E99" w:rsidP="00BD58CF">
      <w:pPr>
        <w:rPr>
          <w:highlight w:val="yellow"/>
        </w:rPr>
      </w:pPr>
      <w:r w:rsidRPr="00B542EF">
        <w:rPr>
          <w:b/>
          <w:bCs/>
        </w:rPr>
        <w:t>Estimate of Respondent Burden</w:t>
      </w:r>
    </w:p>
    <w:p w:rsidR="00875E99" w:rsidRPr="00B542EF" w:rsidRDefault="00875E99">
      <w:pPr>
        <w:pStyle w:val="BodyTextIndent3"/>
        <w:rPr>
          <w:highlight w:val="yellow"/>
        </w:rPr>
      </w:pPr>
    </w:p>
    <w:p w:rsidR="007A78B8" w:rsidRDefault="00875E99" w:rsidP="003B7825">
      <w:pPr>
        <w:pStyle w:val="BodyTextIndent3"/>
      </w:pPr>
      <w:r w:rsidRPr="00B542EF">
        <w:t xml:space="preserve">The </w:t>
      </w:r>
      <w:r w:rsidR="00976DFB">
        <w:t>total</w:t>
      </w:r>
      <w:r w:rsidR="00976DFB" w:rsidRPr="00B542EF">
        <w:t xml:space="preserve"> </w:t>
      </w:r>
      <w:r w:rsidRPr="00B542EF">
        <w:t xml:space="preserve">annual burden for the disclosure and reporting requirements </w:t>
      </w:r>
      <w:r w:rsidR="0009769F">
        <w:t>associated with Regulation G</w:t>
      </w:r>
      <w:r w:rsidR="00E019A6">
        <w:t xml:space="preserve"> </w:t>
      </w:r>
      <w:r w:rsidRPr="00B542EF">
        <w:t>is</w:t>
      </w:r>
      <w:r w:rsidR="00976DFB">
        <w:t xml:space="preserve"> estimated to be</w:t>
      </w:r>
      <w:r w:rsidRPr="00B542EF">
        <w:t xml:space="preserve"> </w:t>
      </w:r>
      <w:r w:rsidR="006D7C0C" w:rsidRPr="00B542EF">
        <w:t xml:space="preserve">78 </w:t>
      </w:r>
      <w:r w:rsidRPr="00B542EF">
        <w:t>hours, as shown in the table below.  Th</w:t>
      </w:r>
      <w:r w:rsidR="0009769F">
        <w:t>is</w:t>
      </w:r>
      <w:r w:rsidRPr="00B542EF">
        <w:t xml:space="preserve"> estimate is </w:t>
      </w:r>
      <w:r w:rsidR="006D7C0C" w:rsidRPr="00B542EF">
        <w:t xml:space="preserve">an average </w:t>
      </w:r>
      <w:r w:rsidR="005C512B" w:rsidRPr="00B542EF">
        <w:t>based on</w:t>
      </w:r>
      <w:r w:rsidR="00EF222A">
        <w:t xml:space="preserve"> (1)</w:t>
      </w:r>
      <w:r w:rsidR="005C512B" w:rsidRPr="00B542EF">
        <w:t xml:space="preserve"> </w:t>
      </w:r>
      <w:r w:rsidRPr="00B542EF">
        <w:t xml:space="preserve">the number of IDIs or their affiliates that reported covered agreements to the </w:t>
      </w:r>
      <w:r w:rsidR="003639A4">
        <w:t>Federal Reserve</w:t>
      </w:r>
      <w:r w:rsidR="00042852">
        <w:t xml:space="preserve"> </w:t>
      </w:r>
      <w:r w:rsidR="004B58DF" w:rsidRPr="00B542EF">
        <w:t xml:space="preserve">from </w:t>
      </w:r>
      <w:r w:rsidR="00930FA7" w:rsidRPr="00B542EF">
        <w:t>20</w:t>
      </w:r>
      <w:r w:rsidR="0009769F">
        <w:t>10</w:t>
      </w:r>
      <w:r w:rsidR="00930FA7" w:rsidRPr="00B542EF">
        <w:t xml:space="preserve"> </w:t>
      </w:r>
      <w:r w:rsidR="004B58DF" w:rsidRPr="00B542EF">
        <w:t xml:space="preserve">to </w:t>
      </w:r>
      <w:r w:rsidR="00930FA7" w:rsidRPr="00B542EF">
        <w:t>20</w:t>
      </w:r>
      <w:r w:rsidR="0009769F">
        <w:t>12</w:t>
      </w:r>
      <w:r w:rsidR="000063BA">
        <w:t xml:space="preserve">, </w:t>
      </w:r>
      <w:r w:rsidR="00EF222A">
        <w:t xml:space="preserve">and (2) </w:t>
      </w:r>
      <w:r w:rsidR="000063BA">
        <w:t>the additional SLHCs which</w:t>
      </w:r>
      <w:r w:rsidR="00042852">
        <w:t xml:space="preserve"> formerly reported to the OTS </w:t>
      </w:r>
      <w:r w:rsidR="00EF222A">
        <w:t xml:space="preserve">but </w:t>
      </w:r>
      <w:r w:rsidR="000063BA">
        <w:t xml:space="preserve">are now required to report to the </w:t>
      </w:r>
      <w:r w:rsidR="00596392">
        <w:t>Federal Reserve</w:t>
      </w:r>
      <w:r w:rsidR="000063BA">
        <w:t>.</w:t>
      </w:r>
      <w:r w:rsidR="005C512B" w:rsidRPr="00B542EF">
        <w:t xml:space="preserve">  </w:t>
      </w:r>
      <w:r w:rsidRPr="00B542EF">
        <w:t>The number of NGEP respondents is based upon an assumption that</w:t>
      </w:r>
      <w:r w:rsidR="00952CAA">
        <w:t xml:space="preserve"> one</w:t>
      </w:r>
      <w:r w:rsidRPr="00B542EF">
        <w:t xml:space="preserve"> NGEP is a party to each covered agreement.  </w:t>
      </w:r>
      <w:r w:rsidR="00BA7E69" w:rsidRPr="00B542EF">
        <w:t xml:space="preserve">The estimated annual burden represents less than </w:t>
      </w:r>
      <w:r w:rsidR="00A211EE">
        <w:t>one</w:t>
      </w:r>
      <w:r w:rsidR="00BA7E69" w:rsidRPr="00B542EF">
        <w:t xml:space="preserve"> percent of the total Federal Reserve System paperwork burden.</w:t>
      </w:r>
    </w:p>
    <w:p w:rsidR="00940CDE" w:rsidRDefault="00940CDE" w:rsidP="00165D78">
      <w:pPr>
        <w:pStyle w:val="BodyTextIndent3"/>
        <w:ind w:firstLine="0"/>
      </w:pPr>
    </w:p>
    <w:p w:rsidR="00903BA1" w:rsidRDefault="00903BA1" w:rsidP="00165D78">
      <w:pPr>
        <w:pStyle w:val="BodyTextIndent3"/>
        <w:ind w:firstLine="0"/>
      </w:pPr>
    </w:p>
    <w:p w:rsidR="007644A8" w:rsidRDefault="007644A8" w:rsidP="00165D78">
      <w:pPr>
        <w:pStyle w:val="BodyTextIndent3"/>
        <w:ind w:firstLine="0"/>
      </w:pPr>
    </w:p>
    <w:p w:rsidR="007644A8" w:rsidRPr="00B542EF" w:rsidRDefault="007644A8" w:rsidP="00165D78">
      <w:pPr>
        <w:pStyle w:val="BodyTextIndent3"/>
        <w:ind w:firstLine="0"/>
      </w:pPr>
    </w:p>
    <w:tbl>
      <w:tblPr>
        <w:tblW w:w="0" w:type="auto"/>
        <w:tblInd w:w="120" w:type="dxa"/>
        <w:tblBorders>
          <w:top w:val="single" w:sz="6" w:space="0" w:color="000000"/>
          <w:bottom w:val="single" w:sz="6" w:space="0" w:color="000000"/>
        </w:tblBorders>
        <w:tblLayout w:type="fixed"/>
        <w:tblCellMar>
          <w:left w:w="120" w:type="dxa"/>
          <w:right w:w="120" w:type="dxa"/>
        </w:tblCellMar>
        <w:tblLook w:val="0000" w:firstRow="0" w:lastRow="0" w:firstColumn="0" w:lastColumn="0" w:noHBand="0" w:noVBand="0"/>
      </w:tblPr>
      <w:tblGrid>
        <w:gridCol w:w="3240"/>
        <w:gridCol w:w="1530"/>
        <w:gridCol w:w="1260"/>
        <w:gridCol w:w="1260"/>
        <w:gridCol w:w="1260"/>
      </w:tblGrid>
      <w:tr w:rsidR="009B3B22" w:rsidRPr="00B542EF" w:rsidTr="003B7825">
        <w:trPr>
          <w:cantSplit/>
        </w:trPr>
        <w:tc>
          <w:tcPr>
            <w:tcW w:w="3240" w:type="dxa"/>
            <w:vAlign w:val="center"/>
          </w:tcPr>
          <w:p w:rsidR="009B3B22" w:rsidRPr="00B542EF" w:rsidRDefault="009B3B22" w:rsidP="00BB6B80">
            <w:pPr>
              <w:tabs>
                <w:tab w:val="left" w:pos="-1440"/>
                <w:tab w:val="left" w:pos="-720"/>
                <w:tab w:val="left" w:pos="0"/>
                <w:tab w:val="left" w:pos="240"/>
                <w:tab w:val="left" w:pos="720"/>
                <w:tab w:val="left" w:pos="1440"/>
                <w:tab w:val="left" w:pos="2160"/>
                <w:tab w:val="left" w:pos="2880"/>
              </w:tabs>
              <w:spacing w:before="144"/>
            </w:pPr>
          </w:p>
        </w:tc>
        <w:tc>
          <w:tcPr>
            <w:tcW w:w="1530" w:type="dxa"/>
            <w:vAlign w:val="center"/>
          </w:tcPr>
          <w:p w:rsidR="009B3B22" w:rsidRPr="00B542EF" w:rsidRDefault="009B3B22" w:rsidP="00646E4C">
            <w:pPr>
              <w:jc w:val="center"/>
              <w:rPr>
                <w:i/>
              </w:rPr>
            </w:pPr>
            <w:r w:rsidRPr="00B542EF">
              <w:rPr>
                <w:i/>
              </w:rPr>
              <w:t>Estimated</w:t>
            </w:r>
          </w:p>
          <w:p w:rsidR="009B3B22" w:rsidRPr="00B542EF" w:rsidRDefault="009B3B22" w:rsidP="00646E4C">
            <w:pPr>
              <w:jc w:val="center"/>
              <w:rPr>
                <w:i/>
              </w:rPr>
            </w:pPr>
            <w:r w:rsidRPr="00B542EF">
              <w:rPr>
                <w:i/>
              </w:rPr>
              <w:t>number</w:t>
            </w:r>
          </w:p>
          <w:p w:rsidR="009B3B22" w:rsidRPr="00B542EF" w:rsidRDefault="009B3B22" w:rsidP="00646E4C">
            <w:pPr>
              <w:jc w:val="center"/>
              <w:rPr>
                <w:i/>
              </w:rPr>
            </w:pPr>
            <w:r w:rsidRPr="00B542EF">
              <w:rPr>
                <w:i/>
              </w:rPr>
              <w:t>of respondents</w:t>
            </w:r>
            <w:r w:rsidR="009A04E1">
              <w:rPr>
                <w:rStyle w:val="FootnoteReference"/>
                <w:i/>
              </w:rPr>
              <w:footnoteReference w:id="7"/>
            </w:r>
          </w:p>
        </w:tc>
        <w:tc>
          <w:tcPr>
            <w:tcW w:w="1260" w:type="dxa"/>
            <w:vAlign w:val="center"/>
          </w:tcPr>
          <w:p w:rsidR="009B3B22" w:rsidRPr="00B542EF" w:rsidRDefault="009B3B22" w:rsidP="00646E4C">
            <w:pPr>
              <w:jc w:val="center"/>
              <w:rPr>
                <w:i/>
              </w:rPr>
            </w:pPr>
            <w:r w:rsidRPr="00B542EF">
              <w:rPr>
                <w:i/>
              </w:rPr>
              <w:t>Estimated annual frequency</w:t>
            </w:r>
          </w:p>
        </w:tc>
        <w:tc>
          <w:tcPr>
            <w:tcW w:w="1260" w:type="dxa"/>
            <w:vAlign w:val="center"/>
          </w:tcPr>
          <w:p w:rsidR="009B3B22" w:rsidRPr="00B542EF" w:rsidRDefault="009B3B22" w:rsidP="00646E4C">
            <w:pPr>
              <w:jc w:val="center"/>
              <w:rPr>
                <w:i/>
              </w:rPr>
            </w:pPr>
            <w:r w:rsidRPr="00B542EF">
              <w:rPr>
                <w:i/>
              </w:rPr>
              <w:t>Estimated  response</w:t>
            </w:r>
          </w:p>
          <w:p w:rsidR="009B3B22" w:rsidRPr="00B542EF" w:rsidRDefault="009B3B22" w:rsidP="00646E4C">
            <w:pPr>
              <w:jc w:val="center"/>
              <w:rPr>
                <w:i/>
              </w:rPr>
            </w:pPr>
            <w:r w:rsidRPr="00B542EF">
              <w:rPr>
                <w:i/>
              </w:rPr>
              <w:t>time</w:t>
            </w:r>
          </w:p>
        </w:tc>
        <w:tc>
          <w:tcPr>
            <w:tcW w:w="1260" w:type="dxa"/>
            <w:vAlign w:val="center"/>
          </w:tcPr>
          <w:p w:rsidR="00BD58CF" w:rsidRDefault="009B3B22" w:rsidP="00BD58CF">
            <w:pPr>
              <w:jc w:val="center"/>
              <w:rPr>
                <w:i/>
              </w:rPr>
            </w:pPr>
            <w:r w:rsidRPr="00B542EF">
              <w:rPr>
                <w:i/>
              </w:rPr>
              <w:t>Estimated</w:t>
            </w:r>
          </w:p>
          <w:p w:rsidR="00BD58CF" w:rsidRDefault="00FF008C" w:rsidP="00BD58CF">
            <w:pPr>
              <w:jc w:val="center"/>
              <w:rPr>
                <w:i/>
              </w:rPr>
            </w:pPr>
            <w:r w:rsidRPr="00B542EF">
              <w:rPr>
                <w:i/>
              </w:rPr>
              <w:t>a</w:t>
            </w:r>
            <w:r w:rsidR="009B3B22" w:rsidRPr="00B542EF">
              <w:rPr>
                <w:i/>
              </w:rPr>
              <w:t>nnual</w:t>
            </w:r>
          </w:p>
          <w:p w:rsidR="00BD58CF" w:rsidRDefault="009B3B22" w:rsidP="00BD58CF">
            <w:pPr>
              <w:jc w:val="center"/>
              <w:rPr>
                <w:i/>
              </w:rPr>
            </w:pPr>
            <w:r w:rsidRPr="00B542EF">
              <w:rPr>
                <w:i/>
              </w:rPr>
              <w:t>burden hours</w:t>
            </w:r>
          </w:p>
        </w:tc>
      </w:tr>
      <w:tr w:rsidR="009B3B22" w:rsidRPr="00B542EF" w:rsidTr="003B7825">
        <w:trPr>
          <w:cantSplit/>
        </w:trPr>
        <w:tc>
          <w:tcPr>
            <w:tcW w:w="3240" w:type="dxa"/>
            <w:vAlign w:val="bottom"/>
          </w:tcPr>
          <w:p w:rsidR="008061E4" w:rsidRDefault="008061E4" w:rsidP="00A16358">
            <w:pPr>
              <w:rPr>
                <w:i/>
                <w:u w:val="single"/>
              </w:rPr>
            </w:pPr>
          </w:p>
          <w:p w:rsidR="009B3B22" w:rsidRPr="00B542EF" w:rsidRDefault="009B3B22" w:rsidP="00A16358">
            <w:pPr>
              <w:rPr>
                <w:i/>
                <w:u w:val="single"/>
              </w:rPr>
            </w:pPr>
            <w:r w:rsidRPr="00B542EF">
              <w:rPr>
                <w:i/>
                <w:u w:val="single"/>
              </w:rPr>
              <w:t xml:space="preserve">Disclosure burden </w:t>
            </w:r>
          </w:p>
          <w:p w:rsidR="009B3B22" w:rsidRPr="00B542EF" w:rsidRDefault="009B3B22" w:rsidP="00A16358">
            <w:pPr>
              <w:rPr>
                <w:i/>
                <w:u w:val="single"/>
              </w:rPr>
            </w:pPr>
            <w:r w:rsidRPr="00B542EF">
              <w:rPr>
                <w:i/>
                <w:u w:val="single"/>
              </w:rPr>
              <w:t>for IDI and affiliates</w:t>
            </w:r>
          </w:p>
        </w:tc>
        <w:tc>
          <w:tcPr>
            <w:tcW w:w="1530" w:type="dxa"/>
          </w:tcPr>
          <w:p w:rsidR="009B3B22" w:rsidRPr="00B542EF" w:rsidRDefault="009B3B22">
            <w:pPr>
              <w:tabs>
                <w:tab w:val="left" w:pos="-1440"/>
                <w:tab w:val="left" w:pos="-720"/>
                <w:tab w:val="left" w:pos="0"/>
                <w:tab w:val="left" w:pos="240"/>
                <w:tab w:val="left" w:pos="720"/>
                <w:tab w:val="left" w:pos="1440"/>
              </w:tabs>
              <w:spacing w:before="144"/>
            </w:pPr>
          </w:p>
        </w:tc>
        <w:tc>
          <w:tcPr>
            <w:tcW w:w="1260" w:type="dxa"/>
          </w:tcPr>
          <w:p w:rsidR="009B3B22" w:rsidRPr="00B542EF" w:rsidRDefault="009B3B22">
            <w:pPr>
              <w:tabs>
                <w:tab w:val="left" w:pos="-1440"/>
                <w:tab w:val="left" w:pos="-720"/>
                <w:tab w:val="left" w:pos="0"/>
                <w:tab w:val="left" w:pos="240"/>
                <w:tab w:val="left" w:pos="720"/>
              </w:tabs>
              <w:spacing w:before="144"/>
            </w:pPr>
          </w:p>
        </w:tc>
        <w:tc>
          <w:tcPr>
            <w:tcW w:w="1260" w:type="dxa"/>
          </w:tcPr>
          <w:p w:rsidR="009B3B22" w:rsidRPr="00B542EF" w:rsidRDefault="009B3B22">
            <w:pPr>
              <w:tabs>
                <w:tab w:val="left" w:pos="-1440"/>
                <w:tab w:val="left" w:pos="-720"/>
                <w:tab w:val="left" w:pos="0"/>
                <w:tab w:val="left" w:pos="240"/>
                <w:tab w:val="left" w:pos="720"/>
              </w:tabs>
              <w:spacing w:before="144"/>
            </w:pPr>
          </w:p>
        </w:tc>
        <w:tc>
          <w:tcPr>
            <w:tcW w:w="1260" w:type="dxa"/>
          </w:tcPr>
          <w:p w:rsidR="009B3B22" w:rsidRPr="00B542EF" w:rsidRDefault="009B3B22">
            <w:pPr>
              <w:tabs>
                <w:tab w:val="left" w:pos="-1440"/>
                <w:tab w:val="left" w:pos="-720"/>
                <w:tab w:val="left" w:pos="0"/>
                <w:tab w:val="left" w:pos="240"/>
                <w:tab w:val="left" w:pos="720"/>
                <w:tab w:val="left" w:pos="1440"/>
              </w:tabs>
              <w:spacing w:before="144"/>
              <w:jc w:val="right"/>
            </w:pPr>
          </w:p>
        </w:tc>
      </w:tr>
      <w:tr w:rsidR="009B3B22" w:rsidRPr="00B542EF" w:rsidTr="003B7825">
        <w:trPr>
          <w:cantSplit/>
          <w:trHeight w:val="363"/>
        </w:trPr>
        <w:tc>
          <w:tcPr>
            <w:tcW w:w="3240" w:type="dxa"/>
            <w:vAlign w:val="bottom"/>
          </w:tcPr>
          <w:p w:rsidR="009B3B22" w:rsidRPr="00B542EF" w:rsidRDefault="009B3B22" w:rsidP="00146950">
            <w:r w:rsidRPr="00B542EF">
              <w:t>Covered agreements</w:t>
            </w:r>
            <w:r w:rsidR="00146950" w:rsidRPr="00B542EF">
              <w:t xml:space="preserve"> </w:t>
            </w:r>
            <w:r w:rsidRPr="00B542EF">
              <w:t>to public</w:t>
            </w:r>
          </w:p>
        </w:tc>
        <w:tc>
          <w:tcPr>
            <w:tcW w:w="1530" w:type="dxa"/>
            <w:vAlign w:val="bottom"/>
          </w:tcPr>
          <w:p w:rsidR="009B3B22" w:rsidRPr="00B542EF" w:rsidRDefault="009B3B22" w:rsidP="00A16358">
            <w:pPr>
              <w:tabs>
                <w:tab w:val="left" w:pos="-1440"/>
                <w:tab w:val="left" w:pos="-720"/>
                <w:tab w:val="left" w:pos="0"/>
                <w:tab w:val="left" w:pos="240"/>
                <w:tab w:val="left" w:pos="720"/>
                <w:tab w:val="left" w:pos="1440"/>
              </w:tabs>
              <w:spacing w:before="144"/>
              <w:jc w:val="center"/>
            </w:pPr>
            <w:r w:rsidRPr="00B542EF">
              <w:t>3</w:t>
            </w:r>
          </w:p>
        </w:tc>
        <w:tc>
          <w:tcPr>
            <w:tcW w:w="1260" w:type="dxa"/>
            <w:vAlign w:val="bottom"/>
          </w:tcPr>
          <w:p w:rsidR="009B3B22" w:rsidRPr="00B542EF" w:rsidRDefault="009B3B22" w:rsidP="00A16358">
            <w:pPr>
              <w:tabs>
                <w:tab w:val="left" w:pos="-1440"/>
                <w:tab w:val="left" w:pos="-720"/>
                <w:tab w:val="left" w:pos="0"/>
                <w:tab w:val="left" w:pos="240"/>
                <w:tab w:val="left" w:pos="720"/>
              </w:tabs>
              <w:spacing w:before="144"/>
              <w:jc w:val="center"/>
            </w:pPr>
            <w:r w:rsidRPr="00B542EF">
              <w:t>2</w:t>
            </w:r>
          </w:p>
        </w:tc>
        <w:tc>
          <w:tcPr>
            <w:tcW w:w="1260" w:type="dxa"/>
            <w:vAlign w:val="bottom"/>
          </w:tcPr>
          <w:p w:rsidR="009B3B22" w:rsidRPr="00B542EF" w:rsidRDefault="009B3B22" w:rsidP="00A16358">
            <w:pPr>
              <w:tabs>
                <w:tab w:val="left" w:pos="-1440"/>
                <w:tab w:val="left" w:pos="-720"/>
                <w:tab w:val="left" w:pos="0"/>
                <w:tab w:val="left" w:pos="240"/>
                <w:tab w:val="left" w:pos="720"/>
              </w:tabs>
              <w:spacing w:before="144"/>
              <w:jc w:val="center"/>
            </w:pPr>
            <w:r w:rsidRPr="00B542EF">
              <w:t>1</w:t>
            </w:r>
          </w:p>
        </w:tc>
        <w:tc>
          <w:tcPr>
            <w:tcW w:w="1260" w:type="dxa"/>
            <w:vAlign w:val="bottom"/>
          </w:tcPr>
          <w:p w:rsidR="009B3B22" w:rsidRPr="00B542EF" w:rsidRDefault="009B3B22" w:rsidP="00952CAA">
            <w:pPr>
              <w:tabs>
                <w:tab w:val="left" w:pos="-1440"/>
                <w:tab w:val="left" w:pos="-720"/>
                <w:tab w:val="left" w:pos="0"/>
                <w:tab w:val="left" w:pos="240"/>
                <w:tab w:val="left" w:pos="720"/>
                <w:tab w:val="left" w:pos="1440"/>
              </w:tabs>
              <w:spacing w:before="144"/>
              <w:jc w:val="center"/>
            </w:pPr>
            <w:r w:rsidRPr="00B542EF">
              <w:t>6</w:t>
            </w:r>
          </w:p>
        </w:tc>
      </w:tr>
      <w:tr w:rsidR="009B3B22" w:rsidRPr="00B542EF" w:rsidTr="003B7825">
        <w:trPr>
          <w:cantSplit/>
          <w:trHeight w:val="621"/>
        </w:trPr>
        <w:tc>
          <w:tcPr>
            <w:tcW w:w="3240" w:type="dxa"/>
            <w:vAlign w:val="bottom"/>
          </w:tcPr>
          <w:p w:rsidR="009B3B22" w:rsidRPr="00B542EF" w:rsidRDefault="009B3B22" w:rsidP="00A16358">
            <w:r w:rsidRPr="00B542EF">
              <w:t xml:space="preserve">Agreements relating to </w:t>
            </w:r>
          </w:p>
          <w:p w:rsidR="009B3B22" w:rsidRPr="00B542EF" w:rsidRDefault="009B3B22" w:rsidP="00A16358">
            <w:r w:rsidRPr="00B542EF">
              <w:t>activities of CRA affiliates</w:t>
            </w:r>
          </w:p>
        </w:tc>
        <w:tc>
          <w:tcPr>
            <w:tcW w:w="1530" w:type="dxa"/>
            <w:vAlign w:val="bottom"/>
          </w:tcPr>
          <w:p w:rsidR="009B3B22" w:rsidRPr="00B542EF" w:rsidRDefault="009B3B22" w:rsidP="00A16358">
            <w:pPr>
              <w:tabs>
                <w:tab w:val="left" w:pos="-1440"/>
                <w:tab w:val="left" w:pos="-720"/>
                <w:tab w:val="left" w:pos="0"/>
                <w:tab w:val="left" w:pos="240"/>
                <w:tab w:val="left" w:pos="720"/>
                <w:tab w:val="left" w:pos="1440"/>
              </w:tabs>
              <w:spacing w:before="144"/>
              <w:jc w:val="center"/>
            </w:pPr>
            <w:r w:rsidRPr="00B542EF">
              <w:t>3</w:t>
            </w:r>
          </w:p>
        </w:tc>
        <w:tc>
          <w:tcPr>
            <w:tcW w:w="1260" w:type="dxa"/>
            <w:vAlign w:val="bottom"/>
          </w:tcPr>
          <w:p w:rsidR="009B3B22" w:rsidRPr="00B542EF" w:rsidRDefault="009B3B22" w:rsidP="00A16358">
            <w:pPr>
              <w:tabs>
                <w:tab w:val="left" w:pos="-1440"/>
                <w:tab w:val="left" w:pos="-720"/>
                <w:tab w:val="left" w:pos="0"/>
                <w:tab w:val="left" w:pos="240"/>
                <w:tab w:val="left" w:pos="720"/>
              </w:tabs>
              <w:spacing w:before="144"/>
              <w:jc w:val="center"/>
            </w:pPr>
            <w:r w:rsidRPr="00B542EF">
              <w:t>2</w:t>
            </w:r>
          </w:p>
        </w:tc>
        <w:tc>
          <w:tcPr>
            <w:tcW w:w="1260" w:type="dxa"/>
            <w:vAlign w:val="bottom"/>
          </w:tcPr>
          <w:p w:rsidR="009B3B22" w:rsidRPr="00B542EF" w:rsidRDefault="009B3B22" w:rsidP="00A16358">
            <w:pPr>
              <w:tabs>
                <w:tab w:val="left" w:pos="-1440"/>
                <w:tab w:val="left" w:pos="-720"/>
                <w:tab w:val="left" w:pos="0"/>
                <w:tab w:val="left" w:pos="240"/>
                <w:tab w:val="left" w:pos="720"/>
              </w:tabs>
              <w:spacing w:before="144"/>
              <w:jc w:val="center"/>
            </w:pPr>
            <w:r w:rsidRPr="00B542EF">
              <w:t>1</w:t>
            </w:r>
          </w:p>
        </w:tc>
        <w:tc>
          <w:tcPr>
            <w:tcW w:w="1260" w:type="dxa"/>
            <w:vAlign w:val="bottom"/>
          </w:tcPr>
          <w:p w:rsidR="009B3B22" w:rsidRPr="00B542EF" w:rsidRDefault="009B3B22" w:rsidP="00952CAA">
            <w:pPr>
              <w:tabs>
                <w:tab w:val="left" w:pos="-1440"/>
                <w:tab w:val="left" w:pos="-720"/>
                <w:tab w:val="left" w:pos="0"/>
                <w:tab w:val="left" w:pos="240"/>
                <w:tab w:val="left" w:pos="720"/>
                <w:tab w:val="left" w:pos="1440"/>
              </w:tabs>
              <w:spacing w:before="144"/>
              <w:jc w:val="center"/>
            </w:pPr>
            <w:r w:rsidRPr="00B542EF">
              <w:t>6</w:t>
            </w:r>
          </w:p>
        </w:tc>
      </w:tr>
      <w:tr w:rsidR="009B3B22" w:rsidRPr="00B542EF" w:rsidTr="003B7825">
        <w:trPr>
          <w:cantSplit/>
          <w:trHeight w:val="795"/>
        </w:trPr>
        <w:tc>
          <w:tcPr>
            <w:tcW w:w="3240" w:type="dxa"/>
            <w:vAlign w:val="bottom"/>
          </w:tcPr>
          <w:p w:rsidR="008061E4" w:rsidRDefault="008061E4" w:rsidP="00A16358">
            <w:pPr>
              <w:rPr>
                <w:i/>
                <w:iCs/>
                <w:u w:val="single"/>
              </w:rPr>
            </w:pPr>
          </w:p>
          <w:p w:rsidR="009B3B22" w:rsidRPr="00B542EF" w:rsidRDefault="009B3B22" w:rsidP="00A16358">
            <w:pPr>
              <w:rPr>
                <w:i/>
                <w:u w:val="single"/>
              </w:rPr>
            </w:pPr>
            <w:r w:rsidRPr="00B542EF">
              <w:rPr>
                <w:i/>
                <w:iCs/>
                <w:u w:val="single"/>
              </w:rPr>
              <w:t>Reporting burden</w:t>
            </w:r>
            <w:r w:rsidRPr="00B542EF">
              <w:rPr>
                <w:i/>
                <w:u w:val="single"/>
              </w:rPr>
              <w:t xml:space="preserve"> </w:t>
            </w:r>
          </w:p>
          <w:p w:rsidR="009B3B22" w:rsidRPr="00B542EF" w:rsidRDefault="009B3B22" w:rsidP="00A16358">
            <w:pPr>
              <w:rPr>
                <w:i/>
                <w:u w:val="single"/>
              </w:rPr>
            </w:pPr>
            <w:r w:rsidRPr="00B542EF">
              <w:rPr>
                <w:i/>
                <w:iCs/>
                <w:u w:val="single"/>
              </w:rPr>
              <w:t>for IDI and affiliates</w:t>
            </w:r>
          </w:p>
        </w:tc>
        <w:tc>
          <w:tcPr>
            <w:tcW w:w="1530" w:type="dxa"/>
            <w:vAlign w:val="bottom"/>
          </w:tcPr>
          <w:p w:rsidR="009B3B22" w:rsidRPr="00B542EF" w:rsidRDefault="009B3B22" w:rsidP="00A16358">
            <w:pPr>
              <w:tabs>
                <w:tab w:val="left" w:pos="-1440"/>
                <w:tab w:val="left" w:pos="-720"/>
                <w:tab w:val="left" w:pos="0"/>
                <w:tab w:val="left" w:pos="240"/>
                <w:tab w:val="left" w:pos="720"/>
                <w:tab w:val="left" w:pos="1440"/>
              </w:tabs>
              <w:spacing w:before="144"/>
              <w:jc w:val="center"/>
            </w:pPr>
          </w:p>
        </w:tc>
        <w:tc>
          <w:tcPr>
            <w:tcW w:w="1260" w:type="dxa"/>
            <w:vAlign w:val="bottom"/>
          </w:tcPr>
          <w:p w:rsidR="009B3B22" w:rsidRPr="00B542EF" w:rsidRDefault="009B3B22" w:rsidP="00A16358">
            <w:pPr>
              <w:tabs>
                <w:tab w:val="left" w:pos="-1440"/>
                <w:tab w:val="left" w:pos="-720"/>
                <w:tab w:val="left" w:pos="0"/>
                <w:tab w:val="left" w:pos="240"/>
                <w:tab w:val="left" w:pos="720"/>
              </w:tabs>
              <w:spacing w:before="144"/>
              <w:jc w:val="center"/>
            </w:pPr>
          </w:p>
        </w:tc>
        <w:tc>
          <w:tcPr>
            <w:tcW w:w="1260" w:type="dxa"/>
            <w:vAlign w:val="bottom"/>
          </w:tcPr>
          <w:p w:rsidR="009B3B22" w:rsidRPr="00B542EF" w:rsidRDefault="009B3B22" w:rsidP="00A16358">
            <w:pPr>
              <w:tabs>
                <w:tab w:val="left" w:pos="-1440"/>
                <w:tab w:val="left" w:pos="-720"/>
                <w:tab w:val="left" w:pos="0"/>
                <w:tab w:val="left" w:pos="240"/>
                <w:tab w:val="left" w:pos="720"/>
              </w:tabs>
              <w:spacing w:before="144"/>
              <w:jc w:val="center"/>
            </w:pPr>
          </w:p>
        </w:tc>
        <w:tc>
          <w:tcPr>
            <w:tcW w:w="1260" w:type="dxa"/>
            <w:vAlign w:val="bottom"/>
          </w:tcPr>
          <w:p w:rsidR="009B3B22" w:rsidRPr="00B542EF" w:rsidRDefault="009B3B22" w:rsidP="00A16358">
            <w:pPr>
              <w:tabs>
                <w:tab w:val="left" w:pos="-1440"/>
                <w:tab w:val="left" w:pos="-720"/>
                <w:tab w:val="left" w:pos="0"/>
                <w:tab w:val="left" w:pos="240"/>
                <w:tab w:val="left" w:pos="720"/>
                <w:tab w:val="left" w:pos="1440"/>
              </w:tabs>
              <w:spacing w:before="144"/>
              <w:jc w:val="right"/>
            </w:pPr>
          </w:p>
        </w:tc>
      </w:tr>
      <w:tr w:rsidR="009C14B0" w:rsidRPr="00B542EF" w:rsidTr="002F56B0">
        <w:trPr>
          <w:cantSplit/>
          <w:trHeight w:val="360"/>
        </w:trPr>
        <w:tc>
          <w:tcPr>
            <w:tcW w:w="3240" w:type="dxa"/>
            <w:vAlign w:val="bottom"/>
          </w:tcPr>
          <w:p w:rsidR="009C14B0" w:rsidRPr="00B542EF" w:rsidRDefault="009C14B0" w:rsidP="009C14B0">
            <w:r w:rsidRPr="00B542EF">
              <w:t>Copy of  agreements to agency</w:t>
            </w:r>
          </w:p>
        </w:tc>
        <w:tc>
          <w:tcPr>
            <w:tcW w:w="1530" w:type="dxa"/>
            <w:vAlign w:val="bottom"/>
          </w:tcPr>
          <w:p w:rsidR="009C14B0" w:rsidRPr="00B542EF" w:rsidRDefault="009C14B0" w:rsidP="009C14B0">
            <w:pPr>
              <w:tabs>
                <w:tab w:val="left" w:pos="-1440"/>
                <w:tab w:val="left" w:pos="-720"/>
                <w:tab w:val="left" w:pos="0"/>
                <w:tab w:val="left" w:pos="240"/>
                <w:tab w:val="left" w:pos="720"/>
                <w:tab w:val="left" w:pos="1440"/>
              </w:tabs>
              <w:spacing w:before="144"/>
              <w:jc w:val="center"/>
            </w:pPr>
            <w:r w:rsidRPr="00B542EF">
              <w:t>3</w:t>
            </w:r>
          </w:p>
        </w:tc>
        <w:tc>
          <w:tcPr>
            <w:tcW w:w="1260" w:type="dxa"/>
            <w:vAlign w:val="bottom"/>
          </w:tcPr>
          <w:p w:rsidR="009C14B0" w:rsidRPr="00B542EF" w:rsidRDefault="009C14B0" w:rsidP="009C14B0">
            <w:pPr>
              <w:tabs>
                <w:tab w:val="left" w:pos="-1440"/>
                <w:tab w:val="left" w:pos="-720"/>
                <w:tab w:val="left" w:pos="0"/>
                <w:tab w:val="left" w:pos="240"/>
                <w:tab w:val="left" w:pos="720"/>
              </w:tabs>
              <w:spacing w:before="144"/>
              <w:jc w:val="center"/>
            </w:pPr>
            <w:r w:rsidRPr="00B542EF">
              <w:t>2</w:t>
            </w:r>
          </w:p>
        </w:tc>
        <w:tc>
          <w:tcPr>
            <w:tcW w:w="1260" w:type="dxa"/>
            <w:vAlign w:val="bottom"/>
          </w:tcPr>
          <w:p w:rsidR="009C14B0" w:rsidRPr="00B542EF" w:rsidRDefault="009C14B0" w:rsidP="009C14B0">
            <w:pPr>
              <w:tabs>
                <w:tab w:val="left" w:pos="-1440"/>
                <w:tab w:val="left" w:pos="-720"/>
                <w:tab w:val="left" w:pos="0"/>
                <w:tab w:val="left" w:pos="240"/>
                <w:tab w:val="left" w:pos="720"/>
                <w:tab w:val="left" w:pos="1440"/>
              </w:tabs>
              <w:spacing w:before="144"/>
              <w:jc w:val="center"/>
            </w:pPr>
            <w:r w:rsidRPr="00B542EF">
              <w:t>1</w:t>
            </w:r>
          </w:p>
        </w:tc>
        <w:tc>
          <w:tcPr>
            <w:tcW w:w="1260" w:type="dxa"/>
            <w:vAlign w:val="bottom"/>
          </w:tcPr>
          <w:p w:rsidR="009C14B0" w:rsidRPr="00B542EF" w:rsidRDefault="009C14B0" w:rsidP="009C14B0">
            <w:pPr>
              <w:tabs>
                <w:tab w:val="left" w:pos="-1440"/>
                <w:tab w:val="left" w:pos="-720"/>
                <w:tab w:val="left" w:pos="0"/>
                <w:tab w:val="left" w:pos="240"/>
                <w:tab w:val="left" w:pos="720"/>
                <w:tab w:val="left" w:pos="1440"/>
              </w:tabs>
              <w:jc w:val="center"/>
            </w:pPr>
            <w:r w:rsidRPr="00B542EF">
              <w:t>6</w:t>
            </w:r>
          </w:p>
        </w:tc>
      </w:tr>
      <w:tr w:rsidR="002F56B0" w:rsidRPr="00B542EF" w:rsidTr="002F56B0">
        <w:trPr>
          <w:cantSplit/>
          <w:trHeight w:val="477"/>
        </w:trPr>
        <w:tc>
          <w:tcPr>
            <w:tcW w:w="3240" w:type="dxa"/>
            <w:vAlign w:val="bottom"/>
          </w:tcPr>
          <w:p w:rsidR="002F56B0" w:rsidRPr="00B542EF" w:rsidRDefault="002F56B0" w:rsidP="000B7AE6">
            <w:r w:rsidRPr="00B542EF">
              <w:t>List of agreements to agency</w:t>
            </w:r>
          </w:p>
        </w:tc>
        <w:tc>
          <w:tcPr>
            <w:tcW w:w="1530" w:type="dxa"/>
            <w:vAlign w:val="bottom"/>
          </w:tcPr>
          <w:p w:rsidR="002F56B0" w:rsidRPr="00B542EF" w:rsidRDefault="002F56B0" w:rsidP="000B7AE6">
            <w:pPr>
              <w:jc w:val="center"/>
            </w:pPr>
            <w:r w:rsidRPr="00B542EF">
              <w:t>3</w:t>
            </w:r>
          </w:p>
        </w:tc>
        <w:tc>
          <w:tcPr>
            <w:tcW w:w="1260" w:type="dxa"/>
            <w:vAlign w:val="bottom"/>
          </w:tcPr>
          <w:p w:rsidR="002F56B0" w:rsidRPr="00B542EF" w:rsidRDefault="002F56B0" w:rsidP="000B7AE6">
            <w:pPr>
              <w:jc w:val="center"/>
            </w:pPr>
            <w:r w:rsidRPr="00B542EF">
              <w:t>2</w:t>
            </w:r>
          </w:p>
        </w:tc>
        <w:tc>
          <w:tcPr>
            <w:tcW w:w="1260" w:type="dxa"/>
            <w:vAlign w:val="bottom"/>
          </w:tcPr>
          <w:p w:rsidR="002F56B0" w:rsidRPr="00B542EF" w:rsidRDefault="002F56B0" w:rsidP="000B7AE6">
            <w:pPr>
              <w:jc w:val="center"/>
            </w:pPr>
            <w:r w:rsidRPr="00B542EF">
              <w:t>1</w:t>
            </w:r>
          </w:p>
        </w:tc>
        <w:tc>
          <w:tcPr>
            <w:tcW w:w="1260" w:type="dxa"/>
            <w:vAlign w:val="bottom"/>
          </w:tcPr>
          <w:p w:rsidR="002F56B0" w:rsidRPr="00B542EF" w:rsidRDefault="002F56B0" w:rsidP="000B7AE6">
            <w:pPr>
              <w:jc w:val="center"/>
            </w:pPr>
            <w:r w:rsidRPr="00B542EF">
              <w:t>6</w:t>
            </w:r>
          </w:p>
        </w:tc>
      </w:tr>
      <w:tr w:rsidR="002F56B0" w:rsidRPr="00B542EF" w:rsidTr="003B7825">
        <w:trPr>
          <w:cantSplit/>
          <w:trHeight w:val="174"/>
        </w:trPr>
        <w:tc>
          <w:tcPr>
            <w:tcW w:w="3240" w:type="dxa"/>
            <w:vAlign w:val="bottom"/>
          </w:tcPr>
          <w:p w:rsidR="002F56B0" w:rsidRPr="00B542EF" w:rsidRDefault="002F56B0" w:rsidP="00A16358">
            <w:r w:rsidRPr="00B542EF">
              <w:t>Annual report</w:t>
            </w:r>
          </w:p>
        </w:tc>
        <w:tc>
          <w:tcPr>
            <w:tcW w:w="1530" w:type="dxa"/>
            <w:vAlign w:val="bottom"/>
          </w:tcPr>
          <w:p w:rsidR="002F56B0" w:rsidRPr="00B542EF" w:rsidRDefault="002F56B0" w:rsidP="00A16358">
            <w:pPr>
              <w:tabs>
                <w:tab w:val="left" w:pos="-1440"/>
                <w:tab w:val="left" w:pos="-720"/>
                <w:tab w:val="left" w:pos="0"/>
                <w:tab w:val="left" w:pos="240"/>
                <w:tab w:val="left" w:pos="720"/>
                <w:tab w:val="left" w:pos="1440"/>
              </w:tabs>
              <w:spacing w:before="144"/>
              <w:jc w:val="center"/>
            </w:pPr>
            <w:r w:rsidRPr="00B542EF">
              <w:t>3</w:t>
            </w:r>
          </w:p>
        </w:tc>
        <w:tc>
          <w:tcPr>
            <w:tcW w:w="1260" w:type="dxa"/>
            <w:vAlign w:val="bottom"/>
          </w:tcPr>
          <w:p w:rsidR="002F56B0" w:rsidRPr="00B542EF" w:rsidRDefault="002F56B0" w:rsidP="00A16358">
            <w:pPr>
              <w:tabs>
                <w:tab w:val="left" w:pos="-1440"/>
                <w:tab w:val="left" w:pos="-720"/>
                <w:tab w:val="left" w:pos="0"/>
                <w:tab w:val="left" w:pos="240"/>
                <w:tab w:val="left" w:pos="720"/>
              </w:tabs>
              <w:spacing w:before="144"/>
              <w:jc w:val="center"/>
            </w:pPr>
            <w:r w:rsidRPr="00B542EF">
              <w:t>1</w:t>
            </w:r>
          </w:p>
        </w:tc>
        <w:tc>
          <w:tcPr>
            <w:tcW w:w="1260" w:type="dxa"/>
            <w:vAlign w:val="bottom"/>
          </w:tcPr>
          <w:p w:rsidR="002F56B0" w:rsidRPr="00B542EF" w:rsidRDefault="002F56B0" w:rsidP="00A16358">
            <w:pPr>
              <w:tabs>
                <w:tab w:val="left" w:pos="-1440"/>
                <w:tab w:val="left" w:pos="-720"/>
                <w:tab w:val="left" w:pos="0"/>
                <w:tab w:val="left" w:pos="240"/>
                <w:tab w:val="left" w:pos="720"/>
              </w:tabs>
              <w:spacing w:before="144"/>
              <w:jc w:val="center"/>
            </w:pPr>
            <w:r w:rsidRPr="00B542EF">
              <w:t>4</w:t>
            </w:r>
          </w:p>
        </w:tc>
        <w:tc>
          <w:tcPr>
            <w:tcW w:w="1260" w:type="dxa"/>
            <w:vAlign w:val="bottom"/>
          </w:tcPr>
          <w:p w:rsidR="002F56B0" w:rsidRPr="00B542EF" w:rsidRDefault="002F56B0" w:rsidP="00952CAA">
            <w:pPr>
              <w:tabs>
                <w:tab w:val="left" w:pos="-1440"/>
                <w:tab w:val="left" w:pos="-720"/>
                <w:tab w:val="left" w:pos="0"/>
                <w:tab w:val="left" w:pos="240"/>
                <w:tab w:val="left" w:pos="720"/>
                <w:tab w:val="left" w:pos="1440"/>
              </w:tabs>
              <w:spacing w:before="144"/>
              <w:jc w:val="center"/>
            </w:pPr>
            <w:r w:rsidRPr="00B542EF">
              <w:t>12</w:t>
            </w:r>
          </w:p>
        </w:tc>
      </w:tr>
      <w:tr w:rsidR="002F56B0" w:rsidRPr="00B542EF" w:rsidTr="003B7825">
        <w:trPr>
          <w:cantSplit/>
          <w:trHeight w:val="201"/>
        </w:trPr>
        <w:tc>
          <w:tcPr>
            <w:tcW w:w="3240" w:type="dxa"/>
            <w:vAlign w:val="bottom"/>
          </w:tcPr>
          <w:p w:rsidR="002F56B0" w:rsidRPr="00B542EF" w:rsidRDefault="002F56B0" w:rsidP="00A16358">
            <w:r w:rsidRPr="00B542EF">
              <w:t>Filing NGEP annual report</w:t>
            </w:r>
          </w:p>
        </w:tc>
        <w:tc>
          <w:tcPr>
            <w:tcW w:w="1530" w:type="dxa"/>
            <w:vAlign w:val="bottom"/>
          </w:tcPr>
          <w:p w:rsidR="002F56B0" w:rsidRPr="00B542EF" w:rsidRDefault="002F56B0" w:rsidP="00A16358">
            <w:pPr>
              <w:tabs>
                <w:tab w:val="left" w:pos="-1440"/>
                <w:tab w:val="left" w:pos="-720"/>
                <w:tab w:val="left" w:pos="0"/>
                <w:tab w:val="left" w:pos="240"/>
                <w:tab w:val="left" w:pos="720"/>
                <w:tab w:val="left" w:pos="1440"/>
              </w:tabs>
              <w:spacing w:before="144"/>
              <w:jc w:val="center"/>
            </w:pPr>
            <w:r w:rsidRPr="00B542EF">
              <w:t>6</w:t>
            </w:r>
          </w:p>
        </w:tc>
        <w:tc>
          <w:tcPr>
            <w:tcW w:w="1260" w:type="dxa"/>
            <w:vAlign w:val="bottom"/>
          </w:tcPr>
          <w:p w:rsidR="002F56B0" w:rsidRPr="00B542EF" w:rsidRDefault="002F56B0" w:rsidP="00A16358">
            <w:pPr>
              <w:tabs>
                <w:tab w:val="left" w:pos="-1440"/>
                <w:tab w:val="left" w:pos="-720"/>
                <w:tab w:val="left" w:pos="0"/>
                <w:tab w:val="left" w:pos="240"/>
                <w:tab w:val="left" w:pos="720"/>
              </w:tabs>
              <w:spacing w:before="144"/>
              <w:jc w:val="center"/>
            </w:pPr>
            <w:r w:rsidRPr="00B542EF">
              <w:t>1</w:t>
            </w:r>
          </w:p>
        </w:tc>
        <w:tc>
          <w:tcPr>
            <w:tcW w:w="1260" w:type="dxa"/>
            <w:vAlign w:val="bottom"/>
          </w:tcPr>
          <w:p w:rsidR="002F56B0" w:rsidRPr="00B542EF" w:rsidRDefault="002F56B0" w:rsidP="00A16358">
            <w:pPr>
              <w:tabs>
                <w:tab w:val="left" w:pos="-1440"/>
                <w:tab w:val="left" w:pos="-720"/>
                <w:tab w:val="left" w:pos="0"/>
                <w:tab w:val="left" w:pos="240"/>
                <w:tab w:val="left" w:pos="720"/>
              </w:tabs>
              <w:spacing w:before="144"/>
              <w:jc w:val="center"/>
            </w:pPr>
            <w:r w:rsidRPr="00B542EF">
              <w:t>1</w:t>
            </w:r>
          </w:p>
        </w:tc>
        <w:tc>
          <w:tcPr>
            <w:tcW w:w="1260" w:type="dxa"/>
            <w:vAlign w:val="bottom"/>
          </w:tcPr>
          <w:p w:rsidR="002F56B0" w:rsidRPr="00B542EF" w:rsidRDefault="002F56B0" w:rsidP="00952CAA">
            <w:pPr>
              <w:tabs>
                <w:tab w:val="left" w:pos="-1440"/>
                <w:tab w:val="left" w:pos="-720"/>
                <w:tab w:val="left" w:pos="0"/>
                <w:tab w:val="left" w:pos="240"/>
                <w:tab w:val="left" w:pos="720"/>
                <w:tab w:val="left" w:pos="1440"/>
              </w:tabs>
              <w:spacing w:before="144"/>
              <w:jc w:val="center"/>
            </w:pPr>
            <w:r w:rsidRPr="00B542EF">
              <w:t>6</w:t>
            </w:r>
          </w:p>
        </w:tc>
      </w:tr>
      <w:tr w:rsidR="002F56B0" w:rsidRPr="00B542EF" w:rsidTr="003B7825">
        <w:trPr>
          <w:cantSplit/>
          <w:trHeight w:val="372"/>
        </w:trPr>
        <w:tc>
          <w:tcPr>
            <w:tcW w:w="3240" w:type="dxa"/>
            <w:vAlign w:val="bottom"/>
          </w:tcPr>
          <w:p w:rsidR="002F56B0" w:rsidRDefault="002F56B0" w:rsidP="00A16358">
            <w:pPr>
              <w:rPr>
                <w:i/>
                <w:iCs/>
                <w:u w:val="single"/>
              </w:rPr>
            </w:pPr>
          </w:p>
          <w:p w:rsidR="002F56B0" w:rsidRPr="00B542EF" w:rsidRDefault="002F56B0" w:rsidP="00A16358">
            <w:pPr>
              <w:rPr>
                <w:i/>
                <w:u w:val="single"/>
              </w:rPr>
            </w:pPr>
            <w:r w:rsidRPr="00B542EF">
              <w:rPr>
                <w:i/>
                <w:iCs/>
                <w:u w:val="single"/>
              </w:rPr>
              <w:t>Disclosure burden for</w:t>
            </w:r>
            <w:r w:rsidRPr="00B542EF">
              <w:rPr>
                <w:i/>
                <w:u w:val="single"/>
              </w:rPr>
              <w:t xml:space="preserve"> </w:t>
            </w:r>
            <w:r w:rsidRPr="00B542EF">
              <w:rPr>
                <w:i/>
                <w:iCs/>
                <w:u w:val="single"/>
              </w:rPr>
              <w:t>NGEP</w:t>
            </w:r>
          </w:p>
        </w:tc>
        <w:tc>
          <w:tcPr>
            <w:tcW w:w="1530" w:type="dxa"/>
            <w:vAlign w:val="bottom"/>
          </w:tcPr>
          <w:p w:rsidR="002F56B0" w:rsidRPr="00B542EF" w:rsidRDefault="002F56B0" w:rsidP="00A16358">
            <w:pPr>
              <w:tabs>
                <w:tab w:val="left" w:pos="-1440"/>
                <w:tab w:val="left" w:pos="-720"/>
                <w:tab w:val="left" w:pos="0"/>
                <w:tab w:val="left" w:pos="240"/>
                <w:tab w:val="left" w:pos="720"/>
                <w:tab w:val="left" w:pos="1440"/>
              </w:tabs>
              <w:spacing w:before="144"/>
              <w:jc w:val="center"/>
            </w:pPr>
          </w:p>
        </w:tc>
        <w:tc>
          <w:tcPr>
            <w:tcW w:w="1260" w:type="dxa"/>
            <w:vAlign w:val="bottom"/>
          </w:tcPr>
          <w:p w:rsidR="002F56B0" w:rsidRPr="00B542EF" w:rsidRDefault="002F56B0" w:rsidP="00A16358">
            <w:pPr>
              <w:tabs>
                <w:tab w:val="left" w:pos="-1440"/>
                <w:tab w:val="left" w:pos="-720"/>
                <w:tab w:val="left" w:pos="0"/>
                <w:tab w:val="left" w:pos="240"/>
                <w:tab w:val="left" w:pos="720"/>
              </w:tabs>
              <w:spacing w:before="144"/>
              <w:jc w:val="center"/>
            </w:pPr>
          </w:p>
        </w:tc>
        <w:tc>
          <w:tcPr>
            <w:tcW w:w="1260" w:type="dxa"/>
            <w:vAlign w:val="bottom"/>
          </w:tcPr>
          <w:p w:rsidR="002F56B0" w:rsidRPr="00B542EF" w:rsidRDefault="002F56B0" w:rsidP="00A16358">
            <w:pPr>
              <w:tabs>
                <w:tab w:val="left" w:pos="-1440"/>
                <w:tab w:val="left" w:pos="-720"/>
                <w:tab w:val="left" w:pos="0"/>
                <w:tab w:val="left" w:pos="240"/>
                <w:tab w:val="left" w:pos="720"/>
              </w:tabs>
              <w:spacing w:before="144"/>
              <w:jc w:val="center"/>
            </w:pPr>
          </w:p>
        </w:tc>
        <w:tc>
          <w:tcPr>
            <w:tcW w:w="1260" w:type="dxa"/>
            <w:vAlign w:val="bottom"/>
          </w:tcPr>
          <w:p w:rsidR="002F56B0" w:rsidRPr="00B542EF" w:rsidRDefault="002F56B0" w:rsidP="00A16358">
            <w:pPr>
              <w:tabs>
                <w:tab w:val="left" w:pos="-1440"/>
                <w:tab w:val="left" w:pos="-720"/>
                <w:tab w:val="left" w:pos="0"/>
                <w:tab w:val="left" w:pos="240"/>
                <w:tab w:val="left" w:pos="720"/>
                <w:tab w:val="left" w:pos="1440"/>
              </w:tabs>
              <w:spacing w:before="144"/>
              <w:jc w:val="right"/>
            </w:pPr>
          </w:p>
        </w:tc>
      </w:tr>
      <w:tr w:rsidR="002F56B0" w:rsidRPr="00B542EF" w:rsidTr="003B7825">
        <w:trPr>
          <w:cantSplit/>
          <w:trHeight w:val="300"/>
        </w:trPr>
        <w:tc>
          <w:tcPr>
            <w:tcW w:w="3240" w:type="dxa"/>
            <w:vAlign w:val="bottom"/>
          </w:tcPr>
          <w:p w:rsidR="002F56B0" w:rsidRPr="00B542EF" w:rsidRDefault="002F56B0" w:rsidP="00146950">
            <w:r w:rsidRPr="00B542EF">
              <w:t>Covered agreements to public</w:t>
            </w:r>
          </w:p>
        </w:tc>
        <w:tc>
          <w:tcPr>
            <w:tcW w:w="1530" w:type="dxa"/>
            <w:vAlign w:val="bottom"/>
          </w:tcPr>
          <w:p w:rsidR="002F56B0" w:rsidRPr="00B542EF" w:rsidRDefault="002F56B0" w:rsidP="00A16358">
            <w:pPr>
              <w:tabs>
                <w:tab w:val="left" w:pos="-1440"/>
                <w:tab w:val="left" w:pos="-720"/>
                <w:tab w:val="left" w:pos="0"/>
                <w:tab w:val="left" w:pos="240"/>
                <w:tab w:val="left" w:pos="720"/>
                <w:tab w:val="left" w:pos="1440"/>
              </w:tabs>
              <w:spacing w:before="144"/>
              <w:jc w:val="center"/>
            </w:pPr>
            <w:r w:rsidRPr="00B542EF">
              <w:t>6</w:t>
            </w:r>
          </w:p>
        </w:tc>
        <w:tc>
          <w:tcPr>
            <w:tcW w:w="1260" w:type="dxa"/>
            <w:vAlign w:val="bottom"/>
          </w:tcPr>
          <w:p w:rsidR="002F56B0" w:rsidRPr="00B542EF" w:rsidRDefault="002F56B0" w:rsidP="00A16358">
            <w:pPr>
              <w:tabs>
                <w:tab w:val="left" w:pos="-1440"/>
                <w:tab w:val="left" w:pos="-720"/>
                <w:tab w:val="left" w:pos="0"/>
                <w:tab w:val="left" w:pos="240"/>
                <w:tab w:val="left" w:pos="720"/>
              </w:tabs>
              <w:spacing w:before="144"/>
              <w:jc w:val="center"/>
            </w:pPr>
            <w:r w:rsidRPr="00B542EF">
              <w:t>1</w:t>
            </w:r>
          </w:p>
        </w:tc>
        <w:tc>
          <w:tcPr>
            <w:tcW w:w="1260" w:type="dxa"/>
            <w:vAlign w:val="bottom"/>
          </w:tcPr>
          <w:p w:rsidR="002F56B0" w:rsidRPr="00B542EF" w:rsidRDefault="002F56B0" w:rsidP="00A16358">
            <w:pPr>
              <w:tabs>
                <w:tab w:val="left" w:pos="-1440"/>
                <w:tab w:val="left" w:pos="-720"/>
                <w:tab w:val="left" w:pos="0"/>
                <w:tab w:val="left" w:pos="240"/>
                <w:tab w:val="left" w:pos="720"/>
              </w:tabs>
              <w:spacing w:before="144"/>
              <w:jc w:val="center"/>
            </w:pPr>
            <w:r w:rsidRPr="00B542EF">
              <w:t>1</w:t>
            </w:r>
          </w:p>
        </w:tc>
        <w:tc>
          <w:tcPr>
            <w:tcW w:w="1260" w:type="dxa"/>
            <w:vAlign w:val="bottom"/>
          </w:tcPr>
          <w:p w:rsidR="002F56B0" w:rsidRPr="00B542EF" w:rsidRDefault="002F56B0" w:rsidP="00952CAA">
            <w:pPr>
              <w:tabs>
                <w:tab w:val="left" w:pos="-1440"/>
                <w:tab w:val="left" w:pos="-720"/>
                <w:tab w:val="left" w:pos="0"/>
                <w:tab w:val="left" w:pos="240"/>
                <w:tab w:val="left" w:pos="720"/>
                <w:tab w:val="left" w:pos="1440"/>
              </w:tabs>
              <w:spacing w:before="144"/>
              <w:jc w:val="center"/>
            </w:pPr>
            <w:r w:rsidRPr="00B542EF">
              <w:t>6</w:t>
            </w:r>
          </w:p>
        </w:tc>
      </w:tr>
      <w:tr w:rsidR="002F56B0" w:rsidRPr="00B542EF" w:rsidTr="003B7825">
        <w:trPr>
          <w:cantSplit/>
          <w:trHeight w:val="642"/>
        </w:trPr>
        <w:tc>
          <w:tcPr>
            <w:tcW w:w="3240" w:type="dxa"/>
            <w:vAlign w:val="bottom"/>
          </w:tcPr>
          <w:p w:rsidR="002F56B0" w:rsidRPr="00B542EF" w:rsidRDefault="002F56B0" w:rsidP="00A16358">
            <w:pPr>
              <w:rPr>
                <w:i/>
                <w:u w:val="single"/>
              </w:rPr>
            </w:pPr>
            <w:r w:rsidRPr="00B542EF">
              <w:rPr>
                <w:i/>
                <w:iCs/>
                <w:u w:val="single"/>
              </w:rPr>
              <w:t>Reporting burden</w:t>
            </w:r>
            <w:r w:rsidRPr="00B542EF">
              <w:rPr>
                <w:i/>
                <w:u w:val="single"/>
              </w:rPr>
              <w:t xml:space="preserve"> </w:t>
            </w:r>
            <w:r w:rsidRPr="00B542EF">
              <w:rPr>
                <w:i/>
                <w:iCs/>
                <w:u w:val="single"/>
              </w:rPr>
              <w:t>for</w:t>
            </w:r>
            <w:r w:rsidRPr="00B542EF">
              <w:rPr>
                <w:i/>
                <w:u w:val="single"/>
              </w:rPr>
              <w:t xml:space="preserve"> </w:t>
            </w:r>
            <w:r w:rsidRPr="00B542EF">
              <w:rPr>
                <w:i/>
                <w:iCs/>
                <w:u w:val="single"/>
              </w:rPr>
              <w:t>NGEP</w:t>
            </w:r>
          </w:p>
        </w:tc>
        <w:tc>
          <w:tcPr>
            <w:tcW w:w="1530" w:type="dxa"/>
            <w:vAlign w:val="bottom"/>
          </w:tcPr>
          <w:p w:rsidR="002F56B0" w:rsidRPr="00B542EF" w:rsidRDefault="002F56B0" w:rsidP="00A16358">
            <w:pPr>
              <w:tabs>
                <w:tab w:val="left" w:pos="-1440"/>
                <w:tab w:val="left" w:pos="-720"/>
                <w:tab w:val="left" w:pos="0"/>
                <w:tab w:val="left" w:pos="240"/>
                <w:tab w:val="left" w:pos="720"/>
                <w:tab w:val="left" w:pos="1440"/>
              </w:tabs>
              <w:spacing w:before="144"/>
              <w:jc w:val="center"/>
            </w:pPr>
          </w:p>
        </w:tc>
        <w:tc>
          <w:tcPr>
            <w:tcW w:w="1260" w:type="dxa"/>
            <w:vAlign w:val="bottom"/>
          </w:tcPr>
          <w:p w:rsidR="002F56B0" w:rsidRPr="00B542EF" w:rsidRDefault="002F56B0" w:rsidP="00A16358">
            <w:pPr>
              <w:tabs>
                <w:tab w:val="left" w:pos="-1440"/>
                <w:tab w:val="left" w:pos="-720"/>
                <w:tab w:val="left" w:pos="0"/>
                <w:tab w:val="left" w:pos="240"/>
                <w:tab w:val="left" w:pos="720"/>
              </w:tabs>
              <w:spacing w:before="144"/>
              <w:jc w:val="center"/>
            </w:pPr>
          </w:p>
        </w:tc>
        <w:tc>
          <w:tcPr>
            <w:tcW w:w="1260" w:type="dxa"/>
            <w:vAlign w:val="bottom"/>
          </w:tcPr>
          <w:p w:rsidR="002F56B0" w:rsidRPr="00B542EF" w:rsidRDefault="002F56B0" w:rsidP="00A16358">
            <w:pPr>
              <w:tabs>
                <w:tab w:val="left" w:pos="-1440"/>
                <w:tab w:val="left" w:pos="-720"/>
                <w:tab w:val="left" w:pos="0"/>
                <w:tab w:val="left" w:pos="240"/>
                <w:tab w:val="left" w:pos="720"/>
              </w:tabs>
              <w:spacing w:before="144"/>
              <w:jc w:val="center"/>
            </w:pPr>
          </w:p>
        </w:tc>
        <w:tc>
          <w:tcPr>
            <w:tcW w:w="1260" w:type="dxa"/>
            <w:vAlign w:val="bottom"/>
          </w:tcPr>
          <w:p w:rsidR="002F56B0" w:rsidRPr="00B542EF" w:rsidRDefault="002F56B0" w:rsidP="00A16358">
            <w:pPr>
              <w:tabs>
                <w:tab w:val="left" w:pos="-1440"/>
                <w:tab w:val="left" w:pos="-720"/>
                <w:tab w:val="left" w:pos="0"/>
                <w:tab w:val="left" w:pos="240"/>
                <w:tab w:val="left" w:pos="720"/>
                <w:tab w:val="left" w:pos="1440"/>
              </w:tabs>
              <w:spacing w:before="144"/>
              <w:jc w:val="right"/>
            </w:pPr>
          </w:p>
        </w:tc>
      </w:tr>
      <w:tr w:rsidR="002F56B0" w:rsidRPr="00B542EF" w:rsidTr="003B7825">
        <w:trPr>
          <w:cantSplit/>
          <w:trHeight w:val="354"/>
        </w:trPr>
        <w:tc>
          <w:tcPr>
            <w:tcW w:w="3240" w:type="dxa"/>
            <w:vAlign w:val="bottom"/>
          </w:tcPr>
          <w:p w:rsidR="002F56B0" w:rsidRPr="00B542EF" w:rsidRDefault="002F56B0" w:rsidP="009C14B0">
            <w:r w:rsidRPr="00B542EF">
              <w:t>Copy of agreements to agency</w:t>
            </w:r>
          </w:p>
        </w:tc>
        <w:tc>
          <w:tcPr>
            <w:tcW w:w="1530" w:type="dxa"/>
            <w:vAlign w:val="bottom"/>
          </w:tcPr>
          <w:p w:rsidR="002F56B0" w:rsidRPr="00B542EF" w:rsidRDefault="002F56B0" w:rsidP="009C14B0">
            <w:pPr>
              <w:tabs>
                <w:tab w:val="left" w:pos="-1440"/>
                <w:tab w:val="left" w:pos="-720"/>
                <w:tab w:val="left" w:pos="0"/>
                <w:tab w:val="left" w:pos="240"/>
                <w:tab w:val="left" w:pos="720"/>
                <w:tab w:val="left" w:pos="1440"/>
              </w:tabs>
              <w:spacing w:before="144"/>
              <w:jc w:val="center"/>
            </w:pPr>
            <w:r w:rsidRPr="00B542EF">
              <w:t>6</w:t>
            </w:r>
          </w:p>
        </w:tc>
        <w:tc>
          <w:tcPr>
            <w:tcW w:w="1260" w:type="dxa"/>
            <w:vAlign w:val="bottom"/>
          </w:tcPr>
          <w:p w:rsidR="002F56B0" w:rsidRPr="00B542EF" w:rsidRDefault="002F56B0" w:rsidP="009C14B0">
            <w:pPr>
              <w:tabs>
                <w:tab w:val="left" w:pos="-1440"/>
                <w:tab w:val="left" w:pos="-720"/>
                <w:tab w:val="left" w:pos="0"/>
                <w:tab w:val="left" w:pos="240"/>
                <w:tab w:val="left" w:pos="720"/>
              </w:tabs>
              <w:spacing w:before="144"/>
              <w:jc w:val="center"/>
            </w:pPr>
            <w:r w:rsidRPr="00B542EF">
              <w:t>1</w:t>
            </w:r>
          </w:p>
        </w:tc>
        <w:tc>
          <w:tcPr>
            <w:tcW w:w="1260" w:type="dxa"/>
            <w:vAlign w:val="bottom"/>
          </w:tcPr>
          <w:p w:rsidR="002F56B0" w:rsidRPr="00B542EF" w:rsidRDefault="002F56B0" w:rsidP="009C14B0">
            <w:pPr>
              <w:tabs>
                <w:tab w:val="left" w:pos="-1440"/>
                <w:tab w:val="left" w:pos="-720"/>
                <w:tab w:val="left" w:pos="0"/>
                <w:tab w:val="left" w:pos="240"/>
                <w:tab w:val="left" w:pos="720"/>
              </w:tabs>
              <w:spacing w:before="144"/>
              <w:jc w:val="center"/>
            </w:pPr>
            <w:r w:rsidRPr="00B542EF">
              <w:t>1</w:t>
            </w:r>
          </w:p>
        </w:tc>
        <w:tc>
          <w:tcPr>
            <w:tcW w:w="1260" w:type="dxa"/>
            <w:vAlign w:val="bottom"/>
          </w:tcPr>
          <w:p w:rsidR="002F56B0" w:rsidRPr="00B542EF" w:rsidRDefault="002F56B0" w:rsidP="009C14B0">
            <w:pPr>
              <w:tabs>
                <w:tab w:val="left" w:pos="-1440"/>
                <w:tab w:val="left" w:pos="-720"/>
                <w:tab w:val="left" w:pos="0"/>
                <w:tab w:val="left" w:pos="240"/>
                <w:tab w:val="left" w:pos="720"/>
                <w:tab w:val="left" w:pos="1440"/>
              </w:tabs>
              <w:spacing w:before="144"/>
              <w:jc w:val="center"/>
            </w:pPr>
            <w:r w:rsidRPr="00B542EF">
              <w:t>6</w:t>
            </w:r>
          </w:p>
        </w:tc>
      </w:tr>
      <w:tr w:rsidR="002F56B0" w:rsidRPr="00B542EF" w:rsidTr="003B7825">
        <w:trPr>
          <w:cantSplit/>
          <w:trHeight w:val="354"/>
        </w:trPr>
        <w:tc>
          <w:tcPr>
            <w:tcW w:w="3240" w:type="dxa"/>
            <w:vAlign w:val="bottom"/>
          </w:tcPr>
          <w:p w:rsidR="002F56B0" w:rsidRPr="00B542EF" w:rsidRDefault="002F56B0" w:rsidP="00A16358">
            <w:r w:rsidRPr="00B542EF">
              <w:t>Annual report</w:t>
            </w:r>
          </w:p>
        </w:tc>
        <w:tc>
          <w:tcPr>
            <w:tcW w:w="1530" w:type="dxa"/>
            <w:vAlign w:val="bottom"/>
          </w:tcPr>
          <w:p w:rsidR="002F56B0" w:rsidRPr="00B542EF" w:rsidRDefault="002F56B0" w:rsidP="00A16358">
            <w:pPr>
              <w:tabs>
                <w:tab w:val="left" w:pos="-1440"/>
                <w:tab w:val="left" w:pos="-720"/>
                <w:tab w:val="left" w:pos="0"/>
                <w:tab w:val="left" w:pos="240"/>
                <w:tab w:val="left" w:pos="720"/>
                <w:tab w:val="left" w:pos="1440"/>
              </w:tabs>
              <w:spacing w:before="144"/>
              <w:jc w:val="center"/>
              <w:rPr>
                <w:u w:val="single"/>
              </w:rPr>
            </w:pPr>
            <w:r w:rsidRPr="00B542EF">
              <w:rPr>
                <w:u w:val="single"/>
              </w:rPr>
              <w:t>6</w:t>
            </w:r>
          </w:p>
        </w:tc>
        <w:tc>
          <w:tcPr>
            <w:tcW w:w="1260" w:type="dxa"/>
            <w:vAlign w:val="bottom"/>
          </w:tcPr>
          <w:p w:rsidR="002F56B0" w:rsidRPr="00B542EF" w:rsidRDefault="002F56B0" w:rsidP="00A16358">
            <w:pPr>
              <w:tabs>
                <w:tab w:val="left" w:pos="-1440"/>
                <w:tab w:val="left" w:pos="-720"/>
                <w:tab w:val="left" w:pos="0"/>
                <w:tab w:val="left" w:pos="240"/>
                <w:tab w:val="left" w:pos="720"/>
              </w:tabs>
              <w:spacing w:before="144"/>
              <w:jc w:val="center"/>
              <w:rPr>
                <w:u w:val="single"/>
              </w:rPr>
            </w:pPr>
            <w:r w:rsidRPr="00B542EF">
              <w:rPr>
                <w:u w:val="single"/>
              </w:rPr>
              <w:t>1</w:t>
            </w:r>
          </w:p>
        </w:tc>
        <w:tc>
          <w:tcPr>
            <w:tcW w:w="1260" w:type="dxa"/>
            <w:vAlign w:val="bottom"/>
          </w:tcPr>
          <w:p w:rsidR="002F56B0" w:rsidRPr="00B542EF" w:rsidRDefault="002F56B0" w:rsidP="00A16358">
            <w:pPr>
              <w:tabs>
                <w:tab w:val="left" w:pos="-1440"/>
                <w:tab w:val="left" w:pos="-720"/>
                <w:tab w:val="left" w:pos="0"/>
                <w:tab w:val="left" w:pos="240"/>
                <w:tab w:val="left" w:pos="720"/>
              </w:tabs>
              <w:spacing w:before="144"/>
              <w:jc w:val="center"/>
              <w:rPr>
                <w:u w:val="single"/>
              </w:rPr>
            </w:pPr>
            <w:r w:rsidRPr="00B542EF">
              <w:rPr>
                <w:u w:val="single"/>
              </w:rPr>
              <w:t>4</w:t>
            </w:r>
          </w:p>
        </w:tc>
        <w:tc>
          <w:tcPr>
            <w:tcW w:w="1260" w:type="dxa"/>
            <w:vAlign w:val="bottom"/>
          </w:tcPr>
          <w:p w:rsidR="002F56B0" w:rsidRPr="00B542EF" w:rsidRDefault="002F56B0" w:rsidP="00952CAA">
            <w:pPr>
              <w:tabs>
                <w:tab w:val="left" w:pos="-1440"/>
                <w:tab w:val="left" w:pos="-720"/>
                <w:tab w:val="left" w:pos="0"/>
                <w:tab w:val="left" w:pos="240"/>
                <w:tab w:val="left" w:pos="720"/>
                <w:tab w:val="left" w:pos="1440"/>
              </w:tabs>
              <w:spacing w:before="144"/>
              <w:jc w:val="center"/>
              <w:rPr>
                <w:u w:val="single"/>
              </w:rPr>
            </w:pPr>
            <w:r w:rsidRPr="00B542EF">
              <w:rPr>
                <w:u w:val="single"/>
              </w:rPr>
              <w:t>24</w:t>
            </w:r>
          </w:p>
        </w:tc>
      </w:tr>
      <w:tr w:rsidR="002F56B0" w:rsidRPr="00B542EF" w:rsidTr="003B7825">
        <w:trPr>
          <w:cantSplit/>
        </w:trPr>
        <w:tc>
          <w:tcPr>
            <w:tcW w:w="3240" w:type="dxa"/>
            <w:vAlign w:val="bottom"/>
          </w:tcPr>
          <w:p w:rsidR="002F56B0" w:rsidRPr="00B542EF" w:rsidRDefault="002F56B0" w:rsidP="00A16358">
            <w:pPr>
              <w:jc w:val="right"/>
              <w:rPr>
                <w:i/>
              </w:rPr>
            </w:pPr>
            <w:r w:rsidRPr="00B542EF">
              <w:rPr>
                <w:i/>
                <w:iCs/>
              </w:rPr>
              <w:t>Total</w:t>
            </w:r>
          </w:p>
        </w:tc>
        <w:tc>
          <w:tcPr>
            <w:tcW w:w="1530" w:type="dxa"/>
            <w:vAlign w:val="bottom"/>
          </w:tcPr>
          <w:p w:rsidR="002F56B0" w:rsidRPr="00B542EF" w:rsidRDefault="002F56B0" w:rsidP="00A16358">
            <w:pPr>
              <w:spacing w:before="144"/>
              <w:jc w:val="center"/>
              <w:rPr>
                <w:u w:val="double"/>
              </w:rPr>
            </w:pPr>
            <w:r w:rsidRPr="00B542EF">
              <w:rPr>
                <w:u w:val="double"/>
              </w:rPr>
              <w:t>6</w:t>
            </w:r>
          </w:p>
        </w:tc>
        <w:tc>
          <w:tcPr>
            <w:tcW w:w="1260" w:type="dxa"/>
            <w:vAlign w:val="bottom"/>
          </w:tcPr>
          <w:p w:rsidR="002F56B0" w:rsidRPr="00B542EF" w:rsidRDefault="002F56B0" w:rsidP="00A16358">
            <w:pPr>
              <w:spacing w:before="144"/>
              <w:jc w:val="center"/>
              <w:rPr>
                <w:u w:val="double"/>
              </w:rPr>
            </w:pPr>
          </w:p>
        </w:tc>
        <w:tc>
          <w:tcPr>
            <w:tcW w:w="1260" w:type="dxa"/>
            <w:vAlign w:val="bottom"/>
          </w:tcPr>
          <w:p w:rsidR="002F56B0" w:rsidRPr="00B542EF" w:rsidRDefault="002F56B0" w:rsidP="00A16358">
            <w:pPr>
              <w:spacing w:before="144"/>
              <w:jc w:val="center"/>
            </w:pPr>
          </w:p>
        </w:tc>
        <w:tc>
          <w:tcPr>
            <w:tcW w:w="1260" w:type="dxa"/>
            <w:vAlign w:val="bottom"/>
          </w:tcPr>
          <w:p w:rsidR="002F56B0" w:rsidRPr="00B542EF" w:rsidRDefault="002F56B0" w:rsidP="00952CAA">
            <w:pPr>
              <w:spacing w:before="144"/>
              <w:jc w:val="center"/>
              <w:rPr>
                <w:u w:val="double"/>
              </w:rPr>
            </w:pPr>
            <w:r w:rsidRPr="00B542EF">
              <w:rPr>
                <w:u w:val="double"/>
              </w:rPr>
              <w:t>78</w:t>
            </w:r>
          </w:p>
        </w:tc>
      </w:tr>
    </w:tbl>
    <w:p w:rsidR="00875E99" w:rsidRPr="00B542EF" w:rsidRDefault="00875E99">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rsidR="00B542EF" w:rsidRDefault="00C57D49" w:rsidP="009C14B0">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542EF">
        <w:t>T</w:t>
      </w:r>
      <w:r w:rsidR="00875E99" w:rsidRPr="00B542EF">
        <w:t>he estimated cost to the public for this information collection is $</w:t>
      </w:r>
      <w:r w:rsidR="00837E10">
        <w:t>4,290</w:t>
      </w:r>
      <w:r w:rsidR="00875E99" w:rsidRPr="00B542EF">
        <w:t>.</w:t>
      </w:r>
      <w:r w:rsidRPr="00B542EF">
        <w:rPr>
          <w:rStyle w:val="FootnoteReference"/>
        </w:rPr>
        <w:footnoteReference w:id="8"/>
      </w:r>
    </w:p>
    <w:p w:rsidR="000B7AE6" w:rsidRDefault="000B7AE6" w:rsidP="009C14B0">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D66E50" w:rsidRDefault="00D66E50" w:rsidP="009C14B0">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D66E50" w:rsidRDefault="00D66E50" w:rsidP="009C14B0">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D66E50" w:rsidRPr="009C14B0" w:rsidRDefault="00D66E50" w:rsidP="009C14B0">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F97553" w:rsidRPr="00B542EF" w:rsidRDefault="00F97553" w:rsidP="00F97553">
      <w:r w:rsidRPr="00B542EF">
        <w:rPr>
          <w:b/>
          <w:bCs/>
        </w:rPr>
        <w:lastRenderedPageBreak/>
        <w:t>Sensitive Questions</w:t>
      </w:r>
    </w:p>
    <w:p w:rsidR="00F97553" w:rsidRPr="00B542EF" w:rsidRDefault="00F97553" w:rsidP="00F97553">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F97553" w:rsidRDefault="00F97553" w:rsidP="00F97553">
      <w:r w:rsidRPr="00B542EF">
        <w:tab/>
        <w:t xml:space="preserve">This collection of information does not contain questions of a sensitive nature, as defined by </w:t>
      </w:r>
      <w:r>
        <w:t xml:space="preserve">Office of Management and Budget </w:t>
      </w:r>
      <w:r w:rsidRPr="00B542EF">
        <w:t>guidelines.</w:t>
      </w:r>
    </w:p>
    <w:p w:rsidR="00F97553" w:rsidRDefault="00F97553" w:rsidP="00F97553">
      <w:pPr>
        <w:rPr>
          <w:b/>
          <w:color w:val="000000"/>
        </w:rPr>
      </w:pPr>
    </w:p>
    <w:p w:rsidR="00F97553" w:rsidRPr="00706205" w:rsidRDefault="00F97553" w:rsidP="00F97553">
      <w:pPr>
        <w:rPr>
          <w:b/>
          <w:color w:val="000000"/>
        </w:rPr>
      </w:pPr>
      <w:r w:rsidRPr="00B542EF">
        <w:rPr>
          <w:b/>
          <w:bCs/>
        </w:rPr>
        <w:t xml:space="preserve">Consultation </w:t>
      </w:r>
      <w:proofErr w:type="gramStart"/>
      <w:r w:rsidRPr="00B542EF">
        <w:rPr>
          <w:b/>
          <w:bCs/>
        </w:rPr>
        <w:t>Outside</w:t>
      </w:r>
      <w:proofErr w:type="gramEnd"/>
      <w:r w:rsidRPr="00B542EF">
        <w:rPr>
          <w:b/>
          <w:bCs/>
        </w:rPr>
        <w:t xml:space="preserve"> the Agency </w:t>
      </w:r>
    </w:p>
    <w:p w:rsidR="00F97553" w:rsidRPr="00B542EF" w:rsidRDefault="00F97553" w:rsidP="00F97553">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542EF">
        <w:tab/>
      </w:r>
    </w:p>
    <w:p w:rsidR="00F97553" w:rsidRDefault="00F97553" w:rsidP="00F97553">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542EF">
        <w:tab/>
      </w:r>
      <w:r w:rsidR="00D07B1F">
        <w:rPr>
          <w:sz w:val="23"/>
          <w:szCs w:val="23"/>
        </w:rPr>
        <w:t xml:space="preserve">On November 21, 2012, the agencies published an initial notice in the </w:t>
      </w:r>
      <w:r w:rsidR="00D07B1F">
        <w:rPr>
          <w:i/>
          <w:iCs/>
          <w:sz w:val="23"/>
          <w:szCs w:val="23"/>
        </w:rPr>
        <w:t xml:space="preserve">Federal Register </w:t>
      </w:r>
      <w:r w:rsidR="00D07B1F">
        <w:rPr>
          <w:sz w:val="23"/>
          <w:szCs w:val="23"/>
        </w:rPr>
        <w:t>(77 FR 69843) requesting public comment for 60 days on the extension, without revision, of Regulation G. The commen</w:t>
      </w:r>
      <w:r w:rsidR="00E75619">
        <w:rPr>
          <w:sz w:val="23"/>
          <w:szCs w:val="23"/>
        </w:rPr>
        <w:t>t period for this notice expired</w:t>
      </w:r>
      <w:r w:rsidR="00D07B1F">
        <w:rPr>
          <w:sz w:val="23"/>
          <w:szCs w:val="23"/>
        </w:rPr>
        <w:t xml:space="preserve"> on January 22, 2013.</w:t>
      </w:r>
      <w:r w:rsidR="00E75619" w:rsidRPr="00E75619">
        <w:t xml:space="preserve"> </w:t>
      </w:r>
      <w:r w:rsidR="00E75619" w:rsidRPr="00363273">
        <w:rPr>
          <w:snapToGrid w:val="0"/>
          <w:szCs w:val="20"/>
        </w:rPr>
        <w:t xml:space="preserve">The Federal Reserve did not receive any </w:t>
      </w:r>
      <w:r w:rsidR="00E75619">
        <w:rPr>
          <w:snapToGrid w:val="0"/>
          <w:szCs w:val="20"/>
        </w:rPr>
        <w:t>comments.  On January 29</w:t>
      </w:r>
      <w:r w:rsidR="00E75619" w:rsidRPr="00363273">
        <w:rPr>
          <w:snapToGrid w:val="0"/>
          <w:szCs w:val="20"/>
        </w:rPr>
        <w:t>,</w:t>
      </w:r>
      <w:r w:rsidR="00E75619">
        <w:rPr>
          <w:snapToGrid w:val="0"/>
          <w:szCs w:val="20"/>
        </w:rPr>
        <w:t xml:space="preserve"> 2013</w:t>
      </w:r>
      <w:r w:rsidR="00E75619" w:rsidRPr="00363273">
        <w:rPr>
          <w:snapToGrid w:val="0"/>
          <w:szCs w:val="20"/>
        </w:rPr>
        <w:t xml:space="preserve">, the Federal Reserve published a final notice in the </w:t>
      </w:r>
      <w:r w:rsidR="00E75619" w:rsidRPr="00363273">
        <w:rPr>
          <w:i/>
          <w:snapToGrid w:val="0"/>
          <w:szCs w:val="20"/>
        </w:rPr>
        <w:t>Federal Register</w:t>
      </w:r>
      <w:r w:rsidR="00E75619">
        <w:rPr>
          <w:snapToGrid w:val="0"/>
          <w:szCs w:val="20"/>
        </w:rPr>
        <w:t xml:space="preserve"> (78 FR 6106</w:t>
      </w:r>
      <w:r w:rsidR="00E75619" w:rsidRPr="00363273">
        <w:rPr>
          <w:snapToGrid w:val="0"/>
          <w:szCs w:val="20"/>
        </w:rPr>
        <w:t>).</w:t>
      </w:r>
    </w:p>
    <w:p w:rsidR="00F97553" w:rsidRDefault="00F97553" w:rsidP="00EE6E59">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bookmarkStart w:id="0" w:name="_GoBack"/>
      <w:bookmarkEnd w:id="0"/>
    </w:p>
    <w:p w:rsidR="00EE6E59" w:rsidRPr="00B542EF" w:rsidRDefault="00EE6E59" w:rsidP="00EE6E59">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r w:rsidRPr="00B542EF">
        <w:rPr>
          <w:b/>
          <w:bCs/>
        </w:rPr>
        <w:t>Estimate of Cost to the Federal Reserve System</w:t>
      </w:r>
    </w:p>
    <w:p w:rsidR="007643E0" w:rsidRPr="00B542EF" w:rsidRDefault="007643E0" w:rsidP="00EE6E59">
      <w:pPr>
        <w:pStyle w:val="BodyTextIndent3"/>
        <w:ind w:firstLine="0"/>
      </w:pPr>
    </w:p>
    <w:p w:rsidR="00EE6E59" w:rsidRPr="00B542EF" w:rsidRDefault="00EE6E59" w:rsidP="007A78B8">
      <w:pPr>
        <w:pStyle w:val="BodyTextIndent3"/>
        <w:ind w:firstLine="0"/>
      </w:pPr>
      <w:r w:rsidRPr="00B542EF">
        <w:tab/>
        <w:t xml:space="preserve">Since </w:t>
      </w:r>
      <w:r w:rsidR="007B0E8D">
        <w:t xml:space="preserve">there are so few filings submitted to </w:t>
      </w:r>
      <w:r w:rsidRPr="00B542EF">
        <w:t xml:space="preserve">the </w:t>
      </w:r>
      <w:r w:rsidR="00596392">
        <w:t>Federal Reserve</w:t>
      </w:r>
      <w:r w:rsidRPr="00B542EF">
        <w:t>, the cost to the Federal Reserve System is negligible.</w:t>
      </w:r>
    </w:p>
    <w:sectPr w:rsidR="00EE6E59" w:rsidRPr="00B542EF" w:rsidSect="00707F4B">
      <w:headerReference w:type="default" r:id="rId9"/>
      <w:footerReference w:type="even" r:id="rId10"/>
      <w:footerReference w:type="default" r:id="rId11"/>
      <w:pgSz w:w="12240" w:h="15840"/>
      <w:pgMar w:top="1440" w:right="1319" w:bottom="1440" w:left="131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05B7" w:rsidRDefault="003605B7">
      <w:r>
        <w:separator/>
      </w:r>
    </w:p>
  </w:endnote>
  <w:endnote w:type="continuationSeparator" w:id="0">
    <w:p w:rsidR="003605B7" w:rsidRDefault="00360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P MathA">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5B7" w:rsidRDefault="003605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605B7" w:rsidRDefault="003605B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5B7" w:rsidRDefault="003605B7">
    <w:pPr>
      <w:pStyle w:val="Footer"/>
      <w:ind w:right="360"/>
    </w:pPr>
    <w:r>
      <w:rPr>
        <w:rStyle w:val="PageNumber"/>
      </w:rPr>
      <w:tab/>
    </w:r>
    <w:r>
      <w:rPr>
        <w:rStyle w:val="PageNumber"/>
      </w:rPr>
      <w:fldChar w:fldCharType="begin"/>
    </w:r>
    <w:r>
      <w:rPr>
        <w:rStyle w:val="PageNumber"/>
      </w:rPr>
      <w:instrText xml:space="preserve"> PAGE </w:instrText>
    </w:r>
    <w:r>
      <w:rPr>
        <w:rStyle w:val="PageNumber"/>
      </w:rPr>
      <w:fldChar w:fldCharType="separate"/>
    </w:r>
    <w:r w:rsidR="00E75619">
      <w:rPr>
        <w:rStyle w:val="PageNumber"/>
        <w:noProof/>
      </w:rPr>
      <w:t>1</w:t>
    </w:r>
    <w:r>
      <w:rPr>
        <w:rStyle w:val="PageNumber"/>
      </w:rPr>
      <w:fldChar w:fldCharType="end"/>
    </w:r>
    <w:r>
      <w:rPr>
        <w:rStyle w:val="PageNumbe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05B7" w:rsidRDefault="003605B7">
      <w:r>
        <w:separator/>
      </w:r>
    </w:p>
  </w:footnote>
  <w:footnote w:type="continuationSeparator" w:id="0">
    <w:p w:rsidR="003605B7" w:rsidRDefault="003605B7">
      <w:r>
        <w:continuationSeparator/>
      </w:r>
    </w:p>
  </w:footnote>
  <w:footnote w:id="1">
    <w:p w:rsidR="003605B7" w:rsidRPr="00541C79" w:rsidRDefault="003605B7" w:rsidP="00541C79">
      <w:pPr>
        <w:rPr>
          <w:sz w:val="20"/>
          <w:szCs w:val="20"/>
        </w:rPr>
      </w:pPr>
      <w:r w:rsidRPr="00541C79">
        <w:rPr>
          <w:rStyle w:val="FootnoteReference"/>
          <w:sz w:val="20"/>
          <w:szCs w:val="20"/>
        </w:rPr>
        <w:footnoteRef/>
      </w:r>
      <w:r w:rsidRPr="00541C79">
        <w:rPr>
          <w:sz w:val="20"/>
          <w:szCs w:val="20"/>
        </w:rPr>
        <w:t xml:space="preserve"> </w:t>
      </w:r>
      <w:r>
        <w:rPr>
          <w:sz w:val="20"/>
          <w:szCs w:val="20"/>
        </w:rPr>
        <w:t xml:space="preserve"> </w:t>
      </w:r>
      <w:proofErr w:type="gramStart"/>
      <w:r w:rsidRPr="00541C79">
        <w:rPr>
          <w:sz w:val="20"/>
          <w:szCs w:val="20"/>
        </w:rPr>
        <w:t xml:space="preserve">44 U.S.C. § 3501 </w:t>
      </w:r>
      <w:r w:rsidRPr="00541C79">
        <w:rPr>
          <w:sz w:val="20"/>
          <w:szCs w:val="20"/>
          <w:u w:val="single"/>
        </w:rPr>
        <w:t>et</w:t>
      </w:r>
      <w:r w:rsidRPr="00541C79">
        <w:rPr>
          <w:sz w:val="20"/>
          <w:szCs w:val="20"/>
        </w:rPr>
        <w:t xml:space="preserve"> </w:t>
      </w:r>
      <w:r w:rsidRPr="00541C79">
        <w:rPr>
          <w:sz w:val="20"/>
          <w:szCs w:val="20"/>
          <w:u w:val="single"/>
        </w:rPr>
        <w:t>seq</w:t>
      </w:r>
      <w:r w:rsidRPr="00541C79">
        <w:rPr>
          <w:sz w:val="20"/>
          <w:szCs w:val="20"/>
        </w:rPr>
        <w:t>.</w:t>
      </w:r>
      <w:proofErr w:type="gramEnd"/>
    </w:p>
  </w:footnote>
  <w:footnote w:id="2">
    <w:p w:rsidR="003605B7" w:rsidRPr="00541C79" w:rsidRDefault="003605B7" w:rsidP="00A65485">
      <w:pPr>
        <w:rPr>
          <w:sz w:val="20"/>
          <w:szCs w:val="20"/>
        </w:rPr>
      </w:pPr>
      <w:r w:rsidRPr="00541C79">
        <w:rPr>
          <w:rStyle w:val="FootnoteReference"/>
          <w:sz w:val="20"/>
          <w:szCs w:val="20"/>
        </w:rPr>
        <w:footnoteRef/>
      </w:r>
      <w:r w:rsidRPr="00541C79">
        <w:rPr>
          <w:sz w:val="20"/>
          <w:szCs w:val="20"/>
        </w:rPr>
        <w:t xml:space="preserve"> </w:t>
      </w:r>
      <w:r>
        <w:rPr>
          <w:sz w:val="20"/>
          <w:szCs w:val="20"/>
        </w:rPr>
        <w:t xml:space="preserve"> </w:t>
      </w:r>
      <w:proofErr w:type="gramStart"/>
      <w:r w:rsidRPr="00541C79">
        <w:rPr>
          <w:sz w:val="20"/>
          <w:szCs w:val="20"/>
        </w:rPr>
        <w:t xml:space="preserve">12 U.S.C. § 2901 </w:t>
      </w:r>
      <w:r w:rsidRPr="00541C79">
        <w:rPr>
          <w:sz w:val="20"/>
          <w:szCs w:val="20"/>
          <w:u w:val="single"/>
        </w:rPr>
        <w:t>et</w:t>
      </w:r>
      <w:r w:rsidRPr="00541C79">
        <w:rPr>
          <w:sz w:val="20"/>
          <w:szCs w:val="20"/>
        </w:rPr>
        <w:t xml:space="preserve"> </w:t>
      </w:r>
      <w:r w:rsidRPr="00541C79">
        <w:rPr>
          <w:sz w:val="20"/>
          <w:szCs w:val="20"/>
          <w:u w:val="single"/>
        </w:rPr>
        <w:t>seq.</w:t>
      </w:r>
      <w:proofErr w:type="gramEnd"/>
    </w:p>
  </w:footnote>
  <w:footnote w:id="3">
    <w:p w:rsidR="003605B7" w:rsidRPr="00FB3D6A" w:rsidRDefault="003605B7" w:rsidP="00FB3D6A">
      <w:pPr>
        <w:rPr>
          <w:sz w:val="20"/>
          <w:szCs w:val="20"/>
        </w:rPr>
      </w:pPr>
      <w:r w:rsidRPr="00FB3D6A">
        <w:rPr>
          <w:rStyle w:val="FootnoteReference"/>
          <w:sz w:val="20"/>
          <w:szCs w:val="20"/>
        </w:rPr>
        <w:footnoteRef/>
      </w:r>
      <w:r w:rsidRPr="00FB3D6A">
        <w:rPr>
          <w:sz w:val="20"/>
          <w:szCs w:val="20"/>
        </w:rPr>
        <w:t xml:space="preserve">  </w:t>
      </w:r>
      <w:r>
        <w:rPr>
          <w:sz w:val="20"/>
          <w:szCs w:val="20"/>
        </w:rPr>
        <w:t xml:space="preserve">The other “federal banking agencies” are the </w:t>
      </w:r>
      <w:r w:rsidRPr="00FB3D6A">
        <w:rPr>
          <w:bCs/>
          <w:sz w:val="20"/>
          <w:szCs w:val="20"/>
        </w:rPr>
        <w:t>Office of the Comptroller of the Currency (OMB No.</w:t>
      </w:r>
      <w:r>
        <w:rPr>
          <w:sz w:val="20"/>
          <w:szCs w:val="20"/>
        </w:rPr>
        <w:t xml:space="preserve">1557–0219) and </w:t>
      </w:r>
      <w:r w:rsidRPr="00FB3D6A">
        <w:rPr>
          <w:sz w:val="20"/>
          <w:szCs w:val="20"/>
        </w:rPr>
        <w:t xml:space="preserve">the </w:t>
      </w:r>
      <w:r w:rsidRPr="00FB3D6A">
        <w:rPr>
          <w:bCs/>
          <w:sz w:val="20"/>
          <w:szCs w:val="20"/>
        </w:rPr>
        <w:t xml:space="preserve">Federal Deposit Insurance Corporation (OMB No. </w:t>
      </w:r>
      <w:r w:rsidRPr="00FB3D6A">
        <w:rPr>
          <w:sz w:val="20"/>
          <w:szCs w:val="20"/>
        </w:rPr>
        <w:t>3064–0139</w:t>
      </w:r>
      <w:r>
        <w:rPr>
          <w:sz w:val="20"/>
          <w:szCs w:val="20"/>
        </w:rPr>
        <w:t>).</w:t>
      </w:r>
    </w:p>
  </w:footnote>
  <w:footnote w:id="4">
    <w:p w:rsidR="003605B7" w:rsidRPr="00B04437" w:rsidRDefault="003605B7" w:rsidP="00D07CE9">
      <w:pPr>
        <w:rPr>
          <w:sz w:val="20"/>
          <w:szCs w:val="20"/>
        </w:rPr>
      </w:pPr>
      <w:r w:rsidRPr="00B04437">
        <w:rPr>
          <w:rStyle w:val="FootnoteReference"/>
          <w:sz w:val="20"/>
          <w:szCs w:val="20"/>
        </w:rPr>
        <w:footnoteRef/>
      </w:r>
      <w:r w:rsidRPr="00B04437">
        <w:rPr>
          <w:sz w:val="20"/>
          <w:szCs w:val="20"/>
        </w:rPr>
        <w:t xml:space="preserve"> </w:t>
      </w:r>
      <w:r>
        <w:rPr>
          <w:sz w:val="20"/>
          <w:szCs w:val="20"/>
        </w:rPr>
        <w:t xml:space="preserve"> </w:t>
      </w:r>
      <w:r w:rsidRPr="00BD58CF">
        <w:rPr>
          <w:color w:val="000000"/>
          <w:sz w:val="20"/>
          <w:szCs w:val="20"/>
        </w:rPr>
        <w:t>Title III of the Dodd-Frank Wall Street Reform and Consumer Protection Act (the Dodd-Frank Act) transfer</w:t>
      </w:r>
      <w:r>
        <w:rPr>
          <w:color w:val="000000"/>
          <w:sz w:val="20"/>
          <w:szCs w:val="20"/>
        </w:rPr>
        <w:t>red</w:t>
      </w:r>
      <w:r w:rsidRPr="00BD58CF">
        <w:rPr>
          <w:color w:val="000000"/>
          <w:sz w:val="20"/>
          <w:szCs w:val="20"/>
        </w:rPr>
        <w:t xml:space="preserve"> all former Office of Thrift Supervision</w:t>
      </w:r>
      <w:r>
        <w:rPr>
          <w:color w:val="000000"/>
          <w:sz w:val="20"/>
          <w:szCs w:val="20"/>
        </w:rPr>
        <w:t xml:space="preserve"> (OTS)</w:t>
      </w:r>
      <w:r w:rsidRPr="00BD58CF">
        <w:rPr>
          <w:color w:val="000000"/>
          <w:sz w:val="20"/>
          <w:szCs w:val="20"/>
        </w:rPr>
        <w:t xml:space="preserve"> authorities (including rulemaking) related to savings and loan holding companies</w:t>
      </w:r>
      <w:r>
        <w:rPr>
          <w:color w:val="000000"/>
          <w:sz w:val="20"/>
          <w:szCs w:val="20"/>
        </w:rPr>
        <w:t xml:space="preserve"> (SLHCs) t</w:t>
      </w:r>
      <w:r w:rsidRPr="00BD58CF">
        <w:rPr>
          <w:color w:val="000000"/>
          <w:sz w:val="20"/>
          <w:szCs w:val="20"/>
        </w:rPr>
        <w:t xml:space="preserve">o the </w:t>
      </w:r>
      <w:r>
        <w:rPr>
          <w:color w:val="000000"/>
          <w:sz w:val="20"/>
          <w:szCs w:val="20"/>
        </w:rPr>
        <w:t>Federal Reserve on July 21, 2011.</w:t>
      </w:r>
      <w:r w:rsidRPr="00BD58CF">
        <w:rPr>
          <w:color w:val="000000"/>
          <w:sz w:val="20"/>
          <w:szCs w:val="20"/>
        </w:rPr>
        <w:t xml:space="preserve">  </w:t>
      </w:r>
      <w:r w:rsidRPr="00F40C70">
        <w:rPr>
          <w:sz w:val="20"/>
          <w:szCs w:val="20"/>
        </w:rPr>
        <w:t>Section 207.1</w:t>
      </w:r>
      <w:r>
        <w:rPr>
          <w:sz w:val="20"/>
          <w:szCs w:val="20"/>
        </w:rPr>
        <w:t>(b)</w:t>
      </w:r>
      <w:r w:rsidRPr="00F40C70">
        <w:rPr>
          <w:sz w:val="20"/>
          <w:szCs w:val="20"/>
        </w:rPr>
        <w:t xml:space="preserve"> of Regulation G generally defines </w:t>
      </w:r>
      <w:r>
        <w:rPr>
          <w:color w:val="000000"/>
          <w:sz w:val="20"/>
          <w:szCs w:val="20"/>
        </w:rPr>
        <w:t>Federal Reserve</w:t>
      </w:r>
      <w:r w:rsidRPr="00F40C70">
        <w:rPr>
          <w:sz w:val="20"/>
          <w:szCs w:val="20"/>
        </w:rPr>
        <w:t>-regulated financial institutions as: State member</w:t>
      </w:r>
      <w:r w:rsidRPr="00B04437">
        <w:rPr>
          <w:sz w:val="20"/>
          <w:szCs w:val="20"/>
        </w:rPr>
        <w:t xml:space="preserve"> banks</w:t>
      </w:r>
      <w:r>
        <w:rPr>
          <w:sz w:val="20"/>
          <w:szCs w:val="20"/>
        </w:rPr>
        <w:t xml:space="preserve"> and their</w:t>
      </w:r>
      <w:r w:rsidRPr="00B04437">
        <w:rPr>
          <w:sz w:val="20"/>
          <w:szCs w:val="20"/>
        </w:rPr>
        <w:t xml:space="preserve"> subsidiaries</w:t>
      </w:r>
      <w:r>
        <w:rPr>
          <w:sz w:val="20"/>
          <w:szCs w:val="20"/>
        </w:rPr>
        <w:t>;</w:t>
      </w:r>
      <w:r w:rsidRPr="00B04437">
        <w:rPr>
          <w:sz w:val="20"/>
          <w:szCs w:val="20"/>
        </w:rPr>
        <w:t xml:space="preserve"> bank holding companies</w:t>
      </w:r>
      <w:r>
        <w:rPr>
          <w:sz w:val="20"/>
          <w:szCs w:val="20"/>
        </w:rPr>
        <w:t>; savings and loan holding companies;</w:t>
      </w:r>
      <w:r w:rsidRPr="00B04437">
        <w:rPr>
          <w:sz w:val="20"/>
          <w:szCs w:val="20"/>
        </w:rPr>
        <w:t xml:space="preserve"> and affiliates of bank holding companies</w:t>
      </w:r>
      <w:r>
        <w:rPr>
          <w:sz w:val="20"/>
          <w:szCs w:val="20"/>
        </w:rPr>
        <w:t xml:space="preserve"> and savings and loan holding institutions</w:t>
      </w:r>
      <w:r w:rsidRPr="00B04437">
        <w:rPr>
          <w:sz w:val="20"/>
          <w:szCs w:val="20"/>
        </w:rPr>
        <w:t>, other than banks, savings associations and subsidiaries of banks and savings associations; and NGEPs that enter into covered agreements with any of the aforementioned companies.</w:t>
      </w:r>
    </w:p>
  </w:footnote>
  <w:footnote w:id="5">
    <w:p w:rsidR="003605B7" w:rsidRDefault="003605B7" w:rsidP="00A65485">
      <w:r w:rsidRPr="00541C79">
        <w:rPr>
          <w:rStyle w:val="FootnoteReference"/>
          <w:sz w:val="20"/>
          <w:szCs w:val="20"/>
        </w:rPr>
        <w:footnoteRef/>
      </w:r>
      <w:r w:rsidRPr="00541C79">
        <w:rPr>
          <w:sz w:val="20"/>
          <w:szCs w:val="20"/>
        </w:rPr>
        <w:t xml:space="preserve"> </w:t>
      </w:r>
      <w:r>
        <w:rPr>
          <w:sz w:val="20"/>
          <w:szCs w:val="20"/>
        </w:rPr>
        <w:t xml:space="preserve"> </w:t>
      </w:r>
      <w:proofErr w:type="gramStart"/>
      <w:r w:rsidRPr="00541C79">
        <w:rPr>
          <w:sz w:val="20"/>
          <w:szCs w:val="20"/>
        </w:rPr>
        <w:t>12 U.S.C. § 1831y.</w:t>
      </w:r>
      <w:proofErr w:type="gramEnd"/>
    </w:p>
  </w:footnote>
  <w:footnote w:id="6">
    <w:p w:rsidR="003605B7" w:rsidRDefault="003605B7">
      <w:pPr>
        <w:pStyle w:val="FootnoteText"/>
      </w:pPr>
      <w:r>
        <w:rPr>
          <w:rStyle w:val="FootnoteReference"/>
        </w:rPr>
        <w:footnoteRef/>
      </w:r>
      <w:r>
        <w:t xml:space="preserve">  A “CRA affiliate” of an insured depository institution is defined in § 207.11(c) as “any company that is an affiliate of an insured depository institution to the extent, and only to the extent, that the activities of the affiliate were considered by the appropriate federal banking agency when evaluating the CRA performance of the institution at its most recent CRA examination prior to the agreement.  An insured depository institution or affiliate also may designate any company as a CRA affiliate at any time prior to the time a covered agreement is entered into by informing the NGEP that is a party to the agreement of such designation.”</w:t>
      </w:r>
    </w:p>
  </w:footnote>
  <w:footnote w:id="7">
    <w:p w:rsidR="003605B7" w:rsidRDefault="003605B7">
      <w:pPr>
        <w:pStyle w:val="FootnoteText"/>
      </w:pPr>
      <w:r>
        <w:rPr>
          <w:rStyle w:val="FootnoteReference"/>
        </w:rPr>
        <w:footnoteRef/>
      </w:r>
      <w:r>
        <w:t xml:space="preserve">  </w:t>
      </w:r>
      <w:r w:rsidRPr="004169D4">
        <w:t xml:space="preserve">Of the respondents, </w:t>
      </w:r>
      <w:r>
        <w:t>none</w:t>
      </w:r>
      <w:r w:rsidRPr="004169D4">
        <w:t xml:space="preserve"> are small entities as defined by the Small</w:t>
      </w:r>
      <w:r>
        <w:t xml:space="preserve"> Business Administration (i.e., for commercial banking, </w:t>
      </w:r>
      <w:r w:rsidRPr="004169D4">
        <w:t>entities with less than $175 million in total assets)</w:t>
      </w:r>
      <w:r>
        <w:t>.  See</w:t>
      </w:r>
      <w:r w:rsidRPr="004169D4">
        <w:t xml:space="preserve"> </w:t>
      </w:r>
      <w:hyperlink r:id="rId1" w:history="1">
        <w:r w:rsidRPr="004169D4">
          <w:rPr>
            <w:rStyle w:val="Hyperlink"/>
          </w:rPr>
          <w:t>www.sba.gov/content/table-small-business-size-standards</w:t>
        </w:r>
      </w:hyperlink>
      <w:r w:rsidRPr="004169D4">
        <w:t>.</w:t>
      </w:r>
    </w:p>
  </w:footnote>
  <w:footnote w:id="8">
    <w:p w:rsidR="003605B7" w:rsidRPr="00646E4C" w:rsidRDefault="003605B7" w:rsidP="007B0E8D">
      <w:pPr>
        <w:pStyle w:val="FootnoteText"/>
      </w:pPr>
      <w:r w:rsidRPr="00646E4C">
        <w:rPr>
          <w:rStyle w:val="FootnoteReference"/>
        </w:rPr>
        <w:footnoteRef/>
      </w:r>
      <w:r>
        <w:t xml:space="preserve"> </w:t>
      </w:r>
      <w:r w:rsidRPr="007B0E8D">
        <w:t xml:space="preserve"> </w:t>
      </w:r>
      <w:r>
        <w:t xml:space="preserve">Total cost to the public was estimated using the following formula: percent of staff time, multiplied by annual burden hours, multiplied by hourly rate (100% Legal Counsel @ $55).  Hourly rate for this occupational group is the median hourly wage (rounded up) from the Bureau of Labor and Statistics (BLS), Occupational Employment and Wages 2011, </w:t>
      </w:r>
      <w:hyperlink r:id="rId2" w:history="1">
        <w:r w:rsidRPr="0018151D">
          <w:rPr>
            <w:rStyle w:val="Hyperlink"/>
          </w:rPr>
          <w:t>www.bls.gov/news.release/ocwage.nr0.htm</w:t>
        </w:r>
      </w:hyperlink>
      <w:r>
        <w:t xml:space="preserve">.  Occupations are defined using the BLS Occupational Classification System, </w:t>
      </w:r>
      <w:hyperlink r:id="rId3" w:history="1">
        <w:r w:rsidRPr="0018151D">
          <w:rPr>
            <w:rStyle w:val="Hyperlink"/>
          </w:rPr>
          <w:t>www.bls.gov/soc/</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5B7" w:rsidRDefault="003605B7" w:rsidP="00165D78">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7015B"/>
    <w:multiLevelType w:val="hybridMultilevel"/>
    <w:tmpl w:val="3524EE6E"/>
    <w:lvl w:ilvl="0" w:tplc="4BD46E00">
      <w:numFmt w:val="bullet"/>
      <w:lvlText w:val=""/>
      <w:lvlJc w:val="left"/>
      <w:pPr>
        <w:tabs>
          <w:tab w:val="num" w:pos="720"/>
        </w:tabs>
        <w:ind w:left="720" w:hanging="360"/>
      </w:pPr>
      <w:rPr>
        <w:rFonts w:ascii="WP MathA" w:eastAsia="Times New Roman" w:hAnsi="WP MathA" w:cs="Times New Roman" w:hint="default"/>
      </w:rPr>
    </w:lvl>
    <w:lvl w:ilvl="1" w:tplc="7DEC44BE" w:tentative="1">
      <w:start w:val="1"/>
      <w:numFmt w:val="bullet"/>
      <w:lvlText w:val="o"/>
      <w:lvlJc w:val="left"/>
      <w:pPr>
        <w:tabs>
          <w:tab w:val="num" w:pos="1440"/>
        </w:tabs>
        <w:ind w:left="1440" w:hanging="360"/>
      </w:pPr>
      <w:rPr>
        <w:rFonts w:ascii="Courier New" w:hAnsi="Courier New" w:hint="default"/>
      </w:rPr>
    </w:lvl>
    <w:lvl w:ilvl="2" w:tplc="9E4A23D4" w:tentative="1">
      <w:start w:val="1"/>
      <w:numFmt w:val="bullet"/>
      <w:lvlText w:val=""/>
      <w:lvlJc w:val="left"/>
      <w:pPr>
        <w:tabs>
          <w:tab w:val="num" w:pos="2160"/>
        </w:tabs>
        <w:ind w:left="2160" w:hanging="360"/>
      </w:pPr>
      <w:rPr>
        <w:rFonts w:ascii="Wingdings" w:hAnsi="Wingdings" w:hint="default"/>
      </w:rPr>
    </w:lvl>
    <w:lvl w:ilvl="3" w:tplc="FDD0C7FC" w:tentative="1">
      <w:start w:val="1"/>
      <w:numFmt w:val="bullet"/>
      <w:lvlText w:val=""/>
      <w:lvlJc w:val="left"/>
      <w:pPr>
        <w:tabs>
          <w:tab w:val="num" w:pos="2880"/>
        </w:tabs>
        <w:ind w:left="2880" w:hanging="360"/>
      </w:pPr>
      <w:rPr>
        <w:rFonts w:ascii="Symbol" w:hAnsi="Symbol" w:hint="default"/>
      </w:rPr>
    </w:lvl>
    <w:lvl w:ilvl="4" w:tplc="A48AEC76" w:tentative="1">
      <w:start w:val="1"/>
      <w:numFmt w:val="bullet"/>
      <w:lvlText w:val="o"/>
      <w:lvlJc w:val="left"/>
      <w:pPr>
        <w:tabs>
          <w:tab w:val="num" w:pos="3600"/>
        </w:tabs>
        <w:ind w:left="3600" w:hanging="360"/>
      </w:pPr>
      <w:rPr>
        <w:rFonts w:ascii="Courier New" w:hAnsi="Courier New" w:hint="default"/>
      </w:rPr>
    </w:lvl>
    <w:lvl w:ilvl="5" w:tplc="0AF82654" w:tentative="1">
      <w:start w:val="1"/>
      <w:numFmt w:val="bullet"/>
      <w:lvlText w:val=""/>
      <w:lvlJc w:val="left"/>
      <w:pPr>
        <w:tabs>
          <w:tab w:val="num" w:pos="4320"/>
        </w:tabs>
        <w:ind w:left="4320" w:hanging="360"/>
      </w:pPr>
      <w:rPr>
        <w:rFonts w:ascii="Wingdings" w:hAnsi="Wingdings" w:hint="default"/>
      </w:rPr>
    </w:lvl>
    <w:lvl w:ilvl="6" w:tplc="C0A64BB2" w:tentative="1">
      <w:start w:val="1"/>
      <w:numFmt w:val="bullet"/>
      <w:lvlText w:val=""/>
      <w:lvlJc w:val="left"/>
      <w:pPr>
        <w:tabs>
          <w:tab w:val="num" w:pos="5040"/>
        </w:tabs>
        <w:ind w:left="5040" w:hanging="360"/>
      </w:pPr>
      <w:rPr>
        <w:rFonts w:ascii="Symbol" w:hAnsi="Symbol" w:hint="default"/>
      </w:rPr>
    </w:lvl>
    <w:lvl w:ilvl="7" w:tplc="6AF6D690" w:tentative="1">
      <w:start w:val="1"/>
      <w:numFmt w:val="bullet"/>
      <w:lvlText w:val="o"/>
      <w:lvlJc w:val="left"/>
      <w:pPr>
        <w:tabs>
          <w:tab w:val="num" w:pos="5760"/>
        </w:tabs>
        <w:ind w:left="5760" w:hanging="360"/>
      </w:pPr>
      <w:rPr>
        <w:rFonts w:ascii="Courier New" w:hAnsi="Courier New" w:hint="default"/>
      </w:rPr>
    </w:lvl>
    <w:lvl w:ilvl="8" w:tplc="E26CF9B2" w:tentative="1">
      <w:start w:val="1"/>
      <w:numFmt w:val="bullet"/>
      <w:lvlText w:val=""/>
      <w:lvlJc w:val="left"/>
      <w:pPr>
        <w:tabs>
          <w:tab w:val="num" w:pos="6480"/>
        </w:tabs>
        <w:ind w:left="6480" w:hanging="360"/>
      </w:pPr>
      <w:rPr>
        <w:rFonts w:ascii="Wingdings" w:hAnsi="Wingdings" w:hint="default"/>
      </w:rPr>
    </w:lvl>
  </w:abstractNum>
  <w:abstractNum w:abstractNumId="1">
    <w:nsid w:val="20EB0A9D"/>
    <w:multiLevelType w:val="hybridMultilevel"/>
    <w:tmpl w:val="F8384748"/>
    <w:lvl w:ilvl="0" w:tplc="9C48F60C">
      <w:numFmt w:val="bullet"/>
      <w:lvlText w:val=""/>
      <w:lvlJc w:val="left"/>
      <w:pPr>
        <w:tabs>
          <w:tab w:val="num" w:pos="720"/>
        </w:tabs>
        <w:ind w:left="720" w:hanging="360"/>
      </w:pPr>
      <w:rPr>
        <w:rFonts w:ascii="WP MathA" w:eastAsia="Times New Roman" w:hAnsi="WP MathA" w:cs="Times New Roman" w:hint="default"/>
      </w:rPr>
    </w:lvl>
    <w:lvl w:ilvl="1" w:tplc="E34C5548" w:tentative="1">
      <w:start w:val="1"/>
      <w:numFmt w:val="bullet"/>
      <w:lvlText w:val="o"/>
      <w:lvlJc w:val="left"/>
      <w:pPr>
        <w:tabs>
          <w:tab w:val="num" w:pos="1440"/>
        </w:tabs>
        <w:ind w:left="1440" w:hanging="360"/>
      </w:pPr>
      <w:rPr>
        <w:rFonts w:ascii="Courier New" w:hAnsi="Courier New" w:hint="default"/>
      </w:rPr>
    </w:lvl>
    <w:lvl w:ilvl="2" w:tplc="171843FE" w:tentative="1">
      <w:start w:val="1"/>
      <w:numFmt w:val="bullet"/>
      <w:lvlText w:val=""/>
      <w:lvlJc w:val="left"/>
      <w:pPr>
        <w:tabs>
          <w:tab w:val="num" w:pos="2160"/>
        </w:tabs>
        <w:ind w:left="2160" w:hanging="360"/>
      </w:pPr>
      <w:rPr>
        <w:rFonts w:ascii="Wingdings" w:hAnsi="Wingdings" w:hint="default"/>
      </w:rPr>
    </w:lvl>
    <w:lvl w:ilvl="3" w:tplc="D25486CC" w:tentative="1">
      <w:start w:val="1"/>
      <w:numFmt w:val="bullet"/>
      <w:lvlText w:val=""/>
      <w:lvlJc w:val="left"/>
      <w:pPr>
        <w:tabs>
          <w:tab w:val="num" w:pos="2880"/>
        </w:tabs>
        <w:ind w:left="2880" w:hanging="360"/>
      </w:pPr>
      <w:rPr>
        <w:rFonts w:ascii="Symbol" w:hAnsi="Symbol" w:hint="default"/>
      </w:rPr>
    </w:lvl>
    <w:lvl w:ilvl="4" w:tplc="9FDE893C" w:tentative="1">
      <w:start w:val="1"/>
      <w:numFmt w:val="bullet"/>
      <w:lvlText w:val="o"/>
      <w:lvlJc w:val="left"/>
      <w:pPr>
        <w:tabs>
          <w:tab w:val="num" w:pos="3600"/>
        </w:tabs>
        <w:ind w:left="3600" w:hanging="360"/>
      </w:pPr>
      <w:rPr>
        <w:rFonts w:ascii="Courier New" w:hAnsi="Courier New" w:hint="default"/>
      </w:rPr>
    </w:lvl>
    <w:lvl w:ilvl="5" w:tplc="3E887240" w:tentative="1">
      <w:start w:val="1"/>
      <w:numFmt w:val="bullet"/>
      <w:lvlText w:val=""/>
      <w:lvlJc w:val="left"/>
      <w:pPr>
        <w:tabs>
          <w:tab w:val="num" w:pos="4320"/>
        </w:tabs>
        <w:ind w:left="4320" w:hanging="360"/>
      </w:pPr>
      <w:rPr>
        <w:rFonts w:ascii="Wingdings" w:hAnsi="Wingdings" w:hint="default"/>
      </w:rPr>
    </w:lvl>
    <w:lvl w:ilvl="6" w:tplc="6A000312" w:tentative="1">
      <w:start w:val="1"/>
      <w:numFmt w:val="bullet"/>
      <w:lvlText w:val=""/>
      <w:lvlJc w:val="left"/>
      <w:pPr>
        <w:tabs>
          <w:tab w:val="num" w:pos="5040"/>
        </w:tabs>
        <w:ind w:left="5040" w:hanging="360"/>
      </w:pPr>
      <w:rPr>
        <w:rFonts w:ascii="Symbol" w:hAnsi="Symbol" w:hint="default"/>
      </w:rPr>
    </w:lvl>
    <w:lvl w:ilvl="7" w:tplc="3CEA4974" w:tentative="1">
      <w:start w:val="1"/>
      <w:numFmt w:val="bullet"/>
      <w:lvlText w:val="o"/>
      <w:lvlJc w:val="left"/>
      <w:pPr>
        <w:tabs>
          <w:tab w:val="num" w:pos="5760"/>
        </w:tabs>
        <w:ind w:left="5760" w:hanging="360"/>
      </w:pPr>
      <w:rPr>
        <w:rFonts w:ascii="Courier New" w:hAnsi="Courier New" w:hint="default"/>
      </w:rPr>
    </w:lvl>
    <w:lvl w:ilvl="8" w:tplc="4FCEE476" w:tentative="1">
      <w:start w:val="1"/>
      <w:numFmt w:val="bullet"/>
      <w:lvlText w:val=""/>
      <w:lvlJc w:val="left"/>
      <w:pPr>
        <w:tabs>
          <w:tab w:val="num" w:pos="6480"/>
        </w:tabs>
        <w:ind w:left="6480" w:hanging="360"/>
      </w:pPr>
      <w:rPr>
        <w:rFonts w:ascii="Wingdings" w:hAnsi="Wingdings" w:hint="default"/>
      </w:rPr>
    </w:lvl>
  </w:abstractNum>
  <w:abstractNum w:abstractNumId="2">
    <w:nsid w:val="46392DD3"/>
    <w:multiLevelType w:val="hybridMultilevel"/>
    <w:tmpl w:val="6D76E6E4"/>
    <w:lvl w:ilvl="0" w:tplc="7D3E4A78">
      <w:numFmt w:val="bullet"/>
      <w:lvlText w:val=""/>
      <w:lvlJc w:val="left"/>
      <w:pPr>
        <w:tabs>
          <w:tab w:val="num" w:pos="1080"/>
        </w:tabs>
        <w:ind w:left="1080" w:hanging="720"/>
      </w:pPr>
      <w:rPr>
        <w:rFonts w:ascii="WP MathA" w:eastAsia="Times New Roman" w:hAnsi="WP MathA" w:cs="Times New Roman" w:hint="default"/>
      </w:rPr>
    </w:lvl>
    <w:lvl w:ilvl="1" w:tplc="72BE68A8" w:tentative="1">
      <w:start w:val="1"/>
      <w:numFmt w:val="bullet"/>
      <w:lvlText w:val="o"/>
      <w:lvlJc w:val="left"/>
      <w:pPr>
        <w:tabs>
          <w:tab w:val="num" w:pos="1440"/>
        </w:tabs>
        <w:ind w:left="1440" w:hanging="360"/>
      </w:pPr>
      <w:rPr>
        <w:rFonts w:ascii="Courier New" w:hAnsi="Courier New" w:hint="default"/>
      </w:rPr>
    </w:lvl>
    <w:lvl w:ilvl="2" w:tplc="770ED8A2" w:tentative="1">
      <w:start w:val="1"/>
      <w:numFmt w:val="bullet"/>
      <w:lvlText w:val=""/>
      <w:lvlJc w:val="left"/>
      <w:pPr>
        <w:tabs>
          <w:tab w:val="num" w:pos="2160"/>
        </w:tabs>
        <w:ind w:left="2160" w:hanging="360"/>
      </w:pPr>
      <w:rPr>
        <w:rFonts w:ascii="Wingdings" w:hAnsi="Wingdings" w:hint="default"/>
      </w:rPr>
    </w:lvl>
    <w:lvl w:ilvl="3" w:tplc="41B8991C" w:tentative="1">
      <w:start w:val="1"/>
      <w:numFmt w:val="bullet"/>
      <w:lvlText w:val=""/>
      <w:lvlJc w:val="left"/>
      <w:pPr>
        <w:tabs>
          <w:tab w:val="num" w:pos="2880"/>
        </w:tabs>
        <w:ind w:left="2880" w:hanging="360"/>
      </w:pPr>
      <w:rPr>
        <w:rFonts w:ascii="Symbol" w:hAnsi="Symbol" w:hint="default"/>
      </w:rPr>
    </w:lvl>
    <w:lvl w:ilvl="4" w:tplc="46BAA3AC" w:tentative="1">
      <w:start w:val="1"/>
      <w:numFmt w:val="bullet"/>
      <w:lvlText w:val="o"/>
      <w:lvlJc w:val="left"/>
      <w:pPr>
        <w:tabs>
          <w:tab w:val="num" w:pos="3600"/>
        </w:tabs>
        <w:ind w:left="3600" w:hanging="360"/>
      </w:pPr>
      <w:rPr>
        <w:rFonts w:ascii="Courier New" w:hAnsi="Courier New" w:hint="default"/>
      </w:rPr>
    </w:lvl>
    <w:lvl w:ilvl="5" w:tplc="6A0EF486" w:tentative="1">
      <w:start w:val="1"/>
      <w:numFmt w:val="bullet"/>
      <w:lvlText w:val=""/>
      <w:lvlJc w:val="left"/>
      <w:pPr>
        <w:tabs>
          <w:tab w:val="num" w:pos="4320"/>
        </w:tabs>
        <w:ind w:left="4320" w:hanging="360"/>
      </w:pPr>
      <w:rPr>
        <w:rFonts w:ascii="Wingdings" w:hAnsi="Wingdings" w:hint="default"/>
      </w:rPr>
    </w:lvl>
    <w:lvl w:ilvl="6" w:tplc="65F6FE62" w:tentative="1">
      <w:start w:val="1"/>
      <w:numFmt w:val="bullet"/>
      <w:lvlText w:val=""/>
      <w:lvlJc w:val="left"/>
      <w:pPr>
        <w:tabs>
          <w:tab w:val="num" w:pos="5040"/>
        </w:tabs>
        <w:ind w:left="5040" w:hanging="360"/>
      </w:pPr>
      <w:rPr>
        <w:rFonts w:ascii="Symbol" w:hAnsi="Symbol" w:hint="default"/>
      </w:rPr>
    </w:lvl>
    <w:lvl w:ilvl="7" w:tplc="9556A84A" w:tentative="1">
      <w:start w:val="1"/>
      <w:numFmt w:val="bullet"/>
      <w:lvlText w:val="o"/>
      <w:lvlJc w:val="left"/>
      <w:pPr>
        <w:tabs>
          <w:tab w:val="num" w:pos="5760"/>
        </w:tabs>
        <w:ind w:left="5760" w:hanging="360"/>
      </w:pPr>
      <w:rPr>
        <w:rFonts w:ascii="Courier New" w:hAnsi="Courier New" w:hint="default"/>
      </w:rPr>
    </w:lvl>
    <w:lvl w:ilvl="8" w:tplc="CE60DE34"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559"/>
    <w:rsid w:val="000063BA"/>
    <w:rsid w:val="00006D0C"/>
    <w:rsid w:val="00031A63"/>
    <w:rsid w:val="00042852"/>
    <w:rsid w:val="00053E6F"/>
    <w:rsid w:val="000605CF"/>
    <w:rsid w:val="00062D50"/>
    <w:rsid w:val="0009769F"/>
    <w:rsid w:val="000A19FE"/>
    <w:rsid w:val="000A2133"/>
    <w:rsid w:val="000A2DCB"/>
    <w:rsid w:val="000B63A9"/>
    <w:rsid w:val="000B6A11"/>
    <w:rsid w:val="000B7AE6"/>
    <w:rsid w:val="000E5C50"/>
    <w:rsid w:val="000E7F3C"/>
    <w:rsid w:val="000F35DA"/>
    <w:rsid w:val="000F41E5"/>
    <w:rsid w:val="000F5430"/>
    <w:rsid w:val="00112A45"/>
    <w:rsid w:val="00116FBE"/>
    <w:rsid w:val="00121291"/>
    <w:rsid w:val="00122E1A"/>
    <w:rsid w:val="001440ED"/>
    <w:rsid w:val="00146950"/>
    <w:rsid w:val="00151EB1"/>
    <w:rsid w:val="00165D78"/>
    <w:rsid w:val="00170B58"/>
    <w:rsid w:val="00175110"/>
    <w:rsid w:val="0018007D"/>
    <w:rsid w:val="00185143"/>
    <w:rsid w:val="00197990"/>
    <w:rsid w:val="001A1998"/>
    <w:rsid w:val="001A74B3"/>
    <w:rsid w:val="001C29C0"/>
    <w:rsid w:val="001E0A23"/>
    <w:rsid w:val="00204F5E"/>
    <w:rsid w:val="0021023C"/>
    <w:rsid w:val="00221352"/>
    <w:rsid w:val="002335F4"/>
    <w:rsid w:val="00235017"/>
    <w:rsid w:val="0023542F"/>
    <w:rsid w:val="002356C4"/>
    <w:rsid w:val="00261770"/>
    <w:rsid w:val="00264359"/>
    <w:rsid w:val="002666A2"/>
    <w:rsid w:val="0027799C"/>
    <w:rsid w:val="00293CE1"/>
    <w:rsid w:val="002B5934"/>
    <w:rsid w:val="002D0F41"/>
    <w:rsid w:val="002D4BCB"/>
    <w:rsid w:val="002D500D"/>
    <w:rsid w:val="002F27D4"/>
    <w:rsid w:val="002F56B0"/>
    <w:rsid w:val="002F7BB2"/>
    <w:rsid w:val="00301F75"/>
    <w:rsid w:val="00313D44"/>
    <w:rsid w:val="00356FD4"/>
    <w:rsid w:val="003605B7"/>
    <w:rsid w:val="003639A4"/>
    <w:rsid w:val="00374D7A"/>
    <w:rsid w:val="00382851"/>
    <w:rsid w:val="00393E41"/>
    <w:rsid w:val="003A5AF9"/>
    <w:rsid w:val="003B4F3B"/>
    <w:rsid w:val="003B7825"/>
    <w:rsid w:val="003C03D0"/>
    <w:rsid w:val="003C32E2"/>
    <w:rsid w:val="003C5F11"/>
    <w:rsid w:val="003D7EDE"/>
    <w:rsid w:val="003F0596"/>
    <w:rsid w:val="003F4606"/>
    <w:rsid w:val="003F75FF"/>
    <w:rsid w:val="00402EA6"/>
    <w:rsid w:val="00404185"/>
    <w:rsid w:val="00404762"/>
    <w:rsid w:val="004136B7"/>
    <w:rsid w:val="00413F5B"/>
    <w:rsid w:val="004161A8"/>
    <w:rsid w:val="0042674E"/>
    <w:rsid w:val="00447849"/>
    <w:rsid w:val="00453323"/>
    <w:rsid w:val="00460D3E"/>
    <w:rsid w:val="00475B38"/>
    <w:rsid w:val="004924AB"/>
    <w:rsid w:val="004A4A86"/>
    <w:rsid w:val="004B2570"/>
    <w:rsid w:val="004B58DF"/>
    <w:rsid w:val="004C2F69"/>
    <w:rsid w:val="004C3EA5"/>
    <w:rsid w:val="004C505A"/>
    <w:rsid w:val="004C512F"/>
    <w:rsid w:val="004D34FA"/>
    <w:rsid w:val="004D4840"/>
    <w:rsid w:val="004D625F"/>
    <w:rsid w:val="004E4C9E"/>
    <w:rsid w:val="004E6AD1"/>
    <w:rsid w:val="004F0D09"/>
    <w:rsid w:val="004F2F87"/>
    <w:rsid w:val="004F788B"/>
    <w:rsid w:val="0051584C"/>
    <w:rsid w:val="005262E0"/>
    <w:rsid w:val="00541C79"/>
    <w:rsid w:val="00543129"/>
    <w:rsid w:val="005531D1"/>
    <w:rsid w:val="005608CD"/>
    <w:rsid w:val="00560E73"/>
    <w:rsid w:val="005634A9"/>
    <w:rsid w:val="00571BAE"/>
    <w:rsid w:val="00586095"/>
    <w:rsid w:val="00586F02"/>
    <w:rsid w:val="0059283B"/>
    <w:rsid w:val="00596392"/>
    <w:rsid w:val="005A70AC"/>
    <w:rsid w:val="005B2822"/>
    <w:rsid w:val="005B4DE1"/>
    <w:rsid w:val="005C512B"/>
    <w:rsid w:val="005D273D"/>
    <w:rsid w:val="005D4D70"/>
    <w:rsid w:val="005D5304"/>
    <w:rsid w:val="005E1899"/>
    <w:rsid w:val="005F021A"/>
    <w:rsid w:val="006075B0"/>
    <w:rsid w:val="00631FD6"/>
    <w:rsid w:val="006445CC"/>
    <w:rsid w:val="0064600A"/>
    <w:rsid w:val="00646E4C"/>
    <w:rsid w:val="00650CDF"/>
    <w:rsid w:val="00654ECF"/>
    <w:rsid w:val="00663DAC"/>
    <w:rsid w:val="006813AE"/>
    <w:rsid w:val="006A1409"/>
    <w:rsid w:val="006A65A7"/>
    <w:rsid w:val="006D67CA"/>
    <w:rsid w:val="006D7C0C"/>
    <w:rsid w:val="006E1912"/>
    <w:rsid w:val="006F661F"/>
    <w:rsid w:val="007013C1"/>
    <w:rsid w:val="00706205"/>
    <w:rsid w:val="00706A0F"/>
    <w:rsid w:val="00706D55"/>
    <w:rsid w:val="00707F4B"/>
    <w:rsid w:val="007145C2"/>
    <w:rsid w:val="00722AB9"/>
    <w:rsid w:val="0073656D"/>
    <w:rsid w:val="00754AA6"/>
    <w:rsid w:val="00756545"/>
    <w:rsid w:val="00760C71"/>
    <w:rsid w:val="007643E0"/>
    <w:rsid w:val="007644A8"/>
    <w:rsid w:val="0077137A"/>
    <w:rsid w:val="00771FD0"/>
    <w:rsid w:val="007845FD"/>
    <w:rsid w:val="00793E90"/>
    <w:rsid w:val="007A1180"/>
    <w:rsid w:val="007A78B8"/>
    <w:rsid w:val="007B0E8D"/>
    <w:rsid w:val="007B1B8D"/>
    <w:rsid w:val="007D19EC"/>
    <w:rsid w:val="007D75FE"/>
    <w:rsid w:val="007E57F6"/>
    <w:rsid w:val="007F1FC1"/>
    <w:rsid w:val="007F5BC9"/>
    <w:rsid w:val="00803EBD"/>
    <w:rsid w:val="008061E4"/>
    <w:rsid w:val="008072AE"/>
    <w:rsid w:val="008135B7"/>
    <w:rsid w:val="0082314D"/>
    <w:rsid w:val="008318EE"/>
    <w:rsid w:val="00837E10"/>
    <w:rsid w:val="00842B1B"/>
    <w:rsid w:val="0085553A"/>
    <w:rsid w:val="00875E99"/>
    <w:rsid w:val="00876765"/>
    <w:rsid w:val="00881745"/>
    <w:rsid w:val="0088724D"/>
    <w:rsid w:val="00890D84"/>
    <w:rsid w:val="00894300"/>
    <w:rsid w:val="008A18F8"/>
    <w:rsid w:val="008C37AC"/>
    <w:rsid w:val="008C4DFE"/>
    <w:rsid w:val="008D308C"/>
    <w:rsid w:val="008E3742"/>
    <w:rsid w:val="008F1008"/>
    <w:rsid w:val="009029ED"/>
    <w:rsid w:val="00903BA1"/>
    <w:rsid w:val="00904281"/>
    <w:rsid w:val="009168A5"/>
    <w:rsid w:val="00922E5F"/>
    <w:rsid w:val="00930FA7"/>
    <w:rsid w:val="00935705"/>
    <w:rsid w:val="00940CDE"/>
    <w:rsid w:val="00952CAA"/>
    <w:rsid w:val="009554DD"/>
    <w:rsid w:val="0096135F"/>
    <w:rsid w:val="0096589A"/>
    <w:rsid w:val="00976DFB"/>
    <w:rsid w:val="00983559"/>
    <w:rsid w:val="009A04E1"/>
    <w:rsid w:val="009B3B22"/>
    <w:rsid w:val="009C14B0"/>
    <w:rsid w:val="009C296D"/>
    <w:rsid w:val="009F4424"/>
    <w:rsid w:val="00A16358"/>
    <w:rsid w:val="00A169B8"/>
    <w:rsid w:val="00A211EE"/>
    <w:rsid w:val="00A3722A"/>
    <w:rsid w:val="00A41C6C"/>
    <w:rsid w:val="00A65485"/>
    <w:rsid w:val="00A65854"/>
    <w:rsid w:val="00A71D9A"/>
    <w:rsid w:val="00A76E96"/>
    <w:rsid w:val="00A8042E"/>
    <w:rsid w:val="00A87C38"/>
    <w:rsid w:val="00AA0D31"/>
    <w:rsid w:val="00AA6CA2"/>
    <w:rsid w:val="00AA7EDC"/>
    <w:rsid w:val="00AB1CBC"/>
    <w:rsid w:val="00AB5D8E"/>
    <w:rsid w:val="00AC64B0"/>
    <w:rsid w:val="00AF2A56"/>
    <w:rsid w:val="00AF3375"/>
    <w:rsid w:val="00AF423A"/>
    <w:rsid w:val="00B0252A"/>
    <w:rsid w:val="00B04437"/>
    <w:rsid w:val="00B05A5B"/>
    <w:rsid w:val="00B31137"/>
    <w:rsid w:val="00B317BD"/>
    <w:rsid w:val="00B431C4"/>
    <w:rsid w:val="00B542EF"/>
    <w:rsid w:val="00B77E1E"/>
    <w:rsid w:val="00B81413"/>
    <w:rsid w:val="00B84A95"/>
    <w:rsid w:val="00BA3050"/>
    <w:rsid w:val="00BA3CAF"/>
    <w:rsid w:val="00BA7E69"/>
    <w:rsid w:val="00BB0B15"/>
    <w:rsid w:val="00BB5509"/>
    <w:rsid w:val="00BB6B80"/>
    <w:rsid w:val="00BC1108"/>
    <w:rsid w:val="00BC53BC"/>
    <w:rsid w:val="00BC6470"/>
    <w:rsid w:val="00BD58CF"/>
    <w:rsid w:val="00C12412"/>
    <w:rsid w:val="00C15874"/>
    <w:rsid w:val="00C176C6"/>
    <w:rsid w:val="00C23549"/>
    <w:rsid w:val="00C26B0F"/>
    <w:rsid w:val="00C35256"/>
    <w:rsid w:val="00C35FD0"/>
    <w:rsid w:val="00C4083F"/>
    <w:rsid w:val="00C47427"/>
    <w:rsid w:val="00C50341"/>
    <w:rsid w:val="00C55207"/>
    <w:rsid w:val="00C57D49"/>
    <w:rsid w:val="00C6434D"/>
    <w:rsid w:val="00C705ED"/>
    <w:rsid w:val="00C72075"/>
    <w:rsid w:val="00C75AC0"/>
    <w:rsid w:val="00C83BA0"/>
    <w:rsid w:val="00C86643"/>
    <w:rsid w:val="00C94D04"/>
    <w:rsid w:val="00CA0517"/>
    <w:rsid w:val="00CA17F3"/>
    <w:rsid w:val="00CA55EC"/>
    <w:rsid w:val="00CA7383"/>
    <w:rsid w:val="00CB03C5"/>
    <w:rsid w:val="00CB1F50"/>
    <w:rsid w:val="00CB5900"/>
    <w:rsid w:val="00CC2A95"/>
    <w:rsid w:val="00CD246B"/>
    <w:rsid w:val="00CD7FE2"/>
    <w:rsid w:val="00CE023B"/>
    <w:rsid w:val="00CE4050"/>
    <w:rsid w:val="00CE7AB1"/>
    <w:rsid w:val="00D07B1F"/>
    <w:rsid w:val="00D07CE9"/>
    <w:rsid w:val="00D10D21"/>
    <w:rsid w:val="00D11A74"/>
    <w:rsid w:val="00D200BA"/>
    <w:rsid w:val="00D22B28"/>
    <w:rsid w:val="00D26669"/>
    <w:rsid w:val="00D60967"/>
    <w:rsid w:val="00D641C0"/>
    <w:rsid w:val="00D66E50"/>
    <w:rsid w:val="00D74FE9"/>
    <w:rsid w:val="00D930AF"/>
    <w:rsid w:val="00D937D1"/>
    <w:rsid w:val="00D94559"/>
    <w:rsid w:val="00DA5E11"/>
    <w:rsid w:val="00DB0B01"/>
    <w:rsid w:val="00DB1D3C"/>
    <w:rsid w:val="00DB456D"/>
    <w:rsid w:val="00DD401E"/>
    <w:rsid w:val="00DE4DC5"/>
    <w:rsid w:val="00DE5FFE"/>
    <w:rsid w:val="00DF17A4"/>
    <w:rsid w:val="00E0106D"/>
    <w:rsid w:val="00E0133E"/>
    <w:rsid w:val="00E019A6"/>
    <w:rsid w:val="00E138E3"/>
    <w:rsid w:val="00E23759"/>
    <w:rsid w:val="00E25A00"/>
    <w:rsid w:val="00E4660D"/>
    <w:rsid w:val="00E53E30"/>
    <w:rsid w:val="00E57D76"/>
    <w:rsid w:val="00E75619"/>
    <w:rsid w:val="00E87970"/>
    <w:rsid w:val="00EA2DB7"/>
    <w:rsid w:val="00EA38DF"/>
    <w:rsid w:val="00EB2DD1"/>
    <w:rsid w:val="00EB2F58"/>
    <w:rsid w:val="00EC3581"/>
    <w:rsid w:val="00EC383B"/>
    <w:rsid w:val="00EC4A0B"/>
    <w:rsid w:val="00ED045A"/>
    <w:rsid w:val="00ED124E"/>
    <w:rsid w:val="00EE6E59"/>
    <w:rsid w:val="00EF222A"/>
    <w:rsid w:val="00F02685"/>
    <w:rsid w:val="00F1121D"/>
    <w:rsid w:val="00F154C1"/>
    <w:rsid w:val="00F2184A"/>
    <w:rsid w:val="00F40C70"/>
    <w:rsid w:val="00F5169D"/>
    <w:rsid w:val="00F5204E"/>
    <w:rsid w:val="00F64F43"/>
    <w:rsid w:val="00F673AD"/>
    <w:rsid w:val="00F74EF4"/>
    <w:rsid w:val="00F8189A"/>
    <w:rsid w:val="00F97553"/>
    <w:rsid w:val="00FA7B43"/>
    <w:rsid w:val="00FB3D6A"/>
    <w:rsid w:val="00FD6785"/>
    <w:rsid w:val="00FE4D0A"/>
    <w:rsid w:val="00FF0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9EC"/>
    <w:rPr>
      <w:sz w:val="24"/>
      <w:szCs w:val="24"/>
    </w:rPr>
  </w:style>
  <w:style w:type="paragraph" w:styleId="Heading1">
    <w:name w:val="heading 1"/>
    <w:basedOn w:val="Normal"/>
    <w:next w:val="Normal"/>
    <w:qFormat/>
    <w:rsid w:val="007D19EC"/>
    <w:pPr>
      <w:keepNext/>
      <w:keepLines/>
      <w:tabs>
        <w:tab w:val="left" w:pos="-1080"/>
        <w:tab w:val="left" w:pos="-360"/>
        <w:tab w:val="left" w:pos="361"/>
        <w:tab w:val="left" w:pos="600"/>
        <w:tab w:val="left" w:pos="870"/>
        <w:tab w:val="left" w:pos="1800"/>
        <w:tab w:val="left" w:pos="2520"/>
        <w:tab w:val="left" w:pos="3240"/>
      </w:tabs>
      <w:spacing w:before="163" w:after="19"/>
      <w:ind w:left="360"/>
      <w:jc w:val="right"/>
      <w:outlineLvl w:val="0"/>
    </w:pPr>
    <w:rPr>
      <w:rFonts w:ascii="Times" w:hAnsi="Times"/>
      <w:i/>
      <w:iCs/>
      <w:color w:val="000000"/>
    </w:rPr>
  </w:style>
  <w:style w:type="paragraph" w:styleId="Heading2">
    <w:name w:val="heading 2"/>
    <w:basedOn w:val="Normal"/>
    <w:next w:val="Normal"/>
    <w:qFormat/>
    <w:rsid w:val="007D19EC"/>
    <w:pPr>
      <w:keepNext/>
      <w:jc w:val="center"/>
      <w:outlineLvl w:val="1"/>
    </w:pPr>
    <w:rPr>
      <w:rFonts w:ascii="Times" w:hAnsi="Times"/>
      <w:color w:val="000000"/>
      <w:sz w:val="28"/>
      <w:szCs w:val="28"/>
    </w:rPr>
  </w:style>
  <w:style w:type="paragraph" w:styleId="Heading3">
    <w:name w:val="heading 3"/>
    <w:basedOn w:val="Normal"/>
    <w:next w:val="Normal"/>
    <w:qFormat/>
    <w:rsid w:val="007D19EC"/>
    <w:pPr>
      <w:keepNext/>
      <w:jc w:val="center"/>
      <w:outlineLvl w:val="2"/>
    </w:pPr>
    <w:rPr>
      <w:b/>
      <w:bCs/>
    </w:rPr>
  </w:style>
  <w:style w:type="paragraph" w:styleId="Heading4">
    <w:name w:val="heading 4"/>
    <w:basedOn w:val="Normal"/>
    <w:next w:val="Normal"/>
    <w:qFormat/>
    <w:rsid w:val="007D19EC"/>
    <w:pPr>
      <w:keepNext/>
      <w:outlineLvl w:val="3"/>
    </w:pPr>
    <w:rPr>
      <w:rFonts w:ascii="Times" w:hAnsi="Times"/>
      <w:color w:val="000000"/>
      <w:sz w:val="28"/>
      <w:szCs w:val="28"/>
    </w:rPr>
  </w:style>
  <w:style w:type="paragraph" w:styleId="Heading5">
    <w:name w:val="heading 5"/>
    <w:basedOn w:val="Normal"/>
    <w:next w:val="Normal"/>
    <w:qFormat/>
    <w:rsid w:val="007D19EC"/>
    <w:pPr>
      <w:keepNext/>
      <w:jc w:val="center"/>
      <w:outlineLvl w:val="4"/>
    </w:pPr>
    <w:rPr>
      <w:rFonts w:ascii="Times" w:hAnsi="Times"/>
      <w:i/>
      <w:iCs/>
    </w:rPr>
  </w:style>
  <w:style w:type="paragraph" w:styleId="Heading6">
    <w:name w:val="heading 6"/>
    <w:basedOn w:val="Normal"/>
    <w:next w:val="Normal"/>
    <w:qFormat/>
    <w:rsid w:val="007D19EC"/>
    <w:pPr>
      <w:keepNext/>
      <w:tabs>
        <w:tab w:val="left" w:pos="-1440"/>
        <w:tab w:val="left" w:pos="-720"/>
        <w:tab w:val="left" w:pos="0"/>
        <w:tab w:val="left" w:pos="240"/>
        <w:tab w:val="left" w:pos="720"/>
        <w:tab w:val="left" w:pos="1440"/>
        <w:tab w:val="left" w:pos="2160"/>
        <w:tab w:val="left" w:pos="2880"/>
      </w:tabs>
      <w:spacing w:before="144"/>
      <w:outlineLvl w:val="5"/>
    </w:pPr>
    <w:rPr>
      <w:rFonts w:ascii="Times" w:hAnsi="Times"/>
      <w:i/>
      <w:iCs/>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7D19EC"/>
    <w:rPr>
      <w:rFonts w:ascii="Courier New" w:hAnsi="Courier New" w:cs="Courier New"/>
      <w:sz w:val="20"/>
      <w:szCs w:val="20"/>
    </w:rPr>
  </w:style>
  <w:style w:type="paragraph" w:styleId="BodyTextIndent">
    <w:name w:val="Body Text Indent"/>
    <w:basedOn w:val="Normal"/>
    <w:rsid w:val="007D19EC"/>
    <w:pPr>
      <w:ind w:firstLine="720"/>
      <w:jc w:val="both"/>
    </w:pPr>
    <w:rPr>
      <w:rFonts w:ascii="Times" w:hAnsi="Times"/>
      <w:color w:val="000000"/>
    </w:rPr>
  </w:style>
  <w:style w:type="paragraph" w:styleId="BodyText">
    <w:name w:val="Body Text"/>
    <w:basedOn w:val="Normal"/>
    <w:rsid w:val="007D19EC"/>
    <w:pPr>
      <w:jc w:val="both"/>
    </w:pPr>
    <w:rPr>
      <w:rFonts w:ascii="Times" w:hAnsi="Times"/>
      <w:color w:val="000000"/>
    </w:rPr>
  </w:style>
  <w:style w:type="paragraph" w:styleId="Footer">
    <w:name w:val="footer"/>
    <w:basedOn w:val="Normal"/>
    <w:rsid w:val="007D19EC"/>
    <w:pPr>
      <w:tabs>
        <w:tab w:val="center" w:pos="4320"/>
        <w:tab w:val="right" w:pos="8640"/>
      </w:tabs>
    </w:pPr>
  </w:style>
  <w:style w:type="character" w:styleId="PageNumber">
    <w:name w:val="page number"/>
    <w:basedOn w:val="DefaultParagraphFont"/>
    <w:rsid w:val="007D19EC"/>
  </w:style>
  <w:style w:type="paragraph" w:styleId="FootnoteText">
    <w:name w:val="footnote text"/>
    <w:basedOn w:val="Normal"/>
    <w:link w:val="FootnoteTextChar"/>
    <w:semiHidden/>
    <w:rsid w:val="007D19EC"/>
    <w:rPr>
      <w:sz w:val="20"/>
      <w:szCs w:val="20"/>
    </w:rPr>
  </w:style>
  <w:style w:type="character" w:styleId="FootnoteReference">
    <w:name w:val="footnote reference"/>
    <w:basedOn w:val="DefaultParagraphFont"/>
    <w:semiHidden/>
    <w:rsid w:val="007D19EC"/>
    <w:rPr>
      <w:vertAlign w:val="superscript"/>
    </w:rPr>
  </w:style>
  <w:style w:type="paragraph" w:styleId="BodyText2">
    <w:name w:val="Body Text 2"/>
    <w:basedOn w:val="Normal"/>
    <w:rsid w:val="007D19EC"/>
    <w:rPr>
      <w:rFonts w:ascii="Times" w:hAnsi="Times"/>
      <w:color w:val="000000"/>
    </w:rPr>
  </w:style>
  <w:style w:type="paragraph" w:styleId="BodyTextIndent2">
    <w:name w:val="Body Text Indent 2"/>
    <w:basedOn w:val="Normal"/>
    <w:rsid w:val="007D19EC"/>
    <w:pPr>
      <w:ind w:left="720"/>
    </w:pPr>
    <w:rPr>
      <w:rFonts w:ascii="Times" w:hAnsi="Times"/>
      <w:b/>
      <w:color w:val="000000"/>
    </w:rPr>
  </w:style>
  <w:style w:type="paragraph" w:styleId="BodyTextIndent3">
    <w:name w:val="Body Text Indent 3"/>
    <w:basedOn w:val="Normal"/>
    <w:rsid w:val="007D19EC"/>
    <w:pPr>
      <w:ind w:firstLine="720"/>
    </w:pPr>
  </w:style>
  <w:style w:type="paragraph" w:customStyle="1" w:styleId="FootnoteTex">
    <w:name w:val="Footnote Tex"/>
    <w:rsid w:val="007D19EC"/>
    <w:pPr>
      <w:autoSpaceDE w:val="0"/>
      <w:autoSpaceDN w:val="0"/>
      <w:adjustRightInd w:val="0"/>
    </w:pPr>
    <w:rPr>
      <w:sz w:val="24"/>
      <w:szCs w:val="24"/>
    </w:rPr>
  </w:style>
  <w:style w:type="paragraph" w:styleId="Header">
    <w:name w:val="header"/>
    <w:basedOn w:val="Normal"/>
    <w:link w:val="HeaderChar"/>
    <w:uiPriority w:val="99"/>
    <w:rsid w:val="007D19EC"/>
    <w:pPr>
      <w:tabs>
        <w:tab w:val="center" w:pos="4320"/>
        <w:tab w:val="right" w:pos="8640"/>
      </w:tabs>
    </w:pPr>
  </w:style>
  <w:style w:type="paragraph" w:styleId="BalloonText">
    <w:name w:val="Balloon Text"/>
    <w:basedOn w:val="Normal"/>
    <w:semiHidden/>
    <w:rsid w:val="00CE023B"/>
    <w:rPr>
      <w:rFonts w:ascii="Tahoma" w:hAnsi="Tahoma" w:cs="Tahoma"/>
      <w:sz w:val="16"/>
      <w:szCs w:val="16"/>
    </w:rPr>
  </w:style>
  <w:style w:type="character" w:styleId="Hyperlink">
    <w:name w:val="Hyperlink"/>
    <w:basedOn w:val="DefaultParagraphFont"/>
    <w:rsid w:val="00EE6E59"/>
    <w:rPr>
      <w:color w:val="0000FF"/>
      <w:u w:val="single"/>
    </w:rPr>
  </w:style>
  <w:style w:type="character" w:styleId="CommentReference">
    <w:name w:val="annotation reference"/>
    <w:basedOn w:val="DefaultParagraphFont"/>
    <w:uiPriority w:val="99"/>
    <w:semiHidden/>
    <w:unhideWhenUsed/>
    <w:rsid w:val="00E138E3"/>
    <w:rPr>
      <w:sz w:val="16"/>
      <w:szCs w:val="16"/>
    </w:rPr>
  </w:style>
  <w:style w:type="paragraph" w:styleId="CommentText">
    <w:name w:val="annotation text"/>
    <w:basedOn w:val="Normal"/>
    <w:link w:val="CommentTextChar"/>
    <w:uiPriority w:val="99"/>
    <w:semiHidden/>
    <w:unhideWhenUsed/>
    <w:rsid w:val="00E138E3"/>
    <w:rPr>
      <w:sz w:val="20"/>
      <w:szCs w:val="20"/>
    </w:rPr>
  </w:style>
  <w:style w:type="character" w:customStyle="1" w:styleId="CommentTextChar">
    <w:name w:val="Comment Text Char"/>
    <w:basedOn w:val="DefaultParagraphFont"/>
    <w:link w:val="CommentText"/>
    <w:uiPriority w:val="99"/>
    <w:semiHidden/>
    <w:rsid w:val="00E138E3"/>
  </w:style>
  <w:style w:type="paragraph" w:styleId="CommentSubject">
    <w:name w:val="annotation subject"/>
    <w:basedOn w:val="CommentText"/>
    <w:next w:val="CommentText"/>
    <w:link w:val="CommentSubjectChar"/>
    <w:uiPriority w:val="99"/>
    <w:semiHidden/>
    <w:unhideWhenUsed/>
    <w:rsid w:val="00E138E3"/>
    <w:rPr>
      <w:b/>
      <w:bCs/>
    </w:rPr>
  </w:style>
  <w:style w:type="character" w:customStyle="1" w:styleId="CommentSubjectChar">
    <w:name w:val="Comment Subject Char"/>
    <w:basedOn w:val="CommentTextChar"/>
    <w:link w:val="CommentSubject"/>
    <w:uiPriority w:val="99"/>
    <w:semiHidden/>
    <w:rsid w:val="00E138E3"/>
    <w:rPr>
      <w:b/>
      <w:bCs/>
    </w:rPr>
  </w:style>
  <w:style w:type="paragraph" w:styleId="Revision">
    <w:name w:val="Revision"/>
    <w:hidden/>
    <w:uiPriority w:val="99"/>
    <w:semiHidden/>
    <w:rsid w:val="00261770"/>
    <w:rPr>
      <w:sz w:val="24"/>
      <w:szCs w:val="24"/>
    </w:rPr>
  </w:style>
  <w:style w:type="character" w:customStyle="1" w:styleId="FootnoteTextChar">
    <w:name w:val="Footnote Text Char"/>
    <w:basedOn w:val="DefaultParagraphFont"/>
    <w:link w:val="FootnoteText"/>
    <w:semiHidden/>
    <w:rsid w:val="000A2133"/>
  </w:style>
  <w:style w:type="character" w:customStyle="1" w:styleId="HeaderChar">
    <w:name w:val="Header Char"/>
    <w:basedOn w:val="DefaultParagraphFont"/>
    <w:link w:val="Header"/>
    <w:uiPriority w:val="99"/>
    <w:rsid w:val="00803EBD"/>
    <w:rPr>
      <w:sz w:val="24"/>
      <w:szCs w:val="24"/>
    </w:rPr>
  </w:style>
  <w:style w:type="character" w:styleId="FollowedHyperlink">
    <w:name w:val="FollowedHyperlink"/>
    <w:basedOn w:val="DefaultParagraphFont"/>
    <w:uiPriority w:val="99"/>
    <w:semiHidden/>
    <w:unhideWhenUsed/>
    <w:rsid w:val="00BC110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9EC"/>
    <w:rPr>
      <w:sz w:val="24"/>
      <w:szCs w:val="24"/>
    </w:rPr>
  </w:style>
  <w:style w:type="paragraph" w:styleId="Heading1">
    <w:name w:val="heading 1"/>
    <w:basedOn w:val="Normal"/>
    <w:next w:val="Normal"/>
    <w:qFormat/>
    <w:rsid w:val="007D19EC"/>
    <w:pPr>
      <w:keepNext/>
      <w:keepLines/>
      <w:tabs>
        <w:tab w:val="left" w:pos="-1080"/>
        <w:tab w:val="left" w:pos="-360"/>
        <w:tab w:val="left" w:pos="361"/>
        <w:tab w:val="left" w:pos="600"/>
        <w:tab w:val="left" w:pos="870"/>
        <w:tab w:val="left" w:pos="1800"/>
        <w:tab w:val="left" w:pos="2520"/>
        <w:tab w:val="left" w:pos="3240"/>
      </w:tabs>
      <w:spacing w:before="163" w:after="19"/>
      <w:ind w:left="360"/>
      <w:jc w:val="right"/>
      <w:outlineLvl w:val="0"/>
    </w:pPr>
    <w:rPr>
      <w:rFonts w:ascii="Times" w:hAnsi="Times"/>
      <w:i/>
      <w:iCs/>
      <w:color w:val="000000"/>
    </w:rPr>
  </w:style>
  <w:style w:type="paragraph" w:styleId="Heading2">
    <w:name w:val="heading 2"/>
    <w:basedOn w:val="Normal"/>
    <w:next w:val="Normal"/>
    <w:qFormat/>
    <w:rsid w:val="007D19EC"/>
    <w:pPr>
      <w:keepNext/>
      <w:jc w:val="center"/>
      <w:outlineLvl w:val="1"/>
    </w:pPr>
    <w:rPr>
      <w:rFonts w:ascii="Times" w:hAnsi="Times"/>
      <w:color w:val="000000"/>
      <w:sz w:val="28"/>
      <w:szCs w:val="28"/>
    </w:rPr>
  </w:style>
  <w:style w:type="paragraph" w:styleId="Heading3">
    <w:name w:val="heading 3"/>
    <w:basedOn w:val="Normal"/>
    <w:next w:val="Normal"/>
    <w:qFormat/>
    <w:rsid w:val="007D19EC"/>
    <w:pPr>
      <w:keepNext/>
      <w:jc w:val="center"/>
      <w:outlineLvl w:val="2"/>
    </w:pPr>
    <w:rPr>
      <w:b/>
      <w:bCs/>
    </w:rPr>
  </w:style>
  <w:style w:type="paragraph" w:styleId="Heading4">
    <w:name w:val="heading 4"/>
    <w:basedOn w:val="Normal"/>
    <w:next w:val="Normal"/>
    <w:qFormat/>
    <w:rsid w:val="007D19EC"/>
    <w:pPr>
      <w:keepNext/>
      <w:outlineLvl w:val="3"/>
    </w:pPr>
    <w:rPr>
      <w:rFonts w:ascii="Times" w:hAnsi="Times"/>
      <w:color w:val="000000"/>
      <w:sz w:val="28"/>
      <w:szCs w:val="28"/>
    </w:rPr>
  </w:style>
  <w:style w:type="paragraph" w:styleId="Heading5">
    <w:name w:val="heading 5"/>
    <w:basedOn w:val="Normal"/>
    <w:next w:val="Normal"/>
    <w:qFormat/>
    <w:rsid w:val="007D19EC"/>
    <w:pPr>
      <w:keepNext/>
      <w:jc w:val="center"/>
      <w:outlineLvl w:val="4"/>
    </w:pPr>
    <w:rPr>
      <w:rFonts w:ascii="Times" w:hAnsi="Times"/>
      <w:i/>
      <w:iCs/>
    </w:rPr>
  </w:style>
  <w:style w:type="paragraph" w:styleId="Heading6">
    <w:name w:val="heading 6"/>
    <w:basedOn w:val="Normal"/>
    <w:next w:val="Normal"/>
    <w:qFormat/>
    <w:rsid w:val="007D19EC"/>
    <w:pPr>
      <w:keepNext/>
      <w:tabs>
        <w:tab w:val="left" w:pos="-1440"/>
        <w:tab w:val="left" w:pos="-720"/>
        <w:tab w:val="left" w:pos="0"/>
        <w:tab w:val="left" w:pos="240"/>
        <w:tab w:val="left" w:pos="720"/>
        <w:tab w:val="left" w:pos="1440"/>
        <w:tab w:val="left" w:pos="2160"/>
        <w:tab w:val="left" w:pos="2880"/>
      </w:tabs>
      <w:spacing w:before="144"/>
      <w:outlineLvl w:val="5"/>
    </w:pPr>
    <w:rPr>
      <w:rFonts w:ascii="Times" w:hAnsi="Times"/>
      <w:i/>
      <w:iCs/>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7D19EC"/>
    <w:rPr>
      <w:rFonts w:ascii="Courier New" w:hAnsi="Courier New" w:cs="Courier New"/>
      <w:sz w:val="20"/>
      <w:szCs w:val="20"/>
    </w:rPr>
  </w:style>
  <w:style w:type="paragraph" w:styleId="BodyTextIndent">
    <w:name w:val="Body Text Indent"/>
    <w:basedOn w:val="Normal"/>
    <w:rsid w:val="007D19EC"/>
    <w:pPr>
      <w:ind w:firstLine="720"/>
      <w:jc w:val="both"/>
    </w:pPr>
    <w:rPr>
      <w:rFonts w:ascii="Times" w:hAnsi="Times"/>
      <w:color w:val="000000"/>
    </w:rPr>
  </w:style>
  <w:style w:type="paragraph" w:styleId="BodyText">
    <w:name w:val="Body Text"/>
    <w:basedOn w:val="Normal"/>
    <w:rsid w:val="007D19EC"/>
    <w:pPr>
      <w:jc w:val="both"/>
    </w:pPr>
    <w:rPr>
      <w:rFonts w:ascii="Times" w:hAnsi="Times"/>
      <w:color w:val="000000"/>
    </w:rPr>
  </w:style>
  <w:style w:type="paragraph" w:styleId="Footer">
    <w:name w:val="footer"/>
    <w:basedOn w:val="Normal"/>
    <w:rsid w:val="007D19EC"/>
    <w:pPr>
      <w:tabs>
        <w:tab w:val="center" w:pos="4320"/>
        <w:tab w:val="right" w:pos="8640"/>
      </w:tabs>
    </w:pPr>
  </w:style>
  <w:style w:type="character" w:styleId="PageNumber">
    <w:name w:val="page number"/>
    <w:basedOn w:val="DefaultParagraphFont"/>
    <w:rsid w:val="007D19EC"/>
  </w:style>
  <w:style w:type="paragraph" w:styleId="FootnoteText">
    <w:name w:val="footnote text"/>
    <w:basedOn w:val="Normal"/>
    <w:link w:val="FootnoteTextChar"/>
    <w:semiHidden/>
    <w:rsid w:val="007D19EC"/>
    <w:rPr>
      <w:sz w:val="20"/>
      <w:szCs w:val="20"/>
    </w:rPr>
  </w:style>
  <w:style w:type="character" w:styleId="FootnoteReference">
    <w:name w:val="footnote reference"/>
    <w:basedOn w:val="DefaultParagraphFont"/>
    <w:semiHidden/>
    <w:rsid w:val="007D19EC"/>
    <w:rPr>
      <w:vertAlign w:val="superscript"/>
    </w:rPr>
  </w:style>
  <w:style w:type="paragraph" w:styleId="BodyText2">
    <w:name w:val="Body Text 2"/>
    <w:basedOn w:val="Normal"/>
    <w:rsid w:val="007D19EC"/>
    <w:rPr>
      <w:rFonts w:ascii="Times" w:hAnsi="Times"/>
      <w:color w:val="000000"/>
    </w:rPr>
  </w:style>
  <w:style w:type="paragraph" w:styleId="BodyTextIndent2">
    <w:name w:val="Body Text Indent 2"/>
    <w:basedOn w:val="Normal"/>
    <w:rsid w:val="007D19EC"/>
    <w:pPr>
      <w:ind w:left="720"/>
    </w:pPr>
    <w:rPr>
      <w:rFonts w:ascii="Times" w:hAnsi="Times"/>
      <w:b/>
      <w:color w:val="000000"/>
    </w:rPr>
  </w:style>
  <w:style w:type="paragraph" w:styleId="BodyTextIndent3">
    <w:name w:val="Body Text Indent 3"/>
    <w:basedOn w:val="Normal"/>
    <w:rsid w:val="007D19EC"/>
    <w:pPr>
      <w:ind w:firstLine="720"/>
    </w:pPr>
  </w:style>
  <w:style w:type="paragraph" w:customStyle="1" w:styleId="FootnoteTex">
    <w:name w:val="Footnote Tex"/>
    <w:rsid w:val="007D19EC"/>
    <w:pPr>
      <w:autoSpaceDE w:val="0"/>
      <w:autoSpaceDN w:val="0"/>
      <w:adjustRightInd w:val="0"/>
    </w:pPr>
    <w:rPr>
      <w:sz w:val="24"/>
      <w:szCs w:val="24"/>
    </w:rPr>
  </w:style>
  <w:style w:type="paragraph" w:styleId="Header">
    <w:name w:val="header"/>
    <w:basedOn w:val="Normal"/>
    <w:link w:val="HeaderChar"/>
    <w:uiPriority w:val="99"/>
    <w:rsid w:val="007D19EC"/>
    <w:pPr>
      <w:tabs>
        <w:tab w:val="center" w:pos="4320"/>
        <w:tab w:val="right" w:pos="8640"/>
      </w:tabs>
    </w:pPr>
  </w:style>
  <w:style w:type="paragraph" w:styleId="BalloonText">
    <w:name w:val="Balloon Text"/>
    <w:basedOn w:val="Normal"/>
    <w:semiHidden/>
    <w:rsid w:val="00CE023B"/>
    <w:rPr>
      <w:rFonts w:ascii="Tahoma" w:hAnsi="Tahoma" w:cs="Tahoma"/>
      <w:sz w:val="16"/>
      <w:szCs w:val="16"/>
    </w:rPr>
  </w:style>
  <w:style w:type="character" w:styleId="Hyperlink">
    <w:name w:val="Hyperlink"/>
    <w:basedOn w:val="DefaultParagraphFont"/>
    <w:rsid w:val="00EE6E59"/>
    <w:rPr>
      <w:color w:val="0000FF"/>
      <w:u w:val="single"/>
    </w:rPr>
  </w:style>
  <w:style w:type="character" w:styleId="CommentReference">
    <w:name w:val="annotation reference"/>
    <w:basedOn w:val="DefaultParagraphFont"/>
    <w:uiPriority w:val="99"/>
    <w:semiHidden/>
    <w:unhideWhenUsed/>
    <w:rsid w:val="00E138E3"/>
    <w:rPr>
      <w:sz w:val="16"/>
      <w:szCs w:val="16"/>
    </w:rPr>
  </w:style>
  <w:style w:type="paragraph" w:styleId="CommentText">
    <w:name w:val="annotation text"/>
    <w:basedOn w:val="Normal"/>
    <w:link w:val="CommentTextChar"/>
    <w:uiPriority w:val="99"/>
    <w:semiHidden/>
    <w:unhideWhenUsed/>
    <w:rsid w:val="00E138E3"/>
    <w:rPr>
      <w:sz w:val="20"/>
      <w:szCs w:val="20"/>
    </w:rPr>
  </w:style>
  <w:style w:type="character" w:customStyle="1" w:styleId="CommentTextChar">
    <w:name w:val="Comment Text Char"/>
    <w:basedOn w:val="DefaultParagraphFont"/>
    <w:link w:val="CommentText"/>
    <w:uiPriority w:val="99"/>
    <w:semiHidden/>
    <w:rsid w:val="00E138E3"/>
  </w:style>
  <w:style w:type="paragraph" w:styleId="CommentSubject">
    <w:name w:val="annotation subject"/>
    <w:basedOn w:val="CommentText"/>
    <w:next w:val="CommentText"/>
    <w:link w:val="CommentSubjectChar"/>
    <w:uiPriority w:val="99"/>
    <w:semiHidden/>
    <w:unhideWhenUsed/>
    <w:rsid w:val="00E138E3"/>
    <w:rPr>
      <w:b/>
      <w:bCs/>
    </w:rPr>
  </w:style>
  <w:style w:type="character" w:customStyle="1" w:styleId="CommentSubjectChar">
    <w:name w:val="Comment Subject Char"/>
    <w:basedOn w:val="CommentTextChar"/>
    <w:link w:val="CommentSubject"/>
    <w:uiPriority w:val="99"/>
    <w:semiHidden/>
    <w:rsid w:val="00E138E3"/>
    <w:rPr>
      <w:b/>
      <w:bCs/>
    </w:rPr>
  </w:style>
  <w:style w:type="paragraph" w:styleId="Revision">
    <w:name w:val="Revision"/>
    <w:hidden/>
    <w:uiPriority w:val="99"/>
    <w:semiHidden/>
    <w:rsid w:val="00261770"/>
    <w:rPr>
      <w:sz w:val="24"/>
      <w:szCs w:val="24"/>
    </w:rPr>
  </w:style>
  <w:style w:type="character" w:customStyle="1" w:styleId="FootnoteTextChar">
    <w:name w:val="Footnote Text Char"/>
    <w:basedOn w:val="DefaultParagraphFont"/>
    <w:link w:val="FootnoteText"/>
    <w:semiHidden/>
    <w:rsid w:val="000A2133"/>
  </w:style>
  <w:style w:type="character" w:customStyle="1" w:styleId="HeaderChar">
    <w:name w:val="Header Char"/>
    <w:basedOn w:val="DefaultParagraphFont"/>
    <w:link w:val="Header"/>
    <w:uiPriority w:val="99"/>
    <w:rsid w:val="00803EBD"/>
    <w:rPr>
      <w:sz w:val="24"/>
      <w:szCs w:val="24"/>
    </w:rPr>
  </w:style>
  <w:style w:type="character" w:styleId="FollowedHyperlink">
    <w:name w:val="FollowedHyperlink"/>
    <w:basedOn w:val="DefaultParagraphFont"/>
    <w:uiPriority w:val="99"/>
    <w:semiHidden/>
    <w:unhideWhenUsed/>
    <w:rsid w:val="00BC110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1266260">
      <w:bodyDiv w:val="1"/>
      <w:marLeft w:val="0"/>
      <w:marRight w:val="0"/>
      <w:marTop w:val="72"/>
      <w:marBottom w:val="0"/>
      <w:divBdr>
        <w:top w:val="none" w:sz="0" w:space="0" w:color="auto"/>
        <w:left w:val="none" w:sz="0" w:space="0" w:color="auto"/>
        <w:bottom w:val="none" w:sz="0" w:space="0" w:color="auto"/>
        <w:right w:val="none" w:sz="0" w:space="0" w:color="auto"/>
      </w:divBdr>
      <w:divsChild>
        <w:div w:id="294067915">
          <w:marLeft w:val="0"/>
          <w:marRight w:val="0"/>
          <w:marTop w:val="0"/>
          <w:marBottom w:val="0"/>
          <w:divBdr>
            <w:top w:val="none" w:sz="0" w:space="0" w:color="auto"/>
            <w:left w:val="none" w:sz="0" w:space="0" w:color="auto"/>
            <w:bottom w:val="none" w:sz="0" w:space="0" w:color="auto"/>
            <w:right w:val="none" w:sz="0" w:space="0" w:color="auto"/>
          </w:divBdr>
          <w:divsChild>
            <w:div w:id="325519010">
              <w:marLeft w:val="2616"/>
              <w:marRight w:val="0"/>
              <w:marTop w:val="0"/>
              <w:marBottom w:val="0"/>
              <w:divBdr>
                <w:top w:val="none" w:sz="0" w:space="0" w:color="auto"/>
                <w:left w:val="none" w:sz="0" w:space="0" w:color="auto"/>
                <w:bottom w:val="none" w:sz="0" w:space="0" w:color="auto"/>
                <w:right w:val="none" w:sz="0" w:space="0" w:color="auto"/>
              </w:divBdr>
              <w:divsChild>
                <w:div w:id="2001882031">
                  <w:marLeft w:val="120"/>
                  <w:marRight w:val="0"/>
                  <w:marTop w:val="120"/>
                  <w:marBottom w:val="0"/>
                  <w:divBdr>
                    <w:top w:val="none" w:sz="0" w:space="0" w:color="auto"/>
                    <w:left w:val="none" w:sz="0" w:space="0" w:color="auto"/>
                    <w:bottom w:val="none" w:sz="0" w:space="0" w:color="auto"/>
                    <w:right w:val="none" w:sz="0" w:space="0" w:color="auto"/>
                  </w:divBdr>
                  <w:divsChild>
                    <w:div w:id="1858961160">
                      <w:marLeft w:val="0"/>
                      <w:marRight w:val="0"/>
                      <w:marTop w:val="0"/>
                      <w:marBottom w:val="0"/>
                      <w:divBdr>
                        <w:top w:val="none" w:sz="0" w:space="0" w:color="auto"/>
                        <w:left w:val="none" w:sz="0" w:space="0" w:color="auto"/>
                        <w:bottom w:val="none" w:sz="0" w:space="0" w:color="auto"/>
                        <w:right w:val="none" w:sz="0" w:space="0" w:color="auto"/>
                      </w:divBdr>
                      <w:divsChild>
                        <w:div w:id="509375919">
                          <w:marLeft w:val="0"/>
                          <w:marRight w:val="0"/>
                          <w:marTop w:val="0"/>
                          <w:marBottom w:val="0"/>
                          <w:divBdr>
                            <w:top w:val="none" w:sz="0" w:space="0" w:color="auto"/>
                            <w:left w:val="none" w:sz="0" w:space="0" w:color="auto"/>
                            <w:bottom w:val="none" w:sz="0" w:space="0" w:color="auto"/>
                            <w:right w:val="none" w:sz="0" w:space="0" w:color="auto"/>
                          </w:divBdr>
                          <w:divsChild>
                            <w:div w:id="75447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soc/" TargetMode="External"/><Relationship Id="rId2" Type="http://schemas.openxmlformats.org/officeDocument/2006/relationships/hyperlink" Target="http://www.bls.gov/news.release/ocwage.nr0.htm" TargetMode="External"/><Relationship Id="rId1" Type="http://schemas.openxmlformats.org/officeDocument/2006/relationships/hyperlink" Target="http://www.sba.gov/content/table-small-business-size-stand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6CBC7-66CD-4753-8D4B-66D9FC2AF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E73094B3</Template>
  <TotalTime>138</TotalTime>
  <Pages>6</Pages>
  <Words>1922</Words>
  <Characters>10200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BOARD OF GOVERNORS OF THE FEDERAL RESERVE SYSTEM</vt:lpstr>
    </vt:vector>
  </TitlesOfParts>
  <Company>Federal Reserve Board</Company>
  <LinksUpToDate>false</LinksUpToDate>
  <CharactersWithSpaces>12098</CharactersWithSpaces>
  <SharedDoc>false</SharedDoc>
  <HLinks>
    <vt:vector size="12" baseType="variant">
      <vt:variant>
        <vt:i4>3866685</vt:i4>
      </vt:variant>
      <vt:variant>
        <vt:i4>3</vt:i4>
      </vt:variant>
      <vt:variant>
        <vt:i4>0</vt:i4>
      </vt:variant>
      <vt:variant>
        <vt:i4>5</vt:i4>
      </vt:variant>
      <vt:variant>
        <vt:lpwstr>http://www.bls.gov/soc/</vt:lpwstr>
      </vt:variant>
      <vt:variant>
        <vt:lpwstr/>
      </vt:variant>
      <vt:variant>
        <vt:i4>8126503</vt:i4>
      </vt:variant>
      <vt:variant>
        <vt:i4>0</vt:i4>
      </vt:variant>
      <vt:variant>
        <vt:i4>0</vt:i4>
      </vt:variant>
      <vt:variant>
        <vt:i4>5</vt:i4>
      </vt:variant>
      <vt:variant>
        <vt:lpwstr>http://www.bls.gov/news.release/ocwage.nr0.htm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GOVERNORS OF THE FEDERAL RESERVE SYSTEM</dc:title>
  <dc:creator>Administrator</dc:creator>
  <cp:lastModifiedBy>Laura D McGaughey</cp:lastModifiedBy>
  <cp:revision>6</cp:revision>
  <cp:lastPrinted>2012-12-18T15:22:00Z</cp:lastPrinted>
  <dcterms:created xsi:type="dcterms:W3CDTF">2013-01-09T14:42:00Z</dcterms:created>
  <dcterms:modified xsi:type="dcterms:W3CDTF">2013-01-29T18:17:00Z</dcterms:modified>
</cp:coreProperties>
</file>