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3D" w:rsidRPr="00776525" w:rsidRDefault="00411CEE" w:rsidP="00F17974">
      <w:pPr>
        <w:pStyle w:val="Heading5"/>
        <w:jc w:val="center"/>
        <w:rPr>
          <w:szCs w:val="24"/>
        </w:rPr>
      </w:pPr>
      <w:r w:rsidRPr="00776525">
        <w:rPr>
          <w:szCs w:val="24"/>
        </w:rPr>
        <w:t>Supporting Statement for</w:t>
      </w:r>
    </w:p>
    <w:p w:rsidR="0062163D" w:rsidRPr="00776525" w:rsidRDefault="0062163D" w:rsidP="00F17974">
      <w:pPr>
        <w:pStyle w:val="Heading5"/>
        <w:jc w:val="center"/>
        <w:rPr>
          <w:szCs w:val="24"/>
        </w:rPr>
      </w:pPr>
      <w:r w:rsidRPr="00776525">
        <w:rPr>
          <w:szCs w:val="24"/>
        </w:rPr>
        <w:t>Banking Organization Systemic Risk Report</w:t>
      </w:r>
    </w:p>
    <w:p w:rsidR="0062163D" w:rsidRPr="00776525" w:rsidRDefault="00667FAE" w:rsidP="00F17974">
      <w:pPr>
        <w:pStyle w:val="Heading5"/>
        <w:jc w:val="center"/>
        <w:rPr>
          <w:szCs w:val="24"/>
        </w:rPr>
      </w:pPr>
      <w:r>
        <w:rPr>
          <w:szCs w:val="24"/>
        </w:rPr>
        <w:t>(FR Y-15; OMB No. 7100-0352</w:t>
      </w:r>
      <w:r w:rsidR="0062163D" w:rsidRPr="00776525">
        <w:rPr>
          <w:szCs w:val="24"/>
        </w:rPr>
        <w:t>)</w:t>
      </w:r>
    </w:p>
    <w:p w:rsidR="00476D2B" w:rsidRPr="00776525" w:rsidRDefault="00476D2B" w:rsidP="00F17974">
      <w:pPr>
        <w:pStyle w:val="Header"/>
        <w:tabs>
          <w:tab w:val="clear" w:pos="4320"/>
          <w:tab w:val="clear" w:pos="8640"/>
        </w:tabs>
      </w:pPr>
    </w:p>
    <w:p w:rsidR="00EA6146" w:rsidRPr="00776525" w:rsidRDefault="00E26A69" w:rsidP="00F17974">
      <w:pPr>
        <w:pStyle w:val="Header"/>
        <w:tabs>
          <w:tab w:val="clear" w:pos="4320"/>
          <w:tab w:val="clear" w:pos="8640"/>
        </w:tabs>
        <w:rPr>
          <w:b/>
        </w:rPr>
      </w:pPr>
      <w:r w:rsidRPr="00776525">
        <w:rPr>
          <w:b/>
        </w:rPr>
        <w:t>Summary</w:t>
      </w:r>
    </w:p>
    <w:p w:rsidR="00EA6146" w:rsidRPr="00776525" w:rsidRDefault="00EA6146" w:rsidP="00F17974">
      <w:pPr>
        <w:pStyle w:val="Header"/>
        <w:tabs>
          <w:tab w:val="clear" w:pos="4320"/>
          <w:tab w:val="clear" w:pos="8640"/>
        </w:tabs>
      </w:pPr>
    </w:p>
    <w:p w:rsidR="008D7961" w:rsidRPr="00776525" w:rsidRDefault="0062163D" w:rsidP="00F17974">
      <w:pPr>
        <w:pStyle w:val="Header"/>
        <w:tabs>
          <w:tab w:val="clear" w:pos="4320"/>
          <w:tab w:val="clear" w:pos="8640"/>
        </w:tabs>
        <w:ind w:firstLine="720"/>
      </w:pPr>
      <w:r w:rsidRPr="00776525">
        <w:t xml:space="preserve">The Board of Governors of the Federal Reserve System (Board), under delegated authority from the Office of Management and Budget (OMB), proposes to </w:t>
      </w:r>
      <w:r w:rsidR="008A582C" w:rsidRPr="00776525">
        <w:t xml:space="preserve">implement </w:t>
      </w:r>
      <w:r w:rsidR="00B37B37" w:rsidRPr="00776525">
        <w:t>the mandatory</w:t>
      </w:r>
      <w:r w:rsidR="00173C0B" w:rsidRPr="00776525">
        <w:t xml:space="preserve"> </w:t>
      </w:r>
      <w:r w:rsidR="000E7D5B" w:rsidRPr="00776525">
        <w:t>Banking Organization Systemic Risk Report (FR</w:t>
      </w:r>
      <w:r w:rsidR="00776525">
        <w:t> </w:t>
      </w:r>
      <w:r w:rsidR="000E7D5B" w:rsidRPr="00776525">
        <w:t>Y-15</w:t>
      </w:r>
      <w:r w:rsidR="00667FAE">
        <w:t>; OMB No. 7100-0352</w:t>
      </w:r>
      <w:r w:rsidR="000E7D5B" w:rsidRPr="00776525">
        <w:t>).  Th</w:t>
      </w:r>
      <w:r w:rsidR="00450C4D" w:rsidRPr="00776525">
        <w:t>e FR</w:t>
      </w:r>
      <w:r w:rsidR="00776525">
        <w:t> </w:t>
      </w:r>
      <w:r w:rsidR="00450C4D" w:rsidRPr="00776525">
        <w:t>Y-15</w:t>
      </w:r>
      <w:r w:rsidR="000E7D5B" w:rsidRPr="00776525">
        <w:t xml:space="preserve"> </w:t>
      </w:r>
      <w:r w:rsidR="00173C0B" w:rsidRPr="00776525">
        <w:t xml:space="preserve">annual report </w:t>
      </w:r>
      <w:r w:rsidR="000E7D5B" w:rsidRPr="00776525">
        <w:t xml:space="preserve">would </w:t>
      </w:r>
      <w:r w:rsidR="00173C0B" w:rsidRPr="00776525">
        <w:t>collect systemic risk data from U.S. Bank Holding Companies (BHCs</w:t>
      </w:r>
      <w:r w:rsidR="002938EB" w:rsidRPr="00776525">
        <w:t>)</w:t>
      </w:r>
      <w:r w:rsidR="00B73AD0">
        <w:t xml:space="preserve"> with total consolidated assets of $50 billion or more, and any U.S.-based organizations that are designated as global systemically important banks (G-SIBs) by the Basel Committee on Banking Supervision </w:t>
      </w:r>
      <w:r w:rsidR="00C45E4B" w:rsidRPr="00776525">
        <w:t>(</w:t>
      </w:r>
      <w:r w:rsidR="00C45E4B">
        <w:t>BCBS</w:t>
      </w:r>
      <w:r w:rsidR="00C45E4B" w:rsidRPr="00776525">
        <w:t>)</w:t>
      </w:r>
      <w:r w:rsidR="00C45E4B">
        <w:t xml:space="preserve"> </w:t>
      </w:r>
      <w:r w:rsidR="00B73AD0">
        <w:t>that do not otherwise meet the consolidated assets threshold</w:t>
      </w:r>
      <w:r w:rsidR="00B66EC3">
        <w:t>.</w:t>
      </w:r>
    </w:p>
    <w:p w:rsidR="00CF7D79" w:rsidRDefault="00CF7D79" w:rsidP="000130C3">
      <w:pPr>
        <w:pStyle w:val="Header"/>
        <w:tabs>
          <w:tab w:val="clear" w:pos="4320"/>
          <w:tab w:val="clear" w:pos="8640"/>
        </w:tabs>
      </w:pPr>
      <w:bookmarkStart w:id="0" w:name="_GoBack"/>
      <w:bookmarkEnd w:id="0"/>
    </w:p>
    <w:p w:rsidR="008D7961" w:rsidRDefault="00CF7D79" w:rsidP="000130C3">
      <w:pPr>
        <w:pStyle w:val="Header"/>
        <w:tabs>
          <w:tab w:val="clear" w:pos="4320"/>
          <w:tab w:val="clear" w:pos="8640"/>
        </w:tabs>
      </w:pPr>
      <w:r>
        <w:tab/>
      </w:r>
      <w:r w:rsidR="005A002E">
        <w:rPr>
          <w:szCs w:val="24"/>
        </w:rPr>
        <w:t>The Federal Reserve</w:t>
      </w:r>
      <w:r w:rsidR="005A002E" w:rsidRPr="00526821">
        <w:rPr>
          <w:szCs w:val="24"/>
        </w:rPr>
        <w:t xml:space="preserve"> plans to use the FR Y-15 data to monitor, on an ongoing basis, the systemic risk profile of the institutions which are subject to enhanced prudential standards under section 165 of the Dodd-Frank Wall Street Reform and Consumer Protection Act </w:t>
      </w:r>
      <w:r w:rsidR="005A002E">
        <w:rPr>
          <w:szCs w:val="24"/>
        </w:rPr>
        <w:t>(</w:t>
      </w:r>
      <w:r w:rsidR="005A002E" w:rsidRPr="00526821">
        <w:rPr>
          <w:szCs w:val="24"/>
        </w:rPr>
        <w:t>DFA</w:t>
      </w:r>
      <w:r w:rsidR="005A002E">
        <w:rPr>
          <w:szCs w:val="24"/>
        </w:rPr>
        <w:t>)</w:t>
      </w:r>
      <w:r w:rsidR="005A002E" w:rsidRPr="00526821">
        <w:rPr>
          <w:szCs w:val="24"/>
        </w:rPr>
        <w:t>.</w:t>
      </w:r>
      <w:r w:rsidR="005A002E">
        <w:rPr>
          <w:szCs w:val="24"/>
        </w:rPr>
        <w:t xml:space="preserve">  </w:t>
      </w:r>
      <w:r w:rsidRPr="00776525">
        <w:t xml:space="preserve">The annual burden for the </w:t>
      </w:r>
      <w:r w:rsidR="008D10A9">
        <w:t xml:space="preserve">proposed </w:t>
      </w:r>
      <w:r>
        <w:t xml:space="preserve">FR Y-15 report </w:t>
      </w:r>
      <w:r w:rsidRPr="00776525">
        <w:t xml:space="preserve">is estimated to be </w:t>
      </w:r>
      <w:r>
        <w:t xml:space="preserve">55,400 </w:t>
      </w:r>
      <w:r w:rsidRPr="00776525">
        <w:t>hours.</w:t>
      </w:r>
    </w:p>
    <w:p w:rsidR="00627DA6" w:rsidRPr="00776525" w:rsidRDefault="00627DA6" w:rsidP="00947711">
      <w:pPr>
        <w:pStyle w:val="Header"/>
        <w:tabs>
          <w:tab w:val="clear" w:pos="4320"/>
          <w:tab w:val="clear" w:pos="8640"/>
        </w:tabs>
      </w:pPr>
    </w:p>
    <w:p w:rsidR="00E26A69" w:rsidRPr="00776525" w:rsidRDefault="00173C0B" w:rsidP="00CF3BF5">
      <w:pPr>
        <w:pStyle w:val="Header"/>
        <w:rPr>
          <w:b/>
        </w:rPr>
      </w:pPr>
      <w:r w:rsidRPr="00776525">
        <w:rPr>
          <w:b/>
        </w:rPr>
        <w:t>Background</w:t>
      </w:r>
      <w:r w:rsidR="00017738" w:rsidRPr="00776525">
        <w:rPr>
          <w:b/>
        </w:rPr>
        <w:t xml:space="preserve"> and Justification</w:t>
      </w:r>
      <w:r w:rsidRPr="00776525">
        <w:rPr>
          <w:b/>
        </w:rPr>
        <w:t xml:space="preserve"> </w:t>
      </w:r>
    </w:p>
    <w:p w:rsidR="00272338" w:rsidRPr="00776525" w:rsidRDefault="00272338" w:rsidP="00CF3BF5">
      <w:pPr>
        <w:pStyle w:val="Header"/>
        <w:tabs>
          <w:tab w:val="clear" w:pos="4320"/>
          <w:tab w:val="clear" w:pos="8640"/>
        </w:tabs>
      </w:pPr>
    </w:p>
    <w:p w:rsidR="00CF7D79" w:rsidRDefault="00173C0B" w:rsidP="00CF7D79">
      <w:pPr>
        <w:pStyle w:val="Header"/>
        <w:tabs>
          <w:tab w:val="clear" w:pos="4320"/>
          <w:tab w:val="clear" w:pos="8640"/>
        </w:tabs>
        <w:ind w:firstLine="720"/>
      </w:pPr>
      <w:r w:rsidRPr="00776525">
        <w:t xml:space="preserve">In response to the financial crisis, the </w:t>
      </w:r>
      <w:r w:rsidR="00F40B71">
        <w:t>BCBS</w:t>
      </w:r>
      <w:r w:rsidRPr="00776525">
        <w:t xml:space="preserve"> adopted a series of reforms to improve the resilience of banks and banking systems.  Among those reforms is a requirement that G-SIBs hold additional capital to enhance their ability to absorb losses and remain going concerns.  </w:t>
      </w:r>
    </w:p>
    <w:p w:rsidR="00CF7D79" w:rsidRDefault="00CF7D79" w:rsidP="00CF7D79">
      <w:pPr>
        <w:pStyle w:val="Header"/>
        <w:tabs>
          <w:tab w:val="clear" w:pos="4320"/>
          <w:tab w:val="clear" w:pos="8640"/>
        </w:tabs>
        <w:ind w:firstLine="720"/>
      </w:pPr>
    </w:p>
    <w:p w:rsidR="007B1914" w:rsidRDefault="002A4A13" w:rsidP="00BF5A37">
      <w:pPr>
        <w:pStyle w:val="Header"/>
        <w:tabs>
          <w:tab w:val="clear" w:pos="4320"/>
          <w:tab w:val="clear" w:pos="8640"/>
        </w:tabs>
        <w:ind w:firstLine="720"/>
      </w:pPr>
      <w:r>
        <w:t xml:space="preserve">To determine the </w:t>
      </w:r>
      <w:r w:rsidR="00357ADE">
        <w:t>additional capital requirement</w:t>
      </w:r>
      <w:r>
        <w:t xml:space="preserve">, the </w:t>
      </w:r>
      <w:r w:rsidR="00F40B71">
        <w:t>BCBS</w:t>
      </w:r>
      <w:r w:rsidR="00173C0B" w:rsidRPr="00776525">
        <w:t xml:space="preserve"> developed an indicator-based approach </w:t>
      </w:r>
      <w:r>
        <w:t xml:space="preserve">that </w:t>
      </w:r>
      <w:r w:rsidR="00772F99" w:rsidRPr="00776525">
        <w:t>focuses on aspects of a G-SIB’s operations that are likely to generate negative externalities in the case of its failure.</w:t>
      </w:r>
      <w:r w:rsidR="00772F99">
        <w:t xml:space="preserve">  The methodology </w:t>
      </w:r>
      <w:r>
        <w:t xml:space="preserve">assesses </w:t>
      </w:r>
      <w:r w:rsidR="00173C0B" w:rsidRPr="00776525">
        <w:t xml:space="preserve">five components of a bank’s systemic footprint: size, interconnectedness, substitutability, complexity, and cross-jurisdictional activity. </w:t>
      </w:r>
      <w:r w:rsidR="00C555E8">
        <w:t xml:space="preserve"> </w:t>
      </w:r>
      <w:r w:rsidR="00357ADE">
        <w:t>The capital requirement, which may be influence</w:t>
      </w:r>
      <w:r w:rsidR="002C087B">
        <w:t>d</w:t>
      </w:r>
      <w:r w:rsidR="00357ADE">
        <w:t xml:space="preserve"> by supervisory judgment, is based on a bank’s relative performance on the systemic risk measures. </w:t>
      </w:r>
    </w:p>
    <w:p w:rsidR="007B1914" w:rsidRDefault="007B1914" w:rsidP="00CF3BF5">
      <w:pPr>
        <w:pStyle w:val="Header"/>
        <w:tabs>
          <w:tab w:val="clear" w:pos="4320"/>
          <w:tab w:val="clear" w:pos="8640"/>
        </w:tabs>
        <w:ind w:firstLine="720"/>
      </w:pPr>
    </w:p>
    <w:p w:rsidR="00C75D1F" w:rsidRPr="00776525" w:rsidRDefault="00173C0B" w:rsidP="00CF3BF5">
      <w:pPr>
        <w:pStyle w:val="Header"/>
        <w:tabs>
          <w:tab w:val="clear" w:pos="4320"/>
          <w:tab w:val="clear" w:pos="8640"/>
        </w:tabs>
        <w:ind w:firstLine="720"/>
      </w:pPr>
      <w:r w:rsidRPr="00776525">
        <w:t xml:space="preserve">Initially, G-SIBs will be assigned one of four additional capital requirements, which range from 1.0% </w:t>
      </w:r>
      <w:r w:rsidR="009F652D" w:rsidRPr="00776525">
        <w:t>to</w:t>
      </w:r>
      <w:r w:rsidRPr="00776525">
        <w:t xml:space="preserve"> 2.5% of risk-weighted assets.  Going forward, the requirement could be raised to 3.5% if a G-SIB substantially increases its systemic footprint.  The additional capital requirement will be phased in</w:t>
      </w:r>
      <w:r w:rsidR="00EF5DEF">
        <w:t xml:space="preserve"> </w:t>
      </w:r>
      <w:r w:rsidRPr="00776525">
        <w:t>beginning in January 2016 and becom</w:t>
      </w:r>
      <w:r w:rsidR="00A647F0">
        <w:t>e</w:t>
      </w:r>
      <w:r w:rsidRPr="00776525">
        <w:t xml:space="preserve"> fully effective in January 2019.</w:t>
      </w:r>
    </w:p>
    <w:p w:rsidR="00E56E85" w:rsidRPr="00776525" w:rsidRDefault="00E56E85" w:rsidP="00CF3BF5">
      <w:pPr>
        <w:pStyle w:val="Header"/>
        <w:tabs>
          <w:tab w:val="clear" w:pos="4320"/>
          <w:tab w:val="clear" w:pos="8640"/>
        </w:tabs>
      </w:pPr>
    </w:p>
    <w:p w:rsidR="00CF7D79" w:rsidRPr="00776525" w:rsidRDefault="00CF7D79" w:rsidP="00CF7D79">
      <w:pPr>
        <w:pStyle w:val="Header"/>
        <w:tabs>
          <w:tab w:val="clear" w:pos="4320"/>
          <w:tab w:val="clear" w:pos="8640"/>
        </w:tabs>
        <w:ind w:firstLine="720"/>
      </w:pPr>
      <w:r>
        <w:t xml:space="preserve">The </w:t>
      </w:r>
      <w:r w:rsidR="00F900CE">
        <w:t xml:space="preserve">proposed </w:t>
      </w:r>
      <w:r>
        <w:t xml:space="preserve">FR Y-15 is derived from the </w:t>
      </w:r>
      <w:r w:rsidR="00A647F0">
        <w:t xml:space="preserve">G-SIB </w:t>
      </w:r>
      <w:r w:rsidRPr="00776525">
        <w:t>data collection</w:t>
      </w:r>
      <w:r>
        <w:rPr>
          <w:szCs w:val="24"/>
        </w:rPr>
        <w:t xml:space="preserve">.  </w:t>
      </w:r>
      <w:r w:rsidRPr="00526821">
        <w:rPr>
          <w:szCs w:val="24"/>
        </w:rPr>
        <w:t>In addition to (</w:t>
      </w:r>
      <w:proofErr w:type="spellStart"/>
      <w:r w:rsidRPr="00526821">
        <w:rPr>
          <w:szCs w:val="24"/>
        </w:rPr>
        <w:t>i</w:t>
      </w:r>
      <w:proofErr w:type="spellEnd"/>
      <w:r w:rsidRPr="00526821">
        <w:rPr>
          <w:szCs w:val="24"/>
        </w:rPr>
        <w:t xml:space="preserve">) identifying institutions which may be designated as </w:t>
      </w:r>
      <w:r w:rsidR="0028004F">
        <w:rPr>
          <w:szCs w:val="24"/>
        </w:rPr>
        <w:t>domestic systemically important banks (</w:t>
      </w:r>
      <w:r w:rsidRPr="00526821">
        <w:rPr>
          <w:szCs w:val="24"/>
        </w:rPr>
        <w:t>D-SIBs</w:t>
      </w:r>
      <w:r w:rsidR="0028004F">
        <w:rPr>
          <w:szCs w:val="24"/>
        </w:rPr>
        <w:t>)</w:t>
      </w:r>
      <w:r w:rsidRPr="00526821">
        <w:rPr>
          <w:szCs w:val="24"/>
        </w:rPr>
        <w:t xml:space="preserve"> under a future framework and (ii) analyzing the systemic risk implications of proposed mergers and acquisitions, </w:t>
      </w:r>
      <w:r>
        <w:rPr>
          <w:szCs w:val="24"/>
        </w:rPr>
        <w:t>the Federal Reserve</w:t>
      </w:r>
      <w:r w:rsidRPr="00526821">
        <w:rPr>
          <w:szCs w:val="24"/>
        </w:rPr>
        <w:t xml:space="preserve"> plans to use the FR Y-15 data to monitor, on an ongoing basis, the systemic risk profile of the institutions which are subject to enhanced prudential standards under section 165 of the DFA.  </w:t>
      </w:r>
      <w:r w:rsidRPr="00776525">
        <w:t xml:space="preserve">The Federal Reserve would </w:t>
      </w:r>
      <w:r>
        <w:t xml:space="preserve">also </w:t>
      </w:r>
      <w:r w:rsidRPr="00776525">
        <w:t xml:space="preserve">submit data </w:t>
      </w:r>
      <w:r w:rsidRPr="00776525">
        <w:lastRenderedPageBreak/>
        <w:t xml:space="preserve">to the </w:t>
      </w:r>
      <w:r>
        <w:t xml:space="preserve">BCBS </w:t>
      </w:r>
      <w:r w:rsidRPr="00776525">
        <w:t>for use in determining whether an institution is a G-SIB and, if so, what additional capital</w:t>
      </w:r>
      <w:r>
        <w:t xml:space="preserve"> requirement would be applied.</w:t>
      </w:r>
      <w:r w:rsidR="00D91A87" w:rsidRPr="00776525">
        <w:rPr>
          <w:rStyle w:val="FootnoteReference"/>
        </w:rPr>
        <w:footnoteReference w:id="1"/>
      </w:r>
      <w:r w:rsidR="00D91A87">
        <w:t xml:space="preserve"> </w:t>
      </w:r>
    </w:p>
    <w:p w:rsidR="00CF7D79" w:rsidRDefault="00CF7D79" w:rsidP="00BF5A37">
      <w:pPr>
        <w:pStyle w:val="Header"/>
        <w:tabs>
          <w:tab w:val="clear" w:pos="4320"/>
          <w:tab w:val="clear" w:pos="8640"/>
        </w:tabs>
        <w:ind w:firstLine="720"/>
      </w:pPr>
    </w:p>
    <w:p w:rsidR="00272338" w:rsidRPr="00776525" w:rsidRDefault="00051B5F" w:rsidP="00CF3BF5">
      <w:pPr>
        <w:pStyle w:val="Header"/>
        <w:rPr>
          <w:b/>
        </w:rPr>
      </w:pPr>
      <w:r w:rsidRPr="00776525">
        <w:rPr>
          <w:b/>
        </w:rPr>
        <w:t>Description of Information Collection</w:t>
      </w:r>
    </w:p>
    <w:p w:rsidR="00522FB8" w:rsidRPr="00776525" w:rsidRDefault="00522FB8" w:rsidP="00CF3BF5">
      <w:pPr>
        <w:pStyle w:val="Header"/>
        <w:tabs>
          <w:tab w:val="clear" w:pos="4320"/>
          <w:tab w:val="clear" w:pos="8640"/>
        </w:tabs>
      </w:pPr>
    </w:p>
    <w:p w:rsidR="00E33011" w:rsidRDefault="00830B10" w:rsidP="00CF3BF5">
      <w:pPr>
        <w:pStyle w:val="Header"/>
        <w:tabs>
          <w:tab w:val="clear" w:pos="4320"/>
          <w:tab w:val="clear" w:pos="8640"/>
        </w:tabs>
        <w:ind w:firstLine="720"/>
      </w:pPr>
      <w:r w:rsidRPr="00776525">
        <w:t>The data items collected in this report</w:t>
      </w:r>
      <w:r w:rsidR="00474F71" w:rsidRPr="00776525">
        <w:t xml:space="preserve"> would</w:t>
      </w:r>
      <w:r w:rsidRPr="00776525">
        <w:t xml:space="preserve"> mirror those that were developed by the </w:t>
      </w:r>
      <w:r w:rsidR="00F40B71">
        <w:t>BCBS</w:t>
      </w:r>
      <w:r w:rsidRPr="00776525">
        <w:t xml:space="preserve"> to assess the global systemic importance of banks. </w:t>
      </w:r>
      <w:r w:rsidR="00776525" w:rsidRPr="00776525">
        <w:t xml:space="preserve"> </w:t>
      </w:r>
      <w:r w:rsidR="00687092" w:rsidRPr="00776525">
        <w:t>The report</w:t>
      </w:r>
      <w:r w:rsidR="00474F71" w:rsidRPr="00776525">
        <w:t xml:space="preserve"> would</w:t>
      </w:r>
      <w:r w:rsidR="00687092" w:rsidRPr="00776525">
        <w:t xml:space="preserve"> consist of </w:t>
      </w:r>
      <w:r w:rsidR="00E33011" w:rsidRPr="00776525">
        <w:t xml:space="preserve">the following </w:t>
      </w:r>
      <w:r w:rsidR="00687092" w:rsidRPr="00776525">
        <w:t>schedules</w:t>
      </w:r>
      <w:r w:rsidR="00035B9A">
        <w:t>, which are each discussed in detail below</w:t>
      </w:r>
      <w:r w:rsidR="006D64E0" w:rsidRPr="00776525">
        <w:t>:</w:t>
      </w:r>
    </w:p>
    <w:p w:rsidR="00F86EF0" w:rsidRPr="00776525" w:rsidRDefault="00F86EF0" w:rsidP="00CF3BF5">
      <w:pPr>
        <w:pStyle w:val="Header"/>
        <w:tabs>
          <w:tab w:val="clear" w:pos="4320"/>
          <w:tab w:val="clear" w:pos="8640"/>
        </w:tabs>
        <w:ind w:firstLine="720"/>
      </w:pPr>
    </w:p>
    <w:p w:rsidR="00E33011" w:rsidRPr="00776525" w:rsidRDefault="00E33011" w:rsidP="00361AC0">
      <w:pPr>
        <w:pStyle w:val="Header"/>
        <w:numPr>
          <w:ilvl w:val="0"/>
          <w:numId w:val="3"/>
        </w:numPr>
        <w:tabs>
          <w:tab w:val="clear" w:pos="4320"/>
          <w:tab w:val="clear" w:pos="8640"/>
        </w:tabs>
        <w:ind w:left="835"/>
      </w:pPr>
      <w:r w:rsidRPr="00776525">
        <w:t>Schedule A – Size Indicator;</w:t>
      </w:r>
    </w:p>
    <w:p w:rsidR="00E33011" w:rsidRPr="00776525" w:rsidRDefault="00E33011" w:rsidP="000130C3">
      <w:pPr>
        <w:pStyle w:val="Header"/>
        <w:numPr>
          <w:ilvl w:val="0"/>
          <w:numId w:val="3"/>
        </w:numPr>
        <w:tabs>
          <w:tab w:val="clear" w:pos="4320"/>
          <w:tab w:val="clear" w:pos="8640"/>
        </w:tabs>
      </w:pPr>
      <w:r w:rsidRPr="00776525">
        <w:t>Schedule B – Interconnectedness Indicators;</w:t>
      </w:r>
    </w:p>
    <w:p w:rsidR="00E33011" w:rsidRPr="00776525" w:rsidRDefault="00E33011" w:rsidP="00263EED">
      <w:pPr>
        <w:pStyle w:val="Header"/>
        <w:numPr>
          <w:ilvl w:val="0"/>
          <w:numId w:val="3"/>
        </w:numPr>
        <w:tabs>
          <w:tab w:val="clear" w:pos="4320"/>
          <w:tab w:val="clear" w:pos="8640"/>
        </w:tabs>
      </w:pPr>
      <w:r w:rsidRPr="00776525">
        <w:t>Schedule C – Substitutability Indicators;</w:t>
      </w:r>
    </w:p>
    <w:p w:rsidR="00E33011" w:rsidRPr="00776525" w:rsidRDefault="00E33011" w:rsidP="00947711">
      <w:pPr>
        <w:pStyle w:val="Header"/>
        <w:numPr>
          <w:ilvl w:val="0"/>
          <w:numId w:val="3"/>
        </w:numPr>
        <w:tabs>
          <w:tab w:val="clear" w:pos="4320"/>
          <w:tab w:val="clear" w:pos="8640"/>
        </w:tabs>
      </w:pPr>
      <w:r w:rsidRPr="00776525">
        <w:t>Schedule D – Complexity Indicators;</w:t>
      </w:r>
    </w:p>
    <w:p w:rsidR="00E33011" w:rsidRPr="00776525" w:rsidRDefault="00E33011" w:rsidP="00BF5A37">
      <w:pPr>
        <w:pStyle w:val="Header"/>
        <w:numPr>
          <w:ilvl w:val="0"/>
          <w:numId w:val="3"/>
        </w:numPr>
        <w:tabs>
          <w:tab w:val="clear" w:pos="4320"/>
          <w:tab w:val="clear" w:pos="8640"/>
        </w:tabs>
      </w:pPr>
      <w:r w:rsidRPr="00776525">
        <w:t>Schedule E – Cross-Jurisdictional Activity Indicators; and</w:t>
      </w:r>
    </w:p>
    <w:p w:rsidR="00E33011" w:rsidRPr="00776525" w:rsidRDefault="00E33011" w:rsidP="00CF3BF5">
      <w:pPr>
        <w:pStyle w:val="Header"/>
        <w:numPr>
          <w:ilvl w:val="0"/>
          <w:numId w:val="3"/>
        </w:numPr>
        <w:tabs>
          <w:tab w:val="clear" w:pos="4320"/>
          <w:tab w:val="clear" w:pos="8640"/>
        </w:tabs>
      </w:pPr>
      <w:r w:rsidRPr="00776525">
        <w:t>Schedule F – Ancillary Indicators.</w:t>
      </w:r>
    </w:p>
    <w:p w:rsidR="00315A64" w:rsidRDefault="00315A64" w:rsidP="00CF3BF5">
      <w:pPr>
        <w:pStyle w:val="Header"/>
        <w:tabs>
          <w:tab w:val="clear" w:pos="4320"/>
          <w:tab w:val="clear" w:pos="8640"/>
        </w:tabs>
      </w:pPr>
    </w:p>
    <w:p w:rsidR="003E0AE9" w:rsidRDefault="003E0AE9" w:rsidP="00CF3BF5">
      <w:pPr>
        <w:pStyle w:val="Header"/>
        <w:tabs>
          <w:tab w:val="clear" w:pos="4320"/>
          <w:tab w:val="clear" w:pos="8640"/>
        </w:tabs>
      </w:pPr>
      <w:r>
        <w:tab/>
      </w:r>
      <w:r w:rsidRPr="00FC06FA">
        <w:t xml:space="preserve">It is important to note that some of the reporting requirements would overlap with data </w:t>
      </w:r>
      <w:r>
        <w:t xml:space="preserve">already </w:t>
      </w:r>
      <w:r w:rsidRPr="00FC06FA">
        <w:t xml:space="preserve">collected in </w:t>
      </w:r>
      <w:r>
        <w:t>the Consolidated Financial Statements for Bank Holding Companies</w:t>
      </w:r>
      <w:r w:rsidRPr="00FC06FA">
        <w:t xml:space="preserve"> </w:t>
      </w:r>
      <w:r>
        <w:t>(</w:t>
      </w:r>
      <w:r w:rsidRPr="00FC06FA">
        <w:t>FR</w:t>
      </w:r>
      <w:r>
        <w:t> </w:t>
      </w:r>
      <w:r w:rsidRPr="00FC06FA">
        <w:t>Y-9C</w:t>
      </w:r>
      <w:r w:rsidRPr="003E0AE9">
        <w:t>; OMB No. 7100-0128</w:t>
      </w:r>
      <w:r>
        <w:t>)</w:t>
      </w:r>
      <w:r w:rsidRPr="00FC06FA">
        <w:t xml:space="preserve"> </w:t>
      </w:r>
      <w:r>
        <w:t>and the Country Exposure Report</w:t>
      </w:r>
      <w:r w:rsidRPr="00FC06FA">
        <w:t xml:space="preserve"> </w:t>
      </w:r>
      <w:r>
        <w:t>(</w:t>
      </w:r>
      <w:r w:rsidRPr="00FC06FA">
        <w:t>FFIEC</w:t>
      </w:r>
      <w:r>
        <w:t> </w:t>
      </w:r>
      <w:r w:rsidRPr="00FC06FA">
        <w:t>009</w:t>
      </w:r>
      <w:r w:rsidRPr="003E0AE9">
        <w:t>; OMB No. 7100-0035</w:t>
      </w:r>
      <w:r>
        <w:t>)</w:t>
      </w:r>
      <w:r w:rsidRPr="00FC06FA">
        <w:t xml:space="preserve">. </w:t>
      </w:r>
      <w:r>
        <w:t xml:space="preserve"> </w:t>
      </w:r>
      <w:r w:rsidRPr="00FC06FA">
        <w:t xml:space="preserve">Where relevant </w:t>
      </w:r>
      <w:r>
        <w:t>data</w:t>
      </w:r>
      <w:r w:rsidRPr="00FC06FA">
        <w:t xml:space="preserve"> are already being reported on the FR</w:t>
      </w:r>
      <w:r>
        <w:t> </w:t>
      </w:r>
      <w:r w:rsidRPr="00FC06FA">
        <w:t>Y-9C</w:t>
      </w:r>
      <w:r>
        <w:t xml:space="preserve"> or </w:t>
      </w:r>
      <w:r w:rsidRPr="00FC06FA">
        <w:t>the FFIEC</w:t>
      </w:r>
      <w:r>
        <w:t> </w:t>
      </w:r>
      <w:r w:rsidRPr="00FC06FA">
        <w:t xml:space="preserve">009, the </w:t>
      </w:r>
      <w:r w:rsidR="0028004F">
        <w:t xml:space="preserve">FR Y-15 </w:t>
      </w:r>
      <w:r w:rsidRPr="00FC06FA">
        <w:t xml:space="preserve">would automatically retrieve those amounts. </w:t>
      </w:r>
      <w:r>
        <w:t xml:space="preserve"> Automatically-retrieved items are listed in the general instructions of the FR Y-15 under section H, titled “Data Items Automatically Retrieved from Other Reports.”</w:t>
      </w:r>
    </w:p>
    <w:p w:rsidR="003E0AE9" w:rsidRPr="00776525" w:rsidRDefault="003E0AE9" w:rsidP="00CF3BF5">
      <w:pPr>
        <w:pStyle w:val="Header"/>
        <w:tabs>
          <w:tab w:val="clear" w:pos="4320"/>
          <w:tab w:val="clear" w:pos="8640"/>
        </w:tabs>
      </w:pPr>
    </w:p>
    <w:p w:rsidR="00754BE2" w:rsidRPr="00776525" w:rsidRDefault="00754BE2" w:rsidP="00CF3BF5">
      <w:pPr>
        <w:autoSpaceDE w:val="0"/>
        <w:autoSpaceDN w:val="0"/>
        <w:adjustRightInd w:val="0"/>
        <w:spacing w:after="0" w:line="240" w:lineRule="auto"/>
        <w:ind w:left="720"/>
        <w:rPr>
          <w:rFonts w:ascii="Times New Roman" w:eastAsia="Times New Roman" w:hAnsi="Times New Roman"/>
          <w:b/>
          <w:sz w:val="24"/>
          <w:szCs w:val="24"/>
        </w:rPr>
      </w:pPr>
      <w:r w:rsidRPr="00776525">
        <w:rPr>
          <w:rFonts w:ascii="Times New Roman" w:eastAsia="Times New Roman" w:hAnsi="Times New Roman"/>
          <w:b/>
          <w:sz w:val="24"/>
          <w:szCs w:val="24"/>
        </w:rPr>
        <w:t xml:space="preserve">Schedule </w:t>
      </w:r>
      <w:proofErr w:type="gramStart"/>
      <w:r w:rsidRPr="00776525">
        <w:rPr>
          <w:rFonts w:ascii="Times New Roman" w:eastAsia="Times New Roman" w:hAnsi="Times New Roman"/>
          <w:b/>
          <w:sz w:val="24"/>
          <w:szCs w:val="24"/>
        </w:rPr>
        <w:t>A</w:t>
      </w:r>
      <w:proofErr w:type="gramEnd"/>
      <w:r w:rsidRPr="00776525">
        <w:rPr>
          <w:rFonts w:ascii="Times New Roman" w:eastAsia="Times New Roman" w:hAnsi="Times New Roman"/>
          <w:b/>
          <w:sz w:val="24"/>
          <w:szCs w:val="24"/>
        </w:rPr>
        <w:t xml:space="preserve"> -</w:t>
      </w:r>
      <w:r w:rsidR="00F44556" w:rsidRPr="00776525">
        <w:rPr>
          <w:rFonts w:ascii="Times New Roman" w:eastAsia="Times New Roman" w:hAnsi="Times New Roman"/>
          <w:sz w:val="24"/>
          <w:szCs w:val="24"/>
        </w:rPr>
        <w:t xml:space="preserve"> </w:t>
      </w:r>
      <w:r w:rsidR="00687092" w:rsidRPr="00776525">
        <w:rPr>
          <w:rFonts w:ascii="Times New Roman" w:eastAsia="Times New Roman" w:hAnsi="Times New Roman"/>
          <w:b/>
          <w:sz w:val="24"/>
          <w:szCs w:val="24"/>
        </w:rPr>
        <w:t>Size Indicators</w:t>
      </w:r>
    </w:p>
    <w:p w:rsidR="00615EB6" w:rsidRPr="00776525" w:rsidRDefault="00615EB6" w:rsidP="00CF3BF5">
      <w:pPr>
        <w:autoSpaceDE w:val="0"/>
        <w:autoSpaceDN w:val="0"/>
        <w:adjustRightInd w:val="0"/>
        <w:spacing w:after="0" w:line="240" w:lineRule="auto"/>
        <w:rPr>
          <w:rFonts w:ascii="Times New Roman" w:eastAsia="Times New Roman" w:hAnsi="Times New Roman"/>
          <w:sz w:val="24"/>
          <w:szCs w:val="24"/>
        </w:rPr>
      </w:pPr>
    </w:p>
    <w:p w:rsidR="00EB7E05" w:rsidRDefault="00C34700" w:rsidP="00CF3BF5">
      <w:pPr>
        <w:autoSpaceDE w:val="0"/>
        <w:autoSpaceDN w:val="0"/>
        <w:adjustRightInd w:val="0"/>
        <w:spacing w:after="0" w:line="240" w:lineRule="auto"/>
        <w:ind w:firstLine="720"/>
        <w:rPr>
          <w:rFonts w:ascii="Times New Roman" w:eastAsia="Times New Roman" w:hAnsi="Times New Roman"/>
          <w:sz w:val="24"/>
          <w:szCs w:val="24"/>
        </w:rPr>
      </w:pPr>
      <w:r w:rsidRPr="00776525">
        <w:rPr>
          <w:rFonts w:ascii="Times New Roman" w:eastAsia="Times New Roman" w:hAnsi="Times New Roman"/>
          <w:sz w:val="24"/>
          <w:szCs w:val="24"/>
        </w:rPr>
        <w:t>The larger a firm is in terms of total assets, the larger the potential impact to the global</w:t>
      </w:r>
      <w:r w:rsidR="00315A64" w:rsidRPr="00776525">
        <w:rPr>
          <w:rFonts w:ascii="Times New Roman" w:eastAsia="Times New Roman" w:hAnsi="Times New Roman"/>
          <w:sz w:val="24"/>
          <w:szCs w:val="24"/>
        </w:rPr>
        <w:t xml:space="preserve"> </w:t>
      </w:r>
      <w:r w:rsidR="00C02C65" w:rsidRPr="00776525">
        <w:rPr>
          <w:rFonts w:ascii="Times New Roman" w:eastAsia="Times New Roman" w:hAnsi="Times New Roman"/>
          <w:sz w:val="24"/>
          <w:szCs w:val="24"/>
        </w:rPr>
        <w:t xml:space="preserve">financial system should that firm default. </w:t>
      </w:r>
      <w:r w:rsidR="00C555E8">
        <w:rPr>
          <w:rFonts w:ascii="Times New Roman" w:eastAsia="Times New Roman" w:hAnsi="Times New Roman"/>
          <w:sz w:val="24"/>
          <w:szCs w:val="24"/>
        </w:rPr>
        <w:t xml:space="preserve"> </w:t>
      </w:r>
      <w:r w:rsidR="00C02C65" w:rsidRPr="00776525">
        <w:rPr>
          <w:rFonts w:ascii="Times New Roman" w:eastAsia="Times New Roman" w:hAnsi="Times New Roman"/>
          <w:sz w:val="24"/>
          <w:szCs w:val="24"/>
        </w:rPr>
        <w:t xml:space="preserve">The </w:t>
      </w:r>
      <w:r w:rsidR="00504B89" w:rsidRPr="00776525">
        <w:rPr>
          <w:rFonts w:ascii="Times New Roman" w:eastAsia="Times New Roman" w:hAnsi="Times New Roman"/>
          <w:sz w:val="24"/>
          <w:szCs w:val="24"/>
        </w:rPr>
        <w:t xml:space="preserve">size metric </w:t>
      </w:r>
      <w:r w:rsidR="00C02C65" w:rsidRPr="00776525">
        <w:rPr>
          <w:rFonts w:ascii="Times New Roman" w:eastAsia="Times New Roman" w:hAnsi="Times New Roman"/>
          <w:sz w:val="24"/>
          <w:szCs w:val="24"/>
        </w:rPr>
        <w:t xml:space="preserve">is </w:t>
      </w:r>
      <w:r w:rsidR="00504B89" w:rsidRPr="00776525">
        <w:rPr>
          <w:rFonts w:ascii="Times New Roman" w:eastAsia="Times New Roman" w:hAnsi="Times New Roman"/>
          <w:sz w:val="24"/>
          <w:szCs w:val="24"/>
        </w:rPr>
        <w:t>identical to the total exposures value</w:t>
      </w:r>
      <w:r w:rsidR="0028004F">
        <w:rPr>
          <w:rFonts w:ascii="Times New Roman" w:eastAsia="Times New Roman" w:hAnsi="Times New Roman"/>
          <w:sz w:val="24"/>
          <w:szCs w:val="24"/>
        </w:rPr>
        <w:t xml:space="preserve"> to be</w:t>
      </w:r>
      <w:r w:rsidR="00504B89" w:rsidRPr="00776525">
        <w:rPr>
          <w:rFonts w:ascii="Times New Roman" w:eastAsia="Times New Roman" w:hAnsi="Times New Roman"/>
          <w:sz w:val="24"/>
          <w:szCs w:val="24"/>
        </w:rPr>
        <w:t xml:space="preserve"> used in the </w:t>
      </w:r>
      <w:r w:rsidR="0028004F">
        <w:rPr>
          <w:rFonts w:ascii="Times New Roman" w:eastAsia="Times New Roman" w:hAnsi="Times New Roman"/>
          <w:sz w:val="24"/>
          <w:szCs w:val="24"/>
        </w:rPr>
        <w:t xml:space="preserve">international </w:t>
      </w:r>
      <w:r w:rsidR="00C02C65" w:rsidRPr="00776525">
        <w:rPr>
          <w:rFonts w:ascii="Times New Roman" w:eastAsia="Times New Roman" w:hAnsi="Times New Roman"/>
          <w:sz w:val="24"/>
          <w:szCs w:val="24"/>
        </w:rPr>
        <w:t>leverage ratio</w:t>
      </w:r>
      <w:r w:rsidR="00F44556" w:rsidRPr="00776525">
        <w:rPr>
          <w:rFonts w:ascii="Times New Roman" w:eastAsia="Times New Roman" w:hAnsi="Times New Roman"/>
          <w:sz w:val="24"/>
          <w:szCs w:val="24"/>
        </w:rPr>
        <w:t xml:space="preserve"> and </w:t>
      </w:r>
      <w:r w:rsidR="00D279F4" w:rsidRPr="00776525">
        <w:rPr>
          <w:rFonts w:ascii="Times New Roman" w:eastAsia="Times New Roman" w:hAnsi="Times New Roman"/>
          <w:sz w:val="24"/>
          <w:szCs w:val="24"/>
        </w:rPr>
        <w:t>would be calculated</w:t>
      </w:r>
      <w:r w:rsidR="00315A64" w:rsidRPr="00776525">
        <w:rPr>
          <w:rFonts w:ascii="Times New Roman" w:eastAsia="Times New Roman" w:hAnsi="Times New Roman"/>
          <w:sz w:val="24"/>
          <w:szCs w:val="24"/>
        </w:rPr>
        <w:t xml:space="preserve"> </w:t>
      </w:r>
      <w:r w:rsidR="00173C0B" w:rsidRPr="00776525">
        <w:rPr>
          <w:rFonts w:ascii="Times New Roman" w:eastAsia="Times New Roman" w:hAnsi="Times New Roman"/>
          <w:sz w:val="24"/>
          <w:szCs w:val="24"/>
        </w:rPr>
        <w:t xml:space="preserve">using both on- and off-balance sheet data.  On-balance sheet items </w:t>
      </w:r>
      <w:r w:rsidR="00F44556" w:rsidRPr="00776525">
        <w:rPr>
          <w:rFonts w:ascii="Times New Roman" w:eastAsia="Times New Roman" w:hAnsi="Times New Roman"/>
          <w:sz w:val="24"/>
          <w:szCs w:val="24"/>
        </w:rPr>
        <w:t xml:space="preserve">would </w:t>
      </w:r>
      <w:r w:rsidR="00173C0B" w:rsidRPr="00776525">
        <w:rPr>
          <w:rFonts w:ascii="Times New Roman" w:eastAsia="Times New Roman" w:hAnsi="Times New Roman"/>
          <w:sz w:val="24"/>
          <w:szCs w:val="24"/>
        </w:rPr>
        <w:t xml:space="preserve">include </w:t>
      </w:r>
      <w:r w:rsidR="00F86EF0">
        <w:rPr>
          <w:rFonts w:ascii="Times New Roman" w:eastAsia="Times New Roman" w:hAnsi="Times New Roman"/>
          <w:sz w:val="24"/>
          <w:szCs w:val="24"/>
        </w:rPr>
        <w:t>t</w:t>
      </w:r>
      <w:r w:rsidR="00F86EF0" w:rsidRPr="00F86EF0">
        <w:rPr>
          <w:rFonts w:ascii="Times New Roman" w:eastAsia="Times New Roman" w:hAnsi="Times New Roman"/>
          <w:sz w:val="24"/>
          <w:szCs w:val="24"/>
        </w:rPr>
        <w:t xml:space="preserve">otal </w:t>
      </w:r>
      <w:r w:rsidR="00F86EF0">
        <w:rPr>
          <w:rFonts w:ascii="Times New Roman" w:eastAsia="Times New Roman" w:hAnsi="Times New Roman"/>
          <w:sz w:val="24"/>
          <w:szCs w:val="24"/>
        </w:rPr>
        <w:t xml:space="preserve">on-balance-sheet </w:t>
      </w:r>
      <w:r w:rsidR="00F86EF0" w:rsidRPr="00F86EF0">
        <w:rPr>
          <w:rFonts w:ascii="Times New Roman" w:eastAsia="Times New Roman" w:hAnsi="Times New Roman"/>
          <w:sz w:val="24"/>
          <w:szCs w:val="24"/>
        </w:rPr>
        <w:t>assets</w:t>
      </w:r>
      <w:r w:rsidR="00F86EF0">
        <w:rPr>
          <w:rFonts w:ascii="Times New Roman" w:eastAsia="Times New Roman" w:hAnsi="Times New Roman"/>
          <w:sz w:val="24"/>
          <w:szCs w:val="24"/>
        </w:rPr>
        <w:t>, net and gross s</w:t>
      </w:r>
      <w:r w:rsidR="00F86EF0" w:rsidRPr="00F86EF0">
        <w:rPr>
          <w:rFonts w:ascii="Times New Roman" w:eastAsia="Times New Roman" w:hAnsi="Times New Roman"/>
          <w:sz w:val="24"/>
          <w:szCs w:val="24"/>
        </w:rPr>
        <w:t>ecurities financing transactions</w:t>
      </w:r>
      <w:r w:rsidR="00F86EF0">
        <w:rPr>
          <w:rFonts w:ascii="Times New Roman" w:eastAsia="Times New Roman" w:hAnsi="Times New Roman"/>
          <w:sz w:val="24"/>
          <w:szCs w:val="24"/>
        </w:rPr>
        <w:t>,</w:t>
      </w:r>
      <w:r w:rsidR="00F86EF0" w:rsidRPr="00F86EF0">
        <w:rPr>
          <w:rFonts w:ascii="Times New Roman" w:eastAsia="Times New Roman" w:hAnsi="Times New Roman"/>
          <w:sz w:val="24"/>
          <w:szCs w:val="24"/>
        </w:rPr>
        <w:t xml:space="preserve"> </w:t>
      </w:r>
      <w:r w:rsidR="00F86EF0">
        <w:rPr>
          <w:rFonts w:ascii="Times New Roman" w:eastAsia="Times New Roman" w:hAnsi="Times New Roman"/>
          <w:sz w:val="24"/>
          <w:szCs w:val="24"/>
        </w:rPr>
        <w:t>s</w:t>
      </w:r>
      <w:r w:rsidR="00F86EF0" w:rsidRPr="00F86EF0">
        <w:rPr>
          <w:rFonts w:ascii="Times New Roman" w:eastAsia="Times New Roman" w:hAnsi="Times New Roman"/>
          <w:sz w:val="24"/>
          <w:szCs w:val="24"/>
        </w:rPr>
        <w:t>ecurities received as collateral in securities lending</w:t>
      </w:r>
      <w:r w:rsidR="00F86EF0">
        <w:rPr>
          <w:rFonts w:ascii="Times New Roman" w:eastAsia="Times New Roman" w:hAnsi="Times New Roman"/>
          <w:sz w:val="24"/>
          <w:szCs w:val="24"/>
        </w:rPr>
        <w:t>, c</w:t>
      </w:r>
      <w:r w:rsidR="00F86EF0" w:rsidRPr="00F86EF0">
        <w:rPr>
          <w:rFonts w:ascii="Times New Roman" w:eastAsia="Times New Roman" w:hAnsi="Times New Roman"/>
          <w:sz w:val="24"/>
          <w:szCs w:val="24"/>
        </w:rPr>
        <w:t>ash collateral received in conduit securities lending transactions</w:t>
      </w:r>
      <w:r w:rsidR="00F86EF0">
        <w:rPr>
          <w:rFonts w:ascii="Times New Roman" w:eastAsia="Times New Roman" w:hAnsi="Times New Roman"/>
          <w:sz w:val="24"/>
          <w:szCs w:val="24"/>
        </w:rPr>
        <w:t>, d</w:t>
      </w:r>
      <w:r w:rsidR="00F86EF0" w:rsidRPr="00F86EF0">
        <w:rPr>
          <w:rFonts w:ascii="Times New Roman" w:eastAsia="Times New Roman" w:hAnsi="Times New Roman"/>
          <w:sz w:val="24"/>
          <w:szCs w:val="24"/>
        </w:rPr>
        <w:t>erivative exposures</w:t>
      </w:r>
      <w:r w:rsidR="00F86EF0">
        <w:rPr>
          <w:rFonts w:ascii="Times New Roman" w:eastAsia="Times New Roman" w:hAnsi="Times New Roman"/>
          <w:sz w:val="24"/>
          <w:szCs w:val="24"/>
        </w:rPr>
        <w:t xml:space="preserve"> with a net positive fair value, and c</w:t>
      </w:r>
      <w:r w:rsidR="00F86EF0" w:rsidRPr="00F86EF0">
        <w:rPr>
          <w:rFonts w:ascii="Times New Roman" w:eastAsia="Times New Roman" w:hAnsi="Times New Roman"/>
          <w:sz w:val="24"/>
          <w:szCs w:val="24"/>
        </w:rPr>
        <w:t xml:space="preserve">ash collateral netted against </w:t>
      </w:r>
      <w:r w:rsidR="00F86EF0">
        <w:rPr>
          <w:rFonts w:ascii="Times New Roman" w:eastAsia="Times New Roman" w:hAnsi="Times New Roman"/>
          <w:sz w:val="24"/>
          <w:szCs w:val="24"/>
        </w:rPr>
        <w:t xml:space="preserve">net positive </w:t>
      </w:r>
      <w:r w:rsidR="00F86EF0" w:rsidRPr="00F86EF0">
        <w:rPr>
          <w:rFonts w:ascii="Times New Roman" w:eastAsia="Times New Roman" w:hAnsi="Times New Roman"/>
          <w:sz w:val="24"/>
          <w:szCs w:val="24"/>
        </w:rPr>
        <w:t>derivative exposures</w:t>
      </w:r>
      <w:r w:rsidR="00F86EF0">
        <w:rPr>
          <w:rFonts w:ascii="Times New Roman" w:eastAsia="Times New Roman" w:hAnsi="Times New Roman"/>
          <w:sz w:val="24"/>
          <w:szCs w:val="24"/>
        </w:rPr>
        <w:t>.</w:t>
      </w:r>
      <w:r w:rsidR="00EB7E05">
        <w:rPr>
          <w:rFonts w:ascii="Times New Roman" w:eastAsia="Times New Roman" w:hAnsi="Times New Roman"/>
          <w:sz w:val="24"/>
          <w:szCs w:val="24"/>
        </w:rPr>
        <w:t xml:space="preserve">  </w:t>
      </w:r>
      <w:r w:rsidR="00173C0B" w:rsidRPr="00776525">
        <w:rPr>
          <w:rFonts w:ascii="Times New Roman" w:eastAsia="Times New Roman" w:hAnsi="Times New Roman"/>
          <w:sz w:val="24"/>
          <w:szCs w:val="24"/>
        </w:rPr>
        <w:t xml:space="preserve">Off-balance sheet items </w:t>
      </w:r>
      <w:r w:rsidR="00F44556" w:rsidRPr="00776525">
        <w:rPr>
          <w:rFonts w:ascii="Times New Roman" w:eastAsia="Times New Roman" w:hAnsi="Times New Roman"/>
          <w:sz w:val="24"/>
          <w:szCs w:val="24"/>
        </w:rPr>
        <w:t xml:space="preserve">would </w:t>
      </w:r>
      <w:r w:rsidR="00173C0B" w:rsidRPr="00776525">
        <w:rPr>
          <w:rFonts w:ascii="Times New Roman" w:eastAsia="Times New Roman" w:hAnsi="Times New Roman"/>
          <w:sz w:val="24"/>
          <w:szCs w:val="24"/>
        </w:rPr>
        <w:t xml:space="preserve">include </w:t>
      </w:r>
      <w:r w:rsidR="00EB7E05">
        <w:rPr>
          <w:rFonts w:ascii="Times New Roman" w:eastAsia="Times New Roman" w:hAnsi="Times New Roman"/>
          <w:sz w:val="24"/>
          <w:szCs w:val="24"/>
        </w:rPr>
        <w:t>p</w:t>
      </w:r>
      <w:r w:rsidR="00EB7E05" w:rsidRPr="00F86EF0">
        <w:rPr>
          <w:rFonts w:ascii="Times New Roman" w:eastAsia="Times New Roman" w:hAnsi="Times New Roman"/>
          <w:sz w:val="24"/>
          <w:szCs w:val="24"/>
        </w:rPr>
        <w:t>otential future exposure of derivative contracts</w:t>
      </w:r>
      <w:r w:rsidR="00EB7E05">
        <w:rPr>
          <w:rFonts w:ascii="Times New Roman" w:eastAsia="Times New Roman" w:hAnsi="Times New Roman"/>
          <w:sz w:val="24"/>
          <w:szCs w:val="24"/>
        </w:rPr>
        <w:t>, the n</w:t>
      </w:r>
      <w:r w:rsidR="00EB7E05" w:rsidRPr="00F86EF0">
        <w:rPr>
          <w:rFonts w:ascii="Times New Roman" w:eastAsia="Times New Roman" w:hAnsi="Times New Roman"/>
          <w:sz w:val="24"/>
          <w:szCs w:val="24"/>
        </w:rPr>
        <w:t>otional amount of credit derivatives sold</w:t>
      </w:r>
      <w:r w:rsidR="00EB7E05">
        <w:rPr>
          <w:rFonts w:ascii="Times New Roman" w:eastAsia="Times New Roman" w:hAnsi="Times New Roman"/>
          <w:sz w:val="24"/>
          <w:szCs w:val="24"/>
        </w:rPr>
        <w:t>, c</w:t>
      </w:r>
      <w:r w:rsidR="00EB7E05" w:rsidRPr="00F86EF0">
        <w:rPr>
          <w:rFonts w:ascii="Times New Roman" w:eastAsia="Times New Roman" w:hAnsi="Times New Roman"/>
          <w:sz w:val="24"/>
          <w:szCs w:val="24"/>
        </w:rPr>
        <w:t>redit derivatives sold net of r</w:t>
      </w:r>
      <w:r w:rsidR="00EB7E05">
        <w:rPr>
          <w:rFonts w:ascii="Times New Roman" w:eastAsia="Times New Roman" w:hAnsi="Times New Roman"/>
          <w:sz w:val="24"/>
          <w:szCs w:val="24"/>
        </w:rPr>
        <w:t>elated credit protection bought, the n</w:t>
      </w:r>
      <w:r w:rsidR="00EB7E05" w:rsidRPr="00F86EF0">
        <w:rPr>
          <w:rFonts w:ascii="Times New Roman" w:eastAsia="Times New Roman" w:hAnsi="Times New Roman"/>
          <w:sz w:val="24"/>
          <w:szCs w:val="24"/>
        </w:rPr>
        <w:t>otional amount of off-balance-sheet items with a 0% credit conversion factor (CCF)</w:t>
      </w:r>
      <w:r w:rsidR="0028004F">
        <w:rPr>
          <w:rFonts w:ascii="Times New Roman" w:eastAsia="Times New Roman" w:hAnsi="Times New Roman"/>
          <w:sz w:val="24"/>
          <w:szCs w:val="24"/>
        </w:rPr>
        <w:t xml:space="preserve"> under the standardized approach to risk-based capital</w:t>
      </w:r>
      <w:r w:rsidR="00EB7E05">
        <w:rPr>
          <w:rFonts w:ascii="Times New Roman" w:eastAsia="Times New Roman" w:hAnsi="Times New Roman"/>
          <w:sz w:val="24"/>
          <w:szCs w:val="24"/>
        </w:rPr>
        <w:t>, u</w:t>
      </w:r>
      <w:r w:rsidR="00EB7E05" w:rsidRPr="00F86EF0">
        <w:rPr>
          <w:rFonts w:ascii="Times New Roman" w:eastAsia="Times New Roman" w:hAnsi="Times New Roman"/>
          <w:sz w:val="24"/>
          <w:szCs w:val="24"/>
        </w:rPr>
        <w:t>nconditionally cancellable credit card commitments</w:t>
      </w:r>
      <w:r w:rsidR="00EB7E05">
        <w:rPr>
          <w:rFonts w:ascii="Times New Roman" w:eastAsia="Times New Roman" w:hAnsi="Times New Roman"/>
          <w:sz w:val="24"/>
          <w:szCs w:val="24"/>
        </w:rPr>
        <w:t>, o</w:t>
      </w:r>
      <w:r w:rsidR="00EB7E05" w:rsidRPr="00F86EF0">
        <w:rPr>
          <w:rFonts w:ascii="Times New Roman" w:eastAsia="Times New Roman" w:hAnsi="Times New Roman"/>
          <w:sz w:val="24"/>
          <w:szCs w:val="24"/>
        </w:rPr>
        <w:t>ther unconditionally cancellable commitments</w:t>
      </w:r>
      <w:r w:rsidR="00EB7E05">
        <w:rPr>
          <w:rFonts w:ascii="Times New Roman" w:eastAsia="Times New Roman" w:hAnsi="Times New Roman"/>
          <w:sz w:val="24"/>
          <w:szCs w:val="24"/>
        </w:rPr>
        <w:t>, the n</w:t>
      </w:r>
      <w:r w:rsidR="00EB7E05" w:rsidRPr="00F86EF0">
        <w:rPr>
          <w:rFonts w:ascii="Times New Roman" w:eastAsia="Times New Roman" w:hAnsi="Times New Roman"/>
          <w:sz w:val="24"/>
          <w:szCs w:val="24"/>
        </w:rPr>
        <w:t>otional amount of off-bal</w:t>
      </w:r>
      <w:r w:rsidR="00EB7E05">
        <w:rPr>
          <w:rFonts w:ascii="Times New Roman" w:eastAsia="Times New Roman" w:hAnsi="Times New Roman"/>
          <w:sz w:val="24"/>
          <w:szCs w:val="24"/>
        </w:rPr>
        <w:t>ance-sheet items with a 20% CCF, the n</w:t>
      </w:r>
      <w:r w:rsidR="00EB7E05" w:rsidRPr="00F86EF0">
        <w:rPr>
          <w:rFonts w:ascii="Times New Roman" w:eastAsia="Times New Roman" w:hAnsi="Times New Roman"/>
          <w:sz w:val="24"/>
          <w:szCs w:val="24"/>
        </w:rPr>
        <w:t>otional amount of off-bal</w:t>
      </w:r>
      <w:r w:rsidR="00EB7E05">
        <w:rPr>
          <w:rFonts w:ascii="Times New Roman" w:eastAsia="Times New Roman" w:hAnsi="Times New Roman"/>
          <w:sz w:val="24"/>
          <w:szCs w:val="24"/>
        </w:rPr>
        <w:t>ance-sheet items with a 50% CCF, and the n</w:t>
      </w:r>
      <w:r w:rsidR="00EB7E05" w:rsidRPr="00F86EF0">
        <w:rPr>
          <w:rFonts w:ascii="Times New Roman" w:eastAsia="Times New Roman" w:hAnsi="Times New Roman"/>
          <w:sz w:val="24"/>
          <w:szCs w:val="24"/>
        </w:rPr>
        <w:t>otional amount of off-bala</w:t>
      </w:r>
      <w:r w:rsidR="00EB7E05">
        <w:rPr>
          <w:rFonts w:ascii="Times New Roman" w:eastAsia="Times New Roman" w:hAnsi="Times New Roman"/>
          <w:sz w:val="24"/>
          <w:szCs w:val="24"/>
        </w:rPr>
        <w:t>nce-sheet items with a 100% CCF.</w:t>
      </w:r>
      <w:r w:rsidR="00AC4064">
        <w:rPr>
          <w:rFonts w:ascii="Times New Roman" w:eastAsia="Times New Roman" w:hAnsi="Times New Roman"/>
          <w:sz w:val="24"/>
          <w:szCs w:val="24"/>
        </w:rPr>
        <w:t xml:space="preserve">  </w:t>
      </w:r>
      <w:r w:rsidR="00AC4064" w:rsidRPr="00776525">
        <w:rPr>
          <w:rFonts w:ascii="Times New Roman" w:eastAsia="Times New Roman" w:hAnsi="Times New Roman"/>
          <w:sz w:val="24"/>
          <w:szCs w:val="24"/>
        </w:rPr>
        <w:t>Certain regulatory adjustments to Tier 1 capital would also be collected.</w:t>
      </w:r>
    </w:p>
    <w:p w:rsidR="00776525" w:rsidRDefault="00776525" w:rsidP="00263EED">
      <w:pPr>
        <w:autoSpaceDE w:val="0"/>
        <w:autoSpaceDN w:val="0"/>
        <w:adjustRightInd w:val="0"/>
        <w:spacing w:after="0" w:line="240" w:lineRule="auto"/>
        <w:rPr>
          <w:rFonts w:ascii="Times New Roman" w:eastAsia="Times New Roman" w:hAnsi="Times New Roman"/>
          <w:sz w:val="24"/>
          <w:szCs w:val="24"/>
        </w:rPr>
      </w:pPr>
    </w:p>
    <w:p w:rsidR="0052367A" w:rsidRPr="00776525" w:rsidRDefault="0052367A" w:rsidP="00263EED">
      <w:pPr>
        <w:autoSpaceDE w:val="0"/>
        <w:autoSpaceDN w:val="0"/>
        <w:adjustRightInd w:val="0"/>
        <w:spacing w:after="0" w:line="240" w:lineRule="auto"/>
        <w:rPr>
          <w:rFonts w:ascii="Times New Roman" w:eastAsia="Times New Roman" w:hAnsi="Times New Roman"/>
          <w:sz w:val="24"/>
          <w:szCs w:val="24"/>
        </w:rPr>
      </w:pPr>
    </w:p>
    <w:p w:rsidR="009107AF" w:rsidRPr="00776525" w:rsidRDefault="00754BE2" w:rsidP="00947711">
      <w:pPr>
        <w:autoSpaceDE w:val="0"/>
        <w:autoSpaceDN w:val="0"/>
        <w:adjustRightInd w:val="0"/>
        <w:spacing w:after="0" w:line="240" w:lineRule="auto"/>
        <w:ind w:firstLine="720"/>
        <w:rPr>
          <w:rFonts w:ascii="Times New Roman" w:eastAsia="Times New Roman" w:hAnsi="Times New Roman"/>
          <w:b/>
          <w:sz w:val="24"/>
          <w:szCs w:val="24"/>
        </w:rPr>
      </w:pPr>
      <w:r w:rsidRPr="00776525">
        <w:rPr>
          <w:rFonts w:ascii="Times New Roman" w:eastAsia="Times New Roman" w:hAnsi="Times New Roman"/>
          <w:b/>
          <w:sz w:val="24"/>
          <w:szCs w:val="24"/>
        </w:rPr>
        <w:lastRenderedPageBreak/>
        <w:t xml:space="preserve">Schedule B - </w:t>
      </w:r>
      <w:r w:rsidR="00694DB9" w:rsidRPr="00776525">
        <w:rPr>
          <w:rFonts w:ascii="Times New Roman" w:eastAsia="Times New Roman" w:hAnsi="Times New Roman"/>
          <w:b/>
          <w:sz w:val="24"/>
          <w:szCs w:val="24"/>
        </w:rPr>
        <w:t>Interconnectedness Indicators</w:t>
      </w:r>
    </w:p>
    <w:p w:rsidR="00615EB6" w:rsidRPr="00776525" w:rsidRDefault="00615EB6" w:rsidP="00BF5A37">
      <w:pPr>
        <w:autoSpaceDE w:val="0"/>
        <w:autoSpaceDN w:val="0"/>
        <w:adjustRightInd w:val="0"/>
        <w:spacing w:after="0" w:line="240" w:lineRule="auto"/>
        <w:rPr>
          <w:rFonts w:ascii="Times New Roman" w:eastAsia="Times New Roman" w:hAnsi="Times New Roman"/>
          <w:sz w:val="24"/>
          <w:szCs w:val="24"/>
        </w:rPr>
      </w:pPr>
    </w:p>
    <w:p w:rsidR="00CE080C" w:rsidRDefault="00C0144E" w:rsidP="00CF3BF5">
      <w:pPr>
        <w:autoSpaceDE w:val="0"/>
        <w:autoSpaceDN w:val="0"/>
        <w:adjustRightInd w:val="0"/>
        <w:spacing w:after="0" w:line="240" w:lineRule="auto"/>
        <w:ind w:firstLine="720"/>
        <w:rPr>
          <w:rFonts w:ascii="Times New Roman" w:eastAsia="Times New Roman" w:hAnsi="Times New Roman"/>
          <w:sz w:val="24"/>
          <w:szCs w:val="24"/>
        </w:rPr>
      </w:pPr>
      <w:r w:rsidRPr="00776525">
        <w:rPr>
          <w:rFonts w:ascii="Times New Roman" w:eastAsia="Times New Roman" w:hAnsi="Times New Roman"/>
          <w:sz w:val="24"/>
          <w:szCs w:val="24"/>
        </w:rPr>
        <w:t xml:space="preserve">The </w:t>
      </w:r>
      <w:r w:rsidR="00D279F4" w:rsidRPr="00776525">
        <w:rPr>
          <w:rFonts w:ascii="Times New Roman" w:eastAsia="Times New Roman" w:hAnsi="Times New Roman"/>
          <w:sz w:val="24"/>
          <w:szCs w:val="24"/>
        </w:rPr>
        <w:t>I</w:t>
      </w:r>
      <w:r w:rsidRPr="00776525">
        <w:rPr>
          <w:rFonts w:ascii="Times New Roman" w:eastAsia="Times New Roman" w:hAnsi="Times New Roman"/>
          <w:sz w:val="24"/>
          <w:szCs w:val="24"/>
        </w:rPr>
        <w:t xml:space="preserve">nterconnectedness </w:t>
      </w:r>
      <w:r w:rsidR="00D279F4" w:rsidRPr="00776525">
        <w:rPr>
          <w:rFonts w:ascii="Times New Roman" w:eastAsia="Times New Roman" w:hAnsi="Times New Roman"/>
          <w:sz w:val="24"/>
          <w:szCs w:val="24"/>
        </w:rPr>
        <w:t xml:space="preserve">Indicators Schedule </w:t>
      </w:r>
      <w:r w:rsidRPr="00776525">
        <w:rPr>
          <w:rFonts w:ascii="Times New Roman" w:eastAsia="Times New Roman" w:hAnsi="Times New Roman"/>
          <w:sz w:val="24"/>
          <w:szCs w:val="24"/>
        </w:rPr>
        <w:t xml:space="preserve">is comprised of three subcategories: intra-financial system assets, intra-financial system liabilities, and securities issued. </w:t>
      </w:r>
      <w:r w:rsidR="00694DB9" w:rsidRPr="00776525">
        <w:rPr>
          <w:rFonts w:ascii="Times New Roman" w:eastAsia="Times New Roman" w:hAnsi="Times New Roman"/>
          <w:sz w:val="24"/>
          <w:szCs w:val="24"/>
        </w:rPr>
        <w:t xml:space="preserve"> </w:t>
      </w:r>
      <w:r w:rsidR="003774CB" w:rsidRPr="00776525">
        <w:rPr>
          <w:rFonts w:ascii="Times New Roman" w:eastAsia="Times New Roman" w:hAnsi="Times New Roman"/>
          <w:sz w:val="24"/>
          <w:szCs w:val="24"/>
        </w:rPr>
        <w:t>Intra-financial system ass</w:t>
      </w:r>
      <w:r w:rsidR="00694DB9" w:rsidRPr="00776525">
        <w:rPr>
          <w:rFonts w:ascii="Times New Roman" w:eastAsia="Times New Roman" w:hAnsi="Times New Roman"/>
          <w:sz w:val="24"/>
          <w:szCs w:val="24"/>
        </w:rPr>
        <w:t>e</w:t>
      </w:r>
      <w:r w:rsidR="003774CB" w:rsidRPr="00776525">
        <w:rPr>
          <w:rFonts w:ascii="Times New Roman" w:eastAsia="Times New Roman" w:hAnsi="Times New Roman"/>
          <w:sz w:val="24"/>
          <w:szCs w:val="24"/>
        </w:rPr>
        <w:t xml:space="preserve">ts </w:t>
      </w:r>
      <w:r w:rsidR="00D279F4" w:rsidRPr="00776525">
        <w:rPr>
          <w:rFonts w:ascii="Times New Roman" w:eastAsia="Times New Roman" w:hAnsi="Times New Roman"/>
          <w:sz w:val="24"/>
          <w:szCs w:val="24"/>
        </w:rPr>
        <w:t xml:space="preserve">would be </w:t>
      </w:r>
      <w:r w:rsidR="003774CB" w:rsidRPr="00776525">
        <w:rPr>
          <w:rFonts w:ascii="Times New Roman" w:eastAsia="Times New Roman" w:hAnsi="Times New Roman"/>
          <w:sz w:val="24"/>
          <w:szCs w:val="24"/>
        </w:rPr>
        <w:t xml:space="preserve">comprised of </w:t>
      </w:r>
      <w:r w:rsidR="00CE080C">
        <w:rPr>
          <w:rFonts w:ascii="Times New Roman" w:eastAsia="Times New Roman" w:hAnsi="Times New Roman"/>
          <w:sz w:val="24"/>
          <w:szCs w:val="24"/>
        </w:rPr>
        <w:t>f</w:t>
      </w:r>
      <w:r w:rsidR="00CE080C" w:rsidRPr="000130C3">
        <w:rPr>
          <w:rFonts w:ascii="Times New Roman" w:eastAsia="Times New Roman" w:hAnsi="Times New Roman"/>
          <w:sz w:val="24"/>
          <w:szCs w:val="24"/>
        </w:rPr>
        <w:t>unds deposited with or lent to unaffiliated financial institutions</w:t>
      </w:r>
      <w:r w:rsidR="00CE080C">
        <w:rPr>
          <w:rFonts w:ascii="Times New Roman" w:eastAsia="Times New Roman" w:hAnsi="Times New Roman"/>
          <w:sz w:val="24"/>
          <w:szCs w:val="24"/>
        </w:rPr>
        <w:t>, u</w:t>
      </w:r>
      <w:r w:rsidR="00CE080C" w:rsidRPr="000130C3">
        <w:rPr>
          <w:rFonts w:ascii="Times New Roman" w:eastAsia="Times New Roman" w:hAnsi="Times New Roman"/>
          <w:sz w:val="24"/>
          <w:szCs w:val="24"/>
        </w:rPr>
        <w:t>ndrawn committed lines extended to unaffiliated financial institutions</w:t>
      </w:r>
      <w:r w:rsidR="00CE080C">
        <w:rPr>
          <w:rFonts w:ascii="Times New Roman" w:eastAsia="Times New Roman" w:hAnsi="Times New Roman"/>
          <w:sz w:val="24"/>
          <w:szCs w:val="24"/>
        </w:rPr>
        <w:t>, h</w:t>
      </w:r>
      <w:r w:rsidR="00CE080C" w:rsidRPr="000130C3">
        <w:rPr>
          <w:rFonts w:ascii="Times New Roman" w:eastAsia="Times New Roman" w:hAnsi="Times New Roman"/>
          <w:sz w:val="24"/>
          <w:szCs w:val="24"/>
        </w:rPr>
        <w:t>oldings of securities issued by unaffiliated financial institutions</w:t>
      </w:r>
      <w:r w:rsidR="00CE080C">
        <w:rPr>
          <w:rFonts w:ascii="Times New Roman" w:eastAsia="Times New Roman" w:hAnsi="Times New Roman"/>
          <w:sz w:val="24"/>
          <w:szCs w:val="24"/>
        </w:rPr>
        <w:t xml:space="preserve"> (including s</w:t>
      </w:r>
      <w:r w:rsidR="00CE080C" w:rsidRPr="000130C3">
        <w:rPr>
          <w:rFonts w:ascii="Times New Roman" w:eastAsia="Times New Roman" w:hAnsi="Times New Roman"/>
          <w:sz w:val="24"/>
          <w:szCs w:val="24"/>
        </w:rPr>
        <w:t>ecured debt securities</w:t>
      </w:r>
      <w:r w:rsidR="00CE080C">
        <w:rPr>
          <w:rFonts w:ascii="Times New Roman" w:eastAsia="Times New Roman" w:hAnsi="Times New Roman"/>
          <w:sz w:val="24"/>
          <w:szCs w:val="24"/>
        </w:rPr>
        <w:t>, s</w:t>
      </w:r>
      <w:r w:rsidR="00CE080C" w:rsidRPr="000130C3">
        <w:rPr>
          <w:rFonts w:ascii="Times New Roman" w:eastAsia="Times New Roman" w:hAnsi="Times New Roman"/>
          <w:sz w:val="24"/>
          <w:szCs w:val="24"/>
        </w:rPr>
        <w:t>enior unsecured debt securities</w:t>
      </w:r>
      <w:r w:rsidR="00CE080C">
        <w:rPr>
          <w:rFonts w:ascii="Times New Roman" w:eastAsia="Times New Roman" w:hAnsi="Times New Roman"/>
          <w:sz w:val="24"/>
          <w:szCs w:val="24"/>
        </w:rPr>
        <w:t>, s</w:t>
      </w:r>
      <w:r w:rsidR="00CE080C" w:rsidRPr="000130C3">
        <w:rPr>
          <w:rFonts w:ascii="Times New Roman" w:eastAsia="Times New Roman" w:hAnsi="Times New Roman"/>
          <w:sz w:val="24"/>
          <w:szCs w:val="24"/>
        </w:rPr>
        <w:t>ubordinated debt securities</w:t>
      </w:r>
      <w:r w:rsidR="00CE080C">
        <w:rPr>
          <w:rFonts w:ascii="Times New Roman" w:eastAsia="Times New Roman" w:hAnsi="Times New Roman"/>
          <w:sz w:val="24"/>
          <w:szCs w:val="24"/>
        </w:rPr>
        <w:t>, c</w:t>
      </w:r>
      <w:r w:rsidR="00CE080C" w:rsidRPr="000130C3">
        <w:rPr>
          <w:rFonts w:ascii="Times New Roman" w:eastAsia="Times New Roman" w:hAnsi="Times New Roman"/>
          <w:sz w:val="24"/>
          <w:szCs w:val="24"/>
        </w:rPr>
        <w:t>ommercial paper</w:t>
      </w:r>
      <w:r w:rsidR="00CE080C">
        <w:rPr>
          <w:rFonts w:ascii="Times New Roman" w:eastAsia="Times New Roman" w:hAnsi="Times New Roman"/>
          <w:sz w:val="24"/>
          <w:szCs w:val="24"/>
        </w:rPr>
        <w:t>, c</w:t>
      </w:r>
      <w:r w:rsidR="00CE080C" w:rsidRPr="000130C3">
        <w:rPr>
          <w:rFonts w:ascii="Times New Roman" w:eastAsia="Times New Roman" w:hAnsi="Times New Roman"/>
          <w:sz w:val="24"/>
          <w:szCs w:val="24"/>
        </w:rPr>
        <w:t>ertificates of deposit</w:t>
      </w:r>
      <w:r w:rsidR="00CE080C">
        <w:rPr>
          <w:rFonts w:ascii="Times New Roman" w:eastAsia="Times New Roman" w:hAnsi="Times New Roman"/>
          <w:sz w:val="24"/>
          <w:szCs w:val="24"/>
        </w:rPr>
        <w:t>, and s</w:t>
      </w:r>
      <w:r w:rsidR="00CE080C" w:rsidRPr="000130C3">
        <w:rPr>
          <w:rFonts w:ascii="Times New Roman" w:eastAsia="Times New Roman" w:hAnsi="Times New Roman"/>
          <w:sz w:val="24"/>
          <w:szCs w:val="24"/>
        </w:rPr>
        <w:t>tock (including par and surplus of common and preferred shares)</w:t>
      </w:r>
      <w:r w:rsidR="00CE080C">
        <w:rPr>
          <w:rFonts w:ascii="Times New Roman" w:eastAsia="Times New Roman" w:hAnsi="Times New Roman"/>
          <w:sz w:val="24"/>
          <w:szCs w:val="24"/>
        </w:rPr>
        <w:t>), o</w:t>
      </w:r>
      <w:r w:rsidR="00CE080C" w:rsidRPr="000130C3">
        <w:rPr>
          <w:rFonts w:ascii="Times New Roman" w:eastAsia="Times New Roman" w:hAnsi="Times New Roman"/>
          <w:sz w:val="24"/>
          <w:szCs w:val="24"/>
        </w:rPr>
        <w:t xml:space="preserve">ffsetting short positions in relation to specific </w:t>
      </w:r>
      <w:r w:rsidR="00CE080C">
        <w:rPr>
          <w:rFonts w:ascii="Times New Roman" w:eastAsia="Times New Roman" w:hAnsi="Times New Roman"/>
          <w:sz w:val="24"/>
          <w:szCs w:val="24"/>
        </w:rPr>
        <w:t>stock holdings, n</w:t>
      </w:r>
      <w:r w:rsidR="00CE080C" w:rsidRPr="000130C3">
        <w:rPr>
          <w:rFonts w:ascii="Times New Roman" w:eastAsia="Times New Roman" w:hAnsi="Times New Roman"/>
          <w:sz w:val="24"/>
          <w:szCs w:val="24"/>
        </w:rPr>
        <w:t>et positive current exposure of securities financing transactions with unaffiliated financial institutions</w:t>
      </w:r>
      <w:r w:rsidR="00CE080C">
        <w:rPr>
          <w:rFonts w:ascii="Times New Roman" w:eastAsia="Times New Roman" w:hAnsi="Times New Roman"/>
          <w:sz w:val="24"/>
          <w:szCs w:val="24"/>
        </w:rPr>
        <w:t>, and information about o</w:t>
      </w:r>
      <w:r w:rsidR="00CE080C" w:rsidRPr="000130C3">
        <w:rPr>
          <w:rFonts w:ascii="Times New Roman" w:eastAsia="Times New Roman" w:hAnsi="Times New Roman"/>
          <w:sz w:val="24"/>
          <w:szCs w:val="24"/>
        </w:rPr>
        <w:t>ver-the-counter (OTC) derivatives with unaffiliated financial institutions that have a net positive fair value</w:t>
      </w:r>
      <w:r w:rsidR="00CE080C">
        <w:rPr>
          <w:rFonts w:ascii="Times New Roman" w:eastAsia="Times New Roman" w:hAnsi="Times New Roman"/>
          <w:sz w:val="24"/>
          <w:szCs w:val="24"/>
        </w:rPr>
        <w:t xml:space="preserve"> (including the fair value of the derivatives, the p</w:t>
      </w:r>
      <w:r w:rsidR="00CE080C" w:rsidRPr="000130C3">
        <w:rPr>
          <w:rFonts w:ascii="Times New Roman" w:eastAsia="Times New Roman" w:hAnsi="Times New Roman"/>
          <w:sz w:val="24"/>
          <w:szCs w:val="24"/>
        </w:rPr>
        <w:t>otential future exposure</w:t>
      </w:r>
      <w:r w:rsidR="00CE080C">
        <w:rPr>
          <w:rFonts w:ascii="Times New Roman" w:eastAsia="Times New Roman" w:hAnsi="Times New Roman"/>
          <w:sz w:val="24"/>
          <w:szCs w:val="24"/>
        </w:rPr>
        <w:t>, and the f</w:t>
      </w:r>
      <w:r w:rsidR="00CE080C" w:rsidRPr="000130C3">
        <w:rPr>
          <w:rFonts w:ascii="Times New Roman" w:eastAsia="Times New Roman" w:hAnsi="Times New Roman"/>
          <w:sz w:val="24"/>
          <w:szCs w:val="24"/>
        </w:rPr>
        <w:t>air value of collateral that is held outside of master netting agreements</w:t>
      </w:r>
      <w:r w:rsidR="00CE080C">
        <w:rPr>
          <w:rFonts w:ascii="Times New Roman" w:eastAsia="Times New Roman" w:hAnsi="Times New Roman"/>
          <w:sz w:val="24"/>
          <w:szCs w:val="24"/>
        </w:rPr>
        <w:t>).</w:t>
      </w:r>
    </w:p>
    <w:p w:rsidR="00D73F59" w:rsidRPr="00776525" w:rsidRDefault="00D73F59" w:rsidP="00361AC0">
      <w:pPr>
        <w:autoSpaceDE w:val="0"/>
        <w:autoSpaceDN w:val="0"/>
        <w:adjustRightInd w:val="0"/>
        <w:spacing w:after="0" w:line="240" w:lineRule="auto"/>
        <w:ind w:firstLine="720"/>
        <w:rPr>
          <w:rFonts w:ascii="Times New Roman" w:eastAsia="Times New Roman" w:hAnsi="Times New Roman"/>
          <w:sz w:val="24"/>
          <w:szCs w:val="24"/>
        </w:rPr>
      </w:pPr>
    </w:p>
    <w:p w:rsidR="00AA5272" w:rsidRDefault="00173C0B" w:rsidP="00263EED">
      <w:pPr>
        <w:autoSpaceDE w:val="0"/>
        <w:autoSpaceDN w:val="0"/>
        <w:adjustRightInd w:val="0"/>
        <w:spacing w:after="0" w:line="240" w:lineRule="auto"/>
        <w:ind w:firstLine="720"/>
        <w:rPr>
          <w:rFonts w:ascii="Times New Roman" w:eastAsia="Times New Roman" w:hAnsi="Times New Roman"/>
          <w:sz w:val="24"/>
          <w:szCs w:val="24"/>
        </w:rPr>
      </w:pPr>
      <w:r w:rsidRPr="00776525">
        <w:rPr>
          <w:rFonts w:ascii="Times New Roman" w:eastAsia="Times New Roman" w:hAnsi="Times New Roman"/>
          <w:sz w:val="24"/>
          <w:szCs w:val="24"/>
        </w:rPr>
        <w:t xml:space="preserve">Intra-financial system liabilities </w:t>
      </w:r>
      <w:r w:rsidR="00BB2BFA" w:rsidRPr="00776525">
        <w:rPr>
          <w:rFonts w:ascii="Times New Roman" w:eastAsia="Times New Roman" w:hAnsi="Times New Roman"/>
          <w:sz w:val="24"/>
          <w:szCs w:val="24"/>
        </w:rPr>
        <w:t xml:space="preserve">would </w:t>
      </w:r>
      <w:r w:rsidRPr="00776525">
        <w:rPr>
          <w:rFonts w:ascii="Times New Roman" w:eastAsia="Times New Roman" w:hAnsi="Times New Roman"/>
          <w:sz w:val="24"/>
          <w:szCs w:val="24"/>
        </w:rPr>
        <w:t xml:space="preserve">include </w:t>
      </w:r>
      <w:r w:rsidR="00AA5272">
        <w:rPr>
          <w:rFonts w:ascii="Times New Roman" w:eastAsia="Times New Roman" w:hAnsi="Times New Roman"/>
          <w:sz w:val="24"/>
          <w:szCs w:val="24"/>
        </w:rPr>
        <w:t>d</w:t>
      </w:r>
      <w:r w:rsidR="00AA5272" w:rsidRPr="000130C3">
        <w:rPr>
          <w:rFonts w:ascii="Times New Roman" w:eastAsia="Times New Roman" w:hAnsi="Times New Roman"/>
          <w:sz w:val="24"/>
          <w:szCs w:val="24"/>
        </w:rPr>
        <w:t>eposits due to depository institutions</w:t>
      </w:r>
      <w:r w:rsidR="00AA5272">
        <w:rPr>
          <w:rFonts w:ascii="Times New Roman" w:eastAsia="Times New Roman" w:hAnsi="Times New Roman"/>
          <w:sz w:val="24"/>
          <w:szCs w:val="24"/>
        </w:rPr>
        <w:t>, d</w:t>
      </w:r>
      <w:r w:rsidR="00AA5272" w:rsidRPr="000130C3">
        <w:rPr>
          <w:rFonts w:ascii="Times New Roman" w:eastAsia="Times New Roman" w:hAnsi="Times New Roman"/>
          <w:sz w:val="24"/>
          <w:szCs w:val="24"/>
        </w:rPr>
        <w:t>eposits due to non-depository financial institutions</w:t>
      </w:r>
      <w:r w:rsidR="00AA5272">
        <w:rPr>
          <w:rFonts w:ascii="Times New Roman" w:eastAsia="Times New Roman" w:hAnsi="Times New Roman"/>
          <w:sz w:val="24"/>
          <w:szCs w:val="24"/>
        </w:rPr>
        <w:t>, u</w:t>
      </w:r>
      <w:r w:rsidR="00AA5272" w:rsidRPr="000130C3">
        <w:rPr>
          <w:rFonts w:ascii="Times New Roman" w:eastAsia="Times New Roman" w:hAnsi="Times New Roman"/>
          <w:sz w:val="24"/>
          <w:szCs w:val="24"/>
        </w:rPr>
        <w:t>ndrawn committed lines obtained from unaffiliated financial institutions</w:t>
      </w:r>
      <w:r w:rsidR="00AA5272">
        <w:rPr>
          <w:rFonts w:ascii="Times New Roman" w:eastAsia="Times New Roman" w:hAnsi="Times New Roman"/>
          <w:sz w:val="24"/>
          <w:szCs w:val="24"/>
        </w:rPr>
        <w:t>, n</w:t>
      </w:r>
      <w:r w:rsidR="00AA5272" w:rsidRPr="000130C3">
        <w:rPr>
          <w:rFonts w:ascii="Times New Roman" w:eastAsia="Times New Roman" w:hAnsi="Times New Roman"/>
          <w:sz w:val="24"/>
          <w:szCs w:val="24"/>
        </w:rPr>
        <w:t>et negative current exposure of securities financing transactions with unaffiliated financial institutions</w:t>
      </w:r>
      <w:r w:rsidR="00AA5272">
        <w:rPr>
          <w:rFonts w:ascii="Times New Roman" w:eastAsia="Times New Roman" w:hAnsi="Times New Roman"/>
          <w:sz w:val="24"/>
          <w:szCs w:val="24"/>
        </w:rPr>
        <w:t xml:space="preserve">, and information about </w:t>
      </w:r>
      <w:r w:rsidR="00AA5272" w:rsidRPr="000130C3">
        <w:rPr>
          <w:rFonts w:ascii="Times New Roman" w:eastAsia="Times New Roman" w:hAnsi="Times New Roman"/>
          <w:sz w:val="24"/>
          <w:szCs w:val="24"/>
        </w:rPr>
        <w:t>OTC derivatives with unaffiliated financial institutions that have a net negative fair value</w:t>
      </w:r>
      <w:r w:rsidR="00AA5272">
        <w:rPr>
          <w:rFonts w:ascii="Times New Roman" w:eastAsia="Times New Roman" w:hAnsi="Times New Roman"/>
          <w:sz w:val="24"/>
          <w:szCs w:val="24"/>
        </w:rPr>
        <w:t xml:space="preserve"> (including the fair value of the derivatives, the p</w:t>
      </w:r>
      <w:r w:rsidR="00AA5272" w:rsidRPr="000130C3">
        <w:rPr>
          <w:rFonts w:ascii="Times New Roman" w:eastAsia="Times New Roman" w:hAnsi="Times New Roman"/>
          <w:sz w:val="24"/>
          <w:szCs w:val="24"/>
        </w:rPr>
        <w:t>otential future exposure</w:t>
      </w:r>
      <w:r w:rsidR="00AA5272">
        <w:rPr>
          <w:rFonts w:ascii="Times New Roman" w:eastAsia="Times New Roman" w:hAnsi="Times New Roman"/>
          <w:sz w:val="24"/>
          <w:szCs w:val="24"/>
        </w:rPr>
        <w:t>, and the f</w:t>
      </w:r>
      <w:r w:rsidR="00AA5272" w:rsidRPr="000130C3">
        <w:rPr>
          <w:rFonts w:ascii="Times New Roman" w:eastAsia="Times New Roman" w:hAnsi="Times New Roman"/>
          <w:sz w:val="24"/>
          <w:szCs w:val="24"/>
        </w:rPr>
        <w:t>air value of collateral that is provided outside of the master netting agreements</w:t>
      </w:r>
      <w:r w:rsidR="00AA5272">
        <w:rPr>
          <w:rFonts w:ascii="Times New Roman" w:eastAsia="Times New Roman" w:hAnsi="Times New Roman"/>
          <w:sz w:val="24"/>
          <w:szCs w:val="24"/>
        </w:rPr>
        <w:t>).</w:t>
      </w:r>
    </w:p>
    <w:p w:rsidR="00AA5272" w:rsidRDefault="00AA5272" w:rsidP="00947711">
      <w:pPr>
        <w:autoSpaceDE w:val="0"/>
        <w:autoSpaceDN w:val="0"/>
        <w:adjustRightInd w:val="0"/>
        <w:spacing w:after="0" w:line="240" w:lineRule="auto"/>
        <w:ind w:firstLine="720"/>
        <w:rPr>
          <w:rFonts w:ascii="Times New Roman" w:eastAsia="Times New Roman" w:hAnsi="Times New Roman"/>
          <w:sz w:val="24"/>
          <w:szCs w:val="24"/>
        </w:rPr>
      </w:pPr>
    </w:p>
    <w:p w:rsidR="000130C3" w:rsidRPr="00776525" w:rsidRDefault="00E730A6" w:rsidP="00263EED">
      <w:pPr>
        <w:autoSpaceDE w:val="0"/>
        <w:autoSpaceDN w:val="0"/>
        <w:adjustRightInd w:val="0"/>
        <w:spacing w:after="0" w:line="240" w:lineRule="auto"/>
        <w:ind w:firstLine="720"/>
        <w:rPr>
          <w:rFonts w:ascii="Times New Roman" w:eastAsia="Times New Roman" w:hAnsi="Times New Roman"/>
          <w:sz w:val="24"/>
          <w:szCs w:val="24"/>
        </w:rPr>
      </w:pPr>
      <w:r w:rsidRPr="00776525">
        <w:rPr>
          <w:rFonts w:ascii="Times New Roman" w:eastAsia="Times New Roman" w:hAnsi="Times New Roman"/>
          <w:sz w:val="24"/>
          <w:szCs w:val="24"/>
        </w:rPr>
        <w:t>S</w:t>
      </w:r>
      <w:r w:rsidR="00173C0B" w:rsidRPr="00776525">
        <w:rPr>
          <w:rFonts w:ascii="Times New Roman" w:eastAsia="Times New Roman" w:hAnsi="Times New Roman"/>
          <w:sz w:val="24"/>
          <w:szCs w:val="24"/>
        </w:rPr>
        <w:t xml:space="preserve">ecurities issued by the bank </w:t>
      </w:r>
      <w:r w:rsidR="00BB2BFA" w:rsidRPr="00776525">
        <w:rPr>
          <w:rFonts w:ascii="Times New Roman" w:eastAsia="Times New Roman" w:hAnsi="Times New Roman"/>
          <w:sz w:val="24"/>
          <w:szCs w:val="24"/>
        </w:rPr>
        <w:t xml:space="preserve">would </w:t>
      </w:r>
      <w:r w:rsidR="00173C0B" w:rsidRPr="00776525">
        <w:rPr>
          <w:rFonts w:ascii="Times New Roman" w:eastAsia="Times New Roman" w:hAnsi="Times New Roman"/>
          <w:sz w:val="24"/>
          <w:szCs w:val="24"/>
        </w:rPr>
        <w:t xml:space="preserve">include </w:t>
      </w:r>
      <w:r w:rsidR="00AA5272">
        <w:rPr>
          <w:rFonts w:ascii="Times New Roman" w:eastAsia="Times New Roman" w:hAnsi="Times New Roman"/>
          <w:sz w:val="24"/>
          <w:szCs w:val="24"/>
        </w:rPr>
        <w:t>s</w:t>
      </w:r>
      <w:r w:rsidR="00AA5272" w:rsidRPr="000130C3">
        <w:rPr>
          <w:rFonts w:ascii="Times New Roman" w:eastAsia="Times New Roman" w:hAnsi="Times New Roman"/>
          <w:sz w:val="24"/>
          <w:szCs w:val="24"/>
        </w:rPr>
        <w:t>ecured debt securities</w:t>
      </w:r>
      <w:r w:rsidR="00AA5272">
        <w:rPr>
          <w:rFonts w:ascii="Times New Roman" w:eastAsia="Times New Roman" w:hAnsi="Times New Roman"/>
          <w:sz w:val="24"/>
          <w:szCs w:val="24"/>
        </w:rPr>
        <w:t>, s</w:t>
      </w:r>
      <w:r w:rsidR="00AA5272" w:rsidRPr="000130C3">
        <w:rPr>
          <w:rFonts w:ascii="Times New Roman" w:eastAsia="Times New Roman" w:hAnsi="Times New Roman"/>
          <w:sz w:val="24"/>
          <w:szCs w:val="24"/>
        </w:rPr>
        <w:t>enior unsecured debt securities</w:t>
      </w:r>
      <w:r w:rsidR="00AA5272">
        <w:rPr>
          <w:rFonts w:ascii="Times New Roman" w:eastAsia="Times New Roman" w:hAnsi="Times New Roman"/>
          <w:sz w:val="24"/>
          <w:szCs w:val="24"/>
        </w:rPr>
        <w:t>, s</w:t>
      </w:r>
      <w:r w:rsidR="00AA5272" w:rsidRPr="000130C3">
        <w:rPr>
          <w:rFonts w:ascii="Times New Roman" w:eastAsia="Times New Roman" w:hAnsi="Times New Roman"/>
          <w:sz w:val="24"/>
          <w:szCs w:val="24"/>
        </w:rPr>
        <w:t>ubordinated debt securities</w:t>
      </w:r>
      <w:r w:rsidR="00AA5272">
        <w:rPr>
          <w:rFonts w:ascii="Times New Roman" w:eastAsia="Times New Roman" w:hAnsi="Times New Roman"/>
          <w:sz w:val="24"/>
          <w:szCs w:val="24"/>
        </w:rPr>
        <w:t>, c</w:t>
      </w:r>
      <w:r w:rsidR="00AA5272" w:rsidRPr="000130C3">
        <w:rPr>
          <w:rFonts w:ascii="Times New Roman" w:eastAsia="Times New Roman" w:hAnsi="Times New Roman"/>
          <w:sz w:val="24"/>
          <w:szCs w:val="24"/>
        </w:rPr>
        <w:t>ommercial paper</w:t>
      </w:r>
      <w:r w:rsidR="00AA5272">
        <w:rPr>
          <w:rFonts w:ascii="Times New Roman" w:eastAsia="Times New Roman" w:hAnsi="Times New Roman"/>
          <w:sz w:val="24"/>
          <w:szCs w:val="24"/>
        </w:rPr>
        <w:t>, c</w:t>
      </w:r>
      <w:r w:rsidR="00AA5272" w:rsidRPr="000130C3">
        <w:rPr>
          <w:rFonts w:ascii="Times New Roman" w:eastAsia="Times New Roman" w:hAnsi="Times New Roman"/>
          <w:sz w:val="24"/>
          <w:szCs w:val="24"/>
        </w:rPr>
        <w:t>ertificates of deposit</w:t>
      </w:r>
      <w:r w:rsidR="00AA5272">
        <w:rPr>
          <w:rFonts w:ascii="Times New Roman" w:eastAsia="Times New Roman" w:hAnsi="Times New Roman"/>
          <w:sz w:val="24"/>
          <w:szCs w:val="24"/>
        </w:rPr>
        <w:t>, and e</w:t>
      </w:r>
      <w:r w:rsidR="00AA5272" w:rsidRPr="000130C3">
        <w:rPr>
          <w:rFonts w:ascii="Times New Roman" w:eastAsia="Times New Roman" w:hAnsi="Times New Roman"/>
          <w:sz w:val="24"/>
          <w:szCs w:val="24"/>
        </w:rPr>
        <w:t>quity market capitalization</w:t>
      </w:r>
      <w:r w:rsidR="00AA5272">
        <w:rPr>
          <w:rFonts w:ascii="Times New Roman" w:eastAsia="Times New Roman" w:hAnsi="Times New Roman"/>
          <w:sz w:val="24"/>
          <w:szCs w:val="24"/>
        </w:rPr>
        <w:t>.</w:t>
      </w:r>
    </w:p>
    <w:p w:rsidR="009E7781" w:rsidRPr="00776525" w:rsidRDefault="009E7781" w:rsidP="00947711">
      <w:pPr>
        <w:autoSpaceDE w:val="0"/>
        <w:autoSpaceDN w:val="0"/>
        <w:adjustRightInd w:val="0"/>
        <w:spacing w:after="0" w:line="240" w:lineRule="auto"/>
        <w:rPr>
          <w:rFonts w:ascii="Times New Roman" w:eastAsia="Times New Roman" w:hAnsi="Times New Roman"/>
          <w:sz w:val="24"/>
          <w:szCs w:val="24"/>
        </w:rPr>
      </w:pPr>
    </w:p>
    <w:p w:rsidR="00AB404F" w:rsidRPr="00776525" w:rsidRDefault="00754BE2" w:rsidP="00BF5A37">
      <w:pPr>
        <w:autoSpaceDE w:val="0"/>
        <w:autoSpaceDN w:val="0"/>
        <w:adjustRightInd w:val="0"/>
        <w:spacing w:after="0" w:line="240" w:lineRule="auto"/>
        <w:ind w:firstLine="720"/>
        <w:rPr>
          <w:rFonts w:ascii="Times New Roman" w:eastAsia="Times New Roman" w:hAnsi="Times New Roman"/>
          <w:b/>
          <w:sz w:val="24"/>
          <w:szCs w:val="24"/>
        </w:rPr>
      </w:pPr>
      <w:r w:rsidRPr="00776525">
        <w:rPr>
          <w:rFonts w:ascii="Times New Roman" w:eastAsia="Times New Roman" w:hAnsi="Times New Roman"/>
          <w:b/>
          <w:sz w:val="24"/>
          <w:szCs w:val="24"/>
        </w:rPr>
        <w:t>Schedule C -</w:t>
      </w:r>
      <w:r w:rsidR="00BB2BFA" w:rsidRPr="00776525">
        <w:rPr>
          <w:rFonts w:ascii="Times New Roman" w:eastAsia="Times New Roman" w:hAnsi="Times New Roman"/>
          <w:sz w:val="24"/>
          <w:szCs w:val="24"/>
        </w:rPr>
        <w:t xml:space="preserve"> </w:t>
      </w:r>
      <w:r w:rsidR="00694DB9" w:rsidRPr="00776525">
        <w:rPr>
          <w:rFonts w:ascii="Times New Roman" w:eastAsia="Times New Roman" w:hAnsi="Times New Roman"/>
          <w:b/>
          <w:sz w:val="24"/>
          <w:szCs w:val="24"/>
        </w:rPr>
        <w:t>Substitutability Indicators</w:t>
      </w:r>
    </w:p>
    <w:p w:rsidR="00615EB6" w:rsidRPr="00776525" w:rsidRDefault="00615EB6" w:rsidP="00CF3BF5">
      <w:pPr>
        <w:autoSpaceDE w:val="0"/>
        <w:autoSpaceDN w:val="0"/>
        <w:adjustRightInd w:val="0"/>
        <w:spacing w:after="0" w:line="240" w:lineRule="auto"/>
        <w:rPr>
          <w:rFonts w:ascii="Times New Roman" w:eastAsia="Times New Roman" w:hAnsi="Times New Roman"/>
          <w:sz w:val="24"/>
          <w:szCs w:val="24"/>
        </w:rPr>
      </w:pPr>
    </w:p>
    <w:p w:rsidR="00F335E6" w:rsidRDefault="00626D5C" w:rsidP="00CF3BF5">
      <w:pPr>
        <w:autoSpaceDE w:val="0"/>
        <w:autoSpaceDN w:val="0"/>
        <w:adjustRightInd w:val="0"/>
        <w:spacing w:after="0" w:line="240" w:lineRule="auto"/>
        <w:ind w:firstLine="720"/>
        <w:rPr>
          <w:rFonts w:ascii="Times New Roman" w:eastAsia="Times New Roman" w:hAnsi="Times New Roman"/>
          <w:sz w:val="24"/>
          <w:szCs w:val="24"/>
        </w:rPr>
      </w:pPr>
      <w:r w:rsidRPr="00776525">
        <w:rPr>
          <w:rFonts w:ascii="Times New Roman" w:eastAsia="Times New Roman" w:hAnsi="Times New Roman"/>
          <w:sz w:val="24"/>
          <w:szCs w:val="24"/>
        </w:rPr>
        <w:t xml:space="preserve">The </w:t>
      </w:r>
      <w:r w:rsidR="00BB2BFA" w:rsidRPr="00776525">
        <w:rPr>
          <w:rFonts w:ascii="Times New Roman" w:eastAsia="Times New Roman" w:hAnsi="Times New Roman"/>
          <w:sz w:val="24"/>
          <w:szCs w:val="24"/>
        </w:rPr>
        <w:t xml:space="preserve">Substitutability Indicators Schedule would </w:t>
      </w:r>
      <w:r w:rsidRPr="00776525">
        <w:rPr>
          <w:rFonts w:ascii="Times New Roman" w:eastAsia="Times New Roman" w:hAnsi="Times New Roman"/>
          <w:sz w:val="24"/>
          <w:szCs w:val="24"/>
        </w:rPr>
        <w:t xml:space="preserve">include </w:t>
      </w:r>
      <w:r w:rsidR="00D43F8E" w:rsidRPr="00776525">
        <w:rPr>
          <w:rFonts w:ascii="Times New Roman" w:eastAsia="Times New Roman" w:hAnsi="Times New Roman"/>
          <w:sz w:val="24"/>
          <w:szCs w:val="24"/>
        </w:rPr>
        <w:t xml:space="preserve">the value of </w:t>
      </w:r>
      <w:r w:rsidR="00F335E6" w:rsidRPr="00776525">
        <w:rPr>
          <w:rFonts w:ascii="Times New Roman" w:eastAsia="Times New Roman" w:hAnsi="Times New Roman"/>
          <w:sz w:val="24"/>
          <w:szCs w:val="24"/>
        </w:rPr>
        <w:t>payments</w:t>
      </w:r>
      <w:r w:rsidR="009D6801" w:rsidRPr="00776525">
        <w:rPr>
          <w:rFonts w:ascii="Times New Roman" w:eastAsia="Times New Roman" w:hAnsi="Times New Roman"/>
          <w:sz w:val="24"/>
          <w:szCs w:val="24"/>
        </w:rPr>
        <w:t xml:space="preserve"> sent</w:t>
      </w:r>
      <w:r w:rsidR="00D43F8E" w:rsidRPr="00776525">
        <w:rPr>
          <w:rFonts w:ascii="Times New Roman" w:eastAsia="Times New Roman" w:hAnsi="Times New Roman"/>
          <w:sz w:val="24"/>
          <w:szCs w:val="24"/>
        </w:rPr>
        <w:t xml:space="preserve"> by the bank</w:t>
      </w:r>
      <w:r w:rsidR="00F335E6" w:rsidRPr="00776525">
        <w:rPr>
          <w:rFonts w:ascii="Times New Roman" w:eastAsia="Times New Roman" w:hAnsi="Times New Roman"/>
          <w:sz w:val="24"/>
          <w:szCs w:val="24"/>
        </w:rPr>
        <w:t xml:space="preserve"> </w:t>
      </w:r>
      <w:r w:rsidR="00F60779" w:rsidRPr="00776525">
        <w:rPr>
          <w:rFonts w:ascii="Times New Roman" w:eastAsia="Times New Roman" w:hAnsi="Times New Roman"/>
          <w:sz w:val="24"/>
          <w:szCs w:val="24"/>
        </w:rPr>
        <w:t>for</w:t>
      </w:r>
      <w:r w:rsidR="00F335E6" w:rsidRPr="00776525">
        <w:rPr>
          <w:rFonts w:ascii="Times New Roman" w:eastAsia="Times New Roman" w:hAnsi="Times New Roman"/>
          <w:sz w:val="24"/>
          <w:szCs w:val="24"/>
        </w:rPr>
        <w:t xml:space="preserve"> </w:t>
      </w:r>
      <w:r w:rsidR="000B3F0C" w:rsidRPr="00776525">
        <w:rPr>
          <w:rFonts w:ascii="Times New Roman" w:eastAsia="Times New Roman" w:hAnsi="Times New Roman"/>
          <w:sz w:val="24"/>
          <w:szCs w:val="24"/>
        </w:rPr>
        <w:t xml:space="preserve">the </w:t>
      </w:r>
      <w:r w:rsidR="00BB2BFA" w:rsidRPr="00776525">
        <w:rPr>
          <w:rFonts w:ascii="Times New Roman" w:eastAsia="Times New Roman" w:hAnsi="Times New Roman"/>
          <w:sz w:val="24"/>
          <w:szCs w:val="24"/>
        </w:rPr>
        <w:t xml:space="preserve">reporting </w:t>
      </w:r>
      <w:r w:rsidR="000B3F0C" w:rsidRPr="00776525">
        <w:rPr>
          <w:rFonts w:ascii="Times New Roman" w:eastAsia="Times New Roman" w:hAnsi="Times New Roman"/>
          <w:sz w:val="24"/>
          <w:szCs w:val="24"/>
        </w:rPr>
        <w:t xml:space="preserve">year in </w:t>
      </w:r>
      <w:r w:rsidR="00F335E6" w:rsidRPr="00776525">
        <w:rPr>
          <w:rFonts w:ascii="Times New Roman" w:eastAsia="Times New Roman" w:hAnsi="Times New Roman"/>
          <w:sz w:val="24"/>
          <w:szCs w:val="24"/>
        </w:rPr>
        <w:t>Australian dollars</w:t>
      </w:r>
      <w:r w:rsidR="000B3F0C" w:rsidRPr="00776525">
        <w:rPr>
          <w:rFonts w:ascii="Times New Roman" w:eastAsia="Times New Roman" w:hAnsi="Times New Roman"/>
          <w:sz w:val="24"/>
          <w:szCs w:val="24"/>
        </w:rPr>
        <w:t xml:space="preserve">, Brazilian real, </w:t>
      </w:r>
      <w:r w:rsidR="00F335E6" w:rsidRPr="00776525">
        <w:rPr>
          <w:rFonts w:ascii="Times New Roman" w:eastAsia="Times New Roman" w:hAnsi="Times New Roman"/>
          <w:sz w:val="24"/>
          <w:szCs w:val="24"/>
        </w:rPr>
        <w:t>Canadian dollars</w:t>
      </w:r>
      <w:r w:rsidR="000B3F0C" w:rsidRPr="00776525">
        <w:rPr>
          <w:rFonts w:ascii="Times New Roman" w:eastAsia="Times New Roman" w:hAnsi="Times New Roman"/>
          <w:sz w:val="24"/>
          <w:szCs w:val="24"/>
        </w:rPr>
        <w:t xml:space="preserve">, </w:t>
      </w:r>
      <w:r w:rsidR="00F335E6" w:rsidRPr="00776525">
        <w:rPr>
          <w:rFonts w:ascii="Times New Roman" w:eastAsia="Times New Roman" w:hAnsi="Times New Roman"/>
          <w:sz w:val="24"/>
          <w:szCs w:val="24"/>
        </w:rPr>
        <w:t>Swiss francs</w:t>
      </w:r>
      <w:r w:rsidR="000B3F0C" w:rsidRPr="00776525">
        <w:rPr>
          <w:rFonts w:ascii="Times New Roman" w:eastAsia="Times New Roman" w:hAnsi="Times New Roman"/>
          <w:sz w:val="24"/>
          <w:szCs w:val="24"/>
        </w:rPr>
        <w:t xml:space="preserve">, </w:t>
      </w:r>
      <w:r w:rsidR="00F335E6" w:rsidRPr="00776525">
        <w:rPr>
          <w:rFonts w:ascii="Times New Roman" w:eastAsia="Times New Roman" w:hAnsi="Times New Roman"/>
          <w:sz w:val="24"/>
          <w:szCs w:val="24"/>
        </w:rPr>
        <w:t>Chinese yuan</w:t>
      </w:r>
      <w:r w:rsidR="000B3F0C" w:rsidRPr="00776525">
        <w:rPr>
          <w:rFonts w:ascii="Times New Roman" w:eastAsia="Times New Roman" w:hAnsi="Times New Roman"/>
          <w:sz w:val="24"/>
          <w:szCs w:val="24"/>
        </w:rPr>
        <w:t xml:space="preserve">, </w:t>
      </w:r>
      <w:r w:rsidR="00BE01A1" w:rsidRPr="00776525">
        <w:rPr>
          <w:rFonts w:ascii="Times New Roman" w:eastAsia="Times New Roman" w:hAnsi="Times New Roman"/>
          <w:sz w:val="24"/>
          <w:szCs w:val="24"/>
        </w:rPr>
        <w:t>e</w:t>
      </w:r>
      <w:r w:rsidR="00F335E6" w:rsidRPr="00776525">
        <w:rPr>
          <w:rFonts w:ascii="Times New Roman" w:eastAsia="Times New Roman" w:hAnsi="Times New Roman"/>
          <w:sz w:val="24"/>
          <w:szCs w:val="24"/>
        </w:rPr>
        <w:t>uros</w:t>
      </w:r>
      <w:r w:rsidR="00173C0B" w:rsidRPr="00776525">
        <w:rPr>
          <w:rFonts w:ascii="Times New Roman" w:eastAsia="Times New Roman" w:hAnsi="Times New Roman"/>
          <w:sz w:val="24"/>
          <w:szCs w:val="24"/>
        </w:rPr>
        <w:t>, Pound sterling, Hong Kong dollars, Indian rupee</w:t>
      </w:r>
      <w:r w:rsidR="00035B9A">
        <w:rPr>
          <w:rFonts w:ascii="Times New Roman" w:eastAsia="Times New Roman" w:hAnsi="Times New Roman"/>
          <w:sz w:val="24"/>
          <w:szCs w:val="24"/>
        </w:rPr>
        <w:t>s</w:t>
      </w:r>
      <w:r w:rsidR="00173C0B" w:rsidRPr="00776525">
        <w:rPr>
          <w:rFonts w:ascii="Times New Roman" w:eastAsia="Times New Roman" w:hAnsi="Times New Roman"/>
          <w:sz w:val="24"/>
          <w:szCs w:val="24"/>
        </w:rPr>
        <w:t>, Japanese yen, Swedish krona, United States dollars</w:t>
      </w:r>
      <w:r w:rsidR="003F0C4D">
        <w:rPr>
          <w:rFonts w:ascii="Times New Roman" w:eastAsia="Times New Roman" w:hAnsi="Times New Roman"/>
          <w:sz w:val="24"/>
          <w:szCs w:val="24"/>
        </w:rPr>
        <w:t>, and all other currencies not specifically listed</w:t>
      </w:r>
      <w:r w:rsidR="00173C0B" w:rsidRPr="00776525">
        <w:rPr>
          <w:rFonts w:ascii="Times New Roman" w:eastAsia="Times New Roman" w:hAnsi="Times New Roman"/>
          <w:sz w:val="24"/>
          <w:szCs w:val="24"/>
        </w:rPr>
        <w:t xml:space="preserve">. </w:t>
      </w:r>
      <w:r w:rsidR="00C555E8">
        <w:rPr>
          <w:rFonts w:ascii="Times New Roman" w:eastAsia="Times New Roman" w:hAnsi="Times New Roman"/>
          <w:sz w:val="24"/>
          <w:szCs w:val="24"/>
        </w:rPr>
        <w:t xml:space="preserve"> </w:t>
      </w:r>
      <w:r w:rsidR="003F0C4D">
        <w:rPr>
          <w:rFonts w:ascii="Times New Roman" w:eastAsia="Times New Roman" w:hAnsi="Times New Roman"/>
          <w:sz w:val="24"/>
          <w:szCs w:val="24"/>
        </w:rPr>
        <w:t>O</w:t>
      </w:r>
      <w:r w:rsidR="00D43F8E" w:rsidRPr="00776525">
        <w:rPr>
          <w:rFonts w:ascii="Times New Roman" w:eastAsia="Times New Roman" w:hAnsi="Times New Roman"/>
          <w:sz w:val="24"/>
          <w:szCs w:val="24"/>
        </w:rPr>
        <w:t xml:space="preserve">utgoing payments would be included regardless of whether the payments were initiated directly via a payment system or indirectly via an agent bank. </w:t>
      </w:r>
      <w:r w:rsidR="00776525" w:rsidRPr="00776525">
        <w:rPr>
          <w:rFonts w:ascii="Times New Roman" w:eastAsia="Times New Roman" w:hAnsi="Times New Roman"/>
          <w:sz w:val="24"/>
          <w:szCs w:val="24"/>
        </w:rPr>
        <w:t xml:space="preserve"> </w:t>
      </w:r>
      <w:r w:rsidR="00035B9A">
        <w:rPr>
          <w:rFonts w:ascii="Times New Roman" w:eastAsia="Times New Roman" w:hAnsi="Times New Roman"/>
          <w:sz w:val="24"/>
          <w:szCs w:val="24"/>
        </w:rPr>
        <w:t>Furthermore, t</w:t>
      </w:r>
      <w:r w:rsidR="00D43F8E" w:rsidRPr="00776525">
        <w:rPr>
          <w:rFonts w:ascii="Times New Roman" w:eastAsia="Times New Roman" w:hAnsi="Times New Roman"/>
          <w:sz w:val="24"/>
          <w:szCs w:val="24"/>
        </w:rPr>
        <w:t xml:space="preserve">he reported payment totals </w:t>
      </w:r>
      <w:r w:rsidR="00BE01A1" w:rsidRPr="00776525">
        <w:rPr>
          <w:rFonts w:ascii="Times New Roman" w:eastAsia="Times New Roman" w:hAnsi="Times New Roman"/>
          <w:sz w:val="24"/>
          <w:szCs w:val="24"/>
        </w:rPr>
        <w:t xml:space="preserve">would reflect gross payment activity (i.e., they would not be </w:t>
      </w:r>
      <w:r w:rsidR="00D43F8E" w:rsidRPr="00776525">
        <w:rPr>
          <w:rFonts w:ascii="Times New Roman" w:eastAsia="Times New Roman" w:hAnsi="Times New Roman"/>
          <w:sz w:val="24"/>
          <w:szCs w:val="24"/>
        </w:rPr>
        <w:t xml:space="preserve">netted </w:t>
      </w:r>
      <w:r w:rsidR="00BE01A1" w:rsidRPr="00776525">
        <w:rPr>
          <w:rFonts w:ascii="Times New Roman" w:eastAsia="Times New Roman" w:hAnsi="Times New Roman"/>
          <w:sz w:val="24"/>
          <w:szCs w:val="24"/>
        </w:rPr>
        <w:t xml:space="preserve">against </w:t>
      </w:r>
      <w:r w:rsidR="00D43F8E" w:rsidRPr="00776525">
        <w:rPr>
          <w:rFonts w:ascii="Times New Roman" w:eastAsia="Times New Roman" w:hAnsi="Times New Roman"/>
          <w:sz w:val="24"/>
          <w:szCs w:val="24"/>
        </w:rPr>
        <w:t>any incoming payments</w:t>
      </w:r>
      <w:r w:rsidR="00BE01A1" w:rsidRPr="00776525">
        <w:rPr>
          <w:rFonts w:ascii="Times New Roman" w:eastAsia="Times New Roman" w:hAnsi="Times New Roman"/>
          <w:sz w:val="24"/>
          <w:szCs w:val="24"/>
        </w:rPr>
        <w:t>)</w:t>
      </w:r>
      <w:r w:rsidR="00D43F8E" w:rsidRPr="00776525">
        <w:rPr>
          <w:rFonts w:ascii="Times New Roman" w:eastAsia="Times New Roman" w:hAnsi="Times New Roman"/>
          <w:sz w:val="24"/>
          <w:szCs w:val="24"/>
        </w:rPr>
        <w:t>.</w:t>
      </w:r>
      <w:r w:rsidR="00C555E8">
        <w:rPr>
          <w:rFonts w:ascii="Times New Roman" w:eastAsia="Times New Roman" w:hAnsi="Times New Roman"/>
          <w:sz w:val="24"/>
          <w:szCs w:val="24"/>
        </w:rPr>
        <w:t xml:space="preserve"> </w:t>
      </w:r>
      <w:r w:rsidR="00D43F8E" w:rsidRPr="00776525">
        <w:rPr>
          <w:rFonts w:ascii="Times New Roman" w:eastAsia="Times New Roman" w:hAnsi="Times New Roman"/>
          <w:sz w:val="24"/>
          <w:szCs w:val="24"/>
        </w:rPr>
        <w:t xml:space="preserve"> </w:t>
      </w:r>
      <w:r w:rsidR="00035B9A">
        <w:rPr>
          <w:rFonts w:ascii="Times New Roman" w:eastAsia="Times New Roman" w:hAnsi="Times New Roman"/>
          <w:sz w:val="24"/>
          <w:szCs w:val="24"/>
        </w:rPr>
        <w:t>The schedule</w:t>
      </w:r>
      <w:r w:rsidR="00035B9A" w:rsidRPr="00776525">
        <w:rPr>
          <w:rFonts w:ascii="Times New Roman" w:eastAsia="Times New Roman" w:hAnsi="Times New Roman"/>
          <w:sz w:val="24"/>
          <w:szCs w:val="24"/>
        </w:rPr>
        <w:t xml:space="preserve"> </w:t>
      </w:r>
      <w:r w:rsidR="00BB2BFA" w:rsidRPr="00776525">
        <w:rPr>
          <w:rFonts w:ascii="Times New Roman" w:eastAsia="Times New Roman" w:hAnsi="Times New Roman"/>
          <w:sz w:val="24"/>
          <w:szCs w:val="24"/>
        </w:rPr>
        <w:t xml:space="preserve">would </w:t>
      </w:r>
      <w:r w:rsidR="00035B9A">
        <w:rPr>
          <w:rFonts w:ascii="Times New Roman" w:eastAsia="Times New Roman" w:hAnsi="Times New Roman"/>
          <w:sz w:val="24"/>
          <w:szCs w:val="24"/>
        </w:rPr>
        <w:t xml:space="preserve">also </w:t>
      </w:r>
      <w:r w:rsidR="00173C0B" w:rsidRPr="00776525">
        <w:rPr>
          <w:rFonts w:ascii="Times New Roman" w:eastAsia="Times New Roman" w:hAnsi="Times New Roman"/>
          <w:sz w:val="24"/>
          <w:szCs w:val="24"/>
        </w:rPr>
        <w:t xml:space="preserve">include the </w:t>
      </w:r>
      <w:r w:rsidR="003F0C4D">
        <w:rPr>
          <w:rFonts w:ascii="Times New Roman" w:eastAsia="Times New Roman" w:hAnsi="Times New Roman"/>
          <w:sz w:val="24"/>
          <w:szCs w:val="24"/>
        </w:rPr>
        <w:t>v</w:t>
      </w:r>
      <w:r w:rsidR="003F0C4D" w:rsidRPr="00263EED">
        <w:rPr>
          <w:rFonts w:ascii="Times New Roman" w:eastAsia="Times New Roman" w:hAnsi="Times New Roman"/>
          <w:sz w:val="24"/>
          <w:szCs w:val="24"/>
        </w:rPr>
        <w:t>alue of assets held as a custodian on behalf of customers</w:t>
      </w:r>
      <w:r w:rsidR="00173C0B" w:rsidRPr="00776525">
        <w:rPr>
          <w:rFonts w:ascii="Times New Roman" w:eastAsia="Times New Roman" w:hAnsi="Times New Roman"/>
          <w:sz w:val="24"/>
          <w:szCs w:val="24"/>
        </w:rPr>
        <w:t>, equity underwriting activity, and debt underwriting activity.</w:t>
      </w:r>
    </w:p>
    <w:p w:rsidR="00450C4D" w:rsidRPr="00776525" w:rsidRDefault="00450C4D" w:rsidP="00CF3BF5">
      <w:pPr>
        <w:autoSpaceDE w:val="0"/>
        <w:autoSpaceDN w:val="0"/>
        <w:adjustRightInd w:val="0"/>
        <w:spacing w:after="0" w:line="240" w:lineRule="auto"/>
        <w:rPr>
          <w:rFonts w:ascii="Times New Roman" w:eastAsia="Times New Roman" w:hAnsi="Times New Roman"/>
          <w:sz w:val="24"/>
          <w:szCs w:val="24"/>
        </w:rPr>
      </w:pPr>
    </w:p>
    <w:p w:rsidR="00AB404F" w:rsidRPr="00776525" w:rsidRDefault="00BB2BFA" w:rsidP="00CF3BF5">
      <w:pPr>
        <w:autoSpaceDE w:val="0"/>
        <w:autoSpaceDN w:val="0"/>
        <w:adjustRightInd w:val="0"/>
        <w:spacing w:after="0" w:line="240" w:lineRule="auto"/>
        <w:ind w:firstLine="720"/>
        <w:rPr>
          <w:rFonts w:ascii="Times New Roman" w:eastAsia="Times New Roman" w:hAnsi="Times New Roman"/>
          <w:b/>
          <w:sz w:val="24"/>
          <w:szCs w:val="24"/>
        </w:rPr>
      </w:pPr>
      <w:r w:rsidRPr="00776525">
        <w:rPr>
          <w:rFonts w:ascii="Times New Roman" w:eastAsia="Times New Roman" w:hAnsi="Times New Roman"/>
          <w:b/>
          <w:sz w:val="24"/>
          <w:szCs w:val="24"/>
        </w:rPr>
        <w:t xml:space="preserve">Schedule D - </w:t>
      </w:r>
      <w:r w:rsidR="00694DB9" w:rsidRPr="00776525">
        <w:rPr>
          <w:rFonts w:ascii="Times New Roman" w:eastAsia="Times New Roman" w:hAnsi="Times New Roman"/>
          <w:b/>
          <w:sz w:val="24"/>
          <w:szCs w:val="24"/>
        </w:rPr>
        <w:t>Complexity Indicators</w:t>
      </w:r>
    </w:p>
    <w:p w:rsidR="00615EB6" w:rsidRPr="00776525" w:rsidRDefault="00615EB6" w:rsidP="00CF3BF5">
      <w:pPr>
        <w:autoSpaceDE w:val="0"/>
        <w:autoSpaceDN w:val="0"/>
        <w:adjustRightInd w:val="0"/>
        <w:spacing w:after="0" w:line="240" w:lineRule="auto"/>
        <w:rPr>
          <w:rFonts w:ascii="Times New Roman" w:eastAsia="Times New Roman" w:hAnsi="Times New Roman"/>
          <w:sz w:val="24"/>
          <w:szCs w:val="24"/>
        </w:rPr>
      </w:pPr>
    </w:p>
    <w:p w:rsidR="000263A8" w:rsidRDefault="00626D5C" w:rsidP="00CF3BF5">
      <w:pPr>
        <w:autoSpaceDE w:val="0"/>
        <w:autoSpaceDN w:val="0"/>
        <w:adjustRightInd w:val="0"/>
        <w:spacing w:after="0" w:line="240" w:lineRule="auto"/>
        <w:ind w:firstLine="720"/>
        <w:rPr>
          <w:rFonts w:ascii="Times New Roman" w:eastAsia="Times New Roman" w:hAnsi="Times New Roman"/>
          <w:sz w:val="24"/>
          <w:szCs w:val="24"/>
        </w:rPr>
      </w:pPr>
      <w:r w:rsidRPr="00776525">
        <w:rPr>
          <w:rFonts w:ascii="Times New Roman" w:eastAsia="Times New Roman" w:hAnsi="Times New Roman"/>
          <w:sz w:val="24"/>
          <w:szCs w:val="24"/>
        </w:rPr>
        <w:t xml:space="preserve">The </w:t>
      </w:r>
      <w:r w:rsidR="00BB2BFA" w:rsidRPr="00776525">
        <w:rPr>
          <w:rFonts w:ascii="Times New Roman" w:eastAsia="Times New Roman" w:hAnsi="Times New Roman"/>
          <w:sz w:val="24"/>
          <w:szCs w:val="24"/>
        </w:rPr>
        <w:t>C</w:t>
      </w:r>
      <w:r w:rsidRPr="00776525">
        <w:rPr>
          <w:rFonts w:ascii="Times New Roman" w:eastAsia="Times New Roman" w:hAnsi="Times New Roman"/>
          <w:sz w:val="24"/>
          <w:szCs w:val="24"/>
        </w:rPr>
        <w:t xml:space="preserve">omplexity </w:t>
      </w:r>
      <w:r w:rsidR="00BB2BFA" w:rsidRPr="00776525">
        <w:rPr>
          <w:rFonts w:ascii="Times New Roman" w:eastAsia="Times New Roman" w:hAnsi="Times New Roman"/>
          <w:sz w:val="24"/>
          <w:szCs w:val="24"/>
        </w:rPr>
        <w:t xml:space="preserve">Indicators Schedule would </w:t>
      </w:r>
      <w:r w:rsidRPr="00776525">
        <w:rPr>
          <w:rFonts w:ascii="Times New Roman" w:eastAsia="Times New Roman" w:hAnsi="Times New Roman"/>
          <w:sz w:val="24"/>
          <w:szCs w:val="24"/>
        </w:rPr>
        <w:t>include</w:t>
      </w:r>
      <w:r w:rsidR="00040F81" w:rsidRPr="00776525">
        <w:rPr>
          <w:rFonts w:ascii="Times New Roman" w:eastAsia="Times New Roman" w:hAnsi="Times New Roman"/>
          <w:sz w:val="24"/>
          <w:szCs w:val="24"/>
        </w:rPr>
        <w:t xml:space="preserve"> </w:t>
      </w:r>
      <w:r w:rsidR="000263A8">
        <w:rPr>
          <w:rFonts w:ascii="Times New Roman" w:eastAsia="Times New Roman" w:hAnsi="Times New Roman"/>
          <w:sz w:val="24"/>
          <w:szCs w:val="24"/>
        </w:rPr>
        <w:t>the n</w:t>
      </w:r>
      <w:r w:rsidR="000263A8" w:rsidRPr="00DB7E08">
        <w:rPr>
          <w:rFonts w:ascii="Times New Roman" w:eastAsia="Times New Roman" w:hAnsi="Times New Roman"/>
          <w:sz w:val="24"/>
          <w:szCs w:val="24"/>
        </w:rPr>
        <w:t xml:space="preserve">otional </w:t>
      </w:r>
      <w:r w:rsidR="000263A8">
        <w:rPr>
          <w:rFonts w:ascii="Times New Roman" w:eastAsia="Times New Roman" w:hAnsi="Times New Roman"/>
          <w:sz w:val="24"/>
          <w:szCs w:val="24"/>
        </w:rPr>
        <w:t>a</w:t>
      </w:r>
      <w:r w:rsidR="000263A8" w:rsidRPr="00DB7E08">
        <w:rPr>
          <w:rFonts w:ascii="Times New Roman" w:eastAsia="Times New Roman" w:hAnsi="Times New Roman"/>
          <w:sz w:val="24"/>
          <w:szCs w:val="24"/>
        </w:rPr>
        <w:t>mount of OTC derivatives cleared through a central counterparty</w:t>
      </w:r>
      <w:r w:rsidR="000263A8">
        <w:rPr>
          <w:rFonts w:ascii="Times New Roman" w:eastAsia="Times New Roman" w:hAnsi="Times New Roman"/>
          <w:sz w:val="24"/>
          <w:szCs w:val="24"/>
        </w:rPr>
        <w:t xml:space="preserve">, the notional amount of </w:t>
      </w:r>
      <w:r w:rsidR="000263A8" w:rsidRPr="00DB7E08">
        <w:rPr>
          <w:rFonts w:ascii="Times New Roman" w:eastAsia="Times New Roman" w:hAnsi="Times New Roman"/>
          <w:sz w:val="24"/>
          <w:szCs w:val="24"/>
        </w:rPr>
        <w:t>OTC derivatives settled bilaterally</w:t>
      </w:r>
      <w:r w:rsidR="000263A8">
        <w:rPr>
          <w:rFonts w:ascii="Times New Roman" w:eastAsia="Times New Roman" w:hAnsi="Times New Roman"/>
          <w:sz w:val="24"/>
          <w:szCs w:val="24"/>
        </w:rPr>
        <w:t>, trading securities, trading s</w:t>
      </w:r>
      <w:r w:rsidR="000263A8" w:rsidRPr="00DB7E08">
        <w:rPr>
          <w:rFonts w:ascii="Times New Roman" w:eastAsia="Times New Roman" w:hAnsi="Times New Roman"/>
          <w:sz w:val="24"/>
          <w:szCs w:val="24"/>
        </w:rPr>
        <w:t>ecurities for which the fair value option is elected</w:t>
      </w:r>
      <w:r w:rsidR="000263A8">
        <w:rPr>
          <w:rFonts w:ascii="Times New Roman" w:eastAsia="Times New Roman" w:hAnsi="Times New Roman"/>
          <w:sz w:val="24"/>
          <w:szCs w:val="24"/>
        </w:rPr>
        <w:t>, available-for-sale (</w:t>
      </w:r>
      <w:r w:rsidR="000263A8" w:rsidRPr="00DB7E08">
        <w:rPr>
          <w:rFonts w:ascii="Times New Roman" w:eastAsia="Times New Roman" w:hAnsi="Times New Roman"/>
          <w:sz w:val="24"/>
          <w:szCs w:val="24"/>
        </w:rPr>
        <w:t>AFS</w:t>
      </w:r>
      <w:r w:rsidR="000263A8">
        <w:rPr>
          <w:rFonts w:ascii="Times New Roman" w:eastAsia="Times New Roman" w:hAnsi="Times New Roman"/>
          <w:sz w:val="24"/>
          <w:szCs w:val="24"/>
        </w:rPr>
        <w:t>)</w:t>
      </w:r>
      <w:r w:rsidR="000263A8" w:rsidRPr="00DB7E08">
        <w:rPr>
          <w:rFonts w:ascii="Times New Roman" w:eastAsia="Times New Roman" w:hAnsi="Times New Roman"/>
          <w:sz w:val="24"/>
          <w:szCs w:val="24"/>
        </w:rPr>
        <w:t xml:space="preserve"> securities</w:t>
      </w:r>
      <w:r w:rsidR="000263A8">
        <w:rPr>
          <w:rFonts w:ascii="Times New Roman" w:eastAsia="Times New Roman" w:hAnsi="Times New Roman"/>
          <w:sz w:val="24"/>
          <w:szCs w:val="24"/>
        </w:rPr>
        <w:t>, t</w:t>
      </w:r>
      <w:r w:rsidR="000263A8" w:rsidRPr="00DB7E08">
        <w:rPr>
          <w:rFonts w:ascii="Times New Roman" w:eastAsia="Times New Roman" w:hAnsi="Times New Roman"/>
          <w:sz w:val="24"/>
          <w:szCs w:val="24"/>
        </w:rPr>
        <w:t>otal stock of Level 1 assets</w:t>
      </w:r>
      <w:r w:rsidR="000263A8">
        <w:rPr>
          <w:rFonts w:ascii="Times New Roman" w:eastAsia="Times New Roman" w:hAnsi="Times New Roman"/>
          <w:sz w:val="24"/>
          <w:szCs w:val="24"/>
        </w:rPr>
        <w:t xml:space="preserve">, Level 1 assets that </w:t>
      </w:r>
      <w:r w:rsidR="000263A8" w:rsidRPr="00DB7E08">
        <w:rPr>
          <w:rFonts w:ascii="Times New Roman" w:eastAsia="Times New Roman" w:hAnsi="Times New Roman"/>
          <w:sz w:val="24"/>
          <w:szCs w:val="24"/>
        </w:rPr>
        <w:t>are trading or AFS securities</w:t>
      </w:r>
      <w:r w:rsidR="000263A8">
        <w:rPr>
          <w:rFonts w:ascii="Times New Roman" w:eastAsia="Times New Roman" w:hAnsi="Times New Roman"/>
          <w:sz w:val="24"/>
          <w:szCs w:val="24"/>
        </w:rPr>
        <w:t>, t</w:t>
      </w:r>
      <w:r w:rsidR="000263A8" w:rsidRPr="00DB7E08">
        <w:rPr>
          <w:rFonts w:ascii="Times New Roman" w:eastAsia="Times New Roman" w:hAnsi="Times New Roman"/>
          <w:sz w:val="24"/>
          <w:szCs w:val="24"/>
        </w:rPr>
        <w:t>otal stock of Level 2 assets</w:t>
      </w:r>
      <w:r w:rsidR="000263A8">
        <w:rPr>
          <w:rFonts w:ascii="Times New Roman" w:eastAsia="Times New Roman" w:hAnsi="Times New Roman"/>
          <w:sz w:val="24"/>
          <w:szCs w:val="24"/>
        </w:rPr>
        <w:t xml:space="preserve">, Level 2 assets that are </w:t>
      </w:r>
      <w:r w:rsidR="000263A8" w:rsidRPr="00DB7E08">
        <w:rPr>
          <w:rFonts w:ascii="Times New Roman" w:eastAsia="Times New Roman" w:hAnsi="Times New Roman"/>
          <w:sz w:val="24"/>
          <w:szCs w:val="24"/>
        </w:rPr>
        <w:t>trading or AFS securities</w:t>
      </w:r>
      <w:r w:rsidR="000263A8">
        <w:rPr>
          <w:rFonts w:ascii="Times New Roman" w:eastAsia="Times New Roman" w:hAnsi="Times New Roman"/>
          <w:sz w:val="24"/>
          <w:szCs w:val="24"/>
        </w:rPr>
        <w:t xml:space="preserve">, </w:t>
      </w:r>
      <w:r w:rsidR="000263A8">
        <w:rPr>
          <w:rFonts w:ascii="Times New Roman" w:eastAsia="Times New Roman" w:hAnsi="Times New Roman"/>
          <w:sz w:val="24"/>
          <w:szCs w:val="24"/>
        </w:rPr>
        <w:lastRenderedPageBreak/>
        <w:t>a</w:t>
      </w:r>
      <w:r w:rsidR="000263A8" w:rsidRPr="00DB7E08">
        <w:rPr>
          <w:rFonts w:ascii="Times New Roman" w:eastAsia="Times New Roman" w:hAnsi="Times New Roman"/>
          <w:sz w:val="24"/>
          <w:szCs w:val="24"/>
        </w:rPr>
        <w:t>djustment to stock of high quality liquid assets due to cap on Level 2 assets</w:t>
      </w:r>
      <w:r w:rsidR="000263A8">
        <w:rPr>
          <w:rFonts w:ascii="Times New Roman" w:eastAsia="Times New Roman" w:hAnsi="Times New Roman"/>
          <w:sz w:val="24"/>
          <w:szCs w:val="24"/>
        </w:rPr>
        <w:t>, h</w:t>
      </w:r>
      <w:r w:rsidR="000263A8" w:rsidRPr="00DB7E08">
        <w:rPr>
          <w:rFonts w:ascii="Times New Roman" w:eastAsia="Times New Roman" w:hAnsi="Times New Roman"/>
          <w:sz w:val="24"/>
          <w:szCs w:val="24"/>
        </w:rPr>
        <w:t>eld-to-maturity securities</w:t>
      </w:r>
      <w:r w:rsidR="000263A8">
        <w:rPr>
          <w:rFonts w:ascii="Times New Roman" w:eastAsia="Times New Roman" w:hAnsi="Times New Roman"/>
          <w:sz w:val="24"/>
          <w:szCs w:val="24"/>
        </w:rPr>
        <w:t>, and a</w:t>
      </w:r>
      <w:r w:rsidR="000263A8" w:rsidRPr="00DB7E08">
        <w:rPr>
          <w:rFonts w:ascii="Times New Roman" w:eastAsia="Times New Roman" w:hAnsi="Times New Roman"/>
          <w:sz w:val="24"/>
          <w:szCs w:val="24"/>
        </w:rPr>
        <w:t>ssets valued using Level 3 measurement inputs</w:t>
      </w:r>
      <w:r w:rsidR="000263A8">
        <w:rPr>
          <w:rFonts w:ascii="Times New Roman" w:eastAsia="Times New Roman" w:hAnsi="Times New Roman"/>
          <w:sz w:val="24"/>
          <w:szCs w:val="24"/>
        </w:rPr>
        <w:t>.</w:t>
      </w:r>
      <w:r w:rsidR="000263A8" w:rsidRPr="000263A8">
        <w:rPr>
          <w:rStyle w:val="FootnoteReference"/>
          <w:rFonts w:ascii="Times New Roman" w:eastAsia="Times New Roman" w:hAnsi="Times New Roman"/>
          <w:sz w:val="24"/>
          <w:szCs w:val="24"/>
        </w:rPr>
        <w:t xml:space="preserve"> </w:t>
      </w:r>
      <w:r w:rsidR="000263A8" w:rsidRPr="00776525">
        <w:rPr>
          <w:rStyle w:val="FootnoteReference"/>
          <w:rFonts w:ascii="Times New Roman" w:eastAsia="Times New Roman" w:hAnsi="Times New Roman"/>
          <w:sz w:val="24"/>
          <w:szCs w:val="24"/>
        </w:rPr>
        <w:footnoteReference w:id="2"/>
      </w:r>
    </w:p>
    <w:p w:rsidR="004932E4" w:rsidRPr="00776525" w:rsidRDefault="004932E4" w:rsidP="00361AC0">
      <w:pPr>
        <w:autoSpaceDE w:val="0"/>
        <w:autoSpaceDN w:val="0"/>
        <w:adjustRightInd w:val="0"/>
        <w:spacing w:after="0" w:line="240" w:lineRule="auto"/>
        <w:ind w:firstLine="720"/>
        <w:rPr>
          <w:rFonts w:ascii="Times New Roman" w:eastAsia="Times New Roman" w:hAnsi="Times New Roman"/>
          <w:sz w:val="24"/>
          <w:szCs w:val="24"/>
        </w:rPr>
      </w:pPr>
    </w:p>
    <w:p w:rsidR="00AB404F" w:rsidRPr="00776525" w:rsidRDefault="00A05E39" w:rsidP="00947711">
      <w:pPr>
        <w:autoSpaceDE w:val="0"/>
        <w:autoSpaceDN w:val="0"/>
        <w:adjustRightInd w:val="0"/>
        <w:spacing w:after="0" w:line="240" w:lineRule="auto"/>
        <w:ind w:firstLine="720"/>
        <w:rPr>
          <w:rFonts w:ascii="Times New Roman" w:eastAsia="Times New Roman" w:hAnsi="Times New Roman"/>
          <w:b/>
          <w:sz w:val="24"/>
          <w:szCs w:val="24"/>
        </w:rPr>
      </w:pPr>
      <w:r w:rsidRPr="00776525">
        <w:rPr>
          <w:rFonts w:ascii="Times New Roman" w:eastAsia="Times New Roman" w:hAnsi="Times New Roman"/>
          <w:b/>
          <w:sz w:val="24"/>
          <w:szCs w:val="24"/>
        </w:rPr>
        <w:t xml:space="preserve">Schedule E - </w:t>
      </w:r>
      <w:r w:rsidR="00E830F1" w:rsidRPr="00776525">
        <w:rPr>
          <w:rFonts w:ascii="Times New Roman" w:eastAsia="Times New Roman" w:hAnsi="Times New Roman"/>
          <w:b/>
          <w:sz w:val="24"/>
          <w:szCs w:val="24"/>
        </w:rPr>
        <w:t>Cross-</w:t>
      </w:r>
      <w:r w:rsidR="00335312">
        <w:rPr>
          <w:rFonts w:ascii="Times New Roman" w:eastAsia="Times New Roman" w:hAnsi="Times New Roman"/>
          <w:b/>
          <w:sz w:val="24"/>
          <w:szCs w:val="24"/>
        </w:rPr>
        <w:t>J</w:t>
      </w:r>
      <w:r w:rsidR="00E830F1" w:rsidRPr="00776525">
        <w:rPr>
          <w:rFonts w:ascii="Times New Roman" w:eastAsia="Times New Roman" w:hAnsi="Times New Roman"/>
          <w:b/>
          <w:sz w:val="24"/>
          <w:szCs w:val="24"/>
        </w:rPr>
        <w:t>urisdictional Activity Indicators</w:t>
      </w:r>
    </w:p>
    <w:p w:rsidR="00615EB6" w:rsidRPr="00776525" w:rsidRDefault="00615EB6" w:rsidP="00BF5A37">
      <w:pPr>
        <w:autoSpaceDE w:val="0"/>
        <w:autoSpaceDN w:val="0"/>
        <w:adjustRightInd w:val="0"/>
        <w:spacing w:after="0" w:line="240" w:lineRule="auto"/>
        <w:rPr>
          <w:rFonts w:ascii="Times New Roman" w:eastAsia="Times New Roman" w:hAnsi="Times New Roman"/>
          <w:sz w:val="24"/>
          <w:szCs w:val="24"/>
        </w:rPr>
      </w:pPr>
    </w:p>
    <w:p w:rsidR="00F335E6" w:rsidRDefault="00626D5C" w:rsidP="00CF3BF5">
      <w:pPr>
        <w:autoSpaceDE w:val="0"/>
        <w:autoSpaceDN w:val="0"/>
        <w:adjustRightInd w:val="0"/>
        <w:spacing w:after="0" w:line="240" w:lineRule="auto"/>
        <w:ind w:firstLine="720"/>
        <w:rPr>
          <w:rFonts w:ascii="Times New Roman" w:eastAsia="Times New Roman" w:hAnsi="Times New Roman"/>
          <w:sz w:val="24"/>
          <w:szCs w:val="24"/>
        </w:rPr>
      </w:pPr>
      <w:r w:rsidRPr="00776525">
        <w:rPr>
          <w:rFonts w:ascii="Times New Roman" w:eastAsia="Times New Roman" w:hAnsi="Times New Roman"/>
          <w:sz w:val="24"/>
          <w:szCs w:val="24"/>
        </w:rPr>
        <w:t xml:space="preserve">The </w:t>
      </w:r>
      <w:r w:rsidR="00A05E39" w:rsidRPr="00776525">
        <w:rPr>
          <w:rFonts w:ascii="Times New Roman" w:eastAsia="Times New Roman" w:hAnsi="Times New Roman"/>
          <w:sz w:val="24"/>
          <w:szCs w:val="24"/>
        </w:rPr>
        <w:t>Cross</w:t>
      </w:r>
      <w:r w:rsidRPr="00776525">
        <w:rPr>
          <w:rFonts w:ascii="Times New Roman" w:eastAsia="Times New Roman" w:hAnsi="Times New Roman"/>
          <w:sz w:val="24"/>
          <w:szCs w:val="24"/>
        </w:rPr>
        <w:t>-</w:t>
      </w:r>
      <w:r w:rsidR="00335312">
        <w:rPr>
          <w:rFonts w:ascii="Times New Roman" w:eastAsia="Times New Roman" w:hAnsi="Times New Roman"/>
          <w:sz w:val="24"/>
          <w:szCs w:val="24"/>
        </w:rPr>
        <w:t>J</w:t>
      </w:r>
      <w:r w:rsidRPr="00776525">
        <w:rPr>
          <w:rFonts w:ascii="Times New Roman" w:eastAsia="Times New Roman" w:hAnsi="Times New Roman"/>
          <w:sz w:val="24"/>
          <w:szCs w:val="24"/>
        </w:rPr>
        <w:t xml:space="preserve">urisdictional </w:t>
      </w:r>
      <w:r w:rsidR="00A05E39" w:rsidRPr="00776525">
        <w:rPr>
          <w:rFonts w:ascii="Times New Roman" w:eastAsia="Times New Roman" w:hAnsi="Times New Roman"/>
          <w:sz w:val="24"/>
          <w:szCs w:val="24"/>
        </w:rPr>
        <w:t xml:space="preserve">Activity Indicators Schedule would </w:t>
      </w:r>
      <w:r w:rsidRPr="00776525">
        <w:rPr>
          <w:rFonts w:ascii="Times New Roman" w:eastAsia="Times New Roman" w:hAnsi="Times New Roman"/>
          <w:sz w:val="24"/>
          <w:szCs w:val="24"/>
        </w:rPr>
        <w:t>include t</w:t>
      </w:r>
      <w:r w:rsidR="00AB404F" w:rsidRPr="00776525">
        <w:rPr>
          <w:rFonts w:ascii="Times New Roman" w:eastAsia="Times New Roman" w:hAnsi="Times New Roman"/>
          <w:sz w:val="24"/>
          <w:szCs w:val="24"/>
        </w:rPr>
        <w:t xml:space="preserve">otal foreign claims </w:t>
      </w:r>
      <w:r w:rsidR="00F335E6" w:rsidRPr="00776525">
        <w:rPr>
          <w:rFonts w:ascii="Times New Roman" w:eastAsia="Times New Roman" w:hAnsi="Times New Roman"/>
          <w:sz w:val="24"/>
          <w:szCs w:val="24"/>
        </w:rPr>
        <w:t xml:space="preserve">on </w:t>
      </w:r>
      <w:r w:rsidR="00AB404F" w:rsidRPr="00776525">
        <w:rPr>
          <w:rFonts w:ascii="Times New Roman" w:eastAsia="Times New Roman" w:hAnsi="Times New Roman"/>
          <w:sz w:val="24"/>
          <w:szCs w:val="24"/>
        </w:rPr>
        <w:t xml:space="preserve">an </w:t>
      </w:r>
      <w:r w:rsidR="00F335E6" w:rsidRPr="00776525">
        <w:rPr>
          <w:rFonts w:ascii="Times New Roman" w:eastAsia="Times New Roman" w:hAnsi="Times New Roman"/>
          <w:sz w:val="24"/>
          <w:szCs w:val="24"/>
        </w:rPr>
        <w:t>ultimate risk basis</w:t>
      </w:r>
      <w:r w:rsidRPr="00776525">
        <w:rPr>
          <w:rFonts w:ascii="Times New Roman" w:eastAsia="Times New Roman" w:hAnsi="Times New Roman"/>
          <w:sz w:val="24"/>
          <w:szCs w:val="24"/>
        </w:rPr>
        <w:t>, f</w:t>
      </w:r>
      <w:r w:rsidR="00F335E6" w:rsidRPr="00776525">
        <w:rPr>
          <w:rFonts w:ascii="Times New Roman" w:eastAsia="Times New Roman" w:hAnsi="Times New Roman"/>
          <w:sz w:val="24"/>
          <w:szCs w:val="24"/>
        </w:rPr>
        <w:t>oreign liabilities (excluding local liabilities in local currency)</w:t>
      </w:r>
      <w:r w:rsidR="00AB404F" w:rsidRPr="00776525">
        <w:rPr>
          <w:rFonts w:ascii="Times New Roman" w:eastAsia="Times New Roman" w:hAnsi="Times New Roman"/>
          <w:sz w:val="24"/>
          <w:szCs w:val="24"/>
        </w:rPr>
        <w:t xml:space="preserve">, </w:t>
      </w:r>
      <w:r w:rsidR="000263A8">
        <w:rPr>
          <w:rFonts w:ascii="Times New Roman" w:eastAsia="Times New Roman" w:hAnsi="Times New Roman"/>
          <w:sz w:val="24"/>
          <w:szCs w:val="24"/>
        </w:rPr>
        <w:t xml:space="preserve">any </w:t>
      </w:r>
      <w:r w:rsidR="00A05E39" w:rsidRPr="00776525">
        <w:rPr>
          <w:rFonts w:ascii="Times New Roman" w:eastAsia="Times New Roman" w:hAnsi="Times New Roman"/>
          <w:sz w:val="24"/>
          <w:szCs w:val="24"/>
        </w:rPr>
        <w:t xml:space="preserve">foreign </w:t>
      </w:r>
      <w:r w:rsidR="00F335E6" w:rsidRPr="00776525">
        <w:rPr>
          <w:rFonts w:ascii="Times New Roman" w:eastAsia="Times New Roman" w:hAnsi="Times New Roman"/>
          <w:sz w:val="24"/>
          <w:szCs w:val="24"/>
        </w:rPr>
        <w:t>liabilities to related offices</w:t>
      </w:r>
      <w:r w:rsidR="000263A8">
        <w:rPr>
          <w:rFonts w:ascii="Times New Roman" w:eastAsia="Times New Roman" w:hAnsi="Times New Roman"/>
          <w:sz w:val="24"/>
          <w:szCs w:val="24"/>
        </w:rPr>
        <w:t xml:space="preserve"> included in the </w:t>
      </w:r>
      <w:r w:rsidR="00335312">
        <w:rPr>
          <w:rFonts w:ascii="Times New Roman" w:eastAsia="Times New Roman" w:hAnsi="Times New Roman"/>
          <w:sz w:val="24"/>
          <w:szCs w:val="24"/>
        </w:rPr>
        <w:t xml:space="preserve">reported </w:t>
      </w:r>
      <w:r w:rsidR="000263A8">
        <w:rPr>
          <w:rFonts w:ascii="Times New Roman" w:eastAsia="Times New Roman" w:hAnsi="Times New Roman"/>
          <w:sz w:val="24"/>
          <w:szCs w:val="24"/>
        </w:rPr>
        <w:t xml:space="preserve">foreign liabilities </w:t>
      </w:r>
      <w:r w:rsidR="00335312">
        <w:rPr>
          <w:rFonts w:ascii="Times New Roman" w:eastAsia="Times New Roman" w:hAnsi="Times New Roman"/>
          <w:sz w:val="24"/>
          <w:szCs w:val="24"/>
        </w:rPr>
        <w:t>total</w:t>
      </w:r>
      <w:r w:rsidR="00AB404F" w:rsidRPr="00776525">
        <w:rPr>
          <w:rFonts w:ascii="Times New Roman" w:eastAsia="Times New Roman" w:hAnsi="Times New Roman"/>
          <w:sz w:val="24"/>
          <w:szCs w:val="24"/>
        </w:rPr>
        <w:t>, and l</w:t>
      </w:r>
      <w:r w:rsidR="00F335E6" w:rsidRPr="00776525">
        <w:rPr>
          <w:rFonts w:ascii="Times New Roman" w:eastAsia="Times New Roman" w:hAnsi="Times New Roman"/>
          <w:sz w:val="24"/>
          <w:szCs w:val="24"/>
        </w:rPr>
        <w:t>ocal liabilities in local currency</w:t>
      </w:r>
      <w:r w:rsidR="00AB404F" w:rsidRPr="00776525">
        <w:rPr>
          <w:rFonts w:ascii="Times New Roman" w:eastAsia="Times New Roman" w:hAnsi="Times New Roman"/>
          <w:sz w:val="24"/>
          <w:szCs w:val="24"/>
        </w:rPr>
        <w:t>.</w:t>
      </w:r>
    </w:p>
    <w:p w:rsidR="00B456AE" w:rsidRDefault="00B456AE">
      <w:pPr>
        <w:spacing w:after="0" w:line="240" w:lineRule="auto"/>
        <w:rPr>
          <w:rFonts w:ascii="Times New Roman" w:eastAsia="Times New Roman" w:hAnsi="Times New Roman"/>
          <w:b/>
          <w:sz w:val="24"/>
          <w:szCs w:val="24"/>
        </w:rPr>
      </w:pPr>
    </w:p>
    <w:p w:rsidR="00AB404F" w:rsidRPr="00776525" w:rsidRDefault="00A05E39" w:rsidP="00BF5A37">
      <w:pPr>
        <w:autoSpaceDE w:val="0"/>
        <w:autoSpaceDN w:val="0"/>
        <w:adjustRightInd w:val="0"/>
        <w:spacing w:after="0" w:line="240" w:lineRule="auto"/>
        <w:ind w:firstLine="720"/>
        <w:rPr>
          <w:rFonts w:ascii="Times New Roman" w:eastAsia="Times New Roman" w:hAnsi="Times New Roman"/>
          <w:b/>
          <w:sz w:val="24"/>
          <w:szCs w:val="24"/>
        </w:rPr>
      </w:pPr>
      <w:r w:rsidRPr="00776525">
        <w:rPr>
          <w:rFonts w:ascii="Times New Roman" w:eastAsia="Times New Roman" w:hAnsi="Times New Roman"/>
          <w:b/>
          <w:sz w:val="24"/>
          <w:szCs w:val="24"/>
        </w:rPr>
        <w:t xml:space="preserve">Schedule F - </w:t>
      </w:r>
      <w:r w:rsidR="00E830F1" w:rsidRPr="00776525">
        <w:rPr>
          <w:rFonts w:ascii="Times New Roman" w:eastAsia="Times New Roman" w:hAnsi="Times New Roman"/>
          <w:b/>
          <w:sz w:val="24"/>
          <w:szCs w:val="24"/>
        </w:rPr>
        <w:t>Ancillary Indicators</w:t>
      </w:r>
    </w:p>
    <w:p w:rsidR="00615EB6" w:rsidRPr="00776525" w:rsidRDefault="00615EB6" w:rsidP="00CF3BF5">
      <w:pPr>
        <w:autoSpaceDE w:val="0"/>
        <w:autoSpaceDN w:val="0"/>
        <w:adjustRightInd w:val="0"/>
        <w:spacing w:after="0" w:line="240" w:lineRule="auto"/>
        <w:rPr>
          <w:rFonts w:ascii="Times New Roman" w:eastAsia="Times New Roman" w:hAnsi="Times New Roman"/>
          <w:sz w:val="24"/>
          <w:szCs w:val="24"/>
        </w:rPr>
      </w:pPr>
    </w:p>
    <w:p w:rsidR="00B72EBB" w:rsidRDefault="00A05E39" w:rsidP="00CF3BF5">
      <w:pPr>
        <w:autoSpaceDE w:val="0"/>
        <w:autoSpaceDN w:val="0"/>
        <w:adjustRightInd w:val="0"/>
        <w:spacing w:after="0" w:line="240" w:lineRule="auto"/>
        <w:ind w:firstLine="720"/>
        <w:rPr>
          <w:rFonts w:ascii="Times New Roman" w:eastAsia="Times New Roman" w:hAnsi="Times New Roman"/>
          <w:sz w:val="24"/>
          <w:szCs w:val="24"/>
        </w:rPr>
      </w:pPr>
      <w:r w:rsidRPr="00776525">
        <w:rPr>
          <w:rFonts w:ascii="Times New Roman" w:eastAsia="Times New Roman" w:hAnsi="Times New Roman"/>
          <w:sz w:val="24"/>
          <w:szCs w:val="24"/>
        </w:rPr>
        <w:t xml:space="preserve">The </w:t>
      </w:r>
      <w:r w:rsidR="00AB404F" w:rsidRPr="00776525">
        <w:rPr>
          <w:rFonts w:ascii="Times New Roman" w:eastAsia="Times New Roman" w:hAnsi="Times New Roman"/>
          <w:sz w:val="24"/>
          <w:szCs w:val="24"/>
        </w:rPr>
        <w:t xml:space="preserve">Ancillary </w:t>
      </w:r>
      <w:r w:rsidRPr="00776525">
        <w:rPr>
          <w:rFonts w:ascii="Times New Roman" w:eastAsia="Times New Roman" w:hAnsi="Times New Roman"/>
          <w:sz w:val="24"/>
          <w:szCs w:val="24"/>
        </w:rPr>
        <w:t>I</w:t>
      </w:r>
      <w:r w:rsidR="00E830F1" w:rsidRPr="00776525">
        <w:rPr>
          <w:rFonts w:ascii="Times New Roman" w:eastAsia="Times New Roman" w:hAnsi="Times New Roman"/>
          <w:sz w:val="24"/>
          <w:szCs w:val="24"/>
        </w:rPr>
        <w:t xml:space="preserve">ndicators </w:t>
      </w:r>
      <w:r w:rsidRPr="00776525">
        <w:rPr>
          <w:rFonts w:ascii="Times New Roman" w:eastAsia="Times New Roman" w:hAnsi="Times New Roman"/>
          <w:sz w:val="24"/>
          <w:szCs w:val="24"/>
        </w:rPr>
        <w:t xml:space="preserve">Schedule would </w:t>
      </w:r>
      <w:r w:rsidR="00AB404F" w:rsidRPr="00776525">
        <w:rPr>
          <w:rFonts w:ascii="Times New Roman" w:eastAsia="Times New Roman" w:hAnsi="Times New Roman"/>
          <w:sz w:val="24"/>
          <w:szCs w:val="24"/>
        </w:rPr>
        <w:t xml:space="preserve">include </w:t>
      </w:r>
      <w:r w:rsidR="000B59E3">
        <w:rPr>
          <w:rFonts w:ascii="Times New Roman" w:eastAsia="Times New Roman" w:hAnsi="Times New Roman"/>
          <w:sz w:val="24"/>
          <w:szCs w:val="24"/>
        </w:rPr>
        <w:t>t</w:t>
      </w:r>
      <w:r w:rsidR="000B59E3" w:rsidRPr="00335312">
        <w:rPr>
          <w:rFonts w:ascii="Times New Roman" w:eastAsia="Times New Roman" w:hAnsi="Times New Roman"/>
          <w:sz w:val="24"/>
          <w:szCs w:val="24"/>
        </w:rPr>
        <w:t>otal liabilities</w:t>
      </w:r>
      <w:r w:rsidR="000B59E3">
        <w:rPr>
          <w:rFonts w:ascii="Times New Roman" w:eastAsia="Times New Roman" w:hAnsi="Times New Roman"/>
          <w:sz w:val="24"/>
          <w:szCs w:val="24"/>
        </w:rPr>
        <w:t>, r</w:t>
      </w:r>
      <w:r w:rsidR="000B59E3" w:rsidRPr="00335312">
        <w:rPr>
          <w:rFonts w:ascii="Times New Roman" w:eastAsia="Times New Roman" w:hAnsi="Times New Roman"/>
          <w:sz w:val="24"/>
          <w:szCs w:val="24"/>
        </w:rPr>
        <w:t>etail funding</w:t>
      </w:r>
      <w:r w:rsidR="000B59E3">
        <w:rPr>
          <w:rFonts w:ascii="Times New Roman" w:eastAsia="Times New Roman" w:hAnsi="Times New Roman"/>
          <w:sz w:val="24"/>
          <w:szCs w:val="24"/>
        </w:rPr>
        <w:t>, t</w:t>
      </w:r>
      <w:r w:rsidR="000B59E3" w:rsidRPr="00335312">
        <w:rPr>
          <w:rFonts w:ascii="Times New Roman" w:eastAsia="Times New Roman" w:hAnsi="Times New Roman"/>
          <w:sz w:val="24"/>
          <w:szCs w:val="24"/>
        </w:rPr>
        <w:t>otal net revenue</w:t>
      </w:r>
      <w:r w:rsidR="000B59E3">
        <w:rPr>
          <w:rFonts w:ascii="Times New Roman" w:eastAsia="Times New Roman" w:hAnsi="Times New Roman"/>
          <w:sz w:val="24"/>
          <w:szCs w:val="24"/>
        </w:rPr>
        <w:t>, f</w:t>
      </w:r>
      <w:r w:rsidR="000B59E3" w:rsidRPr="00335312">
        <w:rPr>
          <w:rFonts w:ascii="Times New Roman" w:eastAsia="Times New Roman" w:hAnsi="Times New Roman"/>
          <w:sz w:val="24"/>
          <w:szCs w:val="24"/>
        </w:rPr>
        <w:t>oreign net revenue</w:t>
      </w:r>
      <w:r w:rsidR="000B59E3">
        <w:rPr>
          <w:rFonts w:ascii="Times New Roman" w:eastAsia="Times New Roman" w:hAnsi="Times New Roman"/>
          <w:sz w:val="24"/>
          <w:szCs w:val="24"/>
        </w:rPr>
        <w:t>, t</w:t>
      </w:r>
      <w:r w:rsidR="000B59E3" w:rsidRPr="00335312">
        <w:rPr>
          <w:rFonts w:ascii="Times New Roman" w:eastAsia="Times New Roman" w:hAnsi="Times New Roman"/>
          <w:sz w:val="24"/>
          <w:szCs w:val="24"/>
        </w:rPr>
        <w:t>otal gross revenue</w:t>
      </w:r>
      <w:r w:rsidR="000B59E3">
        <w:rPr>
          <w:rFonts w:ascii="Times New Roman" w:eastAsia="Times New Roman" w:hAnsi="Times New Roman"/>
          <w:sz w:val="24"/>
          <w:szCs w:val="24"/>
        </w:rPr>
        <w:t>, p</w:t>
      </w:r>
      <w:r w:rsidR="000B59E3" w:rsidRPr="00335312">
        <w:rPr>
          <w:rFonts w:ascii="Times New Roman" w:eastAsia="Times New Roman" w:hAnsi="Times New Roman"/>
          <w:sz w:val="24"/>
          <w:szCs w:val="24"/>
        </w:rPr>
        <w:t>eak equity market capitalization</w:t>
      </w:r>
      <w:r w:rsidR="000B59E3">
        <w:rPr>
          <w:rFonts w:ascii="Times New Roman" w:eastAsia="Times New Roman" w:hAnsi="Times New Roman"/>
          <w:sz w:val="24"/>
          <w:szCs w:val="24"/>
        </w:rPr>
        <w:t>, g</w:t>
      </w:r>
      <w:r w:rsidR="000B59E3" w:rsidRPr="00335312">
        <w:rPr>
          <w:rFonts w:ascii="Times New Roman" w:eastAsia="Times New Roman" w:hAnsi="Times New Roman"/>
          <w:sz w:val="24"/>
          <w:szCs w:val="24"/>
        </w:rPr>
        <w:t>ross value of cash lent and gross fair value of securities lent in sec</w:t>
      </w:r>
      <w:r w:rsidR="000B59E3">
        <w:rPr>
          <w:rFonts w:ascii="Times New Roman" w:eastAsia="Times New Roman" w:hAnsi="Times New Roman"/>
          <w:sz w:val="24"/>
          <w:szCs w:val="24"/>
        </w:rPr>
        <w:t>urities financing transactions, g</w:t>
      </w:r>
      <w:r w:rsidR="000B59E3" w:rsidRPr="00335312">
        <w:rPr>
          <w:rFonts w:ascii="Times New Roman" w:eastAsia="Times New Roman" w:hAnsi="Times New Roman"/>
          <w:sz w:val="24"/>
          <w:szCs w:val="24"/>
        </w:rPr>
        <w:t>ross value of cash borrowed and gross fair value of securities borrowed in securities financing transactions</w:t>
      </w:r>
      <w:r w:rsidR="000B59E3">
        <w:rPr>
          <w:rFonts w:ascii="Times New Roman" w:eastAsia="Times New Roman" w:hAnsi="Times New Roman"/>
          <w:sz w:val="24"/>
          <w:szCs w:val="24"/>
        </w:rPr>
        <w:t>, g</w:t>
      </w:r>
      <w:r w:rsidR="000B59E3" w:rsidRPr="00335312">
        <w:rPr>
          <w:rFonts w:ascii="Times New Roman" w:eastAsia="Times New Roman" w:hAnsi="Times New Roman"/>
          <w:sz w:val="24"/>
          <w:szCs w:val="24"/>
        </w:rPr>
        <w:t>ross positive fair value of OTC derivatives transactions</w:t>
      </w:r>
      <w:r w:rsidR="000B59E3">
        <w:rPr>
          <w:rFonts w:ascii="Times New Roman" w:eastAsia="Times New Roman" w:hAnsi="Times New Roman"/>
          <w:sz w:val="24"/>
          <w:szCs w:val="24"/>
        </w:rPr>
        <w:t>, g</w:t>
      </w:r>
      <w:r w:rsidR="000B59E3" w:rsidRPr="00335312">
        <w:rPr>
          <w:rFonts w:ascii="Times New Roman" w:eastAsia="Times New Roman" w:hAnsi="Times New Roman"/>
          <w:sz w:val="24"/>
          <w:szCs w:val="24"/>
        </w:rPr>
        <w:t>ross negative fair value of OTC derivatives transactions</w:t>
      </w:r>
      <w:r w:rsidR="000B59E3">
        <w:rPr>
          <w:rFonts w:ascii="Times New Roman" w:eastAsia="Times New Roman" w:hAnsi="Times New Roman"/>
          <w:sz w:val="24"/>
          <w:szCs w:val="24"/>
        </w:rPr>
        <w:t>, u</w:t>
      </w:r>
      <w:r w:rsidR="000B59E3" w:rsidRPr="00335312">
        <w:rPr>
          <w:rFonts w:ascii="Times New Roman" w:eastAsia="Times New Roman" w:hAnsi="Times New Roman"/>
          <w:sz w:val="24"/>
          <w:szCs w:val="24"/>
        </w:rPr>
        <w:t>nsecured settlement/clearing lines provided</w:t>
      </w:r>
      <w:r w:rsidR="000B59E3">
        <w:rPr>
          <w:rFonts w:ascii="Times New Roman" w:eastAsia="Times New Roman" w:hAnsi="Times New Roman"/>
          <w:sz w:val="24"/>
          <w:szCs w:val="24"/>
        </w:rPr>
        <w:t>, and number of jurisdictions.</w:t>
      </w:r>
    </w:p>
    <w:p w:rsidR="00084E13" w:rsidRPr="00776525" w:rsidRDefault="00084E13" w:rsidP="00361AC0">
      <w:pPr>
        <w:autoSpaceDE w:val="0"/>
        <w:autoSpaceDN w:val="0"/>
        <w:adjustRightInd w:val="0"/>
        <w:spacing w:after="0" w:line="240" w:lineRule="auto"/>
        <w:ind w:firstLine="720"/>
        <w:rPr>
          <w:rFonts w:ascii="Times New Roman" w:hAnsi="Times New Roman"/>
          <w:szCs w:val="24"/>
        </w:rPr>
      </w:pPr>
    </w:p>
    <w:p w:rsidR="00D272EA" w:rsidRPr="00776525" w:rsidRDefault="00D272EA" w:rsidP="00947711">
      <w:pPr>
        <w:pStyle w:val="Header"/>
        <w:rPr>
          <w:b/>
          <w:szCs w:val="24"/>
        </w:rPr>
      </w:pPr>
      <w:r w:rsidRPr="00776525">
        <w:rPr>
          <w:b/>
          <w:szCs w:val="24"/>
        </w:rPr>
        <w:t>Respondent Panel</w:t>
      </w:r>
    </w:p>
    <w:p w:rsidR="00D272EA" w:rsidRPr="00776525" w:rsidRDefault="00D272EA" w:rsidP="00BF5A37">
      <w:pPr>
        <w:pStyle w:val="Header"/>
        <w:tabs>
          <w:tab w:val="clear" w:pos="4320"/>
          <w:tab w:val="clear" w:pos="8640"/>
        </w:tabs>
        <w:rPr>
          <w:szCs w:val="24"/>
        </w:rPr>
      </w:pPr>
    </w:p>
    <w:p w:rsidR="00D272EA" w:rsidRPr="00776525" w:rsidRDefault="00D272EA" w:rsidP="00CF3BF5">
      <w:pPr>
        <w:pStyle w:val="Header"/>
        <w:tabs>
          <w:tab w:val="clear" w:pos="4320"/>
          <w:tab w:val="clear" w:pos="8640"/>
        </w:tabs>
        <w:ind w:firstLine="720"/>
        <w:rPr>
          <w:szCs w:val="24"/>
        </w:rPr>
      </w:pPr>
      <w:r w:rsidRPr="00776525">
        <w:t xml:space="preserve">The </w:t>
      </w:r>
      <w:r w:rsidR="005318D0" w:rsidRPr="00776525">
        <w:t>FR</w:t>
      </w:r>
      <w:r w:rsidR="00776525">
        <w:t> </w:t>
      </w:r>
      <w:r w:rsidR="005318D0" w:rsidRPr="00776525">
        <w:t xml:space="preserve">Y-15 </w:t>
      </w:r>
      <w:r w:rsidRPr="00776525">
        <w:t xml:space="preserve">report would collect systemic risk data used by the </w:t>
      </w:r>
      <w:r w:rsidR="00F40B71">
        <w:t>BCBS</w:t>
      </w:r>
      <w:r w:rsidRPr="00776525">
        <w:t xml:space="preserve"> to assign G-SIB capital surcharges.  Given </w:t>
      </w:r>
      <w:r w:rsidR="00E86C50">
        <w:t xml:space="preserve">this </w:t>
      </w:r>
      <w:r w:rsidRPr="00776525">
        <w:t xml:space="preserve">purpose of the data collection </w:t>
      </w:r>
      <w:r w:rsidR="00E86C50">
        <w:t xml:space="preserve">along with </w:t>
      </w:r>
      <w:r w:rsidRPr="00776525">
        <w:t xml:space="preserve">the threshold for enhanced prudential standards provided under </w:t>
      </w:r>
      <w:r w:rsidR="00822B00">
        <w:t>DFA</w:t>
      </w:r>
      <w:r w:rsidRPr="00776525">
        <w:t xml:space="preserve">, </w:t>
      </w:r>
      <w:r w:rsidR="00FF5BE0" w:rsidRPr="00776525">
        <w:t>the Federal Reserve</w:t>
      </w:r>
      <w:r w:rsidRPr="00776525">
        <w:t xml:space="preserve"> proposes that the new reporting requirements apply to U.S. BHCs </w:t>
      </w:r>
      <w:r w:rsidR="00822B00">
        <w:t xml:space="preserve">that have </w:t>
      </w:r>
      <w:r w:rsidR="00A33C60">
        <w:t xml:space="preserve">total </w:t>
      </w:r>
      <w:r w:rsidR="00822B00">
        <w:t xml:space="preserve">consolidated assets of </w:t>
      </w:r>
      <w:r w:rsidRPr="00776525">
        <w:t xml:space="preserve">$50 billion or more </w:t>
      </w:r>
      <w:r w:rsidR="00822B00">
        <w:t>as of December 31</w:t>
      </w:r>
      <w:r w:rsidR="00E86C50">
        <w:t>,</w:t>
      </w:r>
      <w:r w:rsidR="00A33C60">
        <w:t xml:space="preserve"> and any </w:t>
      </w:r>
      <w:r w:rsidRPr="00776525">
        <w:t>U.S.</w:t>
      </w:r>
      <w:r w:rsidR="00A33C60">
        <w:t xml:space="preserve">-based organizations that are </w:t>
      </w:r>
      <w:r w:rsidRPr="00776525">
        <w:t xml:space="preserve">designated as G-SIBs </w:t>
      </w:r>
      <w:r w:rsidR="00A33C60">
        <w:t xml:space="preserve">by the BCBS that do not otherwise meet the consolidated assets threshold. </w:t>
      </w:r>
    </w:p>
    <w:p w:rsidR="00270F48" w:rsidRPr="00776525" w:rsidRDefault="00270F48" w:rsidP="00CF3BF5">
      <w:pPr>
        <w:pStyle w:val="Header"/>
        <w:tabs>
          <w:tab w:val="clear" w:pos="4320"/>
          <w:tab w:val="clear" w:pos="8640"/>
        </w:tabs>
        <w:rPr>
          <w:szCs w:val="24"/>
        </w:rPr>
      </w:pPr>
    </w:p>
    <w:p w:rsidR="00D272EA" w:rsidRPr="00776525" w:rsidRDefault="00074235" w:rsidP="00CF3BF5">
      <w:pPr>
        <w:pStyle w:val="Header"/>
        <w:tabs>
          <w:tab w:val="clear" w:pos="4320"/>
          <w:tab w:val="clear" w:pos="8640"/>
        </w:tabs>
        <w:ind w:firstLine="720"/>
        <w:rPr>
          <w:szCs w:val="24"/>
        </w:rPr>
      </w:pPr>
      <w:r w:rsidRPr="00776525">
        <w:t xml:space="preserve">Based on data as of </w:t>
      </w:r>
      <w:r w:rsidR="006F79CB">
        <w:t>September</w:t>
      </w:r>
      <w:r w:rsidR="006F79CB" w:rsidRPr="00776525">
        <w:t xml:space="preserve"> </w:t>
      </w:r>
      <w:r w:rsidRPr="00776525">
        <w:t>2012, the FR</w:t>
      </w:r>
      <w:r w:rsidR="00776525">
        <w:t> </w:t>
      </w:r>
      <w:r w:rsidRPr="00776525">
        <w:t xml:space="preserve">Y-15 would be filed by approximately </w:t>
      </w:r>
      <w:r w:rsidR="00766C88">
        <w:t>33</w:t>
      </w:r>
      <w:r w:rsidRPr="00776525">
        <w:t xml:space="preserve"> domestic BHCs.</w:t>
      </w:r>
    </w:p>
    <w:p w:rsidR="00D272EA" w:rsidRPr="00776525" w:rsidRDefault="00D272EA" w:rsidP="00CF3BF5">
      <w:pPr>
        <w:pStyle w:val="Header"/>
        <w:tabs>
          <w:tab w:val="clear" w:pos="4320"/>
          <w:tab w:val="clear" w:pos="8640"/>
        </w:tabs>
        <w:rPr>
          <w:szCs w:val="24"/>
        </w:rPr>
      </w:pPr>
    </w:p>
    <w:p w:rsidR="00272338" w:rsidRPr="00776525" w:rsidRDefault="00173C0B" w:rsidP="00CF3BF5">
      <w:pPr>
        <w:pStyle w:val="Header"/>
        <w:rPr>
          <w:b/>
          <w:szCs w:val="24"/>
        </w:rPr>
      </w:pPr>
      <w:r w:rsidRPr="00776525">
        <w:rPr>
          <w:b/>
          <w:szCs w:val="24"/>
        </w:rPr>
        <w:t>Time Schedule for Information Collection and Publication</w:t>
      </w:r>
    </w:p>
    <w:p w:rsidR="00BC5FD2" w:rsidRPr="00776525" w:rsidRDefault="00BC5FD2" w:rsidP="00CF3BF5">
      <w:pPr>
        <w:pStyle w:val="Header"/>
        <w:tabs>
          <w:tab w:val="clear" w:pos="4320"/>
          <w:tab w:val="clear" w:pos="8640"/>
        </w:tabs>
        <w:rPr>
          <w:szCs w:val="24"/>
        </w:rPr>
      </w:pPr>
    </w:p>
    <w:p w:rsidR="00C832AC" w:rsidRDefault="00084E13" w:rsidP="00942B33">
      <w:pPr>
        <w:pStyle w:val="Header"/>
        <w:tabs>
          <w:tab w:val="clear" w:pos="4320"/>
          <w:tab w:val="clear" w:pos="8640"/>
        </w:tabs>
        <w:ind w:firstLine="720"/>
      </w:pPr>
      <w:r w:rsidRPr="00776525">
        <w:t xml:space="preserve">The Federal Reserve </w:t>
      </w:r>
      <w:r w:rsidR="00074235" w:rsidRPr="00776525">
        <w:t xml:space="preserve">proposes to implement the collection of the new systemic risk report as of December 31, 2012, so that it may be used in the </w:t>
      </w:r>
      <w:r w:rsidR="00C832AC">
        <w:t xml:space="preserve">2013 </w:t>
      </w:r>
      <w:r w:rsidR="00074235" w:rsidRPr="00776525">
        <w:t xml:space="preserve">G-SIB data collection exercise.  This timing would also allow </w:t>
      </w:r>
      <w:r w:rsidR="00C832AC">
        <w:t xml:space="preserve">G-SIBs </w:t>
      </w:r>
      <w:r w:rsidR="00074235" w:rsidRPr="00776525">
        <w:t xml:space="preserve">one year to familiarize themselves with the report prior to submitting their year-end 2013 data, which will be used by the </w:t>
      </w:r>
      <w:r w:rsidR="00F40B71">
        <w:t>BCBS</w:t>
      </w:r>
      <w:r w:rsidR="00074235" w:rsidRPr="00776525">
        <w:t xml:space="preserve"> to set the initial additional capital requirement.</w:t>
      </w:r>
      <w:r w:rsidR="00074235" w:rsidRPr="00776525">
        <w:rPr>
          <w:rStyle w:val="FootnoteReference"/>
        </w:rPr>
        <w:footnoteReference w:id="3"/>
      </w:r>
      <w:r w:rsidR="00766C88">
        <w:t xml:space="preserve">  </w:t>
      </w:r>
      <w:r w:rsidR="00C832AC" w:rsidRPr="00776525">
        <w:t xml:space="preserve">The </w:t>
      </w:r>
      <w:r w:rsidR="00C832AC">
        <w:t xml:space="preserve">proposed </w:t>
      </w:r>
      <w:r w:rsidR="00C832AC" w:rsidRPr="00776525">
        <w:t>collection frequency and reporting date for the FR</w:t>
      </w:r>
      <w:r w:rsidR="00C832AC">
        <w:t> </w:t>
      </w:r>
      <w:r w:rsidR="00C832AC" w:rsidRPr="00776525">
        <w:t>Y-15 reflect the G-SIB assessment methodology, which is scheduled to repeat annually using year-end data.</w:t>
      </w:r>
    </w:p>
    <w:p w:rsidR="00C832AC" w:rsidRDefault="00C832AC" w:rsidP="00942B33">
      <w:pPr>
        <w:pStyle w:val="Header"/>
        <w:tabs>
          <w:tab w:val="clear" w:pos="4320"/>
          <w:tab w:val="clear" w:pos="8640"/>
        </w:tabs>
        <w:ind w:firstLine="720"/>
      </w:pPr>
    </w:p>
    <w:p w:rsidR="00074235" w:rsidRPr="00776525" w:rsidRDefault="00AE7AF6" w:rsidP="00942B33">
      <w:pPr>
        <w:pStyle w:val="Header"/>
        <w:tabs>
          <w:tab w:val="clear" w:pos="4320"/>
          <w:tab w:val="clear" w:pos="8640"/>
        </w:tabs>
        <w:ind w:firstLine="720"/>
      </w:pPr>
      <w:r>
        <w:t>T</w:t>
      </w:r>
      <w:r w:rsidR="00766C88">
        <w:rPr>
          <w:szCs w:val="24"/>
        </w:rPr>
        <w:t>he Federal Reserve will</w:t>
      </w:r>
      <w:r w:rsidR="00766C88" w:rsidRPr="00526821">
        <w:rPr>
          <w:szCs w:val="24"/>
        </w:rPr>
        <w:t xml:space="preserve"> limit the FR Y-15 reporting panel for the December 31, 2012</w:t>
      </w:r>
      <w:r w:rsidR="00766C88">
        <w:rPr>
          <w:szCs w:val="24"/>
        </w:rPr>
        <w:t>,</w:t>
      </w:r>
      <w:r w:rsidR="00766C88" w:rsidRPr="00526821">
        <w:rPr>
          <w:szCs w:val="24"/>
        </w:rPr>
        <w:t xml:space="preserve"> as-of-date to the eight U.S. top-tier BHCs that were designated as G-SIBs by the FSB on November 1, 2012.</w:t>
      </w:r>
      <w:r w:rsidR="00766C88" w:rsidRPr="00526821">
        <w:rPr>
          <w:rStyle w:val="FootnoteReference"/>
          <w:szCs w:val="24"/>
        </w:rPr>
        <w:footnoteReference w:id="4"/>
      </w:r>
      <w:r w:rsidR="00766C88" w:rsidRPr="00526821">
        <w:rPr>
          <w:szCs w:val="24"/>
        </w:rPr>
        <w:t xml:space="preserve">  This </w:t>
      </w:r>
      <w:r w:rsidR="00766C88">
        <w:rPr>
          <w:szCs w:val="24"/>
        </w:rPr>
        <w:t>will</w:t>
      </w:r>
      <w:r w:rsidR="00766C88" w:rsidRPr="00526821">
        <w:rPr>
          <w:szCs w:val="24"/>
        </w:rPr>
        <w:t xml:space="preserve"> exclude all U.S. BHCs that are a subsidiary of a</w:t>
      </w:r>
      <w:r w:rsidR="00300828">
        <w:rPr>
          <w:szCs w:val="24"/>
        </w:rPr>
        <w:t xml:space="preserve"> foreign banking organization (</w:t>
      </w:r>
      <w:r w:rsidR="00766C88" w:rsidRPr="00526821">
        <w:rPr>
          <w:szCs w:val="24"/>
        </w:rPr>
        <w:t>FBO</w:t>
      </w:r>
      <w:r w:rsidR="00300828">
        <w:rPr>
          <w:szCs w:val="24"/>
        </w:rPr>
        <w:t>)</w:t>
      </w:r>
      <w:r w:rsidR="00766C88" w:rsidRPr="00526821">
        <w:rPr>
          <w:szCs w:val="24"/>
        </w:rPr>
        <w:t xml:space="preserve"> from the </w:t>
      </w:r>
      <w:r w:rsidR="00766C88">
        <w:rPr>
          <w:szCs w:val="24"/>
        </w:rPr>
        <w:t xml:space="preserve">2012 </w:t>
      </w:r>
      <w:r w:rsidR="00766C88" w:rsidRPr="00526821">
        <w:rPr>
          <w:szCs w:val="24"/>
        </w:rPr>
        <w:t xml:space="preserve">reporting panel.  </w:t>
      </w:r>
      <w:r w:rsidR="00766C88" w:rsidRPr="009C6F07">
        <w:rPr>
          <w:szCs w:val="24"/>
        </w:rPr>
        <w:t>The Federal Reserve will require that the full BHC panel (i.e.</w:t>
      </w:r>
      <w:r w:rsidR="00766C88">
        <w:rPr>
          <w:szCs w:val="24"/>
        </w:rPr>
        <w:t>,</w:t>
      </w:r>
      <w:r w:rsidR="00766C88" w:rsidRPr="009C6F07">
        <w:rPr>
          <w:szCs w:val="24"/>
        </w:rPr>
        <w:t xml:space="preserve"> all BHCs with over $50 bill</w:t>
      </w:r>
      <w:r w:rsidR="00766C88" w:rsidRPr="00526821">
        <w:rPr>
          <w:szCs w:val="24"/>
        </w:rPr>
        <w:t>ion in total consolidated assets, including those that are subsidiaries of FBOs) file the FR Y-15 starting with the December 31, 2013</w:t>
      </w:r>
      <w:r w:rsidR="00766C88">
        <w:rPr>
          <w:szCs w:val="24"/>
        </w:rPr>
        <w:t>,</w:t>
      </w:r>
      <w:r w:rsidR="00766C88" w:rsidRPr="00526821">
        <w:rPr>
          <w:szCs w:val="24"/>
        </w:rPr>
        <w:t xml:space="preserve"> as-of-date.</w:t>
      </w:r>
    </w:p>
    <w:p w:rsidR="00074235" w:rsidRPr="00776525" w:rsidRDefault="00074235" w:rsidP="00CF3BF5">
      <w:pPr>
        <w:pStyle w:val="Header"/>
        <w:tabs>
          <w:tab w:val="clear" w:pos="4320"/>
          <w:tab w:val="clear" w:pos="8640"/>
        </w:tabs>
      </w:pPr>
    </w:p>
    <w:p w:rsidR="00145B87" w:rsidRDefault="00766C88" w:rsidP="00942B33">
      <w:pPr>
        <w:pStyle w:val="Header"/>
        <w:tabs>
          <w:tab w:val="clear" w:pos="4320"/>
          <w:tab w:val="clear" w:pos="8640"/>
        </w:tabs>
        <w:ind w:firstLine="720"/>
        <w:rPr>
          <w:szCs w:val="24"/>
        </w:rPr>
      </w:pPr>
      <w:r w:rsidRPr="00407ACE">
        <w:rPr>
          <w:szCs w:val="24"/>
        </w:rPr>
        <w:t>To afford reporting institutions additional time to prepare the initial submission of the FR Y-15, the Federal Reserve will extend the initial submission date to 90 days after the December 31, 2012, as-of-date.</w:t>
      </w:r>
      <w:r w:rsidR="006A6189">
        <w:rPr>
          <w:szCs w:val="24"/>
        </w:rPr>
        <w:t xml:space="preserve">  </w:t>
      </w:r>
      <w:r w:rsidR="00145B87">
        <w:rPr>
          <w:szCs w:val="24"/>
        </w:rPr>
        <w:t>Furthermore, t</w:t>
      </w:r>
      <w:r w:rsidR="00300828">
        <w:rPr>
          <w:szCs w:val="24"/>
        </w:rPr>
        <w:t>he Federal Reserve will move the submission date for the FR Y-15 to 60 days after the as-of-date, beginning with the December 31, 2013, as-of-date.</w:t>
      </w:r>
      <w:r w:rsidR="00051B5F" w:rsidRPr="006A6189">
        <w:rPr>
          <w:szCs w:val="24"/>
        </w:rPr>
        <w:t xml:space="preserve"> </w:t>
      </w:r>
      <w:r w:rsidR="00E830F1" w:rsidRPr="006A6189">
        <w:rPr>
          <w:szCs w:val="24"/>
        </w:rPr>
        <w:t xml:space="preserve"> </w:t>
      </w:r>
    </w:p>
    <w:p w:rsidR="00145B87" w:rsidRDefault="00145B87" w:rsidP="00361AC0">
      <w:pPr>
        <w:autoSpaceDE w:val="0"/>
        <w:autoSpaceDN w:val="0"/>
        <w:adjustRightInd w:val="0"/>
        <w:spacing w:after="0" w:line="240" w:lineRule="auto"/>
        <w:rPr>
          <w:rFonts w:ascii="Times New Roman" w:hAnsi="Times New Roman"/>
          <w:sz w:val="24"/>
          <w:szCs w:val="24"/>
        </w:rPr>
      </w:pPr>
    </w:p>
    <w:p w:rsidR="00BC5FD2" w:rsidRDefault="00145B87" w:rsidP="00361A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051B5F" w:rsidRPr="006A6189">
        <w:rPr>
          <w:rFonts w:ascii="Times New Roman" w:hAnsi="Times New Roman"/>
          <w:sz w:val="24"/>
          <w:szCs w:val="24"/>
        </w:rPr>
        <w:t xml:space="preserve">Respondents would be required to submit the report electronically using </w:t>
      </w:r>
      <w:r w:rsidR="00FD0418" w:rsidRPr="006A6189">
        <w:rPr>
          <w:rFonts w:ascii="Times New Roman" w:hAnsi="Times New Roman"/>
          <w:sz w:val="24"/>
          <w:szCs w:val="24"/>
        </w:rPr>
        <w:t xml:space="preserve">one of </w:t>
      </w:r>
      <w:r w:rsidR="00051B5F" w:rsidRPr="006A6189">
        <w:rPr>
          <w:rFonts w:ascii="Times New Roman" w:hAnsi="Times New Roman"/>
          <w:sz w:val="24"/>
          <w:szCs w:val="24"/>
        </w:rPr>
        <w:t>the</w:t>
      </w:r>
      <w:r w:rsidR="00FD0418" w:rsidRPr="006A6189">
        <w:rPr>
          <w:rFonts w:ascii="Times New Roman" w:hAnsi="Times New Roman"/>
          <w:sz w:val="24"/>
          <w:szCs w:val="24"/>
        </w:rPr>
        <w:t xml:space="preserve"> </w:t>
      </w:r>
      <w:r w:rsidR="00051B5F" w:rsidRPr="006A6189">
        <w:rPr>
          <w:rFonts w:ascii="Times New Roman" w:hAnsi="Times New Roman"/>
          <w:sz w:val="24"/>
          <w:szCs w:val="24"/>
        </w:rPr>
        <w:t xml:space="preserve">Federal Reserve’s </w:t>
      </w:r>
      <w:r w:rsidR="00236CA7" w:rsidRPr="006A6189">
        <w:rPr>
          <w:rFonts w:ascii="Times New Roman" w:hAnsi="Times New Roman"/>
          <w:sz w:val="24"/>
          <w:szCs w:val="24"/>
        </w:rPr>
        <w:t xml:space="preserve">standard </w:t>
      </w:r>
      <w:r w:rsidR="00700F2B" w:rsidRPr="006A6189">
        <w:rPr>
          <w:rFonts w:ascii="Times New Roman" w:hAnsi="Times New Roman"/>
          <w:sz w:val="24"/>
          <w:szCs w:val="24"/>
        </w:rPr>
        <w:t>e</w:t>
      </w:r>
      <w:r w:rsidR="00051B5F" w:rsidRPr="006A6189">
        <w:rPr>
          <w:rFonts w:ascii="Times New Roman" w:hAnsi="Times New Roman"/>
          <w:sz w:val="24"/>
          <w:szCs w:val="24"/>
        </w:rPr>
        <w:t xml:space="preserve">lectronic </w:t>
      </w:r>
      <w:r w:rsidR="00700F2B" w:rsidRPr="006A6189">
        <w:rPr>
          <w:rFonts w:ascii="Times New Roman" w:hAnsi="Times New Roman"/>
          <w:sz w:val="24"/>
          <w:szCs w:val="24"/>
        </w:rPr>
        <w:t>s</w:t>
      </w:r>
      <w:r w:rsidR="00051B5F" w:rsidRPr="006A6189">
        <w:rPr>
          <w:rFonts w:ascii="Times New Roman" w:hAnsi="Times New Roman"/>
          <w:sz w:val="24"/>
          <w:szCs w:val="24"/>
        </w:rPr>
        <w:t>ubmission application</w:t>
      </w:r>
      <w:r w:rsidR="00FD0418" w:rsidRPr="006A6189">
        <w:rPr>
          <w:rFonts w:ascii="Times New Roman" w:hAnsi="Times New Roman"/>
          <w:sz w:val="24"/>
          <w:szCs w:val="24"/>
        </w:rPr>
        <w:t>s</w:t>
      </w:r>
      <w:r w:rsidR="00051B5F" w:rsidRPr="006A6189">
        <w:rPr>
          <w:rFonts w:ascii="Times New Roman" w:hAnsi="Times New Roman"/>
          <w:sz w:val="24"/>
          <w:szCs w:val="24"/>
        </w:rPr>
        <w:t xml:space="preserve">. </w:t>
      </w:r>
      <w:r w:rsidR="00E830F1" w:rsidRPr="006A6189">
        <w:rPr>
          <w:rFonts w:ascii="Times New Roman" w:hAnsi="Times New Roman"/>
          <w:sz w:val="24"/>
          <w:szCs w:val="24"/>
        </w:rPr>
        <w:t xml:space="preserve"> </w:t>
      </w:r>
      <w:r w:rsidR="00FF5BE0" w:rsidRPr="006A6189">
        <w:rPr>
          <w:rFonts w:ascii="Times New Roman" w:hAnsi="Times New Roman"/>
          <w:sz w:val="24"/>
          <w:szCs w:val="24"/>
        </w:rPr>
        <w:t>The Federal Reserve</w:t>
      </w:r>
      <w:r w:rsidR="00051B5F" w:rsidRPr="006A6189">
        <w:rPr>
          <w:rFonts w:ascii="Times New Roman" w:hAnsi="Times New Roman"/>
          <w:sz w:val="24"/>
          <w:szCs w:val="24"/>
        </w:rPr>
        <w:t xml:space="preserve"> believes this to be the most efficient and </w:t>
      </w:r>
      <w:r w:rsidR="00FD2D6A" w:rsidRPr="006A6189">
        <w:rPr>
          <w:rFonts w:ascii="Times New Roman" w:hAnsi="Times New Roman"/>
          <w:sz w:val="24"/>
          <w:szCs w:val="24"/>
        </w:rPr>
        <w:t xml:space="preserve">least </w:t>
      </w:r>
      <w:r w:rsidR="00051B5F" w:rsidRPr="006A6189">
        <w:rPr>
          <w:rFonts w:ascii="Times New Roman" w:hAnsi="Times New Roman"/>
          <w:sz w:val="24"/>
          <w:szCs w:val="24"/>
        </w:rPr>
        <w:t>burdensome method of s</w:t>
      </w:r>
      <w:r w:rsidR="00173C0B" w:rsidRPr="006A6189">
        <w:rPr>
          <w:rFonts w:ascii="Times New Roman" w:hAnsi="Times New Roman"/>
          <w:sz w:val="24"/>
          <w:szCs w:val="24"/>
        </w:rPr>
        <w:t>ubmission since the FR</w:t>
      </w:r>
      <w:r w:rsidR="00C555E8" w:rsidRPr="006A6189">
        <w:rPr>
          <w:rFonts w:ascii="Times New Roman" w:hAnsi="Times New Roman"/>
          <w:sz w:val="24"/>
          <w:szCs w:val="24"/>
        </w:rPr>
        <w:t> </w:t>
      </w:r>
      <w:r w:rsidR="00173C0B" w:rsidRPr="006A6189">
        <w:rPr>
          <w:rFonts w:ascii="Times New Roman" w:hAnsi="Times New Roman"/>
          <w:sz w:val="24"/>
          <w:szCs w:val="24"/>
        </w:rPr>
        <w:t xml:space="preserve">Y-9C and FFIEC 009 reports are currently submitted electronically </w:t>
      </w:r>
      <w:r w:rsidR="00FD0418" w:rsidRPr="006A6189">
        <w:rPr>
          <w:rFonts w:ascii="Times New Roman" w:hAnsi="Times New Roman"/>
          <w:sz w:val="24"/>
          <w:szCs w:val="24"/>
        </w:rPr>
        <w:t xml:space="preserve">through these applications. </w:t>
      </w:r>
      <w:r w:rsidR="00173C0B" w:rsidRPr="006A6189">
        <w:rPr>
          <w:rFonts w:ascii="Times New Roman" w:hAnsi="Times New Roman"/>
          <w:sz w:val="24"/>
          <w:szCs w:val="24"/>
        </w:rPr>
        <w:t xml:space="preserve"> The application would validate the report data for mathematical and logical consistency and provide the reporting institution with a confirmation of receipt of its submission.</w:t>
      </w:r>
      <w:r w:rsidR="00236CA7" w:rsidRPr="006A6189">
        <w:rPr>
          <w:rFonts w:ascii="Times New Roman" w:hAnsi="Times New Roman"/>
          <w:sz w:val="24"/>
          <w:szCs w:val="24"/>
        </w:rPr>
        <w:t xml:space="preserve"> </w:t>
      </w:r>
      <w:r w:rsidR="00C555E8" w:rsidRPr="006A6189">
        <w:rPr>
          <w:rFonts w:ascii="Times New Roman" w:hAnsi="Times New Roman"/>
          <w:sz w:val="24"/>
          <w:szCs w:val="24"/>
        </w:rPr>
        <w:t xml:space="preserve"> </w:t>
      </w:r>
      <w:r w:rsidR="00236CA7" w:rsidRPr="006A6189">
        <w:rPr>
          <w:rFonts w:ascii="Times New Roman" w:hAnsi="Times New Roman"/>
          <w:sz w:val="24"/>
          <w:szCs w:val="24"/>
        </w:rPr>
        <w:t>The application would also allow institutions to provide written comments on each item and, if needed, an overall narrative.</w:t>
      </w:r>
    </w:p>
    <w:p w:rsidR="00F17974" w:rsidRPr="006A6189" w:rsidRDefault="00F17974" w:rsidP="00361AC0">
      <w:pPr>
        <w:autoSpaceDE w:val="0"/>
        <w:autoSpaceDN w:val="0"/>
        <w:adjustRightInd w:val="0"/>
        <w:spacing w:after="0" w:line="240" w:lineRule="auto"/>
        <w:rPr>
          <w:sz w:val="24"/>
        </w:rPr>
      </w:pPr>
    </w:p>
    <w:p w:rsidR="00F17974" w:rsidRDefault="00173C0B" w:rsidP="00361AC0">
      <w:pPr>
        <w:pStyle w:val="ListParagraph"/>
        <w:spacing w:after="0" w:line="240" w:lineRule="auto"/>
        <w:ind w:left="0" w:firstLine="720"/>
        <w:rPr>
          <w:rFonts w:ascii="Times New Roman" w:hAnsi="Times New Roman"/>
          <w:sz w:val="24"/>
          <w:szCs w:val="24"/>
        </w:rPr>
      </w:pPr>
      <w:r w:rsidRPr="00596F86">
        <w:rPr>
          <w:rFonts w:ascii="Times New Roman" w:hAnsi="Times New Roman"/>
          <w:sz w:val="24"/>
          <w:szCs w:val="24"/>
        </w:rPr>
        <w:t xml:space="preserve">In the interest of transparency, </w:t>
      </w:r>
      <w:r w:rsidR="00FF5BE0" w:rsidRPr="00596F86">
        <w:rPr>
          <w:rFonts w:ascii="Times New Roman" w:hAnsi="Times New Roman"/>
          <w:sz w:val="24"/>
          <w:szCs w:val="24"/>
        </w:rPr>
        <w:t>the Federal Reserve</w:t>
      </w:r>
      <w:r w:rsidRPr="00596F86">
        <w:rPr>
          <w:rFonts w:ascii="Times New Roman" w:hAnsi="Times New Roman"/>
          <w:sz w:val="24"/>
          <w:szCs w:val="24"/>
        </w:rPr>
        <w:t xml:space="preserve"> </w:t>
      </w:r>
      <w:r w:rsidR="00017738" w:rsidRPr="00596F86">
        <w:rPr>
          <w:rFonts w:ascii="Times New Roman" w:hAnsi="Times New Roman"/>
          <w:sz w:val="24"/>
          <w:szCs w:val="24"/>
        </w:rPr>
        <w:t xml:space="preserve">proposes </w:t>
      </w:r>
      <w:r w:rsidRPr="00596F86">
        <w:rPr>
          <w:rFonts w:ascii="Times New Roman" w:hAnsi="Times New Roman"/>
          <w:sz w:val="24"/>
          <w:szCs w:val="24"/>
        </w:rPr>
        <w:t xml:space="preserve">that </w:t>
      </w:r>
      <w:r w:rsidR="00450C4D" w:rsidRPr="00596F86">
        <w:rPr>
          <w:rFonts w:ascii="Times New Roman" w:hAnsi="Times New Roman"/>
          <w:sz w:val="24"/>
          <w:szCs w:val="24"/>
        </w:rPr>
        <w:t>FR</w:t>
      </w:r>
      <w:r w:rsidR="00776525" w:rsidRPr="00596F86">
        <w:rPr>
          <w:rFonts w:ascii="Times New Roman" w:hAnsi="Times New Roman"/>
          <w:sz w:val="24"/>
          <w:szCs w:val="24"/>
        </w:rPr>
        <w:t> </w:t>
      </w:r>
      <w:r w:rsidR="00450C4D" w:rsidRPr="00596F86">
        <w:rPr>
          <w:rFonts w:ascii="Times New Roman" w:hAnsi="Times New Roman"/>
          <w:sz w:val="24"/>
          <w:szCs w:val="24"/>
        </w:rPr>
        <w:t xml:space="preserve">Y-15 </w:t>
      </w:r>
      <w:r w:rsidRPr="00596F86">
        <w:rPr>
          <w:rFonts w:ascii="Times New Roman" w:hAnsi="Times New Roman"/>
          <w:sz w:val="24"/>
          <w:szCs w:val="24"/>
        </w:rPr>
        <w:t>data be made available to the public on the FFIEC website</w:t>
      </w:r>
      <w:r w:rsidR="00CF3BF5">
        <w:rPr>
          <w:rFonts w:ascii="Times New Roman" w:hAnsi="Times New Roman"/>
          <w:sz w:val="24"/>
          <w:szCs w:val="24"/>
        </w:rPr>
        <w:t xml:space="preserve"> (</w:t>
      </w:r>
      <w:hyperlink r:id="rId9" w:history="1">
        <w:r w:rsidR="00CF3BF5" w:rsidRPr="00596F86">
          <w:rPr>
            <w:rStyle w:val="Hyperlink"/>
            <w:rFonts w:ascii="Times New Roman" w:hAnsi="Times New Roman"/>
            <w:sz w:val="24"/>
            <w:szCs w:val="24"/>
          </w:rPr>
          <w:t>www.ffiec.gov/nicpubweb/nicweb/nichome.aspx</w:t>
        </w:r>
      </w:hyperlink>
      <w:r w:rsidR="00CF3BF5">
        <w:rPr>
          <w:rStyle w:val="Hyperlink"/>
          <w:rFonts w:ascii="Times New Roman" w:hAnsi="Times New Roman"/>
          <w:sz w:val="24"/>
          <w:szCs w:val="24"/>
        </w:rPr>
        <w:t>).</w:t>
      </w:r>
    </w:p>
    <w:p w:rsidR="00124C3C" w:rsidRPr="00776525" w:rsidRDefault="00124C3C" w:rsidP="00361AC0">
      <w:pPr>
        <w:pStyle w:val="ListParagraph"/>
        <w:spacing w:after="0" w:line="240" w:lineRule="auto"/>
        <w:ind w:left="0" w:firstLine="720"/>
      </w:pPr>
    </w:p>
    <w:p w:rsidR="00272338" w:rsidRPr="00776525" w:rsidRDefault="00173C0B" w:rsidP="000130C3">
      <w:pPr>
        <w:pStyle w:val="Header"/>
        <w:rPr>
          <w:b/>
          <w:szCs w:val="24"/>
        </w:rPr>
      </w:pPr>
      <w:r w:rsidRPr="00776525">
        <w:rPr>
          <w:b/>
          <w:szCs w:val="24"/>
        </w:rPr>
        <w:t>Legal Status</w:t>
      </w:r>
    </w:p>
    <w:p w:rsidR="00522FB8" w:rsidRPr="00776525" w:rsidRDefault="00522FB8" w:rsidP="00263EED">
      <w:pPr>
        <w:pStyle w:val="Header"/>
        <w:tabs>
          <w:tab w:val="clear" w:pos="4320"/>
          <w:tab w:val="clear" w:pos="8640"/>
        </w:tabs>
        <w:rPr>
          <w:szCs w:val="24"/>
        </w:rPr>
      </w:pPr>
    </w:p>
    <w:p w:rsidR="00F14E09" w:rsidRPr="00776525" w:rsidRDefault="00F14E09" w:rsidP="00947711">
      <w:pPr>
        <w:autoSpaceDE w:val="0"/>
        <w:autoSpaceDN w:val="0"/>
        <w:adjustRightInd w:val="0"/>
        <w:spacing w:after="0" w:line="240" w:lineRule="auto"/>
        <w:ind w:firstLine="720"/>
        <w:rPr>
          <w:rFonts w:ascii="Times New Roman" w:hAnsi="Times New Roman"/>
          <w:sz w:val="24"/>
          <w:szCs w:val="24"/>
        </w:rPr>
      </w:pPr>
      <w:r w:rsidRPr="00776525">
        <w:rPr>
          <w:rFonts w:ascii="Times New Roman" w:hAnsi="Times New Roman"/>
          <w:sz w:val="24"/>
          <w:szCs w:val="24"/>
        </w:rPr>
        <w:t xml:space="preserve">The Federal Reserve Board's Legal Division has determined that the </w:t>
      </w:r>
      <w:r w:rsidR="00CF3BF5">
        <w:rPr>
          <w:rFonts w:ascii="Times New Roman" w:hAnsi="Times New Roman"/>
          <w:sz w:val="24"/>
          <w:szCs w:val="24"/>
        </w:rPr>
        <w:t xml:space="preserve">mandatory </w:t>
      </w:r>
      <w:r w:rsidRPr="00776525">
        <w:rPr>
          <w:rFonts w:ascii="Times New Roman" w:hAnsi="Times New Roman"/>
          <w:sz w:val="24"/>
          <w:szCs w:val="24"/>
        </w:rPr>
        <w:t>FR</w:t>
      </w:r>
      <w:r w:rsidR="00776525">
        <w:rPr>
          <w:rFonts w:ascii="Times New Roman" w:hAnsi="Times New Roman"/>
          <w:sz w:val="24"/>
          <w:szCs w:val="24"/>
        </w:rPr>
        <w:t> </w:t>
      </w:r>
      <w:r w:rsidRPr="00776525">
        <w:rPr>
          <w:rFonts w:ascii="Times New Roman" w:hAnsi="Times New Roman"/>
          <w:sz w:val="24"/>
          <w:szCs w:val="24"/>
        </w:rPr>
        <w:t xml:space="preserve">Y-15 is authorized by </w:t>
      </w:r>
      <w:r w:rsidR="00145B87">
        <w:rPr>
          <w:rFonts w:ascii="Times New Roman" w:hAnsi="Times New Roman"/>
          <w:sz w:val="24"/>
          <w:szCs w:val="24"/>
        </w:rPr>
        <w:t>s</w:t>
      </w:r>
      <w:r w:rsidRPr="00776525">
        <w:rPr>
          <w:rFonts w:ascii="Times New Roman" w:hAnsi="Times New Roman"/>
          <w:sz w:val="24"/>
          <w:szCs w:val="24"/>
        </w:rPr>
        <w:t>ection</w:t>
      </w:r>
      <w:r w:rsidR="00145B87">
        <w:rPr>
          <w:rFonts w:ascii="Times New Roman" w:hAnsi="Times New Roman"/>
          <w:sz w:val="24"/>
          <w:szCs w:val="24"/>
        </w:rPr>
        <w:t xml:space="preserve"> 5 of the Bank Holding Company Act (</w:t>
      </w:r>
      <w:r w:rsidR="00145B87" w:rsidRPr="00776525">
        <w:rPr>
          <w:rFonts w:ascii="Times New Roman" w:hAnsi="Times New Roman"/>
          <w:sz w:val="24"/>
          <w:szCs w:val="24"/>
        </w:rPr>
        <w:t>12 U.S.C. §</w:t>
      </w:r>
      <w:r w:rsidR="00145B87">
        <w:rPr>
          <w:rFonts w:ascii="Times New Roman" w:hAnsi="Times New Roman"/>
          <w:sz w:val="24"/>
          <w:szCs w:val="24"/>
        </w:rPr>
        <w:t xml:space="preserve">1844(c)). </w:t>
      </w:r>
      <w:r w:rsidR="007959B3">
        <w:rPr>
          <w:rFonts w:ascii="Times New Roman" w:hAnsi="Times New Roman"/>
          <w:sz w:val="24"/>
          <w:szCs w:val="24"/>
        </w:rPr>
        <w:t xml:space="preserve"> </w:t>
      </w:r>
    </w:p>
    <w:p w:rsidR="00F14E09" w:rsidRPr="00776525" w:rsidRDefault="00F14E09" w:rsidP="00947711">
      <w:pPr>
        <w:autoSpaceDE w:val="0"/>
        <w:autoSpaceDN w:val="0"/>
        <w:adjustRightInd w:val="0"/>
        <w:spacing w:after="0" w:line="240" w:lineRule="auto"/>
        <w:rPr>
          <w:rFonts w:ascii="Times New Roman" w:hAnsi="Times New Roman"/>
          <w:sz w:val="24"/>
          <w:szCs w:val="24"/>
        </w:rPr>
      </w:pPr>
    </w:p>
    <w:p w:rsidR="00CF3BF5" w:rsidRDefault="00F14E09" w:rsidP="00CF3BF5">
      <w:pPr>
        <w:pStyle w:val="ListParagraph"/>
        <w:spacing w:after="0" w:line="240" w:lineRule="auto"/>
        <w:ind w:left="0" w:firstLine="720"/>
        <w:rPr>
          <w:rFonts w:ascii="Times New Roman" w:hAnsi="Times New Roman"/>
          <w:sz w:val="24"/>
          <w:szCs w:val="24"/>
        </w:rPr>
      </w:pPr>
      <w:r w:rsidRPr="00776525">
        <w:rPr>
          <w:rFonts w:ascii="Times New Roman" w:hAnsi="Times New Roman"/>
          <w:sz w:val="24"/>
          <w:szCs w:val="24"/>
        </w:rPr>
        <w:t>The Federal Reserve Board’s Legal Division has also determined that the data collected in the FR</w:t>
      </w:r>
      <w:r w:rsidR="00776525">
        <w:rPr>
          <w:rFonts w:ascii="Times New Roman" w:hAnsi="Times New Roman"/>
          <w:sz w:val="24"/>
          <w:szCs w:val="24"/>
        </w:rPr>
        <w:t> </w:t>
      </w:r>
      <w:r w:rsidRPr="00776525">
        <w:rPr>
          <w:rFonts w:ascii="Times New Roman" w:hAnsi="Times New Roman"/>
          <w:sz w:val="24"/>
          <w:szCs w:val="24"/>
        </w:rPr>
        <w:t>Y-15 are not considered confidential</w:t>
      </w:r>
      <w:r w:rsidR="0002103F" w:rsidRPr="00596F86">
        <w:rPr>
          <w:rFonts w:ascii="Times New Roman" w:hAnsi="Times New Roman"/>
          <w:sz w:val="24"/>
          <w:szCs w:val="24"/>
        </w:rPr>
        <w:t xml:space="preserve">.  However, if a reporting institution believes that disclosure of the FR Y-15 data will result in competitive harm, the respondent may request confidential treatment on a cases-by-case basis under </w:t>
      </w:r>
      <w:r w:rsidR="00CF3BF5">
        <w:rPr>
          <w:rFonts w:ascii="Times New Roman" w:hAnsi="Times New Roman"/>
          <w:sz w:val="24"/>
          <w:szCs w:val="24"/>
        </w:rPr>
        <w:t>the Freedom of Information Act (</w:t>
      </w:r>
      <w:r w:rsidR="0002103F" w:rsidRPr="00596F86">
        <w:rPr>
          <w:rFonts w:ascii="Times New Roman" w:hAnsi="Times New Roman"/>
          <w:sz w:val="24"/>
          <w:szCs w:val="24"/>
        </w:rPr>
        <w:t>FOIA</w:t>
      </w:r>
      <w:r w:rsidR="00CF3BF5">
        <w:rPr>
          <w:rFonts w:ascii="Times New Roman" w:hAnsi="Times New Roman"/>
          <w:sz w:val="24"/>
          <w:szCs w:val="24"/>
        </w:rPr>
        <w:t>) (5</w:t>
      </w:r>
      <w:r w:rsidR="00CF3BF5" w:rsidRPr="00776525">
        <w:rPr>
          <w:rFonts w:ascii="Times New Roman" w:hAnsi="Times New Roman"/>
          <w:sz w:val="24"/>
          <w:szCs w:val="24"/>
        </w:rPr>
        <w:t xml:space="preserve"> U.S.C. §</w:t>
      </w:r>
      <w:r w:rsidR="00CF3BF5">
        <w:rPr>
          <w:rFonts w:ascii="Times New Roman" w:hAnsi="Times New Roman"/>
          <w:sz w:val="24"/>
          <w:szCs w:val="24"/>
        </w:rPr>
        <w:t>522(b)(4) and (b)(6))</w:t>
      </w:r>
      <w:r w:rsidR="0002103F" w:rsidRPr="00596F86">
        <w:rPr>
          <w:rFonts w:ascii="Times New Roman" w:hAnsi="Times New Roman"/>
          <w:sz w:val="24"/>
          <w:szCs w:val="24"/>
        </w:rPr>
        <w:t>.</w:t>
      </w:r>
    </w:p>
    <w:p w:rsidR="00CF3BF5" w:rsidRDefault="00CF3BF5" w:rsidP="00361AC0">
      <w:pPr>
        <w:pStyle w:val="ListParagraph"/>
        <w:spacing w:after="0" w:line="240" w:lineRule="auto"/>
        <w:ind w:left="0" w:firstLine="720"/>
        <w:rPr>
          <w:rFonts w:ascii="Times New Roman" w:hAnsi="Times New Roman"/>
          <w:sz w:val="24"/>
          <w:szCs w:val="24"/>
        </w:rPr>
      </w:pPr>
    </w:p>
    <w:p w:rsidR="0002103F" w:rsidRDefault="0002103F" w:rsidP="00361AC0">
      <w:pPr>
        <w:pStyle w:val="ListParagraph"/>
        <w:spacing w:after="0" w:line="240" w:lineRule="auto"/>
        <w:ind w:left="0" w:firstLine="720"/>
        <w:rPr>
          <w:rFonts w:ascii="Times New Roman" w:hAnsi="Times New Roman"/>
          <w:sz w:val="24"/>
          <w:szCs w:val="24"/>
        </w:rPr>
      </w:pPr>
      <w:r>
        <w:rPr>
          <w:rFonts w:ascii="Times New Roman" w:hAnsi="Times New Roman"/>
          <w:sz w:val="24"/>
          <w:szCs w:val="24"/>
        </w:rPr>
        <w:t>C</w:t>
      </w:r>
      <w:r w:rsidRPr="00596F86">
        <w:rPr>
          <w:rFonts w:ascii="Times New Roman" w:hAnsi="Times New Roman"/>
          <w:sz w:val="24"/>
          <w:szCs w:val="24"/>
        </w:rPr>
        <w:t>ertain items on the FR Y-15 will be automatically retrieved from the FR Y-9C.  Therefore, institutions that have been granted confidential treatment of any FR Y-9C data will need to request that this confidentiality also apply to the same data inclu</w:t>
      </w:r>
      <w:r>
        <w:rPr>
          <w:rFonts w:ascii="Times New Roman" w:hAnsi="Times New Roman"/>
          <w:sz w:val="24"/>
          <w:szCs w:val="24"/>
        </w:rPr>
        <w:t xml:space="preserve">ded in the FR Y-15.  In addition, </w:t>
      </w:r>
      <w:r w:rsidRPr="00596F86">
        <w:rPr>
          <w:rFonts w:ascii="Times New Roman" w:hAnsi="Times New Roman"/>
          <w:sz w:val="24"/>
          <w:szCs w:val="24"/>
        </w:rPr>
        <w:t>total foreign claims information will be automatically calculated using data from the FFIEC 009, which is a confidential report.  The Federal Reserve will publish this data item since it represents a highly aggregated figure that, if nonzero, does not reveal any of the actual underlying values included in the FFIEC 009 report.</w:t>
      </w:r>
    </w:p>
    <w:p w:rsidR="00F17974" w:rsidRPr="00776525" w:rsidRDefault="00F17974" w:rsidP="00361AC0">
      <w:pPr>
        <w:pStyle w:val="ListParagraph"/>
        <w:spacing w:after="0" w:line="240" w:lineRule="auto"/>
        <w:ind w:left="0" w:firstLine="720"/>
      </w:pPr>
    </w:p>
    <w:p w:rsidR="00272338" w:rsidRPr="00776525" w:rsidRDefault="00173C0B" w:rsidP="000130C3">
      <w:pPr>
        <w:pStyle w:val="Header"/>
        <w:rPr>
          <w:b/>
          <w:szCs w:val="24"/>
        </w:rPr>
      </w:pPr>
      <w:r w:rsidRPr="00776525">
        <w:rPr>
          <w:b/>
          <w:szCs w:val="24"/>
        </w:rPr>
        <w:lastRenderedPageBreak/>
        <w:t>Consultation Outside of Agency</w:t>
      </w:r>
      <w:r w:rsidR="00637FC8">
        <w:rPr>
          <w:b/>
          <w:szCs w:val="24"/>
        </w:rPr>
        <w:t xml:space="preserve"> </w:t>
      </w:r>
      <w:r w:rsidR="00637FC8" w:rsidRPr="00E13F4C">
        <w:rPr>
          <w:b/>
          <w:bCs/>
        </w:rPr>
        <w:t>and Discussion of Public Comments</w:t>
      </w:r>
    </w:p>
    <w:p w:rsidR="00522FB8" w:rsidRPr="00776525" w:rsidRDefault="00522FB8" w:rsidP="00263EED">
      <w:pPr>
        <w:pStyle w:val="Header"/>
        <w:tabs>
          <w:tab w:val="clear" w:pos="4320"/>
          <w:tab w:val="clear" w:pos="8640"/>
        </w:tabs>
        <w:rPr>
          <w:szCs w:val="24"/>
        </w:rPr>
      </w:pPr>
    </w:p>
    <w:p w:rsidR="00D61CBD" w:rsidRPr="00776525" w:rsidRDefault="009729ED" w:rsidP="00947711">
      <w:pPr>
        <w:pStyle w:val="Header"/>
        <w:tabs>
          <w:tab w:val="clear" w:pos="4320"/>
          <w:tab w:val="clear" w:pos="8640"/>
        </w:tabs>
        <w:ind w:firstLine="720"/>
        <w:jc w:val="both"/>
      </w:pPr>
      <w:r w:rsidRPr="00776525">
        <w:rPr>
          <w:szCs w:val="24"/>
        </w:rPr>
        <w:t>The FR</w:t>
      </w:r>
      <w:r w:rsidR="00776525">
        <w:rPr>
          <w:szCs w:val="24"/>
        </w:rPr>
        <w:t> </w:t>
      </w:r>
      <w:r w:rsidRPr="00776525">
        <w:rPr>
          <w:szCs w:val="24"/>
        </w:rPr>
        <w:t xml:space="preserve">Y-15 is </w:t>
      </w:r>
      <w:r w:rsidRPr="00776525">
        <w:t xml:space="preserve">derived directly from a data collection developed by the </w:t>
      </w:r>
      <w:r w:rsidR="00F40B71">
        <w:t>BCBS</w:t>
      </w:r>
      <w:r w:rsidRPr="00776525">
        <w:t xml:space="preserve"> to assess the global systemic importance of banks</w:t>
      </w:r>
      <w:r w:rsidR="00D61CBD" w:rsidRPr="00776525">
        <w:t xml:space="preserve">. </w:t>
      </w:r>
      <w:r w:rsidR="00C555E8">
        <w:t xml:space="preserve"> </w:t>
      </w:r>
      <w:r w:rsidR="00D61CBD" w:rsidRPr="00776525">
        <w:t xml:space="preserve">This data collection was created in consultation with representatives from numerous national supervisory authorities, including the </w:t>
      </w:r>
      <w:r w:rsidR="00FF5BE0" w:rsidRPr="00776525">
        <w:t>Federal Reserve</w:t>
      </w:r>
      <w:r w:rsidR="00776525">
        <w:t>.</w:t>
      </w:r>
    </w:p>
    <w:p w:rsidR="00FF5BE0" w:rsidRPr="00776525" w:rsidRDefault="00FF5BE0" w:rsidP="00947711">
      <w:pPr>
        <w:pStyle w:val="Header"/>
        <w:tabs>
          <w:tab w:val="clear" w:pos="4320"/>
          <w:tab w:val="clear" w:pos="8640"/>
        </w:tabs>
        <w:jc w:val="both"/>
        <w:rPr>
          <w:szCs w:val="24"/>
        </w:rPr>
      </w:pPr>
    </w:p>
    <w:p w:rsidR="006E0E8F" w:rsidRDefault="0029680B" w:rsidP="00361AC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FF5BE0" w:rsidRPr="004D036E">
        <w:rPr>
          <w:rFonts w:ascii="Times New Roman" w:hAnsi="Times New Roman"/>
          <w:sz w:val="24"/>
          <w:szCs w:val="24"/>
        </w:rPr>
        <w:t xml:space="preserve">On </w:t>
      </w:r>
      <w:r w:rsidR="005318D0" w:rsidRPr="004D036E">
        <w:rPr>
          <w:rFonts w:ascii="Times New Roman" w:hAnsi="Times New Roman"/>
          <w:sz w:val="24"/>
          <w:szCs w:val="24"/>
        </w:rPr>
        <w:t xml:space="preserve">August 20, </w:t>
      </w:r>
      <w:r w:rsidR="00FF5BE0" w:rsidRPr="004D036E">
        <w:rPr>
          <w:rFonts w:ascii="Times New Roman" w:hAnsi="Times New Roman"/>
          <w:sz w:val="24"/>
          <w:szCs w:val="24"/>
        </w:rPr>
        <w:t xml:space="preserve">2012, the Federal Reserve published a notice in the </w:t>
      </w:r>
      <w:r w:rsidR="00FF5BE0" w:rsidRPr="004D036E">
        <w:rPr>
          <w:rFonts w:ascii="Times New Roman" w:hAnsi="Times New Roman"/>
          <w:i/>
          <w:sz w:val="24"/>
          <w:szCs w:val="24"/>
        </w:rPr>
        <w:t>Federal Register</w:t>
      </w:r>
      <w:r w:rsidR="00FF5BE0" w:rsidRPr="004D036E">
        <w:rPr>
          <w:rFonts w:ascii="Times New Roman" w:hAnsi="Times New Roman"/>
          <w:sz w:val="24"/>
          <w:szCs w:val="24"/>
        </w:rPr>
        <w:t xml:space="preserve"> (</w:t>
      </w:r>
      <w:r w:rsidR="00041CF8" w:rsidRPr="004D036E">
        <w:rPr>
          <w:rFonts w:ascii="Times New Roman" w:hAnsi="Times New Roman"/>
          <w:sz w:val="24"/>
          <w:szCs w:val="24"/>
        </w:rPr>
        <w:t>77</w:t>
      </w:r>
      <w:r w:rsidR="00C555E8" w:rsidRPr="004D036E">
        <w:rPr>
          <w:rFonts w:ascii="Times New Roman" w:hAnsi="Times New Roman"/>
          <w:sz w:val="24"/>
          <w:szCs w:val="24"/>
        </w:rPr>
        <w:t> </w:t>
      </w:r>
      <w:r w:rsidR="00FF5BE0" w:rsidRPr="004D036E">
        <w:rPr>
          <w:rFonts w:ascii="Times New Roman" w:hAnsi="Times New Roman"/>
          <w:sz w:val="24"/>
          <w:szCs w:val="24"/>
        </w:rPr>
        <w:t>FR </w:t>
      </w:r>
      <w:r w:rsidR="00041CF8" w:rsidRPr="004D036E">
        <w:rPr>
          <w:rFonts w:ascii="Times New Roman" w:hAnsi="Times New Roman"/>
          <w:sz w:val="24"/>
          <w:szCs w:val="24"/>
        </w:rPr>
        <w:t>50102</w:t>
      </w:r>
      <w:r w:rsidR="00FF5BE0" w:rsidRPr="004D036E">
        <w:rPr>
          <w:rFonts w:ascii="Times New Roman" w:hAnsi="Times New Roman"/>
          <w:sz w:val="24"/>
          <w:szCs w:val="24"/>
        </w:rPr>
        <w:t>) requesting public comment for 60 days on the implementation of the FR</w:t>
      </w:r>
      <w:r w:rsidR="00776525" w:rsidRPr="004D036E">
        <w:rPr>
          <w:rFonts w:ascii="Times New Roman" w:hAnsi="Times New Roman"/>
          <w:sz w:val="24"/>
          <w:szCs w:val="24"/>
        </w:rPr>
        <w:t> </w:t>
      </w:r>
      <w:r w:rsidR="00FF5BE0" w:rsidRPr="004D036E">
        <w:rPr>
          <w:rFonts w:ascii="Times New Roman" w:hAnsi="Times New Roman"/>
          <w:sz w:val="24"/>
          <w:szCs w:val="24"/>
        </w:rPr>
        <w:t>Y-15.  The comment period for this notice expire</w:t>
      </w:r>
      <w:r w:rsidR="007959B3" w:rsidRPr="004D036E">
        <w:rPr>
          <w:rFonts w:ascii="Times New Roman" w:hAnsi="Times New Roman"/>
          <w:sz w:val="24"/>
          <w:szCs w:val="24"/>
        </w:rPr>
        <w:t>d</w:t>
      </w:r>
      <w:r w:rsidR="00FF5BE0" w:rsidRPr="004D036E">
        <w:rPr>
          <w:rFonts w:ascii="Times New Roman" w:hAnsi="Times New Roman"/>
          <w:sz w:val="24"/>
          <w:szCs w:val="24"/>
        </w:rPr>
        <w:t xml:space="preserve"> on </w:t>
      </w:r>
      <w:r w:rsidR="00041CF8" w:rsidRPr="004D036E">
        <w:rPr>
          <w:rFonts w:ascii="Times New Roman" w:hAnsi="Times New Roman"/>
          <w:sz w:val="24"/>
          <w:szCs w:val="24"/>
        </w:rPr>
        <w:t xml:space="preserve">October 19, </w:t>
      </w:r>
      <w:r w:rsidR="00C555E8" w:rsidRPr="004D036E">
        <w:rPr>
          <w:rFonts w:ascii="Times New Roman" w:hAnsi="Times New Roman"/>
          <w:sz w:val="24"/>
          <w:szCs w:val="24"/>
        </w:rPr>
        <w:t>2012.</w:t>
      </w:r>
      <w:r w:rsidR="00FE77A1" w:rsidRPr="004D036E">
        <w:rPr>
          <w:rFonts w:ascii="Times New Roman" w:hAnsi="Times New Roman"/>
          <w:sz w:val="24"/>
          <w:szCs w:val="24"/>
        </w:rPr>
        <w:t xml:space="preserve">  </w:t>
      </w:r>
      <w:r w:rsidR="00E01405">
        <w:rPr>
          <w:rFonts w:ascii="Times New Roman" w:hAnsi="Times New Roman"/>
          <w:sz w:val="24"/>
          <w:szCs w:val="24"/>
        </w:rPr>
        <w:t xml:space="preserve">The Federal Reserve received four comment letters on the proposed implementation: three from trade organizations and one from a savings and loan holding company. Federal Reserve staff also met with industry representatives regarding the proposed report. </w:t>
      </w:r>
      <w:r w:rsidR="00FE77A1" w:rsidRPr="004D036E">
        <w:rPr>
          <w:rFonts w:ascii="Times New Roman" w:hAnsi="Times New Roman"/>
          <w:sz w:val="24"/>
          <w:szCs w:val="24"/>
        </w:rPr>
        <w:t>On</w:t>
      </w:r>
      <w:r w:rsidR="00637FC8">
        <w:rPr>
          <w:rFonts w:ascii="Times New Roman" w:hAnsi="Times New Roman"/>
          <w:sz w:val="24"/>
          <w:szCs w:val="24"/>
        </w:rPr>
        <w:t xml:space="preserve"> December 28, 2012</w:t>
      </w:r>
      <w:r w:rsidR="00FE77A1" w:rsidRPr="004D036E">
        <w:rPr>
          <w:rFonts w:ascii="Times New Roman" w:hAnsi="Times New Roman"/>
          <w:sz w:val="24"/>
          <w:szCs w:val="24"/>
        </w:rPr>
        <w:t xml:space="preserve">, the Federal Reserve published a final notice in the </w:t>
      </w:r>
      <w:r w:rsidR="00FE77A1" w:rsidRPr="004D036E">
        <w:rPr>
          <w:rFonts w:ascii="Times New Roman" w:hAnsi="Times New Roman"/>
          <w:i/>
          <w:sz w:val="24"/>
          <w:szCs w:val="24"/>
        </w:rPr>
        <w:t>Federal Register</w:t>
      </w:r>
      <w:r w:rsidR="00FE77A1" w:rsidRPr="004D036E">
        <w:rPr>
          <w:rFonts w:ascii="Times New Roman" w:hAnsi="Times New Roman"/>
          <w:sz w:val="24"/>
          <w:szCs w:val="24"/>
        </w:rPr>
        <w:t xml:space="preserve"> (</w:t>
      </w:r>
      <w:r>
        <w:rPr>
          <w:rFonts w:ascii="Times New Roman" w:hAnsi="Times New Roman"/>
          <w:sz w:val="24"/>
          <w:szCs w:val="24"/>
        </w:rPr>
        <w:t>77</w:t>
      </w:r>
      <w:r w:rsidR="00FE77A1" w:rsidRPr="004D036E">
        <w:rPr>
          <w:rFonts w:ascii="Times New Roman" w:hAnsi="Times New Roman"/>
          <w:sz w:val="24"/>
          <w:szCs w:val="24"/>
        </w:rPr>
        <w:t> FR </w:t>
      </w:r>
      <w:r>
        <w:rPr>
          <w:rFonts w:ascii="Times New Roman" w:hAnsi="Times New Roman"/>
          <w:sz w:val="24"/>
          <w:szCs w:val="24"/>
        </w:rPr>
        <w:t>76484</w:t>
      </w:r>
      <w:r w:rsidR="00FE77A1" w:rsidRPr="004D036E">
        <w:rPr>
          <w:rFonts w:ascii="Times New Roman" w:hAnsi="Times New Roman"/>
          <w:sz w:val="24"/>
          <w:szCs w:val="24"/>
        </w:rPr>
        <w:t>) on the</w:t>
      </w:r>
      <w:r w:rsidR="00FE77A1" w:rsidRPr="004D036E">
        <w:rPr>
          <w:rFonts w:ascii="Times New Roman" w:hAnsi="Times New Roman"/>
          <w:b/>
          <w:bCs/>
          <w:sz w:val="24"/>
          <w:szCs w:val="24"/>
        </w:rPr>
        <w:t xml:space="preserve"> </w:t>
      </w:r>
      <w:r w:rsidR="00FE77A1" w:rsidRPr="004D036E">
        <w:rPr>
          <w:rFonts w:ascii="Times New Roman" w:hAnsi="Times New Roman"/>
          <w:bCs/>
          <w:sz w:val="24"/>
          <w:szCs w:val="24"/>
        </w:rPr>
        <w:t>FR Y-15</w:t>
      </w:r>
      <w:r w:rsidR="00FE77A1" w:rsidRPr="004D036E">
        <w:rPr>
          <w:rFonts w:ascii="Times New Roman" w:hAnsi="Times New Roman"/>
          <w:sz w:val="24"/>
          <w:szCs w:val="24"/>
        </w:rPr>
        <w:t>.</w:t>
      </w:r>
    </w:p>
    <w:p w:rsidR="00F17974" w:rsidRDefault="00F17974" w:rsidP="00361AC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sz w:val="24"/>
          <w:szCs w:val="24"/>
        </w:rPr>
      </w:pPr>
    </w:p>
    <w:p w:rsidR="00E01405" w:rsidRDefault="00E01405" w:rsidP="00361AC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hAnsi="Times New Roman"/>
          <w:b/>
          <w:i/>
          <w:sz w:val="24"/>
          <w:szCs w:val="24"/>
        </w:rPr>
      </w:pPr>
      <w:r w:rsidRPr="00361AC0">
        <w:rPr>
          <w:rFonts w:ascii="Times New Roman" w:hAnsi="Times New Roman"/>
          <w:b/>
          <w:i/>
          <w:sz w:val="24"/>
          <w:szCs w:val="24"/>
        </w:rPr>
        <w:t>Public Comments</w:t>
      </w:r>
    </w:p>
    <w:p w:rsidR="00F17974" w:rsidRPr="00361AC0" w:rsidRDefault="00F17974" w:rsidP="00361AC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hAnsi="Times New Roman"/>
          <w:b/>
          <w:i/>
          <w:sz w:val="24"/>
          <w:szCs w:val="24"/>
        </w:rPr>
      </w:pPr>
    </w:p>
    <w:p w:rsidR="008C69F4" w:rsidRDefault="00E01405" w:rsidP="00361AC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The Federal Reserve received four comment letters on the proposed implementation of the FR Y-15. The majority of the comments centered on the proposed reporting requirements for </w:t>
      </w:r>
      <w:r w:rsidR="0028004F">
        <w:rPr>
          <w:rFonts w:ascii="Times New Roman" w:hAnsi="Times New Roman"/>
          <w:sz w:val="24"/>
          <w:szCs w:val="24"/>
        </w:rPr>
        <w:t>savings and loan holding companies (</w:t>
      </w:r>
      <w:r>
        <w:rPr>
          <w:rFonts w:ascii="Times New Roman" w:hAnsi="Times New Roman"/>
          <w:sz w:val="24"/>
          <w:szCs w:val="24"/>
        </w:rPr>
        <w:t>SLHCs</w:t>
      </w:r>
      <w:r w:rsidR="0028004F">
        <w:rPr>
          <w:rFonts w:ascii="Times New Roman" w:hAnsi="Times New Roman"/>
          <w:sz w:val="24"/>
          <w:szCs w:val="24"/>
        </w:rPr>
        <w:t>)</w:t>
      </w:r>
      <w:r>
        <w:rPr>
          <w:rFonts w:ascii="Times New Roman" w:hAnsi="Times New Roman"/>
          <w:sz w:val="24"/>
          <w:szCs w:val="24"/>
        </w:rPr>
        <w:t xml:space="preserve"> and FBOs, especially regarding differences in accounting.  Other comments mentioned difficulties in calculating certain proposed data items.  Commenters requested delayed implementation for the requirements, elimination or modification of the attestation requirement, and confidential </w:t>
      </w:r>
      <w:r w:rsidR="00F17974">
        <w:rPr>
          <w:rFonts w:ascii="Times New Roman" w:hAnsi="Times New Roman"/>
          <w:sz w:val="24"/>
          <w:szCs w:val="24"/>
        </w:rPr>
        <w:t>treatment of the FR Y-15 data.</w:t>
      </w:r>
    </w:p>
    <w:p w:rsidR="00F17974" w:rsidRDefault="00F17974" w:rsidP="00361AC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sz w:val="24"/>
          <w:szCs w:val="24"/>
        </w:rPr>
      </w:pPr>
    </w:p>
    <w:p w:rsidR="008C69F4" w:rsidRDefault="008C69F4" w:rsidP="00361AC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After considering the comments received on the proposed implementation of the FR Y-15, the Federal Reserve will implement the report with certain modifications in response to the comments.  For a detailed discussion of the changes, the comments received, and the Federal Reserve’s response, please refer to the “Detailed Discussion of Public Comments and Federal Reserve Responses” section of the final </w:t>
      </w:r>
      <w:r w:rsidRPr="00361AC0">
        <w:rPr>
          <w:rFonts w:ascii="Times New Roman" w:hAnsi="Times New Roman"/>
          <w:i/>
          <w:sz w:val="24"/>
          <w:szCs w:val="24"/>
        </w:rPr>
        <w:t>Federal Register</w:t>
      </w:r>
      <w:r>
        <w:rPr>
          <w:rFonts w:ascii="Times New Roman" w:hAnsi="Times New Roman"/>
          <w:sz w:val="24"/>
          <w:szCs w:val="24"/>
        </w:rPr>
        <w:t xml:space="preserve"> notice for the FR Y-15 (77 FR 76484).</w:t>
      </w:r>
    </w:p>
    <w:p w:rsidR="00F17974" w:rsidRDefault="00F17974" w:rsidP="00361AC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sz w:val="24"/>
          <w:szCs w:val="24"/>
        </w:rPr>
      </w:pPr>
    </w:p>
    <w:p w:rsidR="00272338" w:rsidRPr="00776525" w:rsidRDefault="00173C0B" w:rsidP="000130C3">
      <w:pPr>
        <w:pStyle w:val="Header"/>
        <w:jc w:val="both"/>
        <w:rPr>
          <w:b/>
          <w:szCs w:val="24"/>
        </w:rPr>
      </w:pPr>
      <w:r w:rsidRPr="00776525">
        <w:rPr>
          <w:b/>
          <w:szCs w:val="24"/>
        </w:rPr>
        <w:t>Sensitive Questions</w:t>
      </w:r>
    </w:p>
    <w:p w:rsidR="00522FB8" w:rsidRPr="00776525" w:rsidRDefault="00522FB8" w:rsidP="00263EED">
      <w:pPr>
        <w:pStyle w:val="Header"/>
        <w:tabs>
          <w:tab w:val="clear" w:pos="4320"/>
          <w:tab w:val="clear" w:pos="8640"/>
        </w:tabs>
        <w:jc w:val="both"/>
        <w:rPr>
          <w:szCs w:val="24"/>
        </w:rPr>
      </w:pPr>
    </w:p>
    <w:p w:rsidR="00522FB8" w:rsidRPr="00776525" w:rsidRDefault="00173C0B" w:rsidP="00947711">
      <w:pPr>
        <w:pStyle w:val="Header"/>
        <w:tabs>
          <w:tab w:val="clear" w:pos="4320"/>
          <w:tab w:val="clear" w:pos="8640"/>
        </w:tabs>
        <w:ind w:firstLine="720"/>
        <w:jc w:val="both"/>
        <w:rPr>
          <w:szCs w:val="24"/>
        </w:rPr>
      </w:pPr>
      <w:r w:rsidRPr="00776525">
        <w:rPr>
          <w:szCs w:val="24"/>
        </w:rPr>
        <w:t>This collection of information contains no questions of a sensitive nature, as defined by OMB guidelines.</w:t>
      </w:r>
    </w:p>
    <w:p w:rsidR="00084E13" w:rsidRPr="00776525" w:rsidRDefault="00084E13" w:rsidP="00947711">
      <w:pPr>
        <w:spacing w:after="0" w:line="240" w:lineRule="auto"/>
        <w:rPr>
          <w:rFonts w:ascii="Times New Roman" w:eastAsia="Times New Roman" w:hAnsi="Times New Roman"/>
          <w:b/>
          <w:sz w:val="24"/>
          <w:szCs w:val="24"/>
        </w:rPr>
      </w:pPr>
    </w:p>
    <w:p w:rsidR="00272338" w:rsidRPr="00776525" w:rsidRDefault="00173C0B" w:rsidP="00BF5A37">
      <w:pPr>
        <w:pStyle w:val="Header"/>
        <w:jc w:val="both"/>
        <w:rPr>
          <w:b/>
          <w:szCs w:val="24"/>
        </w:rPr>
      </w:pPr>
      <w:r w:rsidRPr="00776525">
        <w:rPr>
          <w:b/>
          <w:szCs w:val="24"/>
        </w:rPr>
        <w:t>Estimate of Respondent Burden</w:t>
      </w:r>
    </w:p>
    <w:p w:rsidR="00522FB8" w:rsidRPr="00776525" w:rsidRDefault="00522FB8" w:rsidP="00BF5A37">
      <w:pPr>
        <w:pStyle w:val="Header"/>
        <w:tabs>
          <w:tab w:val="clear" w:pos="4320"/>
          <w:tab w:val="clear" w:pos="8640"/>
        </w:tabs>
        <w:jc w:val="both"/>
        <w:rPr>
          <w:szCs w:val="24"/>
        </w:rPr>
      </w:pPr>
    </w:p>
    <w:p w:rsidR="00C8734A" w:rsidRDefault="00C8734A" w:rsidP="0052367A">
      <w:pPr>
        <w:spacing w:after="0" w:line="240" w:lineRule="auto"/>
        <w:ind w:firstLine="720"/>
        <w:rPr>
          <w:rFonts w:ascii="Times New Roman" w:hAnsi="Times New Roman"/>
          <w:sz w:val="24"/>
          <w:szCs w:val="24"/>
        </w:rPr>
      </w:pPr>
      <w:r w:rsidRPr="00776525">
        <w:rPr>
          <w:rFonts w:ascii="Times New Roman" w:hAnsi="Times New Roman"/>
          <w:sz w:val="24"/>
          <w:szCs w:val="24"/>
        </w:rPr>
        <w:t>The</w:t>
      </w:r>
      <w:r>
        <w:rPr>
          <w:rFonts w:ascii="Times New Roman" w:hAnsi="Times New Roman"/>
          <w:sz w:val="24"/>
          <w:szCs w:val="24"/>
        </w:rPr>
        <w:t xml:space="preserve"> total</w:t>
      </w:r>
      <w:r w:rsidRPr="00776525">
        <w:rPr>
          <w:rFonts w:ascii="Times New Roman" w:hAnsi="Times New Roman"/>
          <w:sz w:val="24"/>
          <w:szCs w:val="24"/>
        </w:rPr>
        <w:t xml:space="preserve"> annual burden for the report is estimated to be </w:t>
      </w:r>
      <w:r>
        <w:rPr>
          <w:rFonts w:ascii="Times New Roman" w:hAnsi="Times New Roman"/>
          <w:sz w:val="24"/>
          <w:szCs w:val="24"/>
        </w:rPr>
        <w:t xml:space="preserve">55,400 hours, </w:t>
      </w:r>
      <w:r w:rsidRPr="00776525">
        <w:rPr>
          <w:rFonts w:ascii="Times New Roman" w:hAnsi="Times New Roman"/>
          <w:sz w:val="24"/>
          <w:szCs w:val="24"/>
        </w:rPr>
        <w:t>a</w:t>
      </w:r>
      <w:r>
        <w:rPr>
          <w:rFonts w:ascii="Times New Roman" w:hAnsi="Times New Roman"/>
          <w:sz w:val="24"/>
          <w:szCs w:val="24"/>
        </w:rPr>
        <w:t xml:space="preserve">s shown in the </w:t>
      </w:r>
      <w:r w:rsidRPr="00C75C9C">
        <w:rPr>
          <w:rFonts w:ascii="Times New Roman" w:hAnsi="Times New Roman"/>
          <w:sz w:val="24"/>
          <w:szCs w:val="24"/>
        </w:rPr>
        <w:t>following table.  For the December 31, 2012</w:t>
      </w:r>
      <w:r w:rsidR="00C75C9C">
        <w:rPr>
          <w:rFonts w:ascii="Times New Roman" w:hAnsi="Times New Roman"/>
          <w:sz w:val="24"/>
          <w:szCs w:val="24"/>
        </w:rPr>
        <w:t>,</w:t>
      </w:r>
      <w:r w:rsidRPr="00C75C9C">
        <w:rPr>
          <w:rFonts w:ascii="Times New Roman" w:hAnsi="Times New Roman"/>
          <w:sz w:val="24"/>
          <w:szCs w:val="24"/>
        </w:rPr>
        <w:t xml:space="preserve"> as-of-date, </w:t>
      </w:r>
      <w:r w:rsidR="00B811D4">
        <w:rPr>
          <w:rFonts w:ascii="Times New Roman" w:hAnsi="Times New Roman"/>
          <w:sz w:val="24"/>
          <w:szCs w:val="24"/>
        </w:rPr>
        <w:t xml:space="preserve">only the eight </w:t>
      </w:r>
      <w:r w:rsidRPr="00C75C9C">
        <w:rPr>
          <w:rFonts w:ascii="Times New Roman" w:hAnsi="Times New Roman"/>
          <w:sz w:val="24"/>
          <w:szCs w:val="24"/>
        </w:rPr>
        <w:t xml:space="preserve">U.S. </w:t>
      </w:r>
      <w:r w:rsidR="00AD2CB6">
        <w:rPr>
          <w:rFonts w:ascii="Times New Roman" w:hAnsi="Times New Roman"/>
          <w:sz w:val="24"/>
          <w:szCs w:val="24"/>
        </w:rPr>
        <w:t xml:space="preserve">institutions designated as </w:t>
      </w:r>
      <w:r w:rsidRPr="00C75C9C">
        <w:rPr>
          <w:rFonts w:ascii="Times New Roman" w:hAnsi="Times New Roman"/>
          <w:sz w:val="24"/>
          <w:szCs w:val="24"/>
        </w:rPr>
        <w:t>G-SIBs would be required to file the FR Y-15.  The</w:t>
      </w:r>
      <w:r w:rsidR="00AD2CB6">
        <w:rPr>
          <w:rFonts w:ascii="Times New Roman" w:hAnsi="Times New Roman"/>
          <w:sz w:val="24"/>
          <w:szCs w:val="24"/>
        </w:rPr>
        <w:t>se institutions</w:t>
      </w:r>
      <w:r w:rsidRPr="00C75C9C">
        <w:rPr>
          <w:rFonts w:ascii="Times New Roman" w:hAnsi="Times New Roman"/>
          <w:sz w:val="24"/>
          <w:szCs w:val="24"/>
        </w:rPr>
        <w:t xml:space="preserve"> have completed similar ad hoc data collections in the past and thus already have some familiarity with the data items being reported. However, data auditing and verification systems would still need to be developed. </w:t>
      </w:r>
      <w:r w:rsidR="004D036E" w:rsidRPr="00C75C9C">
        <w:rPr>
          <w:rFonts w:ascii="Times New Roman" w:hAnsi="Times New Roman"/>
          <w:sz w:val="24"/>
          <w:szCs w:val="24"/>
        </w:rPr>
        <w:t xml:space="preserve">The Federal Reserve </w:t>
      </w:r>
      <w:r w:rsidRPr="00C75C9C">
        <w:rPr>
          <w:rFonts w:ascii="Times New Roman" w:hAnsi="Times New Roman"/>
          <w:sz w:val="24"/>
          <w:szCs w:val="24"/>
        </w:rPr>
        <w:t>estimates that there would be a one-time</w:t>
      </w:r>
      <w:r>
        <w:rPr>
          <w:rFonts w:ascii="Times New Roman" w:hAnsi="Times New Roman"/>
          <w:sz w:val="24"/>
          <w:szCs w:val="24"/>
        </w:rPr>
        <w:t xml:space="preserve"> implementation burden of 1,000 hours per</w:t>
      </w:r>
      <w:r w:rsidR="00AD2CB6">
        <w:rPr>
          <w:rFonts w:ascii="Times New Roman" w:hAnsi="Times New Roman"/>
          <w:sz w:val="24"/>
          <w:szCs w:val="24"/>
        </w:rPr>
        <w:t xml:space="preserve"> U.S.</w:t>
      </w:r>
      <w:r>
        <w:rPr>
          <w:rFonts w:ascii="Times New Roman" w:hAnsi="Times New Roman"/>
          <w:sz w:val="24"/>
          <w:szCs w:val="24"/>
        </w:rPr>
        <w:t xml:space="preserve"> G-SIB to comply with the FR Y-15 reporting requirem</w:t>
      </w:r>
      <w:r w:rsidR="004D036E">
        <w:rPr>
          <w:rFonts w:ascii="Times New Roman" w:hAnsi="Times New Roman"/>
          <w:sz w:val="24"/>
          <w:szCs w:val="24"/>
        </w:rPr>
        <w:t xml:space="preserve">ents.  Furthermore, the Federal Reserve </w:t>
      </w:r>
      <w:r>
        <w:rPr>
          <w:rFonts w:ascii="Times New Roman" w:hAnsi="Times New Roman"/>
          <w:sz w:val="24"/>
          <w:szCs w:val="24"/>
        </w:rPr>
        <w:t xml:space="preserve">estimates that each </w:t>
      </w:r>
      <w:r w:rsidR="00AD2CB6">
        <w:rPr>
          <w:rFonts w:ascii="Times New Roman" w:hAnsi="Times New Roman"/>
          <w:sz w:val="24"/>
          <w:szCs w:val="24"/>
        </w:rPr>
        <w:t xml:space="preserve">U.S. </w:t>
      </w:r>
      <w:r>
        <w:rPr>
          <w:rFonts w:ascii="Times New Roman" w:hAnsi="Times New Roman"/>
          <w:sz w:val="24"/>
          <w:szCs w:val="24"/>
        </w:rPr>
        <w:t>G-SIB would take 300 hours annually to complete the FR Y-15 on an ongoing basis.</w:t>
      </w:r>
    </w:p>
    <w:p w:rsidR="00C8734A" w:rsidRDefault="00C8734A" w:rsidP="0052367A">
      <w:pPr>
        <w:spacing w:after="0" w:line="240" w:lineRule="auto"/>
        <w:ind w:firstLine="720"/>
        <w:rPr>
          <w:rFonts w:ascii="Times New Roman" w:hAnsi="Times New Roman"/>
          <w:sz w:val="24"/>
          <w:szCs w:val="24"/>
        </w:rPr>
      </w:pPr>
    </w:p>
    <w:p w:rsidR="00C8734A" w:rsidRDefault="00C8734A" w:rsidP="0052367A">
      <w:pPr>
        <w:spacing w:after="0" w:line="240" w:lineRule="auto"/>
        <w:ind w:firstLine="720"/>
        <w:rPr>
          <w:rFonts w:ascii="Times New Roman" w:hAnsi="Times New Roman"/>
          <w:sz w:val="24"/>
          <w:szCs w:val="24"/>
        </w:rPr>
      </w:pPr>
      <w:r>
        <w:rPr>
          <w:rFonts w:ascii="Times New Roman" w:hAnsi="Times New Roman"/>
          <w:sz w:val="24"/>
          <w:szCs w:val="24"/>
        </w:rPr>
        <w:lastRenderedPageBreak/>
        <w:t>For the December 31, 2013 as-of-date, a</w:t>
      </w:r>
      <w:r w:rsidRPr="00D82F2B">
        <w:rPr>
          <w:rFonts w:ascii="Times New Roman" w:hAnsi="Times New Roman"/>
          <w:sz w:val="24"/>
          <w:szCs w:val="24"/>
        </w:rPr>
        <w:t xml:space="preserve">ll BHCs with over $50 billion in total consolidated assets </w:t>
      </w:r>
      <w:r>
        <w:rPr>
          <w:rFonts w:ascii="Times New Roman" w:hAnsi="Times New Roman"/>
          <w:sz w:val="24"/>
          <w:szCs w:val="24"/>
        </w:rPr>
        <w:t xml:space="preserve">would be required to </w:t>
      </w:r>
      <w:r w:rsidRPr="00D82F2B">
        <w:rPr>
          <w:rFonts w:ascii="Times New Roman" w:hAnsi="Times New Roman"/>
          <w:sz w:val="24"/>
          <w:szCs w:val="24"/>
        </w:rPr>
        <w:t>file the FR Y-15.</w:t>
      </w:r>
      <w:r w:rsidR="004D036E">
        <w:rPr>
          <w:rFonts w:ascii="Times New Roman" w:hAnsi="Times New Roman"/>
          <w:sz w:val="24"/>
          <w:szCs w:val="24"/>
        </w:rPr>
        <w:t xml:space="preserve">  The Federal Reserve </w:t>
      </w:r>
      <w:r>
        <w:rPr>
          <w:rFonts w:ascii="Times New Roman" w:hAnsi="Times New Roman"/>
          <w:sz w:val="24"/>
          <w:szCs w:val="24"/>
        </w:rPr>
        <w:t>estimates that there would be a one-time implementation burden of 1,500 hours per BHC to comply with the FR Y-15 reporting requirem</w:t>
      </w:r>
      <w:r w:rsidR="004D036E">
        <w:rPr>
          <w:rFonts w:ascii="Times New Roman" w:hAnsi="Times New Roman"/>
          <w:sz w:val="24"/>
          <w:szCs w:val="24"/>
        </w:rPr>
        <w:t xml:space="preserve">ents.  Furthermore, the Federal Reserve </w:t>
      </w:r>
      <w:r>
        <w:rPr>
          <w:rFonts w:ascii="Times New Roman" w:hAnsi="Times New Roman"/>
          <w:sz w:val="24"/>
          <w:szCs w:val="24"/>
        </w:rPr>
        <w:t xml:space="preserve">estimates that each BHC would take 300 hours annually to complete the FR Y-15 on an ongoing basis.  </w:t>
      </w:r>
      <w:r w:rsidRPr="00D82F2B">
        <w:rPr>
          <w:rFonts w:ascii="Times New Roman" w:hAnsi="Times New Roman"/>
          <w:sz w:val="24"/>
          <w:szCs w:val="24"/>
        </w:rPr>
        <w:t>The estimated</w:t>
      </w:r>
      <w:r w:rsidRPr="00776525">
        <w:rPr>
          <w:rFonts w:ascii="Times New Roman" w:hAnsi="Times New Roman"/>
          <w:sz w:val="24"/>
          <w:szCs w:val="24"/>
        </w:rPr>
        <w:t xml:space="preserve"> annual burden for </w:t>
      </w:r>
      <w:r>
        <w:rPr>
          <w:rFonts w:ascii="Times New Roman" w:hAnsi="Times New Roman"/>
          <w:sz w:val="24"/>
          <w:szCs w:val="24"/>
        </w:rPr>
        <w:t>this</w:t>
      </w:r>
      <w:r w:rsidRPr="00776525">
        <w:rPr>
          <w:rFonts w:ascii="Times New Roman" w:hAnsi="Times New Roman"/>
          <w:sz w:val="24"/>
          <w:szCs w:val="24"/>
        </w:rPr>
        <w:t xml:space="preserve"> reporting form is </w:t>
      </w:r>
      <w:r w:rsidR="00A72A4D">
        <w:rPr>
          <w:rFonts w:ascii="Times New Roman" w:hAnsi="Times New Roman"/>
          <w:sz w:val="24"/>
          <w:szCs w:val="24"/>
        </w:rPr>
        <w:t xml:space="preserve">less than 1 </w:t>
      </w:r>
      <w:r w:rsidRPr="00776525">
        <w:rPr>
          <w:rFonts w:ascii="Times New Roman" w:hAnsi="Times New Roman"/>
          <w:sz w:val="24"/>
          <w:szCs w:val="24"/>
        </w:rPr>
        <w:t>percent of the total Federal Reserve System burden.</w:t>
      </w:r>
    </w:p>
    <w:p w:rsidR="00C8734A" w:rsidRPr="00776525" w:rsidRDefault="00C8734A" w:rsidP="00CF3BF5">
      <w:pPr>
        <w:spacing w:after="0" w:line="240" w:lineRule="auto"/>
        <w:rPr>
          <w:rFonts w:ascii="Times New Roman" w:hAnsi="Times New Roman"/>
          <w:sz w:val="24"/>
          <w:szCs w:val="24"/>
        </w:rPr>
      </w:pPr>
    </w:p>
    <w:tbl>
      <w:tblPr>
        <w:tblW w:w="0" w:type="auto"/>
        <w:tblInd w:w="18" w:type="dxa"/>
        <w:tblBorders>
          <w:top w:val="single" w:sz="4" w:space="0" w:color="auto"/>
          <w:bottom w:val="single" w:sz="4" w:space="0" w:color="auto"/>
        </w:tblBorders>
        <w:tblLook w:val="0000" w:firstRow="0" w:lastRow="0" w:firstColumn="0" w:lastColumn="0" w:noHBand="0" w:noVBand="0"/>
      </w:tblPr>
      <w:tblGrid>
        <w:gridCol w:w="2549"/>
        <w:gridCol w:w="1688"/>
        <w:gridCol w:w="1549"/>
        <w:gridCol w:w="1764"/>
        <w:gridCol w:w="2008"/>
      </w:tblGrid>
      <w:tr w:rsidR="00C8734A" w:rsidRPr="00776525" w:rsidTr="00AC760E">
        <w:trPr>
          <w:trHeight w:val="845"/>
        </w:trPr>
        <w:tc>
          <w:tcPr>
            <w:tcW w:w="0" w:type="auto"/>
            <w:vAlign w:val="center"/>
          </w:tcPr>
          <w:p w:rsidR="00C8734A" w:rsidRPr="00776525" w:rsidRDefault="00C8734A" w:rsidP="00CF3BF5">
            <w:pPr>
              <w:tabs>
                <w:tab w:val="left" w:pos="720"/>
              </w:tabs>
              <w:snapToGrid w:val="0"/>
              <w:spacing w:after="0" w:line="240" w:lineRule="auto"/>
              <w:jc w:val="center"/>
              <w:rPr>
                <w:rFonts w:ascii="Times New Roman" w:eastAsia="Times New Roman" w:hAnsi="Times New Roman"/>
                <w:sz w:val="24"/>
                <w:szCs w:val="24"/>
              </w:rPr>
            </w:pPr>
          </w:p>
        </w:tc>
        <w:tc>
          <w:tcPr>
            <w:tcW w:w="0" w:type="auto"/>
            <w:vAlign w:val="center"/>
          </w:tcPr>
          <w:p w:rsidR="00C8734A" w:rsidRPr="00776525" w:rsidRDefault="00AC760E" w:rsidP="00CF3BF5">
            <w:pPr>
              <w:tabs>
                <w:tab w:val="left" w:pos="720"/>
              </w:tabs>
              <w:snapToGrid w:val="0"/>
              <w:spacing w:after="0" w:line="240" w:lineRule="auto"/>
              <w:jc w:val="center"/>
              <w:rPr>
                <w:rFonts w:ascii="Times New Roman" w:hAnsi="Times New Roman"/>
                <w:i/>
                <w:sz w:val="24"/>
                <w:szCs w:val="24"/>
              </w:rPr>
            </w:pPr>
            <w:r>
              <w:rPr>
                <w:rFonts w:ascii="Times New Roman" w:hAnsi="Times New Roman"/>
                <w:i/>
                <w:sz w:val="24"/>
                <w:szCs w:val="24"/>
              </w:rPr>
              <w:t xml:space="preserve">Number of </w:t>
            </w:r>
            <w:r w:rsidR="00C8734A" w:rsidRPr="00776525">
              <w:rPr>
                <w:rFonts w:ascii="Times New Roman" w:hAnsi="Times New Roman"/>
                <w:i/>
                <w:sz w:val="24"/>
                <w:szCs w:val="24"/>
              </w:rPr>
              <w:t>respondents</w:t>
            </w:r>
            <w:r>
              <w:rPr>
                <w:rStyle w:val="FootnoteReference"/>
                <w:rFonts w:ascii="Times New Roman" w:hAnsi="Times New Roman"/>
                <w:i/>
                <w:sz w:val="24"/>
                <w:szCs w:val="24"/>
              </w:rPr>
              <w:footnoteReference w:id="5"/>
            </w:r>
          </w:p>
        </w:tc>
        <w:tc>
          <w:tcPr>
            <w:tcW w:w="0" w:type="auto"/>
            <w:vAlign w:val="center"/>
          </w:tcPr>
          <w:p w:rsidR="00C8734A" w:rsidRPr="00776525" w:rsidRDefault="00C8734A" w:rsidP="00CF3BF5">
            <w:pPr>
              <w:tabs>
                <w:tab w:val="left" w:pos="720"/>
              </w:tabs>
              <w:snapToGrid w:val="0"/>
              <w:spacing w:after="0" w:line="240" w:lineRule="auto"/>
              <w:jc w:val="center"/>
              <w:rPr>
                <w:rFonts w:ascii="Times New Roman" w:hAnsi="Times New Roman"/>
                <w:i/>
                <w:sz w:val="24"/>
                <w:szCs w:val="24"/>
              </w:rPr>
            </w:pPr>
            <w:r w:rsidRPr="00776525">
              <w:rPr>
                <w:rFonts w:ascii="Times New Roman" w:hAnsi="Times New Roman"/>
                <w:i/>
                <w:sz w:val="24"/>
                <w:szCs w:val="24"/>
              </w:rPr>
              <w:t>Estimated annual frequency</w:t>
            </w:r>
          </w:p>
        </w:tc>
        <w:tc>
          <w:tcPr>
            <w:tcW w:w="0" w:type="auto"/>
            <w:vAlign w:val="center"/>
          </w:tcPr>
          <w:p w:rsidR="00C8734A" w:rsidRPr="00776525" w:rsidRDefault="00C8734A" w:rsidP="00CF3BF5">
            <w:pPr>
              <w:tabs>
                <w:tab w:val="left" w:pos="720"/>
              </w:tabs>
              <w:snapToGrid w:val="0"/>
              <w:spacing w:after="0" w:line="240" w:lineRule="auto"/>
              <w:jc w:val="center"/>
              <w:rPr>
                <w:rFonts w:ascii="Times New Roman" w:hAnsi="Times New Roman"/>
                <w:i/>
                <w:sz w:val="24"/>
                <w:szCs w:val="24"/>
              </w:rPr>
            </w:pPr>
            <w:r w:rsidRPr="00776525">
              <w:rPr>
                <w:rFonts w:ascii="Times New Roman" w:hAnsi="Times New Roman"/>
                <w:i/>
                <w:sz w:val="24"/>
                <w:szCs w:val="24"/>
              </w:rPr>
              <w:t>Estimated average hours per response</w:t>
            </w:r>
          </w:p>
        </w:tc>
        <w:tc>
          <w:tcPr>
            <w:tcW w:w="0" w:type="auto"/>
            <w:vAlign w:val="center"/>
          </w:tcPr>
          <w:p w:rsidR="00C8734A" w:rsidRPr="00776525" w:rsidRDefault="00C8734A" w:rsidP="00CF3BF5">
            <w:pPr>
              <w:tabs>
                <w:tab w:val="left" w:pos="720"/>
              </w:tabs>
              <w:snapToGrid w:val="0"/>
              <w:spacing w:after="0" w:line="240" w:lineRule="auto"/>
              <w:jc w:val="center"/>
              <w:rPr>
                <w:rFonts w:ascii="Times New Roman" w:hAnsi="Times New Roman"/>
                <w:i/>
                <w:sz w:val="24"/>
                <w:szCs w:val="24"/>
              </w:rPr>
            </w:pPr>
            <w:r w:rsidRPr="00776525">
              <w:rPr>
                <w:rFonts w:ascii="Times New Roman" w:hAnsi="Times New Roman"/>
                <w:i/>
                <w:sz w:val="24"/>
                <w:szCs w:val="24"/>
              </w:rPr>
              <w:t>Estimated annual burden hours</w:t>
            </w:r>
          </w:p>
        </w:tc>
      </w:tr>
      <w:tr w:rsidR="00C8734A" w:rsidRPr="00776525" w:rsidTr="00AC760E">
        <w:trPr>
          <w:trHeight w:val="288"/>
        </w:trPr>
        <w:tc>
          <w:tcPr>
            <w:tcW w:w="0" w:type="auto"/>
            <w:vAlign w:val="bottom"/>
          </w:tcPr>
          <w:p w:rsidR="00C8734A" w:rsidRPr="00776525" w:rsidDel="00717F21" w:rsidRDefault="00C8734A" w:rsidP="000130C3">
            <w:pPr>
              <w:tabs>
                <w:tab w:val="left" w:pos="720"/>
              </w:tabs>
              <w:snapToGrid w:val="0"/>
              <w:spacing w:after="0" w:line="240" w:lineRule="auto"/>
              <w:rPr>
                <w:rFonts w:ascii="Times New Roman" w:hAnsi="Times New Roman"/>
                <w:sz w:val="24"/>
                <w:szCs w:val="24"/>
                <w:u w:val="single"/>
              </w:rPr>
            </w:pPr>
            <w:r>
              <w:rPr>
                <w:rFonts w:ascii="Times New Roman" w:hAnsi="Times New Roman"/>
                <w:sz w:val="24"/>
                <w:szCs w:val="24"/>
                <w:u w:val="single"/>
              </w:rPr>
              <w:t xml:space="preserve">Implementation Costs: </w:t>
            </w:r>
          </w:p>
        </w:tc>
        <w:tc>
          <w:tcPr>
            <w:tcW w:w="0" w:type="auto"/>
            <w:vAlign w:val="bottom"/>
          </w:tcPr>
          <w:p w:rsidR="00C8734A" w:rsidRPr="00776525" w:rsidDel="00717F21" w:rsidRDefault="00C8734A" w:rsidP="00263EED">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color w:val="000000"/>
                <w:sz w:val="24"/>
                <w:szCs w:val="24"/>
              </w:rPr>
            </w:pP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Pr="00776525" w:rsidRDefault="00C8734A" w:rsidP="00BF5A37">
            <w:pPr>
              <w:tabs>
                <w:tab w:val="left" w:pos="720"/>
              </w:tabs>
              <w:snapToGrid w:val="0"/>
              <w:spacing w:after="0" w:line="240" w:lineRule="auto"/>
              <w:rPr>
                <w:rFonts w:ascii="Times New Roman" w:hAnsi="Times New Roman"/>
                <w:sz w:val="24"/>
                <w:szCs w:val="24"/>
              </w:rPr>
            </w:pPr>
          </w:p>
        </w:tc>
      </w:tr>
      <w:tr w:rsidR="00C8734A" w:rsidRPr="00776525" w:rsidTr="00AC760E">
        <w:trPr>
          <w:trHeight w:val="288"/>
        </w:trPr>
        <w:tc>
          <w:tcPr>
            <w:tcW w:w="0" w:type="auto"/>
            <w:vAlign w:val="bottom"/>
          </w:tcPr>
          <w:p w:rsidR="00C8734A" w:rsidRDefault="00C8734A" w:rsidP="000130C3">
            <w:pPr>
              <w:tabs>
                <w:tab w:val="left" w:pos="720"/>
              </w:tabs>
              <w:snapToGrid w:val="0"/>
              <w:spacing w:after="0" w:line="240" w:lineRule="auto"/>
              <w:rPr>
                <w:rFonts w:ascii="Times New Roman" w:hAnsi="Times New Roman"/>
                <w:sz w:val="24"/>
                <w:szCs w:val="24"/>
              </w:rPr>
            </w:pPr>
          </w:p>
          <w:p w:rsidR="00C8734A" w:rsidRPr="00776525" w:rsidRDefault="00C8734A" w:rsidP="00263EED">
            <w:pPr>
              <w:tabs>
                <w:tab w:val="left" w:pos="720"/>
              </w:tabs>
              <w:snapToGrid w:val="0"/>
              <w:spacing w:after="0" w:line="240" w:lineRule="auto"/>
              <w:rPr>
                <w:rFonts w:ascii="Times New Roman" w:hAnsi="Times New Roman"/>
                <w:sz w:val="24"/>
                <w:szCs w:val="24"/>
                <w:highlight w:val="yellow"/>
              </w:rPr>
            </w:pPr>
            <w:r>
              <w:rPr>
                <w:rFonts w:ascii="Times New Roman" w:hAnsi="Times New Roman"/>
                <w:sz w:val="24"/>
                <w:szCs w:val="24"/>
              </w:rPr>
              <w:t xml:space="preserve">U.S. G-SIBs </w:t>
            </w: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sz w:val="24"/>
                <w:szCs w:val="24"/>
                <w:highlight w:val="yellow"/>
              </w:rPr>
            </w:pPr>
            <w:r>
              <w:rPr>
                <w:rFonts w:ascii="Times New Roman" w:hAnsi="Times New Roman"/>
                <w:sz w:val="24"/>
                <w:szCs w:val="24"/>
              </w:rPr>
              <w:t>8</w:t>
            </w: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color w:val="000000"/>
                <w:sz w:val="24"/>
                <w:szCs w:val="24"/>
                <w:highlight w:val="yellow"/>
              </w:rPr>
            </w:pPr>
            <w:r w:rsidRPr="00776525">
              <w:rPr>
                <w:rFonts w:ascii="Times New Roman" w:hAnsi="Times New Roman"/>
                <w:color w:val="000000"/>
                <w:sz w:val="24"/>
                <w:szCs w:val="24"/>
              </w:rPr>
              <w:t>1</w:t>
            </w:r>
          </w:p>
        </w:tc>
        <w:tc>
          <w:tcPr>
            <w:tcW w:w="0" w:type="auto"/>
            <w:vAlign w:val="bottom"/>
          </w:tcPr>
          <w:p w:rsidR="00C8734A" w:rsidRPr="00776525" w:rsidRDefault="00C8734A" w:rsidP="00BF5A37">
            <w:pPr>
              <w:tabs>
                <w:tab w:val="left" w:pos="720"/>
              </w:tabs>
              <w:snapToGrid w:val="0"/>
              <w:spacing w:after="0" w:line="240" w:lineRule="auto"/>
              <w:jc w:val="center"/>
              <w:rPr>
                <w:rFonts w:ascii="Times New Roman" w:hAnsi="Times New Roman"/>
                <w:sz w:val="24"/>
                <w:szCs w:val="24"/>
                <w:highlight w:val="yellow"/>
              </w:rPr>
            </w:pPr>
            <w:r>
              <w:rPr>
                <w:rFonts w:ascii="Times New Roman" w:hAnsi="Times New Roman"/>
                <w:sz w:val="24"/>
                <w:szCs w:val="24"/>
              </w:rPr>
              <w:t>1,000</w:t>
            </w:r>
          </w:p>
        </w:tc>
        <w:tc>
          <w:tcPr>
            <w:tcW w:w="0" w:type="auto"/>
            <w:vAlign w:val="bottom"/>
          </w:tcPr>
          <w:p w:rsidR="00C8734A" w:rsidRPr="00776525" w:rsidRDefault="00C8734A" w:rsidP="00BF5A37">
            <w:pPr>
              <w:snapToGrid w:val="0"/>
              <w:spacing w:after="0" w:line="240" w:lineRule="auto"/>
              <w:ind w:right="792"/>
              <w:jc w:val="right"/>
              <w:rPr>
                <w:rFonts w:ascii="Times New Roman" w:hAnsi="Times New Roman"/>
                <w:sz w:val="24"/>
                <w:szCs w:val="24"/>
              </w:rPr>
            </w:pPr>
            <w:r w:rsidRPr="00776525">
              <w:rPr>
                <w:rFonts w:ascii="Times New Roman" w:hAnsi="Times New Roman"/>
                <w:sz w:val="24"/>
                <w:szCs w:val="24"/>
              </w:rPr>
              <w:t xml:space="preserve">        </w:t>
            </w:r>
            <w:r>
              <w:rPr>
                <w:rFonts w:ascii="Times New Roman" w:hAnsi="Times New Roman"/>
                <w:sz w:val="24"/>
                <w:szCs w:val="24"/>
              </w:rPr>
              <w:t>8,000</w:t>
            </w:r>
          </w:p>
        </w:tc>
      </w:tr>
      <w:tr w:rsidR="00C8734A" w:rsidRPr="00776525" w:rsidTr="00AC760E">
        <w:trPr>
          <w:trHeight w:val="288"/>
        </w:trPr>
        <w:tc>
          <w:tcPr>
            <w:tcW w:w="0" w:type="auto"/>
            <w:vAlign w:val="bottom"/>
          </w:tcPr>
          <w:p w:rsidR="00C8734A" w:rsidRDefault="00C8734A" w:rsidP="000130C3">
            <w:pPr>
              <w:tabs>
                <w:tab w:val="left" w:pos="720"/>
              </w:tabs>
              <w:snapToGrid w:val="0"/>
              <w:spacing w:after="0" w:line="240" w:lineRule="auto"/>
              <w:rPr>
                <w:rFonts w:ascii="Times New Roman" w:hAnsi="Times New Roman"/>
                <w:sz w:val="24"/>
                <w:szCs w:val="24"/>
              </w:rPr>
            </w:pPr>
          </w:p>
          <w:p w:rsidR="00C8734A" w:rsidRDefault="00C8734A" w:rsidP="00263EED">
            <w:pPr>
              <w:tabs>
                <w:tab w:val="left" w:pos="720"/>
              </w:tabs>
              <w:snapToGrid w:val="0"/>
              <w:spacing w:after="0" w:line="240" w:lineRule="auto"/>
              <w:rPr>
                <w:rFonts w:ascii="Times New Roman" w:hAnsi="Times New Roman"/>
                <w:sz w:val="24"/>
                <w:szCs w:val="24"/>
              </w:rPr>
            </w:pPr>
            <w:r>
              <w:rPr>
                <w:rFonts w:ascii="Times New Roman" w:hAnsi="Times New Roman"/>
                <w:sz w:val="24"/>
                <w:szCs w:val="24"/>
              </w:rPr>
              <w:t>BHCs with over $50 billion in total consolidated assets</w:t>
            </w: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25</w:t>
            </w: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0" w:type="auto"/>
            <w:vAlign w:val="bottom"/>
          </w:tcPr>
          <w:p w:rsidR="00C8734A" w:rsidRPr="00776525" w:rsidRDefault="00C8734A" w:rsidP="00BF5A37">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1,500</w:t>
            </w:r>
          </w:p>
        </w:tc>
        <w:tc>
          <w:tcPr>
            <w:tcW w:w="0" w:type="auto"/>
            <w:vAlign w:val="bottom"/>
          </w:tcPr>
          <w:p w:rsidR="00C8734A" w:rsidRPr="00776525" w:rsidRDefault="00C8734A" w:rsidP="00BF5A37">
            <w:pPr>
              <w:snapToGrid w:val="0"/>
              <w:spacing w:after="0" w:line="240" w:lineRule="auto"/>
              <w:ind w:right="792"/>
              <w:jc w:val="right"/>
              <w:rPr>
                <w:rFonts w:ascii="Times New Roman" w:hAnsi="Times New Roman"/>
                <w:sz w:val="24"/>
                <w:szCs w:val="24"/>
              </w:rPr>
            </w:pPr>
            <w:r>
              <w:rPr>
                <w:rFonts w:ascii="Times New Roman" w:hAnsi="Times New Roman"/>
                <w:sz w:val="24"/>
                <w:szCs w:val="24"/>
              </w:rPr>
              <w:t>37,500</w:t>
            </w:r>
          </w:p>
        </w:tc>
      </w:tr>
      <w:tr w:rsidR="00C8734A" w:rsidRPr="00776525" w:rsidTr="00AC760E">
        <w:trPr>
          <w:trHeight w:val="288"/>
        </w:trPr>
        <w:tc>
          <w:tcPr>
            <w:tcW w:w="0" w:type="auto"/>
            <w:vAlign w:val="bottom"/>
          </w:tcPr>
          <w:p w:rsidR="00C8734A" w:rsidRDefault="00C8734A" w:rsidP="000130C3">
            <w:pPr>
              <w:tabs>
                <w:tab w:val="left" w:pos="720"/>
              </w:tabs>
              <w:snapToGrid w:val="0"/>
              <w:spacing w:after="0" w:line="240" w:lineRule="auto"/>
              <w:rPr>
                <w:rFonts w:ascii="Times New Roman" w:hAnsi="Times New Roman"/>
                <w:sz w:val="24"/>
                <w:szCs w:val="24"/>
              </w:rPr>
            </w:pPr>
          </w:p>
        </w:tc>
        <w:tc>
          <w:tcPr>
            <w:tcW w:w="0" w:type="auto"/>
            <w:vAlign w:val="bottom"/>
          </w:tcPr>
          <w:p w:rsidR="00C8734A" w:rsidRDefault="00C8734A" w:rsidP="00263EED">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color w:val="000000"/>
                <w:sz w:val="24"/>
                <w:szCs w:val="24"/>
              </w:rPr>
            </w:pP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Default="00C8734A" w:rsidP="00BF5A37">
            <w:pPr>
              <w:snapToGrid w:val="0"/>
              <w:spacing w:after="0" w:line="240" w:lineRule="auto"/>
              <w:ind w:right="792"/>
              <w:jc w:val="right"/>
              <w:rPr>
                <w:rFonts w:ascii="Times New Roman" w:hAnsi="Times New Roman"/>
                <w:sz w:val="24"/>
                <w:szCs w:val="24"/>
              </w:rPr>
            </w:pPr>
          </w:p>
        </w:tc>
      </w:tr>
      <w:tr w:rsidR="00C8734A" w:rsidRPr="00776525" w:rsidTr="00AC760E">
        <w:trPr>
          <w:trHeight w:val="288"/>
        </w:trPr>
        <w:tc>
          <w:tcPr>
            <w:tcW w:w="0" w:type="auto"/>
            <w:vAlign w:val="bottom"/>
          </w:tcPr>
          <w:p w:rsidR="00C8734A" w:rsidRPr="00555D68" w:rsidRDefault="00C8734A" w:rsidP="000130C3">
            <w:pPr>
              <w:tabs>
                <w:tab w:val="left" w:pos="720"/>
              </w:tabs>
              <w:snapToGrid w:val="0"/>
              <w:spacing w:after="0" w:line="240" w:lineRule="auto"/>
              <w:rPr>
                <w:rFonts w:ascii="Times New Roman" w:hAnsi="Times New Roman"/>
                <w:sz w:val="24"/>
                <w:szCs w:val="24"/>
                <w:u w:val="single"/>
              </w:rPr>
            </w:pPr>
            <w:r w:rsidRPr="00555D68">
              <w:rPr>
                <w:rFonts w:ascii="Times New Roman" w:hAnsi="Times New Roman"/>
                <w:sz w:val="24"/>
                <w:szCs w:val="24"/>
                <w:u w:val="single"/>
              </w:rPr>
              <w:t>Ongoing Costs:</w:t>
            </w:r>
          </w:p>
        </w:tc>
        <w:tc>
          <w:tcPr>
            <w:tcW w:w="0" w:type="auto"/>
            <w:vAlign w:val="bottom"/>
          </w:tcPr>
          <w:p w:rsidR="00C8734A" w:rsidRDefault="00C8734A" w:rsidP="00263EED">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color w:val="000000"/>
                <w:sz w:val="24"/>
                <w:szCs w:val="24"/>
              </w:rPr>
            </w:pP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Default="00C8734A" w:rsidP="00BF5A37">
            <w:pPr>
              <w:snapToGrid w:val="0"/>
              <w:spacing w:after="0" w:line="240" w:lineRule="auto"/>
              <w:ind w:right="792"/>
              <w:jc w:val="right"/>
              <w:rPr>
                <w:rFonts w:ascii="Times New Roman" w:hAnsi="Times New Roman"/>
                <w:sz w:val="24"/>
                <w:szCs w:val="24"/>
              </w:rPr>
            </w:pPr>
          </w:p>
        </w:tc>
      </w:tr>
      <w:tr w:rsidR="00C8734A" w:rsidRPr="00776525" w:rsidTr="00AC760E">
        <w:trPr>
          <w:trHeight w:val="288"/>
        </w:trPr>
        <w:tc>
          <w:tcPr>
            <w:tcW w:w="0" w:type="auto"/>
            <w:vAlign w:val="bottom"/>
          </w:tcPr>
          <w:p w:rsidR="00C8734A" w:rsidRPr="00555D68" w:rsidRDefault="00C8734A" w:rsidP="000130C3">
            <w:pPr>
              <w:tabs>
                <w:tab w:val="left" w:pos="720"/>
              </w:tabs>
              <w:snapToGrid w:val="0"/>
              <w:spacing w:after="0" w:line="240" w:lineRule="auto"/>
              <w:rPr>
                <w:rFonts w:ascii="Times New Roman" w:hAnsi="Times New Roman"/>
                <w:sz w:val="24"/>
                <w:szCs w:val="24"/>
                <w:u w:val="single"/>
              </w:rPr>
            </w:pPr>
          </w:p>
        </w:tc>
        <w:tc>
          <w:tcPr>
            <w:tcW w:w="0" w:type="auto"/>
            <w:vAlign w:val="bottom"/>
          </w:tcPr>
          <w:p w:rsidR="00C8734A" w:rsidRDefault="00C8734A" w:rsidP="00263EED">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color w:val="000000"/>
                <w:sz w:val="24"/>
                <w:szCs w:val="24"/>
              </w:rPr>
            </w:pP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Default="00C8734A" w:rsidP="00BF5A37">
            <w:pPr>
              <w:snapToGrid w:val="0"/>
              <w:spacing w:after="0" w:line="240" w:lineRule="auto"/>
              <w:ind w:right="792"/>
              <w:jc w:val="right"/>
              <w:rPr>
                <w:rFonts w:ascii="Times New Roman" w:hAnsi="Times New Roman"/>
                <w:sz w:val="24"/>
                <w:szCs w:val="24"/>
              </w:rPr>
            </w:pPr>
          </w:p>
        </w:tc>
      </w:tr>
      <w:tr w:rsidR="00C8734A" w:rsidRPr="00776525" w:rsidTr="00AC760E">
        <w:trPr>
          <w:trHeight w:val="288"/>
        </w:trPr>
        <w:tc>
          <w:tcPr>
            <w:tcW w:w="0" w:type="auto"/>
            <w:vAlign w:val="bottom"/>
          </w:tcPr>
          <w:p w:rsidR="00C8734A" w:rsidRPr="00555D68" w:rsidRDefault="00C8734A" w:rsidP="000130C3">
            <w:pPr>
              <w:tabs>
                <w:tab w:val="left" w:pos="720"/>
              </w:tabs>
              <w:snapToGrid w:val="0"/>
              <w:spacing w:after="0" w:line="240" w:lineRule="auto"/>
              <w:rPr>
                <w:rFonts w:ascii="Times New Roman" w:hAnsi="Times New Roman"/>
                <w:sz w:val="24"/>
                <w:szCs w:val="24"/>
              </w:rPr>
            </w:pPr>
            <w:r>
              <w:rPr>
                <w:rFonts w:ascii="Times New Roman" w:hAnsi="Times New Roman"/>
                <w:sz w:val="24"/>
                <w:szCs w:val="24"/>
              </w:rPr>
              <w:t>U.S. G-SIBs</w:t>
            </w:r>
          </w:p>
        </w:tc>
        <w:tc>
          <w:tcPr>
            <w:tcW w:w="0" w:type="auto"/>
            <w:vAlign w:val="bottom"/>
          </w:tcPr>
          <w:p w:rsidR="00C8734A" w:rsidRDefault="00C8734A" w:rsidP="00263EED">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8</w:t>
            </w: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300</w:t>
            </w:r>
          </w:p>
        </w:tc>
        <w:tc>
          <w:tcPr>
            <w:tcW w:w="0" w:type="auto"/>
            <w:vAlign w:val="bottom"/>
          </w:tcPr>
          <w:p w:rsidR="00C8734A" w:rsidRDefault="00C8734A" w:rsidP="00BF5A37">
            <w:pPr>
              <w:snapToGrid w:val="0"/>
              <w:spacing w:after="0" w:line="240" w:lineRule="auto"/>
              <w:ind w:right="792"/>
              <w:jc w:val="right"/>
              <w:rPr>
                <w:rFonts w:ascii="Times New Roman" w:hAnsi="Times New Roman"/>
                <w:sz w:val="24"/>
                <w:szCs w:val="24"/>
              </w:rPr>
            </w:pPr>
            <w:r>
              <w:rPr>
                <w:rFonts w:ascii="Times New Roman" w:hAnsi="Times New Roman"/>
                <w:sz w:val="24"/>
                <w:szCs w:val="24"/>
              </w:rPr>
              <w:t>2,400</w:t>
            </w:r>
          </w:p>
        </w:tc>
      </w:tr>
      <w:tr w:rsidR="00C8734A" w:rsidRPr="00776525" w:rsidTr="00AC760E">
        <w:trPr>
          <w:trHeight w:val="288"/>
        </w:trPr>
        <w:tc>
          <w:tcPr>
            <w:tcW w:w="0" w:type="auto"/>
            <w:vAlign w:val="bottom"/>
          </w:tcPr>
          <w:p w:rsidR="00C8734A" w:rsidRDefault="00C8734A" w:rsidP="000130C3">
            <w:pPr>
              <w:tabs>
                <w:tab w:val="left" w:pos="720"/>
              </w:tabs>
              <w:snapToGrid w:val="0"/>
              <w:spacing w:after="0" w:line="240" w:lineRule="auto"/>
              <w:rPr>
                <w:rFonts w:ascii="Times New Roman" w:hAnsi="Times New Roman"/>
                <w:sz w:val="24"/>
                <w:szCs w:val="24"/>
              </w:rPr>
            </w:pPr>
          </w:p>
        </w:tc>
        <w:tc>
          <w:tcPr>
            <w:tcW w:w="0" w:type="auto"/>
            <w:vAlign w:val="bottom"/>
          </w:tcPr>
          <w:p w:rsidR="00C8734A" w:rsidRDefault="00C8734A" w:rsidP="00263EED">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color w:val="000000"/>
                <w:sz w:val="24"/>
                <w:szCs w:val="24"/>
              </w:rPr>
            </w:pP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Default="00C8734A" w:rsidP="00BF5A37">
            <w:pPr>
              <w:snapToGrid w:val="0"/>
              <w:spacing w:after="0" w:line="240" w:lineRule="auto"/>
              <w:ind w:right="792"/>
              <w:jc w:val="right"/>
              <w:rPr>
                <w:rFonts w:ascii="Times New Roman" w:hAnsi="Times New Roman"/>
                <w:sz w:val="24"/>
                <w:szCs w:val="24"/>
              </w:rPr>
            </w:pPr>
          </w:p>
        </w:tc>
      </w:tr>
      <w:tr w:rsidR="00C8734A" w:rsidRPr="00776525" w:rsidTr="00AC760E">
        <w:trPr>
          <w:trHeight w:val="288"/>
        </w:trPr>
        <w:tc>
          <w:tcPr>
            <w:tcW w:w="0" w:type="auto"/>
            <w:vAlign w:val="bottom"/>
          </w:tcPr>
          <w:p w:rsidR="00C8734A" w:rsidRDefault="00C8734A" w:rsidP="000130C3">
            <w:pPr>
              <w:tabs>
                <w:tab w:val="left" w:pos="720"/>
              </w:tabs>
              <w:snapToGrid w:val="0"/>
              <w:spacing w:after="0" w:line="240" w:lineRule="auto"/>
              <w:rPr>
                <w:rFonts w:ascii="Times New Roman" w:hAnsi="Times New Roman"/>
                <w:sz w:val="24"/>
                <w:szCs w:val="24"/>
              </w:rPr>
            </w:pPr>
            <w:r>
              <w:rPr>
                <w:rFonts w:ascii="Times New Roman" w:hAnsi="Times New Roman"/>
                <w:sz w:val="24"/>
                <w:szCs w:val="24"/>
              </w:rPr>
              <w:t>BHCs with over $50 billion in total consolidated assets</w:t>
            </w:r>
          </w:p>
        </w:tc>
        <w:tc>
          <w:tcPr>
            <w:tcW w:w="0" w:type="auto"/>
            <w:vAlign w:val="bottom"/>
          </w:tcPr>
          <w:p w:rsidR="00C8734A" w:rsidRDefault="00C8734A" w:rsidP="00263EED">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25</w:t>
            </w: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0" w:type="auto"/>
            <w:vAlign w:val="bottom"/>
          </w:tcPr>
          <w:p w:rsidR="00C8734A" w:rsidRDefault="00C8734A" w:rsidP="00947711">
            <w:pPr>
              <w:tabs>
                <w:tab w:val="left" w:pos="720"/>
              </w:tabs>
              <w:snapToGrid w:val="0"/>
              <w:spacing w:after="0" w:line="240" w:lineRule="auto"/>
              <w:jc w:val="center"/>
              <w:rPr>
                <w:rFonts w:ascii="Times New Roman" w:hAnsi="Times New Roman"/>
                <w:sz w:val="24"/>
                <w:szCs w:val="24"/>
              </w:rPr>
            </w:pPr>
            <w:r>
              <w:rPr>
                <w:rFonts w:ascii="Times New Roman" w:hAnsi="Times New Roman"/>
                <w:sz w:val="24"/>
                <w:szCs w:val="24"/>
              </w:rPr>
              <w:t>300</w:t>
            </w:r>
          </w:p>
        </w:tc>
        <w:tc>
          <w:tcPr>
            <w:tcW w:w="0" w:type="auto"/>
            <w:vAlign w:val="bottom"/>
          </w:tcPr>
          <w:p w:rsidR="00C8734A" w:rsidRPr="00907AD2" w:rsidRDefault="00C8734A" w:rsidP="00BF5A37">
            <w:pPr>
              <w:snapToGrid w:val="0"/>
              <w:spacing w:after="0" w:line="240" w:lineRule="auto"/>
              <w:ind w:right="792"/>
              <w:jc w:val="right"/>
              <w:rPr>
                <w:rFonts w:ascii="Times New Roman" w:hAnsi="Times New Roman"/>
                <w:sz w:val="24"/>
                <w:szCs w:val="24"/>
                <w:u w:val="single"/>
              </w:rPr>
            </w:pPr>
            <w:r>
              <w:rPr>
                <w:rFonts w:ascii="Times New Roman" w:hAnsi="Times New Roman"/>
                <w:sz w:val="24"/>
                <w:szCs w:val="24"/>
                <w:u w:val="single"/>
              </w:rPr>
              <w:t>7,500</w:t>
            </w:r>
          </w:p>
        </w:tc>
      </w:tr>
      <w:tr w:rsidR="00C8734A" w:rsidRPr="00776525" w:rsidTr="00AC760E">
        <w:trPr>
          <w:trHeight w:val="288"/>
        </w:trPr>
        <w:tc>
          <w:tcPr>
            <w:tcW w:w="0" w:type="auto"/>
            <w:vAlign w:val="bottom"/>
          </w:tcPr>
          <w:p w:rsidR="00C8734A" w:rsidRPr="00776525" w:rsidDel="00717F21" w:rsidRDefault="00C8734A" w:rsidP="000130C3">
            <w:pPr>
              <w:tabs>
                <w:tab w:val="left" w:pos="720"/>
              </w:tabs>
              <w:snapToGrid w:val="0"/>
              <w:spacing w:after="0" w:line="240" w:lineRule="auto"/>
              <w:rPr>
                <w:rFonts w:ascii="Times New Roman" w:hAnsi="Times New Roman"/>
                <w:sz w:val="24"/>
                <w:szCs w:val="24"/>
              </w:rPr>
            </w:pPr>
          </w:p>
        </w:tc>
        <w:tc>
          <w:tcPr>
            <w:tcW w:w="0" w:type="auto"/>
            <w:vAlign w:val="bottom"/>
          </w:tcPr>
          <w:p w:rsidR="00C8734A" w:rsidRPr="00776525" w:rsidDel="00717F21" w:rsidRDefault="00C8734A" w:rsidP="00263EED">
            <w:pPr>
              <w:tabs>
                <w:tab w:val="left" w:pos="720"/>
              </w:tabs>
              <w:snapToGrid w:val="0"/>
              <w:spacing w:after="0" w:line="240" w:lineRule="auto"/>
              <w:jc w:val="center"/>
              <w:rPr>
                <w:rFonts w:ascii="Times New Roman" w:hAnsi="Times New Roman"/>
                <w:sz w:val="24"/>
                <w:szCs w:val="24"/>
                <w:u w:val="single"/>
              </w:rPr>
            </w:pP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color w:val="000000"/>
                <w:sz w:val="24"/>
                <w:szCs w:val="24"/>
              </w:rPr>
            </w:pP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Pr="00776525" w:rsidRDefault="00C8734A" w:rsidP="00BF5A37">
            <w:pPr>
              <w:snapToGrid w:val="0"/>
              <w:spacing w:after="0" w:line="240" w:lineRule="auto"/>
              <w:ind w:right="792"/>
              <w:jc w:val="right"/>
              <w:rPr>
                <w:rFonts w:ascii="Times New Roman" w:hAnsi="Times New Roman"/>
                <w:sz w:val="24"/>
                <w:szCs w:val="24"/>
                <w:u w:val="single"/>
              </w:rPr>
            </w:pPr>
          </w:p>
        </w:tc>
      </w:tr>
      <w:tr w:rsidR="00C8734A" w:rsidRPr="00776525" w:rsidTr="00AC760E">
        <w:trPr>
          <w:trHeight w:val="288"/>
        </w:trPr>
        <w:tc>
          <w:tcPr>
            <w:tcW w:w="0" w:type="auto"/>
            <w:vAlign w:val="bottom"/>
          </w:tcPr>
          <w:p w:rsidR="00C8734A" w:rsidRPr="00776525" w:rsidRDefault="00C8734A" w:rsidP="00942B33">
            <w:pPr>
              <w:tabs>
                <w:tab w:val="left" w:pos="720"/>
              </w:tabs>
              <w:snapToGrid w:val="0"/>
              <w:spacing w:after="0" w:line="240" w:lineRule="auto"/>
              <w:jc w:val="right"/>
              <w:rPr>
                <w:rFonts w:ascii="Times New Roman" w:hAnsi="Times New Roman"/>
                <w:sz w:val="24"/>
                <w:szCs w:val="24"/>
              </w:rPr>
            </w:pPr>
            <w:r w:rsidRPr="00776525">
              <w:rPr>
                <w:rFonts w:ascii="Times New Roman" w:hAnsi="Times New Roman"/>
                <w:i/>
                <w:sz w:val="24"/>
                <w:szCs w:val="24"/>
              </w:rPr>
              <w:t>Total</w:t>
            </w:r>
          </w:p>
        </w:tc>
        <w:tc>
          <w:tcPr>
            <w:tcW w:w="0" w:type="auto"/>
            <w:vAlign w:val="bottom"/>
          </w:tcPr>
          <w:p w:rsidR="00C8734A" w:rsidRPr="00776525" w:rsidRDefault="00C8734A" w:rsidP="00263EED">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color w:val="000000"/>
                <w:sz w:val="24"/>
                <w:szCs w:val="24"/>
              </w:rPr>
            </w:pP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Pr="00776525" w:rsidRDefault="00C8734A" w:rsidP="00BF5A37">
            <w:pPr>
              <w:snapToGrid w:val="0"/>
              <w:spacing w:after="0" w:line="240" w:lineRule="auto"/>
              <w:ind w:right="792"/>
              <w:jc w:val="right"/>
              <w:rPr>
                <w:rFonts w:ascii="Times New Roman" w:hAnsi="Times New Roman"/>
                <w:sz w:val="24"/>
                <w:szCs w:val="24"/>
              </w:rPr>
            </w:pPr>
            <w:r>
              <w:rPr>
                <w:rFonts w:ascii="Times New Roman" w:hAnsi="Times New Roman"/>
                <w:sz w:val="24"/>
                <w:szCs w:val="24"/>
              </w:rPr>
              <w:t>55,400</w:t>
            </w:r>
          </w:p>
        </w:tc>
      </w:tr>
      <w:tr w:rsidR="00C8734A" w:rsidRPr="00776525" w:rsidTr="00AC760E">
        <w:trPr>
          <w:trHeight w:val="288"/>
        </w:trPr>
        <w:tc>
          <w:tcPr>
            <w:tcW w:w="0" w:type="auto"/>
            <w:vAlign w:val="bottom"/>
          </w:tcPr>
          <w:p w:rsidR="00C8734A" w:rsidRPr="00776525" w:rsidRDefault="00C8734A" w:rsidP="000130C3">
            <w:pPr>
              <w:tabs>
                <w:tab w:val="left" w:pos="720"/>
              </w:tabs>
              <w:snapToGrid w:val="0"/>
              <w:spacing w:after="0" w:line="240" w:lineRule="auto"/>
              <w:jc w:val="right"/>
              <w:rPr>
                <w:rFonts w:ascii="Times New Roman" w:hAnsi="Times New Roman"/>
                <w:i/>
                <w:sz w:val="24"/>
                <w:szCs w:val="24"/>
              </w:rPr>
            </w:pPr>
          </w:p>
        </w:tc>
        <w:tc>
          <w:tcPr>
            <w:tcW w:w="0" w:type="auto"/>
            <w:vAlign w:val="bottom"/>
          </w:tcPr>
          <w:p w:rsidR="00C8734A" w:rsidRPr="00776525" w:rsidRDefault="00C8734A" w:rsidP="00263EED">
            <w:pPr>
              <w:tabs>
                <w:tab w:val="left" w:pos="720"/>
              </w:tabs>
              <w:snapToGrid w:val="0"/>
              <w:spacing w:after="0" w:line="240" w:lineRule="auto"/>
              <w:jc w:val="right"/>
              <w:rPr>
                <w:rFonts w:ascii="Times New Roman" w:hAnsi="Times New Roman"/>
                <w:i/>
                <w:sz w:val="24"/>
                <w:szCs w:val="24"/>
              </w:rPr>
            </w:pP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Pr="00776525" w:rsidRDefault="00C8734A" w:rsidP="00947711">
            <w:pPr>
              <w:tabs>
                <w:tab w:val="left" w:pos="720"/>
              </w:tabs>
              <w:snapToGrid w:val="0"/>
              <w:spacing w:after="0" w:line="240" w:lineRule="auto"/>
              <w:jc w:val="center"/>
              <w:rPr>
                <w:rFonts w:ascii="Times New Roman" w:hAnsi="Times New Roman"/>
                <w:sz w:val="24"/>
                <w:szCs w:val="24"/>
              </w:rPr>
            </w:pPr>
          </w:p>
        </w:tc>
        <w:tc>
          <w:tcPr>
            <w:tcW w:w="0" w:type="auto"/>
            <w:vAlign w:val="bottom"/>
          </w:tcPr>
          <w:p w:rsidR="00C8734A" w:rsidRPr="00776525" w:rsidRDefault="00C8734A" w:rsidP="00BF5A37">
            <w:pPr>
              <w:tabs>
                <w:tab w:val="left" w:pos="720"/>
              </w:tabs>
              <w:snapToGrid w:val="0"/>
              <w:spacing w:after="0" w:line="240" w:lineRule="auto"/>
              <w:jc w:val="right"/>
              <w:rPr>
                <w:rFonts w:ascii="Times New Roman" w:hAnsi="Times New Roman"/>
                <w:sz w:val="24"/>
                <w:szCs w:val="24"/>
              </w:rPr>
            </w:pPr>
          </w:p>
        </w:tc>
      </w:tr>
    </w:tbl>
    <w:p w:rsidR="00C8725B" w:rsidRDefault="00C8725B" w:rsidP="000130C3">
      <w:pPr>
        <w:snapToGrid w:val="0"/>
        <w:spacing w:after="0" w:line="240" w:lineRule="auto"/>
        <w:jc w:val="both"/>
        <w:rPr>
          <w:rFonts w:ascii="Times New Roman" w:hAnsi="Times New Roman"/>
          <w:color w:val="000000"/>
          <w:sz w:val="24"/>
          <w:szCs w:val="24"/>
        </w:rPr>
      </w:pPr>
    </w:p>
    <w:p w:rsidR="00BC5FD2" w:rsidRPr="00776525" w:rsidRDefault="00051B5F" w:rsidP="000130C3">
      <w:pPr>
        <w:snapToGrid w:val="0"/>
        <w:spacing w:after="0" w:line="240" w:lineRule="auto"/>
        <w:jc w:val="both"/>
        <w:rPr>
          <w:rFonts w:ascii="Times New Roman" w:hAnsi="Times New Roman"/>
          <w:color w:val="000000"/>
          <w:sz w:val="24"/>
          <w:szCs w:val="24"/>
        </w:rPr>
      </w:pPr>
      <w:r w:rsidRPr="00776525">
        <w:rPr>
          <w:rFonts w:ascii="Times New Roman" w:hAnsi="Times New Roman"/>
          <w:color w:val="000000"/>
          <w:sz w:val="24"/>
          <w:szCs w:val="24"/>
        </w:rPr>
        <w:t xml:space="preserve">The annual cost to the public </w:t>
      </w:r>
      <w:r w:rsidR="002B2CAE" w:rsidRPr="00776525">
        <w:rPr>
          <w:rFonts w:ascii="Times New Roman" w:hAnsi="Times New Roman"/>
          <w:color w:val="000000"/>
          <w:sz w:val="24"/>
          <w:szCs w:val="24"/>
        </w:rPr>
        <w:t xml:space="preserve">for </w:t>
      </w:r>
      <w:r w:rsidR="001A6C4E" w:rsidRPr="00776525">
        <w:rPr>
          <w:rFonts w:ascii="Times New Roman" w:hAnsi="Times New Roman"/>
          <w:color w:val="000000"/>
          <w:sz w:val="24"/>
          <w:szCs w:val="24"/>
        </w:rPr>
        <w:t>this report</w:t>
      </w:r>
      <w:r w:rsidRPr="00776525">
        <w:rPr>
          <w:rFonts w:ascii="Times New Roman" w:hAnsi="Times New Roman"/>
          <w:color w:val="000000"/>
          <w:sz w:val="24"/>
          <w:szCs w:val="24"/>
        </w:rPr>
        <w:t xml:space="preserve"> is estimated to be </w:t>
      </w:r>
      <w:r w:rsidR="00C02C65" w:rsidRPr="00776525">
        <w:rPr>
          <w:rFonts w:ascii="Times New Roman" w:hAnsi="Times New Roman"/>
          <w:color w:val="000000"/>
          <w:sz w:val="24"/>
          <w:szCs w:val="24"/>
        </w:rPr>
        <w:t>$</w:t>
      </w:r>
      <w:r w:rsidR="00664F57">
        <w:rPr>
          <w:rFonts w:ascii="Times New Roman" w:hAnsi="Times New Roman"/>
          <w:color w:val="000000"/>
          <w:sz w:val="24"/>
          <w:szCs w:val="24"/>
        </w:rPr>
        <w:t>2,484,690</w:t>
      </w:r>
      <w:r w:rsidRPr="00776525">
        <w:rPr>
          <w:rFonts w:ascii="Times New Roman" w:hAnsi="Times New Roman"/>
          <w:color w:val="000000"/>
          <w:sz w:val="24"/>
          <w:szCs w:val="24"/>
        </w:rPr>
        <w:t>.</w:t>
      </w:r>
      <w:r w:rsidR="00FC2713">
        <w:rPr>
          <w:rStyle w:val="FootnoteReference"/>
          <w:rFonts w:ascii="Times New Roman" w:hAnsi="Times New Roman"/>
          <w:color w:val="000000"/>
          <w:sz w:val="24"/>
          <w:szCs w:val="24"/>
        </w:rPr>
        <w:footnoteReference w:id="6"/>
      </w:r>
    </w:p>
    <w:p w:rsidR="00084E13" w:rsidRPr="00776525" w:rsidRDefault="00084E13" w:rsidP="00263EED">
      <w:pPr>
        <w:pStyle w:val="Header"/>
        <w:tabs>
          <w:tab w:val="clear" w:pos="4320"/>
          <w:tab w:val="clear" w:pos="8640"/>
        </w:tabs>
        <w:jc w:val="both"/>
        <w:rPr>
          <w:szCs w:val="24"/>
        </w:rPr>
      </w:pPr>
    </w:p>
    <w:p w:rsidR="00D61CBD" w:rsidRPr="00776525" w:rsidRDefault="00D61CBD" w:rsidP="00947711">
      <w:pPr>
        <w:pStyle w:val="Header"/>
        <w:jc w:val="both"/>
        <w:rPr>
          <w:b/>
          <w:szCs w:val="24"/>
        </w:rPr>
      </w:pPr>
      <w:r w:rsidRPr="00776525">
        <w:rPr>
          <w:b/>
          <w:szCs w:val="24"/>
        </w:rPr>
        <w:t>Estimate of Cost to the Federal Reserve System</w:t>
      </w:r>
    </w:p>
    <w:p w:rsidR="00D61CBD" w:rsidRPr="00776525" w:rsidRDefault="00D61CBD" w:rsidP="00947711">
      <w:pPr>
        <w:pStyle w:val="Header"/>
        <w:tabs>
          <w:tab w:val="clear" w:pos="4320"/>
          <w:tab w:val="clear" w:pos="8640"/>
        </w:tabs>
        <w:jc w:val="both"/>
        <w:rPr>
          <w:szCs w:val="24"/>
        </w:rPr>
      </w:pPr>
    </w:p>
    <w:p w:rsidR="0052367A" w:rsidRDefault="0029680B" w:rsidP="00361AC0">
      <w:pPr>
        <w:spacing w:after="0" w:line="240" w:lineRule="auto"/>
        <w:ind w:firstLine="720"/>
        <w:rPr>
          <w:rFonts w:ascii="Times New Roman" w:hAnsi="Times New Roman"/>
          <w:sz w:val="24"/>
          <w:szCs w:val="24"/>
        </w:rPr>
      </w:pPr>
      <w:r>
        <w:rPr>
          <w:rFonts w:ascii="Times New Roman" w:hAnsi="Times New Roman"/>
          <w:sz w:val="24"/>
          <w:szCs w:val="24"/>
        </w:rPr>
        <w:t>F</w:t>
      </w:r>
      <w:r w:rsidRPr="00D82F2B">
        <w:rPr>
          <w:rFonts w:ascii="Times New Roman" w:hAnsi="Times New Roman"/>
          <w:sz w:val="24"/>
          <w:szCs w:val="24"/>
        </w:rPr>
        <w:t>or the December 31, 2012 as-of-date</w:t>
      </w:r>
      <w:r w:rsidR="0091176C">
        <w:rPr>
          <w:rFonts w:ascii="Times New Roman" w:hAnsi="Times New Roman"/>
          <w:sz w:val="24"/>
          <w:szCs w:val="24"/>
        </w:rPr>
        <w:t>,</w:t>
      </w:r>
      <w:r>
        <w:rPr>
          <w:rFonts w:ascii="Times New Roman" w:hAnsi="Times New Roman"/>
          <w:sz w:val="24"/>
          <w:szCs w:val="24"/>
        </w:rPr>
        <w:t xml:space="preserve"> the cost estimate for the Federal Reserve System for the implementation of the new reporting requirements</w:t>
      </w:r>
      <w:r w:rsidR="0091176C">
        <w:rPr>
          <w:rFonts w:ascii="Times New Roman" w:hAnsi="Times New Roman"/>
          <w:sz w:val="24"/>
          <w:szCs w:val="24"/>
        </w:rPr>
        <w:t xml:space="preserve"> </w:t>
      </w:r>
      <w:r>
        <w:rPr>
          <w:rFonts w:ascii="Times New Roman" w:hAnsi="Times New Roman"/>
          <w:sz w:val="24"/>
          <w:szCs w:val="24"/>
        </w:rPr>
        <w:t>is estimated to be $</w:t>
      </w:r>
      <w:r w:rsidRPr="00947711">
        <w:rPr>
          <w:rFonts w:ascii="Times New Roman" w:hAnsi="Times New Roman"/>
          <w:sz w:val="24"/>
          <w:szCs w:val="24"/>
        </w:rPr>
        <w:t>50</w:t>
      </w:r>
      <w:r w:rsidR="0052367A">
        <w:rPr>
          <w:rFonts w:ascii="Times New Roman" w:hAnsi="Times New Roman"/>
          <w:sz w:val="24"/>
          <w:szCs w:val="24"/>
        </w:rPr>
        <w:t>0,000</w:t>
      </w:r>
      <w:r w:rsidRPr="00947711">
        <w:rPr>
          <w:rFonts w:ascii="Times New Roman" w:hAnsi="Times New Roman"/>
          <w:sz w:val="24"/>
          <w:szCs w:val="24"/>
        </w:rPr>
        <w:t xml:space="preserve">. </w:t>
      </w:r>
      <w:r w:rsidR="00C8725B" w:rsidRPr="00947711">
        <w:rPr>
          <w:rFonts w:ascii="Times New Roman" w:hAnsi="Times New Roman"/>
          <w:sz w:val="24"/>
          <w:szCs w:val="24"/>
        </w:rPr>
        <w:t xml:space="preserve"> </w:t>
      </w:r>
      <w:r w:rsidR="0091176C" w:rsidRPr="00361AC0">
        <w:rPr>
          <w:rFonts w:ascii="Times New Roman" w:hAnsi="Times New Roman"/>
          <w:sz w:val="24"/>
          <w:szCs w:val="24"/>
        </w:rPr>
        <w:t>For the December 31, 2012</w:t>
      </w:r>
      <w:r w:rsidR="00F563C9">
        <w:rPr>
          <w:rFonts w:ascii="Times New Roman" w:hAnsi="Times New Roman"/>
          <w:sz w:val="24"/>
          <w:szCs w:val="24"/>
        </w:rPr>
        <w:t>,</w:t>
      </w:r>
      <w:r w:rsidR="0091176C" w:rsidRPr="00361AC0">
        <w:rPr>
          <w:rFonts w:ascii="Times New Roman" w:hAnsi="Times New Roman"/>
          <w:sz w:val="24"/>
          <w:szCs w:val="24"/>
        </w:rPr>
        <w:t xml:space="preserve"> as-of-date, t</w:t>
      </w:r>
      <w:r w:rsidRPr="00361AC0">
        <w:rPr>
          <w:rFonts w:ascii="Times New Roman" w:hAnsi="Times New Roman"/>
          <w:sz w:val="24"/>
          <w:szCs w:val="24"/>
        </w:rPr>
        <w:t>he cost estimate for the Federal Reserve System</w:t>
      </w:r>
      <w:r>
        <w:rPr>
          <w:rFonts w:ascii="Times New Roman" w:hAnsi="Times New Roman"/>
          <w:sz w:val="24"/>
          <w:szCs w:val="24"/>
        </w:rPr>
        <w:t xml:space="preserve"> for the on-going maintenanc</w:t>
      </w:r>
      <w:r w:rsidR="002A2F5D">
        <w:rPr>
          <w:rFonts w:ascii="Times New Roman" w:hAnsi="Times New Roman"/>
          <w:sz w:val="24"/>
          <w:szCs w:val="24"/>
        </w:rPr>
        <w:t>e of the information collection is estimated to be $3</w:t>
      </w:r>
      <w:r w:rsidR="0052367A">
        <w:rPr>
          <w:rFonts w:ascii="Times New Roman" w:hAnsi="Times New Roman"/>
          <w:sz w:val="24"/>
          <w:szCs w:val="24"/>
        </w:rPr>
        <w:t>00,000</w:t>
      </w:r>
      <w:r w:rsidR="002A2F5D">
        <w:rPr>
          <w:rFonts w:ascii="Times New Roman" w:hAnsi="Times New Roman"/>
          <w:sz w:val="24"/>
          <w:szCs w:val="24"/>
        </w:rPr>
        <w:t>.</w:t>
      </w:r>
    </w:p>
    <w:p w:rsidR="00512EAB" w:rsidRPr="0052367A" w:rsidRDefault="00512EAB" w:rsidP="00CF3BF5">
      <w:pPr>
        <w:pStyle w:val="Header"/>
        <w:tabs>
          <w:tab w:val="clear" w:pos="4320"/>
          <w:tab w:val="clear" w:pos="8640"/>
        </w:tabs>
        <w:ind w:firstLine="720"/>
        <w:jc w:val="both"/>
        <w:rPr>
          <w:sz w:val="16"/>
          <w:szCs w:val="16"/>
        </w:rPr>
      </w:pPr>
    </w:p>
    <w:sectPr w:rsidR="00512EAB" w:rsidRPr="0052367A" w:rsidSect="00476D2B">
      <w:footerReference w:type="default" r:id="rId10"/>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2E" w:rsidRDefault="005A002E" w:rsidP="00184B32">
      <w:pPr>
        <w:spacing w:after="0" w:line="240" w:lineRule="auto"/>
      </w:pPr>
      <w:r>
        <w:separator/>
      </w:r>
    </w:p>
  </w:endnote>
  <w:endnote w:type="continuationSeparator" w:id="0">
    <w:p w:rsidR="005A002E" w:rsidRDefault="005A002E" w:rsidP="0018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2E" w:rsidRPr="00A05E39" w:rsidRDefault="005A002E" w:rsidP="00FE02FB">
    <w:pPr>
      <w:pStyle w:val="Footer"/>
      <w:jc w:val="center"/>
      <w:rPr>
        <w:rFonts w:ascii="Times New Roman" w:hAnsi="Times New Roman"/>
        <w:sz w:val="24"/>
        <w:szCs w:val="24"/>
      </w:rPr>
    </w:pPr>
    <w:r w:rsidRPr="00754BE2">
      <w:rPr>
        <w:rFonts w:ascii="Times New Roman" w:hAnsi="Times New Roman"/>
        <w:sz w:val="24"/>
        <w:szCs w:val="24"/>
      </w:rPr>
      <w:fldChar w:fldCharType="begin"/>
    </w:r>
    <w:r w:rsidRPr="00754BE2">
      <w:rPr>
        <w:rFonts w:ascii="Times New Roman" w:hAnsi="Times New Roman"/>
        <w:sz w:val="24"/>
        <w:szCs w:val="24"/>
      </w:rPr>
      <w:instrText xml:space="preserve"> PAGE </w:instrText>
    </w:r>
    <w:r w:rsidRPr="00754BE2">
      <w:rPr>
        <w:rFonts w:ascii="Times New Roman" w:hAnsi="Times New Roman"/>
        <w:sz w:val="24"/>
        <w:szCs w:val="24"/>
      </w:rPr>
      <w:fldChar w:fldCharType="separate"/>
    </w:r>
    <w:r w:rsidR="00BF2411">
      <w:rPr>
        <w:rFonts w:ascii="Times New Roman" w:hAnsi="Times New Roman"/>
        <w:noProof/>
        <w:sz w:val="24"/>
        <w:szCs w:val="24"/>
      </w:rPr>
      <w:t>7</w:t>
    </w:r>
    <w:r w:rsidRPr="00754BE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2E" w:rsidRDefault="005A002E" w:rsidP="00184B32">
      <w:pPr>
        <w:spacing w:after="0" w:line="240" w:lineRule="auto"/>
      </w:pPr>
      <w:r>
        <w:separator/>
      </w:r>
    </w:p>
  </w:footnote>
  <w:footnote w:type="continuationSeparator" w:id="0">
    <w:p w:rsidR="005A002E" w:rsidRDefault="005A002E" w:rsidP="00184B32">
      <w:pPr>
        <w:spacing w:after="0" w:line="240" w:lineRule="auto"/>
      </w:pPr>
      <w:r>
        <w:continuationSeparator/>
      </w:r>
    </w:p>
  </w:footnote>
  <w:footnote w:id="1">
    <w:p w:rsidR="005A002E" w:rsidRPr="000E7D5B" w:rsidRDefault="005A002E" w:rsidP="00D91A87">
      <w:pPr>
        <w:pStyle w:val="FootnoteText"/>
        <w:rPr>
          <w:rFonts w:ascii="Times New Roman" w:hAnsi="Times New Roman" w:cs="Times New Roman"/>
        </w:rPr>
      </w:pPr>
      <w:r w:rsidRPr="000E7D5B">
        <w:rPr>
          <w:rStyle w:val="FootnoteReference"/>
          <w:rFonts w:ascii="Times New Roman" w:hAnsi="Times New Roman" w:cs="Times New Roman"/>
        </w:rPr>
        <w:footnoteRef/>
      </w:r>
      <w:r w:rsidRPr="000E7D5B">
        <w:rPr>
          <w:rFonts w:ascii="Times New Roman" w:hAnsi="Times New Roman" w:cs="Times New Roman"/>
        </w:rPr>
        <w:t xml:space="preserve"> Data for </w:t>
      </w:r>
      <w:r>
        <w:rPr>
          <w:rFonts w:ascii="Times New Roman" w:hAnsi="Times New Roman" w:cs="Times New Roman"/>
        </w:rPr>
        <w:t xml:space="preserve">BHCs </w:t>
      </w:r>
      <w:r w:rsidRPr="000E7D5B">
        <w:rPr>
          <w:rFonts w:ascii="Times New Roman" w:hAnsi="Times New Roman" w:cs="Times New Roman"/>
        </w:rPr>
        <w:t>with total exposures in excess of 100 billion euros are submitted to the B</w:t>
      </w:r>
      <w:r>
        <w:rPr>
          <w:rFonts w:ascii="Times New Roman" w:hAnsi="Times New Roman" w:cs="Times New Roman"/>
        </w:rPr>
        <w:t>CBS</w:t>
      </w:r>
      <w:r w:rsidRPr="000E7D5B">
        <w:rPr>
          <w:rFonts w:ascii="Times New Roman" w:hAnsi="Times New Roman" w:cs="Times New Roman"/>
        </w:rPr>
        <w:t xml:space="preserve"> for potential inclusion in the G-SIB assessment methodology.</w:t>
      </w:r>
    </w:p>
  </w:footnote>
  <w:footnote w:id="2">
    <w:p w:rsidR="005A002E" w:rsidRPr="00073CAD" w:rsidRDefault="005A002E" w:rsidP="000263A8">
      <w:pPr>
        <w:pStyle w:val="FootnoteText"/>
        <w:rPr>
          <w:rFonts w:ascii="Times New Roman" w:hAnsi="Times New Roman" w:cs="Times New Roman"/>
          <w:b/>
        </w:rPr>
      </w:pPr>
      <w:r w:rsidRPr="00AF7647">
        <w:rPr>
          <w:rStyle w:val="FootnoteReference"/>
          <w:rFonts w:ascii="Times New Roman" w:hAnsi="Times New Roman" w:cs="Times New Roman"/>
        </w:rPr>
        <w:footnoteRef/>
      </w:r>
      <w:r w:rsidRPr="00AF7647">
        <w:rPr>
          <w:rFonts w:ascii="Times New Roman" w:hAnsi="Times New Roman" w:cs="Times New Roman"/>
        </w:rPr>
        <w:t xml:space="preserve"> </w:t>
      </w:r>
      <w:r>
        <w:rPr>
          <w:rFonts w:ascii="Times New Roman" w:hAnsi="Times New Roman" w:cs="Times New Roman"/>
        </w:rPr>
        <w:t>For definitions of Level 1 and Level 2 assets, s</w:t>
      </w:r>
      <w:r w:rsidRPr="00AF7647">
        <w:rPr>
          <w:rFonts w:ascii="Times New Roman" w:hAnsi="Times New Roman" w:cs="Times New Roman"/>
        </w:rPr>
        <w:t xml:space="preserve">ee </w:t>
      </w:r>
      <w:r w:rsidRPr="00AF7647">
        <w:rPr>
          <w:rFonts w:ascii="Times New Roman" w:hAnsi="Times New Roman" w:cs="Times New Roman"/>
          <w:i/>
        </w:rPr>
        <w:t xml:space="preserve">Basel III: International </w:t>
      </w:r>
      <w:r>
        <w:rPr>
          <w:rFonts w:ascii="Times New Roman" w:hAnsi="Times New Roman" w:cs="Times New Roman"/>
          <w:i/>
        </w:rPr>
        <w:t>f</w:t>
      </w:r>
      <w:r w:rsidRPr="00AF7647">
        <w:rPr>
          <w:rFonts w:ascii="Times New Roman" w:hAnsi="Times New Roman" w:cs="Times New Roman"/>
          <w:i/>
        </w:rPr>
        <w:t xml:space="preserve">ramework for </w:t>
      </w:r>
      <w:r>
        <w:rPr>
          <w:rFonts w:ascii="Times New Roman" w:hAnsi="Times New Roman" w:cs="Times New Roman"/>
          <w:i/>
        </w:rPr>
        <w:t>l</w:t>
      </w:r>
      <w:r w:rsidRPr="00AF7647">
        <w:rPr>
          <w:rFonts w:ascii="Times New Roman" w:hAnsi="Times New Roman" w:cs="Times New Roman"/>
          <w:i/>
        </w:rPr>
        <w:t xml:space="preserve">iquidity </w:t>
      </w:r>
      <w:r>
        <w:rPr>
          <w:rFonts w:ascii="Times New Roman" w:hAnsi="Times New Roman" w:cs="Times New Roman"/>
          <w:i/>
        </w:rPr>
        <w:t>r</w:t>
      </w:r>
      <w:r w:rsidRPr="00AF7647">
        <w:rPr>
          <w:rFonts w:ascii="Times New Roman" w:hAnsi="Times New Roman" w:cs="Times New Roman"/>
          <w:i/>
        </w:rPr>
        <w:t xml:space="preserve">isk </w:t>
      </w:r>
      <w:r>
        <w:rPr>
          <w:rFonts w:ascii="Times New Roman" w:hAnsi="Times New Roman" w:cs="Times New Roman"/>
          <w:i/>
        </w:rPr>
        <w:t>m</w:t>
      </w:r>
      <w:r w:rsidRPr="00AF7647">
        <w:rPr>
          <w:rFonts w:ascii="Times New Roman" w:hAnsi="Times New Roman" w:cs="Times New Roman"/>
          <w:i/>
        </w:rPr>
        <w:t xml:space="preserve">easurements, </w:t>
      </w:r>
      <w:r>
        <w:rPr>
          <w:rFonts w:ascii="Times New Roman" w:hAnsi="Times New Roman" w:cs="Times New Roman"/>
          <w:i/>
        </w:rPr>
        <w:t>s</w:t>
      </w:r>
      <w:r w:rsidRPr="00AF7647">
        <w:rPr>
          <w:rFonts w:ascii="Times New Roman" w:hAnsi="Times New Roman" w:cs="Times New Roman"/>
          <w:i/>
        </w:rPr>
        <w:t xml:space="preserve">tandards and </w:t>
      </w:r>
      <w:r>
        <w:rPr>
          <w:rFonts w:ascii="Times New Roman" w:hAnsi="Times New Roman" w:cs="Times New Roman"/>
          <w:i/>
        </w:rPr>
        <w:t>m</w:t>
      </w:r>
      <w:r w:rsidRPr="00AF7647">
        <w:rPr>
          <w:rFonts w:ascii="Times New Roman" w:hAnsi="Times New Roman" w:cs="Times New Roman"/>
          <w:i/>
        </w:rPr>
        <w:t>onitoring</w:t>
      </w:r>
      <w:r w:rsidRPr="00AF7647">
        <w:rPr>
          <w:rFonts w:ascii="Times New Roman" w:hAnsi="Times New Roman" w:cs="Times New Roman"/>
        </w:rPr>
        <w:t xml:space="preserve"> (De</w:t>
      </w:r>
      <w:r>
        <w:rPr>
          <w:rFonts w:ascii="Times New Roman" w:hAnsi="Times New Roman" w:cs="Times New Roman"/>
        </w:rPr>
        <w:t>c.</w:t>
      </w:r>
      <w:r w:rsidRPr="00AF7647">
        <w:rPr>
          <w:rFonts w:ascii="Times New Roman" w:hAnsi="Times New Roman" w:cs="Times New Roman"/>
        </w:rPr>
        <w:t xml:space="preserve"> 2010)</w:t>
      </w:r>
      <w:r>
        <w:rPr>
          <w:rFonts w:ascii="Times New Roman" w:hAnsi="Times New Roman" w:cs="Times New Roman"/>
        </w:rPr>
        <w:t xml:space="preserve">, available at </w:t>
      </w:r>
      <w:hyperlink r:id="rId1" w:history="1">
        <w:r w:rsidRPr="0093191F">
          <w:rPr>
            <w:rStyle w:val="Hyperlink"/>
            <w:rFonts w:ascii="Times New Roman" w:hAnsi="Times New Roman" w:cs="Times New Roman"/>
          </w:rPr>
          <w:t>http://www.bis.org/publ/bcbs188.pdf</w:t>
        </w:r>
      </w:hyperlink>
      <w:r w:rsidRPr="00AF7647">
        <w:rPr>
          <w:rFonts w:ascii="Times New Roman" w:hAnsi="Times New Roman" w:cs="Times New Roman"/>
        </w:rPr>
        <w:t xml:space="preserve">. </w:t>
      </w:r>
      <w:r>
        <w:rPr>
          <w:rFonts w:ascii="Times New Roman" w:hAnsi="Times New Roman" w:cs="Times New Roman"/>
        </w:rPr>
        <w:t xml:space="preserve"> For a definition of Level 3 measurement inputs see FASB ASC Topic 820</w:t>
      </w:r>
      <w:r w:rsidRPr="00F51CFC">
        <w:rPr>
          <w:rFonts w:ascii="Times New Roman" w:hAnsi="Times New Roman"/>
          <w:lang w:eastAsia="ja-JP"/>
        </w:rPr>
        <w:t>, Fair Value Measurements and Disclosures (formerly FASB Statement No. 157, Fair Value Measurements)</w:t>
      </w:r>
      <w:r>
        <w:rPr>
          <w:rFonts w:ascii="Times New Roman" w:hAnsi="Times New Roman"/>
          <w:b/>
          <w:lang w:eastAsia="ja-JP"/>
        </w:rPr>
        <w:t>.</w:t>
      </w:r>
    </w:p>
  </w:footnote>
  <w:footnote w:id="3">
    <w:p w:rsidR="005A002E" w:rsidRPr="00361AC0" w:rsidRDefault="005A002E" w:rsidP="000E7D5B">
      <w:pPr>
        <w:pStyle w:val="FootnoteText"/>
        <w:rPr>
          <w:rFonts w:ascii="Times New Roman" w:hAnsi="Times New Roman" w:cs="Times New Roman"/>
        </w:rPr>
      </w:pPr>
      <w:r w:rsidRPr="00947711">
        <w:rPr>
          <w:rStyle w:val="FootnoteReference"/>
          <w:rFonts w:ascii="Times New Roman" w:hAnsi="Times New Roman" w:cs="Times New Roman"/>
        </w:rPr>
        <w:footnoteRef/>
      </w:r>
      <w:r w:rsidRPr="00947711">
        <w:rPr>
          <w:rFonts w:ascii="Times New Roman" w:hAnsi="Times New Roman" w:cs="Times New Roman"/>
        </w:rPr>
        <w:t xml:space="preserve"> The initial capital requirement is scheduled to be phased-in starting in </w:t>
      </w:r>
      <w:r w:rsidRPr="00361AC0">
        <w:rPr>
          <w:rFonts w:ascii="Times New Roman" w:hAnsi="Times New Roman" w:cs="Times New Roman"/>
        </w:rPr>
        <w:t>January 2016.</w:t>
      </w:r>
    </w:p>
  </w:footnote>
  <w:footnote w:id="4">
    <w:p w:rsidR="005A002E" w:rsidRPr="00361AC0" w:rsidRDefault="005A002E" w:rsidP="00766C88">
      <w:pPr>
        <w:pStyle w:val="FootnoteText"/>
        <w:rPr>
          <w:rFonts w:ascii="Times New Roman" w:hAnsi="Times New Roman" w:cs="Times New Roman"/>
        </w:rPr>
      </w:pPr>
      <w:r w:rsidRPr="00361AC0">
        <w:rPr>
          <w:rStyle w:val="FootnoteReference"/>
          <w:rFonts w:ascii="Times New Roman" w:hAnsi="Times New Roman" w:cs="Times New Roman"/>
        </w:rPr>
        <w:footnoteRef/>
      </w:r>
      <w:r w:rsidRPr="00361AC0">
        <w:rPr>
          <w:rFonts w:ascii="Times New Roman" w:hAnsi="Times New Roman" w:cs="Times New Roman"/>
        </w:rPr>
        <w:t xml:space="preserve"> </w:t>
      </w:r>
      <w:r w:rsidRPr="00947711">
        <w:rPr>
          <w:rFonts w:ascii="Times New Roman" w:hAnsi="Times New Roman" w:cs="Times New Roman"/>
        </w:rPr>
        <w:t xml:space="preserve">See </w:t>
      </w:r>
      <w:r w:rsidRPr="00947711">
        <w:rPr>
          <w:rFonts w:ascii="Times New Roman" w:hAnsi="Times New Roman" w:cs="Times New Roman"/>
          <w:i/>
        </w:rPr>
        <w:t>Update of group of global systemically important banks (G-SIBs)</w:t>
      </w:r>
      <w:r w:rsidRPr="00947711">
        <w:rPr>
          <w:rFonts w:ascii="Times New Roman" w:hAnsi="Times New Roman" w:cs="Times New Roman"/>
        </w:rPr>
        <w:t xml:space="preserve">, available at </w:t>
      </w:r>
      <w:hyperlink r:id="rId2" w:history="1">
        <w:r w:rsidRPr="00361AC0">
          <w:rPr>
            <w:rStyle w:val="Hyperlink"/>
            <w:rFonts w:ascii="Times New Roman" w:hAnsi="Times New Roman" w:cs="Times New Roman"/>
          </w:rPr>
          <w:t>www.financialstabilityboard.org/publications/r_121031ac.pdf</w:t>
        </w:r>
      </w:hyperlink>
      <w:r w:rsidRPr="00361AC0">
        <w:rPr>
          <w:rFonts w:ascii="Times New Roman" w:hAnsi="Times New Roman" w:cs="Times New Roman"/>
        </w:rPr>
        <w:t>.</w:t>
      </w:r>
    </w:p>
  </w:footnote>
  <w:footnote w:id="5">
    <w:p w:rsidR="005A002E" w:rsidRPr="00AC760E" w:rsidRDefault="005A002E">
      <w:pPr>
        <w:pStyle w:val="FootnoteText"/>
        <w:rPr>
          <w:rFonts w:ascii="Times New Roman" w:hAnsi="Times New Roman" w:cs="Times New Roman"/>
        </w:rPr>
      </w:pPr>
      <w:r w:rsidRPr="00AC760E">
        <w:rPr>
          <w:rStyle w:val="FootnoteReference"/>
          <w:rFonts w:ascii="Times New Roman" w:hAnsi="Times New Roman" w:cs="Times New Roman"/>
        </w:rPr>
        <w:footnoteRef/>
      </w:r>
      <w:r w:rsidRPr="00AC760E">
        <w:rPr>
          <w:rFonts w:ascii="Times New Roman" w:hAnsi="Times New Roman" w:cs="Times New Roman"/>
        </w:rPr>
        <w:t xml:space="preserve"> Of the 33</w:t>
      </w:r>
      <w:r>
        <w:rPr>
          <w:rFonts w:ascii="Times New Roman" w:hAnsi="Times New Roman" w:cs="Times New Roman"/>
        </w:rPr>
        <w:t xml:space="preserve"> </w:t>
      </w:r>
      <w:r w:rsidRPr="00AC760E">
        <w:rPr>
          <w:rFonts w:ascii="Times New Roman" w:hAnsi="Times New Roman" w:cs="Times New Roman"/>
        </w:rPr>
        <w:t>respondents required to comply with this information collection, none are small entities as defined by the Small Business Administratio</w:t>
      </w:r>
      <w:r w:rsidRPr="003A2719">
        <w:rPr>
          <w:rFonts w:ascii="Times New Roman" w:hAnsi="Times New Roman" w:cs="Times New Roman"/>
        </w:rPr>
        <w:t>n (</w:t>
      </w:r>
      <w:r w:rsidRPr="00942B33">
        <w:rPr>
          <w:rFonts w:ascii="Times New Roman" w:hAnsi="Times New Roman" w:cs="Times New Roman"/>
        </w:rPr>
        <w:t>i.e.,</w:t>
      </w:r>
      <w:r w:rsidRPr="003A2719">
        <w:rPr>
          <w:rFonts w:ascii="Times New Roman" w:hAnsi="Times New Roman" w:cs="Times New Roman"/>
        </w:rPr>
        <w:t xml:space="preserve"> entities </w:t>
      </w:r>
      <w:r w:rsidRPr="00AC760E">
        <w:rPr>
          <w:rFonts w:ascii="Times New Roman" w:hAnsi="Times New Roman" w:cs="Times New Roman"/>
        </w:rPr>
        <w:t>with less than $175 million in total assets).</w:t>
      </w:r>
    </w:p>
  </w:footnote>
  <w:footnote w:id="6">
    <w:p w:rsidR="005A002E" w:rsidRPr="00FC2713" w:rsidRDefault="005A002E">
      <w:pPr>
        <w:pStyle w:val="FootnoteText"/>
        <w:rPr>
          <w:rFonts w:ascii="Times New Roman" w:hAnsi="Times New Roman" w:cs="Times New Roman"/>
        </w:rPr>
      </w:pPr>
      <w:r w:rsidRPr="00FC2713">
        <w:rPr>
          <w:rStyle w:val="FootnoteReference"/>
          <w:rFonts w:ascii="Times New Roman" w:hAnsi="Times New Roman" w:cs="Times New Roman"/>
        </w:rPr>
        <w:footnoteRef/>
      </w:r>
      <w:r w:rsidRPr="00FC2713">
        <w:rPr>
          <w:rFonts w:ascii="Times New Roman" w:hAnsi="Times New Roman" w:cs="Times New Roman"/>
        </w:rPr>
        <w:t xml:space="preserve"> Total cost to the public was estimated using the following formula: percent of staff time, multiplied by annual burden hours, multiplied by hourly rate (30% Office &amp; Administrative Support </w:t>
      </w:r>
      <w:r>
        <w:rPr>
          <w:rFonts w:ascii="Times New Roman" w:hAnsi="Times New Roman" w:cs="Times New Roman"/>
        </w:rPr>
        <w:t>at</w:t>
      </w:r>
      <w:r w:rsidRPr="00FC2713">
        <w:rPr>
          <w:rFonts w:ascii="Times New Roman" w:hAnsi="Times New Roman" w:cs="Times New Roman"/>
        </w:rPr>
        <w:t xml:space="preserve"> $17</w:t>
      </w:r>
      <w:r>
        <w:rPr>
          <w:rFonts w:ascii="Times New Roman" w:hAnsi="Times New Roman" w:cs="Times New Roman"/>
        </w:rPr>
        <w:t xml:space="preserve"> per hour</w:t>
      </w:r>
      <w:r w:rsidRPr="00FC2713">
        <w:rPr>
          <w:rFonts w:ascii="Times New Roman" w:hAnsi="Times New Roman" w:cs="Times New Roman"/>
        </w:rPr>
        <w:t xml:space="preserve">, 45% Financial Managers </w:t>
      </w:r>
      <w:r>
        <w:rPr>
          <w:rFonts w:ascii="Times New Roman" w:hAnsi="Times New Roman" w:cs="Times New Roman"/>
        </w:rPr>
        <w:t xml:space="preserve">at </w:t>
      </w:r>
      <w:r w:rsidRPr="00FC2713">
        <w:rPr>
          <w:rFonts w:ascii="Times New Roman" w:hAnsi="Times New Roman" w:cs="Times New Roman"/>
        </w:rPr>
        <w:t>$52</w:t>
      </w:r>
      <w:r>
        <w:rPr>
          <w:rFonts w:ascii="Times New Roman" w:hAnsi="Times New Roman" w:cs="Times New Roman"/>
        </w:rPr>
        <w:t xml:space="preserve"> per hour</w:t>
      </w:r>
      <w:r w:rsidRPr="00FC2713">
        <w:rPr>
          <w:rFonts w:ascii="Times New Roman" w:hAnsi="Times New Roman" w:cs="Times New Roman"/>
        </w:rPr>
        <w:t xml:space="preserve">, 15% Legal Counsel </w:t>
      </w:r>
      <w:r>
        <w:rPr>
          <w:rFonts w:ascii="Times New Roman" w:hAnsi="Times New Roman" w:cs="Times New Roman"/>
        </w:rPr>
        <w:t>at</w:t>
      </w:r>
      <w:r w:rsidRPr="00FC2713">
        <w:rPr>
          <w:rFonts w:ascii="Times New Roman" w:hAnsi="Times New Roman" w:cs="Times New Roman"/>
        </w:rPr>
        <w:t xml:space="preserve"> $55</w:t>
      </w:r>
      <w:r>
        <w:rPr>
          <w:rFonts w:ascii="Times New Roman" w:hAnsi="Times New Roman" w:cs="Times New Roman"/>
        </w:rPr>
        <w:t xml:space="preserve"> per hour</w:t>
      </w:r>
      <w:r w:rsidRPr="00FC2713">
        <w:rPr>
          <w:rFonts w:ascii="Times New Roman" w:hAnsi="Times New Roman" w:cs="Times New Roman"/>
        </w:rPr>
        <w:t xml:space="preserve">, and 10% Chief Executives </w:t>
      </w:r>
      <w:r>
        <w:rPr>
          <w:rFonts w:ascii="Times New Roman" w:hAnsi="Times New Roman" w:cs="Times New Roman"/>
        </w:rPr>
        <w:t>at</w:t>
      </w:r>
      <w:r w:rsidRPr="00FC2713">
        <w:rPr>
          <w:rFonts w:ascii="Times New Roman" w:hAnsi="Times New Roman" w:cs="Times New Roman"/>
        </w:rPr>
        <w:t xml:space="preserve"> $81</w:t>
      </w:r>
      <w:r>
        <w:rPr>
          <w:rFonts w:ascii="Times New Roman" w:hAnsi="Times New Roman" w:cs="Times New Roman"/>
        </w:rPr>
        <w:t xml:space="preserve"> per hour</w:t>
      </w:r>
      <w:r w:rsidRPr="00FC2713">
        <w:rPr>
          <w:rFonts w:ascii="Times New Roman" w:hAnsi="Times New Roman" w:cs="Times New Roman"/>
        </w:rPr>
        <w:t xml:space="preserve">).  Hourly rate for each occupational group are the median hourly wages (rounded up) from the Bureau of Labor and Statistics (BLS), Occupational Employment and Wages 2011, </w:t>
      </w:r>
      <w:hyperlink r:id="rId3" w:history="1">
        <w:r w:rsidRPr="00C8725B">
          <w:rPr>
            <w:rStyle w:val="Hyperlink"/>
            <w:rFonts w:ascii="Times New Roman" w:hAnsi="Times New Roman" w:cs="Times New Roman"/>
          </w:rPr>
          <w:t>www.bls.gov/news.release/ocwage.nr0.htm</w:t>
        </w:r>
      </w:hyperlink>
      <w:r>
        <w:rPr>
          <w:rFonts w:ascii="Times New Roman" w:hAnsi="Times New Roman" w:cs="Times New Roman"/>
        </w:rPr>
        <w:t>.</w:t>
      </w:r>
      <w:r w:rsidRPr="00FC2713">
        <w:rPr>
          <w:rFonts w:ascii="Times New Roman" w:hAnsi="Times New Roman" w:cs="Times New Roman"/>
        </w:rPr>
        <w:t xml:space="preserve">  Occupations are defined using the BLS Occupational Classification System, </w:t>
      </w:r>
      <w:hyperlink r:id="rId4" w:history="1">
        <w:r w:rsidRPr="00C8725B">
          <w:rPr>
            <w:rStyle w:val="Hyperlink"/>
            <w:rFonts w:ascii="Times New Roman" w:hAnsi="Times New Roman" w:cs="Times New Roman"/>
          </w:rPr>
          <w:t>www.bls.gov/soc/</w:t>
        </w:r>
      </w:hyperlink>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13A96"/>
    <w:multiLevelType w:val="hybridMultilevel"/>
    <w:tmpl w:val="8FE6ED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75C31D98"/>
    <w:multiLevelType w:val="hybridMultilevel"/>
    <w:tmpl w:val="53FEBDA8"/>
    <w:lvl w:ilvl="0" w:tplc="1CC2B99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B6BE6"/>
    <w:multiLevelType w:val="hybridMultilevel"/>
    <w:tmpl w:val="63B6D4D2"/>
    <w:lvl w:ilvl="0" w:tplc="22BE2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1F189D"/>
    <w:multiLevelType w:val="hybridMultilevel"/>
    <w:tmpl w:val="FCD4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FD"/>
    <w:rsid w:val="0000001A"/>
    <w:rsid w:val="00000400"/>
    <w:rsid w:val="00001F93"/>
    <w:rsid w:val="000042AC"/>
    <w:rsid w:val="000130C3"/>
    <w:rsid w:val="00014463"/>
    <w:rsid w:val="00017738"/>
    <w:rsid w:val="00020C5C"/>
    <w:rsid w:val="0002103F"/>
    <w:rsid w:val="000263A8"/>
    <w:rsid w:val="00027708"/>
    <w:rsid w:val="00032B85"/>
    <w:rsid w:val="00035B9A"/>
    <w:rsid w:val="00040F81"/>
    <w:rsid w:val="0004186F"/>
    <w:rsid w:val="00041CF8"/>
    <w:rsid w:val="00043723"/>
    <w:rsid w:val="00050BE6"/>
    <w:rsid w:val="00051B5F"/>
    <w:rsid w:val="0005785B"/>
    <w:rsid w:val="0006250E"/>
    <w:rsid w:val="00073CAD"/>
    <w:rsid w:val="00074235"/>
    <w:rsid w:val="00074FF3"/>
    <w:rsid w:val="00081D28"/>
    <w:rsid w:val="0008299B"/>
    <w:rsid w:val="000847A3"/>
    <w:rsid w:val="00084E13"/>
    <w:rsid w:val="000857B1"/>
    <w:rsid w:val="00085D98"/>
    <w:rsid w:val="00086FDB"/>
    <w:rsid w:val="00087E62"/>
    <w:rsid w:val="00090FCF"/>
    <w:rsid w:val="000935CF"/>
    <w:rsid w:val="00095022"/>
    <w:rsid w:val="000B3F0C"/>
    <w:rsid w:val="000B59E3"/>
    <w:rsid w:val="000C476D"/>
    <w:rsid w:val="000D1F26"/>
    <w:rsid w:val="000D2727"/>
    <w:rsid w:val="000D50BF"/>
    <w:rsid w:val="000D608F"/>
    <w:rsid w:val="000D6E45"/>
    <w:rsid w:val="000E142A"/>
    <w:rsid w:val="000E5E6B"/>
    <w:rsid w:val="000E7D5B"/>
    <w:rsid w:val="000F7B55"/>
    <w:rsid w:val="0010496D"/>
    <w:rsid w:val="00107651"/>
    <w:rsid w:val="00110FC0"/>
    <w:rsid w:val="001139D3"/>
    <w:rsid w:val="00113CF8"/>
    <w:rsid w:val="00124C3C"/>
    <w:rsid w:val="00126F4D"/>
    <w:rsid w:val="00127FE6"/>
    <w:rsid w:val="00133AA0"/>
    <w:rsid w:val="001371AB"/>
    <w:rsid w:val="00137806"/>
    <w:rsid w:val="001450CC"/>
    <w:rsid w:val="00145B87"/>
    <w:rsid w:val="001647F4"/>
    <w:rsid w:val="00173AAB"/>
    <w:rsid w:val="00173C0B"/>
    <w:rsid w:val="00184122"/>
    <w:rsid w:val="00184B32"/>
    <w:rsid w:val="00185A9F"/>
    <w:rsid w:val="001915D6"/>
    <w:rsid w:val="0019445F"/>
    <w:rsid w:val="00195252"/>
    <w:rsid w:val="001A12B0"/>
    <w:rsid w:val="001A1AC9"/>
    <w:rsid w:val="001A377C"/>
    <w:rsid w:val="001A6C4E"/>
    <w:rsid w:val="001B0BFD"/>
    <w:rsid w:val="001C2949"/>
    <w:rsid w:val="001C63E3"/>
    <w:rsid w:val="001C71F1"/>
    <w:rsid w:val="001D5F2D"/>
    <w:rsid w:val="001D7620"/>
    <w:rsid w:val="001D788A"/>
    <w:rsid w:val="001E4D17"/>
    <w:rsid w:val="001E6091"/>
    <w:rsid w:val="001F0A2D"/>
    <w:rsid w:val="001F5F7B"/>
    <w:rsid w:val="001F72B9"/>
    <w:rsid w:val="00202D06"/>
    <w:rsid w:val="00204DEF"/>
    <w:rsid w:val="00210813"/>
    <w:rsid w:val="00213682"/>
    <w:rsid w:val="0021395F"/>
    <w:rsid w:val="002208E6"/>
    <w:rsid w:val="002223A7"/>
    <w:rsid w:val="00223883"/>
    <w:rsid w:val="00223D84"/>
    <w:rsid w:val="00230264"/>
    <w:rsid w:val="00230920"/>
    <w:rsid w:val="0023388C"/>
    <w:rsid w:val="0023523D"/>
    <w:rsid w:val="00236B1B"/>
    <w:rsid w:val="00236CA7"/>
    <w:rsid w:val="00237197"/>
    <w:rsid w:val="00237960"/>
    <w:rsid w:val="002438DB"/>
    <w:rsid w:val="00244930"/>
    <w:rsid w:val="00253BC1"/>
    <w:rsid w:val="00260162"/>
    <w:rsid w:val="00263EED"/>
    <w:rsid w:val="00270F48"/>
    <w:rsid w:val="00272338"/>
    <w:rsid w:val="0028004F"/>
    <w:rsid w:val="00282CAD"/>
    <w:rsid w:val="00284A8E"/>
    <w:rsid w:val="00290C08"/>
    <w:rsid w:val="002938EB"/>
    <w:rsid w:val="002956C3"/>
    <w:rsid w:val="0029680B"/>
    <w:rsid w:val="002A187B"/>
    <w:rsid w:val="002A1ACC"/>
    <w:rsid w:val="002A2F5D"/>
    <w:rsid w:val="002A4A13"/>
    <w:rsid w:val="002B15D8"/>
    <w:rsid w:val="002B2CAE"/>
    <w:rsid w:val="002B3879"/>
    <w:rsid w:val="002B7035"/>
    <w:rsid w:val="002C0238"/>
    <w:rsid w:val="002C087B"/>
    <w:rsid w:val="002C6437"/>
    <w:rsid w:val="002C7A01"/>
    <w:rsid w:val="002E053A"/>
    <w:rsid w:val="002E5A1E"/>
    <w:rsid w:val="002E74BB"/>
    <w:rsid w:val="002F3E82"/>
    <w:rsid w:val="00300828"/>
    <w:rsid w:val="003026F1"/>
    <w:rsid w:val="00304D38"/>
    <w:rsid w:val="00315A64"/>
    <w:rsid w:val="00325E74"/>
    <w:rsid w:val="00330D7A"/>
    <w:rsid w:val="00332B17"/>
    <w:rsid w:val="0033511E"/>
    <w:rsid w:val="00335312"/>
    <w:rsid w:val="00344055"/>
    <w:rsid w:val="00347CF8"/>
    <w:rsid w:val="00354F94"/>
    <w:rsid w:val="0035523B"/>
    <w:rsid w:val="00357ADE"/>
    <w:rsid w:val="0036068A"/>
    <w:rsid w:val="00361AC0"/>
    <w:rsid w:val="00361C3F"/>
    <w:rsid w:val="00366803"/>
    <w:rsid w:val="003742A7"/>
    <w:rsid w:val="00374C1A"/>
    <w:rsid w:val="003774CB"/>
    <w:rsid w:val="00382157"/>
    <w:rsid w:val="003905EA"/>
    <w:rsid w:val="00390620"/>
    <w:rsid w:val="0039156B"/>
    <w:rsid w:val="00391D66"/>
    <w:rsid w:val="003A2719"/>
    <w:rsid w:val="003A2F07"/>
    <w:rsid w:val="003A649B"/>
    <w:rsid w:val="003A6CA3"/>
    <w:rsid w:val="003B2463"/>
    <w:rsid w:val="003B4A87"/>
    <w:rsid w:val="003B617B"/>
    <w:rsid w:val="003B63B3"/>
    <w:rsid w:val="003C3ACE"/>
    <w:rsid w:val="003C65DE"/>
    <w:rsid w:val="003D0CBF"/>
    <w:rsid w:val="003D515D"/>
    <w:rsid w:val="003E0AE9"/>
    <w:rsid w:val="003E549D"/>
    <w:rsid w:val="003F0C4D"/>
    <w:rsid w:val="003F0E10"/>
    <w:rsid w:val="003F58F7"/>
    <w:rsid w:val="003F7AD1"/>
    <w:rsid w:val="0040098D"/>
    <w:rsid w:val="00407ACE"/>
    <w:rsid w:val="00411CEE"/>
    <w:rsid w:val="00414B40"/>
    <w:rsid w:val="00423813"/>
    <w:rsid w:val="00430F97"/>
    <w:rsid w:val="004334DE"/>
    <w:rsid w:val="0043799F"/>
    <w:rsid w:val="00443938"/>
    <w:rsid w:val="0044549B"/>
    <w:rsid w:val="0044637D"/>
    <w:rsid w:val="00450C4D"/>
    <w:rsid w:val="00460511"/>
    <w:rsid w:val="0046263C"/>
    <w:rsid w:val="0046741F"/>
    <w:rsid w:val="0046773C"/>
    <w:rsid w:val="00472515"/>
    <w:rsid w:val="00473079"/>
    <w:rsid w:val="00473215"/>
    <w:rsid w:val="00474C51"/>
    <w:rsid w:val="00474F71"/>
    <w:rsid w:val="004767FC"/>
    <w:rsid w:val="00476D2B"/>
    <w:rsid w:val="00480511"/>
    <w:rsid w:val="00482B49"/>
    <w:rsid w:val="004906EB"/>
    <w:rsid w:val="004932E4"/>
    <w:rsid w:val="00494D12"/>
    <w:rsid w:val="004A1A17"/>
    <w:rsid w:val="004A4771"/>
    <w:rsid w:val="004B1E43"/>
    <w:rsid w:val="004B6B78"/>
    <w:rsid w:val="004D036E"/>
    <w:rsid w:val="004D63BD"/>
    <w:rsid w:val="004E1500"/>
    <w:rsid w:val="004E19B7"/>
    <w:rsid w:val="004E60F1"/>
    <w:rsid w:val="005000F4"/>
    <w:rsid w:val="00504B89"/>
    <w:rsid w:val="005079A1"/>
    <w:rsid w:val="005117E0"/>
    <w:rsid w:val="00512EAB"/>
    <w:rsid w:val="00516AD2"/>
    <w:rsid w:val="00520C12"/>
    <w:rsid w:val="00522436"/>
    <w:rsid w:val="00522FB8"/>
    <w:rsid w:val="0052367A"/>
    <w:rsid w:val="005252C1"/>
    <w:rsid w:val="0052626C"/>
    <w:rsid w:val="00526C3C"/>
    <w:rsid w:val="00527463"/>
    <w:rsid w:val="00530AC1"/>
    <w:rsid w:val="005318D0"/>
    <w:rsid w:val="00533BAC"/>
    <w:rsid w:val="00537A1A"/>
    <w:rsid w:val="00544508"/>
    <w:rsid w:val="00545796"/>
    <w:rsid w:val="00546DAA"/>
    <w:rsid w:val="00547E71"/>
    <w:rsid w:val="00553DD8"/>
    <w:rsid w:val="00555D68"/>
    <w:rsid w:val="0055759A"/>
    <w:rsid w:val="00561A5D"/>
    <w:rsid w:val="005852C2"/>
    <w:rsid w:val="00594F8E"/>
    <w:rsid w:val="00596F86"/>
    <w:rsid w:val="005A002E"/>
    <w:rsid w:val="005A038C"/>
    <w:rsid w:val="005A03C2"/>
    <w:rsid w:val="005B02AA"/>
    <w:rsid w:val="005B2EC1"/>
    <w:rsid w:val="005B7691"/>
    <w:rsid w:val="005C40BF"/>
    <w:rsid w:val="005D5CE5"/>
    <w:rsid w:val="005D6370"/>
    <w:rsid w:val="005E057F"/>
    <w:rsid w:val="00600F78"/>
    <w:rsid w:val="0060236F"/>
    <w:rsid w:val="006030A0"/>
    <w:rsid w:val="00612E73"/>
    <w:rsid w:val="00614B4C"/>
    <w:rsid w:val="00615EB6"/>
    <w:rsid w:val="006168FB"/>
    <w:rsid w:val="0062163D"/>
    <w:rsid w:val="00626D5C"/>
    <w:rsid w:val="00626DA3"/>
    <w:rsid w:val="006271D3"/>
    <w:rsid w:val="00627AA7"/>
    <w:rsid w:val="00627B41"/>
    <w:rsid w:val="00627DA6"/>
    <w:rsid w:val="0063196C"/>
    <w:rsid w:val="00631E84"/>
    <w:rsid w:val="006366A0"/>
    <w:rsid w:val="00637FC8"/>
    <w:rsid w:val="006425AB"/>
    <w:rsid w:val="00646C46"/>
    <w:rsid w:val="00647ED9"/>
    <w:rsid w:val="00653BD1"/>
    <w:rsid w:val="00657F57"/>
    <w:rsid w:val="006616EF"/>
    <w:rsid w:val="00661AA8"/>
    <w:rsid w:val="00661E03"/>
    <w:rsid w:val="0066404F"/>
    <w:rsid w:val="00664F57"/>
    <w:rsid w:val="00667FAE"/>
    <w:rsid w:val="0067113A"/>
    <w:rsid w:val="00671EC6"/>
    <w:rsid w:val="00676A3C"/>
    <w:rsid w:val="00680881"/>
    <w:rsid w:val="00685E99"/>
    <w:rsid w:val="00687092"/>
    <w:rsid w:val="006931A9"/>
    <w:rsid w:val="00694DB9"/>
    <w:rsid w:val="006A3421"/>
    <w:rsid w:val="006A5567"/>
    <w:rsid w:val="006A6189"/>
    <w:rsid w:val="006A7864"/>
    <w:rsid w:val="006C3122"/>
    <w:rsid w:val="006C38C5"/>
    <w:rsid w:val="006C44CD"/>
    <w:rsid w:val="006D025F"/>
    <w:rsid w:val="006D64E0"/>
    <w:rsid w:val="006E0E8F"/>
    <w:rsid w:val="006E256E"/>
    <w:rsid w:val="006F48A2"/>
    <w:rsid w:val="006F79CB"/>
    <w:rsid w:val="00700F2B"/>
    <w:rsid w:val="00705D44"/>
    <w:rsid w:val="007120C8"/>
    <w:rsid w:val="00713252"/>
    <w:rsid w:val="00717A3C"/>
    <w:rsid w:val="00717F21"/>
    <w:rsid w:val="00722895"/>
    <w:rsid w:val="00723D2E"/>
    <w:rsid w:val="0073542C"/>
    <w:rsid w:val="007364A7"/>
    <w:rsid w:val="00743124"/>
    <w:rsid w:val="00743454"/>
    <w:rsid w:val="00745BC9"/>
    <w:rsid w:val="00754BE2"/>
    <w:rsid w:val="00765118"/>
    <w:rsid w:val="00766C88"/>
    <w:rsid w:val="0076726C"/>
    <w:rsid w:val="00772F99"/>
    <w:rsid w:val="00776525"/>
    <w:rsid w:val="00780C08"/>
    <w:rsid w:val="0078188D"/>
    <w:rsid w:val="00795044"/>
    <w:rsid w:val="007959B3"/>
    <w:rsid w:val="007B1914"/>
    <w:rsid w:val="007B3DA9"/>
    <w:rsid w:val="007C0CF9"/>
    <w:rsid w:val="007C19B7"/>
    <w:rsid w:val="007C2A92"/>
    <w:rsid w:val="007E2480"/>
    <w:rsid w:val="007E3924"/>
    <w:rsid w:val="007E3B42"/>
    <w:rsid w:val="007E6144"/>
    <w:rsid w:val="007E7E3A"/>
    <w:rsid w:val="007F03D9"/>
    <w:rsid w:val="007F49A4"/>
    <w:rsid w:val="007F4A2B"/>
    <w:rsid w:val="007F4D51"/>
    <w:rsid w:val="0080612B"/>
    <w:rsid w:val="00811523"/>
    <w:rsid w:val="008132CC"/>
    <w:rsid w:val="00813C6D"/>
    <w:rsid w:val="0081693B"/>
    <w:rsid w:val="00817898"/>
    <w:rsid w:val="008201E5"/>
    <w:rsid w:val="00822B00"/>
    <w:rsid w:val="00830B10"/>
    <w:rsid w:val="00833D95"/>
    <w:rsid w:val="008365B2"/>
    <w:rsid w:val="00842745"/>
    <w:rsid w:val="00850D36"/>
    <w:rsid w:val="00851A60"/>
    <w:rsid w:val="008527D0"/>
    <w:rsid w:val="0085682C"/>
    <w:rsid w:val="00856E27"/>
    <w:rsid w:val="00862AD1"/>
    <w:rsid w:val="00865497"/>
    <w:rsid w:val="00875614"/>
    <w:rsid w:val="00875E31"/>
    <w:rsid w:val="00882055"/>
    <w:rsid w:val="00882F56"/>
    <w:rsid w:val="00883CF4"/>
    <w:rsid w:val="00891B5C"/>
    <w:rsid w:val="00893A49"/>
    <w:rsid w:val="008A24A7"/>
    <w:rsid w:val="008A28AE"/>
    <w:rsid w:val="008A402E"/>
    <w:rsid w:val="008A582C"/>
    <w:rsid w:val="008C305C"/>
    <w:rsid w:val="008C36DA"/>
    <w:rsid w:val="008C69F4"/>
    <w:rsid w:val="008C6BE3"/>
    <w:rsid w:val="008D10A9"/>
    <w:rsid w:val="008D5136"/>
    <w:rsid w:val="008D6657"/>
    <w:rsid w:val="008D7961"/>
    <w:rsid w:val="008D7D10"/>
    <w:rsid w:val="008E0774"/>
    <w:rsid w:val="008E60BB"/>
    <w:rsid w:val="00901EF0"/>
    <w:rsid w:val="00903E6A"/>
    <w:rsid w:val="00907AD2"/>
    <w:rsid w:val="009107AF"/>
    <w:rsid w:val="0091176C"/>
    <w:rsid w:val="009138E7"/>
    <w:rsid w:val="00914A9F"/>
    <w:rsid w:val="00930DBF"/>
    <w:rsid w:val="00935AD9"/>
    <w:rsid w:val="00942491"/>
    <w:rsid w:val="00942B33"/>
    <w:rsid w:val="00944F72"/>
    <w:rsid w:val="00947369"/>
    <w:rsid w:val="00947711"/>
    <w:rsid w:val="009516B3"/>
    <w:rsid w:val="0095392E"/>
    <w:rsid w:val="009627CB"/>
    <w:rsid w:val="00966B9E"/>
    <w:rsid w:val="00971742"/>
    <w:rsid w:val="009729ED"/>
    <w:rsid w:val="00975CAD"/>
    <w:rsid w:val="00986DD9"/>
    <w:rsid w:val="00991DDC"/>
    <w:rsid w:val="00992B4E"/>
    <w:rsid w:val="00997DC7"/>
    <w:rsid w:val="009A39E8"/>
    <w:rsid w:val="009A3AE0"/>
    <w:rsid w:val="009A6822"/>
    <w:rsid w:val="009A7463"/>
    <w:rsid w:val="009B40EB"/>
    <w:rsid w:val="009B5B96"/>
    <w:rsid w:val="009C08BB"/>
    <w:rsid w:val="009D07E1"/>
    <w:rsid w:val="009D6801"/>
    <w:rsid w:val="009E2C67"/>
    <w:rsid w:val="009E3DC5"/>
    <w:rsid w:val="009E7781"/>
    <w:rsid w:val="009E79B7"/>
    <w:rsid w:val="009F32E3"/>
    <w:rsid w:val="009F652D"/>
    <w:rsid w:val="009F68A7"/>
    <w:rsid w:val="009F6CC3"/>
    <w:rsid w:val="00A05E39"/>
    <w:rsid w:val="00A20A6E"/>
    <w:rsid w:val="00A21AE4"/>
    <w:rsid w:val="00A21B9F"/>
    <w:rsid w:val="00A33C60"/>
    <w:rsid w:val="00A41263"/>
    <w:rsid w:val="00A41533"/>
    <w:rsid w:val="00A4219B"/>
    <w:rsid w:val="00A4493C"/>
    <w:rsid w:val="00A55135"/>
    <w:rsid w:val="00A564C9"/>
    <w:rsid w:val="00A615EE"/>
    <w:rsid w:val="00A647F0"/>
    <w:rsid w:val="00A72A4D"/>
    <w:rsid w:val="00A72B8B"/>
    <w:rsid w:val="00A759C9"/>
    <w:rsid w:val="00A7751A"/>
    <w:rsid w:val="00A77909"/>
    <w:rsid w:val="00A8000F"/>
    <w:rsid w:val="00A82CA3"/>
    <w:rsid w:val="00A8405D"/>
    <w:rsid w:val="00A86A08"/>
    <w:rsid w:val="00AA5272"/>
    <w:rsid w:val="00AA6846"/>
    <w:rsid w:val="00AB2E09"/>
    <w:rsid w:val="00AB404F"/>
    <w:rsid w:val="00AC09B6"/>
    <w:rsid w:val="00AC4064"/>
    <w:rsid w:val="00AC4B19"/>
    <w:rsid w:val="00AC67C9"/>
    <w:rsid w:val="00AC760E"/>
    <w:rsid w:val="00AD0566"/>
    <w:rsid w:val="00AD16DC"/>
    <w:rsid w:val="00AD2CB6"/>
    <w:rsid w:val="00AE7AF6"/>
    <w:rsid w:val="00AF7647"/>
    <w:rsid w:val="00B027AD"/>
    <w:rsid w:val="00B06C1E"/>
    <w:rsid w:val="00B10C50"/>
    <w:rsid w:val="00B1164F"/>
    <w:rsid w:val="00B16C7B"/>
    <w:rsid w:val="00B27766"/>
    <w:rsid w:val="00B34397"/>
    <w:rsid w:val="00B36F6C"/>
    <w:rsid w:val="00B3788C"/>
    <w:rsid w:val="00B37B37"/>
    <w:rsid w:val="00B42F01"/>
    <w:rsid w:val="00B44AF2"/>
    <w:rsid w:val="00B456AE"/>
    <w:rsid w:val="00B66716"/>
    <w:rsid w:val="00B667EA"/>
    <w:rsid w:val="00B66EC3"/>
    <w:rsid w:val="00B72EBB"/>
    <w:rsid w:val="00B7376D"/>
    <w:rsid w:val="00B73AD0"/>
    <w:rsid w:val="00B811D4"/>
    <w:rsid w:val="00B8768F"/>
    <w:rsid w:val="00B876E0"/>
    <w:rsid w:val="00B90549"/>
    <w:rsid w:val="00B96DD0"/>
    <w:rsid w:val="00BA03C5"/>
    <w:rsid w:val="00BB0A71"/>
    <w:rsid w:val="00BB0CF0"/>
    <w:rsid w:val="00BB187D"/>
    <w:rsid w:val="00BB2460"/>
    <w:rsid w:val="00BB2BFA"/>
    <w:rsid w:val="00BB4D9B"/>
    <w:rsid w:val="00BB63E9"/>
    <w:rsid w:val="00BC2A62"/>
    <w:rsid w:val="00BC3FBA"/>
    <w:rsid w:val="00BC58F1"/>
    <w:rsid w:val="00BC5FD2"/>
    <w:rsid w:val="00BC6248"/>
    <w:rsid w:val="00BC7AB9"/>
    <w:rsid w:val="00BD1C3A"/>
    <w:rsid w:val="00BD5390"/>
    <w:rsid w:val="00BE01A1"/>
    <w:rsid w:val="00BE0A45"/>
    <w:rsid w:val="00BF0A62"/>
    <w:rsid w:val="00BF2283"/>
    <w:rsid w:val="00BF2411"/>
    <w:rsid w:val="00BF2AAE"/>
    <w:rsid w:val="00BF480A"/>
    <w:rsid w:val="00BF4F2F"/>
    <w:rsid w:val="00BF5A37"/>
    <w:rsid w:val="00C0144E"/>
    <w:rsid w:val="00C02C65"/>
    <w:rsid w:val="00C104F4"/>
    <w:rsid w:val="00C143DF"/>
    <w:rsid w:val="00C216A7"/>
    <w:rsid w:val="00C23077"/>
    <w:rsid w:val="00C34700"/>
    <w:rsid w:val="00C34F83"/>
    <w:rsid w:val="00C40037"/>
    <w:rsid w:val="00C40C35"/>
    <w:rsid w:val="00C45E4B"/>
    <w:rsid w:val="00C53561"/>
    <w:rsid w:val="00C54D8D"/>
    <w:rsid w:val="00C555E8"/>
    <w:rsid w:val="00C55BD7"/>
    <w:rsid w:val="00C6652C"/>
    <w:rsid w:val="00C75C9C"/>
    <w:rsid w:val="00C75D1F"/>
    <w:rsid w:val="00C82F0B"/>
    <w:rsid w:val="00C832AC"/>
    <w:rsid w:val="00C87159"/>
    <w:rsid w:val="00C8721B"/>
    <w:rsid w:val="00C8725B"/>
    <w:rsid w:val="00C8734A"/>
    <w:rsid w:val="00CA0F30"/>
    <w:rsid w:val="00CA36FA"/>
    <w:rsid w:val="00CA5DD4"/>
    <w:rsid w:val="00CB32A7"/>
    <w:rsid w:val="00CC10D8"/>
    <w:rsid w:val="00CD18E4"/>
    <w:rsid w:val="00CE080C"/>
    <w:rsid w:val="00CE4F0A"/>
    <w:rsid w:val="00CE7C5C"/>
    <w:rsid w:val="00CF2E20"/>
    <w:rsid w:val="00CF3BF5"/>
    <w:rsid w:val="00CF66B8"/>
    <w:rsid w:val="00CF7D79"/>
    <w:rsid w:val="00D027F2"/>
    <w:rsid w:val="00D02C2F"/>
    <w:rsid w:val="00D03C97"/>
    <w:rsid w:val="00D05651"/>
    <w:rsid w:val="00D079EA"/>
    <w:rsid w:val="00D2060B"/>
    <w:rsid w:val="00D21174"/>
    <w:rsid w:val="00D24036"/>
    <w:rsid w:val="00D25AEC"/>
    <w:rsid w:val="00D272EA"/>
    <w:rsid w:val="00D279F4"/>
    <w:rsid w:val="00D30EDF"/>
    <w:rsid w:val="00D37F8B"/>
    <w:rsid w:val="00D43F8E"/>
    <w:rsid w:val="00D47225"/>
    <w:rsid w:val="00D529DD"/>
    <w:rsid w:val="00D52C68"/>
    <w:rsid w:val="00D53927"/>
    <w:rsid w:val="00D56E52"/>
    <w:rsid w:val="00D57A84"/>
    <w:rsid w:val="00D61CBD"/>
    <w:rsid w:val="00D63205"/>
    <w:rsid w:val="00D6790B"/>
    <w:rsid w:val="00D712ED"/>
    <w:rsid w:val="00D717E6"/>
    <w:rsid w:val="00D7206C"/>
    <w:rsid w:val="00D73F59"/>
    <w:rsid w:val="00D75B6A"/>
    <w:rsid w:val="00D767DC"/>
    <w:rsid w:val="00D805E1"/>
    <w:rsid w:val="00D80B27"/>
    <w:rsid w:val="00D82F2B"/>
    <w:rsid w:val="00D82FED"/>
    <w:rsid w:val="00D8708F"/>
    <w:rsid w:val="00D91A87"/>
    <w:rsid w:val="00DA42E6"/>
    <w:rsid w:val="00DA6C61"/>
    <w:rsid w:val="00DB0532"/>
    <w:rsid w:val="00DB7E08"/>
    <w:rsid w:val="00DC16DE"/>
    <w:rsid w:val="00DC220D"/>
    <w:rsid w:val="00DC2BC0"/>
    <w:rsid w:val="00DC3C0E"/>
    <w:rsid w:val="00DC6028"/>
    <w:rsid w:val="00DD6B64"/>
    <w:rsid w:val="00DD721D"/>
    <w:rsid w:val="00DE2FA7"/>
    <w:rsid w:val="00DE30FC"/>
    <w:rsid w:val="00DF1F66"/>
    <w:rsid w:val="00E01405"/>
    <w:rsid w:val="00E0189F"/>
    <w:rsid w:val="00E0580F"/>
    <w:rsid w:val="00E138DD"/>
    <w:rsid w:val="00E14692"/>
    <w:rsid w:val="00E1670A"/>
    <w:rsid w:val="00E26A69"/>
    <w:rsid w:val="00E327F5"/>
    <w:rsid w:val="00E33011"/>
    <w:rsid w:val="00E33DAF"/>
    <w:rsid w:val="00E343C4"/>
    <w:rsid w:val="00E3710E"/>
    <w:rsid w:val="00E44327"/>
    <w:rsid w:val="00E526BC"/>
    <w:rsid w:val="00E5683E"/>
    <w:rsid w:val="00E56E85"/>
    <w:rsid w:val="00E577F2"/>
    <w:rsid w:val="00E60B32"/>
    <w:rsid w:val="00E65F69"/>
    <w:rsid w:val="00E66507"/>
    <w:rsid w:val="00E730A6"/>
    <w:rsid w:val="00E73D01"/>
    <w:rsid w:val="00E740E4"/>
    <w:rsid w:val="00E744EE"/>
    <w:rsid w:val="00E830F1"/>
    <w:rsid w:val="00E86C50"/>
    <w:rsid w:val="00E931C7"/>
    <w:rsid w:val="00E94E07"/>
    <w:rsid w:val="00EA2849"/>
    <w:rsid w:val="00EA6146"/>
    <w:rsid w:val="00EB35BE"/>
    <w:rsid w:val="00EB7E05"/>
    <w:rsid w:val="00EC751D"/>
    <w:rsid w:val="00ED3812"/>
    <w:rsid w:val="00ED6A9D"/>
    <w:rsid w:val="00EE51DB"/>
    <w:rsid w:val="00EE5E47"/>
    <w:rsid w:val="00EF2A62"/>
    <w:rsid w:val="00EF575E"/>
    <w:rsid w:val="00EF5DEF"/>
    <w:rsid w:val="00F00E51"/>
    <w:rsid w:val="00F01670"/>
    <w:rsid w:val="00F1304C"/>
    <w:rsid w:val="00F13DC9"/>
    <w:rsid w:val="00F14E09"/>
    <w:rsid w:val="00F17974"/>
    <w:rsid w:val="00F2215E"/>
    <w:rsid w:val="00F23F33"/>
    <w:rsid w:val="00F26158"/>
    <w:rsid w:val="00F31E8D"/>
    <w:rsid w:val="00F3327F"/>
    <w:rsid w:val="00F3352E"/>
    <w:rsid w:val="00F335E6"/>
    <w:rsid w:val="00F36716"/>
    <w:rsid w:val="00F369B0"/>
    <w:rsid w:val="00F40B71"/>
    <w:rsid w:val="00F413A5"/>
    <w:rsid w:val="00F4346F"/>
    <w:rsid w:val="00F44556"/>
    <w:rsid w:val="00F52B9E"/>
    <w:rsid w:val="00F563C9"/>
    <w:rsid w:val="00F60779"/>
    <w:rsid w:val="00F6343D"/>
    <w:rsid w:val="00F6746A"/>
    <w:rsid w:val="00F675F3"/>
    <w:rsid w:val="00F76C95"/>
    <w:rsid w:val="00F80F42"/>
    <w:rsid w:val="00F813C9"/>
    <w:rsid w:val="00F86EF0"/>
    <w:rsid w:val="00F900CE"/>
    <w:rsid w:val="00F91AD6"/>
    <w:rsid w:val="00F953D5"/>
    <w:rsid w:val="00FA0216"/>
    <w:rsid w:val="00FA0F6D"/>
    <w:rsid w:val="00FA1AAA"/>
    <w:rsid w:val="00FB3246"/>
    <w:rsid w:val="00FB5A61"/>
    <w:rsid w:val="00FC06FA"/>
    <w:rsid w:val="00FC2713"/>
    <w:rsid w:val="00FC48F1"/>
    <w:rsid w:val="00FC5CAE"/>
    <w:rsid w:val="00FC5DDF"/>
    <w:rsid w:val="00FC7DF5"/>
    <w:rsid w:val="00FD0418"/>
    <w:rsid w:val="00FD1230"/>
    <w:rsid w:val="00FD2D6A"/>
    <w:rsid w:val="00FD3816"/>
    <w:rsid w:val="00FD4CDF"/>
    <w:rsid w:val="00FE02FB"/>
    <w:rsid w:val="00FE5C32"/>
    <w:rsid w:val="00FE77A1"/>
    <w:rsid w:val="00FF2CF3"/>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38"/>
    <w:pPr>
      <w:spacing w:after="200" w:line="276" w:lineRule="auto"/>
    </w:pPr>
    <w:rPr>
      <w:sz w:val="22"/>
      <w:szCs w:val="22"/>
    </w:rPr>
  </w:style>
  <w:style w:type="paragraph" w:styleId="Heading1">
    <w:name w:val="heading 1"/>
    <w:basedOn w:val="Normal"/>
    <w:next w:val="Normal"/>
    <w:link w:val="Heading1Char"/>
    <w:uiPriority w:val="99"/>
    <w:qFormat/>
    <w:rsid w:val="00522FB8"/>
    <w:pPr>
      <w:keepNext/>
      <w:autoSpaceDE w:val="0"/>
      <w:autoSpaceDN w:val="0"/>
      <w:adjustRightInd w:val="0"/>
      <w:spacing w:after="0" w:line="240" w:lineRule="auto"/>
      <w:ind w:firstLine="360"/>
      <w:outlineLvl w:val="0"/>
    </w:pPr>
    <w:rPr>
      <w:rFonts w:ascii="Times" w:eastAsia="Times New Roman" w:hAnsi="Times" w:cs="Times"/>
      <w:sz w:val="24"/>
      <w:szCs w:val="24"/>
    </w:rPr>
  </w:style>
  <w:style w:type="paragraph" w:styleId="Heading3">
    <w:name w:val="heading 3"/>
    <w:basedOn w:val="Normal"/>
    <w:next w:val="Normal"/>
    <w:link w:val="Heading3Char"/>
    <w:qFormat/>
    <w:rsid w:val="00184B32"/>
    <w:pPr>
      <w:keepNext/>
      <w:spacing w:after="0" w:line="240" w:lineRule="auto"/>
      <w:jc w:val="center"/>
      <w:outlineLvl w:val="2"/>
    </w:pPr>
    <w:rPr>
      <w:rFonts w:ascii="Times New Roman" w:eastAsia="Times New Roman" w:hAnsi="Times New Roman"/>
      <w:b/>
      <w:smallCaps/>
      <w:sz w:val="20"/>
      <w:szCs w:val="20"/>
    </w:rPr>
  </w:style>
  <w:style w:type="paragraph" w:styleId="Heading5">
    <w:name w:val="heading 5"/>
    <w:basedOn w:val="Normal"/>
    <w:next w:val="Normal"/>
    <w:link w:val="Heading5Char"/>
    <w:qFormat/>
    <w:rsid w:val="0062163D"/>
    <w:pPr>
      <w:keepNext/>
      <w:spacing w:after="0" w:line="240" w:lineRule="auto"/>
      <w:outlineLvl w:val="4"/>
    </w:pPr>
    <w:rPr>
      <w:rFonts w:ascii="Times New Roman" w:eastAsia="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11E"/>
    <w:pPr>
      <w:ind w:left="720"/>
      <w:contextualSpacing/>
    </w:pPr>
  </w:style>
  <w:style w:type="paragraph" w:styleId="Header">
    <w:name w:val="header"/>
    <w:basedOn w:val="Normal"/>
    <w:link w:val="HeaderChar"/>
    <w:uiPriority w:val="99"/>
    <w:rsid w:val="00366803"/>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366803"/>
    <w:rPr>
      <w:rFonts w:ascii="Times New Roman" w:eastAsia="Times New Roman" w:hAnsi="Times New Roman" w:cs="Times New Roman"/>
      <w:sz w:val="24"/>
      <w:szCs w:val="20"/>
    </w:rPr>
  </w:style>
  <w:style w:type="table" w:styleId="TableGrid">
    <w:name w:val="Table Grid"/>
    <w:basedOn w:val="TableNormal"/>
    <w:uiPriority w:val="59"/>
    <w:rsid w:val="000D27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0D27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5">
    <w:name w:val="Medium Shading 2 Accent 5"/>
    <w:basedOn w:val="TableNormal"/>
    <w:uiPriority w:val="64"/>
    <w:rsid w:val="000D27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D27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link w:val="Heading3"/>
    <w:rsid w:val="00184B32"/>
    <w:rPr>
      <w:rFonts w:ascii="Times New Roman" w:eastAsia="Times New Roman" w:hAnsi="Times New Roman" w:cs="Times New Roman"/>
      <w:b/>
      <w:smallCaps/>
      <w:sz w:val="20"/>
      <w:szCs w:val="20"/>
    </w:rPr>
  </w:style>
  <w:style w:type="character" w:styleId="FootnoteReference">
    <w:name w:val="footnote reference"/>
    <w:uiPriority w:val="99"/>
    <w:rsid w:val="00184B32"/>
    <w:rPr>
      <w:vertAlign w:val="superscript"/>
    </w:rPr>
  </w:style>
  <w:style w:type="paragraph" w:customStyle="1" w:styleId="MemoHeader">
    <w:name w:val="Memo Header"/>
    <w:basedOn w:val="Normal"/>
    <w:next w:val="Normal"/>
    <w:rsid w:val="00184B32"/>
    <w:pPr>
      <w:spacing w:after="0" w:line="240" w:lineRule="auto"/>
    </w:pPr>
    <w:rPr>
      <w:rFonts w:ascii="Times New Roman" w:eastAsia="Times New Roman" w:hAnsi="Times New Roman"/>
      <w:b/>
      <w:smallCaps/>
      <w:sz w:val="20"/>
      <w:szCs w:val="20"/>
    </w:rPr>
  </w:style>
  <w:style w:type="paragraph" w:customStyle="1" w:styleId="MemoAddress">
    <w:name w:val="Memo Address"/>
    <w:basedOn w:val="Normal"/>
    <w:next w:val="Normal"/>
    <w:rsid w:val="00184B32"/>
    <w:pPr>
      <w:spacing w:after="0" w:line="220" w:lineRule="exact"/>
      <w:ind w:left="1152" w:hanging="1152"/>
    </w:pPr>
    <w:rPr>
      <w:rFonts w:ascii="Times New Roman" w:eastAsia="Times New Roman" w:hAnsi="Times New Roman"/>
      <w:sz w:val="24"/>
      <w:szCs w:val="20"/>
    </w:rPr>
  </w:style>
  <w:style w:type="paragraph" w:styleId="Footer">
    <w:name w:val="footer"/>
    <w:basedOn w:val="Normal"/>
    <w:link w:val="FooterChar"/>
    <w:unhideWhenUsed/>
    <w:rsid w:val="0018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32"/>
  </w:style>
  <w:style w:type="paragraph" w:styleId="BalloonText">
    <w:name w:val="Balloon Text"/>
    <w:basedOn w:val="Normal"/>
    <w:link w:val="BalloonTextChar"/>
    <w:uiPriority w:val="99"/>
    <w:semiHidden/>
    <w:unhideWhenUsed/>
    <w:rsid w:val="00184B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4B32"/>
    <w:rPr>
      <w:rFonts w:ascii="Tahoma" w:hAnsi="Tahoma" w:cs="Tahoma"/>
      <w:sz w:val="16"/>
      <w:szCs w:val="16"/>
    </w:rPr>
  </w:style>
  <w:style w:type="character" w:styleId="Hyperlink">
    <w:name w:val="Hyperlink"/>
    <w:uiPriority w:val="99"/>
    <w:unhideWhenUsed/>
    <w:rsid w:val="001450CC"/>
    <w:rPr>
      <w:color w:val="0000FF"/>
      <w:u w:val="single"/>
    </w:rPr>
  </w:style>
  <w:style w:type="paragraph" w:styleId="EndnoteText">
    <w:name w:val="endnote text"/>
    <w:basedOn w:val="Normal"/>
    <w:link w:val="EndnoteTextChar"/>
    <w:uiPriority w:val="99"/>
    <w:semiHidden/>
    <w:unhideWhenUsed/>
    <w:rsid w:val="00EF2A62"/>
    <w:rPr>
      <w:sz w:val="20"/>
      <w:szCs w:val="20"/>
    </w:rPr>
  </w:style>
  <w:style w:type="character" w:customStyle="1" w:styleId="EndnoteTextChar">
    <w:name w:val="Endnote Text Char"/>
    <w:basedOn w:val="DefaultParagraphFont"/>
    <w:link w:val="EndnoteText"/>
    <w:uiPriority w:val="99"/>
    <w:semiHidden/>
    <w:rsid w:val="00EF2A62"/>
  </w:style>
  <w:style w:type="character" w:styleId="EndnoteReference">
    <w:name w:val="endnote reference"/>
    <w:uiPriority w:val="99"/>
    <w:semiHidden/>
    <w:unhideWhenUsed/>
    <w:rsid w:val="00EF2A62"/>
    <w:rPr>
      <w:vertAlign w:val="superscript"/>
    </w:rPr>
  </w:style>
  <w:style w:type="character" w:styleId="CommentReference">
    <w:name w:val="annotation reference"/>
    <w:uiPriority w:val="99"/>
    <w:semiHidden/>
    <w:unhideWhenUsed/>
    <w:rsid w:val="00D05651"/>
    <w:rPr>
      <w:sz w:val="16"/>
      <w:szCs w:val="16"/>
    </w:rPr>
  </w:style>
  <w:style w:type="paragraph" w:styleId="CommentText">
    <w:name w:val="annotation text"/>
    <w:basedOn w:val="Normal"/>
    <w:link w:val="CommentTextChar"/>
    <w:semiHidden/>
    <w:unhideWhenUsed/>
    <w:rsid w:val="00D05651"/>
    <w:rPr>
      <w:sz w:val="20"/>
      <w:szCs w:val="20"/>
    </w:rPr>
  </w:style>
  <w:style w:type="character" w:customStyle="1" w:styleId="CommentTextChar">
    <w:name w:val="Comment Text Char"/>
    <w:basedOn w:val="DefaultParagraphFont"/>
    <w:link w:val="CommentText"/>
    <w:semiHidden/>
    <w:rsid w:val="00D05651"/>
  </w:style>
  <w:style w:type="paragraph" w:styleId="CommentSubject">
    <w:name w:val="annotation subject"/>
    <w:basedOn w:val="CommentText"/>
    <w:next w:val="CommentText"/>
    <w:link w:val="CommentSubjectChar"/>
    <w:uiPriority w:val="99"/>
    <w:semiHidden/>
    <w:unhideWhenUsed/>
    <w:rsid w:val="00D05651"/>
    <w:rPr>
      <w:b/>
      <w:bCs/>
    </w:rPr>
  </w:style>
  <w:style w:type="character" w:customStyle="1" w:styleId="CommentSubjectChar">
    <w:name w:val="Comment Subject Char"/>
    <w:link w:val="CommentSubject"/>
    <w:uiPriority w:val="99"/>
    <w:semiHidden/>
    <w:rsid w:val="00D05651"/>
    <w:rPr>
      <w:b/>
      <w:bCs/>
    </w:rPr>
  </w:style>
  <w:style w:type="character" w:customStyle="1" w:styleId="Heading1Char">
    <w:name w:val="Heading 1 Char"/>
    <w:basedOn w:val="DefaultParagraphFont"/>
    <w:link w:val="Heading1"/>
    <w:uiPriority w:val="99"/>
    <w:rsid w:val="00522FB8"/>
    <w:rPr>
      <w:rFonts w:ascii="Times" w:eastAsia="Times New Roman" w:hAnsi="Times" w:cs="Times"/>
      <w:sz w:val="24"/>
      <w:szCs w:val="24"/>
    </w:rPr>
  </w:style>
  <w:style w:type="paragraph" w:styleId="Revision">
    <w:name w:val="Revision"/>
    <w:hidden/>
    <w:uiPriority w:val="99"/>
    <w:semiHidden/>
    <w:rsid w:val="002956C3"/>
    <w:rPr>
      <w:sz w:val="22"/>
      <w:szCs w:val="22"/>
    </w:rPr>
  </w:style>
  <w:style w:type="paragraph" w:styleId="FootnoteText">
    <w:name w:val="footnote text"/>
    <w:basedOn w:val="Normal"/>
    <w:link w:val="FootnoteTextChar"/>
    <w:semiHidden/>
    <w:rsid w:val="00722895"/>
    <w:pPr>
      <w:widowControl w:val="0"/>
      <w:spacing w:after="0" w:line="240" w:lineRule="auto"/>
    </w:pPr>
    <w:rPr>
      <w:rFonts w:ascii="Courier" w:eastAsia="Times New Roman" w:hAnsi="Courier" w:cs="Courier"/>
      <w:sz w:val="20"/>
      <w:szCs w:val="20"/>
    </w:rPr>
  </w:style>
  <w:style w:type="character" w:customStyle="1" w:styleId="FootnoteTextChar">
    <w:name w:val="Footnote Text Char"/>
    <w:basedOn w:val="DefaultParagraphFont"/>
    <w:link w:val="FootnoteText"/>
    <w:semiHidden/>
    <w:rsid w:val="00722895"/>
    <w:rPr>
      <w:rFonts w:ascii="Courier" w:eastAsia="Times New Roman" w:hAnsi="Courier" w:cs="Courier"/>
    </w:rPr>
  </w:style>
  <w:style w:type="paragraph" w:customStyle="1" w:styleId="Default">
    <w:name w:val="Default"/>
    <w:rsid w:val="008A582C"/>
    <w:pPr>
      <w:autoSpaceDE w:val="0"/>
      <w:autoSpaceDN w:val="0"/>
      <w:adjustRightInd w:val="0"/>
    </w:pPr>
    <w:rPr>
      <w:rFonts w:cs="Calibri"/>
      <w:color w:val="000000"/>
      <w:sz w:val="24"/>
      <w:szCs w:val="24"/>
    </w:rPr>
  </w:style>
  <w:style w:type="character" w:customStyle="1" w:styleId="Heading5Char">
    <w:name w:val="Heading 5 Char"/>
    <w:basedOn w:val="DefaultParagraphFont"/>
    <w:link w:val="Heading5"/>
    <w:rsid w:val="0062163D"/>
    <w:rPr>
      <w:rFonts w:ascii="Times New Roman" w:eastAsia="Times New Roman" w:hAnsi="Times New Roman"/>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38"/>
    <w:pPr>
      <w:spacing w:after="200" w:line="276" w:lineRule="auto"/>
    </w:pPr>
    <w:rPr>
      <w:sz w:val="22"/>
      <w:szCs w:val="22"/>
    </w:rPr>
  </w:style>
  <w:style w:type="paragraph" w:styleId="Heading1">
    <w:name w:val="heading 1"/>
    <w:basedOn w:val="Normal"/>
    <w:next w:val="Normal"/>
    <w:link w:val="Heading1Char"/>
    <w:uiPriority w:val="99"/>
    <w:qFormat/>
    <w:rsid w:val="00522FB8"/>
    <w:pPr>
      <w:keepNext/>
      <w:autoSpaceDE w:val="0"/>
      <w:autoSpaceDN w:val="0"/>
      <w:adjustRightInd w:val="0"/>
      <w:spacing w:after="0" w:line="240" w:lineRule="auto"/>
      <w:ind w:firstLine="360"/>
      <w:outlineLvl w:val="0"/>
    </w:pPr>
    <w:rPr>
      <w:rFonts w:ascii="Times" w:eastAsia="Times New Roman" w:hAnsi="Times" w:cs="Times"/>
      <w:sz w:val="24"/>
      <w:szCs w:val="24"/>
    </w:rPr>
  </w:style>
  <w:style w:type="paragraph" w:styleId="Heading3">
    <w:name w:val="heading 3"/>
    <w:basedOn w:val="Normal"/>
    <w:next w:val="Normal"/>
    <w:link w:val="Heading3Char"/>
    <w:qFormat/>
    <w:rsid w:val="00184B32"/>
    <w:pPr>
      <w:keepNext/>
      <w:spacing w:after="0" w:line="240" w:lineRule="auto"/>
      <w:jc w:val="center"/>
      <w:outlineLvl w:val="2"/>
    </w:pPr>
    <w:rPr>
      <w:rFonts w:ascii="Times New Roman" w:eastAsia="Times New Roman" w:hAnsi="Times New Roman"/>
      <w:b/>
      <w:smallCaps/>
      <w:sz w:val="20"/>
      <w:szCs w:val="20"/>
    </w:rPr>
  </w:style>
  <w:style w:type="paragraph" w:styleId="Heading5">
    <w:name w:val="heading 5"/>
    <w:basedOn w:val="Normal"/>
    <w:next w:val="Normal"/>
    <w:link w:val="Heading5Char"/>
    <w:qFormat/>
    <w:rsid w:val="0062163D"/>
    <w:pPr>
      <w:keepNext/>
      <w:spacing w:after="0" w:line="240" w:lineRule="auto"/>
      <w:outlineLvl w:val="4"/>
    </w:pPr>
    <w:rPr>
      <w:rFonts w:ascii="Times New Roman" w:eastAsia="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11E"/>
    <w:pPr>
      <w:ind w:left="720"/>
      <w:contextualSpacing/>
    </w:pPr>
  </w:style>
  <w:style w:type="paragraph" w:styleId="Header">
    <w:name w:val="header"/>
    <w:basedOn w:val="Normal"/>
    <w:link w:val="HeaderChar"/>
    <w:uiPriority w:val="99"/>
    <w:rsid w:val="00366803"/>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366803"/>
    <w:rPr>
      <w:rFonts w:ascii="Times New Roman" w:eastAsia="Times New Roman" w:hAnsi="Times New Roman" w:cs="Times New Roman"/>
      <w:sz w:val="24"/>
      <w:szCs w:val="20"/>
    </w:rPr>
  </w:style>
  <w:style w:type="table" w:styleId="TableGrid">
    <w:name w:val="Table Grid"/>
    <w:basedOn w:val="TableNormal"/>
    <w:uiPriority w:val="59"/>
    <w:rsid w:val="000D27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0D27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5">
    <w:name w:val="Medium Shading 2 Accent 5"/>
    <w:basedOn w:val="TableNormal"/>
    <w:uiPriority w:val="64"/>
    <w:rsid w:val="000D27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D272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link w:val="Heading3"/>
    <w:rsid w:val="00184B32"/>
    <w:rPr>
      <w:rFonts w:ascii="Times New Roman" w:eastAsia="Times New Roman" w:hAnsi="Times New Roman" w:cs="Times New Roman"/>
      <w:b/>
      <w:smallCaps/>
      <w:sz w:val="20"/>
      <w:szCs w:val="20"/>
    </w:rPr>
  </w:style>
  <w:style w:type="character" w:styleId="FootnoteReference">
    <w:name w:val="footnote reference"/>
    <w:uiPriority w:val="99"/>
    <w:rsid w:val="00184B32"/>
    <w:rPr>
      <w:vertAlign w:val="superscript"/>
    </w:rPr>
  </w:style>
  <w:style w:type="paragraph" w:customStyle="1" w:styleId="MemoHeader">
    <w:name w:val="Memo Header"/>
    <w:basedOn w:val="Normal"/>
    <w:next w:val="Normal"/>
    <w:rsid w:val="00184B32"/>
    <w:pPr>
      <w:spacing w:after="0" w:line="240" w:lineRule="auto"/>
    </w:pPr>
    <w:rPr>
      <w:rFonts w:ascii="Times New Roman" w:eastAsia="Times New Roman" w:hAnsi="Times New Roman"/>
      <w:b/>
      <w:smallCaps/>
      <w:sz w:val="20"/>
      <w:szCs w:val="20"/>
    </w:rPr>
  </w:style>
  <w:style w:type="paragraph" w:customStyle="1" w:styleId="MemoAddress">
    <w:name w:val="Memo Address"/>
    <w:basedOn w:val="Normal"/>
    <w:next w:val="Normal"/>
    <w:rsid w:val="00184B32"/>
    <w:pPr>
      <w:spacing w:after="0" w:line="220" w:lineRule="exact"/>
      <w:ind w:left="1152" w:hanging="1152"/>
    </w:pPr>
    <w:rPr>
      <w:rFonts w:ascii="Times New Roman" w:eastAsia="Times New Roman" w:hAnsi="Times New Roman"/>
      <w:sz w:val="24"/>
      <w:szCs w:val="20"/>
    </w:rPr>
  </w:style>
  <w:style w:type="paragraph" w:styleId="Footer">
    <w:name w:val="footer"/>
    <w:basedOn w:val="Normal"/>
    <w:link w:val="FooterChar"/>
    <w:unhideWhenUsed/>
    <w:rsid w:val="0018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32"/>
  </w:style>
  <w:style w:type="paragraph" w:styleId="BalloonText">
    <w:name w:val="Balloon Text"/>
    <w:basedOn w:val="Normal"/>
    <w:link w:val="BalloonTextChar"/>
    <w:uiPriority w:val="99"/>
    <w:semiHidden/>
    <w:unhideWhenUsed/>
    <w:rsid w:val="00184B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4B32"/>
    <w:rPr>
      <w:rFonts w:ascii="Tahoma" w:hAnsi="Tahoma" w:cs="Tahoma"/>
      <w:sz w:val="16"/>
      <w:szCs w:val="16"/>
    </w:rPr>
  </w:style>
  <w:style w:type="character" w:styleId="Hyperlink">
    <w:name w:val="Hyperlink"/>
    <w:uiPriority w:val="99"/>
    <w:unhideWhenUsed/>
    <w:rsid w:val="001450CC"/>
    <w:rPr>
      <w:color w:val="0000FF"/>
      <w:u w:val="single"/>
    </w:rPr>
  </w:style>
  <w:style w:type="paragraph" w:styleId="EndnoteText">
    <w:name w:val="endnote text"/>
    <w:basedOn w:val="Normal"/>
    <w:link w:val="EndnoteTextChar"/>
    <w:uiPriority w:val="99"/>
    <w:semiHidden/>
    <w:unhideWhenUsed/>
    <w:rsid w:val="00EF2A62"/>
    <w:rPr>
      <w:sz w:val="20"/>
      <w:szCs w:val="20"/>
    </w:rPr>
  </w:style>
  <w:style w:type="character" w:customStyle="1" w:styleId="EndnoteTextChar">
    <w:name w:val="Endnote Text Char"/>
    <w:basedOn w:val="DefaultParagraphFont"/>
    <w:link w:val="EndnoteText"/>
    <w:uiPriority w:val="99"/>
    <w:semiHidden/>
    <w:rsid w:val="00EF2A62"/>
  </w:style>
  <w:style w:type="character" w:styleId="EndnoteReference">
    <w:name w:val="endnote reference"/>
    <w:uiPriority w:val="99"/>
    <w:semiHidden/>
    <w:unhideWhenUsed/>
    <w:rsid w:val="00EF2A62"/>
    <w:rPr>
      <w:vertAlign w:val="superscript"/>
    </w:rPr>
  </w:style>
  <w:style w:type="character" w:styleId="CommentReference">
    <w:name w:val="annotation reference"/>
    <w:uiPriority w:val="99"/>
    <w:semiHidden/>
    <w:unhideWhenUsed/>
    <w:rsid w:val="00D05651"/>
    <w:rPr>
      <w:sz w:val="16"/>
      <w:szCs w:val="16"/>
    </w:rPr>
  </w:style>
  <w:style w:type="paragraph" w:styleId="CommentText">
    <w:name w:val="annotation text"/>
    <w:basedOn w:val="Normal"/>
    <w:link w:val="CommentTextChar"/>
    <w:semiHidden/>
    <w:unhideWhenUsed/>
    <w:rsid w:val="00D05651"/>
    <w:rPr>
      <w:sz w:val="20"/>
      <w:szCs w:val="20"/>
    </w:rPr>
  </w:style>
  <w:style w:type="character" w:customStyle="1" w:styleId="CommentTextChar">
    <w:name w:val="Comment Text Char"/>
    <w:basedOn w:val="DefaultParagraphFont"/>
    <w:link w:val="CommentText"/>
    <w:semiHidden/>
    <w:rsid w:val="00D05651"/>
  </w:style>
  <w:style w:type="paragraph" w:styleId="CommentSubject">
    <w:name w:val="annotation subject"/>
    <w:basedOn w:val="CommentText"/>
    <w:next w:val="CommentText"/>
    <w:link w:val="CommentSubjectChar"/>
    <w:uiPriority w:val="99"/>
    <w:semiHidden/>
    <w:unhideWhenUsed/>
    <w:rsid w:val="00D05651"/>
    <w:rPr>
      <w:b/>
      <w:bCs/>
    </w:rPr>
  </w:style>
  <w:style w:type="character" w:customStyle="1" w:styleId="CommentSubjectChar">
    <w:name w:val="Comment Subject Char"/>
    <w:link w:val="CommentSubject"/>
    <w:uiPriority w:val="99"/>
    <w:semiHidden/>
    <w:rsid w:val="00D05651"/>
    <w:rPr>
      <w:b/>
      <w:bCs/>
    </w:rPr>
  </w:style>
  <w:style w:type="character" w:customStyle="1" w:styleId="Heading1Char">
    <w:name w:val="Heading 1 Char"/>
    <w:basedOn w:val="DefaultParagraphFont"/>
    <w:link w:val="Heading1"/>
    <w:uiPriority w:val="99"/>
    <w:rsid w:val="00522FB8"/>
    <w:rPr>
      <w:rFonts w:ascii="Times" w:eastAsia="Times New Roman" w:hAnsi="Times" w:cs="Times"/>
      <w:sz w:val="24"/>
      <w:szCs w:val="24"/>
    </w:rPr>
  </w:style>
  <w:style w:type="paragraph" w:styleId="Revision">
    <w:name w:val="Revision"/>
    <w:hidden/>
    <w:uiPriority w:val="99"/>
    <w:semiHidden/>
    <w:rsid w:val="002956C3"/>
    <w:rPr>
      <w:sz w:val="22"/>
      <w:szCs w:val="22"/>
    </w:rPr>
  </w:style>
  <w:style w:type="paragraph" w:styleId="FootnoteText">
    <w:name w:val="footnote text"/>
    <w:basedOn w:val="Normal"/>
    <w:link w:val="FootnoteTextChar"/>
    <w:semiHidden/>
    <w:rsid w:val="00722895"/>
    <w:pPr>
      <w:widowControl w:val="0"/>
      <w:spacing w:after="0" w:line="240" w:lineRule="auto"/>
    </w:pPr>
    <w:rPr>
      <w:rFonts w:ascii="Courier" w:eastAsia="Times New Roman" w:hAnsi="Courier" w:cs="Courier"/>
      <w:sz w:val="20"/>
      <w:szCs w:val="20"/>
    </w:rPr>
  </w:style>
  <w:style w:type="character" w:customStyle="1" w:styleId="FootnoteTextChar">
    <w:name w:val="Footnote Text Char"/>
    <w:basedOn w:val="DefaultParagraphFont"/>
    <w:link w:val="FootnoteText"/>
    <w:semiHidden/>
    <w:rsid w:val="00722895"/>
    <w:rPr>
      <w:rFonts w:ascii="Courier" w:eastAsia="Times New Roman" w:hAnsi="Courier" w:cs="Courier"/>
    </w:rPr>
  </w:style>
  <w:style w:type="paragraph" w:customStyle="1" w:styleId="Default">
    <w:name w:val="Default"/>
    <w:rsid w:val="008A582C"/>
    <w:pPr>
      <w:autoSpaceDE w:val="0"/>
      <w:autoSpaceDN w:val="0"/>
      <w:adjustRightInd w:val="0"/>
    </w:pPr>
    <w:rPr>
      <w:rFonts w:cs="Calibri"/>
      <w:color w:val="000000"/>
      <w:sz w:val="24"/>
      <w:szCs w:val="24"/>
    </w:rPr>
  </w:style>
  <w:style w:type="character" w:customStyle="1" w:styleId="Heading5Char">
    <w:name w:val="Heading 5 Char"/>
    <w:basedOn w:val="DefaultParagraphFont"/>
    <w:link w:val="Heading5"/>
    <w:rsid w:val="0062163D"/>
    <w:rPr>
      <w:rFonts w:ascii="Times New Roman" w:eastAsia="Times New Roman" w:hAnsi="Times New Roman"/>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4423">
      <w:bodyDiv w:val="1"/>
      <w:marLeft w:val="0"/>
      <w:marRight w:val="0"/>
      <w:marTop w:val="0"/>
      <w:marBottom w:val="0"/>
      <w:divBdr>
        <w:top w:val="none" w:sz="0" w:space="0" w:color="auto"/>
        <w:left w:val="none" w:sz="0" w:space="0" w:color="auto"/>
        <w:bottom w:val="none" w:sz="0" w:space="0" w:color="auto"/>
        <w:right w:val="none" w:sz="0" w:space="0" w:color="auto"/>
      </w:divBdr>
    </w:div>
    <w:div w:id="608243467">
      <w:bodyDiv w:val="1"/>
      <w:marLeft w:val="0"/>
      <w:marRight w:val="0"/>
      <w:marTop w:val="0"/>
      <w:marBottom w:val="0"/>
      <w:divBdr>
        <w:top w:val="none" w:sz="0" w:space="0" w:color="auto"/>
        <w:left w:val="none" w:sz="0" w:space="0" w:color="auto"/>
        <w:bottom w:val="none" w:sz="0" w:space="0" w:color="auto"/>
        <w:right w:val="none" w:sz="0" w:space="0" w:color="auto"/>
      </w:divBdr>
    </w:div>
    <w:div w:id="929237826">
      <w:bodyDiv w:val="1"/>
      <w:marLeft w:val="0"/>
      <w:marRight w:val="0"/>
      <w:marTop w:val="72"/>
      <w:marBottom w:val="0"/>
      <w:divBdr>
        <w:top w:val="none" w:sz="0" w:space="0" w:color="auto"/>
        <w:left w:val="none" w:sz="0" w:space="0" w:color="auto"/>
        <w:bottom w:val="none" w:sz="0" w:space="0" w:color="auto"/>
        <w:right w:val="none" w:sz="0" w:space="0" w:color="auto"/>
      </w:divBdr>
      <w:divsChild>
        <w:div w:id="658537979">
          <w:marLeft w:val="0"/>
          <w:marRight w:val="0"/>
          <w:marTop w:val="0"/>
          <w:marBottom w:val="0"/>
          <w:divBdr>
            <w:top w:val="none" w:sz="0" w:space="0" w:color="auto"/>
            <w:left w:val="none" w:sz="0" w:space="0" w:color="auto"/>
            <w:bottom w:val="none" w:sz="0" w:space="0" w:color="auto"/>
            <w:right w:val="none" w:sz="0" w:space="0" w:color="auto"/>
          </w:divBdr>
          <w:divsChild>
            <w:div w:id="949892464">
              <w:marLeft w:val="3270"/>
              <w:marRight w:val="0"/>
              <w:marTop w:val="0"/>
              <w:marBottom w:val="0"/>
              <w:divBdr>
                <w:top w:val="none" w:sz="0" w:space="0" w:color="auto"/>
                <w:left w:val="none" w:sz="0" w:space="0" w:color="auto"/>
                <w:bottom w:val="none" w:sz="0" w:space="0" w:color="auto"/>
                <w:right w:val="none" w:sz="0" w:space="0" w:color="auto"/>
              </w:divBdr>
              <w:divsChild>
                <w:div w:id="1951547518">
                  <w:marLeft w:val="120"/>
                  <w:marRight w:val="0"/>
                  <w:marTop w:val="120"/>
                  <w:marBottom w:val="0"/>
                  <w:divBdr>
                    <w:top w:val="none" w:sz="0" w:space="0" w:color="auto"/>
                    <w:left w:val="none" w:sz="0" w:space="0" w:color="auto"/>
                    <w:bottom w:val="none" w:sz="0" w:space="0" w:color="auto"/>
                    <w:right w:val="none" w:sz="0" w:space="0" w:color="auto"/>
                  </w:divBdr>
                  <w:divsChild>
                    <w:div w:id="786201321">
                      <w:marLeft w:val="0"/>
                      <w:marRight w:val="0"/>
                      <w:marTop w:val="0"/>
                      <w:marBottom w:val="0"/>
                      <w:divBdr>
                        <w:top w:val="none" w:sz="0" w:space="0" w:color="auto"/>
                        <w:left w:val="none" w:sz="0" w:space="0" w:color="auto"/>
                        <w:bottom w:val="none" w:sz="0" w:space="0" w:color="auto"/>
                        <w:right w:val="none" w:sz="0" w:space="0" w:color="auto"/>
                      </w:divBdr>
                      <w:divsChild>
                        <w:div w:id="494805262">
                          <w:marLeft w:val="0"/>
                          <w:marRight w:val="0"/>
                          <w:marTop w:val="0"/>
                          <w:marBottom w:val="0"/>
                          <w:divBdr>
                            <w:top w:val="none" w:sz="0" w:space="0" w:color="auto"/>
                            <w:left w:val="none" w:sz="0" w:space="0" w:color="auto"/>
                            <w:bottom w:val="none" w:sz="0" w:space="0" w:color="auto"/>
                            <w:right w:val="none" w:sz="0" w:space="0" w:color="auto"/>
                          </w:divBdr>
                          <w:divsChild>
                            <w:div w:id="864372061">
                              <w:marLeft w:val="0"/>
                              <w:marRight w:val="0"/>
                              <w:marTop w:val="0"/>
                              <w:marBottom w:val="0"/>
                              <w:divBdr>
                                <w:top w:val="none" w:sz="0" w:space="0" w:color="auto"/>
                                <w:left w:val="none" w:sz="0" w:space="0" w:color="auto"/>
                                <w:bottom w:val="none" w:sz="0" w:space="0" w:color="auto"/>
                                <w:right w:val="none" w:sz="0" w:space="0" w:color="auto"/>
                              </w:divBdr>
                              <w:divsChild>
                                <w:div w:id="1527206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119599">
      <w:bodyDiv w:val="1"/>
      <w:marLeft w:val="0"/>
      <w:marRight w:val="0"/>
      <w:marTop w:val="0"/>
      <w:marBottom w:val="0"/>
      <w:divBdr>
        <w:top w:val="none" w:sz="0" w:space="0" w:color="auto"/>
        <w:left w:val="none" w:sz="0" w:space="0" w:color="auto"/>
        <w:bottom w:val="none" w:sz="0" w:space="0" w:color="auto"/>
        <w:right w:val="none" w:sz="0" w:space="0" w:color="auto"/>
      </w:divBdr>
    </w:div>
    <w:div w:id="1209412763">
      <w:bodyDiv w:val="1"/>
      <w:marLeft w:val="0"/>
      <w:marRight w:val="0"/>
      <w:marTop w:val="0"/>
      <w:marBottom w:val="0"/>
      <w:divBdr>
        <w:top w:val="none" w:sz="0" w:space="0" w:color="auto"/>
        <w:left w:val="none" w:sz="0" w:space="0" w:color="auto"/>
        <w:bottom w:val="none" w:sz="0" w:space="0" w:color="auto"/>
        <w:right w:val="none" w:sz="0" w:space="0" w:color="auto"/>
      </w:divBdr>
    </w:div>
    <w:div w:id="1303775318">
      <w:bodyDiv w:val="1"/>
      <w:marLeft w:val="0"/>
      <w:marRight w:val="0"/>
      <w:marTop w:val="0"/>
      <w:marBottom w:val="0"/>
      <w:divBdr>
        <w:top w:val="none" w:sz="0" w:space="0" w:color="auto"/>
        <w:left w:val="none" w:sz="0" w:space="0" w:color="auto"/>
        <w:bottom w:val="none" w:sz="0" w:space="0" w:color="auto"/>
        <w:right w:val="none" w:sz="0" w:space="0" w:color="auto"/>
      </w:divBdr>
    </w:div>
    <w:div w:id="1309285312">
      <w:bodyDiv w:val="1"/>
      <w:marLeft w:val="0"/>
      <w:marRight w:val="0"/>
      <w:marTop w:val="0"/>
      <w:marBottom w:val="0"/>
      <w:divBdr>
        <w:top w:val="none" w:sz="0" w:space="0" w:color="auto"/>
        <w:left w:val="none" w:sz="0" w:space="0" w:color="auto"/>
        <w:bottom w:val="none" w:sz="0" w:space="0" w:color="auto"/>
        <w:right w:val="none" w:sz="0" w:space="0" w:color="auto"/>
      </w:divBdr>
    </w:div>
    <w:div w:id="1377436061">
      <w:bodyDiv w:val="1"/>
      <w:marLeft w:val="0"/>
      <w:marRight w:val="0"/>
      <w:marTop w:val="0"/>
      <w:marBottom w:val="0"/>
      <w:divBdr>
        <w:top w:val="none" w:sz="0" w:space="0" w:color="auto"/>
        <w:left w:val="none" w:sz="0" w:space="0" w:color="auto"/>
        <w:bottom w:val="none" w:sz="0" w:space="0" w:color="auto"/>
        <w:right w:val="none" w:sz="0" w:space="0" w:color="auto"/>
      </w:divBdr>
    </w:div>
    <w:div w:id="1770466590">
      <w:bodyDiv w:val="1"/>
      <w:marLeft w:val="0"/>
      <w:marRight w:val="0"/>
      <w:marTop w:val="0"/>
      <w:marBottom w:val="0"/>
      <w:divBdr>
        <w:top w:val="none" w:sz="0" w:space="0" w:color="auto"/>
        <w:left w:val="none" w:sz="0" w:space="0" w:color="auto"/>
        <w:bottom w:val="none" w:sz="0" w:space="0" w:color="auto"/>
        <w:right w:val="none" w:sz="0" w:space="0" w:color="auto"/>
      </w:divBdr>
    </w:div>
    <w:div w:id="1877617855">
      <w:bodyDiv w:val="1"/>
      <w:marLeft w:val="0"/>
      <w:marRight w:val="0"/>
      <w:marTop w:val="0"/>
      <w:marBottom w:val="0"/>
      <w:divBdr>
        <w:top w:val="none" w:sz="0" w:space="0" w:color="auto"/>
        <w:left w:val="none" w:sz="0" w:space="0" w:color="auto"/>
        <w:bottom w:val="none" w:sz="0" w:space="0" w:color="auto"/>
        <w:right w:val="none" w:sz="0" w:space="0" w:color="auto"/>
      </w:divBdr>
    </w:div>
    <w:div w:id="2080705634">
      <w:bodyDiv w:val="1"/>
      <w:marLeft w:val="0"/>
      <w:marRight w:val="0"/>
      <w:marTop w:val="0"/>
      <w:marBottom w:val="0"/>
      <w:divBdr>
        <w:top w:val="none" w:sz="0" w:space="0" w:color="auto"/>
        <w:left w:val="none" w:sz="0" w:space="0" w:color="auto"/>
        <w:bottom w:val="none" w:sz="0" w:space="0" w:color="auto"/>
        <w:right w:val="none" w:sz="0" w:space="0" w:color="auto"/>
      </w:divBdr>
    </w:div>
    <w:div w:id="21360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fiec.gov/nicpubweb/nicweb/nichome.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ocwage.nr0.htm" TargetMode="External"/><Relationship Id="rId2" Type="http://schemas.openxmlformats.org/officeDocument/2006/relationships/hyperlink" Target="http://www.financialstabilityboard.org/publications/r_121031ac.pdf" TargetMode="External"/><Relationship Id="rId1" Type="http://schemas.openxmlformats.org/officeDocument/2006/relationships/hyperlink" Target="http://www.bis.org/publ/bcbs188.pdf" TargetMode="External"/><Relationship Id="rId4" Type="http://schemas.openxmlformats.org/officeDocument/2006/relationships/hyperlink" Target="http://www.bls.gov/s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9862A-7E6E-4699-9DA4-F88A2773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18675</CharactersWithSpaces>
  <SharedDoc>false</SharedDoc>
  <HLinks>
    <vt:vector size="6" baseType="variant">
      <vt:variant>
        <vt:i4>8126538</vt:i4>
      </vt:variant>
      <vt:variant>
        <vt:i4>6</vt:i4>
      </vt:variant>
      <vt:variant>
        <vt:i4>0</vt:i4>
      </vt:variant>
      <vt:variant>
        <vt:i4>5</vt:i4>
      </vt:variant>
      <vt:variant>
        <vt:lpwstr>mailto:douglas.w.carpenter@frb.gov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FRB User</dc:creator>
  <cp:lastModifiedBy>Eric Kennedy</cp:lastModifiedBy>
  <cp:revision>6</cp:revision>
  <cp:lastPrinted>2012-06-30T06:22:00Z</cp:lastPrinted>
  <dcterms:created xsi:type="dcterms:W3CDTF">2012-12-31T22:12:00Z</dcterms:created>
  <dcterms:modified xsi:type="dcterms:W3CDTF">2012-12-31T22:22:00Z</dcterms:modified>
</cp:coreProperties>
</file>