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77" w:rsidRPr="00CF2404" w:rsidRDefault="00675577" w:rsidP="00675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404">
        <w:rPr>
          <w:rFonts w:ascii="Times New Roman" w:hAnsi="Times New Roman" w:cs="Times New Roman"/>
          <w:b/>
          <w:sz w:val="24"/>
          <w:szCs w:val="24"/>
        </w:rPr>
        <w:t>SUPPORTING STATEMENT 0579-0141</w:t>
      </w:r>
    </w:p>
    <w:p w:rsidR="00675577" w:rsidRPr="00CF2404" w:rsidRDefault="00675577" w:rsidP="00675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 w:rsidRPr="00CF2404">
        <w:rPr>
          <w:rFonts w:ascii="Times New Roman" w:eastAsia="HiddenHorzOCR" w:hAnsi="Times New Roman" w:cs="Times New Roman"/>
          <w:b/>
          <w:sz w:val="24"/>
          <w:szCs w:val="24"/>
        </w:rPr>
        <w:t>POULTRY</w:t>
      </w:r>
      <w:r w:rsidR="00CF2404" w:rsidRPr="00CF2404">
        <w:rPr>
          <w:rFonts w:ascii="Times New Roman" w:eastAsia="HiddenHorzOCR" w:hAnsi="Times New Roman" w:cs="Times New Roman"/>
          <w:b/>
          <w:sz w:val="24"/>
          <w:szCs w:val="24"/>
        </w:rPr>
        <w:t xml:space="preserve"> IMPORT</w:t>
      </w:r>
      <w:r w:rsidRPr="00CF2404">
        <w:rPr>
          <w:rFonts w:ascii="Times New Roman" w:eastAsia="HiddenHorzOCR" w:hAnsi="Times New Roman" w:cs="Times New Roman"/>
          <w:b/>
          <w:sz w:val="24"/>
          <w:szCs w:val="24"/>
        </w:rPr>
        <w:t>S</w:t>
      </w:r>
      <w:r w:rsidR="00CF2404" w:rsidRPr="00CF2404">
        <w:rPr>
          <w:rFonts w:ascii="Times New Roman" w:eastAsia="HiddenHorzOCR" w:hAnsi="Times New Roman" w:cs="Times New Roman"/>
          <w:b/>
          <w:sz w:val="24"/>
          <w:szCs w:val="24"/>
        </w:rPr>
        <w:t xml:space="preserve"> </w:t>
      </w:r>
      <w:r w:rsidRPr="00CF2404">
        <w:rPr>
          <w:rFonts w:ascii="Times New Roman" w:eastAsia="HiddenHorzOCR" w:hAnsi="Times New Roman" w:cs="Times New Roman"/>
          <w:b/>
          <w:sz w:val="24"/>
          <w:szCs w:val="24"/>
        </w:rPr>
        <w:t>AND</w:t>
      </w:r>
      <w:r w:rsidR="00CF2404" w:rsidRPr="00CF2404">
        <w:rPr>
          <w:rFonts w:ascii="Times New Roman" w:eastAsia="HiddenHorzOCR" w:hAnsi="Times New Roman" w:cs="Times New Roman"/>
          <w:b/>
          <w:sz w:val="24"/>
          <w:szCs w:val="24"/>
        </w:rPr>
        <w:t xml:space="preserve"> </w:t>
      </w:r>
      <w:r w:rsidRPr="00CF2404">
        <w:rPr>
          <w:rFonts w:ascii="Times New Roman" w:eastAsia="HiddenHorzOCR" w:hAnsi="Times New Roman" w:cs="Times New Roman"/>
          <w:b/>
          <w:sz w:val="24"/>
          <w:szCs w:val="24"/>
        </w:rPr>
        <w:t>EXPORT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</w:t>
      </w:r>
      <w:r w:rsidRPr="00675577">
        <w:rPr>
          <w:rFonts w:ascii="Times New Roman" w:hAnsi="Times New Roman" w:cs="Times New Roman"/>
          <w:sz w:val="24"/>
          <w:szCs w:val="24"/>
        </w:rPr>
        <w:t xml:space="preserve">ril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75577">
        <w:rPr>
          <w:rFonts w:ascii="Times New Roman" w:hAnsi="Times New Roman" w:cs="Times New Roman"/>
          <w:sz w:val="24"/>
          <w:szCs w:val="24"/>
        </w:rPr>
        <w:t>, 2012</w:t>
      </w:r>
    </w:p>
    <w:p w:rsidR="0039793E" w:rsidRDefault="0039793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39793E" w:rsidRPr="0039793E" w:rsidRDefault="0039793E" w:rsidP="00397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93E">
        <w:rPr>
          <w:rFonts w:ascii="Times New Roman" w:hAnsi="Times New Roman" w:cs="Times New Roman"/>
          <w:b/>
          <w:sz w:val="24"/>
          <w:szCs w:val="24"/>
        </w:rPr>
        <w:t xml:space="preserve">TERMS OF CLEARANCE: In accordance with 5 CFR 1320, OMB approves this information collection for a period of three years. During that time, APHIS should work to make VS Form 17-129 fillable and </w:t>
      </w:r>
      <w:proofErr w:type="spellStart"/>
      <w:r w:rsidRPr="0039793E">
        <w:rPr>
          <w:rFonts w:ascii="Times New Roman" w:hAnsi="Times New Roman" w:cs="Times New Roman"/>
          <w:b/>
          <w:sz w:val="24"/>
          <w:szCs w:val="24"/>
        </w:rPr>
        <w:t>fileable</w:t>
      </w:r>
      <w:proofErr w:type="spellEnd"/>
      <w:r w:rsidRPr="0039793E">
        <w:rPr>
          <w:rFonts w:ascii="Times New Roman" w:hAnsi="Times New Roman" w:cs="Times New Roman"/>
          <w:b/>
          <w:sz w:val="24"/>
          <w:szCs w:val="24"/>
        </w:rPr>
        <w:t xml:space="preserve"> electronically. If the form is not yet available in fully electronic format on resubmission, APHIS must submit a written timeline for completion.</w:t>
      </w:r>
    </w:p>
    <w:p w:rsidR="0039793E" w:rsidRDefault="0039793E" w:rsidP="003979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6D09" w:rsidRDefault="00C06D09" w:rsidP="00C06D09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APHIS no longer uses the VS Form 17-129 for this information collection, this process is captured with the Certificate for Shipment Back to the United States.</w:t>
      </w:r>
    </w:p>
    <w:p w:rsidR="0039793E" w:rsidRPr="0039793E" w:rsidRDefault="0039793E" w:rsidP="00397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675577">
        <w:rPr>
          <w:rFonts w:ascii="Times New Roman" w:hAnsi="Times New Roman" w:cs="Times New Roman"/>
          <w:b/>
          <w:caps/>
          <w:sz w:val="24"/>
          <w:szCs w:val="24"/>
        </w:rPr>
        <w:t>Justification</w:t>
      </w: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5577">
        <w:rPr>
          <w:rFonts w:ascii="Times New Roman" w:hAnsi="Times New Roman" w:cs="Times New Roman"/>
          <w:b/>
          <w:sz w:val="24"/>
          <w:szCs w:val="24"/>
        </w:rPr>
        <w:t>1. Explain the circumstances that make the collection of information necessary. Identify any legal or administrative requirements that necessitate the collection. Attach a copy of the appropriate section of each statute and regulation mandating or authorizing the collection of information.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The An</w:t>
      </w:r>
      <w:r w:rsidR="00A37BBA">
        <w:rPr>
          <w:rFonts w:ascii="Times New Roman" w:hAnsi="Times New Roman" w:cs="Times New Roman"/>
          <w:sz w:val="24"/>
          <w:szCs w:val="24"/>
        </w:rPr>
        <w:t>imal Health Protection Act (AHP</w:t>
      </w:r>
      <w:r w:rsidRPr="00675577">
        <w:rPr>
          <w:rFonts w:ascii="Times New Roman" w:hAnsi="Times New Roman" w:cs="Times New Roman"/>
          <w:sz w:val="24"/>
          <w:szCs w:val="24"/>
        </w:rPr>
        <w:t>A) of 2002 is the primary Federal law governing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the protection of the health of animals under APHIS' regulatory authority. The law gives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the Secretary of Agriculture broad authority to detect, control, or eradicate pests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diseases of livestock or poultry. The Secretary may also prohibit or restrict import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export of any animal or related material, if necessary, to prevent the spread of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livestock or poultry pest or disease.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The AHPA is contained in Title X, Subtitle E, and Sections 10401-</w:t>
      </w:r>
      <w:r>
        <w:rPr>
          <w:rFonts w:ascii="Times New Roman" w:hAnsi="Times New Roman" w:cs="Times New Roman"/>
          <w:sz w:val="24"/>
          <w:szCs w:val="24"/>
        </w:rPr>
        <w:t>18 of P</w:t>
      </w:r>
      <w:r w:rsidRPr="00675577">
        <w:rPr>
          <w:rFonts w:ascii="Times New Roman" w:hAnsi="Times New Roman" w:cs="Times New Roman"/>
          <w:sz w:val="24"/>
          <w:szCs w:val="24"/>
        </w:rPr>
        <w:t>.L., 107-171,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dated May 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2002, and the Farm Security and Rural Investment Act of</w:t>
      </w:r>
      <w:r w:rsidR="00012C84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2002.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Disease prevention is the most effective method for maintaining a healthy animal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population and enhancing the nation's ability to globally compete in the trade of animals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and animal products. The agency responsible for carrying out this disease prevention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mission is the United States Department of Agriculture (USDA), Animal and Plant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Health Inspection Service (APHIS). APHIS regulates the importation of specified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animals and animal products into the United States to guard against the introduction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exotic or other animal diseases.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The regulations under which APHIS conducts these disease prevention activities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 xml:space="preserve">contained in Title 9, Chapter 1, Subchapter D, parts 91 through 99 of the </w:t>
      </w:r>
      <w:r w:rsidRPr="00675577">
        <w:rPr>
          <w:rFonts w:ascii="Times New Roman" w:hAnsi="Times New Roman" w:cs="Times New Roman"/>
          <w:i/>
          <w:iCs/>
          <w:sz w:val="24"/>
          <w:szCs w:val="24"/>
        </w:rPr>
        <w:t>Code of Federal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i/>
          <w:iCs/>
          <w:sz w:val="24"/>
          <w:szCs w:val="24"/>
        </w:rPr>
        <w:t xml:space="preserve">Regulations. </w:t>
      </w:r>
      <w:r w:rsidRPr="00675577">
        <w:rPr>
          <w:rFonts w:ascii="Times New Roman" w:hAnsi="Times New Roman" w:cs="Times New Roman"/>
          <w:sz w:val="24"/>
          <w:szCs w:val="24"/>
        </w:rPr>
        <w:t>These regulations govern the importation of animals, birds and poultry,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 xml:space="preserve">certain animal and poultry products, and animal </w:t>
      </w:r>
      <w:proofErr w:type="spellStart"/>
      <w:r w:rsidRPr="00675577">
        <w:rPr>
          <w:rFonts w:ascii="Times New Roman" w:hAnsi="Times New Roman" w:cs="Times New Roman"/>
          <w:sz w:val="24"/>
          <w:szCs w:val="24"/>
        </w:rPr>
        <w:t>germplasm</w:t>
      </w:r>
      <w:proofErr w:type="spellEnd"/>
      <w:r w:rsidRPr="00675577">
        <w:rPr>
          <w:rFonts w:ascii="Times New Roman" w:hAnsi="Times New Roman" w:cs="Times New Roman"/>
          <w:sz w:val="24"/>
          <w:szCs w:val="24"/>
        </w:rPr>
        <w:t>. These regulations place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certain restrictions on the importation of poultry meat and other poultry products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 xml:space="preserve">regions of the world where </w:t>
      </w:r>
      <w:r w:rsidR="00E0185A">
        <w:rPr>
          <w:rFonts w:ascii="Times New Roman" w:hAnsi="Times New Roman" w:cs="Times New Roman"/>
          <w:sz w:val="24"/>
          <w:szCs w:val="24"/>
        </w:rPr>
        <w:t>E</w:t>
      </w:r>
      <w:r w:rsidRPr="00675577">
        <w:rPr>
          <w:rFonts w:ascii="Times New Roman" w:hAnsi="Times New Roman" w:cs="Times New Roman"/>
          <w:sz w:val="24"/>
          <w:szCs w:val="24"/>
        </w:rPr>
        <w:t xml:space="preserve">xotic Newcastle </w:t>
      </w:r>
      <w:r w:rsidR="00E0185A">
        <w:rPr>
          <w:rFonts w:ascii="Times New Roman" w:hAnsi="Times New Roman" w:cs="Times New Roman"/>
          <w:sz w:val="24"/>
          <w:szCs w:val="24"/>
        </w:rPr>
        <w:t>D</w:t>
      </w:r>
      <w:r w:rsidRPr="00675577">
        <w:rPr>
          <w:rFonts w:ascii="Times New Roman" w:hAnsi="Times New Roman" w:cs="Times New Roman"/>
          <w:sz w:val="24"/>
          <w:szCs w:val="24"/>
        </w:rPr>
        <w:t>isease (END) is known to exist.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The primary purpose of the forms of burden discussed in this collection is to allow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poultry meat that originates in the United States to be shipped, for processing purposes,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a region where END exists, and then returned to the United States. APHIS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 xml:space="preserve">determined that these items, </w:t>
      </w:r>
      <w:r w:rsidRPr="00675577">
        <w:rPr>
          <w:rFonts w:ascii="Times New Roman" w:hAnsi="Times New Roman" w:cs="Times New Roman"/>
          <w:sz w:val="24"/>
          <w:szCs w:val="24"/>
        </w:rPr>
        <w:lastRenderedPageBreak/>
        <w:t xml:space="preserve">imported in accordance with </w:t>
      </w:r>
      <w:r w:rsidR="00012C84">
        <w:rPr>
          <w:rFonts w:ascii="Times New Roman" w:hAnsi="Times New Roman" w:cs="Times New Roman"/>
          <w:sz w:val="24"/>
          <w:szCs w:val="24"/>
        </w:rPr>
        <w:t>its</w:t>
      </w:r>
      <w:r w:rsidRPr="00675577">
        <w:rPr>
          <w:rFonts w:ascii="Times New Roman" w:hAnsi="Times New Roman" w:cs="Times New Roman"/>
          <w:sz w:val="24"/>
          <w:szCs w:val="24"/>
        </w:rPr>
        <w:t xml:space="preserve"> requirements, pose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negligible risk of introducing END into the United States.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Lowering restrictions on importing these commodities from regions affected with 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requires the use of four information collection activities: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75577" w:rsidRDefault="00675577" w:rsidP="006755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A certificate of origin that must be issued, including serial numbers that must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recorded</w:t>
      </w:r>
    </w:p>
    <w:p w:rsidR="00675577" w:rsidRPr="00675577" w:rsidRDefault="00675577" w:rsidP="006755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Records that must be maintained</w:t>
      </w:r>
    </w:p>
    <w:p w:rsidR="00675577" w:rsidRPr="00675577" w:rsidRDefault="00675577" w:rsidP="006755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Cooperative service agreements that must be signed</w:t>
      </w:r>
    </w:p>
    <w:p w:rsidR="00675577" w:rsidRDefault="00675577" w:rsidP="006755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Certificates for shipment back to the United States.</w:t>
      </w: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APHIS is asking OMB to approve, for an additional 3 years, its use of these information</w:t>
      </w:r>
      <w:r>
        <w:rPr>
          <w:rFonts w:ascii="Times New Roman" w:hAnsi="Times New Roman" w:cs="Times New Roman"/>
          <w:sz w:val="24"/>
          <w:szCs w:val="24"/>
        </w:rPr>
        <w:t xml:space="preserve"> collection activities.</w:t>
      </w: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5577">
        <w:rPr>
          <w:rFonts w:ascii="Times New Roman" w:hAnsi="Times New Roman" w:cs="Times New Roman"/>
          <w:b/>
          <w:sz w:val="24"/>
          <w:szCs w:val="24"/>
        </w:rPr>
        <w:t>2. Indicate bow, by whom, how frequently, and for what purpose the information is to be used. Except for a new collection, indicate the actual use the agency has made of the information received from the current collection.</w:t>
      </w: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18" w:rsidRPr="00FF585E" w:rsidRDefault="006C4B18" w:rsidP="006C4B18">
      <w:pPr>
        <w:rPr>
          <w:rFonts w:ascii="Times New Roman" w:hAnsi="Times New Roman"/>
          <w:sz w:val="24"/>
          <w:szCs w:val="24"/>
        </w:rPr>
      </w:pPr>
      <w:r w:rsidRPr="00FF585E">
        <w:rPr>
          <w:rFonts w:ascii="Times New Roman" w:hAnsi="Times New Roman"/>
          <w:sz w:val="24"/>
          <w:szCs w:val="24"/>
        </w:rPr>
        <w:t xml:space="preserve">APHIS uses the following information activities to </w:t>
      </w:r>
      <w:r w:rsidR="00CF2404" w:rsidRPr="00675577">
        <w:rPr>
          <w:rFonts w:ascii="Times New Roman" w:hAnsi="Times New Roman" w:cs="Times New Roman"/>
          <w:sz w:val="24"/>
          <w:szCs w:val="24"/>
        </w:rPr>
        <w:t>allow</w:t>
      </w:r>
      <w:r w:rsidR="00CF2404">
        <w:rPr>
          <w:rFonts w:ascii="Times New Roman" w:hAnsi="Times New Roman" w:cs="Times New Roman"/>
          <w:sz w:val="24"/>
          <w:szCs w:val="24"/>
        </w:rPr>
        <w:t xml:space="preserve"> </w:t>
      </w:r>
      <w:r w:rsidR="00CF2404" w:rsidRPr="00675577">
        <w:rPr>
          <w:rFonts w:ascii="Times New Roman" w:hAnsi="Times New Roman" w:cs="Times New Roman"/>
          <w:sz w:val="24"/>
          <w:szCs w:val="24"/>
        </w:rPr>
        <w:t>poultry meat that originates in the United States to be shipped, for processing purposes, to</w:t>
      </w:r>
      <w:r w:rsidR="00CF2404">
        <w:rPr>
          <w:rFonts w:ascii="Times New Roman" w:hAnsi="Times New Roman" w:cs="Times New Roman"/>
          <w:sz w:val="24"/>
          <w:szCs w:val="24"/>
        </w:rPr>
        <w:t xml:space="preserve"> </w:t>
      </w:r>
      <w:r w:rsidR="00CF2404" w:rsidRPr="00675577">
        <w:rPr>
          <w:rFonts w:ascii="Times New Roman" w:hAnsi="Times New Roman" w:cs="Times New Roman"/>
          <w:sz w:val="24"/>
          <w:szCs w:val="24"/>
        </w:rPr>
        <w:t>a region where END exists, and then returned to the United States</w:t>
      </w:r>
      <w:r w:rsidRPr="00FF585E">
        <w:rPr>
          <w:rFonts w:ascii="Times New Roman" w:hAnsi="Times New Roman"/>
          <w:sz w:val="24"/>
          <w:szCs w:val="24"/>
        </w:rPr>
        <w:t xml:space="preserve">. 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5577">
        <w:rPr>
          <w:rFonts w:ascii="Times New Roman" w:hAnsi="Times New Roman" w:cs="Times New Roman"/>
          <w:b/>
          <w:sz w:val="24"/>
          <w:szCs w:val="24"/>
        </w:rPr>
        <w:t>Certificate of Origin from the National Government (9 CFR 94.6(b</w:t>
      </w:r>
      <w:proofErr w:type="gramStart"/>
      <w:r w:rsidRPr="00675577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Pr="00675577">
        <w:rPr>
          <w:rFonts w:ascii="Times New Roman" w:hAnsi="Times New Roman" w:cs="Times New Roman"/>
          <w:b/>
          <w:sz w:val="24"/>
          <w:szCs w:val="24"/>
        </w:rPr>
        <w:t>5)(</w:t>
      </w:r>
      <w:proofErr w:type="spellStart"/>
      <w:r w:rsidRPr="0067557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675577">
        <w:rPr>
          <w:rFonts w:ascii="Times New Roman" w:hAnsi="Times New Roman" w:cs="Times New Roman"/>
          <w:b/>
          <w:sz w:val="24"/>
          <w:szCs w:val="24"/>
        </w:rPr>
        <w:t xml:space="preserve">)) </w:t>
      </w: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 xml:space="preserve">A </w:t>
      </w:r>
      <w:r w:rsidR="00012C84">
        <w:rPr>
          <w:rFonts w:ascii="Times New Roman" w:hAnsi="Times New Roman" w:cs="Times New Roman"/>
          <w:sz w:val="24"/>
          <w:szCs w:val="24"/>
        </w:rPr>
        <w:t>F</w:t>
      </w:r>
      <w:r w:rsidRPr="00675577">
        <w:rPr>
          <w:rFonts w:ascii="Times New Roman" w:hAnsi="Times New Roman" w:cs="Times New Roman"/>
          <w:sz w:val="24"/>
          <w:szCs w:val="24"/>
        </w:rPr>
        <w:t>ederal official from the END-free exporting region must complete a certificate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accompany every shipment of poultry carcasses. The certificate must attest to the origin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of the carcasses, identify the foreign processing establishment for which the carcasses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destined, and list the serial numbers from the seals applied to the shipping containers.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When the shipment arrives at the foreign processing establishment, a Federal official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that region must sign the certificate, attesting that the seals on the containers were intact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when the containers arrived at the establishment. The shipment may then be opened 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processing establishment.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5577">
        <w:rPr>
          <w:rFonts w:ascii="Times New Roman" w:hAnsi="Times New Roman" w:cs="Times New Roman"/>
          <w:b/>
          <w:sz w:val="24"/>
          <w:szCs w:val="24"/>
        </w:rPr>
        <w:t>Recordkeeping (9 CFR 94.6(b</w:t>
      </w:r>
      <w:proofErr w:type="gramStart"/>
      <w:r w:rsidRPr="00675577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Pr="00675577">
        <w:rPr>
          <w:rFonts w:ascii="Times New Roman" w:hAnsi="Times New Roman" w:cs="Times New Roman"/>
          <w:b/>
          <w:sz w:val="24"/>
          <w:szCs w:val="24"/>
        </w:rPr>
        <w:t>5)(ii))</w:t>
      </w: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The foreign government officials must maintain the signed certificates (Certificate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Origin from the National Government and the Certificate for Shipment Back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United States) on file for at least 2 years after the carcasses are sent back to the United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States. The certificates must be made available to USDA inspectors on request.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5577">
        <w:rPr>
          <w:rFonts w:ascii="Times New Roman" w:hAnsi="Times New Roman" w:cs="Times New Roman"/>
          <w:b/>
          <w:sz w:val="24"/>
          <w:szCs w:val="24"/>
        </w:rPr>
        <w:t>Cooperative Service Agreement (9 CFR 94.6(b</w:t>
      </w:r>
      <w:proofErr w:type="gramStart"/>
      <w:r w:rsidRPr="00675577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Pr="00675577">
        <w:rPr>
          <w:rFonts w:ascii="Times New Roman" w:hAnsi="Times New Roman" w:cs="Times New Roman"/>
          <w:b/>
          <w:sz w:val="24"/>
          <w:szCs w:val="24"/>
        </w:rPr>
        <w:t>5)(iii))</w:t>
      </w: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Before receiving and processing poultry carcasses for export to the United States,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operator of the foreign establishment must first enter into a cooperative service 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with APHIS. Under this agreement, the operator agrees to 1) handle and process poultry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in accordance with APHIS regulations; 2) allow APHIS representatives to enter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establishment unannounced to inspect its facilities, operations, and records; and 3) pay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for the costs associated with these inspections. A copy of the cooperative 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agreement is attached to this collection.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5577">
        <w:rPr>
          <w:rFonts w:ascii="Times New Roman" w:hAnsi="Times New Roman" w:cs="Times New Roman"/>
          <w:b/>
          <w:sz w:val="24"/>
          <w:szCs w:val="24"/>
        </w:rPr>
        <w:t>Certificate for Shipment Back to the United States (9 CPR 94.6(b</w:t>
      </w:r>
      <w:proofErr w:type="gramStart"/>
      <w:r w:rsidRPr="00675577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Pr="00675577">
        <w:rPr>
          <w:rFonts w:ascii="Times New Roman" w:hAnsi="Times New Roman" w:cs="Times New Roman"/>
          <w:b/>
          <w:sz w:val="24"/>
          <w:szCs w:val="24"/>
        </w:rPr>
        <w:t>5)(iv))</w:t>
      </w: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 xml:space="preserve">Poultry carcasses and parts of poultry carcasses to be </w:t>
      </w:r>
      <w:r w:rsidR="002C5DC4">
        <w:rPr>
          <w:rFonts w:ascii="Times New Roman" w:hAnsi="Times New Roman" w:cs="Times New Roman"/>
          <w:sz w:val="24"/>
          <w:szCs w:val="24"/>
        </w:rPr>
        <w:t>impor</w:t>
      </w:r>
      <w:r w:rsidRPr="00675577">
        <w:rPr>
          <w:rFonts w:ascii="Times New Roman" w:hAnsi="Times New Roman" w:cs="Times New Roman"/>
          <w:sz w:val="24"/>
          <w:szCs w:val="24"/>
        </w:rPr>
        <w:t>ted to the United States 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be shipped from the region where they were processed in closed containers sealed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 xml:space="preserve">serially </w:t>
      </w:r>
      <w:r w:rsidRPr="00675577">
        <w:rPr>
          <w:rFonts w:ascii="Times New Roman" w:hAnsi="Times New Roman" w:cs="Times New Roman"/>
          <w:sz w:val="24"/>
          <w:szCs w:val="24"/>
        </w:rPr>
        <w:lastRenderedPageBreak/>
        <w:t>numbered seals applied by a Federal official for that region. The shipments 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be accompanied by a certificate, signed by a government official in the region where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poultry was processed, list the number of seals applied</w:t>
      </w:r>
      <w:r w:rsidR="00012C84">
        <w:rPr>
          <w:rFonts w:ascii="Times New Roman" w:hAnsi="Times New Roman" w:cs="Times New Roman"/>
          <w:sz w:val="24"/>
          <w:szCs w:val="24"/>
        </w:rPr>
        <w:t>,</w:t>
      </w:r>
      <w:r w:rsidRPr="00675577">
        <w:rPr>
          <w:rFonts w:ascii="Times New Roman" w:hAnsi="Times New Roman" w:cs="Times New Roman"/>
          <w:sz w:val="24"/>
          <w:szCs w:val="24"/>
        </w:rPr>
        <w:t xml:space="preserve"> and state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shipment meets all APHIS conditions.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0151E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t>3. Describe whether, and to what extent, the collection of information involves the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use of automated, electronic, mechanical, or other technological collection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techniques or other forms of information technology, e.g., permitting electronic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submission of responses, and the basis for the decision for adopting this means of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collection. Also describe any consideration of using information technology to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reduce burden.</w:t>
      </w: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The certificates used for these products are documents manufactured, completed, and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signed by veterinary authorities in the exporting countries. The certificates must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physically accompany shipments to the United States and must include an original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signature from the authorizing veterinarians for validation. Therefore, they are not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candidates for electronic transmission. The cooperative service agreement</w:t>
      </w:r>
      <w:r w:rsidR="00012C84">
        <w:rPr>
          <w:rFonts w:ascii="Times New Roman" w:hAnsi="Times New Roman" w:cs="Times New Roman"/>
          <w:sz w:val="24"/>
          <w:szCs w:val="24"/>
        </w:rPr>
        <w:t xml:space="preserve"> also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requires an original signature.</w:t>
      </w:r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0151E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t>4. Describe efforts to identify duplication. Show specifically why any similar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information already available cannot be used or modified for use for the purpose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described in item 2 above.</w:t>
      </w: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The information that APHIS collects is not available from any other source. APHIS is the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only Federal Agency responsible for preventing communicable animal diseases from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entering the United States.</w:t>
      </w:r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0151E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t>5. If the collection of information impacts small businesses or other small entities,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describe any methods used to minimize burden.</w:t>
      </w: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This collection does not affect any small entities.</w:t>
      </w:r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404" w:rsidRPr="00675577" w:rsidRDefault="00CF2404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0151E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t>6. Describe the consequence to Federal program or policy activities if the collection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is not conducted or is conducted less frequently, as well as any technical or legal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obstacles to reducing burden.</w:t>
      </w: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If the information was collected less frequently or not collected</w:t>
      </w:r>
      <w:r w:rsidR="00012C84">
        <w:rPr>
          <w:rFonts w:ascii="Times New Roman" w:hAnsi="Times New Roman" w:cs="Times New Roman"/>
          <w:sz w:val="24"/>
          <w:szCs w:val="24"/>
        </w:rPr>
        <w:t xml:space="preserve"> at all</w:t>
      </w:r>
      <w:r w:rsidRPr="00675577">
        <w:rPr>
          <w:rFonts w:ascii="Times New Roman" w:hAnsi="Times New Roman" w:cs="Times New Roman"/>
          <w:sz w:val="24"/>
          <w:szCs w:val="24"/>
        </w:rPr>
        <w:t>, it would significantly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cripple APHIS</w:t>
      </w:r>
      <w:r w:rsidR="0060151E">
        <w:rPr>
          <w:rFonts w:ascii="Times New Roman" w:hAnsi="Times New Roman" w:cs="Times New Roman"/>
          <w:sz w:val="24"/>
          <w:szCs w:val="24"/>
        </w:rPr>
        <w:t>’</w:t>
      </w:r>
      <w:r w:rsidRPr="00675577">
        <w:rPr>
          <w:rFonts w:ascii="Times New Roman" w:hAnsi="Times New Roman" w:cs="Times New Roman"/>
          <w:sz w:val="24"/>
          <w:szCs w:val="24"/>
        </w:rPr>
        <w:t xml:space="preserve"> ability to ensure that poultry carcasses imported from regions affected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with END pose a negligible risk of introducing this disease into the United States. This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would make a disease incursion event much more likely, with potentially devastating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effects on the U.S. poultry industry.</w:t>
      </w:r>
    </w:p>
    <w:p w:rsidR="005B57F6" w:rsidRDefault="005B57F6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7F6" w:rsidRDefault="005B57F6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7F6" w:rsidRDefault="005B57F6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7F6" w:rsidRDefault="005B57F6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7F6" w:rsidRDefault="005B57F6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577" w:rsidRPr="0060151E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lastRenderedPageBreak/>
        <w:t>7. Explain any special circumstances that require the collection to be conducted in a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manner inconsistent with the general information collection guidelines in 5 CFR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1320.5.</w:t>
      </w: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404" w:rsidRDefault="00CF2404" w:rsidP="00797E7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806" w:hanging="446"/>
        <w:rPr>
          <w:rFonts w:ascii="Times New Roman" w:hAnsi="Times New Roman"/>
          <w:b/>
          <w:sz w:val="24"/>
          <w:szCs w:val="24"/>
        </w:rPr>
      </w:pPr>
      <w:r w:rsidRPr="00FF585E">
        <w:rPr>
          <w:rFonts w:ascii="Times New Roman" w:hAnsi="Times New Roman"/>
          <w:b/>
          <w:sz w:val="24"/>
          <w:szCs w:val="24"/>
        </w:rPr>
        <w:t>requiring respondents to report informa</w:t>
      </w:r>
      <w:r w:rsidRPr="00FF585E">
        <w:rPr>
          <w:rFonts w:ascii="Times New Roman" w:hAnsi="Times New Roman"/>
          <w:b/>
          <w:sz w:val="24"/>
          <w:szCs w:val="24"/>
        </w:rPr>
        <w:softHyphen/>
        <w:t>tion to the agency more often than quarterly;</w:t>
      </w:r>
    </w:p>
    <w:p w:rsidR="00797E7D" w:rsidRDefault="00797E7D" w:rsidP="00797E7D">
      <w:pPr>
        <w:spacing w:after="0" w:line="240" w:lineRule="auto"/>
        <w:ind w:left="806"/>
        <w:rPr>
          <w:rFonts w:ascii="Times New Roman" w:hAnsi="Times New Roman"/>
          <w:b/>
          <w:sz w:val="24"/>
          <w:szCs w:val="24"/>
        </w:rPr>
      </w:pPr>
    </w:p>
    <w:p w:rsidR="00CF2404" w:rsidRPr="00FF585E" w:rsidRDefault="00CF2404" w:rsidP="00797E7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806" w:hanging="446"/>
        <w:rPr>
          <w:rFonts w:ascii="Times New Roman" w:hAnsi="Times New Roman"/>
          <w:b/>
          <w:sz w:val="24"/>
          <w:szCs w:val="24"/>
        </w:rPr>
      </w:pPr>
      <w:r w:rsidRPr="00FF585E">
        <w:rPr>
          <w:rFonts w:ascii="Times New Roman" w:hAnsi="Times New Roman"/>
          <w:b/>
          <w:sz w:val="24"/>
          <w:szCs w:val="24"/>
        </w:rPr>
        <w:t>requiring respondents to prepare a writ</w:t>
      </w:r>
      <w:r w:rsidRPr="00FF585E">
        <w:rPr>
          <w:rFonts w:ascii="Times New Roman" w:hAnsi="Times New Roman"/>
          <w:b/>
          <w:sz w:val="24"/>
          <w:szCs w:val="24"/>
        </w:rPr>
        <w:softHyphen/>
        <w:t>ten response to a collection of infor</w:t>
      </w:r>
      <w:r w:rsidRPr="00FF585E">
        <w:rPr>
          <w:rFonts w:ascii="Times New Roman" w:hAnsi="Times New Roman"/>
          <w:b/>
          <w:sz w:val="24"/>
          <w:szCs w:val="24"/>
        </w:rPr>
        <w:softHyphen/>
        <w:t>ma</w:t>
      </w:r>
      <w:r w:rsidRPr="00FF585E">
        <w:rPr>
          <w:rFonts w:ascii="Times New Roman" w:hAnsi="Times New Roman"/>
          <w:b/>
          <w:sz w:val="24"/>
          <w:szCs w:val="24"/>
        </w:rPr>
        <w:softHyphen/>
        <w:t>tion in fewer than 30 days after receipt of it;</w:t>
      </w:r>
    </w:p>
    <w:p w:rsidR="00CF2404" w:rsidRDefault="00CF2404" w:rsidP="00797E7D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806" w:hanging="446"/>
        <w:rPr>
          <w:rFonts w:ascii="Times New Roman" w:hAnsi="Times New Roman"/>
          <w:b/>
          <w:sz w:val="24"/>
          <w:szCs w:val="24"/>
        </w:rPr>
      </w:pPr>
      <w:r w:rsidRPr="00FF585E">
        <w:rPr>
          <w:rFonts w:ascii="Times New Roman" w:hAnsi="Times New Roman"/>
          <w:b/>
          <w:sz w:val="24"/>
          <w:szCs w:val="24"/>
        </w:rPr>
        <w:t>requiring respondents to submit more than an original and two copies of any docu</w:t>
      </w:r>
      <w:r w:rsidRPr="00FF585E">
        <w:rPr>
          <w:rFonts w:ascii="Times New Roman" w:hAnsi="Times New Roman"/>
          <w:b/>
          <w:sz w:val="24"/>
          <w:szCs w:val="24"/>
        </w:rPr>
        <w:softHyphen/>
        <w:t>ment;</w:t>
      </w:r>
    </w:p>
    <w:p w:rsidR="00797E7D" w:rsidRPr="00FF585E" w:rsidRDefault="00797E7D" w:rsidP="00797E7D">
      <w:pPr>
        <w:spacing w:after="0" w:line="240" w:lineRule="auto"/>
        <w:ind w:left="806"/>
        <w:rPr>
          <w:rFonts w:ascii="Times New Roman" w:hAnsi="Times New Roman"/>
          <w:b/>
          <w:sz w:val="24"/>
          <w:szCs w:val="24"/>
        </w:rPr>
      </w:pPr>
    </w:p>
    <w:p w:rsidR="00CF2404" w:rsidRPr="00FF585E" w:rsidRDefault="00CF2404" w:rsidP="00797E7D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806" w:hanging="446"/>
        <w:rPr>
          <w:rFonts w:ascii="Times New Roman" w:hAnsi="Times New Roman"/>
          <w:b/>
          <w:sz w:val="24"/>
          <w:szCs w:val="24"/>
        </w:rPr>
      </w:pPr>
      <w:r w:rsidRPr="00FF585E">
        <w:rPr>
          <w:rFonts w:ascii="Times New Roman" w:hAnsi="Times New Roman"/>
          <w:b/>
          <w:sz w:val="24"/>
          <w:szCs w:val="24"/>
        </w:rPr>
        <w:t>requiring respondents to retain re</w:t>
      </w:r>
      <w:r w:rsidRPr="00FF585E">
        <w:rPr>
          <w:rFonts w:ascii="Times New Roman" w:hAnsi="Times New Roman"/>
          <w:b/>
          <w:sz w:val="24"/>
          <w:szCs w:val="24"/>
        </w:rPr>
        <w:softHyphen/>
        <w:t>cords, other than health, medical, governm</w:t>
      </w:r>
      <w:r w:rsidRPr="00FF585E">
        <w:rPr>
          <w:rFonts w:ascii="Times New Roman" w:hAnsi="Times New Roman"/>
          <w:b/>
          <w:sz w:val="24"/>
          <w:szCs w:val="24"/>
        </w:rPr>
        <w:softHyphen/>
        <w:t>ent contract, grant-in-aid, or tax records for more than three years;</w:t>
      </w:r>
    </w:p>
    <w:p w:rsidR="00797E7D" w:rsidRDefault="00797E7D" w:rsidP="00797E7D">
      <w:pPr>
        <w:spacing w:after="0" w:line="240" w:lineRule="auto"/>
        <w:ind w:left="806"/>
        <w:rPr>
          <w:rFonts w:ascii="Times New Roman" w:hAnsi="Times New Roman"/>
          <w:b/>
          <w:sz w:val="24"/>
          <w:szCs w:val="24"/>
        </w:rPr>
      </w:pPr>
    </w:p>
    <w:p w:rsidR="00CF2404" w:rsidRDefault="00CF2404" w:rsidP="00797E7D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806" w:hanging="446"/>
        <w:rPr>
          <w:rFonts w:ascii="Times New Roman" w:hAnsi="Times New Roman"/>
          <w:b/>
          <w:sz w:val="24"/>
          <w:szCs w:val="24"/>
        </w:rPr>
      </w:pPr>
      <w:r w:rsidRPr="00FF585E">
        <w:rPr>
          <w:rFonts w:ascii="Times New Roman" w:hAnsi="Times New Roman"/>
          <w:b/>
          <w:sz w:val="24"/>
          <w:szCs w:val="24"/>
        </w:rPr>
        <w:t>in connection with a statisti</w:t>
      </w:r>
      <w:r w:rsidRPr="00FF585E">
        <w:rPr>
          <w:rFonts w:ascii="Times New Roman" w:hAnsi="Times New Roman"/>
          <w:b/>
          <w:sz w:val="24"/>
          <w:szCs w:val="24"/>
        </w:rPr>
        <w:softHyphen/>
        <w:t>cal sur</w:t>
      </w:r>
      <w:r w:rsidRPr="00FF585E">
        <w:rPr>
          <w:rFonts w:ascii="Times New Roman" w:hAnsi="Times New Roman"/>
          <w:b/>
          <w:sz w:val="24"/>
          <w:szCs w:val="24"/>
        </w:rPr>
        <w:softHyphen/>
        <w:t>vey, that is not de</w:t>
      </w:r>
      <w:r w:rsidRPr="00FF585E">
        <w:rPr>
          <w:rFonts w:ascii="Times New Roman" w:hAnsi="Times New Roman"/>
          <w:b/>
          <w:sz w:val="24"/>
          <w:szCs w:val="24"/>
        </w:rPr>
        <w:softHyphen/>
        <w:t>signed to produce valid and reli</w:t>
      </w:r>
      <w:r w:rsidRPr="00FF585E">
        <w:rPr>
          <w:rFonts w:ascii="Times New Roman" w:hAnsi="Times New Roman"/>
          <w:b/>
          <w:sz w:val="24"/>
          <w:szCs w:val="24"/>
        </w:rPr>
        <w:softHyphen/>
        <w:t>able results that can be general</w:t>
      </w:r>
      <w:r w:rsidRPr="00FF585E">
        <w:rPr>
          <w:rFonts w:ascii="Times New Roman" w:hAnsi="Times New Roman"/>
          <w:b/>
          <w:sz w:val="24"/>
          <w:szCs w:val="24"/>
        </w:rPr>
        <w:softHyphen/>
        <w:t>ized to the uni</w:t>
      </w:r>
      <w:r w:rsidRPr="00FF585E">
        <w:rPr>
          <w:rFonts w:ascii="Times New Roman" w:hAnsi="Times New Roman"/>
          <w:b/>
          <w:sz w:val="24"/>
          <w:szCs w:val="24"/>
        </w:rPr>
        <w:softHyphen/>
        <w:t>verse of study;</w:t>
      </w:r>
    </w:p>
    <w:p w:rsidR="00797E7D" w:rsidRPr="00FF585E" w:rsidRDefault="00797E7D" w:rsidP="00797E7D">
      <w:pPr>
        <w:spacing w:after="0" w:line="240" w:lineRule="auto"/>
        <w:ind w:left="806"/>
        <w:rPr>
          <w:rFonts w:ascii="Times New Roman" w:hAnsi="Times New Roman"/>
          <w:b/>
          <w:sz w:val="24"/>
          <w:szCs w:val="24"/>
        </w:rPr>
      </w:pPr>
    </w:p>
    <w:p w:rsidR="00CF2404" w:rsidRDefault="00CF2404" w:rsidP="00797E7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806" w:hanging="446"/>
        <w:rPr>
          <w:rFonts w:ascii="Times New Roman" w:hAnsi="Times New Roman"/>
          <w:b/>
          <w:sz w:val="24"/>
          <w:szCs w:val="24"/>
        </w:rPr>
      </w:pPr>
      <w:r w:rsidRPr="00FF585E">
        <w:rPr>
          <w:rFonts w:ascii="Times New Roman" w:hAnsi="Times New Roman"/>
          <w:b/>
          <w:sz w:val="24"/>
          <w:szCs w:val="24"/>
        </w:rPr>
        <w:t>requiring the use of a statis</w:t>
      </w:r>
      <w:r w:rsidRPr="00FF585E">
        <w:rPr>
          <w:rFonts w:ascii="Times New Roman" w:hAnsi="Times New Roman"/>
          <w:b/>
          <w:sz w:val="24"/>
          <w:szCs w:val="24"/>
        </w:rPr>
        <w:softHyphen/>
        <w:t>tical data classi</w:t>
      </w:r>
      <w:r w:rsidRPr="00FF585E">
        <w:rPr>
          <w:rFonts w:ascii="Times New Roman" w:hAnsi="Times New Roman"/>
          <w:b/>
          <w:sz w:val="24"/>
          <w:szCs w:val="24"/>
        </w:rPr>
        <w:softHyphen/>
        <w:t>fication that has not been re</w:t>
      </w:r>
      <w:r w:rsidRPr="00FF585E">
        <w:rPr>
          <w:rFonts w:ascii="Times New Roman" w:hAnsi="Times New Roman"/>
          <w:b/>
          <w:sz w:val="24"/>
          <w:szCs w:val="24"/>
        </w:rPr>
        <w:softHyphen/>
        <w:t>vie</w:t>
      </w:r>
      <w:r w:rsidRPr="00FF585E">
        <w:rPr>
          <w:rFonts w:ascii="Times New Roman" w:hAnsi="Times New Roman"/>
          <w:b/>
          <w:sz w:val="24"/>
          <w:szCs w:val="24"/>
        </w:rPr>
        <w:softHyphen/>
        <w:t>wed and approved by OMB;</w:t>
      </w:r>
    </w:p>
    <w:p w:rsidR="00797E7D" w:rsidRPr="00FF585E" w:rsidRDefault="00797E7D" w:rsidP="00797E7D">
      <w:pPr>
        <w:spacing w:after="0" w:line="240" w:lineRule="auto"/>
        <w:ind w:left="806"/>
        <w:rPr>
          <w:rFonts w:ascii="Times New Roman" w:hAnsi="Times New Roman"/>
          <w:b/>
          <w:sz w:val="24"/>
          <w:szCs w:val="24"/>
        </w:rPr>
      </w:pPr>
    </w:p>
    <w:p w:rsidR="00CF2404" w:rsidRDefault="00CF2404" w:rsidP="00797E7D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806" w:hanging="446"/>
        <w:rPr>
          <w:rFonts w:ascii="Times New Roman" w:hAnsi="Times New Roman"/>
          <w:b/>
          <w:sz w:val="24"/>
          <w:szCs w:val="24"/>
        </w:rPr>
      </w:pPr>
      <w:r w:rsidRPr="00FF585E">
        <w:rPr>
          <w:rFonts w:ascii="Times New Roman" w:hAnsi="Times New Roman"/>
          <w:b/>
          <w:sz w:val="24"/>
          <w:szCs w:val="24"/>
        </w:rPr>
        <w:t>that includes a pledge of confiden</w:t>
      </w:r>
      <w:r w:rsidRPr="00FF585E">
        <w:rPr>
          <w:rFonts w:ascii="Times New Roman" w:hAnsi="Times New Roman"/>
          <w:b/>
          <w:sz w:val="24"/>
          <w:szCs w:val="24"/>
        </w:rPr>
        <w:softHyphen/>
        <w:t>tiali</w:t>
      </w:r>
      <w:r w:rsidRPr="00FF585E">
        <w:rPr>
          <w:rFonts w:ascii="Times New Roman" w:hAnsi="Times New Roman"/>
          <w:b/>
          <w:sz w:val="24"/>
          <w:szCs w:val="24"/>
        </w:rPr>
        <w:softHyphen/>
        <w:t>ty that is not supported by au</w:t>
      </w:r>
      <w:r w:rsidRPr="00FF585E">
        <w:rPr>
          <w:rFonts w:ascii="Times New Roman" w:hAnsi="Times New Roman"/>
          <w:b/>
          <w:sz w:val="24"/>
          <w:szCs w:val="24"/>
        </w:rPr>
        <w:softHyphen/>
        <w:t>thority estab</w:t>
      </w:r>
      <w:r w:rsidRPr="00FF585E">
        <w:rPr>
          <w:rFonts w:ascii="Times New Roman" w:hAnsi="Times New Roman"/>
          <w:b/>
          <w:sz w:val="24"/>
          <w:szCs w:val="24"/>
        </w:rPr>
        <w:softHyphen/>
        <w:t>lished in statute or regu</w:t>
      </w:r>
      <w:r w:rsidRPr="00FF585E">
        <w:rPr>
          <w:rFonts w:ascii="Times New Roman" w:hAnsi="Times New Roman"/>
          <w:b/>
          <w:sz w:val="24"/>
          <w:szCs w:val="24"/>
        </w:rPr>
        <w:softHyphen/>
        <w:t>la</w:t>
      </w:r>
      <w:r w:rsidRPr="00FF585E">
        <w:rPr>
          <w:rFonts w:ascii="Times New Roman" w:hAnsi="Times New Roman"/>
          <w:b/>
          <w:sz w:val="24"/>
          <w:szCs w:val="24"/>
        </w:rPr>
        <w:softHyphen/>
        <w:t>tion, that is not sup</w:t>
      </w:r>
      <w:r w:rsidRPr="00FF585E">
        <w:rPr>
          <w:rFonts w:ascii="Times New Roman" w:hAnsi="Times New Roman"/>
          <w:b/>
          <w:sz w:val="24"/>
          <w:szCs w:val="24"/>
        </w:rPr>
        <w:softHyphen/>
        <w:t>ported by dis</w:t>
      </w:r>
      <w:r w:rsidRPr="00FF585E">
        <w:rPr>
          <w:rFonts w:ascii="Times New Roman" w:hAnsi="Times New Roman"/>
          <w:b/>
          <w:sz w:val="24"/>
          <w:szCs w:val="24"/>
        </w:rPr>
        <w:softHyphen/>
        <w:t>closure and data security policies that are consistent with the pledge, or which unneces</w:t>
      </w:r>
      <w:r w:rsidRPr="00FF585E">
        <w:rPr>
          <w:rFonts w:ascii="Times New Roman" w:hAnsi="Times New Roman"/>
          <w:b/>
          <w:sz w:val="24"/>
          <w:szCs w:val="24"/>
        </w:rPr>
        <w:softHyphen/>
        <w:t>sarily impedes shar</w:t>
      </w:r>
      <w:r w:rsidRPr="00FF585E">
        <w:rPr>
          <w:rFonts w:ascii="Times New Roman" w:hAnsi="Times New Roman"/>
          <w:b/>
          <w:sz w:val="24"/>
          <w:szCs w:val="24"/>
        </w:rPr>
        <w:softHyphen/>
        <w:t>ing of data with other agencies for com</w:t>
      </w:r>
      <w:r w:rsidRPr="00FF585E">
        <w:rPr>
          <w:rFonts w:ascii="Times New Roman" w:hAnsi="Times New Roman"/>
          <w:b/>
          <w:sz w:val="24"/>
          <w:szCs w:val="24"/>
        </w:rPr>
        <w:softHyphen/>
        <w:t>patible confiden</w:t>
      </w:r>
      <w:r w:rsidRPr="00FF585E">
        <w:rPr>
          <w:rFonts w:ascii="Times New Roman" w:hAnsi="Times New Roman"/>
          <w:b/>
          <w:sz w:val="24"/>
          <w:szCs w:val="24"/>
        </w:rPr>
        <w:softHyphen/>
        <w:t>tial use; or</w:t>
      </w:r>
    </w:p>
    <w:p w:rsidR="00797E7D" w:rsidRPr="00FF585E" w:rsidRDefault="00797E7D" w:rsidP="00797E7D">
      <w:pPr>
        <w:spacing w:after="0" w:line="240" w:lineRule="auto"/>
        <w:ind w:left="806"/>
        <w:rPr>
          <w:rFonts w:ascii="Times New Roman" w:hAnsi="Times New Roman"/>
          <w:b/>
          <w:sz w:val="24"/>
          <w:szCs w:val="24"/>
        </w:rPr>
      </w:pPr>
    </w:p>
    <w:p w:rsidR="00CF2404" w:rsidRPr="00FF585E" w:rsidRDefault="00CF2404" w:rsidP="00797E7D">
      <w:pPr>
        <w:numPr>
          <w:ilvl w:val="0"/>
          <w:numId w:val="8"/>
        </w:numPr>
        <w:tabs>
          <w:tab w:val="clear" w:pos="360"/>
          <w:tab w:val="num" w:pos="288"/>
        </w:tabs>
        <w:spacing w:after="0" w:line="240" w:lineRule="auto"/>
        <w:ind w:left="806" w:hanging="446"/>
        <w:rPr>
          <w:rFonts w:ascii="Times New Roman" w:hAnsi="Times New Roman"/>
          <w:sz w:val="24"/>
          <w:szCs w:val="24"/>
        </w:rPr>
      </w:pPr>
      <w:r w:rsidRPr="00FF585E">
        <w:rPr>
          <w:rFonts w:ascii="Times New Roman" w:hAnsi="Times New Roman"/>
          <w:b/>
          <w:sz w:val="24"/>
          <w:szCs w:val="24"/>
        </w:rPr>
        <w:t>requiring respondents to submit propri</w:t>
      </w:r>
      <w:r w:rsidRPr="00FF585E">
        <w:rPr>
          <w:rFonts w:ascii="Times New Roman" w:hAnsi="Times New Roman"/>
          <w:b/>
          <w:sz w:val="24"/>
          <w:szCs w:val="24"/>
        </w:rPr>
        <w:softHyphen/>
        <w:t>etary trade secret, or other confidential information unless the agency can demon</w:t>
      </w:r>
      <w:r w:rsidRPr="00FF585E">
        <w:rPr>
          <w:rFonts w:ascii="Times New Roman" w:hAnsi="Times New Roman"/>
          <w:b/>
          <w:sz w:val="24"/>
          <w:szCs w:val="24"/>
        </w:rPr>
        <w:softHyphen/>
        <w:t>strate that it has instituted procedures to protect the information's confidentiality to the extent permit</w:t>
      </w:r>
      <w:r w:rsidRPr="00FF585E">
        <w:rPr>
          <w:rFonts w:ascii="Times New Roman" w:hAnsi="Times New Roman"/>
          <w:b/>
          <w:sz w:val="24"/>
          <w:szCs w:val="24"/>
        </w:rPr>
        <w:softHyphen/>
        <w:t>ted by law.</w:t>
      </w:r>
    </w:p>
    <w:p w:rsidR="00CF2404" w:rsidRPr="00FF585E" w:rsidRDefault="00CF2404" w:rsidP="00CF24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404" w:rsidRPr="00FF585E" w:rsidRDefault="00CF2404" w:rsidP="00CF24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585E">
        <w:rPr>
          <w:rFonts w:ascii="Times New Roman" w:hAnsi="Times New Roman"/>
          <w:sz w:val="24"/>
          <w:szCs w:val="24"/>
        </w:rPr>
        <w:t>This information collection is conducted in a manner consistent with the guidelines established in 5 CFR 1320.5.</w:t>
      </w:r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404" w:rsidRPr="00675577" w:rsidRDefault="00CF2404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0151E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t>8. Describe efforts to consult with persons outside the agency to obtain their views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on the availability of data, frequency of collection, the clarity of instructions and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recordkeeping, disclosure, or reporting form, and on the data elements to be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 xml:space="preserve">recorded, disclosed, or reported. </w:t>
      </w:r>
      <w:r w:rsidR="0060151E" w:rsidRPr="0060151E">
        <w:rPr>
          <w:rFonts w:ascii="Times New Roman" w:hAnsi="Times New Roman" w:cs="Times New Roman"/>
          <w:b/>
          <w:iCs/>
          <w:sz w:val="24"/>
          <w:szCs w:val="24"/>
        </w:rPr>
        <w:t>If</w:t>
      </w:r>
      <w:r w:rsidRPr="0060151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applicable, provide a copy and identify the date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and page number of publication in the Federal Register of the agency's notice,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soliciting comments on the information collection prior to submission to OMB.</w:t>
      </w:r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In 2012, APHIS engaged in productive consultations with the following individuals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concerning the information collection activities associated with this program:</w:t>
      </w:r>
    </w:p>
    <w:p w:rsidR="00DF5847" w:rsidRDefault="00DF584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 xml:space="preserve">Joel </w:t>
      </w:r>
      <w:proofErr w:type="spellStart"/>
      <w:r w:rsidRPr="00675577">
        <w:rPr>
          <w:rFonts w:ascii="Times New Roman" w:hAnsi="Times New Roman" w:cs="Times New Roman"/>
          <w:sz w:val="24"/>
          <w:szCs w:val="24"/>
        </w:rPr>
        <w:t>Brandenburger</w:t>
      </w:r>
      <w:proofErr w:type="spellEnd"/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National Turkey Federation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1225 New York Ave. NW, Suite 400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Washington, DC 20005</w:t>
      </w: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(202)</w:t>
      </w:r>
      <w:r w:rsidR="00012C84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898-0100</w:t>
      </w:r>
    </w:p>
    <w:p w:rsidR="00675577" w:rsidRPr="00E0185A" w:rsidRDefault="00BC67F9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85A">
        <w:rPr>
          <w:rFonts w:ascii="Times New Roman" w:hAnsi="Times New Roman" w:cs="Times New Roman"/>
          <w:sz w:val="24"/>
          <w:szCs w:val="24"/>
        </w:rPr>
        <w:lastRenderedPageBreak/>
        <w:t xml:space="preserve">Mr. William </w:t>
      </w:r>
      <w:proofErr w:type="spellStart"/>
      <w:r w:rsidRPr="00E0185A">
        <w:rPr>
          <w:rFonts w:ascii="Times New Roman" w:hAnsi="Times New Roman" w:cs="Times New Roman"/>
          <w:sz w:val="24"/>
          <w:szCs w:val="24"/>
        </w:rPr>
        <w:t>Roenick</w:t>
      </w:r>
      <w:proofErr w:type="spellEnd"/>
      <w:r w:rsidRPr="00E0185A">
        <w:rPr>
          <w:rFonts w:ascii="Times New Roman" w:hAnsi="Times New Roman" w:cs="Times New Roman"/>
          <w:sz w:val="24"/>
          <w:szCs w:val="24"/>
        </w:rPr>
        <w:t>, Senior Vice President</w:t>
      </w:r>
    </w:p>
    <w:p w:rsidR="00675577" w:rsidRPr="00E0185A" w:rsidRDefault="00BC67F9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85A">
        <w:rPr>
          <w:rFonts w:ascii="Times New Roman" w:hAnsi="Times New Roman" w:cs="Times New Roman"/>
          <w:sz w:val="24"/>
          <w:szCs w:val="24"/>
        </w:rPr>
        <w:t xml:space="preserve">National </w:t>
      </w:r>
      <w:r w:rsidR="00E0185A" w:rsidRPr="00E0185A">
        <w:rPr>
          <w:rFonts w:ascii="Times New Roman" w:hAnsi="Times New Roman" w:cs="Times New Roman"/>
          <w:sz w:val="24"/>
          <w:szCs w:val="24"/>
        </w:rPr>
        <w:t>Chicken</w:t>
      </w:r>
      <w:r w:rsidRPr="00E0185A">
        <w:rPr>
          <w:rFonts w:ascii="Times New Roman" w:hAnsi="Times New Roman" w:cs="Times New Roman"/>
          <w:sz w:val="24"/>
          <w:szCs w:val="24"/>
        </w:rPr>
        <w:t xml:space="preserve"> Council</w:t>
      </w:r>
    </w:p>
    <w:p w:rsidR="00E0185A" w:rsidRPr="00E0185A" w:rsidRDefault="00E0185A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85A">
        <w:rPr>
          <w:rFonts w:ascii="Times New Roman" w:hAnsi="Times New Roman" w:cs="Times New Roman"/>
          <w:sz w:val="24"/>
          <w:szCs w:val="24"/>
        </w:rPr>
        <w:t>1152 15</w:t>
      </w:r>
      <w:r w:rsidRPr="00E0185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0185A">
        <w:rPr>
          <w:rFonts w:ascii="Times New Roman" w:hAnsi="Times New Roman" w:cs="Times New Roman"/>
          <w:sz w:val="24"/>
          <w:szCs w:val="24"/>
        </w:rPr>
        <w:t xml:space="preserve"> Street, NW, Suite 430, </w:t>
      </w:r>
    </w:p>
    <w:p w:rsidR="00E0185A" w:rsidRPr="00E0185A" w:rsidRDefault="00E0185A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85A">
        <w:rPr>
          <w:rFonts w:ascii="Times New Roman" w:hAnsi="Times New Roman" w:cs="Times New Roman"/>
          <w:sz w:val="24"/>
          <w:szCs w:val="24"/>
        </w:rPr>
        <w:t>Washington, D.C. 20005-2622</w:t>
      </w:r>
      <w:r w:rsidRPr="00E0185A">
        <w:rPr>
          <w:rFonts w:ascii="Times New Roman" w:hAnsi="Times New Roman" w:cs="Times New Roman"/>
          <w:sz w:val="24"/>
          <w:szCs w:val="24"/>
        </w:rPr>
        <w:br/>
        <w:t xml:space="preserve">Phone (202) 296-2622 </w:t>
      </w:r>
    </w:p>
    <w:p w:rsidR="00675577" w:rsidRDefault="00E0185A" w:rsidP="00E0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85A">
        <w:rPr>
          <w:rFonts w:ascii="Times New Roman" w:hAnsi="Times New Roman" w:cs="Times New Roman"/>
          <w:sz w:val="24"/>
          <w:szCs w:val="24"/>
        </w:rPr>
        <w:t>Fax (202) 293-4005</w:t>
      </w:r>
    </w:p>
    <w:p w:rsidR="005B57F6" w:rsidRDefault="005B57F6" w:rsidP="00E0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7F9" w:rsidRPr="00675577" w:rsidRDefault="00BC67F9" w:rsidP="00BC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James Summer, President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U.S.A. Poultry and Egg Export Council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2300 W. Park Place Blvd., Suite 100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Stone Mountain, GA 30087</w:t>
      </w: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(770) 413-0006</w:t>
      </w:r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85A" w:rsidRDefault="00E0185A" w:rsidP="00675577">
      <w:pPr>
        <w:autoSpaceDE w:val="0"/>
        <w:autoSpaceDN w:val="0"/>
        <w:adjustRightInd w:val="0"/>
        <w:spacing w:after="0" w:line="240" w:lineRule="auto"/>
        <w:rPr>
          <w:rStyle w:val="InitialStyle"/>
          <w:rFonts w:ascii="Times New Roman" w:hAnsi="Times New Roman" w:cs="Times New Roman"/>
          <w:szCs w:val="24"/>
        </w:rPr>
      </w:pPr>
      <w:r w:rsidRPr="00E0185A">
        <w:rPr>
          <w:rStyle w:val="InitialStyle"/>
          <w:rFonts w:ascii="Times New Roman" w:hAnsi="Times New Roman" w:cs="Times New Roman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Wedne</w:t>
      </w:r>
      <w:r w:rsidRPr="00E0185A">
        <w:rPr>
          <w:rFonts w:ascii="Times New Roman" w:hAnsi="Times New Roman" w:cs="Times New Roman"/>
          <w:sz w:val="24"/>
          <w:szCs w:val="24"/>
        </w:rPr>
        <w:t xml:space="preserve">sday, </w:t>
      </w:r>
      <w:r>
        <w:rPr>
          <w:rFonts w:ascii="Times New Roman" w:hAnsi="Times New Roman" w:cs="Times New Roman"/>
          <w:sz w:val="24"/>
          <w:szCs w:val="24"/>
        </w:rPr>
        <w:t>October</w:t>
      </w:r>
      <w:r w:rsidRPr="00E018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E0185A">
        <w:rPr>
          <w:rFonts w:ascii="Times New Roman" w:hAnsi="Times New Roman" w:cs="Times New Roman"/>
          <w:sz w:val="24"/>
          <w:szCs w:val="24"/>
        </w:rPr>
        <w:t>, 2012</w:t>
      </w:r>
      <w:r w:rsidRPr="00E0185A">
        <w:rPr>
          <w:rStyle w:val="InitialStyle"/>
          <w:rFonts w:ascii="Times New Roman" w:hAnsi="Times New Roman" w:cs="Times New Roman"/>
          <w:szCs w:val="24"/>
        </w:rPr>
        <w:t xml:space="preserve">, page </w:t>
      </w:r>
      <w:r>
        <w:rPr>
          <w:rStyle w:val="InitialStyle"/>
          <w:rFonts w:ascii="Times New Roman" w:hAnsi="Times New Roman" w:cs="Times New Roman"/>
          <w:szCs w:val="24"/>
        </w:rPr>
        <w:t>65854</w:t>
      </w:r>
      <w:r w:rsidRPr="00E0185A">
        <w:rPr>
          <w:rStyle w:val="InitialStyle"/>
          <w:rFonts w:ascii="Times New Roman" w:hAnsi="Times New Roman" w:cs="Times New Roman"/>
          <w:szCs w:val="24"/>
        </w:rPr>
        <w:t xml:space="preserve">, APHIS published in the Federal Register, a </w:t>
      </w:r>
    </w:p>
    <w:p w:rsidR="00E0185A" w:rsidRDefault="00E0185A" w:rsidP="00675577">
      <w:pPr>
        <w:autoSpaceDE w:val="0"/>
        <w:autoSpaceDN w:val="0"/>
        <w:adjustRightInd w:val="0"/>
        <w:spacing w:after="0" w:line="240" w:lineRule="auto"/>
        <w:rPr>
          <w:rStyle w:val="InitialStyle"/>
          <w:rFonts w:ascii="Times New Roman" w:hAnsi="Times New Roman" w:cs="Times New Roman"/>
          <w:szCs w:val="24"/>
        </w:rPr>
      </w:pPr>
      <w:proofErr w:type="gramStart"/>
      <w:r w:rsidRPr="00E0185A">
        <w:rPr>
          <w:rStyle w:val="InitialStyle"/>
          <w:rFonts w:ascii="Times New Roman" w:hAnsi="Times New Roman" w:cs="Times New Roman"/>
          <w:szCs w:val="24"/>
        </w:rPr>
        <w:t>60-day notice seeking public comments on APHIS’ plans to request a 3-year extension of this collection of information.</w:t>
      </w:r>
      <w:proofErr w:type="gramEnd"/>
      <w:r w:rsidRPr="00E0185A">
        <w:rPr>
          <w:rStyle w:val="InitialStyle"/>
          <w:rFonts w:ascii="Times New Roman" w:hAnsi="Times New Roman" w:cs="Times New Roman"/>
          <w:szCs w:val="24"/>
        </w:rPr>
        <w:t xml:space="preserve">  During that time APHIS received </w:t>
      </w:r>
      <w:r>
        <w:rPr>
          <w:rStyle w:val="InitialStyle"/>
          <w:rFonts w:ascii="Times New Roman" w:hAnsi="Times New Roman" w:cs="Times New Roman"/>
          <w:szCs w:val="24"/>
        </w:rPr>
        <w:t>no</w:t>
      </w:r>
      <w:r w:rsidRPr="00E0185A">
        <w:rPr>
          <w:rStyle w:val="InitialStyle"/>
          <w:rFonts w:ascii="Times New Roman" w:hAnsi="Times New Roman" w:cs="Times New Roman"/>
          <w:szCs w:val="24"/>
        </w:rPr>
        <w:t xml:space="preserve"> comment</w:t>
      </w:r>
      <w:r>
        <w:rPr>
          <w:rStyle w:val="InitialStyle"/>
          <w:rFonts w:ascii="Times New Roman" w:hAnsi="Times New Roman" w:cs="Times New Roman"/>
          <w:szCs w:val="24"/>
        </w:rPr>
        <w:t>s.</w:t>
      </w:r>
    </w:p>
    <w:p w:rsidR="00E0185A" w:rsidRDefault="00E0185A" w:rsidP="00675577">
      <w:pPr>
        <w:autoSpaceDE w:val="0"/>
        <w:autoSpaceDN w:val="0"/>
        <w:adjustRightInd w:val="0"/>
        <w:spacing w:after="0" w:line="240" w:lineRule="auto"/>
        <w:rPr>
          <w:rStyle w:val="InitialStyle"/>
          <w:rFonts w:ascii="Times New Roman" w:hAnsi="Times New Roman" w:cs="Times New Roman"/>
          <w:szCs w:val="24"/>
        </w:rPr>
      </w:pPr>
    </w:p>
    <w:p w:rsidR="00E0185A" w:rsidRDefault="00E0185A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577" w:rsidRPr="0060151E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t>9. Explain any decision to provide any payment or gift to respondents, other than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51E">
        <w:rPr>
          <w:rFonts w:ascii="Times New Roman" w:hAnsi="Times New Roman" w:cs="Times New Roman"/>
          <w:b/>
          <w:sz w:val="24"/>
          <w:szCs w:val="24"/>
        </w:rPr>
        <w:t>reenumeration</w:t>
      </w:r>
      <w:proofErr w:type="spellEnd"/>
      <w:r w:rsidRPr="0060151E">
        <w:rPr>
          <w:rFonts w:ascii="Times New Roman" w:hAnsi="Times New Roman" w:cs="Times New Roman"/>
          <w:b/>
          <w:sz w:val="24"/>
          <w:szCs w:val="24"/>
        </w:rPr>
        <w:t xml:space="preserve"> of contractors or grantees.</w:t>
      </w:r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This information collection activity involves no payments or gifts to respondents.</w:t>
      </w:r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0151E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t>10. Describe any assurance of confidentiality provided to respondents and the basis</w:t>
      </w:r>
      <w:r w:rsid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for the assurance in statute, regulation, or agency policy.</w:t>
      </w: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47" w:rsidRPr="00FF585E" w:rsidRDefault="00DF5847" w:rsidP="00DF58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F585E">
        <w:rPr>
          <w:rFonts w:ascii="Times New Roman" w:hAnsi="Times New Roman"/>
          <w:color w:val="000000"/>
          <w:sz w:val="24"/>
          <w:szCs w:val="24"/>
        </w:rPr>
        <w:t xml:space="preserve">No additional assurance of confidentiality is provided with this information collection. Any and all information obtained in this collection shall not be disclosed except in accordance with </w:t>
      </w:r>
    </w:p>
    <w:p w:rsidR="00DF5847" w:rsidRPr="00FF585E" w:rsidRDefault="00DF5847" w:rsidP="00DF58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F585E">
        <w:rPr>
          <w:rFonts w:ascii="Times New Roman" w:hAnsi="Times New Roman"/>
          <w:color w:val="000000"/>
          <w:sz w:val="24"/>
          <w:szCs w:val="24"/>
        </w:rPr>
        <w:t>5 U.S.C. 552a.</w:t>
      </w:r>
      <w:proofErr w:type="gramEnd"/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47" w:rsidRPr="00675577" w:rsidRDefault="00DF584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0151E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t>11. Provide additional justification for any questions of a sensitive nature, such as</w:t>
      </w:r>
      <w:r w:rsid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sexual behavior or attitudes, religious beliefs, and other matters that are commonly</w:t>
      </w:r>
      <w:r w:rsid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considered private. This justification should include the reasons why the agency</w:t>
      </w:r>
      <w:r w:rsid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considers the questions necessary, the specific uses to be made of the information,</w:t>
      </w:r>
      <w:r w:rsid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the explanation to be given to persons from whom the information is requested, and</w:t>
      </w:r>
      <w:r w:rsid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any steps to be taken to obtain their consent.</w:t>
      </w:r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This information collection activity will ask no questions of a personal or sensitive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nature.</w:t>
      </w: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47" w:rsidRDefault="00DF584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577" w:rsidRPr="0060151E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t>12. Provide estimates of the hour burden of the collection of information. Indicate</w:t>
      </w:r>
      <w:r w:rsid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the number of respondents, frequency of response, annual hour burden, and an</w:t>
      </w:r>
      <w:r w:rsid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explanation of how the burden was estimated.</w:t>
      </w:r>
    </w:p>
    <w:p w:rsidR="0060151E" w:rsidRP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t>•Indicate the number of respondents, frequency of response, annual hour burden,</w:t>
      </w:r>
      <w:r w:rsid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and an explanation of how the burden was estimated. If this request for approval</w:t>
      </w:r>
      <w:r w:rsid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 xml:space="preserve">covers more than </w:t>
      </w:r>
      <w:r w:rsidRPr="0060151E">
        <w:rPr>
          <w:rFonts w:ascii="Times New Roman" w:hAnsi="Times New Roman" w:cs="Times New Roman"/>
          <w:b/>
          <w:sz w:val="24"/>
          <w:szCs w:val="24"/>
        </w:rPr>
        <w:lastRenderedPageBreak/>
        <w:t>one form, provide separate hour burden estimates for each form</w:t>
      </w:r>
      <w:r w:rsid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and aggregate the hour burdens in Item 13 of OMB Form 83-1.</w:t>
      </w:r>
    </w:p>
    <w:p w:rsidR="0060151E" w:rsidRP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See APHIS Form 71. Burden estimates were developed from discussions with foreign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animal health authorities in regions with affected processing plants who will complete the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certificates and documents necessary to export poultry to the United States.</w:t>
      </w:r>
    </w:p>
    <w:p w:rsidR="00675577" w:rsidRPr="0060151E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51E">
        <w:rPr>
          <w:rFonts w:ascii="Times New Roman" w:hAnsi="Times New Roman" w:cs="Times New Roman"/>
          <w:b/>
          <w:sz w:val="24"/>
          <w:szCs w:val="24"/>
        </w:rPr>
        <w:t>•Provide estimates of annualized cost to respondents for the hour burdens for</w:t>
      </w:r>
      <w:r w:rsidR="0060151E" w:rsidRPr="00601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1E">
        <w:rPr>
          <w:rFonts w:ascii="Times New Roman" w:hAnsi="Times New Roman" w:cs="Times New Roman"/>
          <w:b/>
          <w:sz w:val="24"/>
          <w:szCs w:val="24"/>
        </w:rPr>
        <w:t>collections of information, identifying and using appropriate wage rate categories.</w:t>
      </w:r>
    </w:p>
    <w:p w:rsidR="0060151E" w:rsidRPr="00675577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APHIS estimates the total annualized cost to these respondents to be $3,</w:t>
      </w:r>
      <w:r w:rsidR="00012C84">
        <w:rPr>
          <w:rFonts w:ascii="Times New Roman" w:hAnsi="Times New Roman" w:cs="Times New Roman"/>
          <w:sz w:val="24"/>
          <w:szCs w:val="24"/>
        </w:rPr>
        <w:t>483</w:t>
      </w:r>
      <w:r w:rsidRPr="00675577">
        <w:rPr>
          <w:rFonts w:ascii="Times New Roman" w:hAnsi="Times New Roman" w:cs="Times New Roman"/>
          <w:sz w:val="24"/>
          <w:szCs w:val="24"/>
        </w:rPr>
        <w:t>.00 (see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APHIS Form 71). APHIS arrived at this figure by multiplying the total burden hours (1</w:t>
      </w:r>
      <w:r w:rsidR="00012C84">
        <w:rPr>
          <w:rFonts w:ascii="Times New Roman" w:hAnsi="Times New Roman" w:cs="Times New Roman"/>
          <w:sz w:val="24"/>
          <w:szCs w:val="24"/>
        </w:rPr>
        <w:t>29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hours) by the estimated average hour</w:t>
      </w:r>
      <w:r w:rsidR="006C4B18">
        <w:rPr>
          <w:rFonts w:ascii="Times New Roman" w:hAnsi="Times New Roman" w:cs="Times New Roman"/>
          <w:sz w:val="24"/>
          <w:szCs w:val="24"/>
        </w:rPr>
        <w:t>l</w:t>
      </w:r>
      <w:r w:rsidRPr="00675577">
        <w:rPr>
          <w:rFonts w:ascii="Times New Roman" w:hAnsi="Times New Roman" w:cs="Times New Roman"/>
          <w:sz w:val="24"/>
          <w:szCs w:val="24"/>
        </w:rPr>
        <w:t>y wage of the above respondents ($27 .00). APHIS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arrived at the wage rate by researching the average salary for a veterinarian in Mexico</w:t>
      </w:r>
      <w:r w:rsidR="0060151E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City using</w:t>
      </w:r>
    </w:p>
    <w:p w:rsidR="00675577" w:rsidRPr="00675577" w:rsidRDefault="00C06D09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C4B18" w:rsidRPr="00B045B8">
          <w:rPr>
            <w:rStyle w:val="Hyperlink"/>
            <w:rFonts w:ascii="Times New Roman" w:hAnsi="Times New Roman" w:cs="Times New Roman"/>
            <w:sz w:val="24"/>
            <w:szCs w:val="24"/>
          </w:rPr>
          <w:t>http://www.indeed.cornlsalary?q1=veterinarian&amp;ll=Mexico+City%2C+Mexico</w:t>
        </w:r>
      </w:hyperlink>
      <w:r w:rsidR="006C4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51E" w:rsidRDefault="0060151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577" w:rsidRPr="006C4B18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B18">
        <w:rPr>
          <w:rFonts w:ascii="Times New Roman" w:hAnsi="Times New Roman" w:cs="Times New Roman"/>
          <w:b/>
          <w:sz w:val="24"/>
          <w:szCs w:val="24"/>
        </w:rPr>
        <w:t>13. Provide estimates of the total annual cost burden to respondents or</w:t>
      </w:r>
      <w:r w:rsidR="006C4B18" w:rsidRPr="006C4B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4B18">
        <w:rPr>
          <w:rFonts w:ascii="Times New Roman" w:hAnsi="Times New Roman" w:cs="Times New Roman"/>
          <w:b/>
          <w:sz w:val="24"/>
          <w:szCs w:val="24"/>
        </w:rPr>
        <w:t>recordkeepers</w:t>
      </w:r>
      <w:proofErr w:type="spellEnd"/>
      <w:r w:rsidRPr="006C4B18">
        <w:rPr>
          <w:rFonts w:ascii="Times New Roman" w:hAnsi="Times New Roman" w:cs="Times New Roman"/>
          <w:b/>
          <w:sz w:val="24"/>
          <w:szCs w:val="24"/>
        </w:rPr>
        <w:t xml:space="preserve"> resulting from the collection of information (do not include the cost</w:t>
      </w:r>
      <w:r w:rsidR="006C4B18" w:rsidRPr="006C4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B18">
        <w:rPr>
          <w:rFonts w:ascii="Times New Roman" w:hAnsi="Times New Roman" w:cs="Times New Roman"/>
          <w:b/>
          <w:sz w:val="24"/>
          <w:szCs w:val="24"/>
        </w:rPr>
        <w:t>of any hour burden shown in items 12 and 14). The cost estimates should be split</w:t>
      </w:r>
      <w:r w:rsidR="006C4B18" w:rsidRPr="006C4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901">
        <w:rPr>
          <w:rFonts w:ascii="Times New Roman" w:hAnsi="Times New Roman" w:cs="Times New Roman"/>
          <w:b/>
          <w:sz w:val="24"/>
          <w:szCs w:val="24"/>
        </w:rPr>
        <w:t>into two components: (a) a tota</w:t>
      </w:r>
      <w:r w:rsidRPr="006C4B18">
        <w:rPr>
          <w:rFonts w:ascii="Times New Roman" w:hAnsi="Times New Roman" w:cs="Times New Roman"/>
          <w:b/>
          <w:sz w:val="24"/>
          <w:szCs w:val="24"/>
        </w:rPr>
        <w:t>l capital and start-up cost component annualized</w:t>
      </w:r>
      <w:r w:rsidR="006C4B18" w:rsidRPr="006C4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B18">
        <w:rPr>
          <w:rFonts w:ascii="Times New Roman" w:hAnsi="Times New Roman" w:cs="Times New Roman"/>
          <w:b/>
          <w:sz w:val="24"/>
          <w:szCs w:val="24"/>
        </w:rPr>
        <w:t>over its expected useful life; and (b) a total operation and maintenance and</w:t>
      </w:r>
      <w:r w:rsidR="006C4B18" w:rsidRPr="006C4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B18">
        <w:rPr>
          <w:rFonts w:ascii="Times New Roman" w:hAnsi="Times New Roman" w:cs="Times New Roman"/>
          <w:b/>
          <w:sz w:val="24"/>
          <w:szCs w:val="24"/>
        </w:rPr>
        <w:t>purchase of services component.</w:t>
      </w:r>
    </w:p>
    <w:p w:rsidR="006C4B18" w:rsidRPr="00675577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No cost burden is associated with capital and start-up costs, operation and maintenance</w:t>
      </w:r>
      <w:r w:rsidR="006C4B18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expenditures, and purchase of services.</w:t>
      </w:r>
    </w:p>
    <w:p w:rsid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18" w:rsidRPr="00675577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C4B18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B18">
        <w:rPr>
          <w:rFonts w:ascii="Times New Roman" w:hAnsi="Times New Roman" w:cs="Times New Roman"/>
          <w:b/>
          <w:sz w:val="24"/>
          <w:szCs w:val="24"/>
        </w:rPr>
        <w:t>14. Provide estimates of annualized cost to the Federal government. Provide a</w:t>
      </w:r>
      <w:r w:rsidR="006C4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B18">
        <w:rPr>
          <w:rFonts w:ascii="Times New Roman" w:hAnsi="Times New Roman" w:cs="Times New Roman"/>
          <w:b/>
          <w:sz w:val="24"/>
          <w:szCs w:val="24"/>
        </w:rPr>
        <w:t>description of the method used to estimate cost and any other expense that would</w:t>
      </w:r>
      <w:r w:rsidR="006C4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B18">
        <w:rPr>
          <w:rFonts w:ascii="Times New Roman" w:hAnsi="Times New Roman" w:cs="Times New Roman"/>
          <w:b/>
          <w:sz w:val="24"/>
          <w:szCs w:val="24"/>
        </w:rPr>
        <w:t>not have been incurred without this collection of information.</w:t>
      </w:r>
    </w:p>
    <w:p w:rsid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63901" w:rsidRDefault="00663901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901">
        <w:rPr>
          <w:rFonts w:ascii="Times New Roman" w:hAnsi="Times New Roman" w:cs="Times New Roman"/>
          <w:sz w:val="24"/>
          <w:szCs w:val="24"/>
        </w:rPr>
        <w:t xml:space="preserve">The annualized cost to the Federal Government is estimated at $8,021 </w:t>
      </w:r>
      <w:r w:rsidR="00675577" w:rsidRPr="00663901">
        <w:rPr>
          <w:rFonts w:ascii="Times New Roman" w:hAnsi="Times New Roman" w:cs="Times New Roman"/>
          <w:sz w:val="24"/>
          <w:szCs w:val="24"/>
        </w:rPr>
        <w:t>(See APHIS</w:t>
      </w:r>
      <w:r w:rsidR="006C4B18" w:rsidRPr="00663901">
        <w:rPr>
          <w:rFonts w:ascii="Times New Roman" w:hAnsi="Times New Roman" w:cs="Times New Roman"/>
          <w:sz w:val="24"/>
          <w:szCs w:val="24"/>
        </w:rPr>
        <w:t xml:space="preserve"> </w:t>
      </w:r>
      <w:r w:rsidR="00675577" w:rsidRPr="00663901">
        <w:rPr>
          <w:rFonts w:ascii="Times New Roman" w:hAnsi="Times New Roman" w:cs="Times New Roman"/>
          <w:sz w:val="24"/>
          <w:szCs w:val="24"/>
        </w:rPr>
        <w:t>Form 79).</w:t>
      </w:r>
    </w:p>
    <w:p w:rsidR="006C4B18" w:rsidRPr="00675577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C4B18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B18">
        <w:rPr>
          <w:rFonts w:ascii="Times New Roman" w:hAnsi="Times New Roman" w:cs="Times New Roman"/>
          <w:b/>
          <w:sz w:val="24"/>
          <w:szCs w:val="24"/>
        </w:rPr>
        <w:t>15. Explain the reasons for any program changes or adjustments reported in Items</w:t>
      </w:r>
      <w:r w:rsidR="006C4B18" w:rsidRPr="006C4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B18">
        <w:rPr>
          <w:rFonts w:ascii="Times New Roman" w:hAnsi="Times New Roman" w:cs="Times New Roman"/>
          <w:b/>
          <w:sz w:val="24"/>
          <w:szCs w:val="24"/>
        </w:rPr>
        <w:t>13 or 14 of the OMB Form 83-1.</w:t>
      </w:r>
    </w:p>
    <w:p w:rsidR="006C4B18" w:rsidRPr="00675577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7CE" w:rsidRDefault="00FD17CE" w:rsidP="00FD17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ICR Summary of Burden:</w:t>
      </w:r>
    </w:p>
    <w:tbl>
      <w:tblPr>
        <w:tblW w:w="5000" w:type="pct"/>
        <w:tblCellSpacing w:w="15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that charts list of burden"/>
      </w:tblPr>
      <w:tblGrid>
        <w:gridCol w:w="1306"/>
        <w:gridCol w:w="1259"/>
        <w:gridCol w:w="1441"/>
        <w:gridCol w:w="1439"/>
        <w:gridCol w:w="1351"/>
        <w:gridCol w:w="1349"/>
        <w:gridCol w:w="1305"/>
      </w:tblGrid>
      <w:tr w:rsidR="00FD17CE" w:rsidTr="005B57F6">
        <w:trPr>
          <w:trHeight w:val="801"/>
          <w:tblCellSpacing w:w="15" w:type="dxa"/>
        </w:trPr>
        <w:tc>
          <w:tcPr>
            <w:tcW w:w="667" w:type="pct"/>
            <w:shd w:val="clear" w:color="auto" w:fill="003399"/>
            <w:vAlign w:val="center"/>
            <w:hideMark/>
          </w:tcPr>
          <w:p w:rsidR="00FD17CE" w:rsidRPr="00FD17CE" w:rsidRDefault="00FD17CE" w:rsidP="00FD17C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D17CE">
              <w:rPr>
                <w:rFonts w:ascii="Arial" w:hAnsi="Arial" w:cs="Arial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in;height:18pt" o:ole="">
                  <v:imagedata r:id="rId10" o:title=""/>
                </v:shape>
                <w:control r:id="rId11" w:name="DefaultOcxName" w:shapeid="_x0000_i1028"/>
              </w:object>
            </w:r>
          </w:p>
        </w:tc>
        <w:tc>
          <w:tcPr>
            <w:tcW w:w="650" w:type="pct"/>
            <w:shd w:val="clear" w:color="auto" w:fill="003399"/>
            <w:vAlign w:val="center"/>
            <w:hideMark/>
          </w:tcPr>
          <w:p w:rsidR="00FD17CE" w:rsidRPr="00FD17CE" w:rsidRDefault="00FD17CE" w:rsidP="00FD17C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D17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Requested</w:t>
            </w:r>
          </w:p>
        </w:tc>
        <w:tc>
          <w:tcPr>
            <w:tcW w:w="747" w:type="pct"/>
            <w:shd w:val="clear" w:color="auto" w:fill="003399"/>
            <w:vAlign w:val="center"/>
            <w:hideMark/>
          </w:tcPr>
          <w:p w:rsidR="00FD17CE" w:rsidRPr="00FD17CE" w:rsidRDefault="00FD17CE" w:rsidP="00FD17C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D17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Program Change Due to New Statute</w:t>
            </w:r>
          </w:p>
        </w:tc>
        <w:tc>
          <w:tcPr>
            <w:tcW w:w="746" w:type="pct"/>
            <w:shd w:val="clear" w:color="auto" w:fill="003399"/>
            <w:vAlign w:val="center"/>
            <w:hideMark/>
          </w:tcPr>
          <w:p w:rsidR="00FD17CE" w:rsidRPr="00FD17CE" w:rsidRDefault="00FD17CE" w:rsidP="00FD17C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D17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Program Change Due to Agency Discretion</w:t>
            </w:r>
          </w:p>
        </w:tc>
        <w:tc>
          <w:tcPr>
            <w:tcW w:w="699" w:type="pct"/>
            <w:shd w:val="clear" w:color="auto" w:fill="003399"/>
            <w:vAlign w:val="center"/>
            <w:hideMark/>
          </w:tcPr>
          <w:p w:rsidR="00FD17CE" w:rsidRPr="00FD17CE" w:rsidRDefault="00FD17CE" w:rsidP="00FD17C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D17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Change Due to Adjustment in Agency Estimate</w:t>
            </w:r>
          </w:p>
        </w:tc>
        <w:tc>
          <w:tcPr>
            <w:tcW w:w="698" w:type="pct"/>
            <w:shd w:val="clear" w:color="auto" w:fill="003399"/>
            <w:vAlign w:val="center"/>
            <w:hideMark/>
          </w:tcPr>
          <w:p w:rsidR="00FD17CE" w:rsidRPr="00FD17CE" w:rsidRDefault="00FD17CE" w:rsidP="00FD17C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D17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Change Due to Potential Violation of the PRA</w:t>
            </w:r>
          </w:p>
        </w:tc>
        <w:tc>
          <w:tcPr>
            <w:tcW w:w="667" w:type="pct"/>
            <w:shd w:val="clear" w:color="auto" w:fill="003399"/>
            <w:vAlign w:val="center"/>
            <w:hideMark/>
          </w:tcPr>
          <w:p w:rsidR="00FD17CE" w:rsidRPr="00FD17CE" w:rsidRDefault="00FD17CE" w:rsidP="00FD17C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D17C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Previously Approved</w:t>
            </w:r>
          </w:p>
        </w:tc>
      </w:tr>
      <w:tr w:rsidR="00FD17CE" w:rsidTr="005B57F6">
        <w:trPr>
          <w:trHeight w:val="360"/>
          <w:tblCellSpacing w:w="15" w:type="dxa"/>
        </w:trPr>
        <w:tc>
          <w:tcPr>
            <w:tcW w:w="66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Annual Number of Responses</w:t>
            </w:r>
          </w:p>
        </w:tc>
        <w:tc>
          <w:tcPr>
            <w:tcW w:w="6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4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FD17CE" w:rsidTr="005B57F6">
        <w:trPr>
          <w:trHeight w:val="378"/>
          <w:tblCellSpacing w:w="15" w:type="dxa"/>
        </w:trPr>
        <w:tc>
          <w:tcPr>
            <w:tcW w:w="66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Annual Time Burden (</w:t>
            </w:r>
            <w:proofErr w:type="spellStart"/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Hr</w:t>
            </w:r>
            <w:proofErr w:type="spellEnd"/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854D71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54D71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854D71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854D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FD17CE" w:rsidTr="005B57F6">
        <w:trPr>
          <w:trHeight w:val="324"/>
          <w:tblCellSpacing w:w="15" w:type="dxa"/>
        </w:trPr>
        <w:tc>
          <w:tcPr>
            <w:tcW w:w="66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Annual Cost Burden ($)</w:t>
            </w:r>
          </w:p>
        </w:tc>
        <w:tc>
          <w:tcPr>
            <w:tcW w:w="6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7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7CE" w:rsidRPr="00FD17CE" w:rsidRDefault="00FD17CE" w:rsidP="00FD17CE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FD17CE" w:rsidRDefault="00FD17C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7CE" w:rsidRDefault="00012C84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C57599">
        <w:rPr>
          <w:rFonts w:ascii="Times New Roman" w:hAnsi="Times New Roman" w:cs="Times New Roman"/>
          <w:sz w:val="24"/>
          <w:szCs w:val="24"/>
        </w:rPr>
        <w:t>number of respondents remains</w:t>
      </w:r>
      <w:r>
        <w:rPr>
          <w:rFonts w:ascii="Times New Roman" w:hAnsi="Times New Roman" w:cs="Times New Roman"/>
          <w:sz w:val="24"/>
          <w:szCs w:val="24"/>
        </w:rPr>
        <w:t xml:space="preserve"> the same; however, t</w:t>
      </w:r>
      <w:r w:rsidR="00FD17CE">
        <w:rPr>
          <w:rFonts w:ascii="Times New Roman" w:hAnsi="Times New Roman" w:cs="Times New Roman"/>
          <w:sz w:val="24"/>
          <w:szCs w:val="24"/>
        </w:rPr>
        <w:t>here is an increase adjustment of +120 responses resulting in an increase of +12</w:t>
      </w:r>
      <w:r w:rsidR="00854D71">
        <w:rPr>
          <w:rFonts w:ascii="Times New Roman" w:hAnsi="Times New Roman" w:cs="Times New Roman"/>
          <w:sz w:val="24"/>
          <w:szCs w:val="24"/>
        </w:rPr>
        <w:t>1</w:t>
      </w:r>
      <w:r w:rsidR="00FD17CE">
        <w:rPr>
          <w:rFonts w:ascii="Times New Roman" w:hAnsi="Times New Roman" w:cs="Times New Roman"/>
          <w:sz w:val="24"/>
          <w:szCs w:val="24"/>
        </w:rPr>
        <w:t xml:space="preserve"> total burden hours.  </w:t>
      </w:r>
    </w:p>
    <w:p w:rsidR="00FD17CE" w:rsidRDefault="00FD17CE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The overall burden as well as the annualized cost to the Federal government has</w:t>
      </w:r>
      <w:r w:rsidR="006C4B18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increased significantly due to an increase in the market for imported chicken carcasses.</w:t>
      </w:r>
      <w:r w:rsidR="006C4B18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Information from the Food Safety Inspection Service (FSIS) indicates that there were 122</w:t>
      </w:r>
      <w:r w:rsidR="006C4B18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certificates for importation of carcasses back to the United States in 2011 compared to</w:t>
      </w:r>
      <w:r w:rsidR="006C4B18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 xml:space="preserve">only one such certificate in 2009. </w:t>
      </w:r>
    </w:p>
    <w:p w:rsidR="00012C84" w:rsidRDefault="00012C84" w:rsidP="0001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C84" w:rsidRDefault="00012C84" w:rsidP="00012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 xml:space="preserve">APHIS no longer uses </w:t>
      </w:r>
      <w:r w:rsidRPr="00012C84">
        <w:rPr>
          <w:rFonts w:ascii="Times New Roman" w:hAnsi="Times New Roman" w:cs="Times New Roman"/>
          <w:sz w:val="24"/>
          <w:szCs w:val="24"/>
        </w:rPr>
        <w:t>Application for Permit (VS Form 17-129)</w:t>
      </w:r>
      <w:r w:rsidRPr="00675577">
        <w:rPr>
          <w:rFonts w:ascii="Times New Roman" w:hAnsi="Times New Roman" w:cs="Times New Roman"/>
          <w:sz w:val="24"/>
          <w:szCs w:val="24"/>
        </w:rPr>
        <w:t xml:space="preserve"> for permitting imports of poultry carcasses and parts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poultry carcasses into the United States. This form is now used only for the importation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of live animals, animal semen, live poultry, and hatching eggs. APHIS has determined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 xml:space="preserve">that the certificates described </w:t>
      </w:r>
      <w:r>
        <w:rPr>
          <w:rFonts w:ascii="Times New Roman" w:hAnsi="Times New Roman" w:cs="Times New Roman"/>
          <w:sz w:val="24"/>
          <w:szCs w:val="24"/>
        </w:rPr>
        <w:t>in question 2</w:t>
      </w:r>
      <w:r w:rsidRPr="00675577">
        <w:rPr>
          <w:rFonts w:ascii="Times New Roman" w:hAnsi="Times New Roman" w:cs="Times New Roman"/>
          <w:sz w:val="24"/>
          <w:szCs w:val="24"/>
        </w:rPr>
        <w:t xml:space="preserve"> are sufficient documentation for importing poultry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carcasses and has stopped using VS Form 17-129 for this purpose.</w:t>
      </w:r>
    </w:p>
    <w:p w:rsidR="00797E7D" w:rsidRDefault="00797E7D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18" w:rsidRPr="00675577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B18">
        <w:rPr>
          <w:rFonts w:ascii="Times New Roman" w:hAnsi="Times New Roman" w:cs="Times New Roman"/>
          <w:b/>
          <w:sz w:val="24"/>
          <w:szCs w:val="24"/>
        </w:rPr>
        <w:t>16. For collections of information whose results are planned to be published, outline</w:t>
      </w:r>
      <w:r w:rsidR="006C4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B18">
        <w:rPr>
          <w:rFonts w:ascii="Times New Roman" w:hAnsi="Times New Roman" w:cs="Times New Roman"/>
          <w:b/>
          <w:sz w:val="24"/>
          <w:szCs w:val="24"/>
        </w:rPr>
        <w:t>plans for tabulation and publication.</w:t>
      </w:r>
    </w:p>
    <w:p w:rsidR="006C4B18" w:rsidRP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APHIS has no plans to publish information it collects in connection with this program.</w:t>
      </w:r>
    </w:p>
    <w:p w:rsid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847" w:rsidRDefault="00DF584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C4B18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B18">
        <w:rPr>
          <w:rFonts w:ascii="Times New Roman" w:hAnsi="Times New Roman" w:cs="Times New Roman"/>
          <w:b/>
          <w:sz w:val="24"/>
          <w:szCs w:val="24"/>
        </w:rPr>
        <w:t>17. If seeking approval to not display the expiration date for OMB approval of the</w:t>
      </w:r>
      <w:r w:rsidR="006C4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B18">
        <w:rPr>
          <w:rFonts w:ascii="Times New Roman" w:hAnsi="Times New Roman" w:cs="Times New Roman"/>
          <w:b/>
          <w:sz w:val="24"/>
          <w:szCs w:val="24"/>
        </w:rPr>
        <w:t>information collection, explain the reasons that display would be inappropriate.</w:t>
      </w:r>
    </w:p>
    <w:p w:rsid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No forms are used for this information collection.</w:t>
      </w:r>
    </w:p>
    <w:p w:rsid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B18">
        <w:rPr>
          <w:rFonts w:ascii="Times New Roman" w:hAnsi="Times New Roman" w:cs="Times New Roman"/>
          <w:b/>
          <w:sz w:val="24"/>
          <w:szCs w:val="24"/>
        </w:rPr>
        <w:t>18. Explain each exception to the certification statement identified in the</w:t>
      </w:r>
      <w:r w:rsidR="006C4B18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6C4B18">
        <w:rPr>
          <w:rFonts w:ascii="Times New Roman" w:hAnsi="Times New Roman" w:cs="Times New Roman"/>
          <w:b/>
          <w:sz w:val="24"/>
          <w:szCs w:val="24"/>
        </w:rPr>
        <w:t>Certificati</w:t>
      </w:r>
      <w:r w:rsidR="006C4B18">
        <w:rPr>
          <w:rFonts w:ascii="Times New Roman" w:hAnsi="Times New Roman" w:cs="Times New Roman"/>
          <w:b/>
          <w:sz w:val="24"/>
          <w:szCs w:val="24"/>
        </w:rPr>
        <w:t>on for Paperwork Reduction Act.”</w:t>
      </w:r>
    </w:p>
    <w:p w:rsidR="006C4B18" w:rsidRP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577" w:rsidRPr="00675577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APHIS can certify compliance with all provisions of the Act.</w:t>
      </w:r>
    </w:p>
    <w:p w:rsid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77" w:rsidRPr="006C4B18" w:rsidRDefault="00675577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B18">
        <w:rPr>
          <w:rFonts w:ascii="Times New Roman" w:hAnsi="Times New Roman" w:cs="Times New Roman"/>
          <w:b/>
          <w:sz w:val="24"/>
          <w:szCs w:val="24"/>
        </w:rPr>
        <w:t>B. Collections of Information Employing Statistical Methods</w:t>
      </w:r>
    </w:p>
    <w:p w:rsidR="006C4B18" w:rsidRDefault="006C4B18" w:rsidP="00675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E7D" w:rsidRPr="00675577" w:rsidRDefault="00675577" w:rsidP="006C4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77">
        <w:rPr>
          <w:rFonts w:ascii="Times New Roman" w:hAnsi="Times New Roman" w:cs="Times New Roman"/>
          <w:sz w:val="24"/>
          <w:szCs w:val="24"/>
        </w:rPr>
        <w:t>There are no statistical methods associated with the information collection activities used</w:t>
      </w:r>
      <w:r w:rsidR="006C4B18">
        <w:rPr>
          <w:rFonts w:ascii="Times New Roman" w:hAnsi="Times New Roman" w:cs="Times New Roman"/>
          <w:sz w:val="24"/>
          <w:szCs w:val="24"/>
        </w:rPr>
        <w:t xml:space="preserve"> </w:t>
      </w:r>
      <w:r w:rsidRPr="00675577">
        <w:rPr>
          <w:rFonts w:ascii="Times New Roman" w:hAnsi="Times New Roman" w:cs="Times New Roman"/>
          <w:sz w:val="24"/>
          <w:szCs w:val="24"/>
        </w:rPr>
        <w:t>in this program.</w:t>
      </w:r>
    </w:p>
    <w:sectPr w:rsidR="00BF4E7D" w:rsidRPr="00675577" w:rsidSect="005B57F6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C84" w:rsidRDefault="00012C84" w:rsidP="00012C84">
      <w:pPr>
        <w:spacing w:after="0" w:line="240" w:lineRule="auto"/>
      </w:pPr>
      <w:r>
        <w:separator/>
      </w:r>
    </w:p>
  </w:endnote>
  <w:endnote w:type="continuationSeparator" w:id="0">
    <w:p w:rsidR="00012C84" w:rsidRDefault="00012C84" w:rsidP="0001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C84" w:rsidRDefault="00012C84" w:rsidP="00012C84">
      <w:pPr>
        <w:spacing w:after="0" w:line="240" w:lineRule="auto"/>
      </w:pPr>
      <w:r>
        <w:separator/>
      </w:r>
    </w:p>
  </w:footnote>
  <w:footnote w:type="continuationSeparator" w:id="0">
    <w:p w:rsidR="00012C84" w:rsidRDefault="00012C84" w:rsidP="0001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F5B"/>
    <w:multiLevelType w:val="hybridMultilevel"/>
    <w:tmpl w:val="07D0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33ECA"/>
    <w:multiLevelType w:val="hybridMultilevel"/>
    <w:tmpl w:val="1312DF3C"/>
    <w:lvl w:ilvl="0" w:tplc="5BEA8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356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7C466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C9B16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45052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09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EA95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77"/>
    <w:rsid w:val="00012C84"/>
    <w:rsid w:val="002C5DC4"/>
    <w:rsid w:val="0039793E"/>
    <w:rsid w:val="005B57F6"/>
    <w:rsid w:val="0060151E"/>
    <w:rsid w:val="00663901"/>
    <w:rsid w:val="00675577"/>
    <w:rsid w:val="006C4B18"/>
    <w:rsid w:val="00797E7D"/>
    <w:rsid w:val="00854D71"/>
    <w:rsid w:val="008F6658"/>
    <w:rsid w:val="00A37BBA"/>
    <w:rsid w:val="00BC67F9"/>
    <w:rsid w:val="00BE4E75"/>
    <w:rsid w:val="00BF4E7D"/>
    <w:rsid w:val="00C06D09"/>
    <w:rsid w:val="00C57599"/>
    <w:rsid w:val="00CF2404"/>
    <w:rsid w:val="00DF5847"/>
    <w:rsid w:val="00E0185A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5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B18"/>
    <w:rPr>
      <w:color w:val="0000FF" w:themeColor="hyperlink"/>
      <w:u w:val="single"/>
    </w:rPr>
  </w:style>
  <w:style w:type="character" w:customStyle="1" w:styleId="InitialStyle">
    <w:name w:val="InitialStyle"/>
    <w:rsid w:val="00E0185A"/>
    <w:rPr>
      <w:rFonts w:ascii="Courier New" w:hAnsi="Courier New" w:cs="Courier New" w:hint="default"/>
      <w:color w:val="auto"/>
      <w:spacing w:val="0"/>
      <w:sz w:val="24"/>
    </w:rPr>
  </w:style>
  <w:style w:type="table" w:styleId="TableGrid">
    <w:name w:val="Table Grid"/>
    <w:basedOn w:val="TableNormal"/>
    <w:uiPriority w:val="59"/>
    <w:rsid w:val="00FD1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C84"/>
  </w:style>
  <w:style w:type="paragraph" w:styleId="Footer">
    <w:name w:val="footer"/>
    <w:basedOn w:val="Normal"/>
    <w:link w:val="FooterChar"/>
    <w:uiPriority w:val="99"/>
    <w:unhideWhenUsed/>
    <w:rsid w:val="0001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5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B18"/>
    <w:rPr>
      <w:color w:val="0000FF" w:themeColor="hyperlink"/>
      <w:u w:val="single"/>
    </w:rPr>
  </w:style>
  <w:style w:type="character" w:customStyle="1" w:styleId="InitialStyle">
    <w:name w:val="InitialStyle"/>
    <w:rsid w:val="00E0185A"/>
    <w:rPr>
      <w:rFonts w:ascii="Courier New" w:hAnsi="Courier New" w:cs="Courier New" w:hint="default"/>
      <w:color w:val="auto"/>
      <w:spacing w:val="0"/>
      <w:sz w:val="24"/>
    </w:rPr>
  </w:style>
  <w:style w:type="table" w:styleId="TableGrid">
    <w:name w:val="Table Grid"/>
    <w:basedOn w:val="TableNormal"/>
    <w:uiPriority w:val="59"/>
    <w:rsid w:val="00FD1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C84"/>
  </w:style>
  <w:style w:type="paragraph" w:styleId="Footer">
    <w:name w:val="footer"/>
    <w:basedOn w:val="Normal"/>
    <w:link w:val="FooterChar"/>
    <w:uiPriority w:val="99"/>
    <w:unhideWhenUsed/>
    <w:rsid w:val="00012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024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://www.indeed.cornlsalary?q1=veterinarian&amp;ll=Mexico+City%2C+Mexico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1227-6043-4DB1-A9DF-85B5063E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smharris</cp:lastModifiedBy>
  <cp:revision>10</cp:revision>
  <cp:lastPrinted>2013-01-31T14:48:00Z</cp:lastPrinted>
  <dcterms:created xsi:type="dcterms:W3CDTF">2012-05-10T12:21:00Z</dcterms:created>
  <dcterms:modified xsi:type="dcterms:W3CDTF">2013-02-26T20:13:00Z</dcterms:modified>
</cp:coreProperties>
</file>