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A2" w:rsidRDefault="00572AA2" w:rsidP="00572AA2">
      <w:pPr>
        <w:tabs>
          <w:tab w:val="center" w:pos="4680"/>
        </w:tabs>
        <w:suppressAutoHyphens/>
        <w:jc w:val="center"/>
        <w:rPr>
          <w:sz w:val="32"/>
          <w:szCs w:val="32"/>
        </w:rPr>
      </w:pPr>
      <w:r>
        <w:rPr>
          <w:sz w:val="32"/>
          <w:szCs w:val="32"/>
        </w:rPr>
        <w:t>SUPPORTING STATEMENT FOR</w:t>
      </w:r>
    </w:p>
    <w:p w:rsidR="00572AA2" w:rsidRDefault="00572AA2" w:rsidP="00572AA2">
      <w:pPr>
        <w:tabs>
          <w:tab w:val="center" w:pos="4680"/>
        </w:tabs>
        <w:suppressAutoHyphens/>
        <w:rPr>
          <w:sz w:val="32"/>
          <w:szCs w:val="32"/>
        </w:rPr>
      </w:pPr>
    </w:p>
    <w:p w:rsidR="00572AA2" w:rsidRDefault="00572AA2" w:rsidP="00572AA2">
      <w:pPr>
        <w:tabs>
          <w:tab w:val="center" w:pos="4680"/>
        </w:tabs>
        <w:suppressAutoHyphens/>
        <w:jc w:val="center"/>
        <w:rPr>
          <w:sz w:val="32"/>
          <w:szCs w:val="32"/>
        </w:rPr>
      </w:pPr>
      <w:r>
        <w:rPr>
          <w:sz w:val="32"/>
          <w:szCs w:val="32"/>
        </w:rPr>
        <w:t>0584-0501</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i/>
          <w:sz w:val="32"/>
          <w:szCs w:val="32"/>
        </w:rPr>
      </w:pPr>
      <w:r w:rsidRPr="00572AA2">
        <w:rPr>
          <w:i/>
          <w:sz w:val="32"/>
          <w:szCs w:val="32"/>
        </w:rPr>
        <w:t>Supplemental Form for Collection Taxpayer Identifying Numbers</w:t>
      </w:r>
    </w:p>
    <w:p w:rsidR="00572AA2" w:rsidRDefault="00572AA2" w:rsidP="00572AA2">
      <w:pPr>
        <w:tabs>
          <w:tab w:val="center" w:pos="4680"/>
        </w:tabs>
        <w:suppressAutoHyphens/>
        <w:jc w:val="center"/>
        <w:rPr>
          <w:i/>
          <w:sz w:val="32"/>
          <w:szCs w:val="32"/>
        </w:rPr>
      </w:pPr>
      <w:r>
        <w:rPr>
          <w:i/>
          <w:sz w:val="32"/>
          <w:szCs w:val="32"/>
        </w:rPr>
        <w:t>FNS</w:t>
      </w:r>
      <w:r w:rsidR="0061349B">
        <w:rPr>
          <w:i/>
          <w:sz w:val="32"/>
          <w:szCs w:val="32"/>
        </w:rPr>
        <w:t xml:space="preserve"> -</w:t>
      </w:r>
      <w:r>
        <w:rPr>
          <w:i/>
          <w:sz w:val="32"/>
          <w:szCs w:val="32"/>
        </w:rPr>
        <w:t xml:space="preserve"> 711</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Mark Porter</w:t>
      </w:r>
    </w:p>
    <w:p w:rsidR="00572AA2" w:rsidRDefault="00572AA2" w:rsidP="00572AA2">
      <w:pPr>
        <w:tabs>
          <w:tab w:val="center" w:pos="4680"/>
        </w:tabs>
        <w:suppressAutoHyphens/>
        <w:jc w:val="center"/>
        <w:rPr>
          <w:sz w:val="32"/>
          <w:szCs w:val="32"/>
        </w:rPr>
      </w:pPr>
    </w:p>
    <w:p w:rsidR="00572AA2" w:rsidRDefault="00F9223D" w:rsidP="00572AA2">
      <w:pPr>
        <w:tabs>
          <w:tab w:val="center" w:pos="4680"/>
        </w:tabs>
        <w:suppressAutoHyphens/>
        <w:jc w:val="center"/>
        <w:rPr>
          <w:sz w:val="32"/>
          <w:szCs w:val="32"/>
        </w:rPr>
      </w:pPr>
      <w:r>
        <w:rPr>
          <w:sz w:val="32"/>
          <w:szCs w:val="32"/>
        </w:rPr>
        <w:t>Office of Internal Controls, Audits and Investigations (OICAI)</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Food and Nutrition Service/USDA</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 xml:space="preserve">Park Center Building, Room </w:t>
      </w:r>
      <w:r w:rsidR="00DB3FD5">
        <w:rPr>
          <w:sz w:val="32"/>
          <w:szCs w:val="32"/>
        </w:rPr>
        <w:t>740</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smartTag w:uri="urn:schemas-microsoft-com:office:smarttags" w:element="Street">
        <w:smartTag w:uri="urn:schemas-microsoft-com:office:smarttags" w:element="address">
          <w:r>
            <w:rPr>
              <w:sz w:val="32"/>
              <w:szCs w:val="32"/>
            </w:rPr>
            <w:t>3101 Park Center Drive</w:t>
          </w:r>
        </w:smartTag>
      </w:smartTag>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smartTag w:uri="urn:schemas-microsoft-com:office:smarttags" w:element="place">
        <w:smartTag w:uri="urn:schemas-microsoft-com:office:smarttags" w:element="City">
          <w:r>
            <w:rPr>
              <w:sz w:val="32"/>
              <w:szCs w:val="32"/>
            </w:rPr>
            <w:t>Alexandria</w:t>
          </w:r>
        </w:smartTag>
        <w:r>
          <w:rPr>
            <w:sz w:val="32"/>
            <w:szCs w:val="32"/>
          </w:rPr>
          <w:t xml:space="preserve">, </w:t>
        </w:r>
        <w:smartTag w:uri="urn:schemas-microsoft-com:office:smarttags" w:element="State">
          <w:r>
            <w:rPr>
              <w:sz w:val="32"/>
              <w:szCs w:val="32"/>
            </w:rPr>
            <w:t>VA</w:t>
          </w:r>
        </w:smartTag>
        <w:r>
          <w:rPr>
            <w:sz w:val="32"/>
            <w:szCs w:val="32"/>
          </w:rPr>
          <w:t xml:space="preserve"> </w:t>
        </w:r>
        <w:smartTag w:uri="urn:schemas-microsoft-com:office:smarttags" w:element="PlaceName">
          <w:r>
            <w:rPr>
              <w:sz w:val="32"/>
              <w:szCs w:val="32"/>
            </w:rPr>
            <w:t>22302</w:t>
          </w:r>
        </w:smartTag>
      </w:smartTag>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(703) 305-</w:t>
      </w:r>
      <w:r w:rsidR="00DB3FD5">
        <w:rPr>
          <w:sz w:val="32"/>
          <w:szCs w:val="32"/>
        </w:rPr>
        <w:t>0901</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FAX (703) 605-</w:t>
      </w:r>
      <w:r w:rsidR="00DB3FD5">
        <w:rPr>
          <w:sz w:val="32"/>
          <w:szCs w:val="32"/>
        </w:rPr>
        <w:t>0363</w:t>
      </w:r>
    </w:p>
    <w:p w:rsidR="00572AA2" w:rsidRDefault="00572AA2" w:rsidP="00572AA2">
      <w:pPr>
        <w:tabs>
          <w:tab w:val="center" w:pos="4680"/>
        </w:tabs>
        <w:suppressAutoHyphens/>
        <w:jc w:val="center"/>
        <w:rPr>
          <w:sz w:val="32"/>
          <w:szCs w:val="32"/>
        </w:rPr>
      </w:pPr>
    </w:p>
    <w:p w:rsidR="00572AA2" w:rsidRDefault="00572AA2" w:rsidP="00572AA2">
      <w:pPr>
        <w:tabs>
          <w:tab w:val="center" w:pos="4680"/>
        </w:tabs>
        <w:suppressAutoHyphens/>
        <w:jc w:val="center"/>
        <w:rPr>
          <w:sz w:val="32"/>
          <w:szCs w:val="32"/>
        </w:rPr>
      </w:pPr>
      <w:r>
        <w:rPr>
          <w:sz w:val="32"/>
          <w:szCs w:val="32"/>
        </w:rPr>
        <w:t>E-Mail: Mark.Porter@fns.usda.gov</w:t>
      </w:r>
      <w:r w:rsidR="005642F5">
        <w:rPr>
          <w:sz w:val="32"/>
          <w:szCs w:val="32"/>
        </w:rPr>
        <w:fldChar w:fldCharType="begin"/>
      </w:r>
      <w:r>
        <w:rPr>
          <w:sz w:val="32"/>
          <w:szCs w:val="32"/>
        </w:rPr>
        <w:instrText xml:space="preserve">PRIVATE </w:instrText>
      </w:r>
      <w:r w:rsidR="005642F5">
        <w:rPr>
          <w:sz w:val="32"/>
          <w:szCs w:val="32"/>
        </w:rPr>
        <w:fldChar w:fldCharType="end"/>
      </w:r>
    </w:p>
    <w:p w:rsidR="00572AA2" w:rsidRDefault="00572AA2" w:rsidP="00572AA2">
      <w:pPr>
        <w:tabs>
          <w:tab w:val="left" w:pos="-720"/>
        </w:tabs>
        <w:suppressAutoHyphens/>
        <w:rPr>
          <w:b/>
          <w:sz w:val="28"/>
          <w:szCs w:val="28"/>
        </w:rPr>
      </w:pPr>
    </w:p>
    <w:p w:rsidR="00572AA2" w:rsidRDefault="00572AA2" w:rsidP="00572AA2">
      <w:pPr>
        <w:tabs>
          <w:tab w:val="left" w:pos="-720"/>
        </w:tabs>
        <w:suppressAutoHyphens/>
        <w:rPr>
          <w:b/>
          <w:sz w:val="28"/>
          <w:szCs w:val="28"/>
        </w:rPr>
      </w:pPr>
    </w:p>
    <w:p w:rsidR="00572AA2" w:rsidRDefault="00572AA2" w:rsidP="00572AA2">
      <w:pPr>
        <w:tabs>
          <w:tab w:val="left" w:pos="-720"/>
        </w:tabs>
        <w:suppressAutoHyphens/>
        <w:rPr>
          <w:b/>
          <w:sz w:val="28"/>
          <w:szCs w:val="28"/>
        </w:rPr>
      </w:pPr>
    </w:p>
    <w:p w:rsidR="00572AA2" w:rsidRDefault="00572AA2" w:rsidP="00572AA2">
      <w:pPr>
        <w:tabs>
          <w:tab w:val="left" w:pos="-720"/>
        </w:tabs>
        <w:suppressAutoHyphens/>
        <w:rPr>
          <w:b/>
          <w:szCs w:val="20"/>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572AA2" w:rsidRDefault="00572AA2" w:rsidP="00572AA2">
      <w:pPr>
        <w:tabs>
          <w:tab w:val="left" w:pos="-720"/>
        </w:tabs>
        <w:suppressAutoHyphens/>
        <w:rPr>
          <w:b/>
        </w:rPr>
      </w:pPr>
    </w:p>
    <w:p w:rsidR="00C2773D" w:rsidRDefault="00C2773D">
      <w:pPr>
        <w:pStyle w:val="Heading1"/>
      </w:pPr>
      <w:r>
        <w:lastRenderedPageBreak/>
        <w:t>Justification</w:t>
      </w:r>
    </w:p>
    <w:p w:rsidR="00C2773D" w:rsidRDefault="00C2773D">
      <w:pPr>
        <w:rPr>
          <w:b/>
          <w:bCs/>
          <w:u w:val="single"/>
        </w:rPr>
      </w:pPr>
    </w:p>
    <w:p w:rsidR="00D42521" w:rsidRPr="009A3085" w:rsidRDefault="00C2773D" w:rsidP="006966DB">
      <w:pPr>
        <w:rPr>
          <w:b/>
        </w:rPr>
      </w:pPr>
      <w:r>
        <w:rPr>
          <w:b/>
          <w:bCs/>
        </w:rPr>
        <w:t>1.  Explain the circumstances that make the collection of information necessary.</w:t>
      </w:r>
      <w:r w:rsidR="006966DB">
        <w:rPr>
          <w:b/>
          <w:bCs/>
        </w:rPr>
        <w:t xml:space="preserve"> </w:t>
      </w:r>
      <w:r w:rsidR="00D42521" w:rsidRPr="009A3085">
        <w:rPr>
          <w:b/>
        </w:rPr>
        <w:t>Identify any legal or administrative requirements that necessitate the collection.  Attach a copy of the appropriate section of each statute and regulation mandating or authorizing the collection of information.</w:t>
      </w:r>
    </w:p>
    <w:p w:rsidR="00C2773D" w:rsidRDefault="00C2773D">
      <w:pPr>
        <w:rPr>
          <w:b/>
          <w:bCs/>
        </w:rPr>
      </w:pPr>
      <w:r>
        <w:rPr>
          <w:b/>
          <w:bCs/>
        </w:rPr>
        <w:t xml:space="preserve">                                  </w:t>
      </w:r>
    </w:p>
    <w:p w:rsidR="00C94E56" w:rsidDel="00C94E56" w:rsidRDefault="00C2773D" w:rsidP="00C94E56">
      <w:pPr>
        <w:rPr>
          <w:b/>
          <w:bCs/>
        </w:rPr>
      </w:pPr>
      <w:r>
        <w:rPr>
          <w:b/>
          <w:bCs/>
        </w:rPr>
        <w:t xml:space="preserve">     </w:t>
      </w:r>
    </w:p>
    <w:p w:rsidR="00A24A71" w:rsidRDefault="00C94E56" w:rsidP="00C94E56">
      <w:pPr>
        <w:spacing w:line="480" w:lineRule="auto"/>
      </w:pPr>
      <w:r>
        <w:t xml:space="preserve">This is an extension of a currently approved information collection.  </w:t>
      </w:r>
      <w:r w:rsidR="00C2773D">
        <w:t>Section 31001(y) of the Debt Collection Improvement Act of 1996 (Public Law 104-134</w:t>
      </w:r>
      <w:r w:rsidR="00FF29B3">
        <w:t>)</w:t>
      </w:r>
      <w:r w:rsidR="00C2773D">
        <w:t xml:space="preserve"> requires all Federal agencies to obtain taxpayer identifying numbers (TINs) from all individuals and entities they </w:t>
      </w:r>
      <w:r w:rsidR="0075512D" w:rsidRPr="0075512D">
        <w:t>enter into a direct payment agreement with</w:t>
      </w:r>
      <w:r w:rsidR="0075512D">
        <w:rPr>
          <w:rFonts w:ascii="Arial" w:hAnsi="Arial" w:cs="Arial"/>
        </w:rPr>
        <w:t xml:space="preserve"> </w:t>
      </w:r>
      <w:r w:rsidR="00C2773D">
        <w:t xml:space="preserve">to furnish the TIN whenever a request for payment is submitted to Federal payment officials.  A taxpayer identifying number can be either a Social Security Number or an Employer Identification Number.  </w:t>
      </w:r>
    </w:p>
    <w:p w:rsidR="00C2773D" w:rsidRDefault="00C2773D"/>
    <w:p w:rsidR="00573EB0" w:rsidRPr="009A3085" w:rsidRDefault="00C2773D" w:rsidP="006966DB">
      <w:pPr>
        <w:rPr>
          <w:b/>
        </w:rPr>
      </w:pPr>
      <w:r>
        <w:rPr>
          <w:b/>
          <w:bCs/>
        </w:rPr>
        <w:t>2.  Indicate how, by whom, and for what purpose the information is to be used.</w:t>
      </w:r>
      <w:r w:rsidR="00573EB0">
        <w:rPr>
          <w:b/>
          <w:bCs/>
        </w:rPr>
        <w:t xml:space="preserve">  </w:t>
      </w:r>
      <w:r w:rsidR="00573EB0" w:rsidRPr="009A3085">
        <w:rPr>
          <w:b/>
        </w:rPr>
        <w:t>Except for a new collection, indicate the actual use the agency has made of the information received from the current collection.</w:t>
      </w:r>
    </w:p>
    <w:p w:rsidR="00C2773D" w:rsidRDefault="00C2773D">
      <w:pPr>
        <w:rPr>
          <w:b/>
          <w:bCs/>
        </w:rPr>
      </w:pPr>
    </w:p>
    <w:p w:rsidR="00C2773D" w:rsidRDefault="00C2773D" w:rsidP="00C94E56">
      <w:pPr>
        <w:rPr>
          <w:b/>
          <w:bCs/>
        </w:rPr>
      </w:pPr>
      <w:r>
        <w:rPr>
          <w:b/>
          <w:bCs/>
        </w:rPr>
        <w:t xml:space="preserve">     </w:t>
      </w:r>
    </w:p>
    <w:p w:rsidR="00C2773D" w:rsidRDefault="00C2773D" w:rsidP="00C94E56">
      <w:pPr>
        <w:spacing w:line="480" w:lineRule="auto"/>
      </w:pPr>
      <w:r>
        <w:t xml:space="preserve">This information (taxpayer identifying numbers) is collected </w:t>
      </w:r>
      <w:r w:rsidR="00C94E56">
        <w:t>using form FNS-</w:t>
      </w:r>
      <w:r w:rsidR="00A37100">
        <w:t>7</w:t>
      </w:r>
      <w:r w:rsidR="00C94E56">
        <w:t xml:space="preserve">11 </w:t>
      </w:r>
      <w:r>
        <w:t xml:space="preserve">from all individuals and entities receiving payments directly from the Food and Nutrition Service under any of the various nutrition and nutrition education programs administered by the Agency.  Such individuals and entities include program sponsors, contractors and other individuals receiving payment directly from the Agency.  The information is collected at the time of program application, and is only collected once unless an entity renews its application or reapplies for program participation.  Contractors entering into a one-time transaction with the Food and Nutrition Service provide this information at the time services are provided or products are purchased.  At the time vouchers are presented for payment, the taxpayer identifying numbers of payment recipients are made available </w:t>
      </w:r>
      <w:r>
        <w:lastRenderedPageBreak/>
        <w:t>to Treasury to match against a debtor masterfile to facilitate debt collection by administrative offset under the Debt Collection Improvement Act of 1996, and for income reporting to the Internal Revenue Service.</w:t>
      </w:r>
    </w:p>
    <w:p w:rsidR="00A24A71" w:rsidRDefault="00A24A71" w:rsidP="00C94E56">
      <w:pPr>
        <w:spacing w:line="480" w:lineRule="auto"/>
      </w:pPr>
    </w:p>
    <w:p w:rsidR="00A24A71" w:rsidRDefault="00A24A71" w:rsidP="00C94E56">
      <w:pPr>
        <w:spacing w:line="480" w:lineRule="auto"/>
      </w:pPr>
      <w:r>
        <w:t>Note that the Agriculture Department previously maintained a Directive</w:t>
      </w:r>
      <w:r w:rsidR="00AB5A2B">
        <w:t xml:space="preserve"> 2100-2, “</w:t>
      </w:r>
      <w:r w:rsidR="00AB5A2B" w:rsidRPr="00AB5A2B">
        <w:t>Taxpayer's Identification Numbers</w:t>
      </w:r>
      <w:r w:rsidR="00AB5A2B">
        <w:t>.”  The Directive is now obsolete.  References to the Directive have been removed from the form FNS-711.  No other changes have been made to the form.</w:t>
      </w:r>
    </w:p>
    <w:p w:rsidR="00C2773D" w:rsidRDefault="00C2773D"/>
    <w:p w:rsidR="00EA24EC" w:rsidRPr="009A3085" w:rsidRDefault="00C2773D" w:rsidP="006966DB">
      <w:pPr>
        <w:rPr>
          <w:b/>
        </w:rPr>
      </w:pPr>
      <w:r>
        <w:rPr>
          <w:b/>
          <w:bCs/>
        </w:rPr>
        <w:t xml:space="preserve">3.  </w:t>
      </w:r>
      <w:r w:rsidR="00EA24EC" w:rsidRPr="009A3085">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2773D" w:rsidRDefault="00C2773D">
      <w:pPr>
        <w:rPr>
          <w:b/>
          <w:bCs/>
        </w:rPr>
      </w:pPr>
    </w:p>
    <w:p w:rsidR="00C2773D" w:rsidRDefault="00C2773D" w:rsidP="003B3699">
      <w:pPr>
        <w:spacing w:line="480" w:lineRule="auto"/>
      </w:pPr>
      <w:r>
        <w:t xml:space="preserve">According to the </w:t>
      </w:r>
      <w:r w:rsidR="003B3699">
        <w:t>E-Government</w:t>
      </w:r>
      <w:r>
        <w:t xml:space="preserve"> Act</w:t>
      </w:r>
      <w:r w:rsidR="003B3699">
        <w:t xml:space="preserve"> 2002</w:t>
      </w:r>
      <w:r>
        <w:t xml:space="preserve">, </w:t>
      </w:r>
      <w:r w:rsidR="003B3699">
        <w:t xml:space="preserve">(E-Gov) </w:t>
      </w:r>
      <w:r>
        <w:t xml:space="preserve">the Food and Nutrition Service has reviewed the process for collection and submission of taxpayer identifying numbers via Form FNS-711.  We </w:t>
      </w:r>
      <w:r w:rsidR="006D3684">
        <w:t>currently</w:t>
      </w:r>
      <w:r>
        <w:t xml:space="preserve"> have an electronic version of the form available for downloading on </w:t>
      </w:r>
      <w:r w:rsidR="006D3684">
        <w:t>our public website</w:t>
      </w:r>
      <w:r>
        <w:t xml:space="preserve">.  The form </w:t>
      </w:r>
      <w:r w:rsidR="006D3684">
        <w:t>is</w:t>
      </w:r>
      <w:r>
        <w:t xml:space="preserve"> in PDF format and </w:t>
      </w:r>
      <w:r w:rsidR="006D3684">
        <w:t>is</w:t>
      </w:r>
      <w:r>
        <w:t xml:space="preserve"> </w:t>
      </w:r>
      <w:r w:rsidR="00AC2CC8">
        <w:t>not available</w:t>
      </w:r>
      <w:r w:rsidR="006D3684">
        <w:t xml:space="preserve"> </w:t>
      </w:r>
      <w:r>
        <w:t xml:space="preserve">to be </w:t>
      </w:r>
      <w:r w:rsidR="003B3699">
        <w:t xml:space="preserve">submitted </w:t>
      </w:r>
      <w:r>
        <w:t>online.</w:t>
      </w:r>
    </w:p>
    <w:p w:rsidR="00C2773D" w:rsidRDefault="00C2773D"/>
    <w:p w:rsidR="00CD0222" w:rsidRPr="009A3085" w:rsidRDefault="00C2773D" w:rsidP="006966DB">
      <w:pPr>
        <w:rPr>
          <w:b/>
        </w:rPr>
      </w:pPr>
      <w:r>
        <w:rPr>
          <w:b/>
          <w:bCs/>
        </w:rPr>
        <w:t xml:space="preserve">4.  </w:t>
      </w:r>
      <w:r w:rsidR="00CD0222" w:rsidRPr="009A3085">
        <w:rPr>
          <w:b/>
        </w:rPr>
        <w:t>Describe efforts to identify duplication.  Show specifically why any similar information already available cannot be used or modified for use for the purpose described in item 2 above.</w:t>
      </w:r>
    </w:p>
    <w:p w:rsidR="00C2773D" w:rsidRDefault="00C2773D">
      <w:pPr>
        <w:rPr>
          <w:b/>
          <w:bCs/>
        </w:rPr>
      </w:pPr>
    </w:p>
    <w:p w:rsidR="00C2773D" w:rsidRDefault="00C2773D" w:rsidP="00570852">
      <w:pPr>
        <w:spacing w:line="480" w:lineRule="auto"/>
      </w:pPr>
      <w:r>
        <w:t xml:space="preserve">Although taxpayer identifying numbers are collected elsewhere in the Federal government, legislative restrictions prevent the Food and Nutrition Service from legally obtaining social security numbers from other government agencies.  And, as stated above, </w:t>
      </w:r>
      <w:r>
        <w:lastRenderedPageBreak/>
        <w:t xml:space="preserve">the Debt Collection Improvement Act of 1996 </w:t>
      </w:r>
      <w:r w:rsidR="00CE707D">
        <w:t>require</w:t>
      </w:r>
      <w:r w:rsidR="008C750F">
        <w:t>s</w:t>
      </w:r>
      <w:r>
        <w:t xml:space="preserve"> that the Agency collect this information from all individuals and entities we do business with.</w:t>
      </w:r>
    </w:p>
    <w:p w:rsidR="00C2773D" w:rsidRDefault="00C2773D"/>
    <w:p w:rsidR="006B431A" w:rsidRPr="009A3085" w:rsidRDefault="00C2773D" w:rsidP="006B431A">
      <w:pPr>
        <w:ind w:left="720" w:hanging="720"/>
      </w:pPr>
      <w:r>
        <w:rPr>
          <w:b/>
          <w:bCs/>
        </w:rPr>
        <w:t xml:space="preserve">5.  </w:t>
      </w:r>
      <w:r w:rsidR="006B431A" w:rsidRPr="006B431A">
        <w:rPr>
          <w:b/>
        </w:rPr>
        <w:t xml:space="preserve"> </w:t>
      </w:r>
      <w:r w:rsidR="006B431A" w:rsidRPr="009A3085">
        <w:rPr>
          <w:b/>
        </w:rPr>
        <w:t>If the collection of information impacts small businesses or other small entities, describe any methods used to minimize burden.</w:t>
      </w:r>
    </w:p>
    <w:p w:rsidR="00C2773D" w:rsidRDefault="00C2773D">
      <w:pPr>
        <w:rPr>
          <w:b/>
          <w:bCs/>
        </w:rPr>
      </w:pPr>
    </w:p>
    <w:p w:rsidR="005261C5" w:rsidRDefault="005261C5">
      <w:pPr>
        <w:rPr>
          <w:b/>
          <w:bCs/>
        </w:rPr>
      </w:pPr>
    </w:p>
    <w:p w:rsidR="00EB2C29" w:rsidRPr="00EB2C29" w:rsidRDefault="00EB2C29" w:rsidP="00EB2C29">
      <w:pPr>
        <w:tabs>
          <w:tab w:val="left" w:pos="-720"/>
          <w:tab w:val="left" w:pos="0"/>
        </w:tabs>
        <w:suppressAutoHyphens/>
        <w:spacing w:line="480" w:lineRule="auto"/>
        <w:rPr>
          <w:spacing w:val="-3"/>
        </w:rPr>
      </w:pPr>
      <w:r w:rsidRPr="00EB2C29">
        <w:rPr>
          <w:spacing w:val="-3"/>
        </w:rPr>
        <w:t xml:space="preserve">Information being requested or required has been held to the minimum required for the intended use. Circumstances limit the flexibility in modifying the reporting requirements.  </w:t>
      </w:r>
      <w:r w:rsidRPr="00EB2C29">
        <w:t xml:space="preserve">FNS has determined that the requirements for this information collection do not adversely impact small businesses or other small entities.  The Act requires that FNS collect certain information from all firms, regardless of size, to ensure timely payments to individuals or entities doing business with FNS.  </w:t>
      </w:r>
      <w:r w:rsidR="00FF29B3">
        <w:t xml:space="preserve">FNS estimates that there are 400 </w:t>
      </w:r>
      <w:r w:rsidR="00F9223D">
        <w:t>b</w:t>
      </w:r>
      <w:r w:rsidR="00FF29B3">
        <w:t>usiness</w:t>
      </w:r>
      <w:r w:rsidR="00F9223D">
        <w:t>es</w:t>
      </w:r>
      <w:r w:rsidR="00FF29B3">
        <w:t xml:space="preserve"> who respond to this data collection.  Out of the 400 </w:t>
      </w:r>
      <w:r w:rsidR="00F9223D">
        <w:t>b</w:t>
      </w:r>
      <w:r w:rsidR="00FF29B3">
        <w:t>usiness</w:t>
      </w:r>
      <w:r w:rsidR="00F9223D">
        <w:t>es</w:t>
      </w:r>
      <w:r w:rsidR="00FF29B3">
        <w:t xml:space="preserve">, FNS estimates approximately 10 percent or 40 are considered small business. </w:t>
      </w:r>
    </w:p>
    <w:p w:rsidR="00C2773D" w:rsidRDefault="00C2773D"/>
    <w:p w:rsidR="00AC6336" w:rsidRDefault="00C2773D" w:rsidP="00AC6336">
      <w:pPr>
        <w:rPr>
          <w:rFonts w:ascii="Arial" w:hAnsi="Arial" w:cs="Arial"/>
          <w:b/>
          <w:bCs/>
          <w:sz w:val="20"/>
          <w:szCs w:val="20"/>
        </w:rPr>
      </w:pPr>
      <w:r>
        <w:rPr>
          <w:b/>
          <w:bCs/>
        </w:rPr>
        <w:t xml:space="preserve">6.  </w:t>
      </w:r>
      <w:r w:rsidR="00DD7377" w:rsidRPr="009A3085">
        <w:rPr>
          <w:b/>
        </w:rPr>
        <w:t>Describe the consequence to Federal program or policy activities if the collection is not conducted or is conducted less frequently, as well as any technical or legal obstacles to reducing burden.</w:t>
      </w:r>
    </w:p>
    <w:p w:rsidR="005261C5" w:rsidRDefault="005261C5" w:rsidP="00AC6336">
      <w:pPr>
        <w:rPr>
          <w:rFonts w:ascii="Arial" w:hAnsi="Arial" w:cs="Arial"/>
          <w:b/>
          <w:bCs/>
          <w:sz w:val="20"/>
          <w:szCs w:val="20"/>
        </w:rPr>
      </w:pPr>
    </w:p>
    <w:p w:rsidR="00C2773D" w:rsidRDefault="00C2773D" w:rsidP="00AC6336">
      <w:pPr>
        <w:rPr>
          <w:b/>
          <w:bCs/>
        </w:rPr>
      </w:pPr>
    </w:p>
    <w:p w:rsidR="00C2773D" w:rsidRDefault="00C2773D" w:rsidP="00AC6336">
      <w:pPr>
        <w:spacing w:line="480" w:lineRule="auto"/>
      </w:pPr>
      <w:r>
        <w:t>If this information collection is not conducted, the Food and Nutrition Service would be unable to include taxpayer identifying numbers with each certified request for payment.  This would put the Agency in noncompliance with the law as required by the Debt Collection Improvement Act of 1996.</w:t>
      </w:r>
    </w:p>
    <w:p w:rsidR="00C2773D" w:rsidRDefault="00C2773D"/>
    <w:p w:rsidR="00353592" w:rsidRPr="006966DB" w:rsidRDefault="00C2773D" w:rsidP="00353592">
      <w:pPr>
        <w:pStyle w:val="BodyTextIndent"/>
        <w:rPr>
          <w:b/>
        </w:rPr>
      </w:pPr>
      <w:r w:rsidRPr="006966DB">
        <w:rPr>
          <w:b/>
          <w:bCs/>
        </w:rPr>
        <w:t xml:space="preserve">7.  </w:t>
      </w:r>
      <w:r w:rsidR="00353592" w:rsidRPr="006966DB">
        <w:rPr>
          <w:b/>
        </w:rPr>
        <w:t>Explain any special circumstances that would cause an information collecti</w:t>
      </w:r>
      <w:r w:rsidR="00353592" w:rsidRPr="006966DB">
        <w:rPr>
          <w:b/>
        </w:rPr>
        <w:softHyphen/>
        <w:t>on to be con</w:t>
      </w:r>
      <w:r w:rsidR="00353592" w:rsidRPr="006966DB">
        <w:rPr>
          <w:b/>
        </w:rPr>
        <w:softHyphen/>
        <w:t>ducted in a manner:</w:t>
      </w:r>
    </w:p>
    <w:p w:rsidR="00353592" w:rsidRPr="009A3085" w:rsidRDefault="00353592" w:rsidP="00353592">
      <w:pPr>
        <w:numPr>
          <w:ilvl w:val="0"/>
          <w:numId w:val="11"/>
        </w:numPr>
        <w:tabs>
          <w:tab w:val="clear" w:pos="360"/>
        </w:tabs>
        <w:spacing w:after="80"/>
        <w:ind w:left="1170" w:hanging="450"/>
        <w:rPr>
          <w:b/>
        </w:rPr>
      </w:pPr>
      <w:r w:rsidRPr="009A3085">
        <w:rPr>
          <w:b/>
        </w:rPr>
        <w:t>requiring respondents to report informa</w:t>
      </w:r>
      <w:r w:rsidRPr="009A3085">
        <w:rPr>
          <w:b/>
        </w:rPr>
        <w:softHyphen/>
        <w:t>tion to the agency more often than quarterly;</w:t>
      </w:r>
    </w:p>
    <w:p w:rsidR="00353592" w:rsidRPr="009A3085" w:rsidRDefault="00353592" w:rsidP="00353592">
      <w:pPr>
        <w:numPr>
          <w:ilvl w:val="0"/>
          <w:numId w:val="12"/>
        </w:numPr>
        <w:tabs>
          <w:tab w:val="clear" w:pos="360"/>
        </w:tabs>
        <w:spacing w:after="80"/>
        <w:ind w:left="1170" w:hanging="450"/>
        <w:rPr>
          <w:b/>
        </w:rPr>
      </w:pPr>
      <w:r w:rsidRPr="009A3085">
        <w:rPr>
          <w:b/>
        </w:rPr>
        <w:t>requiring respondents to prepare a writ</w:t>
      </w:r>
      <w:r w:rsidRPr="009A3085">
        <w:rPr>
          <w:b/>
        </w:rPr>
        <w:softHyphen/>
        <w:t>ten response to a collection of infor</w:t>
      </w:r>
      <w:r w:rsidRPr="009A3085">
        <w:rPr>
          <w:b/>
        </w:rPr>
        <w:softHyphen/>
        <w:t>ma</w:t>
      </w:r>
      <w:r w:rsidRPr="009A3085">
        <w:rPr>
          <w:b/>
        </w:rPr>
        <w:softHyphen/>
        <w:t>tion in fewer than 30 days after receipt of it;</w:t>
      </w:r>
    </w:p>
    <w:p w:rsidR="00353592" w:rsidRPr="009A3085" w:rsidRDefault="00353592" w:rsidP="00353592">
      <w:pPr>
        <w:numPr>
          <w:ilvl w:val="0"/>
          <w:numId w:val="13"/>
        </w:numPr>
        <w:tabs>
          <w:tab w:val="clear" w:pos="360"/>
        </w:tabs>
        <w:spacing w:after="80"/>
        <w:ind w:left="1170" w:hanging="450"/>
        <w:rPr>
          <w:b/>
        </w:rPr>
      </w:pPr>
      <w:r w:rsidRPr="009A3085">
        <w:rPr>
          <w:b/>
        </w:rPr>
        <w:lastRenderedPageBreak/>
        <w:t>requiring respondents to submit more than an original and two copies of any docu</w:t>
      </w:r>
      <w:r w:rsidRPr="009A3085">
        <w:rPr>
          <w:b/>
        </w:rPr>
        <w:softHyphen/>
        <w:t>ment;</w:t>
      </w:r>
    </w:p>
    <w:p w:rsidR="00353592" w:rsidRPr="009A3085" w:rsidRDefault="00353592" w:rsidP="00353592">
      <w:pPr>
        <w:numPr>
          <w:ilvl w:val="0"/>
          <w:numId w:val="14"/>
        </w:numPr>
        <w:tabs>
          <w:tab w:val="clear" w:pos="360"/>
        </w:tabs>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353592" w:rsidRPr="009A3085" w:rsidRDefault="00353592" w:rsidP="00353592">
      <w:pPr>
        <w:numPr>
          <w:ilvl w:val="0"/>
          <w:numId w:val="15"/>
        </w:numPr>
        <w:tabs>
          <w:tab w:val="clear" w:pos="360"/>
        </w:tabs>
        <w:spacing w:after="80"/>
        <w:ind w:left="1170" w:hanging="450"/>
        <w:rPr>
          <w:b/>
        </w:rPr>
      </w:pPr>
      <w:r w:rsidRPr="009A3085">
        <w:rPr>
          <w:b/>
        </w:rPr>
        <w:t>in connection with a statisti</w:t>
      </w:r>
      <w:r w:rsidRPr="009A3085">
        <w:rPr>
          <w:b/>
        </w:rPr>
        <w:softHyphen/>
        <w:t>cal sur</w:t>
      </w:r>
      <w:r w:rsidRPr="009A3085">
        <w:rPr>
          <w:b/>
        </w:rPr>
        <w:softHyphen/>
        <w:t>vey, that is not de</w:t>
      </w:r>
      <w:r w:rsidRPr="009A3085">
        <w:rPr>
          <w:b/>
        </w:rPr>
        <w:softHyphen/>
        <w:t>signed to produce valid and reli</w:t>
      </w:r>
      <w:r w:rsidRPr="009A3085">
        <w:rPr>
          <w:b/>
        </w:rPr>
        <w:softHyphen/>
        <w:t>able results that can be general</w:t>
      </w:r>
      <w:r w:rsidRPr="009A3085">
        <w:rPr>
          <w:b/>
        </w:rPr>
        <w:softHyphen/>
        <w:t>ized to the uni</w:t>
      </w:r>
      <w:r w:rsidRPr="009A3085">
        <w:rPr>
          <w:b/>
        </w:rPr>
        <w:softHyphen/>
        <w:t>verse of study;</w:t>
      </w:r>
    </w:p>
    <w:p w:rsidR="00353592" w:rsidRPr="009A3085" w:rsidRDefault="00353592" w:rsidP="00353592">
      <w:pPr>
        <w:numPr>
          <w:ilvl w:val="0"/>
          <w:numId w:val="16"/>
        </w:numPr>
        <w:tabs>
          <w:tab w:val="clear" w:pos="360"/>
        </w:tabs>
        <w:spacing w:after="80"/>
        <w:ind w:left="1170" w:hanging="450"/>
        <w:rPr>
          <w:b/>
        </w:rPr>
      </w:pPr>
      <w:r w:rsidRPr="009A3085">
        <w:rPr>
          <w:b/>
        </w:rPr>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353592" w:rsidRPr="009A3085" w:rsidRDefault="00353592" w:rsidP="00353592">
      <w:pPr>
        <w:numPr>
          <w:ilvl w:val="0"/>
          <w:numId w:val="17"/>
        </w:numPr>
        <w:tabs>
          <w:tab w:val="clear" w:pos="360"/>
        </w:tabs>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 or</w:t>
      </w:r>
    </w:p>
    <w:p w:rsidR="00353592" w:rsidRPr="009A3085" w:rsidRDefault="00353592" w:rsidP="00353592">
      <w:pPr>
        <w:numPr>
          <w:ilvl w:val="0"/>
          <w:numId w:val="18"/>
        </w:numPr>
        <w:tabs>
          <w:tab w:val="clear" w:pos="360"/>
          <w:tab w:val="num" w:pos="648"/>
        </w:tabs>
        <w:spacing w:after="80"/>
        <w:ind w:left="1170" w:hanging="450"/>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p>
    <w:p w:rsidR="00FD3325" w:rsidRDefault="00FD3325" w:rsidP="00FD3325">
      <w:pPr>
        <w:spacing w:line="480" w:lineRule="auto"/>
        <w:rPr>
          <w:rFonts w:ascii="Arial" w:hAnsi="Arial" w:cs="Arial"/>
          <w:b/>
          <w:sz w:val="20"/>
          <w:szCs w:val="20"/>
        </w:rPr>
      </w:pPr>
    </w:p>
    <w:p w:rsidR="00AC6336" w:rsidRDefault="00AC6336" w:rsidP="00247EBF">
      <w:pPr>
        <w:spacing w:line="480" w:lineRule="auto"/>
      </w:pPr>
      <w:r w:rsidRPr="00AC6336">
        <w:t>There are no special circumstances.  The collection of information is conducted in a manner consistent with the guidelines in 5 CFR 1320.5.</w:t>
      </w:r>
    </w:p>
    <w:p w:rsidR="006966DB" w:rsidRPr="00AC6336" w:rsidRDefault="006966DB" w:rsidP="00247EBF">
      <w:pPr>
        <w:spacing w:line="480" w:lineRule="auto"/>
      </w:pPr>
    </w:p>
    <w:p w:rsidR="00353592" w:rsidRPr="009A3085" w:rsidRDefault="00C2773D" w:rsidP="00353592">
      <w:pPr>
        <w:rPr>
          <w:b/>
        </w:rPr>
      </w:pPr>
      <w:r>
        <w:rPr>
          <w:b/>
          <w:bCs/>
        </w:rPr>
        <w:t xml:space="preserve">8.  </w:t>
      </w:r>
      <w:r w:rsidR="00686B0D" w:rsidRPr="00550027">
        <w:rPr>
          <w:b/>
          <w:bCs/>
        </w:rPr>
        <w:t xml:space="preserve">  </w:t>
      </w:r>
      <w:r w:rsidR="00353592" w:rsidRPr="009A3085">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353592" w:rsidRPr="009A3085" w:rsidRDefault="00353592" w:rsidP="00353592">
      <w:pPr>
        <w:rPr>
          <w:b/>
        </w:rPr>
      </w:pPr>
    </w:p>
    <w:p w:rsidR="00353592" w:rsidRPr="006966DB" w:rsidRDefault="00353592" w:rsidP="006966DB">
      <w:pPr>
        <w:pStyle w:val="BodyTextIndent2"/>
        <w:spacing w:line="240" w:lineRule="auto"/>
        <w:ind w:left="0"/>
        <w:rPr>
          <w:b/>
        </w:rPr>
      </w:pPr>
      <w:r w:rsidRPr="006966DB">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C2773D" w:rsidRDefault="00C2773D">
      <w:pPr>
        <w:rPr>
          <w:b/>
          <w:bCs/>
        </w:rPr>
      </w:pPr>
    </w:p>
    <w:p w:rsidR="00C2773D" w:rsidRDefault="00C2773D" w:rsidP="00FE397E">
      <w:pPr>
        <w:spacing w:line="480" w:lineRule="auto"/>
      </w:pPr>
      <w:r>
        <w:t xml:space="preserve">A Federal Register notice, soliciting comments from the public on this information collection, was published </w:t>
      </w:r>
      <w:r w:rsidR="006966DB">
        <w:t>December 5, 2012</w:t>
      </w:r>
      <w:r>
        <w:t xml:space="preserve"> (Volume </w:t>
      </w:r>
      <w:r w:rsidR="006966DB">
        <w:t>77</w:t>
      </w:r>
      <w:r>
        <w:t xml:space="preserve">, Number </w:t>
      </w:r>
      <w:r w:rsidR="006966DB">
        <w:t>2</w:t>
      </w:r>
      <w:r w:rsidR="000A3B31">
        <w:t>34</w:t>
      </w:r>
      <w:r>
        <w:t xml:space="preserve">, Page </w:t>
      </w:r>
      <w:r w:rsidR="006966DB">
        <w:t>72321</w:t>
      </w:r>
      <w:r>
        <w:t>).  The Agency received no comments in response to the notice.</w:t>
      </w:r>
    </w:p>
    <w:p w:rsidR="00C2773D" w:rsidRDefault="00C2773D" w:rsidP="00FE397E">
      <w:pPr>
        <w:spacing w:line="480" w:lineRule="auto"/>
      </w:pPr>
    </w:p>
    <w:p w:rsidR="00C2773D" w:rsidRDefault="00C2773D" w:rsidP="00FE397E">
      <w:pPr>
        <w:spacing w:line="480" w:lineRule="auto"/>
      </w:pPr>
      <w:r>
        <w:t>Due to the minimal information being requested, and to the fact that this information collection is required by law, no further attempts have been made to consult with potential respondents or interested parties other than the 60-day Federal Register notice cited.</w:t>
      </w:r>
    </w:p>
    <w:p w:rsidR="00C2773D" w:rsidRDefault="00C2773D"/>
    <w:p w:rsidR="00C2773D" w:rsidRDefault="00C2773D" w:rsidP="00551391">
      <w:pPr>
        <w:ind w:firstLine="720"/>
        <w:rPr>
          <w:b/>
          <w:bCs/>
        </w:rPr>
      </w:pPr>
      <w:r>
        <w:rPr>
          <w:b/>
          <w:bCs/>
        </w:rPr>
        <w:t xml:space="preserve">9.  </w:t>
      </w:r>
      <w:r w:rsidR="00551391" w:rsidRPr="00551391">
        <w:rPr>
          <w:b/>
        </w:rPr>
        <w:t xml:space="preserve"> </w:t>
      </w:r>
      <w:r w:rsidR="00551391" w:rsidRPr="009A3085">
        <w:rPr>
          <w:b/>
        </w:rPr>
        <w:t>Explain any decision to provide any payment or gift to respondents, other than rem</w:t>
      </w:r>
      <w:r w:rsidR="006966DB">
        <w:rPr>
          <w:b/>
        </w:rPr>
        <w:t>un</w:t>
      </w:r>
      <w:r w:rsidR="00551391" w:rsidRPr="009A3085">
        <w:rPr>
          <w:b/>
        </w:rPr>
        <w:t>eration of contractors or grantees.</w:t>
      </w:r>
    </w:p>
    <w:p w:rsidR="005261C5" w:rsidRDefault="005261C5" w:rsidP="008814DB">
      <w:pPr>
        <w:rPr>
          <w:b/>
          <w:bCs/>
        </w:rPr>
      </w:pPr>
    </w:p>
    <w:p w:rsidR="006966DB" w:rsidRDefault="00C2773D">
      <w:r>
        <w:t>There are no plans to provide any payments or gifts to respondents.</w:t>
      </w:r>
    </w:p>
    <w:p w:rsidR="006966DB" w:rsidRDefault="006966DB"/>
    <w:p w:rsidR="006966DB" w:rsidRDefault="006966DB"/>
    <w:p w:rsidR="00551391" w:rsidRPr="009A3085" w:rsidRDefault="00C2773D" w:rsidP="00551391">
      <w:pPr>
        <w:rPr>
          <w:b/>
        </w:rPr>
      </w:pPr>
      <w:r>
        <w:rPr>
          <w:b/>
          <w:bCs/>
        </w:rPr>
        <w:t xml:space="preserve">10. </w:t>
      </w:r>
      <w:r w:rsidR="00551391" w:rsidRPr="009A3085">
        <w:rPr>
          <w:b/>
        </w:rPr>
        <w:t>Describe any assurance of confidentiality provided to respondents and the basis for the assurance in statute, regulation, or agency policy.</w:t>
      </w:r>
    </w:p>
    <w:p w:rsidR="00C2773D" w:rsidRDefault="00C2773D">
      <w:pPr>
        <w:rPr>
          <w:b/>
          <w:bCs/>
        </w:rPr>
      </w:pPr>
    </w:p>
    <w:p w:rsidR="00C2773D" w:rsidRDefault="00C2773D" w:rsidP="00811481">
      <w:pPr>
        <w:spacing w:line="480" w:lineRule="auto"/>
      </w:pPr>
      <w:r>
        <w:t xml:space="preserve">The Privacy Act of 1974 requires that before personal identifying information (such as taxpayer identifying numbers) may be shared with other entities, a Privacy Act notice must first be published.  Therefore, the Food and Nutrition Service published such a Privacy Act </w:t>
      </w:r>
      <w:r w:rsidR="00497375" w:rsidRPr="00497375">
        <w:t>System of Record Notice (SORN) FNS-10 on individuals doing business with Food and Nutrition Service</w:t>
      </w:r>
      <w:r w:rsidR="0039251A">
        <w:t>,</w:t>
      </w:r>
      <w:r w:rsidR="00497375" w:rsidRPr="00497375">
        <w:t xml:space="preserve"> March 31, 2000 in the Federal Register Volume 65 pages 17251-52 </w:t>
      </w:r>
      <w:r>
        <w:t>to specify the uses to be made of the information in this collection.  Access to records is limited to those persons who process the records for the specific uses stated in this Privacy Act notice.  Records in such formats as magnetic tapes and disks are kept in physically secured rooms and/or cabinets.  Various methods of computer security limit access to records in automated databases.  Paper records are segregated and physically secured in locked cabinets.</w:t>
      </w:r>
    </w:p>
    <w:p w:rsidR="00C2773D" w:rsidRDefault="00C2773D"/>
    <w:p w:rsidR="00415B85" w:rsidRPr="009A3085" w:rsidRDefault="00C2773D" w:rsidP="006966DB">
      <w:pPr>
        <w:rPr>
          <w:b/>
        </w:rPr>
      </w:pPr>
      <w:r>
        <w:rPr>
          <w:b/>
          <w:bCs/>
        </w:rPr>
        <w:t xml:space="preserve">11. </w:t>
      </w:r>
      <w:r w:rsidR="00415B85">
        <w:rPr>
          <w:b/>
          <w:bCs/>
        </w:rPr>
        <w:t xml:space="preserve">  </w:t>
      </w:r>
      <w:r w:rsidR="00415B85" w:rsidRPr="009A3085">
        <w:rPr>
          <w:b/>
        </w:rPr>
        <w:t xml:space="preserve">Provide additional justification for any questions of a sensitive nature, such as sexual behavior or attitudes, religious beliefs, and other matters that are commonly considered private.  This justification should include the reasons why the agency </w:t>
      </w:r>
      <w:r w:rsidR="00415B85" w:rsidRPr="009A3085">
        <w:rPr>
          <w:b/>
        </w:rPr>
        <w:lastRenderedPageBreak/>
        <w:t>considers the questions necessary, the specific uses to be made of the information, the explanation to be given to persons from whom the information is requested, and any steps to be taken to obtain their consent.</w:t>
      </w:r>
    </w:p>
    <w:p w:rsidR="0039251A" w:rsidDel="0039251A" w:rsidRDefault="0039251A" w:rsidP="0039251A">
      <w:pPr>
        <w:rPr>
          <w:b/>
          <w:bCs/>
        </w:rPr>
      </w:pPr>
    </w:p>
    <w:p w:rsidR="00C2773D" w:rsidRDefault="00C2773D" w:rsidP="0039251A">
      <w:pPr>
        <w:rPr>
          <w:b/>
          <w:bCs/>
        </w:rPr>
      </w:pPr>
    </w:p>
    <w:p w:rsidR="00C2773D" w:rsidRDefault="00C2773D">
      <w:pPr>
        <w:rPr>
          <w:b/>
          <w:bCs/>
        </w:rPr>
      </w:pPr>
    </w:p>
    <w:p w:rsidR="00C2773D" w:rsidRDefault="00C2773D" w:rsidP="0039251A">
      <w:pPr>
        <w:spacing w:line="480" w:lineRule="auto"/>
      </w:pPr>
      <w:r>
        <w:t>As stated above, this information collection is required by law.  As also stated in our response to Question 4, the Food and Nutrition Service is legally unable to obtain social security numbers from other Federal agencies.  Except for the collection of social security numbers, there are no additional questions of a sensitive or private nature in this information collection.</w:t>
      </w:r>
    </w:p>
    <w:p w:rsidR="00C2773D" w:rsidRDefault="00C2773D"/>
    <w:p w:rsidR="00B83F47" w:rsidRPr="009A3085" w:rsidRDefault="00C2773D" w:rsidP="00B83F47">
      <w:pPr>
        <w:ind w:left="720" w:hanging="720"/>
        <w:rPr>
          <w:b/>
        </w:rPr>
      </w:pPr>
      <w:r>
        <w:rPr>
          <w:b/>
          <w:bCs/>
        </w:rPr>
        <w:t>12.</w:t>
      </w:r>
      <w:r w:rsidR="00B83F47" w:rsidRPr="009A3085">
        <w:rPr>
          <w:b/>
        </w:rPr>
        <w:t>Provide estimates of the hour burden of the collection of information.  The statement should:</w:t>
      </w:r>
    </w:p>
    <w:p w:rsidR="00B83F47" w:rsidRPr="009A3085" w:rsidRDefault="00B83F47" w:rsidP="00B83F47">
      <w:pPr>
        <w:rPr>
          <w:b/>
        </w:rPr>
      </w:pPr>
    </w:p>
    <w:p w:rsidR="00B83F47" w:rsidRPr="009A3085" w:rsidRDefault="00B83F47" w:rsidP="006966DB">
      <w:pPr>
        <w:numPr>
          <w:ilvl w:val="0"/>
          <w:numId w:val="21"/>
        </w:numPr>
        <w:tabs>
          <w:tab w:val="clear" w:pos="360"/>
        </w:tabs>
        <w:rPr>
          <w:b/>
        </w:rPr>
      </w:pPr>
      <w:r w:rsidRPr="009A3085">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83F47" w:rsidRPr="009A3085" w:rsidRDefault="00B83F47" w:rsidP="006966DB"/>
    <w:p w:rsidR="00B83F47" w:rsidRPr="009A3085" w:rsidRDefault="00B83F47" w:rsidP="006966DB">
      <w:pPr>
        <w:numPr>
          <w:ilvl w:val="0"/>
          <w:numId w:val="22"/>
        </w:numPr>
      </w:pPr>
      <w:r w:rsidRPr="009A3085">
        <w:rPr>
          <w:b/>
        </w:rPr>
        <w:t>Provide estimates of annualized cost to respondents for the hour burdens for collections of information, identifying and using appropriate wage rate categories.</w:t>
      </w:r>
    </w:p>
    <w:p w:rsidR="00613804" w:rsidRDefault="00613804" w:rsidP="001F62DF">
      <w:pPr>
        <w:rPr>
          <w:b/>
          <w:bCs/>
        </w:rPr>
      </w:pPr>
    </w:p>
    <w:p w:rsidR="00613804" w:rsidRDefault="00613804">
      <w:pPr>
        <w:rPr>
          <w:b/>
          <w:bCs/>
        </w:rPr>
      </w:pPr>
    </w:p>
    <w:p w:rsidR="00C2773D" w:rsidRDefault="00C2773D" w:rsidP="001F62DF">
      <w:pPr>
        <w:spacing w:line="480" w:lineRule="auto"/>
      </w:pPr>
      <w:r>
        <w:t xml:space="preserve">It is estimated that 800 respondents </w:t>
      </w:r>
      <w:r w:rsidR="00FF29B3">
        <w:t xml:space="preserve">(400 </w:t>
      </w:r>
      <w:r w:rsidR="00F9223D">
        <w:t>b</w:t>
      </w:r>
      <w:r w:rsidR="00FF29B3">
        <w:t>usiness</w:t>
      </w:r>
      <w:r w:rsidR="00F9223D">
        <w:t>es</w:t>
      </w:r>
      <w:r w:rsidR="00FF29B3">
        <w:t xml:space="preserve"> and 400 </w:t>
      </w:r>
      <w:r w:rsidR="00DE49F1">
        <w:t>i</w:t>
      </w:r>
      <w:r w:rsidR="00FF29B3">
        <w:t>ndividual/</w:t>
      </w:r>
      <w:r w:rsidR="00DE49F1">
        <w:t>h</w:t>
      </w:r>
      <w:r w:rsidR="00FF29B3">
        <w:t xml:space="preserve">ouseholds) </w:t>
      </w:r>
      <w:r>
        <w:t>will complete this information collection annually.  Unless a respondent enters into multiple contracts with the Food and Nutrition Service, or is required by program regulations to renew their application periodically, they will only have to provide this information once at the time of program application.  So for the majority of respondents, only one response will be required.  Since the information collection is minimal, requiring the respondent to provide only name, address and taxpayer identifying number, it is estimated that completion of the information collection should take no more than 5 minutes (0.</w:t>
      </w:r>
      <w:r w:rsidR="00890F3B">
        <w:t>083</w:t>
      </w:r>
      <w:r w:rsidR="00F9223D">
        <w:t>3</w:t>
      </w:r>
      <w:r w:rsidR="00890F3B">
        <w:t xml:space="preserve"> </w:t>
      </w:r>
      <w:r>
        <w:lastRenderedPageBreak/>
        <w:t>hours).  Therefore, the total annual burden is estimated to average 66</w:t>
      </w:r>
      <w:r w:rsidR="00735AB8">
        <w:t>.</w:t>
      </w:r>
      <w:r w:rsidR="00B96860">
        <w:t>64</w:t>
      </w:r>
      <w:r w:rsidR="001F62DF">
        <w:t xml:space="preserve"> </w:t>
      </w:r>
      <w:r>
        <w:t>hours annually</w:t>
      </w:r>
      <w:r w:rsidR="001F62DF">
        <w:t xml:space="preserve"> (800 x 0.083 = 66.4)</w:t>
      </w:r>
      <w:r>
        <w:t>.</w:t>
      </w:r>
    </w:p>
    <w:p w:rsidR="00C2773D" w:rsidRDefault="00C2773D"/>
    <w:p w:rsidR="00C2773D" w:rsidRDefault="00C2773D">
      <w:pPr>
        <w:numPr>
          <w:ilvl w:val="0"/>
          <w:numId w:val="7"/>
        </w:numPr>
      </w:pPr>
      <w:r>
        <w:rPr>
          <w:b/>
          <w:bCs/>
        </w:rPr>
        <w:t>Provide estimates of annualized cost to respondents for the hour burdens</w:t>
      </w:r>
      <w:r w:rsidR="00163532">
        <w:rPr>
          <w:b/>
          <w:bCs/>
        </w:rPr>
        <w:t>.</w:t>
      </w:r>
    </w:p>
    <w:p w:rsidR="00C2773D" w:rsidRDefault="00C2773D">
      <w:pPr>
        <w:rPr>
          <w:b/>
          <w:bCs/>
        </w:rPr>
      </w:pPr>
    </w:p>
    <w:p w:rsidR="00C2773D" w:rsidRDefault="00C2773D" w:rsidP="00D36F14">
      <w:pPr>
        <w:spacing w:line="480" w:lineRule="auto"/>
      </w:pPr>
      <w:r>
        <w:t>The annual cost to respondents for this information collection is estimated at $1,</w:t>
      </w:r>
      <w:r w:rsidR="00F9223D">
        <w:t>54</w:t>
      </w:r>
      <w:r w:rsidR="00B96860">
        <w:t>5</w:t>
      </w:r>
      <w:r>
        <w:t>.  This estimate was determined by multiplying the number of annual respondents (800) by the estimated time required to complete the information collection (0.083</w:t>
      </w:r>
      <w:r w:rsidR="00B96860">
        <w:t>3</w:t>
      </w:r>
      <w:r>
        <w:t xml:space="preserve"> hours) to get the total annual burden hours.  This figure was then multiplied by the national average hourly earnings ($</w:t>
      </w:r>
      <w:r w:rsidR="00B96860">
        <w:t>23</w:t>
      </w:r>
      <w:r>
        <w:t>.</w:t>
      </w:r>
      <w:r w:rsidR="00B96860">
        <w:t>19</w:t>
      </w:r>
      <w:r>
        <w:t xml:space="preserve">) by individuals in private industry for </w:t>
      </w:r>
      <w:r w:rsidR="00B96860">
        <w:t xml:space="preserve">November </w:t>
      </w:r>
      <w:r>
        <w:t>20</w:t>
      </w:r>
      <w:r w:rsidR="00B96860">
        <w:t>11</w:t>
      </w:r>
      <w:r>
        <w:t xml:space="preserve"> (these figures were obtained from the Bureau of Labor Statistics) to arrive at the total estimated annual cost of $1,</w:t>
      </w:r>
      <w:r w:rsidR="00B96860">
        <w:t>545</w:t>
      </w:r>
      <w:r>
        <w:t>.</w:t>
      </w:r>
    </w:p>
    <w:p w:rsidR="00C2773D" w:rsidRDefault="00C2773D"/>
    <w:p w:rsidR="002918D1" w:rsidRPr="009A3085" w:rsidRDefault="00C2773D" w:rsidP="002918D1">
      <w:pPr>
        <w:spacing w:line="480" w:lineRule="auto"/>
      </w:pPr>
      <w:r>
        <w:rPr>
          <w:b/>
          <w:bCs/>
        </w:rPr>
        <w:t xml:space="preserve">13.  </w:t>
      </w:r>
      <w:r w:rsidR="002918D1" w:rsidRPr="009A3085">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6537E" w:rsidDel="0066537E" w:rsidRDefault="008C2331" w:rsidP="0066537E">
      <w:pPr>
        <w:rPr>
          <w:b/>
          <w:bCs/>
        </w:rPr>
      </w:pPr>
      <w:r>
        <w:rPr>
          <w:b/>
          <w:bCs/>
        </w:rPr>
        <w:t xml:space="preserve">    </w:t>
      </w:r>
    </w:p>
    <w:p w:rsidR="00C2773D" w:rsidRDefault="00C2773D" w:rsidP="00FC46E0">
      <w:pPr>
        <w:spacing w:line="480" w:lineRule="auto"/>
      </w:pPr>
      <w:r>
        <w:t>There are no capital/start-up or ongoing operation/maintenance costs associated with this information collection.</w:t>
      </w:r>
    </w:p>
    <w:p w:rsidR="00C2773D" w:rsidRDefault="00C2773D"/>
    <w:p w:rsidR="00FC46E0" w:rsidDel="00FC46E0" w:rsidRDefault="00C2773D" w:rsidP="00FC46E0">
      <w:pPr>
        <w:rPr>
          <w:b/>
          <w:bCs/>
        </w:rPr>
      </w:pPr>
      <w:r>
        <w:rPr>
          <w:b/>
          <w:bCs/>
        </w:rPr>
        <w:t xml:space="preserve">14. </w:t>
      </w:r>
      <w:r w:rsidR="00264C9B" w:rsidRPr="009A3085">
        <w:rPr>
          <w:b/>
        </w:rPr>
        <w:t>Provide estimates of annualized cost to the Federal government</w:t>
      </w:r>
      <w:r w:rsidR="00264C9B" w:rsidRPr="009A3085">
        <w:t xml:space="preserve">.  </w:t>
      </w:r>
      <w:r w:rsidR="00264C9B" w:rsidRPr="009A3085">
        <w:rPr>
          <w:b/>
        </w:rPr>
        <w:t>Also, provide a description of the method used to estimate cost and any other expense that would not have been incurred without this collection of information.</w:t>
      </w:r>
    </w:p>
    <w:p w:rsidR="009B0168" w:rsidRDefault="009B0168" w:rsidP="00FC46E0">
      <w:pPr>
        <w:rPr>
          <w:b/>
          <w:bCs/>
        </w:rPr>
      </w:pPr>
    </w:p>
    <w:p w:rsidR="00C2773D" w:rsidRDefault="00C2773D">
      <w:pPr>
        <w:rPr>
          <w:b/>
          <w:bCs/>
        </w:rPr>
      </w:pPr>
    </w:p>
    <w:p w:rsidR="00C2773D" w:rsidRDefault="00C2773D" w:rsidP="00B73D8F">
      <w:pPr>
        <w:pStyle w:val="BodyText"/>
        <w:spacing w:line="480" w:lineRule="auto"/>
        <w:jc w:val="left"/>
      </w:pPr>
      <w:r>
        <w:lastRenderedPageBreak/>
        <w:t>The annual cost of this information collection to the Federal government is estimated to be $</w:t>
      </w:r>
      <w:r w:rsidR="00C0758B">
        <w:t>1,</w:t>
      </w:r>
      <w:r w:rsidR="000A3B31">
        <w:t>2</w:t>
      </w:r>
      <w:r w:rsidR="00B96860">
        <w:t>26.61</w:t>
      </w:r>
      <w:r>
        <w:t>.  This was determined based on the amount of time spent by FNS staff in the clearance of the form, including publishing a Federal Register notice, and includes an estimate for making the form available on the internet.  The results are summarized in the table below:</w:t>
      </w:r>
    </w:p>
    <w:p w:rsidR="00C2773D" w:rsidRDefault="00C2773D">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C2773D">
        <w:tc>
          <w:tcPr>
            <w:tcW w:w="8856" w:type="dxa"/>
            <w:gridSpan w:val="4"/>
          </w:tcPr>
          <w:p w:rsidR="00C2773D" w:rsidRDefault="00C2773D">
            <w:pPr>
              <w:pStyle w:val="BodyText"/>
              <w:jc w:val="center"/>
              <w:rPr>
                <w:b/>
                <w:bCs/>
              </w:rPr>
            </w:pPr>
            <w:r>
              <w:rPr>
                <w:b/>
                <w:bCs/>
              </w:rPr>
              <w:t>COST ESTIMATE</w:t>
            </w:r>
          </w:p>
        </w:tc>
      </w:tr>
      <w:tr w:rsidR="00C2773D">
        <w:tc>
          <w:tcPr>
            <w:tcW w:w="2214" w:type="dxa"/>
          </w:tcPr>
          <w:p w:rsidR="00C2773D" w:rsidRDefault="00C2773D">
            <w:pPr>
              <w:pStyle w:val="Heading2"/>
            </w:pPr>
            <w:r>
              <w:t>EMPLOYEE</w:t>
            </w:r>
          </w:p>
        </w:tc>
        <w:tc>
          <w:tcPr>
            <w:tcW w:w="2214" w:type="dxa"/>
          </w:tcPr>
          <w:p w:rsidR="00C2773D" w:rsidRDefault="00C2773D">
            <w:pPr>
              <w:pStyle w:val="Heading2"/>
            </w:pPr>
            <w:r>
              <w:t>HOURS</w:t>
            </w:r>
          </w:p>
        </w:tc>
        <w:tc>
          <w:tcPr>
            <w:tcW w:w="2214" w:type="dxa"/>
          </w:tcPr>
          <w:p w:rsidR="00C2773D" w:rsidRDefault="00C2773D">
            <w:pPr>
              <w:pStyle w:val="Heading2"/>
            </w:pPr>
            <w:r>
              <w:t>HOURLY RATE</w:t>
            </w:r>
          </w:p>
        </w:tc>
        <w:tc>
          <w:tcPr>
            <w:tcW w:w="2214" w:type="dxa"/>
          </w:tcPr>
          <w:p w:rsidR="00C2773D" w:rsidRDefault="00C2773D">
            <w:pPr>
              <w:pStyle w:val="Heading2"/>
            </w:pPr>
            <w:r>
              <w:t>TOTAL COST</w:t>
            </w:r>
          </w:p>
        </w:tc>
      </w:tr>
      <w:tr w:rsidR="00C2773D">
        <w:tc>
          <w:tcPr>
            <w:tcW w:w="2214" w:type="dxa"/>
          </w:tcPr>
          <w:p w:rsidR="00C2773D" w:rsidRDefault="00C2773D" w:rsidP="000A3B31">
            <w:pPr>
              <w:jc w:val="center"/>
            </w:pPr>
            <w:r>
              <w:t>GS-1</w:t>
            </w:r>
            <w:r w:rsidR="000A3B31">
              <w:t>4</w:t>
            </w:r>
          </w:p>
        </w:tc>
        <w:tc>
          <w:tcPr>
            <w:tcW w:w="2214" w:type="dxa"/>
          </w:tcPr>
          <w:p w:rsidR="00C2773D" w:rsidRDefault="00C2773D">
            <w:pPr>
              <w:jc w:val="center"/>
            </w:pPr>
            <w:r>
              <w:t>21</w:t>
            </w:r>
          </w:p>
        </w:tc>
        <w:tc>
          <w:tcPr>
            <w:tcW w:w="2214" w:type="dxa"/>
          </w:tcPr>
          <w:p w:rsidR="00C2773D" w:rsidRDefault="00B96860" w:rsidP="000A3B31">
            <w:pPr>
              <w:jc w:val="center"/>
            </w:pPr>
            <w:r>
              <w:t>58.41</w:t>
            </w:r>
          </w:p>
        </w:tc>
        <w:tc>
          <w:tcPr>
            <w:tcW w:w="2214" w:type="dxa"/>
          </w:tcPr>
          <w:p w:rsidR="00C2773D" w:rsidRDefault="00C0758B" w:rsidP="00B96860">
            <w:pPr>
              <w:jc w:val="center"/>
            </w:pPr>
            <w:r>
              <w:t>1,</w:t>
            </w:r>
            <w:r w:rsidR="000A3B31">
              <w:t>2</w:t>
            </w:r>
            <w:r w:rsidR="00B96860">
              <w:t>26</w:t>
            </w:r>
            <w:r w:rsidR="00C2773D">
              <w:t>.</w:t>
            </w:r>
            <w:r w:rsidR="00B96860">
              <w:t>61</w:t>
            </w:r>
          </w:p>
        </w:tc>
      </w:tr>
    </w:tbl>
    <w:p w:rsidR="00C2773D" w:rsidRDefault="00C2773D">
      <w:pPr>
        <w:jc w:val="both"/>
      </w:pPr>
    </w:p>
    <w:p w:rsidR="00B53928" w:rsidRDefault="00B53928">
      <w:pPr>
        <w:jc w:val="both"/>
      </w:pPr>
    </w:p>
    <w:p w:rsidR="00264C9B" w:rsidRPr="009A3085" w:rsidRDefault="00C2773D" w:rsidP="00264C9B">
      <w:pPr>
        <w:ind w:left="720" w:hanging="720"/>
        <w:rPr>
          <w:b/>
        </w:rPr>
      </w:pPr>
      <w:r>
        <w:rPr>
          <w:b/>
          <w:bCs/>
        </w:rPr>
        <w:t xml:space="preserve">15. </w:t>
      </w:r>
      <w:r w:rsidR="00264C9B" w:rsidRPr="00264C9B">
        <w:rPr>
          <w:b/>
        </w:rPr>
        <w:t xml:space="preserve"> </w:t>
      </w:r>
      <w:r w:rsidR="00264C9B" w:rsidRPr="009A3085">
        <w:rPr>
          <w:b/>
        </w:rPr>
        <w:t>Explain the reasons for any program changes or adjustments reported in Items 13 or 14 of the OMB Form 83-1.</w:t>
      </w:r>
    </w:p>
    <w:p w:rsidR="00FC46E0" w:rsidDel="00FC46E0" w:rsidRDefault="00FC46E0" w:rsidP="00FC46E0">
      <w:pPr>
        <w:jc w:val="both"/>
        <w:rPr>
          <w:b/>
          <w:bCs/>
        </w:rPr>
      </w:pPr>
    </w:p>
    <w:p w:rsidR="00C2773D" w:rsidRDefault="0009635A" w:rsidP="00B73D8F">
      <w:pPr>
        <w:pStyle w:val="BodyText"/>
        <w:spacing w:line="480" w:lineRule="auto"/>
        <w:jc w:val="left"/>
      </w:pPr>
      <w:r w:rsidRPr="006C5241">
        <w:t xml:space="preserve">This is an extension of a currently approved collection.  </w:t>
      </w:r>
      <w:r w:rsidR="000A3B31" w:rsidRPr="006C5241">
        <w:t xml:space="preserve">No program changes or adjustments </w:t>
      </w:r>
      <w:r w:rsidRPr="006C5241">
        <w:t>are requested</w:t>
      </w:r>
      <w:r w:rsidR="00C2773D">
        <w:t>.</w:t>
      </w:r>
    </w:p>
    <w:p w:rsidR="00225BC9" w:rsidRDefault="00225BC9">
      <w:pPr>
        <w:pStyle w:val="BodyText"/>
      </w:pPr>
    </w:p>
    <w:p w:rsidR="00C2773D" w:rsidRDefault="00C2773D">
      <w:pPr>
        <w:jc w:val="both"/>
      </w:pPr>
    </w:p>
    <w:p w:rsidR="009B0168" w:rsidRDefault="00C2773D" w:rsidP="006F65A1">
      <w:pPr>
        <w:jc w:val="both"/>
        <w:rPr>
          <w:b/>
          <w:bCs/>
        </w:rPr>
      </w:pPr>
      <w:r>
        <w:rPr>
          <w:b/>
          <w:bCs/>
        </w:rPr>
        <w:t xml:space="preserve">16. </w:t>
      </w:r>
      <w:r w:rsidR="00264C9B" w:rsidRPr="00264C9B">
        <w:rPr>
          <w:b/>
        </w:rPr>
        <w:t xml:space="preserve"> </w:t>
      </w:r>
      <w:r w:rsidR="00264C9B" w:rsidRPr="009A3085">
        <w:rPr>
          <w:b/>
        </w:rPr>
        <w:t>For collections of information whose results are planned to be published, outline plans for tabulation and publication.</w:t>
      </w:r>
    </w:p>
    <w:p w:rsidR="005261C5" w:rsidRPr="006F65A1" w:rsidRDefault="005261C5" w:rsidP="006F65A1">
      <w:pPr>
        <w:jc w:val="both"/>
        <w:rPr>
          <w:b/>
          <w:bCs/>
        </w:rPr>
      </w:pPr>
    </w:p>
    <w:p w:rsidR="00C2773D" w:rsidRDefault="00C2773D">
      <w:pPr>
        <w:pStyle w:val="BodyText"/>
      </w:pPr>
      <w:r>
        <w:t>There are no plans to publish any of the information obtained in this collection.</w:t>
      </w:r>
    </w:p>
    <w:p w:rsidR="00225BC9" w:rsidRDefault="00225BC9">
      <w:pPr>
        <w:pStyle w:val="BodyText"/>
      </w:pPr>
    </w:p>
    <w:p w:rsidR="00C2773D" w:rsidRDefault="00C2773D">
      <w:pPr>
        <w:jc w:val="both"/>
      </w:pPr>
    </w:p>
    <w:p w:rsidR="00C2773D" w:rsidRDefault="00C2773D" w:rsidP="00225BC9">
      <w:pPr>
        <w:jc w:val="both"/>
        <w:rPr>
          <w:b/>
          <w:bCs/>
        </w:rPr>
      </w:pPr>
      <w:r>
        <w:rPr>
          <w:b/>
          <w:bCs/>
        </w:rPr>
        <w:t xml:space="preserve">17. </w:t>
      </w:r>
      <w:r w:rsidR="0052613B" w:rsidRPr="0052613B">
        <w:rPr>
          <w:b/>
        </w:rPr>
        <w:t xml:space="preserve"> </w:t>
      </w:r>
      <w:r w:rsidR="0052613B" w:rsidRPr="009A3085">
        <w:rPr>
          <w:b/>
        </w:rPr>
        <w:t>If seeking approval to not display the expiration date for OMB approval of the information collection, explain the reasons that display would be inappropriate.</w:t>
      </w:r>
    </w:p>
    <w:p w:rsidR="005261C5" w:rsidRDefault="005261C5" w:rsidP="00225BC9">
      <w:pPr>
        <w:jc w:val="both"/>
        <w:rPr>
          <w:b/>
          <w:bCs/>
        </w:rPr>
      </w:pPr>
    </w:p>
    <w:p w:rsidR="00C2773D" w:rsidRDefault="00C2773D" w:rsidP="00F70878">
      <w:pPr>
        <w:pStyle w:val="BodyText"/>
        <w:spacing w:line="480" w:lineRule="auto"/>
        <w:jc w:val="left"/>
      </w:pPr>
      <w:r>
        <w:t xml:space="preserve">The Agency is seeking approval to not display the OMB expiration date on the form associated with this information collection.  </w:t>
      </w:r>
      <w:r w:rsidR="00B96860">
        <w:t xml:space="preserve">As this information is required by law to be collected, the requirement to collect it will remain in place as long as the law remains on the books.  As such, displaying an expiration date on the form could be misleading to the public, and would not serve in their best interests.  </w:t>
      </w:r>
    </w:p>
    <w:p w:rsidR="00C2773D" w:rsidRDefault="00C2773D">
      <w:pPr>
        <w:jc w:val="both"/>
      </w:pPr>
    </w:p>
    <w:p w:rsidR="0052613B" w:rsidRPr="009A3085" w:rsidRDefault="00C2773D" w:rsidP="0052613B">
      <w:pPr>
        <w:ind w:left="720" w:hanging="720"/>
      </w:pPr>
      <w:r>
        <w:rPr>
          <w:b/>
          <w:bCs/>
        </w:rPr>
        <w:lastRenderedPageBreak/>
        <w:t xml:space="preserve">18. </w:t>
      </w:r>
      <w:r w:rsidR="0052613B" w:rsidRPr="009A3085">
        <w:rPr>
          <w:b/>
        </w:rPr>
        <w:t>Explain each exception to the certification statement identified in Item 19 "Certification for Paperwork Reduction Act."</w:t>
      </w:r>
    </w:p>
    <w:p w:rsidR="00B53928" w:rsidDel="00B53928" w:rsidRDefault="00B53928" w:rsidP="00B53928">
      <w:pPr>
        <w:jc w:val="both"/>
        <w:rPr>
          <w:b/>
          <w:bCs/>
        </w:rPr>
      </w:pPr>
    </w:p>
    <w:p w:rsidR="00C2773D" w:rsidRDefault="00C2773D" w:rsidP="00B53928">
      <w:pPr>
        <w:jc w:val="both"/>
        <w:rPr>
          <w:b/>
          <w:bCs/>
        </w:rPr>
      </w:pPr>
    </w:p>
    <w:p w:rsidR="00C2773D" w:rsidRDefault="00F70878" w:rsidP="00F70878">
      <w:pPr>
        <w:spacing w:line="480" w:lineRule="auto"/>
      </w:pPr>
      <w:r w:rsidRPr="006C5241">
        <w:t xml:space="preserve">There are no exceptions to the certification statement.  </w:t>
      </w:r>
      <w:r w:rsidR="00C2773D" w:rsidRPr="006C5241">
        <w:t>T</w:t>
      </w:r>
      <w:r w:rsidR="00C2773D">
        <w:t>he Agency is able to certify compliance with all provisions under Item 19 of OMB Form 83-1.</w:t>
      </w:r>
    </w:p>
    <w:p w:rsidR="00C2773D" w:rsidRDefault="00C2773D">
      <w:pPr>
        <w:ind w:left="360"/>
        <w:rPr>
          <w:b/>
          <w:bCs/>
        </w:rPr>
      </w:pPr>
    </w:p>
    <w:sectPr w:rsidR="00C2773D" w:rsidSect="00B21A5E">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A71" w:rsidRDefault="00A24A71" w:rsidP="006966DB">
      <w:r>
        <w:separator/>
      </w:r>
    </w:p>
  </w:endnote>
  <w:endnote w:type="continuationSeparator" w:id="0">
    <w:p w:rsidR="00A24A71" w:rsidRDefault="00A24A71" w:rsidP="006966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71" w:rsidRDefault="00A24A71">
    <w:pPr>
      <w:pStyle w:val="Footer"/>
      <w:jc w:val="center"/>
    </w:pPr>
    <w:fldSimple w:instr=" PAGE   \* MERGEFORMAT ">
      <w:r w:rsidR="00AB5A2B">
        <w:rPr>
          <w:noProof/>
        </w:rPr>
        <w:t>3</w:t>
      </w:r>
    </w:fldSimple>
  </w:p>
  <w:p w:rsidR="00A24A71" w:rsidRDefault="00A24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A71" w:rsidRDefault="00A24A71" w:rsidP="006966DB">
      <w:r>
        <w:separator/>
      </w:r>
    </w:p>
  </w:footnote>
  <w:footnote w:type="continuationSeparator" w:id="0">
    <w:p w:rsidR="00A24A71" w:rsidRDefault="00A24A71" w:rsidP="00696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CF9"/>
    <w:multiLevelType w:val="hybridMultilevel"/>
    <w:tmpl w:val="84483D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20259"/>
    <w:multiLevelType w:val="hybridMultilevel"/>
    <w:tmpl w:val="83BEB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551F4"/>
    <w:multiLevelType w:val="hybridMultilevel"/>
    <w:tmpl w:val="84483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1DE22A59"/>
    <w:multiLevelType w:val="hybridMultilevel"/>
    <w:tmpl w:val="DFFA2E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8A0538"/>
    <w:multiLevelType w:val="hybridMultilevel"/>
    <w:tmpl w:val="1B3641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D14DD"/>
    <w:multiLevelType w:val="hybridMultilevel"/>
    <w:tmpl w:val="FE16521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3D20577"/>
    <w:multiLevelType w:val="multilevel"/>
    <w:tmpl w:val="D46CB9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5D698C"/>
    <w:multiLevelType w:val="hybridMultilevel"/>
    <w:tmpl w:val="C7DAA1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C626CE"/>
    <w:multiLevelType w:val="hybridMultilevel"/>
    <w:tmpl w:val="D46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6154A2"/>
    <w:multiLevelType w:val="hybridMultilevel"/>
    <w:tmpl w:val="20FCD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5"/>
  </w:num>
  <w:num w:numId="4">
    <w:abstractNumId w:val="18"/>
  </w:num>
  <w:num w:numId="5">
    <w:abstractNumId w:val="2"/>
  </w:num>
  <w:num w:numId="6">
    <w:abstractNumId w:val="0"/>
  </w:num>
  <w:num w:numId="7">
    <w:abstractNumId w:val="1"/>
  </w:num>
  <w:num w:numId="8">
    <w:abstractNumId w:val="15"/>
  </w:num>
  <w:num w:numId="9">
    <w:abstractNumId w:val="9"/>
  </w:num>
  <w:num w:numId="10">
    <w:abstractNumId w:val="14"/>
  </w:num>
  <w:num w:numId="11">
    <w:abstractNumId w:val="10"/>
  </w:num>
  <w:num w:numId="12">
    <w:abstractNumId w:val="8"/>
  </w:num>
  <w:num w:numId="13">
    <w:abstractNumId w:val="21"/>
  </w:num>
  <w:num w:numId="14">
    <w:abstractNumId w:val="20"/>
  </w:num>
  <w:num w:numId="15">
    <w:abstractNumId w:val="12"/>
  </w:num>
  <w:num w:numId="16">
    <w:abstractNumId w:val="7"/>
  </w:num>
  <w:num w:numId="17">
    <w:abstractNumId w:val="11"/>
  </w:num>
  <w:num w:numId="18">
    <w:abstractNumId w:val="13"/>
  </w:num>
  <w:num w:numId="19">
    <w:abstractNumId w:val="3"/>
  </w:num>
  <w:num w:numId="20">
    <w:abstractNumId w:val="16"/>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13804"/>
    <w:rsid w:val="000278E4"/>
    <w:rsid w:val="0009635A"/>
    <w:rsid w:val="000A3B31"/>
    <w:rsid w:val="00117D09"/>
    <w:rsid w:val="00163532"/>
    <w:rsid w:val="001F62DF"/>
    <w:rsid w:val="00225BC9"/>
    <w:rsid w:val="00247EBF"/>
    <w:rsid w:val="00264C9B"/>
    <w:rsid w:val="002918D1"/>
    <w:rsid w:val="00311916"/>
    <w:rsid w:val="00314F9F"/>
    <w:rsid w:val="00353592"/>
    <w:rsid w:val="0039251A"/>
    <w:rsid w:val="003A216E"/>
    <w:rsid w:val="003B3699"/>
    <w:rsid w:val="003C543A"/>
    <w:rsid w:val="003D46AB"/>
    <w:rsid w:val="00415B85"/>
    <w:rsid w:val="00446F23"/>
    <w:rsid w:val="00497375"/>
    <w:rsid w:val="0052613B"/>
    <w:rsid w:val="005261C5"/>
    <w:rsid w:val="00550027"/>
    <w:rsid w:val="00551391"/>
    <w:rsid w:val="005543FB"/>
    <w:rsid w:val="005642F5"/>
    <w:rsid w:val="00570852"/>
    <w:rsid w:val="00572AA2"/>
    <w:rsid w:val="00573EB0"/>
    <w:rsid w:val="005D77F1"/>
    <w:rsid w:val="0061349B"/>
    <w:rsid w:val="00613804"/>
    <w:rsid w:val="00641E52"/>
    <w:rsid w:val="00662CF9"/>
    <w:rsid w:val="0066537E"/>
    <w:rsid w:val="00686B0D"/>
    <w:rsid w:val="006966DB"/>
    <w:rsid w:val="006B431A"/>
    <w:rsid w:val="006C5241"/>
    <w:rsid w:val="006D3684"/>
    <w:rsid w:val="006E652F"/>
    <w:rsid w:val="006F65A1"/>
    <w:rsid w:val="00705260"/>
    <w:rsid w:val="00735AB8"/>
    <w:rsid w:val="0075512D"/>
    <w:rsid w:val="00811481"/>
    <w:rsid w:val="00824A06"/>
    <w:rsid w:val="00842102"/>
    <w:rsid w:val="008814DB"/>
    <w:rsid w:val="00890F3B"/>
    <w:rsid w:val="008C2331"/>
    <w:rsid w:val="008C750F"/>
    <w:rsid w:val="009964E6"/>
    <w:rsid w:val="009B0168"/>
    <w:rsid w:val="009B310F"/>
    <w:rsid w:val="009F43F3"/>
    <w:rsid w:val="00A24A71"/>
    <w:rsid w:val="00A37100"/>
    <w:rsid w:val="00AB5A2B"/>
    <w:rsid w:val="00AC2CC8"/>
    <w:rsid w:val="00AC6336"/>
    <w:rsid w:val="00B02678"/>
    <w:rsid w:val="00B11710"/>
    <w:rsid w:val="00B21A5E"/>
    <w:rsid w:val="00B53928"/>
    <w:rsid w:val="00B73D8F"/>
    <w:rsid w:val="00B83F47"/>
    <w:rsid w:val="00B96860"/>
    <w:rsid w:val="00BB1AF4"/>
    <w:rsid w:val="00BD54CD"/>
    <w:rsid w:val="00C0758B"/>
    <w:rsid w:val="00C1047B"/>
    <w:rsid w:val="00C2727A"/>
    <w:rsid w:val="00C2773D"/>
    <w:rsid w:val="00C94E56"/>
    <w:rsid w:val="00CD0222"/>
    <w:rsid w:val="00CE707D"/>
    <w:rsid w:val="00D36F14"/>
    <w:rsid w:val="00D42521"/>
    <w:rsid w:val="00DB3FD5"/>
    <w:rsid w:val="00DD7377"/>
    <w:rsid w:val="00DE49F1"/>
    <w:rsid w:val="00EA24EC"/>
    <w:rsid w:val="00EB2C29"/>
    <w:rsid w:val="00ED3F46"/>
    <w:rsid w:val="00EF73C9"/>
    <w:rsid w:val="00F70878"/>
    <w:rsid w:val="00F70BD0"/>
    <w:rsid w:val="00F9223D"/>
    <w:rsid w:val="00FC46E0"/>
    <w:rsid w:val="00FD3325"/>
    <w:rsid w:val="00FE397E"/>
    <w:rsid w:val="00FF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A5E"/>
    <w:rPr>
      <w:sz w:val="24"/>
      <w:szCs w:val="24"/>
    </w:rPr>
  </w:style>
  <w:style w:type="paragraph" w:styleId="Heading1">
    <w:name w:val="heading 1"/>
    <w:basedOn w:val="Normal"/>
    <w:next w:val="Normal"/>
    <w:qFormat/>
    <w:rsid w:val="00B21A5E"/>
    <w:pPr>
      <w:keepNext/>
      <w:outlineLvl w:val="0"/>
    </w:pPr>
    <w:rPr>
      <w:b/>
      <w:bCs/>
      <w:u w:val="single"/>
    </w:rPr>
  </w:style>
  <w:style w:type="paragraph" w:styleId="Heading2">
    <w:name w:val="heading 2"/>
    <w:basedOn w:val="Normal"/>
    <w:next w:val="Normal"/>
    <w:qFormat/>
    <w:rsid w:val="00B21A5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A5E"/>
    <w:pPr>
      <w:jc w:val="both"/>
    </w:pPr>
  </w:style>
  <w:style w:type="paragraph" w:styleId="BalloonText">
    <w:name w:val="Balloon Text"/>
    <w:basedOn w:val="Normal"/>
    <w:link w:val="BalloonTextChar"/>
    <w:rsid w:val="00C94E56"/>
    <w:rPr>
      <w:rFonts w:ascii="Tahoma" w:hAnsi="Tahoma" w:cs="Tahoma"/>
      <w:sz w:val="16"/>
      <w:szCs w:val="16"/>
    </w:rPr>
  </w:style>
  <w:style w:type="character" w:customStyle="1" w:styleId="BalloonTextChar">
    <w:name w:val="Balloon Text Char"/>
    <w:basedOn w:val="DefaultParagraphFont"/>
    <w:link w:val="BalloonText"/>
    <w:rsid w:val="00C94E56"/>
    <w:rPr>
      <w:rFonts w:ascii="Tahoma" w:hAnsi="Tahoma" w:cs="Tahoma"/>
      <w:sz w:val="16"/>
      <w:szCs w:val="16"/>
    </w:rPr>
  </w:style>
  <w:style w:type="character" w:styleId="Strong">
    <w:name w:val="Strong"/>
    <w:basedOn w:val="DefaultParagraphFont"/>
    <w:uiPriority w:val="22"/>
    <w:qFormat/>
    <w:rsid w:val="0075512D"/>
    <w:rPr>
      <w:b/>
      <w:bCs/>
    </w:rPr>
  </w:style>
  <w:style w:type="character" w:styleId="CommentReference">
    <w:name w:val="annotation reference"/>
    <w:basedOn w:val="DefaultParagraphFont"/>
    <w:rsid w:val="00BD54CD"/>
    <w:rPr>
      <w:sz w:val="16"/>
      <w:szCs w:val="16"/>
    </w:rPr>
  </w:style>
  <w:style w:type="paragraph" w:styleId="CommentText">
    <w:name w:val="annotation text"/>
    <w:basedOn w:val="Normal"/>
    <w:link w:val="CommentTextChar"/>
    <w:rsid w:val="00BD54CD"/>
    <w:rPr>
      <w:sz w:val="20"/>
      <w:szCs w:val="20"/>
    </w:rPr>
  </w:style>
  <w:style w:type="character" w:customStyle="1" w:styleId="CommentTextChar">
    <w:name w:val="Comment Text Char"/>
    <w:basedOn w:val="DefaultParagraphFont"/>
    <w:link w:val="CommentText"/>
    <w:rsid w:val="00BD54CD"/>
  </w:style>
  <w:style w:type="paragraph" w:styleId="CommentSubject">
    <w:name w:val="annotation subject"/>
    <w:basedOn w:val="CommentText"/>
    <w:next w:val="CommentText"/>
    <w:link w:val="CommentSubjectChar"/>
    <w:rsid w:val="00BD54CD"/>
    <w:rPr>
      <w:b/>
      <w:bCs/>
    </w:rPr>
  </w:style>
  <w:style w:type="character" w:customStyle="1" w:styleId="CommentSubjectChar">
    <w:name w:val="Comment Subject Char"/>
    <w:basedOn w:val="CommentTextChar"/>
    <w:link w:val="CommentSubject"/>
    <w:rsid w:val="00BD54CD"/>
    <w:rPr>
      <w:b/>
      <w:bCs/>
    </w:rPr>
  </w:style>
  <w:style w:type="paragraph" w:styleId="BodyTextIndent">
    <w:name w:val="Body Text Indent"/>
    <w:basedOn w:val="Normal"/>
    <w:link w:val="BodyTextIndentChar"/>
    <w:rsid w:val="00353592"/>
    <w:pPr>
      <w:spacing w:after="120"/>
      <w:ind w:left="360"/>
    </w:pPr>
  </w:style>
  <w:style w:type="character" w:customStyle="1" w:styleId="BodyTextIndentChar">
    <w:name w:val="Body Text Indent Char"/>
    <w:basedOn w:val="DefaultParagraphFont"/>
    <w:link w:val="BodyTextIndent"/>
    <w:rsid w:val="00353592"/>
    <w:rPr>
      <w:sz w:val="24"/>
      <w:szCs w:val="24"/>
    </w:rPr>
  </w:style>
  <w:style w:type="paragraph" w:styleId="BodyTextIndent2">
    <w:name w:val="Body Text Indent 2"/>
    <w:basedOn w:val="Normal"/>
    <w:link w:val="BodyTextIndent2Char"/>
    <w:rsid w:val="00353592"/>
    <w:pPr>
      <w:spacing w:after="120" w:line="480" w:lineRule="auto"/>
      <w:ind w:left="360"/>
    </w:pPr>
  </w:style>
  <w:style w:type="character" w:customStyle="1" w:styleId="BodyTextIndent2Char">
    <w:name w:val="Body Text Indent 2 Char"/>
    <w:basedOn w:val="DefaultParagraphFont"/>
    <w:link w:val="BodyTextIndent2"/>
    <w:rsid w:val="00353592"/>
    <w:rPr>
      <w:sz w:val="24"/>
      <w:szCs w:val="24"/>
    </w:rPr>
  </w:style>
  <w:style w:type="paragraph" w:styleId="Header">
    <w:name w:val="header"/>
    <w:basedOn w:val="Normal"/>
    <w:link w:val="HeaderChar"/>
    <w:rsid w:val="006966DB"/>
    <w:pPr>
      <w:tabs>
        <w:tab w:val="center" w:pos="4680"/>
        <w:tab w:val="right" w:pos="9360"/>
      </w:tabs>
    </w:pPr>
  </w:style>
  <w:style w:type="character" w:customStyle="1" w:styleId="HeaderChar">
    <w:name w:val="Header Char"/>
    <w:basedOn w:val="DefaultParagraphFont"/>
    <w:link w:val="Header"/>
    <w:rsid w:val="006966DB"/>
    <w:rPr>
      <w:sz w:val="24"/>
      <w:szCs w:val="24"/>
    </w:rPr>
  </w:style>
  <w:style w:type="paragraph" w:styleId="Footer">
    <w:name w:val="footer"/>
    <w:basedOn w:val="Normal"/>
    <w:link w:val="FooterChar"/>
    <w:uiPriority w:val="99"/>
    <w:rsid w:val="006966DB"/>
    <w:pPr>
      <w:tabs>
        <w:tab w:val="center" w:pos="4680"/>
        <w:tab w:val="right" w:pos="9360"/>
      </w:tabs>
    </w:pPr>
  </w:style>
  <w:style w:type="character" w:customStyle="1" w:styleId="FooterChar">
    <w:name w:val="Footer Char"/>
    <w:basedOn w:val="DefaultParagraphFont"/>
    <w:link w:val="Footer"/>
    <w:uiPriority w:val="99"/>
    <w:rsid w:val="006966DB"/>
    <w:rPr>
      <w:sz w:val="24"/>
      <w:szCs w:val="24"/>
    </w:rPr>
  </w:style>
</w:styles>
</file>

<file path=word/webSettings.xml><?xml version="1.0" encoding="utf-8"?>
<w:webSettings xmlns:r="http://schemas.openxmlformats.org/officeDocument/2006/relationships" xmlns:w="http://schemas.openxmlformats.org/wordprocessingml/2006/main">
  <w:divs>
    <w:div w:id="5695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0F24-FDBA-409F-A443-0DA88931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2229</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Justification</vt:lpstr>
    </vt:vector>
  </TitlesOfParts>
  <Company>FNS</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Administrator</dc:creator>
  <cp:lastModifiedBy>lywilliams</cp:lastModifiedBy>
  <cp:revision>2</cp:revision>
  <cp:lastPrinted>2013-02-04T15:28:00Z</cp:lastPrinted>
  <dcterms:created xsi:type="dcterms:W3CDTF">2013-02-04T15:29:00Z</dcterms:created>
  <dcterms:modified xsi:type="dcterms:W3CDTF">2013-02-04T15:29:00Z</dcterms:modified>
</cp:coreProperties>
</file>