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5C" w:rsidRDefault="00D104B7" w:rsidP="00D104B7">
      <w:pPr>
        <w:spacing w:after="0" w:line="240" w:lineRule="auto"/>
        <w:jc w:val="center"/>
        <w:rPr>
          <w:rFonts w:ascii="Garamond" w:hAnsi="Garamond"/>
          <w:b/>
          <w:sz w:val="24"/>
          <w:szCs w:val="24"/>
        </w:rPr>
      </w:pPr>
      <w:r>
        <w:rPr>
          <w:rFonts w:ascii="Garamond" w:hAnsi="Garamond"/>
          <w:b/>
          <w:sz w:val="24"/>
          <w:szCs w:val="24"/>
        </w:rPr>
        <w:t xml:space="preserve">Responses to </w:t>
      </w:r>
      <w:r w:rsidR="00023E7C" w:rsidRPr="00E52F47">
        <w:rPr>
          <w:rFonts w:ascii="Garamond" w:hAnsi="Garamond"/>
          <w:b/>
          <w:sz w:val="24"/>
          <w:szCs w:val="24"/>
        </w:rPr>
        <w:t>Comments from NASS</w:t>
      </w:r>
    </w:p>
    <w:p w:rsidR="00D104B7" w:rsidRDefault="00D104B7" w:rsidP="00D104B7">
      <w:pPr>
        <w:spacing w:after="0" w:line="240" w:lineRule="auto"/>
        <w:jc w:val="center"/>
        <w:rPr>
          <w:rFonts w:ascii="Garamond" w:hAnsi="Garamond"/>
          <w:b/>
          <w:sz w:val="24"/>
          <w:szCs w:val="24"/>
        </w:rPr>
      </w:pPr>
      <w:r>
        <w:rPr>
          <w:rFonts w:ascii="Garamond" w:hAnsi="Garamond"/>
          <w:b/>
          <w:sz w:val="24"/>
          <w:szCs w:val="24"/>
        </w:rPr>
        <w:t>Special Nutrition Program Operations Study (SN-OPS)</w:t>
      </w:r>
    </w:p>
    <w:p w:rsidR="00023E7C" w:rsidRDefault="00023E7C">
      <w:pPr>
        <w:rPr>
          <w:rFonts w:ascii="Garamond" w:hAnsi="Garamond"/>
          <w:sz w:val="24"/>
          <w:szCs w:val="24"/>
        </w:rPr>
      </w:pPr>
    </w:p>
    <w:p w:rsidR="00B80E8C" w:rsidRPr="00E52F47" w:rsidRDefault="00B80E8C">
      <w:pPr>
        <w:rPr>
          <w:rFonts w:ascii="Garamond" w:hAnsi="Garamond"/>
          <w:sz w:val="24"/>
          <w:szCs w:val="24"/>
        </w:rPr>
      </w:pPr>
      <w:r>
        <w:rPr>
          <w:rFonts w:ascii="Garamond" w:hAnsi="Garamond"/>
          <w:sz w:val="24"/>
          <w:szCs w:val="24"/>
        </w:rPr>
        <w:t>We have carefully reviewed the comments and suggestions. Editorial comments not specific to the content of the study were taken into consideration and incorporated where necessary. Below we provi</w:t>
      </w:r>
      <w:r w:rsidR="00633DE1">
        <w:rPr>
          <w:rFonts w:ascii="Garamond" w:hAnsi="Garamond"/>
          <w:sz w:val="24"/>
          <w:szCs w:val="24"/>
        </w:rPr>
        <w:t xml:space="preserve">de </w:t>
      </w:r>
      <w:proofErr w:type="gramStart"/>
      <w:r w:rsidR="00633DE1">
        <w:rPr>
          <w:rFonts w:ascii="Garamond" w:hAnsi="Garamond"/>
          <w:sz w:val="24"/>
          <w:szCs w:val="24"/>
        </w:rPr>
        <w:t>a responses</w:t>
      </w:r>
      <w:proofErr w:type="gramEnd"/>
      <w:r w:rsidR="00633DE1">
        <w:rPr>
          <w:rFonts w:ascii="Garamond" w:hAnsi="Garamond"/>
          <w:sz w:val="24"/>
          <w:szCs w:val="24"/>
        </w:rPr>
        <w:t xml:space="preserve"> to each comment and note changes to the surveys. </w:t>
      </w:r>
    </w:p>
    <w:p w:rsidR="00023E7C" w:rsidRPr="00B72E46" w:rsidRDefault="009C15E9">
      <w:pPr>
        <w:rPr>
          <w:rFonts w:ascii="Garamond" w:hAnsi="Garamond"/>
          <w:b/>
          <w:sz w:val="24"/>
          <w:szCs w:val="24"/>
          <w:u w:val="single"/>
        </w:rPr>
      </w:pPr>
      <w:r w:rsidRPr="00B72E46">
        <w:rPr>
          <w:rFonts w:ascii="Garamond" w:hAnsi="Garamond"/>
          <w:b/>
          <w:sz w:val="24"/>
          <w:szCs w:val="24"/>
          <w:u w:val="single"/>
        </w:rPr>
        <w:t>Part A</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is FNS 742?</w:t>
      </w:r>
    </w:p>
    <w:p w:rsidR="00D104B7" w:rsidRPr="00D104B7" w:rsidRDefault="008C7498" w:rsidP="00D104B7">
      <w:pPr>
        <w:rPr>
          <w:rFonts w:ascii="Garamond" w:hAnsi="Garamond"/>
          <w:sz w:val="24"/>
          <w:szCs w:val="24"/>
        </w:rPr>
      </w:pPr>
      <w:r>
        <w:rPr>
          <w:rFonts w:ascii="Garamond" w:hAnsi="Garamond"/>
          <w:sz w:val="24"/>
          <w:szCs w:val="24"/>
        </w:rPr>
        <w:t>FNS-742 refers to the data submitted by all SFAs each year on</w:t>
      </w:r>
      <w:r w:rsidRPr="008C7498">
        <w:rPr>
          <w:rFonts w:ascii="Garamond" w:hAnsi="Garamond"/>
          <w:i/>
          <w:sz w:val="24"/>
          <w:szCs w:val="24"/>
        </w:rPr>
        <w:t xml:space="preserve"> Verification Summary Report</w:t>
      </w:r>
      <w:r>
        <w:rPr>
          <w:rFonts w:ascii="Garamond" w:hAnsi="Garamond"/>
          <w:sz w:val="24"/>
          <w:szCs w:val="24"/>
        </w:rPr>
        <w:t xml:space="preserve">. </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does FRN stand for? What publication are you citing here?</w:t>
      </w:r>
    </w:p>
    <w:p w:rsidR="00ED0150" w:rsidRPr="00ED0150" w:rsidRDefault="004C61F1" w:rsidP="00ED0150">
      <w:pPr>
        <w:rPr>
          <w:rFonts w:ascii="Garamond" w:hAnsi="Garamond"/>
          <w:sz w:val="24"/>
          <w:szCs w:val="24"/>
        </w:rPr>
      </w:pPr>
      <w:r>
        <w:rPr>
          <w:rFonts w:ascii="Garamond" w:hAnsi="Garamond"/>
          <w:sz w:val="24"/>
          <w:szCs w:val="24"/>
        </w:rPr>
        <w:t xml:space="preserve">FRN stands for Federal Register Notice. This sentence has been deleted. </w:t>
      </w:r>
    </w:p>
    <w:p w:rsidR="00023E7C" w:rsidRDefault="00023E7C" w:rsidP="00D104B7">
      <w:pPr>
        <w:pStyle w:val="CommentText"/>
        <w:numPr>
          <w:ilvl w:val="0"/>
          <w:numId w:val="1"/>
        </w:numPr>
        <w:ind w:hanging="720"/>
        <w:rPr>
          <w:rFonts w:ascii="Garamond" w:hAnsi="Garamond"/>
          <w:b/>
          <w:i/>
          <w:sz w:val="24"/>
          <w:szCs w:val="24"/>
        </w:rPr>
      </w:pPr>
      <w:r w:rsidRPr="00D104B7">
        <w:rPr>
          <w:rFonts w:ascii="Garamond" w:hAnsi="Garamond"/>
          <w:b/>
          <w:i/>
          <w:sz w:val="24"/>
          <w:szCs w:val="24"/>
        </w:rPr>
        <w:t>Did you publish this [SNDA Study]? If so, update the language and footnotes to reflect that. If not, give the updated target publication date.</w:t>
      </w:r>
    </w:p>
    <w:p w:rsidR="00ED0150" w:rsidRPr="00ED0150" w:rsidRDefault="004C61F1" w:rsidP="00ED0150">
      <w:pPr>
        <w:pStyle w:val="CommentText"/>
        <w:rPr>
          <w:rFonts w:ascii="Garamond" w:hAnsi="Garamond"/>
          <w:sz w:val="24"/>
          <w:szCs w:val="24"/>
        </w:rPr>
      </w:pPr>
      <w:r>
        <w:rPr>
          <w:rFonts w:ascii="Garamond" w:hAnsi="Garamond"/>
          <w:sz w:val="24"/>
          <w:szCs w:val="24"/>
        </w:rPr>
        <w:t xml:space="preserve">Yes, the results of the SNDA-IV were published in November 2012. We have updated the text to reflect this. </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Do have an alternate start date if OMB approval does not come through before March 1?</w:t>
      </w:r>
    </w:p>
    <w:p w:rsidR="00ED0150" w:rsidRPr="00ED0150" w:rsidRDefault="004C61F1" w:rsidP="00ED0150">
      <w:pPr>
        <w:rPr>
          <w:rFonts w:ascii="Garamond" w:hAnsi="Garamond"/>
          <w:sz w:val="24"/>
          <w:szCs w:val="24"/>
        </w:rPr>
      </w:pPr>
      <w:r>
        <w:rPr>
          <w:rFonts w:ascii="Garamond" w:hAnsi="Garamond"/>
          <w:sz w:val="24"/>
          <w:szCs w:val="24"/>
        </w:rPr>
        <w:t>Yes, we have revised the schedule and text to reflect an April 15, 2013 start date.</w:t>
      </w:r>
    </w:p>
    <w:p w:rsidR="00023E7C" w:rsidRDefault="00023E7C" w:rsidP="00D104B7">
      <w:pPr>
        <w:pStyle w:val="CommentText"/>
        <w:numPr>
          <w:ilvl w:val="0"/>
          <w:numId w:val="1"/>
        </w:numPr>
        <w:ind w:hanging="720"/>
        <w:rPr>
          <w:rFonts w:ascii="Garamond" w:hAnsi="Garamond"/>
          <w:b/>
          <w:i/>
          <w:sz w:val="24"/>
          <w:szCs w:val="24"/>
        </w:rPr>
      </w:pPr>
      <w:r w:rsidRPr="00D104B7">
        <w:rPr>
          <w:rFonts w:ascii="Garamond" w:hAnsi="Garamond"/>
          <w:b/>
          <w:i/>
          <w:sz w:val="24"/>
          <w:szCs w:val="24"/>
        </w:rPr>
        <w:t>Please include a copy of the reminder email. How do you plan to contact respondents for whom you have no valid email address?</w:t>
      </w:r>
    </w:p>
    <w:p w:rsidR="00ED0150" w:rsidRPr="00ED0150" w:rsidRDefault="006A59F9" w:rsidP="00ED0150">
      <w:pPr>
        <w:pStyle w:val="CommentText"/>
        <w:rPr>
          <w:rFonts w:ascii="Garamond" w:hAnsi="Garamond"/>
          <w:sz w:val="24"/>
          <w:szCs w:val="24"/>
        </w:rPr>
      </w:pPr>
      <w:r>
        <w:rPr>
          <w:rFonts w:ascii="Garamond" w:hAnsi="Garamond"/>
          <w:sz w:val="24"/>
          <w:szCs w:val="24"/>
        </w:rPr>
        <w:t>We have included a copy of the reminder email</w:t>
      </w:r>
      <w:r w:rsidR="00FE7651">
        <w:rPr>
          <w:rFonts w:ascii="Garamond" w:hAnsi="Garamond"/>
          <w:sz w:val="24"/>
          <w:szCs w:val="24"/>
        </w:rPr>
        <w:t xml:space="preserve"> which will be sent to State Child Nutrition Directors</w:t>
      </w:r>
      <w:r>
        <w:rPr>
          <w:rFonts w:ascii="Garamond" w:hAnsi="Garamond"/>
          <w:sz w:val="24"/>
          <w:szCs w:val="24"/>
        </w:rPr>
        <w:t>. It appears as Appendix D2.</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happens in Week 1?</w:t>
      </w:r>
    </w:p>
    <w:p w:rsidR="00E75169" w:rsidRPr="00201C27" w:rsidRDefault="006A59F9" w:rsidP="00E75169">
      <w:pPr>
        <w:rPr>
          <w:rFonts w:ascii="Garamond" w:hAnsi="Garamond"/>
          <w:sz w:val="24"/>
          <w:szCs w:val="24"/>
        </w:rPr>
      </w:pPr>
      <w:r>
        <w:rPr>
          <w:rFonts w:ascii="Garamond" w:hAnsi="Garamond"/>
          <w:sz w:val="24"/>
          <w:szCs w:val="24"/>
        </w:rPr>
        <w:t xml:space="preserve">During Week 1 the invitation letters are mailed to all sampled SFA Directors. We respond to all questions received via the hotline or by email regarding the survey. </w:t>
      </w:r>
    </w:p>
    <w:p w:rsidR="00B14017" w:rsidRDefault="00023E7C" w:rsidP="00B14017">
      <w:pPr>
        <w:pStyle w:val="ListParagraph"/>
        <w:numPr>
          <w:ilvl w:val="0"/>
          <w:numId w:val="1"/>
        </w:numPr>
        <w:ind w:hanging="720"/>
        <w:rPr>
          <w:rFonts w:ascii="Garamond" w:hAnsi="Garamond"/>
          <w:b/>
          <w:i/>
          <w:sz w:val="24"/>
          <w:szCs w:val="24"/>
        </w:rPr>
      </w:pPr>
      <w:r w:rsidRPr="00D104B7">
        <w:rPr>
          <w:rFonts w:ascii="Garamond" w:hAnsi="Garamond"/>
          <w:b/>
          <w:i/>
          <w:sz w:val="24"/>
          <w:szCs w:val="24"/>
        </w:rPr>
        <w:t>Are these the same emails and postcards that are sent in Week 2?</w:t>
      </w:r>
      <w:r w:rsidR="00B14017" w:rsidRPr="00B14017">
        <w:rPr>
          <w:rFonts w:ascii="Garamond" w:hAnsi="Garamond"/>
          <w:b/>
          <w:i/>
          <w:sz w:val="24"/>
          <w:szCs w:val="24"/>
        </w:rPr>
        <w:t xml:space="preserve"> </w:t>
      </w:r>
      <w:r w:rsidR="00B14017" w:rsidRPr="00D104B7">
        <w:rPr>
          <w:rFonts w:ascii="Garamond" w:hAnsi="Garamond"/>
          <w:b/>
          <w:i/>
          <w:sz w:val="24"/>
          <w:szCs w:val="24"/>
        </w:rPr>
        <w:t>This is the third week you say you are sending out post cards and emails, not the second. Are these the same as those sent out in Week 2 or Week 3?</w:t>
      </w:r>
    </w:p>
    <w:p w:rsidR="00201C27" w:rsidRPr="00201C27" w:rsidRDefault="006A59F9" w:rsidP="00201C27">
      <w:pPr>
        <w:rPr>
          <w:rFonts w:ascii="Garamond" w:hAnsi="Garamond"/>
          <w:sz w:val="24"/>
          <w:szCs w:val="24"/>
        </w:rPr>
      </w:pPr>
      <w:r>
        <w:rPr>
          <w:rFonts w:ascii="Garamond" w:hAnsi="Garamond"/>
          <w:sz w:val="24"/>
          <w:szCs w:val="24"/>
        </w:rPr>
        <w:t>We have clarified the schedule. One week after the initial mailing, during Week 2 of the data collection, we will send out reminders either by email or regular mail depending on whether we have valid email addresses for the SFA Director. During Week 3 we will we will send another round of reminder emails and postcards. During Week 4 we will contact SFA Directors by telephone</w:t>
      </w:r>
      <w:r w:rsidR="000B4EA1">
        <w:rPr>
          <w:rFonts w:ascii="Garamond" w:hAnsi="Garamond"/>
          <w:sz w:val="24"/>
          <w:szCs w:val="24"/>
        </w:rPr>
        <w:t xml:space="preserve"> to </w:t>
      </w:r>
      <w:r w:rsidR="000B4EA1">
        <w:rPr>
          <w:rFonts w:ascii="Garamond" w:hAnsi="Garamond"/>
          <w:sz w:val="24"/>
          <w:szCs w:val="24"/>
        </w:rPr>
        <w:lastRenderedPageBreak/>
        <w:t xml:space="preserve">answer any questions and remind them about the deadline for completing the survey. During Weeks 5 and 6 we will send reminder emails and postcards to all non-respondents. Additional non-response follow-up procedures will be added as needed. </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Possibly out of scope for this survey, but have you considered also collecting price data on these food sources?</w:t>
      </w:r>
    </w:p>
    <w:p w:rsidR="00201C27" w:rsidRPr="00201C27" w:rsidRDefault="003E779D" w:rsidP="00201C27">
      <w:pPr>
        <w:rPr>
          <w:rFonts w:ascii="Garamond" w:hAnsi="Garamond"/>
          <w:sz w:val="24"/>
          <w:szCs w:val="24"/>
        </w:rPr>
      </w:pPr>
      <w:r>
        <w:rPr>
          <w:rFonts w:ascii="Garamond" w:hAnsi="Garamond"/>
          <w:sz w:val="24"/>
          <w:szCs w:val="24"/>
        </w:rPr>
        <w:t xml:space="preserve">Thank you for your suggestion. This is out of scope for this study but we will take under consideration for future studies. </w:t>
      </w:r>
    </w:p>
    <w:p w:rsidR="00023E7C" w:rsidRDefault="00023E7C"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Can you be more specific about who these people are?</w:t>
      </w:r>
    </w:p>
    <w:p w:rsidR="00201C27" w:rsidRPr="00201C27" w:rsidRDefault="003E779D" w:rsidP="00201C27">
      <w:pPr>
        <w:rPr>
          <w:rFonts w:ascii="Garamond" w:hAnsi="Garamond"/>
          <w:sz w:val="24"/>
          <w:szCs w:val="24"/>
        </w:rPr>
      </w:pPr>
      <w:r>
        <w:rPr>
          <w:rFonts w:ascii="Garamond" w:hAnsi="Garamond"/>
          <w:sz w:val="24"/>
          <w:szCs w:val="24"/>
        </w:rPr>
        <w:t xml:space="preserve">Initial contact for the on-site data collection activities will be with the SFA Director or their designee. We have updated the text to reflect this clarification.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Who will be interviewed during these site visits?</w:t>
      </w:r>
    </w:p>
    <w:p w:rsidR="00201C27" w:rsidRPr="00201C27" w:rsidRDefault="003E779D" w:rsidP="00201C27">
      <w:pPr>
        <w:rPr>
          <w:rFonts w:ascii="Garamond" w:hAnsi="Garamond"/>
          <w:sz w:val="24"/>
          <w:szCs w:val="24"/>
        </w:rPr>
      </w:pPr>
      <w:r>
        <w:rPr>
          <w:rFonts w:ascii="Garamond" w:hAnsi="Garamond"/>
          <w:sz w:val="24"/>
          <w:szCs w:val="24"/>
        </w:rPr>
        <w:t>During the on-site visits we plan to conduct interviews with the School Cafeteria Managers. We have updated the text to reflect this clarification.</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publication does this reference? [5 CFR 1320.5]</w:t>
      </w:r>
    </w:p>
    <w:p w:rsidR="00201C27" w:rsidRPr="00201C27" w:rsidRDefault="00C726B6" w:rsidP="00201C27">
      <w:pPr>
        <w:rPr>
          <w:rFonts w:ascii="Garamond" w:hAnsi="Garamond"/>
          <w:sz w:val="24"/>
          <w:szCs w:val="24"/>
        </w:rPr>
      </w:pPr>
      <w:r>
        <w:rPr>
          <w:rFonts w:ascii="Garamond" w:hAnsi="Garamond"/>
          <w:sz w:val="24"/>
          <w:szCs w:val="24"/>
        </w:rPr>
        <w:t xml:space="preserve">The referenced publication is the Code of Federal Regulations, 5 CFR 1320.5. We have updated the text to reflect this clarification.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Does the pretest really take an hour longer to complete than the survey?</w:t>
      </w:r>
    </w:p>
    <w:p w:rsidR="00201C27" w:rsidRPr="00201C27" w:rsidRDefault="001B19F2" w:rsidP="00201C27">
      <w:pPr>
        <w:rPr>
          <w:rFonts w:ascii="Garamond" w:hAnsi="Garamond"/>
          <w:sz w:val="24"/>
          <w:szCs w:val="24"/>
        </w:rPr>
      </w:pPr>
      <w:r>
        <w:rPr>
          <w:rFonts w:ascii="Garamond" w:hAnsi="Garamond"/>
          <w:sz w:val="24"/>
          <w:szCs w:val="24"/>
        </w:rPr>
        <w:t xml:space="preserve">The additional time reflects </w:t>
      </w:r>
      <w:proofErr w:type="spellStart"/>
      <w:r>
        <w:rPr>
          <w:rFonts w:ascii="Garamond" w:hAnsi="Garamond"/>
          <w:sz w:val="24"/>
          <w:szCs w:val="24"/>
        </w:rPr>
        <w:t>followup</w:t>
      </w:r>
      <w:proofErr w:type="spellEnd"/>
      <w:r>
        <w:rPr>
          <w:rFonts w:ascii="Garamond" w:hAnsi="Garamond"/>
          <w:sz w:val="24"/>
          <w:szCs w:val="24"/>
        </w:rPr>
        <w:t xml:space="preserve"> discussions with pretest respondents to debrief about the survey and their responses and comments.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 xml:space="preserve">Given that this survey is </w:t>
      </w:r>
      <w:proofErr w:type="gramStart"/>
      <w:r w:rsidRPr="00D104B7">
        <w:rPr>
          <w:rFonts w:ascii="Garamond" w:hAnsi="Garamond"/>
          <w:b/>
          <w:i/>
          <w:sz w:val="24"/>
          <w:szCs w:val="24"/>
        </w:rPr>
        <w:t>~4x</w:t>
      </w:r>
      <w:proofErr w:type="gramEnd"/>
      <w:r w:rsidRPr="00D104B7">
        <w:rPr>
          <w:rFonts w:ascii="Garamond" w:hAnsi="Garamond"/>
          <w:b/>
          <w:i/>
          <w:sz w:val="24"/>
          <w:szCs w:val="24"/>
        </w:rPr>
        <w:t xml:space="preserve"> as long as the State CN Director survey, I would expect this survey to take longer to complete.</w:t>
      </w:r>
    </w:p>
    <w:p w:rsidR="00201C27" w:rsidRPr="001B19F2" w:rsidRDefault="001B19F2" w:rsidP="00201C27">
      <w:pPr>
        <w:rPr>
          <w:rFonts w:ascii="Garamond" w:hAnsi="Garamond"/>
          <w:sz w:val="24"/>
          <w:szCs w:val="24"/>
        </w:rPr>
      </w:pPr>
      <w:r>
        <w:rPr>
          <w:rFonts w:ascii="Garamond" w:hAnsi="Garamond"/>
          <w:sz w:val="24"/>
          <w:szCs w:val="24"/>
        </w:rPr>
        <w:t xml:space="preserve">We have revised the time to complete the SFA Director survey based on the results of the pretest which were not previously available.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In the previous table, you said this would take 1.75 hours to complete.</w:t>
      </w:r>
    </w:p>
    <w:p w:rsidR="00201C27" w:rsidRPr="00201C27" w:rsidRDefault="00B70014" w:rsidP="00201C27">
      <w:pPr>
        <w:rPr>
          <w:rFonts w:ascii="Garamond" w:hAnsi="Garamond"/>
          <w:sz w:val="24"/>
          <w:szCs w:val="24"/>
        </w:rPr>
      </w:pPr>
      <w:r>
        <w:rPr>
          <w:rFonts w:ascii="Garamond" w:hAnsi="Garamond"/>
          <w:sz w:val="24"/>
          <w:szCs w:val="24"/>
        </w:rPr>
        <w:t xml:space="preserve">Table A2 has been corrected.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Do you intend for the on-site data collection to end on a different day?</w:t>
      </w:r>
    </w:p>
    <w:p w:rsidR="00201C27" w:rsidRPr="00201C27" w:rsidRDefault="00B70014" w:rsidP="00201C27">
      <w:pPr>
        <w:rPr>
          <w:rFonts w:ascii="Garamond" w:hAnsi="Garamond"/>
          <w:sz w:val="24"/>
          <w:szCs w:val="24"/>
        </w:rPr>
      </w:pPr>
      <w:r>
        <w:rPr>
          <w:rFonts w:ascii="Garamond" w:hAnsi="Garamond"/>
          <w:sz w:val="24"/>
          <w:szCs w:val="24"/>
        </w:rPr>
        <w:t xml:space="preserve">We anticipate completing all data collection activities at the same time. The on-site visits must be completed prior to the end of the school year and the survey data must be completed by the end of the fiscal year.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lastRenderedPageBreak/>
        <w:t>Why would you send a reminder notice before you sent out notices to verify if they ever received the survey?</w:t>
      </w:r>
    </w:p>
    <w:p w:rsidR="00201C27" w:rsidRPr="00201C27" w:rsidRDefault="00BE2ED7" w:rsidP="00201C27">
      <w:pPr>
        <w:rPr>
          <w:rFonts w:ascii="Garamond" w:hAnsi="Garamond"/>
          <w:sz w:val="24"/>
          <w:szCs w:val="24"/>
        </w:rPr>
      </w:pPr>
      <w:r>
        <w:rPr>
          <w:rFonts w:ascii="Garamond" w:hAnsi="Garamond"/>
          <w:sz w:val="24"/>
          <w:szCs w:val="24"/>
        </w:rPr>
        <w:t xml:space="preserve">The schedule has been corrected. </w:t>
      </w:r>
    </w:p>
    <w:p w:rsidR="00023E7C"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Is this referring to total number of students? Please be specific.</w:t>
      </w:r>
    </w:p>
    <w:p w:rsidR="00201C27" w:rsidRPr="00201C27" w:rsidRDefault="00BE2ED7" w:rsidP="00201C27">
      <w:pPr>
        <w:rPr>
          <w:rFonts w:ascii="Garamond" w:hAnsi="Garamond"/>
          <w:sz w:val="24"/>
          <w:szCs w:val="24"/>
        </w:rPr>
      </w:pPr>
      <w:r>
        <w:rPr>
          <w:rFonts w:ascii="Garamond" w:hAnsi="Garamond"/>
          <w:sz w:val="24"/>
          <w:szCs w:val="24"/>
        </w:rPr>
        <w:t xml:space="preserve">Yes, the SFA size variable is based on the number of students served by the SFA. We have clarified this in the text. </w:t>
      </w:r>
    </w:p>
    <w:p w:rsidR="002F04E0"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does CCD stand for?</w:t>
      </w:r>
    </w:p>
    <w:p w:rsidR="00201C27" w:rsidRPr="00201C27" w:rsidRDefault="00BE2ED7" w:rsidP="00201C27">
      <w:pPr>
        <w:rPr>
          <w:rFonts w:ascii="Garamond" w:hAnsi="Garamond"/>
          <w:sz w:val="24"/>
          <w:szCs w:val="24"/>
        </w:rPr>
      </w:pPr>
      <w:r>
        <w:rPr>
          <w:rFonts w:ascii="Garamond" w:hAnsi="Garamond"/>
          <w:sz w:val="24"/>
          <w:szCs w:val="24"/>
        </w:rPr>
        <w:t xml:space="preserve">CCD stands for the Common Core of Data which are data collected by the National Center for Education Statistics (NCES). We have clarified this in the text. </w:t>
      </w:r>
    </w:p>
    <w:p w:rsidR="002F04E0" w:rsidRDefault="002F04E0" w:rsidP="00D104B7">
      <w:pPr>
        <w:pStyle w:val="ListParagraph"/>
        <w:numPr>
          <w:ilvl w:val="0"/>
          <w:numId w:val="1"/>
        </w:numPr>
        <w:ind w:hanging="720"/>
        <w:rPr>
          <w:rFonts w:ascii="Garamond" w:hAnsi="Garamond"/>
          <w:b/>
          <w:i/>
          <w:sz w:val="24"/>
          <w:szCs w:val="24"/>
        </w:rPr>
      </w:pPr>
      <w:r w:rsidRPr="00D104B7">
        <w:rPr>
          <w:rFonts w:ascii="Garamond" w:hAnsi="Garamond"/>
          <w:b/>
          <w:i/>
          <w:sz w:val="24"/>
          <w:szCs w:val="24"/>
        </w:rPr>
        <w:t>What adult meals? The programs in question only serve children.</w:t>
      </w:r>
    </w:p>
    <w:p w:rsidR="00201C27" w:rsidRPr="00201C27" w:rsidRDefault="00BE2ED7" w:rsidP="00201C27">
      <w:pPr>
        <w:rPr>
          <w:rFonts w:ascii="Garamond" w:hAnsi="Garamond"/>
          <w:sz w:val="24"/>
          <w:szCs w:val="24"/>
        </w:rPr>
      </w:pPr>
      <w:r>
        <w:rPr>
          <w:rFonts w:ascii="Garamond" w:hAnsi="Garamond"/>
          <w:sz w:val="24"/>
          <w:szCs w:val="24"/>
        </w:rPr>
        <w:t xml:space="preserve">While it is correct that the NSLP and SBP programs </w:t>
      </w:r>
      <w:r w:rsidR="007F2668">
        <w:rPr>
          <w:rFonts w:ascii="Garamond" w:hAnsi="Garamond"/>
          <w:sz w:val="24"/>
          <w:szCs w:val="24"/>
        </w:rPr>
        <w:t xml:space="preserve">only </w:t>
      </w:r>
      <w:r>
        <w:rPr>
          <w:rFonts w:ascii="Garamond" w:hAnsi="Garamond"/>
          <w:sz w:val="24"/>
          <w:szCs w:val="24"/>
        </w:rPr>
        <w:t xml:space="preserve">serve children the SFAs also provide meals to adults. It is important for FNS to understand the prices charged for </w:t>
      </w:r>
      <w:r w:rsidR="007F2668">
        <w:rPr>
          <w:rFonts w:ascii="Garamond" w:hAnsi="Garamond"/>
          <w:sz w:val="24"/>
          <w:szCs w:val="24"/>
        </w:rPr>
        <w:t xml:space="preserve">non-student meals since these meals are not subsidized and should not be less than the cost to produce the meal. </w:t>
      </w:r>
    </w:p>
    <w:p w:rsidR="00201C27" w:rsidRPr="00201C27" w:rsidRDefault="00201C27" w:rsidP="00201C27">
      <w:pPr>
        <w:rPr>
          <w:rFonts w:ascii="Garamond" w:hAnsi="Garamond"/>
          <w:sz w:val="24"/>
          <w:szCs w:val="24"/>
        </w:rPr>
      </w:pPr>
    </w:p>
    <w:p w:rsidR="002F04E0" w:rsidRPr="00B72E46" w:rsidRDefault="002F04E0">
      <w:pPr>
        <w:rPr>
          <w:rFonts w:ascii="Garamond" w:hAnsi="Garamond"/>
          <w:b/>
          <w:sz w:val="24"/>
          <w:szCs w:val="24"/>
          <w:u w:val="single"/>
        </w:rPr>
      </w:pPr>
      <w:r w:rsidRPr="00B72E46">
        <w:rPr>
          <w:rFonts w:ascii="Garamond" w:hAnsi="Garamond"/>
          <w:b/>
          <w:sz w:val="24"/>
          <w:szCs w:val="24"/>
          <w:u w:val="single"/>
        </w:rPr>
        <w:t>Part B</w:t>
      </w:r>
    </w:p>
    <w:p w:rsidR="002F04E0" w:rsidRDefault="002F04E0" w:rsidP="003F2852">
      <w:pPr>
        <w:pStyle w:val="ListParagraph"/>
        <w:numPr>
          <w:ilvl w:val="0"/>
          <w:numId w:val="9"/>
        </w:numPr>
        <w:ind w:hanging="720"/>
        <w:rPr>
          <w:rFonts w:ascii="Garamond" w:hAnsi="Garamond"/>
          <w:b/>
          <w:i/>
          <w:sz w:val="24"/>
          <w:szCs w:val="24"/>
        </w:rPr>
      </w:pPr>
      <w:r w:rsidRPr="00B72E46">
        <w:rPr>
          <w:rFonts w:ascii="Garamond" w:hAnsi="Garamond"/>
          <w:b/>
          <w:i/>
          <w:sz w:val="24"/>
          <w:szCs w:val="24"/>
        </w:rPr>
        <w:t>Please define what states are included in each region.</w:t>
      </w:r>
    </w:p>
    <w:p w:rsidR="004D6D7B" w:rsidRDefault="00B72E46" w:rsidP="00B72E46">
      <w:pPr>
        <w:rPr>
          <w:rFonts w:ascii="Garamond" w:hAnsi="Garamond"/>
          <w:sz w:val="24"/>
          <w:szCs w:val="24"/>
        </w:rPr>
      </w:pPr>
      <w:r w:rsidRPr="00B72E46">
        <w:rPr>
          <w:rFonts w:ascii="Garamond" w:hAnsi="Garamond"/>
          <w:sz w:val="24"/>
          <w:szCs w:val="24"/>
        </w:rPr>
        <w:t xml:space="preserve">We have added a list of the seven regions and the states within each region. </w:t>
      </w:r>
    </w:p>
    <w:p w:rsidR="00B72E46" w:rsidRPr="00B72E46" w:rsidRDefault="00B72E46" w:rsidP="004D6D7B">
      <w:pPr>
        <w:ind w:left="720"/>
        <w:rPr>
          <w:rFonts w:ascii="Garamond" w:hAnsi="Garamond"/>
          <w:sz w:val="24"/>
          <w:szCs w:val="24"/>
        </w:rPr>
      </w:pPr>
      <w:r w:rsidRPr="00B72E46">
        <w:rPr>
          <w:rFonts w:ascii="Garamond" w:hAnsi="Garamond"/>
          <w:sz w:val="24"/>
          <w:szCs w:val="24"/>
        </w:rPr>
        <w:t>The seven regions (and states) are: Northeast (CT, ME, MA, NH, NY, RI, VT), Mid-Atlantic (DE, DC, MD, NJ, PA, PR, VA, VI, WV), Southeast (AL, FL, GA, KY, MS, NC, SC, TN), Midwest (IL, IN, MI, MN, OH, WI), Southwest (AR, LA, NM, OK, TX), Mountain Plains (CO, IA, KS, MO, MT, NE, ND, SD, UT, WY), and Western (AK, AZ, CA, GU, HI, ID, NV, OR, WA).</w:t>
      </w:r>
    </w:p>
    <w:p w:rsidR="002F04E0" w:rsidRDefault="002F04E0" w:rsidP="003F2852">
      <w:pPr>
        <w:pStyle w:val="ListParagraph"/>
        <w:numPr>
          <w:ilvl w:val="0"/>
          <w:numId w:val="9"/>
        </w:numPr>
        <w:ind w:hanging="720"/>
        <w:rPr>
          <w:rFonts w:ascii="Garamond" w:hAnsi="Garamond"/>
          <w:b/>
          <w:i/>
          <w:sz w:val="24"/>
          <w:szCs w:val="24"/>
        </w:rPr>
      </w:pPr>
      <w:r w:rsidRPr="00B72E46">
        <w:rPr>
          <w:rFonts w:ascii="Garamond" w:hAnsi="Garamond"/>
          <w:b/>
          <w:i/>
          <w:sz w:val="24"/>
          <w:szCs w:val="24"/>
        </w:rPr>
        <w:t>How do you define elementary and secondary schools?</w:t>
      </w:r>
    </w:p>
    <w:p w:rsidR="004D6D7B" w:rsidRDefault="00DA4DE5" w:rsidP="00B72E46">
      <w:pPr>
        <w:rPr>
          <w:rFonts w:ascii="Garamond" w:hAnsi="Garamond"/>
          <w:sz w:val="24"/>
          <w:szCs w:val="24"/>
        </w:rPr>
      </w:pPr>
      <w:r>
        <w:rPr>
          <w:rFonts w:ascii="Garamond" w:hAnsi="Garamond"/>
          <w:sz w:val="24"/>
          <w:szCs w:val="24"/>
        </w:rPr>
        <w:t xml:space="preserve">We have added the criteria used to define elementary and secondary schools. </w:t>
      </w:r>
    </w:p>
    <w:p w:rsidR="00B72E46" w:rsidRPr="00DA4DE5" w:rsidRDefault="00DA4DE5" w:rsidP="004D6D7B">
      <w:pPr>
        <w:ind w:left="720"/>
        <w:rPr>
          <w:rFonts w:ascii="Garamond" w:hAnsi="Garamond"/>
          <w:sz w:val="24"/>
          <w:szCs w:val="24"/>
        </w:rPr>
      </w:pPr>
      <w:r w:rsidRPr="00DA4DE5">
        <w:rPr>
          <w:rFonts w:ascii="Garamond" w:hAnsi="Garamond"/>
          <w:sz w:val="24"/>
          <w:szCs w:val="24"/>
        </w:rPr>
        <w:t>Elementary school is defined as any school with any span of grades from kindergarten through grade 6. Middle or junior high school is defined as any school that has no grade lower than grade 6 and no grade higher than grade 9. High school is defined as any school that has no grade lower than grade 9 and continues through grade 12. Schools that do not fit these definitions are categorized as “other.”</w:t>
      </w:r>
    </w:p>
    <w:p w:rsidR="00A24E3C" w:rsidRDefault="00A24E3C">
      <w:pPr>
        <w:rPr>
          <w:rFonts w:ascii="Garamond" w:hAnsi="Garamond"/>
          <w:b/>
          <w:i/>
          <w:sz w:val="24"/>
          <w:szCs w:val="24"/>
        </w:rPr>
      </w:pPr>
      <w:r>
        <w:rPr>
          <w:rFonts w:ascii="Garamond" w:hAnsi="Garamond"/>
          <w:b/>
          <w:i/>
          <w:sz w:val="24"/>
          <w:szCs w:val="24"/>
        </w:rPr>
        <w:br w:type="page"/>
      </w:r>
    </w:p>
    <w:p w:rsidR="002F04E0" w:rsidRDefault="002F04E0" w:rsidP="003F2852">
      <w:pPr>
        <w:pStyle w:val="ListParagraph"/>
        <w:numPr>
          <w:ilvl w:val="0"/>
          <w:numId w:val="9"/>
        </w:numPr>
        <w:ind w:hanging="720"/>
        <w:rPr>
          <w:rFonts w:ascii="Garamond" w:hAnsi="Garamond"/>
          <w:b/>
          <w:i/>
          <w:sz w:val="24"/>
          <w:szCs w:val="24"/>
        </w:rPr>
      </w:pPr>
      <w:r w:rsidRPr="00B72E46">
        <w:rPr>
          <w:rFonts w:ascii="Garamond" w:hAnsi="Garamond"/>
          <w:b/>
          <w:i/>
          <w:sz w:val="24"/>
          <w:szCs w:val="24"/>
        </w:rPr>
        <w:lastRenderedPageBreak/>
        <w:t>Please recheck all numbers in this table and in the above paragraph. There seem to be several addition errors.</w:t>
      </w:r>
    </w:p>
    <w:p w:rsidR="00B72E46" w:rsidRPr="00B72E46" w:rsidRDefault="006A6201" w:rsidP="00B72E46">
      <w:pPr>
        <w:rPr>
          <w:rFonts w:ascii="Garamond" w:hAnsi="Garamond"/>
          <w:sz w:val="24"/>
          <w:szCs w:val="24"/>
        </w:rPr>
      </w:pPr>
      <w:r>
        <w:rPr>
          <w:rFonts w:ascii="Garamond" w:hAnsi="Garamond"/>
          <w:sz w:val="24"/>
          <w:szCs w:val="24"/>
        </w:rPr>
        <w:t xml:space="preserve">We have reviewed the table and adjusted the numbers to eliminate the apparent addition errors which were due to rounding. </w:t>
      </w:r>
    </w:p>
    <w:p w:rsidR="002F04E0" w:rsidRDefault="002F04E0" w:rsidP="003F2852">
      <w:pPr>
        <w:pStyle w:val="CommentText"/>
        <w:numPr>
          <w:ilvl w:val="0"/>
          <w:numId w:val="9"/>
        </w:numPr>
        <w:ind w:hanging="720"/>
        <w:rPr>
          <w:rFonts w:ascii="Garamond" w:hAnsi="Garamond"/>
          <w:b/>
          <w:i/>
          <w:sz w:val="24"/>
          <w:szCs w:val="24"/>
        </w:rPr>
      </w:pPr>
      <w:r w:rsidRPr="00B72E46">
        <w:rPr>
          <w:rFonts w:ascii="Garamond" w:hAnsi="Garamond"/>
          <w:b/>
          <w:i/>
          <w:sz w:val="24"/>
          <w:szCs w:val="24"/>
        </w:rPr>
        <w:t>How do you define these school types?</w:t>
      </w:r>
    </w:p>
    <w:p w:rsidR="002F04E0" w:rsidRDefault="002F04E0" w:rsidP="003F2852">
      <w:pPr>
        <w:pStyle w:val="ListParagraph"/>
        <w:numPr>
          <w:ilvl w:val="0"/>
          <w:numId w:val="9"/>
        </w:numPr>
        <w:ind w:hanging="720"/>
        <w:rPr>
          <w:rFonts w:ascii="Garamond" w:hAnsi="Garamond"/>
          <w:b/>
          <w:i/>
          <w:sz w:val="24"/>
          <w:szCs w:val="24"/>
        </w:rPr>
      </w:pPr>
      <w:r w:rsidRPr="00B72E46">
        <w:rPr>
          <w:rFonts w:ascii="Garamond" w:hAnsi="Garamond"/>
          <w:b/>
          <w:i/>
          <w:sz w:val="24"/>
          <w:szCs w:val="24"/>
        </w:rPr>
        <w:t>Can you be more specific? [about call attempts]</w:t>
      </w:r>
    </w:p>
    <w:p w:rsidR="00B72E46" w:rsidRPr="00B72E46" w:rsidRDefault="004F7E9A" w:rsidP="00B72E46">
      <w:pPr>
        <w:rPr>
          <w:rFonts w:ascii="Garamond" w:hAnsi="Garamond"/>
          <w:sz w:val="24"/>
          <w:szCs w:val="24"/>
        </w:rPr>
      </w:pPr>
      <w:r>
        <w:rPr>
          <w:rFonts w:ascii="Garamond" w:hAnsi="Garamond"/>
          <w:sz w:val="24"/>
          <w:szCs w:val="24"/>
        </w:rPr>
        <w:t xml:space="preserve">We have clarified that we will make 6 call attempts before we consider whether to treat a case as “unable to contact.” </w:t>
      </w:r>
    </w:p>
    <w:p w:rsidR="002F04E0" w:rsidRPr="00E52F47" w:rsidRDefault="002F04E0">
      <w:pPr>
        <w:rPr>
          <w:rFonts w:ascii="Garamond" w:hAnsi="Garamond"/>
          <w:b/>
          <w:sz w:val="24"/>
          <w:szCs w:val="24"/>
        </w:rPr>
      </w:pPr>
    </w:p>
    <w:p w:rsidR="009C15E9" w:rsidRPr="00F5427A" w:rsidRDefault="009C15E9">
      <w:pPr>
        <w:rPr>
          <w:rFonts w:ascii="Garamond" w:hAnsi="Garamond"/>
          <w:b/>
          <w:sz w:val="24"/>
          <w:szCs w:val="24"/>
          <w:u w:val="single"/>
        </w:rPr>
      </w:pPr>
      <w:r w:rsidRPr="00F5427A">
        <w:rPr>
          <w:rFonts w:ascii="Garamond" w:hAnsi="Garamond"/>
          <w:b/>
          <w:sz w:val="24"/>
          <w:szCs w:val="24"/>
          <w:u w:val="single"/>
        </w:rPr>
        <w:t xml:space="preserve">Appendix A </w:t>
      </w:r>
    </w:p>
    <w:p w:rsidR="002F04E0" w:rsidRPr="00F5427A" w:rsidRDefault="00AF59AA" w:rsidP="003F2852">
      <w:pPr>
        <w:pStyle w:val="ListParagraph"/>
        <w:numPr>
          <w:ilvl w:val="0"/>
          <w:numId w:val="8"/>
        </w:numPr>
        <w:ind w:hanging="720"/>
        <w:rPr>
          <w:rFonts w:ascii="Garamond" w:hAnsi="Garamond"/>
          <w:b/>
          <w:i/>
          <w:sz w:val="24"/>
          <w:szCs w:val="24"/>
        </w:rPr>
      </w:pPr>
      <w:r w:rsidRPr="00F5427A">
        <w:rPr>
          <w:rFonts w:ascii="Garamond" w:hAnsi="Garamond"/>
          <w:b/>
          <w:i/>
          <w:sz w:val="24"/>
          <w:szCs w:val="24"/>
        </w:rPr>
        <w:t>Please include a copy of this questionnaire with your docket</w:t>
      </w:r>
      <w:r w:rsidR="00860760" w:rsidRPr="00F5427A">
        <w:rPr>
          <w:rFonts w:ascii="Garamond" w:hAnsi="Garamond"/>
          <w:b/>
          <w:i/>
          <w:sz w:val="24"/>
          <w:szCs w:val="24"/>
        </w:rPr>
        <w:t>.</w:t>
      </w:r>
    </w:p>
    <w:p w:rsidR="00F5427A" w:rsidRDefault="00E869AE" w:rsidP="00F5427A">
      <w:pPr>
        <w:rPr>
          <w:rFonts w:ascii="Garamond" w:hAnsi="Garamond"/>
          <w:sz w:val="24"/>
          <w:szCs w:val="24"/>
        </w:rPr>
      </w:pPr>
      <w:r>
        <w:rPr>
          <w:rFonts w:ascii="Garamond" w:hAnsi="Garamond"/>
          <w:sz w:val="24"/>
          <w:szCs w:val="24"/>
        </w:rPr>
        <w:t>We have</w:t>
      </w:r>
      <w:r w:rsidR="00B21470">
        <w:rPr>
          <w:rFonts w:ascii="Garamond" w:hAnsi="Garamond"/>
          <w:sz w:val="24"/>
          <w:szCs w:val="24"/>
        </w:rPr>
        <w:t xml:space="preserve"> not</w:t>
      </w:r>
      <w:r>
        <w:rPr>
          <w:rFonts w:ascii="Garamond" w:hAnsi="Garamond"/>
          <w:sz w:val="24"/>
          <w:szCs w:val="24"/>
        </w:rPr>
        <w:t xml:space="preserve"> included a copy of the 2011-12 State C</w:t>
      </w:r>
      <w:r w:rsidR="00B21470">
        <w:rPr>
          <w:rFonts w:ascii="Garamond" w:hAnsi="Garamond"/>
          <w:sz w:val="24"/>
          <w:szCs w:val="24"/>
        </w:rPr>
        <w:t>hild Nutrition Director Survey because it is already available on-line.</w:t>
      </w:r>
    </w:p>
    <w:p w:rsidR="009C15E9" w:rsidRPr="00F5427A" w:rsidRDefault="009C15E9">
      <w:pPr>
        <w:rPr>
          <w:rFonts w:ascii="Garamond" w:hAnsi="Garamond"/>
          <w:b/>
          <w:sz w:val="24"/>
          <w:szCs w:val="24"/>
          <w:u w:val="single"/>
        </w:rPr>
      </w:pPr>
      <w:r w:rsidRPr="00F5427A">
        <w:rPr>
          <w:rFonts w:ascii="Garamond" w:hAnsi="Garamond"/>
          <w:b/>
          <w:sz w:val="24"/>
          <w:szCs w:val="24"/>
          <w:u w:val="single"/>
        </w:rPr>
        <w:t>Appendix B</w:t>
      </w:r>
    </w:p>
    <w:p w:rsidR="009C15E9" w:rsidRDefault="009C15E9" w:rsidP="003F2852">
      <w:pPr>
        <w:pStyle w:val="ListParagraph"/>
        <w:numPr>
          <w:ilvl w:val="0"/>
          <w:numId w:val="7"/>
        </w:numPr>
        <w:ind w:hanging="720"/>
        <w:rPr>
          <w:rFonts w:ascii="Garamond" w:hAnsi="Garamond"/>
          <w:b/>
          <w:i/>
          <w:sz w:val="24"/>
          <w:szCs w:val="24"/>
        </w:rPr>
      </w:pPr>
      <w:r w:rsidRPr="00F5427A">
        <w:rPr>
          <w:rFonts w:ascii="Garamond" w:hAnsi="Garamond"/>
          <w:b/>
          <w:i/>
          <w:sz w:val="24"/>
          <w:szCs w:val="24"/>
        </w:rPr>
        <w:t>Please include a copy of this questionnaire with your docket.</w:t>
      </w:r>
    </w:p>
    <w:p w:rsidR="00E869AE" w:rsidRPr="00E869AE" w:rsidRDefault="00E869AE" w:rsidP="00E869AE">
      <w:pPr>
        <w:rPr>
          <w:rFonts w:ascii="Garamond" w:hAnsi="Garamond"/>
          <w:sz w:val="24"/>
          <w:szCs w:val="24"/>
        </w:rPr>
      </w:pPr>
      <w:r w:rsidRPr="00E869AE">
        <w:rPr>
          <w:rFonts w:ascii="Garamond" w:hAnsi="Garamond"/>
          <w:sz w:val="24"/>
          <w:szCs w:val="24"/>
        </w:rPr>
        <w:t>We have</w:t>
      </w:r>
      <w:r w:rsidR="00B21470">
        <w:rPr>
          <w:rFonts w:ascii="Garamond" w:hAnsi="Garamond"/>
          <w:sz w:val="24"/>
          <w:szCs w:val="24"/>
        </w:rPr>
        <w:t xml:space="preserve"> not</w:t>
      </w:r>
      <w:r w:rsidRPr="00E869AE">
        <w:rPr>
          <w:rFonts w:ascii="Garamond" w:hAnsi="Garamond"/>
          <w:sz w:val="24"/>
          <w:szCs w:val="24"/>
        </w:rPr>
        <w:t xml:space="preserve"> included a copy of the 2011-12 </w:t>
      </w:r>
      <w:r>
        <w:rPr>
          <w:rFonts w:ascii="Garamond" w:hAnsi="Garamond"/>
          <w:sz w:val="24"/>
          <w:szCs w:val="24"/>
        </w:rPr>
        <w:t>SFA</w:t>
      </w:r>
      <w:r w:rsidR="00B21470">
        <w:rPr>
          <w:rFonts w:ascii="Garamond" w:hAnsi="Garamond"/>
          <w:sz w:val="24"/>
          <w:szCs w:val="24"/>
        </w:rPr>
        <w:t xml:space="preserve"> Director Survey because it is already on-line.</w:t>
      </w:r>
      <w:r w:rsidRPr="00E869AE">
        <w:rPr>
          <w:rFonts w:ascii="Garamond" w:hAnsi="Garamond"/>
          <w:sz w:val="24"/>
          <w:szCs w:val="24"/>
        </w:rPr>
        <w:t xml:space="preserve"> </w:t>
      </w:r>
    </w:p>
    <w:p w:rsidR="002F04E0" w:rsidRDefault="00860760" w:rsidP="003F2852">
      <w:pPr>
        <w:pStyle w:val="ListParagraph"/>
        <w:numPr>
          <w:ilvl w:val="0"/>
          <w:numId w:val="7"/>
        </w:numPr>
        <w:ind w:hanging="720"/>
        <w:rPr>
          <w:rFonts w:ascii="Garamond" w:hAnsi="Garamond"/>
          <w:b/>
          <w:i/>
          <w:sz w:val="24"/>
          <w:szCs w:val="24"/>
        </w:rPr>
      </w:pPr>
      <w:r w:rsidRPr="00F5427A">
        <w:rPr>
          <w:rFonts w:ascii="Garamond" w:hAnsi="Garamond"/>
          <w:b/>
          <w:i/>
          <w:sz w:val="24"/>
          <w:szCs w:val="24"/>
        </w:rPr>
        <w:t>Isn’t 2.1a included in 2.1(a-e)? Is one of these question numbers a typo?</w:t>
      </w:r>
    </w:p>
    <w:p w:rsidR="00E869AE" w:rsidRPr="00E869AE" w:rsidRDefault="00E869AE" w:rsidP="00E869AE">
      <w:pPr>
        <w:rPr>
          <w:rFonts w:ascii="Garamond" w:hAnsi="Garamond"/>
          <w:sz w:val="24"/>
          <w:szCs w:val="24"/>
        </w:rPr>
      </w:pPr>
      <w:r>
        <w:rPr>
          <w:rFonts w:ascii="Garamond" w:hAnsi="Garamond"/>
          <w:sz w:val="24"/>
          <w:szCs w:val="24"/>
        </w:rPr>
        <w:t xml:space="preserve">We apologize for the confusion. Q2.1a was an open-ended question that appeared after </w:t>
      </w:r>
      <w:proofErr w:type="gramStart"/>
      <w:r>
        <w:rPr>
          <w:rFonts w:ascii="Garamond" w:hAnsi="Garamond"/>
          <w:sz w:val="24"/>
          <w:szCs w:val="24"/>
        </w:rPr>
        <w:t>Q2.1(</w:t>
      </w:r>
      <w:proofErr w:type="gramEnd"/>
      <w:r>
        <w:rPr>
          <w:rFonts w:ascii="Garamond" w:hAnsi="Garamond"/>
          <w:sz w:val="24"/>
          <w:szCs w:val="24"/>
        </w:rPr>
        <w:t xml:space="preserve">a) in the table. </w:t>
      </w:r>
    </w:p>
    <w:p w:rsidR="002F04E0" w:rsidRPr="00F5427A" w:rsidRDefault="00860760" w:rsidP="003F2852">
      <w:pPr>
        <w:pStyle w:val="ListParagraph"/>
        <w:numPr>
          <w:ilvl w:val="0"/>
          <w:numId w:val="7"/>
        </w:numPr>
        <w:ind w:hanging="720"/>
        <w:rPr>
          <w:rFonts w:ascii="Garamond" w:hAnsi="Garamond"/>
          <w:b/>
          <w:i/>
          <w:sz w:val="24"/>
          <w:szCs w:val="24"/>
        </w:rPr>
      </w:pPr>
      <w:r w:rsidRPr="00F5427A">
        <w:rPr>
          <w:rFonts w:ascii="Garamond" w:hAnsi="Garamond"/>
          <w:b/>
          <w:i/>
          <w:sz w:val="24"/>
          <w:szCs w:val="24"/>
        </w:rPr>
        <w:t xml:space="preserve">Similar to Q5.1 from the 2012-13 </w:t>
      </w:r>
      <w:proofErr w:type="gramStart"/>
      <w:r w:rsidRPr="00F5427A">
        <w:rPr>
          <w:rFonts w:ascii="Garamond" w:hAnsi="Garamond"/>
          <w:b/>
          <w:i/>
          <w:sz w:val="24"/>
          <w:szCs w:val="24"/>
        </w:rPr>
        <w:t>questionnaire</w:t>
      </w:r>
      <w:proofErr w:type="gramEnd"/>
      <w:r w:rsidRPr="00F5427A">
        <w:rPr>
          <w:rFonts w:ascii="Garamond" w:hAnsi="Garamond"/>
          <w:b/>
          <w:i/>
          <w:sz w:val="24"/>
          <w:szCs w:val="24"/>
        </w:rPr>
        <w:t xml:space="preserve"> or from the 2011-2012 questionnaire?</w:t>
      </w:r>
    </w:p>
    <w:p w:rsidR="00CF1144" w:rsidRPr="00E52F47" w:rsidRDefault="00126E58">
      <w:pPr>
        <w:rPr>
          <w:rFonts w:ascii="Garamond" w:hAnsi="Garamond"/>
          <w:sz w:val="24"/>
          <w:szCs w:val="24"/>
        </w:rPr>
      </w:pPr>
      <w:r>
        <w:rPr>
          <w:rFonts w:ascii="Garamond" w:hAnsi="Garamond"/>
          <w:sz w:val="24"/>
          <w:szCs w:val="24"/>
        </w:rPr>
        <w:t xml:space="preserve">Q6.4 from the 2012-13 </w:t>
      </w:r>
      <w:proofErr w:type="gramStart"/>
      <w:r>
        <w:rPr>
          <w:rFonts w:ascii="Garamond" w:hAnsi="Garamond"/>
          <w:sz w:val="24"/>
          <w:szCs w:val="24"/>
        </w:rPr>
        <w:t>questionnaire</w:t>
      </w:r>
      <w:proofErr w:type="gramEnd"/>
      <w:r>
        <w:rPr>
          <w:rFonts w:ascii="Garamond" w:hAnsi="Garamond"/>
          <w:sz w:val="24"/>
          <w:szCs w:val="24"/>
        </w:rPr>
        <w:t xml:space="preserve"> is a new question although it is similar to Q5.1 from the 2011-12 questionnaire. We have updated the table to reflect this clarification. </w:t>
      </w:r>
    </w:p>
    <w:p w:rsidR="00CF1144" w:rsidRPr="00F5427A" w:rsidRDefault="00CF1144">
      <w:pPr>
        <w:rPr>
          <w:rFonts w:ascii="Garamond" w:hAnsi="Garamond"/>
          <w:b/>
          <w:sz w:val="24"/>
          <w:szCs w:val="24"/>
          <w:u w:val="single"/>
        </w:rPr>
      </w:pPr>
      <w:r w:rsidRPr="00F5427A">
        <w:rPr>
          <w:rFonts w:ascii="Garamond" w:hAnsi="Garamond"/>
          <w:b/>
          <w:sz w:val="24"/>
          <w:szCs w:val="24"/>
          <w:u w:val="single"/>
        </w:rPr>
        <w:t>Appendix C</w:t>
      </w:r>
    </w:p>
    <w:p w:rsidR="002F04E0" w:rsidRDefault="00860760" w:rsidP="003F2852">
      <w:pPr>
        <w:pStyle w:val="ListParagraph"/>
        <w:numPr>
          <w:ilvl w:val="0"/>
          <w:numId w:val="6"/>
        </w:numPr>
        <w:ind w:hanging="720"/>
        <w:rPr>
          <w:rFonts w:ascii="Garamond" w:hAnsi="Garamond"/>
          <w:b/>
          <w:i/>
          <w:sz w:val="24"/>
          <w:szCs w:val="24"/>
        </w:rPr>
      </w:pPr>
      <w:r w:rsidRPr="00F5427A">
        <w:rPr>
          <w:rFonts w:ascii="Garamond" w:hAnsi="Garamond"/>
          <w:b/>
          <w:i/>
          <w:sz w:val="24"/>
          <w:szCs w:val="24"/>
        </w:rPr>
        <w:t xml:space="preserve">Does the </w:t>
      </w:r>
      <w:r w:rsidR="008B58FA">
        <w:rPr>
          <w:rFonts w:ascii="Garamond" w:hAnsi="Garamond"/>
          <w:b/>
          <w:i/>
          <w:sz w:val="24"/>
          <w:szCs w:val="24"/>
        </w:rPr>
        <w:t xml:space="preserve">[local wellness] </w:t>
      </w:r>
      <w:r w:rsidRPr="00F5427A">
        <w:rPr>
          <w:rFonts w:ascii="Garamond" w:hAnsi="Garamond"/>
          <w:b/>
          <w:i/>
          <w:sz w:val="24"/>
          <w:szCs w:val="24"/>
        </w:rPr>
        <w:t>policy dictate any specific foods cannot be ordered?</w:t>
      </w:r>
      <w:r w:rsidR="00CF1144" w:rsidRPr="00F5427A">
        <w:rPr>
          <w:rFonts w:ascii="Garamond" w:hAnsi="Garamond"/>
          <w:b/>
          <w:i/>
          <w:sz w:val="24"/>
          <w:szCs w:val="24"/>
        </w:rPr>
        <w:t xml:space="preserve"> </w:t>
      </w:r>
    </w:p>
    <w:p w:rsidR="00F060B6" w:rsidRPr="002F7489" w:rsidRDefault="00B71AE4" w:rsidP="00F060B6">
      <w:pPr>
        <w:rPr>
          <w:rFonts w:ascii="Garamond" w:hAnsi="Garamond"/>
          <w:sz w:val="24"/>
          <w:szCs w:val="24"/>
        </w:rPr>
      </w:pPr>
      <w:r>
        <w:rPr>
          <w:rFonts w:ascii="Garamond" w:hAnsi="Garamond"/>
          <w:sz w:val="24"/>
          <w:szCs w:val="24"/>
        </w:rPr>
        <w:t xml:space="preserve">We are interested in collecting information about the foods that can be ordered. </w:t>
      </w:r>
      <w:r w:rsidR="008B58FA">
        <w:rPr>
          <w:rFonts w:ascii="Garamond" w:hAnsi="Garamond"/>
          <w:sz w:val="24"/>
          <w:szCs w:val="24"/>
        </w:rPr>
        <w:t xml:space="preserve"> </w:t>
      </w:r>
    </w:p>
    <w:p w:rsidR="00A24E3C" w:rsidRDefault="00A24E3C">
      <w:pPr>
        <w:rPr>
          <w:rFonts w:ascii="Garamond" w:hAnsi="Garamond"/>
          <w:b/>
          <w:i/>
          <w:sz w:val="24"/>
          <w:szCs w:val="24"/>
        </w:rPr>
      </w:pPr>
      <w:r>
        <w:rPr>
          <w:rFonts w:ascii="Garamond" w:hAnsi="Garamond"/>
          <w:b/>
          <w:i/>
          <w:sz w:val="24"/>
          <w:szCs w:val="24"/>
        </w:rPr>
        <w:br w:type="page"/>
      </w:r>
    </w:p>
    <w:p w:rsidR="00CF1144" w:rsidRDefault="00CF1144" w:rsidP="003F2852">
      <w:pPr>
        <w:pStyle w:val="ListParagraph"/>
        <w:numPr>
          <w:ilvl w:val="0"/>
          <w:numId w:val="6"/>
        </w:numPr>
        <w:ind w:hanging="720"/>
        <w:rPr>
          <w:rFonts w:ascii="Garamond" w:hAnsi="Garamond"/>
          <w:b/>
          <w:i/>
          <w:sz w:val="24"/>
          <w:szCs w:val="24"/>
        </w:rPr>
      </w:pPr>
      <w:r w:rsidRPr="00F5427A">
        <w:rPr>
          <w:rFonts w:ascii="Garamond" w:hAnsi="Garamond"/>
          <w:b/>
          <w:i/>
          <w:sz w:val="24"/>
          <w:szCs w:val="24"/>
        </w:rPr>
        <w:lastRenderedPageBreak/>
        <w:t>If they don’t know the current average sodium content, why would they work to reduce it? They don’t know if it’s too high.</w:t>
      </w:r>
    </w:p>
    <w:p w:rsidR="002F7489" w:rsidRPr="002F7489" w:rsidRDefault="00E139C9" w:rsidP="002F7489">
      <w:pPr>
        <w:rPr>
          <w:rFonts w:ascii="Garamond" w:hAnsi="Garamond"/>
          <w:sz w:val="24"/>
          <w:szCs w:val="24"/>
        </w:rPr>
      </w:pPr>
      <w:r>
        <w:rPr>
          <w:rFonts w:ascii="Garamond" w:hAnsi="Garamond"/>
          <w:sz w:val="24"/>
          <w:szCs w:val="24"/>
        </w:rPr>
        <w:t xml:space="preserve">While the SFA may not know the exact sodium content most are aware that sodium contents are too high and will work to reduce while also working to determine the exact sodium contents. </w:t>
      </w:r>
    </w:p>
    <w:p w:rsidR="00CF1144" w:rsidRDefault="00CF1144" w:rsidP="003F2852">
      <w:pPr>
        <w:pStyle w:val="CommentText"/>
        <w:numPr>
          <w:ilvl w:val="0"/>
          <w:numId w:val="6"/>
        </w:numPr>
        <w:ind w:hanging="720"/>
        <w:rPr>
          <w:rFonts w:ascii="Garamond" w:hAnsi="Garamond"/>
          <w:b/>
          <w:i/>
          <w:sz w:val="24"/>
          <w:szCs w:val="24"/>
        </w:rPr>
      </w:pPr>
      <w:r w:rsidRPr="00F5427A">
        <w:rPr>
          <w:rFonts w:ascii="Garamond" w:hAnsi="Garamond"/>
          <w:b/>
          <w:i/>
          <w:sz w:val="24"/>
          <w:szCs w:val="24"/>
        </w:rPr>
        <w:t>I thought the programs involved only served meals to children.</w:t>
      </w:r>
    </w:p>
    <w:p w:rsidR="002F7489" w:rsidRPr="002F7489" w:rsidRDefault="00483305" w:rsidP="002F7489">
      <w:pPr>
        <w:pStyle w:val="CommentText"/>
        <w:rPr>
          <w:rFonts w:ascii="Garamond" w:hAnsi="Garamond"/>
          <w:sz w:val="24"/>
          <w:szCs w:val="24"/>
        </w:rPr>
      </w:pPr>
      <w:r>
        <w:rPr>
          <w:rFonts w:ascii="Garamond" w:hAnsi="Garamond"/>
          <w:sz w:val="24"/>
          <w:szCs w:val="24"/>
        </w:rPr>
        <w:t xml:space="preserve">Please see response to Q19 under Part A. </w:t>
      </w:r>
    </w:p>
    <w:p w:rsidR="00CF1144" w:rsidRDefault="00CF1144" w:rsidP="003F2852">
      <w:pPr>
        <w:pStyle w:val="ListParagraph"/>
        <w:numPr>
          <w:ilvl w:val="0"/>
          <w:numId w:val="6"/>
        </w:numPr>
        <w:ind w:hanging="720"/>
        <w:rPr>
          <w:rFonts w:ascii="Garamond" w:hAnsi="Garamond"/>
          <w:b/>
          <w:i/>
          <w:sz w:val="24"/>
          <w:szCs w:val="24"/>
        </w:rPr>
      </w:pPr>
      <w:r w:rsidRPr="00F5427A">
        <w:rPr>
          <w:rFonts w:ascii="Garamond" w:hAnsi="Garamond"/>
          <w:b/>
          <w:i/>
          <w:sz w:val="24"/>
          <w:szCs w:val="24"/>
        </w:rPr>
        <w:t>Why are you asking about this school year? Everything else is addressing either 2011-2012 or 2012-2013.</w:t>
      </w:r>
    </w:p>
    <w:p w:rsidR="002F7489" w:rsidRPr="002F7489" w:rsidRDefault="00483305" w:rsidP="002F7489">
      <w:pPr>
        <w:rPr>
          <w:rFonts w:ascii="Garamond" w:hAnsi="Garamond"/>
          <w:sz w:val="24"/>
          <w:szCs w:val="24"/>
        </w:rPr>
      </w:pPr>
      <w:r>
        <w:rPr>
          <w:rFonts w:ascii="Garamond" w:hAnsi="Garamond"/>
          <w:sz w:val="24"/>
          <w:szCs w:val="24"/>
        </w:rPr>
        <w:t xml:space="preserve">This research question has been revised to say “Did any schools receive equipment assistance during FY 2009 through FY 2011?” During FY 2009 SFAs may have purchased equipment with American Recovery and Reinvestment Act (ARRA) funds and during FY 2010 or FY 2011 they may have received NSLP Equipment Assistance Grant Funding. </w:t>
      </w:r>
    </w:p>
    <w:p w:rsidR="00CF1144" w:rsidRDefault="00CF1144" w:rsidP="003F2852">
      <w:pPr>
        <w:pStyle w:val="ListParagraph"/>
        <w:numPr>
          <w:ilvl w:val="0"/>
          <w:numId w:val="6"/>
        </w:numPr>
        <w:ind w:hanging="720"/>
        <w:rPr>
          <w:rFonts w:ascii="Garamond" w:hAnsi="Garamond"/>
          <w:b/>
          <w:i/>
          <w:sz w:val="24"/>
          <w:szCs w:val="24"/>
        </w:rPr>
      </w:pPr>
      <w:r w:rsidRPr="00F5427A">
        <w:rPr>
          <w:rFonts w:ascii="Garamond" w:hAnsi="Garamond"/>
          <w:b/>
          <w:i/>
          <w:sz w:val="24"/>
          <w:szCs w:val="24"/>
        </w:rPr>
        <w:t>Is a district the same as an SFA?</w:t>
      </w:r>
    </w:p>
    <w:p w:rsidR="002F7489" w:rsidRPr="002F7489" w:rsidRDefault="00483305" w:rsidP="002F7489">
      <w:pPr>
        <w:rPr>
          <w:rFonts w:ascii="Garamond" w:hAnsi="Garamond"/>
          <w:sz w:val="24"/>
          <w:szCs w:val="24"/>
        </w:rPr>
      </w:pPr>
      <w:r>
        <w:rPr>
          <w:rFonts w:ascii="Garamond" w:hAnsi="Garamond"/>
          <w:sz w:val="24"/>
          <w:szCs w:val="24"/>
        </w:rPr>
        <w:t xml:space="preserve">Over 90 percent of the SFAs are synonymous with a school district. </w:t>
      </w:r>
    </w:p>
    <w:p w:rsidR="00CF1144" w:rsidRPr="00F5427A" w:rsidRDefault="009C15E9">
      <w:pPr>
        <w:rPr>
          <w:rFonts w:ascii="Garamond" w:hAnsi="Garamond"/>
          <w:b/>
          <w:sz w:val="24"/>
          <w:szCs w:val="24"/>
          <w:u w:val="single"/>
        </w:rPr>
      </w:pPr>
      <w:r w:rsidRPr="00F5427A">
        <w:rPr>
          <w:rFonts w:ascii="Garamond" w:hAnsi="Garamond"/>
          <w:b/>
          <w:sz w:val="24"/>
          <w:szCs w:val="24"/>
          <w:u w:val="single"/>
        </w:rPr>
        <w:t>Appendix D</w:t>
      </w:r>
    </w:p>
    <w:p w:rsidR="00CF1144" w:rsidRDefault="00CF1144" w:rsidP="00F5427A">
      <w:pPr>
        <w:pStyle w:val="CommentText"/>
        <w:numPr>
          <w:ilvl w:val="0"/>
          <w:numId w:val="4"/>
        </w:numPr>
        <w:ind w:hanging="720"/>
        <w:rPr>
          <w:rFonts w:ascii="Garamond" w:hAnsi="Garamond"/>
          <w:b/>
          <w:i/>
          <w:sz w:val="24"/>
          <w:szCs w:val="24"/>
        </w:rPr>
      </w:pPr>
      <w:r w:rsidRPr="00F5427A">
        <w:rPr>
          <w:rFonts w:ascii="Garamond" w:hAnsi="Garamond"/>
          <w:b/>
          <w:i/>
          <w:sz w:val="24"/>
          <w:szCs w:val="24"/>
        </w:rPr>
        <w:t>Do you want to include the number of schools sampled for on-site visits in this answer?</w:t>
      </w:r>
    </w:p>
    <w:p w:rsidR="00483305" w:rsidRPr="00483305" w:rsidRDefault="00F24724" w:rsidP="00483305">
      <w:pPr>
        <w:pStyle w:val="CommentText"/>
        <w:rPr>
          <w:rFonts w:ascii="Garamond" w:hAnsi="Garamond"/>
          <w:sz w:val="24"/>
          <w:szCs w:val="24"/>
        </w:rPr>
      </w:pPr>
      <w:r>
        <w:rPr>
          <w:rFonts w:ascii="Garamond" w:hAnsi="Garamond"/>
          <w:sz w:val="24"/>
          <w:szCs w:val="24"/>
        </w:rPr>
        <w:t xml:space="preserve">We have included information about the on-site visits in this response. </w:t>
      </w:r>
    </w:p>
    <w:p w:rsidR="00CF1144" w:rsidRPr="00F5427A" w:rsidRDefault="00CF1144" w:rsidP="00F5427A">
      <w:pPr>
        <w:pStyle w:val="CommentText"/>
        <w:numPr>
          <w:ilvl w:val="0"/>
          <w:numId w:val="4"/>
        </w:numPr>
        <w:ind w:hanging="720"/>
        <w:rPr>
          <w:rFonts w:ascii="Garamond" w:hAnsi="Garamond"/>
          <w:b/>
          <w:i/>
          <w:sz w:val="24"/>
          <w:szCs w:val="24"/>
        </w:rPr>
      </w:pPr>
      <w:r w:rsidRPr="00F5427A">
        <w:rPr>
          <w:rFonts w:ascii="Garamond" w:hAnsi="Garamond"/>
          <w:b/>
          <w:i/>
          <w:sz w:val="24"/>
          <w:szCs w:val="24"/>
        </w:rPr>
        <w:t>Please include this in your</w:t>
      </w:r>
      <w:r w:rsidR="00F24724">
        <w:rPr>
          <w:rFonts w:ascii="Garamond" w:hAnsi="Garamond"/>
          <w:b/>
          <w:i/>
          <w:sz w:val="24"/>
          <w:szCs w:val="24"/>
        </w:rPr>
        <w:t xml:space="preserve"> docket.</w:t>
      </w:r>
    </w:p>
    <w:p w:rsidR="00CF1144" w:rsidRDefault="00F24724">
      <w:pPr>
        <w:rPr>
          <w:rFonts w:ascii="Garamond" w:hAnsi="Garamond"/>
          <w:sz w:val="24"/>
          <w:szCs w:val="24"/>
        </w:rPr>
      </w:pPr>
      <w:r>
        <w:rPr>
          <w:rFonts w:ascii="Garamond" w:hAnsi="Garamond"/>
          <w:sz w:val="24"/>
          <w:szCs w:val="24"/>
        </w:rPr>
        <w:t xml:space="preserve">We have added the Web Information Sheet: Getting Started with Your SFA Director Survey to the invitation letter packet. </w:t>
      </w:r>
    </w:p>
    <w:p w:rsidR="00CF1144" w:rsidRPr="00F24724" w:rsidRDefault="00F24724" w:rsidP="00F24724">
      <w:pPr>
        <w:pStyle w:val="CommentText"/>
        <w:numPr>
          <w:ilvl w:val="0"/>
          <w:numId w:val="10"/>
        </w:numPr>
        <w:ind w:hanging="720"/>
        <w:rPr>
          <w:rFonts w:ascii="Garamond" w:hAnsi="Garamond"/>
          <w:b/>
          <w:sz w:val="24"/>
          <w:szCs w:val="24"/>
        </w:rPr>
      </w:pPr>
      <w:r>
        <w:rPr>
          <w:rFonts w:ascii="Garamond" w:hAnsi="Garamond"/>
          <w:b/>
          <w:sz w:val="24"/>
          <w:szCs w:val="24"/>
        </w:rPr>
        <w:t>No</w:t>
      </w:r>
      <w:r w:rsidR="00CF1144" w:rsidRPr="00F24724">
        <w:rPr>
          <w:rFonts w:ascii="Garamond" w:hAnsi="Garamond"/>
          <w:b/>
          <w:sz w:val="24"/>
          <w:szCs w:val="24"/>
        </w:rPr>
        <w:t xml:space="preserve">where in this script is the option to complete the survey over the phone. In Part A.2.c you state </w:t>
      </w:r>
      <w:proofErr w:type="spellStart"/>
      <w:r w:rsidR="00CF1144" w:rsidRPr="00F24724">
        <w:rPr>
          <w:rFonts w:ascii="Garamond" w:hAnsi="Garamond"/>
          <w:b/>
          <w:sz w:val="24"/>
          <w:szCs w:val="24"/>
        </w:rPr>
        <w:t>State</w:t>
      </w:r>
      <w:proofErr w:type="spellEnd"/>
      <w:r w:rsidR="00CF1144" w:rsidRPr="00F24724">
        <w:rPr>
          <w:rFonts w:ascii="Garamond" w:hAnsi="Garamond"/>
          <w:b/>
          <w:sz w:val="24"/>
          <w:szCs w:val="24"/>
        </w:rPr>
        <w:t xml:space="preserve"> Child Nutrition Directors will be offered the option to complete the survey over the phone.</w:t>
      </w:r>
    </w:p>
    <w:p w:rsidR="00CF1144" w:rsidRDefault="002053A4">
      <w:pPr>
        <w:rPr>
          <w:rFonts w:ascii="Garamond" w:hAnsi="Garamond"/>
          <w:sz w:val="24"/>
          <w:szCs w:val="24"/>
        </w:rPr>
      </w:pPr>
      <w:r>
        <w:rPr>
          <w:rFonts w:ascii="Garamond" w:hAnsi="Garamond"/>
          <w:sz w:val="24"/>
          <w:szCs w:val="24"/>
        </w:rPr>
        <w:t xml:space="preserve">It is possible for the State Child Nutrition Director Survey to be completed by telephone. We have revised the script to offer the option to complete the survey over the telephone. A separate script will be used with SFA Directors since it is not possible for them to answer many of the questions during a telephone interview. </w:t>
      </w:r>
    </w:p>
    <w:p w:rsidR="003F669B" w:rsidRDefault="003F669B">
      <w:pPr>
        <w:rPr>
          <w:rFonts w:ascii="Garamond" w:hAnsi="Garamond"/>
          <w:sz w:val="24"/>
          <w:szCs w:val="24"/>
        </w:rPr>
      </w:pPr>
    </w:p>
    <w:p w:rsidR="003F7B3F" w:rsidRDefault="003F7B3F">
      <w:pPr>
        <w:rPr>
          <w:rFonts w:ascii="Garamond" w:hAnsi="Garamond"/>
          <w:b/>
          <w:i/>
          <w:sz w:val="24"/>
          <w:szCs w:val="24"/>
          <w:u w:val="single"/>
        </w:rPr>
      </w:pPr>
      <w:r>
        <w:rPr>
          <w:rFonts w:ascii="Garamond" w:hAnsi="Garamond"/>
          <w:b/>
          <w:i/>
          <w:sz w:val="24"/>
          <w:szCs w:val="24"/>
          <w:u w:val="single"/>
        </w:rPr>
        <w:br w:type="page"/>
      </w:r>
    </w:p>
    <w:p w:rsidR="009C15E9" w:rsidRPr="00F5427A" w:rsidRDefault="009C15E9">
      <w:pPr>
        <w:rPr>
          <w:rFonts w:ascii="Garamond" w:hAnsi="Garamond"/>
          <w:b/>
          <w:i/>
          <w:sz w:val="24"/>
          <w:szCs w:val="24"/>
          <w:u w:val="single"/>
        </w:rPr>
      </w:pPr>
      <w:r w:rsidRPr="00F5427A">
        <w:rPr>
          <w:rFonts w:ascii="Garamond" w:hAnsi="Garamond"/>
          <w:b/>
          <w:i/>
          <w:sz w:val="24"/>
          <w:szCs w:val="24"/>
          <w:u w:val="single"/>
        </w:rPr>
        <w:lastRenderedPageBreak/>
        <w:t>Appendix E</w:t>
      </w:r>
      <w:r w:rsidR="00543468">
        <w:rPr>
          <w:rFonts w:ascii="Garamond" w:hAnsi="Garamond"/>
          <w:b/>
          <w:i/>
          <w:sz w:val="24"/>
          <w:szCs w:val="24"/>
          <w:u w:val="single"/>
        </w:rPr>
        <w:t>:</w:t>
      </w:r>
      <w:r w:rsidRPr="00F5427A">
        <w:rPr>
          <w:rFonts w:ascii="Garamond" w:hAnsi="Garamond"/>
          <w:b/>
          <w:i/>
          <w:sz w:val="24"/>
          <w:szCs w:val="24"/>
          <w:u w:val="single"/>
        </w:rPr>
        <w:t xml:space="preserve"> State Child Nutrition Director Survey</w:t>
      </w:r>
    </w:p>
    <w:p w:rsidR="000B53E0" w:rsidRDefault="000B53E0" w:rsidP="000B53E0">
      <w:pPr>
        <w:autoSpaceDE w:val="0"/>
        <w:autoSpaceDN w:val="0"/>
        <w:adjustRightInd w:val="0"/>
        <w:rPr>
          <w:rFonts w:ascii="Garamond" w:hAnsi="Garamond"/>
          <w:sz w:val="24"/>
          <w:szCs w:val="24"/>
        </w:rPr>
      </w:pPr>
      <w:r w:rsidRPr="00596EDC">
        <w:rPr>
          <w:rFonts w:ascii="Garamond" w:hAnsi="Garamond"/>
          <w:sz w:val="24"/>
          <w:szCs w:val="24"/>
        </w:rPr>
        <w:t xml:space="preserve">The table below summarizes the changes made to the State Child Nutrition Director Survey.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4320"/>
        <w:gridCol w:w="3348"/>
      </w:tblGrid>
      <w:tr w:rsidR="00BE2A12" w:rsidRPr="00BE2A12" w:rsidTr="00DF5096">
        <w:trPr>
          <w:trHeight w:val="350"/>
          <w:tblHeader/>
        </w:trPr>
        <w:tc>
          <w:tcPr>
            <w:tcW w:w="1548" w:type="dxa"/>
            <w:shd w:val="clear" w:color="auto" w:fill="B8CCE4" w:themeFill="accent1" w:themeFillTint="66"/>
          </w:tcPr>
          <w:p w:rsidR="00BE2A12" w:rsidRPr="00BE2A12" w:rsidRDefault="00BE2A12" w:rsidP="00DF5096">
            <w:pPr>
              <w:rPr>
                <w:rFonts w:ascii="Garamond" w:hAnsi="Garamond"/>
                <w:b/>
              </w:rPr>
            </w:pPr>
            <w:r w:rsidRPr="00BE2A12">
              <w:rPr>
                <w:rFonts w:ascii="Garamond" w:hAnsi="Garamond"/>
                <w:b/>
              </w:rPr>
              <w:t>Question #</w:t>
            </w:r>
          </w:p>
        </w:tc>
        <w:tc>
          <w:tcPr>
            <w:tcW w:w="4320" w:type="dxa"/>
            <w:shd w:val="clear" w:color="auto" w:fill="B8CCE4" w:themeFill="accent1" w:themeFillTint="66"/>
          </w:tcPr>
          <w:p w:rsidR="00BE2A12" w:rsidRPr="00BE2A12" w:rsidRDefault="00BE2A12" w:rsidP="00DF5096">
            <w:pPr>
              <w:rPr>
                <w:rFonts w:ascii="Garamond" w:hAnsi="Garamond"/>
                <w:b/>
              </w:rPr>
            </w:pPr>
            <w:r w:rsidRPr="00BE2A12">
              <w:rPr>
                <w:rFonts w:ascii="Garamond" w:hAnsi="Garamond"/>
                <w:b/>
              </w:rPr>
              <w:t>Comment</w:t>
            </w:r>
          </w:p>
        </w:tc>
        <w:tc>
          <w:tcPr>
            <w:tcW w:w="3348" w:type="dxa"/>
            <w:shd w:val="clear" w:color="auto" w:fill="B8CCE4" w:themeFill="accent1" w:themeFillTint="66"/>
          </w:tcPr>
          <w:p w:rsidR="00BE2A12" w:rsidRPr="00BE2A12" w:rsidRDefault="00BE2A12" w:rsidP="00DF5096">
            <w:pPr>
              <w:rPr>
                <w:rFonts w:ascii="Garamond" w:hAnsi="Garamond"/>
                <w:b/>
              </w:rPr>
            </w:pPr>
            <w:r w:rsidRPr="00BE2A12">
              <w:rPr>
                <w:rFonts w:ascii="Garamond" w:hAnsi="Garamond"/>
                <w:b/>
              </w:rPr>
              <w:t>Changes or modifications made</w:t>
            </w:r>
          </w:p>
        </w:tc>
      </w:tr>
      <w:tr w:rsidR="00BE2A12" w:rsidRPr="00BE2A12" w:rsidTr="00DF5096">
        <w:trPr>
          <w:trHeight w:val="475"/>
        </w:trPr>
        <w:tc>
          <w:tcPr>
            <w:tcW w:w="1548" w:type="dxa"/>
          </w:tcPr>
          <w:p w:rsidR="00BE2A12" w:rsidRPr="00BE2A12" w:rsidRDefault="00BE2A12" w:rsidP="00DF5096">
            <w:pPr>
              <w:rPr>
                <w:rFonts w:ascii="Garamond" w:hAnsi="Garamond"/>
              </w:rPr>
            </w:pPr>
            <w:r w:rsidRPr="00BE2A12">
              <w:rPr>
                <w:rFonts w:ascii="Garamond" w:hAnsi="Garamond"/>
              </w:rPr>
              <w:t>Intro</w:t>
            </w:r>
          </w:p>
        </w:tc>
        <w:tc>
          <w:tcPr>
            <w:tcW w:w="4320" w:type="dxa"/>
          </w:tcPr>
          <w:p w:rsidR="00BE2A12" w:rsidRPr="00BE2A12" w:rsidRDefault="00BE2A12" w:rsidP="00DF5096">
            <w:pPr>
              <w:rPr>
                <w:rFonts w:ascii="Garamond" w:hAnsi="Garamond"/>
              </w:rPr>
            </w:pPr>
            <w:r w:rsidRPr="00BE2A12">
              <w:rPr>
                <w:rFonts w:ascii="Garamond" w:hAnsi="Garamond"/>
              </w:rPr>
              <w:t>Should “Survey 2012” be “Survey 2012-2013” or “Survey 2011-2012”?</w:t>
            </w:r>
          </w:p>
        </w:tc>
        <w:tc>
          <w:tcPr>
            <w:tcW w:w="3348" w:type="dxa"/>
          </w:tcPr>
          <w:p w:rsidR="00BE2A12" w:rsidRPr="00BE2A12" w:rsidRDefault="00BE2A12" w:rsidP="00DF5096">
            <w:pPr>
              <w:rPr>
                <w:rFonts w:ascii="Garamond" w:hAnsi="Garamond"/>
              </w:rPr>
            </w:pPr>
            <w:r w:rsidRPr="00BE2A12">
              <w:rPr>
                <w:rFonts w:ascii="Garamond" w:hAnsi="Garamond"/>
              </w:rPr>
              <w:t xml:space="preserve">Title page was changed from “Survey 2012” to “Survey </w:t>
            </w:r>
            <w:r w:rsidR="00DC4301">
              <w:rPr>
                <w:rFonts w:ascii="Garamond" w:hAnsi="Garamond"/>
              </w:rPr>
              <w:t xml:space="preserve">SY </w:t>
            </w:r>
            <w:bookmarkStart w:id="0" w:name="_GoBack"/>
            <w:bookmarkEnd w:id="0"/>
            <w:r w:rsidRPr="00BE2A12">
              <w:rPr>
                <w:rFonts w:ascii="Garamond" w:hAnsi="Garamond"/>
              </w:rPr>
              <w:t>2012-2013.”</w:t>
            </w:r>
          </w:p>
        </w:tc>
      </w:tr>
      <w:tr w:rsidR="00BE2A12" w:rsidRPr="00BE2A12" w:rsidTr="00DF5096">
        <w:trPr>
          <w:trHeight w:val="375"/>
        </w:trPr>
        <w:tc>
          <w:tcPr>
            <w:tcW w:w="1548" w:type="dxa"/>
          </w:tcPr>
          <w:p w:rsidR="00BE2A12" w:rsidRPr="00BE2A12" w:rsidRDefault="00BE2A12" w:rsidP="00DF5096">
            <w:pPr>
              <w:rPr>
                <w:rFonts w:ascii="Garamond" w:hAnsi="Garamond"/>
              </w:rPr>
            </w:pPr>
            <w:r w:rsidRPr="00BE2A12">
              <w:rPr>
                <w:rFonts w:ascii="Garamond" w:hAnsi="Garamond"/>
              </w:rPr>
              <w:t>Intro</w:t>
            </w:r>
          </w:p>
        </w:tc>
        <w:tc>
          <w:tcPr>
            <w:tcW w:w="4320" w:type="dxa"/>
          </w:tcPr>
          <w:p w:rsidR="00BE2A12" w:rsidRPr="00BE2A12" w:rsidRDefault="00BE2A12" w:rsidP="00DF5096">
            <w:pPr>
              <w:pStyle w:val="ListParagraph"/>
              <w:ind w:left="0"/>
              <w:rPr>
                <w:rFonts w:ascii="Garamond" w:hAnsi="Garamond"/>
              </w:rPr>
            </w:pPr>
            <w:r w:rsidRPr="00BE2A12">
              <w:rPr>
                <w:rFonts w:ascii="Garamond" w:hAnsi="Garamond"/>
              </w:rPr>
              <w:t>In Part A, Table A1, you state the response burden is 1.75 hours, not 30 minutes.</w:t>
            </w:r>
          </w:p>
        </w:tc>
        <w:tc>
          <w:tcPr>
            <w:tcW w:w="3348" w:type="dxa"/>
          </w:tcPr>
          <w:p w:rsidR="00BE2A12" w:rsidRPr="00BE2A12" w:rsidRDefault="00BE2A12" w:rsidP="00DF5096">
            <w:pPr>
              <w:pStyle w:val="ListParagraph"/>
              <w:ind w:left="0"/>
              <w:rPr>
                <w:rFonts w:ascii="Garamond" w:hAnsi="Garamond"/>
              </w:rPr>
            </w:pPr>
            <w:r w:rsidRPr="00BE2A12">
              <w:rPr>
                <w:rFonts w:ascii="Garamond" w:hAnsi="Garamond"/>
              </w:rPr>
              <w:t>Changed the response burden from 30 minutes to 2 hours.</w:t>
            </w:r>
          </w:p>
        </w:tc>
      </w:tr>
      <w:tr w:rsidR="00BE2A12" w:rsidRPr="00BE2A12" w:rsidTr="00DF5096">
        <w:trPr>
          <w:trHeight w:val="741"/>
        </w:trPr>
        <w:tc>
          <w:tcPr>
            <w:tcW w:w="1548" w:type="dxa"/>
          </w:tcPr>
          <w:p w:rsidR="00BE2A12" w:rsidRPr="00BE2A12" w:rsidRDefault="00BE2A12" w:rsidP="00DF5096">
            <w:pPr>
              <w:rPr>
                <w:rFonts w:ascii="Garamond" w:hAnsi="Garamond"/>
              </w:rPr>
            </w:pPr>
            <w:r w:rsidRPr="00BE2A12">
              <w:rPr>
                <w:rFonts w:ascii="Garamond" w:hAnsi="Garamond"/>
              </w:rPr>
              <w:t>Intro</w:t>
            </w:r>
          </w:p>
        </w:tc>
        <w:tc>
          <w:tcPr>
            <w:tcW w:w="4320" w:type="dxa"/>
          </w:tcPr>
          <w:p w:rsidR="00BE2A12" w:rsidRPr="00BE2A12" w:rsidRDefault="00BE2A12" w:rsidP="00DF5096">
            <w:pPr>
              <w:rPr>
                <w:rFonts w:ascii="Garamond" w:hAnsi="Garamond"/>
              </w:rPr>
            </w:pPr>
            <w:r w:rsidRPr="00BE2A12">
              <w:rPr>
                <w:rFonts w:ascii="Garamond" w:hAnsi="Garamond"/>
              </w:rPr>
              <w:t xml:space="preserve">Why </w:t>
            </w:r>
            <w:proofErr w:type="gramStart"/>
            <w:r w:rsidRPr="00BE2A12">
              <w:rPr>
                <w:rFonts w:ascii="Garamond" w:hAnsi="Garamond"/>
              </w:rPr>
              <w:t>have a direct line</w:t>
            </w:r>
            <w:proofErr w:type="gramEnd"/>
            <w:r w:rsidRPr="00BE2A12">
              <w:rPr>
                <w:rFonts w:ascii="Garamond" w:hAnsi="Garamond"/>
              </w:rPr>
              <w:t xml:space="preserve"> to a </w:t>
            </w:r>
            <w:proofErr w:type="spellStart"/>
            <w:r w:rsidRPr="00BE2A12">
              <w:rPr>
                <w:rFonts w:ascii="Garamond" w:hAnsi="Garamond"/>
              </w:rPr>
              <w:t>Westat</w:t>
            </w:r>
            <w:proofErr w:type="spellEnd"/>
            <w:r w:rsidRPr="00BE2A12">
              <w:rPr>
                <w:rFonts w:ascii="Garamond" w:hAnsi="Garamond"/>
              </w:rPr>
              <w:t xml:space="preserve"> employee? Why not provide the toll free number?</w:t>
            </w:r>
          </w:p>
        </w:tc>
        <w:tc>
          <w:tcPr>
            <w:tcW w:w="3348" w:type="dxa"/>
          </w:tcPr>
          <w:p w:rsidR="00BE2A12" w:rsidRPr="00BE2A12" w:rsidRDefault="00BE2A12" w:rsidP="00DF5096">
            <w:pPr>
              <w:rPr>
                <w:rFonts w:ascii="Garamond" w:hAnsi="Garamond"/>
              </w:rPr>
            </w:pPr>
            <w:r w:rsidRPr="00BE2A12">
              <w:rPr>
                <w:rFonts w:ascii="Garamond" w:hAnsi="Garamond"/>
              </w:rPr>
              <w:t xml:space="preserve">Changed the </w:t>
            </w:r>
            <w:proofErr w:type="spellStart"/>
            <w:r w:rsidRPr="00BE2A12">
              <w:rPr>
                <w:rFonts w:ascii="Garamond" w:hAnsi="Garamond"/>
              </w:rPr>
              <w:t>Westat</w:t>
            </w:r>
            <w:proofErr w:type="spellEnd"/>
            <w:r w:rsidRPr="00BE2A12">
              <w:rPr>
                <w:rFonts w:ascii="Garamond" w:hAnsi="Garamond"/>
              </w:rPr>
              <w:t xml:space="preserve"> phone number from the direct line of a </w:t>
            </w:r>
            <w:proofErr w:type="spellStart"/>
            <w:r w:rsidRPr="00BE2A12">
              <w:rPr>
                <w:rFonts w:ascii="Garamond" w:hAnsi="Garamond"/>
              </w:rPr>
              <w:t>Westat</w:t>
            </w:r>
            <w:proofErr w:type="spellEnd"/>
            <w:r w:rsidRPr="00BE2A12">
              <w:rPr>
                <w:rFonts w:ascii="Garamond" w:hAnsi="Garamond"/>
              </w:rPr>
              <w:t xml:space="preserve"> employee to the toll free number.</w:t>
            </w:r>
          </w:p>
        </w:tc>
      </w:tr>
      <w:tr w:rsidR="00BE2A12" w:rsidRPr="00BE2A12" w:rsidTr="00DF5096">
        <w:trPr>
          <w:trHeight w:val="429"/>
        </w:trPr>
        <w:tc>
          <w:tcPr>
            <w:tcW w:w="1548" w:type="dxa"/>
          </w:tcPr>
          <w:p w:rsidR="00BE2A12" w:rsidRPr="00BE2A12" w:rsidRDefault="00BE2A12" w:rsidP="00DF5096">
            <w:pPr>
              <w:rPr>
                <w:rFonts w:ascii="Garamond" w:hAnsi="Garamond"/>
              </w:rPr>
            </w:pPr>
            <w:r w:rsidRPr="00BE2A12">
              <w:rPr>
                <w:rFonts w:ascii="Garamond" w:hAnsi="Garamond"/>
              </w:rPr>
              <w:t>A10</w:t>
            </w:r>
          </w:p>
        </w:tc>
        <w:tc>
          <w:tcPr>
            <w:tcW w:w="4320" w:type="dxa"/>
          </w:tcPr>
          <w:p w:rsidR="00BE2A12" w:rsidRPr="00BE2A12" w:rsidRDefault="00BE2A12" w:rsidP="00DF5096">
            <w:pPr>
              <w:rPr>
                <w:rFonts w:ascii="Garamond" w:hAnsi="Garamond"/>
              </w:rPr>
            </w:pPr>
            <w:r w:rsidRPr="00BE2A12">
              <w:rPr>
                <w:rFonts w:ascii="Garamond" w:hAnsi="Garamond"/>
              </w:rPr>
              <w:t>What if respondents cannot identify the impact of wellness policies?</w:t>
            </w:r>
          </w:p>
        </w:tc>
        <w:tc>
          <w:tcPr>
            <w:tcW w:w="3348" w:type="dxa"/>
          </w:tcPr>
          <w:p w:rsidR="00BE2A12" w:rsidRPr="00BE2A12" w:rsidRDefault="00BE2A12" w:rsidP="00DF5096">
            <w:pPr>
              <w:rPr>
                <w:rFonts w:ascii="Garamond" w:hAnsi="Garamond"/>
              </w:rPr>
            </w:pPr>
            <w:r w:rsidRPr="00BE2A12">
              <w:rPr>
                <w:rFonts w:ascii="Garamond" w:hAnsi="Garamond"/>
              </w:rPr>
              <w:t>Added a “Don’t know” column.</w:t>
            </w:r>
          </w:p>
        </w:tc>
      </w:tr>
      <w:tr w:rsidR="00BE2A12" w:rsidRPr="00BE2A12" w:rsidTr="00DF5096">
        <w:trPr>
          <w:trHeight w:val="694"/>
        </w:trPr>
        <w:tc>
          <w:tcPr>
            <w:tcW w:w="1548" w:type="dxa"/>
          </w:tcPr>
          <w:p w:rsidR="00BE2A12" w:rsidRPr="00BE2A12" w:rsidRDefault="00BE2A12" w:rsidP="00DF5096">
            <w:pPr>
              <w:rPr>
                <w:rFonts w:ascii="Garamond" w:hAnsi="Garamond"/>
              </w:rPr>
            </w:pPr>
            <w:r w:rsidRPr="00BE2A12">
              <w:rPr>
                <w:rFonts w:ascii="Garamond" w:hAnsi="Garamond"/>
              </w:rPr>
              <w:t>B1a – B1</w:t>
            </w:r>
          </w:p>
        </w:tc>
        <w:tc>
          <w:tcPr>
            <w:tcW w:w="4320" w:type="dxa"/>
          </w:tcPr>
          <w:p w:rsidR="00BE2A12" w:rsidRPr="00BE2A12" w:rsidRDefault="00BE2A12" w:rsidP="00DF5096">
            <w:pPr>
              <w:rPr>
                <w:rFonts w:ascii="Garamond" w:hAnsi="Garamond"/>
              </w:rPr>
            </w:pPr>
            <w:r w:rsidRPr="00BE2A12">
              <w:rPr>
                <w:rFonts w:ascii="Garamond" w:hAnsi="Garamond"/>
              </w:rPr>
              <w:t>“Does your state provide” while B1a asks “Did you provide.” Please make the wording consistent.</w:t>
            </w:r>
          </w:p>
        </w:tc>
        <w:tc>
          <w:tcPr>
            <w:tcW w:w="3348" w:type="dxa"/>
          </w:tcPr>
          <w:p w:rsidR="00BE2A12" w:rsidRPr="00BE2A12" w:rsidRDefault="00BE2A12" w:rsidP="00DF5096">
            <w:pPr>
              <w:rPr>
                <w:rFonts w:ascii="Garamond" w:hAnsi="Garamond"/>
              </w:rPr>
            </w:pPr>
            <w:r w:rsidRPr="00BE2A12">
              <w:rPr>
                <w:rFonts w:ascii="Garamond" w:hAnsi="Garamond"/>
              </w:rPr>
              <w:t xml:space="preserve">For consistency, changed from “Does your state provide” in B1 and “Did you provide” in B1a to “Does your state provide” for both B1 and B1a. </w:t>
            </w:r>
          </w:p>
        </w:tc>
      </w:tr>
      <w:tr w:rsidR="00BE2A12" w:rsidRPr="00BE2A12" w:rsidTr="00DF5096">
        <w:trPr>
          <w:trHeight w:val="429"/>
        </w:trPr>
        <w:tc>
          <w:tcPr>
            <w:tcW w:w="1548" w:type="dxa"/>
          </w:tcPr>
          <w:p w:rsidR="00BE2A12" w:rsidRPr="00BE2A12" w:rsidRDefault="00BE2A12" w:rsidP="00DF5096">
            <w:pPr>
              <w:rPr>
                <w:rFonts w:ascii="Garamond" w:hAnsi="Garamond"/>
              </w:rPr>
            </w:pPr>
            <w:r w:rsidRPr="00BE2A12">
              <w:rPr>
                <w:rFonts w:ascii="Garamond" w:hAnsi="Garamond"/>
              </w:rPr>
              <w:t>B2</w:t>
            </w:r>
          </w:p>
        </w:tc>
        <w:tc>
          <w:tcPr>
            <w:tcW w:w="4320" w:type="dxa"/>
          </w:tcPr>
          <w:p w:rsidR="00BE2A12" w:rsidRPr="00BE2A12" w:rsidRDefault="00BE2A12" w:rsidP="00DF5096">
            <w:pPr>
              <w:rPr>
                <w:rFonts w:ascii="Garamond" w:hAnsi="Garamond"/>
              </w:rPr>
            </w:pPr>
          </w:p>
        </w:tc>
        <w:tc>
          <w:tcPr>
            <w:tcW w:w="3348" w:type="dxa"/>
          </w:tcPr>
          <w:p w:rsidR="00BE2A12" w:rsidRPr="00BE2A12" w:rsidRDefault="00BE2A12" w:rsidP="00DF5096">
            <w:pPr>
              <w:rPr>
                <w:rFonts w:ascii="Garamond" w:hAnsi="Garamond"/>
              </w:rPr>
            </w:pPr>
            <w:r w:rsidRPr="00BE2A12">
              <w:rPr>
                <w:rFonts w:ascii="Garamond" w:hAnsi="Garamond"/>
              </w:rPr>
              <w:t>Clarified by adding “at the SFA level” to the question stem.</w:t>
            </w:r>
          </w:p>
        </w:tc>
      </w:tr>
      <w:tr w:rsidR="00BE2A12" w:rsidRPr="00BE2A12" w:rsidTr="00DF5096">
        <w:trPr>
          <w:trHeight w:val="768"/>
        </w:trPr>
        <w:tc>
          <w:tcPr>
            <w:tcW w:w="1548" w:type="dxa"/>
          </w:tcPr>
          <w:p w:rsidR="00BE2A12" w:rsidRPr="00BE2A12" w:rsidRDefault="00BE2A12" w:rsidP="00DF5096">
            <w:pPr>
              <w:rPr>
                <w:rFonts w:ascii="Garamond" w:hAnsi="Garamond"/>
              </w:rPr>
            </w:pPr>
            <w:r w:rsidRPr="00BE2A12">
              <w:rPr>
                <w:rFonts w:ascii="Garamond" w:hAnsi="Garamond"/>
              </w:rPr>
              <w:t>B5</w:t>
            </w:r>
          </w:p>
        </w:tc>
        <w:tc>
          <w:tcPr>
            <w:tcW w:w="4320" w:type="dxa"/>
          </w:tcPr>
          <w:p w:rsidR="00BE2A12" w:rsidRPr="00BE2A12" w:rsidRDefault="00BE2A12" w:rsidP="00DF5096">
            <w:pPr>
              <w:rPr>
                <w:rFonts w:ascii="Garamond" w:hAnsi="Garamond"/>
              </w:rPr>
            </w:pPr>
            <w:r w:rsidRPr="00BE2A12">
              <w:rPr>
                <w:rFonts w:ascii="Garamond" w:hAnsi="Garamond"/>
              </w:rPr>
              <w:t>What if the state has been able to fully use funds for one program and not the other?</w:t>
            </w:r>
          </w:p>
        </w:tc>
        <w:tc>
          <w:tcPr>
            <w:tcW w:w="3348" w:type="dxa"/>
          </w:tcPr>
          <w:p w:rsidR="00BE2A12" w:rsidRPr="00BE2A12" w:rsidRDefault="00BE2A12" w:rsidP="00DF5096">
            <w:pPr>
              <w:rPr>
                <w:rFonts w:ascii="Garamond" w:hAnsi="Garamond"/>
              </w:rPr>
            </w:pPr>
            <w:r w:rsidRPr="00BE2A12">
              <w:rPr>
                <w:rFonts w:ascii="Garamond" w:hAnsi="Garamond"/>
              </w:rPr>
              <w:t>Added columns, NSLP and SBP, so respondent’s answer whether they were able to fully-use Federal funds for the NSLP and SBP separately</w:t>
            </w:r>
          </w:p>
        </w:tc>
      </w:tr>
      <w:tr w:rsidR="00BE2A12" w:rsidRPr="00BE2A12" w:rsidTr="00DF5096">
        <w:trPr>
          <w:trHeight w:val="1070"/>
        </w:trPr>
        <w:tc>
          <w:tcPr>
            <w:tcW w:w="1548" w:type="dxa"/>
          </w:tcPr>
          <w:p w:rsidR="00BE2A12" w:rsidRPr="00BE2A12" w:rsidRDefault="00BE2A12" w:rsidP="00DF5096">
            <w:pPr>
              <w:rPr>
                <w:rFonts w:ascii="Garamond" w:hAnsi="Garamond"/>
              </w:rPr>
            </w:pPr>
            <w:r w:rsidRPr="00BE2A12">
              <w:rPr>
                <w:rFonts w:ascii="Garamond" w:hAnsi="Garamond"/>
              </w:rPr>
              <w:t>C2</w:t>
            </w:r>
          </w:p>
        </w:tc>
        <w:tc>
          <w:tcPr>
            <w:tcW w:w="4320" w:type="dxa"/>
          </w:tcPr>
          <w:p w:rsidR="00BE2A12" w:rsidRPr="00BE2A12" w:rsidRDefault="00BE2A12" w:rsidP="00DF5096">
            <w:pPr>
              <w:pStyle w:val="ListParagraph"/>
              <w:ind w:left="0"/>
              <w:rPr>
                <w:rFonts w:ascii="Garamond" w:hAnsi="Garamond"/>
              </w:rPr>
            </w:pPr>
            <w:r w:rsidRPr="00BE2A12">
              <w:rPr>
                <w:rFonts w:ascii="Garamond" w:hAnsi="Garamond"/>
              </w:rPr>
              <w:t xml:space="preserve">The wording of the question does not match the wording of C1 and does not match the answer chart provided. Delete the stray 1 after the question mark. Is it possible for a school to operate one program under one provision and the other program under a different provision? If so, how would a respondent </w:t>
            </w:r>
            <w:proofErr w:type="gramStart"/>
            <w:r w:rsidRPr="00BE2A12">
              <w:rPr>
                <w:rFonts w:ascii="Garamond" w:hAnsi="Garamond"/>
              </w:rPr>
              <w:t>be</w:t>
            </w:r>
            <w:proofErr w:type="gramEnd"/>
            <w:r w:rsidRPr="00BE2A12">
              <w:rPr>
                <w:rFonts w:ascii="Garamond" w:hAnsi="Garamond"/>
              </w:rPr>
              <w:t xml:space="preserve"> expected to fill out this chart?</w:t>
            </w:r>
          </w:p>
        </w:tc>
        <w:tc>
          <w:tcPr>
            <w:tcW w:w="3348" w:type="dxa"/>
          </w:tcPr>
          <w:p w:rsidR="00BE2A12" w:rsidRPr="00BE2A12" w:rsidRDefault="00BE2A12" w:rsidP="00DF5096">
            <w:pPr>
              <w:pStyle w:val="ListParagraph"/>
              <w:ind w:left="0"/>
              <w:rPr>
                <w:rFonts w:ascii="Garamond" w:hAnsi="Garamond"/>
              </w:rPr>
            </w:pPr>
            <w:r w:rsidRPr="00BE2A12">
              <w:rPr>
                <w:rFonts w:ascii="Garamond" w:hAnsi="Garamond"/>
              </w:rPr>
              <w:t xml:space="preserve">Changed the wording to match the wording of C1.  The wording was changed to, “How many </w:t>
            </w:r>
            <w:r w:rsidRPr="00BE2A12">
              <w:rPr>
                <w:rFonts w:ascii="Garamond" w:hAnsi="Garamond"/>
                <w:u w:val="single"/>
              </w:rPr>
              <w:t>schools</w:t>
            </w:r>
            <w:r w:rsidRPr="00BE2A12">
              <w:rPr>
                <w:rFonts w:ascii="Garamond" w:hAnsi="Garamond"/>
              </w:rPr>
              <w:t xml:space="preserve"> in the state are operating the NSLP and/or SBP under each of the following provisions? The stray 1 after the question mark was deleted.</w:t>
            </w:r>
          </w:p>
        </w:tc>
      </w:tr>
      <w:tr w:rsidR="00BE2A12" w:rsidRPr="00BE2A12" w:rsidTr="00DF5096">
        <w:trPr>
          <w:trHeight w:val="737"/>
        </w:trPr>
        <w:tc>
          <w:tcPr>
            <w:tcW w:w="1548" w:type="dxa"/>
          </w:tcPr>
          <w:p w:rsidR="00BE2A12" w:rsidRPr="00BE2A12" w:rsidRDefault="00BE2A12" w:rsidP="00DF5096">
            <w:pPr>
              <w:rPr>
                <w:rFonts w:ascii="Garamond" w:hAnsi="Garamond"/>
              </w:rPr>
            </w:pPr>
            <w:r w:rsidRPr="00BE2A12">
              <w:rPr>
                <w:rFonts w:ascii="Garamond" w:hAnsi="Garamond"/>
              </w:rPr>
              <w:t>C4a</w:t>
            </w:r>
          </w:p>
        </w:tc>
        <w:tc>
          <w:tcPr>
            <w:tcW w:w="4320" w:type="dxa"/>
          </w:tcPr>
          <w:p w:rsidR="00BE2A12" w:rsidRPr="00BE2A12" w:rsidRDefault="00BE2A12" w:rsidP="00DF5096">
            <w:pPr>
              <w:rPr>
                <w:rFonts w:ascii="Garamond" w:hAnsi="Garamond"/>
              </w:rPr>
            </w:pPr>
          </w:p>
        </w:tc>
        <w:tc>
          <w:tcPr>
            <w:tcW w:w="3348" w:type="dxa"/>
          </w:tcPr>
          <w:p w:rsidR="00BE2A12" w:rsidRPr="00BE2A12" w:rsidRDefault="00BE2A12" w:rsidP="00DF5096">
            <w:pPr>
              <w:rPr>
                <w:rFonts w:ascii="Garamond" w:hAnsi="Garamond"/>
              </w:rPr>
            </w:pPr>
            <w:r w:rsidRPr="00BE2A12">
              <w:rPr>
                <w:rFonts w:ascii="Garamond" w:hAnsi="Garamond"/>
              </w:rPr>
              <w:t>Clarified that the term charter schools refers to all charter schools including those independent or part of a SFA.</w:t>
            </w:r>
          </w:p>
        </w:tc>
      </w:tr>
      <w:tr w:rsidR="00BE2A12" w:rsidRPr="00BE2A12" w:rsidTr="00DF5096">
        <w:trPr>
          <w:trHeight w:val="338"/>
        </w:trPr>
        <w:tc>
          <w:tcPr>
            <w:tcW w:w="1548" w:type="dxa"/>
          </w:tcPr>
          <w:p w:rsidR="00BE2A12" w:rsidRPr="00BE2A12" w:rsidRDefault="00BE2A12" w:rsidP="00DF5096">
            <w:pPr>
              <w:jc w:val="both"/>
              <w:rPr>
                <w:rFonts w:ascii="Garamond" w:hAnsi="Garamond"/>
              </w:rPr>
            </w:pPr>
            <w:r w:rsidRPr="00BE2A12">
              <w:rPr>
                <w:rFonts w:ascii="Garamond" w:hAnsi="Garamond"/>
              </w:rPr>
              <w:lastRenderedPageBreak/>
              <w:t>C5a</w:t>
            </w:r>
          </w:p>
        </w:tc>
        <w:tc>
          <w:tcPr>
            <w:tcW w:w="4320" w:type="dxa"/>
          </w:tcPr>
          <w:p w:rsidR="00BE2A12" w:rsidRPr="00BE2A12" w:rsidRDefault="00BE2A12" w:rsidP="00DF5096">
            <w:pPr>
              <w:pStyle w:val="ListParagraph"/>
              <w:ind w:left="0"/>
              <w:rPr>
                <w:rFonts w:ascii="Garamond" w:hAnsi="Garamond"/>
              </w:rPr>
            </w:pPr>
            <w:r w:rsidRPr="00BE2A12">
              <w:rPr>
                <w:rFonts w:ascii="Garamond" w:hAnsi="Garamond"/>
              </w:rPr>
              <w:t>For line b, would an advisory council consist of SFAs or SFA directors? For line c, do you mean SFA directors?</w:t>
            </w:r>
          </w:p>
        </w:tc>
        <w:tc>
          <w:tcPr>
            <w:tcW w:w="3348" w:type="dxa"/>
          </w:tcPr>
          <w:p w:rsidR="00BE2A12" w:rsidRPr="00BE2A12" w:rsidRDefault="00BE2A12" w:rsidP="00DF5096">
            <w:pPr>
              <w:pStyle w:val="ListParagraph"/>
              <w:ind w:left="0"/>
              <w:rPr>
                <w:rFonts w:ascii="Garamond" w:hAnsi="Garamond"/>
              </w:rPr>
            </w:pPr>
            <w:r w:rsidRPr="00BE2A12">
              <w:rPr>
                <w:rFonts w:ascii="Garamond" w:hAnsi="Garamond"/>
              </w:rPr>
              <w:t xml:space="preserve">Changed the wording from “SFAs” to “SFA directors” for response categories a through c. </w:t>
            </w:r>
          </w:p>
        </w:tc>
      </w:tr>
      <w:tr w:rsidR="00BE2A12" w:rsidRPr="00BE2A12" w:rsidTr="00DF5096">
        <w:trPr>
          <w:trHeight w:val="723"/>
        </w:trPr>
        <w:tc>
          <w:tcPr>
            <w:tcW w:w="1548" w:type="dxa"/>
          </w:tcPr>
          <w:p w:rsidR="00BE2A12" w:rsidRPr="00BE2A12" w:rsidRDefault="00BE2A12" w:rsidP="00DF5096">
            <w:pPr>
              <w:rPr>
                <w:rFonts w:ascii="Garamond" w:hAnsi="Garamond"/>
              </w:rPr>
            </w:pPr>
            <w:r w:rsidRPr="00BE2A12">
              <w:rPr>
                <w:rFonts w:ascii="Garamond" w:hAnsi="Garamond"/>
              </w:rPr>
              <w:t>D1a</w:t>
            </w:r>
          </w:p>
        </w:tc>
        <w:tc>
          <w:tcPr>
            <w:tcW w:w="4320" w:type="dxa"/>
          </w:tcPr>
          <w:p w:rsidR="00BE2A12" w:rsidRPr="00BE2A12" w:rsidRDefault="00BE2A12" w:rsidP="00DF5096">
            <w:pPr>
              <w:rPr>
                <w:rFonts w:ascii="Garamond" w:hAnsi="Garamond"/>
                <w:color w:val="000000"/>
              </w:rPr>
            </w:pPr>
            <w:r w:rsidRPr="00BE2A12">
              <w:rPr>
                <w:rFonts w:ascii="Garamond" w:hAnsi="Garamond"/>
              </w:rPr>
              <w:t>What does HACCP stand for?</w:t>
            </w:r>
          </w:p>
        </w:tc>
        <w:tc>
          <w:tcPr>
            <w:tcW w:w="3348" w:type="dxa"/>
          </w:tcPr>
          <w:p w:rsidR="00BE2A12" w:rsidRPr="00BE2A12" w:rsidRDefault="00BE2A12" w:rsidP="00DF5096">
            <w:pPr>
              <w:rPr>
                <w:rFonts w:ascii="Garamond" w:hAnsi="Garamond"/>
              </w:rPr>
            </w:pPr>
            <w:r w:rsidRPr="00BE2A12">
              <w:rPr>
                <w:rFonts w:ascii="Garamond" w:hAnsi="Garamond"/>
                <w:color w:val="000000"/>
              </w:rPr>
              <w:t>Clarified by adding “Hazard Analysis and Critical Control Point (HACCP)” in place of HACCP.</w:t>
            </w:r>
          </w:p>
        </w:tc>
      </w:tr>
      <w:tr w:rsidR="00BE2A12" w:rsidRPr="00BE2A12" w:rsidTr="00DF5096">
        <w:trPr>
          <w:trHeight w:val="571"/>
        </w:trPr>
        <w:tc>
          <w:tcPr>
            <w:tcW w:w="1548" w:type="dxa"/>
          </w:tcPr>
          <w:p w:rsidR="00BE2A12" w:rsidRPr="00BE2A12" w:rsidRDefault="00BE2A12" w:rsidP="00DF5096">
            <w:pPr>
              <w:rPr>
                <w:rFonts w:ascii="Garamond" w:hAnsi="Garamond"/>
              </w:rPr>
            </w:pPr>
            <w:r w:rsidRPr="00BE2A12">
              <w:rPr>
                <w:rFonts w:ascii="Garamond" w:hAnsi="Garamond"/>
              </w:rPr>
              <w:t>D2c</w:t>
            </w:r>
          </w:p>
        </w:tc>
        <w:tc>
          <w:tcPr>
            <w:tcW w:w="4320" w:type="dxa"/>
          </w:tcPr>
          <w:p w:rsidR="00BE2A12" w:rsidRPr="00BE2A12" w:rsidRDefault="00BE2A12" w:rsidP="00DF5096">
            <w:pPr>
              <w:pStyle w:val="ListParagraph"/>
              <w:ind w:left="0"/>
              <w:rPr>
                <w:rFonts w:ascii="Garamond" w:eastAsia="Times New Roman" w:hAnsi="Garamond"/>
                <w:color w:val="000000"/>
              </w:rPr>
            </w:pPr>
            <w:r w:rsidRPr="00BE2A12">
              <w:rPr>
                <w:rFonts w:ascii="Garamond" w:hAnsi="Garamond"/>
              </w:rPr>
              <w:t>What does NFSMI stand for?</w:t>
            </w:r>
          </w:p>
        </w:tc>
        <w:tc>
          <w:tcPr>
            <w:tcW w:w="3348" w:type="dxa"/>
          </w:tcPr>
          <w:p w:rsidR="00BE2A12" w:rsidRPr="00BE2A12" w:rsidRDefault="00BE2A12" w:rsidP="00DF5096">
            <w:pPr>
              <w:pStyle w:val="ListParagraph"/>
              <w:ind w:left="0"/>
              <w:rPr>
                <w:rFonts w:ascii="Garamond" w:hAnsi="Garamond"/>
              </w:rPr>
            </w:pPr>
            <w:r w:rsidRPr="00BE2A12">
              <w:rPr>
                <w:rFonts w:ascii="Garamond" w:eastAsia="Times New Roman" w:hAnsi="Garamond"/>
                <w:color w:val="000000"/>
              </w:rPr>
              <w:t>Clarified by adding “National</w:t>
            </w:r>
            <w:r w:rsidRPr="00BE2A12">
              <w:rPr>
                <w:rFonts w:ascii="Garamond" w:eastAsia="Times New Roman" w:hAnsi="Garamond"/>
                <w:bCs/>
                <w:color w:val="000000"/>
              </w:rPr>
              <w:t xml:space="preserve"> Food Service Management Institute</w:t>
            </w:r>
            <w:r w:rsidRPr="00BE2A12">
              <w:rPr>
                <w:rFonts w:ascii="Garamond" w:eastAsia="Times New Roman" w:hAnsi="Garamond"/>
                <w:color w:val="000000"/>
              </w:rPr>
              <w:t xml:space="preserve"> (NFSMI)” in place of NFSMI.</w:t>
            </w:r>
          </w:p>
        </w:tc>
      </w:tr>
      <w:tr w:rsidR="00BE2A12" w:rsidRPr="00BE2A12" w:rsidTr="00DF5096">
        <w:trPr>
          <w:trHeight w:val="571"/>
        </w:trPr>
        <w:tc>
          <w:tcPr>
            <w:tcW w:w="1548" w:type="dxa"/>
          </w:tcPr>
          <w:p w:rsidR="00BE2A12" w:rsidRPr="00BE2A12" w:rsidRDefault="00BE2A12" w:rsidP="00DF5096">
            <w:pPr>
              <w:rPr>
                <w:rFonts w:ascii="Garamond" w:hAnsi="Garamond"/>
              </w:rPr>
            </w:pPr>
            <w:r w:rsidRPr="00BE2A12">
              <w:rPr>
                <w:rFonts w:ascii="Garamond" w:hAnsi="Garamond"/>
              </w:rPr>
              <w:t>D5a</w:t>
            </w:r>
          </w:p>
          <w:p w:rsidR="00BE2A12" w:rsidRPr="00BE2A12" w:rsidRDefault="00BE2A12" w:rsidP="00DF5096">
            <w:pPr>
              <w:rPr>
                <w:rFonts w:ascii="Garamond" w:hAnsi="Garamond"/>
              </w:rPr>
            </w:pPr>
            <w:r w:rsidRPr="00BE2A12">
              <w:rPr>
                <w:rFonts w:ascii="Garamond" w:hAnsi="Garamond"/>
              </w:rPr>
              <w:t>D6a</w:t>
            </w:r>
          </w:p>
        </w:tc>
        <w:tc>
          <w:tcPr>
            <w:tcW w:w="4320" w:type="dxa"/>
          </w:tcPr>
          <w:p w:rsidR="00BE2A12" w:rsidRPr="00BE2A12" w:rsidRDefault="00BE2A12" w:rsidP="00DF5096">
            <w:pPr>
              <w:pStyle w:val="ListParagraph"/>
              <w:ind w:left="0"/>
              <w:rPr>
                <w:rFonts w:ascii="Garamond" w:hAnsi="Garamond"/>
              </w:rPr>
            </w:pPr>
            <w:r w:rsidRPr="00BE2A12">
              <w:rPr>
                <w:rFonts w:ascii="Garamond" w:hAnsi="Garamond"/>
              </w:rPr>
              <w:t>This question seems more suited to a check all that apply answer style than yes/no.</w:t>
            </w:r>
          </w:p>
        </w:tc>
        <w:tc>
          <w:tcPr>
            <w:tcW w:w="3348" w:type="dxa"/>
          </w:tcPr>
          <w:p w:rsidR="00BE2A12" w:rsidRPr="00BE2A12" w:rsidRDefault="00BE2A12" w:rsidP="00DF5096">
            <w:pPr>
              <w:pStyle w:val="ListParagraph"/>
              <w:ind w:left="0"/>
              <w:rPr>
                <w:rFonts w:ascii="Garamond" w:eastAsia="Times New Roman" w:hAnsi="Garamond"/>
                <w:color w:val="000000"/>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bl>
    <w:p w:rsidR="000B53E0" w:rsidRPr="008D6F0C" w:rsidRDefault="000B53E0" w:rsidP="000B53E0">
      <w:pPr>
        <w:autoSpaceDE w:val="0"/>
        <w:autoSpaceDN w:val="0"/>
        <w:adjustRightInd w:val="0"/>
        <w:rPr>
          <w:b/>
        </w:rPr>
      </w:pPr>
    </w:p>
    <w:p w:rsidR="00BE2A12" w:rsidRPr="00F1063A" w:rsidRDefault="00BE2A12">
      <w:pPr>
        <w:rPr>
          <w:rFonts w:ascii="Garamond" w:hAnsi="Garamond"/>
          <w:sz w:val="24"/>
          <w:szCs w:val="24"/>
        </w:rPr>
      </w:pPr>
      <w:r w:rsidRPr="00F1063A">
        <w:rPr>
          <w:rFonts w:ascii="Garamond" w:hAnsi="Garamond"/>
          <w:sz w:val="24"/>
          <w:szCs w:val="24"/>
        </w:rPr>
        <w:br w:type="page"/>
      </w:r>
    </w:p>
    <w:p w:rsidR="009C15E9" w:rsidRPr="00F5427A" w:rsidRDefault="009C15E9">
      <w:pPr>
        <w:rPr>
          <w:rFonts w:ascii="Garamond" w:hAnsi="Garamond"/>
          <w:b/>
          <w:i/>
          <w:sz w:val="24"/>
          <w:szCs w:val="24"/>
          <w:u w:val="single"/>
        </w:rPr>
      </w:pPr>
      <w:r w:rsidRPr="00F5427A">
        <w:rPr>
          <w:rFonts w:ascii="Garamond" w:hAnsi="Garamond"/>
          <w:b/>
          <w:i/>
          <w:sz w:val="24"/>
          <w:szCs w:val="24"/>
          <w:u w:val="single"/>
        </w:rPr>
        <w:lastRenderedPageBreak/>
        <w:t>Appendix F</w:t>
      </w:r>
      <w:r w:rsidR="00543468">
        <w:rPr>
          <w:rFonts w:ascii="Garamond" w:hAnsi="Garamond"/>
          <w:b/>
          <w:i/>
          <w:sz w:val="24"/>
          <w:szCs w:val="24"/>
          <w:u w:val="single"/>
        </w:rPr>
        <w:t>:</w:t>
      </w:r>
      <w:r w:rsidRPr="00F5427A">
        <w:rPr>
          <w:rFonts w:ascii="Garamond" w:hAnsi="Garamond"/>
          <w:b/>
          <w:i/>
          <w:sz w:val="24"/>
          <w:szCs w:val="24"/>
          <w:u w:val="single"/>
        </w:rPr>
        <w:t xml:space="preserve"> SFA Director Survey</w:t>
      </w:r>
    </w:p>
    <w:p w:rsidR="00BE2A12" w:rsidRPr="00596EDC" w:rsidRDefault="00BE2A12" w:rsidP="00BE2A12">
      <w:pPr>
        <w:autoSpaceDE w:val="0"/>
        <w:autoSpaceDN w:val="0"/>
        <w:adjustRightInd w:val="0"/>
        <w:rPr>
          <w:rFonts w:ascii="Garamond" w:hAnsi="Garamond"/>
          <w:sz w:val="24"/>
          <w:szCs w:val="24"/>
        </w:rPr>
      </w:pPr>
      <w:r w:rsidRPr="00596EDC">
        <w:rPr>
          <w:rFonts w:ascii="Garamond" w:hAnsi="Garamond"/>
          <w:sz w:val="24"/>
          <w:szCs w:val="24"/>
        </w:rPr>
        <w:t xml:space="preserve">The table below summarizes the changes made to the </w:t>
      </w:r>
      <w:r>
        <w:rPr>
          <w:rFonts w:ascii="Garamond" w:hAnsi="Garamond"/>
          <w:sz w:val="24"/>
          <w:szCs w:val="24"/>
        </w:rPr>
        <w:t>SFA</w:t>
      </w:r>
      <w:r w:rsidRPr="00596EDC">
        <w:rPr>
          <w:rFonts w:ascii="Garamond" w:hAnsi="Garamond"/>
          <w:sz w:val="24"/>
          <w:szCs w:val="24"/>
        </w:rPr>
        <w:t xml:space="preserve"> Director Survey. </w:t>
      </w:r>
    </w:p>
    <w:tbl>
      <w:tblPr>
        <w:tblStyle w:val="TableGrid"/>
        <w:tblW w:w="9360" w:type="dxa"/>
        <w:tblLook w:val="04A0"/>
      </w:tblPr>
      <w:tblGrid>
        <w:gridCol w:w="1728"/>
        <w:gridCol w:w="4320"/>
        <w:gridCol w:w="3312"/>
      </w:tblGrid>
      <w:tr w:rsidR="00E81CD9" w:rsidRPr="00BE2A12" w:rsidTr="00BE2A12">
        <w:trPr>
          <w:trHeight w:val="530"/>
          <w:tblHeader/>
        </w:trPr>
        <w:tc>
          <w:tcPr>
            <w:tcW w:w="1728" w:type="dxa"/>
            <w:shd w:val="clear" w:color="auto" w:fill="B8CCE4" w:themeFill="accent1" w:themeFillTint="66"/>
          </w:tcPr>
          <w:p w:rsidR="00E81CD9" w:rsidRPr="00BE2A12" w:rsidRDefault="00E81CD9" w:rsidP="006A7304">
            <w:pPr>
              <w:rPr>
                <w:rFonts w:ascii="Garamond" w:hAnsi="Garamond"/>
                <w:b/>
              </w:rPr>
            </w:pPr>
            <w:r w:rsidRPr="00BE2A12">
              <w:rPr>
                <w:rFonts w:ascii="Garamond" w:hAnsi="Garamond"/>
                <w:b/>
              </w:rPr>
              <w:t>Question #</w:t>
            </w:r>
          </w:p>
        </w:tc>
        <w:tc>
          <w:tcPr>
            <w:tcW w:w="4320" w:type="dxa"/>
            <w:shd w:val="clear" w:color="auto" w:fill="B8CCE4" w:themeFill="accent1" w:themeFillTint="66"/>
          </w:tcPr>
          <w:p w:rsidR="00E81CD9" w:rsidRPr="00BE2A12" w:rsidRDefault="00E81CD9" w:rsidP="00E81CD9">
            <w:pPr>
              <w:rPr>
                <w:rFonts w:ascii="Garamond" w:hAnsi="Garamond"/>
                <w:b/>
              </w:rPr>
            </w:pPr>
            <w:r w:rsidRPr="00BE2A12">
              <w:rPr>
                <w:rFonts w:ascii="Garamond" w:hAnsi="Garamond"/>
                <w:b/>
              </w:rPr>
              <w:t>Comment</w:t>
            </w:r>
          </w:p>
        </w:tc>
        <w:tc>
          <w:tcPr>
            <w:tcW w:w="3312" w:type="dxa"/>
            <w:shd w:val="clear" w:color="auto" w:fill="B8CCE4" w:themeFill="accent1" w:themeFillTint="66"/>
          </w:tcPr>
          <w:p w:rsidR="00E81CD9" w:rsidRPr="00BE2A12" w:rsidRDefault="00E81CD9" w:rsidP="00E81CD9">
            <w:pPr>
              <w:rPr>
                <w:rFonts w:ascii="Garamond" w:hAnsi="Garamond"/>
                <w:b/>
              </w:rPr>
            </w:pPr>
            <w:r w:rsidRPr="00BE2A12">
              <w:rPr>
                <w:rFonts w:ascii="Garamond" w:hAnsi="Garamond"/>
                <w:b/>
              </w:rPr>
              <w:t xml:space="preserve">Changes </w:t>
            </w:r>
            <w:r w:rsidR="004958DE">
              <w:rPr>
                <w:rFonts w:ascii="Garamond" w:hAnsi="Garamond"/>
                <w:b/>
              </w:rPr>
              <w:t>or modifications made</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Introduction</w:t>
            </w:r>
          </w:p>
          <w:p w:rsidR="00E81CD9" w:rsidRPr="00BE2A12" w:rsidRDefault="00E81CD9" w:rsidP="006A7304">
            <w:pPr>
              <w:jc w:val="both"/>
              <w:rPr>
                <w:rFonts w:ascii="Garamond" w:hAnsi="Garamond"/>
              </w:rPr>
            </w:pPr>
          </w:p>
        </w:tc>
        <w:tc>
          <w:tcPr>
            <w:tcW w:w="4320" w:type="dxa"/>
          </w:tcPr>
          <w:p w:rsidR="00E81CD9" w:rsidRPr="00BE2A12" w:rsidRDefault="00E81CD9" w:rsidP="00E81CD9">
            <w:pPr>
              <w:rPr>
                <w:rFonts w:ascii="Garamond" w:hAnsi="Garamond"/>
              </w:rPr>
            </w:pPr>
            <w:r w:rsidRPr="00BE2A12">
              <w:rPr>
                <w:rFonts w:ascii="Garamond" w:hAnsi="Garamond"/>
              </w:rPr>
              <w:t>Title – Should “Survey 2012” be “Survey 2012-2013” or “Survey 2011-2012”?</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Changed to Survey </w:t>
            </w:r>
            <w:r w:rsidR="00DC4301">
              <w:rPr>
                <w:rFonts w:ascii="Garamond" w:hAnsi="Garamond"/>
              </w:rPr>
              <w:t xml:space="preserve">SY </w:t>
            </w:r>
            <w:r w:rsidRPr="00BE2A12">
              <w:rPr>
                <w:rFonts w:ascii="Garamond" w:hAnsi="Garamond"/>
              </w:rPr>
              <w:t>2012-2013</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1</w:t>
            </w:r>
          </w:p>
          <w:p w:rsidR="00E81CD9" w:rsidRPr="00BE2A12" w:rsidRDefault="00E81CD9" w:rsidP="006A7304">
            <w:pPr>
              <w:jc w:val="both"/>
              <w:rPr>
                <w:rFonts w:ascii="Garamond" w:hAnsi="Garamond"/>
              </w:rPr>
            </w:pPr>
            <w:r w:rsidRPr="00BE2A12">
              <w:rPr>
                <w:rFonts w:ascii="Garamond" w:hAnsi="Garamond"/>
              </w:rPr>
              <w:t>1.1f</w:t>
            </w:r>
          </w:p>
        </w:tc>
        <w:tc>
          <w:tcPr>
            <w:tcW w:w="4320" w:type="dxa"/>
          </w:tcPr>
          <w:p w:rsidR="00E81CD9" w:rsidRPr="00BE2A12" w:rsidRDefault="00E81CD9" w:rsidP="00E81CD9">
            <w:pPr>
              <w:rPr>
                <w:rFonts w:ascii="Garamond" w:hAnsi="Garamond"/>
              </w:rPr>
            </w:pPr>
            <w:r w:rsidRPr="00BE2A12">
              <w:rPr>
                <w:rFonts w:ascii="Garamond" w:hAnsi="Garamond"/>
              </w:rPr>
              <w:t>Do you want the grades of each school listed separately or a list of any grade that is served by one of the ‘other schools’?</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We want the grades of each school listed separately</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1.3</w:t>
            </w:r>
          </w:p>
        </w:tc>
        <w:tc>
          <w:tcPr>
            <w:tcW w:w="4320" w:type="dxa"/>
          </w:tcPr>
          <w:p w:rsidR="00E81CD9" w:rsidRPr="00BE2A12" w:rsidRDefault="00E81CD9" w:rsidP="00E81CD9">
            <w:pPr>
              <w:rPr>
                <w:rFonts w:ascii="Garamond" w:hAnsi="Garamond"/>
              </w:rPr>
            </w:pPr>
            <w:r w:rsidRPr="00BE2A12">
              <w:rPr>
                <w:rFonts w:ascii="Garamond" w:hAnsi="Garamond"/>
              </w:rPr>
              <w:t>In 1.4 you define a high need school. Do you need to define a severe need school in this question?</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Added definition for severe need school</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2</w:t>
            </w:r>
          </w:p>
          <w:p w:rsidR="00E81CD9" w:rsidRPr="00BE2A12" w:rsidRDefault="00E81CD9" w:rsidP="006A7304">
            <w:pPr>
              <w:jc w:val="both"/>
              <w:rPr>
                <w:rFonts w:ascii="Garamond" w:hAnsi="Garamond"/>
              </w:rPr>
            </w:pPr>
            <w:r w:rsidRPr="00BE2A12">
              <w:rPr>
                <w:rFonts w:ascii="Garamond" w:hAnsi="Garamond"/>
              </w:rPr>
              <w:t>2.1a</w:t>
            </w:r>
          </w:p>
        </w:tc>
        <w:tc>
          <w:tcPr>
            <w:tcW w:w="4320" w:type="dxa"/>
          </w:tcPr>
          <w:p w:rsidR="00E81CD9" w:rsidRPr="00BE2A12" w:rsidRDefault="00E81CD9" w:rsidP="00E81CD9">
            <w:pPr>
              <w:rPr>
                <w:rFonts w:ascii="Garamond" w:hAnsi="Garamond"/>
              </w:rPr>
            </w:pPr>
            <w:r w:rsidRPr="00BE2A12">
              <w:rPr>
                <w:rFonts w:ascii="Garamond" w:hAnsi="Garamond"/>
              </w:rPr>
              <w:t>The wording of the footnote is somewhat confusing. Do you want to include these students in your counts or not?</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Revised the footnote. We want to include these students in the counts</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2.1d</w:t>
            </w:r>
          </w:p>
        </w:tc>
        <w:tc>
          <w:tcPr>
            <w:tcW w:w="4320" w:type="dxa"/>
          </w:tcPr>
          <w:p w:rsidR="00E81CD9" w:rsidRPr="00BE2A12" w:rsidRDefault="00E81CD9" w:rsidP="00E81CD9">
            <w:pPr>
              <w:rPr>
                <w:rFonts w:ascii="Garamond" w:hAnsi="Garamond"/>
              </w:rPr>
            </w:pPr>
            <w:r w:rsidRPr="00BE2A12">
              <w:rPr>
                <w:rFonts w:ascii="Garamond" w:hAnsi="Garamond"/>
              </w:rPr>
              <w:t>The wording of the footnote is somewhat confusing. Do you want to include these students in your counts or not?</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Revised the footnote. We want to include these students in the counts</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2.3d</w:t>
            </w:r>
          </w:p>
        </w:tc>
        <w:tc>
          <w:tcPr>
            <w:tcW w:w="4320" w:type="dxa"/>
          </w:tcPr>
          <w:p w:rsidR="00E81CD9" w:rsidRPr="00BE2A12" w:rsidRDefault="00E81CD9" w:rsidP="00E81CD9">
            <w:pPr>
              <w:rPr>
                <w:rFonts w:ascii="Garamond" w:hAnsi="Garamond"/>
              </w:rPr>
            </w:pPr>
            <w:r w:rsidRPr="00BE2A12">
              <w:rPr>
                <w:rFonts w:ascii="Garamond" w:hAnsi="Garamond"/>
              </w:rPr>
              <w:t>There is an asterisk but no footnote.</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Removed asterisk</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2.5</w:t>
            </w:r>
          </w:p>
        </w:tc>
        <w:tc>
          <w:tcPr>
            <w:tcW w:w="4320" w:type="dxa"/>
          </w:tcPr>
          <w:p w:rsidR="00E81CD9" w:rsidRPr="00BE2A12" w:rsidRDefault="00E81CD9" w:rsidP="00E81CD9">
            <w:pPr>
              <w:rPr>
                <w:rFonts w:ascii="Garamond" w:hAnsi="Garamond"/>
              </w:rPr>
            </w:pPr>
            <w:r w:rsidRPr="00BE2A12">
              <w:rPr>
                <w:rFonts w:ascii="Garamond" w:hAnsi="Garamond"/>
              </w:rPr>
              <w:t>Change “Number of students” to “Number of Reimbursable Breakfasts Claimed” to match the other years’ tables.</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Changed. </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3</w:t>
            </w:r>
          </w:p>
          <w:p w:rsidR="00E81CD9" w:rsidRPr="00BE2A12" w:rsidRDefault="00E81CD9" w:rsidP="006A7304">
            <w:pPr>
              <w:rPr>
                <w:rFonts w:ascii="Garamond" w:hAnsi="Garamond"/>
              </w:rPr>
            </w:pPr>
          </w:p>
        </w:tc>
        <w:tc>
          <w:tcPr>
            <w:tcW w:w="4320" w:type="dxa"/>
          </w:tcPr>
          <w:p w:rsidR="00E81CD9" w:rsidRPr="00BE2A12" w:rsidRDefault="00E81CD9" w:rsidP="00E81CD9">
            <w:pPr>
              <w:rPr>
                <w:rFonts w:ascii="Garamond" w:hAnsi="Garamond"/>
              </w:rPr>
            </w:pPr>
            <w:r w:rsidRPr="00BE2A12">
              <w:rPr>
                <w:rFonts w:ascii="Garamond" w:hAnsi="Garamond"/>
              </w:rPr>
              <w:t>Please specify if you are talking about the current school year.</w:t>
            </w:r>
          </w:p>
        </w:tc>
        <w:tc>
          <w:tcPr>
            <w:tcW w:w="3312" w:type="dxa"/>
          </w:tcPr>
          <w:p w:rsidR="00E81CD9" w:rsidRPr="00BE2A12" w:rsidRDefault="00E81CD9" w:rsidP="00E81CD9">
            <w:pPr>
              <w:rPr>
                <w:rFonts w:ascii="Garamond" w:hAnsi="Garamond"/>
              </w:rPr>
            </w:pPr>
            <w:r w:rsidRPr="00BE2A12">
              <w:rPr>
                <w:rFonts w:ascii="Garamond" w:hAnsi="Garamond"/>
              </w:rPr>
              <w:t xml:space="preserve">Added the 2012-2013 school </w:t>
            </w:r>
            <w:proofErr w:type="gramStart"/>
            <w:r w:rsidRPr="00BE2A12">
              <w:rPr>
                <w:rFonts w:ascii="Garamond" w:hAnsi="Garamond"/>
              </w:rPr>
              <w:t>year</w:t>
            </w:r>
            <w:proofErr w:type="gramEnd"/>
            <w:r w:rsidRPr="00BE2A12">
              <w:rPr>
                <w:rFonts w:ascii="Garamond" w:hAnsi="Garamond"/>
              </w:rPr>
              <w:t xml:space="preserve"> to the description of the questions.</w:t>
            </w:r>
          </w:p>
        </w:tc>
      </w:tr>
      <w:tr w:rsidR="00E81CD9" w:rsidRPr="00BE2A12" w:rsidTr="00BE2A12">
        <w:tc>
          <w:tcPr>
            <w:tcW w:w="1728" w:type="dxa"/>
          </w:tcPr>
          <w:p w:rsidR="00E81CD9" w:rsidRDefault="00E81CD9" w:rsidP="006A7304">
            <w:pPr>
              <w:rPr>
                <w:rFonts w:ascii="Garamond" w:hAnsi="Garamond"/>
              </w:rPr>
            </w:pPr>
            <w:r w:rsidRPr="00BE2A12">
              <w:rPr>
                <w:rFonts w:ascii="Garamond" w:hAnsi="Garamond"/>
              </w:rPr>
              <w:t>3.2</w:t>
            </w:r>
          </w:p>
          <w:p w:rsidR="00AA6B6C" w:rsidRPr="00BE2A12" w:rsidRDefault="00AA6B6C" w:rsidP="006A7304">
            <w:pPr>
              <w:rPr>
                <w:rFonts w:ascii="Garamond" w:hAnsi="Garamond"/>
              </w:rPr>
            </w:pPr>
            <w:r>
              <w:rPr>
                <w:rFonts w:ascii="Garamond" w:hAnsi="Garamond"/>
              </w:rPr>
              <w:t>3.4</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p w:rsidR="00E81CD9" w:rsidRPr="00BE2A12" w:rsidRDefault="00E81CD9" w:rsidP="00E81CD9">
            <w:pPr>
              <w:rPr>
                <w:rFonts w:ascii="Garamond" w:hAnsi="Garamond"/>
              </w:rPr>
            </w:pP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3.5c</w:t>
            </w:r>
          </w:p>
        </w:tc>
        <w:tc>
          <w:tcPr>
            <w:tcW w:w="4320" w:type="dxa"/>
          </w:tcPr>
          <w:p w:rsidR="00E81CD9" w:rsidRPr="00BE2A12" w:rsidRDefault="00E81CD9" w:rsidP="00E81CD9">
            <w:pPr>
              <w:rPr>
                <w:rFonts w:ascii="Garamond" w:hAnsi="Garamond"/>
              </w:rPr>
            </w:pPr>
            <w:r w:rsidRPr="00BE2A12">
              <w:rPr>
                <w:rFonts w:ascii="Garamond" w:hAnsi="Garamond"/>
              </w:rPr>
              <w:t>Other text field in 3.5.d should be moved here.</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Corrected.</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3.5d</w:t>
            </w:r>
          </w:p>
        </w:tc>
        <w:tc>
          <w:tcPr>
            <w:tcW w:w="4320" w:type="dxa"/>
          </w:tcPr>
          <w:p w:rsidR="00E81CD9" w:rsidRPr="00BE2A12" w:rsidRDefault="00E81CD9" w:rsidP="00E81CD9">
            <w:pPr>
              <w:rPr>
                <w:rFonts w:ascii="Garamond" w:hAnsi="Garamond"/>
              </w:rPr>
            </w:pPr>
            <w:r w:rsidRPr="00BE2A12">
              <w:rPr>
                <w:rFonts w:ascii="Garamond" w:hAnsi="Garamond"/>
              </w:rPr>
              <w:t>This option should be deleted.</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Deleted option.</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3.7</w:t>
            </w:r>
          </w:p>
        </w:tc>
        <w:tc>
          <w:tcPr>
            <w:tcW w:w="4320" w:type="dxa"/>
          </w:tcPr>
          <w:p w:rsidR="00E81CD9" w:rsidRPr="00BE2A12" w:rsidRDefault="00E81CD9" w:rsidP="00E81CD9">
            <w:pPr>
              <w:rPr>
                <w:rFonts w:ascii="Garamond" w:hAnsi="Garamond"/>
              </w:rPr>
            </w:pPr>
            <w:r w:rsidRPr="00BE2A12">
              <w:rPr>
                <w:rFonts w:ascii="Garamond" w:hAnsi="Garamond"/>
              </w:rPr>
              <w:t>What if some elementary schools have water available and some don’t? How should a respondent complete this chart?</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The SFA Directors are asked to respond to questions such as this in general by thinking about all the schools under their SFA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3.7</w:t>
            </w:r>
          </w:p>
        </w:tc>
        <w:tc>
          <w:tcPr>
            <w:tcW w:w="4320" w:type="dxa"/>
          </w:tcPr>
          <w:p w:rsidR="00E81CD9" w:rsidRPr="00BE2A12" w:rsidRDefault="00E81CD9" w:rsidP="00E81CD9">
            <w:pPr>
              <w:rPr>
                <w:rFonts w:ascii="Garamond" w:hAnsi="Garamond"/>
              </w:rPr>
            </w:pPr>
            <w:r w:rsidRPr="00BE2A12">
              <w:rPr>
                <w:rFonts w:ascii="Garamond" w:hAnsi="Garamond"/>
              </w:rPr>
              <w:t>What should a respondent do if DON’T KNOW to all of 3.7? What is their skip pattern?</w:t>
            </w:r>
          </w:p>
        </w:tc>
        <w:tc>
          <w:tcPr>
            <w:tcW w:w="3312" w:type="dxa"/>
          </w:tcPr>
          <w:p w:rsidR="00E81CD9" w:rsidRPr="00BE2A12" w:rsidRDefault="00E81CD9" w:rsidP="00E81CD9">
            <w:pPr>
              <w:rPr>
                <w:rFonts w:ascii="Garamond" w:hAnsi="Garamond"/>
              </w:rPr>
            </w:pPr>
            <w:r w:rsidRPr="00BE2A12">
              <w:rPr>
                <w:rFonts w:ascii="Garamond" w:hAnsi="Garamond"/>
              </w:rPr>
              <w:t>Respondent is asked to skip to 3.11</w:t>
            </w:r>
          </w:p>
        </w:tc>
      </w:tr>
      <w:tr w:rsidR="00E81CD9" w:rsidRPr="00BE2A12" w:rsidTr="00BE2A12">
        <w:tc>
          <w:tcPr>
            <w:tcW w:w="1728" w:type="dxa"/>
            <w:tcBorders>
              <w:bottom w:val="single" w:sz="4" w:space="0" w:color="auto"/>
            </w:tcBorders>
          </w:tcPr>
          <w:p w:rsidR="00E81CD9" w:rsidRPr="00BE2A12" w:rsidRDefault="00E81CD9" w:rsidP="006A7304">
            <w:pPr>
              <w:rPr>
                <w:rFonts w:ascii="Garamond" w:hAnsi="Garamond"/>
              </w:rPr>
            </w:pPr>
            <w:r w:rsidRPr="00BE2A12">
              <w:rPr>
                <w:rFonts w:ascii="Garamond" w:hAnsi="Garamond"/>
              </w:rPr>
              <w:t>3.8</w:t>
            </w:r>
          </w:p>
        </w:tc>
        <w:tc>
          <w:tcPr>
            <w:tcW w:w="4320" w:type="dxa"/>
            <w:tcBorders>
              <w:bottom w:val="single" w:sz="4" w:space="0" w:color="auto"/>
            </w:tcBorders>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tc>
        <w:tc>
          <w:tcPr>
            <w:tcW w:w="3312" w:type="dxa"/>
            <w:tcBorders>
              <w:bottom w:val="single" w:sz="4" w:space="0" w:color="auto"/>
            </w:tcBorders>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w:t>
            </w:r>
            <w:r w:rsidRPr="00BE2A12">
              <w:rPr>
                <w:rFonts w:ascii="Garamond" w:hAnsi="Garamond"/>
              </w:rPr>
              <w:lastRenderedPageBreak/>
              <w:t>them to answer each item rather than check items that apply</w:t>
            </w:r>
          </w:p>
        </w:tc>
      </w:tr>
      <w:tr w:rsidR="00E81CD9" w:rsidRPr="00BE2A12" w:rsidTr="00BE2A12">
        <w:tc>
          <w:tcPr>
            <w:tcW w:w="1728" w:type="dxa"/>
            <w:tcBorders>
              <w:bottom w:val="nil"/>
            </w:tcBorders>
          </w:tcPr>
          <w:p w:rsidR="00E81CD9" w:rsidRPr="00BE2A12" w:rsidRDefault="00E81CD9" w:rsidP="006A7304">
            <w:pPr>
              <w:rPr>
                <w:rFonts w:ascii="Garamond" w:hAnsi="Garamond"/>
              </w:rPr>
            </w:pPr>
            <w:r w:rsidRPr="00BE2A12">
              <w:rPr>
                <w:rFonts w:ascii="Garamond" w:hAnsi="Garamond"/>
              </w:rPr>
              <w:lastRenderedPageBreak/>
              <w:t>3.12</w:t>
            </w:r>
          </w:p>
        </w:tc>
        <w:tc>
          <w:tcPr>
            <w:tcW w:w="4320" w:type="dxa"/>
            <w:tcBorders>
              <w:bottom w:val="nil"/>
            </w:tcBorders>
          </w:tcPr>
          <w:p w:rsidR="00E81CD9" w:rsidRPr="00BE2A12" w:rsidRDefault="00E81CD9" w:rsidP="00E81CD9">
            <w:pPr>
              <w:rPr>
                <w:rFonts w:ascii="Garamond" w:hAnsi="Garamond"/>
              </w:rPr>
            </w:pPr>
            <w:r w:rsidRPr="00BE2A12">
              <w:rPr>
                <w:rFonts w:ascii="Garamond" w:hAnsi="Garamond"/>
              </w:rPr>
              <w:t xml:space="preserve">I think larger response blocks (in the style of 2.9) are needed in this chart to give the respondent room to write numbers. </w:t>
            </w:r>
          </w:p>
        </w:tc>
        <w:tc>
          <w:tcPr>
            <w:tcW w:w="3312" w:type="dxa"/>
            <w:tcBorders>
              <w:bottom w:val="nil"/>
            </w:tcBorders>
          </w:tcPr>
          <w:p w:rsidR="00E81CD9" w:rsidRPr="00BE2A12" w:rsidRDefault="00E81CD9" w:rsidP="00E81CD9">
            <w:pPr>
              <w:rPr>
                <w:rFonts w:ascii="Garamond" w:hAnsi="Garamond"/>
              </w:rPr>
            </w:pPr>
            <w:r w:rsidRPr="00BE2A12">
              <w:rPr>
                <w:rFonts w:ascii="Garamond" w:hAnsi="Garamond"/>
              </w:rPr>
              <w:t xml:space="preserve">The response blocks were made bigger so that respondents could write numbers. </w:t>
            </w:r>
          </w:p>
        </w:tc>
      </w:tr>
      <w:tr w:rsidR="00E81CD9" w:rsidRPr="00BE2A12" w:rsidTr="00BE2A12">
        <w:tc>
          <w:tcPr>
            <w:tcW w:w="1728" w:type="dxa"/>
            <w:tcBorders>
              <w:top w:val="nil"/>
            </w:tcBorders>
          </w:tcPr>
          <w:p w:rsidR="00E81CD9" w:rsidRPr="00BE2A12" w:rsidRDefault="00E81CD9" w:rsidP="006A7304">
            <w:pPr>
              <w:rPr>
                <w:rFonts w:ascii="Garamond" w:hAnsi="Garamond"/>
              </w:rPr>
            </w:pPr>
          </w:p>
        </w:tc>
        <w:tc>
          <w:tcPr>
            <w:tcW w:w="4320" w:type="dxa"/>
            <w:tcBorders>
              <w:top w:val="nil"/>
            </w:tcBorders>
          </w:tcPr>
          <w:p w:rsidR="00E81CD9" w:rsidRPr="00BE2A12" w:rsidRDefault="00E81CD9" w:rsidP="00E81CD9">
            <w:pPr>
              <w:rPr>
                <w:rFonts w:ascii="Garamond" w:hAnsi="Garamond"/>
              </w:rPr>
            </w:pPr>
            <w:r w:rsidRPr="00BE2A12">
              <w:rPr>
                <w:rFonts w:ascii="Garamond" w:hAnsi="Garamond"/>
              </w:rPr>
              <w:t xml:space="preserve">Is it possible for a school to operate one program under one provision and the other program under a different provision? If so, how would a respondent </w:t>
            </w:r>
            <w:proofErr w:type="gramStart"/>
            <w:r w:rsidRPr="00BE2A12">
              <w:rPr>
                <w:rFonts w:ascii="Garamond" w:hAnsi="Garamond"/>
              </w:rPr>
              <w:t>be</w:t>
            </w:r>
            <w:proofErr w:type="gramEnd"/>
            <w:r w:rsidRPr="00BE2A12">
              <w:rPr>
                <w:rFonts w:ascii="Garamond" w:hAnsi="Garamond"/>
              </w:rPr>
              <w:t xml:space="preserve"> expected to fill out this chart?</w:t>
            </w:r>
          </w:p>
          <w:p w:rsidR="00E81CD9" w:rsidRPr="00BE2A12" w:rsidRDefault="00E81CD9" w:rsidP="00E81CD9">
            <w:pPr>
              <w:rPr>
                <w:rFonts w:ascii="Garamond" w:hAnsi="Garamond"/>
              </w:rPr>
            </w:pPr>
          </w:p>
        </w:tc>
        <w:tc>
          <w:tcPr>
            <w:tcW w:w="3312" w:type="dxa"/>
            <w:tcBorders>
              <w:top w:val="nil"/>
            </w:tcBorders>
          </w:tcPr>
          <w:p w:rsidR="00E81CD9" w:rsidRPr="00BE2A12" w:rsidRDefault="00E81CD9" w:rsidP="00E81CD9">
            <w:pPr>
              <w:rPr>
                <w:rFonts w:ascii="Garamond" w:hAnsi="Garamond"/>
              </w:rPr>
            </w:pPr>
            <w:r w:rsidRPr="00BE2A12">
              <w:rPr>
                <w:rFonts w:ascii="Garamond" w:hAnsi="Garamond"/>
              </w:rPr>
              <w:t>The respondent is able to give the number of schools operating under each provision</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3.13</w:t>
            </w:r>
          </w:p>
        </w:tc>
        <w:tc>
          <w:tcPr>
            <w:tcW w:w="4320" w:type="dxa"/>
          </w:tcPr>
          <w:p w:rsidR="00E81CD9" w:rsidRPr="00AA6B6C" w:rsidRDefault="00E81CD9" w:rsidP="00E81CD9">
            <w:pPr>
              <w:rPr>
                <w:rFonts w:ascii="Garamond" w:hAnsi="Garamond"/>
              </w:rPr>
            </w:pPr>
            <w:r w:rsidRPr="00AA6B6C">
              <w:rPr>
                <w:rFonts w:ascii="Garamond" w:hAnsi="Garamond"/>
              </w:rPr>
              <w:t>I do not understand how a respondent is supposed to answer this question using this chart. What if, out of 10 schools, 2 were Very Likely, 3 were Very Unlikely, 2 were Don’t Know, and 3 were Likely?</w:t>
            </w:r>
          </w:p>
        </w:tc>
        <w:tc>
          <w:tcPr>
            <w:tcW w:w="3312" w:type="dxa"/>
          </w:tcPr>
          <w:p w:rsidR="00E81CD9" w:rsidRPr="00BE2A12" w:rsidRDefault="00E81CD9" w:rsidP="00E81CD9">
            <w:pPr>
              <w:rPr>
                <w:rFonts w:ascii="Garamond" w:hAnsi="Garamond"/>
              </w:rPr>
            </w:pPr>
            <w:r w:rsidRPr="00BE2A12">
              <w:rPr>
                <w:rFonts w:ascii="Garamond" w:hAnsi="Garamond"/>
              </w:rPr>
              <w:t xml:space="preserve">Respondents will be allowed to mark several options for this question.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3.16</w:t>
            </w:r>
          </w:p>
        </w:tc>
        <w:tc>
          <w:tcPr>
            <w:tcW w:w="4320" w:type="dxa"/>
          </w:tcPr>
          <w:p w:rsidR="00E81CD9" w:rsidRPr="00BE2A12" w:rsidRDefault="00E81CD9" w:rsidP="00E81CD9">
            <w:pPr>
              <w:rPr>
                <w:rFonts w:ascii="Garamond" w:hAnsi="Garamond"/>
              </w:rPr>
            </w:pPr>
            <w:r w:rsidRPr="00BE2A12">
              <w:rPr>
                <w:rFonts w:ascii="Garamond" w:hAnsi="Garamond"/>
              </w:rPr>
              <w:t>What do HHS and CN stand for?</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Department of Health and Human Services and Child Nutrition. Spelled out these acronyms in the questionnaire</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4</w:t>
            </w:r>
          </w:p>
          <w:p w:rsidR="00E81CD9" w:rsidRPr="00BE2A12" w:rsidRDefault="00E81CD9" w:rsidP="006A7304">
            <w:pPr>
              <w:jc w:val="both"/>
              <w:rPr>
                <w:rFonts w:ascii="Garamond" w:hAnsi="Garamond"/>
              </w:rPr>
            </w:pPr>
          </w:p>
        </w:tc>
        <w:tc>
          <w:tcPr>
            <w:tcW w:w="4320" w:type="dxa"/>
          </w:tcPr>
          <w:p w:rsidR="00E81CD9" w:rsidRPr="00BE2A12" w:rsidRDefault="00E81CD9" w:rsidP="00E81CD9">
            <w:pPr>
              <w:rPr>
                <w:rFonts w:ascii="Garamond" w:hAnsi="Garamond"/>
              </w:rPr>
            </w:pPr>
            <w:r w:rsidRPr="00BE2A12">
              <w:rPr>
                <w:rFonts w:ascii="Garamond" w:hAnsi="Garamond"/>
              </w:rPr>
              <w:t xml:space="preserve">Is it possible for different schools in the same SFA to have different local wellness policies? If so, please consider how this would </w:t>
            </w:r>
            <w:proofErr w:type="spellStart"/>
            <w:proofErr w:type="gramStart"/>
            <w:r w:rsidRPr="00BE2A12">
              <w:rPr>
                <w:rFonts w:ascii="Garamond" w:hAnsi="Garamond"/>
              </w:rPr>
              <w:t>effect</w:t>
            </w:r>
            <w:proofErr w:type="spellEnd"/>
            <w:proofErr w:type="gramEnd"/>
            <w:r w:rsidRPr="00BE2A12">
              <w:rPr>
                <w:rFonts w:ascii="Garamond" w:hAnsi="Garamond"/>
              </w:rPr>
              <w:t xml:space="preserve"> the respondent’s answers for all questions in this section.</w:t>
            </w:r>
          </w:p>
        </w:tc>
        <w:tc>
          <w:tcPr>
            <w:tcW w:w="3312" w:type="dxa"/>
          </w:tcPr>
          <w:p w:rsidR="00E81CD9" w:rsidRPr="00BE2A12" w:rsidRDefault="00E81CD9" w:rsidP="00E81CD9">
            <w:pPr>
              <w:rPr>
                <w:rFonts w:ascii="Garamond" w:hAnsi="Garamond"/>
              </w:rPr>
            </w:pPr>
            <w:r w:rsidRPr="00BE2A12">
              <w:rPr>
                <w:rFonts w:ascii="Garamond" w:hAnsi="Garamond"/>
              </w:rPr>
              <w:t>Respondents are expected to respond in general for all the schools under their SFAs</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4.6</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4.7</w:t>
            </w:r>
          </w:p>
        </w:tc>
        <w:tc>
          <w:tcPr>
            <w:tcW w:w="4320" w:type="dxa"/>
          </w:tcPr>
          <w:p w:rsidR="00E81CD9" w:rsidRPr="00BE2A12" w:rsidRDefault="00E81CD9" w:rsidP="00E81CD9">
            <w:pPr>
              <w:rPr>
                <w:rFonts w:ascii="Garamond" w:hAnsi="Garamond"/>
              </w:rPr>
            </w:pPr>
            <w:r w:rsidRPr="00BE2A12">
              <w:rPr>
                <w:rFonts w:ascii="Garamond" w:hAnsi="Garamond"/>
              </w:rPr>
              <w:t>The skip pattern directs respondents to return to Q4.6. What question should they be directed to?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Changed the skip to go to Q4.8</w:t>
            </w:r>
          </w:p>
        </w:tc>
      </w:tr>
      <w:tr w:rsidR="00E81CD9" w:rsidRPr="00BE2A12" w:rsidTr="00BE2A12">
        <w:tc>
          <w:tcPr>
            <w:tcW w:w="1728" w:type="dxa"/>
          </w:tcPr>
          <w:p w:rsidR="00E81CD9" w:rsidRDefault="00E81CD9" w:rsidP="006A7304">
            <w:pPr>
              <w:rPr>
                <w:rFonts w:ascii="Garamond" w:hAnsi="Garamond"/>
              </w:rPr>
            </w:pPr>
            <w:r w:rsidRPr="00BE2A12">
              <w:rPr>
                <w:rFonts w:ascii="Garamond" w:hAnsi="Garamond"/>
              </w:rPr>
              <w:t>4.12</w:t>
            </w:r>
          </w:p>
          <w:p w:rsidR="00DE1383" w:rsidRDefault="00DE1383" w:rsidP="006A7304">
            <w:pPr>
              <w:rPr>
                <w:rFonts w:ascii="Garamond" w:hAnsi="Garamond"/>
              </w:rPr>
            </w:pPr>
            <w:r>
              <w:rPr>
                <w:rFonts w:ascii="Garamond" w:hAnsi="Garamond"/>
              </w:rPr>
              <w:t>4.14</w:t>
            </w:r>
          </w:p>
          <w:p w:rsidR="00DE1383" w:rsidRPr="00BE2A12" w:rsidRDefault="00DE1383" w:rsidP="006A7304">
            <w:pPr>
              <w:rPr>
                <w:rFonts w:ascii="Garamond" w:hAnsi="Garamond"/>
              </w:rPr>
            </w:pPr>
            <w:r>
              <w:rPr>
                <w:rFonts w:ascii="Garamond" w:hAnsi="Garamond"/>
              </w:rPr>
              <w:t>4.17</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E81CD9">
            <w:pPr>
              <w:rPr>
                <w:rFonts w:ascii="Garamond" w:hAnsi="Garamond"/>
                <w:b/>
                <w:u w:val="single"/>
              </w:rPr>
            </w:pPr>
            <w:r w:rsidRPr="00BE2A12">
              <w:rPr>
                <w:rFonts w:ascii="Garamond" w:hAnsi="Garamond"/>
                <w:b/>
                <w:u w:val="single"/>
              </w:rPr>
              <w:t>Section 5</w:t>
            </w:r>
          </w:p>
          <w:p w:rsidR="00E81CD9" w:rsidRPr="00BE2A12" w:rsidRDefault="00E81CD9" w:rsidP="00E81CD9">
            <w:pPr>
              <w:rPr>
                <w:rFonts w:ascii="Garamond" w:hAnsi="Garamond"/>
              </w:rPr>
            </w:pPr>
          </w:p>
        </w:tc>
        <w:tc>
          <w:tcPr>
            <w:tcW w:w="4320" w:type="dxa"/>
          </w:tcPr>
          <w:p w:rsidR="00E81CD9" w:rsidRDefault="00E81CD9" w:rsidP="00E81CD9">
            <w:pPr>
              <w:rPr>
                <w:rFonts w:ascii="Garamond" w:hAnsi="Garamond"/>
              </w:rPr>
            </w:pPr>
            <w:r w:rsidRPr="00BE2A12">
              <w:rPr>
                <w:rFonts w:ascii="Garamond" w:hAnsi="Garamond"/>
              </w:rPr>
              <w:t>For the General section, how should a respondent answer if schools reacted in different ways for the given topic?</w:t>
            </w:r>
          </w:p>
          <w:p w:rsidR="00DE1383" w:rsidRPr="00BE2A12" w:rsidRDefault="00DE1383"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Respondent will provide an overall response for the district/SFA.</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5.3</w:t>
            </w:r>
          </w:p>
        </w:tc>
        <w:tc>
          <w:tcPr>
            <w:tcW w:w="4320" w:type="dxa"/>
          </w:tcPr>
          <w:p w:rsidR="00E81CD9" w:rsidRPr="00BE2A12" w:rsidRDefault="00E81CD9" w:rsidP="00E81CD9">
            <w:pPr>
              <w:rPr>
                <w:rFonts w:ascii="Garamond" w:hAnsi="Garamond"/>
              </w:rPr>
            </w:pPr>
            <w:r w:rsidRPr="00BE2A12">
              <w:rPr>
                <w:rFonts w:ascii="Garamond" w:hAnsi="Garamond"/>
              </w:rPr>
              <w:t>Change “how students are” to “how students were”.</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Changed</w:t>
            </w:r>
            <w:r w:rsidR="00D764BE" w:rsidRPr="00BE2A12">
              <w:rPr>
                <w:rFonts w:ascii="Garamond" w:hAnsi="Garamond"/>
              </w:rPr>
              <w:t>.</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5.6</w:t>
            </w:r>
          </w:p>
        </w:tc>
        <w:tc>
          <w:tcPr>
            <w:tcW w:w="4320" w:type="dxa"/>
          </w:tcPr>
          <w:p w:rsidR="00E81CD9" w:rsidRPr="00BE2A12" w:rsidRDefault="00E81CD9" w:rsidP="00E81CD9">
            <w:pPr>
              <w:rPr>
                <w:rFonts w:ascii="Garamond" w:hAnsi="Garamond"/>
              </w:rPr>
            </w:pPr>
            <w:r w:rsidRPr="00BE2A12">
              <w:rPr>
                <w:rFonts w:ascii="Garamond" w:hAnsi="Garamond"/>
              </w:rPr>
              <w:t>It seems like the respondent should skip to Q5.8 regardless of their answer.</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Added a skip to send those who respond Yes to skip to Q5.8</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lastRenderedPageBreak/>
              <w:t>5.11</w:t>
            </w:r>
          </w:p>
        </w:tc>
        <w:tc>
          <w:tcPr>
            <w:tcW w:w="4320" w:type="dxa"/>
          </w:tcPr>
          <w:p w:rsidR="00E81CD9" w:rsidRPr="00BE2A12" w:rsidRDefault="00E81CD9" w:rsidP="00E81CD9">
            <w:pPr>
              <w:rPr>
                <w:rFonts w:ascii="Garamond" w:hAnsi="Garamond"/>
              </w:rPr>
            </w:pPr>
            <w:r w:rsidRPr="00BE2A12">
              <w:rPr>
                <w:rFonts w:ascii="Garamond" w:hAnsi="Garamond"/>
              </w:rPr>
              <w:t>It seems like the skip pattern should direct respondents to Q5.13, not Q5.16.</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Done- Directed respondents to Q5.13</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5.14</w:t>
            </w:r>
          </w:p>
        </w:tc>
        <w:tc>
          <w:tcPr>
            <w:tcW w:w="4320" w:type="dxa"/>
          </w:tcPr>
          <w:p w:rsidR="00E81CD9" w:rsidRPr="00BE2A12" w:rsidRDefault="00E81CD9" w:rsidP="00E81CD9">
            <w:pPr>
              <w:rPr>
                <w:rFonts w:ascii="Garamond" w:hAnsi="Garamond"/>
              </w:rPr>
            </w:pPr>
            <w:r w:rsidRPr="00BE2A12">
              <w:rPr>
                <w:rFonts w:ascii="Garamond" w:hAnsi="Garamond"/>
              </w:rPr>
              <w:t>It seems like the skip pattern should direct respondents to Q5.16, not Q5.18.</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Done- Directed respondents to Q5.16</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5.16</w:t>
            </w:r>
          </w:p>
        </w:tc>
        <w:tc>
          <w:tcPr>
            <w:tcW w:w="4320" w:type="dxa"/>
          </w:tcPr>
          <w:p w:rsidR="00E81CD9" w:rsidRPr="00BE2A12" w:rsidRDefault="00E81CD9" w:rsidP="00E81CD9">
            <w:pPr>
              <w:rPr>
                <w:rFonts w:ascii="Garamond" w:hAnsi="Garamond"/>
              </w:rPr>
            </w:pPr>
            <w:r w:rsidRPr="00BE2A12">
              <w:rPr>
                <w:rFonts w:ascii="Garamond" w:hAnsi="Garamond"/>
              </w:rPr>
              <w:t>The table headers to do match Q5.13. Please make them consistent.</w:t>
            </w:r>
          </w:p>
          <w:p w:rsidR="00E81CD9" w:rsidRPr="00BE2A12" w:rsidRDefault="00E81CD9" w:rsidP="00E81CD9">
            <w:pPr>
              <w:rPr>
                <w:rFonts w:ascii="Garamond" w:hAnsi="Garamond"/>
              </w:rPr>
            </w:pPr>
          </w:p>
        </w:tc>
        <w:tc>
          <w:tcPr>
            <w:tcW w:w="3312" w:type="dxa"/>
          </w:tcPr>
          <w:p w:rsidR="00E81CD9" w:rsidRPr="00BE2A12" w:rsidRDefault="00D764BE" w:rsidP="00E81CD9">
            <w:pPr>
              <w:rPr>
                <w:rFonts w:ascii="Garamond" w:hAnsi="Garamond"/>
              </w:rPr>
            </w:pPr>
            <w:r w:rsidRPr="00BE2A12">
              <w:rPr>
                <w:rFonts w:ascii="Garamond" w:hAnsi="Garamond"/>
              </w:rPr>
              <w:t xml:space="preserve">Corrected.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5.26</w:t>
            </w:r>
          </w:p>
        </w:tc>
        <w:tc>
          <w:tcPr>
            <w:tcW w:w="4320" w:type="dxa"/>
          </w:tcPr>
          <w:p w:rsidR="00E81CD9" w:rsidRPr="00BE2A12" w:rsidRDefault="00E81CD9" w:rsidP="00E81CD9">
            <w:pPr>
              <w:rPr>
                <w:rFonts w:ascii="Garamond" w:hAnsi="Garamond"/>
              </w:rPr>
            </w:pPr>
            <w:r w:rsidRPr="00BE2A12">
              <w:rPr>
                <w:rFonts w:ascii="Garamond" w:hAnsi="Garamond"/>
              </w:rPr>
              <w:t xml:space="preserve">I don’t understand the skip pattern. If a respondent does not review a label for </w:t>
            </w:r>
            <w:proofErr w:type="spellStart"/>
            <w:r w:rsidRPr="00BE2A12">
              <w:rPr>
                <w:rFonts w:ascii="Garamond" w:hAnsi="Garamond"/>
              </w:rPr>
              <w:t>transfats</w:t>
            </w:r>
            <w:proofErr w:type="spellEnd"/>
            <w:r w:rsidRPr="00BE2A12">
              <w:rPr>
                <w:rFonts w:ascii="Garamond" w:hAnsi="Garamond"/>
              </w:rPr>
              <w:t>, isn’t it possible they review a label for other reasons? Thus you would want their answers to Q5.27 and Q5.28.</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Took out the skip pattern so that all respondents go to Q 5.27 and 5.28</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5.29</w:t>
            </w:r>
          </w:p>
          <w:p w:rsidR="00BE2A12" w:rsidRPr="00BE2A12" w:rsidRDefault="00BE2A12" w:rsidP="006A7304">
            <w:pPr>
              <w:rPr>
                <w:rFonts w:ascii="Garamond" w:hAnsi="Garamond"/>
              </w:rPr>
            </w:pPr>
            <w:r w:rsidRPr="00BE2A12">
              <w:rPr>
                <w:rFonts w:ascii="Garamond" w:hAnsi="Garamond"/>
              </w:rPr>
              <w:t>5.35</w:t>
            </w:r>
          </w:p>
          <w:p w:rsidR="00BE2A12" w:rsidRPr="00BE2A12" w:rsidRDefault="00BE2A12" w:rsidP="006A7304">
            <w:pPr>
              <w:rPr>
                <w:rFonts w:ascii="Garamond" w:hAnsi="Garamond"/>
              </w:rPr>
            </w:pPr>
            <w:r w:rsidRPr="00BE2A12">
              <w:rPr>
                <w:rFonts w:ascii="Garamond" w:hAnsi="Garamond"/>
              </w:rPr>
              <w:t>5.42</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5.42</w:t>
            </w:r>
          </w:p>
        </w:tc>
        <w:tc>
          <w:tcPr>
            <w:tcW w:w="4320" w:type="dxa"/>
          </w:tcPr>
          <w:p w:rsidR="00E81CD9" w:rsidRPr="00BE2A12" w:rsidRDefault="00E81CD9" w:rsidP="00E81CD9">
            <w:pPr>
              <w:rPr>
                <w:rFonts w:ascii="Garamond" w:hAnsi="Garamond"/>
              </w:rPr>
            </w:pPr>
            <w:r w:rsidRPr="00BE2A12">
              <w:rPr>
                <w:rFonts w:ascii="Garamond" w:hAnsi="Garamond"/>
              </w:rPr>
              <w:t>Given that there are breakout for 5.42.b and 5.42.c, do you want respondents to give an overall answer for Vegetables and Grains or only answer for the breakouts?</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We want the respondents to only answer for the breakouts</w:t>
            </w:r>
            <w:r w:rsidR="00DC4301">
              <w:rPr>
                <w:rFonts w:ascii="Garamond" w:hAnsi="Garamond"/>
              </w:rPr>
              <w:t>.</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5.45</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6A7304">
            <w:pPr>
              <w:jc w:val="both"/>
              <w:rPr>
                <w:rFonts w:ascii="Garamond" w:hAnsi="Garamond"/>
              </w:rPr>
            </w:pPr>
            <w:r w:rsidRPr="00BE2A12">
              <w:rPr>
                <w:rFonts w:ascii="Garamond" w:hAnsi="Garamond"/>
                <w:b/>
                <w:u w:val="single"/>
              </w:rPr>
              <w:t>Section 6</w:t>
            </w:r>
          </w:p>
        </w:tc>
        <w:tc>
          <w:tcPr>
            <w:tcW w:w="4320" w:type="dxa"/>
          </w:tcPr>
          <w:p w:rsidR="00E81CD9" w:rsidRPr="00BE2A12" w:rsidRDefault="00E81CD9" w:rsidP="00E81CD9">
            <w:pPr>
              <w:rPr>
                <w:rFonts w:ascii="Garamond" w:hAnsi="Garamond"/>
              </w:rPr>
            </w:pPr>
            <w:r w:rsidRPr="00BE2A12">
              <w:rPr>
                <w:rFonts w:ascii="Garamond" w:hAnsi="Garamond"/>
              </w:rPr>
              <w:t>Instructions – would the person answering this questionnaire necessarily know whether or not their SFA participated in the previous study? Maybe these questions should only appear on surveys sent to SFAs in the new sample and left off the remaining surveys.</w:t>
            </w:r>
          </w:p>
        </w:tc>
        <w:tc>
          <w:tcPr>
            <w:tcW w:w="3312" w:type="dxa"/>
          </w:tcPr>
          <w:p w:rsidR="00E81CD9" w:rsidRPr="00BE2A12" w:rsidRDefault="00E81CD9" w:rsidP="00E81CD9">
            <w:pPr>
              <w:rPr>
                <w:rFonts w:ascii="Garamond" w:hAnsi="Garamond"/>
              </w:rPr>
            </w:pPr>
            <w:r w:rsidRPr="00BE2A12">
              <w:rPr>
                <w:rFonts w:ascii="Garamond" w:hAnsi="Garamond"/>
              </w:rPr>
              <w:t xml:space="preserve">Since this is a web survey only the new sample of respondents will get the questions for meal prices for the past 3 years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6.1 through 6.4</w:t>
            </w:r>
          </w:p>
        </w:tc>
        <w:tc>
          <w:tcPr>
            <w:tcW w:w="4320" w:type="dxa"/>
          </w:tcPr>
          <w:p w:rsidR="00E81CD9" w:rsidRPr="00BE2A12" w:rsidRDefault="00E81CD9" w:rsidP="00E81CD9">
            <w:pPr>
              <w:rPr>
                <w:rFonts w:ascii="Garamond" w:hAnsi="Garamond"/>
              </w:rPr>
            </w:pPr>
            <w:r w:rsidRPr="00BE2A12">
              <w:rPr>
                <w:rFonts w:ascii="Garamond" w:hAnsi="Garamond"/>
              </w:rPr>
              <w:t>Why are you asking about adult breakfasts? Doesn’t the program in question only serve children?</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The program serves breakfast to adults as well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6.1</w:t>
            </w:r>
          </w:p>
        </w:tc>
        <w:tc>
          <w:tcPr>
            <w:tcW w:w="4320" w:type="dxa"/>
          </w:tcPr>
          <w:p w:rsidR="00E81CD9" w:rsidRPr="00BE2A12" w:rsidRDefault="00E81CD9" w:rsidP="00E81CD9">
            <w:pPr>
              <w:rPr>
                <w:rFonts w:ascii="Garamond" w:hAnsi="Garamond"/>
              </w:rPr>
            </w:pPr>
            <w:r w:rsidRPr="00BE2A12">
              <w:rPr>
                <w:rFonts w:ascii="Garamond" w:hAnsi="Garamond"/>
              </w:rPr>
              <w:t>The skip pattern does not seem right. Is it possible an SFA previously had a breakfast program and has since suspended it? Could they have had a program in 2011-2012 and eliminated it in 2012-1013? Wouldn’t you still want their price data for 2011-2012?</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We would want the prices for the previous years. However, it is very uncommon for an SFA that previously had a breakfast program to have since suspended it</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6.5</w:t>
            </w:r>
          </w:p>
        </w:tc>
        <w:tc>
          <w:tcPr>
            <w:tcW w:w="4320" w:type="dxa"/>
          </w:tcPr>
          <w:p w:rsidR="00E81CD9" w:rsidRPr="00BE2A12" w:rsidRDefault="00E81CD9" w:rsidP="00E81CD9">
            <w:pPr>
              <w:rPr>
                <w:rFonts w:ascii="Garamond" w:hAnsi="Garamond"/>
              </w:rPr>
            </w:pPr>
            <w:r w:rsidRPr="00BE2A12">
              <w:rPr>
                <w:rFonts w:ascii="Garamond" w:hAnsi="Garamond"/>
              </w:rPr>
              <w:t>Change “which of the following” to “</w:t>
            </w:r>
            <w:proofErr w:type="gramStart"/>
            <w:r w:rsidRPr="00BE2A12">
              <w:rPr>
                <w:rFonts w:ascii="Garamond" w:hAnsi="Garamond"/>
              </w:rPr>
              <w:t>did</w:t>
            </w:r>
            <w:proofErr w:type="gramEnd"/>
            <w:r w:rsidRPr="00BE2A12">
              <w:rPr>
                <w:rFonts w:ascii="Garamond" w:hAnsi="Garamond"/>
              </w:rPr>
              <w:t xml:space="preserve"> any of the following”.</w:t>
            </w:r>
          </w:p>
          <w:p w:rsidR="00E81CD9" w:rsidRPr="00BE2A12" w:rsidRDefault="00E81CD9" w:rsidP="00E81CD9">
            <w:pPr>
              <w:rPr>
                <w:rFonts w:ascii="Garamond" w:hAnsi="Garamond"/>
              </w:rPr>
            </w:pPr>
          </w:p>
        </w:tc>
        <w:tc>
          <w:tcPr>
            <w:tcW w:w="3312" w:type="dxa"/>
          </w:tcPr>
          <w:p w:rsidR="00E81CD9" w:rsidRPr="00BE2A12" w:rsidRDefault="00BE2A12" w:rsidP="00E81CD9">
            <w:pPr>
              <w:rPr>
                <w:rFonts w:ascii="Garamond" w:hAnsi="Garamond"/>
              </w:rPr>
            </w:pPr>
            <w:r w:rsidRPr="00BE2A12">
              <w:rPr>
                <w:rFonts w:ascii="Garamond" w:hAnsi="Garamond"/>
              </w:rPr>
              <w:lastRenderedPageBreak/>
              <w:t>Changed.</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lastRenderedPageBreak/>
              <w:t>6.6 through 6.9</w:t>
            </w:r>
          </w:p>
        </w:tc>
        <w:tc>
          <w:tcPr>
            <w:tcW w:w="4320" w:type="dxa"/>
          </w:tcPr>
          <w:p w:rsidR="00E81CD9" w:rsidRPr="00BE2A12" w:rsidRDefault="00E81CD9" w:rsidP="00E81CD9">
            <w:pPr>
              <w:rPr>
                <w:rFonts w:ascii="Garamond" w:hAnsi="Garamond"/>
              </w:rPr>
            </w:pPr>
            <w:r w:rsidRPr="00BE2A12">
              <w:rPr>
                <w:rFonts w:ascii="Garamond" w:hAnsi="Garamond"/>
              </w:rPr>
              <w:t>Why are you asking about adult lunches? Doesn’t the program in question only serve children?</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The program serves lunch to adults as well</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6.10</w:t>
            </w:r>
          </w:p>
        </w:tc>
        <w:tc>
          <w:tcPr>
            <w:tcW w:w="4320" w:type="dxa"/>
          </w:tcPr>
          <w:p w:rsidR="00E81CD9" w:rsidRPr="00BE2A12" w:rsidRDefault="00E81CD9" w:rsidP="00E81CD9">
            <w:pPr>
              <w:rPr>
                <w:rFonts w:ascii="Garamond" w:hAnsi="Garamond"/>
              </w:rPr>
            </w:pPr>
            <w:r w:rsidRPr="00BE2A12">
              <w:rPr>
                <w:rFonts w:ascii="Garamond" w:hAnsi="Garamond"/>
              </w:rPr>
              <w:t>Change “which of the following” to “</w:t>
            </w:r>
            <w:proofErr w:type="gramStart"/>
            <w:r w:rsidRPr="00BE2A12">
              <w:rPr>
                <w:rFonts w:ascii="Garamond" w:hAnsi="Garamond"/>
              </w:rPr>
              <w:t>did</w:t>
            </w:r>
            <w:proofErr w:type="gramEnd"/>
            <w:r w:rsidRPr="00BE2A12">
              <w:rPr>
                <w:rFonts w:ascii="Garamond" w:hAnsi="Garamond"/>
              </w:rPr>
              <w:t xml:space="preserve"> any of the following”.</w:t>
            </w:r>
          </w:p>
          <w:p w:rsidR="00E81CD9" w:rsidRPr="00BE2A12" w:rsidRDefault="00E81CD9" w:rsidP="00E81CD9">
            <w:pPr>
              <w:rPr>
                <w:rFonts w:ascii="Garamond" w:hAnsi="Garamond"/>
              </w:rPr>
            </w:pPr>
          </w:p>
        </w:tc>
        <w:tc>
          <w:tcPr>
            <w:tcW w:w="3312" w:type="dxa"/>
          </w:tcPr>
          <w:p w:rsidR="00E81CD9" w:rsidRPr="00BE2A12" w:rsidRDefault="00BE2A12" w:rsidP="00E81CD9">
            <w:pPr>
              <w:rPr>
                <w:rFonts w:ascii="Garamond" w:hAnsi="Garamond"/>
              </w:rPr>
            </w:pPr>
            <w:r w:rsidRPr="00BE2A12">
              <w:rPr>
                <w:rFonts w:ascii="Garamond" w:hAnsi="Garamond"/>
              </w:rPr>
              <w:t xml:space="preserve">Changed. </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6.14.d</w:t>
            </w:r>
          </w:p>
        </w:tc>
        <w:tc>
          <w:tcPr>
            <w:tcW w:w="4320" w:type="dxa"/>
          </w:tcPr>
          <w:p w:rsidR="00E81CD9" w:rsidRPr="00BE2A12" w:rsidRDefault="00E81CD9" w:rsidP="00E81CD9">
            <w:pPr>
              <w:rPr>
                <w:rFonts w:ascii="Garamond" w:hAnsi="Garamond"/>
              </w:rPr>
            </w:pPr>
            <w:r w:rsidRPr="00BE2A12">
              <w:rPr>
                <w:rFonts w:ascii="Garamond" w:hAnsi="Garamond"/>
              </w:rPr>
              <w:t>Change “did not increase” to “would not have increased”.</w:t>
            </w:r>
          </w:p>
          <w:p w:rsidR="00E81CD9" w:rsidRPr="00BE2A12" w:rsidRDefault="00E81CD9" w:rsidP="00E81CD9">
            <w:pPr>
              <w:rPr>
                <w:rFonts w:ascii="Garamond" w:hAnsi="Garamond"/>
              </w:rPr>
            </w:pPr>
          </w:p>
        </w:tc>
        <w:tc>
          <w:tcPr>
            <w:tcW w:w="3312" w:type="dxa"/>
          </w:tcPr>
          <w:p w:rsidR="00E81CD9" w:rsidRPr="00BE2A12" w:rsidRDefault="00BE2A12" w:rsidP="00E81CD9">
            <w:pPr>
              <w:rPr>
                <w:rFonts w:ascii="Garamond" w:hAnsi="Garamond"/>
              </w:rPr>
            </w:pPr>
            <w:r w:rsidRPr="00BE2A12">
              <w:rPr>
                <w:rFonts w:ascii="Garamond" w:hAnsi="Garamond"/>
              </w:rPr>
              <w:t>Changed.</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7</w:t>
            </w:r>
          </w:p>
          <w:p w:rsidR="00E81CD9" w:rsidRPr="00BE2A12" w:rsidRDefault="00E81CD9" w:rsidP="006A7304">
            <w:pPr>
              <w:rPr>
                <w:rFonts w:ascii="Garamond" w:hAnsi="Garamond"/>
              </w:rPr>
            </w:pPr>
            <w:r w:rsidRPr="00BE2A12">
              <w:rPr>
                <w:rFonts w:ascii="Garamond" w:hAnsi="Garamond"/>
              </w:rPr>
              <w:t>7.1</w:t>
            </w:r>
          </w:p>
        </w:tc>
        <w:tc>
          <w:tcPr>
            <w:tcW w:w="4320" w:type="dxa"/>
          </w:tcPr>
          <w:p w:rsidR="00E81CD9" w:rsidRPr="00BE2A12" w:rsidRDefault="00E81CD9" w:rsidP="00E81CD9">
            <w:pPr>
              <w:rPr>
                <w:rFonts w:ascii="Garamond" w:hAnsi="Garamond"/>
              </w:rPr>
            </w:pPr>
            <w:r w:rsidRPr="00BE2A12">
              <w:rPr>
                <w:rFonts w:ascii="Garamond" w:hAnsi="Garamond"/>
              </w:rPr>
              <w:t xml:space="preserve">If they need to report the total of </w:t>
            </w:r>
            <w:proofErr w:type="gramStart"/>
            <w:r w:rsidRPr="00BE2A12">
              <w:rPr>
                <w:rFonts w:ascii="Garamond" w:hAnsi="Garamond"/>
              </w:rPr>
              <w:t>a and</w:t>
            </w:r>
            <w:proofErr w:type="gramEnd"/>
            <w:r w:rsidRPr="00BE2A12">
              <w:rPr>
                <w:rFonts w:ascii="Garamond" w:hAnsi="Garamond"/>
              </w:rPr>
              <w:t xml:space="preserve"> b together, should they report the total only in a, only in b, or in both a and b?</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They should report the total in </w:t>
            </w:r>
            <w:proofErr w:type="gramStart"/>
            <w:r w:rsidRPr="00BE2A12">
              <w:rPr>
                <w:rFonts w:ascii="Garamond" w:hAnsi="Garamond"/>
              </w:rPr>
              <w:t>a</w:t>
            </w:r>
            <w:proofErr w:type="gramEnd"/>
            <w:r w:rsidRPr="00BE2A12">
              <w:rPr>
                <w:rFonts w:ascii="Garamond" w:hAnsi="Garamond"/>
              </w:rPr>
              <w:t xml:space="preserve"> only. Changed the instructions to ask them to respond to </w:t>
            </w:r>
            <w:proofErr w:type="gramStart"/>
            <w:r w:rsidRPr="00BE2A12">
              <w:rPr>
                <w:rFonts w:ascii="Garamond" w:hAnsi="Garamond"/>
              </w:rPr>
              <w:t>a</w:t>
            </w:r>
            <w:proofErr w:type="gramEnd"/>
            <w:r w:rsidRPr="00BE2A12">
              <w:rPr>
                <w:rFonts w:ascii="Garamond" w:hAnsi="Garamond"/>
              </w:rPr>
              <w:t xml:space="preserve"> only</w:t>
            </w:r>
            <w:r w:rsidR="00DC4301">
              <w:rPr>
                <w:rFonts w:ascii="Garamond" w:hAnsi="Garamond"/>
              </w:rPr>
              <w:t>.</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hAnsi="Garamond"/>
              </w:rPr>
              <w:t>7.1.1.b</w:t>
            </w:r>
          </w:p>
        </w:tc>
        <w:tc>
          <w:tcPr>
            <w:tcW w:w="4320" w:type="dxa"/>
          </w:tcPr>
          <w:p w:rsidR="00E81CD9" w:rsidRPr="00BE2A12" w:rsidRDefault="00E81CD9" w:rsidP="00E81CD9">
            <w:pPr>
              <w:rPr>
                <w:rFonts w:ascii="Garamond" w:hAnsi="Garamond"/>
              </w:rPr>
            </w:pPr>
            <w:r w:rsidRPr="00BE2A12">
              <w:rPr>
                <w:rFonts w:ascii="Garamond" w:hAnsi="Garamond"/>
              </w:rPr>
              <w:t>What do FFVP and SMP stand for?</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Fresh Food &amp; Vegetable Program and School Milk Program. Spelled out these acronyms in the text</w:t>
            </w:r>
            <w:r w:rsidR="00DC4301">
              <w:rPr>
                <w:rFonts w:ascii="Garamond" w:hAnsi="Garamond"/>
              </w:rPr>
              <w:t>.</w:t>
            </w:r>
          </w:p>
        </w:tc>
      </w:tr>
      <w:tr w:rsidR="00DC4301" w:rsidRPr="00BE2A12" w:rsidTr="00BE2A12">
        <w:tc>
          <w:tcPr>
            <w:tcW w:w="1728" w:type="dxa"/>
          </w:tcPr>
          <w:p w:rsidR="00DC4301" w:rsidRDefault="00DC4301" w:rsidP="006A7304">
            <w:pPr>
              <w:jc w:val="both"/>
              <w:rPr>
                <w:rFonts w:ascii="Garamond" w:hAnsi="Garamond"/>
                <w:b/>
                <w:u w:val="single"/>
              </w:rPr>
            </w:pPr>
            <w:r>
              <w:rPr>
                <w:rFonts w:ascii="Garamond" w:hAnsi="Garamond"/>
                <w:b/>
                <w:u w:val="single"/>
              </w:rPr>
              <w:t>Section 8</w:t>
            </w:r>
          </w:p>
          <w:p w:rsidR="00DC4301" w:rsidRPr="00DC4301" w:rsidRDefault="00DC4301" w:rsidP="006A7304">
            <w:pPr>
              <w:jc w:val="both"/>
              <w:rPr>
                <w:rFonts w:ascii="Garamond" w:hAnsi="Garamond"/>
              </w:rPr>
            </w:pPr>
            <w:r w:rsidRPr="00DC4301">
              <w:rPr>
                <w:rFonts w:ascii="Garamond" w:hAnsi="Garamond"/>
              </w:rPr>
              <w:t>8.1</w:t>
            </w:r>
          </w:p>
        </w:tc>
        <w:tc>
          <w:tcPr>
            <w:tcW w:w="4320" w:type="dxa"/>
          </w:tcPr>
          <w:p w:rsidR="00DC4301" w:rsidRPr="00BE2A12" w:rsidRDefault="00DC4301" w:rsidP="00E81CD9">
            <w:pPr>
              <w:rPr>
                <w:rFonts w:ascii="Garamond" w:hAnsi="Garamond"/>
              </w:rPr>
            </w:pPr>
          </w:p>
        </w:tc>
        <w:tc>
          <w:tcPr>
            <w:tcW w:w="3312" w:type="dxa"/>
          </w:tcPr>
          <w:p w:rsidR="00DC4301" w:rsidRPr="00BE2A12" w:rsidRDefault="00DC4301" w:rsidP="00E81CD9">
            <w:pPr>
              <w:rPr>
                <w:rFonts w:ascii="Garamond" w:hAnsi="Garamond"/>
              </w:rPr>
            </w:pPr>
            <w:r>
              <w:rPr>
                <w:rFonts w:ascii="Garamond" w:hAnsi="Garamond"/>
              </w:rPr>
              <w:t>Changed the instruction to align with instruction to question 7.1.</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b/>
                <w:u w:val="single"/>
              </w:rPr>
              <w:t>Section 9</w:t>
            </w:r>
          </w:p>
          <w:p w:rsidR="00E81CD9" w:rsidRPr="00BE2A12" w:rsidRDefault="00E81CD9" w:rsidP="006A7304">
            <w:pPr>
              <w:jc w:val="both"/>
              <w:rPr>
                <w:rFonts w:ascii="Garamond" w:hAnsi="Garamond"/>
              </w:rPr>
            </w:pPr>
            <w:r w:rsidRPr="00BE2A12">
              <w:rPr>
                <w:rFonts w:ascii="Garamond" w:hAnsi="Garamond"/>
              </w:rPr>
              <w:t>9.2</w:t>
            </w:r>
          </w:p>
          <w:p w:rsidR="00BE2A12" w:rsidRPr="00BE2A12" w:rsidRDefault="00BE2A12" w:rsidP="006A7304">
            <w:pPr>
              <w:jc w:val="both"/>
              <w:rPr>
                <w:rFonts w:ascii="Garamond" w:hAnsi="Garamond"/>
              </w:rPr>
            </w:pPr>
            <w:r w:rsidRPr="00BE2A12">
              <w:rPr>
                <w:rFonts w:ascii="Garamond" w:hAnsi="Garamond"/>
              </w:rPr>
              <w:t>9.3</w:t>
            </w:r>
          </w:p>
        </w:tc>
        <w:tc>
          <w:tcPr>
            <w:tcW w:w="4320" w:type="dxa"/>
          </w:tcPr>
          <w:p w:rsidR="00E81CD9" w:rsidRPr="00BE2A12" w:rsidRDefault="00E81CD9" w:rsidP="00E81CD9">
            <w:pPr>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E81CD9">
            <w:pPr>
              <w:ind w:right="-50"/>
              <w:rPr>
                <w:rFonts w:ascii="Garamond" w:eastAsia="UniversLTStd" w:hAnsi="Garamond" w:cs="UniversLTStd"/>
                <w:b/>
                <w:u w:val="single"/>
              </w:rPr>
            </w:pPr>
            <w:r w:rsidRPr="00BE2A12">
              <w:rPr>
                <w:rFonts w:ascii="Garamond" w:eastAsia="UniversLTStd" w:hAnsi="Garamond" w:cs="UniversLTStd"/>
                <w:b/>
                <w:u w:val="single"/>
              </w:rPr>
              <w:t>Section 11</w:t>
            </w:r>
          </w:p>
          <w:p w:rsidR="00E81CD9" w:rsidRPr="00BE2A12" w:rsidRDefault="00E81CD9" w:rsidP="006A7304">
            <w:pPr>
              <w:spacing w:line="480" w:lineRule="auto"/>
              <w:ind w:right="-50"/>
              <w:rPr>
                <w:rFonts w:ascii="Garamond" w:eastAsia="UniversLTStd" w:hAnsi="Garamond" w:cs="UniversLTStd"/>
              </w:rPr>
            </w:pPr>
            <w:r w:rsidRPr="00BE2A12">
              <w:rPr>
                <w:rFonts w:ascii="Garamond" w:eastAsia="UniversLTStd" w:hAnsi="Garamond" w:cs="UniversLTStd"/>
              </w:rPr>
              <w:t>11.1</w:t>
            </w:r>
          </w:p>
        </w:tc>
        <w:tc>
          <w:tcPr>
            <w:tcW w:w="4320" w:type="dxa"/>
          </w:tcPr>
          <w:p w:rsidR="00E81CD9" w:rsidRPr="00BE2A12" w:rsidRDefault="00E81CD9" w:rsidP="00E81CD9">
            <w:pPr>
              <w:rPr>
                <w:rFonts w:ascii="Garamond" w:hAnsi="Garamond"/>
              </w:rPr>
            </w:pPr>
            <w:r w:rsidRPr="00BE2A12">
              <w:rPr>
                <w:rFonts w:ascii="Garamond" w:eastAsia="UniversLTStd" w:hAnsi="Garamond" w:cs="UniversLTStd"/>
              </w:rPr>
              <w:t>Adjust headers, so all words are visible.</w:t>
            </w:r>
          </w:p>
        </w:tc>
        <w:tc>
          <w:tcPr>
            <w:tcW w:w="3312" w:type="dxa"/>
          </w:tcPr>
          <w:p w:rsidR="00E81CD9" w:rsidRPr="00BE2A12" w:rsidRDefault="00BE2A12" w:rsidP="00E81CD9">
            <w:pPr>
              <w:rPr>
                <w:rFonts w:ascii="Garamond" w:hAnsi="Garamond"/>
              </w:rPr>
            </w:pPr>
            <w:r w:rsidRPr="00BE2A12">
              <w:rPr>
                <w:rFonts w:ascii="Garamond" w:hAnsi="Garamond"/>
              </w:rPr>
              <w:t>Corrected.</w:t>
            </w:r>
          </w:p>
        </w:tc>
      </w:tr>
      <w:tr w:rsidR="00E81CD9" w:rsidRPr="00BE2A12" w:rsidTr="00BE2A12">
        <w:tc>
          <w:tcPr>
            <w:tcW w:w="1728" w:type="dxa"/>
          </w:tcPr>
          <w:p w:rsidR="00E81CD9" w:rsidRPr="00BE2A12" w:rsidRDefault="00E81CD9" w:rsidP="006A7304">
            <w:pPr>
              <w:rPr>
                <w:rFonts w:ascii="Garamond" w:hAnsi="Garamond"/>
              </w:rPr>
            </w:pPr>
            <w:r w:rsidRPr="00BE2A12">
              <w:rPr>
                <w:rFonts w:ascii="Garamond" w:eastAsia="UniversLTStd" w:hAnsi="Garamond" w:cs="UniversLTStd"/>
              </w:rPr>
              <w:t>11.2</w:t>
            </w:r>
          </w:p>
        </w:tc>
        <w:tc>
          <w:tcPr>
            <w:tcW w:w="4320" w:type="dxa"/>
          </w:tcPr>
          <w:p w:rsidR="00E81CD9" w:rsidRPr="00BE2A12" w:rsidRDefault="00E81CD9" w:rsidP="00E81CD9">
            <w:pPr>
              <w:ind w:right="-50"/>
              <w:rPr>
                <w:rFonts w:ascii="Garamond" w:hAnsi="Garamond"/>
              </w:rPr>
            </w:pPr>
            <w:r w:rsidRPr="00BE2A12">
              <w:rPr>
                <w:rFonts w:ascii="Garamond" w:hAnsi="Garamond"/>
              </w:rPr>
              <w:t>This question seems more suited to a check all that apply answer style than yes/no.</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 xml:space="preserve">Based on </w:t>
            </w:r>
            <w:proofErr w:type="spellStart"/>
            <w:r w:rsidRPr="00BE2A12">
              <w:rPr>
                <w:rFonts w:ascii="Garamond" w:hAnsi="Garamond"/>
              </w:rPr>
              <w:t>Westat’s</w:t>
            </w:r>
            <w:proofErr w:type="spellEnd"/>
            <w:r w:rsidRPr="00BE2A12">
              <w:rPr>
                <w:rFonts w:ascii="Garamond" w:hAnsi="Garamond"/>
              </w:rPr>
              <w:t xml:space="preserve"> past experience, respondents give less ambiguous answers when the questions force them to answer each item rather than check items that apply</w:t>
            </w:r>
          </w:p>
        </w:tc>
      </w:tr>
      <w:tr w:rsidR="00E81CD9" w:rsidRPr="00BE2A12" w:rsidTr="00BE2A12">
        <w:tc>
          <w:tcPr>
            <w:tcW w:w="1728" w:type="dxa"/>
          </w:tcPr>
          <w:p w:rsidR="00E81CD9" w:rsidRPr="00BE2A12" w:rsidRDefault="00E81CD9" w:rsidP="00E81CD9">
            <w:pPr>
              <w:ind w:right="-50"/>
              <w:rPr>
                <w:rFonts w:ascii="Garamond" w:eastAsia="UniversLTStd" w:hAnsi="Garamond" w:cs="UniversLTStd"/>
                <w:b/>
                <w:u w:val="single"/>
              </w:rPr>
            </w:pPr>
            <w:r w:rsidRPr="00BE2A12">
              <w:rPr>
                <w:rFonts w:ascii="Garamond" w:eastAsia="UniversLTStd" w:hAnsi="Garamond" w:cs="UniversLTStd"/>
                <w:b/>
                <w:u w:val="single"/>
              </w:rPr>
              <w:t>Section 12</w:t>
            </w:r>
          </w:p>
          <w:p w:rsidR="00E81CD9" w:rsidRPr="00BE2A12" w:rsidRDefault="00E81CD9" w:rsidP="006A7304">
            <w:pPr>
              <w:jc w:val="both"/>
              <w:rPr>
                <w:rFonts w:ascii="Garamond" w:hAnsi="Garamond"/>
                <w:b/>
                <w:u w:val="single"/>
              </w:rPr>
            </w:pPr>
            <w:r w:rsidRPr="00BE2A12">
              <w:rPr>
                <w:rFonts w:ascii="Garamond" w:eastAsia="UniversLTStd" w:hAnsi="Garamond" w:cs="UniversLTStd"/>
              </w:rPr>
              <w:t>12.1</w:t>
            </w:r>
          </w:p>
        </w:tc>
        <w:tc>
          <w:tcPr>
            <w:tcW w:w="4320" w:type="dxa"/>
          </w:tcPr>
          <w:p w:rsidR="00E81CD9" w:rsidRPr="00BE2A12" w:rsidRDefault="00E81CD9" w:rsidP="00E81CD9">
            <w:pPr>
              <w:ind w:right="-50"/>
              <w:rPr>
                <w:rFonts w:ascii="Garamond" w:eastAsia="UniversLTStd" w:hAnsi="Garamond" w:cs="UniversLTStd"/>
              </w:rPr>
            </w:pPr>
            <w:r w:rsidRPr="00BE2A12">
              <w:rPr>
                <w:rFonts w:ascii="Garamond" w:eastAsia="UniversLTStd" w:hAnsi="Garamond" w:cs="UniversLTStd"/>
              </w:rPr>
              <w:t>Does it matter what their degree is in?</w:t>
            </w:r>
          </w:p>
          <w:p w:rsidR="00E81CD9" w:rsidRPr="00BE2A12" w:rsidRDefault="00E81CD9" w:rsidP="00E81CD9">
            <w:pPr>
              <w:ind w:right="-50"/>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FNS did not want to know what their degree was in</w:t>
            </w:r>
          </w:p>
        </w:tc>
      </w:tr>
      <w:tr w:rsidR="00E81CD9" w:rsidRPr="00BE2A12" w:rsidTr="00BE2A12">
        <w:tc>
          <w:tcPr>
            <w:tcW w:w="1728" w:type="dxa"/>
          </w:tcPr>
          <w:p w:rsidR="00E81CD9" w:rsidRPr="00BE2A12" w:rsidRDefault="00E81CD9" w:rsidP="006A7304">
            <w:pPr>
              <w:jc w:val="both"/>
              <w:rPr>
                <w:rFonts w:ascii="Garamond" w:hAnsi="Garamond"/>
                <w:b/>
                <w:u w:val="single"/>
              </w:rPr>
            </w:pPr>
            <w:r w:rsidRPr="00BE2A12">
              <w:rPr>
                <w:rFonts w:ascii="Garamond" w:hAnsi="Garamond"/>
              </w:rPr>
              <w:t>12.4</w:t>
            </w:r>
          </w:p>
        </w:tc>
        <w:tc>
          <w:tcPr>
            <w:tcW w:w="4320" w:type="dxa"/>
          </w:tcPr>
          <w:p w:rsidR="00E81CD9" w:rsidRPr="00BE2A12" w:rsidRDefault="00E81CD9" w:rsidP="00E81CD9">
            <w:pPr>
              <w:ind w:right="-50"/>
              <w:rPr>
                <w:rFonts w:ascii="Garamond" w:eastAsia="UniversLTStd" w:hAnsi="Garamond" w:cs="UniversLTStd"/>
              </w:rPr>
            </w:pPr>
            <w:r w:rsidRPr="00BE2A12">
              <w:rPr>
                <w:rFonts w:ascii="Garamond" w:eastAsia="UniversLTStd" w:hAnsi="Garamond" w:cs="UniversLTStd"/>
              </w:rPr>
              <w:t>Does is matter what their degree is in?</w:t>
            </w:r>
          </w:p>
          <w:p w:rsidR="00E81CD9" w:rsidRPr="00BE2A12" w:rsidRDefault="00E81CD9" w:rsidP="00E81CD9">
            <w:pPr>
              <w:rPr>
                <w:rFonts w:ascii="Garamond" w:hAnsi="Garamond"/>
              </w:rPr>
            </w:pPr>
          </w:p>
        </w:tc>
        <w:tc>
          <w:tcPr>
            <w:tcW w:w="3312" w:type="dxa"/>
          </w:tcPr>
          <w:p w:rsidR="00E81CD9" w:rsidRPr="00BE2A12" w:rsidRDefault="00E81CD9" w:rsidP="00E81CD9">
            <w:pPr>
              <w:rPr>
                <w:rFonts w:ascii="Garamond" w:hAnsi="Garamond"/>
              </w:rPr>
            </w:pPr>
            <w:r w:rsidRPr="00BE2A12">
              <w:rPr>
                <w:rFonts w:ascii="Garamond" w:hAnsi="Garamond"/>
              </w:rPr>
              <w:t>FNS did not want to know what their degree was in</w:t>
            </w:r>
          </w:p>
        </w:tc>
      </w:tr>
    </w:tbl>
    <w:p w:rsidR="00D65F41" w:rsidRPr="00F37A42" w:rsidRDefault="00D65F41" w:rsidP="00D65F41">
      <w:pPr>
        <w:rPr>
          <w:rFonts w:ascii="Garamond" w:hAnsi="Garamond"/>
        </w:rPr>
      </w:pPr>
    </w:p>
    <w:p w:rsidR="00543468" w:rsidRPr="00E52F47" w:rsidRDefault="00543468">
      <w:pPr>
        <w:rPr>
          <w:rFonts w:ascii="Garamond" w:hAnsi="Garamond"/>
          <w:sz w:val="24"/>
          <w:szCs w:val="24"/>
        </w:rPr>
      </w:pPr>
    </w:p>
    <w:p w:rsidR="00543468" w:rsidRDefault="00543468">
      <w:pPr>
        <w:rPr>
          <w:rFonts w:ascii="Garamond" w:hAnsi="Garamond"/>
          <w:b/>
          <w:i/>
          <w:sz w:val="24"/>
          <w:szCs w:val="24"/>
          <w:u w:val="single"/>
        </w:rPr>
      </w:pPr>
      <w:r>
        <w:rPr>
          <w:rFonts w:ascii="Garamond" w:hAnsi="Garamond"/>
          <w:b/>
          <w:i/>
          <w:sz w:val="24"/>
          <w:szCs w:val="24"/>
          <w:u w:val="single"/>
        </w:rPr>
        <w:br w:type="page"/>
      </w:r>
    </w:p>
    <w:p w:rsidR="00CF1144" w:rsidRPr="00F5427A" w:rsidRDefault="00CF1144">
      <w:pPr>
        <w:rPr>
          <w:rFonts w:ascii="Garamond" w:hAnsi="Garamond"/>
          <w:b/>
          <w:i/>
          <w:sz w:val="24"/>
          <w:szCs w:val="24"/>
          <w:u w:val="single"/>
        </w:rPr>
      </w:pPr>
      <w:r w:rsidRPr="00F5427A">
        <w:rPr>
          <w:rFonts w:ascii="Garamond" w:hAnsi="Garamond"/>
          <w:b/>
          <w:i/>
          <w:sz w:val="24"/>
          <w:szCs w:val="24"/>
          <w:u w:val="single"/>
        </w:rPr>
        <w:lastRenderedPageBreak/>
        <w:t>Appendix G</w:t>
      </w:r>
      <w:r w:rsidR="00543468">
        <w:rPr>
          <w:rFonts w:ascii="Garamond" w:hAnsi="Garamond"/>
          <w:b/>
          <w:i/>
          <w:sz w:val="24"/>
          <w:szCs w:val="24"/>
          <w:u w:val="single"/>
        </w:rPr>
        <w:t>:</w:t>
      </w:r>
      <w:r w:rsidRPr="00F5427A">
        <w:rPr>
          <w:rFonts w:ascii="Garamond" w:hAnsi="Garamond"/>
          <w:b/>
          <w:i/>
          <w:sz w:val="24"/>
          <w:szCs w:val="24"/>
          <w:u w:val="single"/>
        </w:rPr>
        <w:t xml:space="preserve"> On Site Data Collection</w:t>
      </w:r>
    </w:p>
    <w:p w:rsidR="004F1899" w:rsidRPr="004F1899" w:rsidRDefault="004F1899" w:rsidP="004F1899">
      <w:pPr>
        <w:rPr>
          <w:rFonts w:ascii="Garamond" w:hAnsi="Garamond"/>
          <w:sz w:val="24"/>
          <w:szCs w:val="24"/>
          <w:u w:val="single"/>
        </w:rPr>
      </w:pPr>
      <w:r w:rsidRPr="004F1899">
        <w:rPr>
          <w:rFonts w:ascii="Garamond" w:hAnsi="Garamond"/>
          <w:sz w:val="24"/>
          <w:szCs w:val="24"/>
          <w:u w:val="single"/>
        </w:rPr>
        <w:t>Food Service Manager Interview</w:t>
      </w:r>
      <w:r>
        <w:rPr>
          <w:rFonts w:ascii="Garamond" w:hAnsi="Garamond"/>
          <w:sz w:val="24"/>
          <w:szCs w:val="24"/>
          <w:u w:val="single"/>
        </w:rPr>
        <w:t xml:space="preserve"> Form</w:t>
      </w:r>
    </w:p>
    <w:p w:rsidR="00CF1144" w:rsidRDefault="00CF1144" w:rsidP="00A37713">
      <w:pPr>
        <w:pStyle w:val="ListParagraph"/>
        <w:numPr>
          <w:ilvl w:val="0"/>
          <w:numId w:val="5"/>
        </w:numPr>
        <w:ind w:hanging="720"/>
        <w:rPr>
          <w:rFonts w:ascii="Garamond" w:hAnsi="Garamond"/>
          <w:b/>
          <w:i/>
          <w:sz w:val="24"/>
          <w:szCs w:val="24"/>
        </w:rPr>
      </w:pPr>
      <w:r w:rsidRPr="00A37713">
        <w:rPr>
          <w:rFonts w:ascii="Garamond" w:hAnsi="Garamond"/>
          <w:b/>
          <w:i/>
          <w:sz w:val="24"/>
          <w:szCs w:val="24"/>
        </w:rPr>
        <w:t>Are you interested in how long each lunch period lasts?</w:t>
      </w:r>
    </w:p>
    <w:p w:rsidR="00074016" w:rsidRDefault="008A3E31" w:rsidP="00074016">
      <w:pPr>
        <w:rPr>
          <w:rFonts w:ascii="Garamond" w:hAnsi="Garamond"/>
          <w:sz w:val="24"/>
          <w:szCs w:val="24"/>
        </w:rPr>
      </w:pPr>
      <w:r>
        <w:rPr>
          <w:rFonts w:ascii="Garamond" w:hAnsi="Garamond"/>
          <w:sz w:val="24"/>
          <w:szCs w:val="24"/>
        </w:rPr>
        <w:t xml:space="preserve">From the information provided we will be able to calculate the </w:t>
      </w:r>
      <w:r w:rsidR="009D5D82">
        <w:rPr>
          <w:rFonts w:ascii="Garamond" w:hAnsi="Garamond"/>
          <w:sz w:val="24"/>
          <w:szCs w:val="24"/>
        </w:rPr>
        <w:t xml:space="preserve">length of each lunch period. In addition, FNS collected this information from SFA Directors during the 2011-12 data collection. </w:t>
      </w:r>
    </w:p>
    <w:p w:rsidR="004F1899" w:rsidRPr="004F1899" w:rsidRDefault="004F1899" w:rsidP="004F1899">
      <w:pPr>
        <w:rPr>
          <w:rFonts w:ascii="Garamond" w:hAnsi="Garamond"/>
          <w:sz w:val="24"/>
          <w:szCs w:val="24"/>
          <w:u w:val="single"/>
        </w:rPr>
      </w:pPr>
      <w:r>
        <w:rPr>
          <w:rFonts w:ascii="Garamond" w:hAnsi="Garamond"/>
          <w:sz w:val="24"/>
          <w:szCs w:val="24"/>
          <w:u w:val="single"/>
        </w:rPr>
        <w:t>Cafeteria Observation Guide</w:t>
      </w:r>
    </w:p>
    <w:p w:rsidR="00CF1144" w:rsidRDefault="00CF1144"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Does it matter if students are allowed to eat breakfast somewhere other than where it is served?</w:t>
      </w:r>
    </w:p>
    <w:p w:rsidR="00D74D79" w:rsidRPr="00074016" w:rsidRDefault="00D74D79" w:rsidP="00D74D79">
      <w:pPr>
        <w:pStyle w:val="CommentText"/>
        <w:rPr>
          <w:rFonts w:ascii="Garamond" w:hAnsi="Garamond"/>
          <w:sz w:val="24"/>
          <w:szCs w:val="24"/>
        </w:rPr>
      </w:pPr>
      <w:r>
        <w:rPr>
          <w:rFonts w:ascii="Garamond" w:hAnsi="Garamond"/>
          <w:sz w:val="24"/>
          <w:szCs w:val="24"/>
        </w:rPr>
        <w:t xml:space="preserve">We are observing the location that serves the most students and where most of the students eat their breakfast.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If students are only served in classrooms, do you want the observer in one of those rooms?</w:t>
      </w:r>
    </w:p>
    <w:p w:rsidR="00074016" w:rsidRPr="00074016" w:rsidRDefault="000A53E2" w:rsidP="00074016">
      <w:pPr>
        <w:pStyle w:val="CommentText"/>
        <w:rPr>
          <w:rFonts w:ascii="Garamond" w:hAnsi="Garamond"/>
          <w:sz w:val="24"/>
          <w:szCs w:val="24"/>
        </w:rPr>
      </w:pPr>
      <w:r>
        <w:rPr>
          <w:rFonts w:ascii="Garamond" w:hAnsi="Garamond"/>
          <w:sz w:val="24"/>
          <w:szCs w:val="24"/>
        </w:rPr>
        <w:t xml:space="preserve">We are only observing the space where the most students eat their breakfast. </w:t>
      </w:r>
    </w:p>
    <w:p w:rsidR="00CF1144" w:rsidRDefault="009C15E9" w:rsidP="00A37713">
      <w:pPr>
        <w:pStyle w:val="ListParagraph"/>
        <w:numPr>
          <w:ilvl w:val="0"/>
          <w:numId w:val="5"/>
        </w:numPr>
        <w:ind w:hanging="720"/>
        <w:rPr>
          <w:rFonts w:ascii="Garamond" w:hAnsi="Garamond"/>
          <w:b/>
          <w:i/>
          <w:sz w:val="24"/>
          <w:szCs w:val="24"/>
        </w:rPr>
      </w:pPr>
      <w:r w:rsidRPr="00A37713">
        <w:rPr>
          <w:rFonts w:ascii="Garamond" w:hAnsi="Garamond"/>
          <w:b/>
          <w:i/>
          <w:sz w:val="24"/>
          <w:szCs w:val="24"/>
        </w:rPr>
        <w:t>What if students are allowed to eat in more than one space?</w:t>
      </w:r>
    </w:p>
    <w:p w:rsidR="00C67DD9" w:rsidRPr="00C67DD9" w:rsidRDefault="009D4EED" w:rsidP="00C67DD9">
      <w:pPr>
        <w:rPr>
          <w:rFonts w:ascii="Garamond" w:hAnsi="Garamond"/>
          <w:sz w:val="24"/>
          <w:szCs w:val="24"/>
        </w:rPr>
      </w:pPr>
      <w:r>
        <w:rPr>
          <w:rFonts w:ascii="Garamond" w:hAnsi="Garamond"/>
          <w:sz w:val="24"/>
          <w:szCs w:val="24"/>
        </w:rPr>
        <w:t xml:space="preserve">We will only observe one location where most of the students eat their breakfast. </w:t>
      </w:r>
    </w:p>
    <w:p w:rsidR="00CF1144" w:rsidRDefault="009C15E9" w:rsidP="00A37713">
      <w:pPr>
        <w:pStyle w:val="ListParagraph"/>
        <w:numPr>
          <w:ilvl w:val="0"/>
          <w:numId w:val="5"/>
        </w:numPr>
        <w:ind w:hanging="720"/>
        <w:rPr>
          <w:rFonts w:ascii="Garamond" w:hAnsi="Garamond"/>
          <w:b/>
          <w:i/>
          <w:sz w:val="24"/>
          <w:szCs w:val="24"/>
        </w:rPr>
      </w:pPr>
      <w:r w:rsidRPr="00A37713">
        <w:rPr>
          <w:rFonts w:ascii="Garamond" w:hAnsi="Garamond"/>
          <w:b/>
          <w:i/>
          <w:sz w:val="24"/>
          <w:szCs w:val="24"/>
        </w:rPr>
        <w:t>That is not the same question as # of tables/benches/chairs. Students are just as likely to sit on the ground as in a chair. What about spaces with no tables/benches/chairs?</w:t>
      </w:r>
    </w:p>
    <w:p w:rsidR="00C67DD9" w:rsidRPr="00C67DD9" w:rsidRDefault="009D4EED" w:rsidP="00C67DD9">
      <w:pPr>
        <w:rPr>
          <w:rFonts w:ascii="Garamond" w:hAnsi="Garamond"/>
          <w:sz w:val="24"/>
          <w:szCs w:val="24"/>
        </w:rPr>
      </w:pPr>
      <w:r>
        <w:rPr>
          <w:rFonts w:ascii="Garamond" w:hAnsi="Garamond"/>
          <w:sz w:val="24"/>
          <w:szCs w:val="24"/>
        </w:rPr>
        <w:t xml:space="preserve">We agree students may sit on the ground. We have revised the question.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What about students served only in classrooms?</w:t>
      </w:r>
    </w:p>
    <w:p w:rsidR="00C67DD9" w:rsidRPr="00C67DD9" w:rsidRDefault="007F2B35" w:rsidP="007F2B35">
      <w:pPr>
        <w:rPr>
          <w:rFonts w:ascii="Garamond" w:hAnsi="Garamond"/>
          <w:sz w:val="24"/>
          <w:szCs w:val="24"/>
        </w:rPr>
      </w:pPr>
      <w:r>
        <w:rPr>
          <w:rFonts w:ascii="Garamond" w:hAnsi="Garamond"/>
          <w:sz w:val="24"/>
          <w:szCs w:val="24"/>
        </w:rPr>
        <w:t xml:space="preserve">Students may eat in their classrooms but still typically go through a food service line.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Fix your question numbering. Also how are you observing students served only in classrooms?</w:t>
      </w:r>
    </w:p>
    <w:p w:rsidR="00C67DD9" w:rsidRPr="00C67DD9" w:rsidRDefault="007F2B35" w:rsidP="00C67DD9">
      <w:pPr>
        <w:pStyle w:val="CommentText"/>
        <w:rPr>
          <w:rFonts w:ascii="Garamond" w:hAnsi="Garamond"/>
          <w:sz w:val="24"/>
          <w:szCs w:val="24"/>
        </w:rPr>
      </w:pPr>
      <w:r>
        <w:rPr>
          <w:rFonts w:ascii="Garamond" w:hAnsi="Garamond"/>
          <w:sz w:val="24"/>
          <w:szCs w:val="24"/>
        </w:rPr>
        <w:t>We will observe students eating in their classroom if students eat in more than one location and the classroom serves the most students.</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What if a food type is not served at breakfast?</w:t>
      </w:r>
    </w:p>
    <w:p w:rsidR="00C67DD9" w:rsidRPr="00C67DD9" w:rsidRDefault="00426C56" w:rsidP="00C67DD9">
      <w:pPr>
        <w:rPr>
          <w:rFonts w:ascii="Garamond" w:hAnsi="Garamond"/>
          <w:sz w:val="24"/>
          <w:szCs w:val="24"/>
        </w:rPr>
      </w:pPr>
      <w:r>
        <w:rPr>
          <w:rFonts w:ascii="Garamond" w:hAnsi="Garamond"/>
          <w:sz w:val="24"/>
          <w:szCs w:val="24"/>
        </w:rPr>
        <w:t>We a</w:t>
      </w:r>
      <w:r w:rsidR="004E0F35">
        <w:rPr>
          <w:rFonts w:ascii="Garamond" w:hAnsi="Garamond"/>
          <w:sz w:val="24"/>
          <w:szCs w:val="24"/>
        </w:rPr>
        <w:t xml:space="preserve">dded a “Not Served” column.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Does it matter if students are allowed to eat lunch somewhere other than where it is served?</w:t>
      </w:r>
    </w:p>
    <w:p w:rsidR="00C67DD9" w:rsidRPr="00C67DD9" w:rsidRDefault="004E0F35" w:rsidP="00C67DD9">
      <w:pPr>
        <w:pStyle w:val="CommentText"/>
        <w:rPr>
          <w:rFonts w:ascii="Garamond" w:hAnsi="Garamond"/>
          <w:sz w:val="24"/>
          <w:szCs w:val="24"/>
        </w:rPr>
      </w:pPr>
      <w:r>
        <w:rPr>
          <w:rFonts w:ascii="Garamond" w:hAnsi="Garamond"/>
          <w:sz w:val="24"/>
          <w:szCs w:val="24"/>
        </w:rPr>
        <w:t xml:space="preserve">We will observe the location where most students eat their lunch.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lastRenderedPageBreak/>
        <w:t>If students are only served in classrooms, do you want the observer in one of those rooms?</w:t>
      </w:r>
    </w:p>
    <w:p w:rsidR="000A53E2" w:rsidRPr="00074016" w:rsidRDefault="000A53E2" w:rsidP="000A53E2">
      <w:pPr>
        <w:pStyle w:val="CommentText"/>
        <w:rPr>
          <w:rFonts w:ascii="Garamond" w:hAnsi="Garamond"/>
          <w:sz w:val="24"/>
          <w:szCs w:val="24"/>
        </w:rPr>
      </w:pPr>
      <w:r>
        <w:rPr>
          <w:rFonts w:ascii="Garamond" w:hAnsi="Garamond"/>
          <w:sz w:val="24"/>
          <w:szCs w:val="24"/>
        </w:rPr>
        <w:t xml:space="preserve">We are only observing the space where the most students eat their lunch. </w:t>
      </w:r>
    </w:p>
    <w:p w:rsidR="00CF1144" w:rsidRDefault="009C15E9" w:rsidP="00A37713">
      <w:pPr>
        <w:pStyle w:val="ListParagraph"/>
        <w:numPr>
          <w:ilvl w:val="0"/>
          <w:numId w:val="5"/>
        </w:numPr>
        <w:ind w:hanging="720"/>
        <w:rPr>
          <w:rFonts w:ascii="Garamond" w:hAnsi="Garamond"/>
          <w:b/>
          <w:i/>
          <w:sz w:val="24"/>
          <w:szCs w:val="24"/>
        </w:rPr>
      </w:pPr>
      <w:r w:rsidRPr="00A37713">
        <w:rPr>
          <w:rFonts w:ascii="Garamond" w:hAnsi="Garamond"/>
          <w:b/>
          <w:i/>
          <w:sz w:val="24"/>
          <w:szCs w:val="24"/>
        </w:rPr>
        <w:t>What if students are allowed to eat in more than one space?</w:t>
      </w:r>
    </w:p>
    <w:p w:rsidR="00C67DD9" w:rsidRPr="004E0F35" w:rsidRDefault="004E0F35" w:rsidP="00C67DD9">
      <w:pPr>
        <w:rPr>
          <w:rFonts w:ascii="Garamond" w:hAnsi="Garamond"/>
          <w:sz w:val="24"/>
          <w:szCs w:val="24"/>
        </w:rPr>
      </w:pPr>
      <w:r>
        <w:rPr>
          <w:rFonts w:ascii="Garamond" w:hAnsi="Garamond"/>
          <w:sz w:val="24"/>
          <w:szCs w:val="24"/>
        </w:rPr>
        <w:t xml:space="preserve">Q5 in Section II A will be collected about the space observed.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That is not the same question as # of tables/benches/chairs. Students are just as likely to sit on the ground as in a chair. What about spaces with no tables/benches/chairs?</w:t>
      </w:r>
    </w:p>
    <w:p w:rsidR="00C67DD9" w:rsidRPr="00C67DD9" w:rsidRDefault="004E0F35" w:rsidP="00C67DD9">
      <w:pPr>
        <w:rPr>
          <w:rFonts w:ascii="Garamond" w:hAnsi="Garamond"/>
          <w:sz w:val="24"/>
          <w:szCs w:val="24"/>
        </w:rPr>
      </w:pPr>
      <w:r>
        <w:rPr>
          <w:rFonts w:ascii="Garamond" w:hAnsi="Garamond"/>
          <w:sz w:val="24"/>
          <w:szCs w:val="24"/>
        </w:rPr>
        <w:t xml:space="preserve">We agree students are likely to sit on the ground and have revised the question.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What about students served only in classrooms?</w:t>
      </w:r>
    </w:p>
    <w:p w:rsidR="004E0F35" w:rsidRPr="004E0F35" w:rsidRDefault="004E0F35" w:rsidP="004E0F35">
      <w:pPr>
        <w:rPr>
          <w:rFonts w:ascii="Garamond" w:hAnsi="Garamond"/>
          <w:sz w:val="24"/>
          <w:szCs w:val="24"/>
        </w:rPr>
      </w:pPr>
      <w:r w:rsidRPr="004E0F35">
        <w:rPr>
          <w:rFonts w:ascii="Garamond" w:hAnsi="Garamond"/>
          <w:sz w:val="24"/>
          <w:szCs w:val="24"/>
        </w:rPr>
        <w:t xml:space="preserve">Students may eat in their classrooms but still typically go through a food service line.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 xml:space="preserve">Do you want an answer option for </w:t>
      </w:r>
      <w:proofErr w:type="gramStart"/>
      <w:r w:rsidRPr="00A37713">
        <w:rPr>
          <w:rFonts w:ascii="Garamond" w:hAnsi="Garamond"/>
          <w:b/>
          <w:i/>
          <w:sz w:val="24"/>
          <w:szCs w:val="24"/>
        </w:rPr>
        <w:t>Only</w:t>
      </w:r>
      <w:proofErr w:type="gramEnd"/>
      <w:r w:rsidRPr="00A37713">
        <w:rPr>
          <w:rFonts w:ascii="Garamond" w:hAnsi="Garamond"/>
          <w:b/>
          <w:i/>
          <w:sz w:val="24"/>
          <w:szCs w:val="24"/>
        </w:rPr>
        <w:t xml:space="preserve"> student that bring food from home can use the microwave?</w:t>
      </w:r>
    </w:p>
    <w:p w:rsidR="00C67DD9" w:rsidRPr="00C67DD9" w:rsidRDefault="004F7658" w:rsidP="00C67DD9">
      <w:pPr>
        <w:rPr>
          <w:rFonts w:ascii="Garamond" w:hAnsi="Garamond"/>
          <w:sz w:val="24"/>
          <w:szCs w:val="24"/>
        </w:rPr>
      </w:pPr>
      <w:r>
        <w:rPr>
          <w:rFonts w:ascii="Garamond" w:hAnsi="Garamond"/>
          <w:sz w:val="24"/>
          <w:szCs w:val="24"/>
        </w:rPr>
        <w:t xml:space="preserve">Yes.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What about schools that have classes running throughout the time lunch is served?</w:t>
      </w:r>
    </w:p>
    <w:p w:rsidR="00C67DD9" w:rsidRPr="00C67DD9" w:rsidRDefault="004F1899" w:rsidP="00C67DD9">
      <w:pPr>
        <w:pStyle w:val="CommentText"/>
        <w:rPr>
          <w:rFonts w:ascii="Garamond" w:hAnsi="Garamond"/>
          <w:sz w:val="24"/>
          <w:szCs w:val="24"/>
        </w:rPr>
      </w:pPr>
      <w:r>
        <w:rPr>
          <w:rFonts w:ascii="Garamond" w:hAnsi="Garamond"/>
          <w:sz w:val="24"/>
          <w:szCs w:val="24"/>
        </w:rPr>
        <w:t xml:space="preserve">We have added a clarifying note to the question that the question should be answered relating to the last lunch period.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What if all students are served in classrooms?</w:t>
      </w:r>
    </w:p>
    <w:p w:rsidR="00C67DD9" w:rsidRDefault="00262509" w:rsidP="00C67DD9">
      <w:pPr>
        <w:rPr>
          <w:rFonts w:ascii="Garamond" w:hAnsi="Garamond"/>
          <w:sz w:val="24"/>
          <w:szCs w:val="24"/>
        </w:rPr>
      </w:pPr>
      <w:r>
        <w:rPr>
          <w:rFonts w:ascii="Garamond" w:hAnsi="Garamond"/>
          <w:sz w:val="24"/>
          <w:szCs w:val="24"/>
        </w:rPr>
        <w:t xml:space="preserve">If all students are served in classrooms and they are roughly of equal size we will randomly select one of the classrooms for the observation. </w:t>
      </w:r>
    </w:p>
    <w:p w:rsidR="004F1899" w:rsidRPr="004F1899" w:rsidRDefault="004F1899" w:rsidP="00C67DD9">
      <w:pPr>
        <w:rPr>
          <w:rFonts w:ascii="Garamond" w:hAnsi="Garamond"/>
          <w:sz w:val="24"/>
          <w:szCs w:val="24"/>
          <w:u w:val="single"/>
        </w:rPr>
      </w:pPr>
      <w:r w:rsidRPr="004F1899">
        <w:rPr>
          <w:rFonts w:ascii="Garamond" w:hAnsi="Garamond"/>
          <w:sz w:val="24"/>
          <w:szCs w:val="24"/>
          <w:u w:val="single"/>
        </w:rPr>
        <w:t>Other Food Sources Checklist</w:t>
      </w:r>
      <w:r w:rsidR="00A66BBA">
        <w:rPr>
          <w:rFonts w:ascii="Garamond" w:hAnsi="Garamond"/>
          <w:sz w:val="24"/>
          <w:szCs w:val="24"/>
          <w:u w:val="single"/>
        </w:rPr>
        <w:t xml:space="preserve"> and Vending Machine Checklist</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Wouldn’t this be included in Juice Drinks?</w:t>
      </w:r>
    </w:p>
    <w:p w:rsidR="00C67DD9" w:rsidRDefault="008C6CDA" w:rsidP="00C67DD9">
      <w:pPr>
        <w:pStyle w:val="CommentText"/>
        <w:rPr>
          <w:rFonts w:ascii="Garamond" w:hAnsi="Garamond"/>
          <w:sz w:val="24"/>
          <w:szCs w:val="24"/>
        </w:rPr>
      </w:pPr>
      <w:r>
        <w:rPr>
          <w:rFonts w:ascii="Garamond" w:hAnsi="Garamond"/>
          <w:sz w:val="24"/>
          <w:szCs w:val="24"/>
        </w:rPr>
        <w:t xml:space="preserve">Juice drinks may contain preservatives, added sugar and water while water with juice does not. </w:t>
      </w:r>
    </w:p>
    <w:p w:rsidR="009C15E9"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This is included in the Other Bread list.</w:t>
      </w:r>
    </w:p>
    <w:p w:rsidR="00C67DD9" w:rsidRPr="00C67DD9" w:rsidRDefault="008C6CDA" w:rsidP="00C67DD9">
      <w:pPr>
        <w:rPr>
          <w:rFonts w:ascii="Garamond" w:hAnsi="Garamond"/>
          <w:sz w:val="24"/>
          <w:szCs w:val="24"/>
        </w:rPr>
      </w:pPr>
      <w:r>
        <w:rPr>
          <w:rFonts w:ascii="Garamond" w:hAnsi="Garamond"/>
          <w:sz w:val="24"/>
          <w:szCs w:val="24"/>
        </w:rPr>
        <w:t>Other breads category only includes hot pretzels. The pretzel category will capture pre-packaged products.</w:t>
      </w:r>
    </w:p>
    <w:p w:rsidR="009C15E9" w:rsidRPr="00A37713" w:rsidRDefault="009C15E9" w:rsidP="00A37713">
      <w:pPr>
        <w:pStyle w:val="CommentText"/>
        <w:numPr>
          <w:ilvl w:val="0"/>
          <w:numId w:val="5"/>
        </w:numPr>
        <w:ind w:hanging="720"/>
        <w:rPr>
          <w:rFonts w:ascii="Garamond" w:hAnsi="Garamond"/>
          <w:b/>
          <w:i/>
          <w:sz w:val="24"/>
          <w:szCs w:val="24"/>
        </w:rPr>
      </w:pPr>
      <w:r w:rsidRPr="00A37713">
        <w:rPr>
          <w:rFonts w:ascii="Garamond" w:hAnsi="Garamond"/>
          <w:b/>
          <w:i/>
          <w:sz w:val="24"/>
          <w:szCs w:val="24"/>
        </w:rPr>
        <w:t xml:space="preserve">Do you mean </w:t>
      </w:r>
      <w:proofErr w:type="gramStart"/>
      <w:r w:rsidRPr="00A37713">
        <w:rPr>
          <w:rFonts w:ascii="Garamond" w:hAnsi="Garamond"/>
          <w:b/>
          <w:i/>
          <w:sz w:val="24"/>
          <w:szCs w:val="24"/>
        </w:rPr>
        <w:t>Canned</w:t>
      </w:r>
      <w:proofErr w:type="gramEnd"/>
      <w:r w:rsidRPr="00A37713">
        <w:rPr>
          <w:rFonts w:ascii="Garamond" w:hAnsi="Garamond"/>
          <w:b/>
          <w:i/>
          <w:sz w:val="24"/>
          <w:szCs w:val="24"/>
        </w:rPr>
        <w:t xml:space="preserve"> or Cooked fruit or only fruit that is both Canned and Cooked?</w:t>
      </w:r>
    </w:p>
    <w:p w:rsidR="00932061" w:rsidRDefault="008C6CDA">
      <w:pPr>
        <w:rPr>
          <w:rFonts w:ascii="Garamond" w:hAnsi="Garamond"/>
          <w:sz w:val="24"/>
          <w:szCs w:val="24"/>
        </w:rPr>
      </w:pPr>
      <w:r w:rsidRPr="008C6CDA">
        <w:rPr>
          <w:rFonts w:ascii="Garamond" w:hAnsi="Garamond"/>
          <w:sz w:val="24"/>
          <w:szCs w:val="24"/>
        </w:rPr>
        <w:t>We</w:t>
      </w:r>
      <w:r>
        <w:rPr>
          <w:rFonts w:ascii="Garamond" w:hAnsi="Garamond"/>
          <w:sz w:val="24"/>
          <w:szCs w:val="24"/>
        </w:rPr>
        <w:t xml:space="preserve"> mean canned </w:t>
      </w:r>
      <w:r w:rsidRPr="008C6CDA">
        <w:rPr>
          <w:rFonts w:ascii="Garamond" w:hAnsi="Garamond"/>
          <w:sz w:val="24"/>
          <w:szCs w:val="24"/>
          <w:u w:val="single"/>
        </w:rPr>
        <w:t>or</w:t>
      </w:r>
      <w:r>
        <w:rPr>
          <w:rFonts w:ascii="Garamond" w:hAnsi="Garamond"/>
          <w:sz w:val="24"/>
          <w:szCs w:val="24"/>
        </w:rPr>
        <w:t xml:space="preserve"> cooked. </w:t>
      </w:r>
    </w:p>
    <w:p w:rsidR="00C84509" w:rsidRDefault="00C84509" w:rsidP="000A22C0">
      <w:pPr>
        <w:autoSpaceDE w:val="0"/>
        <w:autoSpaceDN w:val="0"/>
        <w:adjustRightInd w:val="0"/>
        <w:rPr>
          <w:rFonts w:ascii="Garamond" w:hAnsi="Garamond"/>
          <w:sz w:val="24"/>
          <w:szCs w:val="24"/>
        </w:rPr>
      </w:pPr>
    </w:p>
    <w:p w:rsidR="000A22C0" w:rsidRDefault="000A22C0" w:rsidP="000A22C0">
      <w:pPr>
        <w:autoSpaceDE w:val="0"/>
        <w:autoSpaceDN w:val="0"/>
        <w:adjustRightInd w:val="0"/>
        <w:rPr>
          <w:rFonts w:ascii="Garamond" w:hAnsi="Garamond"/>
          <w:sz w:val="24"/>
          <w:szCs w:val="24"/>
        </w:rPr>
      </w:pPr>
      <w:r w:rsidRPr="00596EDC">
        <w:rPr>
          <w:rFonts w:ascii="Garamond" w:hAnsi="Garamond"/>
          <w:sz w:val="24"/>
          <w:szCs w:val="24"/>
        </w:rPr>
        <w:lastRenderedPageBreak/>
        <w:t xml:space="preserve">The table below summarizes the changes made to the </w:t>
      </w:r>
      <w:r>
        <w:rPr>
          <w:rFonts w:ascii="Garamond" w:hAnsi="Garamond"/>
          <w:sz w:val="24"/>
          <w:szCs w:val="24"/>
        </w:rPr>
        <w:t>On-Site Data Collection instruments</w:t>
      </w:r>
      <w:r w:rsidRPr="00596EDC">
        <w:rPr>
          <w:rFonts w:ascii="Garamond" w:hAnsi="Garamond"/>
          <w:sz w:val="24"/>
          <w:szCs w:val="24"/>
        </w:rPr>
        <w:t xml:space="preserve">. </w:t>
      </w:r>
    </w:p>
    <w:tbl>
      <w:tblPr>
        <w:tblStyle w:val="TableGrid"/>
        <w:tblW w:w="0" w:type="auto"/>
        <w:tblLook w:val="04A0"/>
      </w:tblPr>
      <w:tblGrid>
        <w:gridCol w:w="1620"/>
        <w:gridCol w:w="3594"/>
        <w:gridCol w:w="4362"/>
      </w:tblGrid>
      <w:tr w:rsidR="004958DE" w:rsidRPr="00FE3FB1" w:rsidTr="004958DE">
        <w:tc>
          <w:tcPr>
            <w:tcW w:w="1620" w:type="dxa"/>
            <w:shd w:val="clear" w:color="auto" w:fill="B8CCE4" w:themeFill="accent1" w:themeFillTint="66"/>
          </w:tcPr>
          <w:p w:rsidR="004958DE" w:rsidRPr="00FE3FB1" w:rsidRDefault="004958DE" w:rsidP="000A22C0">
            <w:pPr>
              <w:autoSpaceDE w:val="0"/>
              <w:autoSpaceDN w:val="0"/>
              <w:adjustRightInd w:val="0"/>
              <w:rPr>
                <w:rFonts w:ascii="Garamond" w:hAnsi="Garamond"/>
                <w:b/>
              </w:rPr>
            </w:pPr>
            <w:r w:rsidRPr="00FE3FB1">
              <w:rPr>
                <w:rFonts w:ascii="Garamond" w:hAnsi="Garamond"/>
                <w:b/>
              </w:rPr>
              <w:t>Question #</w:t>
            </w:r>
          </w:p>
        </w:tc>
        <w:tc>
          <w:tcPr>
            <w:tcW w:w="3594" w:type="dxa"/>
            <w:shd w:val="clear" w:color="auto" w:fill="B8CCE4" w:themeFill="accent1" w:themeFillTint="66"/>
          </w:tcPr>
          <w:p w:rsidR="004958DE" w:rsidRPr="00FE3FB1" w:rsidRDefault="004958DE" w:rsidP="000A22C0">
            <w:pPr>
              <w:autoSpaceDE w:val="0"/>
              <w:autoSpaceDN w:val="0"/>
              <w:adjustRightInd w:val="0"/>
              <w:rPr>
                <w:rFonts w:ascii="Garamond" w:hAnsi="Garamond"/>
                <w:b/>
              </w:rPr>
            </w:pPr>
            <w:r w:rsidRPr="00FE3FB1">
              <w:rPr>
                <w:rFonts w:ascii="Garamond" w:hAnsi="Garamond"/>
                <w:b/>
              </w:rPr>
              <w:t>Comment</w:t>
            </w:r>
          </w:p>
        </w:tc>
        <w:tc>
          <w:tcPr>
            <w:tcW w:w="4362" w:type="dxa"/>
            <w:shd w:val="clear" w:color="auto" w:fill="B8CCE4" w:themeFill="accent1" w:themeFillTint="66"/>
          </w:tcPr>
          <w:p w:rsidR="004958DE" w:rsidRPr="00FE3FB1" w:rsidRDefault="004958DE" w:rsidP="000A22C0">
            <w:pPr>
              <w:autoSpaceDE w:val="0"/>
              <w:autoSpaceDN w:val="0"/>
              <w:adjustRightInd w:val="0"/>
              <w:rPr>
                <w:rFonts w:ascii="Garamond" w:hAnsi="Garamond"/>
                <w:b/>
              </w:rPr>
            </w:pPr>
            <w:r w:rsidRPr="00FE3FB1">
              <w:rPr>
                <w:rFonts w:ascii="Garamond" w:hAnsi="Garamond"/>
                <w:b/>
              </w:rPr>
              <w:t>Changes or modifications made</w:t>
            </w:r>
          </w:p>
        </w:tc>
      </w:tr>
      <w:tr w:rsidR="004958DE" w:rsidRPr="00FE3FB1" w:rsidTr="00C958DB">
        <w:trPr>
          <w:trHeight w:val="485"/>
        </w:trPr>
        <w:tc>
          <w:tcPr>
            <w:tcW w:w="9576" w:type="dxa"/>
            <w:gridSpan w:val="3"/>
            <w:vAlign w:val="bottom"/>
          </w:tcPr>
          <w:p w:rsidR="004958DE" w:rsidRPr="00FE3FB1" w:rsidRDefault="004958DE" w:rsidP="00932061">
            <w:pPr>
              <w:autoSpaceDE w:val="0"/>
              <w:autoSpaceDN w:val="0"/>
              <w:adjustRightInd w:val="0"/>
              <w:rPr>
                <w:rFonts w:ascii="Garamond" w:hAnsi="Garamond"/>
                <w:b/>
                <w:u w:val="single"/>
              </w:rPr>
            </w:pPr>
            <w:r w:rsidRPr="00FE3FB1">
              <w:rPr>
                <w:rFonts w:ascii="Garamond" w:hAnsi="Garamond"/>
                <w:b/>
                <w:u w:val="single"/>
              </w:rPr>
              <w:t>Food Service Manager Interview</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Q13</w:t>
            </w:r>
          </w:p>
        </w:tc>
        <w:tc>
          <w:tcPr>
            <w:tcW w:w="3594" w:type="dxa"/>
          </w:tcPr>
          <w:p w:rsidR="004958DE" w:rsidRPr="00FE3FB1" w:rsidRDefault="004958DE" w:rsidP="000A22C0">
            <w:pPr>
              <w:autoSpaceDE w:val="0"/>
              <w:autoSpaceDN w:val="0"/>
              <w:adjustRightInd w:val="0"/>
              <w:rPr>
                <w:rFonts w:ascii="Garamond" w:hAnsi="Garamond"/>
              </w:rPr>
            </w:pPr>
            <w:r w:rsidRPr="00FE3FB1">
              <w:rPr>
                <w:rFonts w:ascii="Garamond" w:hAnsi="Garamond"/>
              </w:rPr>
              <w:t>Q14?</w:t>
            </w: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Corrected skip in instruction box to Q14.</w:t>
            </w:r>
          </w:p>
        </w:tc>
      </w:tr>
      <w:tr w:rsidR="004958DE" w:rsidRPr="00FE3FB1" w:rsidTr="00C03EB2">
        <w:trPr>
          <w:trHeight w:val="485"/>
        </w:trPr>
        <w:tc>
          <w:tcPr>
            <w:tcW w:w="9576" w:type="dxa"/>
            <w:gridSpan w:val="3"/>
            <w:vAlign w:val="bottom"/>
          </w:tcPr>
          <w:p w:rsidR="004958DE" w:rsidRPr="00FE3FB1" w:rsidRDefault="004958DE" w:rsidP="00EA0FFA">
            <w:pPr>
              <w:autoSpaceDE w:val="0"/>
              <w:autoSpaceDN w:val="0"/>
              <w:adjustRightInd w:val="0"/>
              <w:rPr>
                <w:rFonts w:ascii="Garamond" w:hAnsi="Garamond"/>
                <w:b/>
                <w:u w:val="single"/>
              </w:rPr>
            </w:pPr>
            <w:r w:rsidRPr="00FE3FB1">
              <w:rPr>
                <w:rFonts w:ascii="Garamond" w:hAnsi="Garamond"/>
                <w:b/>
                <w:u w:val="single"/>
              </w:rPr>
              <w:t>Cafeteria Observation Guide</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I.A. Q3</w:t>
            </w:r>
          </w:p>
        </w:tc>
        <w:tc>
          <w:tcPr>
            <w:tcW w:w="3594" w:type="dxa"/>
          </w:tcPr>
          <w:p w:rsidR="004958DE" w:rsidRPr="00FE3FB1" w:rsidRDefault="004958DE" w:rsidP="004958DE">
            <w:pPr>
              <w:pStyle w:val="CommentText"/>
              <w:rPr>
                <w:rFonts w:ascii="Garamond" w:hAnsi="Garamond"/>
                <w:sz w:val="22"/>
                <w:szCs w:val="22"/>
              </w:rPr>
            </w:pPr>
            <w:r w:rsidRPr="00FE3FB1">
              <w:rPr>
                <w:rFonts w:ascii="Garamond" w:hAnsi="Garamond"/>
                <w:sz w:val="22"/>
                <w:szCs w:val="22"/>
              </w:rPr>
              <w:t>If students are only served in classrooms, do you want the observer in one of those rooms?</w:t>
            </w:r>
          </w:p>
          <w:p w:rsidR="004958DE" w:rsidRPr="00FE3FB1" w:rsidRDefault="004958DE" w:rsidP="000A22C0">
            <w:pPr>
              <w:autoSpaceDE w:val="0"/>
              <w:autoSpaceDN w:val="0"/>
              <w:adjustRightInd w:val="0"/>
              <w:rPr>
                <w:rFonts w:ascii="Garamond" w:hAnsi="Garamond"/>
              </w:rPr>
            </w:pP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Revised text to read “If there is more than one location (cafeteria, classroom, etc) in use for breakfast, observe the one that serves the most students. Describe the location observed.”</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I.A. Q7</w:t>
            </w:r>
          </w:p>
        </w:tc>
        <w:tc>
          <w:tcPr>
            <w:tcW w:w="3594" w:type="dxa"/>
          </w:tcPr>
          <w:p w:rsidR="004958DE" w:rsidRPr="00FE3FB1" w:rsidRDefault="00FE3FB1" w:rsidP="000A22C0">
            <w:pPr>
              <w:autoSpaceDE w:val="0"/>
              <w:autoSpaceDN w:val="0"/>
              <w:adjustRightInd w:val="0"/>
              <w:rPr>
                <w:rFonts w:ascii="Garamond" w:hAnsi="Garamond"/>
              </w:rPr>
            </w:pPr>
            <w:r w:rsidRPr="00FE3FB1">
              <w:rPr>
                <w:rFonts w:ascii="Garamond" w:hAnsi="Garamond"/>
              </w:rPr>
              <w:t>That is not the same question as # of tables/benches/chairs. Students are just as likely to sit on the ground as in a chair. What about spaces with no tables/benches/chairs?</w:t>
            </w: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 xml:space="preserve">Revised the question to read “How many tables and seats are available?” Added a category for other seating and a </w:t>
            </w:r>
            <w:proofErr w:type="spellStart"/>
            <w:r w:rsidRPr="00FE3FB1">
              <w:rPr>
                <w:rFonts w:ascii="Garamond" w:hAnsi="Garamond"/>
              </w:rPr>
              <w:t>followup</w:t>
            </w:r>
            <w:proofErr w:type="spellEnd"/>
            <w:r w:rsidRPr="00FE3FB1">
              <w:rPr>
                <w:rFonts w:ascii="Garamond" w:hAnsi="Garamond"/>
              </w:rPr>
              <w:t xml:space="preserve"> question about whether students are sitting on the ground. </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I.C. Q1</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What if a food type is not served at breakfast?</w:t>
            </w:r>
          </w:p>
          <w:p w:rsidR="004958DE" w:rsidRPr="00FE3FB1" w:rsidRDefault="004958DE" w:rsidP="000A22C0">
            <w:pPr>
              <w:autoSpaceDE w:val="0"/>
              <w:autoSpaceDN w:val="0"/>
              <w:adjustRightInd w:val="0"/>
              <w:rPr>
                <w:rFonts w:ascii="Garamond" w:hAnsi="Garamond"/>
              </w:rPr>
            </w:pP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 xml:space="preserve">Added a “Not Served” column to the grid. </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II.A Q4</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If students are only served in classrooms, do you want the observer in one of those rooms?</w:t>
            </w:r>
          </w:p>
          <w:p w:rsidR="004958DE" w:rsidRPr="00FE3FB1" w:rsidRDefault="004958DE" w:rsidP="000A22C0">
            <w:pPr>
              <w:autoSpaceDE w:val="0"/>
              <w:autoSpaceDN w:val="0"/>
              <w:adjustRightInd w:val="0"/>
              <w:rPr>
                <w:rFonts w:ascii="Garamond" w:hAnsi="Garamond"/>
              </w:rPr>
            </w:pP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Revised text to read “If there is more than one location (cafeteria, classroom, etc) in use for breakfast, observe the one that serves the most students. Describe the location observed.”</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II.A Q8</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That is not the same question as # of tables/benches/chairs. Students are just as likely to sit on the ground as in a chair. What about spaces with no tables/benches/chairs?</w:t>
            </w:r>
          </w:p>
          <w:p w:rsidR="004958DE" w:rsidRPr="00FE3FB1" w:rsidRDefault="004958DE" w:rsidP="000A22C0">
            <w:pPr>
              <w:autoSpaceDE w:val="0"/>
              <w:autoSpaceDN w:val="0"/>
              <w:adjustRightInd w:val="0"/>
              <w:rPr>
                <w:rFonts w:ascii="Garamond" w:hAnsi="Garamond"/>
              </w:rPr>
            </w:pP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 xml:space="preserve">Revised the question to read “How many tables and seats are available?” Added a category for other seating and a </w:t>
            </w:r>
            <w:proofErr w:type="spellStart"/>
            <w:r w:rsidRPr="00FE3FB1">
              <w:rPr>
                <w:rFonts w:ascii="Garamond" w:hAnsi="Garamond"/>
              </w:rPr>
              <w:t>followup</w:t>
            </w:r>
            <w:proofErr w:type="spellEnd"/>
            <w:r w:rsidRPr="00FE3FB1">
              <w:rPr>
                <w:rFonts w:ascii="Garamond" w:hAnsi="Garamond"/>
              </w:rPr>
              <w:t xml:space="preserve"> question about whether students are sitting on the ground.</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II.B. Q23</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Do you want an answer option for Only student that bring food from home can use the microwave?</w:t>
            </w:r>
          </w:p>
          <w:p w:rsidR="00FE3FB1" w:rsidRPr="00FE3FB1" w:rsidRDefault="00FE3FB1" w:rsidP="00FE3FB1">
            <w:pPr>
              <w:pStyle w:val="CommentText"/>
              <w:rPr>
                <w:rFonts w:ascii="Garamond" w:hAnsi="Garamond"/>
                <w:sz w:val="22"/>
                <w:szCs w:val="22"/>
              </w:rPr>
            </w:pPr>
            <w:r w:rsidRPr="00FE3FB1">
              <w:rPr>
                <w:rFonts w:ascii="Garamond" w:hAnsi="Garamond"/>
                <w:sz w:val="22"/>
                <w:szCs w:val="22"/>
              </w:rPr>
              <w:t>Suggest adding Skip to Q25.</w:t>
            </w:r>
          </w:p>
          <w:p w:rsidR="004958DE" w:rsidRPr="00FE3FB1" w:rsidRDefault="004958DE" w:rsidP="005D590F">
            <w:pPr>
              <w:autoSpaceDE w:val="0"/>
              <w:autoSpaceDN w:val="0"/>
              <w:adjustRightInd w:val="0"/>
              <w:rPr>
                <w:rFonts w:ascii="Garamond" w:hAnsi="Garamond"/>
              </w:rPr>
            </w:pPr>
          </w:p>
        </w:tc>
        <w:tc>
          <w:tcPr>
            <w:tcW w:w="4362" w:type="dxa"/>
          </w:tcPr>
          <w:p w:rsidR="004958DE" w:rsidRPr="00FE3FB1" w:rsidRDefault="004958DE" w:rsidP="005D590F">
            <w:pPr>
              <w:autoSpaceDE w:val="0"/>
              <w:autoSpaceDN w:val="0"/>
              <w:adjustRightInd w:val="0"/>
              <w:rPr>
                <w:rFonts w:ascii="Garamond" w:hAnsi="Garamond"/>
              </w:rPr>
            </w:pPr>
            <w:r w:rsidRPr="00FE3FB1">
              <w:rPr>
                <w:rFonts w:ascii="Garamond" w:hAnsi="Garamond"/>
              </w:rPr>
              <w:t>Added a response category to capture when microwaves can only be used by students who bring their lunches from home. We added a skip to Q24 for the response “No microwave.”</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II.B. Q28</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What about schools that have classes running throughout the time lunch is served?</w:t>
            </w:r>
          </w:p>
          <w:p w:rsidR="004958DE" w:rsidRPr="00FE3FB1" w:rsidRDefault="004958DE" w:rsidP="000A22C0">
            <w:pPr>
              <w:autoSpaceDE w:val="0"/>
              <w:autoSpaceDN w:val="0"/>
              <w:adjustRightInd w:val="0"/>
              <w:rPr>
                <w:rFonts w:ascii="Garamond" w:hAnsi="Garamond"/>
              </w:rPr>
            </w:pPr>
          </w:p>
        </w:tc>
        <w:tc>
          <w:tcPr>
            <w:tcW w:w="4362" w:type="dxa"/>
          </w:tcPr>
          <w:p w:rsidR="004958DE" w:rsidRPr="003F199B" w:rsidRDefault="003F199B" w:rsidP="003F199B">
            <w:pPr>
              <w:autoSpaceDE w:val="0"/>
              <w:autoSpaceDN w:val="0"/>
              <w:adjustRightInd w:val="0"/>
              <w:rPr>
                <w:rFonts w:ascii="Garamond" w:hAnsi="Garamond"/>
              </w:rPr>
            </w:pPr>
            <w:r w:rsidRPr="003F199B">
              <w:rPr>
                <w:rFonts w:ascii="Garamond" w:hAnsi="Garamond"/>
              </w:rPr>
              <w:t>Revised the question to read “</w:t>
            </w:r>
            <w:r w:rsidRPr="003F199B">
              <w:rPr>
                <w:rFonts w:ascii="Garamond" w:eastAsia="Times New Roman" w:hAnsi="Garamond" w:cstheme="minorHAnsi"/>
              </w:rPr>
              <w:t>How many minutes prior to the next lunch period does the cafeteria stop serving lunch?”</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III. Intro</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What if all students are served in classrooms?</w:t>
            </w:r>
          </w:p>
          <w:p w:rsidR="004958DE" w:rsidRPr="00FE3FB1" w:rsidRDefault="004958DE" w:rsidP="00875D20">
            <w:pPr>
              <w:autoSpaceDE w:val="0"/>
              <w:autoSpaceDN w:val="0"/>
              <w:adjustRightInd w:val="0"/>
              <w:rPr>
                <w:rFonts w:ascii="Garamond" w:hAnsi="Garamond"/>
              </w:rPr>
            </w:pPr>
          </w:p>
        </w:tc>
        <w:tc>
          <w:tcPr>
            <w:tcW w:w="4362" w:type="dxa"/>
          </w:tcPr>
          <w:p w:rsidR="004958DE" w:rsidRPr="00FE3FB1" w:rsidRDefault="004958DE" w:rsidP="00875D20">
            <w:pPr>
              <w:autoSpaceDE w:val="0"/>
              <w:autoSpaceDN w:val="0"/>
              <w:adjustRightInd w:val="0"/>
              <w:rPr>
                <w:rFonts w:ascii="Garamond" w:hAnsi="Garamond"/>
              </w:rPr>
            </w:pPr>
            <w:r w:rsidRPr="00FE3FB1">
              <w:rPr>
                <w:rFonts w:ascii="Garamond" w:hAnsi="Garamond"/>
              </w:rPr>
              <w:t>Revised text to read “If there is more than one location (cafeteria, classroom, etc) serves reimbursable lunches answer this section about the one that serves the most students.”</w:t>
            </w:r>
          </w:p>
        </w:tc>
      </w:tr>
      <w:tr w:rsidR="004958DE" w:rsidRPr="00FE3FB1" w:rsidTr="005B0EE2">
        <w:trPr>
          <w:trHeight w:val="485"/>
        </w:trPr>
        <w:tc>
          <w:tcPr>
            <w:tcW w:w="9576" w:type="dxa"/>
            <w:gridSpan w:val="3"/>
            <w:vAlign w:val="bottom"/>
          </w:tcPr>
          <w:p w:rsidR="004958DE" w:rsidRPr="00FE3FB1" w:rsidRDefault="004958DE" w:rsidP="00EA0FFA">
            <w:pPr>
              <w:autoSpaceDE w:val="0"/>
              <w:autoSpaceDN w:val="0"/>
              <w:adjustRightInd w:val="0"/>
              <w:rPr>
                <w:rFonts w:ascii="Garamond" w:hAnsi="Garamond"/>
                <w:b/>
                <w:u w:val="single"/>
              </w:rPr>
            </w:pPr>
            <w:r w:rsidRPr="00FE3FB1">
              <w:rPr>
                <w:rFonts w:ascii="Garamond" w:hAnsi="Garamond"/>
                <w:b/>
                <w:u w:val="single"/>
              </w:rPr>
              <w:t>Other Food Sources Checklist and Vending Machine Checklist</w:t>
            </w:r>
          </w:p>
        </w:tc>
      </w:tr>
      <w:tr w:rsidR="004958DE" w:rsidRPr="00FE3FB1" w:rsidTr="004958DE">
        <w:tc>
          <w:tcPr>
            <w:tcW w:w="1620" w:type="dxa"/>
          </w:tcPr>
          <w:p w:rsidR="004958DE" w:rsidRPr="00FE3FB1" w:rsidRDefault="004958DE" w:rsidP="000A22C0">
            <w:pPr>
              <w:autoSpaceDE w:val="0"/>
              <w:autoSpaceDN w:val="0"/>
              <w:adjustRightInd w:val="0"/>
              <w:rPr>
                <w:rFonts w:ascii="Garamond" w:hAnsi="Garamond"/>
              </w:rPr>
            </w:pPr>
            <w:r w:rsidRPr="00FE3FB1">
              <w:rPr>
                <w:rFonts w:ascii="Garamond" w:hAnsi="Garamond"/>
              </w:rPr>
              <w:t>Q3F</w:t>
            </w:r>
          </w:p>
        </w:tc>
        <w:tc>
          <w:tcPr>
            <w:tcW w:w="3594" w:type="dxa"/>
          </w:tcPr>
          <w:p w:rsidR="00FE3FB1" w:rsidRPr="00FE3FB1" w:rsidRDefault="00FE3FB1" w:rsidP="00FE3FB1">
            <w:pPr>
              <w:pStyle w:val="CommentText"/>
              <w:rPr>
                <w:rFonts w:ascii="Garamond" w:hAnsi="Garamond"/>
                <w:sz w:val="22"/>
                <w:szCs w:val="22"/>
              </w:rPr>
            </w:pPr>
            <w:r w:rsidRPr="00FE3FB1">
              <w:rPr>
                <w:rFonts w:ascii="Garamond" w:hAnsi="Garamond"/>
                <w:sz w:val="22"/>
                <w:szCs w:val="22"/>
              </w:rPr>
              <w:t>Do you mean Canned or Cooked fruit or only fruit that is both Canned and Cooked?</w:t>
            </w:r>
          </w:p>
          <w:p w:rsidR="004958DE" w:rsidRPr="00FE3FB1" w:rsidRDefault="004958DE" w:rsidP="000A22C0">
            <w:pPr>
              <w:autoSpaceDE w:val="0"/>
              <w:autoSpaceDN w:val="0"/>
              <w:adjustRightInd w:val="0"/>
              <w:rPr>
                <w:rFonts w:ascii="Garamond" w:hAnsi="Garamond"/>
              </w:rPr>
            </w:pPr>
          </w:p>
        </w:tc>
        <w:tc>
          <w:tcPr>
            <w:tcW w:w="4362" w:type="dxa"/>
          </w:tcPr>
          <w:p w:rsidR="004958DE" w:rsidRPr="00FE3FB1" w:rsidRDefault="004958DE" w:rsidP="000A22C0">
            <w:pPr>
              <w:autoSpaceDE w:val="0"/>
              <w:autoSpaceDN w:val="0"/>
              <w:adjustRightInd w:val="0"/>
              <w:rPr>
                <w:rFonts w:ascii="Garamond" w:hAnsi="Garamond"/>
              </w:rPr>
            </w:pPr>
            <w:r w:rsidRPr="00FE3FB1">
              <w:rPr>
                <w:rFonts w:ascii="Garamond" w:hAnsi="Garamond"/>
              </w:rPr>
              <w:t>Changed “Canned, Cooked” to “Canned or Cooked”</w:t>
            </w:r>
          </w:p>
        </w:tc>
      </w:tr>
    </w:tbl>
    <w:p w:rsidR="002F04E0" w:rsidRPr="00E52F47" w:rsidRDefault="002F04E0">
      <w:pPr>
        <w:rPr>
          <w:rFonts w:ascii="Garamond" w:hAnsi="Garamond"/>
          <w:b/>
          <w:sz w:val="24"/>
          <w:szCs w:val="24"/>
        </w:rPr>
      </w:pPr>
    </w:p>
    <w:sectPr w:rsidR="002F04E0" w:rsidRPr="00E52F47" w:rsidSect="00F814D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A16" w:rsidRDefault="00BB3A16" w:rsidP="00BB3A16">
      <w:pPr>
        <w:spacing w:after="0" w:line="240" w:lineRule="auto"/>
      </w:pPr>
      <w:r>
        <w:separator/>
      </w:r>
    </w:p>
  </w:endnote>
  <w:endnote w:type="continuationSeparator" w:id="0">
    <w:p w:rsidR="00BB3A16" w:rsidRDefault="00BB3A16" w:rsidP="00BB3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LTSt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329178"/>
      <w:docPartObj>
        <w:docPartGallery w:val="Page Numbers (Bottom of Page)"/>
        <w:docPartUnique/>
      </w:docPartObj>
    </w:sdtPr>
    <w:sdtEndPr>
      <w:rPr>
        <w:noProof/>
      </w:rPr>
    </w:sdtEndPr>
    <w:sdtContent>
      <w:p w:rsidR="00BB3A16" w:rsidRDefault="00893E3F">
        <w:pPr>
          <w:pStyle w:val="Footer"/>
          <w:jc w:val="center"/>
        </w:pPr>
        <w:r>
          <w:fldChar w:fldCharType="begin"/>
        </w:r>
        <w:r w:rsidR="00BB3A16">
          <w:instrText xml:space="preserve"> PAGE   \* MERGEFORMAT </w:instrText>
        </w:r>
        <w:r>
          <w:fldChar w:fldCharType="separate"/>
        </w:r>
        <w:r w:rsidR="00B21470">
          <w:rPr>
            <w:noProof/>
          </w:rPr>
          <w:t>11</w:t>
        </w:r>
        <w:r>
          <w:rPr>
            <w:noProof/>
          </w:rPr>
          <w:fldChar w:fldCharType="end"/>
        </w:r>
      </w:p>
    </w:sdtContent>
  </w:sdt>
  <w:p w:rsidR="00BB3A16" w:rsidRDefault="00BB3A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A16" w:rsidRDefault="00BB3A16" w:rsidP="00BB3A16">
      <w:pPr>
        <w:spacing w:after="0" w:line="240" w:lineRule="auto"/>
      </w:pPr>
      <w:r>
        <w:separator/>
      </w:r>
    </w:p>
  </w:footnote>
  <w:footnote w:type="continuationSeparator" w:id="0">
    <w:p w:rsidR="00BB3A16" w:rsidRDefault="00BB3A16" w:rsidP="00BB3A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408E"/>
    <w:multiLevelType w:val="hybridMultilevel"/>
    <w:tmpl w:val="A07E8940"/>
    <w:lvl w:ilvl="0" w:tplc="6E8C7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46FB"/>
    <w:multiLevelType w:val="hybridMultilevel"/>
    <w:tmpl w:val="B02281F4"/>
    <w:lvl w:ilvl="0" w:tplc="50AE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5FF2"/>
    <w:multiLevelType w:val="hybridMultilevel"/>
    <w:tmpl w:val="0B7A9C26"/>
    <w:lvl w:ilvl="0" w:tplc="66262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161CC"/>
    <w:multiLevelType w:val="hybridMultilevel"/>
    <w:tmpl w:val="F0385134"/>
    <w:lvl w:ilvl="0" w:tplc="50AE98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57F78"/>
    <w:multiLevelType w:val="hybridMultilevel"/>
    <w:tmpl w:val="07EE8198"/>
    <w:lvl w:ilvl="0" w:tplc="39FAB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C2B42"/>
    <w:multiLevelType w:val="hybridMultilevel"/>
    <w:tmpl w:val="3FEA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56630"/>
    <w:multiLevelType w:val="hybridMultilevel"/>
    <w:tmpl w:val="1270A734"/>
    <w:lvl w:ilvl="0" w:tplc="8850C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B75F9"/>
    <w:multiLevelType w:val="hybridMultilevel"/>
    <w:tmpl w:val="54F80720"/>
    <w:lvl w:ilvl="0" w:tplc="FB128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60E89"/>
    <w:multiLevelType w:val="hybridMultilevel"/>
    <w:tmpl w:val="91C49B22"/>
    <w:lvl w:ilvl="0" w:tplc="50AE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F22ADF"/>
    <w:multiLevelType w:val="hybridMultilevel"/>
    <w:tmpl w:val="09929E1A"/>
    <w:lvl w:ilvl="0" w:tplc="B92E9B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8"/>
  </w:num>
  <w:num w:numId="5">
    <w:abstractNumId w:val="1"/>
  </w:num>
  <w:num w:numId="6">
    <w:abstractNumId w:val="4"/>
  </w:num>
  <w:num w:numId="7">
    <w:abstractNumId w:val="2"/>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13702"/>
    <w:rsid w:val="00023E7C"/>
    <w:rsid w:val="00074016"/>
    <w:rsid w:val="000A22C0"/>
    <w:rsid w:val="000A53E2"/>
    <w:rsid w:val="000B4EA1"/>
    <w:rsid w:val="000B53E0"/>
    <w:rsid w:val="000C2404"/>
    <w:rsid w:val="00126E58"/>
    <w:rsid w:val="0014543E"/>
    <w:rsid w:val="001B19F2"/>
    <w:rsid w:val="00201C27"/>
    <w:rsid w:val="002053A4"/>
    <w:rsid w:val="00213702"/>
    <w:rsid w:val="00243243"/>
    <w:rsid w:val="00262509"/>
    <w:rsid w:val="002C34B4"/>
    <w:rsid w:val="002D6B62"/>
    <w:rsid w:val="002F04E0"/>
    <w:rsid w:val="002F7489"/>
    <w:rsid w:val="00342C86"/>
    <w:rsid w:val="003E45D9"/>
    <w:rsid w:val="003E760A"/>
    <w:rsid w:val="003E779D"/>
    <w:rsid w:val="003F199B"/>
    <w:rsid w:val="003F2852"/>
    <w:rsid w:val="003F669B"/>
    <w:rsid w:val="003F7B3F"/>
    <w:rsid w:val="004245AB"/>
    <w:rsid w:val="00426C56"/>
    <w:rsid w:val="00483305"/>
    <w:rsid w:val="004958DE"/>
    <w:rsid w:val="004C61F1"/>
    <w:rsid w:val="004D6D7B"/>
    <w:rsid w:val="004E0F35"/>
    <w:rsid w:val="004F1899"/>
    <w:rsid w:val="004F7658"/>
    <w:rsid w:val="004F7E9A"/>
    <w:rsid w:val="00543468"/>
    <w:rsid w:val="00596EDC"/>
    <w:rsid w:val="005D590F"/>
    <w:rsid w:val="00606C22"/>
    <w:rsid w:val="00633DE1"/>
    <w:rsid w:val="006A59F9"/>
    <w:rsid w:val="006A6201"/>
    <w:rsid w:val="007E45F1"/>
    <w:rsid w:val="007F2668"/>
    <w:rsid w:val="007F2B35"/>
    <w:rsid w:val="00860760"/>
    <w:rsid w:val="00875D20"/>
    <w:rsid w:val="00881659"/>
    <w:rsid w:val="00893E3F"/>
    <w:rsid w:val="00894717"/>
    <w:rsid w:val="008A3E31"/>
    <w:rsid w:val="008B58FA"/>
    <w:rsid w:val="008C6CDA"/>
    <w:rsid w:val="008C7498"/>
    <w:rsid w:val="00914F16"/>
    <w:rsid w:val="00932061"/>
    <w:rsid w:val="009C15E9"/>
    <w:rsid w:val="009D4EED"/>
    <w:rsid w:val="009D5D82"/>
    <w:rsid w:val="00A12ABA"/>
    <w:rsid w:val="00A24E3C"/>
    <w:rsid w:val="00A37713"/>
    <w:rsid w:val="00A66BBA"/>
    <w:rsid w:val="00AA6B6C"/>
    <w:rsid w:val="00AD37FE"/>
    <w:rsid w:val="00AF59AA"/>
    <w:rsid w:val="00B14017"/>
    <w:rsid w:val="00B21470"/>
    <w:rsid w:val="00B70014"/>
    <w:rsid w:val="00B71AE4"/>
    <w:rsid w:val="00B72E46"/>
    <w:rsid w:val="00B80E8C"/>
    <w:rsid w:val="00BB3A16"/>
    <w:rsid w:val="00BE2A12"/>
    <w:rsid w:val="00BE2ED7"/>
    <w:rsid w:val="00C67DD9"/>
    <w:rsid w:val="00C726B6"/>
    <w:rsid w:val="00C84509"/>
    <w:rsid w:val="00CF1144"/>
    <w:rsid w:val="00D104B7"/>
    <w:rsid w:val="00D65F41"/>
    <w:rsid w:val="00D74D79"/>
    <w:rsid w:val="00D764BE"/>
    <w:rsid w:val="00DA4DE5"/>
    <w:rsid w:val="00DC4301"/>
    <w:rsid w:val="00DD04B5"/>
    <w:rsid w:val="00DD2989"/>
    <w:rsid w:val="00DE1383"/>
    <w:rsid w:val="00DF5096"/>
    <w:rsid w:val="00E139C9"/>
    <w:rsid w:val="00E50501"/>
    <w:rsid w:val="00E52F47"/>
    <w:rsid w:val="00E75169"/>
    <w:rsid w:val="00E81CD9"/>
    <w:rsid w:val="00E869AE"/>
    <w:rsid w:val="00ED0150"/>
    <w:rsid w:val="00EE3ACF"/>
    <w:rsid w:val="00F060B6"/>
    <w:rsid w:val="00F1063A"/>
    <w:rsid w:val="00F24724"/>
    <w:rsid w:val="00F5427A"/>
    <w:rsid w:val="00F814D3"/>
    <w:rsid w:val="00FC34BA"/>
    <w:rsid w:val="00FE3FB1"/>
    <w:rsid w:val="00FE765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23E7C"/>
    <w:pPr>
      <w:spacing w:line="240" w:lineRule="auto"/>
    </w:pPr>
    <w:rPr>
      <w:sz w:val="20"/>
      <w:szCs w:val="20"/>
    </w:rPr>
  </w:style>
  <w:style w:type="character" w:customStyle="1" w:styleId="CommentTextChar">
    <w:name w:val="Comment Text Char"/>
    <w:basedOn w:val="DefaultParagraphFont"/>
    <w:link w:val="CommentText"/>
    <w:uiPriority w:val="99"/>
    <w:rsid w:val="00023E7C"/>
    <w:rPr>
      <w:sz w:val="20"/>
      <w:szCs w:val="20"/>
    </w:rPr>
  </w:style>
  <w:style w:type="paragraph" w:styleId="BalloonText">
    <w:name w:val="Balloon Text"/>
    <w:basedOn w:val="Normal"/>
    <w:link w:val="BalloonTextChar"/>
    <w:uiPriority w:val="99"/>
    <w:semiHidden/>
    <w:unhideWhenUsed/>
    <w:rsid w:val="00BB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16"/>
    <w:rPr>
      <w:rFonts w:ascii="Tahoma" w:hAnsi="Tahoma" w:cs="Tahoma"/>
      <w:sz w:val="16"/>
      <w:szCs w:val="16"/>
    </w:rPr>
  </w:style>
  <w:style w:type="paragraph" w:styleId="Header">
    <w:name w:val="header"/>
    <w:basedOn w:val="Normal"/>
    <w:link w:val="HeaderChar"/>
    <w:uiPriority w:val="99"/>
    <w:unhideWhenUsed/>
    <w:rsid w:val="00BB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A16"/>
  </w:style>
  <w:style w:type="paragraph" w:styleId="Footer">
    <w:name w:val="footer"/>
    <w:basedOn w:val="Normal"/>
    <w:link w:val="FooterChar"/>
    <w:uiPriority w:val="99"/>
    <w:unhideWhenUsed/>
    <w:rsid w:val="00BB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A16"/>
  </w:style>
  <w:style w:type="paragraph" w:styleId="ListParagraph">
    <w:name w:val="List Paragraph"/>
    <w:basedOn w:val="Normal"/>
    <w:uiPriority w:val="34"/>
    <w:qFormat/>
    <w:rsid w:val="00D104B7"/>
    <w:pPr>
      <w:ind w:left="720"/>
      <w:contextualSpacing/>
    </w:pPr>
  </w:style>
  <w:style w:type="table" w:styleId="TableGrid">
    <w:name w:val="Table Grid"/>
    <w:basedOn w:val="TableNormal"/>
    <w:uiPriority w:val="59"/>
    <w:rsid w:val="0093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23E7C"/>
    <w:pPr>
      <w:spacing w:line="240" w:lineRule="auto"/>
    </w:pPr>
    <w:rPr>
      <w:sz w:val="20"/>
      <w:szCs w:val="20"/>
    </w:rPr>
  </w:style>
  <w:style w:type="character" w:customStyle="1" w:styleId="CommentTextChar">
    <w:name w:val="Comment Text Char"/>
    <w:basedOn w:val="DefaultParagraphFont"/>
    <w:link w:val="CommentText"/>
    <w:uiPriority w:val="99"/>
    <w:rsid w:val="00023E7C"/>
    <w:rPr>
      <w:sz w:val="20"/>
      <w:szCs w:val="20"/>
    </w:rPr>
  </w:style>
  <w:style w:type="paragraph" w:styleId="BalloonText">
    <w:name w:val="Balloon Text"/>
    <w:basedOn w:val="Normal"/>
    <w:link w:val="BalloonTextChar"/>
    <w:uiPriority w:val="99"/>
    <w:semiHidden/>
    <w:unhideWhenUsed/>
    <w:rsid w:val="00BB3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A16"/>
    <w:rPr>
      <w:rFonts w:ascii="Tahoma" w:hAnsi="Tahoma" w:cs="Tahoma"/>
      <w:sz w:val="16"/>
      <w:szCs w:val="16"/>
    </w:rPr>
  </w:style>
  <w:style w:type="paragraph" w:styleId="Header">
    <w:name w:val="header"/>
    <w:basedOn w:val="Normal"/>
    <w:link w:val="HeaderChar"/>
    <w:uiPriority w:val="99"/>
    <w:unhideWhenUsed/>
    <w:rsid w:val="00BB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A16"/>
  </w:style>
  <w:style w:type="paragraph" w:styleId="Footer">
    <w:name w:val="footer"/>
    <w:basedOn w:val="Normal"/>
    <w:link w:val="FooterChar"/>
    <w:uiPriority w:val="99"/>
    <w:unhideWhenUsed/>
    <w:rsid w:val="00BB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A16"/>
  </w:style>
  <w:style w:type="paragraph" w:styleId="ListParagraph">
    <w:name w:val="List Paragraph"/>
    <w:basedOn w:val="Normal"/>
    <w:uiPriority w:val="34"/>
    <w:qFormat/>
    <w:rsid w:val="00D104B7"/>
    <w:pPr>
      <w:ind w:left="720"/>
      <w:contextualSpacing/>
    </w:pPr>
  </w:style>
  <w:style w:type="table" w:styleId="TableGrid">
    <w:name w:val="Table Grid"/>
    <w:basedOn w:val="TableNormal"/>
    <w:uiPriority w:val="59"/>
    <w:rsid w:val="00932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5109">
      <w:bodyDiv w:val="1"/>
      <w:marLeft w:val="0"/>
      <w:marRight w:val="0"/>
      <w:marTop w:val="0"/>
      <w:marBottom w:val="0"/>
      <w:divBdr>
        <w:top w:val="none" w:sz="0" w:space="0" w:color="auto"/>
        <w:left w:val="none" w:sz="0" w:space="0" w:color="auto"/>
        <w:bottom w:val="none" w:sz="0" w:space="0" w:color="auto"/>
        <w:right w:val="none" w:sz="0" w:space="0" w:color="auto"/>
      </w:divBdr>
    </w:div>
    <w:div w:id="36975885">
      <w:bodyDiv w:val="1"/>
      <w:marLeft w:val="0"/>
      <w:marRight w:val="0"/>
      <w:marTop w:val="0"/>
      <w:marBottom w:val="0"/>
      <w:divBdr>
        <w:top w:val="none" w:sz="0" w:space="0" w:color="auto"/>
        <w:left w:val="none" w:sz="0" w:space="0" w:color="auto"/>
        <w:bottom w:val="none" w:sz="0" w:space="0" w:color="auto"/>
        <w:right w:val="none" w:sz="0" w:space="0" w:color="auto"/>
      </w:divBdr>
    </w:div>
    <w:div w:id="154031934">
      <w:bodyDiv w:val="1"/>
      <w:marLeft w:val="0"/>
      <w:marRight w:val="0"/>
      <w:marTop w:val="0"/>
      <w:marBottom w:val="0"/>
      <w:divBdr>
        <w:top w:val="none" w:sz="0" w:space="0" w:color="auto"/>
        <w:left w:val="none" w:sz="0" w:space="0" w:color="auto"/>
        <w:bottom w:val="none" w:sz="0" w:space="0" w:color="auto"/>
        <w:right w:val="none" w:sz="0" w:space="0" w:color="auto"/>
      </w:divBdr>
    </w:div>
    <w:div w:id="223637955">
      <w:bodyDiv w:val="1"/>
      <w:marLeft w:val="0"/>
      <w:marRight w:val="0"/>
      <w:marTop w:val="0"/>
      <w:marBottom w:val="0"/>
      <w:divBdr>
        <w:top w:val="none" w:sz="0" w:space="0" w:color="auto"/>
        <w:left w:val="none" w:sz="0" w:space="0" w:color="auto"/>
        <w:bottom w:val="none" w:sz="0" w:space="0" w:color="auto"/>
        <w:right w:val="none" w:sz="0" w:space="0" w:color="auto"/>
      </w:divBdr>
    </w:div>
    <w:div w:id="302278454">
      <w:bodyDiv w:val="1"/>
      <w:marLeft w:val="0"/>
      <w:marRight w:val="0"/>
      <w:marTop w:val="0"/>
      <w:marBottom w:val="0"/>
      <w:divBdr>
        <w:top w:val="none" w:sz="0" w:space="0" w:color="auto"/>
        <w:left w:val="none" w:sz="0" w:space="0" w:color="auto"/>
        <w:bottom w:val="none" w:sz="0" w:space="0" w:color="auto"/>
        <w:right w:val="none" w:sz="0" w:space="0" w:color="auto"/>
      </w:divBdr>
    </w:div>
    <w:div w:id="408625452">
      <w:bodyDiv w:val="1"/>
      <w:marLeft w:val="0"/>
      <w:marRight w:val="0"/>
      <w:marTop w:val="0"/>
      <w:marBottom w:val="0"/>
      <w:divBdr>
        <w:top w:val="none" w:sz="0" w:space="0" w:color="auto"/>
        <w:left w:val="none" w:sz="0" w:space="0" w:color="auto"/>
        <w:bottom w:val="none" w:sz="0" w:space="0" w:color="auto"/>
        <w:right w:val="none" w:sz="0" w:space="0" w:color="auto"/>
      </w:divBdr>
    </w:div>
    <w:div w:id="540945927">
      <w:bodyDiv w:val="1"/>
      <w:marLeft w:val="0"/>
      <w:marRight w:val="0"/>
      <w:marTop w:val="0"/>
      <w:marBottom w:val="0"/>
      <w:divBdr>
        <w:top w:val="none" w:sz="0" w:space="0" w:color="auto"/>
        <w:left w:val="none" w:sz="0" w:space="0" w:color="auto"/>
        <w:bottom w:val="none" w:sz="0" w:space="0" w:color="auto"/>
        <w:right w:val="none" w:sz="0" w:space="0" w:color="auto"/>
      </w:divBdr>
    </w:div>
    <w:div w:id="652687418">
      <w:bodyDiv w:val="1"/>
      <w:marLeft w:val="0"/>
      <w:marRight w:val="0"/>
      <w:marTop w:val="0"/>
      <w:marBottom w:val="0"/>
      <w:divBdr>
        <w:top w:val="none" w:sz="0" w:space="0" w:color="auto"/>
        <w:left w:val="none" w:sz="0" w:space="0" w:color="auto"/>
        <w:bottom w:val="none" w:sz="0" w:space="0" w:color="auto"/>
        <w:right w:val="none" w:sz="0" w:space="0" w:color="auto"/>
      </w:divBdr>
    </w:div>
    <w:div w:id="800148070">
      <w:bodyDiv w:val="1"/>
      <w:marLeft w:val="0"/>
      <w:marRight w:val="0"/>
      <w:marTop w:val="0"/>
      <w:marBottom w:val="0"/>
      <w:divBdr>
        <w:top w:val="none" w:sz="0" w:space="0" w:color="auto"/>
        <w:left w:val="none" w:sz="0" w:space="0" w:color="auto"/>
        <w:bottom w:val="none" w:sz="0" w:space="0" w:color="auto"/>
        <w:right w:val="none" w:sz="0" w:space="0" w:color="auto"/>
      </w:divBdr>
    </w:div>
    <w:div w:id="1128232864">
      <w:bodyDiv w:val="1"/>
      <w:marLeft w:val="0"/>
      <w:marRight w:val="0"/>
      <w:marTop w:val="0"/>
      <w:marBottom w:val="0"/>
      <w:divBdr>
        <w:top w:val="none" w:sz="0" w:space="0" w:color="auto"/>
        <w:left w:val="none" w:sz="0" w:space="0" w:color="auto"/>
        <w:bottom w:val="none" w:sz="0" w:space="0" w:color="auto"/>
        <w:right w:val="none" w:sz="0" w:space="0" w:color="auto"/>
      </w:divBdr>
    </w:div>
    <w:div w:id="1313830358">
      <w:bodyDiv w:val="1"/>
      <w:marLeft w:val="0"/>
      <w:marRight w:val="0"/>
      <w:marTop w:val="0"/>
      <w:marBottom w:val="0"/>
      <w:divBdr>
        <w:top w:val="none" w:sz="0" w:space="0" w:color="auto"/>
        <w:left w:val="none" w:sz="0" w:space="0" w:color="auto"/>
        <w:bottom w:val="none" w:sz="0" w:space="0" w:color="auto"/>
        <w:right w:val="none" w:sz="0" w:space="0" w:color="auto"/>
      </w:divBdr>
    </w:div>
    <w:div w:id="1774283406">
      <w:bodyDiv w:val="1"/>
      <w:marLeft w:val="0"/>
      <w:marRight w:val="0"/>
      <w:marTop w:val="0"/>
      <w:marBottom w:val="0"/>
      <w:divBdr>
        <w:top w:val="none" w:sz="0" w:space="0" w:color="auto"/>
        <w:left w:val="none" w:sz="0" w:space="0" w:color="auto"/>
        <w:bottom w:val="none" w:sz="0" w:space="0" w:color="auto"/>
        <w:right w:val="none" w:sz="0" w:space="0" w:color="auto"/>
      </w:divBdr>
    </w:div>
    <w:div w:id="1996060782">
      <w:bodyDiv w:val="1"/>
      <w:marLeft w:val="0"/>
      <w:marRight w:val="0"/>
      <w:marTop w:val="0"/>
      <w:marBottom w:val="0"/>
      <w:divBdr>
        <w:top w:val="none" w:sz="0" w:space="0" w:color="auto"/>
        <w:left w:val="none" w:sz="0" w:space="0" w:color="auto"/>
        <w:bottom w:val="none" w:sz="0" w:space="0" w:color="auto"/>
        <w:right w:val="none" w:sz="0" w:space="0" w:color="auto"/>
      </w:divBdr>
    </w:div>
    <w:div w:id="2050104886">
      <w:bodyDiv w:val="1"/>
      <w:marLeft w:val="0"/>
      <w:marRight w:val="0"/>
      <w:marTop w:val="0"/>
      <w:marBottom w:val="0"/>
      <w:divBdr>
        <w:top w:val="none" w:sz="0" w:space="0" w:color="auto"/>
        <w:left w:val="none" w:sz="0" w:space="0" w:color="auto"/>
        <w:bottom w:val="none" w:sz="0" w:space="0" w:color="auto"/>
        <w:right w:val="none" w:sz="0" w:space="0" w:color="auto"/>
      </w:divBdr>
    </w:div>
    <w:div w:id="2082099208">
      <w:bodyDiv w:val="1"/>
      <w:marLeft w:val="0"/>
      <w:marRight w:val="0"/>
      <w:marTop w:val="0"/>
      <w:marBottom w:val="0"/>
      <w:divBdr>
        <w:top w:val="none" w:sz="0" w:space="0" w:color="auto"/>
        <w:left w:val="none" w:sz="0" w:space="0" w:color="auto"/>
        <w:bottom w:val="none" w:sz="0" w:space="0" w:color="auto"/>
        <w:right w:val="none" w:sz="0" w:space="0" w:color="auto"/>
      </w:divBdr>
    </w:div>
    <w:div w:id="2115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3930</Words>
  <Characters>22407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3</cp:revision>
  <cp:lastPrinted>2013-01-30T19:05:00Z</cp:lastPrinted>
  <dcterms:created xsi:type="dcterms:W3CDTF">2013-02-01T21:54:00Z</dcterms:created>
  <dcterms:modified xsi:type="dcterms:W3CDTF">2013-02-01T22:43:00Z</dcterms:modified>
</cp:coreProperties>
</file>