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972" w:rsidRPr="003F251D" w:rsidRDefault="003F251D" w:rsidP="003F251D">
      <w:pPr>
        <w:spacing w:after="0" w:line="240" w:lineRule="auto"/>
        <w:jc w:val="center"/>
        <w:rPr>
          <w:rFonts w:ascii="Times New Roman" w:hAnsi="Times New Roman"/>
          <w:b/>
          <w:sz w:val="24"/>
          <w:szCs w:val="24"/>
        </w:rPr>
      </w:pPr>
      <w:r w:rsidRPr="003F251D">
        <w:rPr>
          <w:rFonts w:ascii="Times New Roman" w:hAnsi="Times New Roman"/>
          <w:b/>
          <w:sz w:val="24"/>
          <w:szCs w:val="24"/>
        </w:rPr>
        <w:t>JUSTIFICATION FOR CHANGE</w:t>
      </w:r>
    </w:p>
    <w:p w:rsidR="003F251D" w:rsidRPr="003F251D" w:rsidRDefault="003F251D" w:rsidP="003F251D">
      <w:pPr>
        <w:spacing w:after="0" w:line="240" w:lineRule="auto"/>
        <w:jc w:val="center"/>
        <w:rPr>
          <w:rFonts w:ascii="Times New Roman" w:hAnsi="Times New Roman"/>
          <w:b/>
          <w:sz w:val="24"/>
          <w:szCs w:val="24"/>
        </w:rPr>
      </w:pPr>
      <w:r w:rsidRPr="003F251D">
        <w:rPr>
          <w:rFonts w:ascii="Times New Roman" w:hAnsi="Times New Roman"/>
          <w:b/>
          <w:sz w:val="24"/>
          <w:szCs w:val="24"/>
        </w:rPr>
        <w:t xml:space="preserve">SOUTHEAST REGION </w:t>
      </w:r>
      <w:r w:rsidR="00B276AB">
        <w:rPr>
          <w:rFonts w:ascii="Times New Roman" w:hAnsi="Times New Roman"/>
          <w:b/>
          <w:sz w:val="24"/>
          <w:szCs w:val="24"/>
        </w:rPr>
        <w:t>IFQ PROGRAMS</w:t>
      </w:r>
    </w:p>
    <w:p w:rsidR="003F251D" w:rsidRDefault="003F251D" w:rsidP="003F251D">
      <w:pPr>
        <w:spacing w:after="0" w:line="240" w:lineRule="auto"/>
        <w:jc w:val="center"/>
        <w:rPr>
          <w:rFonts w:ascii="Times New Roman" w:hAnsi="Times New Roman"/>
          <w:b/>
          <w:sz w:val="24"/>
          <w:szCs w:val="24"/>
        </w:rPr>
      </w:pPr>
      <w:proofErr w:type="gramStart"/>
      <w:r w:rsidRPr="003F251D">
        <w:rPr>
          <w:rFonts w:ascii="Times New Roman" w:hAnsi="Times New Roman"/>
          <w:b/>
          <w:sz w:val="24"/>
          <w:szCs w:val="24"/>
        </w:rPr>
        <w:t>OMB CONTROL NO.</w:t>
      </w:r>
      <w:proofErr w:type="gramEnd"/>
      <w:r w:rsidRPr="003F251D">
        <w:rPr>
          <w:rFonts w:ascii="Times New Roman" w:hAnsi="Times New Roman"/>
          <w:b/>
          <w:sz w:val="24"/>
          <w:szCs w:val="24"/>
        </w:rPr>
        <w:t xml:space="preserve"> 0648-0</w:t>
      </w:r>
      <w:r w:rsidR="009320A8">
        <w:rPr>
          <w:rFonts w:ascii="Times New Roman" w:hAnsi="Times New Roman"/>
          <w:b/>
          <w:sz w:val="24"/>
          <w:szCs w:val="24"/>
        </w:rPr>
        <w:t>551</w:t>
      </w:r>
    </w:p>
    <w:p w:rsidR="003F251D" w:rsidRDefault="003F251D" w:rsidP="00B276AB">
      <w:pPr>
        <w:spacing w:after="0" w:line="240" w:lineRule="auto"/>
        <w:contextualSpacing/>
        <w:rPr>
          <w:rFonts w:ascii="Times New Roman" w:hAnsi="Times New Roman"/>
          <w:sz w:val="24"/>
          <w:szCs w:val="24"/>
        </w:rPr>
      </w:pPr>
    </w:p>
    <w:p w:rsidR="003F251D" w:rsidRPr="00965A53" w:rsidRDefault="003F251D" w:rsidP="00B276AB">
      <w:pPr>
        <w:spacing w:after="0" w:line="240" w:lineRule="auto"/>
        <w:contextualSpacing/>
        <w:rPr>
          <w:rFonts w:ascii="Times New Roman" w:hAnsi="Times New Roman"/>
          <w:sz w:val="24"/>
          <w:szCs w:val="24"/>
        </w:rPr>
      </w:pPr>
    </w:p>
    <w:p w:rsidR="00965A53" w:rsidRPr="00965A53" w:rsidRDefault="00965A53" w:rsidP="00965A53">
      <w:pPr>
        <w:rPr>
          <w:rFonts w:ascii="Times New Roman" w:hAnsi="Times New Roman"/>
          <w:sz w:val="24"/>
          <w:szCs w:val="24"/>
        </w:rPr>
      </w:pPr>
      <w:r w:rsidRPr="00965A53">
        <w:rPr>
          <w:rFonts w:ascii="Times New Roman" w:hAnsi="Times New Roman"/>
          <w:sz w:val="24"/>
          <w:szCs w:val="24"/>
        </w:rPr>
        <w:t xml:space="preserve">The legislative authority to collect data from the various sectors of the economy that harvest marine resources in the exclusive economic zone is the Magnuson-Stevens Fishery Conservation and Management Act (Act).  The individual transferable quota (ITQ) system as defined at CFR 622.15 for the wreckfish fishery is based on percentage shares.  The size of a person's percentage share and the available total allowable catch (TAC) determine how many pounds of wreckfish a shareholder may harvest each year.  Percentage shares in the wreckfish fishery are issued for an indefinite duration and can be sold.  Sales of percentage shares are not final until the sale had been recorded by the Regional Administrator, Southeast Region, </w:t>
      </w:r>
      <w:proofErr w:type="gramStart"/>
      <w:r w:rsidRPr="00965A53">
        <w:rPr>
          <w:rFonts w:ascii="Times New Roman" w:hAnsi="Times New Roman"/>
          <w:sz w:val="24"/>
          <w:szCs w:val="24"/>
        </w:rPr>
        <w:t>National</w:t>
      </w:r>
      <w:proofErr w:type="gramEnd"/>
      <w:r w:rsidRPr="00965A53">
        <w:rPr>
          <w:rFonts w:ascii="Times New Roman" w:hAnsi="Times New Roman"/>
          <w:sz w:val="24"/>
          <w:szCs w:val="24"/>
        </w:rPr>
        <w:t xml:space="preserve"> Marine Fisheries Service (NMFS).</w:t>
      </w:r>
    </w:p>
    <w:p w:rsidR="00965A53" w:rsidRPr="00965A53" w:rsidRDefault="00965A53" w:rsidP="00965A53">
      <w:pPr>
        <w:rPr>
          <w:rFonts w:ascii="Times New Roman" w:hAnsi="Times New Roman"/>
          <w:sz w:val="24"/>
          <w:szCs w:val="24"/>
        </w:rPr>
      </w:pPr>
      <w:r w:rsidRPr="00965A53">
        <w:rPr>
          <w:rFonts w:ascii="Times New Roman" w:hAnsi="Times New Roman"/>
          <w:sz w:val="24"/>
          <w:szCs w:val="24"/>
        </w:rPr>
        <w:t>The</w:t>
      </w:r>
      <w:r w:rsidR="004974A9" w:rsidRPr="00965A53">
        <w:rPr>
          <w:rFonts w:ascii="Times New Roman" w:hAnsi="Times New Roman"/>
          <w:sz w:val="24"/>
          <w:szCs w:val="24"/>
        </w:rPr>
        <w:t xml:space="preserve"> wreckfish ITQ program</w:t>
      </w:r>
      <w:r w:rsidRPr="00965A53">
        <w:rPr>
          <w:rFonts w:ascii="Times New Roman" w:hAnsi="Times New Roman"/>
          <w:sz w:val="24"/>
          <w:szCs w:val="24"/>
        </w:rPr>
        <w:t xml:space="preserve"> manages wreckfish shares through a wreckfish share transfer data collection program.  The purpose of this data collection is to provide the information necessary to transfer ownership of percentage shares.  The transfer form is printed on the back of the percentage shares certificate.  With each transfer of ownership, the certificate will be reissued.  The certificate identifies the seller, but the buyer’s name, address, corporate (employer’s) Federal tax identification number, and telephone number must be provided.  The sale price is necessary for economic analysis.  The signatures of buyer, seller, and </w:t>
      </w:r>
      <w:r w:rsidR="00480D58">
        <w:rPr>
          <w:rFonts w:ascii="Times New Roman" w:hAnsi="Times New Roman"/>
          <w:sz w:val="24"/>
          <w:szCs w:val="24"/>
        </w:rPr>
        <w:t>a notary</w:t>
      </w:r>
      <w:r w:rsidRPr="00965A53">
        <w:rPr>
          <w:rFonts w:ascii="Times New Roman" w:hAnsi="Times New Roman"/>
          <w:sz w:val="24"/>
          <w:szCs w:val="24"/>
        </w:rPr>
        <w:t xml:space="preserve"> will secure the transaction.  If the party purchasing shares is a shareholder, the share certificate must be surrender</w:t>
      </w:r>
      <w:r w:rsidR="00A317EF">
        <w:rPr>
          <w:rFonts w:ascii="Times New Roman" w:hAnsi="Times New Roman"/>
          <w:sz w:val="24"/>
          <w:szCs w:val="24"/>
        </w:rPr>
        <w:t>ed so that it can be reissued.</w:t>
      </w:r>
    </w:p>
    <w:p w:rsidR="00FB02F5" w:rsidRDefault="00FB02F5" w:rsidP="00480D58">
      <w:pPr>
        <w:rPr>
          <w:rFonts w:ascii="Times New Roman" w:hAnsi="Times New Roman"/>
          <w:sz w:val="24"/>
          <w:szCs w:val="24"/>
        </w:rPr>
      </w:pPr>
      <w:r w:rsidRPr="00BA2796">
        <w:rPr>
          <w:rFonts w:ascii="Times New Roman" w:hAnsi="Times New Roman"/>
          <w:sz w:val="24"/>
          <w:szCs w:val="24"/>
        </w:rPr>
        <w:t>With the revision of the wreckfish ITQ program</w:t>
      </w:r>
      <w:r>
        <w:rPr>
          <w:rFonts w:ascii="Times New Roman" w:hAnsi="Times New Roman"/>
          <w:sz w:val="24"/>
          <w:szCs w:val="24"/>
        </w:rPr>
        <w:t xml:space="preserve"> through the final rule implementing Amendment 20A to the Fishery Management Plan</w:t>
      </w:r>
      <w:r w:rsidRPr="00BA2796">
        <w:rPr>
          <w:rFonts w:ascii="Times New Roman" w:hAnsi="Times New Roman"/>
          <w:sz w:val="24"/>
          <w:szCs w:val="24"/>
        </w:rPr>
        <w:t xml:space="preserve"> </w:t>
      </w:r>
      <w:r>
        <w:rPr>
          <w:rFonts w:ascii="Times New Roman" w:hAnsi="Times New Roman"/>
          <w:sz w:val="24"/>
          <w:szCs w:val="24"/>
        </w:rPr>
        <w:t>for</w:t>
      </w:r>
      <w:r w:rsidRPr="00BA2796">
        <w:rPr>
          <w:rFonts w:ascii="Times New Roman" w:hAnsi="Times New Roman"/>
          <w:sz w:val="24"/>
          <w:szCs w:val="24"/>
        </w:rPr>
        <w:t xml:space="preserve"> the </w:t>
      </w:r>
      <w:r>
        <w:rPr>
          <w:rFonts w:ascii="Times New Roman" w:hAnsi="Times New Roman"/>
          <w:sz w:val="24"/>
          <w:szCs w:val="24"/>
        </w:rPr>
        <w:t>S</w:t>
      </w:r>
      <w:r w:rsidRPr="00BA2796">
        <w:rPr>
          <w:rFonts w:ascii="Times New Roman" w:hAnsi="Times New Roman"/>
          <w:sz w:val="24"/>
          <w:szCs w:val="24"/>
        </w:rPr>
        <w:t>napper-</w:t>
      </w:r>
      <w:r>
        <w:rPr>
          <w:rFonts w:ascii="Times New Roman" w:hAnsi="Times New Roman"/>
          <w:sz w:val="24"/>
          <w:szCs w:val="24"/>
        </w:rPr>
        <w:t>G</w:t>
      </w:r>
      <w:r w:rsidRPr="00BA2796">
        <w:rPr>
          <w:rFonts w:ascii="Times New Roman" w:hAnsi="Times New Roman"/>
          <w:sz w:val="24"/>
          <w:szCs w:val="24"/>
        </w:rPr>
        <w:t xml:space="preserve">rouper </w:t>
      </w:r>
      <w:r>
        <w:rPr>
          <w:rFonts w:ascii="Times New Roman" w:hAnsi="Times New Roman"/>
          <w:sz w:val="24"/>
          <w:szCs w:val="24"/>
        </w:rPr>
        <w:t>F</w:t>
      </w:r>
      <w:r w:rsidRPr="00BA2796">
        <w:rPr>
          <w:rFonts w:ascii="Times New Roman" w:hAnsi="Times New Roman"/>
          <w:sz w:val="24"/>
          <w:szCs w:val="24"/>
        </w:rPr>
        <w:t xml:space="preserve">ishery of the South Atlantic </w:t>
      </w:r>
      <w:r>
        <w:rPr>
          <w:rFonts w:ascii="Times New Roman" w:hAnsi="Times New Roman"/>
          <w:sz w:val="24"/>
          <w:szCs w:val="24"/>
        </w:rPr>
        <w:t>Region</w:t>
      </w:r>
      <w:r w:rsidRPr="00BA2796">
        <w:rPr>
          <w:rFonts w:ascii="Times New Roman" w:hAnsi="Times New Roman"/>
          <w:sz w:val="24"/>
          <w:szCs w:val="24"/>
        </w:rPr>
        <w:t xml:space="preserve">, per RIN 0648-AY74, </w:t>
      </w:r>
      <w:r>
        <w:rPr>
          <w:rFonts w:ascii="Times New Roman" w:hAnsi="Times New Roman"/>
          <w:sz w:val="24"/>
          <w:szCs w:val="24"/>
        </w:rPr>
        <w:t>effective October 26, 2012, NMFS</w:t>
      </w:r>
      <w:r w:rsidRPr="00BA2796">
        <w:rPr>
          <w:rFonts w:ascii="Times New Roman" w:hAnsi="Times New Roman"/>
          <w:sz w:val="24"/>
          <w:szCs w:val="24"/>
        </w:rPr>
        <w:t xml:space="preserve"> </w:t>
      </w:r>
      <w:r>
        <w:rPr>
          <w:rFonts w:ascii="Times New Roman" w:hAnsi="Times New Roman"/>
          <w:sz w:val="24"/>
          <w:szCs w:val="24"/>
        </w:rPr>
        <w:t>implemented a cap on the number of wreckfish quota shares a single entity may own.  The share cap is 49 percent.  This would prevent any one entity from holding the majority of wreckfish quota shares.  NMFS would determine a corporation’s total ITQ share by adding the corporation’s ITQ shares to any other ITQ shares the corporation owns in another corporation.</w:t>
      </w:r>
      <w:r w:rsidR="00A317EF">
        <w:rPr>
          <w:rFonts w:ascii="Times New Roman" w:hAnsi="Times New Roman"/>
          <w:sz w:val="24"/>
          <w:szCs w:val="24"/>
        </w:rPr>
        <w:t xml:space="preserve"> </w:t>
      </w:r>
      <w:bookmarkStart w:id="0" w:name="_GoBack"/>
      <w:bookmarkEnd w:id="0"/>
      <w:r>
        <w:rPr>
          <w:rFonts w:ascii="Times New Roman" w:hAnsi="Times New Roman"/>
          <w:sz w:val="24"/>
          <w:szCs w:val="24"/>
        </w:rPr>
        <w:t xml:space="preserve"> </w:t>
      </w:r>
      <w:r w:rsidR="00CC0E44">
        <w:rPr>
          <w:rFonts w:ascii="Times New Roman" w:hAnsi="Times New Roman"/>
          <w:sz w:val="24"/>
          <w:szCs w:val="24"/>
        </w:rPr>
        <w:t>If an individual ITQ shareholder</w:t>
      </w:r>
      <w:r>
        <w:rPr>
          <w:rFonts w:ascii="Times New Roman" w:hAnsi="Times New Roman"/>
          <w:sz w:val="24"/>
          <w:szCs w:val="24"/>
        </w:rPr>
        <w:t xml:space="preserve"> is also a shareholder in a corporation that holds ITQ shares, the applicable ITQ shares</w:t>
      </w:r>
      <w:r w:rsidR="008103B8">
        <w:rPr>
          <w:rFonts w:ascii="Times New Roman" w:hAnsi="Times New Roman"/>
          <w:sz w:val="24"/>
          <w:szCs w:val="24"/>
        </w:rPr>
        <w:t xml:space="preserve"> held by the individual is added to the applicable IFQ shares</w:t>
      </w:r>
      <w:r>
        <w:rPr>
          <w:rFonts w:ascii="Times New Roman" w:hAnsi="Times New Roman"/>
          <w:sz w:val="24"/>
          <w:szCs w:val="24"/>
        </w:rPr>
        <w:t xml:space="preserve"> equivalent to the corporate share the </w:t>
      </w:r>
      <w:r w:rsidR="008103B8">
        <w:rPr>
          <w:rFonts w:ascii="Times New Roman" w:hAnsi="Times New Roman"/>
          <w:sz w:val="24"/>
          <w:szCs w:val="24"/>
        </w:rPr>
        <w:t xml:space="preserve">individual holds in a corporation.  A </w:t>
      </w:r>
      <w:r>
        <w:rPr>
          <w:rFonts w:ascii="Times New Roman" w:hAnsi="Times New Roman"/>
          <w:sz w:val="24"/>
          <w:szCs w:val="24"/>
        </w:rPr>
        <w:t>corporation must provide the Regional Administrator (RA) the identity of the shareholders of the corporation and their percent shares in the corporation, and provide updated information to the RA within 30 days of when changes occur.</w:t>
      </w:r>
    </w:p>
    <w:p w:rsidR="00480D58" w:rsidRDefault="00480D58" w:rsidP="00480D58">
      <w:pPr>
        <w:rPr>
          <w:rFonts w:ascii="Times New Roman" w:hAnsi="Times New Roman"/>
          <w:sz w:val="24"/>
          <w:szCs w:val="24"/>
        </w:rPr>
      </w:pPr>
      <w:r>
        <w:rPr>
          <w:rFonts w:ascii="Times New Roman" w:hAnsi="Times New Roman"/>
          <w:sz w:val="24"/>
          <w:szCs w:val="24"/>
        </w:rPr>
        <w:t xml:space="preserve">This change request would make two changes to the wreckfish share certificate.  </w:t>
      </w:r>
      <w:r w:rsidRPr="00480D58">
        <w:rPr>
          <w:rFonts w:ascii="Times New Roman" w:hAnsi="Times New Roman"/>
          <w:sz w:val="24"/>
          <w:szCs w:val="24"/>
        </w:rPr>
        <w:t xml:space="preserve">The additions </w:t>
      </w:r>
      <w:r>
        <w:rPr>
          <w:rFonts w:ascii="Times New Roman" w:hAnsi="Times New Roman"/>
          <w:sz w:val="24"/>
          <w:szCs w:val="24"/>
        </w:rPr>
        <w:t>include</w:t>
      </w:r>
      <w:r w:rsidR="00CC0E44">
        <w:rPr>
          <w:rFonts w:ascii="Times New Roman" w:hAnsi="Times New Roman"/>
          <w:sz w:val="24"/>
          <w:szCs w:val="24"/>
        </w:rPr>
        <w:t>: 1)</w:t>
      </w:r>
      <w:r w:rsidRPr="00480D58">
        <w:rPr>
          <w:rFonts w:ascii="Times New Roman" w:hAnsi="Times New Roman"/>
          <w:sz w:val="24"/>
          <w:szCs w:val="24"/>
        </w:rPr>
        <w:t xml:space="preserve"> collecting the officer and shareholder information associated with a business and</w:t>
      </w:r>
      <w:r w:rsidR="00A317EF">
        <w:rPr>
          <w:rFonts w:ascii="Times New Roman" w:hAnsi="Times New Roman"/>
          <w:sz w:val="24"/>
          <w:szCs w:val="24"/>
        </w:rPr>
        <w:t xml:space="preserve"> </w:t>
      </w:r>
      <w:r w:rsidR="00CC0E44">
        <w:rPr>
          <w:rFonts w:ascii="Times New Roman" w:hAnsi="Times New Roman"/>
          <w:sz w:val="24"/>
          <w:szCs w:val="24"/>
        </w:rPr>
        <w:t xml:space="preserve">2) </w:t>
      </w:r>
      <w:r w:rsidRPr="00480D58">
        <w:rPr>
          <w:rFonts w:ascii="Times New Roman" w:hAnsi="Times New Roman"/>
          <w:sz w:val="24"/>
          <w:szCs w:val="24"/>
        </w:rPr>
        <w:t>having the certificate notarized when</w:t>
      </w:r>
      <w:r w:rsidR="00A317EF">
        <w:rPr>
          <w:rFonts w:ascii="Times New Roman" w:hAnsi="Times New Roman"/>
          <w:sz w:val="24"/>
          <w:szCs w:val="24"/>
        </w:rPr>
        <w:t xml:space="preserve"> shares are being transferred.  </w:t>
      </w:r>
      <w:r>
        <w:rPr>
          <w:rFonts w:ascii="Times New Roman" w:hAnsi="Times New Roman"/>
          <w:sz w:val="24"/>
          <w:szCs w:val="24"/>
        </w:rPr>
        <w:t>Requesting signature of</w:t>
      </w:r>
      <w:r w:rsidRPr="00480D58">
        <w:rPr>
          <w:rFonts w:ascii="Times New Roman" w:hAnsi="Times New Roman"/>
          <w:sz w:val="24"/>
          <w:szCs w:val="24"/>
        </w:rPr>
        <w:t xml:space="preserve"> two witnesses</w:t>
      </w:r>
      <w:r>
        <w:rPr>
          <w:rFonts w:ascii="Times New Roman" w:hAnsi="Times New Roman"/>
          <w:sz w:val="24"/>
          <w:szCs w:val="24"/>
        </w:rPr>
        <w:t xml:space="preserve"> has been removed</w:t>
      </w:r>
      <w:r w:rsidRPr="00480D58">
        <w:rPr>
          <w:rFonts w:ascii="Times New Roman" w:hAnsi="Times New Roman"/>
          <w:sz w:val="24"/>
          <w:szCs w:val="24"/>
        </w:rPr>
        <w:t xml:space="preserve"> and </w:t>
      </w:r>
      <w:r>
        <w:rPr>
          <w:rFonts w:ascii="Times New Roman" w:hAnsi="Times New Roman"/>
          <w:sz w:val="24"/>
          <w:szCs w:val="24"/>
        </w:rPr>
        <w:t>a section for the notary to complete is added</w:t>
      </w:r>
      <w:r w:rsidRPr="00480D58">
        <w:rPr>
          <w:rFonts w:ascii="Times New Roman" w:hAnsi="Times New Roman"/>
          <w:sz w:val="24"/>
          <w:szCs w:val="24"/>
        </w:rPr>
        <w:t>.</w:t>
      </w:r>
    </w:p>
    <w:p w:rsidR="00965A53" w:rsidRPr="00965A53" w:rsidRDefault="00480D58" w:rsidP="00F2204E">
      <w:pPr>
        <w:rPr>
          <w:rFonts w:ascii="Times New Roman" w:hAnsi="Times New Roman"/>
          <w:sz w:val="24"/>
          <w:szCs w:val="24"/>
        </w:rPr>
      </w:pPr>
      <w:r>
        <w:rPr>
          <w:rFonts w:ascii="Times New Roman" w:hAnsi="Times New Roman"/>
          <w:sz w:val="24"/>
          <w:szCs w:val="24"/>
        </w:rPr>
        <w:lastRenderedPageBreak/>
        <w:t xml:space="preserve">This change would result in the estimated time per response increasing by 5 minutes, so </w:t>
      </w:r>
      <w:r w:rsidR="00F2204E">
        <w:rPr>
          <w:rFonts w:ascii="Times New Roman" w:hAnsi="Times New Roman"/>
          <w:sz w:val="24"/>
          <w:szCs w:val="24"/>
        </w:rPr>
        <w:t>it would</w:t>
      </w:r>
      <w:r>
        <w:rPr>
          <w:rFonts w:ascii="Times New Roman" w:hAnsi="Times New Roman"/>
          <w:sz w:val="24"/>
          <w:szCs w:val="24"/>
        </w:rPr>
        <w:t xml:space="preserve"> take </w:t>
      </w:r>
      <w:r w:rsidR="00F2204E">
        <w:rPr>
          <w:rFonts w:ascii="Times New Roman" w:hAnsi="Times New Roman"/>
          <w:sz w:val="24"/>
          <w:szCs w:val="24"/>
        </w:rPr>
        <w:t xml:space="preserve">approximately </w:t>
      </w:r>
      <w:r>
        <w:rPr>
          <w:rFonts w:ascii="Times New Roman" w:hAnsi="Times New Roman"/>
          <w:sz w:val="24"/>
          <w:szCs w:val="24"/>
        </w:rPr>
        <w:t xml:space="preserve">20 minutes to complete the share transfer form instead of 15 minutes.  This would </w:t>
      </w:r>
      <w:r w:rsidR="00F2204E">
        <w:rPr>
          <w:rFonts w:ascii="Times New Roman" w:hAnsi="Times New Roman"/>
          <w:sz w:val="24"/>
          <w:szCs w:val="24"/>
        </w:rPr>
        <w:t>increase the reporting burden by a total of 20 minutes, because there are approximately 4 respondents and they would each take 20 minutes for a total of 1 hour and 20 minutes</w:t>
      </w:r>
      <w:r w:rsidR="00CC0E44">
        <w:rPr>
          <w:rFonts w:ascii="Times New Roman" w:hAnsi="Times New Roman"/>
          <w:sz w:val="24"/>
          <w:szCs w:val="24"/>
        </w:rPr>
        <w:t xml:space="preserve">. </w:t>
      </w:r>
      <w:r w:rsidR="00A317EF">
        <w:rPr>
          <w:rFonts w:ascii="Times New Roman" w:hAnsi="Times New Roman"/>
          <w:sz w:val="24"/>
          <w:szCs w:val="24"/>
        </w:rPr>
        <w:t xml:space="preserve"> </w:t>
      </w:r>
      <w:r w:rsidR="00CC0E44">
        <w:rPr>
          <w:rFonts w:ascii="Times New Roman" w:hAnsi="Times New Roman"/>
          <w:sz w:val="24"/>
          <w:szCs w:val="24"/>
        </w:rPr>
        <w:t>The $5 notary fee times 4 would add a total of $20 to the information collection cost.</w:t>
      </w:r>
    </w:p>
    <w:p w:rsidR="00827F5D" w:rsidRPr="00A317EF" w:rsidRDefault="00CC0E44" w:rsidP="00A317EF">
      <w:pPr>
        <w:rPr>
          <w:rFonts w:ascii="Times New Roman" w:hAnsi="Times New Roman"/>
          <w:sz w:val="24"/>
          <w:szCs w:val="24"/>
        </w:rPr>
      </w:pPr>
      <w:r w:rsidRPr="00A317EF">
        <w:rPr>
          <w:rFonts w:ascii="Times New Roman" w:hAnsi="Times New Roman"/>
          <w:sz w:val="24"/>
          <w:szCs w:val="24"/>
        </w:rPr>
        <w:t xml:space="preserve">There would be only 20 minutes added, so no change to hours. </w:t>
      </w:r>
      <w:r w:rsidR="00A317EF">
        <w:rPr>
          <w:rFonts w:ascii="Times New Roman" w:hAnsi="Times New Roman"/>
          <w:sz w:val="24"/>
          <w:szCs w:val="24"/>
        </w:rPr>
        <w:t xml:space="preserve"> </w:t>
      </w:r>
      <w:r w:rsidRPr="00A317EF">
        <w:rPr>
          <w:rFonts w:ascii="Times New Roman" w:hAnsi="Times New Roman"/>
          <w:sz w:val="24"/>
          <w:szCs w:val="24"/>
        </w:rPr>
        <w:t>There are no additional respondents.</w:t>
      </w:r>
      <w:r w:rsidR="00A317EF">
        <w:rPr>
          <w:rFonts w:ascii="Times New Roman" w:hAnsi="Times New Roman"/>
          <w:sz w:val="24"/>
          <w:szCs w:val="24"/>
        </w:rPr>
        <w:t xml:space="preserve"> </w:t>
      </w:r>
      <w:r w:rsidRPr="00A317EF">
        <w:rPr>
          <w:rFonts w:ascii="Times New Roman" w:hAnsi="Times New Roman"/>
          <w:sz w:val="24"/>
          <w:szCs w:val="24"/>
        </w:rPr>
        <w:t xml:space="preserve"> Cost would be increased by a total of $20. </w:t>
      </w:r>
      <w:r w:rsidR="00A317EF">
        <w:rPr>
          <w:rFonts w:ascii="Times New Roman" w:hAnsi="Times New Roman"/>
          <w:sz w:val="24"/>
          <w:szCs w:val="24"/>
        </w:rPr>
        <w:t xml:space="preserve"> </w:t>
      </w:r>
      <w:r w:rsidR="00782DE9" w:rsidRPr="00A317EF">
        <w:rPr>
          <w:rFonts w:ascii="Times New Roman" w:hAnsi="Times New Roman"/>
          <w:sz w:val="24"/>
          <w:szCs w:val="24"/>
        </w:rPr>
        <w:t>The overall cost would</w:t>
      </w:r>
      <w:r w:rsidRPr="00A317EF">
        <w:rPr>
          <w:rFonts w:ascii="Times New Roman" w:hAnsi="Times New Roman"/>
          <w:sz w:val="24"/>
          <w:szCs w:val="24"/>
        </w:rPr>
        <w:t xml:space="preserve"> </w:t>
      </w:r>
      <w:r w:rsidR="00782DE9" w:rsidRPr="00A317EF">
        <w:rPr>
          <w:rFonts w:ascii="Times New Roman" w:hAnsi="Times New Roman"/>
          <w:sz w:val="24"/>
          <w:szCs w:val="24"/>
        </w:rPr>
        <w:t xml:space="preserve">increase from </w:t>
      </w:r>
      <w:r w:rsidR="00827F5D" w:rsidRPr="00A317EF">
        <w:rPr>
          <w:rFonts w:ascii="Times New Roman" w:hAnsi="Times New Roman"/>
          <w:sz w:val="24"/>
          <w:szCs w:val="24"/>
        </w:rPr>
        <w:t>$</w:t>
      </w:r>
      <w:r w:rsidR="002B5F6C" w:rsidRPr="00A317EF">
        <w:rPr>
          <w:rFonts w:ascii="Times New Roman" w:hAnsi="Times New Roman"/>
          <w:sz w:val="24"/>
          <w:szCs w:val="24"/>
        </w:rPr>
        <w:t>980,504</w:t>
      </w:r>
      <w:r w:rsidR="00782DE9" w:rsidRPr="00A317EF">
        <w:rPr>
          <w:rFonts w:ascii="Times New Roman" w:hAnsi="Times New Roman"/>
          <w:sz w:val="24"/>
          <w:szCs w:val="24"/>
        </w:rPr>
        <w:t xml:space="preserve"> to $980,524.</w:t>
      </w:r>
    </w:p>
    <w:sectPr w:rsidR="00827F5D" w:rsidRPr="00A317EF" w:rsidSect="005A1BC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7EF" w:rsidRDefault="00A317EF" w:rsidP="00A317EF">
      <w:pPr>
        <w:spacing w:after="0" w:line="240" w:lineRule="auto"/>
      </w:pPr>
      <w:r>
        <w:separator/>
      </w:r>
    </w:p>
  </w:endnote>
  <w:endnote w:type="continuationSeparator" w:id="0">
    <w:p w:rsidR="00A317EF" w:rsidRDefault="00A317EF" w:rsidP="00A31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216422"/>
      <w:docPartObj>
        <w:docPartGallery w:val="Page Numbers (Bottom of Page)"/>
        <w:docPartUnique/>
      </w:docPartObj>
    </w:sdtPr>
    <w:sdtEndPr>
      <w:rPr>
        <w:noProof/>
      </w:rPr>
    </w:sdtEndPr>
    <w:sdtContent>
      <w:p w:rsidR="00A317EF" w:rsidRDefault="00A317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317EF" w:rsidRDefault="00A317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7EF" w:rsidRDefault="00A317EF" w:rsidP="00A317EF">
      <w:pPr>
        <w:spacing w:after="0" w:line="240" w:lineRule="auto"/>
      </w:pPr>
      <w:r>
        <w:separator/>
      </w:r>
    </w:p>
  </w:footnote>
  <w:footnote w:type="continuationSeparator" w:id="0">
    <w:p w:rsidR="00A317EF" w:rsidRDefault="00A317EF" w:rsidP="00A317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51D"/>
    <w:rsid w:val="00016A94"/>
    <w:rsid w:val="00047224"/>
    <w:rsid w:val="00062972"/>
    <w:rsid w:val="00080C77"/>
    <w:rsid w:val="000E68B7"/>
    <w:rsid w:val="000E77F8"/>
    <w:rsid w:val="00101066"/>
    <w:rsid w:val="0014365F"/>
    <w:rsid w:val="00177950"/>
    <w:rsid w:val="001B5BEE"/>
    <w:rsid w:val="002B5F6C"/>
    <w:rsid w:val="002F7F6F"/>
    <w:rsid w:val="00324719"/>
    <w:rsid w:val="00344B26"/>
    <w:rsid w:val="00374973"/>
    <w:rsid w:val="003919EF"/>
    <w:rsid w:val="003C5FFA"/>
    <w:rsid w:val="003E2C68"/>
    <w:rsid w:val="003F251D"/>
    <w:rsid w:val="00417A42"/>
    <w:rsid w:val="00444800"/>
    <w:rsid w:val="004652F9"/>
    <w:rsid w:val="00480D58"/>
    <w:rsid w:val="004974A9"/>
    <w:rsid w:val="004A61EE"/>
    <w:rsid w:val="004E1FD2"/>
    <w:rsid w:val="00504977"/>
    <w:rsid w:val="00547FED"/>
    <w:rsid w:val="00572D31"/>
    <w:rsid w:val="005A1BCF"/>
    <w:rsid w:val="00621CBA"/>
    <w:rsid w:val="006310F7"/>
    <w:rsid w:val="00636F17"/>
    <w:rsid w:val="0069351B"/>
    <w:rsid w:val="00771342"/>
    <w:rsid w:val="00782DE9"/>
    <w:rsid w:val="007B301E"/>
    <w:rsid w:val="008049EA"/>
    <w:rsid w:val="008103B8"/>
    <w:rsid w:val="00827F5D"/>
    <w:rsid w:val="008A78E6"/>
    <w:rsid w:val="008C1B15"/>
    <w:rsid w:val="008D1031"/>
    <w:rsid w:val="008F5866"/>
    <w:rsid w:val="00906610"/>
    <w:rsid w:val="00930608"/>
    <w:rsid w:val="009320A8"/>
    <w:rsid w:val="00965A53"/>
    <w:rsid w:val="009A7714"/>
    <w:rsid w:val="00A15A39"/>
    <w:rsid w:val="00A22EC3"/>
    <w:rsid w:val="00A317EF"/>
    <w:rsid w:val="00A822DD"/>
    <w:rsid w:val="00AC368D"/>
    <w:rsid w:val="00AE56B3"/>
    <w:rsid w:val="00B10B51"/>
    <w:rsid w:val="00B276AB"/>
    <w:rsid w:val="00B81BB1"/>
    <w:rsid w:val="00B97672"/>
    <w:rsid w:val="00BA2796"/>
    <w:rsid w:val="00BB5D55"/>
    <w:rsid w:val="00BF5413"/>
    <w:rsid w:val="00C05CAC"/>
    <w:rsid w:val="00C1125A"/>
    <w:rsid w:val="00C55382"/>
    <w:rsid w:val="00C64125"/>
    <w:rsid w:val="00CA1D35"/>
    <w:rsid w:val="00CA436A"/>
    <w:rsid w:val="00CC0E44"/>
    <w:rsid w:val="00CF5D7B"/>
    <w:rsid w:val="00D060E2"/>
    <w:rsid w:val="00D90666"/>
    <w:rsid w:val="00DB082B"/>
    <w:rsid w:val="00DD4575"/>
    <w:rsid w:val="00DE52B0"/>
    <w:rsid w:val="00F2204E"/>
    <w:rsid w:val="00F41BAD"/>
    <w:rsid w:val="00FA78E0"/>
    <w:rsid w:val="00FB0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BC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F251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F251D"/>
    <w:rPr>
      <w:rFonts w:ascii="Consolas" w:eastAsia="Calibri" w:hAnsi="Consolas" w:cs="Times New Roman"/>
      <w:sz w:val="21"/>
      <w:szCs w:val="21"/>
    </w:rPr>
  </w:style>
  <w:style w:type="character" w:styleId="CommentReference">
    <w:name w:val="annotation reference"/>
    <w:basedOn w:val="DefaultParagraphFont"/>
    <w:uiPriority w:val="99"/>
    <w:semiHidden/>
    <w:unhideWhenUsed/>
    <w:rsid w:val="00374973"/>
    <w:rPr>
      <w:sz w:val="16"/>
      <w:szCs w:val="16"/>
    </w:rPr>
  </w:style>
  <w:style w:type="paragraph" w:styleId="CommentText">
    <w:name w:val="annotation text"/>
    <w:basedOn w:val="Normal"/>
    <w:link w:val="CommentTextChar"/>
    <w:uiPriority w:val="99"/>
    <w:semiHidden/>
    <w:unhideWhenUsed/>
    <w:rsid w:val="00374973"/>
    <w:pPr>
      <w:spacing w:line="240" w:lineRule="auto"/>
    </w:pPr>
    <w:rPr>
      <w:sz w:val="20"/>
      <w:szCs w:val="20"/>
    </w:rPr>
  </w:style>
  <w:style w:type="character" w:customStyle="1" w:styleId="CommentTextChar">
    <w:name w:val="Comment Text Char"/>
    <w:basedOn w:val="DefaultParagraphFont"/>
    <w:link w:val="CommentText"/>
    <w:uiPriority w:val="99"/>
    <w:semiHidden/>
    <w:rsid w:val="00374973"/>
  </w:style>
  <w:style w:type="paragraph" w:styleId="CommentSubject">
    <w:name w:val="annotation subject"/>
    <w:basedOn w:val="CommentText"/>
    <w:next w:val="CommentText"/>
    <w:link w:val="CommentSubjectChar"/>
    <w:uiPriority w:val="99"/>
    <w:semiHidden/>
    <w:unhideWhenUsed/>
    <w:rsid w:val="00374973"/>
    <w:rPr>
      <w:b/>
      <w:bCs/>
    </w:rPr>
  </w:style>
  <w:style w:type="character" w:customStyle="1" w:styleId="CommentSubjectChar">
    <w:name w:val="Comment Subject Char"/>
    <w:basedOn w:val="CommentTextChar"/>
    <w:link w:val="CommentSubject"/>
    <w:uiPriority w:val="99"/>
    <w:semiHidden/>
    <w:rsid w:val="00374973"/>
    <w:rPr>
      <w:b/>
      <w:bCs/>
    </w:rPr>
  </w:style>
  <w:style w:type="paragraph" w:styleId="BalloonText">
    <w:name w:val="Balloon Text"/>
    <w:basedOn w:val="Normal"/>
    <w:link w:val="BalloonTextChar"/>
    <w:uiPriority w:val="99"/>
    <w:semiHidden/>
    <w:unhideWhenUsed/>
    <w:rsid w:val="00374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973"/>
    <w:rPr>
      <w:rFonts w:ascii="Tahoma" w:hAnsi="Tahoma" w:cs="Tahoma"/>
      <w:sz w:val="16"/>
      <w:szCs w:val="16"/>
    </w:rPr>
  </w:style>
  <w:style w:type="paragraph" w:styleId="Header">
    <w:name w:val="header"/>
    <w:basedOn w:val="Normal"/>
    <w:link w:val="HeaderChar"/>
    <w:uiPriority w:val="99"/>
    <w:unhideWhenUsed/>
    <w:rsid w:val="00A31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7EF"/>
    <w:rPr>
      <w:sz w:val="22"/>
      <w:szCs w:val="22"/>
    </w:rPr>
  </w:style>
  <w:style w:type="paragraph" w:styleId="Footer">
    <w:name w:val="footer"/>
    <w:basedOn w:val="Normal"/>
    <w:link w:val="FooterChar"/>
    <w:uiPriority w:val="99"/>
    <w:unhideWhenUsed/>
    <w:rsid w:val="00A31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7E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BC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F251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F251D"/>
    <w:rPr>
      <w:rFonts w:ascii="Consolas" w:eastAsia="Calibri" w:hAnsi="Consolas" w:cs="Times New Roman"/>
      <w:sz w:val="21"/>
      <w:szCs w:val="21"/>
    </w:rPr>
  </w:style>
  <w:style w:type="character" w:styleId="CommentReference">
    <w:name w:val="annotation reference"/>
    <w:basedOn w:val="DefaultParagraphFont"/>
    <w:uiPriority w:val="99"/>
    <w:semiHidden/>
    <w:unhideWhenUsed/>
    <w:rsid w:val="00374973"/>
    <w:rPr>
      <w:sz w:val="16"/>
      <w:szCs w:val="16"/>
    </w:rPr>
  </w:style>
  <w:style w:type="paragraph" w:styleId="CommentText">
    <w:name w:val="annotation text"/>
    <w:basedOn w:val="Normal"/>
    <w:link w:val="CommentTextChar"/>
    <w:uiPriority w:val="99"/>
    <w:semiHidden/>
    <w:unhideWhenUsed/>
    <w:rsid w:val="00374973"/>
    <w:pPr>
      <w:spacing w:line="240" w:lineRule="auto"/>
    </w:pPr>
    <w:rPr>
      <w:sz w:val="20"/>
      <w:szCs w:val="20"/>
    </w:rPr>
  </w:style>
  <w:style w:type="character" w:customStyle="1" w:styleId="CommentTextChar">
    <w:name w:val="Comment Text Char"/>
    <w:basedOn w:val="DefaultParagraphFont"/>
    <w:link w:val="CommentText"/>
    <w:uiPriority w:val="99"/>
    <w:semiHidden/>
    <w:rsid w:val="00374973"/>
  </w:style>
  <w:style w:type="paragraph" w:styleId="CommentSubject">
    <w:name w:val="annotation subject"/>
    <w:basedOn w:val="CommentText"/>
    <w:next w:val="CommentText"/>
    <w:link w:val="CommentSubjectChar"/>
    <w:uiPriority w:val="99"/>
    <w:semiHidden/>
    <w:unhideWhenUsed/>
    <w:rsid w:val="00374973"/>
    <w:rPr>
      <w:b/>
      <w:bCs/>
    </w:rPr>
  </w:style>
  <w:style w:type="character" w:customStyle="1" w:styleId="CommentSubjectChar">
    <w:name w:val="Comment Subject Char"/>
    <w:basedOn w:val="CommentTextChar"/>
    <w:link w:val="CommentSubject"/>
    <w:uiPriority w:val="99"/>
    <w:semiHidden/>
    <w:rsid w:val="00374973"/>
    <w:rPr>
      <w:b/>
      <w:bCs/>
    </w:rPr>
  </w:style>
  <w:style w:type="paragraph" w:styleId="BalloonText">
    <w:name w:val="Balloon Text"/>
    <w:basedOn w:val="Normal"/>
    <w:link w:val="BalloonTextChar"/>
    <w:uiPriority w:val="99"/>
    <w:semiHidden/>
    <w:unhideWhenUsed/>
    <w:rsid w:val="00374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973"/>
    <w:rPr>
      <w:rFonts w:ascii="Tahoma" w:hAnsi="Tahoma" w:cs="Tahoma"/>
      <w:sz w:val="16"/>
      <w:szCs w:val="16"/>
    </w:rPr>
  </w:style>
  <w:style w:type="paragraph" w:styleId="Header">
    <w:name w:val="header"/>
    <w:basedOn w:val="Normal"/>
    <w:link w:val="HeaderChar"/>
    <w:uiPriority w:val="99"/>
    <w:unhideWhenUsed/>
    <w:rsid w:val="00A31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7EF"/>
    <w:rPr>
      <w:sz w:val="22"/>
      <w:szCs w:val="22"/>
    </w:rPr>
  </w:style>
  <w:style w:type="paragraph" w:styleId="Footer">
    <w:name w:val="footer"/>
    <w:basedOn w:val="Normal"/>
    <w:link w:val="FooterChar"/>
    <w:uiPriority w:val="99"/>
    <w:unhideWhenUsed/>
    <w:rsid w:val="00A31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7E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skuzmanoff</dc:creator>
  <cp:lastModifiedBy>Karilyn_Smith</cp:lastModifiedBy>
  <cp:revision>7</cp:revision>
  <cp:lastPrinted>2013-01-29T20:31:00Z</cp:lastPrinted>
  <dcterms:created xsi:type="dcterms:W3CDTF">2013-01-11T16:42:00Z</dcterms:created>
  <dcterms:modified xsi:type="dcterms:W3CDTF">2013-01-29T20:32:00Z</dcterms:modified>
</cp:coreProperties>
</file>