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20F" w:rsidRPr="00410CF4" w:rsidRDefault="00C5320F" w:rsidP="00410CF4">
      <w:pPr>
        <w:rPr>
          <w:sz w:val="22"/>
          <w:szCs w:val="22"/>
        </w:rPr>
      </w:pPr>
      <w:bookmarkStart w:id="0" w:name="_GoBack"/>
      <w:bookmarkEnd w:id="0"/>
    </w:p>
    <w:p w:rsidR="00C5320F" w:rsidRPr="00410CF4" w:rsidRDefault="00C5320F" w:rsidP="00410CF4">
      <w:pPr>
        <w:rPr>
          <w:sz w:val="22"/>
          <w:szCs w:val="22"/>
        </w:rPr>
      </w:pPr>
    </w:p>
    <w:p w:rsidR="00C5320F" w:rsidRPr="00410CF4" w:rsidRDefault="00C5320F" w:rsidP="00410CF4">
      <w:pPr>
        <w:jc w:val="center"/>
        <w:rPr>
          <w:b/>
          <w:sz w:val="28"/>
          <w:szCs w:val="28"/>
        </w:rPr>
      </w:pPr>
      <w:r w:rsidRPr="00410CF4">
        <w:rPr>
          <w:b/>
          <w:sz w:val="28"/>
          <w:szCs w:val="28"/>
        </w:rPr>
        <w:t>Supporting Statement A for:</w:t>
      </w:r>
    </w:p>
    <w:p w:rsidR="00C5320F" w:rsidRDefault="00C5320F" w:rsidP="00410CF4">
      <w:pPr>
        <w:jc w:val="center"/>
        <w:rPr>
          <w:b/>
          <w:sz w:val="28"/>
          <w:szCs w:val="28"/>
        </w:rPr>
      </w:pPr>
    </w:p>
    <w:p w:rsidR="00C5320F" w:rsidRPr="00410CF4" w:rsidRDefault="00C5320F" w:rsidP="00410CF4">
      <w:pPr>
        <w:jc w:val="center"/>
        <w:rPr>
          <w:b/>
          <w:sz w:val="28"/>
          <w:szCs w:val="28"/>
        </w:rPr>
      </w:pPr>
    </w:p>
    <w:p w:rsidR="008C28B1" w:rsidRDefault="008C28B1" w:rsidP="00410CF4">
      <w:pPr>
        <w:jc w:val="center"/>
        <w:rPr>
          <w:b/>
          <w:sz w:val="28"/>
          <w:szCs w:val="28"/>
        </w:rPr>
      </w:pPr>
      <w:r w:rsidRPr="008C28B1">
        <w:rPr>
          <w:b/>
          <w:sz w:val="28"/>
          <w:szCs w:val="28"/>
        </w:rPr>
        <w:t>National Institute</w:t>
      </w:r>
      <w:r w:rsidR="00D84ADD">
        <w:rPr>
          <w:b/>
          <w:sz w:val="28"/>
          <w:szCs w:val="28"/>
        </w:rPr>
        <w:t>s</w:t>
      </w:r>
      <w:r w:rsidRPr="008C28B1">
        <w:rPr>
          <w:b/>
          <w:sz w:val="28"/>
          <w:szCs w:val="28"/>
        </w:rPr>
        <w:t xml:space="preserve"> of Health Information Collection Forms to </w:t>
      </w:r>
    </w:p>
    <w:p w:rsidR="00C5320F" w:rsidRPr="00D02BF1" w:rsidRDefault="008C28B1" w:rsidP="00410CF4">
      <w:pPr>
        <w:jc w:val="center"/>
        <w:rPr>
          <w:b/>
          <w:sz w:val="28"/>
          <w:szCs w:val="28"/>
        </w:rPr>
      </w:pPr>
      <w:r w:rsidRPr="008C28B1">
        <w:rPr>
          <w:b/>
          <w:sz w:val="28"/>
          <w:szCs w:val="28"/>
        </w:rPr>
        <w:t>Support Genomic Data Sharing for Research Purposes</w:t>
      </w:r>
    </w:p>
    <w:p w:rsidR="00C5320F" w:rsidRPr="00D02BF1" w:rsidRDefault="00C5320F" w:rsidP="00410CF4">
      <w:pPr>
        <w:jc w:val="center"/>
        <w:rPr>
          <w:b/>
          <w:sz w:val="28"/>
          <w:szCs w:val="28"/>
        </w:rPr>
      </w:pPr>
    </w:p>
    <w:p w:rsidR="00C5320F" w:rsidRDefault="00C5320F" w:rsidP="00410CF4">
      <w:pPr>
        <w:tabs>
          <w:tab w:val="left" w:pos="0"/>
        </w:tabs>
        <w:jc w:val="center"/>
        <w:rPr>
          <w:b/>
          <w:sz w:val="28"/>
          <w:szCs w:val="28"/>
        </w:rPr>
      </w:pPr>
    </w:p>
    <w:p w:rsidR="00C5320F" w:rsidRDefault="00C5320F" w:rsidP="00410CF4">
      <w:pPr>
        <w:tabs>
          <w:tab w:val="left" w:pos="0"/>
        </w:tabs>
        <w:jc w:val="center"/>
        <w:rPr>
          <w:b/>
          <w:sz w:val="28"/>
          <w:szCs w:val="28"/>
        </w:rPr>
      </w:pPr>
    </w:p>
    <w:p w:rsidR="00C5320F" w:rsidRDefault="00C5320F" w:rsidP="00410CF4">
      <w:pPr>
        <w:tabs>
          <w:tab w:val="left" w:pos="0"/>
        </w:tabs>
        <w:jc w:val="center"/>
        <w:rPr>
          <w:b/>
          <w:sz w:val="28"/>
          <w:szCs w:val="28"/>
        </w:rPr>
      </w:pPr>
    </w:p>
    <w:p w:rsidR="00C5320F" w:rsidRDefault="00C5320F" w:rsidP="00410CF4">
      <w:pPr>
        <w:tabs>
          <w:tab w:val="left" w:pos="0"/>
        </w:tabs>
        <w:jc w:val="center"/>
        <w:rPr>
          <w:b/>
          <w:sz w:val="28"/>
          <w:szCs w:val="28"/>
        </w:rPr>
      </w:pPr>
    </w:p>
    <w:p w:rsidR="00C5320F" w:rsidRDefault="00C5320F" w:rsidP="00410CF4">
      <w:pPr>
        <w:tabs>
          <w:tab w:val="left" w:pos="0"/>
        </w:tabs>
        <w:jc w:val="center"/>
        <w:rPr>
          <w:b/>
          <w:sz w:val="28"/>
          <w:szCs w:val="28"/>
        </w:rPr>
      </w:pPr>
    </w:p>
    <w:p w:rsidR="00C5320F" w:rsidRDefault="00C5320F" w:rsidP="00410CF4">
      <w:pPr>
        <w:tabs>
          <w:tab w:val="left" w:pos="0"/>
        </w:tabs>
        <w:jc w:val="center"/>
        <w:rPr>
          <w:b/>
          <w:sz w:val="28"/>
          <w:szCs w:val="28"/>
        </w:rPr>
      </w:pPr>
    </w:p>
    <w:p w:rsidR="00C5320F" w:rsidRDefault="00C5320F" w:rsidP="00410CF4">
      <w:pPr>
        <w:tabs>
          <w:tab w:val="left" w:pos="0"/>
        </w:tabs>
        <w:jc w:val="center"/>
        <w:rPr>
          <w:b/>
          <w:sz w:val="28"/>
          <w:szCs w:val="28"/>
        </w:rPr>
      </w:pPr>
    </w:p>
    <w:p w:rsidR="00C5320F" w:rsidRPr="00410CF4" w:rsidRDefault="00C5320F" w:rsidP="00410CF4">
      <w:pPr>
        <w:tabs>
          <w:tab w:val="left" w:pos="0"/>
        </w:tabs>
        <w:jc w:val="center"/>
        <w:rPr>
          <w:b/>
          <w:sz w:val="28"/>
          <w:szCs w:val="28"/>
        </w:rPr>
      </w:pPr>
    </w:p>
    <w:p w:rsidR="00C5320F" w:rsidRPr="00410CF4" w:rsidRDefault="009A08C0" w:rsidP="00410CF4">
      <w:pPr>
        <w:jc w:val="center"/>
        <w:rPr>
          <w:b/>
          <w:sz w:val="22"/>
          <w:szCs w:val="22"/>
        </w:rPr>
      </w:pPr>
      <w:r>
        <w:rPr>
          <w:b/>
          <w:sz w:val="28"/>
          <w:szCs w:val="28"/>
        </w:rPr>
        <w:t>January 14</w:t>
      </w:r>
      <w:r w:rsidR="001547D1">
        <w:rPr>
          <w:b/>
          <w:sz w:val="28"/>
          <w:szCs w:val="28"/>
        </w:rPr>
        <w:t>, 201</w:t>
      </w:r>
      <w:r w:rsidR="00A741FB">
        <w:rPr>
          <w:b/>
          <w:sz w:val="28"/>
          <w:szCs w:val="28"/>
        </w:rPr>
        <w:t>3</w:t>
      </w:r>
      <w:r w:rsidR="00C5320F" w:rsidRPr="00410CF4">
        <w:rPr>
          <w:b/>
          <w:sz w:val="28"/>
          <w:szCs w:val="28"/>
        </w:rPr>
        <w:t xml:space="preserve"> </w:t>
      </w:r>
    </w:p>
    <w:p w:rsidR="00C5320F" w:rsidRPr="00410CF4" w:rsidRDefault="00C5320F" w:rsidP="00701BAE">
      <w:pPr>
        <w:rPr>
          <w:color w:val="000000"/>
          <w:sz w:val="22"/>
          <w:szCs w:val="22"/>
        </w:rPr>
      </w:pPr>
    </w:p>
    <w:p w:rsidR="00C5320F" w:rsidRPr="00410CF4" w:rsidRDefault="00C5320F" w:rsidP="00701BAE">
      <w:pPr>
        <w:rPr>
          <w:color w:val="000000"/>
          <w:sz w:val="22"/>
          <w:szCs w:val="22"/>
        </w:rPr>
      </w:pPr>
    </w:p>
    <w:p w:rsidR="00C5320F" w:rsidRPr="00410CF4" w:rsidRDefault="00C5320F" w:rsidP="00701BAE">
      <w:pPr>
        <w:rPr>
          <w:color w:val="000000"/>
          <w:sz w:val="22"/>
          <w:szCs w:val="22"/>
        </w:rPr>
      </w:pPr>
    </w:p>
    <w:p w:rsidR="00C5320F" w:rsidRDefault="00C5320F" w:rsidP="00701BAE">
      <w:pPr>
        <w:rPr>
          <w:color w:val="000000"/>
          <w:sz w:val="22"/>
          <w:szCs w:val="22"/>
        </w:rPr>
      </w:pPr>
    </w:p>
    <w:p w:rsidR="00C5320F" w:rsidRDefault="00C5320F" w:rsidP="00701BAE">
      <w:pPr>
        <w:rPr>
          <w:color w:val="000000"/>
          <w:sz w:val="22"/>
          <w:szCs w:val="22"/>
        </w:rPr>
      </w:pPr>
    </w:p>
    <w:p w:rsidR="00C5320F" w:rsidRDefault="00C5320F" w:rsidP="00701BAE">
      <w:pPr>
        <w:rPr>
          <w:color w:val="000000"/>
          <w:sz w:val="22"/>
          <w:szCs w:val="22"/>
        </w:rPr>
      </w:pPr>
    </w:p>
    <w:p w:rsidR="00C5320F" w:rsidRDefault="00C5320F" w:rsidP="00701BAE">
      <w:pPr>
        <w:rPr>
          <w:color w:val="000000"/>
          <w:sz w:val="22"/>
          <w:szCs w:val="22"/>
        </w:rPr>
      </w:pPr>
    </w:p>
    <w:p w:rsidR="00C5320F" w:rsidRDefault="00C5320F" w:rsidP="00701BAE">
      <w:pPr>
        <w:rPr>
          <w:color w:val="000000"/>
          <w:sz w:val="22"/>
          <w:szCs w:val="22"/>
        </w:rPr>
      </w:pPr>
    </w:p>
    <w:p w:rsidR="00C5320F" w:rsidRPr="00410CF4" w:rsidRDefault="00C5320F" w:rsidP="00701BAE">
      <w:pPr>
        <w:rPr>
          <w:color w:val="000000"/>
          <w:sz w:val="22"/>
          <w:szCs w:val="22"/>
        </w:rPr>
      </w:pPr>
    </w:p>
    <w:p w:rsidR="00C5320F" w:rsidRPr="00410CF4" w:rsidRDefault="00C5320F" w:rsidP="00701BAE">
      <w:pPr>
        <w:rPr>
          <w:color w:val="000000"/>
          <w:sz w:val="22"/>
          <w:szCs w:val="22"/>
        </w:rPr>
      </w:pPr>
    </w:p>
    <w:p w:rsidR="00C5320F" w:rsidRPr="00410CF4" w:rsidRDefault="00C5320F" w:rsidP="00701BAE">
      <w:pPr>
        <w:rPr>
          <w:color w:val="000000"/>
          <w:sz w:val="22"/>
          <w:szCs w:val="22"/>
        </w:rPr>
      </w:pPr>
    </w:p>
    <w:p w:rsidR="00C5320F" w:rsidRDefault="00C5320F" w:rsidP="00701BAE">
      <w:pPr>
        <w:rPr>
          <w:color w:val="000000"/>
          <w:sz w:val="22"/>
          <w:szCs w:val="22"/>
        </w:rPr>
      </w:pPr>
    </w:p>
    <w:p w:rsidR="00C5320F" w:rsidRDefault="00C5320F" w:rsidP="00701BAE">
      <w:pPr>
        <w:rPr>
          <w:color w:val="000000"/>
          <w:sz w:val="22"/>
          <w:szCs w:val="22"/>
        </w:rPr>
      </w:pPr>
    </w:p>
    <w:p w:rsidR="00C5320F" w:rsidRDefault="00C5320F" w:rsidP="00701BAE">
      <w:pPr>
        <w:rPr>
          <w:color w:val="000000"/>
          <w:sz w:val="22"/>
          <w:szCs w:val="22"/>
        </w:rPr>
      </w:pPr>
    </w:p>
    <w:p w:rsidR="00C5320F" w:rsidRDefault="00C5320F" w:rsidP="00701BAE">
      <w:pPr>
        <w:rPr>
          <w:color w:val="000000"/>
          <w:sz w:val="22"/>
          <w:szCs w:val="22"/>
        </w:rPr>
      </w:pPr>
    </w:p>
    <w:p w:rsidR="00C5320F" w:rsidRDefault="00C5320F" w:rsidP="00701BAE">
      <w:pPr>
        <w:rPr>
          <w:color w:val="000000"/>
          <w:sz w:val="22"/>
          <w:szCs w:val="22"/>
        </w:rPr>
      </w:pPr>
    </w:p>
    <w:p w:rsidR="00C5320F" w:rsidRDefault="00C5320F" w:rsidP="00701BAE">
      <w:pPr>
        <w:rPr>
          <w:color w:val="000000"/>
          <w:sz w:val="22"/>
          <w:szCs w:val="22"/>
        </w:rPr>
      </w:pPr>
    </w:p>
    <w:p w:rsidR="00C5320F" w:rsidRDefault="00C5320F" w:rsidP="00701BAE">
      <w:pPr>
        <w:rPr>
          <w:color w:val="000000"/>
          <w:sz w:val="22"/>
          <w:szCs w:val="22"/>
        </w:rPr>
      </w:pPr>
    </w:p>
    <w:p w:rsidR="00C5320F" w:rsidRPr="00410CF4" w:rsidRDefault="00C5320F" w:rsidP="00701BAE">
      <w:pPr>
        <w:rPr>
          <w:color w:val="000000"/>
          <w:sz w:val="22"/>
          <w:szCs w:val="22"/>
        </w:rPr>
      </w:pPr>
    </w:p>
    <w:p w:rsidR="00C5320F" w:rsidRPr="00410CF4" w:rsidRDefault="00C5320F" w:rsidP="00701BAE">
      <w:pPr>
        <w:rPr>
          <w:color w:val="000000"/>
          <w:sz w:val="22"/>
          <w:szCs w:val="22"/>
        </w:rPr>
      </w:pPr>
    </w:p>
    <w:p w:rsidR="00C5320F" w:rsidRPr="005B1FF0" w:rsidRDefault="00C5320F" w:rsidP="00701BAE">
      <w:pPr>
        <w:rPr>
          <w:sz w:val="22"/>
          <w:szCs w:val="22"/>
        </w:rPr>
      </w:pPr>
      <w:r w:rsidRPr="005B1FF0">
        <w:rPr>
          <w:sz w:val="22"/>
          <w:szCs w:val="22"/>
        </w:rPr>
        <w:t xml:space="preserve">Name: </w:t>
      </w:r>
      <w:r w:rsidRPr="005B1FF0">
        <w:rPr>
          <w:sz w:val="22"/>
          <w:szCs w:val="22"/>
        </w:rPr>
        <w:tab/>
      </w:r>
      <w:r w:rsidRPr="005B1FF0">
        <w:rPr>
          <w:sz w:val="22"/>
          <w:szCs w:val="22"/>
        </w:rPr>
        <w:tab/>
      </w:r>
      <w:r w:rsidR="0093520B" w:rsidRPr="005B1FF0">
        <w:rPr>
          <w:sz w:val="22"/>
          <w:szCs w:val="22"/>
        </w:rPr>
        <w:t xml:space="preserve">Sarah Carr </w:t>
      </w:r>
    </w:p>
    <w:p w:rsidR="004B6E3B" w:rsidRPr="005B1FF0" w:rsidRDefault="00C5320F" w:rsidP="00701BAE">
      <w:pPr>
        <w:rPr>
          <w:sz w:val="22"/>
          <w:szCs w:val="22"/>
        </w:rPr>
      </w:pPr>
      <w:r w:rsidRPr="005B1FF0">
        <w:rPr>
          <w:sz w:val="22"/>
          <w:szCs w:val="22"/>
        </w:rPr>
        <w:tab/>
      </w:r>
      <w:r w:rsidRPr="005B1FF0">
        <w:rPr>
          <w:sz w:val="22"/>
          <w:szCs w:val="22"/>
        </w:rPr>
        <w:tab/>
      </w:r>
      <w:r w:rsidR="0099249B" w:rsidRPr="005B1FF0">
        <w:rPr>
          <w:sz w:val="22"/>
          <w:szCs w:val="22"/>
        </w:rPr>
        <w:t>Acting Director, Office of Clinical Research and Bioethics Policy</w:t>
      </w:r>
    </w:p>
    <w:p w:rsidR="00C5320F" w:rsidRPr="005B1FF0" w:rsidRDefault="004B6E3B" w:rsidP="00701BAE">
      <w:pPr>
        <w:rPr>
          <w:sz w:val="22"/>
          <w:szCs w:val="22"/>
        </w:rPr>
      </w:pPr>
      <w:r w:rsidRPr="005B1FF0">
        <w:rPr>
          <w:sz w:val="22"/>
          <w:szCs w:val="22"/>
        </w:rPr>
        <w:tab/>
      </w:r>
      <w:r w:rsidRPr="005B1FF0">
        <w:rPr>
          <w:sz w:val="22"/>
          <w:szCs w:val="22"/>
        </w:rPr>
        <w:tab/>
        <w:t>Office of</w:t>
      </w:r>
      <w:r w:rsidR="0099249B" w:rsidRPr="005B1FF0">
        <w:rPr>
          <w:sz w:val="22"/>
          <w:szCs w:val="22"/>
        </w:rPr>
        <w:t xml:space="preserve"> Science Policy</w:t>
      </w:r>
      <w:r w:rsidRPr="005B1FF0">
        <w:rPr>
          <w:sz w:val="22"/>
          <w:szCs w:val="22"/>
        </w:rPr>
        <w:t>, NIH</w:t>
      </w:r>
    </w:p>
    <w:p w:rsidR="00C5320F" w:rsidRPr="005B1FF0" w:rsidRDefault="00C5320F" w:rsidP="00870C25">
      <w:pPr>
        <w:rPr>
          <w:sz w:val="22"/>
          <w:szCs w:val="22"/>
        </w:rPr>
      </w:pPr>
      <w:r w:rsidRPr="005B1FF0">
        <w:rPr>
          <w:sz w:val="22"/>
          <w:szCs w:val="22"/>
        </w:rPr>
        <w:t>Address:</w:t>
      </w:r>
      <w:r w:rsidRPr="005B1FF0">
        <w:rPr>
          <w:sz w:val="22"/>
          <w:szCs w:val="22"/>
        </w:rPr>
        <w:tab/>
        <w:t>6705 Rockledge Dr., Suite 750, Bethesda, MD 20892</w:t>
      </w:r>
    </w:p>
    <w:p w:rsidR="00C5320F" w:rsidRPr="005B1FF0" w:rsidRDefault="00C5320F" w:rsidP="00701BAE">
      <w:pPr>
        <w:rPr>
          <w:sz w:val="22"/>
          <w:szCs w:val="22"/>
        </w:rPr>
      </w:pPr>
      <w:r w:rsidRPr="005B1FF0">
        <w:rPr>
          <w:sz w:val="22"/>
          <w:szCs w:val="22"/>
        </w:rPr>
        <w:t>Telephone:</w:t>
      </w:r>
      <w:r w:rsidRPr="005B1FF0">
        <w:rPr>
          <w:sz w:val="22"/>
          <w:szCs w:val="22"/>
        </w:rPr>
        <w:tab/>
        <w:t>301-496-9838</w:t>
      </w:r>
    </w:p>
    <w:p w:rsidR="00C5320F" w:rsidRPr="005B1FF0" w:rsidRDefault="00C5320F" w:rsidP="00701BAE">
      <w:pPr>
        <w:rPr>
          <w:sz w:val="22"/>
          <w:szCs w:val="22"/>
        </w:rPr>
      </w:pPr>
      <w:r w:rsidRPr="005B1FF0">
        <w:rPr>
          <w:sz w:val="22"/>
          <w:szCs w:val="22"/>
        </w:rPr>
        <w:t>Fax:</w:t>
      </w:r>
      <w:r w:rsidRPr="005B1FF0">
        <w:rPr>
          <w:sz w:val="22"/>
          <w:szCs w:val="22"/>
        </w:rPr>
        <w:tab/>
      </w:r>
      <w:r w:rsidRPr="005B1FF0">
        <w:rPr>
          <w:sz w:val="22"/>
          <w:szCs w:val="22"/>
        </w:rPr>
        <w:tab/>
        <w:t>301-496-9839</w:t>
      </w:r>
    </w:p>
    <w:p w:rsidR="00C5320F" w:rsidRPr="005B1FF0" w:rsidRDefault="00C5320F" w:rsidP="00701BAE">
      <w:pPr>
        <w:rPr>
          <w:sz w:val="22"/>
          <w:szCs w:val="22"/>
        </w:rPr>
      </w:pPr>
      <w:r w:rsidRPr="005B1FF0">
        <w:rPr>
          <w:sz w:val="22"/>
          <w:szCs w:val="22"/>
        </w:rPr>
        <w:t>Email:</w:t>
      </w:r>
      <w:r w:rsidRPr="005B1FF0">
        <w:rPr>
          <w:sz w:val="22"/>
          <w:szCs w:val="22"/>
        </w:rPr>
        <w:tab/>
      </w:r>
      <w:r w:rsidRPr="005B1FF0">
        <w:rPr>
          <w:sz w:val="22"/>
          <w:szCs w:val="22"/>
        </w:rPr>
        <w:tab/>
      </w:r>
      <w:hyperlink r:id="rId10" w:history="1">
        <w:r w:rsidR="00B40D2C" w:rsidRPr="005B1FF0">
          <w:rPr>
            <w:rStyle w:val="Hyperlink"/>
            <w:sz w:val="22"/>
            <w:szCs w:val="22"/>
          </w:rPr>
          <w:t>carrs@mail.nih.gov</w:t>
        </w:r>
      </w:hyperlink>
      <w:r w:rsidR="0093520B" w:rsidRPr="005B1FF0">
        <w:rPr>
          <w:sz w:val="22"/>
          <w:szCs w:val="22"/>
        </w:rPr>
        <w:t xml:space="preserve"> </w:t>
      </w:r>
    </w:p>
    <w:p w:rsidR="00C5320F" w:rsidRPr="00410CF4" w:rsidRDefault="00C5320F" w:rsidP="009B7620">
      <w:pPr>
        <w:jc w:val="center"/>
        <w:rPr>
          <w:b/>
          <w:sz w:val="22"/>
          <w:szCs w:val="22"/>
        </w:rPr>
      </w:pPr>
      <w:r>
        <w:rPr>
          <w:sz w:val="22"/>
          <w:szCs w:val="22"/>
        </w:rPr>
        <w:br w:type="page"/>
      </w:r>
      <w:r>
        <w:rPr>
          <w:b/>
          <w:sz w:val="22"/>
          <w:szCs w:val="22"/>
        </w:rPr>
        <w:lastRenderedPageBreak/>
        <w:t>Table of C</w:t>
      </w:r>
      <w:r w:rsidRPr="00410CF4">
        <w:rPr>
          <w:b/>
          <w:sz w:val="22"/>
          <w:szCs w:val="22"/>
        </w:rPr>
        <w:t>ontents</w:t>
      </w:r>
    </w:p>
    <w:p w:rsidR="00C5320F" w:rsidRPr="00410CF4" w:rsidRDefault="00C5320F" w:rsidP="00701BAE">
      <w:pPr>
        <w:tabs>
          <w:tab w:val="left" w:pos="3510"/>
        </w:tabs>
        <w:jc w:val="center"/>
        <w:rPr>
          <w:sz w:val="22"/>
          <w:szCs w:val="22"/>
        </w:rPr>
      </w:pPr>
    </w:p>
    <w:p w:rsidR="00C5320F" w:rsidRPr="00410CF4" w:rsidRDefault="00C5320F" w:rsidP="00701BAE">
      <w:pPr>
        <w:tabs>
          <w:tab w:val="left" w:pos="3510"/>
        </w:tabs>
        <w:jc w:val="center"/>
        <w:rPr>
          <w:sz w:val="22"/>
          <w:szCs w:val="22"/>
        </w:rPr>
      </w:pPr>
    </w:p>
    <w:p w:rsidR="00C5320F" w:rsidRPr="00410CF4" w:rsidRDefault="00E56E22" w:rsidP="00701BAE">
      <w:pPr>
        <w:pStyle w:val="TOC1"/>
        <w:rPr>
          <w:sz w:val="22"/>
          <w:szCs w:val="22"/>
        </w:rPr>
      </w:pPr>
      <w:r w:rsidRPr="00410CF4">
        <w:rPr>
          <w:sz w:val="22"/>
          <w:szCs w:val="22"/>
        </w:rPr>
        <w:fldChar w:fldCharType="begin"/>
      </w:r>
      <w:r w:rsidR="00C5320F" w:rsidRPr="00410CF4">
        <w:rPr>
          <w:sz w:val="22"/>
          <w:szCs w:val="22"/>
        </w:rPr>
        <w:instrText xml:space="preserve"> TOC \o "1-2" \u </w:instrText>
      </w:r>
      <w:r w:rsidRPr="00410CF4">
        <w:rPr>
          <w:sz w:val="22"/>
          <w:szCs w:val="22"/>
        </w:rPr>
        <w:fldChar w:fldCharType="separate"/>
      </w:r>
      <w:r w:rsidR="00C5320F" w:rsidRPr="00410CF4">
        <w:rPr>
          <w:sz w:val="22"/>
          <w:szCs w:val="22"/>
        </w:rPr>
        <w:t>A.</w:t>
      </w:r>
      <w:r w:rsidR="00C5320F" w:rsidRPr="00410CF4">
        <w:rPr>
          <w:sz w:val="22"/>
          <w:szCs w:val="22"/>
        </w:rPr>
        <w:tab/>
        <w:t>JUSTIFICATION</w:t>
      </w:r>
      <w:r w:rsidR="00C5320F" w:rsidRPr="00173259">
        <w:rPr>
          <w:b w:val="0"/>
          <w:sz w:val="22"/>
          <w:szCs w:val="22"/>
        </w:rPr>
        <w:tab/>
      </w:r>
      <w:r w:rsidR="00DD2E6C" w:rsidRPr="00173259">
        <w:rPr>
          <w:b w:val="0"/>
          <w:sz w:val="22"/>
          <w:szCs w:val="22"/>
        </w:rPr>
        <w:t>3</w:t>
      </w:r>
    </w:p>
    <w:p w:rsidR="00C5320F" w:rsidRPr="00410CF4" w:rsidRDefault="00C5320F" w:rsidP="00701BAE">
      <w:pPr>
        <w:pStyle w:val="TOC2"/>
        <w:rPr>
          <w:noProof/>
          <w:sz w:val="22"/>
          <w:szCs w:val="22"/>
        </w:rPr>
      </w:pPr>
      <w:r w:rsidRPr="00410CF4">
        <w:rPr>
          <w:noProof/>
          <w:sz w:val="22"/>
          <w:szCs w:val="22"/>
        </w:rPr>
        <w:t>A.1</w:t>
      </w:r>
      <w:r w:rsidRPr="00410CF4">
        <w:rPr>
          <w:noProof/>
          <w:sz w:val="22"/>
          <w:szCs w:val="22"/>
        </w:rPr>
        <w:tab/>
        <w:t>Circumstances Making the Collection of Information Necessary</w:t>
      </w:r>
      <w:r w:rsidRPr="00410CF4">
        <w:rPr>
          <w:noProof/>
          <w:sz w:val="22"/>
          <w:szCs w:val="22"/>
        </w:rPr>
        <w:tab/>
      </w:r>
      <w:r w:rsidR="00DD2E6C">
        <w:rPr>
          <w:noProof/>
          <w:sz w:val="22"/>
          <w:szCs w:val="22"/>
        </w:rPr>
        <w:t>4</w:t>
      </w:r>
    </w:p>
    <w:p w:rsidR="00C5320F" w:rsidRPr="00410CF4" w:rsidRDefault="00C5320F" w:rsidP="00701BAE">
      <w:pPr>
        <w:pStyle w:val="TOC2"/>
        <w:rPr>
          <w:noProof/>
          <w:sz w:val="22"/>
          <w:szCs w:val="22"/>
        </w:rPr>
      </w:pPr>
      <w:r w:rsidRPr="00410CF4">
        <w:rPr>
          <w:noProof/>
          <w:sz w:val="22"/>
          <w:szCs w:val="22"/>
        </w:rPr>
        <w:t>A.2.</w:t>
      </w:r>
      <w:r w:rsidRPr="00410CF4">
        <w:rPr>
          <w:noProof/>
          <w:sz w:val="22"/>
          <w:szCs w:val="22"/>
        </w:rPr>
        <w:tab/>
        <w:t xml:space="preserve">Purpose and Use of the Information </w:t>
      </w:r>
      <w:r w:rsidR="0080740D">
        <w:rPr>
          <w:noProof/>
          <w:sz w:val="22"/>
          <w:szCs w:val="22"/>
        </w:rPr>
        <w:t>C</w:t>
      </w:r>
      <w:r w:rsidRPr="00410CF4">
        <w:rPr>
          <w:noProof/>
          <w:sz w:val="22"/>
          <w:szCs w:val="22"/>
        </w:rPr>
        <w:t>ollection</w:t>
      </w:r>
      <w:r w:rsidR="00DD2E6C" w:rsidRPr="00410CF4">
        <w:rPr>
          <w:noProof/>
          <w:sz w:val="22"/>
          <w:szCs w:val="22"/>
        </w:rPr>
        <w:tab/>
      </w:r>
      <w:r w:rsidR="00DD2E6C">
        <w:rPr>
          <w:noProof/>
          <w:sz w:val="22"/>
          <w:szCs w:val="22"/>
        </w:rPr>
        <w:t>4</w:t>
      </w:r>
    </w:p>
    <w:p w:rsidR="00C5320F" w:rsidRPr="00410CF4" w:rsidRDefault="00C5320F" w:rsidP="00701BAE">
      <w:pPr>
        <w:pStyle w:val="TOC2"/>
        <w:rPr>
          <w:noProof/>
          <w:sz w:val="22"/>
          <w:szCs w:val="22"/>
        </w:rPr>
      </w:pPr>
      <w:r w:rsidRPr="00410CF4">
        <w:rPr>
          <w:noProof/>
          <w:sz w:val="22"/>
          <w:szCs w:val="22"/>
        </w:rPr>
        <w:t>A.3</w:t>
      </w:r>
      <w:r w:rsidRPr="00410CF4">
        <w:rPr>
          <w:noProof/>
          <w:sz w:val="22"/>
          <w:szCs w:val="22"/>
        </w:rPr>
        <w:tab/>
        <w:t>Use of Information Technology and Burden Reduction</w:t>
      </w:r>
      <w:r w:rsidRPr="00410CF4">
        <w:rPr>
          <w:noProof/>
          <w:sz w:val="22"/>
          <w:szCs w:val="22"/>
        </w:rPr>
        <w:tab/>
      </w:r>
      <w:r w:rsidR="00C872B0">
        <w:rPr>
          <w:noProof/>
          <w:sz w:val="22"/>
          <w:szCs w:val="22"/>
        </w:rPr>
        <w:t>5</w:t>
      </w:r>
    </w:p>
    <w:p w:rsidR="00C5320F" w:rsidRPr="00410CF4" w:rsidRDefault="00C5320F" w:rsidP="00701BAE">
      <w:pPr>
        <w:pStyle w:val="TOC2"/>
        <w:rPr>
          <w:noProof/>
          <w:sz w:val="22"/>
          <w:szCs w:val="22"/>
        </w:rPr>
      </w:pPr>
      <w:r w:rsidRPr="00410CF4">
        <w:rPr>
          <w:noProof/>
          <w:sz w:val="22"/>
          <w:szCs w:val="22"/>
        </w:rPr>
        <w:t>A.4</w:t>
      </w:r>
      <w:r w:rsidRPr="00410CF4">
        <w:rPr>
          <w:noProof/>
          <w:sz w:val="22"/>
          <w:szCs w:val="22"/>
        </w:rPr>
        <w:tab/>
        <w:t>Efforts to Identify Duplication and Use of Similar Information</w:t>
      </w:r>
      <w:r w:rsidRPr="00410CF4">
        <w:rPr>
          <w:noProof/>
          <w:sz w:val="22"/>
          <w:szCs w:val="22"/>
        </w:rPr>
        <w:tab/>
      </w:r>
      <w:r w:rsidR="00C872B0">
        <w:rPr>
          <w:noProof/>
          <w:sz w:val="22"/>
          <w:szCs w:val="22"/>
        </w:rPr>
        <w:t>5</w:t>
      </w:r>
    </w:p>
    <w:p w:rsidR="00C5320F" w:rsidRPr="00410CF4" w:rsidRDefault="00C5320F" w:rsidP="00701BAE">
      <w:pPr>
        <w:pStyle w:val="TOC2"/>
        <w:rPr>
          <w:noProof/>
          <w:sz w:val="22"/>
          <w:szCs w:val="22"/>
        </w:rPr>
      </w:pPr>
      <w:r w:rsidRPr="00410CF4">
        <w:rPr>
          <w:noProof/>
          <w:sz w:val="22"/>
          <w:szCs w:val="22"/>
        </w:rPr>
        <w:t>A.5</w:t>
      </w:r>
      <w:r w:rsidRPr="00410CF4">
        <w:rPr>
          <w:noProof/>
          <w:sz w:val="22"/>
          <w:szCs w:val="22"/>
        </w:rPr>
        <w:tab/>
        <w:t>Impact on Small Businesses or Other Small Entities</w:t>
      </w:r>
      <w:r w:rsidRPr="00410CF4">
        <w:rPr>
          <w:noProof/>
          <w:sz w:val="22"/>
          <w:szCs w:val="22"/>
        </w:rPr>
        <w:tab/>
      </w:r>
      <w:r w:rsidR="00C872B0">
        <w:rPr>
          <w:noProof/>
          <w:sz w:val="22"/>
          <w:szCs w:val="22"/>
        </w:rPr>
        <w:t>6</w:t>
      </w:r>
    </w:p>
    <w:p w:rsidR="00C5320F" w:rsidRPr="00410CF4" w:rsidRDefault="00C5320F" w:rsidP="00701BAE">
      <w:pPr>
        <w:pStyle w:val="TOC2"/>
        <w:rPr>
          <w:noProof/>
          <w:sz w:val="22"/>
          <w:szCs w:val="22"/>
        </w:rPr>
      </w:pPr>
      <w:r w:rsidRPr="00410CF4">
        <w:rPr>
          <w:noProof/>
          <w:sz w:val="22"/>
          <w:szCs w:val="22"/>
        </w:rPr>
        <w:t>A.6</w:t>
      </w:r>
      <w:r w:rsidRPr="00410CF4">
        <w:rPr>
          <w:noProof/>
          <w:sz w:val="22"/>
          <w:szCs w:val="22"/>
        </w:rPr>
        <w:tab/>
        <w:t>Consequences of Collecting the Information Less Frequently</w:t>
      </w:r>
      <w:r w:rsidR="00DD2E6C" w:rsidRPr="00410CF4">
        <w:rPr>
          <w:noProof/>
          <w:sz w:val="22"/>
          <w:szCs w:val="22"/>
        </w:rPr>
        <w:tab/>
      </w:r>
      <w:r w:rsidR="00C872B0">
        <w:rPr>
          <w:noProof/>
          <w:sz w:val="22"/>
          <w:szCs w:val="22"/>
        </w:rPr>
        <w:t>6</w:t>
      </w:r>
    </w:p>
    <w:p w:rsidR="00C5320F" w:rsidRPr="00410CF4" w:rsidRDefault="00C5320F" w:rsidP="00701BAE">
      <w:pPr>
        <w:pStyle w:val="TOC2"/>
        <w:rPr>
          <w:noProof/>
          <w:sz w:val="22"/>
          <w:szCs w:val="22"/>
        </w:rPr>
      </w:pPr>
      <w:r w:rsidRPr="00410CF4">
        <w:rPr>
          <w:noProof/>
          <w:sz w:val="22"/>
          <w:szCs w:val="22"/>
        </w:rPr>
        <w:t>A.7</w:t>
      </w:r>
      <w:r w:rsidRPr="00410CF4">
        <w:rPr>
          <w:noProof/>
          <w:sz w:val="22"/>
          <w:szCs w:val="22"/>
        </w:rPr>
        <w:tab/>
        <w:t>Special Circumstances Relating to the Guidelines of 5 CFR 1320.5</w:t>
      </w:r>
      <w:r w:rsidRPr="00410CF4">
        <w:rPr>
          <w:noProof/>
          <w:sz w:val="22"/>
          <w:szCs w:val="22"/>
        </w:rPr>
        <w:tab/>
      </w:r>
      <w:r w:rsidR="00C872B0">
        <w:rPr>
          <w:noProof/>
          <w:sz w:val="22"/>
          <w:szCs w:val="22"/>
        </w:rPr>
        <w:t>6</w:t>
      </w:r>
    </w:p>
    <w:p w:rsidR="00C5320F" w:rsidRPr="00410CF4" w:rsidRDefault="00C5320F" w:rsidP="00701BAE">
      <w:pPr>
        <w:pStyle w:val="TOC2"/>
        <w:rPr>
          <w:noProof/>
          <w:sz w:val="22"/>
          <w:szCs w:val="22"/>
        </w:rPr>
      </w:pPr>
      <w:r w:rsidRPr="00410CF4">
        <w:rPr>
          <w:noProof/>
          <w:sz w:val="22"/>
          <w:szCs w:val="22"/>
        </w:rPr>
        <w:t>A.8</w:t>
      </w:r>
      <w:r w:rsidRPr="00410CF4">
        <w:rPr>
          <w:noProof/>
          <w:sz w:val="22"/>
          <w:szCs w:val="22"/>
        </w:rPr>
        <w:tab/>
        <w:t>Comments in Response to the Federal Register Notice and Efforts to Consult Outside Agency</w:t>
      </w:r>
      <w:r w:rsidRPr="00410CF4">
        <w:rPr>
          <w:noProof/>
          <w:sz w:val="22"/>
          <w:szCs w:val="22"/>
        </w:rPr>
        <w:tab/>
      </w:r>
      <w:r w:rsidR="00C872B0">
        <w:rPr>
          <w:noProof/>
          <w:sz w:val="22"/>
          <w:szCs w:val="22"/>
        </w:rPr>
        <w:t>6</w:t>
      </w:r>
    </w:p>
    <w:p w:rsidR="00C5320F" w:rsidRPr="00410CF4" w:rsidRDefault="00C5320F" w:rsidP="00701BAE">
      <w:pPr>
        <w:pStyle w:val="TOC2"/>
        <w:rPr>
          <w:noProof/>
          <w:sz w:val="22"/>
          <w:szCs w:val="22"/>
        </w:rPr>
      </w:pPr>
      <w:r w:rsidRPr="00410CF4">
        <w:rPr>
          <w:noProof/>
          <w:sz w:val="22"/>
          <w:szCs w:val="22"/>
        </w:rPr>
        <w:t>A.9</w:t>
      </w:r>
      <w:r w:rsidRPr="00410CF4">
        <w:rPr>
          <w:noProof/>
          <w:sz w:val="22"/>
          <w:szCs w:val="22"/>
        </w:rPr>
        <w:tab/>
        <w:t>Explanation of Any Payment of Gift to Respondents</w:t>
      </w:r>
      <w:r w:rsidRPr="00410CF4">
        <w:rPr>
          <w:noProof/>
          <w:sz w:val="22"/>
          <w:szCs w:val="22"/>
        </w:rPr>
        <w:tab/>
      </w:r>
      <w:r w:rsidR="00C872B0">
        <w:rPr>
          <w:noProof/>
          <w:sz w:val="22"/>
          <w:szCs w:val="22"/>
        </w:rPr>
        <w:t>6</w:t>
      </w:r>
    </w:p>
    <w:p w:rsidR="00C5320F" w:rsidRPr="00410CF4" w:rsidRDefault="00C5320F" w:rsidP="00701BAE">
      <w:pPr>
        <w:pStyle w:val="TOC2"/>
        <w:rPr>
          <w:noProof/>
          <w:sz w:val="22"/>
          <w:szCs w:val="22"/>
        </w:rPr>
      </w:pPr>
      <w:r w:rsidRPr="00410CF4">
        <w:rPr>
          <w:noProof/>
          <w:sz w:val="22"/>
          <w:szCs w:val="22"/>
        </w:rPr>
        <w:t>A.10</w:t>
      </w:r>
      <w:r w:rsidRPr="00410CF4">
        <w:rPr>
          <w:noProof/>
          <w:sz w:val="22"/>
          <w:szCs w:val="22"/>
        </w:rPr>
        <w:tab/>
        <w:t>Assurance of Confidentiality Provided to Respondents</w:t>
      </w:r>
      <w:r w:rsidRPr="00410CF4">
        <w:rPr>
          <w:noProof/>
          <w:sz w:val="22"/>
          <w:szCs w:val="22"/>
        </w:rPr>
        <w:tab/>
      </w:r>
      <w:r w:rsidR="00C872B0">
        <w:rPr>
          <w:noProof/>
          <w:sz w:val="22"/>
          <w:szCs w:val="22"/>
        </w:rPr>
        <w:t>7</w:t>
      </w:r>
    </w:p>
    <w:p w:rsidR="00C5320F" w:rsidRPr="00410CF4" w:rsidRDefault="00C5320F" w:rsidP="00701BAE">
      <w:pPr>
        <w:pStyle w:val="TOC2"/>
        <w:rPr>
          <w:noProof/>
          <w:sz w:val="22"/>
          <w:szCs w:val="22"/>
        </w:rPr>
      </w:pPr>
      <w:r w:rsidRPr="00410CF4">
        <w:rPr>
          <w:noProof/>
          <w:sz w:val="22"/>
          <w:szCs w:val="22"/>
        </w:rPr>
        <w:t>A.11</w:t>
      </w:r>
      <w:r w:rsidRPr="00410CF4">
        <w:rPr>
          <w:noProof/>
          <w:sz w:val="22"/>
          <w:szCs w:val="22"/>
        </w:rPr>
        <w:tab/>
        <w:t>Justification for Sensitive Questions</w:t>
      </w:r>
      <w:r w:rsidRPr="00410CF4">
        <w:rPr>
          <w:noProof/>
          <w:sz w:val="22"/>
          <w:szCs w:val="22"/>
        </w:rPr>
        <w:tab/>
      </w:r>
      <w:r w:rsidR="00C872B0">
        <w:rPr>
          <w:noProof/>
          <w:sz w:val="22"/>
          <w:szCs w:val="22"/>
        </w:rPr>
        <w:t>7</w:t>
      </w:r>
    </w:p>
    <w:p w:rsidR="00C5320F" w:rsidRPr="00410CF4" w:rsidRDefault="00C5320F" w:rsidP="00701BAE">
      <w:pPr>
        <w:pStyle w:val="TOC2"/>
        <w:rPr>
          <w:noProof/>
          <w:sz w:val="22"/>
          <w:szCs w:val="22"/>
        </w:rPr>
      </w:pPr>
      <w:r w:rsidRPr="00410CF4">
        <w:rPr>
          <w:noProof/>
          <w:sz w:val="22"/>
          <w:szCs w:val="22"/>
        </w:rPr>
        <w:t>A.12</w:t>
      </w:r>
      <w:r w:rsidRPr="00410CF4">
        <w:rPr>
          <w:noProof/>
          <w:sz w:val="22"/>
          <w:szCs w:val="22"/>
        </w:rPr>
        <w:tab/>
        <w:t>Estimates of Hour Burden Including Annualized Hourly Costs</w:t>
      </w:r>
      <w:r w:rsidRPr="00410CF4">
        <w:rPr>
          <w:noProof/>
          <w:sz w:val="22"/>
          <w:szCs w:val="22"/>
        </w:rPr>
        <w:tab/>
      </w:r>
      <w:r w:rsidR="00C872B0">
        <w:rPr>
          <w:noProof/>
          <w:sz w:val="22"/>
          <w:szCs w:val="22"/>
        </w:rPr>
        <w:t>7</w:t>
      </w:r>
    </w:p>
    <w:p w:rsidR="00C5320F" w:rsidRPr="00410CF4" w:rsidRDefault="00C5320F" w:rsidP="00701BAE">
      <w:pPr>
        <w:pStyle w:val="TOC2"/>
        <w:rPr>
          <w:noProof/>
          <w:sz w:val="22"/>
          <w:szCs w:val="22"/>
        </w:rPr>
      </w:pPr>
      <w:r w:rsidRPr="00410CF4">
        <w:rPr>
          <w:noProof/>
          <w:sz w:val="22"/>
          <w:szCs w:val="22"/>
        </w:rPr>
        <w:t>A.13</w:t>
      </w:r>
      <w:r w:rsidRPr="00410CF4">
        <w:rPr>
          <w:noProof/>
          <w:sz w:val="22"/>
          <w:szCs w:val="22"/>
        </w:rPr>
        <w:tab/>
        <w:t>Estimate of Other Total Annual Cost Burden to Respondents or Record</w:t>
      </w:r>
    </w:p>
    <w:p w:rsidR="00C5320F" w:rsidRPr="00410CF4" w:rsidRDefault="00C5320F" w:rsidP="00701BAE">
      <w:pPr>
        <w:pStyle w:val="TOC2"/>
        <w:rPr>
          <w:noProof/>
          <w:sz w:val="22"/>
          <w:szCs w:val="22"/>
        </w:rPr>
      </w:pPr>
      <w:r w:rsidRPr="00410CF4">
        <w:rPr>
          <w:noProof/>
          <w:sz w:val="22"/>
          <w:szCs w:val="22"/>
        </w:rPr>
        <w:tab/>
        <w:t xml:space="preserve"> </w:t>
      </w:r>
      <w:r w:rsidR="0080740D">
        <w:rPr>
          <w:noProof/>
          <w:sz w:val="22"/>
          <w:szCs w:val="22"/>
        </w:rPr>
        <w:t>K</w:t>
      </w:r>
      <w:r w:rsidRPr="00410CF4">
        <w:rPr>
          <w:noProof/>
          <w:sz w:val="22"/>
          <w:szCs w:val="22"/>
        </w:rPr>
        <w:t>eepers</w:t>
      </w:r>
      <w:r w:rsidRPr="00410CF4">
        <w:rPr>
          <w:noProof/>
          <w:sz w:val="22"/>
          <w:szCs w:val="22"/>
        </w:rPr>
        <w:tab/>
      </w:r>
      <w:r w:rsidR="00C872B0">
        <w:rPr>
          <w:noProof/>
          <w:sz w:val="22"/>
          <w:szCs w:val="22"/>
        </w:rPr>
        <w:t>12</w:t>
      </w:r>
    </w:p>
    <w:p w:rsidR="00C5320F" w:rsidRPr="00410CF4" w:rsidRDefault="00C5320F" w:rsidP="00701BAE">
      <w:pPr>
        <w:pStyle w:val="TOC2"/>
        <w:rPr>
          <w:noProof/>
          <w:sz w:val="22"/>
          <w:szCs w:val="22"/>
        </w:rPr>
      </w:pPr>
      <w:r w:rsidRPr="00410CF4">
        <w:rPr>
          <w:noProof/>
          <w:sz w:val="22"/>
          <w:szCs w:val="22"/>
        </w:rPr>
        <w:t>A.14</w:t>
      </w:r>
      <w:r w:rsidRPr="00410CF4">
        <w:rPr>
          <w:noProof/>
          <w:sz w:val="22"/>
          <w:szCs w:val="22"/>
        </w:rPr>
        <w:tab/>
        <w:t>Annualized Cost to the Federal Government</w:t>
      </w:r>
      <w:r w:rsidRPr="00410CF4">
        <w:rPr>
          <w:noProof/>
          <w:sz w:val="22"/>
          <w:szCs w:val="22"/>
        </w:rPr>
        <w:tab/>
      </w:r>
      <w:r w:rsidR="00C872B0">
        <w:rPr>
          <w:noProof/>
          <w:sz w:val="22"/>
          <w:szCs w:val="22"/>
        </w:rPr>
        <w:t>12</w:t>
      </w:r>
    </w:p>
    <w:p w:rsidR="00C5320F" w:rsidRPr="00410CF4" w:rsidRDefault="00C5320F" w:rsidP="00701BAE">
      <w:pPr>
        <w:pStyle w:val="TOC2"/>
        <w:rPr>
          <w:noProof/>
          <w:sz w:val="22"/>
          <w:szCs w:val="22"/>
        </w:rPr>
      </w:pPr>
      <w:r w:rsidRPr="00410CF4">
        <w:rPr>
          <w:noProof/>
          <w:sz w:val="22"/>
          <w:szCs w:val="22"/>
        </w:rPr>
        <w:t>A.15</w:t>
      </w:r>
      <w:r w:rsidRPr="00410CF4">
        <w:rPr>
          <w:noProof/>
          <w:sz w:val="22"/>
          <w:szCs w:val="22"/>
        </w:rPr>
        <w:tab/>
        <w:t>Explanation for Program Changes or Adjustments</w:t>
      </w:r>
      <w:r w:rsidRPr="00410CF4">
        <w:rPr>
          <w:noProof/>
          <w:sz w:val="22"/>
          <w:szCs w:val="22"/>
        </w:rPr>
        <w:tab/>
      </w:r>
      <w:r w:rsidR="00C872B0">
        <w:rPr>
          <w:noProof/>
          <w:sz w:val="22"/>
          <w:szCs w:val="22"/>
        </w:rPr>
        <w:t>12</w:t>
      </w:r>
    </w:p>
    <w:p w:rsidR="00C5320F" w:rsidRPr="00410CF4" w:rsidRDefault="00C5320F" w:rsidP="00701BAE">
      <w:pPr>
        <w:pStyle w:val="TOC2"/>
        <w:rPr>
          <w:noProof/>
          <w:sz w:val="22"/>
          <w:szCs w:val="22"/>
        </w:rPr>
      </w:pPr>
      <w:r w:rsidRPr="00410CF4">
        <w:rPr>
          <w:noProof/>
          <w:sz w:val="22"/>
          <w:szCs w:val="22"/>
        </w:rPr>
        <w:t>A.16</w:t>
      </w:r>
      <w:r w:rsidRPr="00410CF4">
        <w:rPr>
          <w:noProof/>
          <w:sz w:val="22"/>
          <w:szCs w:val="22"/>
        </w:rPr>
        <w:tab/>
        <w:t>Plans for Tabulation and Publication and Project Time Schedule</w:t>
      </w:r>
      <w:r w:rsidRPr="00410CF4">
        <w:rPr>
          <w:noProof/>
          <w:sz w:val="22"/>
          <w:szCs w:val="22"/>
        </w:rPr>
        <w:tab/>
      </w:r>
      <w:r w:rsidR="00C872B0">
        <w:rPr>
          <w:noProof/>
          <w:sz w:val="22"/>
          <w:szCs w:val="22"/>
        </w:rPr>
        <w:t>12</w:t>
      </w:r>
    </w:p>
    <w:p w:rsidR="00C5320F" w:rsidRPr="00410CF4" w:rsidRDefault="00C5320F" w:rsidP="00701BAE">
      <w:pPr>
        <w:pStyle w:val="TOC2"/>
        <w:rPr>
          <w:noProof/>
          <w:sz w:val="22"/>
          <w:szCs w:val="22"/>
        </w:rPr>
      </w:pPr>
      <w:r w:rsidRPr="00410CF4">
        <w:rPr>
          <w:noProof/>
          <w:sz w:val="22"/>
          <w:szCs w:val="22"/>
        </w:rPr>
        <w:t>A.17</w:t>
      </w:r>
      <w:r w:rsidRPr="00410CF4">
        <w:rPr>
          <w:noProof/>
          <w:sz w:val="22"/>
          <w:szCs w:val="22"/>
        </w:rPr>
        <w:tab/>
        <w:t>Reason(s) Display of OMB Expiration Date is Inappropriate</w:t>
      </w:r>
      <w:r w:rsidRPr="00410CF4">
        <w:rPr>
          <w:noProof/>
          <w:sz w:val="22"/>
          <w:szCs w:val="22"/>
        </w:rPr>
        <w:tab/>
      </w:r>
      <w:r w:rsidR="00C872B0">
        <w:rPr>
          <w:noProof/>
          <w:sz w:val="22"/>
          <w:szCs w:val="22"/>
        </w:rPr>
        <w:t>13</w:t>
      </w:r>
    </w:p>
    <w:p w:rsidR="00C5320F" w:rsidRPr="00410CF4" w:rsidRDefault="00C5320F" w:rsidP="00701BAE">
      <w:pPr>
        <w:pStyle w:val="TOC2"/>
        <w:rPr>
          <w:noProof/>
          <w:sz w:val="22"/>
          <w:szCs w:val="22"/>
        </w:rPr>
      </w:pPr>
      <w:r w:rsidRPr="00410CF4">
        <w:rPr>
          <w:noProof/>
          <w:sz w:val="22"/>
          <w:szCs w:val="22"/>
        </w:rPr>
        <w:t>A.18</w:t>
      </w:r>
      <w:r w:rsidRPr="00410CF4">
        <w:rPr>
          <w:noProof/>
          <w:sz w:val="22"/>
          <w:szCs w:val="22"/>
        </w:rPr>
        <w:tab/>
        <w:t xml:space="preserve">Exceptions to Certification for Paperwork Reduction Act </w:t>
      </w:r>
      <w:r w:rsidR="000C1F1E">
        <w:rPr>
          <w:noProof/>
          <w:sz w:val="22"/>
          <w:szCs w:val="22"/>
        </w:rPr>
        <w:t>Registration</w:t>
      </w:r>
      <w:r w:rsidRPr="00410CF4">
        <w:rPr>
          <w:noProof/>
          <w:sz w:val="22"/>
          <w:szCs w:val="22"/>
        </w:rPr>
        <w:t>s</w:t>
      </w:r>
      <w:r w:rsidRPr="00410CF4">
        <w:rPr>
          <w:noProof/>
          <w:sz w:val="22"/>
          <w:szCs w:val="22"/>
        </w:rPr>
        <w:tab/>
      </w:r>
      <w:r w:rsidR="00C872B0">
        <w:rPr>
          <w:noProof/>
          <w:sz w:val="22"/>
          <w:szCs w:val="22"/>
        </w:rPr>
        <w:t>13</w:t>
      </w:r>
    </w:p>
    <w:p w:rsidR="00C5320F" w:rsidRPr="00410CF4" w:rsidRDefault="00E56E22">
      <w:pPr>
        <w:rPr>
          <w:caps/>
          <w:noProof/>
          <w:sz w:val="22"/>
          <w:szCs w:val="22"/>
        </w:rPr>
      </w:pPr>
      <w:r w:rsidRPr="00410CF4">
        <w:rPr>
          <w:sz w:val="22"/>
          <w:szCs w:val="22"/>
        </w:rPr>
        <w:fldChar w:fldCharType="end"/>
      </w:r>
    </w:p>
    <w:p w:rsidR="00C5320F" w:rsidRPr="00410CF4" w:rsidRDefault="00C5320F" w:rsidP="00701BAE">
      <w:pPr>
        <w:rPr>
          <w:b/>
          <w:caps/>
          <w:noProof/>
          <w:sz w:val="22"/>
          <w:szCs w:val="22"/>
        </w:rPr>
      </w:pPr>
      <w:r w:rsidRPr="00410CF4">
        <w:rPr>
          <w:b/>
          <w:caps/>
          <w:noProof/>
          <w:sz w:val="22"/>
          <w:szCs w:val="22"/>
        </w:rPr>
        <w:t xml:space="preserve">List of Attachments: </w:t>
      </w:r>
    </w:p>
    <w:p w:rsidR="00C5320F" w:rsidRPr="00410CF4" w:rsidRDefault="00C5320F" w:rsidP="00701BAE">
      <w:pPr>
        <w:rPr>
          <w:caps/>
          <w:noProof/>
          <w:sz w:val="22"/>
          <w:szCs w:val="22"/>
        </w:rPr>
      </w:pPr>
    </w:p>
    <w:p w:rsidR="00C5320F" w:rsidRDefault="00D838A1" w:rsidP="00F57DFB">
      <w:pPr>
        <w:ind w:left="2160" w:hanging="2160"/>
        <w:rPr>
          <w:noProof/>
          <w:sz w:val="22"/>
          <w:szCs w:val="22"/>
        </w:rPr>
      </w:pPr>
      <w:r>
        <w:rPr>
          <w:caps/>
          <w:noProof/>
          <w:sz w:val="22"/>
          <w:szCs w:val="22"/>
        </w:rPr>
        <w:t>Attachment 1</w:t>
      </w:r>
      <w:r w:rsidR="00C5320F" w:rsidRPr="00410CF4">
        <w:rPr>
          <w:caps/>
          <w:noProof/>
          <w:sz w:val="22"/>
          <w:szCs w:val="22"/>
        </w:rPr>
        <w:t>:</w:t>
      </w:r>
      <w:r w:rsidR="00F57DFB">
        <w:rPr>
          <w:caps/>
          <w:noProof/>
          <w:sz w:val="22"/>
          <w:szCs w:val="22"/>
        </w:rPr>
        <w:tab/>
      </w:r>
      <w:r w:rsidR="005D20C0" w:rsidRPr="005D20C0">
        <w:rPr>
          <w:smallCaps/>
          <w:noProof/>
          <w:sz w:val="22"/>
          <w:szCs w:val="22"/>
        </w:rPr>
        <w:t>Screen Shots Of The Online Form For Study Registration</w:t>
      </w:r>
    </w:p>
    <w:p w:rsidR="00C5320F" w:rsidRDefault="00C5320F" w:rsidP="00701BAE">
      <w:pPr>
        <w:rPr>
          <w:noProof/>
          <w:sz w:val="22"/>
          <w:szCs w:val="22"/>
        </w:rPr>
      </w:pPr>
    </w:p>
    <w:p w:rsidR="007444D6" w:rsidRDefault="007444D6" w:rsidP="00F57DFB">
      <w:pPr>
        <w:ind w:left="2160" w:hanging="2160"/>
        <w:rPr>
          <w:noProof/>
          <w:sz w:val="22"/>
          <w:szCs w:val="22"/>
        </w:rPr>
      </w:pPr>
      <w:r>
        <w:rPr>
          <w:noProof/>
          <w:sz w:val="22"/>
          <w:szCs w:val="22"/>
        </w:rPr>
        <w:t>ATTACHMENT 2:</w:t>
      </w:r>
      <w:r w:rsidR="00F57DFB">
        <w:rPr>
          <w:noProof/>
          <w:sz w:val="22"/>
          <w:szCs w:val="22"/>
        </w:rPr>
        <w:tab/>
      </w:r>
      <w:r w:rsidR="005D20C0" w:rsidRPr="005D20C0">
        <w:rPr>
          <w:smallCaps/>
          <w:noProof/>
          <w:sz w:val="22"/>
          <w:szCs w:val="22"/>
        </w:rPr>
        <w:t>Institutional Certification Template</w:t>
      </w:r>
    </w:p>
    <w:p w:rsidR="007444D6" w:rsidRDefault="007444D6" w:rsidP="00701BAE">
      <w:pPr>
        <w:rPr>
          <w:noProof/>
          <w:sz w:val="22"/>
          <w:szCs w:val="22"/>
        </w:rPr>
      </w:pPr>
    </w:p>
    <w:p w:rsidR="00BE0236" w:rsidRDefault="00BE0236" w:rsidP="00F57DFB">
      <w:pPr>
        <w:ind w:left="2160" w:hanging="2160"/>
        <w:rPr>
          <w:noProof/>
          <w:sz w:val="22"/>
          <w:szCs w:val="22"/>
        </w:rPr>
      </w:pPr>
      <w:r w:rsidRPr="00410CF4">
        <w:rPr>
          <w:caps/>
          <w:noProof/>
          <w:sz w:val="22"/>
          <w:szCs w:val="22"/>
        </w:rPr>
        <w:t xml:space="preserve">Attachment </w:t>
      </w:r>
      <w:r w:rsidR="007444D6">
        <w:rPr>
          <w:caps/>
          <w:noProof/>
          <w:sz w:val="22"/>
          <w:szCs w:val="22"/>
        </w:rPr>
        <w:t>3</w:t>
      </w:r>
      <w:r w:rsidRPr="00410CF4">
        <w:rPr>
          <w:caps/>
          <w:noProof/>
          <w:sz w:val="22"/>
          <w:szCs w:val="22"/>
        </w:rPr>
        <w:t>:</w:t>
      </w:r>
      <w:r w:rsidR="00F57DFB">
        <w:rPr>
          <w:caps/>
          <w:noProof/>
          <w:sz w:val="22"/>
          <w:szCs w:val="22"/>
        </w:rPr>
        <w:tab/>
      </w:r>
      <w:r w:rsidRPr="005D20C0">
        <w:rPr>
          <w:smallCaps/>
          <w:noProof/>
          <w:sz w:val="22"/>
          <w:szCs w:val="22"/>
        </w:rPr>
        <w:t xml:space="preserve">Screen Shots of the Online </w:t>
      </w:r>
      <w:r w:rsidR="000A7C13" w:rsidRPr="005D20C0">
        <w:rPr>
          <w:smallCaps/>
          <w:noProof/>
          <w:sz w:val="22"/>
          <w:szCs w:val="22"/>
        </w:rPr>
        <w:t xml:space="preserve">Forms for Data Access </w:t>
      </w:r>
      <w:r w:rsidRPr="005D20C0">
        <w:rPr>
          <w:smallCaps/>
          <w:noProof/>
          <w:sz w:val="22"/>
          <w:szCs w:val="22"/>
        </w:rPr>
        <w:t>Request, Renewal, and Close</w:t>
      </w:r>
      <w:r w:rsidR="004A3D9D" w:rsidRPr="005D20C0">
        <w:rPr>
          <w:smallCaps/>
          <w:noProof/>
          <w:sz w:val="22"/>
          <w:szCs w:val="22"/>
        </w:rPr>
        <w:t>-</w:t>
      </w:r>
      <w:r w:rsidR="000A7C13" w:rsidRPr="005D20C0">
        <w:rPr>
          <w:smallCaps/>
          <w:noProof/>
          <w:sz w:val="22"/>
          <w:szCs w:val="22"/>
        </w:rPr>
        <w:t>out</w:t>
      </w:r>
    </w:p>
    <w:p w:rsidR="00C5320F" w:rsidRPr="002F4B61" w:rsidRDefault="00C5320F" w:rsidP="0082652E">
      <w:pPr>
        <w:rPr>
          <w:b/>
          <w:sz w:val="22"/>
          <w:szCs w:val="22"/>
        </w:rPr>
      </w:pPr>
      <w:r w:rsidRPr="00410CF4">
        <w:rPr>
          <w:b/>
          <w:sz w:val="22"/>
          <w:szCs w:val="22"/>
        </w:rPr>
        <w:br w:type="page"/>
      </w:r>
      <w:r w:rsidRPr="002F4B61">
        <w:rPr>
          <w:b/>
          <w:sz w:val="22"/>
          <w:szCs w:val="22"/>
        </w:rPr>
        <w:lastRenderedPageBreak/>
        <w:t>A.</w:t>
      </w:r>
      <w:r w:rsidRPr="002F4B61">
        <w:rPr>
          <w:b/>
          <w:sz w:val="22"/>
          <w:szCs w:val="22"/>
        </w:rPr>
        <w:tab/>
        <w:t>Justification</w:t>
      </w:r>
    </w:p>
    <w:p w:rsidR="00C5320F" w:rsidRPr="002F4B61" w:rsidRDefault="00C5320F" w:rsidP="008B5E5A">
      <w:pPr>
        <w:rPr>
          <w:sz w:val="22"/>
          <w:szCs w:val="22"/>
        </w:rPr>
      </w:pPr>
    </w:p>
    <w:p w:rsidR="001166C8" w:rsidRPr="002F4B61" w:rsidRDefault="005D20C0" w:rsidP="00733D9E">
      <w:pPr>
        <w:ind w:left="720"/>
        <w:rPr>
          <w:sz w:val="22"/>
          <w:szCs w:val="22"/>
        </w:rPr>
      </w:pPr>
      <w:r w:rsidRPr="002F4B61">
        <w:rPr>
          <w:sz w:val="22"/>
          <w:szCs w:val="22"/>
        </w:rPr>
        <w:t xml:space="preserve">The </w:t>
      </w:r>
      <w:r w:rsidR="00461655" w:rsidRPr="002F4B61">
        <w:rPr>
          <w:sz w:val="22"/>
          <w:szCs w:val="22"/>
        </w:rPr>
        <w:t xml:space="preserve">mission of the </w:t>
      </w:r>
      <w:r w:rsidRPr="002F4B61">
        <w:rPr>
          <w:sz w:val="22"/>
          <w:szCs w:val="22"/>
        </w:rPr>
        <w:t xml:space="preserve">National Institutes of Health (NIH) is to seek fundamental knowledge about the nature and behavior of living systems and the application of that knowledge to enhance health, lengthen life, and reduce the burdens of illness and disability.  The sharing of research data supports this mission and is essential to facilitate the translation of research results into knowledge, products, </w:t>
      </w:r>
      <w:r w:rsidR="00F36935" w:rsidRPr="002F4B61">
        <w:rPr>
          <w:sz w:val="22"/>
          <w:szCs w:val="22"/>
        </w:rPr>
        <w:t xml:space="preserve">practices, </w:t>
      </w:r>
      <w:r w:rsidRPr="002F4B61">
        <w:rPr>
          <w:sz w:val="22"/>
          <w:szCs w:val="22"/>
        </w:rPr>
        <w:t xml:space="preserve">and procedures that improve human health.  </w:t>
      </w:r>
      <w:r w:rsidR="006A48ED" w:rsidRPr="002F4B61">
        <w:rPr>
          <w:sz w:val="22"/>
          <w:szCs w:val="22"/>
        </w:rPr>
        <w:t xml:space="preserve">By enabling secondary research questions to be addressed, data </w:t>
      </w:r>
      <w:r w:rsidR="00F36935" w:rsidRPr="002F4B61">
        <w:rPr>
          <w:sz w:val="22"/>
          <w:szCs w:val="22"/>
        </w:rPr>
        <w:t xml:space="preserve">sharing also </w:t>
      </w:r>
      <w:r w:rsidR="00634E20" w:rsidRPr="002F4B61">
        <w:rPr>
          <w:sz w:val="22"/>
          <w:szCs w:val="22"/>
        </w:rPr>
        <w:t>maximizes research investments</w:t>
      </w:r>
      <w:r w:rsidR="006A48ED" w:rsidRPr="002F4B61">
        <w:rPr>
          <w:sz w:val="22"/>
          <w:szCs w:val="22"/>
        </w:rPr>
        <w:t>.</w:t>
      </w:r>
      <w:r w:rsidR="00634E20" w:rsidRPr="002F4B61">
        <w:rPr>
          <w:sz w:val="22"/>
          <w:szCs w:val="22"/>
        </w:rPr>
        <w:t xml:space="preserve"> </w:t>
      </w:r>
      <w:r w:rsidR="00733D9E" w:rsidRPr="002F4B61">
        <w:rPr>
          <w:sz w:val="22"/>
          <w:szCs w:val="22"/>
        </w:rPr>
        <w:t xml:space="preserve">In 2008, NIH implemented the </w:t>
      </w:r>
      <w:r w:rsidR="00733D9E" w:rsidRPr="002F4B61">
        <w:rPr>
          <w:i/>
          <w:sz w:val="22"/>
          <w:szCs w:val="22"/>
        </w:rPr>
        <w:t>Policy for Sharing of Data Obtained in NIH Supported or Conducted Genome-Wide Association Studies (GWAS)</w:t>
      </w:r>
      <w:r w:rsidR="00733D9E" w:rsidRPr="002F4B61">
        <w:rPr>
          <w:sz w:val="22"/>
          <w:szCs w:val="22"/>
          <w:vertAlign w:val="superscript"/>
        </w:rPr>
        <w:footnoteReference w:id="1"/>
      </w:r>
      <w:r w:rsidR="00733D9E" w:rsidRPr="002F4B61">
        <w:rPr>
          <w:sz w:val="22"/>
          <w:szCs w:val="22"/>
        </w:rPr>
        <w:t xml:space="preserve"> </w:t>
      </w:r>
      <w:r w:rsidR="00113641" w:rsidRPr="002F4B61">
        <w:rPr>
          <w:sz w:val="22"/>
          <w:szCs w:val="22"/>
        </w:rPr>
        <w:t xml:space="preserve">to enable </w:t>
      </w:r>
      <w:r w:rsidR="002F4B61" w:rsidRPr="002F4B61">
        <w:rPr>
          <w:sz w:val="22"/>
          <w:szCs w:val="22"/>
        </w:rPr>
        <w:t xml:space="preserve">the </w:t>
      </w:r>
      <w:r w:rsidR="00113641" w:rsidRPr="002F4B61">
        <w:rPr>
          <w:sz w:val="22"/>
          <w:szCs w:val="22"/>
        </w:rPr>
        <w:t xml:space="preserve">full value of GWAS data </w:t>
      </w:r>
      <w:r w:rsidR="00F36935" w:rsidRPr="002F4B61">
        <w:rPr>
          <w:sz w:val="22"/>
          <w:szCs w:val="22"/>
        </w:rPr>
        <w:t>to be realized</w:t>
      </w:r>
      <w:r w:rsidR="006A48ED" w:rsidRPr="002F4B61">
        <w:rPr>
          <w:sz w:val="22"/>
          <w:szCs w:val="22"/>
        </w:rPr>
        <w:t xml:space="preserve">.  </w:t>
      </w:r>
    </w:p>
    <w:p w:rsidR="001166C8" w:rsidRPr="002F4B61" w:rsidRDefault="001166C8" w:rsidP="00733D9E">
      <w:pPr>
        <w:ind w:left="720"/>
        <w:rPr>
          <w:sz w:val="22"/>
          <w:szCs w:val="22"/>
        </w:rPr>
      </w:pPr>
    </w:p>
    <w:p w:rsidR="006A48ED" w:rsidRPr="002F4B61" w:rsidRDefault="006A48ED" w:rsidP="00733D9E">
      <w:pPr>
        <w:ind w:left="720"/>
        <w:rPr>
          <w:sz w:val="22"/>
          <w:szCs w:val="22"/>
        </w:rPr>
      </w:pPr>
      <w:r w:rsidRPr="002F4B61">
        <w:rPr>
          <w:sz w:val="22"/>
          <w:szCs w:val="22"/>
        </w:rPr>
        <w:t xml:space="preserve">The GWAS policy </w:t>
      </w:r>
      <w:r w:rsidR="001166C8" w:rsidRPr="002F4B61">
        <w:rPr>
          <w:sz w:val="22"/>
          <w:szCs w:val="22"/>
        </w:rPr>
        <w:t>addresses data submission, data maintenance, and data access.  It provides two levels of data access: (1) open access for the release of non-sensitive data and (2) controlled access that provides oversight and accountability for sensitive datasets.  A wide array of data types are maintained, including survey or questionnaire instruments; tables detailing the measured variables; summary-level phenotype or clinical measures; high-level summary genotype data; annotated and coded phenotype measures; and sequence, genotype, microarray, pedigree data, as well as aggregated versions of those data.  GWAS data are maintained in a central data repository, the database of Genotypes and Phenotypes (dbGaP), which is administered by the National Center for Biotechnology Information (NCBI), part of the National Library of Medicine at NIH.</w:t>
      </w:r>
    </w:p>
    <w:p w:rsidR="006A48ED" w:rsidRPr="002F4B61" w:rsidRDefault="006A48ED" w:rsidP="00733D9E">
      <w:pPr>
        <w:ind w:left="720"/>
        <w:rPr>
          <w:sz w:val="22"/>
          <w:szCs w:val="22"/>
        </w:rPr>
      </w:pPr>
    </w:p>
    <w:p w:rsidR="00FF321A" w:rsidRPr="002F4B61" w:rsidRDefault="00FF321A" w:rsidP="00430A42">
      <w:pPr>
        <w:ind w:left="720"/>
        <w:rPr>
          <w:sz w:val="22"/>
          <w:szCs w:val="22"/>
        </w:rPr>
      </w:pPr>
      <w:r w:rsidRPr="002F4B61">
        <w:rPr>
          <w:sz w:val="22"/>
          <w:szCs w:val="22"/>
        </w:rPr>
        <w:t>The nature of the</w:t>
      </w:r>
      <w:r w:rsidR="00A401E3" w:rsidRPr="002F4B61">
        <w:rPr>
          <w:sz w:val="22"/>
          <w:szCs w:val="22"/>
        </w:rPr>
        <w:t xml:space="preserve"> genomic, phenotypic, and other associated</w:t>
      </w:r>
      <w:r w:rsidRPr="002F4B61">
        <w:rPr>
          <w:sz w:val="22"/>
          <w:szCs w:val="22"/>
        </w:rPr>
        <w:t xml:space="preserve"> data generated through large-scale human genomic studies require</w:t>
      </w:r>
      <w:r w:rsidR="00A401E3" w:rsidRPr="002F4B61">
        <w:rPr>
          <w:sz w:val="22"/>
          <w:szCs w:val="22"/>
        </w:rPr>
        <w:t>s</w:t>
      </w:r>
      <w:r w:rsidRPr="002F4B61">
        <w:rPr>
          <w:sz w:val="22"/>
          <w:szCs w:val="22"/>
        </w:rPr>
        <w:t xml:space="preserve"> responsible stewardship throughout research and data sharing activities. </w:t>
      </w:r>
      <w:r w:rsidR="001C5622" w:rsidRPr="002F4B61">
        <w:rPr>
          <w:sz w:val="22"/>
          <w:szCs w:val="22"/>
        </w:rPr>
        <w:t xml:space="preserve"> </w:t>
      </w:r>
      <w:r w:rsidR="009E0D2C" w:rsidRPr="002F4B61">
        <w:rPr>
          <w:sz w:val="22"/>
          <w:szCs w:val="22"/>
        </w:rPr>
        <w:t xml:space="preserve">Since the data being collected and shared are from human research participants, the protection of participant interests is paramount.  </w:t>
      </w:r>
      <w:r w:rsidR="00902CE4" w:rsidRPr="002F4B61">
        <w:rPr>
          <w:sz w:val="22"/>
          <w:szCs w:val="22"/>
        </w:rPr>
        <w:t>T</w:t>
      </w:r>
      <w:r w:rsidRPr="002F4B61">
        <w:rPr>
          <w:sz w:val="22"/>
          <w:szCs w:val="22"/>
        </w:rPr>
        <w:t xml:space="preserve">o minimize </w:t>
      </w:r>
      <w:r w:rsidR="009E0D2C" w:rsidRPr="002F4B61">
        <w:rPr>
          <w:sz w:val="22"/>
          <w:szCs w:val="22"/>
        </w:rPr>
        <w:t xml:space="preserve">privacy </w:t>
      </w:r>
      <w:r w:rsidRPr="002F4B61">
        <w:rPr>
          <w:sz w:val="22"/>
          <w:szCs w:val="22"/>
        </w:rPr>
        <w:t>risks to study participants, data submitted to dbGaP are de-identified according to the HIPAA Privacy Rule (45 CFR 46.102(f);</w:t>
      </w:r>
      <w:r w:rsidR="001A2BFA" w:rsidRPr="002F4B61">
        <w:rPr>
          <w:rStyle w:val="FootnoteReference"/>
          <w:sz w:val="22"/>
          <w:szCs w:val="22"/>
        </w:rPr>
        <w:footnoteReference w:id="2"/>
      </w:r>
      <w:r w:rsidRPr="002F4B61">
        <w:rPr>
          <w:sz w:val="22"/>
          <w:szCs w:val="22"/>
        </w:rPr>
        <w:t xml:space="preserve"> 45 CFR 164.514(b)(2)).</w:t>
      </w:r>
      <w:r w:rsidR="006A496F" w:rsidRPr="002F4B61">
        <w:rPr>
          <w:rStyle w:val="FootnoteReference"/>
          <w:sz w:val="22"/>
          <w:szCs w:val="22"/>
        </w:rPr>
        <w:footnoteReference w:id="3"/>
      </w:r>
      <w:r w:rsidRPr="002F4B61">
        <w:rPr>
          <w:sz w:val="22"/>
          <w:szCs w:val="22"/>
        </w:rPr>
        <w:t xml:space="preserve"> </w:t>
      </w:r>
      <w:r w:rsidR="00902CE4" w:rsidRPr="002F4B61">
        <w:rPr>
          <w:sz w:val="22"/>
          <w:szCs w:val="22"/>
        </w:rPr>
        <w:t xml:space="preserve"> In addition, </w:t>
      </w:r>
      <w:r w:rsidR="00C42C53" w:rsidRPr="002F4B61">
        <w:rPr>
          <w:sz w:val="22"/>
          <w:szCs w:val="22"/>
        </w:rPr>
        <w:t>p</w:t>
      </w:r>
      <w:r w:rsidR="00DB7FB8" w:rsidRPr="002F4B61">
        <w:rPr>
          <w:sz w:val="22"/>
          <w:szCs w:val="22"/>
        </w:rPr>
        <w:t xml:space="preserve">rincipal </w:t>
      </w:r>
      <w:r w:rsidR="00EB7777" w:rsidRPr="002F4B61">
        <w:rPr>
          <w:sz w:val="22"/>
          <w:szCs w:val="22"/>
        </w:rPr>
        <w:t>i</w:t>
      </w:r>
      <w:r w:rsidRPr="002F4B61">
        <w:rPr>
          <w:sz w:val="22"/>
          <w:szCs w:val="22"/>
        </w:rPr>
        <w:t>nvestigators</w:t>
      </w:r>
      <w:r w:rsidR="00DB7FB8" w:rsidRPr="002F4B61">
        <w:rPr>
          <w:sz w:val="22"/>
          <w:szCs w:val="22"/>
        </w:rPr>
        <w:t xml:space="preserve"> (PIs)</w:t>
      </w:r>
      <w:r w:rsidRPr="002F4B61">
        <w:rPr>
          <w:sz w:val="22"/>
          <w:szCs w:val="22"/>
        </w:rPr>
        <w:t xml:space="preserve"> submitting </w:t>
      </w:r>
      <w:r w:rsidR="00C42C53" w:rsidRPr="002F4B61">
        <w:rPr>
          <w:sz w:val="22"/>
          <w:szCs w:val="22"/>
        </w:rPr>
        <w:t xml:space="preserve">controlled-access </w:t>
      </w:r>
      <w:r w:rsidRPr="002F4B61">
        <w:rPr>
          <w:sz w:val="22"/>
          <w:szCs w:val="22"/>
        </w:rPr>
        <w:t xml:space="preserve">data </w:t>
      </w:r>
      <w:r w:rsidR="00C42C53" w:rsidRPr="002F4B61">
        <w:rPr>
          <w:sz w:val="22"/>
          <w:szCs w:val="22"/>
        </w:rPr>
        <w:t xml:space="preserve">to dbGaP </w:t>
      </w:r>
      <w:r w:rsidRPr="002F4B61">
        <w:rPr>
          <w:sz w:val="22"/>
          <w:szCs w:val="22"/>
        </w:rPr>
        <w:t xml:space="preserve">must </w:t>
      </w:r>
      <w:r w:rsidR="00902CE4" w:rsidRPr="002F4B61">
        <w:rPr>
          <w:sz w:val="22"/>
          <w:szCs w:val="22"/>
        </w:rPr>
        <w:t>provide d</w:t>
      </w:r>
      <w:r w:rsidRPr="002F4B61">
        <w:rPr>
          <w:sz w:val="22"/>
          <w:szCs w:val="22"/>
        </w:rPr>
        <w:t xml:space="preserve">ata </w:t>
      </w:r>
      <w:r w:rsidR="00902CE4" w:rsidRPr="002F4B61">
        <w:rPr>
          <w:sz w:val="22"/>
          <w:szCs w:val="22"/>
        </w:rPr>
        <w:t>u</w:t>
      </w:r>
      <w:r w:rsidRPr="002F4B61">
        <w:rPr>
          <w:sz w:val="22"/>
          <w:szCs w:val="22"/>
        </w:rPr>
        <w:t xml:space="preserve">se </w:t>
      </w:r>
      <w:r w:rsidR="00902CE4" w:rsidRPr="002F4B61">
        <w:rPr>
          <w:sz w:val="22"/>
          <w:szCs w:val="22"/>
        </w:rPr>
        <w:t>l</w:t>
      </w:r>
      <w:r w:rsidRPr="002F4B61">
        <w:rPr>
          <w:sz w:val="22"/>
          <w:szCs w:val="22"/>
        </w:rPr>
        <w:t>imitation</w:t>
      </w:r>
      <w:r w:rsidR="00902CE4" w:rsidRPr="002F4B61">
        <w:rPr>
          <w:sz w:val="22"/>
          <w:szCs w:val="22"/>
        </w:rPr>
        <w:t>s</w:t>
      </w:r>
      <w:r w:rsidRPr="002F4B61">
        <w:rPr>
          <w:sz w:val="22"/>
          <w:szCs w:val="22"/>
        </w:rPr>
        <w:t>, which describe appropriate research uses</w:t>
      </w:r>
      <w:r w:rsidR="00792FC5" w:rsidRPr="002F4B61">
        <w:rPr>
          <w:sz w:val="22"/>
          <w:szCs w:val="22"/>
        </w:rPr>
        <w:t xml:space="preserve"> for the data</w:t>
      </w:r>
      <w:r w:rsidRPr="002F4B61">
        <w:rPr>
          <w:sz w:val="22"/>
          <w:szCs w:val="22"/>
        </w:rPr>
        <w:t xml:space="preserve"> </w:t>
      </w:r>
      <w:r w:rsidR="00792FC5" w:rsidRPr="002F4B61">
        <w:rPr>
          <w:sz w:val="22"/>
          <w:szCs w:val="22"/>
        </w:rPr>
        <w:t>as defined in</w:t>
      </w:r>
      <w:r w:rsidRPr="002F4B61">
        <w:rPr>
          <w:sz w:val="22"/>
          <w:szCs w:val="22"/>
        </w:rPr>
        <w:t xml:space="preserve"> the informed consent provided by the participants </w:t>
      </w:r>
      <w:r w:rsidR="00B95D34" w:rsidRPr="002F4B61">
        <w:rPr>
          <w:sz w:val="22"/>
          <w:szCs w:val="22"/>
        </w:rPr>
        <w:t xml:space="preserve">from whom </w:t>
      </w:r>
      <w:r w:rsidRPr="002F4B61">
        <w:rPr>
          <w:sz w:val="22"/>
          <w:szCs w:val="22"/>
        </w:rPr>
        <w:t xml:space="preserve">the data were originally collected. </w:t>
      </w:r>
      <w:r w:rsidR="00902CE4" w:rsidRPr="002F4B61">
        <w:rPr>
          <w:sz w:val="22"/>
          <w:szCs w:val="22"/>
        </w:rPr>
        <w:t xml:space="preserve"> </w:t>
      </w:r>
      <w:r w:rsidR="00792FC5" w:rsidRPr="002F4B61">
        <w:rPr>
          <w:sz w:val="22"/>
          <w:szCs w:val="22"/>
        </w:rPr>
        <w:t>A</w:t>
      </w:r>
      <w:r w:rsidR="00A74E54" w:rsidRPr="002F4B61">
        <w:rPr>
          <w:sz w:val="22"/>
          <w:szCs w:val="22"/>
        </w:rPr>
        <w:t xml:space="preserve"> senior official </w:t>
      </w:r>
      <w:r w:rsidR="00EB7777" w:rsidRPr="002F4B61">
        <w:rPr>
          <w:sz w:val="22"/>
          <w:szCs w:val="22"/>
        </w:rPr>
        <w:t xml:space="preserve">from </w:t>
      </w:r>
      <w:r w:rsidR="00A74E54" w:rsidRPr="002F4B61">
        <w:rPr>
          <w:sz w:val="22"/>
          <w:szCs w:val="22"/>
        </w:rPr>
        <w:t xml:space="preserve">the institution </w:t>
      </w:r>
      <w:r w:rsidR="00A01E36" w:rsidRPr="002F4B61">
        <w:rPr>
          <w:sz w:val="22"/>
          <w:szCs w:val="22"/>
        </w:rPr>
        <w:t>submitting data to dbGaP</w:t>
      </w:r>
      <w:r w:rsidR="00145207" w:rsidRPr="002F4B61">
        <w:rPr>
          <w:sz w:val="22"/>
          <w:szCs w:val="22"/>
        </w:rPr>
        <w:t>,</w:t>
      </w:r>
      <w:r w:rsidR="00A01E36" w:rsidRPr="002F4B61">
        <w:rPr>
          <w:sz w:val="22"/>
          <w:szCs w:val="22"/>
        </w:rPr>
        <w:t xml:space="preserve"> </w:t>
      </w:r>
      <w:r w:rsidR="00A74E54" w:rsidRPr="002F4B61">
        <w:rPr>
          <w:sz w:val="22"/>
          <w:szCs w:val="22"/>
        </w:rPr>
        <w:t>designated as a</w:t>
      </w:r>
      <w:r w:rsidR="006F7AAC" w:rsidRPr="002F4B61">
        <w:rPr>
          <w:sz w:val="22"/>
          <w:szCs w:val="22"/>
        </w:rPr>
        <w:t xml:space="preserve">n </w:t>
      </w:r>
      <w:r w:rsidR="009D7E20" w:rsidRPr="002F4B61">
        <w:rPr>
          <w:sz w:val="22"/>
          <w:szCs w:val="22"/>
        </w:rPr>
        <w:t>I</w:t>
      </w:r>
      <w:r w:rsidR="006F7AAC" w:rsidRPr="002F4B61">
        <w:rPr>
          <w:sz w:val="22"/>
          <w:szCs w:val="22"/>
        </w:rPr>
        <w:t>nstitutional</w:t>
      </w:r>
      <w:r w:rsidR="00D4662A" w:rsidRPr="002F4B61">
        <w:rPr>
          <w:sz w:val="22"/>
          <w:szCs w:val="22"/>
        </w:rPr>
        <w:t xml:space="preserve"> </w:t>
      </w:r>
      <w:r w:rsidR="00145207" w:rsidRPr="002F4B61">
        <w:rPr>
          <w:sz w:val="22"/>
          <w:szCs w:val="22"/>
        </w:rPr>
        <w:t>S</w:t>
      </w:r>
      <w:r w:rsidR="00D4662A" w:rsidRPr="002F4B61">
        <w:rPr>
          <w:sz w:val="22"/>
          <w:szCs w:val="22"/>
        </w:rPr>
        <w:t>igning</w:t>
      </w:r>
      <w:r w:rsidR="006F7AAC" w:rsidRPr="002F4B61">
        <w:rPr>
          <w:sz w:val="22"/>
          <w:szCs w:val="22"/>
        </w:rPr>
        <w:t xml:space="preserve"> </w:t>
      </w:r>
      <w:r w:rsidR="00145207" w:rsidRPr="002F4B61">
        <w:rPr>
          <w:sz w:val="22"/>
          <w:szCs w:val="22"/>
        </w:rPr>
        <w:t>O</w:t>
      </w:r>
      <w:r w:rsidR="006F7AAC" w:rsidRPr="002F4B61">
        <w:rPr>
          <w:sz w:val="22"/>
          <w:szCs w:val="22"/>
        </w:rPr>
        <w:t>fficial</w:t>
      </w:r>
      <w:r w:rsidR="00145207" w:rsidRPr="002F4B61">
        <w:rPr>
          <w:sz w:val="22"/>
          <w:szCs w:val="22"/>
        </w:rPr>
        <w:t>,</w:t>
      </w:r>
      <w:r w:rsidR="006F7AAC" w:rsidRPr="002F4B61">
        <w:rPr>
          <w:sz w:val="22"/>
          <w:szCs w:val="22"/>
        </w:rPr>
        <w:t xml:space="preserve"> </w:t>
      </w:r>
      <w:r w:rsidR="00A74E54" w:rsidRPr="002F4B61">
        <w:rPr>
          <w:sz w:val="22"/>
          <w:szCs w:val="22"/>
        </w:rPr>
        <w:t xml:space="preserve">approves </w:t>
      </w:r>
      <w:r w:rsidR="006F7AAC" w:rsidRPr="002F4B61">
        <w:rPr>
          <w:sz w:val="22"/>
          <w:szCs w:val="22"/>
        </w:rPr>
        <w:t>an institutional certification that confirms that data submission is consistent with applicable laws, regulations, and institutional policies.</w:t>
      </w:r>
      <w:r w:rsidR="00C42C53" w:rsidRPr="002F4B61">
        <w:rPr>
          <w:sz w:val="22"/>
          <w:szCs w:val="22"/>
        </w:rPr>
        <w:t xml:space="preserve">  </w:t>
      </w:r>
    </w:p>
    <w:p w:rsidR="00FF321A" w:rsidRPr="002F4B61" w:rsidRDefault="00FF321A" w:rsidP="00FF321A">
      <w:pPr>
        <w:rPr>
          <w:sz w:val="22"/>
          <w:szCs w:val="22"/>
        </w:rPr>
      </w:pPr>
    </w:p>
    <w:p w:rsidR="00FF321A" w:rsidRPr="002F4B61" w:rsidRDefault="00DB7FB8" w:rsidP="00430A42">
      <w:pPr>
        <w:ind w:left="720"/>
        <w:rPr>
          <w:sz w:val="22"/>
          <w:szCs w:val="22"/>
        </w:rPr>
      </w:pPr>
      <w:r w:rsidRPr="002F4B61">
        <w:rPr>
          <w:sz w:val="22"/>
          <w:szCs w:val="22"/>
        </w:rPr>
        <w:t xml:space="preserve">PIs </w:t>
      </w:r>
      <w:r w:rsidR="00FF321A" w:rsidRPr="002F4B61">
        <w:rPr>
          <w:sz w:val="22"/>
          <w:szCs w:val="22"/>
        </w:rPr>
        <w:t xml:space="preserve">and institutions </w:t>
      </w:r>
      <w:r w:rsidR="00B95D34" w:rsidRPr="002F4B61">
        <w:rPr>
          <w:sz w:val="22"/>
          <w:szCs w:val="22"/>
        </w:rPr>
        <w:t xml:space="preserve">requesting </w:t>
      </w:r>
      <w:r w:rsidR="00FF321A" w:rsidRPr="002F4B61">
        <w:rPr>
          <w:sz w:val="22"/>
          <w:szCs w:val="22"/>
        </w:rPr>
        <w:t>data from dbGaP are expected to meet data security measures (</w:t>
      </w:r>
      <w:r w:rsidR="00567428" w:rsidRPr="002F4B61">
        <w:rPr>
          <w:sz w:val="22"/>
          <w:szCs w:val="22"/>
        </w:rPr>
        <w:t xml:space="preserve">e.g., </w:t>
      </w:r>
      <w:r w:rsidR="00FF321A" w:rsidRPr="002F4B61">
        <w:rPr>
          <w:sz w:val="22"/>
          <w:szCs w:val="22"/>
        </w:rPr>
        <w:t>physical security, information technology security, and user training)</w:t>
      </w:r>
      <w:r w:rsidR="004714BC" w:rsidRPr="002F4B61">
        <w:rPr>
          <w:sz w:val="22"/>
          <w:szCs w:val="22"/>
        </w:rPr>
        <w:t xml:space="preserve">.  </w:t>
      </w:r>
      <w:r w:rsidR="00905470" w:rsidRPr="002F4B61">
        <w:rPr>
          <w:sz w:val="22"/>
          <w:szCs w:val="22"/>
        </w:rPr>
        <w:t>T</w:t>
      </w:r>
      <w:r w:rsidR="004714BC" w:rsidRPr="002F4B61">
        <w:rPr>
          <w:sz w:val="22"/>
          <w:szCs w:val="22"/>
        </w:rPr>
        <w:t xml:space="preserve">o </w:t>
      </w:r>
      <w:r w:rsidR="00905470" w:rsidRPr="002F4B61">
        <w:rPr>
          <w:sz w:val="22"/>
          <w:szCs w:val="22"/>
        </w:rPr>
        <w:t xml:space="preserve">obtain </w:t>
      </w:r>
      <w:r w:rsidR="004714BC" w:rsidRPr="002F4B61">
        <w:rPr>
          <w:sz w:val="22"/>
          <w:szCs w:val="22"/>
        </w:rPr>
        <w:t>controlled</w:t>
      </w:r>
      <w:r w:rsidR="0093560B" w:rsidRPr="002F4B61">
        <w:rPr>
          <w:sz w:val="22"/>
          <w:szCs w:val="22"/>
        </w:rPr>
        <w:t>-</w:t>
      </w:r>
      <w:r w:rsidR="004714BC" w:rsidRPr="002F4B61">
        <w:rPr>
          <w:sz w:val="22"/>
          <w:szCs w:val="22"/>
        </w:rPr>
        <w:t xml:space="preserve">access data, </w:t>
      </w:r>
      <w:r w:rsidRPr="002F4B61">
        <w:rPr>
          <w:sz w:val="22"/>
          <w:szCs w:val="22"/>
        </w:rPr>
        <w:t>PIs</w:t>
      </w:r>
      <w:r w:rsidR="004714BC" w:rsidRPr="002F4B61">
        <w:rPr>
          <w:sz w:val="22"/>
          <w:szCs w:val="22"/>
        </w:rPr>
        <w:t xml:space="preserve"> and institutions</w:t>
      </w:r>
      <w:r w:rsidR="00FF321A" w:rsidRPr="002F4B61">
        <w:rPr>
          <w:sz w:val="22"/>
          <w:szCs w:val="22"/>
        </w:rPr>
        <w:t xml:space="preserve"> </w:t>
      </w:r>
      <w:r w:rsidR="00567428" w:rsidRPr="002F4B61">
        <w:rPr>
          <w:sz w:val="22"/>
          <w:szCs w:val="22"/>
        </w:rPr>
        <w:t>must</w:t>
      </w:r>
      <w:r w:rsidR="00FF321A" w:rsidRPr="002F4B61">
        <w:rPr>
          <w:sz w:val="22"/>
          <w:szCs w:val="22"/>
        </w:rPr>
        <w:t xml:space="preserve"> submit a Data Access Request (DAR)</w:t>
      </w:r>
      <w:r w:rsidR="00B95D34" w:rsidRPr="002F4B61">
        <w:rPr>
          <w:sz w:val="22"/>
          <w:szCs w:val="22"/>
        </w:rPr>
        <w:t xml:space="preserve"> that includes</w:t>
      </w:r>
      <w:r w:rsidR="00FF321A" w:rsidRPr="002F4B61">
        <w:rPr>
          <w:sz w:val="22"/>
          <w:szCs w:val="22"/>
        </w:rPr>
        <w:t xml:space="preserve"> a description of the proposed research use of the requested dataset(s)</w:t>
      </w:r>
      <w:r w:rsidR="00B95D34" w:rsidRPr="002F4B61">
        <w:rPr>
          <w:sz w:val="22"/>
          <w:szCs w:val="22"/>
        </w:rPr>
        <w:t>.  In addition,</w:t>
      </w:r>
      <w:r w:rsidR="00FF321A" w:rsidRPr="002F4B61">
        <w:rPr>
          <w:sz w:val="22"/>
          <w:szCs w:val="22"/>
        </w:rPr>
        <w:t xml:space="preserve"> </w:t>
      </w:r>
      <w:r w:rsidR="00B95D34" w:rsidRPr="002F4B61">
        <w:rPr>
          <w:sz w:val="22"/>
          <w:szCs w:val="22"/>
        </w:rPr>
        <w:t xml:space="preserve">the </w:t>
      </w:r>
      <w:r w:rsidRPr="002F4B61">
        <w:rPr>
          <w:sz w:val="22"/>
          <w:szCs w:val="22"/>
        </w:rPr>
        <w:t>PI</w:t>
      </w:r>
      <w:r w:rsidR="00B95D34" w:rsidRPr="002F4B61">
        <w:rPr>
          <w:sz w:val="22"/>
          <w:szCs w:val="22"/>
        </w:rPr>
        <w:t xml:space="preserve"> and </w:t>
      </w:r>
      <w:r w:rsidRPr="002F4B61">
        <w:rPr>
          <w:sz w:val="22"/>
          <w:szCs w:val="22"/>
        </w:rPr>
        <w:t>an Institutional Signing Official</w:t>
      </w:r>
      <w:r w:rsidR="00B95D34" w:rsidRPr="002F4B61">
        <w:rPr>
          <w:sz w:val="22"/>
          <w:szCs w:val="22"/>
        </w:rPr>
        <w:t xml:space="preserve"> </w:t>
      </w:r>
      <w:r w:rsidR="00F903C5" w:rsidRPr="002F4B61">
        <w:rPr>
          <w:sz w:val="22"/>
          <w:szCs w:val="22"/>
        </w:rPr>
        <w:t>agree to the</w:t>
      </w:r>
      <w:r w:rsidR="00B95D34" w:rsidRPr="002F4B61">
        <w:rPr>
          <w:sz w:val="22"/>
          <w:szCs w:val="22"/>
        </w:rPr>
        <w:t xml:space="preserve"> Data Use Certification,</w:t>
      </w:r>
      <w:r w:rsidR="009A5E14" w:rsidRPr="002F4B61">
        <w:rPr>
          <w:rStyle w:val="FootnoteReference"/>
          <w:sz w:val="22"/>
          <w:szCs w:val="22"/>
        </w:rPr>
        <w:footnoteReference w:id="4"/>
      </w:r>
      <w:r w:rsidR="00B95D34" w:rsidRPr="002F4B61">
        <w:rPr>
          <w:sz w:val="22"/>
          <w:szCs w:val="22"/>
        </w:rPr>
        <w:t xml:space="preserve"> </w:t>
      </w:r>
      <w:r w:rsidR="00AB2FB4" w:rsidRPr="002F4B61">
        <w:rPr>
          <w:sz w:val="22"/>
          <w:szCs w:val="22"/>
        </w:rPr>
        <w:t xml:space="preserve">which specifies the terms and conditions for use </w:t>
      </w:r>
      <w:r w:rsidR="009A5E14" w:rsidRPr="002F4B61">
        <w:rPr>
          <w:sz w:val="22"/>
          <w:szCs w:val="22"/>
        </w:rPr>
        <w:t xml:space="preserve">of the data </w:t>
      </w:r>
      <w:r w:rsidR="00AB2FB4" w:rsidRPr="002F4B61">
        <w:rPr>
          <w:sz w:val="22"/>
          <w:szCs w:val="22"/>
        </w:rPr>
        <w:t xml:space="preserve">and </w:t>
      </w:r>
      <w:r w:rsidR="0087109D" w:rsidRPr="002F4B61">
        <w:rPr>
          <w:sz w:val="22"/>
          <w:szCs w:val="22"/>
        </w:rPr>
        <w:t>certif</w:t>
      </w:r>
      <w:r w:rsidR="009A5E14" w:rsidRPr="002F4B61">
        <w:rPr>
          <w:sz w:val="22"/>
          <w:szCs w:val="22"/>
        </w:rPr>
        <w:t>ies</w:t>
      </w:r>
      <w:r w:rsidR="0087109D" w:rsidRPr="002F4B61">
        <w:rPr>
          <w:sz w:val="22"/>
          <w:szCs w:val="22"/>
        </w:rPr>
        <w:t xml:space="preserve"> they will adhere to</w:t>
      </w:r>
      <w:r w:rsidR="00BB5423" w:rsidRPr="002F4B61">
        <w:rPr>
          <w:sz w:val="22"/>
          <w:szCs w:val="22"/>
        </w:rPr>
        <w:t xml:space="preserve"> the</w:t>
      </w:r>
      <w:r w:rsidR="0087109D" w:rsidRPr="002F4B61">
        <w:rPr>
          <w:sz w:val="22"/>
          <w:szCs w:val="22"/>
        </w:rPr>
        <w:t xml:space="preserve"> terms of the GWAS policy</w:t>
      </w:r>
      <w:r w:rsidR="00FF321A" w:rsidRPr="002F4B61">
        <w:rPr>
          <w:sz w:val="22"/>
          <w:szCs w:val="22"/>
        </w:rPr>
        <w:t>.  NIH Data Acces</w:t>
      </w:r>
      <w:r w:rsidR="009C0FFC" w:rsidRPr="002F4B61">
        <w:rPr>
          <w:sz w:val="22"/>
          <w:szCs w:val="22"/>
        </w:rPr>
        <w:t>s Committees (DACs) refer to data use limitation</w:t>
      </w:r>
      <w:r w:rsidR="00FF321A" w:rsidRPr="002F4B61">
        <w:rPr>
          <w:sz w:val="22"/>
          <w:szCs w:val="22"/>
        </w:rPr>
        <w:t xml:space="preserve">s to determine whether </w:t>
      </w:r>
      <w:r w:rsidR="003C6A85" w:rsidRPr="002F4B61">
        <w:rPr>
          <w:sz w:val="22"/>
          <w:szCs w:val="22"/>
        </w:rPr>
        <w:t xml:space="preserve">the </w:t>
      </w:r>
      <w:r w:rsidRPr="002F4B61">
        <w:rPr>
          <w:sz w:val="22"/>
          <w:szCs w:val="22"/>
        </w:rPr>
        <w:t>PIs</w:t>
      </w:r>
      <w:r w:rsidR="003C6A85" w:rsidRPr="002F4B61">
        <w:rPr>
          <w:sz w:val="22"/>
          <w:szCs w:val="22"/>
        </w:rPr>
        <w:t xml:space="preserve">’ </w:t>
      </w:r>
      <w:r w:rsidR="00FF321A" w:rsidRPr="002F4B61">
        <w:rPr>
          <w:sz w:val="22"/>
          <w:szCs w:val="22"/>
        </w:rPr>
        <w:lastRenderedPageBreak/>
        <w:t xml:space="preserve">proposed research use for secondary studies </w:t>
      </w:r>
      <w:r w:rsidR="003C6A85" w:rsidRPr="002F4B61">
        <w:rPr>
          <w:sz w:val="22"/>
          <w:szCs w:val="22"/>
        </w:rPr>
        <w:t xml:space="preserve">is </w:t>
      </w:r>
      <w:r w:rsidR="00FF321A" w:rsidRPr="002F4B61">
        <w:rPr>
          <w:sz w:val="22"/>
          <w:szCs w:val="22"/>
        </w:rPr>
        <w:t>consistent with participants’ informed consent.</w:t>
      </w:r>
      <w:r w:rsidR="00905470" w:rsidRPr="002F4B61">
        <w:rPr>
          <w:sz w:val="22"/>
          <w:szCs w:val="22"/>
        </w:rPr>
        <w:t xml:space="preserve">  </w:t>
      </w:r>
      <w:r w:rsidRPr="002F4B61">
        <w:rPr>
          <w:sz w:val="22"/>
          <w:szCs w:val="22"/>
        </w:rPr>
        <w:t>PI</w:t>
      </w:r>
      <w:r w:rsidR="00905470" w:rsidRPr="002F4B61">
        <w:rPr>
          <w:sz w:val="22"/>
          <w:szCs w:val="22"/>
        </w:rPr>
        <w:t>s whose proposed research is approved by a DAC are granted access to millions of dollars of genomic research data free of charge.</w:t>
      </w:r>
    </w:p>
    <w:p w:rsidR="00FF321A" w:rsidRPr="002F4B61" w:rsidRDefault="00FF321A" w:rsidP="00FF321A">
      <w:pPr>
        <w:rPr>
          <w:sz w:val="22"/>
          <w:szCs w:val="22"/>
        </w:rPr>
      </w:pPr>
    </w:p>
    <w:p w:rsidR="00C5320F" w:rsidRPr="002F4B61" w:rsidRDefault="00C5320F" w:rsidP="003D3084">
      <w:pPr>
        <w:rPr>
          <w:b/>
          <w:sz w:val="22"/>
          <w:szCs w:val="22"/>
        </w:rPr>
      </w:pPr>
      <w:r w:rsidRPr="002F4B61">
        <w:rPr>
          <w:b/>
          <w:sz w:val="22"/>
          <w:szCs w:val="22"/>
        </w:rPr>
        <w:t>A.1</w:t>
      </w:r>
      <w:r w:rsidRPr="002F4B61">
        <w:rPr>
          <w:b/>
          <w:sz w:val="22"/>
          <w:szCs w:val="22"/>
        </w:rPr>
        <w:tab/>
        <w:t>Circumstances Making the Collection of Information Necessary</w:t>
      </w:r>
    </w:p>
    <w:p w:rsidR="00C5320F" w:rsidRPr="002F4B61" w:rsidRDefault="00C5320F" w:rsidP="003D3084">
      <w:pPr>
        <w:rPr>
          <w:b/>
          <w:sz w:val="22"/>
          <w:szCs w:val="22"/>
        </w:rPr>
      </w:pPr>
    </w:p>
    <w:p w:rsidR="00C5320F" w:rsidRPr="002F4B61" w:rsidRDefault="00C5320F" w:rsidP="00F53E0C">
      <w:pPr>
        <w:autoSpaceDE w:val="0"/>
        <w:autoSpaceDN w:val="0"/>
        <w:adjustRightInd w:val="0"/>
        <w:ind w:left="720"/>
        <w:rPr>
          <w:bCs/>
          <w:color w:val="000000"/>
          <w:sz w:val="22"/>
          <w:szCs w:val="22"/>
        </w:rPr>
      </w:pPr>
      <w:r w:rsidRPr="002F4B61">
        <w:rPr>
          <w:sz w:val="22"/>
          <w:szCs w:val="22"/>
        </w:rPr>
        <w:t xml:space="preserve">The collection of information activities set forth herein would be conducted under the authorities granted in Section 301 of the Public Health Service Act, 42 USC 241 and in accordance with the policies and procedures set forth in </w:t>
      </w:r>
      <w:r w:rsidR="00455145" w:rsidRPr="002F4B61">
        <w:rPr>
          <w:sz w:val="22"/>
          <w:szCs w:val="22"/>
        </w:rPr>
        <w:t>the NIH</w:t>
      </w:r>
      <w:r w:rsidR="00E7559D" w:rsidRPr="002F4B61">
        <w:rPr>
          <w:sz w:val="22"/>
          <w:szCs w:val="22"/>
        </w:rPr>
        <w:t xml:space="preserve"> GWAS </w:t>
      </w:r>
      <w:r w:rsidR="002F4B61" w:rsidRPr="002F4B61">
        <w:rPr>
          <w:sz w:val="22"/>
          <w:szCs w:val="22"/>
        </w:rPr>
        <w:t>p</w:t>
      </w:r>
      <w:r w:rsidR="00E7559D" w:rsidRPr="002F4B61">
        <w:rPr>
          <w:sz w:val="22"/>
          <w:szCs w:val="22"/>
        </w:rPr>
        <w:t>olicy</w:t>
      </w:r>
      <w:r w:rsidRPr="002F4B61">
        <w:rPr>
          <w:bCs/>
          <w:color w:val="000000"/>
          <w:sz w:val="22"/>
          <w:szCs w:val="22"/>
        </w:rPr>
        <w:t xml:space="preserve">.  </w:t>
      </w:r>
    </w:p>
    <w:p w:rsidR="00C5320F" w:rsidRPr="002F4B61" w:rsidRDefault="00C5320F" w:rsidP="00F53E0C">
      <w:pPr>
        <w:ind w:left="720"/>
        <w:rPr>
          <w:sz w:val="22"/>
          <w:szCs w:val="22"/>
        </w:rPr>
      </w:pPr>
    </w:p>
    <w:p w:rsidR="007B386D" w:rsidRPr="002F4B61" w:rsidRDefault="00C5320F" w:rsidP="00F53E0C">
      <w:pPr>
        <w:ind w:left="720"/>
        <w:rPr>
          <w:sz w:val="22"/>
          <w:szCs w:val="22"/>
        </w:rPr>
      </w:pPr>
      <w:r w:rsidRPr="002F4B61">
        <w:rPr>
          <w:sz w:val="22"/>
          <w:szCs w:val="22"/>
        </w:rPr>
        <w:t xml:space="preserve">As stipulated in the </w:t>
      </w:r>
      <w:r w:rsidR="00993599">
        <w:rPr>
          <w:sz w:val="22"/>
          <w:szCs w:val="22"/>
        </w:rPr>
        <w:t xml:space="preserve">NIH </w:t>
      </w:r>
      <w:r w:rsidRPr="002F4B61">
        <w:rPr>
          <w:sz w:val="22"/>
          <w:szCs w:val="22"/>
        </w:rPr>
        <w:t xml:space="preserve">GWAS </w:t>
      </w:r>
      <w:r w:rsidR="002F4B61" w:rsidRPr="002F4B61">
        <w:rPr>
          <w:sz w:val="22"/>
          <w:szCs w:val="22"/>
        </w:rPr>
        <w:t>p</w:t>
      </w:r>
      <w:r w:rsidRPr="002F4B61">
        <w:rPr>
          <w:sz w:val="22"/>
          <w:szCs w:val="22"/>
        </w:rPr>
        <w:t xml:space="preserve">olicy, all </w:t>
      </w:r>
      <w:r w:rsidR="00DB7FB8" w:rsidRPr="002F4B61">
        <w:rPr>
          <w:sz w:val="22"/>
          <w:szCs w:val="22"/>
        </w:rPr>
        <w:t>PIs</w:t>
      </w:r>
      <w:r w:rsidRPr="002F4B61">
        <w:rPr>
          <w:sz w:val="22"/>
          <w:szCs w:val="22"/>
        </w:rPr>
        <w:t xml:space="preserve"> who receive NIH </w:t>
      </w:r>
      <w:r w:rsidR="006B4513" w:rsidRPr="002F4B61">
        <w:rPr>
          <w:sz w:val="22"/>
          <w:szCs w:val="22"/>
        </w:rPr>
        <w:t xml:space="preserve">funding </w:t>
      </w:r>
      <w:r w:rsidRPr="002F4B61">
        <w:rPr>
          <w:sz w:val="22"/>
          <w:szCs w:val="22"/>
        </w:rPr>
        <w:t xml:space="preserve">to conduct genomic research are expected to </w:t>
      </w:r>
      <w:r w:rsidR="000C1F1E" w:rsidRPr="002F4B61">
        <w:rPr>
          <w:sz w:val="22"/>
          <w:szCs w:val="22"/>
        </w:rPr>
        <w:t>register</w:t>
      </w:r>
      <w:r w:rsidRPr="002F4B61">
        <w:rPr>
          <w:sz w:val="22"/>
          <w:szCs w:val="22"/>
        </w:rPr>
        <w:t xml:space="preserve"> </w:t>
      </w:r>
      <w:r w:rsidR="00474098" w:rsidRPr="002F4B61">
        <w:rPr>
          <w:sz w:val="22"/>
          <w:szCs w:val="22"/>
        </w:rPr>
        <w:t xml:space="preserve">studies with </w:t>
      </w:r>
      <w:r w:rsidRPr="002F4B61">
        <w:rPr>
          <w:sz w:val="22"/>
          <w:szCs w:val="22"/>
        </w:rPr>
        <w:t xml:space="preserve">genomic data </w:t>
      </w:r>
      <w:r w:rsidR="00474098" w:rsidRPr="002F4B61">
        <w:rPr>
          <w:sz w:val="22"/>
          <w:szCs w:val="22"/>
        </w:rPr>
        <w:t xml:space="preserve">in </w:t>
      </w:r>
      <w:r w:rsidRPr="002F4B61">
        <w:rPr>
          <w:sz w:val="22"/>
          <w:szCs w:val="22"/>
        </w:rPr>
        <w:t>dbGaP.</w:t>
      </w:r>
      <w:r w:rsidR="007A6466" w:rsidRPr="002F4B61">
        <w:rPr>
          <w:sz w:val="22"/>
          <w:szCs w:val="22"/>
        </w:rPr>
        <w:t xml:space="preserve"> </w:t>
      </w:r>
      <w:r w:rsidRPr="002F4B61">
        <w:rPr>
          <w:sz w:val="22"/>
          <w:szCs w:val="22"/>
        </w:rPr>
        <w:t xml:space="preserve"> </w:t>
      </w:r>
      <w:r w:rsidR="007B386D" w:rsidRPr="002F4B61">
        <w:rPr>
          <w:sz w:val="22"/>
          <w:szCs w:val="22"/>
        </w:rPr>
        <w:t xml:space="preserve">As part of the </w:t>
      </w:r>
      <w:r w:rsidR="000C1F1E" w:rsidRPr="002F4B61">
        <w:rPr>
          <w:sz w:val="22"/>
          <w:szCs w:val="22"/>
        </w:rPr>
        <w:t>registration</w:t>
      </w:r>
      <w:r w:rsidR="007B386D" w:rsidRPr="002F4B61">
        <w:rPr>
          <w:sz w:val="22"/>
          <w:szCs w:val="22"/>
        </w:rPr>
        <w:t xml:space="preserve"> process, </w:t>
      </w:r>
      <w:r w:rsidR="00DB7FB8" w:rsidRPr="002F4B61">
        <w:rPr>
          <w:sz w:val="22"/>
          <w:szCs w:val="22"/>
        </w:rPr>
        <w:t>PIs</w:t>
      </w:r>
      <w:r w:rsidR="007B386D" w:rsidRPr="002F4B61">
        <w:rPr>
          <w:sz w:val="22"/>
          <w:szCs w:val="22"/>
        </w:rPr>
        <w:t xml:space="preserve"> must provide </w:t>
      </w:r>
      <w:r w:rsidR="00C52E5B" w:rsidRPr="002F4B61">
        <w:rPr>
          <w:sz w:val="22"/>
          <w:szCs w:val="22"/>
        </w:rPr>
        <w:t xml:space="preserve">basic study </w:t>
      </w:r>
      <w:r w:rsidR="007B386D" w:rsidRPr="002F4B61">
        <w:rPr>
          <w:sz w:val="22"/>
          <w:szCs w:val="22"/>
        </w:rPr>
        <w:t>information</w:t>
      </w:r>
      <w:r w:rsidR="00C52E5B" w:rsidRPr="002F4B61">
        <w:rPr>
          <w:sz w:val="22"/>
          <w:szCs w:val="22"/>
        </w:rPr>
        <w:t xml:space="preserve"> such as the type of data that will be submitted to dbGaP (</w:t>
      </w:r>
      <w:r w:rsidR="00C52E5B" w:rsidRPr="002F4B61">
        <w:rPr>
          <w:i/>
          <w:sz w:val="22"/>
          <w:szCs w:val="22"/>
        </w:rPr>
        <w:t>e.g.,</w:t>
      </w:r>
      <w:r w:rsidR="00C52E5B" w:rsidRPr="002F4B61">
        <w:rPr>
          <w:sz w:val="22"/>
          <w:szCs w:val="22"/>
        </w:rPr>
        <w:t xml:space="preserve"> individual-level genotype data, aggregate-level association data), a description of the study, and any </w:t>
      </w:r>
      <w:r w:rsidR="009C0FFC" w:rsidRPr="002F4B61">
        <w:rPr>
          <w:sz w:val="22"/>
          <w:szCs w:val="22"/>
        </w:rPr>
        <w:t>data use limitation</w:t>
      </w:r>
      <w:r w:rsidR="00D4662A" w:rsidRPr="002F4B61">
        <w:rPr>
          <w:sz w:val="22"/>
          <w:szCs w:val="22"/>
        </w:rPr>
        <w:t xml:space="preserve">s </w:t>
      </w:r>
      <w:r w:rsidR="00C52E5B" w:rsidRPr="002F4B61">
        <w:rPr>
          <w:sz w:val="22"/>
          <w:szCs w:val="22"/>
        </w:rPr>
        <w:t>on the secondary use of the data (</w:t>
      </w:r>
      <w:r w:rsidR="00C52E5B" w:rsidRPr="002F4B61">
        <w:rPr>
          <w:i/>
          <w:sz w:val="22"/>
          <w:szCs w:val="22"/>
        </w:rPr>
        <w:t>e.g.,</w:t>
      </w:r>
      <w:r w:rsidR="00C52E5B" w:rsidRPr="002F4B61">
        <w:rPr>
          <w:sz w:val="22"/>
          <w:szCs w:val="22"/>
        </w:rPr>
        <w:t xml:space="preserve"> data cannot be shared with for-profit companies</w:t>
      </w:r>
      <w:r w:rsidR="00CE46E2" w:rsidRPr="002F4B61">
        <w:rPr>
          <w:sz w:val="22"/>
          <w:szCs w:val="22"/>
        </w:rPr>
        <w:t>, data can be used only for research of particular diseases).</w:t>
      </w:r>
      <w:r w:rsidR="007B386D" w:rsidRPr="002F4B61">
        <w:rPr>
          <w:sz w:val="22"/>
          <w:szCs w:val="22"/>
        </w:rPr>
        <w:t xml:space="preserve"> </w:t>
      </w:r>
    </w:p>
    <w:p w:rsidR="007B386D" w:rsidRPr="002F4B61" w:rsidRDefault="007B386D" w:rsidP="00F53E0C">
      <w:pPr>
        <w:ind w:left="720"/>
        <w:rPr>
          <w:sz w:val="22"/>
          <w:szCs w:val="22"/>
        </w:rPr>
      </w:pPr>
    </w:p>
    <w:p w:rsidR="005E79C7" w:rsidRPr="002F4B61" w:rsidRDefault="00284E00" w:rsidP="00F53E0C">
      <w:pPr>
        <w:ind w:left="720"/>
        <w:rPr>
          <w:sz w:val="22"/>
          <w:szCs w:val="22"/>
        </w:rPr>
      </w:pPr>
      <w:r w:rsidRPr="002F4B61">
        <w:rPr>
          <w:sz w:val="22"/>
          <w:szCs w:val="22"/>
        </w:rPr>
        <w:t xml:space="preserve">Although </w:t>
      </w:r>
      <w:r w:rsidR="005E79C7" w:rsidRPr="002F4B61">
        <w:rPr>
          <w:sz w:val="22"/>
          <w:szCs w:val="22"/>
        </w:rPr>
        <w:t xml:space="preserve">NIH encourages data sharing through this policy, circumstances beyond the control of </w:t>
      </w:r>
      <w:r w:rsidR="00DB7FB8" w:rsidRPr="002F4B61">
        <w:rPr>
          <w:sz w:val="22"/>
          <w:szCs w:val="22"/>
        </w:rPr>
        <w:t>PIs</w:t>
      </w:r>
      <w:r w:rsidR="005E79C7" w:rsidRPr="002F4B61">
        <w:rPr>
          <w:sz w:val="22"/>
          <w:szCs w:val="22"/>
        </w:rPr>
        <w:t xml:space="preserve"> may preclude submission of data to </w:t>
      </w:r>
      <w:r w:rsidR="000358B8" w:rsidRPr="002F4B61">
        <w:rPr>
          <w:sz w:val="22"/>
          <w:szCs w:val="22"/>
        </w:rPr>
        <w:t xml:space="preserve">dbGaP </w:t>
      </w:r>
      <w:r w:rsidR="00CE46E2" w:rsidRPr="002F4B61">
        <w:rPr>
          <w:sz w:val="22"/>
          <w:szCs w:val="22"/>
        </w:rPr>
        <w:t>(</w:t>
      </w:r>
      <w:r w:rsidR="00CE46E2" w:rsidRPr="002F4B61">
        <w:rPr>
          <w:i/>
          <w:sz w:val="22"/>
          <w:szCs w:val="22"/>
        </w:rPr>
        <w:t>e.g.</w:t>
      </w:r>
      <w:r w:rsidR="00CE46E2" w:rsidRPr="002F4B61">
        <w:rPr>
          <w:sz w:val="22"/>
          <w:szCs w:val="22"/>
        </w:rPr>
        <w:t>, country or state laws that prohibit data deposition in a U.S. database)</w:t>
      </w:r>
      <w:r w:rsidR="005E79C7" w:rsidRPr="002F4B61">
        <w:rPr>
          <w:sz w:val="22"/>
          <w:szCs w:val="22"/>
        </w:rPr>
        <w:t>.  In such cases, an exception to deposit data in a NIH-designated data repository may be granted</w:t>
      </w:r>
      <w:r w:rsidR="00D5091E" w:rsidRPr="002F4B61">
        <w:rPr>
          <w:sz w:val="22"/>
          <w:szCs w:val="22"/>
        </w:rPr>
        <w:t>.</w:t>
      </w:r>
    </w:p>
    <w:p w:rsidR="005E79C7" w:rsidRPr="002F4B61" w:rsidRDefault="005E79C7" w:rsidP="00F53E0C">
      <w:pPr>
        <w:ind w:left="720"/>
        <w:rPr>
          <w:sz w:val="22"/>
          <w:szCs w:val="22"/>
        </w:rPr>
      </w:pPr>
    </w:p>
    <w:p w:rsidR="008A798C" w:rsidRPr="002F4B61" w:rsidRDefault="00DB7FB8" w:rsidP="00CE46E2">
      <w:pPr>
        <w:ind w:left="720"/>
        <w:rPr>
          <w:sz w:val="22"/>
          <w:szCs w:val="22"/>
        </w:rPr>
      </w:pPr>
      <w:r w:rsidRPr="002F4B61">
        <w:rPr>
          <w:sz w:val="22"/>
          <w:szCs w:val="22"/>
        </w:rPr>
        <w:t>PIs</w:t>
      </w:r>
      <w:r w:rsidR="001F0923" w:rsidRPr="002F4B61">
        <w:rPr>
          <w:sz w:val="22"/>
          <w:szCs w:val="22"/>
        </w:rPr>
        <w:t xml:space="preserve"> </w:t>
      </w:r>
      <w:r w:rsidR="00CA57E7" w:rsidRPr="002F4B61">
        <w:rPr>
          <w:sz w:val="22"/>
          <w:szCs w:val="22"/>
        </w:rPr>
        <w:t xml:space="preserve">interested in using controlled-access data for secondary research </w:t>
      </w:r>
      <w:r w:rsidR="00C5320F" w:rsidRPr="002F4B61">
        <w:rPr>
          <w:sz w:val="22"/>
          <w:szCs w:val="22"/>
        </w:rPr>
        <w:t>must apply through dbGaP and b</w:t>
      </w:r>
      <w:r w:rsidR="008B1B9B" w:rsidRPr="002F4B61">
        <w:rPr>
          <w:sz w:val="22"/>
          <w:szCs w:val="22"/>
        </w:rPr>
        <w:t xml:space="preserve">e granted permission </w:t>
      </w:r>
      <w:r w:rsidR="00CA57E7" w:rsidRPr="002F4B61">
        <w:rPr>
          <w:sz w:val="22"/>
          <w:szCs w:val="22"/>
        </w:rPr>
        <w:t xml:space="preserve">from the relevant </w:t>
      </w:r>
      <w:r w:rsidR="00C5320F" w:rsidRPr="002F4B61">
        <w:rPr>
          <w:sz w:val="22"/>
          <w:szCs w:val="22"/>
        </w:rPr>
        <w:t>N</w:t>
      </w:r>
      <w:r w:rsidR="008B1B9B" w:rsidRPr="002F4B61">
        <w:rPr>
          <w:sz w:val="22"/>
          <w:szCs w:val="22"/>
        </w:rPr>
        <w:t xml:space="preserve">IH </w:t>
      </w:r>
      <w:r w:rsidR="009C6089" w:rsidRPr="002F4B61">
        <w:rPr>
          <w:sz w:val="22"/>
          <w:szCs w:val="22"/>
        </w:rPr>
        <w:t>DACs</w:t>
      </w:r>
      <w:r w:rsidR="006B4513" w:rsidRPr="002F4B61">
        <w:rPr>
          <w:sz w:val="22"/>
          <w:szCs w:val="22"/>
        </w:rPr>
        <w:t>.</w:t>
      </w:r>
      <w:r w:rsidR="00C5320F" w:rsidRPr="002F4B61">
        <w:rPr>
          <w:sz w:val="22"/>
          <w:szCs w:val="22"/>
        </w:rPr>
        <w:t xml:space="preserve"> </w:t>
      </w:r>
      <w:r w:rsidR="00C204E6" w:rsidRPr="002F4B61">
        <w:rPr>
          <w:sz w:val="22"/>
          <w:szCs w:val="22"/>
        </w:rPr>
        <w:t xml:space="preserve"> </w:t>
      </w:r>
      <w:r w:rsidR="007B386D" w:rsidRPr="002F4B61">
        <w:rPr>
          <w:sz w:val="22"/>
          <w:szCs w:val="22"/>
        </w:rPr>
        <w:t xml:space="preserve">As part of the application process, </w:t>
      </w:r>
      <w:r w:rsidRPr="002F4B61">
        <w:rPr>
          <w:sz w:val="22"/>
          <w:szCs w:val="22"/>
        </w:rPr>
        <w:t>PIs</w:t>
      </w:r>
      <w:r w:rsidR="001F0923" w:rsidRPr="002F4B61">
        <w:rPr>
          <w:sz w:val="22"/>
          <w:szCs w:val="22"/>
        </w:rPr>
        <w:t xml:space="preserve"> </w:t>
      </w:r>
      <w:r w:rsidR="007B386D" w:rsidRPr="002F4B61">
        <w:rPr>
          <w:sz w:val="22"/>
          <w:szCs w:val="22"/>
        </w:rPr>
        <w:t xml:space="preserve">must provide </w:t>
      </w:r>
      <w:r w:rsidR="00CE46E2" w:rsidRPr="002F4B61">
        <w:rPr>
          <w:sz w:val="22"/>
          <w:szCs w:val="22"/>
        </w:rPr>
        <w:t>information such as a d</w:t>
      </w:r>
      <w:r w:rsidR="007B386D" w:rsidRPr="002F4B61">
        <w:rPr>
          <w:sz w:val="22"/>
          <w:szCs w:val="22"/>
        </w:rPr>
        <w:t xml:space="preserve">escription of the proposed research and use of </w:t>
      </w:r>
      <w:r w:rsidR="00183E0F" w:rsidRPr="002F4B61">
        <w:rPr>
          <w:sz w:val="22"/>
          <w:szCs w:val="22"/>
        </w:rPr>
        <w:t xml:space="preserve">controlled-access </w:t>
      </w:r>
      <w:r w:rsidR="007B386D" w:rsidRPr="002F4B61">
        <w:rPr>
          <w:sz w:val="22"/>
          <w:szCs w:val="22"/>
        </w:rPr>
        <w:t xml:space="preserve">datasets </w:t>
      </w:r>
      <w:r w:rsidR="00183E0F" w:rsidRPr="002F4B61">
        <w:rPr>
          <w:sz w:val="22"/>
          <w:szCs w:val="22"/>
        </w:rPr>
        <w:t xml:space="preserve">that </w:t>
      </w:r>
      <w:r w:rsidR="007B386D" w:rsidRPr="002F4B61">
        <w:rPr>
          <w:sz w:val="22"/>
          <w:szCs w:val="22"/>
        </w:rPr>
        <w:t>conform</w:t>
      </w:r>
      <w:r w:rsidR="00183E0F" w:rsidRPr="002F4B61">
        <w:rPr>
          <w:sz w:val="22"/>
          <w:szCs w:val="22"/>
        </w:rPr>
        <w:t>s</w:t>
      </w:r>
      <w:r w:rsidR="007B386D" w:rsidRPr="002F4B61">
        <w:rPr>
          <w:sz w:val="22"/>
          <w:szCs w:val="22"/>
        </w:rPr>
        <w:t xml:space="preserve"> </w:t>
      </w:r>
      <w:r w:rsidR="000358B8" w:rsidRPr="002F4B61">
        <w:rPr>
          <w:sz w:val="22"/>
          <w:szCs w:val="22"/>
        </w:rPr>
        <w:t>to</w:t>
      </w:r>
      <w:r w:rsidR="007B386D" w:rsidRPr="002F4B61">
        <w:rPr>
          <w:sz w:val="22"/>
          <w:szCs w:val="22"/>
        </w:rPr>
        <w:t xml:space="preserve"> </w:t>
      </w:r>
      <w:r w:rsidR="000358B8" w:rsidRPr="002F4B61">
        <w:rPr>
          <w:sz w:val="22"/>
          <w:szCs w:val="22"/>
        </w:rPr>
        <w:t xml:space="preserve">the </w:t>
      </w:r>
      <w:r w:rsidR="009C0FFC" w:rsidRPr="002F4B61">
        <w:rPr>
          <w:sz w:val="22"/>
          <w:szCs w:val="22"/>
        </w:rPr>
        <w:t>data use limitation</w:t>
      </w:r>
      <w:r w:rsidR="00A74E54" w:rsidRPr="002F4B61">
        <w:rPr>
          <w:sz w:val="22"/>
          <w:szCs w:val="22"/>
        </w:rPr>
        <w:t>s</w:t>
      </w:r>
      <w:r w:rsidR="00183E0F" w:rsidRPr="002F4B61">
        <w:rPr>
          <w:sz w:val="22"/>
          <w:szCs w:val="22"/>
        </w:rPr>
        <w:t>,</w:t>
      </w:r>
      <w:r w:rsidR="00CE46E2" w:rsidRPr="002F4B61">
        <w:rPr>
          <w:sz w:val="22"/>
          <w:szCs w:val="22"/>
        </w:rPr>
        <w:t xml:space="preserve"> a d</w:t>
      </w:r>
      <w:r w:rsidR="007B386D" w:rsidRPr="002F4B61">
        <w:rPr>
          <w:sz w:val="22"/>
          <w:szCs w:val="22"/>
        </w:rPr>
        <w:t>ata security</w:t>
      </w:r>
      <w:r w:rsidR="00183E0F" w:rsidRPr="002F4B61">
        <w:rPr>
          <w:sz w:val="22"/>
          <w:szCs w:val="22"/>
        </w:rPr>
        <w:t xml:space="preserve"> plan</w:t>
      </w:r>
      <w:r w:rsidR="008A798C" w:rsidRPr="002F4B61">
        <w:rPr>
          <w:sz w:val="22"/>
          <w:szCs w:val="22"/>
        </w:rPr>
        <w:t>, and</w:t>
      </w:r>
      <w:r w:rsidR="007B386D" w:rsidRPr="002F4B61">
        <w:rPr>
          <w:sz w:val="22"/>
          <w:szCs w:val="22"/>
        </w:rPr>
        <w:t xml:space="preserve"> </w:t>
      </w:r>
      <w:r w:rsidR="00CE46E2" w:rsidRPr="002F4B61">
        <w:rPr>
          <w:sz w:val="22"/>
          <w:szCs w:val="22"/>
        </w:rPr>
        <w:t xml:space="preserve">a </w:t>
      </w:r>
      <w:r w:rsidR="008A798C" w:rsidRPr="002F4B61">
        <w:rPr>
          <w:sz w:val="22"/>
          <w:szCs w:val="22"/>
        </w:rPr>
        <w:t>Data Use Certification agreement.</w:t>
      </w:r>
    </w:p>
    <w:p w:rsidR="007B386D" w:rsidRPr="002F4B61" w:rsidRDefault="007B386D" w:rsidP="00F53E0C">
      <w:pPr>
        <w:ind w:left="720"/>
        <w:rPr>
          <w:sz w:val="22"/>
          <w:szCs w:val="22"/>
        </w:rPr>
      </w:pPr>
    </w:p>
    <w:p w:rsidR="00B34A3A" w:rsidRPr="002F4B61" w:rsidRDefault="007B386D" w:rsidP="00F53E0C">
      <w:pPr>
        <w:ind w:left="720"/>
        <w:rPr>
          <w:sz w:val="22"/>
          <w:szCs w:val="22"/>
        </w:rPr>
      </w:pPr>
      <w:r w:rsidRPr="002F4B61">
        <w:rPr>
          <w:sz w:val="22"/>
          <w:szCs w:val="22"/>
        </w:rPr>
        <w:t xml:space="preserve">Currently, the </w:t>
      </w:r>
      <w:r w:rsidR="00474098" w:rsidRPr="002F4B61">
        <w:rPr>
          <w:sz w:val="22"/>
          <w:szCs w:val="22"/>
        </w:rPr>
        <w:t xml:space="preserve">processes to </w:t>
      </w:r>
      <w:r w:rsidR="000C1F1E" w:rsidRPr="002F4B61">
        <w:rPr>
          <w:sz w:val="22"/>
          <w:szCs w:val="22"/>
        </w:rPr>
        <w:t>regist</w:t>
      </w:r>
      <w:r w:rsidR="00474098" w:rsidRPr="002F4B61">
        <w:rPr>
          <w:sz w:val="22"/>
          <w:szCs w:val="22"/>
        </w:rPr>
        <w:t>er studies</w:t>
      </w:r>
      <w:r w:rsidRPr="002F4B61">
        <w:rPr>
          <w:sz w:val="22"/>
          <w:szCs w:val="22"/>
        </w:rPr>
        <w:t xml:space="preserve"> and access </w:t>
      </w:r>
      <w:r w:rsidR="00474098" w:rsidRPr="002F4B61">
        <w:rPr>
          <w:sz w:val="22"/>
          <w:szCs w:val="22"/>
        </w:rPr>
        <w:t xml:space="preserve">data in dbGaP </w:t>
      </w:r>
      <w:r w:rsidRPr="002F4B61">
        <w:rPr>
          <w:sz w:val="22"/>
          <w:szCs w:val="22"/>
        </w:rPr>
        <w:t xml:space="preserve">involve paper applications that are </w:t>
      </w:r>
      <w:r w:rsidR="008D6F19" w:rsidRPr="002F4B61">
        <w:rPr>
          <w:sz w:val="22"/>
          <w:szCs w:val="22"/>
        </w:rPr>
        <w:t>burden</w:t>
      </w:r>
      <w:r w:rsidRPr="002F4B61">
        <w:rPr>
          <w:sz w:val="22"/>
          <w:szCs w:val="22"/>
        </w:rPr>
        <w:t xml:space="preserve">some to complete. </w:t>
      </w:r>
      <w:r w:rsidR="00C204E6" w:rsidRPr="002F4B61">
        <w:rPr>
          <w:sz w:val="22"/>
          <w:szCs w:val="22"/>
        </w:rPr>
        <w:t xml:space="preserve"> </w:t>
      </w:r>
      <w:r w:rsidR="00331B77" w:rsidRPr="002F4B61">
        <w:rPr>
          <w:sz w:val="22"/>
          <w:szCs w:val="22"/>
        </w:rPr>
        <w:t xml:space="preserve">For example, </w:t>
      </w:r>
      <w:r w:rsidR="00C90710" w:rsidRPr="002F4B61">
        <w:rPr>
          <w:sz w:val="22"/>
          <w:szCs w:val="22"/>
        </w:rPr>
        <w:t xml:space="preserve">the OMB-approved SF424 </w:t>
      </w:r>
      <w:r w:rsidR="0062663E">
        <w:rPr>
          <w:sz w:val="22"/>
          <w:szCs w:val="22"/>
        </w:rPr>
        <w:t xml:space="preserve">Research and Related </w:t>
      </w:r>
      <w:r w:rsidR="009A08C0">
        <w:rPr>
          <w:sz w:val="22"/>
          <w:szCs w:val="22"/>
        </w:rPr>
        <w:t xml:space="preserve">(R&amp;R) </w:t>
      </w:r>
      <w:r w:rsidR="00C90710" w:rsidRPr="002F4B61">
        <w:rPr>
          <w:sz w:val="22"/>
          <w:szCs w:val="22"/>
        </w:rPr>
        <w:t xml:space="preserve">form </w:t>
      </w:r>
      <w:r w:rsidR="00331B77" w:rsidRPr="002F4B61">
        <w:rPr>
          <w:sz w:val="22"/>
          <w:szCs w:val="22"/>
        </w:rPr>
        <w:t>i</w:t>
      </w:r>
      <w:r w:rsidR="00C90710" w:rsidRPr="002F4B61">
        <w:rPr>
          <w:sz w:val="22"/>
          <w:szCs w:val="22"/>
        </w:rPr>
        <w:t xml:space="preserve">s </w:t>
      </w:r>
      <w:r w:rsidR="00E64120" w:rsidRPr="002F4B61">
        <w:rPr>
          <w:sz w:val="22"/>
          <w:szCs w:val="22"/>
        </w:rPr>
        <w:t xml:space="preserve">used to </w:t>
      </w:r>
      <w:r w:rsidR="00C90710" w:rsidRPr="002F4B61">
        <w:rPr>
          <w:sz w:val="22"/>
          <w:szCs w:val="22"/>
        </w:rPr>
        <w:t xml:space="preserve">apply for </w:t>
      </w:r>
      <w:r w:rsidR="00331B77" w:rsidRPr="002F4B61">
        <w:rPr>
          <w:sz w:val="22"/>
          <w:szCs w:val="22"/>
        </w:rPr>
        <w:t xml:space="preserve">controlled-access </w:t>
      </w:r>
      <w:r w:rsidR="00C90710" w:rsidRPr="002F4B61">
        <w:rPr>
          <w:sz w:val="22"/>
          <w:szCs w:val="22"/>
        </w:rPr>
        <w:t xml:space="preserve">data. </w:t>
      </w:r>
      <w:r w:rsidR="00C204E6" w:rsidRPr="002F4B61">
        <w:rPr>
          <w:sz w:val="22"/>
          <w:szCs w:val="22"/>
        </w:rPr>
        <w:t xml:space="preserve"> </w:t>
      </w:r>
      <w:r w:rsidR="00331B77" w:rsidRPr="002F4B61">
        <w:rPr>
          <w:sz w:val="22"/>
          <w:szCs w:val="22"/>
        </w:rPr>
        <w:t xml:space="preserve">However, </w:t>
      </w:r>
      <w:r w:rsidR="00442290" w:rsidRPr="002F4B61">
        <w:rPr>
          <w:sz w:val="22"/>
          <w:szCs w:val="22"/>
        </w:rPr>
        <w:t xml:space="preserve">because the </w:t>
      </w:r>
      <w:r w:rsidR="00C90710" w:rsidRPr="002F4B61">
        <w:rPr>
          <w:sz w:val="22"/>
          <w:szCs w:val="22"/>
        </w:rPr>
        <w:t xml:space="preserve">SF424 </w:t>
      </w:r>
      <w:r w:rsidR="009A08C0">
        <w:rPr>
          <w:sz w:val="22"/>
          <w:szCs w:val="22"/>
        </w:rPr>
        <w:t xml:space="preserve">R&amp;R </w:t>
      </w:r>
      <w:r w:rsidR="00442290" w:rsidRPr="002F4B61">
        <w:rPr>
          <w:sz w:val="22"/>
          <w:szCs w:val="22"/>
        </w:rPr>
        <w:t>form is not tailored to this information collection</w:t>
      </w:r>
      <w:r w:rsidR="00C90710" w:rsidRPr="002F4B61">
        <w:rPr>
          <w:sz w:val="22"/>
          <w:szCs w:val="22"/>
        </w:rPr>
        <w:t xml:space="preserve">, </w:t>
      </w:r>
      <w:r w:rsidR="008D6F19" w:rsidRPr="002F4B61">
        <w:rPr>
          <w:sz w:val="22"/>
          <w:szCs w:val="22"/>
        </w:rPr>
        <w:t xml:space="preserve">it </w:t>
      </w:r>
      <w:r w:rsidR="004F29B5" w:rsidRPr="002F4B61">
        <w:rPr>
          <w:sz w:val="22"/>
          <w:szCs w:val="22"/>
        </w:rPr>
        <w:t xml:space="preserve">can be confusing and take more </w:t>
      </w:r>
      <w:r w:rsidR="00331B77" w:rsidRPr="002F4B61">
        <w:rPr>
          <w:sz w:val="22"/>
          <w:szCs w:val="22"/>
        </w:rPr>
        <w:t xml:space="preserve">time </w:t>
      </w:r>
      <w:r w:rsidR="004F29B5" w:rsidRPr="002F4B61">
        <w:rPr>
          <w:sz w:val="22"/>
          <w:szCs w:val="22"/>
        </w:rPr>
        <w:t>to complete</w:t>
      </w:r>
      <w:r w:rsidR="00C90710" w:rsidRPr="002F4B61">
        <w:rPr>
          <w:sz w:val="22"/>
          <w:szCs w:val="22"/>
        </w:rPr>
        <w:t>.</w:t>
      </w:r>
      <w:r w:rsidR="00C204E6" w:rsidRPr="002F4B61">
        <w:rPr>
          <w:sz w:val="22"/>
          <w:szCs w:val="22"/>
        </w:rPr>
        <w:t xml:space="preserve">  </w:t>
      </w:r>
      <w:r w:rsidR="006B4513" w:rsidRPr="002F4B61">
        <w:rPr>
          <w:sz w:val="22"/>
          <w:szCs w:val="22"/>
        </w:rPr>
        <w:t xml:space="preserve">NIH has </w:t>
      </w:r>
      <w:r w:rsidR="00C5320F" w:rsidRPr="002F4B61">
        <w:rPr>
          <w:sz w:val="22"/>
          <w:szCs w:val="22"/>
        </w:rPr>
        <w:t xml:space="preserve">developed </w:t>
      </w:r>
      <w:r w:rsidR="006B4513" w:rsidRPr="002F4B61">
        <w:rPr>
          <w:sz w:val="22"/>
          <w:szCs w:val="22"/>
        </w:rPr>
        <w:t xml:space="preserve">online </w:t>
      </w:r>
      <w:r w:rsidR="00C5320F" w:rsidRPr="002F4B61">
        <w:rPr>
          <w:sz w:val="22"/>
          <w:szCs w:val="22"/>
        </w:rPr>
        <w:t>forms</w:t>
      </w:r>
      <w:r w:rsidR="00442290" w:rsidRPr="002F4B61">
        <w:rPr>
          <w:sz w:val="22"/>
          <w:szCs w:val="22"/>
        </w:rPr>
        <w:t>,</w:t>
      </w:r>
      <w:r w:rsidR="00C5320F" w:rsidRPr="002F4B61">
        <w:rPr>
          <w:sz w:val="22"/>
          <w:szCs w:val="22"/>
        </w:rPr>
        <w:t xml:space="preserve"> </w:t>
      </w:r>
      <w:r w:rsidR="00442290" w:rsidRPr="002F4B61">
        <w:rPr>
          <w:sz w:val="22"/>
          <w:szCs w:val="22"/>
        </w:rPr>
        <w:t>which</w:t>
      </w:r>
      <w:r w:rsidRPr="002F4B61">
        <w:rPr>
          <w:sz w:val="22"/>
          <w:szCs w:val="22"/>
        </w:rPr>
        <w:t xml:space="preserve"> </w:t>
      </w:r>
      <w:r w:rsidR="00C5320F" w:rsidRPr="002F4B61">
        <w:rPr>
          <w:sz w:val="22"/>
          <w:szCs w:val="22"/>
        </w:rPr>
        <w:t>will be</w:t>
      </w:r>
      <w:r w:rsidR="00D918AB" w:rsidRPr="002F4B61">
        <w:rPr>
          <w:sz w:val="22"/>
          <w:szCs w:val="22"/>
        </w:rPr>
        <w:t xml:space="preserve"> available through dbGaP</w:t>
      </w:r>
      <w:r w:rsidR="00442290" w:rsidRPr="002F4B61">
        <w:rPr>
          <w:sz w:val="22"/>
          <w:szCs w:val="22"/>
        </w:rPr>
        <w:t xml:space="preserve">, in an effort to reduce the burden for </w:t>
      </w:r>
      <w:r w:rsidR="00DB7FB8" w:rsidRPr="002F4B61">
        <w:rPr>
          <w:sz w:val="22"/>
          <w:szCs w:val="22"/>
        </w:rPr>
        <w:t>PIs</w:t>
      </w:r>
      <w:r w:rsidR="001F0923" w:rsidRPr="002F4B61">
        <w:rPr>
          <w:sz w:val="22"/>
          <w:szCs w:val="22"/>
        </w:rPr>
        <w:t xml:space="preserve"> </w:t>
      </w:r>
      <w:r w:rsidR="00442290" w:rsidRPr="002F4B61">
        <w:rPr>
          <w:sz w:val="22"/>
          <w:szCs w:val="22"/>
        </w:rPr>
        <w:t>and their institutional officials to complete the study registration, data submission, and data access processes</w:t>
      </w:r>
      <w:r w:rsidR="00D918AB" w:rsidRPr="002F4B61">
        <w:rPr>
          <w:sz w:val="22"/>
          <w:szCs w:val="22"/>
        </w:rPr>
        <w:t xml:space="preserve">. </w:t>
      </w:r>
      <w:r w:rsidR="00C5320F" w:rsidRPr="002F4B61">
        <w:rPr>
          <w:sz w:val="22"/>
          <w:szCs w:val="22"/>
        </w:rPr>
        <w:t xml:space="preserve"> </w:t>
      </w:r>
    </w:p>
    <w:p w:rsidR="00B34A3A" w:rsidRPr="002F4B61" w:rsidRDefault="00B34A3A" w:rsidP="00F53E0C">
      <w:pPr>
        <w:ind w:left="720"/>
        <w:rPr>
          <w:sz w:val="22"/>
          <w:szCs w:val="22"/>
        </w:rPr>
      </w:pPr>
    </w:p>
    <w:p w:rsidR="00C5320F" w:rsidRPr="002F4B61" w:rsidRDefault="00C5320F" w:rsidP="00325557">
      <w:pPr>
        <w:rPr>
          <w:b/>
          <w:sz w:val="22"/>
          <w:szCs w:val="22"/>
        </w:rPr>
      </w:pPr>
      <w:r w:rsidRPr="002F4B61">
        <w:rPr>
          <w:b/>
          <w:sz w:val="22"/>
          <w:szCs w:val="22"/>
        </w:rPr>
        <w:t>A.2</w:t>
      </w:r>
      <w:r w:rsidRPr="002F4B61">
        <w:rPr>
          <w:b/>
          <w:sz w:val="22"/>
          <w:szCs w:val="22"/>
        </w:rPr>
        <w:tab/>
        <w:t>Purpose and Use of the Information Collection</w:t>
      </w:r>
    </w:p>
    <w:p w:rsidR="00C5320F" w:rsidRPr="002F4B61" w:rsidRDefault="00C5320F">
      <w:pPr>
        <w:rPr>
          <w:sz w:val="22"/>
          <w:szCs w:val="22"/>
        </w:rPr>
      </w:pPr>
    </w:p>
    <w:p w:rsidR="00C5320F" w:rsidRPr="002F4B61" w:rsidRDefault="008D6F19" w:rsidP="007E0A51">
      <w:pPr>
        <w:ind w:left="720"/>
        <w:rPr>
          <w:sz w:val="22"/>
          <w:szCs w:val="22"/>
        </w:rPr>
      </w:pPr>
      <w:r w:rsidRPr="002F4B61">
        <w:rPr>
          <w:sz w:val="22"/>
          <w:szCs w:val="22"/>
        </w:rPr>
        <w:t xml:space="preserve">The information collection </w:t>
      </w:r>
      <w:r w:rsidR="000358B8" w:rsidRPr="002F4B61">
        <w:rPr>
          <w:sz w:val="22"/>
          <w:szCs w:val="22"/>
        </w:rPr>
        <w:t xml:space="preserve">is necessary to </w:t>
      </w:r>
      <w:r w:rsidR="009F2079" w:rsidRPr="002F4B61">
        <w:rPr>
          <w:sz w:val="22"/>
          <w:szCs w:val="22"/>
        </w:rPr>
        <w:t>support NIH’s data sharing goals for genomic data</w:t>
      </w:r>
      <w:r w:rsidR="00C5320F" w:rsidRPr="002F4B61">
        <w:rPr>
          <w:sz w:val="22"/>
          <w:szCs w:val="22"/>
        </w:rPr>
        <w:t>.</w:t>
      </w:r>
      <w:r w:rsidRPr="002F4B61">
        <w:rPr>
          <w:sz w:val="22"/>
          <w:szCs w:val="22"/>
        </w:rPr>
        <w:t xml:space="preserve">  The online forms are expected to reduce burden for </w:t>
      </w:r>
      <w:r w:rsidR="00DB7FB8" w:rsidRPr="002F4B61">
        <w:rPr>
          <w:sz w:val="22"/>
          <w:szCs w:val="22"/>
        </w:rPr>
        <w:t>PIs</w:t>
      </w:r>
      <w:r w:rsidRPr="002F4B61">
        <w:rPr>
          <w:sz w:val="22"/>
          <w:szCs w:val="22"/>
        </w:rPr>
        <w:t xml:space="preserve"> who submi</w:t>
      </w:r>
      <w:r w:rsidR="008E4C3F" w:rsidRPr="002F4B61">
        <w:rPr>
          <w:sz w:val="22"/>
          <w:szCs w:val="22"/>
        </w:rPr>
        <w:t>t data to dbGaP and for requeste</w:t>
      </w:r>
      <w:r w:rsidRPr="002F4B61">
        <w:rPr>
          <w:sz w:val="22"/>
          <w:szCs w:val="22"/>
        </w:rPr>
        <w:t>rs who wish to access the data for secondary research.</w:t>
      </w:r>
    </w:p>
    <w:p w:rsidR="006D7544" w:rsidRPr="002F4B61" w:rsidRDefault="006D7544" w:rsidP="006D7544">
      <w:pPr>
        <w:rPr>
          <w:sz w:val="22"/>
          <w:szCs w:val="22"/>
        </w:rPr>
      </w:pPr>
    </w:p>
    <w:p w:rsidR="00C5320F" w:rsidRPr="002F4B61" w:rsidRDefault="00474098" w:rsidP="007E0A51">
      <w:pPr>
        <w:ind w:left="720"/>
        <w:rPr>
          <w:i/>
          <w:sz w:val="22"/>
          <w:szCs w:val="22"/>
        </w:rPr>
      </w:pPr>
      <w:r w:rsidRPr="002F4B61">
        <w:rPr>
          <w:i/>
          <w:sz w:val="22"/>
          <w:szCs w:val="22"/>
        </w:rPr>
        <w:t xml:space="preserve">Study </w:t>
      </w:r>
      <w:r w:rsidR="000C1F1E" w:rsidRPr="002F4B61">
        <w:rPr>
          <w:i/>
          <w:sz w:val="22"/>
          <w:szCs w:val="22"/>
        </w:rPr>
        <w:t>Registration</w:t>
      </w:r>
      <w:r w:rsidR="003B32AB" w:rsidRPr="002F4B61">
        <w:rPr>
          <w:i/>
          <w:sz w:val="22"/>
          <w:szCs w:val="22"/>
        </w:rPr>
        <w:t xml:space="preserve"> and Data Submission</w:t>
      </w:r>
      <w:r w:rsidRPr="002F4B61">
        <w:rPr>
          <w:i/>
          <w:sz w:val="22"/>
          <w:szCs w:val="22"/>
        </w:rPr>
        <w:t xml:space="preserve"> </w:t>
      </w:r>
    </w:p>
    <w:p w:rsidR="00C5320F" w:rsidRPr="002F4B61" w:rsidRDefault="00C5320F" w:rsidP="007E0A51">
      <w:pPr>
        <w:ind w:left="720"/>
        <w:rPr>
          <w:sz w:val="22"/>
          <w:szCs w:val="22"/>
        </w:rPr>
      </w:pPr>
    </w:p>
    <w:p w:rsidR="005F2917" w:rsidRPr="002F4B61" w:rsidRDefault="00C5320F" w:rsidP="002A1EB7">
      <w:pPr>
        <w:ind w:left="720"/>
        <w:rPr>
          <w:sz w:val="22"/>
          <w:szCs w:val="22"/>
        </w:rPr>
      </w:pPr>
      <w:r w:rsidRPr="002F4B61">
        <w:rPr>
          <w:sz w:val="22"/>
          <w:szCs w:val="22"/>
        </w:rPr>
        <w:t xml:space="preserve">The required elements </w:t>
      </w:r>
      <w:r w:rsidR="00FD3CF5" w:rsidRPr="002F4B61">
        <w:rPr>
          <w:sz w:val="22"/>
          <w:szCs w:val="22"/>
        </w:rPr>
        <w:t xml:space="preserve">for </w:t>
      </w:r>
      <w:r w:rsidR="00474098" w:rsidRPr="002F4B61">
        <w:rPr>
          <w:sz w:val="22"/>
          <w:szCs w:val="22"/>
        </w:rPr>
        <w:t xml:space="preserve">study </w:t>
      </w:r>
      <w:r w:rsidR="000C1F1E" w:rsidRPr="002F4B61">
        <w:rPr>
          <w:sz w:val="22"/>
          <w:szCs w:val="22"/>
        </w:rPr>
        <w:t>registration</w:t>
      </w:r>
      <w:r w:rsidRPr="002F4B61">
        <w:rPr>
          <w:sz w:val="22"/>
          <w:szCs w:val="22"/>
        </w:rPr>
        <w:t xml:space="preserve"> </w:t>
      </w:r>
      <w:r w:rsidR="00787CB9" w:rsidRPr="002F4B61">
        <w:rPr>
          <w:sz w:val="22"/>
          <w:szCs w:val="22"/>
        </w:rPr>
        <w:t xml:space="preserve">in </w:t>
      </w:r>
      <w:r w:rsidR="00FD3CF5" w:rsidRPr="002F4B61">
        <w:rPr>
          <w:sz w:val="22"/>
          <w:szCs w:val="22"/>
        </w:rPr>
        <w:t xml:space="preserve">dbGaP include </w:t>
      </w:r>
      <w:r w:rsidRPr="002F4B61">
        <w:rPr>
          <w:sz w:val="22"/>
          <w:szCs w:val="22"/>
        </w:rPr>
        <w:t>basic study information</w:t>
      </w:r>
      <w:r w:rsidR="008B1B9B" w:rsidRPr="002F4B61">
        <w:rPr>
          <w:sz w:val="22"/>
          <w:szCs w:val="22"/>
        </w:rPr>
        <w:t xml:space="preserve"> </w:t>
      </w:r>
      <w:r w:rsidR="00FD3CF5" w:rsidRPr="002F4B61">
        <w:rPr>
          <w:sz w:val="22"/>
          <w:szCs w:val="22"/>
        </w:rPr>
        <w:t xml:space="preserve">and </w:t>
      </w:r>
      <w:r w:rsidR="009C4B68" w:rsidRPr="002F4B61">
        <w:rPr>
          <w:sz w:val="22"/>
          <w:szCs w:val="22"/>
        </w:rPr>
        <w:t xml:space="preserve">an institutional </w:t>
      </w:r>
      <w:r w:rsidR="00FA4FBC" w:rsidRPr="002F4B61">
        <w:rPr>
          <w:sz w:val="22"/>
          <w:szCs w:val="22"/>
        </w:rPr>
        <w:t xml:space="preserve">certification </w:t>
      </w:r>
      <w:r w:rsidR="009C4B68" w:rsidRPr="002F4B61">
        <w:rPr>
          <w:sz w:val="22"/>
          <w:szCs w:val="22"/>
        </w:rPr>
        <w:t xml:space="preserve">approved </w:t>
      </w:r>
      <w:r w:rsidR="00241F2C" w:rsidRPr="002F4B61">
        <w:rPr>
          <w:sz w:val="22"/>
          <w:szCs w:val="22"/>
        </w:rPr>
        <w:t xml:space="preserve">by </w:t>
      </w:r>
      <w:r w:rsidR="008A798C" w:rsidRPr="002F4B61">
        <w:rPr>
          <w:sz w:val="22"/>
          <w:szCs w:val="22"/>
        </w:rPr>
        <w:t>the</w:t>
      </w:r>
      <w:r w:rsidR="00145207" w:rsidRPr="002F4B61">
        <w:rPr>
          <w:sz w:val="22"/>
          <w:szCs w:val="22"/>
        </w:rPr>
        <w:t xml:space="preserve"> I</w:t>
      </w:r>
      <w:r w:rsidR="00A74E54" w:rsidRPr="002F4B61">
        <w:rPr>
          <w:sz w:val="22"/>
          <w:szCs w:val="22"/>
        </w:rPr>
        <w:t>nstitutional</w:t>
      </w:r>
      <w:r w:rsidR="008A798C" w:rsidRPr="002F4B61">
        <w:rPr>
          <w:sz w:val="22"/>
          <w:szCs w:val="22"/>
        </w:rPr>
        <w:t xml:space="preserve"> Signing Official</w:t>
      </w:r>
      <w:r w:rsidR="00FA4FBC" w:rsidRPr="002F4B61">
        <w:rPr>
          <w:sz w:val="22"/>
          <w:szCs w:val="22"/>
        </w:rPr>
        <w:t xml:space="preserve">.  Basic study information </w:t>
      </w:r>
      <w:r w:rsidR="008B1B9B" w:rsidRPr="002F4B61">
        <w:rPr>
          <w:sz w:val="22"/>
          <w:szCs w:val="22"/>
        </w:rPr>
        <w:t xml:space="preserve">includes the name of the </w:t>
      </w:r>
      <w:r w:rsidR="00DB7FB8" w:rsidRPr="002F4B61">
        <w:rPr>
          <w:sz w:val="22"/>
          <w:szCs w:val="22"/>
        </w:rPr>
        <w:t>PIs</w:t>
      </w:r>
      <w:r w:rsidRPr="002F4B61">
        <w:rPr>
          <w:sz w:val="22"/>
          <w:szCs w:val="22"/>
        </w:rPr>
        <w:t xml:space="preserve">, funding information, </w:t>
      </w:r>
      <w:r w:rsidR="00C17346" w:rsidRPr="002F4B61">
        <w:rPr>
          <w:sz w:val="22"/>
          <w:szCs w:val="22"/>
        </w:rPr>
        <w:t xml:space="preserve">a </w:t>
      </w:r>
      <w:r w:rsidRPr="002F4B61">
        <w:rPr>
          <w:sz w:val="22"/>
          <w:szCs w:val="22"/>
        </w:rPr>
        <w:t xml:space="preserve">description of the study data, </w:t>
      </w:r>
      <w:r w:rsidR="008D6F19" w:rsidRPr="002F4B61">
        <w:rPr>
          <w:sz w:val="22"/>
          <w:szCs w:val="22"/>
        </w:rPr>
        <w:t>a</w:t>
      </w:r>
      <w:r w:rsidRPr="002F4B61">
        <w:rPr>
          <w:sz w:val="22"/>
          <w:szCs w:val="22"/>
        </w:rPr>
        <w:t xml:space="preserve"> </w:t>
      </w:r>
      <w:r w:rsidR="008D6F19" w:rsidRPr="002F4B61">
        <w:rPr>
          <w:sz w:val="22"/>
          <w:szCs w:val="22"/>
        </w:rPr>
        <w:t xml:space="preserve">statement that secondary researchers can use to </w:t>
      </w:r>
      <w:r w:rsidRPr="002F4B61">
        <w:rPr>
          <w:sz w:val="22"/>
          <w:szCs w:val="22"/>
        </w:rPr>
        <w:t xml:space="preserve">acknowledgement </w:t>
      </w:r>
      <w:r w:rsidR="008D6F19" w:rsidRPr="002F4B61">
        <w:rPr>
          <w:sz w:val="22"/>
          <w:szCs w:val="22"/>
        </w:rPr>
        <w:t>the original data collection</w:t>
      </w:r>
      <w:r w:rsidRPr="002F4B61">
        <w:rPr>
          <w:sz w:val="22"/>
          <w:szCs w:val="22"/>
        </w:rPr>
        <w:t xml:space="preserve">, and a summary of the study. </w:t>
      </w:r>
      <w:r w:rsidR="00700E9B" w:rsidRPr="002F4B61">
        <w:rPr>
          <w:sz w:val="22"/>
          <w:szCs w:val="22"/>
        </w:rPr>
        <w:t xml:space="preserve"> </w:t>
      </w:r>
      <w:r w:rsidRPr="002F4B61">
        <w:rPr>
          <w:sz w:val="22"/>
          <w:szCs w:val="22"/>
        </w:rPr>
        <w:t xml:space="preserve">The institutional certification </w:t>
      </w:r>
      <w:r w:rsidR="00F25ABC" w:rsidRPr="002F4B61">
        <w:rPr>
          <w:sz w:val="22"/>
          <w:szCs w:val="22"/>
        </w:rPr>
        <w:t>confirm</w:t>
      </w:r>
      <w:r w:rsidR="00C320E8" w:rsidRPr="002F4B61">
        <w:rPr>
          <w:sz w:val="22"/>
          <w:szCs w:val="22"/>
        </w:rPr>
        <w:t xml:space="preserve">s that </w:t>
      </w:r>
      <w:r w:rsidR="00111203" w:rsidRPr="002F4B61">
        <w:rPr>
          <w:sz w:val="22"/>
          <w:szCs w:val="22"/>
        </w:rPr>
        <w:t xml:space="preserve">study </w:t>
      </w:r>
      <w:r w:rsidR="000C1F1E" w:rsidRPr="002F4B61">
        <w:rPr>
          <w:sz w:val="22"/>
          <w:szCs w:val="22"/>
        </w:rPr>
        <w:t>registration</w:t>
      </w:r>
      <w:r w:rsidR="00C320E8" w:rsidRPr="002F4B61">
        <w:rPr>
          <w:sz w:val="22"/>
          <w:szCs w:val="22"/>
        </w:rPr>
        <w:t xml:space="preserve"> </w:t>
      </w:r>
      <w:r w:rsidR="00285DC3" w:rsidRPr="002F4B61">
        <w:rPr>
          <w:sz w:val="22"/>
          <w:szCs w:val="22"/>
        </w:rPr>
        <w:t>and data submission are</w:t>
      </w:r>
      <w:r w:rsidR="00C320E8" w:rsidRPr="002F4B61">
        <w:rPr>
          <w:sz w:val="22"/>
          <w:szCs w:val="22"/>
        </w:rPr>
        <w:t xml:space="preserve"> consistent with all applicable laws, regulations, and institutional policies; outlines </w:t>
      </w:r>
      <w:r w:rsidR="009C0FFC" w:rsidRPr="002F4B61">
        <w:rPr>
          <w:sz w:val="22"/>
          <w:szCs w:val="22"/>
        </w:rPr>
        <w:t>data use limitation</w:t>
      </w:r>
      <w:r w:rsidR="00051518" w:rsidRPr="002F4B61">
        <w:rPr>
          <w:sz w:val="22"/>
          <w:szCs w:val="22"/>
        </w:rPr>
        <w:t>s</w:t>
      </w:r>
      <w:r w:rsidR="00C320E8" w:rsidRPr="002F4B61">
        <w:rPr>
          <w:sz w:val="22"/>
          <w:szCs w:val="22"/>
        </w:rPr>
        <w:t xml:space="preserve">; certifies that the identities of research participants will not be disclosed to dbGaP; and </w:t>
      </w:r>
      <w:r w:rsidR="00F25ABC" w:rsidRPr="002F4B61">
        <w:rPr>
          <w:sz w:val="22"/>
          <w:szCs w:val="22"/>
        </w:rPr>
        <w:lastRenderedPageBreak/>
        <w:t xml:space="preserve">documents that an Institutional Review Board </w:t>
      </w:r>
      <w:r w:rsidR="00205F75" w:rsidRPr="002F4B61">
        <w:rPr>
          <w:sz w:val="22"/>
          <w:szCs w:val="22"/>
        </w:rPr>
        <w:t xml:space="preserve">(IRB) </w:t>
      </w:r>
      <w:r w:rsidR="00F25ABC" w:rsidRPr="002F4B61">
        <w:rPr>
          <w:sz w:val="22"/>
          <w:szCs w:val="22"/>
        </w:rPr>
        <w:t>and/or Privacy Board reviewed and approved the plan</w:t>
      </w:r>
      <w:r w:rsidR="00C17346" w:rsidRPr="002F4B61">
        <w:rPr>
          <w:sz w:val="22"/>
          <w:szCs w:val="22"/>
        </w:rPr>
        <w:t xml:space="preserve"> to submit</w:t>
      </w:r>
      <w:r w:rsidR="00630CEA" w:rsidRPr="002F4B61">
        <w:rPr>
          <w:sz w:val="22"/>
          <w:szCs w:val="22"/>
        </w:rPr>
        <w:t xml:space="preserve"> the</w:t>
      </w:r>
      <w:r w:rsidR="00C17346" w:rsidRPr="002F4B61">
        <w:rPr>
          <w:sz w:val="22"/>
          <w:szCs w:val="22"/>
        </w:rPr>
        <w:t xml:space="preserve"> data to dbGaP</w:t>
      </w:r>
      <w:r w:rsidRPr="002F4B61">
        <w:rPr>
          <w:sz w:val="22"/>
          <w:szCs w:val="22"/>
        </w:rPr>
        <w:t xml:space="preserve">. </w:t>
      </w:r>
      <w:r w:rsidR="00700E9B" w:rsidRPr="002F4B61">
        <w:rPr>
          <w:sz w:val="22"/>
          <w:szCs w:val="22"/>
        </w:rPr>
        <w:t xml:space="preserve"> </w:t>
      </w:r>
      <w:r w:rsidR="008A3D6F" w:rsidRPr="002F4B61">
        <w:rPr>
          <w:sz w:val="22"/>
          <w:szCs w:val="22"/>
        </w:rPr>
        <w:t xml:space="preserve">Data files are submitted at the time of registration </w:t>
      </w:r>
      <w:r w:rsidR="00A02E86" w:rsidRPr="002F4B61">
        <w:rPr>
          <w:sz w:val="22"/>
          <w:szCs w:val="22"/>
        </w:rPr>
        <w:t xml:space="preserve">and </w:t>
      </w:r>
      <w:r w:rsidR="008A3D6F" w:rsidRPr="002F4B61">
        <w:rPr>
          <w:sz w:val="22"/>
          <w:szCs w:val="22"/>
        </w:rPr>
        <w:t xml:space="preserve">on an ongoing basis.  </w:t>
      </w:r>
      <w:r w:rsidR="001A077C" w:rsidRPr="002F4B61">
        <w:rPr>
          <w:sz w:val="22"/>
          <w:szCs w:val="22"/>
        </w:rPr>
        <w:t>Attachments 1 and 2</w:t>
      </w:r>
      <w:r w:rsidR="001A077C">
        <w:rPr>
          <w:sz w:val="22"/>
          <w:szCs w:val="22"/>
        </w:rPr>
        <w:t xml:space="preserve"> illustrate </w:t>
      </w:r>
      <w:r w:rsidR="00C7672E" w:rsidRPr="002F4B61">
        <w:rPr>
          <w:sz w:val="22"/>
          <w:szCs w:val="22"/>
        </w:rPr>
        <w:t xml:space="preserve">the information that will be collected </w:t>
      </w:r>
      <w:r w:rsidR="00DC5DCF" w:rsidRPr="002F4B61">
        <w:rPr>
          <w:sz w:val="22"/>
          <w:szCs w:val="22"/>
        </w:rPr>
        <w:t xml:space="preserve">for </w:t>
      </w:r>
      <w:r w:rsidR="00A02E86" w:rsidRPr="002F4B61">
        <w:rPr>
          <w:sz w:val="22"/>
          <w:szCs w:val="22"/>
        </w:rPr>
        <w:t xml:space="preserve">dbGaP </w:t>
      </w:r>
      <w:r w:rsidR="00DC5DCF" w:rsidRPr="002F4B61">
        <w:rPr>
          <w:sz w:val="22"/>
          <w:szCs w:val="22"/>
        </w:rPr>
        <w:t xml:space="preserve">study </w:t>
      </w:r>
      <w:r w:rsidR="00C17346" w:rsidRPr="002F4B61">
        <w:rPr>
          <w:sz w:val="22"/>
          <w:szCs w:val="22"/>
        </w:rPr>
        <w:t>regist</w:t>
      </w:r>
      <w:r w:rsidR="00DC5DCF" w:rsidRPr="002F4B61">
        <w:rPr>
          <w:sz w:val="22"/>
          <w:szCs w:val="22"/>
        </w:rPr>
        <w:t xml:space="preserve">ration </w:t>
      </w:r>
      <w:r w:rsidR="009E2BA4" w:rsidRPr="002F4B61">
        <w:rPr>
          <w:sz w:val="22"/>
          <w:szCs w:val="22"/>
        </w:rPr>
        <w:t>and data submission</w:t>
      </w:r>
      <w:r w:rsidR="00C17346" w:rsidRPr="002F4B61">
        <w:rPr>
          <w:sz w:val="22"/>
          <w:szCs w:val="22"/>
        </w:rPr>
        <w:t>.</w:t>
      </w:r>
    </w:p>
    <w:p w:rsidR="00C5320F" w:rsidRPr="002F4B61" w:rsidRDefault="00C5320F" w:rsidP="00500250">
      <w:pPr>
        <w:ind w:left="720"/>
        <w:rPr>
          <w:b/>
          <w:sz w:val="22"/>
          <w:szCs w:val="22"/>
        </w:rPr>
      </w:pPr>
    </w:p>
    <w:p w:rsidR="00C5320F" w:rsidRPr="002F4B61" w:rsidRDefault="00C5320F" w:rsidP="00821538">
      <w:pPr>
        <w:ind w:firstLine="720"/>
        <w:rPr>
          <w:i/>
          <w:sz w:val="22"/>
          <w:szCs w:val="22"/>
        </w:rPr>
      </w:pPr>
      <w:r w:rsidRPr="002F4B61">
        <w:rPr>
          <w:i/>
          <w:sz w:val="22"/>
          <w:szCs w:val="22"/>
        </w:rPr>
        <w:t xml:space="preserve">Data Access </w:t>
      </w:r>
    </w:p>
    <w:p w:rsidR="00C5320F" w:rsidRPr="002F4B61" w:rsidRDefault="00C5320F" w:rsidP="008338E1">
      <w:pPr>
        <w:ind w:left="720"/>
        <w:rPr>
          <w:sz w:val="22"/>
          <w:szCs w:val="22"/>
        </w:rPr>
      </w:pPr>
    </w:p>
    <w:p w:rsidR="003D3598" w:rsidRPr="002F4B61" w:rsidRDefault="00C5320F" w:rsidP="003D3598">
      <w:pPr>
        <w:ind w:left="720"/>
        <w:rPr>
          <w:sz w:val="22"/>
          <w:szCs w:val="22"/>
        </w:rPr>
      </w:pPr>
      <w:r w:rsidRPr="002F4B61">
        <w:rPr>
          <w:sz w:val="22"/>
          <w:szCs w:val="22"/>
        </w:rPr>
        <w:t>The appl</w:t>
      </w:r>
      <w:r w:rsidR="00FE13A8" w:rsidRPr="002F4B61">
        <w:rPr>
          <w:sz w:val="22"/>
          <w:szCs w:val="22"/>
        </w:rPr>
        <w:t>ication</w:t>
      </w:r>
      <w:r w:rsidRPr="002F4B61">
        <w:rPr>
          <w:sz w:val="22"/>
          <w:szCs w:val="22"/>
        </w:rPr>
        <w:t xml:space="preserve"> </w:t>
      </w:r>
      <w:r w:rsidR="00FE13A8" w:rsidRPr="002F4B61">
        <w:rPr>
          <w:sz w:val="22"/>
          <w:szCs w:val="22"/>
        </w:rPr>
        <w:t xml:space="preserve">to request controlled-access dbGaP </w:t>
      </w:r>
      <w:r w:rsidRPr="002F4B61">
        <w:rPr>
          <w:sz w:val="22"/>
          <w:szCs w:val="22"/>
        </w:rPr>
        <w:t>data include</w:t>
      </w:r>
      <w:r w:rsidR="00FE13A8" w:rsidRPr="002F4B61">
        <w:rPr>
          <w:sz w:val="22"/>
          <w:szCs w:val="22"/>
        </w:rPr>
        <w:t>s</w:t>
      </w:r>
      <w:r w:rsidRPr="002F4B61">
        <w:rPr>
          <w:sz w:val="22"/>
          <w:szCs w:val="22"/>
        </w:rPr>
        <w:t xml:space="preserve"> information about the credentials of the </w:t>
      </w:r>
      <w:r w:rsidR="00DB7FB8" w:rsidRPr="002F4B61">
        <w:rPr>
          <w:sz w:val="22"/>
          <w:szCs w:val="22"/>
        </w:rPr>
        <w:t>PIs</w:t>
      </w:r>
      <w:r w:rsidR="001F0923" w:rsidRPr="002F4B61">
        <w:rPr>
          <w:sz w:val="22"/>
          <w:szCs w:val="22"/>
        </w:rPr>
        <w:t xml:space="preserve"> </w:t>
      </w:r>
      <w:r w:rsidR="00FE13A8" w:rsidRPr="002F4B61">
        <w:rPr>
          <w:sz w:val="22"/>
          <w:szCs w:val="22"/>
        </w:rPr>
        <w:t xml:space="preserve">requesting </w:t>
      </w:r>
      <w:r w:rsidRPr="002F4B61">
        <w:rPr>
          <w:sz w:val="22"/>
          <w:szCs w:val="22"/>
        </w:rPr>
        <w:t>data access</w:t>
      </w:r>
      <w:r w:rsidR="00C17346" w:rsidRPr="002F4B61">
        <w:rPr>
          <w:sz w:val="22"/>
          <w:szCs w:val="22"/>
        </w:rPr>
        <w:t>;</w:t>
      </w:r>
      <w:r w:rsidRPr="002F4B61">
        <w:rPr>
          <w:sz w:val="22"/>
          <w:szCs w:val="22"/>
        </w:rPr>
        <w:t xml:space="preserve"> the proposed use of the data</w:t>
      </w:r>
      <w:r w:rsidR="00564D69" w:rsidRPr="002F4B61">
        <w:rPr>
          <w:sz w:val="22"/>
          <w:szCs w:val="22"/>
        </w:rPr>
        <w:t>;</w:t>
      </w:r>
      <w:r w:rsidRPr="002F4B61">
        <w:rPr>
          <w:sz w:val="22"/>
          <w:szCs w:val="22"/>
        </w:rPr>
        <w:t xml:space="preserve"> an agreement to comply with NIH policies and the</w:t>
      </w:r>
      <w:r w:rsidR="007755FE" w:rsidRPr="002F4B61">
        <w:rPr>
          <w:sz w:val="22"/>
          <w:szCs w:val="22"/>
        </w:rPr>
        <w:t xml:space="preserve"> </w:t>
      </w:r>
      <w:r w:rsidR="007755FE" w:rsidRPr="002F4B61">
        <w:rPr>
          <w:spacing w:val="3"/>
          <w:sz w:val="22"/>
          <w:szCs w:val="22"/>
        </w:rPr>
        <w:t>NIH Genomic Data User Code of Conduct</w:t>
      </w:r>
      <w:r w:rsidR="002A1EB7" w:rsidRPr="002F4B61">
        <w:rPr>
          <w:sz w:val="22"/>
          <w:szCs w:val="22"/>
        </w:rPr>
        <w:t>;</w:t>
      </w:r>
      <w:r w:rsidR="00FE13A8" w:rsidRPr="002F4B61">
        <w:rPr>
          <w:rStyle w:val="FootnoteReference"/>
          <w:sz w:val="22"/>
          <w:szCs w:val="22"/>
        </w:rPr>
        <w:footnoteReference w:id="5"/>
      </w:r>
      <w:r w:rsidRPr="002F4B61">
        <w:rPr>
          <w:sz w:val="22"/>
          <w:szCs w:val="22"/>
        </w:rPr>
        <w:t xml:space="preserve"> and</w:t>
      </w:r>
      <w:r w:rsidR="002A1EB7" w:rsidRPr="002F4B61">
        <w:rPr>
          <w:sz w:val="22"/>
          <w:szCs w:val="22"/>
        </w:rPr>
        <w:t xml:space="preserve"> </w:t>
      </w:r>
      <w:r w:rsidRPr="002F4B61">
        <w:rPr>
          <w:sz w:val="22"/>
          <w:szCs w:val="22"/>
        </w:rPr>
        <w:t xml:space="preserve">certification by </w:t>
      </w:r>
      <w:r w:rsidR="00C17346" w:rsidRPr="002F4B61">
        <w:rPr>
          <w:sz w:val="22"/>
          <w:szCs w:val="22"/>
        </w:rPr>
        <w:t>a</w:t>
      </w:r>
      <w:r w:rsidR="001F0923" w:rsidRPr="002F4B61">
        <w:rPr>
          <w:sz w:val="22"/>
          <w:szCs w:val="22"/>
        </w:rPr>
        <w:t xml:space="preserve">n </w:t>
      </w:r>
      <w:r w:rsidR="00145207" w:rsidRPr="002F4B61">
        <w:rPr>
          <w:sz w:val="22"/>
          <w:szCs w:val="22"/>
        </w:rPr>
        <w:t>I</w:t>
      </w:r>
      <w:r w:rsidR="001F0923" w:rsidRPr="002F4B61">
        <w:rPr>
          <w:sz w:val="22"/>
          <w:szCs w:val="22"/>
        </w:rPr>
        <w:t xml:space="preserve">nstitutional </w:t>
      </w:r>
      <w:r w:rsidR="00145207" w:rsidRPr="002F4B61">
        <w:rPr>
          <w:sz w:val="22"/>
          <w:szCs w:val="22"/>
        </w:rPr>
        <w:t>S</w:t>
      </w:r>
      <w:r w:rsidR="001F0923" w:rsidRPr="002F4B61">
        <w:rPr>
          <w:sz w:val="22"/>
          <w:szCs w:val="22"/>
        </w:rPr>
        <w:t xml:space="preserve">igning </w:t>
      </w:r>
      <w:r w:rsidR="00145207" w:rsidRPr="002F4B61">
        <w:rPr>
          <w:sz w:val="22"/>
          <w:szCs w:val="22"/>
        </w:rPr>
        <w:t>O</w:t>
      </w:r>
      <w:r w:rsidR="00C17346" w:rsidRPr="002F4B61">
        <w:rPr>
          <w:sz w:val="22"/>
          <w:szCs w:val="22"/>
        </w:rPr>
        <w:t xml:space="preserve">fficial at the PI’s </w:t>
      </w:r>
      <w:r w:rsidRPr="002F4B61">
        <w:rPr>
          <w:sz w:val="22"/>
          <w:szCs w:val="22"/>
        </w:rPr>
        <w:t>institution</w:t>
      </w:r>
      <w:r w:rsidR="007402D0" w:rsidRPr="002F4B61">
        <w:rPr>
          <w:sz w:val="22"/>
          <w:szCs w:val="22"/>
        </w:rPr>
        <w:t xml:space="preserve"> </w:t>
      </w:r>
      <w:r w:rsidRPr="002F4B61">
        <w:rPr>
          <w:sz w:val="22"/>
          <w:szCs w:val="22"/>
        </w:rPr>
        <w:t xml:space="preserve">that data will not be sold, distributed, re-identified, or used by unauthorized users and collaborators not named in the </w:t>
      </w:r>
      <w:r w:rsidR="008A1009" w:rsidRPr="002F4B61">
        <w:rPr>
          <w:sz w:val="22"/>
          <w:szCs w:val="22"/>
        </w:rPr>
        <w:t>DAR</w:t>
      </w:r>
      <w:r w:rsidRPr="002F4B61">
        <w:rPr>
          <w:sz w:val="22"/>
          <w:szCs w:val="22"/>
        </w:rPr>
        <w:t xml:space="preserve">. </w:t>
      </w:r>
      <w:r w:rsidR="00700E9B" w:rsidRPr="002F4B61">
        <w:rPr>
          <w:sz w:val="22"/>
          <w:szCs w:val="22"/>
        </w:rPr>
        <w:t xml:space="preserve"> </w:t>
      </w:r>
      <w:r w:rsidR="007402D0" w:rsidRPr="002F4B61">
        <w:rPr>
          <w:sz w:val="22"/>
          <w:szCs w:val="22"/>
        </w:rPr>
        <w:t>R</w:t>
      </w:r>
      <w:r w:rsidRPr="002F4B61">
        <w:rPr>
          <w:sz w:val="22"/>
          <w:szCs w:val="22"/>
        </w:rPr>
        <w:t xml:space="preserve">equests </w:t>
      </w:r>
      <w:r w:rsidR="007402D0" w:rsidRPr="002F4B61">
        <w:rPr>
          <w:sz w:val="22"/>
          <w:szCs w:val="22"/>
        </w:rPr>
        <w:t xml:space="preserve">to renew data access </w:t>
      </w:r>
      <w:r w:rsidRPr="002F4B61">
        <w:rPr>
          <w:sz w:val="22"/>
          <w:szCs w:val="22"/>
        </w:rPr>
        <w:t xml:space="preserve">and reports </w:t>
      </w:r>
      <w:r w:rsidR="007402D0" w:rsidRPr="002F4B61">
        <w:rPr>
          <w:sz w:val="22"/>
          <w:szCs w:val="22"/>
        </w:rPr>
        <w:t>to close out data use are</w:t>
      </w:r>
      <w:r w:rsidR="00603130" w:rsidRPr="002F4B61">
        <w:rPr>
          <w:sz w:val="22"/>
          <w:szCs w:val="22"/>
        </w:rPr>
        <w:t xml:space="preserve"> similar to the initial DAR but also ask for</w:t>
      </w:r>
      <w:r w:rsidRPr="002F4B61">
        <w:rPr>
          <w:sz w:val="22"/>
          <w:szCs w:val="22"/>
        </w:rPr>
        <w:t xml:space="preserve"> information about </w:t>
      </w:r>
      <w:r w:rsidR="00603130" w:rsidRPr="002F4B61">
        <w:rPr>
          <w:sz w:val="22"/>
          <w:szCs w:val="22"/>
        </w:rPr>
        <w:t xml:space="preserve">publications, presentations, or intellectual property based on the </w:t>
      </w:r>
      <w:r w:rsidR="009E2BA4" w:rsidRPr="002F4B61">
        <w:rPr>
          <w:sz w:val="22"/>
          <w:szCs w:val="22"/>
        </w:rPr>
        <w:t xml:space="preserve">research conducted with the </w:t>
      </w:r>
      <w:r w:rsidR="00603130" w:rsidRPr="002F4B61">
        <w:rPr>
          <w:sz w:val="22"/>
          <w:szCs w:val="22"/>
        </w:rPr>
        <w:t>accessed data as well as any data security issues or other data management incidents.</w:t>
      </w:r>
      <w:r w:rsidRPr="002F4B61">
        <w:rPr>
          <w:sz w:val="22"/>
          <w:szCs w:val="22"/>
        </w:rPr>
        <w:t xml:space="preserve"> </w:t>
      </w:r>
      <w:r w:rsidR="003902BB" w:rsidRPr="002F4B61">
        <w:rPr>
          <w:sz w:val="22"/>
          <w:szCs w:val="22"/>
        </w:rPr>
        <w:t xml:space="preserve"> </w:t>
      </w:r>
    </w:p>
    <w:p w:rsidR="00C5320F" w:rsidRPr="002F4B61" w:rsidRDefault="00C5320F" w:rsidP="00E26A09">
      <w:pPr>
        <w:rPr>
          <w:sz w:val="22"/>
          <w:szCs w:val="22"/>
        </w:rPr>
      </w:pPr>
    </w:p>
    <w:p w:rsidR="00C7672E" w:rsidRPr="002F4B61" w:rsidRDefault="00C5320F" w:rsidP="002A1EB7">
      <w:pPr>
        <w:ind w:left="720"/>
        <w:rPr>
          <w:sz w:val="22"/>
          <w:szCs w:val="22"/>
        </w:rPr>
      </w:pPr>
      <w:r w:rsidRPr="002F4B61">
        <w:rPr>
          <w:sz w:val="22"/>
          <w:szCs w:val="22"/>
        </w:rPr>
        <w:t>A</w:t>
      </w:r>
      <w:r w:rsidR="00C57171" w:rsidRPr="002F4B61">
        <w:rPr>
          <w:sz w:val="22"/>
          <w:szCs w:val="22"/>
        </w:rPr>
        <w:t>s a</w:t>
      </w:r>
      <w:r w:rsidRPr="002F4B61">
        <w:rPr>
          <w:sz w:val="22"/>
          <w:szCs w:val="22"/>
        </w:rPr>
        <w:t xml:space="preserve"> prerequisite to applying for </w:t>
      </w:r>
      <w:r w:rsidR="00C57171" w:rsidRPr="002F4B61">
        <w:rPr>
          <w:sz w:val="22"/>
          <w:szCs w:val="22"/>
        </w:rPr>
        <w:t>controlled-</w:t>
      </w:r>
      <w:r w:rsidRPr="002F4B61">
        <w:rPr>
          <w:sz w:val="22"/>
          <w:szCs w:val="22"/>
        </w:rPr>
        <w:t>access data</w:t>
      </w:r>
      <w:r w:rsidR="00C57171" w:rsidRPr="002F4B61">
        <w:rPr>
          <w:sz w:val="22"/>
          <w:szCs w:val="22"/>
        </w:rPr>
        <w:t>,</w:t>
      </w:r>
      <w:r w:rsidRPr="002F4B61">
        <w:rPr>
          <w:sz w:val="22"/>
          <w:szCs w:val="22"/>
        </w:rPr>
        <w:t xml:space="preserve"> the </w:t>
      </w:r>
      <w:r w:rsidR="008A1009" w:rsidRPr="002F4B61">
        <w:rPr>
          <w:sz w:val="22"/>
          <w:szCs w:val="22"/>
        </w:rPr>
        <w:t>PI and</w:t>
      </w:r>
      <w:r w:rsidR="00145207" w:rsidRPr="002F4B61">
        <w:rPr>
          <w:sz w:val="22"/>
          <w:szCs w:val="22"/>
        </w:rPr>
        <w:t xml:space="preserve"> Institutional</w:t>
      </w:r>
      <w:r w:rsidR="008A1009" w:rsidRPr="002F4B61">
        <w:rPr>
          <w:sz w:val="22"/>
          <w:szCs w:val="22"/>
        </w:rPr>
        <w:t xml:space="preserve"> </w:t>
      </w:r>
      <w:r w:rsidR="00C57171" w:rsidRPr="002F4B61">
        <w:rPr>
          <w:sz w:val="22"/>
          <w:szCs w:val="22"/>
        </w:rPr>
        <w:t xml:space="preserve">Signing Official must </w:t>
      </w:r>
      <w:r w:rsidRPr="002F4B61">
        <w:rPr>
          <w:sz w:val="22"/>
          <w:szCs w:val="22"/>
        </w:rPr>
        <w:t>be registered in</w:t>
      </w:r>
      <w:r w:rsidR="009443B6" w:rsidRPr="002F4B61">
        <w:rPr>
          <w:sz w:val="22"/>
          <w:szCs w:val="22"/>
        </w:rPr>
        <w:t xml:space="preserve"> </w:t>
      </w:r>
      <w:r w:rsidR="007A42C4" w:rsidRPr="002F4B61">
        <w:rPr>
          <w:sz w:val="22"/>
          <w:szCs w:val="22"/>
        </w:rPr>
        <w:t xml:space="preserve">the </w:t>
      </w:r>
      <w:r w:rsidR="00C57171" w:rsidRPr="002F4B61">
        <w:rPr>
          <w:sz w:val="22"/>
          <w:szCs w:val="22"/>
        </w:rPr>
        <w:t>electronic Research Administration (</w:t>
      </w:r>
      <w:r w:rsidRPr="002F4B61">
        <w:rPr>
          <w:sz w:val="22"/>
          <w:szCs w:val="22"/>
        </w:rPr>
        <w:t>eRA</w:t>
      </w:r>
      <w:r w:rsidR="00C57171" w:rsidRPr="002F4B61">
        <w:rPr>
          <w:sz w:val="22"/>
          <w:szCs w:val="22"/>
        </w:rPr>
        <w:t>)</w:t>
      </w:r>
      <w:r w:rsidRPr="002F4B61">
        <w:rPr>
          <w:sz w:val="22"/>
          <w:szCs w:val="22"/>
        </w:rPr>
        <w:t xml:space="preserve"> Commons</w:t>
      </w:r>
      <w:r w:rsidR="00AB23D3" w:rsidRPr="002F4B61">
        <w:rPr>
          <w:sz w:val="22"/>
          <w:szCs w:val="22"/>
        </w:rPr>
        <w:t>.</w:t>
      </w:r>
      <w:r w:rsidRPr="002F4B61">
        <w:rPr>
          <w:rStyle w:val="FootnoteReference"/>
          <w:sz w:val="22"/>
          <w:szCs w:val="22"/>
        </w:rPr>
        <w:footnoteReference w:id="6"/>
      </w:r>
      <w:r w:rsidR="00AB23D3" w:rsidRPr="002F4B61">
        <w:rPr>
          <w:sz w:val="22"/>
          <w:szCs w:val="22"/>
        </w:rPr>
        <w:t xml:space="preserve"> </w:t>
      </w:r>
      <w:r w:rsidR="00700E9B" w:rsidRPr="002F4B61">
        <w:rPr>
          <w:sz w:val="22"/>
          <w:szCs w:val="22"/>
        </w:rPr>
        <w:t xml:space="preserve"> </w:t>
      </w:r>
      <w:r w:rsidR="002A142F" w:rsidRPr="002F4B61">
        <w:rPr>
          <w:sz w:val="22"/>
          <w:szCs w:val="22"/>
        </w:rPr>
        <w:t xml:space="preserve">Most PIs seeking access to dbGaP data have already registered with </w:t>
      </w:r>
      <w:r w:rsidR="00997F52" w:rsidRPr="002F4B61">
        <w:rPr>
          <w:sz w:val="22"/>
          <w:szCs w:val="22"/>
        </w:rPr>
        <w:t>eRA Commons in</w:t>
      </w:r>
      <w:r w:rsidR="002A142F" w:rsidRPr="002F4B61">
        <w:rPr>
          <w:sz w:val="22"/>
          <w:szCs w:val="22"/>
        </w:rPr>
        <w:t xml:space="preserve"> apply</w:t>
      </w:r>
      <w:r w:rsidR="00997F52" w:rsidRPr="002F4B61">
        <w:rPr>
          <w:sz w:val="22"/>
          <w:szCs w:val="22"/>
        </w:rPr>
        <w:t>ing</w:t>
      </w:r>
      <w:r w:rsidR="002A142F" w:rsidRPr="002F4B61">
        <w:rPr>
          <w:sz w:val="22"/>
          <w:szCs w:val="22"/>
        </w:rPr>
        <w:t xml:space="preserve"> for </w:t>
      </w:r>
      <w:r w:rsidR="00997F52" w:rsidRPr="002F4B61">
        <w:rPr>
          <w:sz w:val="22"/>
          <w:szCs w:val="22"/>
        </w:rPr>
        <w:t xml:space="preserve">NIH </w:t>
      </w:r>
      <w:r w:rsidR="002A142F" w:rsidRPr="002F4B61">
        <w:rPr>
          <w:sz w:val="22"/>
          <w:szCs w:val="22"/>
        </w:rPr>
        <w:t xml:space="preserve">funding.  </w:t>
      </w:r>
      <w:r w:rsidR="00997F52" w:rsidRPr="002F4B61">
        <w:rPr>
          <w:sz w:val="22"/>
          <w:szCs w:val="22"/>
        </w:rPr>
        <w:t xml:space="preserve">For PIs not previously registered in eRA Commons, this step is not expected to add significantly to the burden.  </w:t>
      </w:r>
      <w:r w:rsidRPr="002F4B61">
        <w:rPr>
          <w:sz w:val="22"/>
          <w:szCs w:val="22"/>
        </w:rPr>
        <w:t xml:space="preserve">Several of the mandatory fields in the </w:t>
      </w:r>
      <w:r w:rsidR="008A1009" w:rsidRPr="002F4B61">
        <w:rPr>
          <w:sz w:val="22"/>
          <w:szCs w:val="22"/>
        </w:rPr>
        <w:t>DAR</w:t>
      </w:r>
      <w:r w:rsidR="001E4365" w:rsidRPr="002F4B61">
        <w:rPr>
          <w:sz w:val="22"/>
          <w:szCs w:val="22"/>
        </w:rPr>
        <w:t xml:space="preserve"> form</w:t>
      </w:r>
      <w:r w:rsidRPr="002F4B61">
        <w:rPr>
          <w:sz w:val="22"/>
          <w:szCs w:val="22"/>
        </w:rPr>
        <w:t xml:space="preserve"> will </w:t>
      </w:r>
      <w:r w:rsidR="007B32C7" w:rsidRPr="002F4B61">
        <w:rPr>
          <w:sz w:val="22"/>
          <w:szCs w:val="22"/>
        </w:rPr>
        <w:t xml:space="preserve">be automatically filled </w:t>
      </w:r>
      <w:r w:rsidRPr="002F4B61">
        <w:rPr>
          <w:sz w:val="22"/>
          <w:szCs w:val="22"/>
        </w:rPr>
        <w:t>based on eRA registration information</w:t>
      </w:r>
      <w:r w:rsidR="004A704F" w:rsidRPr="002F4B61">
        <w:rPr>
          <w:sz w:val="22"/>
          <w:szCs w:val="22"/>
        </w:rPr>
        <w:t>, and most fields in the renewal and clos</w:t>
      </w:r>
      <w:r w:rsidR="004A3D9D" w:rsidRPr="002F4B61">
        <w:rPr>
          <w:sz w:val="22"/>
          <w:szCs w:val="22"/>
        </w:rPr>
        <w:t>e-</w:t>
      </w:r>
      <w:r w:rsidR="004A704F" w:rsidRPr="002F4B61">
        <w:rPr>
          <w:sz w:val="22"/>
          <w:szCs w:val="22"/>
        </w:rPr>
        <w:t xml:space="preserve">out request will be </w:t>
      </w:r>
      <w:r w:rsidR="00B0300C" w:rsidRPr="002F4B61">
        <w:rPr>
          <w:sz w:val="22"/>
          <w:szCs w:val="22"/>
        </w:rPr>
        <w:t xml:space="preserve">automatically filled from the initial DAR form. </w:t>
      </w:r>
      <w:r w:rsidRPr="002F4B61">
        <w:rPr>
          <w:sz w:val="22"/>
          <w:szCs w:val="22"/>
        </w:rPr>
        <w:t xml:space="preserve"> </w:t>
      </w:r>
      <w:r w:rsidR="001A077C" w:rsidRPr="002F4B61">
        <w:rPr>
          <w:sz w:val="22"/>
          <w:szCs w:val="22"/>
        </w:rPr>
        <w:t>Attachment 3</w:t>
      </w:r>
      <w:r w:rsidR="001A077C">
        <w:rPr>
          <w:sz w:val="22"/>
          <w:szCs w:val="22"/>
        </w:rPr>
        <w:t xml:space="preserve"> illustrates </w:t>
      </w:r>
      <w:r w:rsidR="002A1EB7" w:rsidRPr="002F4B61">
        <w:rPr>
          <w:sz w:val="22"/>
          <w:szCs w:val="22"/>
        </w:rPr>
        <w:t xml:space="preserve">the information that will be collected for data access. </w:t>
      </w:r>
    </w:p>
    <w:p w:rsidR="00C5320F" w:rsidRPr="002F4B61" w:rsidRDefault="00C5320F" w:rsidP="0098310C">
      <w:pPr>
        <w:ind w:left="720"/>
        <w:rPr>
          <w:sz w:val="22"/>
          <w:szCs w:val="22"/>
        </w:rPr>
      </w:pPr>
    </w:p>
    <w:p w:rsidR="00C5320F" w:rsidRPr="002F4B61" w:rsidRDefault="00C5320F" w:rsidP="00325557">
      <w:pPr>
        <w:tabs>
          <w:tab w:val="left" w:pos="720"/>
        </w:tabs>
        <w:rPr>
          <w:b/>
          <w:sz w:val="22"/>
          <w:szCs w:val="22"/>
        </w:rPr>
      </w:pPr>
      <w:r w:rsidRPr="002F4B61">
        <w:rPr>
          <w:b/>
          <w:sz w:val="22"/>
          <w:szCs w:val="22"/>
        </w:rPr>
        <w:t>A.3</w:t>
      </w:r>
      <w:r w:rsidRPr="002F4B61">
        <w:rPr>
          <w:b/>
          <w:sz w:val="22"/>
          <w:szCs w:val="22"/>
        </w:rPr>
        <w:tab/>
        <w:t>Use of Improved Information Technology and Burden Reduction</w:t>
      </w:r>
    </w:p>
    <w:p w:rsidR="00C5320F" w:rsidRPr="002F4B61" w:rsidRDefault="00C5320F" w:rsidP="00B657E7">
      <w:pPr>
        <w:ind w:left="720"/>
        <w:rPr>
          <w:color w:val="000000"/>
          <w:sz w:val="22"/>
          <w:szCs w:val="22"/>
        </w:rPr>
      </w:pPr>
    </w:p>
    <w:p w:rsidR="00C5320F" w:rsidRPr="002F4B61" w:rsidRDefault="005E79C7" w:rsidP="00494929">
      <w:pPr>
        <w:ind w:left="720"/>
        <w:rPr>
          <w:sz w:val="22"/>
          <w:szCs w:val="22"/>
        </w:rPr>
      </w:pPr>
      <w:r w:rsidRPr="002F4B61">
        <w:rPr>
          <w:color w:val="000000"/>
          <w:sz w:val="22"/>
          <w:szCs w:val="22"/>
        </w:rPr>
        <w:t xml:space="preserve">In lieu of using the time-consuming paperwork </w:t>
      </w:r>
      <w:r w:rsidR="00306A16" w:rsidRPr="002F4B61">
        <w:rPr>
          <w:color w:val="000000"/>
          <w:sz w:val="22"/>
          <w:szCs w:val="22"/>
        </w:rPr>
        <w:t xml:space="preserve">traditionally </w:t>
      </w:r>
      <w:r w:rsidRPr="002F4B61">
        <w:rPr>
          <w:color w:val="000000"/>
          <w:sz w:val="22"/>
          <w:szCs w:val="22"/>
        </w:rPr>
        <w:t xml:space="preserve">completed by </w:t>
      </w:r>
      <w:r w:rsidR="00DB7FB8" w:rsidRPr="002F4B61">
        <w:rPr>
          <w:sz w:val="22"/>
          <w:szCs w:val="22"/>
        </w:rPr>
        <w:t>PIs</w:t>
      </w:r>
      <w:r w:rsidRPr="002F4B61">
        <w:rPr>
          <w:color w:val="000000"/>
          <w:sz w:val="22"/>
          <w:szCs w:val="22"/>
        </w:rPr>
        <w:t xml:space="preserve"> and submitted </w:t>
      </w:r>
      <w:r w:rsidR="00E23D8D" w:rsidRPr="002F4B61">
        <w:rPr>
          <w:color w:val="000000"/>
          <w:sz w:val="22"/>
          <w:szCs w:val="22"/>
        </w:rPr>
        <w:t xml:space="preserve">to </w:t>
      </w:r>
      <w:r w:rsidRPr="002F4B61">
        <w:rPr>
          <w:color w:val="000000"/>
          <w:sz w:val="22"/>
          <w:szCs w:val="22"/>
        </w:rPr>
        <w:t xml:space="preserve">NIH program staff, </w:t>
      </w:r>
      <w:r w:rsidR="00E23D8D" w:rsidRPr="002F4B61">
        <w:rPr>
          <w:color w:val="000000"/>
          <w:sz w:val="22"/>
          <w:szCs w:val="22"/>
        </w:rPr>
        <w:t xml:space="preserve">NCBI </w:t>
      </w:r>
      <w:r w:rsidRPr="002F4B61">
        <w:rPr>
          <w:color w:val="000000"/>
          <w:sz w:val="22"/>
          <w:szCs w:val="22"/>
        </w:rPr>
        <w:t>has created an</w:t>
      </w:r>
      <w:r w:rsidR="00C5320F" w:rsidRPr="002F4B61">
        <w:rPr>
          <w:color w:val="000000"/>
          <w:sz w:val="22"/>
          <w:szCs w:val="22"/>
        </w:rPr>
        <w:t xml:space="preserve"> </w:t>
      </w:r>
      <w:r w:rsidR="00F41975" w:rsidRPr="002F4B61">
        <w:rPr>
          <w:color w:val="000000"/>
          <w:sz w:val="22"/>
          <w:szCs w:val="22"/>
        </w:rPr>
        <w:t xml:space="preserve">online system to register </w:t>
      </w:r>
      <w:r w:rsidR="00651F0E" w:rsidRPr="002F4B61">
        <w:rPr>
          <w:color w:val="000000"/>
          <w:sz w:val="22"/>
          <w:szCs w:val="22"/>
        </w:rPr>
        <w:t>stud</w:t>
      </w:r>
      <w:r w:rsidR="00F41975" w:rsidRPr="002F4B61">
        <w:rPr>
          <w:color w:val="000000"/>
          <w:sz w:val="22"/>
          <w:szCs w:val="22"/>
        </w:rPr>
        <w:t xml:space="preserve">ies, submit data, and request access to </w:t>
      </w:r>
      <w:r w:rsidR="00C5320F" w:rsidRPr="002F4B61">
        <w:rPr>
          <w:color w:val="000000"/>
          <w:sz w:val="22"/>
          <w:szCs w:val="22"/>
        </w:rPr>
        <w:t>data</w:t>
      </w:r>
      <w:r w:rsidR="00E23D8D" w:rsidRPr="002F4B61">
        <w:rPr>
          <w:color w:val="000000"/>
          <w:sz w:val="22"/>
          <w:szCs w:val="22"/>
        </w:rPr>
        <w:t>.  The online system will allow</w:t>
      </w:r>
      <w:r w:rsidR="00C5320F" w:rsidRPr="002F4B61">
        <w:rPr>
          <w:color w:val="000000"/>
          <w:sz w:val="22"/>
          <w:szCs w:val="22"/>
        </w:rPr>
        <w:t xml:space="preserve"> </w:t>
      </w:r>
      <w:r w:rsidR="00DB7FB8" w:rsidRPr="002F4B61">
        <w:rPr>
          <w:sz w:val="22"/>
          <w:szCs w:val="22"/>
        </w:rPr>
        <w:t>PIs</w:t>
      </w:r>
      <w:r w:rsidRPr="002F4B61">
        <w:rPr>
          <w:color w:val="000000"/>
          <w:sz w:val="22"/>
          <w:szCs w:val="22"/>
        </w:rPr>
        <w:t xml:space="preserve"> to submit their information directly </w:t>
      </w:r>
      <w:r w:rsidR="00E23D8D" w:rsidRPr="002F4B61">
        <w:rPr>
          <w:color w:val="000000"/>
          <w:sz w:val="22"/>
          <w:szCs w:val="22"/>
        </w:rPr>
        <w:t xml:space="preserve">to dbGaP, </w:t>
      </w:r>
      <w:r w:rsidRPr="002F4B61">
        <w:rPr>
          <w:color w:val="000000"/>
          <w:sz w:val="22"/>
          <w:szCs w:val="22"/>
        </w:rPr>
        <w:t>there</w:t>
      </w:r>
      <w:r w:rsidR="00E23D8D" w:rsidRPr="002F4B61">
        <w:rPr>
          <w:color w:val="000000"/>
          <w:sz w:val="22"/>
          <w:szCs w:val="22"/>
        </w:rPr>
        <w:t>by</w:t>
      </w:r>
      <w:r w:rsidR="00C5320F" w:rsidRPr="002F4B61">
        <w:rPr>
          <w:color w:val="000000"/>
          <w:sz w:val="22"/>
          <w:szCs w:val="22"/>
        </w:rPr>
        <w:t xml:space="preserve"> minimiz</w:t>
      </w:r>
      <w:r w:rsidRPr="002F4B61">
        <w:rPr>
          <w:color w:val="000000"/>
          <w:sz w:val="22"/>
          <w:szCs w:val="22"/>
        </w:rPr>
        <w:t>ing</w:t>
      </w:r>
      <w:r w:rsidR="00C5320F" w:rsidRPr="002F4B61">
        <w:rPr>
          <w:color w:val="000000"/>
          <w:sz w:val="22"/>
          <w:szCs w:val="22"/>
        </w:rPr>
        <w:t xml:space="preserve"> burden</w:t>
      </w:r>
      <w:r w:rsidR="00B42F0E" w:rsidRPr="002F4B61">
        <w:rPr>
          <w:color w:val="000000"/>
          <w:sz w:val="22"/>
          <w:szCs w:val="22"/>
        </w:rPr>
        <w:t xml:space="preserve"> </w:t>
      </w:r>
      <w:r w:rsidRPr="002F4B61">
        <w:rPr>
          <w:color w:val="000000"/>
          <w:sz w:val="22"/>
          <w:szCs w:val="22"/>
        </w:rPr>
        <w:t xml:space="preserve">not only for </w:t>
      </w:r>
      <w:r w:rsidR="00DB7FB8" w:rsidRPr="002F4B61">
        <w:rPr>
          <w:sz w:val="22"/>
          <w:szCs w:val="22"/>
        </w:rPr>
        <w:t>PIs</w:t>
      </w:r>
      <w:r w:rsidR="008745FF" w:rsidRPr="002F4B61">
        <w:rPr>
          <w:sz w:val="22"/>
          <w:szCs w:val="22"/>
        </w:rPr>
        <w:t xml:space="preserve"> </w:t>
      </w:r>
      <w:r w:rsidR="008745FF" w:rsidRPr="002F4B61">
        <w:rPr>
          <w:color w:val="000000"/>
          <w:sz w:val="22"/>
          <w:szCs w:val="22"/>
        </w:rPr>
        <w:t>but</w:t>
      </w:r>
      <w:r w:rsidRPr="002F4B61">
        <w:rPr>
          <w:color w:val="000000"/>
          <w:sz w:val="22"/>
          <w:szCs w:val="22"/>
        </w:rPr>
        <w:t xml:space="preserve"> also for NIH program staff</w:t>
      </w:r>
      <w:r w:rsidR="00C5320F" w:rsidRPr="002F4B61">
        <w:rPr>
          <w:color w:val="000000"/>
          <w:sz w:val="22"/>
          <w:szCs w:val="22"/>
        </w:rPr>
        <w:t xml:space="preserve">.  </w:t>
      </w:r>
      <w:r w:rsidR="00306A16" w:rsidRPr="002F4B61">
        <w:rPr>
          <w:color w:val="000000"/>
          <w:sz w:val="22"/>
          <w:szCs w:val="22"/>
        </w:rPr>
        <w:t xml:space="preserve">The online system </w:t>
      </w:r>
      <w:r w:rsidR="00E23D8D" w:rsidRPr="002F4B61">
        <w:rPr>
          <w:color w:val="000000"/>
          <w:sz w:val="22"/>
          <w:szCs w:val="22"/>
        </w:rPr>
        <w:t xml:space="preserve">uses </w:t>
      </w:r>
      <w:r w:rsidR="00306A16" w:rsidRPr="002F4B61">
        <w:rPr>
          <w:color w:val="000000"/>
          <w:sz w:val="22"/>
          <w:szCs w:val="22"/>
        </w:rPr>
        <w:t>time-saving features</w:t>
      </w:r>
      <w:r w:rsidR="00431A3A" w:rsidRPr="002F4B61">
        <w:rPr>
          <w:color w:val="000000"/>
          <w:sz w:val="22"/>
          <w:szCs w:val="22"/>
        </w:rPr>
        <w:t>,</w:t>
      </w:r>
      <w:r w:rsidR="00306A16" w:rsidRPr="002F4B61">
        <w:rPr>
          <w:color w:val="000000"/>
          <w:sz w:val="22"/>
          <w:szCs w:val="22"/>
        </w:rPr>
        <w:t xml:space="preserve"> such as</w:t>
      </w:r>
      <w:r w:rsidR="008B7CF3" w:rsidRPr="002F4B61">
        <w:rPr>
          <w:color w:val="000000"/>
          <w:sz w:val="22"/>
          <w:szCs w:val="22"/>
        </w:rPr>
        <w:t xml:space="preserve"> </w:t>
      </w:r>
      <w:r w:rsidR="00C5320F" w:rsidRPr="002F4B61">
        <w:rPr>
          <w:color w:val="000000"/>
          <w:sz w:val="22"/>
          <w:szCs w:val="22"/>
        </w:rPr>
        <w:t xml:space="preserve">the use of pull-down and scrolling menus to </w:t>
      </w:r>
      <w:r w:rsidR="003A324D" w:rsidRPr="002F4B61">
        <w:rPr>
          <w:color w:val="000000"/>
          <w:sz w:val="22"/>
          <w:szCs w:val="22"/>
        </w:rPr>
        <w:t xml:space="preserve">fill </w:t>
      </w:r>
      <w:r w:rsidR="000866F4" w:rsidRPr="002F4B61">
        <w:rPr>
          <w:color w:val="000000"/>
          <w:sz w:val="22"/>
          <w:szCs w:val="22"/>
        </w:rPr>
        <w:t xml:space="preserve">data </w:t>
      </w:r>
      <w:r w:rsidR="00C5320F" w:rsidRPr="002F4B61">
        <w:rPr>
          <w:color w:val="000000"/>
          <w:sz w:val="22"/>
          <w:szCs w:val="22"/>
        </w:rPr>
        <w:t xml:space="preserve">fields, “find as you type” (or “type ahead”) functionality, and text fields </w:t>
      </w:r>
      <w:r w:rsidR="00B42F0E" w:rsidRPr="002F4B61">
        <w:rPr>
          <w:color w:val="000000"/>
          <w:sz w:val="22"/>
          <w:szCs w:val="22"/>
        </w:rPr>
        <w:t xml:space="preserve">that allow </w:t>
      </w:r>
      <w:r w:rsidR="00DB7FB8" w:rsidRPr="002F4B61">
        <w:rPr>
          <w:sz w:val="22"/>
          <w:szCs w:val="22"/>
        </w:rPr>
        <w:t>PIs</w:t>
      </w:r>
      <w:r w:rsidR="00B42F0E" w:rsidRPr="002F4B61">
        <w:rPr>
          <w:color w:val="000000"/>
          <w:sz w:val="22"/>
          <w:szCs w:val="22"/>
        </w:rPr>
        <w:t xml:space="preserve"> </w:t>
      </w:r>
      <w:r w:rsidR="00C5320F" w:rsidRPr="002F4B61">
        <w:rPr>
          <w:color w:val="000000"/>
          <w:sz w:val="22"/>
          <w:szCs w:val="22"/>
        </w:rPr>
        <w:t>to cut</w:t>
      </w:r>
      <w:r w:rsidR="00CF1E64" w:rsidRPr="002F4B61">
        <w:rPr>
          <w:color w:val="000000"/>
          <w:sz w:val="22"/>
          <w:szCs w:val="22"/>
        </w:rPr>
        <w:t xml:space="preserve"> </w:t>
      </w:r>
      <w:r w:rsidR="00C5320F" w:rsidRPr="002F4B61">
        <w:rPr>
          <w:color w:val="000000"/>
          <w:sz w:val="22"/>
          <w:szCs w:val="22"/>
        </w:rPr>
        <w:t>and</w:t>
      </w:r>
      <w:r w:rsidR="00CF1E64" w:rsidRPr="002F4B61">
        <w:rPr>
          <w:color w:val="000000"/>
          <w:sz w:val="22"/>
          <w:szCs w:val="22"/>
        </w:rPr>
        <w:t xml:space="preserve"> </w:t>
      </w:r>
      <w:r w:rsidR="00C5320F" w:rsidRPr="002F4B61">
        <w:rPr>
          <w:color w:val="000000"/>
          <w:sz w:val="22"/>
          <w:szCs w:val="22"/>
        </w:rPr>
        <w:t xml:space="preserve">paste information from other sources. </w:t>
      </w:r>
      <w:r w:rsidR="00700E9B" w:rsidRPr="002F4B61">
        <w:rPr>
          <w:color w:val="000000"/>
          <w:sz w:val="22"/>
          <w:szCs w:val="22"/>
        </w:rPr>
        <w:t xml:space="preserve"> </w:t>
      </w:r>
      <w:r w:rsidR="00C5320F" w:rsidRPr="002F4B61">
        <w:rPr>
          <w:color w:val="000000"/>
          <w:sz w:val="22"/>
          <w:szCs w:val="22"/>
        </w:rPr>
        <w:t xml:space="preserve">Where possible, </w:t>
      </w:r>
      <w:r w:rsidR="00A655F9" w:rsidRPr="002F4B61">
        <w:rPr>
          <w:color w:val="000000"/>
          <w:sz w:val="22"/>
          <w:szCs w:val="22"/>
        </w:rPr>
        <w:t xml:space="preserve">data </w:t>
      </w:r>
      <w:r w:rsidR="00C5320F" w:rsidRPr="002F4B61">
        <w:rPr>
          <w:color w:val="000000"/>
          <w:sz w:val="22"/>
          <w:szCs w:val="22"/>
        </w:rPr>
        <w:t xml:space="preserve">fields are automatically </w:t>
      </w:r>
      <w:r w:rsidR="00CF1E64" w:rsidRPr="002F4B61">
        <w:rPr>
          <w:color w:val="000000"/>
          <w:sz w:val="22"/>
          <w:szCs w:val="22"/>
        </w:rPr>
        <w:t>filled</w:t>
      </w:r>
      <w:r w:rsidR="00A655F9" w:rsidRPr="002F4B61">
        <w:rPr>
          <w:color w:val="000000"/>
          <w:sz w:val="22"/>
          <w:szCs w:val="22"/>
        </w:rPr>
        <w:t xml:space="preserve"> with information from other data sources</w:t>
      </w:r>
      <w:r w:rsidR="00C5320F" w:rsidRPr="002F4B61">
        <w:rPr>
          <w:color w:val="000000"/>
          <w:sz w:val="22"/>
          <w:szCs w:val="22"/>
        </w:rPr>
        <w:t xml:space="preserve">, </w:t>
      </w:r>
      <w:r w:rsidR="00A655F9" w:rsidRPr="002F4B61">
        <w:rPr>
          <w:color w:val="000000"/>
          <w:sz w:val="22"/>
          <w:szCs w:val="22"/>
        </w:rPr>
        <w:t>such as eRA Commons</w:t>
      </w:r>
      <w:r w:rsidR="004A3D9D" w:rsidRPr="002F4B61">
        <w:rPr>
          <w:color w:val="000000"/>
          <w:sz w:val="22"/>
          <w:szCs w:val="22"/>
        </w:rPr>
        <w:t xml:space="preserve">, which provides the </w:t>
      </w:r>
      <w:r w:rsidR="00DB7FB8" w:rsidRPr="002F4B61">
        <w:rPr>
          <w:sz w:val="22"/>
          <w:szCs w:val="22"/>
        </w:rPr>
        <w:t>PI</w:t>
      </w:r>
      <w:r w:rsidR="004A3D9D" w:rsidRPr="002F4B61">
        <w:rPr>
          <w:color w:val="000000"/>
          <w:sz w:val="22"/>
          <w:szCs w:val="22"/>
        </w:rPr>
        <w:t xml:space="preserve">’s name, institution, and </w:t>
      </w:r>
      <w:r w:rsidR="00CB50E7" w:rsidRPr="002F4B61">
        <w:rPr>
          <w:color w:val="000000"/>
          <w:sz w:val="22"/>
          <w:szCs w:val="22"/>
        </w:rPr>
        <w:t>I</w:t>
      </w:r>
      <w:r w:rsidR="004A3D9D" w:rsidRPr="002F4B61">
        <w:rPr>
          <w:color w:val="000000"/>
          <w:sz w:val="22"/>
          <w:szCs w:val="22"/>
        </w:rPr>
        <w:t xml:space="preserve">nstitutional Signing Official.  Also, information from one online form can be used to pre-fill data fields on subsequent </w:t>
      </w:r>
      <w:r w:rsidR="008C0078" w:rsidRPr="002F4B61">
        <w:rPr>
          <w:color w:val="000000"/>
          <w:sz w:val="22"/>
          <w:szCs w:val="22"/>
        </w:rPr>
        <w:t>forms</w:t>
      </w:r>
      <w:r w:rsidR="00431A3A" w:rsidRPr="002F4B61">
        <w:rPr>
          <w:color w:val="000000"/>
          <w:sz w:val="22"/>
          <w:szCs w:val="22"/>
        </w:rPr>
        <w:t>.</w:t>
      </w:r>
      <w:r w:rsidR="008C0078" w:rsidRPr="002F4B61">
        <w:rPr>
          <w:color w:val="000000"/>
          <w:sz w:val="22"/>
          <w:szCs w:val="22"/>
        </w:rPr>
        <w:t xml:space="preserve"> For</w:t>
      </w:r>
      <w:r w:rsidR="00C5320F" w:rsidRPr="002F4B61">
        <w:rPr>
          <w:color w:val="000000"/>
          <w:sz w:val="22"/>
          <w:szCs w:val="22"/>
        </w:rPr>
        <w:t xml:space="preserve"> example,</w:t>
      </w:r>
      <w:r w:rsidR="00963E9B" w:rsidRPr="002F4B61">
        <w:rPr>
          <w:color w:val="000000"/>
          <w:sz w:val="22"/>
          <w:szCs w:val="22"/>
        </w:rPr>
        <w:t xml:space="preserve"> information from a DAR will be used to pre-fill many of the data fields on the renewal and close-out forms</w:t>
      </w:r>
      <w:r w:rsidR="00431A3A" w:rsidRPr="002F4B61">
        <w:rPr>
          <w:color w:val="000000"/>
          <w:sz w:val="22"/>
          <w:szCs w:val="22"/>
        </w:rPr>
        <w:t>.</w:t>
      </w:r>
      <w:r w:rsidR="00C5320F" w:rsidRPr="002F4B61">
        <w:rPr>
          <w:color w:val="000000"/>
          <w:sz w:val="22"/>
          <w:szCs w:val="22"/>
        </w:rPr>
        <w:t xml:space="preserve"> </w:t>
      </w:r>
      <w:r w:rsidR="00700E9B" w:rsidRPr="002F4B61">
        <w:rPr>
          <w:color w:val="000000"/>
          <w:sz w:val="22"/>
          <w:szCs w:val="22"/>
        </w:rPr>
        <w:t xml:space="preserve"> </w:t>
      </w:r>
      <w:r w:rsidR="00C5320F" w:rsidRPr="002F4B61">
        <w:rPr>
          <w:color w:val="000000"/>
          <w:sz w:val="22"/>
          <w:szCs w:val="22"/>
        </w:rPr>
        <w:t xml:space="preserve">In addition, the data entry system has been designed to allow </w:t>
      </w:r>
      <w:r w:rsidR="00DB7FB8" w:rsidRPr="002F4B61">
        <w:rPr>
          <w:sz w:val="22"/>
          <w:szCs w:val="22"/>
        </w:rPr>
        <w:t>PIs</w:t>
      </w:r>
      <w:r w:rsidR="008B7CF3" w:rsidRPr="002F4B61">
        <w:rPr>
          <w:color w:val="000000"/>
          <w:sz w:val="22"/>
          <w:szCs w:val="22"/>
        </w:rPr>
        <w:t xml:space="preserve"> </w:t>
      </w:r>
      <w:r w:rsidR="00082F66" w:rsidRPr="002F4B61">
        <w:rPr>
          <w:color w:val="000000"/>
          <w:sz w:val="22"/>
          <w:szCs w:val="22"/>
        </w:rPr>
        <w:t xml:space="preserve">to </w:t>
      </w:r>
      <w:r w:rsidR="00F41975" w:rsidRPr="002F4B61">
        <w:rPr>
          <w:color w:val="000000"/>
          <w:sz w:val="22"/>
          <w:szCs w:val="22"/>
        </w:rPr>
        <w:t>submit</w:t>
      </w:r>
      <w:r w:rsidR="00082F66" w:rsidRPr="002F4B61">
        <w:rPr>
          <w:color w:val="000000"/>
          <w:sz w:val="22"/>
          <w:szCs w:val="22"/>
        </w:rPr>
        <w:t xml:space="preserve"> their</w:t>
      </w:r>
      <w:r w:rsidR="00F41975" w:rsidRPr="002F4B61">
        <w:rPr>
          <w:color w:val="000000"/>
          <w:sz w:val="22"/>
          <w:szCs w:val="22"/>
        </w:rPr>
        <w:t xml:space="preserve"> </w:t>
      </w:r>
      <w:r w:rsidR="00C5320F" w:rsidRPr="002F4B61">
        <w:rPr>
          <w:color w:val="000000"/>
          <w:sz w:val="22"/>
          <w:szCs w:val="22"/>
        </w:rPr>
        <w:t>data in a</w:t>
      </w:r>
      <w:r w:rsidR="00082F66" w:rsidRPr="002F4B61">
        <w:rPr>
          <w:color w:val="000000"/>
          <w:sz w:val="22"/>
          <w:szCs w:val="22"/>
        </w:rPr>
        <w:t>ny</w:t>
      </w:r>
      <w:r w:rsidR="00C5320F" w:rsidRPr="002F4B61">
        <w:rPr>
          <w:color w:val="000000"/>
          <w:sz w:val="22"/>
          <w:szCs w:val="22"/>
        </w:rPr>
        <w:t xml:space="preserve"> format.</w:t>
      </w:r>
    </w:p>
    <w:p w:rsidR="00C5320F" w:rsidRPr="002F4B61" w:rsidRDefault="00C5320F">
      <w:pPr>
        <w:rPr>
          <w:sz w:val="22"/>
          <w:szCs w:val="22"/>
        </w:rPr>
      </w:pPr>
    </w:p>
    <w:p w:rsidR="00C5320F" w:rsidRPr="002F4B61" w:rsidRDefault="00C5320F" w:rsidP="0079728D">
      <w:pPr>
        <w:tabs>
          <w:tab w:val="left" w:pos="720"/>
        </w:tabs>
        <w:rPr>
          <w:b/>
          <w:sz w:val="22"/>
          <w:szCs w:val="22"/>
        </w:rPr>
      </w:pPr>
      <w:r w:rsidRPr="002F4B61">
        <w:rPr>
          <w:b/>
          <w:sz w:val="22"/>
          <w:szCs w:val="22"/>
        </w:rPr>
        <w:t>A.4</w:t>
      </w:r>
      <w:r w:rsidRPr="002F4B61">
        <w:rPr>
          <w:b/>
          <w:sz w:val="22"/>
          <w:szCs w:val="22"/>
        </w:rPr>
        <w:tab/>
        <w:t>Efforts to Identify Duplication and Use of Similar Information</w:t>
      </w:r>
    </w:p>
    <w:p w:rsidR="00C5320F" w:rsidRPr="002F4B61" w:rsidRDefault="00C5320F" w:rsidP="0079728D">
      <w:pPr>
        <w:tabs>
          <w:tab w:val="left" w:pos="720"/>
        </w:tabs>
        <w:rPr>
          <w:b/>
          <w:sz w:val="22"/>
          <w:szCs w:val="22"/>
        </w:rPr>
      </w:pPr>
    </w:p>
    <w:p w:rsidR="00C5320F" w:rsidRPr="002F4B61" w:rsidRDefault="00C5320F" w:rsidP="00494929">
      <w:pPr>
        <w:ind w:left="720"/>
        <w:rPr>
          <w:sz w:val="22"/>
          <w:szCs w:val="22"/>
        </w:rPr>
      </w:pPr>
      <w:r w:rsidRPr="002F4B61">
        <w:rPr>
          <w:sz w:val="22"/>
          <w:szCs w:val="22"/>
        </w:rPr>
        <w:t xml:space="preserve">Currently, no comparable </w:t>
      </w:r>
      <w:r w:rsidR="007A1521" w:rsidRPr="002F4B61">
        <w:rPr>
          <w:sz w:val="22"/>
          <w:szCs w:val="22"/>
        </w:rPr>
        <w:t xml:space="preserve">genomic data </w:t>
      </w:r>
      <w:r w:rsidR="00BE2037" w:rsidRPr="002F4B61">
        <w:rPr>
          <w:sz w:val="22"/>
          <w:szCs w:val="22"/>
        </w:rPr>
        <w:t>repository exists</w:t>
      </w:r>
      <w:r w:rsidRPr="002F4B61">
        <w:rPr>
          <w:sz w:val="22"/>
          <w:szCs w:val="22"/>
        </w:rPr>
        <w:t>.</w:t>
      </w:r>
      <w:r w:rsidR="00306A16" w:rsidRPr="002F4B61">
        <w:rPr>
          <w:sz w:val="22"/>
          <w:szCs w:val="22"/>
        </w:rPr>
        <w:t xml:space="preserve">  dbGaP is unique in that it provides a single site </w:t>
      </w:r>
      <w:r w:rsidR="007A0766" w:rsidRPr="002F4B61">
        <w:rPr>
          <w:sz w:val="22"/>
          <w:szCs w:val="22"/>
        </w:rPr>
        <w:t xml:space="preserve">for </w:t>
      </w:r>
      <w:r w:rsidR="00306A16" w:rsidRPr="002F4B61">
        <w:rPr>
          <w:sz w:val="22"/>
          <w:szCs w:val="22"/>
        </w:rPr>
        <w:t>all NIH-funded genomic research</w:t>
      </w:r>
      <w:r w:rsidR="00EF12C1" w:rsidRPr="002F4B61">
        <w:rPr>
          <w:sz w:val="22"/>
          <w:szCs w:val="22"/>
        </w:rPr>
        <w:t xml:space="preserve"> studies</w:t>
      </w:r>
      <w:r w:rsidR="00306A16" w:rsidRPr="002F4B61">
        <w:rPr>
          <w:sz w:val="22"/>
          <w:szCs w:val="22"/>
        </w:rPr>
        <w:t>, in addition to some non-NIH</w:t>
      </w:r>
      <w:r w:rsidR="00EF12C1" w:rsidRPr="002F4B61">
        <w:rPr>
          <w:sz w:val="22"/>
          <w:szCs w:val="22"/>
        </w:rPr>
        <w:t>-</w:t>
      </w:r>
      <w:r w:rsidR="00306A16" w:rsidRPr="002F4B61">
        <w:rPr>
          <w:sz w:val="22"/>
          <w:szCs w:val="22"/>
        </w:rPr>
        <w:t xml:space="preserve">funded genomic research studies.  </w:t>
      </w:r>
    </w:p>
    <w:p w:rsidR="00C5320F" w:rsidRDefault="00C5320F" w:rsidP="00955FAD">
      <w:pPr>
        <w:ind w:left="720"/>
        <w:rPr>
          <w:sz w:val="22"/>
          <w:szCs w:val="22"/>
        </w:rPr>
      </w:pPr>
    </w:p>
    <w:p w:rsidR="001A077C" w:rsidRPr="002F4B61" w:rsidRDefault="001A077C" w:rsidP="00955FAD">
      <w:pPr>
        <w:ind w:left="720"/>
        <w:rPr>
          <w:sz w:val="22"/>
          <w:szCs w:val="22"/>
        </w:rPr>
      </w:pPr>
    </w:p>
    <w:p w:rsidR="00C5320F" w:rsidRPr="002F4B61" w:rsidRDefault="00C5320F" w:rsidP="0079728D">
      <w:pPr>
        <w:tabs>
          <w:tab w:val="left" w:pos="720"/>
          <w:tab w:val="left" w:pos="810"/>
        </w:tabs>
        <w:rPr>
          <w:b/>
          <w:sz w:val="22"/>
          <w:szCs w:val="22"/>
        </w:rPr>
      </w:pPr>
      <w:r w:rsidRPr="002F4B61">
        <w:rPr>
          <w:b/>
          <w:sz w:val="22"/>
          <w:szCs w:val="22"/>
        </w:rPr>
        <w:lastRenderedPageBreak/>
        <w:t>A.5</w:t>
      </w:r>
      <w:r w:rsidRPr="002F4B61">
        <w:rPr>
          <w:b/>
          <w:sz w:val="22"/>
          <w:szCs w:val="22"/>
        </w:rPr>
        <w:tab/>
        <w:t>Impact on Small Businesses or Other Small Entities</w:t>
      </w:r>
    </w:p>
    <w:p w:rsidR="00C5320F" w:rsidRPr="002F4B61" w:rsidRDefault="00C5320F" w:rsidP="00111A8A">
      <w:pPr>
        <w:rPr>
          <w:sz w:val="22"/>
          <w:szCs w:val="22"/>
        </w:rPr>
      </w:pPr>
    </w:p>
    <w:p w:rsidR="00C5320F" w:rsidRPr="002F4B61" w:rsidRDefault="009E000C" w:rsidP="0098310C">
      <w:pPr>
        <w:ind w:left="720"/>
        <w:rPr>
          <w:sz w:val="22"/>
          <w:szCs w:val="22"/>
        </w:rPr>
      </w:pPr>
      <w:r w:rsidRPr="002F4B61">
        <w:rPr>
          <w:sz w:val="22"/>
          <w:szCs w:val="22"/>
        </w:rPr>
        <w:t>The information</w:t>
      </w:r>
      <w:r w:rsidR="00CB7D19" w:rsidRPr="002F4B61">
        <w:rPr>
          <w:sz w:val="22"/>
          <w:szCs w:val="22"/>
        </w:rPr>
        <w:t xml:space="preserve"> collection does not have a differential effect on small businesses</w:t>
      </w:r>
      <w:r w:rsidRPr="002F4B61">
        <w:rPr>
          <w:sz w:val="22"/>
          <w:szCs w:val="22"/>
        </w:rPr>
        <w:t xml:space="preserve">.  </w:t>
      </w:r>
    </w:p>
    <w:p w:rsidR="00C5320F" w:rsidRPr="002F4B61" w:rsidRDefault="00C5320F" w:rsidP="00B14D59">
      <w:pPr>
        <w:ind w:left="720"/>
        <w:rPr>
          <w:sz w:val="22"/>
          <w:szCs w:val="22"/>
        </w:rPr>
      </w:pPr>
    </w:p>
    <w:p w:rsidR="00C5320F" w:rsidRPr="002F4B61" w:rsidRDefault="00C5320F" w:rsidP="0079728D">
      <w:pPr>
        <w:rPr>
          <w:b/>
          <w:sz w:val="22"/>
          <w:szCs w:val="22"/>
        </w:rPr>
      </w:pPr>
      <w:r w:rsidRPr="002F4B61">
        <w:rPr>
          <w:b/>
          <w:sz w:val="22"/>
          <w:szCs w:val="22"/>
        </w:rPr>
        <w:t>A.6</w:t>
      </w:r>
      <w:r w:rsidRPr="002F4B61">
        <w:rPr>
          <w:b/>
          <w:sz w:val="22"/>
          <w:szCs w:val="22"/>
        </w:rPr>
        <w:tab/>
        <w:t>Consequences of Collecting the Information Less Frequently</w:t>
      </w:r>
    </w:p>
    <w:p w:rsidR="00C5320F" w:rsidRPr="002F4B61" w:rsidRDefault="00C5320F" w:rsidP="0079728D">
      <w:pPr>
        <w:rPr>
          <w:b/>
          <w:sz w:val="22"/>
          <w:szCs w:val="22"/>
        </w:rPr>
      </w:pPr>
    </w:p>
    <w:p w:rsidR="00C5320F" w:rsidRPr="002F4B61" w:rsidRDefault="00F57205" w:rsidP="00A7264D">
      <w:pPr>
        <w:ind w:left="720"/>
        <w:rPr>
          <w:sz w:val="22"/>
          <w:szCs w:val="22"/>
        </w:rPr>
      </w:pPr>
      <w:r w:rsidRPr="002F4B61">
        <w:rPr>
          <w:sz w:val="22"/>
          <w:szCs w:val="22"/>
        </w:rPr>
        <w:t xml:space="preserve">Delaying submission of the </w:t>
      </w:r>
      <w:r w:rsidR="009A1D20" w:rsidRPr="002F4B61">
        <w:rPr>
          <w:sz w:val="22"/>
          <w:szCs w:val="22"/>
        </w:rPr>
        <w:t xml:space="preserve">information </w:t>
      </w:r>
      <w:r w:rsidR="00CD4A24" w:rsidRPr="002F4B61">
        <w:rPr>
          <w:sz w:val="22"/>
          <w:szCs w:val="22"/>
        </w:rPr>
        <w:t xml:space="preserve">to dbGaP </w:t>
      </w:r>
      <w:r w:rsidRPr="002F4B61">
        <w:rPr>
          <w:sz w:val="22"/>
          <w:szCs w:val="22"/>
        </w:rPr>
        <w:t>would impede secondary studies</w:t>
      </w:r>
      <w:r w:rsidR="009A1D20" w:rsidRPr="002F4B61">
        <w:rPr>
          <w:sz w:val="22"/>
          <w:szCs w:val="22"/>
        </w:rPr>
        <w:t xml:space="preserve"> of data in dbGaP</w:t>
      </w:r>
      <w:r w:rsidRPr="002F4B61">
        <w:rPr>
          <w:sz w:val="22"/>
          <w:szCs w:val="22"/>
        </w:rPr>
        <w:t xml:space="preserve"> and lessen the value of NIH’s investment.</w:t>
      </w:r>
    </w:p>
    <w:p w:rsidR="00C5320F" w:rsidRPr="002F4B61" w:rsidRDefault="00C5320F" w:rsidP="00A7264D">
      <w:pPr>
        <w:ind w:left="720"/>
        <w:rPr>
          <w:sz w:val="22"/>
          <w:szCs w:val="22"/>
        </w:rPr>
      </w:pPr>
    </w:p>
    <w:p w:rsidR="00C5320F" w:rsidRPr="002F4B61" w:rsidRDefault="00C5320F" w:rsidP="00511B06">
      <w:pPr>
        <w:tabs>
          <w:tab w:val="left" w:pos="5760"/>
        </w:tabs>
        <w:ind w:left="720"/>
        <w:rPr>
          <w:sz w:val="22"/>
          <w:szCs w:val="22"/>
        </w:rPr>
      </w:pPr>
      <w:r w:rsidRPr="002F4B61">
        <w:rPr>
          <w:sz w:val="22"/>
          <w:szCs w:val="22"/>
        </w:rPr>
        <w:t xml:space="preserve">Following the initial request and </w:t>
      </w:r>
      <w:r w:rsidR="00C6679B" w:rsidRPr="002F4B61">
        <w:rPr>
          <w:sz w:val="22"/>
          <w:szCs w:val="22"/>
        </w:rPr>
        <w:t xml:space="preserve">approval to use controlled-access </w:t>
      </w:r>
      <w:r w:rsidRPr="002F4B61">
        <w:rPr>
          <w:sz w:val="22"/>
          <w:szCs w:val="22"/>
        </w:rPr>
        <w:t xml:space="preserve">data, </w:t>
      </w:r>
      <w:r w:rsidR="008E4C3F" w:rsidRPr="002F4B61">
        <w:rPr>
          <w:sz w:val="22"/>
          <w:szCs w:val="22"/>
        </w:rPr>
        <w:t>requeste</w:t>
      </w:r>
      <w:r w:rsidR="007B3962" w:rsidRPr="002F4B61">
        <w:rPr>
          <w:sz w:val="22"/>
          <w:szCs w:val="22"/>
        </w:rPr>
        <w:t>r</w:t>
      </w:r>
      <w:r w:rsidRPr="002F4B61">
        <w:rPr>
          <w:sz w:val="22"/>
          <w:szCs w:val="22"/>
        </w:rPr>
        <w:t xml:space="preserve">s must provide </w:t>
      </w:r>
      <w:r w:rsidR="009A1D20" w:rsidRPr="002F4B61">
        <w:rPr>
          <w:sz w:val="22"/>
          <w:szCs w:val="22"/>
        </w:rPr>
        <w:t xml:space="preserve">annual </w:t>
      </w:r>
      <w:r w:rsidRPr="002F4B61">
        <w:rPr>
          <w:sz w:val="22"/>
          <w:szCs w:val="22"/>
        </w:rPr>
        <w:t>updates on their research progress</w:t>
      </w:r>
      <w:r w:rsidR="00C6679B" w:rsidRPr="002F4B61">
        <w:rPr>
          <w:sz w:val="22"/>
          <w:szCs w:val="22"/>
        </w:rPr>
        <w:t xml:space="preserve"> and</w:t>
      </w:r>
      <w:r w:rsidRPr="002F4B61">
        <w:rPr>
          <w:sz w:val="22"/>
          <w:szCs w:val="22"/>
        </w:rPr>
        <w:t xml:space="preserve"> renew access to the dataset</w:t>
      </w:r>
      <w:r w:rsidR="00C6679B" w:rsidRPr="002F4B61">
        <w:rPr>
          <w:sz w:val="22"/>
          <w:szCs w:val="22"/>
        </w:rPr>
        <w:t>(s)</w:t>
      </w:r>
      <w:r w:rsidRPr="002F4B61">
        <w:rPr>
          <w:sz w:val="22"/>
          <w:szCs w:val="22"/>
        </w:rPr>
        <w:t xml:space="preserve"> for another year or close-out access to the dataset</w:t>
      </w:r>
      <w:r w:rsidR="00C6679B" w:rsidRPr="002F4B61">
        <w:rPr>
          <w:sz w:val="22"/>
          <w:szCs w:val="22"/>
        </w:rPr>
        <w:t>(s)</w:t>
      </w:r>
      <w:r w:rsidRPr="002F4B61">
        <w:rPr>
          <w:sz w:val="22"/>
          <w:szCs w:val="22"/>
        </w:rPr>
        <w:t xml:space="preserve">. </w:t>
      </w:r>
      <w:r w:rsidR="00700E9B" w:rsidRPr="002F4B61">
        <w:rPr>
          <w:sz w:val="22"/>
          <w:szCs w:val="22"/>
        </w:rPr>
        <w:t xml:space="preserve"> </w:t>
      </w:r>
      <w:r w:rsidRPr="002F4B61">
        <w:rPr>
          <w:sz w:val="22"/>
          <w:szCs w:val="22"/>
        </w:rPr>
        <w:t>The consequence of not submitting th</w:t>
      </w:r>
      <w:r w:rsidR="00392650" w:rsidRPr="002F4B61">
        <w:rPr>
          <w:sz w:val="22"/>
          <w:szCs w:val="22"/>
        </w:rPr>
        <w:t>e required</w:t>
      </w:r>
      <w:r w:rsidRPr="002F4B61">
        <w:rPr>
          <w:sz w:val="22"/>
          <w:szCs w:val="22"/>
        </w:rPr>
        <w:t xml:space="preserve"> information annually is </w:t>
      </w:r>
      <w:r w:rsidR="00336E21" w:rsidRPr="002F4B61">
        <w:rPr>
          <w:sz w:val="22"/>
          <w:szCs w:val="22"/>
        </w:rPr>
        <w:t>reduced NIH oversight of dbGaP data and reduced knowledge of how the data are being used, possibly leading to an increased rate of adverse data management incidents.</w:t>
      </w:r>
    </w:p>
    <w:p w:rsidR="00C5320F" w:rsidRPr="002F4B61" w:rsidRDefault="00C5320F" w:rsidP="00B14D59">
      <w:pPr>
        <w:ind w:left="720" w:hanging="720"/>
        <w:rPr>
          <w:b/>
          <w:sz w:val="22"/>
          <w:szCs w:val="22"/>
        </w:rPr>
      </w:pPr>
    </w:p>
    <w:p w:rsidR="00C5320F" w:rsidRPr="002F4B61" w:rsidRDefault="00C5320F" w:rsidP="0079728D">
      <w:pPr>
        <w:rPr>
          <w:b/>
          <w:sz w:val="22"/>
          <w:szCs w:val="22"/>
        </w:rPr>
      </w:pPr>
      <w:r w:rsidRPr="002F4B61">
        <w:rPr>
          <w:b/>
          <w:sz w:val="22"/>
          <w:szCs w:val="22"/>
        </w:rPr>
        <w:t xml:space="preserve">A.7 </w:t>
      </w:r>
      <w:r w:rsidRPr="002F4B61">
        <w:rPr>
          <w:b/>
          <w:sz w:val="22"/>
          <w:szCs w:val="22"/>
        </w:rPr>
        <w:tab/>
        <w:t>Special Circumstances Relating to the Guidelines of 5 CFR 1320.5</w:t>
      </w:r>
    </w:p>
    <w:p w:rsidR="00C5320F" w:rsidRPr="002F4B61" w:rsidRDefault="00C5320F">
      <w:pPr>
        <w:rPr>
          <w:sz w:val="22"/>
          <w:szCs w:val="22"/>
        </w:rPr>
      </w:pPr>
    </w:p>
    <w:p w:rsidR="00C5320F" w:rsidRPr="002F4B61" w:rsidRDefault="00C5320F" w:rsidP="00D00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sidRPr="002F4B61">
        <w:rPr>
          <w:sz w:val="22"/>
          <w:szCs w:val="22"/>
        </w:rPr>
        <w:t xml:space="preserve">This collection fully complies with 5 CFR 1320.5.  </w:t>
      </w:r>
    </w:p>
    <w:p w:rsidR="00C5320F" w:rsidRPr="002F4B61" w:rsidRDefault="00C5320F" w:rsidP="00D048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C5320F" w:rsidRPr="002F4B61" w:rsidRDefault="00C5320F" w:rsidP="0079728D">
      <w:pPr>
        <w:ind w:left="720" w:hanging="720"/>
        <w:rPr>
          <w:b/>
          <w:sz w:val="22"/>
          <w:szCs w:val="22"/>
        </w:rPr>
      </w:pPr>
      <w:r w:rsidRPr="002F4B61">
        <w:rPr>
          <w:b/>
          <w:sz w:val="22"/>
          <w:szCs w:val="22"/>
        </w:rPr>
        <w:t>A.8</w:t>
      </w:r>
      <w:r w:rsidRPr="002F4B61">
        <w:rPr>
          <w:b/>
          <w:sz w:val="22"/>
          <w:szCs w:val="22"/>
        </w:rPr>
        <w:tab/>
        <w:t>Comments in Response to the Federal Register Notice and Efforts to Consult Outside the Agency</w:t>
      </w:r>
    </w:p>
    <w:p w:rsidR="00C5320F" w:rsidRPr="002F4B61" w:rsidRDefault="00C5320F">
      <w:pPr>
        <w:rPr>
          <w:b/>
          <w:sz w:val="22"/>
          <w:szCs w:val="22"/>
        </w:rPr>
      </w:pPr>
    </w:p>
    <w:p w:rsidR="00C5320F" w:rsidRPr="002F4B61" w:rsidRDefault="00C5320F" w:rsidP="00B32710">
      <w:pPr>
        <w:ind w:left="720"/>
        <w:rPr>
          <w:sz w:val="22"/>
          <w:szCs w:val="22"/>
        </w:rPr>
      </w:pPr>
      <w:r w:rsidRPr="002F4B61">
        <w:rPr>
          <w:sz w:val="22"/>
          <w:szCs w:val="22"/>
        </w:rPr>
        <w:t xml:space="preserve">In accordance with 5 CFR 1320.8(d), </w:t>
      </w:r>
      <w:r w:rsidR="00392650" w:rsidRPr="002F4B61">
        <w:rPr>
          <w:sz w:val="22"/>
          <w:szCs w:val="22"/>
        </w:rPr>
        <w:t xml:space="preserve">the proposed information collection was published </w:t>
      </w:r>
      <w:r w:rsidRPr="002F4B61">
        <w:rPr>
          <w:sz w:val="22"/>
          <w:szCs w:val="22"/>
        </w:rPr>
        <w:t xml:space="preserve">in the </w:t>
      </w:r>
      <w:r w:rsidR="00B450D3" w:rsidRPr="002F4B61">
        <w:rPr>
          <w:i/>
          <w:sz w:val="22"/>
          <w:szCs w:val="22"/>
        </w:rPr>
        <w:t>Federal Register</w:t>
      </w:r>
      <w:r w:rsidRPr="002F4B61">
        <w:rPr>
          <w:sz w:val="22"/>
          <w:szCs w:val="22"/>
        </w:rPr>
        <w:t xml:space="preserve"> </w:t>
      </w:r>
      <w:r w:rsidR="00BB67AE" w:rsidRPr="002F4B61">
        <w:rPr>
          <w:sz w:val="22"/>
          <w:szCs w:val="22"/>
        </w:rPr>
        <w:t xml:space="preserve">(FR) on </w:t>
      </w:r>
      <w:r w:rsidR="00A741FB">
        <w:rPr>
          <w:sz w:val="22"/>
          <w:szCs w:val="22"/>
        </w:rPr>
        <w:t xml:space="preserve">October 5, 2012, </w:t>
      </w:r>
      <w:r w:rsidR="00BB67AE" w:rsidRPr="002F4B61">
        <w:rPr>
          <w:sz w:val="22"/>
          <w:szCs w:val="22"/>
        </w:rPr>
        <w:t>(</w:t>
      </w:r>
      <w:r w:rsidR="00A741FB">
        <w:rPr>
          <w:sz w:val="22"/>
          <w:szCs w:val="22"/>
        </w:rPr>
        <w:t>77 FR 61008</w:t>
      </w:r>
      <w:r w:rsidR="00BB67AE" w:rsidRPr="002F4B61">
        <w:rPr>
          <w:sz w:val="22"/>
          <w:szCs w:val="22"/>
        </w:rPr>
        <w:t xml:space="preserve">) and allowed 60 days for public comment.  </w:t>
      </w:r>
      <w:r w:rsidR="00A741FB">
        <w:rPr>
          <w:sz w:val="22"/>
          <w:szCs w:val="22"/>
        </w:rPr>
        <w:t xml:space="preserve">No </w:t>
      </w:r>
      <w:r w:rsidR="00BB67AE" w:rsidRPr="002F4B61">
        <w:rPr>
          <w:sz w:val="22"/>
          <w:szCs w:val="22"/>
        </w:rPr>
        <w:t xml:space="preserve">public comments were received.  </w:t>
      </w:r>
    </w:p>
    <w:p w:rsidR="00C5320F" w:rsidRPr="002F4B61" w:rsidRDefault="00C5320F" w:rsidP="00B32710">
      <w:pPr>
        <w:ind w:left="720"/>
        <w:rPr>
          <w:sz w:val="22"/>
          <w:szCs w:val="22"/>
        </w:rPr>
      </w:pPr>
    </w:p>
    <w:p w:rsidR="00C5320F" w:rsidRPr="002F4B61" w:rsidRDefault="00BB67AE" w:rsidP="00814B73">
      <w:pPr>
        <w:ind w:left="720"/>
        <w:rPr>
          <w:i/>
          <w:iCs/>
          <w:sz w:val="22"/>
          <w:szCs w:val="22"/>
        </w:rPr>
      </w:pPr>
      <w:r w:rsidRPr="002F4B61">
        <w:rPr>
          <w:sz w:val="22"/>
          <w:szCs w:val="22"/>
        </w:rPr>
        <w:t xml:space="preserve">In addition to the Paperwork Reduction Act requirements for public consultation, NIH engaged with stakeholders </w:t>
      </w:r>
      <w:r w:rsidR="00AB00FF" w:rsidRPr="002F4B61">
        <w:rPr>
          <w:sz w:val="22"/>
          <w:szCs w:val="22"/>
        </w:rPr>
        <w:t xml:space="preserve">in 2006 </w:t>
      </w:r>
      <w:r w:rsidRPr="002F4B61">
        <w:rPr>
          <w:sz w:val="22"/>
          <w:szCs w:val="22"/>
        </w:rPr>
        <w:t>during the development of the GWAS policy</w:t>
      </w:r>
      <w:r w:rsidR="00AB00FF" w:rsidRPr="002F4B61">
        <w:rPr>
          <w:sz w:val="22"/>
          <w:szCs w:val="22"/>
        </w:rPr>
        <w:t xml:space="preserve"> through requests for public comment </w:t>
      </w:r>
      <w:r w:rsidR="00C5320F" w:rsidRPr="002F4B61">
        <w:rPr>
          <w:sz w:val="22"/>
          <w:szCs w:val="22"/>
        </w:rPr>
        <w:t xml:space="preserve">in the </w:t>
      </w:r>
      <w:r w:rsidR="00B450D3" w:rsidRPr="002F4B61">
        <w:rPr>
          <w:i/>
          <w:sz w:val="22"/>
          <w:szCs w:val="22"/>
        </w:rPr>
        <w:t>Federal Register</w:t>
      </w:r>
      <w:r w:rsidR="008E6DBE" w:rsidRPr="002F4B61">
        <w:rPr>
          <w:rStyle w:val="FootnoteReference"/>
          <w:sz w:val="22"/>
          <w:szCs w:val="22"/>
        </w:rPr>
        <w:footnoteReference w:id="7"/>
      </w:r>
      <w:r w:rsidR="00C5320F" w:rsidRPr="002F4B61">
        <w:rPr>
          <w:sz w:val="22"/>
          <w:szCs w:val="22"/>
        </w:rPr>
        <w:t xml:space="preserve"> and the </w:t>
      </w:r>
      <w:r w:rsidR="00C5320F" w:rsidRPr="002F4B61">
        <w:rPr>
          <w:i/>
          <w:iCs/>
          <w:sz w:val="22"/>
          <w:szCs w:val="22"/>
        </w:rPr>
        <w:t>NIH Guide for Grants and Contracts</w:t>
      </w:r>
      <w:r w:rsidR="00BF2A44" w:rsidRPr="002F4B61">
        <w:rPr>
          <w:rStyle w:val="FootnoteReference"/>
          <w:iCs/>
          <w:sz w:val="22"/>
          <w:szCs w:val="22"/>
        </w:rPr>
        <w:footnoteReference w:id="8"/>
      </w:r>
      <w:r w:rsidRPr="002F4B61">
        <w:rPr>
          <w:iCs/>
          <w:sz w:val="22"/>
          <w:szCs w:val="22"/>
        </w:rPr>
        <w:t xml:space="preserve"> </w:t>
      </w:r>
      <w:r w:rsidR="00AB00FF" w:rsidRPr="002F4B61">
        <w:rPr>
          <w:iCs/>
          <w:sz w:val="22"/>
          <w:szCs w:val="22"/>
        </w:rPr>
        <w:t xml:space="preserve">and through a </w:t>
      </w:r>
      <w:r w:rsidR="00C5320F" w:rsidRPr="002F4B61">
        <w:rPr>
          <w:sz w:val="22"/>
          <w:szCs w:val="22"/>
        </w:rPr>
        <w:t>Town Hall meeting</w:t>
      </w:r>
      <w:r w:rsidR="00AB00FF" w:rsidRPr="002F4B61">
        <w:rPr>
          <w:sz w:val="22"/>
          <w:szCs w:val="22"/>
        </w:rPr>
        <w:t>.</w:t>
      </w:r>
      <w:r w:rsidR="00C5320F" w:rsidRPr="002F4B61">
        <w:rPr>
          <w:i/>
          <w:iCs/>
          <w:sz w:val="22"/>
          <w:szCs w:val="22"/>
        </w:rPr>
        <w:t xml:space="preserve"> </w:t>
      </w:r>
      <w:r w:rsidR="004831DA" w:rsidRPr="002F4B61">
        <w:rPr>
          <w:i/>
          <w:iCs/>
          <w:sz w:val="22"/>
          <w:szCs w:val="22"/>
        </w:rPr>
        <w:t xml:space="preserve"> </w:t>
      </w:r>
      <w:r w:rsidR="00C5320F" w:rsidRPr="002F4B61">
        <w:rPr>
          <w:sz w:val="22"/>
          <w:szCs w:val="22"/>
        </w:rPr>
        <w:t xml:space="preserve">NIH received 196 written comments from professional societies, </w:t>
      </w:r>
      <w:r w:rsidR="00AB00FF" w:rsidRPr="002F4B61">
        <w:rPr>
          <w:sz w:val="22"/>
          <w:szCs w:val="22"/>
        </w:rPr>
        <w:t xml:space="preserve">scientists, ethicists, </w:t>
      </w:r>
      <w:r w:rsidR="00023214" w:rsidRPr="002F4B61">
        <w:rPr>
          <w:sz w:val="22"/>
          <w:szCs w:val="22"/>
        </w:rPr>
        <w:t xml:space="preserve">IRB </w:t>
      </w:r>
      <w:r w:rsidR="00AB00FF" w:rsidRPr="002F4B61">
        <w:rPr>
          <w:sz w:val="22"/>
          <w:szCs w:val="22"/>
        </w:rPr>
        <w:t xml:space="preserve">administrators, privacy advocates, </w:t>
      </w:r>
      <w:r w:rsidR="00C5320F" w:rsidRPr="002F4B61">
        <w:rPr>
          <w:sz w:val="22"/>
          <w:szCs w:val="22"/>
        </w:rPr>
        <w:t xml:space="preserve">patient advocacy groups, and </w:t>
      </w:r>
      <w:r w:rsidR="00AB00FF" w:rsidRPr="002F4B61">
        <w:rPr>
          <w:sz w:val="22"/>
          <w:szCs w:val="22"/>
        </w:rPr>
        <w:t>members of the general public</w:t>
      </w:r>
      <w:r w:rsidR="00C5320F" w:rsidRPr="002F4B61">
        <w:rPr>
          <w:sz w:val="22"/>
          <w:szCs w:val="22"/>
        </w:rPr>
        <w:t xml:space="preserve">. </w:t>
      </w:r>
      <w:r w:rsidR="004831DA" w:rsidRPr="002F4B61">
        <w:rPr>
          <w:sz w:val="22"/>
          <w:szCs w:val="22"/>
        </w:rPr>
        <w:t xml:space="preserve"> </w:t>
      </w:r>
      <w:r w:rsidR="00C5320F" w:rsidRPr="002F4B61">
        <w:rPr>
          <w:sz w:val="22"/>
          <w:szCs w:val="22"/>
        </w:rPr>
        <w:t>The comments</w:t>
      </w:r>
      <w:r w:rsidR="00AB00FF" w:rsidRPr="002F4B61">
        <w:rPr>
          <w:sz w:val="22"/>
          <w:szCs w:val="22"/>
        </w:rPr>
        <w:t>, which</w:t>
      </w:r>
      <w:r w:rsidR="00C5320F" w:rsidRPr="002F4B61">
        <w:rPr>
          <w:sz w:val="22"/>
          <w:szCs w:val="22"/>
        </w:rPr>
        <w:t xml:space="preserve"> reflected a variety of interests and perspectives</w:t>
      </w:r>
      <w:r w:rsidR="00AB00FF" w:rsidRPr="002F4B61">
        <w:rPr>
          <w:sz w:val="22"/>
          <w:szCs w:val="22"/>
        </w:rPr>
        <w:t>, were considered in the development of the final policy and in the</w:t>
      </w:r>
      <w:r w:rsidR="00C5320F" w:rsidRPr="002F4B61">
        <w:rPr>
          <w:sz w:val="22"/>
          <w:szCs w:val="22"/>
        </w:rPr>
        <w:t xml:space="preserve"> </w:t>
      </w:r>
      <w:r w:rsidR="00AB00FF" w:rsidRPr="002F4B61">
        <w:rPr>
          <w:sz w:val="22"/>
          <w:szCs w:val="22"/>
        </w:rPr>
        <w:t xml:space="preserve">governance and oversight </w:t>
      </w:r>
      <w:r w:rsidR="00C5320F" w:rsidRPr="002F4B61">
        <w:rPr>
          <w:sz w:val="22"/>
          <w:szCs w:val="22"/>
        </w:rPr>
        <w:t xml:space="preserve">procedures </w:t>
      </w:r>
      <w:r w:rsidR="00AB00FF" w:rsidRPr="002F4B61">
        <w:rPr>
          <w:sz w:val="22"/>
          <w:szCs w:val="22"/>
        </w:rPr>
        <w:t>established to carry out the</w:t>
      </w:r>
      <w:r w:rsidR="00C5320F" w:rsidRPr="002F4B61">
        <w:rPr>
          <w:sz w:val="22"/>
          <w:szCs w:val="22"/>
        </w:rPr>
        <w:t xml:space="preserve"> policy. </w:t>
      </w:r>
    </w:p>
    <w:p w:rsidR="00C5320F" w:rsidRPr="002F4B61" w:rsidRDefault="00C5320F" w:rsidP="00B32710">
      <w:pPr>
        <w:ind w:left="720"/>
        <w:rPr>
          <w:sz w:val="22"/>
          <w:szCs w:val="22"/>
        </w:rPr>
      </w:pPr>
    </w:p>
    <w:p w:rsidR="007D0565" w:rsidRPr="002F4B61" w:rsidRDefault="00ED1168" w:rsidP="007D0565">
      <w:pPr>
        <w:ind w:left="720"/>
        <w:rPr>
          <w:sz w:val="22"/>
          <w:szCs w:val="22"/>
        </w:rPr>
      </w:pPr>
      <w:r w:rsidRPr="002F4B61">
        <w:rPr>
          <w:sz w:val="22"/>
          <w:szCs w:val="22"/>
        </w:rPr>
        <w:t>There are ongoing opportunities for data submitters and data request</w:t>
      </w:r>
      <w:r w:rsidR="008E4C3F" w:rsidRPr="002F4B61">
        <w:rPr>
          <w:sz w:val="22"/>
          <w:szCs w:val="22"/>
        </w:rPr>
        <w:t>er</w:t>
      </w:r>
      <w:r w:rsidRPr="002F4B61">
        <w:rPr>
          <w:sz w:val="22"/>
          <w:szCs w:val="22"/>
        </w:rPr>
        <w:t>s to provide feedback to NIH about how the system works and how the registration, submission, and access processes could be improved.  This inp</w:t>
      </w:r>
      <w:r w:rsidR="00703F27" w:rsidRPr="002F4B61">
        <w:rPr>
          <w:sz w:val="22"/>
          <w:szCs w:val="22"/>
        </w:rPr>
        <w:t xml:space="preserve">ut helped NIH recognize the need for automating the process, and it helped shape the </w:t>
      </w:r>
      <w:r w:rsidRPr="002F4B61">
        <w:rPr>
          <w:sz w:val="22"/>
          <w:szCs w:val="22"/>
        </w:rPr>
        <w:t>de</w:t>
      </w:r>
      <w:r w:rsidR="00703F27" w:rsidRPr="002F4B61">
        <w:rPr>
          <w:sz w:val="22"/>
          <w:szCs w:val="22"/>
        </w:rPr>
        <w:t>sign</w:t>
      </w:r>
      <w:r w:rsidRPr="002F4B61">
        <w:rPr>
          <w:sz w:val="22"/>
          <w:szCs w:val="22"/>
        </w:rPr>
        <w:t xml:space="preserve"> of </w:t>
      </w:r>
      <w:r w:rsidR="00703F27" w:rsidRPr="002F4B61">
        <w:rPr>
          <w:sz w:val="22"/>
          <w:szCs w:val="22"/>
        </w:rPr>
        <w:t xml:space="preserve">the online system for study </w:t>
      </w:r>
      <w:r w:rsidRPr="002F4B61">
        <w:rPr>
          <w:sz w:val="22"/>
          <w:szCs w:val="22"/>
        </w:rPr>
        <w:t xml:space="preserve">registration </w:t>
      </w:r>
      <w:r w:rsidR="00703F27" w:rsidRPr="002F4B61">
        <w:rPr>
          <w:sz w:val="22"/>
          <w:szCs w:val="22"/>
        </w:rPr>
        <w:t xml:space="preserve">and </w:t>
      </w:r>
      <w:r w:rsidR="006F7970" w:rsidRPr="002F4B61">
        <w:rPr>
          <w:sz w:val="22"/>
          <w:szCs w:val="22"/>
        </w:rPr>
        <w:t xml:space="preserve">data submission and </w:t>
      </w:r>
      <w:r w:rsidR="00703F27" w:rsidRPr="002F4B61">
        <w:rPr>
          <w:sz w:val="22"/>
          <w:szCs w:val="22"/>
        </w:rPr>
        <w:t>access.</w:t>
      </w:r>
    </w:p>
    <w:p w:rsidR="00C5320F" w:rsidRPr="002F4B61" w:rsidRDefault="00C5320F" w:rsidP="00D006CA">
      <w:pPr>
        <w:ind w:left="720"/>
        <w:rPr>
          <w:b/>
          <w:sz w:val="22"/>
          <w:szCs w:val="22"/>
        </w:rPr>
      </w:pPr>
    </w:p>
    <w:p w:rsidR="00C5320F" w:rsidRPr="002F4B61" w:rsidRDefault="00C5320F" w:rsidP="0079728D">
      <w:pPr>
        <w:rPr>
          <w:b/>
          <w:sz w:val="22"/>
          <w:szCs w:val="22"/>
        </w:rPr>
      </w:pPr>
      <w:r w:rsidRPr="002F4B61">
        <w:rPr>
          <w:b/>
          <w:sz w:val="22"/>
          <w:szCs w:val="22"/>
        </w:rPr>
        <w:t>A.9</w:t>
      </w:r>
      <w:r w:rsidRPr="002F4B61">
        <w:rPr>
          <w:b/>
          <w:sz w:val="22"/>
          <w:szCs w:val="22"/>
        </w:rPr>
        <w:tab/>
        <w:t>Explanation of Any Payment or Gift to Respondents</w:t>
      </w:r>
    </w:p>
    <w:p w:rsidR="00C5320F" w:rsidRPr="002F4B61" w:rsidRDefault="00C5320F">
      <w:pPr>
        <w:rPr>
          <w:sz w:val="22"/>
          <w:szCs w:val="22"/>
        </w:rPr>
      </w:pPr>
    </w:p>
    <w:p w:rsidR="00C5320F" w:rsidRPr="002F4B61" w:rsidRDefault="00C5320F" w:rsidP="00955FAD">
      <w:pPr>
        <w:tabs>
          <w:tab w:val="left" w:pos="720"/>
        </w:tabs>
        <w:ind w:left="720"/>
        <w:rPr>
          <w:sz w:val="22"/>
          <w:szCs w:val="22"/>
        </w:rPr>
      </w:pPr>
      <w:r w:rsidRPr="002F4B61">
        <w:rPr>
          <w:sz w:val="22"/>
          <w:szCs w:val="22"/>
        </w:rPr>
        <w:t xml:space="preserve">No gifts or payments are to be offered in regard to this information collection. </w:t>
      </w:r>
    </w:p>
    <w:p w:rsidR="00C5320F" w:rsidRPr="002F4B61" w:rsidRDefault="00C5320F">
      <w:pPr>
        <w:rPr>
          <w:sz w:val="22"/>
          <w:szCs w:val="22"/>
        </w:rPr>
      </w:pPr>
    </w:p>
    <w:p w:rsidR="00C5320F" w:rsidRPr="002F4B61" w:rsidRDefault="00C5320F" w:rsidP="0079728D">
      <w:pPr>
        <w:rPr>
          <w:b/>
          <w:sz w:val="22"/>
          <w:szCs w:val="22"/>
        </w:rPr>
      </w:pPr>
      <w:r w:rsidRPr="002F4B61">
        <w:rPr>
          <w:b/>
          <w:sz w:val="22"/>
          <w:szCs w:val="22"/>
        </w:rPr>
        <w:t xml:space="preserve">A.10 </w:t>
      </w:r>
      <w:r w:rsidRPr="002F4B61">
        <w:rPr>
          <w:b/>
          <w:sz w:val="22"/>
          <w:szCs w:val="22"/>
        </w:rPr>
        <w:tab/>
        <w:t>Assurance of Confidentiality Provided to Respondents</w:t>
      </w:r>
    </w:p>
    <w:p w:rsidR="00C5320F" w:rsidRPr="002F4B61" w:rsidRDefault="00C5320F">
      <w:pPr>
        <w:rPr>
          <w:b/>
          <w:sz w:val="22"/>
          <w:szCs w:val="22"/>
        </w:rPr>
      </w:pPr>
    </w:p>
    <w:p w:rsidR="00C5320F" w:rsidRPr="002F4B61" w:rsidRDefault="00716D03" w:rsidP="00B32710">
      <w:pPr>
        <w:ind w:left="720"/>
        <w:rPr>
          <w:sz w:val="22"/>
          <w:szCs w:val="22"/>
        </w:rPr>
      </w:pPr>
      <w:r w:rsidRPr="002F4B61">
        <w:rPr>
          <w:sz w:val="22"/>
          <w:szCs w:val="22"/>
        </w:rPr>
        <w:t xml:space="preserve">Respondents (both </w:t>
      </w:r>
      <w:r w:rsidR="00CD4A24" w:rsidRPr="002F4B61">
        <w:rPr>
          <w:sz w:val="22"/>
          <w:szCs w:val="22"/>
        </w:rPr>
        <w:t xml:space="preserve">data </w:t>
      </w:r>
      <w:r w:rsidRPr="002F4B61">
        <w:rPr>
          <w:sz w:val="22"/>
          <w:szCs w:val="22"/>
        </w:rPr>
        <w:t>submitters and</w:t>
      </w:r>
      <w:r w:rsidR="008E4C3F" w:rsidRPr="002F4B61">
        <w:rPr>
          <w:sz w:val="22"/>
          <w:szCs w:val="22"/>
        </w:rPr>
        <w:t xml:space="preserve"> data requeste</w:t>
      </w:r>
      <w:r w:rsidR="00CD4A24" w:rsidRPr="002F4B61">
        <w:rPr>
          <w:sz w:val="22"/>
          <w:szCs w:val="22"/>
        </w:rPr>
        <w:t>rs</w:t>
      </w:r>
      <w:r w:rsidRPr="002F4B61">
        <w:rPr>
          <w:sz w:val="22"/>
          <w:szCs w:val="22"/>
        </w:rPr>
        <w:t xml:space="preserve">) are not afforded an assurance of confidentiality </w:t>
      </w:r>
      <w:r w:rsidR="00754D6A" w:rsidRPr="002F4B61">
        <w:rPr>
          <w:sz w:val="22"/>
          <w:szCs w:val="22"/>
        </w:rPr>
        <w:t>because</w:t>
      </w:r>
      <w:r w:rsidRPr="002F4B61">
        <w:rPr>
          <w:sz w:val="22"/>
          <w:szCs w:val="22"/>
        </w:rPr>
        <w:t xml:space="preserve"> the</w:t>
      </w:r>
      <w:r w:rsidR="0080329B" w:rsidRPr="002F4B61">
        <w:rPr>
          <w:sz w:val="22"/>
          <w:szCs w:val="22"/>
        </w:rPr>
        <w:t>ir</w:t>
      </w:r>
      <w:r w:rsidRPr="002F4B61">
        <w:rPr>
          <w:sz w:val="22"/>
          <w:szCs w:val="22"/>
        </w:rPr>
        <w:t xml:space="preserve"> names and institutional affiliations will be posted on the dbGaP website.  </w:t>
      </w:r>
      <w:r w:rsidR="00754D6A" w:rsidRPr="002F4B61">
        <w:rPr>
          <w:sz w:val="22"/>
          <w:szCs w:val="22"/>
        </w:rPr>
        <w:t>However</w:t>
      </w:r>
      <w:r w:rsidR="006F7970" w:rsidRPr="002F4B61">
        <w:rPr>
          <w:sz w:val="22"/>
          <w:szCs w:val="22"/>
        </w:rPr>
        <w:t xml:space="preserve">, </w:t>
      </w:r>
      <w:r w:rsidR="006F7970" w:rsidRPr="002F4B61">
        <w:rPr>
          <w:color w:val="000000" w:themeColor="text1"/>
          <w:spacing w:val="3"/>
          <w:sz w:val="22"/>
          <w:szCs w:val="22"/>
        </w:rPr>
        <w:t>i</w:t>
      </w:r>
      <w:r w:rsidR="00E56E22" w:rsidRPr="002F4B61">
        <w:rPr>
          <w:color w:val="000000" w:themeColor="text1"/>
          <w:spacing w:val="3"/>
          <w:sz w:val="22"/>
          <w:szCs w:val="22"/>
        </w:rPr>
        <w:t xml:space="preserve">t is important to emphasize that no private information is requested from </w:t>
      </w:r>
      <w:r w:rsidR="00DB7FB8" w:rsidRPr="002F4B61">
        <w:rPr>
          <w:sz w:val="22"/>
          <w:szCs w:val="22"/>
        </w:rPr>
        <w:t>PIs</w:t>
      </w:r>
      <w:r w:rsidR="00E56E22" w:rsidRPr="002F4B61">
        <w:rPr>
          <w:color w:val="000000" w:themeColor="text1"/>
          <w:spacing w:val="3"/>
          <w:sz w:val="22"/>
          <w:szCs w:val="22"/>
        </w:rPr>
        <w:t xml:space="preserve"> submitting or accessing data beyond their </w:t>
      </w:r>
      <w:r w:rsidR="00F326EA" w:rsidRPr="002F4B61">
        <w:rPr>
          <w:color w:val="000000" w:themeColor="text1"/>
          <w:spacing w:val="3"/>
          <w:sz w:val="22"/>
          <w:szCs w:val="22"/>
        </w:rPr>
        <w:t xml:space="preserve">name and </w:t>
      </w:r>
      <w:r w:rsidR="00E56E22" w:rsidRPr="002F4B61">
        <w:rPr>
          <w:color w:val="000000" w:themeColor="text1"/>
          <w:spacing w:val="3"/>
          <w:sz w:val="22"/>
          <w:szCs w:val="22"/>
        </w:rPr>
        <w:t>institutional affiliation.</w:t>
      </w:r>
      <w:r w:rsidR="00F2269D" w:rsidRPr="002F4B61">
        <w:rPr>
          <w:sz w:val="22"/>
          <w:szCs w:val="22"/>
        </w:rPr>
        <w:t xml:space="preserve">  </w:t>
      </w:r>
      <w:r w:rsidR="0080329B" w:rsidRPr="002F4B61">
        <w:rPr>
          <w:sz w:val="22"/>
          <w:szCs w:val="22"/>
        </w:rPr>
        <w:t xml:space="preserve">Submitters of data to dbGaP are largely NIH-funded </w:t>
      </w:r>
      <w:r w:rsidR="00DB7FB8" w:rsidRPr="002F4B61">
        <w:rPr>
          <w:sz w:val="22"/>
          <w:szCs w:val="22"/>
        </w:rPr>
        <w:t>PIs</w:t>
      </w:r>
      <w:r w:rsidR="001F0923" w:rsidRPr="002F4B61">
        <w:rPr>
          <w:sz w:val="22"/>
          <w:szCs w:val="22"/>
        </w:rPr>
        <w:t xml:space="preserve"> </w:t>
      </w:r>
      <w:r w:rsidR="0080329B" w:rsidRPr="002F4B61">
        <w:rPr>
          <w:sz w:val="22"/>
          <w:szCs w:val="22"/>
        </w:rPr>
        <w:t>whose names and institutional affiliations are already a matter of public record (</w:t>
      </w:r>
      <w:r w:rsidR="005C5F5A" w:rsidRPr="002F4B61">
        <w:rPr>
          <w:sz w:val="22"/>
          <w:szCs w:val="22"/>
        </w:rPr>
        <w:t>s</w:t>
      </w:r>
      <w:r w:rsidR="0080329B" w:rsidRPr="002F4B61">
        <w:rPr>
          <w:sz w:val="22"/>
          <w:szCs w:val="22"/>
        </w:rPr>
        <w:t xml:space="preserve">ee </w:t>
      </w:r>
      <w:hyperlink r:id="rId11" w:history="1">
        <w:r w:rsidR="009E14FF" w:rsidRPr="002F4B61">
          <w:rPr>
            <w:rStyle w:val="Hyperlink"/>
            <w:sz w:val="22"/>
            <w:szCs w:val="22"/>
          </w:rPr>
          <w:t>http://projectreporter.nih.gov/reporter.cfm</w:t>
        </w:r>
      </w:hyperlink>
      <w:r w:rsidR="00FF5F12" w:rsidRPr="002F4B61">
        <w:rPr>
          <w:sz w:val="22"/>
          <w:szCs w:val="22"/>
        </w:rPr>
        <w:t>)</w:t>
      </w:r>
      <w:r w:rsidR="009E14FF" w:rsidRPr="002F4B61">
        <w:rPr>
          <w:sz w:val="22"/>
          <w:szCs w:val="22"/>
        </w:rPr>
        <w:t xml:space="preserve">. </w:t>
      </w:r>
      <w:r w:rsidR="0080329B" w:rsidRPr="002F4B61">
        <w:rPr>
          <w:sz w:val="22"/>
          <w:szCs w:val="22"/>
        </w:rPr>
        <w:t xml:space="preserve"> </w:t>
      </w:r>
      <w:r w:rsidR="00FF5F12" w:rsidRPr="002F4B61">
        <w:rPr>
          <w:sz w:val="22"/>
          <w:szCs w:val="22"/>
        </w:rPr>
        <w:t xml:space="preserve">Approved users of the data are both publicly and privately funded </w:t>
      </w:r>
      <w:r w:rsidR="00DB7FB8" w:rsidRPr="002F4B61">
        <w:rPr>
          <w:sz w:val="22"/>
          <w:szCs w:val="22"/>
        </w:rPr>
        <w:t>PIs</w:t>
      </w:r>
      <w:r w:rsidR="00FF5F12" w:rsidRPr="002F4B61">
        <w:rPr>
          <w:sz w:val="22"/>
          <w:szCs w:val="22"/>
        </w:rPr>
        <w:t xml:space="preserve">.  </w:t>
      </w:r>
      <w:r w:rsidR="00F2269D" w:rsidRPr="002F4B61">
        <w:rPr>
          <w:sz w:val="22"/>
          <w:szCs w:val="22"/>
        </w:rPr>
        <w:t>M</w:t>
      </w:r>
      <w:r w:rsidRPr="002F4B61">
        <w:rPr>
          <w:sz w:val="22"/>
          <w:szCs w:val="22"/>
        </w:rPr>
        <w:t>ak</w:t>
      </w:r>
      <w:r w:rsidR="00F2269D" w:rsidRPr="002F4B61">
        <w:rPr>
          <w:sz w:val="22"/>
          <w:szCs w:val="22"/>
        </w:rPr>
        <w:t>ing</w:t>
      </w:r>
      <w:r w:rsidRPr="002F4B61">
        <w:rPr>
          <w:sz w:val="22"/>
          <w:szCs w:val="22"/>
        </w:rPr>
        <w:t xml:space="preserve"> the names of submitters and users of the data publicly available</w:t>
      </w:r>
      <w:r w:rsidR="00754D6A" w:rsidRPr="002F4B61">
        <w:rPr>
          <w:sz w:val="22"/>
          <w:szCs w:val="22"/>
        </w:rPr>
        <w:t xml:space="preserve"> is</w:t>
      </w:r>
      <w:r w:rsidRPr="002F4B61">
        <w:rPr>
          <w:sz w:val="22"/>
          <w:szCs w:val="22"/>
        </w:rPr>
        <w:t xml:space="preserve"> an important ethical underpinning of the NIH GWAS policy</w:t>
      </w:r>
      <w:r w:rsidR="00754D6A" w:rsidRPr="002F4B61">
        <w:rPr>
          <w:sz w:val="22"/>
          <w:szCs w:val="22"/>
        </w:rPr>
        <w:t xml:space="preserve"> as</w:t>
      </w:r>
      <w:r w:rsidR="00AC1284" w:rsidRPr="002F4B61">
        <w:rPr>
          <w:sz w:val="22"/>
          <w:szCs w:val="22"/>
        </w:rPr>
        <w:t xml:space="preserve"> it allows </w:t>
      </w:r>
      <w:r w:rsidR="00FF5F12" w:rsidRPr="002F4B61">
        <w:rPr>
          <w:sz w:val="22"/>
          <w:szCs w:val="22"/>
        </w:rPr>
        <w:t xml:space="preserve">research participants, the scientific community, and the general public </w:t>
      </w:r>
      <w:r w:rsidR="00AC1284" w:rsidRPr="002F4B61">
        <w:rPr>
          <w:sz w:val="22"/>
          <w:szCs w:val="22"/>
        </w:rPr>
        <w:t>to know how genomic data are being shared, with whom, and for what research purpose</w:t>
      </w:r>
      <w:r w:rsidRPr="002F4B61">
        <w:rPr>
          <w:sz w:val="22"/>
          <w:szCs w:val="22"/>
        </w:rPr>
        <w:t xml:space="preserve">. </w:t>
      </w:r>
    </w:p>
    <w:p w:rsidR="00C5320F" w:rsidRPr="002F4B61" w:rsidRDefault="00C5320F" w:rsidP="0079728D">
      <w:pPr>
        <w:rPr>
          <w:sz w:val="22"/>
          <w:szCs w:val="22"/>
        </w:rPr>
      </w:pPr>
    </w:p>
    <w:p w:rsidR="00C5320F" w:rsidRPr="002F4B61" w:rsidRDefault="00C5320F" w:rsidP="0079728D">
      <w:pPr>
        <w:rPr>
          <w:b/>
          <w:sz w:val="22"/>
          <w:szCs w:val="22"/>
        </w:rPr>
      </w:pPr>
      <w:r w:rsidRPr="002F4B61">
        <w:rPr>
          <w:b/>
          <w:sz w:val="22"/>
          <w:szCs w:val="22"/>
        </w:rPr>
        <w:t>A.11</w:t>
      </w:r>
      <w:r w:rsidRPr="002F4B61">
        <w:rPr>
          <w:b/>
          <w:sz w:val="22"/>
          <w:szCs w:val="22"/>
        </w:rPr>
        <w:tab/>
        <w:t>Justification for Sensitive</w:t>
      </w:r>
      <w:r w:rsidRPr="002F4B61">
        <w:rPr>
          <w:sz w:val="22"/>
          <w:szCs w:val="22"/>
        </w:rPr>
        <w:t xml:space="preserve"> </w:t>
      </w:r>
      <w:r w:rsidRPr="002F4B61">
        <w:rPr>
          <w:b/>
          <w:sz w:val="22"/>
          <w:szCs w:val="22"/>
        </w:rPr>
        <w:t>Questions</w:t>
      </w:r>
    </w:p>
    <w:p w:rsidR="00C5320F" w:rsidRPr="002F4B61" w:rsidRDefault="00C5320F">
      <w:pPr>
        <w:rPr>
          <w:sz w:val="22"/>
          <w:szCs w:val="22"/>
        </w:rPr>
      </w:pPr>
    </w:p>
    <w:p w:rsidR="00C5320F" w:rsidRPr="002F4B61" w:rsidRDefault="00C5320F" w:rsidP="00F06C9C">
      <w:pPr>
        <w:tabs>
          <w:tab w:val="left" w:pos="720"/>
        </w:tabs>
        <w:ind w:left="720"/>
        <w:rPr>
          <w:sz w:val="22"/>
          <w:szCs w:val="22"/>
        </w:rPr>
      </w:pPr>
      <w:r w:rsidRPr="002F4B61">
        <w:rPr>
          <w:sz w:val="22"/>
          <w:szCs w:val="22"/>
        </w:rPr>
        <w:t>No questions of a sensitive nature are included in this data collection.</w:t>
      </w:r>
    </w:p>
    <w:p w:rsidR="00C5320F" w:rsidRPr="002F4B61" w:rsidRDefault="00C5320F" w:rsidP="00283C07">
      <w:pPr>
        <w:rPr>
          <w:sz w:val="22"/>
          <w:szCs w:val="22"/>
        </w:rPr>
      </w:pPr>
    </w:p>
    <w:p w:rsidR="00241056" w:rsidRPr="002F4B61" w:rsidRDefault="00241056" w:rsidP="00241056">
      <w:pPr>
        <w:rPr>
          <w:b/>
          <w:sz w:val="22"/>
          <w:szCs w:val="22"/>
        </w:rPr>
      </w:pPr>
      <w:r w:rsidRPr="002F4B61">
        <w:rPr>
          <w:b/>
          <w:sz w:val="22"/>
          <w:szCs w:val="22"/>
        </w:rPr>
        <w:t>A.12</w:t>
      </w:r>
      <w:r w:rsidRPr="002F4B61">
        <w:rPr>
          <w:b/>
          <w:sz w:val="22"/>
          <w:szCs w:val="22"/>
        </w:rPr>
        <w:tab/>
        <w:t>Estimates of Annualized Burden Hours and Costs</w:t>
      </w:r>
    </w:p>
    <w:p w:rsidR="00241056" w:rsidRPr="002F4B61" w:rsidRDefault="00241056" w:rsidP="00241056">
      <w:pPr>
        <w:rPr>
          <w:sz w:val="22"/>
          <w:szCs w:val="22"/>
        </w:rPr>
      </w:pPr>
    </w:p>
    <w:p w:rsidR="00241056" w:rsidRPr="002F4B61" w:rsidRDefault="00241056" w:rsidP="00241056">
      <w:pPr>
        <w:ind w:left="720"/>
        <w:rPr>
          <w:sz w:val="22"/>
          <w:szCs w:val="22"/>
        </w:rPr>
      </w:pPr>
      <w:r w:rsidRPr="002F4B61">
        <w:rPr>
          <w:sz w:val="22"/>
          <w:szCs w:val="22"/>
        </w:rPr>
        <w:t xml:space="preserve">The burden associated with this information collection is calculated in two parts: the burden associated with registering genomic </w:t>
      </w:r>
      <w:r w:rsidR="0097447B" w:rsidRPr="002F4B61">
        <w:rPr>
          <w:sz w:val="22"/>
          <w:szCs w:val="22"/>
        </w:rPr>
        <w:t>studies</w:t>
      </w:r>
      <w:r w:rsidR="00285DC3" w:rsidRPr="002F4B61">
        <w:rPr>
          <w:sz w:val="22"/>
          <w:szCs w:val="22"/>
        </w:rPr>
        <w:t xml:space="preserve"> and submitting data</w:t>
      </w:r>
      <w:r w:rsidR="0097447B" w:rsidRPr="002F4B61">
        <w:rPr>
          <w:sz w:val="22"/>
          <w:szCs w:val="22"/>
        </w:rPr>
        <w:t xml:space="preserve"> </w:t>
      </w:r>
      <w:r w:rsidRPr="002F4B61">
        <w:rPr>
          <w:sz w:val="22"/>
          <w:szCs w:val="22"/>
        </w:rPr>
        <w:t>to dbGaP</w:t>
      </w:r>
      <w:r w:rsidR="00D02BF1">
        <w:rPr>
          <w:sz w:val="22"/>
          <w:szCs w:val="22"/>
        </w:rPr>
        <w:t>;</w:t>
      </w:r>
      <w:r w:rsidRPr="002F4B61">
        <w:rPr>
          <w:sz w:val="22"/>
          <w:szCs w:val="22"/>
        </w:rPr>
        <w:t xml:space="preserve"> and the burden associated with applying for controlled-access data in dbGaP. </w:t>
      </w:r>
      <w:r w:rsidR="00073744" w:rsidRPr="002F4B61">
        <w:rPr>
          <w:sz w:val="22"/>
          <w:szCs w:val="22"/>
        </w:rPr>
        <w:t xml:space="preserve"> </w:t>
      </w:r>
      <w:r w:rsidRPr="002F4B61">
        <w:rPr>
          <w:sz w:val="22"/>
          <w:szCs w:val="22"/>
        </w:rPr>
        <w:t xml:space="preserve">Respondents </w:t>
      </w:r>
      <w:r w:rsidR="0022411B" w:rsidRPr="002F4B61">
        <w:rPr>
          <w:sz w:val="22"/>
          <w:szCs w:val="22"/>
        </w:rPr>
        <w:t xml:space="preserve">are </w:t>
      </w:r>
      <w:r w:rsidR="006F7970" w:rsidRPr="002F4B61">
        <w:rPr>
          <w:sz w:val="22"/>
          <w:szCs w:val="22"/>
        </w:rPr>
        <w:t>(</w:t>
      </w:r>
      <w:r w:rsidR="0022411B" w:rsidRPr="002F4B61">
        <w:rPr>
          <w:sz w:val="22"/>
          <w:szCs w:val="22"/>
        </w:rPr>
        <w:t xml:space="preserve">1) </w:t>
      </w:r>
      <w:r w:rsidR="00CB50E7" w:rsidRPr="002F4B61">
        <w:rPr>
          <w:sz w:val="22"/>
          <w:szCs w:val="22"/>
        </w:rPr>
        <w:t xml:space="preserve">PIs </w:t>
      </w:r>
      <w:r w:rsidR="00F326EA" w:rsidRPr="002F4B61">
        <w:rPr>
          <w:sz w:val="22"/>
          <w:szCs w:val="22"/>
        </w:rPr>
        <w:t>submitting data to dbGaP</w:t>
      </w:r>
      <w:r w:rsidR="00D02BF1">
        <w:rPr>
          <w:sz w:val="22"/>
          <w:szCs w:val="22"/>
        </w:rPr>
        <w:t>; (2)</w:t>
      </w:r>
      <w:r w:rsidR="00F326EA" w:rsidRPr="002F4B61">
        <w:rPr>
          <w:sz w:val="22"/>
          <w:szCs w:val="22"/>
        </w:rPr>
        <w:t xml:space="preserve"> </w:t>
      </w:r>
      <w:r w:rsidR="00CB50E7" w:rsidRPr="002F4B61">
        <w:rPr>
          <w:sz w:val="22"/>
          <w:szCs w:val="22"/>
        </w:rPr>
        <w:t xml:space="preserve">Institutional </w:t>
      </w:r>
      <w:r w:rsidRPr="002F4B61">
        <w:rPr>
          <w:sz w:val="22"/>
          <w:szCs w:val="22"/>
        </w:rPr>
        <w:t>Signing Officials</w:t>
      </w:r>
      <w:r w:rsidR="0022411B" w:rsidRPr="002F4B61">
        <w:rPr>
          <w:sz w:val="22"/>
          <w:szCs w:val="22"/>
        </w:rPr>
        <w:t xml:space="preserve"> </w:t>
      </w:r>
      <w:r w:rsidR="00D02CBB" w:rsidRPr="002F4B61">
        <w:rPr>
          <w:sz w:val="22"/>
          <w:szCs w:val="22"/>
        </w:rPr>
        <w:t xml:space="preserve">who certify </w:t>
      </w:r>
      <w:r w:rsidR="00F326EA" w:rsidRPr="002F4B61">
        <w:rPr>
          <w:sz w:val="22"/>
          <w:szCs w:val="22"/>
        </w:rPr>
        <w:t>that data submission is consistent with all applicable laws, regulations, and institutional policies</w:t>
      </w:r>
      <w:r w:rsidR="00D02BF1">
        <w:rPr>
          <w:sz w:val="22"/>
          <w:szCs w:val="22"/>
        </w:rPr>
        <w:t>;</w:t>
      </w:r>
      <w:r w:rsidR="0022411B" w:rsidRPr="002F4B61">
        <w:rPr>
          <w:sz w:val="22"/>
          <w:szCs w:val="22"/>
        </w:rPr>
        <w:t xml:space="preserve"> </w:t>
      </w:r>
      <w:r w:rsidR="006F7970" w:rsidRPr="002F4B61">
        <w:rPr>
          <w:sz w:val="22"/>
          <w:szCs w:val="22"/>
        </w:rPr>
        <w:t>(</w:t>
      </w:r>
      <w:r w:rsidR="00D02BF1">
        <w:rPr>
          <w:sz w:val="22"/>
          <w:szCs w:val="22"/>
        </w:rPr>
        <w:t>3</w:t>
      </w:r>
      <w:r w:rsidR="0022411B" w:rsidRPr="002F4B61">
        <w:rPr>
          <w:sz w:val="22"/>
          <w:szCs w:val="22"/>
        </w:rPr>
        <w:t xml:space="preserve">) </w:t>
      </w:r>
      <w:r w:rsidR="00DB7FB8" w:rsidRPr="002F4B61">
        <w:rPr>
          <w:sz w:val="22"/>
          <w:szCs w:val="22"/>
        </w:rPr>
        <w:t>PIs</w:t>
      </w:r>
      <w:r w:rsidR="0022411B" w:rsidRPr="002F4B61">
        <w:rPr>
          <w:sz w:val="22"/>
          <w:szCs w:val="22"/>
        </w:rPr>
        <w:t xml:space="preserve"> who request and receive data</w:t>
      </w:r>
      <w:r w:rsidR="00D02BF1">
        <w:rPr>
          <w:sz w:val="22"/>
          <w:szCs w:val="22"/>
        </w:rPr>
        <w:t xml:space="preserve">; </w:t>
      </w:r>
      <w:r w:rsidR="0022411B" w:rsidRPr="002F4B61">
        <w:rPr>
          <w:sz w:val="22"/>
          <w:szCs w:val="22"/>
        </w:rPr>
        <w:t xml:space="preserve">and </w:t>
      </w:r>
      <w:r w:rsidR="00D02BF1">
        <w:rPr>
          <w:sz w:val="22"/>
          <w:szCs w:val="22"/>
        </w:rPr>
        <w:t xml:space="preserve">(4) </w:t>
      </w:r>
      <w:r w:rsidR="00CB50E7" w:rsidRPr="002F4B61">
        <w:rPr>
          <w:sz w:val="22"/>
          <w:szCs w:val="22"/>
        </w:rPr>
        <w:t>Institutional Signing Officials</w:t>
      </w:r>
      <w:r w:rsidR="0022411B" w:rsidRPr="002F4B61">
        <w:rPr>
          <w:sz w:val="22"/>
          <w:szCs w:val="22"/>
        </w:rPr>
        <w:t xml:space="preserve"> who certify that they will abide by the GWAS policy</w:t>
      </w:r>
      <w:r w:rsidRPr="002F4B61">
        <w:rPr>
          <w:sz w:val="22"/>
          <w:szCs w:val="22"/>
        </w:rPr>
        <w:t xml:space="preserve">. </w:t>
      </w:r>
    </w:p>
    <w:p w:rsidR="00241056" w:rsidRPr="002F4B61" w:rsidRDefault="00241056" w:rsidP="00241056">
      <w:pPr>
        <w:rPr>
          <w:i/>
          <w:sz w:val="22"/>
          <w:szCs w:val="22"/>
        </w:rPr>
      </w:pPr>
    </w:p>
    <w:p w:rsidR="00241056" w:rsidRPr="002F4B61" w:rsidRDefault="0097447B" w:rsidP="00241056">
      <w:pPr>
        <w:ind w:left="720"/>
        <w:rPr>
          <w:i/>
          <w:sz w:val="22"/>
          <w:szCs w:val="22"/>
        </w:rPr>
      </w:pPr>
      <w:r w:rsidRPr="002F4B61">
        <w:rPr>
          <w:i/>
          <w:sz w:val="22"/>
          <w:szCs w:val="22"/>
        </w:rPr>
        <w:t xml:space="preserve">Study </w:t>
      </w:r>
      <w:r w:rsidR="00241056" w:rsidRPr="002F4B61">
        <w:rPr>
          <w:i/>
          <w:sz w:val="22"/>
          <w:szCs w:val="22"/>
        </w:rPr>
        <w:t>Registration</w:t>
      </w:r>
      <w:r w:rsidR="00285DC3" w:rsidRPr="002F4B61">
        <w:rPr>
          <w:i/>
          <w:sz w:val="22"/>
          <w:szCs w:val="22"/>
        </w:rPr>
        <w:t xml:space="preserve"> and Data Submission </w:t>
      </w:r>
    </w:p>
    <w:p w:rsidR="00241056" w:rsidRPr="002F4B61" w:rsidRDefault="00241056" w:rsidP="00241056">
      <w:pPr>
        <w:ind w:left="720"/>
        <w:rPr>
          <w:sz w:val="22"/>
          <w:szCs w:val="22"/>
        </w:rPr>
      </w:pPr>
    </w:p>
    <w:p w:rsidR="00241056" w:rsidRPr="002F4B61" w:rsidRDefault="00241056" w:rsidP="00241056">
      <w:pPr>
        <w:ind w:left="720"/>
        <w:rPr>
          <w:sz w:val="22"/>
          <w:szCs w:val="22"/>
        </w:rPr>
      </w:pPr>
      <w:r w:rsidRPr="002F4B61">
        <w:rPr>
          <w:sz w:val="22"/>
          <w:szCs w:val="22"/>
        </w:rPr>
        <w:t xml:space="preserve">The burden associated with registering genomic </w:t>
      </w:r>
      <w:r w:rsidR="0097447B" w:rsidRPr="002F4B61">
        <w:rPr>
          <w:sz w:val="22"/>
          <w:szCs w:val="22"/>
        </w:rPr>
        <w:t>studies</w:t>
      </w:r>
      <w:r w:rsidR="00D441C9" w:rsidRPr="002F4B61">
        <w:rPr>
          <w:sz w:val="22"/>
          <w:szCs w:val="22"/>
        </w:rPr>
        <w:t xml:space="preserve"> and submitting data</w:t>
      </w:r>
      <w:r w:rsidR="00CD0BB0" w:rsidRPr="002F4B61">
        <w:rPr>
          <w:sz w:val="22"/>
          <w:szCs w:val="22"/>
        </w:rPr>
        <w:t xml:space="preserve"> to dbGaP</w:t>
      </w:r>
      <w:r w:rsidR="0097447B" w:rsidRPr="002F4B61">
        <w:rPr>
          <w:sz w:val="22"/>
          <w:szCs w:val="22"/>
        </w:rPr>
        <w:t xml:space="preserve"> </w:t>
      </w:r>
      <w:r w:rsidRPr="002F4B61">
        <w:rPr>
          <w:sz w:val="22"/>
          <w:szCs w:val="22"/>
        </w:rPr>
        <w:t>in</w:t>
      </w:r>
      <w:r w:rsidR="00863162" w:rsidRPr="002F4B61">
        <w:rPr>
          <w:sz w:val="22"/>
          <w:szCs w:val="22"/>
        </w:rPr>
        <w:t>volves</w:t>
      </w:r>
      <w:r w:rsidRPr="002F4B61">
        <w:rPr>
          <w:sz w:val="22"/>
          <w:szCs w:val="22"/>
        </w:rPr>
        <w:t xml:space="preserve"> the time and effort necessary for the PI to</w:t>
      </w:r>
      <w:r w:rsidR="0022411B" w:rsidRPr="002F4B61">
        <w:rPr>
          <w:sz w:val="22"/>
          <w:szCs w:val="22"/>
        </w:rPr>
        <w:t xml:space="preserve"> </w:t>
      </w:r>
      <w:r w:rsidR="0002356B" w:rsidRPr="002F4B61">
        <w:rPr>
          <w:sz w:val="22"/>
          <w:szCs w:val="22"/>
        </w:rPr>
        <w:t xml:space="preserve">complete </w:t>
      </w:r>
      <w:r w:rsidR="0022411B" w:rsidRPr="002F4B61">
        <w:rPr>
          <w:sz w:val="22"/>
          <w:szCs w:val="22"/>
        </w:rPr>
        <w:t xml:space="preserve">the online form </w:t>
      </w:r>
      <w:r w:rsidRPr="002F4B61">
        <w:rPr>
          <w:sz w:val="22"/>
          <w:szCs w:val="22"/>
        </w:rPr>
        <w:t xml:space="preserve">and </w:t>
      </w:r>
      <w:r w:rsidR="00285DC3" w:rsidRPr="002F4B61">
        <w:rPr>
          <w:sz w:val="22"/>
          <w:szCs w:val="22"/>
        </w:rPr>
        <w:t xml:space="preserve">upload the data to dbGaP.  The burden </w:t>
      </w:r>
      <w:r w:rsidRPr="002F4B61">
        <w:rPr>
          <w:sz w:val="22"/>
          <w:szCs w:val="22"/>
        </w:rPr>
        <w:t>for the</w:t>
      </w:r>
      <w:r w:rsidR="00CB50E7" w:rsidRPr="002F4B61">
        <w:rPr>
          <w:sz w:val="22"/>
          <w:szCs w:val="22"/>
        </w:rPr>
        <w:t xml:space="preserve"> Institutional</w:t>
      </w:r>
      <w:r w:rsidRPr="002F4B61">
        <w:rPr>
          <w:sz w:val="22"/>
          <w:szCs w:val="22"/>
        </w:rPr>
        <w:t xml:space="preserve"> Signing Official </w:t>
      </w:r>
      <w:r w:rsidR="00285DC3" w:rsidRPr="002F4B61">
        <w:rPr>
          <w:sz w:val="22"/>
          <w:szCs w:val="22"/>
        </w:rPr>
        <w:t xml:space="preserve">includes the time and effort </w:t>
      </w:r>
      <w:r w:rsidRPr="002F4B61">
        <w:rPr>
          <w:sz w:val="22"/>
          <w:szCs w:val="22"/>
        </w:rPr>
        <w:t>to review and approve the registration</w:t>
      </w:r>
      <w:r w:rsidR="00247CB7" w:rsidRPr="002F4B61">
        <w:rPr>
          <w:sz w:val="22"/>
          <w:szCs w:val="22"/>
        </w:rPr>
        <w:t xml:space="preserve"> and data submission</w:t>
      </w:r>
      <w:r w:rsidRPr="002F4B61">
        <w:rPr>
          <w:sz w:val="22"/>
          <w:szCs w:val="22"/>
        </w:rPr>
        <w:t xml:space="preserve">. </w:t>
      </w:r>
      <w:r w:rsidR="00863162" w:rsidRPr="002F4B61">
        <w:rPr>
          <w:sz w:val="22"/>
          <w:szCs w:val="22"/>
        </w:rPr>
        <w:t xml:space="preserve"> Because NIH will now be making it possible to submit the information through tailored, user-friendly online</w:t>
      </w:r>
      <w:r w:rsidR="00BE5BDA" w:rsidRPr="002F4B61">
        <w:rPr>
          <w:sz w:val="22"/>
          <w:szCs w:val="22"/>
        </w:rPr>
        <w:t xml:space="preserve"> forms, the time and effort </w:t>
      </w:r>
      <w:r w:rsidR="00F358EC" w:rsidRPr="002F4B61">
        <w:rPr>
          <w:sz w:val="22"/>
          <w:szCs w:val="22"/>
        </w:rPr>
        <w:t xml:space="preserve">should be considerably reduced. </w:t>
      </w:r>
      <w:r w:rsidR="0002356B" w:rsidRPr="002F4B61">
        <w:rPr>
          <w:sz w:val="22"/>
          <w:szCs w:val="22"/>
        </w:rPr>
        <w:t xml:space="preserve"> Moreover, some of the information </w:t>
      </w:r>
      <w:r w:rsidR="00DB7FB8" w:rsidRPr="002F4B61">
        <w:rPr>
          <w:sz w:val="22"/>
          <w:szCs w:val="22"/>
        </w:rPr>
        <w:t>PIs</w:t>
      </w:r>
      <w:r w:rsidR="0002356B" w:rsidRPr="002F4B61">
        <w:rPr>
          <w:sz w:val="22"/>
          <w:szCs w:val="22"/>
        </w:rPr>
        <w:t xml:space="preserve"> will need to complete the forms will be automatically provided from eRA Commons and other information can be retrieved from the </w:t>
      </w:r>
      <w:r w:rsidR="00DB7FB8" w:rsidRPr="002F4B61">
        <w:rPr>
          <w:sz w:val="22"/>
          <w:szCs w:val="22"/>
        </w:rPr>
        <w:t>PI</w:t>
      </w:r>
      <w:r w:rsidR="0002356B" w:rsidRPr="002F4B61">
        <w:rPr>
          <w:sz w:val="22"/>
          <w:szCs w:val="22"/>
        </w:rPr>
        <w:t xml:space="preserve">’s NIH grant award. </w:t>
      </w:r>
    </w:p>
    <w:p w:rsidR="00241056" w:rsidRPr="002F4B61" w:rsidRDefault="00241056" w:rsidP="00241056">
      <w:pPr>
        <w:ind w:left="720"/>
        <w:rPr>
          <w:sz w:val="22"/>
          <w:szCs w:val="22"/>
        </w:rPr>
      </w:pPr>
    </w:p>
    <w:p w:rsidR="00241056" w:rsidRPr="002F4B61" w:rsidRDefault="00241056" w:rsidP="00241056">
      <w:pPr>
        <w:ind w:left="720"/>
        <w:rPr>
          <w:sz w:val="22"/>
          <w:szCs w:val="22"/>
        </w:rPr>
      </w:pPr>
      <w:r w:rsidRPr="002F4B61">
        <w:rPr>
          <w:sz w:val="22"/>
          <w:szCs w:val="22"/>
        </w:rPr>
        <w:t xml:space="preserve">To estimate the </w:t>
      </w:r>
      <w:r w:rsidR="009B7102" w:rsidRPr="002F4B61">
        <w:rPr>
          <w:sz w:val="22"/>
          <w:szCs w:val="22"/>
        </w:rPr>
        <w:t xml:space="preserve">annual </w:t>
      </w:r>
      <w:r w:rsidRPr="002F4B61">
        <w:rPr>
          <w:sz w:val="22"/>
          <w:szCs w:val="22"/>
        </w:rPr>
        <w:t xml:space="preserve">number of registrants, </w:t>
      </w:r>
      <w:r w:rsidR="008C0078" w:rsidRPr="002F4B61">
        <w:rPr>
          <w:sz w:val="22"/>
          <w:szCs w:val="22"/>
        </w:rPr>
        <w:t>NIH averaged</w:t>
      </w:r>
      <w:r w:rsidR="00D57F32" w:rsidRPr="002F4B61">
        <w:rPr>
          <w:sz w:val="22"/>
          <w:szCs w:val="22"/>
        </w:rPr>
        <w:t xml:space="preserve"> </w:t>
      </w:r>
      <w:r w:rsidRPr="002F4B61">
        <w:rPr>
          <w:sz w:val="22"/>
          <w:szCs w:val="22"/>
        </w:rPr>
        <w:t>the number of</w:t>
      </w:r>
      <w:r w:rsidR="00BA71E6" w:rsidRPr="002F4B61">
        <w:rPr>
          <w:sz w:val="22"/>
          <w:szCs w:val="22"/>
        </w:rPr>
        <w:t xml:space="preserve"> study</w:t>
      </w:r>
      <w:r w:rsidRPr="002F4B61">
        <w:rPr>
          <w:sz w:val="22"/>
          <w:szCs w:val="22"/>
        </w:rPr>
        <w:t xml:space="preserve"> registrations</w:t>
      </w:r>
      <w:r w:rsidR="00BA71E6" w:rsidRPr="002F4B61">
        <w:rPr>
          <w:sz w:val="22"/>
          <w:szCs w:val="22"/>
        </w:rPr>
        <w:t xml:space="preserve"> and data submissions</w:t>
      </w:r>
      <w:r w:rsidRPr="002F4B61">
        <w:rPr>
          <w:sz w:val="22"/>
          <w:szCs w:val="22"/>
        </w:rPr>
        <w:t xml:space="preserve"> received by NCBI in </w:t>
      </w:r>
      <w:r w:rsidR="002F5F0E" w:rsidRPr="002F4B61">
        <w:rPr>
          <w:sz w:val="22"/>
          <w:szCs w:val="22"/>
        </w:rPr>
        <w:t xml:space="preserve">2011 </w:t>
      </w:r>
      <w:r w:rsidR="00D57F32" w:rsidRPr="002F4B61">
        <w:rPr>
          <w:sz w:val="22"/>
          <w:szCs w:val="22"/>
        </w:rPr>
        <w:t>and</w:t>
      </w:r>
      <w:r w:rsidRPr="002F4B61">
        <w:rPr>
          <w:sz w:val="22"/>
          <w:szCs w:val="22"/>
        </w:rPr>
        <w:t xml:space="preserve"> </w:t>
      </w:r>
      <w:r w:rsidR="00D57F32" w:rsidRPr="002F4B61">
        <w:rPr>
          <w:sz w:val="22"/>
          <w:szCs w:val="22"/>
        </w:rPr>
        <w:t>the number of registrations anticipated for 2012</w:t>
      </w:r>
      <w:r w:rsidR="00F0725F" w:rsidRPr="002F4B61">
        <w:rPr>
          <w:sz w:val="22"/>
          <w:szCs w:val="22"/>
        </w:rPr>
        <w:t>,</w:t>
      </w:r>
      <w:r w:rsidR="00D57F32" w:rsidRPr="002F4B61">
        <w:rPr>
          <w:sz w:val="22"/>
          <w:szCs w:val="22"/>
        </w:rPr>
        <w:t xml:space="preserve"> based on </w:t>
      </w:r>
      <w:r w:rsidR="002F5F0E" w:rsidRPr="002F4B61">
        <w:rPr>
          <w:sz w:val="22"/>
          <w:szCs w:val="22"/>
        </w:rPr>
        <w:t xml:space="preserve">NIH </w:t>
      </w:r>
      <w:r w:rsidRPr="002F4B61">
        <w:rPr>
          <w:sz w:val="22"/>
          <w:szCs w:val="22"/>
        </w:rPr>
        <w:t>funding allocated for genomic data research grants</w:t>
      </w:r>
      <w:r w:rsidR="002F5F0E" w:rsidRPr="002F4B61">
        <w:rPr>
          <w:sz w:val="22"/>
          <w:szCs w:val="22"/>
        </w:rPr>
        <w:t xml:space="preserve"> </w:t>
      </w:r>
      <w:r w:rsidR="00CD0BB0" w:rsidRPr="002F4B61">
        <w:rPr>
          <w:sz w:val="22"/>
          <w:szCs w:val="22"/>
        </w:rPr>
        <w:t xml:space="preserve">that </w:t>
      </w:r>
      <w:r w:rsidR="002F5F0E" w:rsidRPr="002F4B61">
        <w:rPr>
          <w:sz w:val="22"/>
          <w:szCs w:val="22"/>
        </w:rPr>
        <w:t>will fall under the GWAS policy</w:t>
      </w:r>
      <w:r w:rsidRPr="002F4B61">
        <w:rPr>
          <w:sz w:val="22"/>
          <w:szCs w:val="22"/>
        </w:rPr>
        <w:t>.</w:t>
      </w:r>
      <w:r w:rsidR="004831DA" w:rsidRPr="002F4B61">
        <w:rPr>
          <w:sz w:val="22"/>
          <w:szCs w:val="22"/>
        </w:rPr>
        <w:t xml:space="preserve"> </w:t>
      </w:r>
      <w:r w:rsidRPr="002F4B61">
        <w:rPr>
          <w:sz w:val="22"/>
          <w:szCs w:val="22"/>
        </w:rPr>
        <w:t xml:space="preserve"> Based on this </w:t>
      </w:r>
      <w:r w:rsidR="00F358EC" w:rsidRPr="002F4B61">
        <w:rPr>
          <w:sz w:val="22"/>
          <w:szCs w:val="22"/>
        </w:rPr>
        <w:t>calculation</w:t>
      </w:r>
      <w:r w:rsidRPr="002F4B61">
        <w:rPr>
          <w:sz w:val="22"/>
          <w:szCs w:val="22"/>
        </w:rPr>
        <w:t xml:space="preserve">, </w:t>
      </w:r>
      <w:r w:rsidR="00F358EC" w:rsidRPr="002F4B61">
        <w:rPr>
          <w:sz w:val="22"/>
          <w:szCs w:val="22"/>
        </w:rPr>
        <w:t xml:space="preserve">NIH estimates </w:t>
      </w:r>
      <w:r w:rsidR="009B7102" w:rsidRPr="002F4B61">
        <w:rPr>
          <w:sz w:val="22"/>
          <w:szCs w:val="22"/>
        </w:rPr>
        <w:t xml:space="preserve">100 </w:t>
      </w:r>
      <w:r w:rsidRPr="002F4B61">
        <w:rPr>
          <w:sz w:val="22"/>
          <w:szCs w:val="22"/>
        </w:rPr>
        <w:t xml:space="preserve">respondents per year (50 PIs and 50 </w:t>
      </w:r>
      <w:r w:rsidR="00D81BA4" w:rsidRPr="002F4B61">
        <w:rPr>
          <w:sz w:val="22"/>
          <w:szCs w:val="22"/>
        </w:rPr>
        <w:t xml:space="preserve">Institutional </w:t>
      </w:r>
      <w:r w:rsidRPr="002F4B61">
        <w:rPr>
          <w:sz w:val="22"/>
          <w:szCs w:val="22"/>
        </w:rPr>
        <w:t>Signing Officials).</w:t>
      </w:r>
      <w:r w:rsidR="004831DA" w:rsidRPr="002F4B61">
        <w:rPr>
          <w:sz w:val="22"/>
          <w:szCs w:val="22"/>
        </w:rPr>
        <w:t xml:space="preserve"> </w:t>
      </w:r>
      <w:r w:rsidRPr="002F4B61">
        <w:rPr>
          <w:sz w:val="22"/>
          <w:szCs w:val="22"/>
        </w:rPr>
        <w:t xml:space="preserve"> NIH </w:t>
      </w:r>
      <w:r w:rsidR="00F358EC" w:rsidRPr="002F4B61">
        <w:rPr>
          <w:sz w:val="22"/>
          <w:szCs w:val="22"/>
        </w:rPr>
        <w:t xml:space="preserve">does not </w:t>
      </w:r>
      <w:r w:rsidRPr="002F4B61">
        <w:rPr>
          <w:sz w:val="22"/>
          <w:szCs w:val="22"/>
        </w:rPr>
        <w:t xml:space="preserve">expect </w:t>
      </w:r>
      <w:r w:rsidR="00F358EC" w:rsidRPr="002F4B61">
        <w:rPr>
          <w:sz w:val="22"/>
          <w:szCs w:val="22"/>
        </w:rPr>
        <w:t xml:space="preserve">the number of </w:t>
      </w:r>
      <w:r w:rsidRPr="002F4B61">
        <w:rPr>
          <w:sz w:val="22"/>
          <w:szCs w:val="22"/>
        </w:rPr>
        <w:t>registration</w:t>
      </w:r>
      <w:r w:rsidR="00F358EC" w:rsidRPr="002F4B61">
        <w:rPr>
          <w:sz w:val="22"/>
          <w:szCs w:val="22"/>
        </w:rPr>
        <w:t>s to increase significantly in the next three years</w:t>
      </w:r>
      <w:r w:rsidRPr="002F4B61">
        <w:rPr>
          <w:sz w:val="22"/>
          <w:szCs w:val="22"/>
        </w:rPr>
        <w:t>.</w:t>
      </w:r>
      <w:r w:rsidR="004831DA" w:rsidRPr="002F4B61">
        <w:rPr>
          <w:sz w:val="22"/>
          <w:szCs w:val="22"/>
        </w:rPr>
        <w:t xml:space="preserve"> </w:t>
      </w:r>
      <w:r w:rsidRPr="002F4B61">
        <w:rPr>
          <w:sz w:val="22"/>
          <w:szCs w:val="22"/>
        </w:rPr>
        <w:t xml:space="preserve"> Based on pr</w:t>
      </w:r>
      <w:r w:rsidR="00F358EC" w:rsidRPr="002F4B61">
        <w:rPr>
          <w:sz w:val="22"/>
          <w:szCs w:val="22"/>
        </w:rPr>
        <w:t>ior</w:t>
      </w:r>
      <w:r w:rsidRPr="002F4B61">
        <w:rPr>
          <w:sz w:val="22"/>
          <w:szCs w:val="22"/>
        </w:rPr>
        <w:t xml:space="preserve"> experience, most PIs do not </w:t>
      </w:r>
      <w:r w:rsidR="00F358EC" w:rsidRPr="002F4B61">
        <w:rPr>
          <w:sz w:val="22"/>
          <w:szCs w:val="22"/>
        </w:rPr>
        <w:t xml:space="preserve">make changes to </w:t>
      </w:r>
      <w:r w:rsidRPr="002F4B61">
        <w:rPr>
          <w:sz w:val="22"/>
          <w:szCs w:val="22"/>
        </w:rPr>
        <w:t>their initial registration information</w:t>
      </w:r>
      <w:r w:rsidR="002F5F0E" w:rsidRPr="002F4B61">
        <w:rPr>
          <w:sz w:val="22"/>
          <w:szCs w:val="22"/>
        </w:rPr>
        <w:t xml:space="preserve"> but may add additional datasets</w:t>
      </w:r>
      <w:r w:rsidRPr="002F4B61">
        <w:rPr>
          <w:sz w:val="22"/>
          <w:szCs w:val="22"/>
        </w:rPr>
        <w:t xml:space="preserve">. </w:t>
      </w:r>
      <w:r w:rsidR="004831DA" w:rsidRPr="002F4B61">
        <w:rPr>
          <w:sz w:val="22"/>
          <w:szCs w:val="22"/>
        </w:rPr>
        <w:t xml:space="preserve"> </w:t>
      </w:r>
      <w:r w:rsidR="002F5F0E" w:rsidRPr="002F4B61">
        <w:rPr>
          <w:sz w:val="22"/>
          <w:szCs w:val="22"/>
        </w:rPr>
        <w:t xml:space="preserve">Since dbGaP accepts </w:t>
      </w:r>
      <w:r w:rsidR="003F2CE1" w:rsidRPr="002F4B61">
        <w:rPr>
          <w:sz w:val="22"/>
          <w:szCs w:val="22"/>
        </w:rPr>
        <w:t>various</w:t>
      </w:r>
      <w:r w:rsidR="002F5F0E" w:rsidRPr="002F4B61">
        <w:rPr>
          <w:sz w:val="22"/>
          <w:szCs w:val="22"/>
        </w:rPr>
        <w:t xml:space="preserve"> data formats, additional datasets submitted </w:t>
      </w:r>
      <w:r w:rsidR="003F2CE1" w:rsidRPr="002F4B61">
        <w:rPr>
          <w:sz w:val="22"/>
          <w:szCs w:val="22"/>
        </w:rPr>
        <w:t xml:space="preserve">after </w:t>
      </w:r>
      <w:r w:rsidR="002F5F0E" w:rsidRPr="002F4B61">
        <w:rPr>
          <w:sz w:val="22"/>
          <w:szCs w:val="22"/>
        </w:rPr>
        <w:t>the initial registration do not require any reformatting</w:t>
      </w:r>
      <w:r w:rsidR="00376849" w:rsidRPr="002F4B61">
        <w:rPr>
          <w:sz w:val="22"/>
          <w:szCs w:val="22"/>
        </w:rPr>
        <w:t xml:space="preserve"> and thus do</w:t>
      </w:r>
      <w:r w:rsidR="00695CF4" w:rsidRPr="002F4B61">
        <w:rPr>
          <w:sz w:val="22"/>
          <w:szCs w:val="22"/>
        </w:rPr>
        <w:t>es</w:t>
      </w:r>
      <w:r w:rsidR="00376849" w:rsidRPr="002F4B61">
        <w:rPr>
          <w:sz w:val="22"/>
          <w:szCs w:val="22"/>
        </w:rPr>
        <w:t xml:space="preserve"> not add additional burden to the registration process</w:t>
      </w:r>
      <w:r w:rsidR="002F5F0E" w:rsidRPr="002F4B61">
        <w:rPr>
          <w:sz w:val="22"/>
          <w:szCs w:val="22"/>
        </w:rPr>
        <w:t xml:space="preserve">.  </w:t>
      </w:r>
      <w:r w:rsidRPr="002F4B61">
        <w:rPr>
          <w:sz w:val="22"/>
          <w:szCs w:val="22"/>
        </w:rPr>
        <w:t xml:space="preserve">Therefore, the average frequency of response per </w:t>
      </w:r>
      <w:r w:rsidR="00F414C8" w:rsidRPr="002F4B61">
        <w:rPr>
          <w:sz w:val="22"/>
          <w:szCs w:val="22"/>
        </w:rPr>
        <w:t xml:space="preserve">PI </w:t>
      </w:r>
      <w:r w:rsidR="00F358EC" w:rsidRPr="002F4B61">
        <w:rPr>
          <w:sz w:val="22"/>
          <w:szCs w:val="22"/>
        </w:rPr>
        <w:t xml:space="preserve">is estimated to be </w:t>
      </w:r>
      <w:r w:rsidRPr="002F4B61">
        <w:rPr>
          <w:sz w:val="22"/>
          <w:szCs w:val="22"/>
        </w:rPr>
        <w:t>once.</w:t>
      </w:r>
      <w:r w:rsidR="002F5F0E" w:rsidRPr="002F4B61">
        <w:rPr>
          <w:sz w:val="22"/>
          <w:szCs w:val="22"/>
        </w:rPr>
        <w:t xml:space="preserve"> </w:t>
      </w:r>
    </w:p>
    <w:p w:rsidR="00241056" w:rsidRPr="002F4B61" w:rsidRDefault="00241056" w:rsidP="00241056">
      <w:pPr>
        <w:ind w:left="720"/>
        <w:rPr>
          <w:sz w:val="22"/>
          <w:szCs w:val="22"/>
        </w:rPr>
      </w:pPr>
    </w:p>
    <w:p w:rsidR="00241056" w:rsidRPr="002F4B61" w:rsidRDefault="0053396B" w:rsidP="00241056">
      <w:pPr>
        <w:ind w:left="720"/>
        <w:rPr>
          <w:sz w:val="22"/>
          <w:szCs w:val="22"/>
        </w:rPr>
      </w:pPr>
      <w:r w:rsidRPr="002F4B61">
        <w:rPr>
          <w:sz w:val="22"/>
          <w:szCs w:val="22"/>
        </w:rPr>
        <w:t xml:space="preserve">Table 12-1 provides the estimated burden hours for registration and data submission of NIH-funded genomic </w:t>
      </w:r>
      <w:r w:rsidR="00D81BA4" w:rsidRPr="002F4B61">
        <w:rPr>
          <w:sz w:val="22"/>
          <w:szCs w:val="22"/>
        </w:rPr>
        <w:t>studies</w:t>
      </w:r>
      <w:r w:rsidRPr="002F4B61">
        <w:rPr>
          <w:sz w:val="22"/>
          <w:szCs w:val="22"/>
        </w:rPr>
        <w:t xml:space="preserve">.  </w:t>
      </w:r>
      <w:r w:rsidR="00241056" w:rsidRPr="002F4B61">
        <w:rPr>
          <w:sz w:val="22"/>
          <w:szCs w:val="22"/>
        </w:rPr>
        <w:t xml:space="preserve">Based on </w:t>
      </w:r>
      <w:r w:rsidR="00F358EC" w:rsidRPr="002F4B61">
        <w:rPr>
          <w:sz w:val="22"/>
          <w:szCs w:val="22"/>
        </w:rPr>
        <w:t xml:space="preserve">a </w:t>
      </w:r>
      <w:r w:rsidR="00241056" w:rsidRPr="002F4B61">
        <w:rPr>
          <w:sz w:val="22"/>
          <w:szCs w:val="22"/>
        </w:rPr>
        <w:t>simulat</w:t>
      </w:r>
      <w:r w:rsidR="00F358EC" w:rsidRPr="002F4B61">
        <w:rPr>
          <w:sz w:val="22"/>
          <w:szCs w:val="22"/>
        </w:rPr>
        <w:t>ion of the registration and submission process</w:t>
      </w:r>
      <w:r w:rsidR="00F85D46" w:rsidRPr="002F4B61">
        <w:rPr>
          <w:sz w:val="22"/>
          <w:szCs w:val="22"/>
        </w:rPr>
        <w:t>es</w:t>
      </w:r>
      <w:r w:rsidR="00F358EC" w:rsidRPr="002F4B61">
        <w:rPr>
          <w:sz w:val="22"/>
          <w:szCs w:val="22"/>
        </w:rPr>
        <w:t xml:space="preserve"> </w:t>
      </w:r>
      <w:r w:rsidR="00F358EC" w:rsidRPr="002F4B61">
        <w:rPr>
          <w:sz w:val="22"/>
          <w:szCs w:val="22"/>
        </w:rPr>
        <w:lastRenderedPageBreak/>
        <w:t>using the new forms</w:t>
      </w:r>
      <w:r w:rsidR="00241056" w:rsidRPr="002F4B61">
        <w:rPr>
          <w:sz w:val="22"/>
          <w:szCs w:val="22"/>
        </w:rPr>
        <w:t xml:space="preserve">, NIH </w:t>
      </w:r>
      <w:r w:rsidR="00F358EC" w:rsidRPr="002F4B61">
        <w:rPr>
          <w:sz w:val="22"/>
          <w:szCs w:val="22"/>
        </w:rPr>
        <w:t>estimates</w:t>
      </w:r>
      <w:r w:rsidR="00241056" w:rsidRPr="002F4B61">
        <w:rPr>
          <w:sz w:val="22"/>
          <w:szCs w:val="22"/>
        </w:rPr>
        <w:t xml:space="preserve"> that it will take </w:t>
      </w:r>
      <w:r w:rsidR="00F414C8" w:rsidRPr="002F4B61">
        <w:rPr>
          <w:sz w:val="22"/>
          <w:szCs w:val="22"/>
        </w:rPr>
        <w:t>a PI</w:t>
      </w:r>
      <w:r w:rsidR="00F358EC" w:rsidRPr="002F4B61">
        <w:rPr>
          <w:sz w:val="22"/>
          <w:szCs w:val="22"/>
        </w:rPr>
        <w:t>, on</w:t>
      </w:r>
      <w:r w:rsidR="00241056" w:rsidRPr="002F4B61">
        <w:rPr>
          <w:sz w:val="22"/>
          <w:szCs w:val="22"/>
        </w:rPr>
        <w:t xml:space="preserve"> average</w:t>
      </w:r>
      <w:r w:rsidR="00F358EC" w:rsidRPr="002F4B61">
        <w:rPr>
          <w:sz w:val="22"/>
          <w:szCs w:val="22"/>
        </w:rPr>
        <w:t>,</w:t>
      </w:r>
      <w:r w:rsidR="00241056" w:rsidRPr="002F4B61">
        <w:rPr>
          <w:sz w:val="22"/>
          <w:szCs w:val="22"/>
        </w:rPr>
        <w:t xml:space="preserve"> 0.75 hours to </w:t>
      </w:r>
      <w:r w:rsidR="00F358EC" w:rsidRPr="002F4B61">
        <w:rPr>
          <w:sz w:val="22"/>
          <w:szCs w:val="22"/>
        </w:rPr>
        <w:t xml:space="preserve">enter the study information </w:t>
      </w:r>
      <w:r w:rsidR="00C7732D" w:rsidRPr="002F4B61">
        <w:rPr>
          <w:sz w:val="22"/>
          <w:szCs w:val="22"/>
        </w:rPr>
        <w:t xml:space="preserve">and upload the </w:t>
      </w:r>
      <w:r w:rsidR="00F358EC" w:rsidRPr="002F4B61">
        <w:rPr>
          <w:sz w:val="22"/>
          <w:szCs w:val="22"/>
        </w:rPr>
        <w:t xml:space="preserve">study </w:t>
      </w:r>
      <w:r w:rsidR="00C7732D" w:rsidRPr="002F4B61">
        <w:rPr>
          <w:sz w:val="22"/>
          <w:szCs w:val="22"/>
        </w:rPr>
        <w:t>data</w:t>
      </w:r>
      <w:r w:rsidR="007042E6" w:rsidRPr="002F4B61">
        <w:rPr>
          <w:sz w:val="22"/>
          <w:szCs w:val="22"/>
        </w:rPr>
        <w:t>,</w:t>
      </w:r>
      <w:r w:rsidR="00C7732D" w:rsidRPr="002F4B61">
        <w:rPr>
          <w:sz w:val="22"/>
          <w:szCs w:val="22"/>
        </w:rPr>
        <w:t xml:space="preserve"> </w:t>
      </w:r>
      <w:r w:rsidR="00241056" w:rsidRPr="002F4B61">
        <w:rPr>
          <w:sz w:val="22"/>
          <w:szCs w:val="22"/>
        </w:rPr>
        <w:t>and</w:t>
      </w:r>
      <w:r w:rsidR="00F358EC" w:rsidRPr="002F4B61">
        <w:rPr>
          <w:sz w:val="22"/>
          <w:szCs w:val="22"/>
        </w:rPr>
        <w:t xml:space="preserve"> that it will take a</w:t>
      </w:r>
      <w:r w:rsidR="00D81BA4" w:rsidRPr="002F4B61">
        <w:rPr>
          <w:sz w:val="22"/>
          <w:szCs w:val="22"/>
        </w:rPr>
        <w:t>n Institutional</w:t>
      </w:r>
      <w:r w:rsidR="00F358EC" w:rsidRPr="002F4B61">
        <w:rPr>
          <w:sz w:val="22"/>
          <w:szCs w:val="22"/>
        </w:rPr>
        <w:t xml:space="preserve"> Signing Official, on average,</w:t>
      </w:r>
      <w:r w:rsidR="00241056" w:rsidRPr="002F4B61">
        <w:rPr>
          <w:sz w:val="22"/>
          <w:szCs w:val="22"/>
        </w:rPr>
        <w:t xml:space="preserve"> 0.50 hours to </w:t>
      </w:r>
      <w:r w:rsidR="00564747" w:rsidRPr="002F4B61">
        <w:rPr>
          <w:sz w:val="22"/>
          <w:szCs w:val="22"/>
        </w:rPr>
        <w:t xml:space="preserve">certify </w:t>
      </w:r>
      <w:r w:rsidR="00241056" w:rsidRPr="002F4B61">
        <w:rPr>
          <w:sz w:val="22"/>
          <w:szCs w:val="22"/>
        </w:rPr>
        <w:t>the information.</w:t>
      </w:r>
      <w:r w:rsidR="005C76E4" w:rsidRPr="002F4B61">
        <w:rPr>
          <w:sz w:val="22"/>
          <w:szCs w:val="22"/>
        </w:rPr>
        <w:t xml:space="preserve"> </w:t>
      </w:r>
      <w:r w:rsidR="00241056" w:rsidRPr="002F4B61">
        <w:rPr>
          <w:sz w:val="22"/>
          <w:szCs w:val="22"/>
        </w:rPr>
        <w:t xml:space="preserve"> </w:t>
      </w:r>
      <w:r w:rsidR="006E76AB" w:rsidRPr="002F4B61">
        <w:rPr>
          <w:sz w:val="22"/>
          <w:szCs w:val="22"/>
        </w:rPr>
        <w:t xml:space="preserve">Multiplying </w:t>
      </w:r>
      <w:r w:rsidR="00241056" w:rsidRPr="002F4B61">
        <w:rPr>
          <w:sz w:val="22"/>
          <w:szCs w:val="22"/>
        </w:rPr>
        <w:t>the frequency of response</w:t>
      </w:r>
      <w:r w:rsidR="00F85D46" w:rsidRPr="002F4B61">
        <w:rPr>
          <w:sz w:val="22"/>
          <w:szCs w:val="22"/>
        </w:rPr>
        <w:t xml:space="preserve"> (1)</w:t>
      </w:r>
      <w:r w:rsidR="006E76AB" w:rsidRPr="002F4B61">
        <w:rPr>
          <w:sz w:val="22"/>
          <w:szCs w:val="22"/>
        </w:rPr>
        <w:t xml:space="preserve"> </w:t>
      </w:r>
      <w:r w:rsidR="00073744" w:rsidRPr="002F4B61">
        <w:rPr>
          <w:sz w:val="22"/>
          <w:szCs w:val="22"/>
        </w:rPr>
        <w:t xml:space="preserve">by </w:t>
      </w:r>
      <w:r w:rsidR="001C5A44" w:rsidRPr="002F4B61">
        <w:rPr>
          <w:sz w:val="22"/>
          <w:szCs w:val="22"/>
        </w:rPr>
        <w:t xml:space="preserve">the </w:t>
      </w:r>
      <w:r w:rsidR="00F414C8" w:rsidRPr="002F4B61">
        <w:rPr>
          <w:sz w:val="22"/>
          <w:szCs w:val="22"/>
        </w:rPr>
        <w:t>total number of PIs</w:t>
      </w:r>
      <w:r w:rsidR="006E76AB" w:rsidRPr="002F4B61">
        <w:rPr>
          <w:sz w:val="22"/>
          <w:szCs w:val="22"/>
        </w:rPr>
        <w:t xml:space="preserve"> </w:t>
      </w:r>
      <w:r w:rsidR="00F85D46" w:rsidRPr="002F4B61">
        <w:rPr>
          <w:sz w:val="22"/>
          <w:szCs w:val="22"/>
        </w:rPr>
        <w:t>(50)</w:t>
      </w:r>
      <w:r w:rsidR="00F0725F" w:rsidRPr="002F4B61">
        <w:rPr>
          <w:sz w:val="22"/>
          <w:szCs w:val="22"/>
        </w:rPr>
        <w:t xml:space="preserve"> </w:t>
      </w:r>
      <w:r w:rsidR="006E76AB" w:rsidRPr="002F4B61">
        <w:rPr>
          <w:sz w:val="22"/>
          <w:szCs w:val="22"/>
        </w:rPr>
        <w:t xml:space="preserve">by the time it takes </w:t>
      </w:r>
      <w:r w:rsidR="00F51896" w:rsidRPr="002F4B61">
        <w:rPr>
          <w:sz w:val="22"/>
          <w:szCs w:val="22"/>
        </w:rPr>
        <w:t xml:space="preserve">a </w:t>
      </w:r>
      <w:r w:rsidR="00F414C8" w:rsidRPr="002F4B61">
        <w:rPr>
          <w:sz w:val="22"/>
          <w:szCs w:val="22"/>
        </w:rPr>
        <w:t>PI</w:t>
      </w:r>
      <w:r w:rsidR="006E76AB" w:rsidRPr="002F4B61">
        <w:rPr>
          <w:sz w:val="22"/>
          <w:szCs w:val="22"/>
        </w:rPr>
        <w:t xml:space="preserve"> to register </w:t>
      </w:r>
      <w:r w:rsidR="00A01043" w:rsidRPr="002F4B61">
        <w:rPr>
          <w:sz w:val="22"/>
          <w:szCs w:val="22"/>
        </w:rPr>
        <w:t xml:space="preserve">a study </w:t>
      </w:r>
      <w:r w:rsidR="006E76AB" w:rsidRPr="002F4B61">
        <w:rPr>
          <w:sz w:val="22"/>
          <w:szCs w:val="22"/>
        </w:rPr>
        <w:t>and submit</w:t>
      </w:r>
      <w:r w:rsidR="00A01043" w:rsidRPr="002F4B61">
        <w:rPr>
          <w:sz w:val="22"/>
          <w:szCs w:val="22"/>
        </w:rPr>
        <w:t xml:space="preserve"> data</w:t>
      </w:r>
      <w:r w:rsidR="00F85D46" w:rsidRPr="002F4B61">
        <w:rPr>
          <w:sz w:val="22"/>
          <w:szCs w:val="22"/>
        </w:rPr>
        <w:t xml:space="preserve"> (0.75</w:t>
      </w:r>
      <w:r w:rsidR="00F51896" w:rsidRPr="002F4B61">
        <w:rPr>
          <w:sz w:val="22"/>
          <w:szCs w:val="22"/>
        </w:rPr>
        <w:t xml:space="preserve"> hour</w:t>
      </w:r>
      <w:r w:rsidR="00F85D46" w:rsidRPr="002F4B61">
        <w:rPr>
          <w:sz w:val="22"/>
          <w:szCs w:val="22"/>
        </w:rPr>
        <w:t>)</w:t>
      </w:r>
      <w:r w:rsidR="00F0725F" w:rsidRPr="002F4B61">
        <w:rPr>
          <w:sz w:val="22"/>
          <w:szCs w:val="22"/>
        </w:rPr>
        <w:t>,</w:t>
      </w:r>
      <w:r w:rsidR="00F85D46" w:rsidRPr="002F4B61">
        <w:rPr>
          <w:sz w:val="22"/>
          <w:szCs w:val="22"/>
        </w:rPr>
        <w:t xml:space="preserve"> yields a</w:t>
      </w:r>
      <w:r w:rsidR="00830F14" w:rsidRPr="002F4B61">
        <w:rPr>
          <w:sz w:val="22"/>
          <w:szCs w:val="22"/>
        </w:rPr>
        <w:t xml:space="preserve"> </w:t>
      </w:r>
      <w:r w:rsidR="006E76AB" w:rsidRPr="002F4B61">
        <w:rPr>
          <w:sz w:val="22"/>
          <w:szCs w:val="22"/>
        </w:rPr>
        <w:t xml:space="preserve">total </w:t>
      </w:r>
      <w:r w:rsidR="00241056" w:rsidRPr="002F4B61">
        <w:rPr>
          <w:sz w:val="22"/>
          <w:szCs w:val="22"/>
        </w:rPr>
        <w:t xml:space="preserve">annual hour burden </w:t>
      </w:r>
      <w:r w:rsidR="006E76AB" w:rsidRPr="002F4B61">
        <w:rPr>
          <w:sz w:val="22"/>
          <w:szCs w:val="22"/>
        </w:rPr>
        <w:t xml:space="preserve">for submitting </w:t>
      </w:r>
      <w:r w:rsidR="00F414C8" w:rsidRPr="002F4B61">
        <w:rPr>
          <w:sz w:val="22"/>
          <w:szCs w:val="22"/>
        </w:rPr>
        <w:t xml:space="preserve">PIs </w:t>
      </w:r>
      <w:r w:rsidR="00F85D46" w:rsidRPr="002F4B61">
        <w:rPr>
          <w:sz w:val="22"/>
          <w:szCs w:val="22"/>
        </w:rPr>
        <w:t>of</w:t>
      </w:r>
      <w:r w:rsidR="006E76AB" w:rsidRPr="002F4B61">
        <w:rPr>
          <w:sz w:val="22"/>
          <w:szCs w:val="22"/>
        </w:rPr>
        <w:t xml:space="preserve"> </w:t>
      </w:r>
      <w:r w:rsidR="000543B9">
        <w:rPr>
          <w:sz w:val="22"/>
          <w:szCs w:val="22"/>
        </w:rPr>
        <w:t>38</w:t>
      </w:r>
      <w:r w:rsidR="00241056" w:rsidRPr="002F4B61">
        <w:rPr>
          <w:sz w:val="22"/>
          <w:szCs w:val="22"/>
        </w:rPr>
        <w:t xml:space="preserve"> hours</w:t>
      </w:r>
      <w:r w:rsidR="006E76AB" w:rsidRPr="002F4B61">
        <w:rPr>
          <w:sz w:val="22"/>
          <w:szCs w:val="22"/>
        </w:rPr>
        <w:t xml:space="preserve">.  The same formula </w:t>
      </w:r>
      <w:r w:rsidR="00F45232" w:rsidRPr="002F4B61">
        <w:rPr>
          <w:sz w:val="22"/>
          <w:szCs w:val="22"/>
        </w:rPr>
        <w:t>wa</w:t>
      </w:r>
      <w:r w:rsidR="006E76AB" w:rsidRPr="002F4B61">
        <w:rPr>
          <w:sz w:val="22"/>
          <w:szCs w:val="22"/>
        </w:rPr>
        <w:t>s used to derive the total annual burden for</w:t>
      </w:r>
      <w:r w:rsidR="00D81BA4" w:rsidRPr="002F4B61">
        <w:rPr>
          <w:sz w:val="22"/>
          <w:szCs w:val="22"/>
        </w:rPr>
        <w:t xml:space="preserve"> Institutional</w:t>
      </w:r>
      <w:r w:rsidR="006E76AB" w:rsidRPr="002F4B61">
        <w:rPr>
          <w:sz w:val="22"/>
          <w:szCs w:val="22"/>
        </w:rPr>
        <w:t xml:space="preserve"> Signing Officials </w:t>
      </w:r>
      <w:r w:rsidR="00CD67F1" w:rsidRPr="002F4B61">
        <w:rPr>
          <w:sz w:val="22"/>
          <w:szCs w:val="22"/>
        </w:rPr>
        <w:t>(</w:t>
      </w:r>
      <w:r w:rsidR="006E76AB" w:rsidRPr="002F4B61">
        <w:rPr>
          <w:sz w:val="22"/>
          <w:szCs w:val="22"/>
        </w:rPr>
        <w:t xml:space="preserve">i.e., the frequency </w:t>
      </w:r>
      <w:r w:rsidR="00B57225" w:rsidRPr="002F4B61">
        <w:rPr>
          <w:sz w:val="22"/>
          <w:szCs w:val="22"/>
        </w:rPr>
        <w:t>wa</w:t>
      </w:r>
      <w:r w:rsidR="006E76AB" w:rsidRPr="002F4B61">
        <w:rPr>
          <w:sz w:val="22"/>
          <w:szCs w:val="22"/>
        </w:rPr>
        <w:t>s multiplied by the number of</w:t>
      </w:r>
      <w:r w:rsidR="00D81BA4" w:rsidRPr="002F4B61">
        <w:rPr>
          <w:sz w:val="22"/>
          <w:szCs w:val="22"/>
        </w:rPr>
        <w:t xml:space="preserve"> Institutional</w:t>
      </w:r>
      <w:r w:rsidR="006E76AB" w:rsidRPr="002F4B61">
        <w:rPr>
          <w:sz w:val="22"/>
          <w:szCs w:val="22"/>
        </w:rPr>
        <w:t xml:space="preserve"> Signing Officials by the time it takes </w:t>
      </w:r>
      <w:r w:rsidR="00F51896" w:rsidRPr="002F4B61">
        <w:rPr>
          <w:sz w:val="22"/>
          <w:szCs w:val="22"/>
        </w:rPr>
        <w:t>a</w:t>
      </w:r>
      <w:r w:rsidR="00D81BA4" w:rsidRPr="002F4B61">
        <w:rPr>
          <w:sz w:val="22"/>
          <w:szCs w:val="22"/>
        </w:rPr>
        <w:t>n Institutional</w:t>
      </w:r>
      <w:r w:rsidR="00F51896" w:rsidRPr="002F4B61">
        <w:rPr>
          <w:sz w:val="22"/>
          <w:szCs w:val="22"/>
        </w:rPr>
        <w:t xml:space="preserve"> Signing Official </w:t>
      </w:r>
      <w:r w:rsidR="006E76AB" w:rsidRPr="002F4B61">
        <w:rPr>
          <w:sz w:val="22"/>
          <w:szCs w:val="22"/>
        </w:rPr>
        <w:t>to carry out the certification process</w:t>
      </w:r>
      <w:r w:rsidR="00CD67F1" w:rsidRPr="002F4B61">
        <w:rPr>
          <w:sz w:val="22"/>
          <w:szCs w:val="22"/>
        </w:rPr>
        <w:t>)</w:t>
      </w:r>
      <w:r w:rsidR="006E76AB" w:rsidRPr="002F4B61">
        <w:rPr>
          <w:sz w:val="22"/>
          <w:szCs w:val="22"/>
        </w:rPr>
        <w:t>.  The total annual hour burden for</w:t>
      </w:r>
      <w:r w:rsidR="00D81BA4" w:rsidRPr="002F4B61">
        <w:rPr>
          <w:sz w:val="22"/>
          <w:szCs w:val="22"/>
        </w:rPr>
        <w:t xml:space="preserve"> Institutional</w:t>
      </w:r>
      <w:r w:rsidR="006E76AB" w:rsidRPr="002F4B61">
        <w:rPr>
          <w:sz w:val="22"/>
          <w:szCs w:val="22"/>
        </w:rPr>
        <w:t xml:space="preserve"> Signing Officials is </w:t>
      </w:r>
      <w:r w:rsidR="001C5A44" w:rsidRPr="002F4B61">
        <w:rPr>
          <w:sz w:val="22"/>
          <w:szCs w:val="22"/>
        </w:rPr>
        <w:t xml:space="preserve">25 </w:t>
      </w:r>
      <w:r w:rsidR="00241056" w:rsidRPr="002F4B61">
        <w:rPr>
          <w:sz w:val="22"/>
          <w:szCs w:val="22"/>
        </w:rPr>
        <w:t>hours</w:t>
      </w:r>
      <w:r w:rsidR="006E76AB" w:rsidRPr="002F4B61">
        <w:rPr>
          <w:sz w:val="22"/>
          <w:szCs w:val="22"/>
        </w:rPr>
        <w:t xml:space="preserve">.  The </w:t>
      </w:r>
      <w:r w:rsidR="00241056" w:rsidRPr="002F4B61">
        <w:rPr>
          <w:sz w:val="22"/>
          <w:szCs w:val="22"/>
        </w:rPr>
        <w:t xml:space="preserve">total annual burden </w:t>
      </w:r>
      <w:r w:rsidR="006E76AB" w:rsidRPr="002F4B61">
        <w:rPr>
          <w:sz w:val="22"/>
          <w:szCs w:val="22"/>
        </w:rPr>
        <w:t xml:space="preserve">for both groups is </w:t>
      </w:r>
      <w:r w:rsidR="000543B9">
        <w:rPr>
          <w:sz w:val="22"/>
          <w:szCs w:val="22"/>
        </w:rPr>
        <w:t>63</w:t>
      </w:r>
      <w:r w:rsidR="006E76AB" w:rsidRPr="002F4B61">
        <w:rPr>
          <w:sz w:val="22"/>
          <w:szCs w:val="22"/>
        </w:rPr>
        <w:t xml:space="preserve"> </w:t>
      </w:r>
      <w:r w:rsidR="00CD67F1" w:rsidRPr="002F4B61">
        <w:rPr>
          <w:sz w:val="22"/>
          <w:szCs w:val="22"/>
        </w:rPr>
        <w:t>hours</w:t>
      </w:r>
      <w:r w:rsidR="00241056" w:rsidRPr="002F4B61">
        <w:rPr>
          <w:sz w:val="22"/>
          <w:szCs w:val="22"/>
        </w:rPr>
        <w:t>.</w:t>
      </w:r>
      <w:r w:rsidR="00F0725F" w:rsidRPr="002F4B61">
        <w:rPr>
          <w:sz w:val="22"/>
          <w:szCs w:val="22"/>
        </w:rPr>
        <w:t xml:space="preserve">  </w:t>
      </w:r>
    </w:p>
    <w:p w:rsidR="00400589" w:rsidRPr="002F4B61" w:rsidRDefault="00400589" w:rsidP="00204C64">
      <w:pPr>
        <w:rPr>
          <w:sz w:val="22"/>
          <w:szCs w:val="22"/>
        </w:rPr>
      </w:pPr>
    </w:p>
    <w:tbl>
      <w:tblPr>
        <w:tblW w:w="8640" w:type="dxa"/>
        <w:tblInd w:w="8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1620"/>
        <w:gridCol w:w="1710"/>
        <w:gridCol w:w="1620"/>
        <w:gridCol w:w="1890"/>
        <w:gridCol w:w="1800"/>
      </w:tblGrid>
      <w:tr w:rsidR="00061C97" w:rsidRPr="002F4B61" w:rsidTr="00DA6D36">
        <w:tc>
          <w:tcPr>
            <w:tcW w:w="8640" w:type="dxa"/>
            <w:gridSpan w:val="5"/>
            <w:shd w:val="clear" w:color="auto" w:fill="D9D9D9" w:themeFill="background1" w:themeFillShade="D9"/>
            <w:vAlign w:val="center"/>
          </w:tcPr>
          <w:p w:rsidR="00F67318" w:rsidRPr="002F4B61" w:rsidRDefault="00241056" w:rsidP="001D53DD">
            <w:pPr>
              <w:jc w:val="center"/>
              <w:rPr>
                <w:b/>
                <w:szCs w:val="22"/>
              </w:rPr>
            </w:pPr>
            <w:r w:rsidRPr="002F4B61">
              <w:rPr>
                <w:b/>
                <w:sz w:val="22"/>
                <w:szCs w:val="22"/>
              </w:rPr>
              <w:t xml:space="preserve">Table 12-1 Estimates of Hour Burden for </w:t>
            </w:r>
            <w:r w:rsidR="00A875A5" w:rsidRPr="002F4B61">
              <w:rPr>
                <w:b/>
                <w:sz w:val="22"/>
                <w:szCs w:val="22"/>
              </w:rPr>
              <w:t xml:space="preserve">Study </w:t>
            </w:r>
            <w:r w:rsidRPr="002F4B61">
              <w:rPr>
                <w:b/>
                <w:sz w:val="22"/>
                <w:szCs w:val="22"/>
              </w:rPr>
              <w:t>Registration</w:t>
            </w:r>
            <w:r w:rsidR="00BA71E6" w:rsidRPr="002F4B61">
              <w:rPr>
                <w:b/>
                <w:sz w:val="22"/>
                <w:szCs w:val="22"/>
              </w:rPr>
              <w:t xml:space="preserve"> and Data Submission</w:t>
            </w:r>
          </w:p>
        </w:tc>
      </w:tr>
      <w:tr w:rsidR="00D24473" w:rsidRPr="002F4B61" w:rsidTr="00830F14">
        <w:tc>
          <w:tcPr>
            <w:tcW w:w="1620" w:type="dxa"/>
            <w:shd w:val="clear" w:color="auto" w:fill="FFFFFF" w:themeFill="background1"/>
            <w:vAlign w:val="center"/>
          </w:tcPr>
          <w:p w:rsidR="00D24473" w:rsidRPr="002F4B61" w:rsidRDefault="00D24473" w:rsidP="00101321">
            <w:pPr>
              <w:pStyle w:val="tt-tabletitle"/>
              <w:ind w:left="0" w:firstLine="0"/>
              <w:jc w:val="center"/>
              <w:rPr>
                <w:b/>
                <w:bCs/>
              </w:rPr>
            </w:pPr>
            <w:r w:rsidRPr="002F4B61">
              <w:rPr>
                <w:b/>
                <w:bCs/>
              </w:rPr>
              <w:t>Type of Respondent</w:t>
            </w:r>
          </w:p>
        </w:tc>
        <w:tc>
          <w:tcPr>
            <w:tcW w:w="1710" w:type="dxa"/>
            <w:shd w:val="clear" w:color="auto" w:fill="FFFFFF" w:themeFill="background1"/>
            <w:vAlign w:val="center"/>
          </w:tcPr>
          <w:p w:rsidR="00D24473" w:rsidRPr="002F4B61" w:rsidRDefault="00D24473" w:rsidP="00830F14">
            <w:pPr>
              <w:pStyle w:val="tt-tabletitle"/>
              <w:ind w:left="0" w:firstLine="0"/>
              <w:jc w:val="center"/>
              <w:rPr>
                <w:rFonts w:ascii="Calibri" w:hAnsi="Calibri"/>
                <w:b/>
                <w:bCs/>
              </w:rPr>
            </w:pPr>
            <w:r w:rsidRPr="002F4B61">
              <w:rPr>
                <w:b/>
                <w:bCs/>
              </w:rPr>
              <w:t>Number</w:t>
            </w:r>
            <w:r w:rsidR="00A875A5" w:rsidRPr="002F4B61">
              <w:rPr>
                <w:b/>
                <w:bCs/>
              </w:rPr>
              <w:t xml:space="preserve"> </w:t>
            </w:r>
            <w:r w:rsidRPr="002F4B61">
              <w:rPr>
                <w:b/>
                <w:bCs/>
              </w:rPr>
              <w:t>of Respondents</w:t>
            </w:r>
          </w:p>
        </w:tc>
        <w:tc>
          <w:tcPr>
            <w:tcW w:w="1620" w:type="dxa"/>
            <w:shd w:val="clear" w:color="auto" w:fill="FFFFFF" w:themeFill="background1"/>
            <w:vAlign w:val="center"/>
          </w:tcPr>
          <w:p w:rsidR="00D24473" w:rsidRPr="002F4B61" w:rsidRDefault="00D24473" w:rsidP="00101321">
            <w:pPr>
              <w:pStyle w:val="tt-tabletitle"/>
              <w:ind w:left="0" w:firstLine="0"/>
              <w:jc w:val="center"/>
              <w:rPr>
                <w:b/>
                <w:bCs/>
              </w:rPr>
            </w:pPr>
            <w:r w:rsidRPr="002F4B61">
              <w:rPr>
                <w:b/>
                <w:bCs/>
              </w:rPr>
              <w:t>Frequency of Response</w:t>
            </w:r>
          </w:p>
        </w:tc>
        <w:tc>
          <w:tcPr>
            <w:tcW w:w="1890" w:type="dxa"/>
            <w:shd w:val="clear" w:color="auto" w:fill="FFFFFF" w:themeFill="background1"/>
            <w:vAlign w:val="center"/>
          </w:tcPr>
          <w:p w:rsidR="00D24473" w:rsidRPr="002F4B61" w:rsidRDefault="00D24473" w:rsidP="00A875A5">
            <w:pPr>
              <w:pStyle w:val="tt-tabletitle"/>
              <w:ind w:left="0" w:firstLine="1"/>
              <w:jc w:val="center"/>
              <w:rPr>
                <w:b/>
                <w:bCs/>
              </w:rPr>
            </w:pPr>
            <w:r w:rsidRPr="002F4B61">
              <w:rPr>
                <w:b/>
                <w:bCs/>
              </w:rPr>
              <w:t>Average Time per Response</w:t>
            </w:r>
          </w:p>
        </w:tc>
        <w:tc>
          <w:tcPr>
            <w:tcW w:w="1800" w:type="dxa"/>
            <w:shd w:val="clear" w:color="auto" w:fill="FFFFFF" w:themeFill="background1"/>
            <w:vAlign w:val="center"/>
          </w:tcPr>
          <w:p w:rsidR="00D24473" w:rsidRPr="002F4B61" w:rsidRDefault="00D24473" w:rsidP="00A875A5">
            <w:pPr>
              <w:pStyle w:val="tt-tabletitle"/>
              <w:ind w:left="0" w:firstLine="0"/>
              <w:jc w:val="center"/>
              <w:rPr>
                <w:b/>
                <w:bCs/>
              </w:rPr>
            </w:pPr>
            <w:r w:rsidRPr="002F4B61">
              <w:rPr>
                <w:b/>
                <w:bCs/>
              </w:rPr>
              <w:t>Annual Hour Burden</w:t>
            </w:r>
          </w:p>
        </w:tc>
      </w:tr>
      <w:tr w:rsidR="00D24473" w:rsidRPr="002F4B61" w:rsidTr="000543B9">
        <w:tc>
          <w:tcPr>
            <w:tcW w:w="1620" w:type="dxa"/>
            <w:shd w:val="clear" w:color="auto" w:fill="FFFFFF" w:themeFill="background1"/>
          </w:tcPr>
          <w:p w:rsidR="00D24473" w:rsidRPr="002F4B61" w:rsidRDefault="004957AA" w:rsidP="00D05B7B">
            <w:pPr>
              <w:pStyle w:val="tt-tabletitle"/>
              <w:ind w:left="-18" w:firstLine="18"/>
            </w:pPr>
            <w:r w:rsidRPr="002F4B61">
              <w:t>PI</w:t>
            </w:r>
            <w:r w:rsidR="00D02BF1">
              <w:t xml:space="preserve"> Submitting Data</w:t>
            </w:r>
          </w:p>
        </w:tc>
        <w:tc>
          <w:tcPr>
            <w:tcW w:w="1710" w:type="dxa"/>
            <w:shd w:val="clear" w:color="auto" w:fill="FFFFFF" w:themeFill="background1"/>
            <w:vAlign w:val="center"/>
          </w:tcPr>
          <w:p w:rsidR="00D24473" w:rsidRPr="002F4B61" w:rsidRDefault="00D24473" w:rsidP="000543B9">
            <w:pPr>
              <w:pStyle w:val="tt-tabletitle"/>
              <w:ind w:left="3" w:firstLine="0"/>
              <w:jc w:val="center"/>
            </w:pPr>
            <w:r w:rsidRPr="002F4B61">
              <w:t>50</w:t>
            </w:r>
          </w:p>
        </w:tc>
        <w:tc>
          <w:tcPr>
            <w:tcW w:w="1620" w:type="dxa"/>
            <w:shd w:val="clear" w:color="auto" w:fill="FFFFFF" w:themeFill="background1"/>
            <w:vAlign w:val="center"/>
          </w:tcPr>
          <w:p w:rsidR="00D24473" w:rsidRPr="002F4B61" w:rsidRDefault="00D24473" w:rsidP="000543B9">
            <w:pPr>
              <w:pStyle w:val="tt-tabletitle"/>
              <w:ind w:left="33" w:firstLine="0"/>
              <w:jc w:val="center"/>
            </w:pPr>
            <w:r w:rsidRPr="002F4B61">
              <w:t>1</w:t>
            </w:r>
          </w:p>
        </w:tc>
        <w:tc>
          <w:tcPr>
            <w:tcW w:w="1890" w:type="dxa"/>
            <w:shd w:val="clear" w:color="auto" w:fill="FFFFFF" w:themeFill="background1"/>
            <w:vAlign w:val="center"/>
          </w:tcPr>
          <w:p w:rsidR="00D24473" w:rsidRPr="002F4B61" w:rsidRDefault="000543B9" w:rsidP="000543B9">
            <w:pPr>
              <w:pStyle w:val="tt-tabletitle"/>
              <w:ind w:left="0" w:firstLine="0"/>
              <w:jc w:val="center"/>
            </w:pPr>
            <w:r>
              <w:t>45/60</w:t>
            </w:r>
            <w:r w:rsidR="00F51896" w:rsidRPr="002F4B61">
              <w:t xml:space="preserve"> hour</w:t>
            </w:r>
          </w:p>
        </w:tc>
        <w:tc>
          <w:tcPr>
            <w:tcW w:w="1800" w:type="dxa"/>
            <w:shd w:val="clear" w:color="auto" w:fill="FFFFFF" w:themeFill="background1"/>
            <w:vAlign w:val="center"/>
          </w:tcPr>
          <w:p w:rsidR="00D24473" w:rsidRPr="002F4B61" w:rsidRDefault="00D24473" w:rsidP="000543B9">
            <w:pPr>
              <w:pStyle w:val="tt-tabletitle"/>
              <w:ind w:left="0" w:hanging="18"/>
              <w:jc w:val="center"/>
            </w:pPr>
            <w:r w:rsidRPr="002F4B61">
              <w:t>3</w:t>
            </w:r>
            <w:r w:rsidR="000543B9">
              <w:t>8</w:t>
            </w:r>
          </w:p>
        </w:tc>
      </w:tr>
      <w:tr w:rsidR="00D24473" w:rsidRPr="002F4B61" w:rsidTr="000543B9">
        <w:tc>
          <w:tcPr>
            <w:tcW w:w="1620" w:type="dxa"/>
            <w:shd w:val="clear" w:color="auto" w:fill="FFFFFF" w:themeFill="background1"/>
          </w:tcPr>
          <w:p w:rsidR="00D24473" w:rsidRPr="002F4B61" w:rsidRDefault="00D81BA4" w:rsidP="004957AA">
            <w:pPr>
              <w:pStyle w:val="tt-tabletitle"/>
              <w:ind w:left="-18" w:firstLine="18"/>
            </w:pPr>
            <w:r w:rsidRPr="002F4B61">
              <w:t xml:space="preserve">Institutional </w:t>
            </w:r>
            <w:r w:rsidR="00D24473" w:rsidRPr="002F4B61">
              <w:t>Signing</w:t>
            </w:r>
            <w:r w:rsidR="004957AA" w:rsidRPr="002F4B61">
              <w:t xml:space="preserve"> Official</w:t>
            </w:r>
          </w:p>
        </w:tc>
        <w:tc>
          <w:tcPr>
            <w:tcW w:w="1710" w:type="dxa"/>
            <w:shd w:val="clear" w:color="auto" w:fill="FFFFFF" w:themeFill="background1"/>
            <w:vAlign w:val="center"/>
          </w:tcPr>
          <w:p w:rsidR="00D24473" w:rsidRPr="002F4B61" w:rsidRDefault="00D24473" w:rsidP="000543B9">
            <w:pPr>
              <w:pStyle w:val="tt-tabletitle"/>
              <w:ind w:left="0" w:firstLine="0"/>
              <w:jc w:val="center"/>
            </w:pPr>
            <w:r w:rsidRPr="002F4B61">
              <w:t>50</w:t>
            </w:r>
          </w:p>
        </w:tc>
        <w:tc>
          <w:tcPr>
            <w:tcW w:w="1620" w:type="dxa"/>
            <w:shd w:val="clear" w:color="auto" w:fill="FFFFFF" w:themeFill="background1"/>
            <w:vAlign w:val="center"/>
          </w:tcPr>
          <w:p w:rsidR="00D24473" w:rsidRPr="002F4B61" w:rsidRDefault="00D24473" w:rsidP="000543B9">
            <w:pPr>
              <w:pStyle w:val="tt-tabletitle"/>
              <w:ind w:left="170" w:hanging="90"/>
              <w:jc w:val="center"/>
            </w:pPr>
            <w:r w:rsidRPr="002F4B61">
              <w:t>1</w:t>
            </w:r>
          </w:p>
        </w:tc>
        <w:tc>
          <w:tcPr>
            <w:tcW w:w="1890" w:type="dxa"/>
            <w:shd w:val="clear" w:color="auto" w:fill="FFFFFF" w:themeFill="background1"/>
            <w:vAlign w:val="center"/>
          </w:tcPr>
          <w:p w:rsidR="00D24473" w:rsidRPr="002F4B61" w:rsidRDefault="000543B9" w:rsidP="000543B9">
            <w:pPr>
              <w:pStyle w:val="tt-tabletitle"/>
              <w:spacing w:line="240" w:lineRule="auto"/>
              <w:ind w:left="0" w:firstLine="0"/>
              <w:jc w:val="center"/>
            </w:pPr>
            <w:r>
              <w:t>30/60</w:t>
            </w:r>
            <w:r w:rsidR="00F51896" w:rsidRPr="002F4B61">
              <w:t xml:space="preserve"> hour</w:t>
            </w:r>
          </w:p>
        </w:tc>
        <w:tc>
          <w:tcPr>
            <w:tcW w:w="1800" w:type="dxa"/>
            <w:shd w:val="clear" w:color="auto" w:fill="FFFFFF" w:themeFill="background1"/>
            <w:vAlign w:val="center"/>
          </w:tcPr>
          <w:p w:rsidR="00D24473" w:rsidRPr="002F4B61" w:rsidRDefault="00D24473" w:rsidP="000543B9">
            <w:pPr>
              <w:pStyle w:val="tt-tabletitle"/>
              <w:ind w:left="0" w:hanging="18"/>
              <w:jc w:val="center"/>
            </w:pPr>
            <w:r w:rsidRPr="002F4B61">
              <w:t>25</w:t>
            </w:r>
          </w:p>
        </w:tc>
      </w:tr>
      <w:tr w:rsidR="00D24473" w:rsidRPr="002F4B61" w:rsidTr="00830F14">
        <w:tc>
          <w:tcPr>
            <w:tcW w:w="1620" w:type="dxa"/>
            <w:shd w:val="clear" w:color="auto" w:fill="FFFFFF" w:themeFill="background1"/>
          </w:tcPr>
          <w:p w:rsidR="00D24473" w:rsidRPr="002F4B61" w:rsidRDefault="00D24473" w:rsidP="00D05B7B">
            <w:pPr>
              <w:pStyle w:val="tt-tabletitle"/>
            </w:pPr>
            <w:r w:rsidRPr="002F4B61">
              <w:t xml:space="preserve">Total </w:t>
            </w:r>
          </w:p>
        </w:tc>
        <w:tc>
          <w:tcPr>
            <w:tcW w:w="1710" w:type="dxa"/>
            <w:shd w:val="clear" w:color="auto" w:fill="FFFFFF" w:themeFill="background1"/>
          </w:tcPr>
          <w:p w:rsidR="00D24473" w:rsidRPr="002F4B61" w:rsidRDefault="00D24473" w:rsidP="004C09CC">
            <w:pPr>
              <w:pStyle w:val="tt-tabletitle"/>
              <w:ind w:left="0" w:firstLine="0"/>
              <w:jc w:val="center"/>
            </w:pPr>
            <w:r w:rsidRPr="002F4B61">
              <w:t>100</w:t>
            </w:r>
          </w:p>
        </w:tc>
        <w:tc>
          <w:tcPr>
            <w:tcW w:w="1620" w:type="dxa"/>
            <w:shd w:val="clear" w:color="auto" w:fill="FFFFFF" w:themeFill="background1"/>
          </w:tcPr>
          <w:p w:rsidR="00D24473" w:rsidRPr="002F4B61" w:rsidRDefault="00D24473" w:rsidP="004C09CC">
            <w:pPr>
              <w:pStyle w:val="tt-tabletitle"/>
              <w:ind w:left="0" w:firstLine="0"/>
              <w:jc w:val="center"/>
            </w:pPr>
            <w:r w:rsidRPr="002F4B61">
              <w:t>n/a</w:t>
            </w:r>
          </w:p>
        </w:tc>
        <w:tc>
          <w:tcPr>
            <w:tcW w:w="1890" w:type="dxa"/>
            <w:shd w:val="clear" w:color="auto" w:fill="FFFFFF" w:themeFill="background1"/>
          </w:tcPr>
          <w:p w:rsidR="00D24473" w:rsidRPr="002F4B61" w:rsidRDefault="00D24473" w:rsidP="004C09CC">
            <w:pPr>
              <w:pStyle w:val="tt-tabletitle"/>
              <w:spacing w:line="240" w:lineRule="auto"/>
              <w:ind w:left="0" w:firstLine="0"/>
              <w:jc w:val="center"/>
            </w:pPr>
            <w:r w:rsidRPr="002F4B61">
              <w:t>n/a</w:t>
            </w:r>
          </w:p>
        </w:tc>
        <w:tc>
          <w:tcPr>
            <w:tcW w:w="1800" w:type="dxa"/>
            <w:shd w:val="clear" w:color="auto" w:fill="FFFFFF" w:themeFill="background1"/>
          </w:tcPr>
          <w:p w:rsidR="00D24473" w:rsidRPr="002F4B61" w:rsidRDefault="000543B9" w:rsidP="004C09CC">
            <w:pPr>
              <w:pStyle w:val="tt-tabletitle"/>
              <w:ind w:left="0" w:firstLine="0"/>
              <w:jc w:val="center"/>
            </w:pPr>
            <w:r>
              <w:t>63</w:t>
            </w:r>
            <w:r w:rsidR="00D24473" w:rsidRPr="002F4B61">
              <w:t xml:space="preserve"> </w:t>
            </w:r>
          </w:p>
        </w:tc>
      </w:tr>
    </w:tbl>
    <w:p w:rsidR="000A6603" w:rsidRPr="002F4B61" w:rsidRDefault="000A6603" w:rsidP="00241056">
      <w:pPr>
        <w:ind w:left="630"/>
        <w:rPr>
          <w:sz w:val="22"/>
          <w:szCs w:val="22"/>
        </w:rPr>
      </w:pPr>
    </w:p>
    <w:p w:rsidR="00F67318" w:rsidRPr="002F4B61" w:rsidRDefault="0053396B" w:rsidP="0053396B">
      <w:pPr>
        <w:ind w:left="630"/>
        <w:rPr>
          <w:sz w:val="22"/>
          <w:szCs w:val="22"/>
        </w:rPr>
      </w:pPr>
      <w:r w:rsidRPr="002F4B61">
        <w:rPr>
          <w:sz w:val="22"/>
          <w:szCs w:val="22"/>
        </w:rPr>
        <w:t xml:space="preserve">Table 12-2 provides the estimated annualized cost to register a study and submit data in dbGaP.  </w:t>
      </w:r>
      <w:r w:rsidR="00241056" w:rsidRPr="002F4B61">
        <w:rPr>
          <w:sz w:val="22"/>
          <w:szCs w:val="22"/>
        </w:rPr>
        <w:t>To estimate the annual cost to respondents, NIH used figures from the U.S. Bureau of Labor and Statistics 201</w:t>
      </w:r>
      <w:r w:rsidR="00564747" w:rsidRPr="002F4B61">
        <w:rPr>
          <w:sz w:val="22"/>
          <w:szCs w:val="22"/>
        </w:rPr>
        <w:t>1</w:t>
      </w:r>
      <w:r w:rsidR="00241056" w:rsidRPr="002F4B61">
        <w:rPr>
          <w:sz w:val="22"/>
          <w:szCs w:val="22"/>
        </w:rPr>
        <w:t xml:space="preserve"> National Occupational Employment and Wage Estimates.</w:t>
      </w:r>
      <w:r w:rsidR="00241056" w:rsidRPr="002F4B61">
        <w:rPr>
          <w:rStyle w:val="FootnoteReference"/>
          <w:sz w:val="22"/>
          <w:szCs w:val="22"/>
        </w:rPr>
        <w:footnoteReference w:id="9"/>
      </w:r>
      <w:r w:rsidR="00241056" w:rsidRPr="002F4B61">
        <w:rPr>
          <w:sz w:val="22"/>
          <w:szCs w:val="22"/>
        </w:rPr>
        <w:t xml:space="preserve"> </w:t>
      </w:r>
      <w:r w:rsidR="00A875A5" w:rsidRPr="002F4B61">
        <w:rPr>
          <w:sz w:val="22"/>
          <w:szCs w:val="22"/>
        </w:rPr>
        <w:t xml:space="preserve"> </w:t>
      </w:r>
      <w:r w:rsidR="00241056" w:rsidRPr="002F4B61">
        <w:rPr>
          <w:sz w:val="22"/>
          <w:szCs w:val="22"/>
        </w:rPr>
        <w:t>The mean hourly wage of $</w:t>
      </w:r>
      <w:r w:rsidR="00564747" w:rsidRPr="002F4B61">
        <w:rPr>
          <w:sz w:val="22"/>
          <w:szCs w:val="22"/>
        </w:rPr>
        <w:t>35</w:t>
      </w:r>
      <w:r w:rsidR="00241056" w:rsidRPr="002F4B61">
        <w:rPr>
          <w:sz w:val="22"/>
          <w:szCs w:val="22"/>
        </w:rPr>
        <w:t>.</w:t>
      </w:r>
      <w:r w:rsidR="00564747" w:rsidRPr="002F4B61">
        <w:rPr>
          <w:sz w:val="22"/>
          <w:szCs w:val="22"/>
        </w:rPr>
        <w:t xml:space="preserve">68 </w:t>
      </w:r>
      <w:r w:rsidR="00241056" w:rsidRPr="002F4B61">
        <w:rPr>
          <w:sz w:val="22"/>
          <w:szCs w:val="22"/>
        </w:rPr>
        <w:t xml:space="preserve">for Life Scientists was used for </w:t>
      </w:r>
      <w:r w:rsidR="00F414C8" w:rsidRPr="002F4B61">
        <w:rPr>
          <w:sz w:val="22"/>
          <w:szCs w:val="22"/>
        </w:rPr>
        <w:t>PIs</w:t>
      </w:r>
      <w:r w:rsidR="00241056" w:rsidRPr="002F4B61">
        <w:rPr>
          <w:sz w:val="22"/>
          <w:szCs w:val="22"/>
        </w:rPr>
        <w:t>, and the mean hourly wage of $</w:t>
      </w:r>
      <w:r w:rsidR="00DD38C0" w:rsidRPr="002F4B61">
        <w:rPr>
          <w:sz w:val="22"/>
          <w:szCs w:val="22"/>
        </w:rPr>
        <w:t>46.72</w:t>
      </w:r>
      <w:r w:rsidR="00564747" w:rsidRPr="002F4B61">
        <w:rPr>
          <w:sz w:val="22"/>
          <w:szCs w:val="22"/>
        </w:rPr>
        <w:t xml:space="preserve"> </w:t>
      </w:r>
      <w:r w:rsidR="00241056" w:rsidRPr="002F4B61">
        <w:rPr>
          <w:sz w:val="22"/>
          <w:szCs w:val="22"/>
        </w:rPr>
        <w:t xml:space="preserve">for </w:t>
      </w:r>
      <w:r w:rsidR="00DD38C0" w:rsidRPr="002F4B61">
        <w:rPr>
          <w:sz w:val="22"/>
          <w:szCs w:val="22"/>
        </w:rPr>
        <w:t xml:space="preserve">Education Administrators, Postsecondary, </w:t>
      </w:r>
      <w:r w:rsidR="00241056" w:rsidRPr="002F4B61">
        <w:rPr>
          <w:sz w:val="22"/>
          <w:szCs w:val="22"/>
        </w:rPr>
        <w:t>was used for</w:t>
      </w:r>
      <w:r w:rsidR="00D81BA4" w:rsidRPr="002F4B61">
        <w:rPr>
          <w:sz w:val="22"/>
          <w:szCs w:val="22"/>
        </w:rPr>
        <w:t xml:space="preserve"> Institutional</w:t>
      </w:r>
      <w:r w:rsidR="00241056" w:rsidRPr="002F4B61">
        <w:rPr>
          <w:sz w:val="22"/>
          <w:szCs w:val="22"/>
        </w:rPr>
        <w:t xml:space="preserve"> Signing Officials. </w:t>
      </w:r>
      <w:r w:rsidR="00A875A5" w:rsidRPr="002F4B61">
        <w:rPr>
          <w:sz w:val="22"/>
          <w:szCs w:val="22"/>
        </w:rPr>
        <w:t xml:space="preserve"> </w:t>
      </w:r>
      <w:r w:rsidR="00241056" w:rsidRPr="002F4B61">
        <w:rPr>
          <w:sz w:val="22"/>
          <w:szCs w:val="22"/>
        </w:rPr>
        <w:t xml:space="preserve">The estimated annual cost </w:t>
      </w:r>
      <w:r w:rsidR="00D21161" w:rsidRPr="002F4B61">
        <w:rPr>
          <w:sz w:val="22"/>
          <w:szCs w:val="22"/>
        </w:rPr>
        <w:t>of $1,338 for PIs to register studies</w:t>
      </w:r>
      <w:r w:rsidR="00BA71E6" w:rsidRPr="002F4B61">
        <w:rPr>
          <w:sz w:val="22"/>
          <w:szCs w:val="22"/>
        </w:rPr>
        <w:t xml:space="preserve"> and </w:t>
      </w:r>
      <w:r w:rsidR="00D21161" w:rsidRPr="002F4B61">
        <w:rPr>
          <w:sz w:val="22"/>
          <w:szCs w:val="22"/>
        </w:rPr>
        <w:t xml:space="preserve">submit </w:t>
      </w:r>
      <w:r w:rsidR="00BA71E6" w:rsidRPr="002F4B61">
        <w:rPr>
          <w:sz w:val="22"/>
          <w:szCs w:val="22"/>
        </w:rPr>
        <w:t xml:space="preserve">data </w:t>
      </w:r>
      <w:r w:rsidR="00A35337" w:rsidRPr="002F4B61">
        <w:rPr>
          <w:sz w:val="22"/>
          <w:szCs w:val="22"/>
        </w:rPr>
        <w:t xml:space="preserve">was calculated by multiplying </w:t>
      </w:r>
      <w:r w:rsidR="00F51896" w:rsidRPr="002F4B61">
        <w:rPr>
          <w:sz w:val="22"/>
          <w:szCs w:val="22"/>
        </w:rPr>
        <w:t xml:space="preserve">the number of </w:t>
      </w:r>
      <w:r w:rsidR="00D21161" w:rsidRPr="002F4B61">
        <w:rPr>
          <w:sz w:val="22"/>
          <w:szCs w:val="22"/>
        </w:rPr>
        <w:t xml:space="preserve">PIs (50) </w:t>
      </w:r>
      <w:r w:rsidR="00F51896" w:rsidRPr="002F4B61">
        <w:rPr>
          <w:sz w:val="22"/>
          <w:szCs w:val="22"/>
        </w:rPr>
        <w:t xml:space="preserve">by </w:t>
      </w:r>
      <w:r w:rsidR="00D21161" w:rsidRPr="002F4B61">
        <w:rPr>
          <w:sz w:val="22"/>
          <w:szCs w:val="22"/>
        </w:rPr>
        <w:t xml:space="preserve">frequency of response (1) by the average time per response (0.75 hour) by </w:t>
      </w:r>
      <w:r w:rsidR="00A35337" w:rsidRPr="002F4B61">
        <w:rPr>
          <w:sz w:val="22"/>
          <w:szCs w:val="22"/>
        </w:rPr>
        <w:t xml:space="preserve">the </w:t>
      </w:r>
      <w:r w:rsidR="00D21161" w:rsidRPr="002F4B61">
        <w:rPr>
          <w:sz w:val="22"/>
          <w:szCs w:val="22"/>
        </w:rPr>
        <w:t xml:space="preserve">hourly </w:t>
      </w:r>
      <w:r w:rsidR="00A35337" w:rsidRPr="002F4B61">
        <w:rPr>
          <w:sz w:val="22"/>
          <w:szCs w:val="22"/>
        </w:rPr>
        <w:t xml:space="preserve">wage </w:t>
      </w:r>
      <w:r w:rsidR="00D21161" w:rsidRPr="002F4B61">
        <w:rPr>
          <w:sz w:val="22"/>
          <w:szCs w:val="22"/>
        </w:rPr>
        <w:t xml:space="preserve">rate </w:t>
      </w:r>
      <w:r w:rsidR="00A35337" w:rsidRPr="002F4B61">
        <w:rPr>
          <w:sz w:val="22"/>
          <w:szCs w:val="22"/>
        </w:rPr>
        <w:t xml:space="preserve">for </w:t>
      </w:r>
      <w:r w:rsidR="00F414C8" w:rsidRPr="002F4B61">
        <w:rPr>
          <w:sz w:val="22"/>
          <w:szCs w:val="22"/>
        </w:rPr>
        <w:t>PIs ($35.68)</w:t>
      </w:r>
      <w:r w:rsidR="00D21161" w:rsidRPr="002F4B61">
        <w:rPr>
          <w:sz w:val="22"/>
          <w:szCs w:val="22"/>
        </w:rPr>
        <w:t xml:space="preserve">. </w:t>
      </w:r>
      <w:r w:rsidR="00A35337" w:rsidRPr="002F4B61">
        <w:rPr>
          <w:sz w:val="22"/>
          <w:szCs w:val="22"/>
        </w:rPr>
        <w:t xml:space="preserve"> </w:t>
      </w:r>
      <w:r w:rsidR="00D21161" w:rsidRPr="002F4B61">
        <w:rPr>
          <w:sz w:val="22"/>
          <w:szCs w:val="22"/>
        </w:rPr>
        <w:t>The estimated annual cost of $1,</w:t>
      </w:r>
      <w:r w:rsidR="00DD38C0" w:rsidRPr="002F4B61">
        <w:rPr>
          <w:sz w:val="22"/>
          <w:szCs w:val="22"/>
        </w:rPr>
        <w:t>168</w:t>
      </w:r>
      <w:r w:rsidR="00D21161" w:rsidRPr="002F4B61">
        <w:rPr>
          <w:sz w:val="22"/>
          <w:szCs w:val="22"/>
        </w:rPr>
        <w:t xml:space="preserve"> for</w:t>
      </w:r>
      <w:r w:rsidR="00D81BA4" w:rsidRPr="002F4B61">
        <w:rPr>
          <w:sz w:val="22"/>
          <w:szCs w:val="22"/>
        </w:rPr>
        <w:t xml:space="preserve"> Institutional</w:t>
      </w:r>
      <w:r w:rsidR="00D21161" w:rsidRPr="002F4B61">
        <w:rPr>
          <w:sz w:val="22"/>
          <w:szCs w:val="22"/>
        </w:rPr>
        <w:t xml:space="preserve"> Signing Officials to certify study registration and data submission was similarly calculated (i.e., multiplying the number of</w:t>
      </w:r>
      <w:r w:rsidR="00D81BA4" w:rsidRPr="002F4B61">
        <w:rPr>
          <w:sz w:val="22"/>
          <w:szCs w:val="22"/>
        </w:rPr>
        <w:t xml:space="preserve"> Institutional</w:t>
      </w:r>
      <w:r w:rsidR="00D21161" w:rsidRPr="002F4B61">
        <w:rPr>
          <w:sz w:val="22"/>
          <w:szCs w:val="22"/>
        </w:rPr>
        <w:t xml:space="preserve"> Signing Officials by the frequency of response by the average time per response by the hourly wage rate).  </w:t>
      </w:r>
      <w:r w:rsidR="000F422F" w:rsidRPr="002F4B61">
        <w:rPr>
          <w:sz w:val="22"/>
          <w:szCs w:val="22"/>
        </w:rPr>
        <w:t>The</w:t>
      </w:r>
      <w:r w:rsidR="00241056" w:rsidRPr="002F4B61">
        <w:rPr>
          <w:sz w:val="22"/>
          <w:szCs w:val="22"/>
        </w:rPr>
        <w:t xml:space="preserve"> total annual cost of</w:t>
      </w:r>
      <w:r w:rsidR="000F422F" w:rsidRPr="002F4B61">
        <w:rPr>
          <w:sz w:val="22"/>
          <w:szCs w:val="22"/>
        </w:rPr>
        <w:t xml:space="preserve"> study registration and data submission </w:t>
      </w:r>
      <w:r w:rsidR="00F414C8" w:rsidRPr="002F4B61">
        <w:rPr>
          <w:sz w:val="22"/>
          <w:szCs w:val="22"/>
        </w:rPr>
        <w:t xml:space="preserve">is </w:t>
      </w:r>
      <w:r w:rsidR="00241056" w:rsidRPr="002F4B61">
        <w:rPr>
          <w:sz w:val="22"/>
          <w:szCs w:val="22"/>
        </w:rPr>
        <w:t>$</w:t>
      </w:r>
      <w:r w:rsidR="00A91A7D" w:rsidRPr="002F4B61">
        <w:rPr>
          <w:sz w:val="22"/>
          <w:szCs w:val="22"/>
        </w:rPr>
        <w:t>2</w:t>
      </w:r>
      <w:r w:rsidR="00A875A5" w:rsidRPr="002F4B61">
        <w:rPr>
          <w:sz w:val="22"/>
          <w:szCs w:val="22"/>
        </w:rPr>
        <w:t>,</w:t>
      </w:r>
      <w:r w:rsidR="00DD38C0" w:rsidRPr="002F4B61">
        <w:rPr>
          <w:sz w:val="22"/>
          <w:szCs w:val="22"/>
        </w:rPr>
        <w:t>506</w:t>
      </w:r>
      <w:r w:rsidR="00A91A7D" w:rsidRPr="002F4B61">
        <w:rPr>
          <w:sz w:val="22"/>
          <w:szCs w:val="22"/>
        </w:rPr>
        <w:t xml:space="preserve">. </w:t>
      </w:r>
      <w:r w:rsidR="00F0725F" w:rsidRPr="002F4B61">
        <w:rPr>
          <w:sz w:val="22"/>
          <w:szCs w:val="22"/>
        </w:rPr>
        <w:t xml:space="preserve"> </w:t>
      </w:r>
    </w:p>
    <w:p w:rsidR="00400754" w:rsidRPr="002F4B61" w:rsidRDefault="00400754" w:rsidP="00241056">
      <w:pPr>
        <w:rPr>
          <w:b/>
          <w:sz w:val="22"/>
          <w:szCs w:val="22"/>
        </w:rPr>
      </w:pPr>
    </w:p>
    <w:tbl>
      <w:tblPr>
        <w:tblStyle w:val="TableGrid"/>
        <w:tblW w:w="8625" w:type="dxa"/>
        <w:tblInd w:w="828" w:type="dxa"/>
        <w:tblLook w:val="04A0" w:firstRow="1" w:lastRow="0" w:firstColumn="1" w:lastColumn="0" w:noHBand="0" w:noVBand="1"/>
      </w:tblPr>
      <w:tblGrid>
        <w:gridCol w:w="1329"/>
        <w:gridCol w:w="1515"/>
        <w:gridCol w:w="1515"/>
        <w:gridCol w:w="1581"/>
        <w:gridCol w:w="1276"/>
        <w:gridCol w:w="1409"/>
      </w:tblGrid>
      <w:tr w:rsidR="00DA6D36" w:rsidRPr="002F4B61" w:rsidTr="00D810DF">
        <w:tc>
          <w:tcPr>
            <w:tcW w:w="8625" w:type="dxa"/>
            <w:gridSpan w:val="6"/>
            <w:shd w:val="clear" w:color="auto" w:fill="D9D9D9" w:themeFill="background1" w:themeFillShade="D9"/>
          </w:tcPr>
          <w:p w:rsidR="00F67318" w:rsidRPr="002F4B61" w:rsidRDefault="00DA6D36" w:rsidP="00F85D46">
            <w:pPr>
              <w:rPr>
                <w:rFonts w:asciiTheme="minorHAnsi" w:hAnsiTheme="minorHAnsi" w:cstheme="minorHAnsi"/>
                <w:b/>
                <w:sz w:val="22"/>
                <w:szCs w:val="22"/>
              </w:rPr>
            </w:pPr>
            <w:r w:rsidRPr="002F4B61">
              <w:rPr>
                <w:rFonts w:asciiTheme="minorHAnsi" w:hAnsiTheme="minorHAnsi" w:cstheme="minorHAnsi"/>
                <w:b/>
                <w:sz w:val="22"/>
                <w:szCs w:val="22"/>
              </w:rPr>
              <w:t xml:space="preserve">Table 12-2 Annualized Cost to Respondents for </w:t>
            </w:r>
            <w:r w:rsidR="00A875A5" w:rsidRPr="002F4B61">
              <w:rPr>
                <w:rFonts w:asciiTheme="minorHAnsi" w:hAnsiTheme="minorHAnsi" w:cstheme="minorHAnsi"/>
                <w:b/>
                <w:sz w:val="22"/>
                <w:szCs w:val="22"/>
              </w:rPr>
              <w:t xml:space="preserve">Study </w:t>
            </w:r>
            <w:r w:rsidRPr="002F4B61">
              <w:rPr>
                <w:rFonts w:asciiTheme="minorHAnsi" w:hAnsiTheme="minorHAnsi" w:cstheme="minorHAnsi"/>
                <w:b/>
                <w:sz w:val="22"/>
                <w:szCs w:val="22"/>
              </w:rPr>
              <w:t xml:space="preserve">Registration </w:t>
            </w:r>
            <w:r w:rsidR="00BA71E6" w:rsidRPr="002F4B61">
              <w:rPr>
                <w:rFonts w:asciiTheme="minorHAnsi" w:hAnsiTheme="minorHAnsi" w:cstheme="minorHAnsi"/>
                <w:b/>
                <w:sz w:val="22"/>
                <w:szCs w:val="22"/>
              </w:rPr>
              <w:t>and Data Submission</w:t>
            </w:r>
          </w:p>
        </w:tc>
      </w:tr>
      <w:tr w:rsidR="00DA6D36" w:rsidRPr="002F4B61" w:rsidTr="00830F14">
        <w:tc>
          <w:tcPr>
            <w:tcW w:w="1329" w:type="dxa"/>
            <w:shd w:val="clear" w:color="auto" w:fill="FFFFFF" w:themeFill="background1"/>
            <w:vAlign w:val="center"/>
          </w:tcPr>
          <w:p w:rsidR="00DA6D36" w:rsidRPr="002F4B61" w:rsidRDefault="00DA6D36" w:rsidP="00CD552C">
            <w:pPr>
              <w:jc w:val="center"/>
              <w:rPr>
                <w:rFonts w:ascii="Times New Roman" w:hAnsi="Times New Roman"/>
                <w:b/>
                <w:sz w:val="22"/>
                <w:szCs w:val="22"/>
              </w:rPr>
            </w:pPr>
            <w:r w:rsidRPr="002F4B61">
              <w:rPr>
                <w:rFonts w:ascii="Times New Roman" w:hAnsi="Times New Roman"/>
                <w:b/>
                <w:sz w:val="22"/>
                <w:szCs w:val="22"/>
              </w:rPr>
              <w:t>Type of Respondent</w:t>
            </w:r>
          </w:p>
        </w:tc>
        <w:tc>
          <w:tcPr>
            <w:tcW w:w="1515" w:type="dxa"/>
            <w:shd w:val="clear" w:color="auto" w:fill="FFFFFF" w:themeFill="background1"/>
            <w:vAlign w:val="center"/>
          </w:tcPr>
          <w:p w:rsidR="00DA6D36" w:rsidRPr="002F4B61" w:rsidRDefault="00DA6D36" w:rsidP="00830F14">
            <w:pPr>
              <w:pStyle w:val="tt-tabletitle"/>
              <w:ind w:left="0" w:firstLine="0"/>
              <w:jc w:val="center"/>
              <w:rPr>
                <w:rFonts w:ascii="Times New Roman" w:hAnsi="Times New Roman"/>
                <w:b/>
                <w:bCs/>
              </w:rPr>
            </w:pPr>
            <w:r w:rsidRPr="002F4B61">
              <w:rPr>
                <w:rFonts w:ascii="Times New Roman" w:hAnsi="Times New Roman"/>
                <w:b/>
                <w:bCs/>
              </w:rPr>
              <w:t>Number</w:t>
            </w:r>
            <w:r w:rsidR="00A875A5" w:rsidRPr="002F4B61">
              <w:rPr>
                <w:rFonts w:ascii="Times New Roman" w:hAnsi="Times New Roman"/>
                <w:b/>
                <w:bCs/>
              </w:rPr>
              <w:t xml:space="preserve"> </w:t>
            </w:r>
            <w:r w:rsidRPr="002F4B61">
              <w:rPr>
                <w:rFonts w:ascii="Times New Roman" w:hAnsi="Times New Roman"/>
                <w:b/>
                <w:bCs/>
              </w:rPr>
              <w:t>of Respondents</w:t>
            </w:r>
          </w:p>
        </w:tc>
        <w:tc>
          <w:tcPr>
            <w:tcW w:w="1515" w:type="dxa"/>
            <w:shd w:val="clear" w:color="auto" w:fill="FFFFFF" w:themeFill="background1"/>
            <w:vAlign w:val="center"/>
          </w:tcPr>
          <w:p w:rsidR="00DA6D36" w:rsidRPr="002F4B61" w:rsidRDefault="00DA6D36" w:rsidP="005D0629">
            <w:pPr>
              <w:pStyle w:val="tt-tabletitle"/>
              <w:ind w:left="0" w:firstLine="0"/>
              <w:jc w:val="center"/>
              <w:rPr>
                <w:rFonts w:ascii="Times New Roman" w:hAnsi="Times New Roman"/>
                <w:b/>
                <w:bCs/>
              </w:rPr>
            </w:pPr>
            <w:r w:rsidRPr="002F4B61">
              <w:rPr>
                <w:rFonts w:ascii="Times New Roman" w:hAnsi="Times New Roman"/>
                <w:b/>
                <w:bCs/>
              </w:rPr>
              <w:t>Frequency of Response</w:t>
            </w:r>
          </w:p>
        </w:tc>
        <w:tc>
          <w:tcPr>
            <w:tcW w:w="1581" w:type="dxa"/>
            <w:shd w:val="clear" w:color="auto" w:fill="FFFFFF" w:themeFill="background1"/>
            <w:vAlign w:val="center"/>
          </w:tcPr>
          <w:p w:rsidR="00DA6D36" w:rsidRPr="002F4B61" w:rsidRDefault="00DA6D36" w:rsidP="00A875A5">
            <w:pPr>
              <w:pStyle w:val="tt-tabletitle"/>
              <w:ind w:left="0" w:firstLine="1"/>
              <w:jc w:val="center"/>
              <w:rPr>
                <w:rFonts w:ascii="Times New Roman" w:hAnsi="Times New Roman"/>
                <w:b/>
                <w:bCs/>
              </w:rPr>
            </w:pPr>
            <w:r w:rsidRPr="002F4B61">
              <w:rPr>
                <w:rFonts w:ascii="Times New Roman" w:hAnsi="Times New Roman"/>
                <w:b/>
                <w:bCs/>
              </w:rPr>
              <w:t>Average Time per Response</w:t>
            </w:r>
          </w:p>
        </w:tc>
        <w:tc>
          <w:tcPr>
            <w:tcW w:w="1276" w:type="dxa"/>
            <w:shd w:val="clear" w:color="auto" w:fill="FFFFFF" w:themeFill="background1"/>
            <w:vAlign w:val="center"/>
          </w:tcPr>
          <w:p w:rsidR="00DA6D36" w:rsidRPr="002F4B61" w:rsidRDefault="00DA6D36" w:rsidP="00CD552C">
            <w:pPr>
              <w:jc w:val="center"/>
              <w:rPr>
                <w:rFonts w:ascii="Times New Roman" w:hAnsi="Times New Roman"/>
                <w:b/>
                <w:sz w:val="22"/>
                <w:szCs w:val="22"/>
              </w:rPr>
            </w:pPr>
            <w:r w:rsidRPr="002F4B61">
              <w:rPr>
                <w:rFonts w:ascii="Times New Roman" w:hAnsi="Times New Roman"/>
                <w:b/>
                <w:sz w:val="22"/>
                <w:szCs w:val="22"/>
              </w:rPr>
              <w:t>Hourly Wage</w:t>
            </w:r>
            <w:r w:rsidR="00A875A5" w:rsidRPr="002F4B61">
              <w:rPr>
                <w:rFonts w:ascii="Times New Roman" w:hAnsi="Times New Roman"/>
                <w:b/>
                <w:sz w:val="22"/>
                <w:szCs w:val="22"/>
              </w:rPr>
              <w:t xml:space="preserve"> Rate</w:t>
            </w:r>
          </w:p>
        </w:tc>
        <w:tc>
          <w:tcPr>
            <w:tcW w:w="1409" w:type="dxa"/>
            <w:shd w:val="clear" w:color="auto" w:fill="FFFFFF" w:themeFill="background1"/>
            <w:vAlign w:val="center"/>
          </w:tcPr>
          <w:p w:rsidR="00DA6D36" w:rsidRPr="002F4B61" w:rsidRDefault="00DA6D36" w:rsidP="00DA6D36">
            <w:pPr>
              <w:jc w:val="center"/>
              <w:rPr>
                <w:rFonts w:ascii="Times New Roman" w:hAnsi="Times New Roman"/>
                <w:b/>
                <w:sz w:val="22"/>
                <w:szCs w:val="22"/>
              </w:rPr>
            </w:pPr>
            <w:r w:rsidRPr="002F4B61">
              <w:rPr>
                <w:rFonts w:ascii="Times New Roman" w:hAnsi="Times New Roman"/>
                <w:b/>
                <w:sz w:val="22"/>
                <w:szCs w:val="22"/>
              </w:rPr>
              <w:t>Respondent</w:t>
            </w:r>
          </w:p>
          <w:p w:rsidR="00DA6D36" w:rsidRPr="002F4B61" w:rsidRDefault="00DA6D36" w:rsidP="00DA6D36">
            <w:pPr>
              <w:jc w:val="center"/>
              <w:rPr>
                <w:rFonts w:ascii="Times New Roman" w:hAnsi="Times New Roman"/>
                <w:b/>
                <w:sz w:val="22"/>
                <w:szCs w:val="22"/>
              </w:rPr>
            </w:pPr>
            <w:r w:rsidRPr="002F4B61">
              <w:rPr>
                <w:rFonts w:ascii="Times New Roman" w:hAnsi="Times New Roman"/>
                <w:b/>
                <w:sz w:val="22"/>
                <w:szCs w:val="22"/>
              </w:rPr>
              <w:t>Cost</w:t>
            </w:r>
          </w:p>
        </w:tc>
      </w:tr>
      <w:tr w:rsidR="00DA6D36" w:rsidRPr="002F4B61" w:rsidTr="00470E3E">
        <w:tc>
          <w:tcPr>
            <w:tcW w:w="1329" w:type="dxa"/>
            <w:shd w:val="clear" w:color="auto" w:fill="FFFFFF" w:themeFill="background1"/>
            <w:vAlign w:val="center"/>
          </w:tcPr>
          <w:p w:rsidR="00DA6D36" w:rsidRPr="002F4B61" w:rsidRDefault="004957AA" w:rsidP="00470E3E">
            <w:pPr>
              <w:jc w:val="center"/>
              <w:rPr>
                <w:rFonts w:ascii="Times New Roman" w:hAnsi="Times New Roman"/>
                <w:sz w:val="22"/>
                <w:szCs w:val="22"/>
              </w:rPr>
            </w:pPr>
            <w:r w:rsidRPr="002F4B61">
              <w:rPr>
                <w:rFonts w:ascii="Times New Roman" w:hAnsi="Times New Roman"/>
                <w:sz w:val="22"/>
                <w:szCs w:val="22"/>
              </w:rPr>
              <w:t>PI</w:t>
            </w:r>
            <w:r w:rsidR="00D02BF1">
              <w:rPr>
                <w:rFonts w:ascii="Times New Roman" w:hAnsi="Times New Roman"/>
                <w:sz w:val="22"/>
                <w:szCs w:val="22"/>
              </w:rPr>
              <w:t xml:space="preserve"> Submitting Data</w:t>
            </w:r>
          </w:p>
        </w:tc>
        <w:tc>
          <w:tcPr>
            <w:tcW w:w="1515" w:type="dxa"/>
            <w:shd w:val="clear" w:color="auto" w:fill="FFFFFF" w:themeFill="background1"/>
            <w:vAlign w:val="center"/>
          </w:tcPr>
          <w:p w:rsidR="00DA6D36" w:rsidRPr="002F4B61" w:rsidRDefault="00DA6D36" w:rsidP="00470E3E">
            <w:pPr>
              <w:pStyle w:val="tt-tabletitle"/>
              <w:ind w:left="3" w:firstLine="0"/>
              <w:jc w:val="center"/>
              <w:rPr>
                <w:rFonts w:ascii="Times New Roman" w:hAnsi="Times New Roman"/>
              </w:rPr>
            </w:pPr>
            <w:r w:rsidRPr="002F4B61">
              <w:rPr>
                <w:rFonts w:ascii="Times New Roman" w:hAnsi="Times New Roman"/>
              </w:rPr>
              <w:t>50</w:t>
            </w:r>
          </w:p>
        </w:tc>
        <w:tc>
          <w:tcPr>
            <w:tcW w:w="1515" w:type="dxa"/>
            <w:shd w:val="clear" w:color="auto" w:fill="FFFFFF" w:themeFill="background1"/>
            <w:vAlign w:val="center"/>
          </w:tcPr>
          <w:p w:rsidR="00DA6D36" w:rsidRPr="002F4B61" w:rsidRDefault="00DA6D36" w:rsidP="00470E3E">
            <w:pPr>
              <w:pStyle w:val="tt-tabletitle"/>
              <w:ind w:left="33" w:firstLine="0"/>
              <w:jc w:val="center"/>
              <w:rPr>
                <w:rFonts w:ascii="Times New Roman" w:hAnsi="Times New Roman"/>
              </w:rPr>
            </w:pPr>
            <w:r w:rsidRPr="002F4B61">
              <w:rPr>
                <w:rFonts w:ascii="Times New Roman" w:hAnsi="Times New Roman"/>
              </w:rPr>
              <w:t>1</w:t>
            </w:r>
          </w:p>
        </w:tc>
        <w:tc>
          <w:tcPr>
            <w:tcW w:w="1581" w:type="dxa"/>
            <w:shd w:val="clear" w:color="auto" w:fill="FFFFFF" w:themeFill="background1"/>
            <w:vAlign w:val="center"/>
          </w:tcPr>
          <w:p w:rsidR="00DA6D36" w:rsidRPr="002F4B61" w:rsidRDefault="00470E3E" w:rsidP="00470E3E">
            <w:pPr>
              <w:pStyle w:val="tt-tabletitle"/>
              <w:ind w:left="0" w:firstLine="0"/>
              <w:jc w:val="center"/>
              <w:rPr>
                <w:rFonts w:ascii="Times New Roman" w:hAnsi="Times New Roman"/>
              </w:rPr>
            </w:pPr>
            <w:r>
              <w:rPr>
                <w:rFonts w:ascii="Times New Roman" w:hAnsi="Times New Roman"/>
              </w:rPr>
              <w:t>45/60</w:t>
            </w:r>
            <w:r w:rsidR="00D21161" w:rsidRPr="002F4B61">
              <w:rPr>
                <w:rFonts w:ascii="Times New Roman" w:hAnsi="Times New Roman"/>
              </w:rPr>
              <w:t xml:space="preserve"> hour</w:t>
            </w:r>
          </w:p>
        </w:tc>
        <w:tc>
          <w:tcPr>
            <w:tcW w:w="1276" w:type="dxa"/>
            <w:shd w:val="clear" w:color="auto" w:fill="FFFFFF" w:themeFill="background1"/>
            <w:vAlign w:val="center"/>
          </w:tcPr>
          <w:p w:rsidR="00DA6D36" w:rsidRPr="002F4B61" w:rsidRDefault="00DA6D36" w:rsidP="00470E3E">
            <w:pPr>
              <w:jc w:val="center"/>
              <w:rPr>
                <w:rFonts w:ascii="Times New Roman" w:hAnsi="Times New Roman"/>
                <w:b/>
                <w:sz w:val="22"/>
                <w:szCs w:val="22"/>
              </w:rPr>
            </w:pPr>
            <w:r w:rsidRPr="002F4B61">
              <w:rPr>
                <w:rFonts w:ascii="Times New Roman" w:hAnsi="Times New Roman"/>
                <w:sz w:val="22"/>
                <w:szCs w:val="22"/>
              </w:rPr>
              <w:t>$</w:t>
            </w:r>
            <w:r w:rsidR="00564747" w:rsidRPr="002F4B61">
              <w:rPr>
                <w:rFonts w:ascii="Times New Roman" w:hAnsi="Times New Roman"/>
                <w:sz w:val="22"/>
                <w:szCs w:val="22"/>
              </w:rPr>
              <w:t>35</w:t>
            </w:r>
            <w:r w:rsidRPr="002F4B61">
              <w:rPr>
                <w:rFonts w:ascii="Times New Roman" w:hAnsi="Times New Roman"/>
                <w:sz w:val="22"/>
                <w:szCs w:val="22"/>
              </w:rPr>
              <w:t>.</w:t>
            </w:r>
            <w:r w:rsidR="00564747" w:rsidRPr="002F4B61">
              <w:rPr>
                <w:rFonts w:ascii="Times New Roman" w:hAnsi="Times New Roman"/>
                <w:sz w:val="22"/>
                <w:szCs w:val="22"/>
              </w:rPr>
              <w:t>68</w:t>
            </w:r>
          </w:p>
        </w:tc>
        <w:tc>
          <w:tcPr>
            <w:tcW w:w="1409" w:type="dxa"/>
            <w:shd w:val="clear" w:color="auto" w:fill="FFFFFF" w:themeFill="background1"/>
            <w:vAlign w:val="center"/>
          </w:tcPr>
          <w:p w:rsidR="00DA6D36" w:rsidRPr="002F4B61" w:rsidRDefault="00106D84" w:rsidP="00470E3E">
            <w:pPr>
              <w:jc w:val="center"/>
              <w:rPr>
                <w:rFonts w:ascii="Times New Roman" w:hAnsi="Times New Roman"/>
                <w:b/>
                <w:sz w:val="22"/>
                <w:szCs w:val="22"/>
              </w:rPr>
            </w:pPr>
            <w:r w:rsidRPr="002F4B61">
              <w:rPr>
                <w:rFonts w:ascii="Times New Roman" w:hAnsi="Times New Roman"/>
                <w:sz w:val="22"/>
                <w:szCs w:val="22"/>
              </w:rPr>
              <w:t>$1</w:t>
            </w:r>
            <w:r w:rsidR="00A875A5" w:rsidRPr="002F4B61">
              <w:rPr>
                <w:rFonts w:ascii="Times New Roman" w:hAnsi="Times New Roman"/>
                <w:sz w:val="22"/>
                <w:szCs w:val="22"/>
              </w:rPr>
              <w:t>,</w:t>
            </w:r>
            <w:r w:rsidR="00564747" w:rsidRPr="002F4B61">
              <w:rPr>
                <w:rFonts w:ascii="Times New Roman" w:hAnsi="Times New Roman"/>
                <w:sz w:val="22"/>
                <w:szCs w:val="22"/>
              </w:rPr>
              <w:t>338</w:t>
            </w:r>
            <w:r w:rsidRPr="002F4B61">
              <w:rPr>
                <w:rFonts w:ascii="Times New Roman" w:hAnsi="Times New Roman"/>
                <w:sz w:val="22"/>
                <w:szCs w:val="22"/>
              </w:rPr>
              <w:t>.</w:t>
            </w:r>
            <w:r w:rsidR="00564747" w:rsidRPr="002F4B61">
              <w:rPr>
                <w:rFonts w:ascii="Times New Roman" w:hAnsi="Times New Roman"/>
                <w:sz w:val="22"/>
                <w:szCs w:val="22"/>
              </w:rPr>
              <w:t>00</w:t>
            </w:r>
          </w:p>
        </w:tc>
      </w:tr>
      <w:tr w:rsidR="00DA6D36" w:rsidRPr="002F4B61" w:rsidTr="00470E3E">
        <w:tc>
          <w:tcPr>
            <w:tcW w:w="1329" w:type="dxa"/>
            <w:shd w:val="clear" w:color="auto" w:fill="FFFFFF" w:themeFill="background1"/>
            <w:vAlign w:val="center"/>
          </w:tcPr>
          <w:p w:rsidR="00DA6D36" w:rsidRPr="002F4B61" w:rsidRDefault="00D81BA4" w:rsidP="00470E3E">
            <w:pPr>
              <w:jc w:val="center"/>
              <w:rPr>
                <w:rFonts w:ascii="Times New Roman" w:hAnsi="Times New Roman"/>
                <w:b/>
                <w:sz w:val="22"/>
                <w:szCs w:val="22"/>
              </w:rPr>
            </w:pPr>
            <w:r w:rsidRPr="002F4B61">
              <w:rPr>
                <w:rFonts w:ascii="Times New Roman" w:hAnsi="Times New Roman"/>
                <w:sz w:val="22"/>
                <w:szCs w:val="22"/>
              </w:rPr>
              <w:t xml:space="preserve">Institutional </w:t>
            </w:r>
            <w:r w:rsidR="00DA6D36" w:rsidRPr="002F4B61">
              <w:rPr>
                <w:rFonts w:ascii="Times New Roman" w:hAnsi="Times New Roman"/>
                <w:sz w:val="22"/>
                <w:szCs w:val="22"/>
              </w:rPr>
              <w:t>Signing Official</w:t>
            </w:r>
          </w:p>
        </w:tc>
        <w:tc>
          <w:tcPr>
            <w:tcW w:w="1515" w:type="dxa"/>
            <w:shd w:val="clear" w:color="auto" w:fill="FFFFFF" w:themeFill="background1"/>
            <w:vAlign w:val="center"/>
          </w:tcPr>
          <w:p w:rsidR="00DA6D36" w:rsidRPr="002F4B61" w:rsidRDefault="00DA6D36" w:rsidP="00470E3E">
            <w:pPr>
              <w:pStyle w:val="tt-tabletitle"/>
              <w:ind w:left="0" w:firstLine="0"/>
              <w:jc w:val="center"/>
              <w:rPr>
                <w:rFonts w:ascii="Times New Roman" w:hAnsi="Times New Roman"/>
              </w:rPr>
            </w:pPr>
            <w:r w:rsidRPr="002F4B61">
              <w:rPr>
                <w:rFonts w:ascii="Times New Roman" w:hAnsi="Times New Roman"/>
              </w:rPr>
              <w:t>50</w:t>
            </w:r>
          </w:p>
        </w:tc>
        <w:tc>
          <w:tcPr>
            <w:tcW w:w="1515" w:type="dxa"/>
            <w:shd w:val="clear" w:color="auto" w:fill="FFFFFF" w:themeFill="background1"/>
            <w:vAlign w:val="center"/>
          </w:tcPr>
          <w:p w:rsidR="00DA6D36" w:rsidRPr="002F4B61" w:rsidRDefault="00DA6D36" w:rsidP="00470E3E">
            <w:pPr>
              <w:pStyle w:val="tt-tabletitle"/>
              <w:ind w:left="170" w:hanging="90"/>
              <w:jc w:val="center"/>
              <w:rPr>
                <w:rFonts w:ascii="Times New Roman" w:hAnsi="Times New Roman"/>
              </w:rPr>
            </w:pPr>
            <w:r w:rsidRPr="002F4B61">
              <w:rPr>
                <w:rFonts w:ascii="Times New Roman" w:hAnsi="Times New Roman"/>
              </w:rPr>
              <w:t>1</w:t>
            </w:r>
          </w:p>
        </w:tc>
        <w:tc>
          <w:tcPr>
            <w:tcW w:w="1581" w:type="dxa"/>
            <w:shd w:val="clear" w:color="auto" w:fill="FFFFFF" w:themeFill="background1"/>
            <w:vAlign w:val="center"/>
          </w:tcPr>
          <w:p w:rsidR="00DA6D36" w:rsidRPr="002F4B61" w:rsidRDefault="00470E3E" w:rsidP="00470E3E">
            <w:pPr>
              <w:pStyle w:val="tt-tabletitle"/>
              <w:spacing w:line="240" w:lineRule="auto"/>
              <w:ind w:left="0" w:firstLine="0"/>
              <w:jc w:val="center"/>
              <w:rPr>
                <w:rFonts w:ascii="Times New Roman" w:hAnsi="Times New Roman"/>
              </w:rPr>
            </w:pPr>
            <w:r>
              <w:rPr>
                <w:rFonts w:ascii="Times New Roman" w:hAnsi="Times New Roman"/>
              </w:rPr>
              <w:t>30/60</w:t>
            </w:r>
            <w:r w:rsidR="00DA6D36" w:rsidRPr="002F4B61">
              <w:rPr>
                <w:rFonts w:ascii="Times New Roman" w:hAnsi="Times New Roman"/>
              </w:rPr>
              <w:t xml:space="preserve"> </w:t>
            </w:r>
            <w:r w:rsidR="00D21161" w:rsidRPr="002F4B61">
              <w:rPr>
                <w:rFonts w:ascii="Times New Roman" w:hAnsi="Times New Roman"/>
              </w:rPr>
              <w:t>hour</w:t>
            </w:r>
          </w:p>
        </w:tc>
        <w:tc>
          <w:tcPr>
            <w:tcW w:w="1276" w:type="dxa"/>
            <w:shd w:val="clear" w:color="auto" w:fill="FFFFFF" w:themeFill="background1"/>
            <w:vAlign w:val="center"/>
          </w:tcPr>
          <w:p w:rsidR="00DA6D36" w:rsidRPr="002F4B61" w:rsidRDefault="00DA6D36" w:rsidP="00470E3E">
            <w:pPr>
              <w:jc w:val="center"/>
              <w:rPr>
                <w:rFonts w:ascii="Times New Roman" w:hAnsi="Times New Roman"/>
                <w:b/>
                <w:sz w:val="22"/>
                <w:szCs w:val="22"/>
              </w:rPr>
            </w:pPr>
            <w:r w:rsidRPr="002F4B61">
              <w:rPr>
                <w:rFonts w:ascii="Times New Roman" w:hAnsi="Times New Roman"/>
                <w:sz w:val="22"/>
                <w:szCs w:val="22"/>
              </w:rPr>
              <w:t>$</w:t>
            </w:r>
            <w:r w:rsidR="00564747" w:rsidRPr="002F4B61">
              <w:rPr>
                <w:rFonts w:ascii="Times New Roman" w:hAnsi="Times New Roman"/>
                <w:sz w:val="22"/>
                <w:szCs w:val="22"/>
              </w:rPr>
              <w:t>4</w:t>
            </w:r>
            <w:r w:rsidR="00DD38C0" w:rsidRPr="002F4B61">
              <w:rPr>
                <w:rFonts w:ascii="Times New Roman" w:hAnsi="Times New Roman"/>
                <w:sz w:val="22"/>
                <w:szCs w:val="22"/>
              </w:rPr>
              <w:t>6.72</w:t>
            </w:r>
          </w:p>
        </w:tc>
        <w:tc>
          <w:tcPr>
            <w:tcW w:w="1409" w:type="dxa"/>
            <w:shd w:val="clear" w:color="auto" w:fill="FFFFFF" w:themeFill="background1"/>
            <w:vAlign w:val="center"/>
          </w:tcPr>
          <w:p w:rsidR="00DA6D36" w:rsidRPr="002F4B61" w:rsidRDefault="00DA6D36" w:rsidP="00470E3E">
            <w:pPr>
              <w:jc w:val="center"/>
              <w:rPr>
                <w:rFonts w:ascii="Times New Roman" w:hAnsi="Times New Roman"/>
                <w:b/>
                <w:sz w:val="22"/>
                <w:szCs w:val="22"/>
              </w:rPr>
            </w:pPr>
            <w:r w:rsidRPr="002F4B61">
              <w:rPr>
                <w:rFonts w:ascii="Times New Roman" w:hAnsi="Times New Roman"/>
                <w:sz w:val="22"/>
                <w:szCs w:val="22"/>
              </w:rPr>
              <w:t>$</w:t>
            </w:r>
            <w:r w:rsidR="00A91A7D" w:rsidRPr="002F4B61">
              <w:rPr>
                <w:rFonts w:ascii="Times New Roman" w:hAnsi="Times New Roman"/>
                <w:sz w:val="22"/>
                <w:szCs w:val="22"/>
              </w:rPr>
              <w:t>1</w:t>
            </w:r>
            <w:r w:rsidR="00A875A5" w:rsidRPr="002F4B61">
              <w:rPr>
                <w:rFonts w:ascii="Times New Roman" w:hAnsi="Times New Roman"/>
                <w:sz w:val="22"/>
                <w:szCs w:val="22"/>
              </w:rPr>
              <w:t>,</w:t>
            </w:r>
            <w:r w:rsidR="00DD38C0" w:rsidRPr="002F4B61">
              <w:rPr>
                <w:rFonts w:ascii="Times New Roman" w:hAnsi="Times New Roman"/>
                <w:sz w:val="22"/>
                <w:szCs w:val="22"/>
              </w:rPr>
              <w:t>168.00</w:t>
            </w:r>
          </w:p>
        </w:tc>
      </w:tr>
      <w:tr w:rsidR="00DA6D36" w:rsidRPr="002F4B61" w:rsidTr="00830F14">
        <w:tc>
          <w:tcPr>
            <w:tcW w:w="1329" w:type="dxa"/>
            <w:shd w:val="clear" w:color="auto" w:fill="FFFFFF" w:themeFill="background1"/>
            <w:vAlign w:val="center"/>
          </w:tcPr>
          <w:p w:rsidR="00DA6D36" w:rsidRPr="002F4B61" w:rsidRDefault="00DA6D36" w:rsidP="00120D7F">
            <w:pPr>
              <w:rPr>
                <w:rFonts w:ascii="Times New Roman" w:hAnsi="Times New Roman"/>
                <w:sz w:val="22"/>
                <w:szCs w:val="22"/>
              </w:rPr>
            </w:pPr>
            <w:r w:rsidRPr="002F4B61">
              <w:rPr>
                <w:rFonts w:ascii="Times New Roman" w:hAnsi="Times New Roman"/>
                <w:sz w:val="22"/>
                <w:szCs w:val="22"/>
              </w:rPr>
              <w:t xml:space="preserve">Total </w:t>
            </w:r>
          </w:p>
        </w:tc>
        <w:tc>
          <w:tcPr>
            <w:tcW w:w="1515" w:type="dxa"/>
            <w:shd w:val="clear" w:color="auto" w:fill="FFFFFF" w:themeFill="background1"/>
          </w:tcPr>
          <w:p w:rsidR="00DA6D36" w:rsidRPr="002F4B61" w:rsidRDefault="00DA6D36" w:rsidP="005D0629">
            <w:pPr>
              <w:pStyle w:val="tt-tabletitle"/>
              <w:ind w:left="0" w:firstLine="0"/>
              <w:jc w:val="center"/>
              <w:rPr>
                <w:rFonts w:ascii="Times New Roman" w:hAnsi="Times New Roman"/>
              </w:rPr>
            </w:pPr>
            <w:r w:rsidRPr="002F4B61">
              <w:rPr>
                <w:rFonts w:ascii="Times New Roman" w:hAnsi="Times New Roman"/>
              </w:rPr>
              <w:t>100</w:t>
            </w:r>
          </w:p>
        </w:tc>
        <w:tc>
          <w:tcPr>
            <w:tcW w:w="1515" w:type="dxa"/>
            <w:shd w:val="clear" w:color="auto" w:fill="FFFFFF" w:themeFill="background1"/>
          </w:tcPr>
          <w:p w:rsidR="00DA6D36" w:rsidRPr="002F4B61" w:rsidRDefault="00DA6D36" w:rsidP="005D0629">
            <w:pPr>
              <w:pStyle w:val="tt-tabletitle"/>
              <w:ind w:left="0" w:firstLine="0"/>
              <w:jc w:val="center"/>
              <w:rPr>
                <w:rFonts w:ascii="Times New Roman" w:hAnsi="Times New Roman"/>
              </w:rPr>
            </w:pPr>
            <w:r w:rsidRPr="002F4B61">
              <w:rPr>
                <w:rFonts w:ascii="Times New Roman" w:hAnsi="Times New Roman"/>
              </w:rPr>
              <w:t>n/a</w:t>
            </w:r>
          </w:p>
        </w:tc>
        <w:tc>
          <w:tcPr>
            <w:tcW w:w="1581" w:type="dxa"/>
            <w:shd w:val="clear" w:color="auto" w:fill="FFFFFF" w:themeFill="background1"/>
          </w:tcPr>
          <w:p w:rsidR="00DA6D36" w:rsidRPr="002F4B61" w:rsidRDefault="00DA6D36" w:rsidP="005D0629">
            <w:pPr>
              <w:pStyle w:val="tt-tabletitle"/>
              <w:spacing w:line="240" w:lineRule="auto"/>
              <w:ind w:left="0" w:firstLine="0"/>
              <w:jc w:val="center"/>
              <w:rPr>
                <w:rFonts w:ascii="Times New Roman" w:hAnsi="Times New Roman"/>
              </w:rPr>
            </w:pPr>
            <w:r w:rsidRPr="002F4B61">
              <w:rPr>
                <w:rFonts w:ascii="Times New Roman" w:hAnsi="Times New Roman"/>
              </w:rPr>
              <w:t>n/a</w:t>
            </w:r>
          </w:p>
        </w:tc>
        <w:tc>
          <w:tcPr>
            <w:tcW w:w="1276" w:type="dxa"/>
            <w:shd w:val="clear" w:color="auto" w:fill="FFFFFF" w:themeFill="background1"/>
            <w:vAlign w:val="center"/>
          </w:tcPr>
          <w:p w:rsidR="00DA6D36" w:rsidRPr="002F4B61" w:rsidRDefault="00DA6D36" w:rsidP="00626E43">
            <w:pPr>
              <w:jc w:val="center"/>
              <w:rPr>
                <w:rFonts w:ascii="Times New Roman" w:hAnsi="Times New Roman"/>
                <w:sz w:val="22"/>
                <w:szCs w:val="22"/>
              </w:rPr>
            </w:pPr>
            <w:r w:rsidRPr="002F4B61">
              <w:rPr>
                <w:rFonts w:ascii="Times New Roman" w:hAnsi="Times New Roman"/>
                <w:sz w:val="22"/>
                <w:szCs w:val="22"/>
              </w:rPr>
              <w:t>n/a</w:t>
            </w:r>
          </w:p>
        </w:tc>
        <w:tc>
          <w:tcPr>
            <w:tcW w:w="1409" w:type="dxa"/>
            <w:shd w:val="clear" w:color="auto" w:fill="FFFFFF" w:themeFill="background1"/>
            <w:vAlign w:val="center"/>
          </w:tcPr>
          <w:p w:rsidR="00DA6D36" w:rsidRPr="002F4B61" w:rsidRDefault="00DA6D36" w:rsidP="00564747">
            <w:pPr>
              <w:jc w:val="center"/>
              <w:rPr>
                <w:rFonts w:ascii="Times New Roman" w:hAnsi="Times New Roman"/>
                <w:sz w:val="22"/>
                <w:szCs w:val="22"/>
              </w:rPr>
            </w:pPr>
            <w:r w:rsidRPr="002F4B61">
              <w:rPr>
                <w:rFonts w:ascii="Times New Roman" w:hAnsi="Times New Roman"/>
                <w:sz w:val="22"/>
                <w:szCs w:val="22"/>
              </w:rPr>
              <w:t>$</w:t>
            </w:r>
            <w:r w:rsidR="00A91A7D" w:rsidRPr="002F4B61">
              <w:rPr>
                <w:rFonts w:ascii="Times New Roman" w:hAnsi="Times New Roman"/>
                <w:sz w:val="22"/>
                <w:szCs w:val="22"/>
              </w:rPr>
              <w:t>2</w:t>
            </w:r>
            <w:r w:rsidR="00A875A5" w:rsidRPr="002F4B61">
              <w:rPr>
                <w:rFonts w:ascii="Times New Roman" w:hAnsi="Times New Roman"/>
                <w:sz w:val="22"/>
                <w:szCs w:val="22"/>
              </w:rPr>
              <w:t>,</w:t>
            </w:r>
            <w:r w:rsidR="00DD38C0" w:rsidRPr="002F4B61">
              <w:rPr>
                <w:rFonts w:ascii="Times New Roman" w:hAnsi="Times New Roman"/>
                <w:sz w:val="22"/>
                <w:szCs w:val="22"/>
              </w:rPr>
              <w:t>50</w:t>
            </w:r>
            <w:r w:rsidR="00564747" w:rsidRPr="002F4B61">
              <w:rPr>
                <w:rFonts w:ascii="Times New Roman" w:hAnsi="Times New Roman"/>
                <w:sz w:val="22"/>
                <w:szCs w:val="22"/>
              </w:rPr>
              <w:t>6</w:t>
            </w:r>
            <w:r w:rsidR="00A91A7D" w:rsidRPr="002F4B61">
              <w:rPr>
                <w:rFonts w:ascii="Times New Roman" w:hAnsi="Times New Roman"/>
                <w:sz w:val="22"/>
                <w:szCs w:val="22"/>
              </w:rPr>
              <w:t>.</w:t>
            </w:r>
            <w:r w:rsidR="00DD38C0" w:rsidRPr="002F4B61">
              <w:rPr>
                <w:rFonts w:ascii="Times New Roman" w:hAnsi="Times New Roman"/>
                <w:sz w:val="22"/>
                <w:szCs w:val="22"/>
              </w:rPr>
              <w:t>00</w:t>
            </w:r>
          </w:p>
        </w:tc>
      </w:tr>
    </w:tbl>
    <w:p w:rsidR="00462107" w:rsidRDefault="00462107" w:rsidP="00DA6D36">
      <w:pPr>
        <w:ind w:firstLine="720"/>
        <w:rPr>
          <w:sz w:val="22"/>
          <w:szCs w:val="22"/>
        </w:rPr>
      </w:pPr>
    </w:p>
    <w:p w:rsidR="00470E3E" w:rsidRDefault="00470E3E" w:rsidP="00DA6D36">
      <w:pPr>
        <w:ind w:firstLine="720"/>
        <w:rPr>
          <w:sz w:val="22"/>
          <w:szCs w:val="22"/>
        </w:rPr>
      </w:pPr>
    </w:p>
    <w:p w:rsidR="00470E3E" w:rsidRDefault="00470E3E" w:rsidP="00DA6D36">
      <w:pPr>
        <w:ind w:firstLine="720"/>
        <w:rPr>
          <w:sz w:val="22"/>
          <w:szCs w:val="22"/>
        </w:rPr>
      </w:pPr>
    </w:p>
    <w:p w:rsidR="00470E3E" w:rsidRPr="00470E3E" w:rsidRDefault="00470E3E" w:rsidP="00DA6D36">
      <w:pPr>
        <w:ind w:firstLine="720"/>
        <w:rPr>
          <w:sz w:val="22"/>
          <w:szCs w:val="22"/>
        </w:rPr>
      </w:pPr>
    </w:p>
    <w:p w:rsidR="00C5320F" w:rsidRPr="002F4B61" w:rsidRDefault="00C5320F" w:rsidP="00DA6D36">
      <w:pPr>
        <w:ind w:firstLine="720"/>
        <w:rPr>
          <w:i/>
          <w:sz w:val="22"/>
          <w:szCs w:val="22"/>
        </w:rPr>
      </w:pPr>
      <w:r w:rsidRPr="002F4B61">
        <w:rPr>
          <w:i/>
          <w:sz w:val="22"/>
          <w:szCs w:val="22"/>
        </w:rPr>
        <w:lastRenderedPageBreak/>
        <w:t>Data Access</w:t>
      </w:r>
    </w:p>
    <w:p w:rsidR="00C5320F" w:rsidRPr="002F4B61" w:rsidRDefault="00C5320F" w:rsidP="00B32710">
      <w:pPr>
        <w:ind w:left="720"/>
        <w:rPr>
          <w:i/>
          <w:sz w:val="22"/>
          <w:szCs w:val="22"/>
        </w:rPr>
      </w:pPr>
    </w:p>
    <w:p w:rsidR="00EA5864" w:rsidRPr="002F4B61" w:rsidRDefault="00DE7726" w:rsidP="00EA5864">
      <w:pPr>
        <w:ind w:left="720"/>
        <w:rPr>
          <w:sz w:val="22"/>
          <w:szCs w:val="22"/>
        </w:rPr>
      </w:pPr>
      <w:r w:rsidRPr="002F4B61">
        <w:rPr>
          <w:sz w:val="22"/>
          <w:szCs w:val="22"/>
        </w:rPr>
        <w:t>On an annual basis, the PI completes only one of the three form</w:t>
      </w:r>
      <w:r w:rsidR="00F67318" w:rsidRPr="002F4B61">
        <w:rPr>
          <w:sz w:val="22"/>
          <w:szCs w:val="22"/>
        </w:rPr>
        <w:t xml:space="preserve">s for a given project (i.e., </w:t>
      </w:r>
      <w:r w:rsidRPr="002F4B61">
        <w:rPr>
          <w:sz w:val="22"/>
          <w:szCs w:val="22"/>
        </w:rPr>
        <w:t>initial or renewal</w:t>
      </w:r>
      <w:r w:rsidR="00F67318" w:rsidRPr="002F4B61">
        <w:rPr>
          <w:sz w:val="22"/>
          <w:szCs w:val="22"/>
        </w:rPr>
        <w:t xml:space="preserve"> data</w:t>
      </w:r>
      <w:r w:rsidRPr="002F4B61">
        <w:rPr>
          <w:sz w:val="22"/>
          <w:szCs w:val="22"/>
        </w:rPr>
        <w:t xml:space="preserve"> request or a close-out report).  </w:t>
      </w:r>
      <w:r w:rsidR="00C5320F" w:rsidRPr="002F4B61">
        <w:rPr>
          <w:sz w:val="22"/>
          <w:szCs w:val="22"/>
        </w:rPr>
        <w:t>The</w:t>
      </w:r>
      <w:r w:rsidR="00F67318" w:rsidRPr="002F4B61">
        <w:rPr>
          <w:sz w:val="22"/>
          <w:szCs w:val="22"/>
        </w:rPr>
        <w:t xml:space="preserve"> first step a PI must</w:t>
      </w:r>
      <w:r w:rsidR="000F422F" w:rsidRPr="002F4B61">
        <w:rPr>
          <w:sz w:val="22"/>
          <w:szCs w:val="22"/>
        </w:rPr>
        <w:t xml:space="preserve"> take to request data from dbGaP</w:t>
      </w:r>
      <w:r w:rsidRPr="002F4B61">
        <w:rPr>
          <w:sz w:val="22"/>
          <w:szCs w:val="22"/>
        </w:rPr>
        <w:t xml:space="preserve"> </w:t>
      </w:r>
      <w:r w:rsidR="000F422F" w:rsidRPr="002F4B61">
        <w:rPr>
          <w:sz w:val="22"/>
          <w:szCs w:val="22"/>
        </w:rPr>
        <w:t xml:space="preserve">is to </w:t>
      </w:r>
      <w:r w:rsidR="00284F8D" w:rsidRPr="002F4B61">
        <w:rPr>
          <w:sz w:val="22"/>
          <w:szCs w:val="22"/>
        </w:rPr>
        <w:t>complet</w:t>
      </w:r>
      <w:r w:rsidR="000F422F" w:rsidRPr="002F4B61">
        <w:rPr>
          <w:sz w:val="22"/>
          <w:szCs w:val="22"/>
        </w:rPr>
        <w:t>e</w:t>
      </w:r>
      <w:r w:rsidR="00284F8D" w:rsidRPr="002F4B61">
        <w:rPr>
          <w:sz w:val="22"/>
          <w:szCs w:val="22"/>
        </w:rPr>
        <w:t xml:space="preserve"> </w:t>
      </w:r>
      <w:r w:rsidR="00C5320F" w:rsidRPr="002F4B61">
        <w:rPr>
          <w:sz w:val="22"/>
          <w:szCs w:val="22"/>
        </w:rPr>
        <w:t>a</w:t>
      </w:r>
      <w:r w:rsidR="000F422F" w:rsidRPr="002F4B61">
        <w:rPr>
          <w:sz w:val="22"/>
          <w:szCs w:val="22"/>
        </w:rPr>
        <w:t xml:space="preserve"> </w:t>
      </w:r>
      <w:r w:rsidR="005C0B7B" w:rsidRPr="002F4B61">
        <w:rPr>
          <w:sz w:val="22"/>
          <w:szCs w:val="22"/>
        </w:rPr>
        <w:t xml:space="preserve">DAR </w:t>
      </w:r>
      <w:r w:rsidR="00555031" w:rsidRPr="002F4B61">
        <w:rPr>
          <w:sz w:val="22"/>
          <w:szCs w:val="22"/>
        </w:rPr>
        <w:t>form</w:t>
      </w:r>
      <w:r w:rsidR="00753B43" w:rsidRPr="002F4B61">
        <w:rPr>
          <w:sz w:val="22"/>
          <w:szCs w:val="22"/>
        </w:rPr>
        <w:t>.</w:t>
      </w:r>
      <w:r w:rsidR="00C5320F" w:rsidRPr="002F4B61">
        <w:rPr>
          <w:sz w:val="22"/>
          <w:szCs w:val="22"/>
        </w:rPr>
        <w:t xml:space="preserve"> </w:t>
      </w:r>
      <w:r w:rsidR="00A875A5" w:rsidRPr="002F4B61">
        <w:rPr>
          <w:sz w:val="22"/>
          <w:szCs w:val="22"/>
        </w:rPr>
        <w:t xml:space="preserve"> </w:t>
      </w:r>
      <w:r w:rsidR="0069067C" w:rsidRPr="002F4B61">
        <w:rPr>
          <w:sz w:val="22"/>
          <w:szCs w:val="22"/>
        </w:rPr>
        <w:t>This step also requires t</w:t>
      </w:r>
      <w:r w:rsidR="00EA5864" w:rsidRPr="002F4B61">
        <w:rPr>
          <w:sz w:val="22"/>
          <w:szCs w:val="22"/>
        </w:rPr>
        <w:t>he</w:t>
      </w:r>
      <w:r w:rsidR="008D6CF6" w:rsidRPr="002F4B61">
        <w:rPr>
          <w:sz w:val="22"/>
          <w:szCs w:val="22"/>
        </w:rPr>
        <w:t xml:space="preserve"> </w:t>
      </w:r>
      <w:r w:rsidR="00D81BA4" w:rsidRPr="002F4B61">
        <w:rPr>
          <w:sz w:val="22"/>
          <w:szCs w:val="22"/>
        </w:rPr>
        <w:t>Institutional</w:t>
      </w:r>
      <w:r w:rsidR="00EA5864" w:rsidRPr="002F4B61">
        <w:rPr>
          <w:sz w:val="22"/>
          <w:szCs w:val="22"/>
        </w:rPr>
        <w:t xml:space="preserve"> Signing Official </w:t>
      </w:r>
      <w:r w:rsidR="0069067C" w:rsidRPr="002F4B61">
        <w:rPr>
          <w:sz w:val="22"/>
          <w:szCs w:val="22"/>
        </w:rPr>
        <w:t>t</w:t>
      </w:r>
      <w:r w:rsidR="00EA5864" w:rsidRPr="002F4B61">
        <w:rPr>
          <w:sz w:val="22"/>
          <w:szCs w:val="22"/>
        </w:rPr>
        <w:t>o review the DAR</w:t>
      </w:r>
      <w:r w:rsidR="008D6CF6" w:rsidRPr="002F4B61">
        <w:rPr>
          <w:sz w:val="22"/>
          <w:szCs w:val="22"/>
        </w:rPr>
        <w:t>,</w:t>
      </w:r>
      <w:r w:rsidR="00EA5864" w:rsidRPr="002F4B61">
        <w:rPr>
          <w:sz w:val="22"/>
          <w:szCs w:val="22"/>
        </w:rPr>
        <w:t xml:space="preserve"> and </w:t>
      </w:r>
      <w:r w:rsidR="008D6CF6" w:rsidRPr="002F4B61">
        <w:rPr>
          <w:sz w:val="22"/>
          <w:szCs w:val="22"/>
        </w:rPr>
        <w:t xml:space="preserve">both </w:t>
      </w:r>
      <w:r w:rsidR="000F7CE6" w:rsidRPr="002F4B61">
        <w:rPr>
          <w:sz w:val="22"/>
          <w:szCs w:val="22"/>
        </w:rPr>
        <w:t xml:space="preserve">the PI and Signing Official </w:t>
      </w:r>
      <w:r w:rsidR="008D6CF6" w:rsidRPr="002F4B61">
        <w:rPr>
          <w:sz w:val="22"/>
          <w:szCs w:val="22"/>
        </w:rPr>
        <w:t>must certify that they agree to the terms and conditions for use of the data and will adhere to the GWAS policy</w:t>
      </w:r>
      <w:r w:rsidR="00EA5864" w:rsidRPr="002F4B61">
        <w:rPr>
          <w:sz w:val="22"/>
          <w:szCs w:val="22"/>
        </w:rPr>
        <w:t>.</w:t>
      </w:r>
      <w:r w:rsidR="0069067C" w:rsidRPr="002F4B61">
        <w:rPr>
          <w:sz w:val="22"/>
          <w:szCs w:val="22"/>
        </w:rPr>
        <w:t xml:space="preserve"> </w:t>
      </w:r>
    </w:p>
    <w:p w:rsidR="00EA5864" w:rsidRPr="002F4B61" w:rsidRDefault="00EA5864" w:rsidP="00B32710">
      <w:pPr>
        <w:ind w:left="720"/>
        <w:rPr>
          <w:sz w:val="22"/>
          <w:szCs w:val="22"/>
        </w:rPr>
      </w:pPr>
    </w:p>
    <w:p w:rsidR="00482BDB" w:rsidRPr="002F4B61" w:rsidRDefault="00753B43" w:rsidP="00B32710">
      <w:pPr>
        <w:ind w:left="720"/>
        <w:rPr>
          <w:sz w:val="22"/>
          <w:szCs w:val="22"/>
        </w:rPr>
      </w:pPr>
      <w:r w:rsidRPr="002F4B61">
        <w:rPr>
          <w:sz w:val="22"/>
          <w:szCs w:val="22"/>
        </w:rPr>
        <w:t>Upon approval of their request,</w:t>
      </w:r>
      <w:r w:rsidR="00F67318" w:rsidRPr="002F4B61">
        <w:rPr>
          <w:sz w:val="22"/>
          <w:szCs w:val="22"/>
        </w:rPr>
        <w:t xml:space="preserve"> PIs are</w:t>
      </w:r>
      <w:r w:rsidR="00E5498C" w:rsidRPr="002F4B61">
        <w:rPr>
          <w:sz w:val="22"/>
          <w:szCs w:val="22"/>
        </w:rPr>
        <w:t xml:space="preserve"> granted access to the data for one year.  </w:t>
      </w:r>
      <w:r w:rsidR="00C5320F" w:rsidRPr="002F4B61">
        <w:rPr>
          <w:sz w:val="22"/>
          <w:szCs w:val="22"/>
        </w:rPr>
        <w:t>A</w:t>
      </w:r>
      <w:r w:rsidR="007A3DA2" w:rsidRPr="002F4B61">
        <w:rPr>
          <w:sz w:val="22"/>
          <w:szCs w:val="22"/>
        </w:rPr>
        <w:t>t the end of the year</w:t>
      </w:r>
      <w:r w:rsidR="00E5498C" w:rsidRPr="002F4B61">
        <w:rPr>
          <w:sz w:val="22"/>
          <w:szCs w:val="22"/>
        </w:rPr>
        <w:t xml:space="preserve">, </w:t>
      </w:r>
      <w:r w:rsidR="00F67318" w:rsidRPr="002F4B61">
        <w:rPr>
          <w:sz w:val="22"/>
          <w:szCs w:val="22"/>
        </w:rPr>
        <w:t>PIs</w:t>
      </w:r>
      <w:r w:rsidRPr="002F4B61">
        <w:rPr>
          <w:sz w:val="22"/>
          <w:szCs w:val="22"/>
        </w:rPr>
        <w:t xml:space="preserve"> who</w:t>
      </w:r>
      <w:r w:rsidR="00E5498C" w:rsidRPr="002F4B61">
        <w:rPr>
          <w:sz w:val="22"/>
          <w:szCs w:val="22"/>
        </w:rPr>
        <w:t xml:space="preserve"> wish to continue to use the data must </w:t>
      </w:r>
      <w:r w:rsidR="00555031" w:rsidRPr="002F4B61">
        <w:rPr>
          <w:sz w:val="22"/>
          <w:szCs w:val="22"/>
        </w:rPr>
        <w:t>complete a r</w:t>
      </w:r>
      <w:r w:rsidR="00C5320F" w:rsidRPr="002F4B61">
        <w:rPr>
          <w:sz w:val="22"/>
          <w:szCs w:val="22"/>
        </w:rPr>
        <w:t xml:space="preserve">enewal form to extend the </w:t>
      </w:r>
      <w:r w:rsidR="007A3DA2" w:rsidRPr="002F4B61">
        <w:rPr>
          <w:sz w:val="22"/>
          <w:szCs w:val="22"/>
        </w:rPr>
        <w:t xml:space="preserve">access </w:t>
      </w:r>
      <w:r w:rsidR="00C5320F" w:rsidRPr="002F4B61">
        <w:rPr>
          <w:sz w:val="22"/>
          <w:szCs w:val="22"/>
        </w:rPr>
        <w:t xml:space="preserve">period for another year. </w:t>
      </w:r>
      <w:r w:rsidR="00A875A5" w:rsidRPr="002F4B61">
        <w:rPr>
          <w:sz w:val="22"/>
          <w:szCs w:val="22"/>
        </w:rPr>
        <w:t xml:space="preserve"> </w:t>
      </w:r>
      <w:r w:rsidR="00E5498C" w:rsidRPr="002F4B61">
        <w:rPr>
          <w:sz w:val="22"/>
          <w:szCs w:val="22"/>
        </w:rPr>
        <w:t xml:space="preserve">Information from the original DAR is automatically </w:t>
      </w:r>
      <w:r w:rsidR="00482BDB" w:rsidRPr="002F4B61">
        <w:rPr>
          <w:sz w:val="22"/>
          <w:szCs w:val="22"/>
        </w:rPr>
        <w:t xml:space="preserve">incorporated into the </w:t>
      </w:r>
      <w:r w:rsidR="00F67318" w:rsidRPr="002F4B61">
        <w:rPr>
          <w:sz w:val="22"/>
          <w:szCs w:val="22"/>
        </w:rPr>
        <w:t>PI’</w:t>
      </w:r>
      <w:r w:rsidR="00482BDB" w:rsidRPr="002F4B61">
        <w:rPr>
          <w:sz w:val="22"/>
          <w:szCs w:val="22"/>
        </w:rPr>
        <w:t>s renewal form</w:t>
      </w:r>
      <w:r w:rsidR="008074EB" w:rsidRPr="002F4B61">
        <w:rPr>
          <w:sz w:val="22"/>
          <w:szCs w:val="22"/>
        </w:rPr>
        <w:t xml:space="preserve">, and the </w:t>
      </w:r>
      <w:r w:rsidR="00F67318" w:rsidRPr="002F4B61">
        <w:rPr>
          <w:sz w:val="22"/>
          <w:szCs w:val="22"/>
        </w:rPr>
        <w:t>PI</w:t>
      </w:r>
      <w:r w:rsidR="008074EB" w:rsidRPr="002F4B61">
        <w:rPr>
          <w:sz w:val="22"/>
          <w:szCs w:val="22"/>
        </w:rPr>
        <w:t xml:space="preserve"> provides additional information such as a description of publications, presentations, and int</w:t>
      </w:r>
      <w:r w:rsidR="009F4CBB" w:rsidRPr="002F4B61">
        <w:rPr>
          <w:sz w:val="22"/>
          <w:szCs w:val="22"/>
        </w:rPr>
        <w:t>ellectual property that are based on the secondary use of dbGaP data</w:t>
      </w:r>
      <w:r w:rsidR="00482BDB" w:rsidRPr="002F4B61">
        <w:rPr>
          <w:sz w:val="22"/>
          <w:szCs w:val="22"/>
        </w:rPr>
        <w:t xml:space="preserve">.  </w:t>
      </w:r>
      <w:r w:rsidR="00BC1515" w:rsidRPr="002F4B61" w:rsidDel="00BC1515">
        <w:rPr>
          <w:sz w:val="22"/>
          <w:szCs w:val="22"/>
        </w:rPr>
        <w:t xml:space="preserve"> </w:t>
      </w:r>
    </w:p>
    <w:p w:rsidR="00482BDB" w:rsidRPr="002F4B61" w:rsidRDefault="00482BDB" w:rsidP="00B32710">
      <w:pPr>
        <w:ind w:left="720"/>
        <w:rPr>
          <w:sz w:val="22"/>
          <w:szCs w:val="22"/>
        </w:rPr>
      </w:pPr>
    </w:p>
    <w:p w:rsidR="00482BDB" w:rsidRPr="002F4B61" w:rsidRDefault="00F67318" w:rsidP="00B32710">
      <w:pPr>
        <w:ind w:left="720"/>
        <w:rPr>
          <w:sz w:val="22"/>
          <w:szCs w:val="22"/>
        </w:rPr>
      </w:pPr>
      <w:r w:rsidRPr="002F4B61">
        <w:rPr>
          <w:sz w:val="22"/>
          <w:szCs w:val="22"/>
        </w:rPr>
        <w:t>PIs</w:t>
      </w:r>
      <w:r w:rsidR="00482BDB" w:rsidRPr="002F4B61">
        <w:rPr>
          <w:sz w:val="22"/>
          <w:szCs w:val="22"/>
        </w:rPr>
        <w:t xml:space="preserve"> who do not wish to renew their access request are expected to </w:t>
      </w:r>
      <w:r w:rsidR="00C5320F" w:rsidRPr="002F4B61">
        <w:rPr>
          <w:sz w:val="22"/>
          <w:szCs w:val="22"/>
        </w:rPr>
        <w:t>co</w:t>
      </w:r>
      <w:r w:rsidR="00555031" w:rsidRPr="002F4B61">
        <w:rPr>
          <w:sz w:val="22"/>
          <w:szCs w:val="22"/>
        </w:rPr>
        <w:t>mplete a project c</w:t>
      </w:r>
      <w:r w:rsidR="00CA0E1A" w:rsidRPr="002F4B61">
        <w:rPr>
          <w:sz w:val="22"/>
          <w:szCs w:val="22"/>
        </w:rPr>
        <w:t>lose-out form.</w:t>
      </w:r>
      <w:r w:rsidR="00C5320F" w:rsidRPr="002F4B61">
        <w:rPr>
          <w:sz w:val="22"/>
          <w:szCs w:val="22"/>
        </w:rPr>
        <w:t xml:space="preserve"> </w:t>
      </w:r>
      <w:r w:rsidR="00CD42A5" w:rsidRPr="002F4B61">
        <w:rPr>
          <w:sz w:val="22"/>
          <w:szCs w:val="22"/>
        </w:rPr>
        <w:t xml:space="preserve"> </w:t>
      </w:r>
      <w:r w:rsidR="00BC1515" w:rsidRPr="002F4B61">
        <w:rPr>
          <w:sz w:val="22"/>
          <w:szCs w:val="22"/>
        </w:rPr>
        <w:t xml:space="preserve">Information from the original DAR or renewal form is automatically incorporated into the </w:t>
      </w:r>
      <w:r w:rsidRPr="002F4B61">
        <w:rPr>
          <w:sz w:val="22"/>
          <w:szCs w:val="22"/>
        </w:rPr>
        <w:t>PI</w:t>
      </w:r>
      <w:r w:rsidR="00BC1515" w:rsidRPr="002F4B61">
        <w:rPr>
          <w:sz w:val="22"/>
          <w:szCs w:val="22"/>
        </w:rPr>
        <w:t>’s close</w:t>
      </w:r>
      <w:r w:rsidR="004A3D9D" w:rsidRPr="002F4B61">
        <w:rPr>
          <w:sz w:val="22"/>
          <w:szCs w:val="22"/>
        </w:rPr>
        <w:t>-</w:t>
      </w:r>
      <w:r w:rsidR="00BC1515" w:rsidRPr="002F4B61">
        <w:rPr>
          <w:sz w:val="22"/>
          <w:szCs w:val="22"/>
        </w:rPr>
        <w:t xml:space="preserve">out form, and the </w:t>
      </w:r>
      <w:r w:rsidRPr="002F4B61">
        <w:rPr>
          <w:sz w:val="22"/>
          <w:szCs w:val="22"/>
        </w:rPr>
        <w:t>PI</w:t>
      </w:r>
      <w:r w:rsidR="00BC1515" w:rsidRPr="002F4B61">
        <w:rPr>
          <w:sz w:val="22"/>
          <w:szCs w:val="22"/>
        </w:rPr>
        <w:t xml:space="preserve"> provides additional information such as a description of publications, presentations, and intellectual property that are based on the secondary use of dbGaP data.</w:t>
      </w:r>
      <w:r w:rsidR="00A875A5" w:rsidRPr="002F4B61">
        <w:rPr>
          <w:sz w:val="22"/>
          <w:szCs w:val="22"/>
        </w:rPr>
        <w:t xml:space="preserve"> </w:t>
      </w:r>
      <w:r w:rsidR="00CD42A5" w:rsidRPr="002F4B61">
        <w:rPr>
          <w:sz w:val="22"/>
          <w:szCs w:val="22"/>
        </w:rPr>
        <w:t xml:space="preserve"> </w:t>
      </w:r>
      <w:r w:rsidR="00482BDB" w:rsidRPr="002F4B61">
        <w:rPr>
          <w:sz w:val="22"/>
          <w:szCs w:val="22"/>
        </w:rPr>
        <w:t xml:space="preserve">The information in the close-out form is needed because </w:t>
      </w:r>
      <w:r w:rsidR="00BC1515" w:rsidRPr="002F4B61">
        <w:rPr>
          <w:sz w:val="22"/>
          <w:szCs w:val="22"/>
        </w:rPr>
        <w:t>it prov</w:t>
      </w:r>
      <w:r w:rsidR="00CD42A5" w:rsidRPr="002F4B61">
        <w:rPr>
          <w:sz w:val="22"/>
          <w:szCs w:val="22"/>
        </w:rPr>
        <w:t>i</w:t>
      </w:r>
      <w:r w:rsidR="00BC1515" w:rsidRPr="002F4B61">
        <w:rPr>
          <w:sz w:val="22"/>
          <w:szCs w:val="22"/>
        </w:rPr>
        <w:t>des NIH with information on final project outcomes and p</w:t>
      </w:r>
      <w:r w:rsidR="00C45ADE" w:rsidRPr="002F4B61">
        <w:rPr>
          <w:sz w:val="22"/>
          <w:szCs w:val="22"/>
        </w:rPr>
        <w:t>rovides the oversight mechanism by which</w:t>
      </w:r>
      <w:r w:rsidR="00BC1515" w:rsidRPr="002F4B61">
        <w:rPr>
          <w:sz w:val="22"/>
          <w:szCs w:val="22"/>
        </w:rPr>
        <w:t xml:space="preserve"> the </w:t>
      </w:r>
      <w:r w:rsidR="00D81BA4" w:rsidRPr="002F4B61">
        <w:rPr>
          <w:sz w:val="22"/>
          <w:szCs w:val="22"/>
        </w:rPr>
        <w:t>I</w:t>
      </w:r>
      <w:r w:rsidR="00BC1515" w:rsidRPr="002F4B61">
        <w:rPr>
          <w:sz w:val="22"/>
          <w:szCs w:val="22"/>
        </w:rPr>
        <w:t xml:space="preserve">nstitutional </w:t>
      </w:r>
      <w:r w:rsidR="00DE7726" w:rsidRPr="002F4B61">
        <w:rPr>
          <w:sz w:val="22"/>
          <w:szCs w:val="22"/>
        </w:rPr>
        <w:t>S</w:t>
      </w:r>
      <w:r w:rsidR="00BC1515" w:rsidRPr="002F4B61">
        <w:rPr>
          <w:sz w:val="22"/>
          <w:szCs w:val="22"/>
        </w:rPr>
        <w:t xml:space="preserve">igning </w:t>
      </w:r>
      <w:r w:rsidR="00DE7726" w:rsidRPr="002F4B61">
        <w:rPr>
          <w:sz w:val="22"/>
          <w:szCs w:val="22"/>
        </w:rPr>
        <w:t>O</w:t>
      </w:r>
      <w:r w:rsidR="00BC1515" w:rsidRPr="002F4B61">
        <w:rPr>
          <w:sz w:val="22"/>
          <w:szCs w:val="22"/>
        </w:rPr>
        <w:t xml:space="preserve">fficial confirms that the project has been discontinued and the </w:t>
      </w:r>
      <w:r w:rsidR="00CD42A5" w:rsidRPr="002F4B61">
        <w:rPr>
          <w:sz w:val="22"/>
          <w:szCs w:val="22"/>
        </w:rPr>
        <w:t xml:space="preserve">dbGaP </w:t>
      </w:r>
      <w:r w:rsidR="00BC1515" w:rsidRPr="002F4B61">
        <w:rPr>
          <w:sz w:val="22"/>
          <w:szCs w:val="22"/>
        </w:rPr>
        <w:t>data were deleted</w:t>
      </w:r>
      <w:r w:rsidR="00CD42A5" w:rsidRPr="002F4B61">
        <w:rPr>
          <w:sz w:val="22"/>
          <w:szCs w:val="22"/>
        </w:rPr>
        <w:t xml:space="preserve"> from the institution’s computers</w:t>
      </w:r>
      <w:r w:rsidR="001C6CD6" w:rsidRPr="002F4B61">
        <w:rPr>
          <w:sz w:val="22"/>
          <w:szCs w:val="22"/>
        </w:rPr>
        <w:t>.</w:t>
      </w:r>
    </w:p>
    <w:p w:rsidR="00482BDB" w:rsidRPr="002F4B61" w:rsidRDefault="00482BDB" w:rsidP="00B32710">
      <w:pPr>
        <w:ind w:left="720"/>
        <w:rPr>
          <w:sz w:val="22"/>
          <w:szCs w:val="22"/>
        </w:rPr>
      </w:pPr>
    </w:p>
    <w:p w:rsidR="001A7D5A" w:rsidRPr="002F4B61" w:rsidRDefault="00C5320F" w:rsidP="00071DBC">
      <w:pPr>
        <w:ind w:left="720"/>
        <w:rPr>
          <w:sz w:val="22"/>
          <w:szCs w:val="22"/>
        </w:rPr>
      </w:pPr>
      <w:r w:rsidRPr="002F4B61">
        <w:rPr>
          <w:sz w:val="22"/>
          <w:szCs w:val="22"/>
        </w:rPr>
        <w:t>The annual time burden estimates are calculated sep</w:t>
      </w:r>
      <w:r w:rsidR="00D0480D" w:rsidRPr="002F4B61">
        <w:rPr>
          <w:sz w:val="22"/>
          <w:szCs w:val="22"/>
        </w:rPr>
        <w:t xml:space="preserve">arately for the initial </w:t>
      </w:r>
      <w:r w:rsidR="00555031" w:rsidRPr="002F4B61">
        <w:rPr>
          <w:sz w:val="22"/>
          <w:szCs w:val="22"/>
        </w:rPr>
        <w:t>DAR</w:t>
      </w:r>
      <w:r w:rsidR="003F046F" w:rsidRPr="002F4B61">
        <w:rPr>
          <w:sz w:val="22"/>
          <w:szCs w:val="22"/>
        </w:rPr>
        <w:t xml:space="preserve"> and</w:t>
      </w:r>
      <w:r w:rsidR="00555031" w:rsidRPr="002F4B61">
        <w:rPr>
          <w:sz w:val="22"/>
          <w:szCs w:val="22"/>
        </w:rPr>
        <w:t xml:space="preserve"> renewal</w:t>
      </w:r>
      <w:r w:rsidR="003F046F" w:rsidRPr="002F4B61">
        <w:rPr>
          <w:sz w:val="22"/>
          <w:szCs w:val="22"/>
        </w:rPr>
        <w:t>/</w:t>
      </w:r>
      <w:r w:rsidR="00555031" w:rsidRPr="002F4B61">
        <w:rPr>
          <w:sz w:val="22"/>
          <w:szCs w:val="22"/>
        </w:rPr>
        <w:t>project close-out forms</w:t>
      </w:r>
      <w:r w:rsidRPr="002F4B61">
        <w:rPr>
          <w:sz w:val="22"/>
          <w:szCs w:val="22"/>
        </w:rPr>
        <w:t xml:space="preserve">. </w:t>
      </w:r>
      <w:r w:rsidR="00D16DAA" w:rsidRPr="002F4B61">
        <w:rPr>
          <w:sz w:val="22"/>
          <w:szCs w:val="22"/>
        </w:rPr>
        <w:t xml:space="preserve"> </w:t>
      </w:r>
      <w:r w:rsidRPr="002F4B61">
        <w:rPr>
          <w:sz w:val="22"/>
          <w:szCs w:val="22"/>
        </w:rPr>
        <w:t>To</w:t>
      </w:r>
      <w:r w:rsidR="00ED7E60" w:rsidRPr="002F4B61">
        <w:rPr>
          <w:sz w:val="22"/>
          <w:szCs w:val="22"/>
        </w:rPr>
        <w:t xml:space="preserve"> estimate the</w:t>
      </w:r>
      <w:r w:rsidRPr="002F4B61">
        <w:rPr>
          <w:sz w:val="22"/>
          <w:szCs w:val="22"/>
        </w:rPr>
        <w:t xml:space="preserve"> number of </w:t>
      </w:r>
      <w:r w:rsidR="00482BDB" w:rsidRPr="002F4B61">
        <w:rPr>
          <w:sz w:val="22"/>
          <w:szCs w:val="22"/>
        </w:rPr>
        <w:t xml:space="preserve">data </w:t>
      </w:r>
      <w:r w:rsidR="0069495E" w:rsidRPr="002F4B61">
        <w:rPr>
          <w:sz w:val="22"/>
          <w:szCs w:val="22"/>
        </w:rPr>
        <w:t>r</w:t>
      </w:r>
      <w:r w:rsidR="008E4C3F" w:rsidRPr="002F4B61">
        <w:rPr>
          <w:sz w:val="22"/>
          <w:szCs w:val="22"/>
        </w:rPr>
        <w:t>equeste</w:t>
      </w:r>
      <w:r w:rsidR="0069495E" w:rsidRPr="002F4B61">
        <w:rPr>
          <w:sz w:val="22"/>
          <w:szCs w:val="22"/>
        </w:rPr>
        <w:t>r</w:t>
      </w:r>
      <w:r w:rsidR="008E5B9E" w:rsidRPr="002F4B61">
        <w:rPr>
          <w:sz w:val="22"/>
          <w:szCs w:val="22"/>
        </w:rPr>
        <w:t>s</w:t>
      </w:r>
      <w:r w:rsidR="0069495E" w:rsidRPr="002F4B61">
        <w:rPr>
          <w:sz w:val="22"/>
          <w:szCs w:val="22"/>
        </w:rPr>
        <w:t xml:space="preserve"> </w:t>
      </w:r>
      <w:r w:rsidR="00482BDB" w:rsidRPr="002F4B61">
        <w:rPr>
          <w:sz w:val="22"/>
          <w:szCs w:val="22"/>
        </w:rPr>
        <w:t>(</w:t>
      </w:r>
      <w:r w:rsidRPr="002F4B61">
        <w:rPr>
          <w:sz w:val="22"/>
          <w:szCs w:val="22"/>
        </w:rPr>
        <w:t>respondents</w:t>
      </w:r>
      <w:r w:rsidR="00482BDB" w:rsidRPr="002F4B61">
        <w:rPr>
          <w:sz w:val="22"/>
          <w:szCs w:val="22"/>
        </w:rPr>
        <w:t>)</w:t>
      </w:r>
      <w:r w:rsidRPr="002F4B61">
        <w:rPr>
          <w:sz w:val="22"/>
          <w:szCs w:val="22"/>
        </w:rPr>
        <w:t xml:space="preserve"> </w:t>
      </w:r>
      <w:r w:rsidR="00E220AF" w:rsidRPr="002F4B61">
        <w:rPr>
          <w:sz w:val="22"/>
          <w:szCs w:val="22"/>
        </w:rPr>
        <w:t xml:space="preserve">and </w:t>
      </w:r>
      <w:r w:rsidR="008C6303" w:rsidRPr="002F4B61">
        <w:rPr>
          <w:sz w:val="22"/>
          <w:szCs w:val="22"/>
        </w:rPr>
        <w:t xml:space="preserve">the </w:t>
      </w:r>
      <w:r w:rsidR="00482BDB" w:rsidRPr="002F4B61">
        <w:rPr>
          <w:sz w:val="22"/>
          <w:szCs w:val="22"/>
        </w:rPr>
        <w:t xml:space="preserve">number of requests made </w:t>
      </w:r>
      <w:r w:rsidRPr="002F4B61">
        <w:rPr>
          <w:sz w:val="22"/>
          <w:szCs w:val="22"/>
        </w:rPr>
        <w:t xml:space="preserve">per year, NIH </w:t>
      </w:r>
      <w:r w:rsidR="00ED7E60" w:rsidRPr="002F4B61">
        <w:rPr>
          <w:sz w:val="22"/>
          <w:szCs w:val="22"/>
        </w:rPr>
        <w:t xml:space="preserve">totaled </w:t>
      </w:r>
      <w:r w:rsidR="00482BDB" w:rsidRPr="002F4B61">
        <w:rPr>
          <w:sz w:val="22"/>
          <w:szCs w:val="22"/>
        </w:rPr>
        <w:t xml:space="preserve">the number of </w:t>
      </w:r>
      <w:r w:rsidR="0069495E" w:rsidRPr="002F4B61">
        <w:rPr>
          <w:sz w:val="22"/>
          <w:szCs w:val="22"/>
        </w:rPr>
        <w:t>r</w:t>
      </w:r>
      <w:r w:rsidR="008E4C3F" w:rsidRPr="002F4B61">
        <w:rPr>
          <w:sz w:val="22"/>
          <w:szCs w:val="22"/>
        </w:rPr>
        <w:t>equeste</w:t>
      </w:r>
      <w:r w:rsidR="008E5B9E" w:rsidRPr="002F4B61">
        <w:rPr>
          <w:sz w:val="22"/>
          <w:szCs w:val="22"/>
        </w:rPr>
        <w:t>r</w:t>
      </w:r>
      <w:r w:rsidR="0069495E" w:rsidRPr="002F4B61">
        <w:rPr>
          <w:sz w:val="22"/>
          <w:szCs w:val="22"/>
        </w:rPr>
        <w:t xml:space="preserve">s </w:t>
      </w:r>
      <w:r w:rsidR="00ED7E60" w:rsidRPr="002F4B61">
        <w:rPr>
          <w:sz w:val="22"/>
          <w:szCs w:val="22"/>
        </w:rPr>
        <w:t xml:space="preserve">and </w:t>
      </w:r>
      <w:r w:rsidR="00482BDB" w:rsidRPr="002F4B61">
        <w:rPr>
          <w:sz w:val="22"/>
          <w:szCs w:val="22"/>
        </w:rPr>
        <w:t xml:space="preserve">DARs that were submitted over a </w:t>
      </w:r>
      <w:r w:rsidR="00225BD7" w:rsidRPr="002F4B61">
        <w:rPr>
          <w:sz w:val="22"/>
          <w:szCs w:val="22"/>
        </w:rPr>
        <w:t>two</w:t>
      </w:r>
      <w:r w:rsidR="009F4CBB" w:rsidRPr="002F4B61">
        <w:rPr>
          <w:sz w:val="22"/>
          <w:szCs w:val="22"/>
        </w:rPr>
        <w:t>-</w:t>
      </w:r>
      <w:r w:rsidR="00482BDB" w:rsidRPr="002F4B61">
        <w:rPr>
          <w:sz w:val="22"/>
          <w:szCs w:val="22"/>
        </w:rPr>
        <w:t>year period</w:t>
      </w:r>
      <w:r w:rsidR="00ED7E60" w:rsidRPr="002F4B61">
        <w:rPr>
          <w:sz w:val="22"/>
          <w:szCs w:val="22"/>
        </w:rPr>
        <w:t xml:space="preserve"> and divided by </w:t>
      </w:r>
      <w:r w:rsidR="00225BD7" w:rsidRPr="002F4B61">
        <w:rPr>
          <w:sz w:val="22"/>
          <w:szCs w:val="22"/>
        </w:rPr>
        <w:t>two</w:t>
      </w:r>
      <w:r w:rsidR="00555031" w:rsidRPr="002F4B61">
        <w:rPr>
          <w:sz w:val="22"/>
          <w:szCs w:val="22"/>
        </w:rPr>
        <w:t>,</w:t>
      </w:r>
      <w:r w:rsidR="00D0480D" w:rsidRPr="002F4B61">
        <w:rPr>
          <w:sz w:val="22"/>
          <w:szCs w:val="22"/>
        </w:rPr>
        <w:t xml:space="preserve"> </w:t>
      </w:r>
      <w:r w:rsidRPr="002F4B61">
        <w:rPr>
          <w:sz w:val="22"/>
          <w:szCs w:val="22"/>
        </w:rPr>
        <w:t>for an</w:t>
      </w:r>
      <w:r w:rsidR="00AB23D3" w:rsidRPr="002F4B61">
        <w:rPr>
          <w:sz w:val="22"/>
          <w:szCs w:val="22"/>
        </w:rPr>
        <w:t xml:space="preserve"> </w:t>
      </w:r>
      <w:r w:rsidRPr="002F4B61">
        <w:rPr>
          <w:sz w:val="22"/>
          <w:szCs w:val="22"/>
        </w:rPr>
        <w:t xml:space="preserve">average of </w:t>
      </w:r>
      <w:r w:rsidR="00225BD7" w:rsidRPr="002F4B61">
        <w:rPr>
          <w:sz w:val="22"/>
          <w:szCs w:val="22"/>
        </w:rPr>
        <w:t>633</w:t>
      </w:r>
      <w:r w:rsidRPr="002F4B61">
        <w:rPr>
          <w:sz w:val="22"/>
          <w:szCs w:val="22"/>
        </w:rPr>
        <w:t xml:space="preserve"> respondents </w:t>
      </w:r>
      <w:r w:rsidR="00ED7E60" w:rsidRPr="002F4B61">
        <w:rPr>
          <w:sz w:val="22"/>
          <w:szCs w:val="22"/>
        </w:rPr>
        <w:t xml:space="preserve">and </w:t>
      </w:r>
      <w:r w:rsidR="00201AF4" w:rsidRPr="002F4B61">
        <w:rPr>
          <w:sz w:val="22"/>
          <w:szCs w:val="22"/>
        </w:rPr>
        <w:t>933</w:t>
      </w:r>
      <w:r w:rsidR="00555031" w:rsidRPr="002F4B61">
        <w:rPr>
          <w:sz w:val="22"/>
          <w:szCs w:val="22"/>
        </w:rPr>
        <w:t xml:space="preserve"> DARs</w:t>
      </w:r>
      <w:r w:rsidR="00D0480D" w:rsidRPr="002F4B61">
        <w:rPr>
          <w:sz w:val="22"/>
          <w:szCs w:val="22"/>
        </w:rPr>
        <w:t xml:space="preserve"> </w:t>
      </w:r>
      <w:r w:rsidRPr="002F4B61">
        <w:rPr>
          <w:sz w:val="22"/>
          <w:szCs w:val="22"/>
        </w:rPr>
        <w:t xml:space="preserve">per year. </w:t>
      </w:r>
      <w:r w:rsidR="00E220AF" w:rsidRPr="002F4B61">
        <w:rPr>
          <w:sz w:val="22"/>
          <w:szCs w:val="22"/>
        </w:rPr>
        <w:t xml:space="preserve"> </w:t>
      </w:r>
    </w:p>
    <w:p w:rsidR="00D16DAA" w:rsidRPr="002F4B61" w:rsidRDefault="00D16DAA" w:rsidP="00071DBC">
      <w:pPr>
        <w:ind w:left="720"/>
        <w:rPr>
          <w:sz w:val="22"/>
          <w:szCs w:val="22"/>
        </w:rPr>
      </w:pPr>
    </w:p>
    <w:p w:rsidR="00C5320F" w:rsidRPr="002F4B61" w:rsidRDefault="001A7D5A" w:rsidP="00071DBC">
      <w:pPr>
        <w:ind w:left="720"/>
        <w:rPr>
          <w:sz w:val="22"/>
          <w:szCs w:val="22"/>
        </w:rPr>
      </w:pPr>
      <w:r w:rsidRPr="002F4B61">
        <w:rPr>
          <w:sz w:val="22"/>
          <w:szCs w:val="22"/>
        </w:rPr>
        <w:t>T</w:t>
      </w:r>
      <w:r w:rsidR="00AB23D3" w:rsidRPr="002F4B61">
        <w:rPr>
          <w:sz w:val="22"/>
          <w:szCs w:val="22"/>
        </w:rPr>
        <w:t xml:space="preserve">o calculate the number of </w:t>
      </w:r>
      <w:r w:rsidR="005958DC" w:rsidRPr="002F4B61">
        <w:rPr>
          <w:sz w:val="22"/>
          <w:szCs w:val="22"/>
        </w:rPr>
        <w:t xml:space="preserve">annual </w:t>
      </w:r>
      <w:r w:rsidR="00AB23D3" w:rsidRPr="002F4B61">
        <w:rPr>
          <w:sz w:val="22"/>
          <w:szCs w:val="22"/>
        </w:rPr>
        <w:t>request</w:t>
      </w:r>
      <w:r w:rsidR="008C6303" w:rsidRPr="002F4B61">
        <w:rPr>
          <w:sz w:val="22"/>
          <w:szCs w:val="22"/>
        </w:rPr>
        <w:t>s</w:t>
      </w:r>
      <w:r w:rsidR="00AB23D3" w:rsidRPr="002F4B61">
        <w:rPr>
          <w:sz w:val="22"/>
          <w:szCs w:val="22"/>
        </w:rPr>
        <w:t xml:space="preserve"> per respondent, NIH divided the number </w:t>
      </w:r>
      <w:r w:rsidR="005958DC" w:rsidRPr="002F4B61">
        <w:rPr>
          <w:sz w:val="22"/>
          <w:szCs w:val="22"/>
        </w:rPr>
        <w:t xml:space="preserve">of </w:t>
      </w:r>
      <w:r w:rsidR="00555031" w:rsidRPr="002F4B61">
        <w:rPr>
          <w:sz w:val="22"/>
          <w:szCs w:val="22"/>
        </w:rPr>
        <w:t xml:space="preserve">DARs </w:t>
      </w:r>
      <w:r w:rsidR="00AB23D3" w:rsidRPr="002F4B61">
        <w:rPr>
          <w:sz w:val="22"/>
          <w:szCs w:val="22"/>
        </w:rPr>
        <w:t xml:space="preserve">per year </w:t>
      </w:r>
      <w:r w:rsidR="008C6303" w:rsidRPr="002F4B61">
        <w:rPr>
          <w:sz w:val="22"/>
          <w:szCs w:val="22"/>
        </w:rPr>
        <w:t xml:space="preserve">by </w:t>
      </w:r>
      <w:r w:rsidR="00AB23D3" w:rsidRPr="002F4B61">
        <w:rPr>
          <w:sz w:val="22"/>
          <w:szCs w:val="22"/>
        </w:rPr>
        <w:t xml:space="preserve">the number </w:t>
      </w:r>
      <w:r w:rsidR="005958DC" w:rsidRPr="002F4B61">
        <w:rPr>
          <w:sz w:val="22"/>
          <w:szCs w:val="22"/>
        </w:rPr>
        <w:t xml:space="preserve">of </w:t>
      </w:r>
      <w:r w:rsidR="00555031" w:rsidRPr="002F4B61">
        <w:rPr>
          <w:sz w:val="22"/>
          <w:szCs w:val="22"/>
        </w:rPr>
        <w:t>respondents</w:t>
      </w:r>
      <w:r w:rsidR="00F14CFC" w:rsidRPr="002F4B61">
        <w:rPr>
          <w:sz w:val="22"/>
          <w:szCs w:val="22"/>
        </w:rPr>
        <w:t xml:space="preserve">, </w:t>
      </w:r>
      <w:r w:rsidR="00ED7E60" w:rsidRPr="002F4B61">
        <w:rPr>
          <w:sz w:val="22"/>
          <w:szCs w:val="22"/>
        </w:rPr>
        <w:t xml:space="preserve">and </w:t>
      </w:r>
      <w:r w:rsidR="009F4CBB" w:rsidRPr="002F4B61">
        <w:rPr>
          <w:sz w:val="22"/>
          <w:szCs w:val="22"/>
        </w:rPr>
        <w:t xml:space="preserve">estimated </w:t>
      </w:r>
      <w:r w:rsidR="0069067C" w:rsidRPr="002F4B61">
        <w:rPr>
          <w:sz w:val="22"/>
          <w:szCs w:val="22"/>
        </w:rPr>
        <w:t>two</w:t>
      </w:r>
      <w:r w:rsidR="00F14CFC" w:rsidRPr="002F4B61">
        <w:rPr>
          <w:sz w:val="22"/>
          <w:szCs w:val="22"/>
        </w:rPr>
        <w:t xml:space="preserve"> </w:t>
      </w:r>
      <w:r w:rsidR="00555031" w:rsidRPr="002F4B61">
        <w:rPr>
          <w:sz w:val="22"/>
          <w:szCs w:val="22"/>
        </w:rPr>
        <w:t>DARs</w:t>
      </w:r>
      <w:r w:rsidR="00C5320F" w:rsidRPr="002F4B61">
        <w:rPr>
          <w:sz w:val="22"/>
          <w:szCs w:val="22"/>
        </w:rPr>
        <w:t xml:space="preserve"> </w:t>
      </w:r>
      <w:r w:rsidR="00AB23D3" w:rsidRPr="002F4B61">
        <w:rPr>
          <w:sz w:val="22"/>
          <w:szCs w:val="22"/>
        </w:rPr>
        <w:t>per</w:t>
      </w:r>
      <w:r w:rsidR="00C5320F" w:rsidRPr="002F4B61">
        <w:rPr>
          <w:sz w:val="22"/>
          <w:szCs w:val="22"/>
        </w:rPr>
        <w:t xml:space="preserve"> year</w:t>
      </w:r>
      <w:r w:rsidRPr="002F4B61">
        <w:rPr>
          <w:sz w:val="22"/>
          <w:szCs w:val="22"/>
        </w:rPr>
        <w:t xml:space="preserve">, </w:t>
      </w:r>
      <w:r w:rsidR="005958DC" w:rsidRPr="002F4B61">
        <w:rPr>
          <w:sz w:val="22"/>
          <w:szCs w:val="22"/>
        </w:rPr>
        <w:t>per respondent</w:t>
      </w:r>
      <w:r w:rsidR="00C5320F" w:rsidRPr="002F4B61">
        <w:rPr>
          <w:sz w:val="22"/>
          <w:szCs w:val="22"/>
        </w:rPr>
        <w:t xml:space="preserve">. </w:t>
      </w:r>
      <w:r w:rsidR="00E04C95" w:rsidRPr="002F4B61">
        <w:rPr>
          <w:sz w:val="22"/>
          <w:szCs w:val="22"/>
        </w:rPr>
        <w:t xml:space="preserve"> </w:t>
      </w:r>
      <w:r w:rsidR="00ED7E60" w:rsidRPr="002F4B61">
        <w:rPr>
          <w:sz w:val="22"/>
          <w:szCs w:val="22"/>
        </w:rPr>
        <w:t>Since each</w:t>
      </w:r>
      <w:r w:rsidR="00F14CFC" w:rsidRPr="002F4B61">
        <w:rPr>
          <w:sz w:val="22"/>
          <w:szCs w:val="22"/>
        </w:rPr>
        <w:t xml:space="preserve"> </w:t>
      </w:r>
      <w:r w:rsidR="00ED7E60" w:rsidRPr="002F4B61">
        <w:rPr>
          <w:sz w:val="22"/>
          <w:szCs w:val="22"/>
        </w:rPr>
        <w:t>DAR</w:t>
      </w:r>
      <w:r w:rsidR="00F14CFC" w:rsidRPr="002F4B61">
        <w:rPr>
          <w:sz w:val="22"/>
          <w:szCs w:val="22"/>
        </w:rPr>
        <w:t xml:space="preserve"> </w:t>
      </w:r>
      <w:r w:rsidR="004B0DA3" w:rsidRPr="002F4B61">
        <w:rPr>
          <w:sz w:val="22"/>
          <w:szCs w:val="22"/>
        </w:rPr>
        <w:t xml:space="preserve">is either renewed or </w:t>
      </w:r>
      <w:r w:rsidR="00F14CFC" w:rsidRPr="002F4B61">
        <w:rPr>
          <w:sz w:val="22"/>
          <w:szCs w:val="22"/>
        </w:rPr>
        <w:t>closed out at the end of the one-year access period</w:t>
      </w:r>
      <w:r w:rsidR="00ED7E60" w:rsidRPr="002F4B61">
        <w:rPr>
          <w:sz w:val="22"/>
          <w:szCs w:val="22"/>
        </w:rPr>
        <w:t>, the</w:t>
      </w:r>
      <w:r w:rsidR="00F14CFC" w:rsidRPr="002F4B61">
        <w:rPr>
          <w:sz w:val="22"/>
          <w:szCs w:val="22"/>
        </w:rPr>
        <w:t xml:space="preserve"> </w:t>
      </w:r>
      <w:r w:rsidR="004B0DA3" w:rsidRPr="002F4B61">
        <w:rPr>
          <w:sz w:val="22"/>
          <w:szCs w:val="22"/>
        </w:rPr>
        <w:t>renewal/</w:t>
      </w:r>
      <w:r w:rsidR="004D08D0" w:rsidRPr="002F4B61">
        <w:rPr>
          <w:sz w:val="22"/>
          <w:szCs w:val="22"/>
        </w:rPr>
        <w:t xml:space="preserve">close-out </w:t>
      </w:r>
      <w:r w:rsidR="00ED7E60" w:rsidRPr="002F4B61">
        <w:rPr>
          <w:sz w:val="22"/>
          <w:szCs w:val="22"/>
        </w:rPr>
        <w:t xml:space="preserve">process also involves </w:t>
      </w:r>
      <w:r w:rsidR="00201AF4" w:rsidRPr="002F4B61">
        <w:rPr>
          <w:sz w:val="22"/>
          <w:szCs w:val="22"/>
        </w:rPr>
        <w:t>633</w:t>
      </w:r>
      <w:r w:rsidR="006E0639" w:rsidRPr="002F4B61">
        <w:rPr>
          <w:sz w:val="22"/>
          <w:szCs w:val="22"/>
        </w:rPr>
        <w:t xml:space="preserve"> </w:t>
      </w:r>
      <w:r w:rsidR="004D08D0" w:rsidRPr="002F4B61">
        <w:rPr>
          <w:sz w:val="22"/>
          <w:szCs w:val="22"/>
        </w:rPr>
        <w:t xml:space="preserve">respondents </w:t>
      </w:r>
      <w:r w:rsidR="00ED7E60" w:rsidRPr="002F4B61">
        <w:rPr>
          <w:sz w:val="22"/>
          <w:szCs w:val="22"/>
        </w:rPr>
        <w:t>submitting</w:t>
      </w:r>
      <w:r w:rsidR="004D08D0" w:rsidRPr="002F4B61">
        <w:rPr>
          <w:sz w:val="22"/>
          <w:szCs w:val="22"/>
        </w:rPr>
        <w:t xml:space="preserve"> </w:t>
      </w:r>
      <w:r w:rsidR="0069067C" w:rsidRPr="002F4B61">
        <w:rPr>
          <w:sz w:val="22"/>
          <w:szCs w:val="22"/>
        </w:rPr>
        <w:t>two</w:t>
      </w:r>
      <w:r w:rsidR="00F14CFC" w:rsidRPr="002F4B61">
        <w:rPr>
          <w:sz w:val="22"/>
          <w:szCs w:val="22"/>
        </w:rPr>
        <w:t xml:space="preserve"> reports </w:t>
      </w:r>
      <w:r w:rsidR="005958DC" w:rsidRPr="002F4B61">
        <w:rPr>
          <w:sz w:val="22"/>
          <w:szCs w:val="22"/>
        </w:rPr>
        <w:t>per year</w:t>
      </w:r>
      <w:r w:rsidR="004D08D0" w:rsidRPr="002F4B61">
        <w:rPr>
          <w:sz w:val="22"/>
          <w:szCs w:val="22"/>
        </w:rPr>
        <w:t xml:space="preserve">.  </w:t>
      </w:r>
    </w:p>
    <w:p w:rsidR="00C5320F" w:rsidRPr="002F4B61" w:rsidRDefault="00C5320F" w:rsidP="00D137FE">
      <w:pPr>
        <w:ind w:left="720"/>
        <w:rPr>
          <w:sz w:val="22"/>
          <w:szCs w:val="22"/>
        </w:rPr>
      </w:pPr>
    </w:p>
    <w:p w:rsidR="00C5320F" w:rsidRPr="002F4B61" w:rsidRDefault="00C5320F" w:rsidP="00A74CD4">
      <w:pPr>
        <w:ind w:left="720"/>
        <w:rPr>
          <w:sz w:val="22"/>
          <w:szCs w:val="22"/>
        </w:rPr>
      </w:pPr>
      <w:r w:rsidRPr="002F4B61">
        <w:rPr>
          <w:sz w:val="22"/>
          <w:szCs w:val="22"/>
        </w:rPr>
        <w:t xml:space="preserve">The burden associated with </w:t>
      </w:r>
      <w:r w:rsidR="004B19DA" w:rsidRPr="002F4B61">
        <w:rPr>
          <w:sz w:val="22"/>
          <w:szCs w:val="22"/>
        </w:rPr>
        <w:t xml:space="preserve">an </w:t>
      </w:r>
      <w:r w:rsidRPr="002F4B61">
        <w:rPr>
          <w:sz w:val="22"/>
          <w:szCs w:val="22"/>
        </w:rPr>
        <w:t xml:space="preserve">initial </w:t>
      </w:r>
      <w:r w:rsidR="001A7D5A" w:rsidRPr="002F4B61">
        <w:rPr>
          <w:sz w:val="22"/>
          <w:szCs w:val="22"/>
        </w:rPr>
        <w:t>DAR include</w:t>
      </w:r>
      <w:r w:rsidR="004B19DA" w:rsidRPr="002F4B61">
        <w:rPr>
          <w:sz w:val="22"/>
          <w:szCs w:val="22"/>
        </w:rPr>
        <w:t>s</w:t>
      </w:r>
      <w:r w:rsidRPr="002F4B61">
        <w:rPr>
          <w:sz w:val="22"/>
          <w:szCs w:val="22"/>
        </w:rPr>
        <w:t xml:space="preserve"> the</w:t>
      </w:r>
      <w:r w:rsidR="005958DC" w:rsidRPr="002F4B61">
        <w:rPr>
          <w:sz w:val="22"/>
          <w:szCs w:val="22"/>
        </w:rPr>
        <w:t xml:space="preserve"> time and effort necessary for</w:t>
      </w:r>
      <w:r w:rsidR="001A7D5A" w:rsidRPr="002F4B61">
        <w:rPr>
          <w:sz w:val="22"/>
          <w:szCs w:val="22"/>
        </w:rPr>
        <w:t xml:space="preserve"> PI</w:t>
      </w:r>
      <w:r w:rsidR="004B19DA" w:rsidRPr="002F4B61">
        <w:rPr>
          <w:sz w:val="22"/>
          <w:szCs w:val="22"/>
        </w:rPr>
        <w:t>s</w:t>
      </w:r>
      <w:r w:rsidR="005958DC" w:rsidRPr="002F4B61">
        <w:rPr>
          <w:sz w:val="22"/>
          <w:szCs w:val="22"/>
        </w:rPr>
        <w:t xml:space="preserve"> </w:t>
      </w:r>
      <w:r w:rsidRPr="002F4B61">
        <w:rPr>
          <w:sz w:val="22"/>
          <w:szCs w:val="22"/>
        </w:rPr>
        <w:t xml:space="preserve">to (1) </w:t>
      </w:r>
      <w:r w:rsidR="00B069CA" w:rsidRPr="002F4B61">
        <w:rPr>
          <w:sz w:val="22"/>
          <w:szCs w:val="22"/>
        </w:rPr>
        <w:t>identify the studies and datasets in dbGaP of interest</w:t>
      </w:r>
      <w:r w:rsidR="00247CB7" w:rsidRPr="002F4B61">
        <w:rPr>
          <w:sz w:val="22"/>
          <w:szCs w:val="22"/>
        </w:rPr>
        <w:t>,</w:t>
      </w:r>
      <w:r w:rsidR="00B069CA" w:rsidRPr="002F4B61">
        <w:rPr>
          <w:sz w:val="22"/>
          <w:szCs w:val="22"/>
        </w:rPr>
        <w:t xml:space="preserve"> </w:t>
      </w:r>
      <w:r w:rsidRPr="002F4B61">
        <w:rPr>
          <w:sz w:val="22"/>
          <w:szCs w:val="22"/>
        </w:rPr>
        <w:t xml:space="preserve">(2) </w:t>
      </w:r>
      <w:r w:rsidR="00B069CA" w:rsidRPr="002F4B61">
        <w:rPr>
          <w:sz w:val="22"/>
          <w:szCs w:val="22"/>
        </w:rPr>
        <w:t xml:space="preserve">prepare information for their </w:t>
      </w:r>
      <w:r w:rsidR="00247CB7" w:rsidRPr="002F4B61">
        <w:rPr>
          <w:sz w:val="22"/>
          <w:szCs w:val="22"/>
        </w:rPr>
        <w:t>proposed research use statement,</w:t>
      </w:r>
      <w:r w:rsidR="00B069CA" w:rsidRPr="002F4B61">
        <w:rPr>
          <w:sz w:val="22"/>
          <w:szCs w:val="22"/>
        </w:rPr>
        <w:t xml:space="preserve"> and </w:t>
      </w:r>
      <w:r w:rsidRPr="002F4B61">
        <w:rPr>
          <w:sz w:val="22"/>
          <w:szCs w:val="22"/>
        </w:rPr>
        <w:t xml:space="preserve">(3) </w:t>
      </w:r>
      <w:r w:rsidR="00E04C95" w:rsidRPr="002F4B61">
        <w:rPr>
          <w:sz w:val="22"/>
          <w:szCs w:val="22"/>
        </w:rPr>
        <w:t xml:space="preserve">complete </w:t>
      </w:r>
      <w:r w:rsidRPr="002F4B61">
        <w:rPr>
          <w:sz w:val="22"/>
          <w:szCs w:val="22"/>
        </w:rPr>
        <w:t xml:space="preserve">the </w:t>
      </w:r>
      <w:r w:rsidR="001A7D5A" w:rsidRPr="002F4B61">
        <w:rPr>
          <w:sz w:val="22"/>
          <w:szCs w:val="22"/>
        </w:rPr>
        <w:t>DAR form</w:t>
      </w:r>
      <w:r w:rsidR="00B069CA" w:rsidRPr="002F4B61">
        <w:rPr>
          <w:sz w:val="22"/>
          <w:szCs w:val="22"/>
        </w:rPr>
        <w:t>.  The burden also involves</w:t>
      </w:r>
      <w:r w:rsidR="001A7D5A" w:rsidRPr="002F4B61">
        <w:rPr>
          <w:sz w:val="22"/>
          <w:szCs w:val="22"/>
        </w:rPr>
        <w:t xml:space="preserve"> the</w:t>
      </w:r>
      <w:r w:rsidR="00D81BA4" w:rsidRPr="002F4B61">
        <w:rPr>
          <w:sz w:val="22"/>
          <w:szCs w:val="22"/>
        </w:rPr>
        <w:t xml:space="preserve"> Institutional</w:t>
      </w:r>
      <w:r w:rsidRPr="002F4B61">
        <w:rPr>
          <w:sz w:val="22"/>
          <w:szCs w:val="22"/>
        </w:rPr>
        <w:t xml:space="preserve"> </w:t>
      </w:r>
      <w:r w:rsidR="001A7D5A" w:rsidRPr="002F4B61">
        <w:rPr>
          <w:sz w:val="22"/>
          <w:szCs w:val="22"/>
        </w:rPr>
        <w:t>S</w:t>
      </w:r>
      <w:r w:rsidR="007B790E" w:rsidRPr="002F4B61">
        <w:rPr>
          <w:sz w:val="22"/>
          <w:szCs w:val="22"/>
        </w:rPr>
        <w:t xml:space="preserve">igning </w:t>
      </w:r>
      <w:r w:rsidR="001A7D5A" w:rsidRPr="002F4B61">
        <w:rPr>
          <w:sz w:val="22"/>
          <w:szCs w:val="22"/>
        </w:rPr>
        <w:t>O</w:t>
      </w:r>
      <w:r w:rsidR="007B790E" w:rsidRPr="002F4B61">
        <w:rPr>
          <w:sz w:val="22"/>
          <w:szCs w:val="22"/>
        </w:rPr>
        <w:t>fficial</w:t>
      </w:r>
      <w:r w:rsidR="00B069CA" w:rsidRPr="002F4B61">
        <w:rPr>
          <w:sz w:val="22"/>
          <w:szCs w:val="22"/>
        </w:rPr>
        <w:t>’s</w:t>
      </w:r>
      <w:r w:rsidRPr="002F4B61">
        <w:rPr>
          <w:sz w:val="22"/>
          <w:szCs w:val="22"/>
        </w:rPr>
        <w:t xml:space="preserve"> review </w:t>
      </w:r>
      <w:r w:rsidR="004B19DA" w:rsidRPr="002F4B61">
        <w:rPr>
          <w:sz w:val="22"/>
          <w:szCs w:val="22"/>
        </w:rPr>
        <w:t xml:space="preserve">and </w:t>
      </w:r>
      <w:r w:rsidR="00B069CA" w:rsidRPr="002F4B61">
        <w:rPr>
          <w:sz w:val="22"/>
          <w:szCs w:val="22"/>
        </w:rPr>
        <w:t xml:space="preserve">certification of </w:t>
      </w:r>
      <w:r w:rsidRPr="002F4B61">
        <w:rPr>
          <w:sz w:val="22"/>
          <w:szCs w:val="22"/>
        </w:rPr>
        <w:t xml:space="preserve">the </w:t>
      </w:r>
      <w:r w:rsidR="001A7D5A" w:rsidRPr="002F4B61">
        <w:rPr>
          <w:sz w:val="22"/>
          <w:szCs w:val="22"/>
        </w:rPr>
        <w:t>DAR</w:t>
      </w:r>
      <w:r w:rsidRPr="002F4B61">
        <w:rPr>
          <w:sz w:val="22"/>
          <w:szCs w:val="22"/>
        </w:rPr>
        <w:t>.</w:t>
      </w:r>
    </w:p>
    <w:p w:rsidR="00C5320F" w:rsidRPr="002F4B61" w:rsidRDefault="00C5320F" w:rsidP="00B32710">
      <w:pPr>
        <w:ind w:left="720"/>
        <w:rPr>
          <w:sz w:val="22"/>
          <w:szCs w:val="22"/>
        </w:rPr>
      </w:pPr>
    </w:p>
    <w:p w:rsidR="00400754" w:rsidRPr="002F4B61" w:rsidRDefault="0053396B" w:rsidP="00C46433">
      <w:pPr>
        <w:ind w:left="720"/>
        <w:rPr>
          <w:sz w:val="22"/>
          <w:szCs w:val="22"/>
        </w:rPr>
      </w:pPr>
      <w:r w:rsidRPr="002F4B61">
        <w:rPr>
          <w:sz w:val="22"/>
          <w:szCs w:val="22"/>
        </w:rPr>
        <w:t xml:space="preserve">Table 12-3 provides the estimated burden hours for completing a DAR.  </w:t>
      </w:r>
      <w:r w:rsidR="00C5320F" w:rsidRPr="002F4B61">
        <w:rPr>
          <w:sz w:val="22"/>
          <w:szCs w:val="22"/>
        </w:rPr>
        <w:t>Based on simulat</w:t>
      </w:r>
      <w:r w:rsidR="00B069CA" w:rsidRPr="002F4B61">
        <w:rPr>
          <w:sz w:val="22"/>
          <w:szCs w:val="22"/>
        </w:rPr>
        <w:t>ions</w:t>
      </w:r>
      <w:r w:rsidR="00C5320F" w:rsidRPr="002F4B61">
        <w:rPr>
          <w:sz w:val="22"/>
          <w:szCs w:val="22"/>
        </w:rPr>
        <w:t xml:space="preserve">, NIH </w:t>
      </w:r>
      <w:r w:rsidR="00B069CA" w:rsidRPr="002F4B61">
        <w:rPr>
          <w:sz w:val="22"/>
          <w:szCs w:val="22"/>
        </w:rPr>
        <w:t>estimates</w:t>
      </w:r>
      <w:r w:rsidR="00C5320F" w:rsidRPr="002F4B61">
        <w:rPr>
          <w:sz w:val="22"/>
          <w:szCs w:val="22"/>
        </w:rPr>
        <w:t xml:space="preserve"> that it will take a </w:t>
      </w:r>
      <w:r w:rsidR="008E4C3F" w:rsidRPr="002F4B61">
        <w:rPr>
          <w:sz w:val="22"/>
          <w:szCs w:val="22"/>
        </w:rPr>
        <w:t>requeste</w:t>
      </w:r>
      <w:r w:rsidR="00B069CA" w:rsidRPr="002F4B61">
        <w:rPr>
          <w:sz w:val="22"/>
          <w:szCs w:val="22"/>
        </w:rPr>
        <w:t xml:space="preserve">r an average of </w:t>
      </w:r>
      <w:r w:rsidR="00C5320F" w:rsidRPr="002F4B61">
        <w:rPr>
          <w:sz w:val="22"/>
          <w:szCs w:val="22"/>
        </w:rPr>
        <w:t>0.75 hours</w:t>
      </w:r>
      <w:r w:rsidR="00B069CA" w:rsidRPr="002F4B61">
        <w:rPr>
          <w:sz w:val="22"/>
          <w:szCs w:val="22"/>
        </w:rPr>
        <w:t xml:space="preserve"> </w:t>
      </w:r>
      <w:r w:rsidR="00C5320F" w:rsidRPr="002F4B61">
        <w:rPr>
          <w:sz w:val="22"/>
          <w:szCs w:val="22"/>
        </w:rPr>
        <w:t xml:space="preserve">to complete the </w:t>
      </w:r>
      <w:r w:rsidR="001A7D5A" w:rsidRPr="002F4B61">
        <w:rPr>
          <w:sz w:val="22"/>
          <w:szCs w:val="22"/>
        </w:rPr>
        <w:t>DAR</w:t>
      </w:r>
      <w:r w:rsidR="00C5320F" w:rsidRPr="002F4B61">
        <w:rPr>
          <w:sz w:val="22"/>
          <w:szCs w:val="22"/>
        </w:rPr>
        <w:t xml:space="preserve"> and 0.50 hours for the</w:t>
      </w:r>
      <w:r w:rsidR="00D81BA4" w:rsidRPr="002F4B61">
        <w:rPr>
          <w:sz w:val="22"/>
          <w:szCs w:val="22"/>
        </w:rPr>
        <w:t xml:space="preserve"> Institutional</w:t>
      </w:r>
      <w:r w:rsidR="00C5320F" w:rsidRPr="002F4B61">
        <w:rPr>
          <w:sz w:val="22"/>
          <w:szCs w:val="22"/>
        </w:rPr>
        <w:t xml:space="preserve"> </w:t>
      </w:r>
      <w:r w:rsidR="00D0480D" w:rsidRPr="002F4B61">
        <w:rPr>
          <w:sz w:val="22"/>
          <w:szCs w:val="22"/>
        </w:rPr>
        <w:t>S</w:t>
      </w:r>
      <w:r w:rsidR="007B790E" w:rsidRPr="002F4B61">
        <w:rPr>
          <w:sz w:val="22"/>
          <w:szCs w:val="22"/>
        </w:rPr>
        <w:t xml:space="preserve">igning </w:t>
      </w:r>
      <w:r w:rsidR="00D0480D" w:rsidRPr="002F4B61">
        <w:rPr>
          <w:sz w:val="22"/>
          <w:szCs w:val="22"/>
        </w:rPr>
        <w:t>O</w:t>
      </w:r>
      <w:r w:rsidR="007B790E" w:rsidRPr="002F4B61">
        <w:rPr>
          <w:sz w:val="22"/>
          <w:szCs w:val="22"/>
        </w:rPr>
        <w:t>fficial</w:t>
      </w:r>
      <w:r w:rsidR="00C5320F" w:rsidRPr="002F4B61">
        <w:rPr>
          <w:sz w:val="22"/>
          <w:szCs w:val="22"/>
        </w:rPr>
        <w:t xml:space="preserve"> to review and </w:t>
      </w:r>
      <w:r w:rsidR="00B069CA" w:rsidRPr="002F4B61">
        <w:rPr>
          <w:sz w:val="22"/>
          <w:szCs w:val="22"/>
        </w:rPr>
        <w:t>certify</w:t>
      </w:r>
      <w:r w:rsidR="00950C1F" w:rsidRPr="002F4B61">
        <w:rPr>
          <w:sz w:val="22"/>
          <w:szCs w:val="22"/>
        </w:rPr>
        <w:t xml:space="preserve"> the DAR.</w:t>
      </w:r>
      <w:r w:rsidR="00B069CA" w:rsidRPr="002F4B61">
        <w:rPr>
          <w:sz w:val="22"/>
          <w:szCs w:val="22"/>
        </w:rPr>
        <w:t xml:space="preserve"> </w:t>
      </w:r>
      <w:r w:rsidR="00C5320F" w:rsidRPr="002F4B61">
        <w:rPr>
          <w:sz w:val="22"/>
          <w:szCs w:val="22"/>
        </w:rPr>
        <w:t xml:space="preserve"> </w:t>
      </w:r>
      <w:r w:rsidR="00B069CA" w:rsidRPr="002F4B61">
        <w:rPr>
          <w:sz w:val="22"/>
          <w:szCs w:val="22"/>
        </w:rPr>
        <w:t>To derive the annual hour burden</w:t>
      </w:r>
      <w:r w:rsidR="00A01043" w:rsidRPr="002F4B61">
        <w:rPr>
          <w:sz w:val="22"/>
          <w:szCs w:val="22"/>
        </w:rPr>
        <w:t xml:space="preserve"> for PIs</w:t>
      </w:r>
      <w:r w:rsidR="00B069CA" w:rsidRPr="002F4B61">
        <w:rPr>
          <w:sz w:val="22"/>
          <w:szCs w:val="22"/>
        </w:rPr>
        <w:t>, NIH multipl</w:t>
      </w:r>
      <w:r w:rsidR="00A01043" w:rsidRPr="002F4B61">
        <w:rPr>
          <w:sz w:val="22"/>
          <w:szCs w:val="22"/>
        </w:rPr>
        <w:t>i</w:t>
      </w:r>
      <w:r w:rsidR="00B069CA" w:rsidRPr="002F4B61">
        <w:rPr>
          <w:sz w:val="22"/>
          <w:szCs w:val="22"/>
        </w:rPr>
        <w:t>e</w:t>
      </w:r>
      <w:r w:rsidR="00A01043" w:rsidRPr="002F4B61">
        <w:rPr>
          <w:sz w:val="22"/>
          <w:szCs w:val="22"/>
        </w:rPr>
        <w:t>d</w:t>
      </w:r>
      <w:r w:rsidR="00B069CA" w:rsidRPr="002F4B61">
        <w:rPr>
          <w:sz w:val="22"/>
          <w:szCs w:val="22"/>
        </w:rPr>
        <w:t xml:space="preserve"> the number of DARs submitted per year (</w:t>
      </w:r>
      <w:r w:rsidR="007A0F0E" w:rsidRPr="002F4B61">
        <w:rPr>
          <w:sz w:val="22"/>
          <w:szCs w:val="22"/>
        </w:rPr>
        <w:t>2</w:t>
      </w:r>
      <w:r w:rsidR="00CA0E1A" w:rsidRPr="002F4B61">
        <w:rPr>
          <w:sz w:val="22"/>
          <w:szCs w:val="22"/>
        </w:rPr>
        <w:t>)</w:t>
      </w:r>
      <w:r w:rsidR="00C46433" w:rsidRPr="002F4B61">
        <w:rPr>
          <w:sz w:val="22"/>
          <w:szCs w:val="22"/>
        </w:rPr>
        <w:t xml:space="preserve"> </w:t>
      </w:r>
      <w:r w:rsidR="00E04C95" w:rsidRPr="002F4B61">
        <w:rPr>
          <w:sz w:val="22"/>
          <w:szCs w:val="22"/>
        </w:rPr>
        <w:t xml:space="preserve">by </w:t>
      </w:r>
      <w:r w:rsidR="00C46433" w:rsidRPr="002F4B61">
        <w:rPr>
          <w:sz w:val="22"/>
          <w:szCs w:val="22"/>
        </w:rPr>
        <w:t xml:space="preserve">the number of </w:t>
      </w:r>
      <w:r w:rsidR="00B0653F" w:rsidRPr="002F4B61">
        <w:rPr>
          <w:sz w:val="22"/>
          <w:szCs w:val="22"/>
        </w:rPr>
        <w:t xml:space="preserve">PIs </w:t>
      </w:r>
      <w:r w:rsidR="00080761" w:rsidRPr="002F4B61">
        <w:rPr>
          <w:sz w:val="22"/>
          <w:szCs w:val="22"/>
        </w:rPr>
        <w:t>(</w:t>
      </w:r>
      <w:r w:rsidR="00201AF4" w:rsidRPr="002F4B61">
        <w:rPr>
          <w:sz w:val="22"/>
          <w:szCs w:val="22"/>
        </w:rPr>
        <w:t>633</w:t>
      </w:r>
      <w:r w:rsidR="001D53DD" w:rsidRPr="002F4B61">
        <w:rPr>
          <w:sz w:val="22"/>
          <w:szCs w:val="22"/>
        </w:rPr>
        <w:t>) by</w:t>
      </w:r>
      <w:r w:rsidR="00A01043" w:rsidRPr="002F4B61">
        <w:rPr>
          <w:sz w:val="22"/>
          <w:szCs w:val="22"/>
        </w:rPr>
        <w:t xml:space="preserve"> the time it takes </w:t>
      </w:r>
      <w:r w:rsidR="0069067C" w:rsidRPr="002F4B61">
        <w:rPr>
          <w:sz w:val="22"/>
          <w:szCs w:val="22"/>
        </w:rPr>
        <w:t xml:space="preserve">a </w:t>
      </w:r>
      <w:r w:rsidR="001D53DD" w:rsidRPr="002F4B61">
        <w:rPr>
          <w:sz w:val="22"/>
          <w:szCs w:val="22"/>
        </w:rPr>
        <w:t>PI</w:t>
      </w:r>
      <w:r w:rsidR="00A01043" w:rsidRPr="002F4B61">
        <w:rPr>
          <w:sz w:val="22"/>
          <w:szCs w:val="22"/>
        </w:rPr>
        <w:t xml:space="preserve"> to complete a DAR (0.75 h</w:t>
      </w:r>
      <w:r w:rsidR="0069067C" w:rsidRPr="002F4B61">
        <w:rPr>
          <w:sz w:val="22"/>
          <w:szCs w:val="22"/>
        </w:rPr>
        <w:t>ou</w:t>
      </w:r>
      <w:r w:rsidR="00A01043" w:rsidRPr="002F4B61">
        <w:rPr>
          <w:sz w:val="22"/>
          <w:szCs w:val="22"/>
        </w:rPr>
        <w:t xml:space="preserve">r), for a total of </w:t>
      </w:r>
      <w:r w:rsidR="00770DE3">
        <w:rPr>
          <w:sz w:val="22"/>
          <w:szCs w:val="22"/>
        </w:rPr>
        <w:t>950</w:t>
      </w:r>
      <w:r w:rsidR="00E34DA0" w:rsidRPr="002F4B61">
        <w:rPr>
          <w:sz w:val="22"/>
          <w:szCs w:val="22"/>
        </w:rPr>
        <w:t xml:space="preserve"> hours</w:t>
      </w:r>
      <w:r w:rsidR="00A01043" w:rsidRPr="002F4B61">
        <w:rPr>
          <w:sz w:val="22"/>
          <w:szCs w:val="22"/>
        </w:rPr>
        <w:t xml:space="preserve">. </w:t>
      </w:r>
      <w:r w:rsidR="007E5B92" w:rsidRPr="002F4B61">
        <w:rPr>
          <w:sz w:val="22"/>
          <w:szCs w:val="22"/>
        </w:rPr>
        <w:t xml:space="preserve"> </w:t>
      </w:r>
      <w:r w:rsidR="007A102A" w:rsidRPr="002F4B61">
        <w:rPr>
          <w:sz w:val="22"/>
          <w:szCs w:val="22"/>
        </w:rPr>
        <w:t>The same formula was</w:t>
      </w:r>
      <w:r w:rsidR="00A01043" w:rsidRPr="002F4B61">
        <w:rPr>
          <w:sz w:val="22"/>
          <w:szCs w:val="22"/>
        </w:rPr>
        <w:t xml:space="preserve"> used to derive the total annual burden for Signing </w:t>
      </w:r>
      <w:r w:rsidR="00B57225" w:rsidRPr="002F4B61">
        <w:rPr>
          <w:sz w:val="22"/>
          <w:szCs w:val="22"/>
        </w:rPr>
        <w:t>Officials (i.e., the frequency wa</w:t>
      </w:r>
      <w:r w:rsidR="00A01043" w:rsidRPr="002F4B61">
        <w:rPr>
          <w:sz w:val="22"/>
          <w:szCs w:val="22"/>
        </w:rPr>
        <w:t>s multiplied by the number of</w:t>
      </w:r>
      <w:r w:rsidR="00D81BA4" w:rsidRPr="002F4B61">
        <w:rPr>
          <w:sz w:val="22"/>
          <w:szCs w:val="22"/>
        </w:rPr>
        <w:t xml:space="preserve"> Institutional</w:t>
      </w:r>
      <w:r w:rsidR="00A01043" w:rsidRPr="002F4B61">
        <w:rPr>
          <w:sz w:val="22"/>
          <w:szCs w:val="22"/>
        </w:rPr>
        <w:t xml:space="preserve"> Signing Officials by the time it takes </w:t>
      </w:r>
      <w:r w:rsidR="0069067C" w:rsidRPr="002F4B61">
        <w:rPr>
          <w:sz w:val="22"/>
          <w:szCs w:val="22"/>
        </w:rPr>
        <w:t>a</w:t>
      </w:r>
      <w:r w:rsidR="00D81BA4" w:rsidRPr="002F4B61">
        <w:rPr>
          <w:sz w:val="22"/>
          <w:szCs w:val="22"/>
        </w:rPr>
        <w:t>n Institutional</w:t>
      </w:r>
      <w:r w:rsidR="0069067C" w:rsidRPr="002F4B61">
        <w:rPr>
          <w:sz w:val="22"/>
          <w:szCs w:val="22"/>
        </w:rPr>
        <w:t xml:space="preserve"> Signing Official </w:t>
      </w:r>
      <w:r w:rsidR="00A01043" w:rsidRPr="002F4B61">
        <w:rPr>
          <w:sz w:val="22"/>
          <w:szCs w:val="22"/>
        </w:rPr>
        <w:t xml:space="preserve">to </w:t>
      </w:r>
      <w:r w:rsidR="0069067C" w:rsidRPr="002F4B61">
        <w:rPr>
          <w:sz w:val="22"/>
          <w:szCs w:val="22"/>
        </w:rPr>
        <w:t xml:space="preserve">complete </w:t>
      </w:r>
      <w:r w:rsidR="00A01043" w:rsidRPr="002F4B61">
        <w:rPr>
          <w:sz w:val="22"/>
          <w:szCs w:val="22"/>
        </w:rPr>
        <w:t xml:space="preserve">the certification process).  The total annual hour </w:t>
      </w:r>
      <w:r w:rsidR="001D53DD" w:rsidRPr="002F4B61">
        <w:rPr>
          <w:sz w:val="22"/>
          <w:szCs w:val="22"/>
        </w:rPr>
        <w:t xml:space="preserve">burden for </w:t>
      </w:r>
      <w:r w:rsidR="00D81BA4" w:rsidRPr="002F4B61">
        <w:rPr>
          <w:sz w:val="22"/>
          <w:szCs w:val="22"/>
        </w:rPr>
        <w:t xml:space="preserve">Institutional </w:t>
      </w:r>
      <w:r w:rsidR="001D53DD" w:rsidRPr="002F4B61">
        <w:rPr>
          <w:sz w:val="22"/>
          <w:szCs w:val="22"/>
        </w:rPr>
        <w:t>Signing Officials is</w:t>
      </w:r>
      <w:r w:rsidR="00A01043" w:rsidRPr="002F4B61">
        <w:rPr>
          <w:sz w:val="22"/>
          <w:szCs w:val="22"/>
        </w:rPr>
        <w:t xml:space="preserve"> thereby </w:t>
      </w:r>
      <w:r w:rsidR="007A0F0E" w:rsidRPr="002F4B61">
        <w:rPr>
          <w:sz w:val="22"/>
          <w:szCs w:val="22"/>
        </w:rPr>
        <w:t>633</w:t>
      </w:r>
      <w:r w:rsidR="008870B2" w:rsidRPr="002F4B61">
        <w:rPr>
          <w:sz w:val="22"/>
          <w:szCs w:val="22"/>
        </w:rPr>
        <w:t xml:space="preserve"> </w:t>
      </w:r>
      <w:r w:rsidR="00E34DA0" w:rsidRPr="002F4B61">
        <w:rPr>
          <w:sz w:val="22"/>
          <w:szCs w:val="22"/>
        </w:rPr>
        <w:t>hours</w:t>
      </w:r>
      <w:r w:rsidR="00C46433" w:rsidRPr="002F4B61">
        <w:rPr>
          <w:sz w:val="22"/>
          <w:szCs w:val="22"/>
        </w:rPr>
        <w:t xml:space="preserve">, with a total annual burden of </w:t>
      </w:r>
      <w:r w:rsidR="007A0F0E" w:rsidRPr="002F4B61">
        <w:rPr>
          <w:sz w:val="22"/>
          <w:szCs w:val="22"/>
        </w:rPr>
        <w:t>1</w:t>
      </w:r>
      <w:r w:rsidR="00F5021E" w:rsidRPr="002F4B61">
        <w:rPr>
          <w:sz w:val="22"/>
          <w:szCs w:val="22"/>
        </w:rPr>
        <w:t>,</w:t>
      </w:r>
      <w:r w:rsidR="00770DE3">
        <w:rPr>
          <w:sz w:val="22"/>
          <w:szCs w:val="22"/>
        </w:rPr>
        <w:t>583</w:t>
      </w:r>
      <w:r w:rsidR="00C46433" w:rsidRPr="002F4B61">
        <w:rPr>
          <w:sz w:val="22"/>
          <w:szCs w:val="22"/>
        </w:rPr>
        <w:t xml:space="preserve"> hours</w:t>
      </w:r>
      <w:r w:rsidR="00A01043" w:rsidRPr="002F4B61">
        <w:rPr>
          <w:sz w:val="22"/>
          <w:szCs w:val="22"/>
        </w:rPr>
        <w:t xml:space="preserve"> for all respondents</w:t>
      </w:r>
      <w:r w:rsidR="00C46433" w:rsidRPr="002F4B61">
        <w:rPr>
          <w:sz w:val="22"/>
          <w:szCs w:val="22"/>
        </w:rPr>
        <w:t>.</w:t>
      </w:r>
      <w:r w:rsidR="001D53DD" w:rsidRPr="002F4B61">
        <w:rPr>
          <w:sz w:val="22"/>
          <w:szCs w:val="22"/>
        </w:rPr>
        <w:t xml:space="preserve"> </w:t>
      </w:r>
    </w:p>
    <w:p w:rsidR="00C46433" w:rsidRPr="002F4B61" w:rsidRDefault="00C46433" w:rsidP="00C46433">
      <w:pPr>
        <w:ind w:left="720"/>
        <w:rPr>
          <w:b/>
          <w:sz w:val="22"/>
          <w:szCs w:val="22"/>
        </w:rPr>
      </w:pPr>
    </w:p>
    <w:tbl>
      <w:tblPr>
        <w:tblStyle w:val="TableGrid"/>
        <w:tblW w:w="8820" w:type="dxa"/>
        <w:tblInd w:w="828" w:type="dxa"/>
        <w:tblLook w:val="04A0" w:firstRow="1" w:lastRow="0" w:firstColumn="1" w:lastColumn="0" w:noHBand="0" w:noVBand="1"/>
      </w:tblPr>
      <w:tblGrid>
        <w:gridCol w:w="1368"/>
        <w:gridCol w:w="1782"/>
        <w:gridCol w:w="1710"/>
        <w:gridCol w:w="1980"/>
        <w:gridCol w:w="1980"/>
      </w:tblGrid>
      <w:tr w:rsidR="002B6D1E" w:rsidRPr="002F4B61" w:rsidTr="002B6D1E">
        <w:tc>
          <w:tcPr>
            <w:tcW w:w="8820" w:type="dxa"/>
            <w:gridSpan w:val="5"/>
            <w:shd w:val="clear" w:color="auto" w:fill="D9D9D9" w:themeFill="background1" w:themeFillShade="D9"/>
          </w:tcPr>
          <w:p w:rsidR="002B6D1E" w:rsidRPr="002F4B61" w:rsidRDefault="002B6D1E" w:rsidP="00A01043">
            <w:pPr>
              <w:shd w:val="clear" w:color="auto" w:fill="D9D9D9" w:themeFill="background1" w:themeFillShade="D9"/>
              <w:jc w:val="center"/>
              <w:rPr>
                <w:b/>
                <w:bCs/>
                <w:sz w:val="22"/>
                <w:szCs w:val="22"/>
              </w:rPr>
            </w:pPr>
            <w:r w:rsidRPr="002F4B61">
              <w:rPr>
                <w:rFonts w:ascii="Times New Roman" w:hAnsi="Times New Roman"/>
                <w:b/>
                <w:sz w:val="22"/>
                <w:szCs w:val="22"/>
              </w:rPr>
              <w:lastRenderedPageBreak/>
              <w:t>Table 12-3 Estimates of Hour Burden for Data</w:t>
            </w:r>
            <w:r w:rsidR="00916759" w:rsidRPr="002F4B61">
              <w:rPr>
                <w:rFonts w:ascii="Times New Roman" w:hAnsi="Times New Roman"/>
                <w:b/>
                <w:sz w:val="22"/>
                <w:szCs w:val="22"/>
              </w:rPr>
              <w:t xml:space="preserve"> Access</w:t>
            </w:r>
            <w:r w:rsidRPr="002F4B61">
              <w:rPr>
                <w:rFonts w:ascii="Times New Roman" w:hAnsi="Times New Roman"/>
                <w:b/>
                <w:sz w:val="22"/>
                <w:szCs w:val="22"/>
              </w:rPr>
              <w:t xml:space="preserve"> Request Form</w:t>
            </w:r>
          </w:p>
        </w:tc>
      </w:tr>
      <w:tr w:rsidR="00D81BA4" w:rsidRPr="002F4B61" w:rsidTr="00C46433">
        <w:tc>
          <w:tcPr>
            <w:tcW w:w="1368" w:type="dxa"/>
            <w:shd w:val="clear" w:color="auto" w:fill="FFFFFF" w:themeFill="background1"/>
            <w:vAlign w:val="center"/>
          </w:tcPr>
          <w:p w:rsidR="00C46433" w:rsidRPr="002F4B61" w:rsidRDefault="00C46433" w:rsidP="00DF11B3">
            <w:pPr>
              <w:pStyle w:val="tt-tabletitle"/>
              <w:ind w:left="0" w:firstLine="0"/>
              <w:jc w:val="center"/>
              <w:rPr>
                <w:rFonts w:ascii="Times New Roman" w:hAnsi="Times New Roman"/>
                <w:b/>
                <w:bCs/>
              </w:rPr>
            </w:pPr>
            <w:r w:rsidRPr="002F4B61">
              <w:rPr>
                <w:rFonts w:ascii="Times New Roman" w:hAnsi="Times New Roman"/>
                <w:b/>
                <w:bCs/>
              </w:rPr>
              <w:t>Type of Respondent</w:t>
            </w:r>
          </w:p>
        </w:tc>
        <w:tc>
          <w:tcPr>
            <w:tcW w:w="1782" w:type="dxa"/>
            <w:shd w:val="clear" w:color="auto" w:fill="FFFFFF" w:themeFill="background1"/>
            <w:vAlign w:val="center"/>
          </w:tcPr>
          <w:p w:rsidR="00C46433" w:rsidRPr="002F4B61" w:rsidRDefault="00C46433" w:rsidP="00767C91">
            <w:pPr>
              <w:pStyle w:val="tt-tabletitle"/>
              <w:ind w:left="0" w:firstLine="0"/>
              <w:jc w:val="center"/>
              <w:rPr>
                <w:rFonts w:ascii="Times New Roman" w:hAnsi="Times New Roman"/>
                <w:b/>
                <w:bCs/>
              </w:rPr>
            </w:pPr>
            <w:r w:rsidRPr="002F4B61">
              <w:rPr>
                <w:rFonts w:ascii="Times New Roman" w:hAnsi="Times New Roman"/>
                <w:b/>
                <w:bCs/>
              </w:rPr>
              <w:t>Number</w:t>
            </w:r>
            <w:r w:rsidR="00767C91" w:rsidRPr="002F4B61">
              <w:rPr>
                <w:rFonts w:ascii="Times New Roman" w:hAnsi="Times New Roman"/>
                <w:b/>
                <w:bCs/>
              </w:rPr>
              <w:t xml:space="preserve"> </w:t>
            </w:r>
            <w:r w:rsidRPr="002F4B61">
              <w:rPr>
                <w:rFonts w:ascii="Times New Roman" w:hAnsi="Times New Roman"/>
                <w:b/>
                <w:bCs/>
              </w:rPr>
              <w:t>of Respondents</w:t>
            </w:r>
          </w:p>
        </w:tc>
        <w:tc>
          <w:tcPr>
            <w:tcW w:w="1710" w:type="dxa"/>
            <w:shd w:val="clear" w:color="auto" w:fill="FFFFFF" w:themeFill="background1"/>
            <w:vAlign w:val="center"/>
          </w:tcPr>
          <w:p w:rsidR="00C46433" w:rsidRPr="002F4B61" w:rsidRDefault="00C46433" w:rsidP="00DF11B3">
            <w:pPr>
              <w:pStyle w:val="tt-tabletitle"/>
              <w:ind w:left="0" w:firstLine="0"/>
              <w:jc w:val="center"/>
              <w:rPr>
                <w:rFonts w:ascii="Times New Roman" w:hAnsi="Times New Roman"/>
                <w:b/>
                <w:bCs/>
              </w:rPr>
            </w:pPr>
            <w:r w:rsidRPr="002F4B61">
              <w:rPr>
                <w:rFonts w:ascii="Times New Roman" w:hAnsi="Times New Roman"/>
                <w:b/>
                <w:bCs/>
              </w:rPr>
              <w:t>Frequency of Response</w:t>
            </w:r>
          </w:p>
        </w:tc>
        <w:tc>
          <w:tcPr>
            <w:tcW w:w="1980" w:type="dxa"/>
            <w:shd w:val="clear" w:color="auto" w:fill="FFFFFF" w:themeFill="background1"/>
            <w:vAlign w:val="center"/>
          </w:tcPr>
          <w:p w:rsidR="00C46433" w:rsidRPr="002F4B61" w:rsidRDefault="00C46433" w:rsidP="00E04C95">
            <w:pPr>
              <w:pStyle w:val="tt-tabletitle"/>
              <w:ind w:left="0" w:firstLine="1"/>
              <w:jc w:val="center"/>
              <w:rPr>
                <w:rFonts w:ascii="Times New Roman" w:hAnsi="Times New Roman"/>
                <w:b/>
                <w:bCs/>
              </w:rPr>
            </w:pPr>
            <w:r w:rsidRPr="002F4B61">
              <w:rPr>
                <w:rFonts w:ascii="Times New Roman" w:hAnsi="Times New Roman"/>
                <w:b/>
                <w:bCs/>
              </w:rPr>
              <w:t>Average Time</w:t>
            </w:r>
            <w:r w:rsidR="00E04C95" w:rsidRPr="002F4B61">
              <w:rPr>
                <w:rFonts w:ascii="Times New Roman" w:hAnsi="Times New Roman"/>
                <w:b/>
                <w:bCs/>
              </w:rPr>
              <w:t xml:space="preserve"> </w:t>
            </w:r>
            <w:r w:rsidRPr="002F4B61">
              <w:rPr>
                <w:rFonts w:ascii="Times New Roman" w:hAnsi="Times New Roman"/>
                <w:b/>
                <w:bCs/>
              </w:rPr>
              <w:t>per Response</w:t>
            </w:r>
          </w:p>
        </w:tc>
        <w:tc>
          <w:tcPr>
            <w:tcW w:w="1980" w:type="dxa"/>
            <w:shd w:val="clear" w:color="auto" w:fill="FFFFFF" w:themeFill="background1"/>
            <w:vAlign w:val="center"/>
          </w:tcPr>
          <w:p w:rsidR="00C46433" w:rsidRPr="002F4B61" w:rsidRDefault="00C46433" w:rsidP="00DF11B3">
            <w:pPr>
              <w:pStyle w:val="tt-tabletitle"/>
              <w:ind w:left="0" w:firstLine="0"/>
              <w:jc w:val="center"/>
              <w:rPr>
                <w:rFonts w:ascii="Times New Roman" w:hAnsi="Times New Roman"/>
                <w:b/>
                <w:bCs/>
              </w:rPr>
            </w:pPr>
            <w:r w:rsidRPr="002F4B61">
              <w:rPr>
                <w:rFonts w:ascii="Times New Roman" w:hAnsi="Times New Roman"/>
                <w:b/>
                <w:bCs/>
              </w:rPr>
              <w:t>Annual Hour Burden</w:t>
            </w:r>
          </w:p>
        </w:tc>
      </w:tr>
      <w:tr w:rsidR="00D81BA4" w:rsidRPr="002F4B61" w:rsidTr="00C46433">
        <w:tc>
          <w:tcPr>
            <w:tcW w:w="1368" w:type="dxa"/>
            <w:shd w:val="clear" w:color="auto" w:fill="FFFFFF" w:themeFill="background1"/>
            <w:vAlign w:val="center"/>
          </w:tcPr>
          <w:p w:rsidR="00C46433" w:rsidRPr="002F4B61" w:rsidRDefault="004957AA" w:rsidP="00D05B7B">
            <w:pPr>
              <w:pStyle w:val="tt-tabletitle"/>
              <w:ind w:left="-18" w:firstLine="18"/>
              <w:rPr>
                <w:rFonts w:ascii="Times New Roman" w:hAnsi="Times New Roman"/>
              </w:rPr>
            </w:pPr>
            <w:r w:rsidRPr="002F4B61">
              <w:rPr>
                <w:rFonts w:ascii="Times New Roman" w:hAnsi="Times New Roman"/>
              </w:rPr>
              <w:t>PI</w:t>
            </w:r>
            <w:r w:rsidR="00D02BF1">
              <w:rPr>
                <w:rFonts w:ascii="Times New Roman" w:hAnsi="Times New Roman"/>
              </w:rPr>
              <w:t xml:space="preserve"> Requesting Data</w:t>
            </w:r>
          </w:p>
        </w:tc>
        <w:tc>
          <w:tcPr>
            <w:tcW w:w="1782" w:type="dxa"/>
            <w:shd w:val="clear" w:color="auto" w:fill="FFFFFF" w:themeFill="background1"/>
            <w:vAlign w:val="center"/>
          </w:tcPr>
          <w:p w:rsidR="00C46433" w:rsidRPr="002F4B61" w:rsidRDefault="00201AF4" w:rsidP="00D05B7B">
            <w:pPr>
              <w:pStyle w:val="tt-tabletitle"/>
              <w:ind w:left="3" w:firstLine="0"/>
              <w:jc w:val="center"/>
              <w:rPr>
                <w:rFonts w:ascii="Times New Roman" w:hAnsi="Times New Roman"/>
              </w:rPr>
            </w:pPr>
            <w:r w:rsidRPr="002F4B61">
              <w:rPr>
                <w:rFonts w:ascii="Times New Roman" w:hAnsi="Times New Roman"/>
              </w:rPr>
              <w:t>633</w:t>
            </w:r>
          </w:p>
        </w:tc>
        <w:tc>
          <w:tcPr>
            <w:tcW w:w="1710" w:type="dxa"/>
            <w:shd w:val="clear" w:color="auto" w:fill="FFFFFF" w:themeFill="background1"/>
            <w:vAlign w:val="center"/>
          </w:tcPr>
          <w:p w:rsidR="00C46433" w:rsidRPr="002F4B61" w:rsidRDefault="00201AF4" w:rsidP="00D05B7B">
            <w:pPr>
              <w:pStyle w:val="tt-tabletitle"/>
              <w:ind w:left="33" w:firstLine="0"/>
              <w:jc w:val="center"/>
              <w:rPr>
                <w:rFonts w:ascii="Times New Roman" w:hAnsi="Times New Roman"/>
              </w:rPr>
            </w:pPr>
            <w:r w:rsidRPr="002F4B61">
              <w:rPr>
                <w:rFonts w:ascii="Times New Roman" w:hAnsi="Times New Roman"/>
              </w:rPr>
              <w:t>2</w:t>
            </w:r>
          </w:p>
        </w:tc>
        <w:tc>
          <w:tcPr>
            <w:tcW w:w="1980" w:type="dxa"/>
            <w:shd w:val="clear" w:color="auto" w:fill="FFFFFF" w:themeFill="background1"/>
            <w:vAlign w:val="center"/>
          </w:tcPr>
          <w:p w:rsidR="00C46433" w:rsidRPr="002F4B61" w:rsidRDefault="00770DE3" w:rsidP="00D05B7B">
            <w:pPr>
              <w:pStyle w:val="tt-tabletitle"/>
              <w:ind w:left="0" w:firstLine="0"/>
              <w:jc w:val="center"/>
              <w:rPr>
                <w:rFonts w:ascii="Times New Roman" w:hAnsi="Times New Roman"/>
              </w:rPr>
            </w:pPr>
            <w:r>
              <w:rPr>
                <w:rFonts w:ascii="Times New Roman" w:hAnsi="Times New Roman"/>
              </w:rPr>
              <w:t>45/60</w:t>
            </w:r>
            <w:r w:rsidR="00F5021E" w:rsidRPr="002F4B61">
              <w:rPr>
                <w:rFonts w:ascii="Times New Roman" w:hAnsi="Times New Roman"/>
              </w:rPr>
              <w:t xml:space="preserve"> hour</w:t>
            </w:r>
          </w:p>
        </w:tc>
        <w:tc>
          <w:tcPr>
            <w:tcW w:w="1980" w:type="dxa"/>
            <w:shd w:val="clear" w:color="auto" w:fill="FFFFFF" w:themeFill="background1"/>
            <w:vAlign w:val="center"/>
          </w:tcPr>
          <w:p w:rsidR="00C46433" w:rsidRPr="002F4B61" w:rsidRDefault="00201AF4" w:rsidP="00D05B7B">
            <w:pPr>
              <w:pStyle w:val="tt-tabletitle"/>
              <w:ind w:left="0" w:hanging="18"/>
              <w:jc w:val="center"/>
              <w:rPr>
                <w:rFonts w:ascii="Times New Roman" w:hAnsi="Times New Roman"/>
              </w:rPr>
            </w:pPr>
            <w:r w:rsidRPr="002F4B61">
              <w:rPr>
                <w:rFonts w:ascii="Times New Roman" w:hAnsi="Times New Roman"/>
              </w:rPr>
              <w:t>9</w:t>
            </w:r>
            <w:r w:rsidR="00770DE3">
              <w:rPr>
                <w:rFonts w:ascii="Times New Roman" w:hAnsi="Times New Roman"/>
              </w:rPr>
              <w:t>50</w:t>
            </w:r>
          </w:p>
        </w:tc>
      </w:tr>
      <w:tr w:rsidR="00D81BA4" w:rsidRPr="002F4B61" w:rsidTr="00C46433">
        <w:tc>
          <w:tcPr>
            <w:tcW w:w="1368" w:type="dxa"/>
            <w:shd w:val="clear" w:color="auto" w:fill="FFFFFF" w:themeFill="background1"/>
            <w:vAlign w:val="center"/>
          </w:tcPr>
          <w:p w:rsidR="00C46433" w:rsidRPr="002F4B61" w:rsidRDefault="00D81BA4" w:rsidP="00D05B7B">
            <w:pPr>
              <w:pStyle w:val="tt-tabletitle"/>
              <w:ind w:left="0" w:firstLine="0"/>
              <w:jc w:val="both"/>
              <w:rPr>
                <w:rFonts w:ascii="Times New Roman" w:hAnsi="Times New Roman"/>
              </w:rPr>
            </w:pPr>
            <w:r w:rsidRPr="002F4B61">
              <w:rPr>
                <w:rFonts w:ascii="Times New Roman" w:hAnsi="Times New Roman"/>
              </w:rPr>
              <w:t xml:space="preserve">Institutional </w:t>
            </w:r>
            <w:r w:rsidR="00C46433" w:rsidRPr="002F4B61">
              <w:rPr>
                <w:rFonts w:ascii="Times New Roman" w:hAnsi="Times New Roman"/>
              </w:rPr>
              <w:t>Signing Official</w:t>
            </w:r>
          </w:p>
        </w:tc>
        <w:tc>
          <w:tcPr>
            <w:tcW w:w="1782" w:type="dxa"/>
            <w:shd w:val="clear" w:color="auto" w:fill="FFFFFF" w:themeFill="background1"/>
            <w:vAlign w:val="center"/>
          </w:tcPr>
          <w:p w:rsidR="00C46433" w:rsidRPr="002F4B61" w:rsidRDefault="00201AF4" w:rsidP="00D05B7B">
            <w:pPr>
              <w:pStyle w:val="tt-tabletitle"/>
              <w:ind w:left="88" w:hanging="90"/>
              <w:jc w:val="center"/>
              <w:rPr>
                <w:rFonts w:ascii="Times New Roman" w:hAnsi="Times New Roman"/>
              </w:rPr>
            </w:pPr>
            <w:r w:rsidRPr="002F4B61">
              <w:rPr>
                <w:rFonts w:ascii="Times New Roman" w:hAnsi="Times New Roman"/>
              </w:rPr>
              <w:t>633</w:t>
            </w:r>
          </w:p>
        </w:tc>
        <w:tc>
          <w:tcPr>
            <w:tcW w:w="1710" w:type="dxa"/>
            <w:shd w:val="clear" w:color="auto" w:fill="FFFFFF" w:themeFill="background1"/>
            <w:vAlign w:val="center"/>
          </w:tcPr>
          <w:p w:rsidR="00C46433" w:rsidRPr="002F4B61" w:rsidRDefault="00201AF4" w:rsidP="00D05B7B">
            <w:pPr>
              <w:pStyle w:val="tt-tabletitle"/>
              <w:ind w:left="170" w:hanging="90"/>
              <w:jc w:val="center"/>
              <w:rPr>
                <w:rFonts w:ascii="Times New Roman" w:hAnsi="Times New Roman"/>
              </w:rPr>
            </w:pPr>
            <w:r w:rsidRPr="002F4B61">
              <w:rPr>
                <w:rFonts w:ascii="Times New Roman" w:hAnsi="Times New Roman"/>
              </w:rPr>
              <w:t>2</w:t>
            </w:r>
          </w:p>
        </w:tc>
        <w:tc>
          <w:tcPr>
            <w:tcW w:w="1980" w:type="dxa"/>
            <w:shd w:val="clear" w:color="auto" w:fill="FFFFFF" w:themeFill="background1"/>
            <w:vAlign w:val="center"/>
          </w:tcPr>
          <w:p w:rsidR="00C46433" w:rsidRPr="002F4B61" w:rsidRDefault="00770DE3" w:rsidP="00D05B7B">
            <w:pPr>
              <w:pStyle w:val="tt-tabletitle"/>
              <w:spacing w:line="240" w:lineRule="auto"/>
              <w:ind w:left="0" w:firstLine="0"/>
              <w:jc w:val="center"/>
              <w:rPr>
                <w:rFonts w:ascii="Times New Roman" w:hAnsi="Times New Roman"/>
              </w:rPr>
            </w:pPr>
            <w:r>
              <w:rPr>
                <w:rFonts w:ascii="Times New Roman" w:hAnsi="Times New Roman"/>
              </w:rPr>
              <w:t>30/60</w:t>
            </w:r>
            <w:r w:rsidR="00C46433" w:rsidRPr="002F4B61">
              <w:rPr>
                <w:rFonts w:ascii="Times New Roman" w:hAnsi="Times New Roman"/>
              </w:rPr>
              <w:t xml:space="preserve"> </w:t>
            </w:r>
            <w:r w:rsidR="00F5021E" w:rsidRPr="002F4B61">
              <w:rPr>
                <w:rFonts w:ascii="Times New Roman" w:hAnsi="Times New Roman"/>
              </w:rPr>
              <w:t>hour</w:t>
            </w:r>
          </w:p>
        </w:tc>
        <w:tc>
          <w:tcPr>
            <w:tcW w:w="1980" w:type="dxa"/>
            <w:shd w:val="clear" w:color="auto" w:fill="FFFFFF" w:themeFill="background1"/>
            <w:vAlign w:val="center"/>
          </w:tcPr>
          <w:p w:rsidR="00C46433" w:rsidRPr="002F4B61" w:rsidRDefault="00201AF4" w:rsidP="00D05B7B">
            <w:pPr>
              <w:pStyle w:val="tt-tabletitle"/>
              <w:ind w:left="0" w:hanging="18"/>
              <w:jc w:val="center"/>
              <w:rPr>
                <w:rFonts w:ascii="Times New Roman" w:hAnsi="Times New Roman"/>
              </w:rPr>
            </w:pPr>
            <w:r w:rsidRPr="002F4B61">
              <w:rPr>
                <w:rFonts w:ascii="Times New Roman" w:hAnsi="Times New Roman"/>
              </w:rPr>
              <w:t>633</w:t>
            </w:r>
          </w:p>
        </w:tc>
      </w:tr>
      <w:tr w:rsidR="00D81BA4" w:rsidRPr="002F4B61" w:rsidTr="00C46433">
        <w:trPr>
          <w:trHeight w:val="143"/>
        </w:trPr>
        <w:tc>
          <w:tcPr>
            <w:tcW w:w="1368" w:type="dxa"/>
            <w:shd w:val="clear" w:color="auto" w:fill="FFFFFF" w:themeFill="background1"/>
            <w:vAlign w:val="center"/>
          </w:tcPr>
          <w:p w:rsidR="00C46433" w:rsidRPr="002F4B61" w:rsidRDefault="00C46433" w:rsidP="00D05B7B">
            <w:pPr>
              <w:pStyle w:val="tt-tabletitle"/>
              <w:ind w:left="0" w:firstLine="0"/>
              <w:jc w:val="both"/>
              <w:rPr>
                <w:rFonts w:ascii="Times New Roman" w:hAnsi="Times New Roman"/>
              </w:rPr>
            </w:pPr>
            <w:r w:rsidRPr="002F4B61">
              <w:rPr>
                <w:rFonts w:ascii="Times New Roman" w:hAnsi="Times New Roman"/>
              </w:rPr>
              <w:t>Total</w:t>
            </w:r>
          </w:p>
        </w:tc>
        <w:tc>
          <w:tcPr>
            <w:tcW w:w="1782" w:type="dxa"/>
            <w:shd w:val="clear" w:color="auto" w:fill="FFFFFF" w:themeFill="background1"/>
            <w:vAlign w:val="center"/>
          </w:tcPr>
          <w:p w:rsidR="00C46433" w:rsidRPr="002F4B61" w:rsidRDefault="00201AF4" w:rsidP="00D05B7B">
            <w:pPr>
              <w:pStyle w:val="tt-tabletitle"/>
              <w:ind w:left="88" w:hanging="90"/>
              <w:jc w:val="center"/>
              <w:rPr>
                <w:rFonts w:ascii="Times New Roman" w:hAnsi="Times New Roman"/>
              </w:rPr>
            </w:pPr>
            <w:r w:rsidRPr="002F4B61">
              <w:rPr>
                <w:rFonts w:ascii="Times New Roman" w:hAnsi="Times New Roman"/>
              </w:rPr>
              <w:t>1</w:t>
            </w:r>
            <w:r w:rsidR="001C16B5" w:rsidRPr="002F4B61">
              <w:rPr>
                <w:rFonts w:ascii="Times New Roman" w:hAnsi="Times New Roman"/>
              </w:rPr>
              <w:t>,</w:t>
            </w:r>
            <w:r w:rsidRPr="002F4B61">
              <w:rPr>
                <w:rFonts w:ascii="Times New Roman" w:hAnsi="Times New Roman"/>
              </w:rPr>
              <w:t>266</w:t>
            </w:r>
          </w:p>
        </w:tc>
        <w:tc>
          <w:tcPr>
            <w:tcW w:w="1710" w:type="dxa"/>
            <w:shd w:val="clear" w:color="auto" w:fill="FFFFFF" w:themeFill="background1"/>
            <w:vAlign w:val="center"/>
          </w:tcPr>
          <w:p w:rsidR="00C46433" w:rsidRPr="002F4B61" w:rsidRDefault="00C46433" w:rsidP="00D05B7B">
            <w:pPr>
              <w:pStyle w:val="tt-tabletitle"/>
              <w:ind w:left="170" w:hanging="90"/>
              <w:jc w:val="center"/>
              <w:rPr>
                <w:rFonts w:ascii="Times New Roman" w:hAnsi="Times New Roman"/>
              </w:rPr>
            </w:pPr>
            <w:r w:rsidRPr="002F4B61">
              <w:rPr>
                <w:rFonts w:ascii="Times New Roman" w:hAnsi="Times New Roman"/>
              </w:rPr>
              <w:t>n/a</w:t>
            </w:r>
          </w:p>
        </w:tc>
        <w:tc>
          <w:tcPr>
            <w:tcW w:w="1980" w:type="dxa"/>
            <w:shd w:val="clear" w:color="auto" w:fill="FFFFFF" w:themeFill="background1"/>
            <w:vAlign w:val="center"/>
          </w:tcPr>
          <w:p w:rsidR="00C46433" w:rsidRPr="002F4B61" w:rsidRDefault="00C46433" w:rsidP="00D05B7B">
            <w:pPr>
              <w:pStyle w:val="tt-tabletitle"/>
              <w:spacing w:line="240" w:lineRule="auto"/>
              <w:ind w:left="0" w:firstLine="0"/>
              <w:jc w:val="center"/>
              <w:rPr>
                <w:rFonts w:ascii="Times New Roman" w:hAnsi="Times New Roman"/>
              </w:rPr>
            </w:pPr>
            <w:r w:rsidRPr="002F4B61">
              <w:rPr>
                <w:rFonts w:ascii="Times New Roman" w:hAnsi="Times New Roman"/>
              </w:rPr>
              <w:t>n/a</w:t>
            </w:r>
          </w:p>
        </w:tc>
        <w:tc>
          <w:tcPr>
            <w:tcW w:w="1980" w:type="dxa"/>
            <w:shd w:val="clear" w:color="auto" w:fill="FFFFFF" w:themeFill="background1"/>
            <w:vAlign w:val="center"/>
          </w:tcPr>
          <w:p w:rsidR="00C46433" w:rsidRPr="002F4B61" w:rsidRDefault="00201AF4" w:rsidP="00D05B7B">
            <w:pPr>
              <w:pStyle w:val="tt-tabletitle"/>
              <w:ind w:left="0" w:hanging="18"/>
              <w:jc w:val="center"/>
              <w:rPr>
                <w:rFonts w:ascii="Times New Roman" w:hAnsi="Times New Roman"/>
              </w:rPr>
            </w:pPr>
            <w:r w:rsidRPr="002F4B61">
              <w:rPr>
                <w:rFonts w:ascii="Times New Roman" w:hAnsi="Times New Roman"/>
              </w:rPr>
              <w:t>1</w:t>
            </w:r>
            <w:r w:rsidR="00F5021E" w:rsidRPr="002F4B61">
              <w:rPr>
                <w:rFonts w:ascii="Times New Roman" w:hAnsi="Times New Roman"/>
              </w:rPr>
              <w:t>,</w:t>
            </w:r>
            <w:r w:rsidRPr="002F4B61">
              <w:rPr>
                <w:rFonts w:ascii="Times New Roman" w:hAnsi="Times New Roman"/>
              </w:rPr>
              <w:t>58</w:t>
            </w:r>
            <w:r w:rsidR="00770DE3">
              <w:rPr>
                <w:rFonts w:ascii="Times New Roman" w:hAnsi="Times New Roman"/>
              </w:rPr>
              <w:t>3</w:t>
            </w:r>
          </w:p>
        </w:tc>
      </w:tr>
    </w:tbl>
    <w:p w:rsidR="00400754" w:rsidRPr="002F4B61" w:rsidRDefault="00400754" w:rsidP="00537E0B">
      <w:pPr>
        <w:ind w:left="720" w:hanging="90"/>
        <w:rPr>
          <w:b/>
          <w:sz w:val="22"/>
          <w:szCs w:val="22"/>
        </w:rPr>
      </w:pPr>
    </w:p>
    <w:p w:rsidR="00C5320F" w:rsidRPr="002F4B61" w:rsidRDefault="00C5320F" w:rsidP="00927BBD">
      <w:pPr>
        <w:ind w:left="720"/>
        <w:rPr>
          <w:sz w:val="22"/>
          <w:szCs w:val="22"/>
        </w:rPr>
      </w:pPr>
      <w:r w:rsidRPr="002F4B61">
        <w:rPr>
          <w:sz w:val="22"/>
          <w:szCs w:val="22"/>
        </w:rPr>
        <w:t xml:space="preserve">The burden associated with </w:t>
      </w:r>
      <w:r w:rsidR="00BE56F4" w:rsidRPr="002F4B61">
        <w:rPr>
          <w:sz w:val="22"/>
          <w:szCs w:val="22"/>
        </w:rPr>
        <w:t xml:space="preserve">renewal </w:t>
      </w:r>
      <w:r w:rsidR="002C6E26" w:rsidRPr="002F4B61">
        <w:rPr>
          <w:sz w:val="22"/>
          <w:szCs w:val="22"/>
        </w:rPr>
        <w:t>and</w:t>
      </w:r>
      <w:r w:rsidR="00BE56F4" w:rsidRPr="002F4B61">
        <w:rPr>
          <w:sz w:val="22"/>
          <w:szCs w:val="22"/>
        </w:rPr>
        <w:t xml:space="preserve"> </w:t>
      </w:r>
      <w:r w:rsidRPr="002F4B61">
        <w:rPr>
          <w:sz w:val="22"/>
          <w:szCs w:val="22"/>
        </w:rPr>
        <w:t>project close-out</w:t>
      </w:r>
      <w:r w:rsidR="002C6E26" w:rsidRPr="002F4B61">
        <w:rPr>
          <w:sz w:val="22"/>
          <w:szCs w:val="22"/>
        </w:rPr>
        <w:t xml:space="preserve"> </w:t>
      </w:r>
      <w:r w:rsidR="0000653F" w:rsidRPr="002F4B61">
        <w:rPr>
          <w:sz w:val="22"/>
          <w:szCs w:val="22"/>
        </w:rPr>
        <w:t>in</w:t>
      </w:r>
      <w:r w:rsidR="002C6E26" w:rsidRPr="002F4B61">
        <w:rPr>
          <w:sz w:val="22"/>
          <w:szCs w:val="22"/>
        </w:rPr>
        <w:t>volves</w:t>
      </w:r>
      <w:r w:rsidRPr="002F4B61">
        <w:rPr>
          <w:sz w:val="22"/>
          <w:szCs w:val="22"/>
        </w:rPr>
        <w:t xml:space="preserve"> the time and effort necessary for </w:t>
      </w:r>
      <w:r w:rsidR="008E5B9E" w:rsidRPr="002F4B61">
        <w:rPr>
          <w:sz w:val="22"/>
          <w:szCs w:val="22"/>
        </w:rPr>
        <w:t>request</w:t>
      </w:r>
      <w:r w:rsidR="008E4C3F" w:rsidRPr="002F4B61">
        <w:rPr>
          <w:sz w:val="22"/>
          <w:szCs w:val="22"/>
        </w:rPr>
        <w:t>e</w:t>
      </w:r>
      <w:r w:rsidR="008E5B9E" w:rsidRPr="002F4B61">
        <w:rPr>
          <w:sz w:val="22"/>
          <w:szCs w:val="22"/>
        </w:rPr>
        <w:t xml:space="preserve">rs </w:t>
      </w:r>
      <w:r w:rsidRPr="002F4B61">
        <w:rPr>
          <w:sz w:val="22"/>
          <w:szCs w:val="22"/>
        </w:rPr>
        <w:t xml:space="preserve">to (1) prepare information on their research use of NIH datasets, (2) </w:t>
      </w:r>
      <w:r w:rsidR="00D91E8F" w:rsidRPr="002F4B61">
        <w:rPr>
          <w:sz w:val="22"/>
          <w:szCs w:val="22"/>
        </w:rPr>
        <w:t xml:space="preserve">complete </w:t>
      </w:r>
      <w:r w:rsidRPr="002F4B61">
        <w:rPr>
          <w:sz w:val="22"/>
          <w:szCs w:val="22"/>
        </w:rPr>
        <w:t xml:space="preserve">the </w:t>
      </w:r>
      <w:r w:rsidR="00D91E8F" w:rsidRPr="002F4B61">
        <w:rPr>
          <w:sz w:val="22"/>
          <w:szCs w:val="22"/>
        </w:rPr>
        <w:t xml:space="preserve">renewal or close-out </w:t>
      </w:r>
      <w:r w:rsidR="0000653F" w:rsidRPr="002F4B61">
        <w:rPr>
          <w:sz w:val="22"/>
          <w:szCs w:val="22"/>
        </w:rPr>
        <w:t>form</w:t>
      </w:r>
      <w:r w:rsidRPr="002F4B61">
        <w:rPr>
          <w:sz w:val="22"/>
          <w:szCs w:val="22"/>
        </w:rPr>
        <w:t xml:space="preserve">, and (3) have </w:t>
      </w:r>
      <w:r w:rsidR="0000653F" w:rsidRPr="002F4B61">
        <w:rPr>
          <w:sz w:val="22"/>
          <w:szCs w:val="22"/>
        </w:rPr>
        <w:t xml:space="preserve">the </w:t>
      </w:r>
      <w:r w:rsidR="00D81BA4" w:rsidRPr="002F4B61">
        <w:rPr>
          <w:sz w:val="22"/>
          <w:szCs w:val="22"/>
        </w:rPr>
        <w:t xml:space="preserve">Institutional </w:t>
      </w:r>
      <w:r w:rsidR="0000653F" w:rsidRPr="002F4B61">
        <w:rPr>
          <w:sz w:val="22"/>
          <w:szCs w:val="22"/>
        </w:rPr>
        <w:t>S</w:t>
      </w:r>
      <w:r w:rsidR="007B790E" w:rsidRPr="002F4B61">
        <w:rPr>
          <w:sz w:val="22"/>
          <w:szCs w:val="22"/>
        </w:rPr>
        <w:t xml:space="preserve">igning </w:t>
      </w:r>
      <w:r w:rsidR="0000653F" w:rsidRPr="002F4B61">
        <w:rPr>
          <w:sz w:val="22"/>
          <w:szCs w:val="22"/>
        </w:rPr>
        <w:t>O</w:t>
      </w:r>
      <w:r w:rsidR="007B790E" w:rsidRPr="002F4B61">
        <w:rPr>
          <w:sz w:val="22"/>
          <w:szCs w:val="22"/>
        </w:rPr>
        <w:t>fficial</w:t>
      </w:r>
      <w:r w:rsidRPr="002F4B61">
        <w:rPr>
          <w:sz w:val="22"/>
          <w:szCs w:val="22"/>
        </w:rPr>
        <w:t xml:space="preserve"> review </w:t>
      </w:r>
      <w:r w:rsidR="00BE56F4" w:rsidRPr="002F4B61">
        <w:rPr>
          <w:sz w:val="22"/>
          <w:szCs w:val="22"/>
        </w:rPr>
        <w:t xml:space="preserve">and approve </w:t>
      </w:r>
      <w:r w:rsidRPr="002F4B61">
        <w:rPr>
          <w:sz w:val="22"/>
          <w:szCs w:val="22"/>
        </w:rPr>
        <w:t>the form</w:t>
      </w:r>
      <w:r w:rsidR="002C6E26" w:rsidRPr="002F4B61">
        <w:rPr>
          <w:sz w:val="22"/>
          <w:szCs w:val="22"/>
        </w:rPr>
        <w:t xml:space="preserve">.  Importantly, when </w:t>
      </w:r>
      <w:r w:rsidR="006E0C88" w:rsidRPr="002F4B61">
        <w:rPr>
          <w:sz w:val="22"/>
          <w:szCs w:val="22"/>
        </w:rPr>
        <w:t xml:space="preserve">PIs </w:t>
      </w:r>
      <w:r w:rsidR="002C6E26" w:rsidRPr="002F4B61">
        <w:rPr>
          <w:sz w:val="22"/>
          <w:szCs w:val="22"/>
        </w:rPr>
        <w:t xml:space="preserve">stop using </w:t>
      </w:r>
      <w:r w:rsidR="00AD0721" w:rsidRPr="002F4B61">
        <w:rPr>
          <w:sz w:val="22"/>
          <w:szCs w:val="22"/>
        </w:rPr>
        <w:t xml:space="preserve">dbGaP </w:t>
      </w:r>
      <w:r w:rsidR="002C6E26" w:rsidRPr="002F4B61">
        <w:rPr>
          <w:sz w:val="22"/>
          <w:szCs w:val="22"/>
        </w:rPr>
        <w:t>data, NIH expects them to d</w:t>
      </w:r>
      <w:r w:rsidR="00AD0721" w:rsidRPr="002F4B61">
        <w:rPr>
          <w:sz w:val="22"/>
          <w:szCs w:val="22"/>
        </w:rPr>
        <w:t xml:space="preserve">elete the datasets from the institution’s computer systems and mobile devices, </w:t>
      </w:r>
      <w:r w:rsidR="002C6E26" w:rsidRPr="002F4B61">
        <w:rPr>
          <w:sz w:val="22"/>
          <w:szCs w:val="22"/>
        </w:rPr>
        <w:t xml:space="preserve">and </w:t>
      </w:r>
      <w:r w:rsidR="00D81BA4" w:rsidRPr="002F4B61">
        <w:rPr>
          <w:sz w:val="22"/>
          <w:szCs w:val="22"/>
        </w:rPr>
        <w:t xml:space="preserve">Institutional </w:t>
      </w:r>
      <w:r w:rsidR="002C6E26" w:rsidRPr="002F4B61">
        <w:rPr>
          <w:sz w:val="22"/>
          <w:szCs w:val="22"/>
        </w:rPr>
        <w:t xml:space="preserve">Signing Officials are expected to </w:t>
      </w:r>
      <w:r w:rsidRPr="002F4B61">
        <w:rPr>
          <w:sz w:val="22"/>
          <w:szCs w:val="22"/>
        </w:rPr>
        <w:t>verify th</w:t>
      </w:r>
      <w:r w:rsidR="002C6E26" w:rsidRPr="002F4B61">
        <w:rPr>
          <w:sz w:val="22"/>
          <w:szCs w:val="22"/>
        </w:rPr>
        <w:t>at the data were deleted.</w:t>
      </w:r>
      <w:r w:rsidR="0048394E" w:rsidRPr="002F4B61">
        <w:rPr>
          <w:sz w:val="22"/>
          <w:szCs w:val="22"/>
        </w:rPr>
        <w:t xml:space="preserve"> </w:t>
      </w:r>
      <w:r w:rsidR="00B85093" w:rsidRPr="002F4B61">
        <w:rPr>
          <w:sz w:val="22"/>
          <w:szCs w:val="22"/>
        </w:rPr>
        <w:t xml:space="preserve"> </w:t>
      </w:r>
      <w:r w:rsidR="0048394E" w:rsidRPr="002F4B61">
        <w:rPr>
          <w:sz w:val="22"/>
          <w:szCs w:val="22"/>
        </w:rPr>
        <w:t xml:space="preserve">PIs who are registered in eRA Commons, or those who have made previous data requests or submitted data to dbGaP, will have information from those systems automatically transferred to the </w:t>
      </w:r>
      <w:r w:rsidR="0089716B" w:rsidRPr="002F4B61">
        <w:rPr>
          <w:sz w:val="22"/>
          <w:szCs w:val="22"/>
        </w:rPr>
        <w:t xml:space="preserve">renewal/close-out </w:t>
      </w:r>
      <w:r w:rsidR="0048394E" w:rsidRPr="002F4B61">
        <w:rPr>
          <w:sz w:val="22"/>
          <w:szCs w:val="22"/>
        </w:rPr>
        <w:t>forms, significantly reducing data entry time.</w:t>
      </w:r>
    </w:p>
    <w:p w:rsidR="00F5021E" w:rsidRPr="002F4B61" w:rsidRDefault="00F5021E" w:rsidP="00927BBD">
      <w:pPr>
        <w:ind w:left="720"/>
        <w:rPr>
          <w:sz w:val="22"/>
          <w:szCs w:val="22"/>
        </w:rPr>
      </w:pPr>
    </w:p>
    <w:p w:rsidR="0053396B" w:rsidRPr="002F4B61" w:rsidRDefault="0053396B" w:rsidP="0053396B">
      <w:pPr>
        <w:ind w:left="720"/>
        <w:rPr>
          <w:sz w:val="22"/>
          <w:szCs w:val="22"/>
        </w:rPr>
      </w:pPr>
      <w:r w:rsidRPr="002F4B61">
        <w:rPr>
          <w:sz w:val="22"/>
          <w:szCs w:val="22"/>
        </w:rPr>
        <w:t xml:space="preserve">Table 12-4 shows the estimated burden hours for renewal/project close-out forms.  </w:t>
      </w:r>
    </w:p>
    <w:p w:rsidR="0053396B" w:rsidRPr="002F4B61" w:rsidRDefault="00C5320F" w:rsidP="007E5B92">
      <w:pPr>
        <w:ind w:left="720"/>
        <w:rPr>
          <w:sz w:val="22"/>
          <w:szCs w:val="22"/>
        </w:rPr>
      </w:pPr>
      <w:r w:rsidRPr="002F4B61">
        <w:rPr>
          <w:sz w:val="22"/>
          <w:szCs w:val="22"/>
        </w:rPr>
        <w:t>Based on simulat</w:t>
      </w:r>
      <w:r w:rsidR="00123EFA" w:rsidRPr="002F4B61">
        <w:rPr>
          <w:sz w:val="22"/>
          <w:szCs w:val="22"/>
        </w:rPr>
        <w:t>ions</w:t>
      </w:r>
      <w:r w:rsidRPr="002F4B61">
        <w:rPr>
          <w:sz w:val="22"/>
          <w:szCs w:val="22"/>
        </w:rPr>
        <w:t xml:space="preserve">, NIH </w:t>
      </w:r>
      <w:r w:rsidR="00123EFA" w:rsidRPr="002F4B61">
        <w:rPr>
          <w:sz w:val="22"/>
          <w:szCs w:val="22"/>
        </w:rPr>
        <w:t>estimate</w:t>
      </w:r>
      <w:r w:rsidR="00AD0721" w:rsidRPr="002F4B61">
        <w:rPr>
          <w:sz w:val="22"/>
          <w:szCs w:val="22"/>
        </w:rPr>
        <w:t>d</w:t>
      </w:r>
      <w:r w:rsidRPr="002F4B61">
        <w:rPr>
          <w:sz w:val="22"/>
          <w:szCs w:val="22"/>
        </w:rPr>
        <w:t xml:space="preserve"> that it will take an average of 0.25 hours for the </w:t>
      </w:r>
      <w:r w:rsidR="006E0C88" w:rsidRPr="002F4B61">
        <w:rPr>
          <w:sz w:val="22"/>
          <w:szCs w:val="22"/>
        </w:rPr>
        <w:t xml:space="preserve">PI </w:t>
      </w:r>
      <w:r w:rsidRPr="002F4B61">
        <w:rPr>
          <w:sz w:val="22"/>
          <w:szCs w:val="22"/>
        </w:rPr>
        <w:t xml:space="preserve">to provide the required information and 0.30 hours for the </w:t>
      </w:r>
      <w:r w:rsidR="00D81BA4" w:rsidRPr="002F4B61">
        <w:rPr>
          <w:sz w:val="22"/>
          <w:szCs w:val="22"/>
        </w:rPr>
        <w:t xml:space="preserve">Institutional </w:t>
      </w:r>
      <w:r w:rsidR="0000653F" w:rsidRPr="002F4B61">
        <w:rPr>
          <w:sz w:val="22"/>
          <w:szCs w:val="22"/>
        </w:rPr>
        <w:t>S</w:t>
      </w:r>
      <w:r w:rsidR="007B790E" w:rsidRPr="002F4B61">
        <w:rPr>
          <w:sz w:val="22"/>
          <w:szCs w:val="22"/>
        </w:rPr>
        <w:t xml:space="preserve">igning </w:t>
      </w:r>
      <w:r w:rsidR="0000653F" w:rsidRPr="002F4B61">
        <w:rPr>
          <w:sz w:val="22"/>
          <w:szCs w:val="22"/>
        </w:rPr>
        <w:t>O</w:t>
      </w:r>
      <w:r w:rsidR="007B790E" w:rsidRPr="002F4B61">
        <w:rPr>
          <w:sz w:val="22"/>
          <w:szCs w:val="22"/>
        </w:rPr>
        <w:t>fficial</w:t>
      </w:r>
      <w:r w:rsidRPr="002F4B61">
        <w:rPr>
          <w:sz w:val="22"/>
          <w:szCs w:val="22"/>
        </w:rPr>
        <w:t xml:space="preserve"> to review </w:t>
      </w:r>
      <w:r w:rsidR="00BE56F4" w:rsidRPr="002F4B61">
        <w:rPr>
          <w:sz w:val="22"/>
          <w:szCs w:val="22"/>
        </w:rPr>
        <w:t xml:space="preserve">and approve </w:t>
      </w:r>
      <w:r w:rsidRPr="002F4B61">
        <w:rPr>
          <w:sz w:val="22"/>
          <w:szCs w:val="22"/>
        </w:rPr>
        <w:t>the form</w:t>
      </w:r>
      <w:r w:rsidR="00BE56F4" w:rsidRPr="002F4B61">
        <w:rPr>
          <w:sz w:val="22"/>
          <w:szCs w:val="22"/>
        </w:rPr>
        <w:t xml:space="preserve"> and</w:t>
      </w:r>
      <w:r w:rsidR="00AD0721" w:rsidRPr="002F4B61">
        <w:rPr>
          <w:sz w:val="22"/>
          <w:szCs w:val="22"/>
        </w:rPr>
        <w:t xml:space="preserve"> to</w:t>
      </w:r>
      <w:r w:rsidRPr="002F4B61">
        <w:rPr>
          <w:sz w:val="22"/>
          <w:szCs w:val="22"/>
        </w:rPr>
        <w:t xml:space="preserve"> confirm </w:t>
      </w:r>
      <w:r w:rsidR="006F79BF" w:rsidRPr="002F4B61">
        <w:rPr>
          <w:sz w:val="22"/>
          <w:szCs w:val="22"/>
        </w:rPr>
        <w:t xml:space="preserve">that </w:t>
      </w:r>
      <w:r w:rsidRPr="002F4B61">
        <w:rPr>
          <w:sz w:val="22"/>
          <w:szCs w:val="22"/>
        </w:rPr>
        <w:t xml:space="preserve">data </w:t>
      </w:r>
      <w:r w:rsidR="00AD0721" w:rsidRPr="002F4B61">
        <w:rPr>
          <w:sz w:val="22"/>
          <w:szCs w:val="22"/>
        </w:rPr>
        <w:t>were deleted from the institution’s computer system</w:t>
      </w:r>
      <w:r w:rsidR="006F79BF" w:rsidRPr="002F4B61">
        <w:rPr>
          <w:sz w:val="22"/>
          <w:szCs w:val="22"/>
        </w:rPr>
        <w:t xml:space="preserve"> for projects that are closed-out</w:t>
      </w:r>
      <w:r w:rsidRPr="002F4B61">
        <w:rPr>
          <w:sz w:val="22"/>
          <w:szCs w:val="22"/>
        </w:rPr>
        <w:t xml:space="preserve">. </w:t>
      </w:r>
      <w:r w:rsidR="00D91E8F" w:rsidRPr="002F4B61">
        <w:rPr>
          <w:sz w:val="22"/>
          <w:szCs w:val="22"/>
        </w:rPr>
        <w:t xml:space="preserve"> </w:t>
      </w:r>
      <w:r w:rsidR="00EB3E11" w:rsidRPr="002F4B61">
        <w:rPr>
          <w:sz w:val="22"/>
          <w:szCs w:val="22"/>
        </w:rPr>
        <w:t xml:space="preserve">To derive the annual hour burden for PIs, NIH multiplied the </w:t>
      </w:r>
      <w:r w:rsidR="00945500" w:rsidRPr="002F4B61">
        <w:rPr>
          <w:sz w:val="22"/>
          <w:szCs w:val="22"/>
        </w:rPr>
        <w:t xml:space="preserve">frequency of response </w:t>
      </w:r>
      <w:r w:rsidR="00EB3E11" w:rsidRPr="002F4B61">
        <w:rPr>
          <w:sz w:val="22"/>
          <w:szCs w:val="22"/>
        </w:rPr>
        <w:t>(</w:t>
      </w:r>
      <w:r w:rsidR="0069495E" w:rsidRPr="002F4B61">
        <w:rPr>
          <w:sz w:val="22"/>
          <w:szCs w:val="22"/>
        </w:rPr>
        <w:t>2</w:t>
      </w:r>
      <w:r w:rsidR="00EB3E11" w:rsidRPr="002F4B61">
        <w:rPr>
          <w:sz w:val="22"/>
          <w:szCs w:val="22"/>
        </w:rPr>
        <w:t xml:space="preserve">) by the number of </w:t>
      </w:r>
      <w:r w:rsidR="00B0653F" w:rsidRPr="002F4B61">
        <w:rPr>
          <w:sz w:val="22"/>
          <w:szCs w:val="22"/>
        </w:rPr>
        <w:t xml:space="preserve">PIs </w:t>
      </w:r>
      <w:r w:rsidR="00EB3E11" w:rsidRPr="002F4B61">
        <w:rPr>
          <w:sz w:val="22"/>
          <w:szCs w:val="22"/>
        </w:rPr>
        <w:t>(</w:t>
      </w:r>
      <w:r w:rsidR="0069495E" w:rsidRPr="002F4B61">
        <w:rPr>
          <w:sz w:val="22"/>
          <w:szCs w:val="22"/>
        </w:rPr>
        <w:t>633</w:t>
      </w:r>
      <w:r w:rsidR="00EB3E11" w:rsidRPr="002F4B61">
        <w:rPr>
          <w:sz w:val="22"/>
          <w:szCs w:val="22"/>
        </w:rPr>
        <w:t>)</w:t>
      </w:r>
      <w:r w:rsidR="006E0C88" w:rsidRPr="002F4B61">
        <w:rPr>
          <w:sz w:val="22"/>
          <w:szCs w:val="22"/>
        </w:rPr>
        <w:t xml:space="preserve"> by</w:t>
      </w:r>
      <w:r w:rsidR="00AD0721" w:rsidRPr="002F4B61">
        <w:rPr>
          <w:sz w:val="22"/>
          <w:szCs w:val="22"/>
        </w:rPr>
        <w:t xml:space="preserve"> the time it takes </w:t>
      </w:r>
      <w:r w:rsidR="00B0653F" w:rsidRPr="002F4B61">
        <w:rPr>
          <w:sz w:val="22"/>
          <w:szCs w:val="22"/>
        </w:rPr>
        <w:t xml:space="preserve">a </w:t>
      </w:r>
      <w:r w:rsidR="006E0C88" w:rsidRPr="002F4B61">
        <w:rPr>
          <w:sz w:val="22"/>
          <w:szCs w:val="22"/>
        </w:rPr>
        <w:t>PI</w:t>
      </w:r>
      <w:r w:rsidR="00AD0721" w:rsidRPr="002F4B61">
        <w:rPr>
          <w:sz w:val="22"/>
          <w:szCs w:val="22"/>
        </w:rPr>
        <w:t xml:space="preserve"> to</w:t>
      </w:r>
      <w:r w:rsidR="00EB3E11" w:rsidRPr="002F4B61">
        <w:rPr>
          <w:sz w:val="22"/>
          <w:szCs w:val="22"/>
        </w:rPr>
        <w:t xml:space="preserve"> complete a </w:t>
      </w:r>
      <w:r w:rsidR="001E0080" w:rsidRPr="002F4B61">
        <w:rPr>
          <w:sz w:val="22"/>
          <w:szCs w:val="22"/>
        </w:rPr>
        <w:t>r</w:t>
      </w:r>
      <w:r w:rsidR="00DB7FB8" w:rsidRPr="002F4B61">
        <w:rPr>
          <w:sz w:val="22"/>
          <w:szCs w:val="22"/>
        </w:rPr>
        <w:t xml:space="preserve">enewal or </w:t>
      </w:r>
      <w:r w:rsidR="001E0080" w:rsidRPr="002F4B61">
        <w:rPr>
          <w:sz w:val="22"/>
          <w:szCs w:val="22"/>
        </w:rPr>
        <w:t>c</w:t>
      </w:r>
      <w:r w:rsidR="00DB7FB8" w:rsidRPr="002F4B61">
        <w:rPr>
          <w:sz w:val="22"/>
          <w:szCs w:val="22"/>
        </w:rPr>
        <w:t>lose-</w:t>
      </w:r>
      <w:r w:rsidR="001E0080" w:rsidRPr="002F4B61">
        <w:rPr>
          <w:sz w:val="22"/>
          <w:szCs w:val="22"/>
        </w:rPr>
        <w:t>o</w:t>
      </w:r>
      <w:r w:rsidR="00DB7FB8" w:rsidRPr="002F4B61">
        <w:rPr>
          <w:sz w:val="22"/>
          <w:szCs w:val="22"/>
        </w:rPr>
        <w:t xml:space="preserve">ut </w:t>
      </w:r>
      <w:r w:rsidR="001E0080" w:rsidRPr="002F4B61">
        <w:rPr>
          <w:sz w:val="22"/>
          <w:szCs w:val="22"/>
        </w:rPr>
        <w:t>f</w:t>
      </w:r>
      <w:r w:rsidR="00DB7FB8" w:rsidRPr="002F4B61">
        <w:rPr>
          <w:sz w:val="22"/>
          <w:szCs w:val="22"/>
        </w:rPr>
        <w:t xml:space="preserve">orm </w:t>
      </w:r>
      <w:r w:rsidR="00EB3E11" w:rsidRPr="002F4B61">
        <w:rPr>
          <w:sz w:val="22"/>
          <w:szCs w:val="22"/>
        </w:rPr>
        <w:t>(0.2</w:t>
      </w:r>
      <w:r w:rsidR="00AD0721" w:rsidRPr="002F4B61">
        <w:rPr>
          <w:sz w:val="22"/>
          <w:szCs w:val="22"/>
        </w:rPr>
        <w:t xml:space="preserve">5 </w:t>
      </w:r>
      <w:r w:rsidR="00B0653F" w:rsidRPr="002F4B61">
        <w:rPr>
          <w:sz w:val="22"/>
          <w:szCs w:val="22"/>
        </w:rPr>
        <w:t>hour</w:t>
      </w:r>
      <w:r w:rsidR="00AD0721" w:rsidRPr="002F4B61">
        <w:rPr>
          <w:sz w:val="22"/>
          <w:szCs w:val="22"/>
        </w:rPr>
        <w:t xml:space="preserve">), for a total of </w:t>
      </w:r>
      <w:r w:rsidR="00770DE3">
        <w:rPr>
          <w:sz w:val="22"/>
          <w:szCs w:val="22"/>
        </w:rPr>
        <w:t>317</w:t>
      </w:r>
      <w:r w:rsidR="0069495E" w:rsidRPr="002F4B61">
        <w:rPr>
          <w:sz w:val="22"/>
          <w:szCs w:val="22"/>
        </w:rPr>
        <w:t xml:space="preserve"> </w:t>
      </w:r>
      <w:r w:rsidR="00F45232" w:rsidRPr="002F4B61">
        <w:rPr>
          <w:sz w:val="22"/>
          <w:szCs w:val="22"/>
        </w:rPr>
        <w:t>hours.  The same formula wa</w:t>
      </w:r>
      <w:r w:rsidR="00AD0721" w:rsidRPr="002F4B61">
        <w:rPr>
          <w:sz w:val="22"/>
          <w:szCs w:val="22"/>
        </w:rPr>
        <w:t xml:space="preserve">s used to derive the total annual burden for </w:t>
      </w:r>
      <w:r w:rsidR="00D81BA4" w:rsidRPr="002F4B61">
        <w:rPr>
          <w:sz w:val="22"/>
          <w:szCs w:val="22"/>
        </w:rPr>
        <w:t xml:space="preserve">Institutional </w:t>
      </w:r>
      <w:r w:rsidR="00AD0721" w:rsidRPr="002F4B61">
        <w:rPr>
          <w:sz w:val="22"/>
          <w:szCs w:val="22"/>
        </w:rPr>
        <w:t xml:space="preserve">Signing </w:t>
      </w:r>
      <w:r w:rsidR="00B57225" w:rsidRPr="002F4B61">
        <w:rPr>
          <w:sz w:val="22"/>
          <w:szCs w:val="22"/>
        </w:rPr>
        <w:t>Officials (i.e., the frequency wa</w:t>
      </w:r>
      <w:r w:rsidR="00AD0721" w:rsidRPr="002F4B61">
        <w:rPr>
          <w:sz w:val="22"/>
          <w:szCs w:val="22"/>
        </w:rPr>
        <w:t xml:space="preserve">s multiplied by the number of </w:t>
      </w:r>
      <w:r w:rsidR="00D81BA4" w:rsidRPr="002F4B61">
        <w:rPr>
          <w:sz w:val="22"/>
          <w:szCs w:val="22"/>
        </w:rPr>
        <w:t xml:space="preserve">Institutional </w:t>
      </w:r>
      <w:r w:rsidR="00AD0721" w:rsidRPr="002F4B61">
        <w:rPr>
          <w:sz w:val="22"/>
          <w:szCs w:val="22"/>
        </w:rPr>
        <w:t xml:space="preserve">Signing Officials by the time it takes </w:t>
      </w:r>
      <w:r w:rsidR="00B0653F" w:rsidRPr="002F4B61">
        <w:rPr>
          <w:sz w:val="22"/>
          <w:szCs w:val="22"/>
        </w:rPr>
        <w:t>a</w:t>
      </w:r>
      <w:r w:rsidR="00DB7FB8" w:rsidRPr="002F4B61">
        <w:rPr>
          <w:sz w:val="22"/>
          <w:szCs w:val="22"/>
        </w:rPr>
        <w:t>n</w:t>
      </w:r>
      <w:r w:rsidR="00B0653F" w:rsidRPr="002F4B61">
        <w:rPr>
          <w:sz w:val="22"/>
          <w:szCs w:val="22"/>
        </w:rPr>
        <w:t xml:space="preserve"> </w:t>
      </w:r>
      <w:r w:rsidR="00D81BA4" w:rsidRPr="002F4B61">
        <w:rPr>
          <w:sz w:val="22"/>
          <w:szCs w:val="22"/>
        </w:rPr>
        <w:t xml:space="preserve">Institutional </w:t>
      </w:r>
      <w:r w:rsidR="00B0653F" w:rsidRPr="002F4B61">
        <w:rPr>
          <w:sz w:val="22"/>
          <w:szCs w:val="22"/>
        </w:rPr>
        <w:t xml:space="preserve">Signing Official </w:t>
      </w:r>
      <w:r w:rsidR="00AD0721" w:rsidRPr="002F4B61">
        <w:rPr>
          <w:sz w:val="22"/>
          <w:szCs w:val="22"/>
        </w:rPr>
        <w:t xml:space="preserve">to </w:t>
      </w:r>
      <w:r w:rsidR="00B0653F" w:rsidRPr="002F4B61">
        <w:rPr>
          <w:sz w:val="22"/>
          <w:szCs w:val="22"/>
        </w:rPr>
        <w:t xml:space="preserve">complete </w:t>
      </w:r>
      <w:r w:rsidR="00AD0721" w:rsidRPr="002F4B61">
        <w:rPr>
          <w:sz w:val="22"/>
          <w:szCs w:val="22"/>
        </w:rPr>
        <w:t xml:space="preserve">the certification process).  The total annual hour burden for </w:t>
      </w:r>
      <w:r w:rsidR="00D81BA4" w:rsidRPr="002F4B61">
        <w:rPr>
          <w:sz w:val="22"/>
          <w:szCs w:val="22"/>
        </w:rPr>
        <w:t xml:space="preserve">Institutional </w:t>
      </w:r>
      <w:r w:rsidR="00AD0721" w:rsidRPr="002F4B61">
        <w:rPr>
          <w:sz w:val="22"/>
          <w:szCs w:val="22"/>
        </w:rPr>
        <w:t>Signing Officials is</w:t>
      </w:r>
      <w:r w:rsidR="00B57225" w:rsidRPr="002F4B61">
        <w:rPr>
          <w:sz w:val="22"/>
          <w:szCs w:val="22"/>
        </w:rPr>
        <w:t xml:space="preserve"> </w:t>
      </w:r>
      <w:r w:rsidR="00770DE3">
        <w:rPr>
          <w:sz w:val="22"/>
          <w:szCs w:val="22"/>
        </w:rPr>
        <w:t>380</w:t>
      </w:r>
      <w:r w:rsidR="00EB3E11" w:rsidRPr="002F4B61">
        <w:rPr>
          <w:sz w:val="22"/>
          <w:szCs w:val="22"/>
        </w:rPr>
        <w:t xml:space="preserve"> </w:t>
      </w:r>
      <w:r w:rsidR="00AD0721" w:rsidRPr="002F4B61">
        <w:rPr>
          <w:sz w:val="22"/>
          <w:szCs w:val="22"/>
        </w:rPr>
        <w:t xml:space="preserve">hours, </w:t>
      </w:r>
      <w:r w:rsidR="00080761" w:rsidRPr="002F4B61">
        <w:rPr>
          <w:sz w:val="22"/>
          <w:szCs w:val="22"/>
        </w:rPr>
        <w:t xml:space="preserve">with a total annual burden of </w:t>
      </w:r>
      <w:r w:rsidR="00770DE3">
        <w:rPr>
          <w:sz w:val="22"/>
          <w:szCs w:val="22"/>
        </w:rPr>
        <w:t>697</w:t>
      </w:r>
      <w:r w:rsidR="00080761" w:rsidRPr="002F4B61">
        <w:rPr>
          <w:sz w:val="22"/>
          <w:szCs w:val="22"/>
        </w:rPr>
        <w:t xml:space="preserve"> hours for all respondents.</w:t>
      </w:r>
      <w:r w:rsidR="006E0C88" w:rsidRPr="002F4B61">
        <w:rPr>
          <w:sz w:val="22"/>
          <w:szCs w:val="22"/>
        </w:rPr>
        <w:t xml:space="preserve"> </w:t>
      </w:r>
    </w:p>
    <w:p w:rsidR="00D137FE" w:rsidRPr="002F4B61" w:rsidRDefault="00D137FE" w:rsidP="007E5B92">
      <w:pPr>
        <w:ind w:left="720"/>
        <w:rPr>
          <w:sz w:val="22"/>
          <w:szCs w:val="22"/>
        </w:rPr>
      </w:pPr>
    </w:p>
    <w:tbl>
      <w:tblPr>
        <w:tblStyle w:val="TableGrid"/>
        <w:tblW w:w="0" w:type="auto"/>
        <w:tblInd w:w="720" w:type="dxa"/>
        <w:tblLook w:val="04A0" w:firstRow="1" w:lastRow="0" w:firstColumn="1" w:lastColumn="0" w:noHBand="0" w:noVBand="1"/>
      </w:tblPr>
      <w:tblGrid>
        <w:gridCol w:w="1476"/>
        <w:gridCol w:w="1782"/>
        <w:gridCol w:w="1710"/>
        <w:gridCol w:w="1980"/>
        <w:gridCol w:w="1908"/>
      </w:tblGrid>
      <w:tr w:rsidR="005F1C37" w:rsidRPr="002F4B61" w:rsidTr="005F1C37">
        <w:tc>
          <w:tcPr>
            <w:tcW w:w="8856" w:type="dxa"/>
            <w:gridSpan w:val="5"/>
            <w:shd w:val="clear" w:color="auto" w:fill="D9D9D9" w:themeFill="background1" w:themeFillShade="D9"/>
          </w:tcPr>
          <w:p w:rsidR="005F1C37" w:rsidRPr="002F4B61" w:rsidRDefault="005F1C37" w:rsidP="00CC1DC4">
            <w:pPr>
              <w:pStyle w:val="tt-tabletitle"/>
              <w:ind w:left="0" w:hanging="13"/>
              <w:jc w:val="center"/>
              <w:rPr>
                <w:b/>
                <w:bCs/>
              </w:rPr>
            </w:pPr>
            <w:r w:rsidRPr="002F4B61">
              <w:rPr>
                <w:rFonts w:ascii="Times New Roman" w:hAnsi="Times New Roman"/>
                <w:b/>
              </w:rPr>
              <w:t>Table 12-4 Estimates of Hour Burden for Renewal/Close-Out Forms</w:t>
            </w:r>
          </w:p>
        </w:tc>
      </w:tr>
      <w:tr w:rsidR="007E5B92" w:rsidRPr="002F4B61" w:rsidTr="007E5B92">
        <w:tc>
          <w:tcPr>
            <w:tcW w:w="1476" w:type="dxa"/>
            <w:shd w:val="clear" w:color="auto" w:fill="FFFFFF" w:themeFill="background1"/>
          </w:tcPr>
          <w:p w:rsidR="007E5B92" w:rsidRPr="002F4B61" w:rsidRDefault="007E5B92" w:rsidP="00D05B7B">
            <w:pPr>
              <w:pStyle w:val="tt-tabletitle"/>
              <w:ind w:left="-18" w:firstLine="0"/>
              <w:jc w:val="center"/>
              <w:rPr>
                <w:rFonts w:ascii="Times New Roman" w:hAnsi="Times New Roman"/>
                <w:b/>
                <w:bCs/>
              </w:rPr>
            </w:pPr>
            <w:r w:rsidRPr="002F4B61">
              <w:rPr>
                <w:rFonts w:ascii="Times New Roman" w:hAnsi="Times New Roman"/>
                <w:b/>
                <w:bCs/>
              </w:rPr>
              <w:t>Type of Respondent</w:t>
            </w:r>
          </w:p>
        </w:tc>
        <w:tc>
          <w:tcPr>
            <w:tcW w:w="1782" w:type="dxa"/>
            <w:shd w:val="clear" w:color="auto" w:fill="FFFFFF" w:themeFill="background1"/>
          </w:tcPr>
          <w:p w:rsidR="007E5B92" w:rsidRPr="002F4B61" w:rsidRDefault="007E5B92" w:rsidP="00D05B7B">
            <w:pPr>
              <w:pStyle w:val="tt-tabletitle"/>
              <w:ind w:left="0" w:hanging="3"/>
              <w:jc w:val="center"/>
              <w:rPr>
                <w:rFonts w:ascii="Times New Roman" w:hAnsi="Times New Roman"/>
                <w:b/>
                <w:bCs/>
              </w:rPr>
            </w:pPr>
            <w:r w:rsidRPr="002F4B61">
              <w:rPr>
                <w:rFonts w:ascii="Times New Roman" w:hAnsi="Times New Roman"/>
                <w:b/>
                <w:bCs/>
              </w:rPr>
              <w:t>Number of Respondents</w:t>
            </w:r>
          </w:p>
        </w:tc>
        <w:tc>
          <w:tcPr>
            <w:tcW w:w="1710" w:type="dxa"/>
            <w:shd w:val="clear" w:color="auto" w:fill="FFFFFF" w:themeFill="background1"/>
          </w:tcPr>
          <w:p w:rsidR="007E5B92" w:rsidRPr="002F4B61" w:rsidRDefault="007E5B92" w:rsidP="00D05B7B">
            <w:pPr>
              <w:pStyle w:val="tt-tabletitle"/>
              <w:ind w:left="-57" w:firstLine="29"/>
              <w:jc w:val="center"/>
              <w:rPr>
                <w:rFonts w:ascii="Times New Roman" w:hAnsi="Times New Roman"/>
                <w:b/>
                <w:bCs/>
              </w:rPr>
            </w:pPr>
            <w:r w:rsidRPr="002F4B61">
              <w:rPr>
                <w:rFonts w:ascii="Times New Roman" w:hAnsi="Times New Roman"/>
                <w:b/>
                <w:bCs/>
              </w:rPr>
              <w:t>Frequency of Response</w:t>
            </w:r>
          </w:p>
        </w:tc>
        <w:tc>
          <w:tcPr>
            <w:tcW w:w="1980" w:type="dxa"/>
            <w:shd w:val="clear" w:color="auto" w:fill="FFFFFF" w:themeFill="background1"/>
          </w:tcPr>
          <w:p w:rsidR="007E5B92" w:rsidRPr="002F4B61" w:rsidRDefault="007E5B92" w:rsidP="00E04C95">
            <w:pPr>
              <w:pStyle w:val="tt-tabletitle"/>
              <w:ind w:left="0" w:firstLine="1"/>
              <w:jc w:val="center"/>
              <w:rPr>
                <w:rFonts w:ascii="Times New Roman" w:hAnsi="Times New Roman"/>
                <w:b/>
                <w:bCs/>
              </w:rPr>
            </w:pPr>
            <w:r w:rsidRPr="002F4B61">
              <w:rPr>
                <w:rFonts w:ascii="Times New Roman" w:hAnsi="Times New Roman"/>
                <w:b/>
                <w:bCs/>
              </w:rPr>
              <w:t>Average Time per Response</w:t>
            </w:r>
          </w:p>
        </w:tc>
        <w:tc>
          <w:tcPr>
            <w:tcW w:w="1908" w:type="dxa"/>
            <w:shd w:val="clear" w:color="auto" w:fill="FFFFFF" w:themeFill="background1"/>
          </w:tcPr>
          <w:p w:rsidR="007E5B92" w:rsidRPr="002F4B61" w:rsidRDefault="007E5B92" w:rsidP="000458C6">
            <w:pPr>
              <w:pStyle w:val="tt-tabletitle"/>
              <w:ind w:left="0" w:hanging="13"/>
              <w:jc w:val="center"/>
              <w:rPr>
                <w:rFonts w:ascii="Times New Roman" w:hAnsi="Times New Roman"/>
                <w:b/>
                <w:bCs/>
              </w:rPr>
            </w:pPr>
            <w:r w:rsidRPr="002F4B61">
              <w:rPr>
                <w:rFonts w:ascii="Times New Roman" w:hAnsi="Times New Roman"/>
                <w:b/>
                <w:bCs/>
              </w:rPr>
              <w:t xml:space="preserve">Annual Hour Burden </w:t>
            </w:r>
          </w:p>
        </w:tc>
      </w:tr>
      <w:tr w:rsidR="00373576" w:rsidRPr="002F4B61" w:rsidTr="007E5B92">
        <w:tc>
          <w:tcPr>
            <w:tcW w:w="1476" w:type="dxa"/>
            <w:shd w:val="clear" w:color="auto" w:fill="FFFFFF" w:themeFill="background1"/>
          </w:tcPr>
          <w:p w:rsidR="00373576" w:rsidRPr="002F4B61" w:rsidRDefault="00373576" w:rsidP="00D05B7B">
            <w:pPr>
              <w:pStyle w:val="tt-tabletitle"/>
              <w:ind w:left="-18" w:firstLine="18"/>
              <w:rPr>
                <w:rFonts w:ascii="Times New Roman" w:hAnsi="Times New Roman"/>
              </w:rPr>
            </w:pPr>
            <w:r w:rsidRPr="002F4B61">
              <w:rPr>
                <w:rFonts w:ascii="Times New Roman" w:hAnsi="Times New Roman"/>
              </w:rPr>
              <w:t>PI</w:t>
            </w:r>
            <w:r w:rsidR="00D02BF1">
              <w:rPr>
                <w:rFonts w:ascii="Times New Roman" w:hAnsi="Times New Roman"/>
              </w:rPr>
              <w:t xml:space="preserve"> Requesting Data</w:t>
            </w:r>
          </w:p>
        </w:tc>
        <w:tc>
          <w:tcPr>
            <w:tcW w:w="1782" w:type="dxa"/>
            <w:shd w:val="clear" w:color="auto" w:fill="FFFFFF" w:themeFill="background1"/>
            <w:vAlign w:val="center"/>
          </w:tcPr>
          <w:p w:rsidR="00373576" w:rsidRPr="002F4B61" w:rsidRDefault="00373576" w:rsidP="000D18B1">
            <w:pPr>
              <w:pStyle w:val="tt-tabletitle"/>
              <w:ind w:left="54" w:firstLine="0"/>
              <w:jc w:val="center"/>
              <w:rPr>
                <w:rFonts w:ascii="Times New Roman" w:hAnsi="Times New Roman"/>
              </w:rPr>
            </w:pPr>
            <w:r w:rsidRPr="002F4B61">
              <w:rPr>
                <w:rFonts w:ascii="Times New Roman" w:hAnsi="Times New Roman"/>
              </w:rPr>
              <w:t>633</w:t>
            </w:r>
          </w:p>
        </w:tc>
        <w:tc>
          <w:tcPr>
            <w:tcW w:w="1710" w:type="dxa"/>
            <w:shd w:val="clear" w:color="auto" w:fill="FFFFFF" w:themeFill="background1"/>
            <w:vAlign w:val="center"/>
          </w:tcPr>
          <w:p w:rsidR="00373576" w:rsidRPr="002F4B61" w:rsidRDefault="00373576" w:rsidP="00D05B7B">
            <w:pPr>
              <w:pStyle w:val="tt-tabletitle"/>
              <w:ind w:left="33" w:firstLine="0"/>
              <w:jc w:val="center"/>
              <w:rPr>
                <w:rFonts w:ascii="Times New Roman" w:hAnsi="Times New Roman"/>
              </w:rPr>
            </w:pPr>
            <w:r w:rsidRPr="002F4B61">
              <w:rPr>
                <w:rFonts w:ascii="Times New Roman" w:hAnsi="Times New Roman"/>
              </w:rPr>
              <w:t>2</w:t>
            </w:r>
          </w:p>
        </w:tc>
        <w:tc>
          <w:tcPr>
            <w:tcW w:w="1980" w:type="dxa"/>
            <w:shd w:val="clear" w:color="auto" w:fill="FFFFFF" w:themeFill="background1"/>
            <w:vAlign w:val="center"/>
          </w:tcPr>
          <w:p w:rsidR="00373576" w:rsidRPr="002F4B61" w:rsidRDefault="00770DE3" w:rsidP="00773654">
            <w:pPr>
              <w:pStyle w:val="tt-tabletitle"/>
              <w:ind w:left="0" w:firstLine="0"/>
              <w:jc w:val="center"/>
              <w:rPr>
                <w:rFonts w:ascii="Times New Roman" w:hAnsi="Times New Roman"/>
              </w:rPr>
            </w:pPr>
            <w:r>
              <w:rPr>
                <w:rFonts w:ascii="Times New Roman" w:hAnsi="Times New Roman"/>
              </w:rPr>
              <w:t>15/60</w:t>
            </w:r>
            <w:r w:rsidR="00373576" w:rsidRPr="002F4B61">
              <w:rPr>
                <w:rFonts w:ascii="Times New Roman" w:hAnsi="Times New Roman"/>
              </w:rPr>
              <w:t xml:space="preserve"> </w:t>
            </w:r>
            <w:r w:rsidR="00FD0EB9" w:rsidRPr="002F4B61">
              <w:rPr>
                <w:rFonts w:ascii="Times New Roman" w:hAnsi="Times New Roman"/>
              </w:rPr>
              <w:t>hour</w:t>
            </w:r>
          </w:p>
        </w:tc>
        <w:tc>
          <w:tcPr>
            <w:tcW w:w="1908" w:type="dxa"/>
            <w:shd w:val="clear" w:color="auto" w:fill="FFFFFF" w:themeFill="background1"/>
            <w:vAlign w:val="center"/>
          </w:tcPr>
          <w:p w:rsidR="00373576" w:rsidRPr="002F4B61" w:rsidRDefault="00373576" w:rsidP="00096C44">
            <w:pPr>
              <w:pStyle w:val="tt-tabletitle"/>
              <w:ind w:left="0" w:hanging="18"/>
              <w:jc w:val="center"/>
              <w:rPr>
                <w:rFonts w:ascii="Times New Roman" w:hAnsi="Times New Roman"/>
              </w:rPr>
            </w:pPr>
            <w:r w:rsidRPr="002F4B61">
              <w:rPr>
                <w:rFonts w:ascii="Times New Roman" w:hAnsi="Times New Roman"/>
              </w:rPr>
              <w:t>31</w:t>
            </w:r>
            <w:r w:rsidR="00770DE3">
              <w:rPr>
                <w:rFonts w:ascii="Times New Roman" w:hAnsi="Times New Roman"/>
              </w:rPr>
              <w:t>7</w:t>
            </w:r>
          </w:p>
        </w:tc>
      </w:tr>
      <w:tr w:rsidR="00373576" w:rsidRPr="002F4B61" w:rsidTr="007E5B92">
        <w:tc>
          <w:tcPr>
            <w:tcW w:w="1476" w:type="dxa"/>
            <w:shd w:val="clear" w:color="auto" w:fill="FFFFFF" w:themeFill="background1"/>
          </w:tcPr>
          <w:p w:rsidR="00373576" w:rsidRPr="002F4B61" w:rsidRDefault="00D81BA4" w:rsidP="00D05B7B">
            <w:pPr>
              <w:pStyle w:val="tt-tabletitle"/>
              <w:ind w:left="0" w:firstLine="0"/>
              <w:rPr>
                <w:rFonts w:ascii="Times New Roman" w:hAnsi="Times New Roman"/>
              </w:rPr>
            </w:pPr>
            <w:r w:rsidRPr="002F4B61">
              <w:rPr>
                <w:rFonts w:ascii="Times New Roman" w:hAnsi="Times New Roman"/>
              </w:rPr>
              <w:t xml:space="preserve">Institutional </w:t>
            </w:r>
            <w:r w:rsidR="00373576" w:rsidRPr="002F4B61">
              <w:rPr>
                <w:rFonts w:ascii="Times New Roman" w:hAnsi="Times New Roman"/>
              </w:rPr>
              <w:t>Signing Official</w:t>
            </w:r>
          </w:p>
        </w:tc>
        <w:tc>
          <w:tcPr>
            <w:tcW w:w="1782" w:type="dxa"/>
            <w:shd w:val="clear" w:color="auto" w:fill="FFFFFF" w:themeFill="background1"/>
            <w:vAlign w:val="center"/>
          </w:tcPr>
          <w:p w:rsidR="00373576" w:rsidRPr="002F4B61" w:rsidRDefault="00373576" w:rsidP="000D18B1">
            <w:pPr>
              <w:pStyle w:val="tt-tabletitle"/>
              <w:ind w:left="0" w:hanging="2"/>
              <w:jc w:val="center"/>
              <w:rPr>
                <w:rFonts w:ascii="Times New Roman" w:hAnsi="Times New Roman"/>
              </w:rPr>
            </w:pPr>
            <w:r w:rsidRPr="002F4B61">
              <w:rPr>
                <w:rFonts w:ascii="Times New Roman" w:hAnsi="Times New Roman"/>
              </w:rPr>
              <w:t>633</w:t>
            </w:r>
          </w:p>
        </w:tc>
        <w:tc>
          <w:tcPr>
            <w:tcW w:w="1710" w:type="dxa"/>
            <w:shd w:val="clear" w:color="auto" w:fill="FFFFFF" w:themeFill="background1"/>
            <w:vAlign w:val="center"/>
          </w:tcPr>
          <w:p w:rsidR="00373576" w:rsidRPr="002F4B61" w:rsidRDefault="00373576" w:rsidP="000D18B1">
            <w:pPr>
              <w:pStyle w:val="tt-tabletitle"/>
              <w:ind w:left="72" w:firstLine="8"/>
              <w:jc w:val="center"/>
              <w:rPr>
                <w:rFonts w:ascii="Times New Roman" w:hAnsi="Times New Roman"/>
              </w:rPr>
            </w:pPr>
            <w:r w:rsidRPr="002F4B61">
              <w:rPr>
                <w:rFonts w:ascii="Times New Roman" w:hAnsi="Times New Roman"/>
              </w:rPr>
              <w:t>2</w:t>
            </w:r>
          </w:p>
        </w:tc>
        <w:tc>
          <w:tcPr>
            <w:tcW w:w="1980" w:type="dxa"/>
            <w:shd w:val="clear" w:color="auto" w:fill="FFFFFF" w:themeFill="background1"/>
            <w:vAlign w:val="center"/>
          </w:tcPr>
          <w:p w:rsidR="00373576" w:rsidRPr="002F4B61" w:rsidRDefault="00770DE3" w:rsidP="00773654">
            <w:pPr>
              <w:pStyle w:val="tt-tabletitle"/>
              <w:spacing w:line="240" w:lineRule="auto"/>
              <w:ind w:left="0" w:firstLine="0"/>
              <w:jc w:val="center"/>
              <w:rPr>
                <w:rFonts w:ascii="Times New Roman" w:hAnsi="Times New Roman"/>
              </w:rPr>
            </w:pPr>
            <w:r>
              <w:rPr>
                <w:rFonts w:ascii="Times New Roman" w:hAnsi="Times New Roman"/>
              </w:rPr>
              <w:t>18/60</w:t>
            </w:r>
            <w:r w:rsidR="00373576" w:rsidRPr="002F4B61">
              <w:rPr>
                <w:rFonts w:ascii="Times New Roman" w:hAnsi="Times New Roman"/>
              </w:rPr>
              <w:t xml:space="preserve"> </w:t>
            </w:r>
            <w:r w:rsidR="00FD0EB9" w:rsidRPr="002F4B61">
              <w:rPr>
                <w:rFonts w:ascii="Times New Roman" w:hAnsi="Times New Roman"/>
              </w:rPr>
              <w:t>hour</w:t>
            </w:r>
          </w:p>
        </w:tc>
        <w:tc>
          <w:tcPr>
            <w:tcW w:w="1908" w:type="dxa"/>
            <w:shd w:val="clear" w:color="auto" w:fill="FFFFFF" w:themeFill="background1"/>
            <w:vAlign w:val="center"/>
          </w:tcPr>
          <w:p w:rsidR="00373576" w:rsidRPr="002F4B61" w:rsidRDefault="00373576" w:rsidP="00096C44">
            <w:pPr>
              <w:pStyle w:val="tt-tabletitle"/>
              <w:ind w:left="0" w:hanging="18"/>
              <w:jc w:val="center"/>
              <w:rPr>
                <w:rFonts w:ascii="Times New Roman" w:hAnsi="Times New Roman"/>
              </w:rPr>
            </w:pPr>
            <w:r w:rsidRPr="002F4B61">
              <w:rPr>
                <w:rFonts w:ascii="Times New Roman" w:hAnsi="Times New Roman"/>
              </w:rPr>
              <w:t>3</w:t>
            </w:r>
            <w:r w:rsidR="00770DE3">
              <w:rPr>
                <w:rFonts w:ascii="Times New Roman" w:hAnsi="Times New Roman"/>
              </w:rPr>
              <w:t>80</w:t>
            </w:r>
          </w:p>
        </w:tc>
      </w:tr>
      <w:tr w:rsidR="00373576" w:rsidRPr="002F4B61" w:rsidTr="005A02F2">
        <w:tc>
          <w:tcPr>
            <w:tcW w:w="1476" w:type="dxa"/>
            <w:shd w:val="clear" w:color="auto" w:fill="FFFFFF" w:themeFill="background1"/>
          </w:tcPr>
          <w:p w:rsidR="00373576" w:rsidRPr="002F4B61" w:rsidRDefault="00373576" w:rsidP="00D05B7B">
            <w:pPr>
              <w:pStyle w:val="tt-tabletitle"/>
              <w:ind w:left="0" w:firstLine="0"/>
              <w:rPr>
                <w:rFonts w:ascii="Times New Roman" w:hAnsi="Times New Roman"/>
              </w:rPr>
            </w:pPr>
            <w:r w:rsidRPr="002F4B61">
              <w:rPr>
                <w:rFonts w:ascii="Times New Roman" w:hAnsi="Times New Roman"/>
              </w:rPr>
              <w:t>Total</w:t>
            </w:r>
          </w:p>
        </w:tc>
        <w:tc>
          <w:tcPr>
            <w:tcW w:w="1782" w:type="dxa"/>
            <w:shd w:val="clear" w:color="auto" w:fill="FFFFFF" w:themeFill="background1"/>
            <w:vAlign w:val="center"/>
          </w:tcPr>
          <w:p w:rsidR="00373576" w:rsidRPr="002F4B61" w:rsidRDefault="00373576" w:rsidP="00096C44">
            <w:pPr>
              <w:pStyle w:val="tt-tabletitle"/>
              <w:ind w:left="88" w:hanging="90"/>
              <w:jc w:val="center"/>
              <w:rPr>
                <w:rFonts w:ascii="Times New Roman" w:hAnsi="Times New Roman"/>
              </w:rPr>
            </w:pPr>
            <w:r w:rsidRPr="002F4B61">
              <w:rPr>
                <w:rFonts w:ascii="Times New Roman" w:hAnsi="Times New Roman"/>
              </w:rPr>
              <w:t>1</w:t>
            </w:r>
            <w:r w:rsidR="001C16B5" w:rsidRPr="002F4B61">
              <w:rPr>
                <w:rFonts w:ascii="Times New Roman" w:hAnsi="Times New Roman"/>
              </w:rPr>
              <w:t>,</w:t>
            </w:r>
            <w:r w:rsidRPr="002F4B61">
              <w:rPr>
                <w:rFonts w:ascii="Times New Roman" w:hAnsi="Times New Roman"/>
              </w:rPr>
              <w:t>266</w:t>
            </w:r>
          </w:p>
        </w:tc>
        <w:tc>
          <w:tcPr>
            <w:tcW w:w="1710" w:type="dxa"/>
            <w:shd w:val="clear" w:color="auto" w:fill="FFFFFF" w:themeFill="background1"/>
          </w:tcPr>
          <w:p w:rsidR="00373576" w:rsidRPr="002F4B61" w:rsidRDefault="00373576" w:rsidP="00096C44">
            <w:pPr>
              <w:jc w:val="center"/>
              <w:rPr>
                <w:rFonts w:ascii="Times New Roman" w:hAnsi="Times New Roman"/>
                <w:sz w:val="22"/>
                <w:szCs w:val="22"/>
              </w:rPr>
            </w:pPr>
            <w:r w:rsidRPr="002F4B61">
              <w:rPr>
                <w:rFonts w:ascii="Times New Roman" w:hAnsi="Times New Roman"/>
                <w:sz w:val="22"/>
                <w:szCs w:val="22"/>
              </w:rPr>
              <w:t>n/a</w:t>
            </w:r>
          </w:p>
        </w:tc>
        <w:tc>
          <w:tcPr>
            <w:tcW w:w="1980" w:type="dxa"/>
            <w:shd w:val="clear" w:color="auto" w:fill="FFFFFF" w:themeFill="background1"/>
          </w:tcPr>
          <w:p w:rsidR="00373576" w:rsidRPr="002F4B61" w:rsidRDefault="00373576" w:rsidP="00096C44">
            <w:pPr>
              <w:jc w:val="center"/>
              <w:rPr>
                <w:rFonts w:ascii="Times New Roman" w:hAnsi="Times New Roman"/>
                <w:sz w:val="22"/>
                <w:szCs w:val="22"/>
              </w:rPr>
            </w:pPr>
            <w:r w:rsidRPr="002F4B61">
              <w:rPr>
                <w:rFonts w:ascii="Times New Roman" w:hAnsi="Times New Roman"/>
                <w:sz w:val="22"/>
                <w:szCs w:val="22"/>
              </w:rPr>
              <w:t>n/a</w:t>
            </w:r>
          </w:p>
        </w:tc>
        <w:tc>
          <w:tcPr>
            <w:tcW w:w="1908" w:type="dxa"/>
            <w:shd w:val="clear" w:color="auto" w:fill="FFFFFF" w:themeFill="background1"/>
          </w:tcPr>
          <w:p w:rsidR="00373576" w:rsidRPr="002F4B61" w:rsidRDefault="00373576" w:rsidP="00096C44">
            <w:pPr>
              <w:jc w:val="center"/>
              <w:rPr>
                <w:rFonts w:ascii="Times New Roman" w:hAnsi="Times New Roman"/>
                <w:sz w:val="22"/>
                <w:szCs w:val="22"/>
              </w:rPr>
            </w:pPr>
            <w:r w:rsidRPr="002F4B61">
              <w:rPr>
                <w:rFonts w:ascii="Times New Roman" w:hAnsi="Times New Roman"/>
                <w:sz w:val="22"/>
                <w:szCs w:val="22"/>
              </w:rPr>
              <w:t>69</w:t>
            </w:r>
            <w:r w:rsidR="00770DE3">
              <w:rPr>
                <w:rFonts w:ascii="Times New Roman" w:hAnsi="Times New Roman"/>
                <w:sz w:val="22"/>
                <w:szCs w:val="22"/>
              </w:rPr>
              <w:t>7</w:t>
            </w:r>
          </w:p>
        </w:tc>
      </w:tr>
    </w:tbl>
    <w:p w:rsidR="00576022" w:rsidRPr="002F4B61" w:rsidRDefault="00576022" w:rsidP="0048394E">
      <w:pPr>
        <w:rPr>
          <w:sz w:val="22"/>
          <w:szCs w:val="22"/>
        </w:rPr>
      </w:pPr>
    </w:p>
    <w:p w:rsidR="00CE2064" w:rsidRPr="002F4B61" w:rsidRDefault="008E273F" w:rsidP="0048394E">
      <w:pPr>
        <w:ind w:left="630"/>
        <w:rPr>
          <w:sz w:val="22"/>
          <w:szCs w:val="22"/>
        </w:rPr>
      </w:pPr>
      <w:r w:rsidRPr="002F4B61">
        <w:rPr>
          <w:sz w:val="22"/>
          <w:szCs w:val="22"/>
        </w:rPr>
        <w:t xml:space="preserve">To estimate the annual cost to respondents, NIH used </w:t>
      </w:r>
      <w:r w:rsidR="00CF5657" w:rsidRPr="002F4B61">
        <w:rPr>
          <w:sz w:val="22"/>
          <w:szCs w:val="22"/>
        </w:rPr>
        <w:t>statistics from the U.S. Bureau of Labor and Statistics 201</w:t>
      </w:r>
      <w:r w:rsidR="00EB3E11" w:rsidRPr="002F4B61">
        <w:rPr>
          <w:sz w:val="22"/>
          <w:szCs w:val="22"/>
        </w:rPr>
        <w:t>1</w:t>
      </w:r>
      <w:r w:rsidR="00CF5657" w:rsidRPr="002F4B61">
        <w:rPr>
          <w:sz w:val="22"/>
          <w:szCs w:val="22"/>
        </w:rPr>
        <w:t xml:space="preserve"> National Occupational Employment and Wage Estimates</w:t>
      </w:r>
      <w:r w:rsidR="003F046F" w:rsidRPr="002F4B61">
        <w:rPr>
          <w:sz w:val="22"/>
          <w:szCs w:val="22"/>
        </w:rPr>
        <w:t>.</w:t>
      </w:r>
      <w:r w:rsidR="003F046F" w:rsidRPr="002F4B61">
        <w:rPr>
          <w:rStyle w:val="FootnoteReference"/>
          <w:sz w:val="22"/>
          <w:szCs w:val="22"/>
        </w:rPr>
        <w:footnoteReference w:id="10"/>
      </w:r>
      <w:r w:rsidR="003F046F" w:rsidRPr="002F4B61">
        <w:rPr>
          <w:sz w:val="22"/>
          <w:szCs w:val="22"/>
        </w:rPr>
        <w:t xml:space="preserve"> </w:t>
      </w:r>
      <w:r w:rsidR="001A3E56" w:rsidRPr="002F4B61">
        <w:rPr>
          <w:sz w:val="22"/>
          <w:szCs w:val="22"/>
        </w:rPr>
        <w:t xml:space="preserve"> </w:t>
      </w:r>
      <w:r w:rsidR="004B12A6" w:rsidRPr="002F4B61">
        <w:rPr>
          <w:sz w:val="22"/>
          <w:szCs w:val="22"/>
        </w:rPr>
        <w:t>The mean hourly wage of $3</w:t>
      </w:r>
      <w:r w:rsidR="00EB3E11" w:rsidRPr="002F4B61">
        <w:rPr>
          <w:sz w:val="22"/>
          <w:szCs w:val="22"/>
        </w:rPr>
        <w:t>5</w:t>
      </w:r>
      <w:r w:rsidR="004B12A6" w:rsidRPr="002F4B61">
        <w:rPr>
          <w:sz w:val="22"/>
          <w:szCs w:val="22"/>
        </w:rPr>
        <w:t>.</w:t>
      </w:r>
      <w:r w:rsidR="00EB3E11" w:rsidRPr="002F4B61">
        <w:rPr>
          <w:sz w:val="22"/>
          <w:szCs w:val="22"/>
        </w:rPr>
        <w:t>68</w:t>
      </w:r>
      <w:r w:rsidR="004B12A6" w:rsidRPr="002F4B61">
        <w:rPr>
          <w:sz w:val="22"/>
          <w:szCs w:val="22"/>
        </w:rPr>
        <w:t xml:space="preserve"> for Life Scientists was used for PIs, and the mean hourly wage of $4</w:t>
      </w:r>
      <w:r w:rsidR="00777E7A" w:rsidRPr="002F4B61">
        <w:rPr>
          <w:sz w:val="22"/>
          <w:szCs w:val="22"/>
        </w:rPr>
        <w:t>6</w:t>
      </w:r>
      <w:r w:rsidR="004B12A6" w:rsidRPr="002F4B61">
        <w:rPr>
          <w:sz w:val="22"/>
          <w:szCs w:val="22"/>
        </w:rPr>
        <w:t>.</w:t>
      </w:r>
      <w:r w:rsidR="00777E7A" w:rsidRPr="002F4B61">
        <w:rPr>
          <w:sz w:val="22"/>
          <w:szCs w:val="22"/>
        </w:rPr>
        <w:t>72</w:t>
      </w:r>
      <w:r w:rsidR="004B12A6" w:rsidRPr="002F4B61">
        <w:rPr>
          <w:sz w:val="22"/>
          <w:szCs w:val="22"/>
        </w:rPr>
        <w:t xml:space="preserve"> for </w:t>
      </w:r>
      <w:r w:rsidR="00777E7A" w:rsidRPr="002F4B61">
        <w:rPr>
          <w:sz w:val="22"/>
          <w:szCs w:val="22"/>
        </w:rPr>
        <w:t xml:space="preserve">Education </w:t>
      </w:r>
      <w:r w:rsidR="001C16B5" w:rsidRPr="002F4B61">
        <w:rPr>
          <w:sz w:val="22"/>
          <w:szCs w:val="22"/>
        </w:rPr>
        <w:lastRenderedPageBreak/>
        <w:t>Administrators</w:t>
      </w:r>
      <w:r w:rsidR="00777E7A" w:rsidRPr="002F4B61">
        <w:rPr>
          <w:sz w:val="22"/>
          <w:szCs w:val="22"/>
        </w:rPr>
        <w:t>, Postsecondary,</w:t>
      </w:r>
      <w:r w:rsidR="001C16B5" w:rsidRPr="002F4B61">
        <w:rPr>
          <w:sz w:val="22"/>
          <w:szCs w:val="22"/>
        </w:rPr>
        <w:t xml:space="preserve"> </w:t>
      </w:r>
      <w:r w:rsidR="004B12A6" w:rsidRPr="002F4B61">
        <w:rPr>
          <w:sz w:val="22"/>
          <w:szCs w:val="22"/>
        </w:rPr>
        <w:t xml:space="preserve">was used for </w:t>
      </w:r>
      <w:r w:rsidR="00D81BA4" w:rsidRPr="002F4B61">
        <w:rPr>
          <w:sz w:val="22"/>
          <w:szCs w:val="22"/>
        </w:rPr>
        <w:t xml:space="preserve">Institutional </w:t>
      </w:r>
      <w:r w:rsidR="004B12A6" w:rsidRPr="002F4B61">
        <w:rPr>
          <w:sz w:val="22"/>
          <w:szCs w:val="22"/>
        </w:rPr>
        <w:t>Signing Officials.</w:t>
      </w:r>
      <w:r w:rsidR="001A3E56" w:rsidRPr="002F4B61">
        <w:rPr>
          <w:sz w:val="22"/>
          <w:szCs w:val="22"/>
        </w:rPr>
        <w:t xml:space="preserve"> </w:t>
      </w:r>
      <w:r w:rsidR="00CF5657" w:rsidRPr="002F4B61">
        <w:rPr>
          <w:sz w:val="22"/>
          <w:szCs w:val="22"/>
        </w:rPr>
        <w:t xml:space="preserve"> </w:t>
      </w:r>
      <w:r w:rsidR="00DE19D5" w:rsidRPr="002F4B61">
        <w:rPr>
          <w:sz w:val="22"/>
          <w:szCs w:val="22"/>
        </w:rPr>
        <w:t xml:space="preserve">The </w:t>
      </w:r>
      <w:r w:rsidR="003F046F" w:rsidRPr="002F4B61">
        <w:rPr>
          <w:sz w:val="22"/>
          <w:szCs w:val="22"/>
        </w:rPr>
        <w:t>annual cost burden estimates are calculated separately for the initial DAR and renewal/project close-out forms</w:t>
      </w:r>
      <w:r w:rsidR="00DE19D5" w:rsidRPr="002F4B61">
        <w:rPr>
          <w:sz w:val="22"/>
          <w:szCs w:val="22"/>
        </w:rPr>
        <w:t>.</w:t>
      </w:r>
      <w:r w:rsidR="001C16B5" w:rsidRPr="002F4B61">
        <w:rPr>
          <w:sz w:val="22"/>
          <w:szCs w:val="22"/>
        </w:rPr>
        <w:t xml:space="preserve"> </w:t>
      </w:r>
    </w:p>
    <w:p w:rsidR="00CE2064" w:rsidRPr="002F4B61" w:rsidRDefault="00CE2064" w:rsidP="00CE2064">
      <w:pPr>
        <w:ind w:left="630"/>
        <w:rPr>
          <w:sz w:val="22"/>
          <w:szCs w:val="22"/>
        </w:rPr>
      </w:pPr>
    </w:p>
    <w:p w:rsidR="0048394E" w:rsidRDefault="0048394E" w:rsidP="0048394E">
      <w:pPr>
        <w:ind w:left="630"/>
        <w:rPr>
          <w:sz w:val="22"/>
          <w:szCs w:val="22"/>
        </w:rPr>
      </w:pPr>
      <w:r w:rsidRPr="002F4B61">
        <w:rPr>
          <w:sz w:val="22"/>
          <w:szCs w:val="22"/>
        </w:rPr>
        <w:t xml:space="preserve">Table 12-5 provides the estimated annual cost for respondents to complete an initial DAR form.  </w:t>
      </w:r>
      <w:r w:rsidR="001C16B5" w:rsidRPr="002F4B61">
        <w:rPr>
          <w:sz w:val="22"/>
          <w:szCs w:val="22"/>
        </w:rPr>
        <w:t>The est</w:t>
      </w:r>
      <w:r w:rsidR="00770DE3">
        <w:rPr>
          <w:sz w:val="22"/>
          <w:szCs w:val="22"/>
        </w:rPr>
        <w:t>imated annual cost of $33,878</w:t>
      </w:r>
      <w:r w:rsidR="001C16B5" w:rsidRPr="002F4B61">
        <w:rPr>
          <w:sz w:val="22"/>
          <w:szCs w:val="22"/>
        </w:rPr>
        <w:t xml:space="preserve"> for PIs to complete an initial DAR was calculated by multiplying the number of PIs </w:t>
      </w:r>
      <w:r w:rsidR="004F519E" w:rsidRPr="002F4B61">
        <w:rPr>
          <w:sz w:val="22"/>
          <w:szCs w:val="22"/>
        </w:rPr>
        <w:t>(633</w:t>
      </w:r>
      <w:r w:rsidR="001C16B5" w:rsidRPr="002F4B61">
        <w:rPr>
          <w:sz w:val="22"/>
          <w:szCs w:val="22"/>
        </w:rPr>
        <w:t>) by frequenc</w:t>
      </w:r>
      <w:r w:rsidR="004F519E" w:rsidRPr="002F4B61">
        <w:rPr>
          <w:sz w:val="22"/>
          <w:szCs w:val="22"/>
        </w:rPr>
        <w:t>y of response (2</w:t>
      </w:r>
      <w:r w:rsidR="001C16B5" w:rsidRPr="002F4B61">
        <w:rPr>
          <w:sz w:val="22"/>
          <w:szCs w:val="22"/>
        </w:rPr>
        <w:t>) by the average time per response (0.75 hour) by the hourly wage rate for PIs ($35.68).  The estimated annual cost of $</w:t>
      </w:r>
      <w:r w:rsidR="00770DE3">
        <w:rPr>
          <w:sz w:val="22"/>
          <w:szCs w:val="22"/>
        </w:rPr>
        <w:t>29,574</w:t>
      </w:r>
      <w:r w:rsidR="00311445" w:rsidRPr="002F4B61">
        <w:rPr>
          <w:sz w:val="22"/>
          <w:szCs w:val="22"/>
        </w:rPr>
        <w:t xml:space="preserve"> </w:t>
      </w:r>
      <w:r w:rsidR="001C16B5" w:rsidRPr="002F4B61">
        <w:rPr>
          <w:sz w:val="22"/>
          <w:szCs w:val="22"/>
        </w:rPr>
        <w:t xml:space="preserve">for </w:t>
      </w:r>
      <w:r w:rsidR="00D81BA4" w:rsidRPr="002F4B61">
        <w:rPr>
          <w:sz w:val="22"/>
          <w:szCs w:val="22"/>
        </w:rPr>
        <w:t xml:space="preserve">Institutional </w:t>
      </w:r>
      <w:r w:rsidR="001C16B5" w:rsidRPr="002F4B61">
        <w:rPr>
          <w:sz w:val="22"/>
          <w:szCs w:val="22"/>
        </w:rPr>
        <w:t xml:space="preserve">Signing Officials to certify </w:t>
      </w:r>
      <w:r w:rsidR="004F519E" w:rsidRPr="002F4B61">
        <w:rPr>
          <w:sz w:val="22"/>
          <w:szCs w:val="22"/>
        </w:rPr>
        <w:t xml:space="preserve">the DAR </w:t>
      </w:r>
      <w:r w:rsidR="001C16B5" w:rsidRPr="002F4B61">
        <w:rPr>
          <w:sz w:val="22"/>
          <w:szCs w:val="22"/>
        </w:rPr>
        <w:t xml:space="preserve">was similarly calculated (i.e., multiplying the number of </w:t>
      </w:r>
      <w:r w:rsidR="00D81BA4" w:rsidRPr="002F4B61">
        <w:rPr>
          <w:sz w:val="22"/>
          <w:szCs w:val="22"/>
        </w:rPr>
        <w:t xml:space="preserve">Institutional </w:t>
      </w:r>
      <w:r w:rsidR="001C16B5" w:rsidRPr="002F4B61">
        <w:rPr>
          <w:sz w:val="22"/>
          <w:szCs w:val="22"/>
        </w:rPr>
        <w:t>Signing Officials by the frequency of response by the average time per response by the hourly wage rate).  The total annual cost of study registration and data submission is $</w:t>
      </w:r>
      <w:r w:rsidR="00770DE3">
        <w:rPr>
          <w:sz w:val="22"/>
          <w:szCs w:val="22"/>
        </w:rPr>
        <w:t>63,452</w:t>
      </w:r>
      <w:r w:rsidR="001C16B5" w:rsidRPr="002F4B61">
        <w:rPr>
          <w:sz w:val="22"/>
          <w:szCs w:val="22"/>
        </w:rPr>
        <w:t>.</w:t>
      </w:r>
    </w:p>
    <w:p w:rsidR="00770DE3" w:rsidRPr="002F4B61" w:rsidRDefault="00770DE3" w:rsidP="0048394E">
      <w:pPr>
        <w:ind w:left="630"/>
        <w:rPr>
          <w:sz w:val="22"/>
          <w:szCs w:val="22"/>
        </w:rPr>
      </w:pPr>
    </w:p>
    <w:tbl>
      <w:tblPr>
        <w:tblStyle w:val="TableGrid"/>
        <w:tblW w:w="0" w:type="auto"/>
        <w:tblInd w:w="720" w:type="dxa"/>
        <w:tblLayout w:type="fixed"/>
        <w:tblLook w:val="04A0" w:firstRow="1" w:lastRow="0" w:firstColumn="1" w:lastColumn="0" w:noHBand="0" w:noVBand="1"/>
      </w:tblPr>
      <w:tblGrid>
        <w:gridCol w:w="1476"/>
        <w:gridCol w:w="1422"/>
        <w:gridCol w:w="1440"/>
        <w:gridCol w:w="1620"/>
        <w:gridCol w:w="1530"/>
        <w:gridCol w:w="1350"/>
      </w:tblGrid>
      <w:tr w:rsidR="000B7F35" w:rsidRPr="002F4B61" w:rsidTr="00DF11B3">
        <w:tc>
          <w:tcPr>
            <w:tcW w:w="8838" w:type="dxa"/>
            <w:gridSpan w:val="6"/>
            <w:shd w:val="clear" w:color="auto" w:fill="D9D9D9" w:themeFill="background1" w:themeFillShade="D9"/>
          </w:tcPr>
          <w:p w:rsidR="000B7F35" w:rsidRPr="002F4B61" w:rsidRDefault="002F4B61" w:rsidP="00CC1DC4">
            <w:pPr>
              <w:jc w:val="center"/>
              <w:rPr>
                <w:b/>
                <w:bCs/>
                <w:sz w:val="22"/>
                <w:szCs w:val="22"/>
              </w:rPr>
            </w:pPr>
            <w:r>
              <w:rPr>
                <w:sz w:val="22"/>
                <w:szCs w:val="22"/>
              </w:rPr>
              <w:br w:type="page"/>
            </w:r>
            <w:r w:rsidR="000B7F35" w:rsidRPr="002F4B61">
              <w:rPr>
                <w:rFonts w:ascii="Times New Roman" w:hAnsi="Times New Roman"/>
                <w:b/>
                <w:sz w:val="22"/>
                <w:szCs w:val="22"/>
              </w:rPr>
              <w:t>Table 12-5 Annualized Cost to Respondents for Initial Data Access Request</w:t>
            </w:r>
          </w:p>
        </w:tc>
      </w:tr>
      <w:tr w:rsidR="000B7F35" w:rsidRPr="002F4B61" w:rsidTr="000E14CF">
        <w:tc>
          <w:tcPr>
            <w:tcW w:w="1476" w:type="dxa"/>
            <w:shd w:val="clear" w:color="auto" w:fill="FFFFFF" w:themeFill="background1"/>
            <w:vAlign w:val="center"/>
          </w:tcPr>
          <w:p w:rsidR="000B7F35" w:rsidRPr="002F4B61" w:rsidRDefault="000B7F35" w:rsidP="00462107">
            <w:pPr>
              <w:jc w:val="center"/>
              <w:rPr>
                <w:rFonts w:ascii="Times New Roman" w:hAnsi="Times New Roman"/>
                <w:b/>
                <w:bCs/>
                <w:sz w:val="22"/>
                <w:szCs w:val="22"/>
              </w:rPr>
            </w:pPr>
            <w:r w:rsidRPr="002F4B61">
              <w:rPr>
                <w:rFonts w:ascii="Times New Roman" w:hAnsi="Times New Roman"/>
                <w:b/>
                <w:bCs/>
                <w:sz w:val="22"/>
                <w:szCs w:val="22"/>
              </w:rPr>
              <w:t>Type of Respondent</w:t>
            </w:r>
          </w:p>
        </w:tc>
        <w:tc>
          <w:tcPr>
            <w:tcW w:w="1422" w:type="dxa"/>
            <w:shd w:val="clear" w:color="auto" w:fill="FFFFFF" w:themeFill="background1"/>
            <w:vAlign w:val="center"/>
          </w:tcPr>
          <w:p w:rsidR="000B7F35" w:rsidRPr="002F4B61" w:rsidRDefault="000B7F35" w:rsidP="00462107">
            <w:pPr>
              <w:jc w:val="center"/>
              <w:rPr>
                <w:rFonts w:ascii="Times New Roman" w:hAnsi="Times New Roman"/>
                <w:b/>
                <w:bCs/>
                <w:sz w:val="22"/>
                <w:szCs w:val="22"/>
              </w:rPr>
            </w:pPr>
            <w:r w:rsidRPr="002F4B61">
              <w:rPr>
                <w:rFonts w:ascii="Times New Roman" w:hAnsi="Times New Roman"/>
                <w:b/>
                <w:bCs/>
                <w:sz w:val="22"/>
                <w:szCs w:val="22"/>
              </w:rPr>
              <w:t>Number of Respondents</w:t>
            </w:r>
          </w:p>
        </w:tc>
        <w:tc>
          <w:tcPr>
            <w:tcW w:w="1440" w:type="dxa"/>
            <w:shd w:val="clear" w:color="auto" w:fill="FFFFFF" w:themeFill="background1"/>
          </w:tcPr>
          <w:p w:rsidR="000B7F35" w:rsidRPr="002F4B61" w:rsidRDefault="000B7F35" w:rsidP="00462107">
            <w:pPr>
              <w:jc w:val="center"/>
              <w:rPr>
                <w:rFonts w:asciiTheme="minorHAnsi" w:hAnsiTheme="minorHAnsi" w:cstheme="minorHAnsi"/>
                <w:b/>
                <w:bCs/>
                <w:sz w:val="22"/>
                <w:szCs w:val="22"/>
              </w:rPr>
            </w:pPr>
            <w:r w:rsidRPr="002F4B61">
              <w:rPr>
                <w:rFonts w:asciiTheme="minorHAnsi" w:hAnsiTheme="minorHAnsi" w:cstheme="minorHAnsi"/>
                <w:b/>
                <w:bCs/>
                <w:sz w:val="22"/>
                <w:szCs w:val="22"/>
              </w:rPr>
              <w:t>Frequency of Response</w:t>
            </w:r>
          </w:p>
        </w:tc>
        <w:tc>
          <w:tcPr>
            <w:tcW w:w="1620" w:type="dxa"/>
            <w:shd w:val="clear" w:color="auto" w:fill="FFFFFF" w:themeFill="background1"/>
            <w:vAlign w:val="center"/>
          </w:tcPr>
          <w:p w:rsidR="000B7F35" w:rsidRPr="002F4B61" w:rsidRDefault="000B7F35" w:rsidP="001A3E56">
            <w:pPr>
              <w:jc w:val="center"/>
              <w:rPr>
                <w:rFonts w:ascii="Times New Roman" w:hAnsi="Times New Roman"/>
                <w:b/>
                <w:bCs/>
                <w:sz w:val="22"/>
                <w:szCs w:val="22"/>
              </w:rPr>
            </w:pPr>
            <w:r w:rsidRPr="002F4B61">
              <w:rPr>
                <w:rFonts w:ascii="Times New Roman" w:hAnsi="Times New Roman"/>
                <w:b/>
                <w:bCs/>
                <w:sz w:val="22"/>
                <w:szCs w:val="22"/>
              </w:rPr>
              <w:t>Average Time per Response</w:t>
            </w:r>
          </w:p>
        </w:tc>
        <w:tc>
          <w:tcPr>
            <w:tcW w:w="1530" w:type="dxa"/>
            <w:shd w:val="clear" w:color="auto" w:fill="FFFFFF" w:themeFill="background1"/>
            <w:vAlign w:val="center"/>
          </w:tcPr>
          <w:p w:rsidR="000B7F35" w:rsidRPr="002F4B61" w:rsidRDefault="000B7F35" w:rsidP="00CE2064">
            <w:pPr>
              <w:jc w:val="center"/>
              <w:rPr>
                <w:rFonts w:ascii="Times New Roman" w:hAnsi="Times New Roman"/>
                <w:b/>
                <w:bCs/>
                <w:sz w:val="22"/>
                <w:szCs w:val="22"/>
              </w:rPr>
            </w:pPr>
            <w:r w:rsidRPr="002F4B61">
              <w:rPr>
                <w:rFonts w:ascii="Times New Roman" w:hAnsi="Times New Roman"/>
                <w:b/>
                <w:bCs/>
                <w:sz w:val="22"/>
                <w:szCs w:val="22"/>
              </w:rPr>
              <w:t>Hourly Wage</w:t>
            </w:r>
            <w:r w:rsidR="004A101C" w:rsidRPr="002F4B61">
              <w:rPr>
                <w:rFonts w:ascii="Times New Roman" w:hAnsi="Times New Roman"/>
                <w:b/>
                <w:bCs/>
                <w:sz w:val="22"/>
                <w:szCs w:val="22"/>
              </w:rPr>
              <w:t xml:space="preserve"> Rate</w:t>
            </w:r>
          </w:p>
        </w:tc>
        <w:tc>
          <w:tcPr>
            <w:tcW w:w="1350" w:type="dxa"/>
            <w:shd w:val="clear" w:color="auto" w:fill="FFFFFF" w:themeFill="background1"/>
            <w:vAlign w:val="center"/>
          </w:tcPr>
          <w:p w:rsidR="000B7F35" w:rsidRPr="002F4B61" w:rsidRDefault="000B7F35" w:rsidP="000B250D">
            <w:pPr>
              <w:jc w:val="center"/>
              <w:rPr>
                <w:rFonts w:ascii="Times New Roman" w:hAnsi="Times New Roman"/>
                <w:b/>
                <w:bCs/>
                <w:sz w:val="22"/>
                <w:szCs w:val="22"/>
              </w:rPr>
            </w:pPr>
            <w:r w:rsidRPr="002F4B61">
              <w:rPr>
                <w:rFonts w:ascii="Times New Roman" w:hAnsi="Times New Roman"/>
                <w:b/>
                <w:bCs/>
                <w:sz w:val="22"/>
                <w:szCs w:val="22"/>
              </w:rPr>
              <w:t xml:space="preserve">Respondent Cost </w:t>
            </w:r>
          </w:p>
        </w:tc>
      </w:tr>
      <w:tr w:rsidR="00B7646C" w:rsidRPr="002F4B61" w:rsidTr="00770DE3">
        <w:tc>
          <w:tcPr>
            <w:tcW w:w="1476" w:type="dxa"/>
            <w:shd w:val="clear" w:color="auto" w:fill="FFFFFF" w:themeFill="background1"/>
          </w:tcPr>
          <w:p w:rsidR="00B7646C" w:rsidRPr="002F4B61" w:rsidRDefault="00B7646C" w:rsidP="00D05B7B">
            <w:pPr>
              <w:rPr>
                <w:rFonts w:ascii="Times New Roman" w:hAnsi="Times New Roman"/>
                <w:sz w:val="22"/>
                <w:szCs w:val="22"/>
              </w:rPr>
            </w:pPr>
            <w:r w:rsidRPr="002F4B61">
              <w:rPr>
                <w:rFonts w:ascii="Times New Roman" w:hAnsi="Times New Roman"/>
                <w:sz w:val="22"/>
                <w:szCs w:val="22"/>
              </w:rPr>
              <w:t>PI</w:t>
            </w:r>
            <w:r w:rsidR="00D02BF1">
              <w:rPr>
                <w:rFonts w:ascii="Times New Roman" w:hAnsi="Times New Roman"/>
                <w:sz w:val="22"/>
                <w:szCs w:val="22"/>
              </w:rPr>
              <w:t xml:space="preserve"> Requesting Data</w:t>
            </w:r>
          </w:p>
        </w:tc>
        <w:tc>
          <w:tcPr>
            <w:tcW w:w="1422" w:type="dxa"/>
            <w:shd w:val="clear" w:color="auto" w:fill="FFFFFF" w:themeFill="background1"/>
            <w:vAlign w:val="center"/>
          </w:tcPr>
          <w:p w:rsidR="00B7646C" w:rsidRPr="002F4B61" w:rsidRDefault="00B7646C" w:rsidP="00770DE3">
            <w:pPr>
              <w:jc w:val="center"/>
              <w:rPr>
                <w:rFonts w:ascii="Times New Roman" w:hAnsi="Times New Roman"/>
                <w:sz w:val="22"/>
                <w:szCs w:val="22"/>
              </w:rPr>
            </w:pPr>
            <w:r w:rsidRPr="002F4B61">
              <w:rPr>
                <w:rFonts w:ascii="Times New Roman" w:hAnsi="Times New Roman"/>
                <w:sz w:val="22"/>
                <w:szCs w:val="22"/>
              </w:rPr>
              <w:t>633</w:t>
            </w:r>
          </w:p>
        </w:tc>
        <w:tc>
          <w:tcPr>
            <w:tcW w:w="1440" w:type="dxa"/>
            <w:shd w:val="clear" w:color="auto" w:fill="FFFFFF" w:themeFill="background1"/>
            <w:vAlign w:val="center"/>
          </w:tcPr>
          <w:p w:rsidR="00B7646C" w:rsidRPr="002F4B61" w:rsidRDefault="00B7646C" w:rsidP="00770DE3">
            <w:pPr>
              <w:jc w:val="center"/>
              <w:rPr>
                <w:rFonts w:asciiTheme="minorHAnsi" w:hAnsiTheme="minorHAnsi" w:cstheme="minorHAnsi"/>
                <w:sz w:val="22"/>
                <w:szCs w:val="22"/>
              </w:rPr>
            </w:pPr>
            <w:r w:rsidRPr="002F4B61">
              <w:rPr>
                <w:rFonts w:asciiTheme="minorHAnsi" w:hAnsiTheme="minorHAnsi" w:cstheme="minorHAnsi"/>
                <w:sz w:val="22"/>
                <w:szCs w:val="22"/>
              </w:rPr>
              <w:t>2</w:t>
            </w:r>
          </w:p>
        </w:tc>
        <w:tc>
          <w:tcPr>
            <w:tcW w:w="1620" w:type="dxa"/>
            <w:shd w:val="clear" w:color="auto" w:fill="FFFFFF" w:themeFill="background1"/>
            <w:vAlign w:val="center"/>
          </w:tcPr>
          <w:p w:rsidR="00B7646C" w:rsidRPr="002F4B61" w:rsidRDefault="00770DE3" w:rsidP="00770DE3">
            <w:pPr>
              <w:jc w:val="center"/>
              <w:rPr>
                <w:rFonts w:ascii="Times New Roman" w:hAnsi="Times New Roman"/>
                <w:sz w:val="22"/>
                <w:szCs w:val="22"/>
              </w:rPr>
            </w:pPr>
            <w:r>
              <w:rPr>
                <w:rFonts w:ascii="Times New Roman" w:hAnsi="Times New Roman"/>
                <w:sz w:val="22"/>
                <w:szCs w:val="22"/>
              </w:rPr>
              <w:t>45/60</w:t>
            </w:r>
            <w:r w:rsidR="00B7646C" w:rsidRPr="002F4B61">
              <w:rPr>
                <w:rFonts w:ascii="Times New Roman" w:hAnsi="Times New Roman"/>
                <w:sz w:val="22"/>
                <w:szCs w:val="22"/>
              </w:rPr>
              <w:t xml:space="preserve"> </w:t>
            </w:r>
            <w:r w:rsidR="001C16B5" w:rsidRPr="002F4B61">
              <w:rPr>
                <w:rFonts w:ascii="Times New Roman" w:hAnsi="Times New Roman"/>
                <w:sz w:val="22"/>
                <w:szCs w:val="22"/>
              </w:rPr>
              <w:t>hour</w:t>
            </w:r>
          </w:p>
        </w:tc>
        <w:tc>
          <w:tcPr>
            <w:tcW w:w="1530" w:type="dxa"/>
            <w:shd w:val="clear" w:color="auto" w:fill="FFFFFF" w:themeFill="background1"/>
            <w:vAlign w:val="center"/>
          </w:tcPr>
          <w:p w:rsidR="00B7646C" w:rsidRPr="002F4B61" w:rsidRDefault="00B7646C" w:rsidP="00770DE3">
            <w:pPr>
              <w:jc w:val="center"/>
              <w:rPr>
                <w:rFonts w:ascii="Times New Roman" w:hAnsi="Times New Roman"/>
                <w:sz w:val="22"/>
                <w:szCs w:val="22"/>
              </w:rPr>
            </w:pPr>
            <w:r w:rsidRPr="002F4B61">
              <w:rPr>
                <w:rFonts w:ascii="Times New Roman" w:hAnsi="Times New Roman"/>
                <w:sz w:val="22"/>
                <w:szCs w:val="22"/>
              </w:rPr>
              <w:t>$35.68</w:t>
            </w:r>
          </w:p>
        </w:tc>
        <w:tc>
          <w:tcPr>
            <w:tcW w:w="1350" w:type="dxa"/>
            <w:shd w:val="clear" w:color="auto" w:fill="FFFFFF" w:themeFill="background1"/>
            <w:vAlign w:val="center"/>
          </w:tcPr>
          <w:p w:rsidR="00B7646C" w:rsidRPr="002F4B61" w:rsidRDefault="00B7646C" w:rsidP="00770DE3">
            <w:pPr>
              <w:jc w:val="center"/>
              <w:rPr>
                <w:rFonts w:ascii="Times New Roman" w:hAnsi="Times New Roman"/>
                <w:sz w:val="22"/>
                <w:szCs w:val="22"/>
              </w:rPr>
            </w:pPr>
            <w:r w:rsidRPr="002F4B61">
              <w:rPr>
                <w:rFonts w:ascii="Times New Roman" w:hAnsi="Times New Roman"/>
                <w:sz w:val="22"/>
                <w:szCs w:val="22"/>
              </w:rPr>
              <w:t>$33</w:t>
            </w:r>
            <w:r w:rsidR="00DD5B09" w:rsidRPr="002F4B61">
              <w:rPr>
                <w:rFonts w:ascii="Times New Roman" w:hAnsi="Times New Roman"/>
                <w:sz w:val="22"/>
                <w:szCs w:val="22"/>
              </w:rPr>
              <w:t>,</w:t>
            </w:r>
            <w:r w:rsidRPr="002F4B61">
              <w:rPr>
                <w:rFonts w:ascii="Times New Roman" w:hAnsi="Times New Roman"/>
                <w:sz w:val="22"/>
                <w:szCs w:val="22"/>
              </w:rPr>
              <w:t>878</w:t>
            </w:r>
          </w:p>
        </w:tc>
      </w:tr>
      <w:tr w:rsidR="00B7646C" w:rsidRPr="002F4B61" w:rsidTr="00770DE3">
        <w:tc>
          <w:tcPr>
            <w:tcW w:w="1476" w:type="dxa"/>
            <w:shd w:val="clear" w:color="auto" w:fill="FFFFFF" w:themeFill="background1"/>
          </w:tcPr>
          <w:p w:rsidR="00B7646C" w:rsidRPr="002F4B61" w:rsidRDefault="00D81BA4" w:rsidP="00D05B7B">
            <w:pPr>
              <w:rPr>
                <w:rFonts w:ascii="Times New Roman" w:hAnsi="Times New Roman"/>
                <w:sz w:val="22"/>
                <w:szCs w:val="22"/>
              </w:rPr>
            </w:pPr>
            <w:r w:rsidRPr="002F4B61">
              <w:rPr>
                <w:rFonts w:ascii="Times New Roman" w:hAnsi="Times New Roman"/>
                <w:sz w:val="22"/>
                <w:szCs w:val="22"/>
              </w:rPr>
              <w:t xml:space="preserve">Institutional </w:t>
            </w:r>
            <w:r w:rsidR="00B7646C" w:rsidRPr="002F4B61">
              <w:rPr>
                <w:rFonts w:ascii="Times New Roman" w:hAnsi="Times New Roman"/>
                <w:sz w:val="22"/>
                <w:szCs w:val="22"/>
              </w:rPr>
              <w:t>Signing Official</w:t>
            </w:r>
          </w:p>
        </w:tc>
        <w:tc>
          <w:tcPr>
            <w:tcW w:w="1422" w:type="dxa"/>
            <w:shd w:val="clear" w:color="auto" w:fill="FFFFFF" w:themeFill="background1"/>
            <w:vAlign w:val="center"/>
          </w:tcPr>
          <w:p w:rsidR="00B7646C" w:rsidRPr="002F4B61" w:rsidRDefault="00B7646C" w:rsidP="00770DE3">
            <w:pPr>
              <w:jc w:val="center"/>
              <w:rPr>
                <w:rFonts w:ascii="Times New Roman" w:hAnsi="Times New Roman"/>
                <w:sz w:val="22"/>
                <w:szCs w:val="22"/>
              </w:rPr>
            </w:pPr>
            <w:r w:rsidRPr="002F4B61">
              <w:rPr>
                <w:rFonts w:ascii="Times New Roman" w:hAnsi="Times New Roman"/>
                <w:sz w:val="22"/>
                <w:szCs w:val="22"/>
              </w:rPr>
              <w:t>633</w:t>
            </w:r>
          </w:p>
        </w:tc>
        <w:tc>
          <w:tcPr>
            <w:tcW w:w="1440" w:type="dxa"/>
            <w:shd w:val="clear" w:color="auto" w:fill="FFFFFF" w:themeFill="background1"/>
            <w:vAlign w:val="center"/>
          </w:tcPr>
          <w:p w:rsidR="00B7646C" w:rsidRPr="002F4B61" w:rsidRDefault="00B7646C" w:rsidP="00770DE3">
            <w:pPr>
              <w:jc w:val="center"/>
              <w:rPr>
                <w:rFonts w:asciiTheme="minorHAnsi" w:hAnsiTheme="minorHAnsi" w:cstheme="minorHAnsi"/>
                <w:sz w:val="22"/>
                <w:szCs w:val="22"/>
              </w:rPr>
            </w:pPr>
            <w:r w:rsidRPr="002F4B61">
              <w:rPr>
                <w:rFonts w:asciiTheme="minorHAnsi" w:hAnsiTheme="minorHAnsi" w:cstheme="minorHAnsi"/>
                <w:sz w:val="22"/>
                <w:szCs w:val="22"/>
              </w:rPr>
              <w:t>2</w:t>
            </w:r>
          </w:p>
        </w:tc>
        <w:tc>
          <w:tcPr>
            <w:tcW w:w="1620" w:type="dxa"/>
            <w:shd w:val="clear" w:color="auto" w:fill="FFFFFF" w:themeFill="background1"/>
            <w:vAlign w:val="center"/>
          </w:tcPr>
          <w:p w:rsidR="00B7646C" w:rsidRPr="002F4B61" w:rsidRDefault="00770DE3" w:rsidP="00770DE3">
            <w:pPr>
              <w:jc w:val="center"/>
              <w:rPr>
                <w:rFonts w:ascii="Times New Roman" w:hAnsi="Times New Roman"/>
                <w:sz w:val="22"/>
                <w:szCs w:val="22"/>
              </w:rPr>
            </w:pPr>
            <w:r>
              <w:rPr>
                <w:rFonts w:ascii="Times New Roman" w:hAnsi="Times New Roman"/>
                <w:sz w:val="22"/>
                <w:szCs w:val="22"/>
              </w:rPr>
              <w:t>30/60</w:t>
            </w:r>
            <w:r w:rsidR="00B7646C" w:rsidRPr="002F4B61">
              <w:rPr>
                <w:rFonts w:ascii="Times New Roman" w:hAnsi="Times New Roman"/>
                <w:sz w:val="22"/>
                <w:szCs w:val="22"/>
              </w:rPr>
              <w:t xml:space="preserve"> </w:t>
            </w:r>
            <w:r w:rsidR="001C16B5" w:rsidRPr="002F4B61">
              <w:rPr>
                <w:rFonts w:ascii="Times New Roman" w:hAnsi="Times New Roman"/>
                <w:sz w:val="22"/>
                <w:szCs w:val="22"/>
              </w:rPr>
              <w:t>hour</w:t>
            </w:r>
          </w:p>
        </w:tc>
        <w:tc>
          <w:tcPr>
            <w:tcW w:w="1530" w:type="dxa"/>
            <w:shd w:val="clear" w:color="auto" w:fill="FFFFFF" w:themeFill="background1"/>
            <w:vAlign w:val="center"/>
          </w:tcPr>
          <w:p w:rsidR="00B7646C" w:rsidRPr="002F4B61" w:rsidRDefault="00B7646C" w:rsidP="00770DE3">
            <w:pPr>
              <w:jc w:val="center"/>
              <w:rPr>
                <w:rFonts w:ascii="Times New Roman" w:hAnsi="Times New Roman"/>
                <w:sz w:val="22"/>
                <w:szCs w:val="22"/>
              </w:rPr>
            </w:pPr>
            <w:r w:rsidRPr="002F4B61">
              <w:rPr>
                <w:rFonts w:ascii="Times New Roman" w:hAnsi="Times New Roman"/>
                <w:sz w:val="22"/>
                <w:szCs w:val="22"/>
              </w:rPr>
              <w:t>$4</w:t>
            </w:r>
            <w:r w:rsidR="00777E7A" w:rsidRPr="002F4B61">
              <w:rPr>
                <w:rFonts w:ascii="Times New Roman" w:hAnsi="Times New Roman"/>
                <w:sz w:val="22"/>
                <w:szCs w:val="22"/>
              </w:rPr>
              <w:t>6</w:t>
            </w:r>
            <w:r w:rsidRPr="002F4B61">
              <w:rPr>
                <w:rFonts w:ascii="Times New Roman" w:hAnsi="Times New Roman"/>
                <w:sz w:val="22"/>
                <w:szCs w:val="22"/>
              </w:rPr>
              <w:t>.</w:t>
            </w:r>
            <w:r w:rsidR="00777E7A" w:rsidRPr="002F4B61">
              <w:rPr>
                <w:rFonts w:ascii="Times New Roman" w:hAnsi="Times New Roman"/>
                <w:sz w:val="22"/>
                <w:szCs w:val="22"/>
              </w:rPr>
              <w:t>72</w:t>
            </w:r>
          </w:p>
        </w:tc>
        <w:tc>
          <w:tcPr>
            <w:tcW w:w="1350" w:type="dxa"/>
            <w:shd w:val="clear" w:color="auto" w:fill="FFFFFF" w:themeFill="background1"/>
            <w:vAlign w:val="center"/>
          </w:tcPr>
          <w:p w:rsidR="00B7646C" w:rsidRPr="002F4B61" w:rsidRDefault="00B7646C" w:rsidP="00770DE3">
            <w:pPr>
              <w:jc w:val="center"/>
              <w:rPr>
                <w:rFonts w:ascii="Times New Roman" w:hAnsi="Times New Roman"/>
                <w:sz w:val="22"/>
                <w:szCs w:val="22"/>
              </w:rPr>
            </w:pPr>
            <w:r w:rsidRPr="002F4B61">
              <w:rPr>
                <w:rFonts w:ascii="Times New Roman" w:hAnsi="Times New Roman"/>
                <w:sz w:val="22"/>
                <w:szCs w:val="22"/>
              </w:rPr>
              <w:t>$</w:t>
            </w:r>
            <w:r w:rsidR="00385F1B" w:rsidRPr="002F4B61">
              <w:rPr>
                <w:rFonts w:ascii="Times New Roman" w:hAnsi="Times New Roman"/>
                <w:sz w:val="22"/>
                <w:szCs w:val="22"/>
              </w:rPr>
              <w:t>29,57</w:t>
            </w:r>
            <w:r w:rsidR="00770DE3">
              <w:rPr>
                <w:rFonts w:ascii="Times New Roman" w:hAnsi="Times New Roman"/>
                <w:sz w:val="22"/>
                <w:szCs w:val="22"/>
              </w:rPr>
              <w:t>4</w:t>
            </w:r>
          </w:p>
        </w:tc>
      </w:tr>
      <w:tr w:rsidR="00EF57AC" w:rsidRPr="002F4B61" w:rsidTr="005A02F2">
        <w:trPr>
          <w:trHeight w:val="70"/>
        </w:trPr>
        <w:tc>
          <w:tcPr>
            <w:tcW w:w="1476" w:type="dxa"/>
            <w:shd w:val="clear" w:color="auto" w:fill="FFFFFF" w:themeFill="background1"/>
          </w:tcPr>
          <w:p w:rsidR="00EF57AC" w:rsidRPr="002F4B61" w:rsidRDefault="00EF57AC" w:rsidP="00B32710">
            <w:pPr>
              <w:rPr>
                <w:rFonts w:ascii="Times New Roman" w:hAnsi="Times New Roman"/>
                <w:sz w:val="22"/>
                <w:szCs w:val="22"/>
              </w:rPr>
            </w:pPr>
            <w:r w:rsidRPr="002F4B61">
              <w:rPr>
                <w:rFonts w:ascii="Times New Roman" w:hAnsi="Times New Roman"/>
                <w:sz w:val="22"/>
                <w:szCs w:val="22"/>
              </w:rPr>
              <w:t>Total</w:t>
            </w:r>
          </w:p>
        </w:tc>
        <w:tc>
          <w:tcPr>
            <w:tcW w:w="1422" w:type="dxa"/>
            <w:shd w:val="clear" w:color="auto" w:fill="FFFFFF" w:themeFill="background1"/>
            <w:vAlign w:val="center"/>
          </w:tcPr>
          <w:p w:rsidR="00EF57AC" w:rsidRPr="002F4B61" w:rsidRDefault="00EF57AC" w:rsidP="00232EE3">
            <w:pPr>
              <w:jc w:val="center"/>
              <w:rPr>
                <w:rFonts w:ascii="Times New Roman" w:hAnsi="Times New Roman"/>
                <w:sz w:val="22"/>
                <w:szCs w:val="22"/>
              </w:rPr>
            </w:pPr>
            <w:r w:rsidRPr="002F4B61">
              <w:rPr>
                <w:rFonts w:ascii="Times New Roman" w:hAnsi="Times New Roman"/>
                <w:sz w:val="22"/>
                <w:szCs w:val="22"/>
              </w:rPr>
              <w:t>1</w:t>
            </w:r>
            <w:r w:rsidR="001C16B5" w:rsidRPr="002F4B61">
              <w:rPr>
                <w:rFonts w:ascii="Times New Roman" w:hAnsi="Times New Roman"/>
                <w:sz w:val="22"/>
                <w:szCs w:val="22"/>
              </w:rPr>
              <w:t>,</w:t>
            </w:r>
            <w:r w:rsidRPr="002F4B61">
              <w:rPr>
                <w:rFonts w:ascii="Times New Roman" w:hAnsi="Times New Roman"/>
                <w:sz w:val="22"/>
                <w:szCs w:val="22"/>
              </w:rPr>
              <w:t>266</w:t>
            </w:r>
          </w:p>
        </w:tc>
        <w:tc>
          <w:tcPr>
            <w:tcW w:w="1440" w:type="dxa"/>
            <w:shd w:val="clear" w:color="auto" w:fill="FFFFFF" w:themeFill="background1"/>
          </w:tcPr>
          <w:p w:rsidR="00EF57AC" w:rsidRPr="002F4B61" w:rsidRDefault="00EF57AC" w:rsidP="00232EE3">
            <w:pPr>
              <w:jc w:val="center"/>
              <w:rPr>
                <w:rFonts w:asciiTheme="minorHAnsi" w:hAnsiTheme="minorHAnsi" w:cstheme="minorHAnsi"/>
                <w:sz w:val="22"/>
                <w:szCs w:val="22"/>
              </w:rPr>
            </w:pPr>
            <w:r w:rsidRPr="002F4B61">
              <w:rPr>
                <w:rFonts w:asciiTheme="minorHAnsi" w:hAnsiTheme="minorHAnsi" w:cstheme="minorHAnsi"/>
                <w:sz w:val="22"/>
                <w:szCs w:val="22"/>
              </w:rPr>
              <w:t>n/a</w:t>
            </w:r>
          </w:p>
        </w:tc>
        <w:tc>
          <w:tcPr>
            <w:tcW w:w="1620" w:type="dxa"/>
            <w:shd w:val="clear" w:color="auto" w:fill="FFFFFF" w:themeFill="background1"/>
          </w:tcPr>
          <w:p w:rsidR="00EF57AC" w:rsidRPr="002F4B61" w:rsidRDefault="00EF57AC" w:rsidP="00232EE3">
            <w:pPr>
              <w:jc w:val="center"/>
              <w:rPr>
                <w:rFonts w:ascii="Times New Roman" w:hAnsi="Times New Roman"/>
                <w:sz w:val="22"/>
                <w:szCs w:val="22"/>
              </w:rPr>
            </w:pPr>
            <w:r w:rsidRPr="002F4B61">
              <w:rPr>
                <w:rFonts w:ascii="Times New Roman" w:hAnsi="Times New Roman"/>
                <w:sz w:val="22"/>
                <w:szCs w:val="22"/>
              </w:rPr>
              <w:t>n/a</w:t>
            </w:r>
          </w:p>
        </w:tc>
        <w:tc>
          <w:tcPr>
            <w:tcW w:w="1530" w:type="dxa"/>
            <w:shd w:val="clear" w:color="auto" w:fill="FFFFFF" w:themeFill="background1"/>
          </w:tcPr>
          <w:p w:rsidR="00EF57AC" w:rsidRPr="002F4B61" w:rsidRDefault="00EF57AC" w:rsidP="00232EE3">
            <w:pPr>
              <w:jc w:val="center"/>
              <w:rPr>
                <w:rFonts w:ascii="Times New Roman" w:hAnsi="Times New Roman"/>
                <w:sz w:val="22"/>
                <w:szCs w:val="22"/>
              </w:rPr>
            </w:pPr>
            <w:r w:rsidRPr="002F4B61">
              <w:rPr>
                <w:rFonts w:ascii="Times New Roman" w:hAnsi="Times New Roman"/>
                <w:sz w:val="22"/>
                <w:szCs w:val="22"/>
              </w:rPr>
              <w:t>n/a</w:t>
            </w:r>
          </w:p>
        </w:tc>
        <w:tc>
          <w:tcPr>
            <w:tcW w:w="1350" w:type="dxa"/>
            <w:shd w:val="clear" w:color="auto" w:fill="FFFFFF" w:themeFill="background1"/>
          </w:tcPr>
          <w:p w:rsidR="00EF57AC" w:rsidRPr="002F4B61" w:rsidRDefault="00EF57AC" w:rsidP="00020DF3">
            <w:pPr>
              <w:jc w:val="center"/>
              <w:rPr>
                <w:rFonts w:ascii="Times New Roman" w:hAnsi="Times New Roman"/>
                <w:sz w:val="22"/>
                <w:szCs w:val="22"/>
              </w:rPr>
            </w:pPr>
            <w:r w:rsidRPr="002F4B61">
              <w:rPr>
                <w:rFonts w:ascii="Times New Roman" w:hAnsi="Times New Roman"/>
                <w:sz w:val="22"/>
                <w:szCs w:val="22"/>
              </w:rPr>
              <w:t>$</w:t>
            </w:r>
            <w:r w:rsidR="00385F1B" w:rsidRPr="002F4B61">
              <w:rPr>
                <w:rFonts w:ascii="Times New Roman" w:hAnsi="Times New Roman"/>
                <w:sz w:val="22"/>
                <w:szCs w:val="22"/>
              </w:rPr>
              <w:t>63</w:t>
            </w:r>
            <w:r w:rsidR="00DD5B09" w:rsidRPr="002F4B61">
              <w:rPr>
                <w:rFonts w:ascii="Times New Roman" w:hAnsi="Times New Roman"/>
                <w:sz w:val="22"/>
                <w:szCs w:val="22"/>
              </w:rPr>
              <w:t>,</w:t>
            </w:r>
            <w:r w:rsidR="00385F1B" w:rsidRPr="002F4B61">
              <w:rPr>
                <w:rFonts w:ascii="Times New Roman" w:hAnsi="Times New Roman"/>
                <w:sz w:val="22"/>
                <w:szCs w:val="22"/>
              </w:rPr>
              <w:t>45</w:t>
            </w:r>
            <w:r w:rsidR="00770DE3">
              <w:rPr>
                <w:rFonts w:ascii="Times New Roman" w:hAnsi="Times New Roman"/>
                <w:sz w:val="22"/>
                <w:szCs w:val="22"/>
              </w:rPr>
              <w:t>2</w:t>
            </w:r>
          </w:p>
        </w:tc>
      </w:tr>
    </w:tbl>
    <w:p w:rsidR="008E273F" w:rsidRPr="002F4B61" w:rsidRDefault="008E273F" w:rsidP="008E273F">
      <w:pPr>
        <w:rPr>
          <w:b/>
          <w:sz w:val="22"/>
          <w:szCs w:val="22"/>
        </w:rPr>
      </w:pPr>
    </w:p>
    <w:p w:rsidR="00003AEA" w:rsidRPr="002F4B61" w:rsidRDefault="0048394E" w:rsidP="0048394E">
      <w:pPr>
        <w:tabs>
          <w:tab w:val="left" w:pos="990"/>
        </w:tabs>
        <w:ind w:left="720"/>
        <w:rPr>
          <w:sz w:val="22"/>
          <w:szCs w:val="22"/>
        </w:rPr>
      </w:pPr>
      <w:r w:rsidRPr="002F4B61">
        <w:rPr>
          <w:sz w:val="22"/>
          <w:szCs w:val="22"/>
        </w:rPr>
        <w:t xml:space="preserve">Table 12-6 provides the estimated annualized cost for respondents to complete a renewal or close-out report.  </w:t>
      </w:r>
      <w:r w:rsidR="00F90760" w:rsidRPr="002F4B61">
        <w:rPr>
          <w:sz w:val="22"/>
          <w:szCs w:val="22"/>
        </w:rPr>
        <w:t>The est</w:t>
      </w:r>
      <w:r w:rsidR="00770DE3">
        <w:rPr>
          <w:sz w:val="22"/>
          <w:szCs w:val="22"/>
        </w:rPr>
        <w:t>imated annual cost of $11,293</w:t>
      </w:r>
      <w:r w:rsidR="00F90760" w:rsidRPr="002F4B61">
        <w:rPr>
          <w:sz w:val="22"/>
          <w:szCs w:val="22"/>
        </w:rPr>
        <w:t xml:space="preserve"> for PIs to complete a renewal or close-out report was calculated by multiplying the number of PIs (633) by frequency of response (2) by the average time per response (0.25 hour) by the hourly wage rate for PIs ($35.68).  The estimated annual cost of $</w:t>
      </w:r>
      <w:r w:rsidR="00761E53" w:rsidRPr="002F4B61">
        <w:rPr>
          <w:sz w:val="22"/>
          <w:szCs w:val="22"/>
        </w:rPr>
        <w:t>17,74</w:t>
      </w:r>
      <w:r w:rsidR="00770DE3">
        <w:rPr>
          <w:sz w:val="22"/>
          <w:szCs w:val="22"/>
        </w:rPr>
        <w:t>4</w:t>
      </w:r>
      <w:r w:rsidR="00761E53" w:rsidRPr="002F4B61">
        <w:rPr>
          <w:sz w:val="22"/>
          <w:szCs w:val="22"/>
        </w:rPr>
        <w:t xml:space="preserve"> </w:t>
      </w:r>
      <w:r w:rsidR="00F90760" w:rsidRPr="002F4B61">
        <w:rPr>
          <w:sz w:val="22"/>
          <w:szCs w:val="22"/>
        </w:rPr>
        <w:t xml:space="preserve">for </w:t>
      </w:r>
      <w:r w:rsidR="00D81BA4" w:rsidRPr="002F4B61">
        <w:rPr>
          <w:sz w:val="22"/>
          <w:szCs w:val="22"/>
        </w:rPr>
        <w:t xml:space="preserve">Institutional </w:t>
      </w:r>
      <w:r w:rsidR="00F90760" w:rsidRPr="002F4B61">
        <w:rPr>
          <w:sz w:val="22"/>
          <w:szCs w:val="22"/>
        </w:rPr>
        <w:t xml:space="preserve">Signing Officials to certify the report was similarly calculated (i.e., multiplying the number of </w:t>
      </w:r>
      <w:r w:rsidR="00D81BA4" w:rsidRPr="002F4B61">
        <w:rPr>
          <w:sz w:val="22"/>
          <w:szCs w:val="22"/>
        </w:rPr>
        <w:t xml:space="preserve">Institutional </w:t>
      </w:r>
      <w:r w:rsidR="00F90760" w:rsidRPr="002F4B61">
        <w:rPr>
          <w:sz w:val="22"/>
          <w:szCs w:val="22"/>
        </w:rPr>
        <w:t>Signing Officials by the frequency of response by the average time per response by the hourly wage rate).  The total annual cost of study registration and data submission is $</w:t>
      </w:r>
      <w:r w:rsidR="00770DE3">
        <w:rPr>
          <w:sz w:val="22"/>
          <w:szCs w:val="22"/>
        </w:rPr>
        <w:t>29,037</w:t>
      </w:r>
      <w:r w:rsidR="00F90760" w:rsidRPr="002F4B61">
        <w:rPr>
          <w:sz w:val="22"/>
          <w:szCs w:val="22"/>
        </w:rPr>
        <w:t>.</w:t>
      </w:r>
      <w:r w:rsidRPr="002F4B61">
        <w:rPr>
          <w:sz w:val="22"/>
          <w:szCs w:val="22"/>
        </w:rPr>
        <w:t xml:space="preserve"> </w:t>
      </w:r>
    </w:p>
    <w:p w:rsidR="00003AEA" w:rsidRPr="002F4B61" w:rsidRDefault="00003AEA" w:rsidP="00283F0D">
      <w:pPr>
        <w:rPr>
          <w:sz w:val="22"/>
          <w:szCs w:val="22"/>
        </w:rPr>
      </w:pPr>
    </w:p>
    <w:tbl>
      <w:tblPr>
        <w:tblStyle w:val="TableGrid"/>
        <w:tblW w:w="0" w:type="auto"/>
        <w:tblInd w:w="720" w:type="dxa"/>
        <w:tblLayout w:type="fixed"/>
        <w:tblLook w:val="04A0" w:firstRow="1" w:lastRow="0" w:firstColumn="1" w:lastColumn="0" w:noHBand="0" w:noVBand="1"/>
      </w:tblPr>
      <w:tblGrid>
        <w:gridCol w:w="1476"/>
        <w:gridCol w:w="1422"/>
        <w:gridCol w:w="1440"/>
        <w:gridCol w:w="1620"/>
        <w:gridCol w:w="1530"/>
        <w:gridCol w:w="1350"/>
      </w:tblGrid>
      <w:tr w:rsidR="00003AEA" w:rsidRPr="002F4B61" w:rsidTr="00DF11B3">
        <w:tc>
          <w:tcPr>
            <w:tcW w:w="8838" w:type="dxa"/>
            <w:gridSpan w:val="6"/>
            <w:shd w:val="clear" w:color="auto" w:fill="D9D9D9" w:themeFill="background1" w:themeFillShade="D9"/>
          </w:tcPr>
          <w:p w:rsidR="00003AEA" w:rsidRPr="002F4B61" w:rsidRDefault="00003AEA" w:rsidP="00CC1DC4">
            <w:pPr>
              <w:jc w:val="center"/>
              <w:rPr>
                <w:b/>
                <w:bCs/>
                <w:sz w:val="22"/>
                <w:szCs w:val="22"/>
              </w:rPr>
            </w:pPr>
            <w:r w:rsidRPr="002F4B61">
              <w:rPr>
                <w:rFonts w:ascii="Times New Roman" w:hAnsi="Times New Roman"/>
                <w:b/>
                <w:sz w:val="22"/>
                <w:szCs w:val="22"/>
              </w:rPr>
              <w:t>Table 12-6 Annualized Cost to Respondents for Renewal/Close-outs</w:t>
            </w:r>
          </w:p>
        </w:tc>
      </w:tr>
      <w:tr w:rsidR="00003AEA" w:rsidRPr="002F4B61" w:rsidTr="000E14CF">
        <w:tc>
          <w:tcPr>
            <w:tcW w:w="1476" w:type="dxa"/>
            <w:shd w:val="clear" w:color="auto" w:fill="FFFFFF" w:themeFill="background1"/>
            <w:vAlign w:val="center"/>
          </w:tcPr>
          <w:p w:rsidR="00003AEA" w:rsidRPr="002F4B61" w:rsidRDefault="00003AEA" w:rsidP="00DF11B3">
            <w:pPr>
              <w:jc w:val="center"/>
              <w:rPr>
                <w:rFonts w:ascii="Times New Roman" w:hAnsi="Times New Roman"/>
                <w:b/>
                <w:bCs/>
                <w:sz w:val="22"/>
                <w:szCs w:val="22"/>
              </w:rPr>
            </w:pPr>
            <w:r w:rsidRPr="002F4B61">
              <w:rPr>
                <w:rFonts w:ascii="Times New Roman" w:hAnsi="Times New Roman"/>
                <w:b/>
                <w:bCs/>
                <w:sz w:val="22"/>
                <w:szCs w:val="22"/>
              </w:rPr>
              <w:t>Type of Respondent</w:t>
            </w:r>
          </w:p>
        </w:tc>
        <w:tc>
          <w:tcPr>
            <w:tcW w:w="1422" w:type="dxa"/>
            <w:shd w:val="clear" w:color="auto" w:fill="FFFFFF" w:themeFill="background1"/>
            <w:vAlign w:val="center"/>
          </w:tcPr>
          <w:p w:rsidR="00003AEA" w:rsidRPr="002F4B61" w:rsidRDefault="00003AEA" w:rsidP="00DF11B3">
            <w:pPr>
              <w:jc w:val="center"/>
              <w:rPr>
                <w:rFonts w:ascii="Times New Roman" w:hAnsi="Times New Roman"/>
                <w:b/>
                <w:bCs/>
                <w:sz w:val="22"/>
                <w:szCs w:val="22"/>
              </w:rPr>
            </w:pPr>
            <w:r w:rsidRPr="002F4B61">
              <w:rPr>
                <w:rFonts w:ascii="Times New Roman" w:hAnsi="Times New Roman"/>
                <w:b/>
                <w:bCs/>
                <w:sz w:val="22"/>
                <w:szCs w:val="22"/>
              </w:rPr>
              <w:t>Number of Respondents</w:t>
            </w:r>
          </w:p>
        </w:tc>
        <w:tc>
          <w:tcPr>
            <w:tcW w:w="1440" w:type="dxa"/>
            <w:shd w:val="clear" w:color="auto" w:fill="FFFFFF" w:themeFill="background1"/>
          </w:tcPr>
          <w:p w:rsidR="00003AEA" w:rsidRPr="002F4B61" w:rsidRDefault="00003AEA" w:rsidP="00DF11B3">
            <w:pPr>
              <w:jc w:val="center"/>
              <w:rPr>
                <w:rFonts w:asciiTheme="minorHAnsi" w:hAnsiTheme="minorHAnsi" w:cstheme="minorHAnsi"/>
                <w:b/>
                <w:bCs/>
                <w:sz w:val="22"/>
                <w:szCs w:val="22"/>
              </w:rPr>
            </w:pPr>
            <w:r w:rsidRPr="002F4B61">
              <w:rPr>
                <w:rFonts w:asciiTheme="minorHAnsi" w:hAnsiTheme="minorHAnsi" w:cstheme="minorHAnsi"/>
                <w:b/>
                <w:bCs/>
                <w:sz w:val="22"/>
                <w:szCs w:val="22"/>
              </w:rPr>
              <w:t>Frequency of Response</w:t>
            </w:r>
          </w:p>
        </w:tc>
        <w:tc>
          <w:tcPr>
            <w:tcW w:w="1620" w:type="dxa"/>
            <w:shd w:val="clear" w:color="auto" w:fill="FFFFFF" w:themeFill="background1"/>
            <w:vAlign w:val="center"/>
          </w:tcPr>
          <w:p w:rsidR="00003AEA" w:rsidRPr="002F4B61" w:rsidRDefault="00003AEA" w:rsidP="000B250D">
            <w:pPr>
              <w:jc w:val="center"/>
              <w:rPr>
                <w:rFonts w:ascii="Times New Roman" w:hAnsi="Times New Roman"/>
                <w:b/>
                <w:bCs/>
                <w:sz w:val="22"/>
                <w:szCs w:val="22"/>
              </w:rPr>
            </w:pPr>
            <w:r w:rsidRPr="002F4B61">
              <w:rPr>
                <w:rFonts w:ascii="Times New Roman" w:hAnsi="Times New Roman"/>
                <w:b/>
                <w:bCs/>
                <w:sz w:val="22"/>
                <w:szCs w:val="22"/>
              </w:rPr>
              <w:t>Average Time per Response</w:t>
            </w:r>
          </w:p>
        </w:tc>
        <w:tc>
          <w:tcPr>
            <w:tcW w:w="1530" w:type="dxa"/>
            <w:shd w:val="clear" w:color="auto" w:fill="FFFFFF" w:themeFill="background1"/>
            <w:vAlign w:val="center"/>
          </w:tcPr>
          <w:p w:rsidR="00003AEA" w:rsidRPr="002F4B61" w:rsidRDefault="00003AEA" w:rsidP="00DF11B3">
            <w:pPr>
              <w:jc w:val="center"/>
              <w:rPr>
                <w:rFonts w:ascii="Times New Roman" w:hAnsi="Times New Roman"/>
                <w:b/>
                <w:bCs/>
                <w:sz w:val="22"/>
                <w:szCs w:val="22"/>
              </w:rPr>
            </w:pPr>
            <w:r w:rsidRPr="002F4B61">
              <w:rPr>
                <w:rFonts w:ascii="Times New Roman" w:hAnsi="Times New Roman"/>
                <w:b/>
                <w:bCs/>
                <w:sz w:val="22"/>
                <w:szCs w:val="22"/>
              </w:rPr>
              <w:t>Hourly Wage</w:t>
            </w:r>
            <w:r w:rsidR="004A101C" w:rsidRPr="002F4B61">
              <w:rPr>
                <w:rFonts w:ascii="Times New Roman" w:hAnsi="Times New Roman"/>
                <w:b/>
                <w:bCs/>
                <w:sz w:val="22"/>
                <w:szCs w:val="22"/>
              </w:rPr>
              <w:t xml:space="preserve"> Rate</w:t>
            </w:r>
          </w:p>
        </w:tc>
        <w:tc>
          <w:tcPr>
            <w:tcW w:w="1350" w:type="dxa"/>
            <w:shd w:val="clear" w:color="auto" w:fill="FFFFFF" w:themeFill="background1"/>
            <w:vAlign w:val="center"/>
          </w:tcPr>
          <w:p w:rsidR="00003AEA" w:rsidRPr="002F4B61" w:rsidRDefault="00003AEA" w:rsidP="000B250D">
            <w:pPr>
              <w:jc w:val="center"/>
              <w:rPr>
                <w:rFonts w:ascii="Times New Roman" w:hAnsi="Times New Roman"/>
                <w:b/>
                <w:bCs/>
                <w:sz w:val="22"/>
                <w:szCs w:val="22"/>
              </w:rPr>
            </w:pPr>
            <w:r w:rsidRPr="002F4B61">
              <w:rPr>
                <w:rFonts w:ascii="Times New Roman" w:hAnsi="Times New Roman"/>
                <w:b/>
                <w:bCs/>
                <w:sz w:val="22"/>
                <w:szCs w:val="22"/>
              </w:rPr>
              <w:t xml:space="preserve">Respondent Cost </w:t>
            </w:r>
          </w:p>
        </w:tc>
      </w:tr>
      <w:tr w:rsidR="00DD5B09" w:rsidRPr="002F4B61" w:rsidTr="000E14CF">
        <w:tc>
          <w:tcPr>
            <w:tcW w:w="1476" w:type="dxa"/>
            <w:shd w:val="clear" w:color="auto" w:fill="FFFFFF" w:themeFill="background1"/>
          </w:tcPr>
          <w:p w:rsidR="00DD5B09" w:rsidRPr="002F4B61" w:rsidRDefault="00DD5B09" w:rsidP="00DF11B3">
            <w:pPr>
              <w:rPr>
                <w:rFonts w:ascii="Times New Roman" w:hAnsi="Times New Roman"/>
                <w:sz w:val="22"/>
                <w:szCs w:val="22"/>
              </w:rPr>
            </w:pPr>
            <w:r w:rsidRPr="002F4B61">
              <w:rPr>
                <w:rFonts w:ascii="Times New Roman" w:hAnsi="Times New Roman"/>
                <w:sz w:val="22"/>
                <w:szCs w:val="22"/>
              </w:rPr>
              <w:t>PI</w:t>
            </w:r>
            <w:r w:rsidR="00D02BF1">
              <w:rPr>
                <w:rFonts w:ascii="Times New Roman" w:hAnsi="Times New Roman"/>
                <w:sz w:val="22"/>
                <w:szCs w:val="22"/>
              </w:rPr>
              <w:t xml:space="preserve"> Requesting Data</w:t>
            </w:r>
          </w:p>
        </w:tc>
        <w:tc>
          <w:tcPr>
            <w:tcW w:w="1422" w:type="dxa"/>
            <w:shd w:val="clear" w:color="auto" w:fill="FFFFFF" w:themeFill="background1"/>
            <w:vAlign w:val="center"/>
          </w:tcPr>
          <w:p w:rsidR="00DD5B09" w:rsidRPr="002F4B61" w:rsidRDefault="00DD5B09" w:rsidP="00DF11B3">
            <w:pPr>
              <w:jc w:val="center"/>
              <w:rPr>
                <w:rFonts w:ascii="Times New Roman" w:hAnsi="Times New Roman"/>
                <w:sz w:val="22"/>
                <w:szCs w:val="22"/>
              </w:rPr>
            </w:pPr>
            <w:r w:rsidRPr="002F4B61">
              <w:rPr>
                <w:rFonts w:ascii="Times New Roman" w:hAnsi="Times New Roman"/>
                <w:sz w:val="22"/>
                <w:szCs w:val="22"/>
              </w:rPr>
              <w:t>633</w:t>
            </w:r>
          </w:p>
        </w:tc>
        <w:tc>
          <w:tcPr>
            <w:tcW w:w="1440" w:type="dxa"/>
            <w:shd w:val="clear" w:color="auto" w:fill="FFFFFF" w:themeFill="background1"/>
          </w:tcPr>
          <w:p w:rsidR="00DD5B09" w:rsidRPr="002F4B61" w:rsidRDefault="00DD5B09" w:rsidP="00DF11B3">
            <w:pPr>
              <w:jc w:val="center"/>
              <w:rPr>
                <w:rFonts w:asciiTheme="minorHAnsi" w:hAnsiTheme="minorHAnsi" w:cstheme="minorHAnsi"/>
                <w:sz w:val="22"/>
                <w:szCs w:val="22"/>
              </w:rPr>
            </w:pPr>
            <w:r w:rsidRPr="002F4B61">
              <w:rPr>
                <w:rFonts w:asciiTheme="minorHAnsi" w:hAnsiTheme="minorHAnsi" w:cstheme="minorHAnsi"/>
                <w:sz w:val="22"/>
                <w:szCs w:val="22"/>
              </w:rPr>
              <w:t>2</w:t>
            </w:r>
          </w:p>
        </w:tc>
        <w:tc>
          <w:tcPr>
            <w:tcW w:w="1620" w:type="dxa"/>
            <w:shd w:val="clear" w:color="auto" w:fill="FFFFFF" w:themeFill="background1"/>
            <w:vAlign w:val="center"/>
          </w:tcPr>
          <w:p w:rsidR="00DD5B09" w:rsidRPr="002F4B61" w:rsidRDefault="00770DE3" w:rsidP="00DF11B3">
            <w:pPr>
              <w:jc w:val="center"/>
              <w:rPr>
                <w:rFonts w:ascii="Times New Roman" w:hAnsi="Times New Roman"/>
                <w:sz w:val="22"/>
                <w:szCs w:val="22"/>
              </w:rPr>
            </w:pPr>
            <w:r>
              <w:rPr>
                <w:rFonts w:ascii="Times New Roman" w:hAnsi="Times New Roman"/>
                <w:sz w:val="22"/>
                <w:szCs w:val="22"/>
              </w:rPr>
              <w:t>15/60</w:t>
            </w:r>
            <w:r w:rsidR="00DD5B09" w:rsidRPr="002F4B61">
              <w:rPr>
                <w:rFonts w:ascii="Times New Roman" w:hAnsi="Times New Roman"/>
                <w:sz w:val="22"/>
                <w:szCs w:val="22"/>
              </w:rPr>
              <w:t xml:space="preserve"> </w:t>
            </w:r>
            <w:r w:rsidR="00F90760" w:rsidRPr="002F4B61">
              <w:rPr>
                <w:rFonts w:ascii="Times New Roman" w:hAnsi="Times New Roman"/>
                <w:sz w:val="22"/>
                <w:szCs w:val="22"/>
              </w:rPr>
              <w:t xml:space="preserve">hour </w:t>
            </w:r>
          </w:p>
        </w:tc>
        <w:tc>
          <w:tcPr>
            <w:tcW w:w="1530" w:type="dxa"/>
            <w:shd w:val="clear" w:color="auto" w:fill="FFFFFF" w:themeFill="background1"/>
            <w:vAlign w:val="center"/>
          </w:tcPr>
          <w:p w:rsidR="00DD5B09" w:rsidRPr="002F4B61" w:rsidRDefault="00DD5B09" w:rsidP="004A101C">
            <w:pPr>
              <w:jc w:val="center"/>
              <w:rPr>
                <w:rFonts w:ascii="Times New Roman" w:hAnsi="Times New Roman"/>
                <w:sz w:val="22"/>
                <w:szCs w:val="22"/>
              </w:rPr>
            </w:pPr>
            <w:r w:rsidRPr="002F4B61">
              <w:rPr>
                <w:rFonts w:ascii="Times New Roman" w:hAnsi="Times New Roman"/>
                <w:sz w:val="22"/>
                <w:szCs w:val="22"/>
              </w:rPr>
              <w:t>$35.68</w:t>
            </w:r>
          </w:p>
        </w:tc>
        <w:tc>
          <w:tcPr>
            <w:tcW w:w="1350" w:type="dxa"/>
            <w:shd w:val="clear" w:color="auto" w:fill="FFFFFF" w:themeFill="background1"/>
            <w:vAlign w:val="center"/>
          </w:tcPr>
          <w:p w:rsidR="00DD5B09" w:rsidRPr="002F4B61" w:rsidRDefault="00DD5B09" w:rsidP="00DD5B09">
            <w:pPr>
              <w:jc w:val="center"/>
              <w:rPr>
                <w:rFonts w:ascii="Times New Roman" w:hAnsi="Times New Roman"/>
                <w:sz w:val="22"/>
                <w:szCs w:val="22"/>
              </w:rPr>
            </w:pPr>
            <w:r w:rsidRPr="002F4B61">
              <w:rPr>
                <w:rFonts w:ascii="Times New Roman" w:hAnsi="Times New Roman"/>
                <w:sz w:val="22"/>
                <w:szCs w:val="22"/>
              </w:rPr>
              <w:t>$11</w:t>
            </w:r>
            <w:r w:rsidR="00F90760" w:rsidRPr="002F4B61">
              <w:rPr>
                <w:rFonts w:ascii="Times New Roman" w:hAnsi="Times New Roman"/>
                <w:sz w:val="22"/>
                <w:szCs w:val="22"/>
              </w:rPr>
              <w:t>,</w:t>
            </w:r>
            <w:r w:rsidRPr="002F4B61">
              <w:rPr>
                <w:rFonts w:ascii="Times New Roman" w:hAnsi="Times New Roman"/>
                <w:sz w:val="22"/>
                <w:szCs w:val="22"/>
              </w:rPr>
              <w:t>29</w:t>
            </w:r>
            <w:r w:rsidR="00770DE3">
              <w:rPr>
                <w:rFonts w:ascii="Times New Roman" w:hAnsi="Times New Roman"/>
                <w:sz w:val="22"/>
                <w:szCs w:val="22"/>
              </w:rPr>
              <w:t>3</w:t>
            </w:r>
          </w:p>
        </w:tc>
      </w:tr>
      <w:tr w:rsidR="00DD5B09" w:rsidRPr="002F4B61" w:rsidTr="000D18B1">
        <w:tc>
          <w:tcPr>
            <w:tcW w:w="1476" w:type="dxa"/>
            <w:shd w:val="clear" w:color="auto" w:fill="FFFFFF" w:themeFill="background1"/>
          </w:tcPr>
          <w:p w:rsidR="00DD5B09" w:rsidRPr="002F4B61" w:rsidRDefault="00D81BA4" w:rsidP="00DF11B3">
            <w:pPr>
              <w:rPr>
                <w:rFonts w:ascii="Times New Roman" w:hAnsi="Times New Roman"/>
                <w:sz w:val="22"/>
                <w:szCs w:val="22"/>
              </w:rPr>
            </w:pPr>
            <w:r w:rsidRPr="002F4B61">
              <w:rPr>
                <w:rFonts w:ascii="Times New Roman" w:hAnsi="Times New Roman"/>
                <w:sz w:val="22"/>
                <w:szCs w:val="22"/>
              </w:rPr>
              <w:t xml:space="preserve">Institutional </w:t>
            </w:r>
            <w:r w:rsidR="00DD5B09" w:rsidRPr="002F4B61">
              <w:rPr>
                <w:rFonts w:ascii="Times New Roman" w:hAnsi="Times New Roman"/>
                <w:sz w:val="22"/>
                <w:szCs w:val="22"/>
              </w:rPr>
              <w:t>Signing Official</w:t>
            </w:r>
          </w:p>
        </w:tc>
        <w:tc>
          <w:tcPr>
            <w:tcW w:w="1422" w:type="dxa"/>
            <w:shd w:val="clear" w:color="auto" w:fill="FFFFFF" w:themeFill="background1"/>
            <w:vAlign w:val="center"/>
          </w:tcPr>
          <w:p w:rsidR="00DD5B09" w:rsidRPr="002F4B61" w:rsidRDefault="00DD5B09" w:rsidP="00DF11B3">
            <w:pPr>
              <w:jc w:val="center"/>
              <w:rPr>
                <w:rFonts w:ascii="Times New Roman" w:hAnsi="Times New Roman"/>
                <w:sz w:val="22"/>
                <w:szCs w:val="22"/>
              </w:rPr>
            </w:pPr>
            <w:r w:rsidRPr="002F4B61">
              <w:rPr>
                <w:rFonts w:ascii="Times New Roman" w:hAnsi="Times New Roman"/>
                <w:sz w:val="22"/>
                <w:szCs w:val="22"/>
              </w:rPr>
              <w:t>633</w:t>
            </w:r>
          </w:p>
        </w:tc>
        <w:tc>
          <w:tcPr>
            <w:tcW w:w="1440" w:type="dxa"/>
            <w:shd w:val="clear" w:color="auto" w:fill="FFFFFF" w:themeFill="background1"/>
            <w:vAlign w:val="center"/>
          </w:tcPr>
          <w:p w:rsidR="00DD5B09" w:rsidRPr="002F4B61" w:rsidRDefault="00DD5B09" w:rsidP="00DF11B3">
            <w:pPr>
              <w:jc w:val="center"/>
              <w:rPr>
                <w:rFonts w:asciiTheme="minorHAnsi" w:hAnsiTheme="minorHAnsi" w:cstheme="minorHAnsi"/>
                <w:sz w:val="22"/>
                <w:szCs w:val="22"/>
              </w:rPr>
            </w:pPr>
            <w:r w:rsidRPr="002F4B61">
              <w:rPr>
                <w:rFonts w:asciiTheme="minorHAnsi" w:hAnsiTheme="minorHAnsi" w:cstheme="minorHAnsi"/>
                <w:sz w:val="22"/>
                <w:szCs w:val="22"/>
              </w:rPr>
              <w:t>2</w:t>
            </w:r>
          </w:p>
        </w:tc>
        <w:tc>
          <w:tcPr>
            <w:tcW w:w="1620" w:type="dxa"/>
            <w:shd w:val="clear" w:color="auto" w:fill="FFFFFF" w:themeFill="background1"/>
            <w:vAlign w:val="center"/>
          </w:tcPr>
          <w:p w:rsidR="00DD5B09" w:rsidRPr="002F4B61" w:rsidRDefault="00770DE3" w:rsidP="00DF11B3">
            <w:pPr>
              <w:jc w:val="center"/>
              <w:rPr>
                <w:rFonts w:ascii="Times New Roman" w:hAnsi="Times New Roman"/>
                <w:sz w:val="22"/>
                <w:szCs w:val="22"/>
              </w:rPr>
            </w:pPr>
            <w:r>
              <w:rPr>
                <w:rFonts w:ascii="Times New Roman" w:hAnsi="Times New Roman"/>
                <w:sz w:val="22"/>
                <w:szCs w:val="22"/>
              </w:rPr>
              <w:t>18/60</w:t>
            </w:r>
            <w:r w:rsidR="00DD5B09" w:rsidRPr="002F4B61">
              <w:rPr>
                <w:rFonts w:ascii="Times New Roman" w:hAnsi="Times New Roman"/>
                <w:sz w:val="22"/>
                <w:szCs w:val="22"/>
              </w:rPr>
              <w:t xml:space="preserve"> </w:t>
            </w:r>
            <w:r w:rsidR="00F90760" w:rsidRPr="002F4B61">
              <w:rPr>
                <w:rFonts w:ascii="Times New Roman" w:hAnsi="Times New Roman"/>
                <w:sz w:val="22"/>
                <w:szCs w:val="22"/>
              </w:rPr>
              <w:t>hour</w:t>
            </w:r>
          </w:p>
        </w:tc>
        <w:tc>
          <w:tcPr>
            <w:tcW w:w="1530" w:type="dxa"/>
            <w:shd w:val="clear" w:color="auto" w:fill="FFFFFF" w:themeFill="background1"/>
            <w:vAlign w:val="center"/>
          </w:tcPr>
          <w:p w:rsidR="00DD5B09" w:rsidRPr="002F4B61" w:rsidRDefault="00DD5B09" w:rsidP="00DF11B3">
            <w:pPr>
              <w:jc w:val="center"/>
              <w:rPr>
                <w:rFonts w:ascii="Times New Roman" w:hAnsi="Times New Roman"/>
                <w:sz w:val="22"/>
                <w:szCs w:val="22"/>
              </w:rPr>
            </w:pPr>
            <w:r w:rsidRPr="002F4B61">
              <w:rPr>
                <w:rFonts w:ascii="Times New Roman" w:hAnsi="Times New Roman"/>
                <w:sz w:val="22"/>
                <w:szCs w:val="22"/>
              </w:rPr>
              <w:t>$4</w:t>
            </w:r>
            <w:r w:rsidR="00311445" w:rsidRPr="002F4B61">
              <w:rPr>
                <w:rFonts w:ascii="Times New Roman" w:hAnsi="Times New Roman"/>
                <w:sz w:val="22"/>
                <w:szCs w:val="22"/>
              </w:rPr>
              <w:t>6</w:t>
            </w:r>
            <w:r w:rsidRPr="002F4B61">
              <w:rPr>
                <w:rFonts w:ascii="Times New Roman" w:hAnsi="Times New Roman"/>
                <w:sz w:val="22"/>
                <w:szCs w:val="22"/>
              </w:rPr>
              <w:t>.</w:t>
            </w:r>
            <w:r w:rsidR="00311445" w:rsidRPr="002F4B61">
              <w:rPr>
                <w:rFonts w:ascii="Times New Roman" w:hAnsi="Times New Roman"/>
                <w:sz w:val="22"/>
                <w:szCs w:val="22"/>
              </w:rPr>
              <w:t>72</w:t>
            </w:r>
          </w:p>
        </w:tc>
        <w:tc>
          <w:tcPr>
            <w:tcW w:w="1350" w:type="dxa"/>
            <w:shd w:val="clear" w:color="auto" w:fill="FFFFFF" w:themeFill="background1"/>
            <w:vAlign w:val="center"/>
          </w:tcPr>
          <w:p w:rsidR="00DD5B09" w:rsidRPr="002F4B61" w:rsidRDefault="00DD5B09" w:rsidP="00311445">
            <w:pPr>
              <w:jc w:val="center"/>
              <w:rPr>
                <w:rFonts w:ascii="Times New Roman" w:hAnsi="Times New Roman"/>
                <w:sz w:val="22"/>
                <w:szCs w:val="22"/>
              </w:rPr>
            </w:pPr>
            <w:r w:rsidRPr="002F4B61">
              <w:rPr>
                <w:rFonts w:ascii="Times New Roman" w:hAnsi="Times New Roman"/>
                <w:sz w:val="22"/>
                <w:szCs w:val="22"/>
              </w:rPr>
              <w:t>$</w:t>
            </w:r>
            <w:r w:rsidR="00311445" w:rsidRPr="002F4B61">
              <w:rPr>
                <w:rFonts w:ascii="Times New Roman" w:hAnsi="Times New Roman"/>
                <w:sz w:val="22"/>
                <w:szCs w:val="22"/>
              </w:rPr>
              <w:t>17,744</w:t>
            </w:r>
          </w:p>
        </w:tc>
      </w:tr>
      <w:tr w:rsidR="00DD5B09" w:rsidRPr="002F4B61" w:rsidTr="005A02F2">
        <w:trPr>
          <w:trHeight w:val="70"/>
        </w:trPr>
        <w:tc>
          <w:tcPr>
            <w:tcW w:w="1476" w:type="dxa"/>
            <w:shd w:val="clear" w:color="auto" w:fill="FFFFFF" w:themeFill="background1"/>
          </w:tcPr>
          <w:p w:rsidR="00DD5B09" w:rsidRPr="002F4B61" w:rsidRDefault="00DD5B09" w:rsidP="00DF11B3">
            <w:pPr>
              <w:rPr>
                <w:rFonts w:ascii="Times New Roman" w:hAnsi="Times New Roman"/>
                <w:sz w:val="22"/>
                <w:szCs w:val="22"/>
              </w:rPr>
            </w:pPr>
            <w:r w:rsidRPr="002F4B61">
              <w:rPr>
                <w:rFonts w:ascii="Times New Roman" w:hAnsi="Times New Roman"/>
                <w:sz w:val="22"/>
                <w:szCs w:val="22"/>
              </w:rPr>
              <w:t>Total</w:t>
            </w:r>
          </w:p>
        </w:tc>
        <w:tc>
          <w:tcPr>
            <w:tcW w:w="1422" w:type="dxa"/>
            <w:shd w:val="clear" w:color="auto" w:fill="FFFFFF" w:themeFill="background1"/>
            <w:vAlign w:val="center"/>
          </w:tcPr>
          <w:p w:rsidR="00DD5B09" w:rsidRPr="002F4B61" w:rsidRDefault="00DD5B09" w:rsidP="00DF11B3">
            <w:pPr>
              <w:jc w:val="center"/>
              <w:rPr>
                <w:rFonts w:ascii="Times New Roman" w:hAnsi="Times New Roman"/>
                <w:sz w:val="22"/>
                <w:szCs w:val="22"/>
              </w:rPr>
            </w:pPr>
            <w:r w:rsidRPr="002F4B61">
              <w:rPr>
                <w:rFonts w:ascii="Times New Roman" w:hAnsi="Times New Roman"/>
                <w:sz w:val="22"/>
                <w:szCs w:val="22"/>
              </w:rPr>
              <w:t>1</w:t>
            </w:r>
            <w:r w:rsidR="00F90760" w:rsidRPr="002F4B61">
              <w:rPr>
                <w:rFonts w:ascii="Times New Roman" w:hAnsi="Times New Roman"/>
                <w:sz w:val="22"/>
                <w:szCs w:val="22"/>
              </w:rPr>
              <w:t>,</w:t>
            </w:r>
            <w:r w:rsidRPr="002F4B61">
              <w:rPr>
                <w:rFonts w:ascii="Times New Roman" w:hAnsi="Times New Roman"/>
                <w:sz w:val="22"/>
                <w:szCs w:val="22"/>
              </w:rPr>
              <w:t>266</w:t>
            </w:r>
          </w:p>
        </w:tc>
        <w:tc>
          <w:tcPr>
            <w:tcW w:w="1440" w:type="dxa"/>
            <w:shd w:val="clear" w:color="auto" w:fill="FFFFFF" w:themeFill="background1"/>
          </w:tcPr>
          <w:p w:rsidR="00DD5B09" w:rsidRPr="002F4B61" w:rsidRDefault="00DD5B09" w:rsidP="00DF11B3">
            <w:pPr>
              <w:jc w:val="center"/>
              <w:rPr>
                <w:rFonts w:asciiTheme="minorHAnsi" w:hAnsiTheme="minorHAnsi" w:cstheme="minorHAnsi"/>
                <w:sz w:val="22"/>
                <w:szCs w:val="22"/>
              </w:rPr>
            </w:pPr>
            <w:r w:rsidRPr="002F4B61">
              <w:rPr>
                <w:rFonts w:asciiTheme="minorHAnsi" w:hAnsiTheme="minorHAnsi" w:cstheme="minorHAnsi"/>
                <w:sz w:val="22"/>
                <w:szCs w:val="22"/>
              </w:rPr>
              <w:t>n/a</w:t>
            </w:r>
          </w:p>
        </w:tc>
        <w:tc>
          <w:tcPr>
            <w:tcW w:w="1620" w:type="dxa"/>
            <w:shd w:val="clear" w:color="auto" w:fill="FFFFFF" w:themeFill="background1"/>
          </w:tcPr>
          <w:p w:rsidR="00DD5B09" w:rsidRPr="002F4B61" w:rsidRDefault="00DD5B09" w:rsidP="00DF11B3">
            <w:pPr>
              <w:jc w:val="center"/>
              <w:rPr>
                <w:rFonts w:ascii="Times New Roman" w:hAnsi="Times New Roman"/>
                <w:sz w:val="22"/>
                <w:szCs w:val="22"/>
              </w:rPr>
            </w:pPr>
            <w:r w:rsidRPr="002F4B61">
              <w:rPr>
                <w:rFonts w:ascii="Times New Roman" w:hAnsi="Times New Roman"/>
                <w:sz w:val="22"/>
                <w:szCs w:val="22"/>
              </w:rPr>
              <w:t>n/a</w:t>
            </w:r>
          </w:p>
        </w:tc>
        <w:tc>
          <w:tcPr>
            <w:tcW w:w="1530" w:type="dxa"/>
            <w:shd w:val="clear" w:color="auto" w:fill="FFFFFF" w:themeFill="background1"/>
          </w:tcPr>
          <w:p w:rsidR="00DD5B09" w:rsidRPr="002F4B61" w:rsidRDefault="00DD5B09" w:rsidP="00DF11B3">
            <w:pPr>
              <w:jc w:val="center"/>
              <w:rPr>
                <w:rFonts w:ascii="Times New Roman" w:hAnsi="Times New Roman"/>
                <w:sz w:val="22"/>
                <w:szCs w:val="22"/>
              </w:rPr>
            </w:pPr>
            <w:r w:rsidRPr="002F4B61">
              <w:rPr>
                <w:rFonts w:ascii="Times New Roman" w:hAnsi="Times New Roman"/>
                <w:sz w:val="22"/>
                <w:szCs w:val="22"/>
              </w:rPr>
              <w:t>n/a</w:t>
            </w:r>
          </w:p>
        </w:tc>
        <w:tc>
          <w:tcPr>
            <w:tcW w:w="1350" w:type="dxa"/>
            <w:shd w:val="clear" w:color="auto" w:fill="FFFFFF" w:themeFill="background1"/>
          </w:tcPr>
          <w:p w:rsidR="00DD5B09" w:rsidRPr="002F4B61" w:rsidRDefault="00DD5B09" w:rsidP="00DD5B09">
            <w:pPr>
              <w:jc w:val="center"/>
              <w:rPr>
                <w:rFonts w:ascii="Times New Roman" w:hAnsi="Times New Roman"/>
                <w:sz w:val="22"/>
                <w:szCs w:val="22"/>
              </w:rPr>
            </w:pPr>
            <w:r w:rsidRPr="002F4B61">
              <w:rPr>
                <w:rFonts w:ascii="Times New Roman" w:hAnsi="Times New Roman"/>
                <w:sz w:val="22"/>
                <w:szCs w:val="22"/>
              </w:rPr>
              <w:t>$29</w:t>
            </w:r>
            <w:r w:rsidR="00F90760" w:rsidRPr="002F4B61">
              <w:rPr>
                <w:rFonts w:ascii="Times New Roman" w:hAnsi="Times New Roman"/>
                <w:sz w:val="22"/>
                <w:szCs w:val="22"/>
              </w:rPr>
              <w:t>,</w:t>
            </w:r>
            <w:r w:rsidR="00761E53" w:rsidRPr="002F4B61">
              <w:rPr>
                <w:rFonts w:ascii="Times New Roman" w:hAnsi="Times New Roman"/>
                <w:sz w:val="22"/>
                <w:szCs w:val="22"/>
              </w:rPr>
              <w:t>03</w:t>
            </w:r>
            <w:r w:rsidR="00770DE3">
              <w:rPr>
                <w:rFonts w:ascii="Times New Roman" w:hAnsi="Times New Roman"/>
                <w:sz w:val="22"/>
                <w:szCs w:val="22"/>
              </w:rPr>
              <w:t>7</w:t>
            </w:r>
          </w:p>
        </w:tc>
      </w:tr>
    </w:tbl>
    <w:p w:rsidR="00416891" w:rsidRDefault="00416891" w:rsidP="00283F0D">
      <w:pPr>
        <w:rPr>
          <w:sz w:val="22"/>
          <w:szCs w:val="22"/>
        </w:rPr>
      </w:pPr>
    </w:p>
    <w:p w:rsidR="00416891" w:rsidRPr="000C06AD" w:rsidRDefault="00A774CF" w:rsidP="00CE7D32">
      <w:pPr>
        <w:ind w:left="540"/>
        <w:rPr>
          <w:sz w:val="22"/>
          <w:szCs w:val="22"/>
        </w:rPr>
      </w:pPr>
      <w:r w:rsidRPr="000C06AD">
        <w:rPr>
          <w:sz w:val="22"/>
          <w:szCs w:val="22"/>
        </w:rPr>
        <w:t>Table 12-</w:t>
      </w:r>
      <w:r w:rsidR="00CE7D32" w:rsidRPr="000C06AD">
        <w:rPr>
          <w:sz w:val="22"/>
          <w:szCs w:val="22"/>
        </w:rPr>
        <w:t xml:space="preserve">7 summarizes the total annualized </w:t>
      </w:r>
      <w:r w:rsidR="004D087E">
        <w:rPr>
          <w:sz w:val="22"/>
          <w:szCs w:val="22"/>
        </w:rPr>
        <w:t xml:space="preserve">hour </w:t>
      </w:r>
      <w:r w:rsidR="00CE7D32" w:rsidRPr="000C06AD">
        <w:rPr>
          <w:sz w:val="22"/>
          <w:szCs w:val="22"/>
        </w:rPr>
        <w:t>burden for</w:t>
      </w:r>
      <w:r w:rsidR="007C2DB1" w:rsidRPr="000C06AD">
        <w:rPr>
          <w:sz w:val="22"/>
          <w:szCs w:val="22"/>
        </w:rPr>
        <w:t xml:space="preserve"> this information collection.  </w:t>
      </w:r>
      <w:r w:rsidR="005D390F" w:rsidRPr="000C06AD">
        <w:rPr>
          <w:sz w:val="22"/>
          <w:szCs w:val="22"/>
        </w:rPr>
        <w:t xml:space="preserve">The </w:t>
      </w:r>
      <w:r w:rsidR="00FC56B8" w:rsidRPr="000C06AD">
        <w:rPr>
          <w:sz w:val="22"/>
          <w:szCs w:val="22"/>
        </w:rPr>
        <w:t xml:space="preserve">estimated </w:t>
      </w:r>
      <w:r w:rsidR="005D390F" w:rsidRPr="000C06AD">
        <w:rPr>
          <w:sz w:val="22"/>
          <w:szCs w:val="22"/>
        </w:rPr>
        <w:t>annual number of respondents involved in submitting data to dbGaP is 100</w:t>
      </w:r>
      <w:r w:rsidR="004D087E">
        <w:rPr>
          <w:sz w:val="22"/>
          <w:szCs w:val="22"/>
        </w:rPr>
        <w:t xml:space="preserve"> (50 PIs plus 50 Institutional Signing Officials)</w:t>
      </w:r>
      <w:r w:rsidR="005D390F" w:rsidRPr="000C06AD">
        <w:rPr>
          <w:sz w:val="22"/>
          <w:szCs w:val="22"/>
        </w:rPr>
        <w:t xml:space="preserve">.  The </w:t>
      </w:r>
      <w:r w:rsidR="00FC56B8" w:rsidRPr="000C06AD">
        <w:rPr>
          <w:sz w:val="22"/>
          <w:szCs w:val="22"/>
        </w:rPr>
        <w:t xml:space="preserve">estimated </w:t>
      </w:r>
      <w:r w:rsidR="005D390F" w:rsidRPr="000C06AD">
        <w:rPr>
          <w:sz w:val="22"/>
          <w:szCs w:val="22"/>
        </w:rPr>
        <w:t xml:space="preserve">annual number of respondents involved in requesting data from dbGaP is 1,266.  </w:t>
      </w:r>
      <w:r w:rsidR="006F1D1C" w:rsidRPr="000C06AD">
        <w:rPr>
          <w:sz w:val="22"/>
          <w:szCs w:val="22"/>
        </w:rPr>
        <w:t xml:space="preserve">NIH estimated that 633 PIs </w:t>
      </w:r>
      <w:r w:rsidR="00135884">
        <w:rPr>
          <w:sz w:val="22"/>
          <w:szCs w:val="22"/>
        </w:rPr>
        <w:t xml:space="preserve">annually </w:t>
      </w:r>
      <w:r w:rsidRPr="000C06AD">
        <w:rPr>
          <w:sz w:val="22"/>
          <w:szCs w:val="22"/>
        </w:rPr>
        <w:t>request, renew, or close-out access to dbGaP data (i.e.,</w:t>
      </w:r>
      <w:r w:rsidR="00FC56B8" w:rsidRPr="000C06AD">
        <w:rPr>
          <w:sz w:val="22"/>
          <w:szCs w:val="22"/>
        </w:rPr>
        <w:t xml:space="preserve"> on an annual basis, a PI complete</w:t>
      </w:r>
      <w:r w:rsidR="00CE5C4B">
        <w:rPr>
          <w:sz w:val="22"/>
          <w:szCs w:val="22"/>
        </w:rPr>
        <w:t>s</w:t>
      </w:r>
      <w:r w:rsidR="00FC56B8" w:rsidRPr="000C06AD">
        <w:rPr>
          <w:sz w:val="22"/>
          <w:szCs w:val="22"/>
        </w:rPr>
        <w:t xml:space="preserve"> only one of t</w:t>
      </w:r>
      <w:r w:rsidR="00135884">
        <w:rPr>
          <w:sz w:val="22"/>
          <w:szCs w:val="22"/>
        </w:rPr>
        <w:t>hree forms for a given project—</w:t>
      </w:r>
      <w:r w:rsidR="00FC56B8" w:rsidRPr="000C06AD">
        <w:rPr>
          <w:sz w:val="22"/>
          <w:szCs w:val="22"/>
        </w:rPr>
        <w:t>an initial request, a renewal request, or a close-out report</w:t>
      </w:r>
      <w:r w:rsidRPr="000C06AD">
        <w:rPr>
          <w:sz w:val="22"/>
          <w:szCs w:val="22"/>
        </w:rPr>
        <w:t xml:space="preserve">).  Similarly, the </w:t>
      </w:r>
      <w:r w:rsidR="004D087E">
        <w:rPr>
          <w:sz w:val="22"/>
          <w:szCs w:val="22"/>
        </w:rPr>
        <w:t xml:space="preserve">estimated </w:t>
      </w:r>
      <w:r w:rsidRPr="000C06AD">
        <w:rPr>
          <w:sz w:val="22"/>
          <w:szCs w:val="22"/>
        </w:rPr>
        <w:t xml:space="preserve">annual number of Institutional Signing Officials for PIs requesting data is 633.  </w:t>
      </w:r>
      <w:r w:rsidR="004D087E">
        <w:rPr>
          <w:sz w:val="22"/>
          <w:szCs w:val="22"/>
        </w:rPr>
        <w:t>T</w:t>
      </w:r>
      <w:r w:rsidR="00FC56B8" w:rsidRPr="000C06AD">
        <w:rPr>
          <w:sz w:val="22"/>
          <w:szCs w:val="22"/>
        </w:rPr>
        <w:t>he total estimated num</w:t>
      </w:r>
      <w:r w:rsidR="000C06AD">
        <w:rPr>
          <w:sz w:val="22"/>
          <w:szCs w:val="22"/>
        </w:rPr>
        <w:t xml:space="preserve">ber of annual respondents </w:t>
      </w:r>
      <w:r w:rsidR="004D087E">
        <w:rPr>
          <w:sz w:val="22"/>
          <w:szCs w:val="22"/>
        </w:rPr>
        <w:t xml:space="preserve">involved in the submission and access of dbGaP data </w:t>
      </w:r>
      <w:r w:rsidR="000C06AD">
        <w:rPr>
          <w:sz w:val="22"/>
          <w:szCs w:val="22"/>
        </w:rPr>
        <w:t>is 1,</w:t>
      </w:r>
      <w:r w:rsidR="00FC56B8" w:rsidRPr="000C06AD">
        <w:rPr>
          <w:sz w:val="22"/>
          <w:szCs w:val="22"/>
        </w:rPr>
        <w:t>366 (100 plus</w:t>
      </w:r>
      <w:r w:rsidR="004D087E">
        <w:rPr>
          <w:sz w:val="22"/>
          <w:szCs w:val="22"/>
        </w:rPr>
        <w:t xml:space="preserve"> 1,266</w:t>
      </w:r>
      <w:r w:rsidR="00FC56B8" w:rsidRPr="000C06AD">
        <w:rPr>
          <w:sz w:val="22"/>
          <w:szCs w:val="22"/>
        </w:rPr>
        <w:t xml:space="preserve">).  </w:t>
      </w:r>
      <w:r w:rsidR="005D390F" w:rsidRPr="000C06AD">
        <w:rPr>
          <w:sz w:val="22"/>
          <w:szCs w:val="22"/>
        </w:rPr>
        <w:t xml:space="preserve">The values for the frequency of response, average time per response, and hourly wage </w:t>
      </w:r>
      <w:r w:rsidR="005D390F" w:rsidRPr="000C06AD">
        <w:rPr>
          <w:sz w:val="22"/>
          <w:szCs w:val="22"/>
        </w:rPr>
        <w:lastRenderedPageBreak/>
        <w:t xml:space="preserve">rate are the same values used in </w:t>
      </w:r>
      <w:r w:rsidR="00FC56B8" w:rsidRPr="000C06AD">
        <w:rPr>
          <w:sz w:val="22"/>
          <w:szCs w:val="22"/>
        </w:rPr>
        <w:t xml:space="preserve">the </w:t>
      </w:r>
      <w:r w:rsidR="005D390F" w:rsidRPr="000C06AD">
        <w:rPr>
          <w:sz w:val="22"/>
          <w:szCs w:val="22"/>
        </w:rPr>
        <w:t>tables above.  For this information collection, t</w:t>
      </w:r>
      <w:r w:rsidRPr="000C06AD">
        <w:rPr>
          <w:sz w:val="22"/>
          <w:szCs w:val="22"/>
        </w:rPr>
        <w:t xml:space="preserve">he total </w:t>
      </w:r>
      <w:r w:rsidR="005D390F" w:rsidRPr="000C06AD">
        <w:rPr>
          <w:sz w:val="22"/>
          <w:szCs w:val="22"/>
        </w:rPr>
        <w:t xml:space="preserve">estimated </w:t>
      </w:r>
      <w:r w:rsidRPr="000C06AD">
        <w:rPr>
          <w:sz w:val="22"/>
          <w:szCs w:val="22"/>
        </w:rPr>
        <w:t xml:space="preserve">annual hour burden </w:t>
      </w:r>
      <w:r w:rsidR="005D390F" w:rsidRPr="000C06AD">
        <w:rPr>
          <w:sz w:val="22"/>
          <w:szCs w:val="22"/>
        </w:rPr>
        <w:t>f</w:t>
      </w:r>
      <w:r w:rsidR="004D087E">
        <w:rPr>
          <w:sz w:val="22"/>
          <w:szCs w:val="22"/>
        </w:rPr>
        <w:t>or all respondents is 1,646 (63 plus 1,583)</w:t>
      </w:r>
      <w:r w:rsidR="005D390F" w:rsidRPr="000C06AD">
        <w:rPr>
          <w:sz w:val="22"/>
          <w:szCs w:val="22"/>
        </w:rPr>
        <w:t xml:space="preserve"> hours and the total estimated cost burden f</w:t>
      </w:r>
      <w:r w:rsidR="00770DE3">
        <w:rPr>
          <w:sz w:val="22"/>
          <w:szCs w:val="22"/>
        </w:rPr>
        <w:t>or all respondents is $65,958</w:t>
      </w:r>
      <w:r w:rsidR="005D390F" w:rsidRPr="000C06AD">
        <w:rPr>
          <w:sz w:val="22"/>
          <w:szCs w:val="22"/>
        </w:rPr>
        <w:t>.</w:t>
      </w:r>
    </w:p>
    <w:p w:rsidR="00416891" w:rsidRPr="000C06AD" w:rsidRDefault="00416891" w:rsidP="00416891">
      <w:pPr>
        <w:rPr>
          <w:sz w:val="22"/>
          <w:szCs w:val="22"/>
        </w:rPr>
      </w:pPr>
    </w:p>
    <w:tbl>
      <w:tblPr>
        <w:tblStyle w:val="TableGrid"/>
        <w:tblW w:w="8838" w:type="dxa"/>
        <w:tblInd w:w="720" w:type="dxa"/>
        <w:tblLayout w:type="fixed"/>
        <w:tblLook w:val="04A0" w:firstRow="1" w:lastRow="0" w:firstColumn="1" w:lastColumn="0" w:noHBand="0" w:noVBand="1"/>
      </w:tblPr>
      <w:tblGrid>
        <w:gridCol w:w="1818"/>
        <w:gridCol w:w="1800"/>
        <w:gridCol w:w="1710"/>
        <w:gridCol w:w="1800"/>
        <w:gridCol w:w="1710"/>
      </w:tblGrid>
      <w:tr w:rsidR="00C44942" w:rsidRPr="00C44942" w:rsidTr="00C44942">
        <w:tc>
          <w:tcPr>
            <w:tcW w:w="8838" w:type="dxa"/>
            <w:gridSpan w:val="5"/>
            <w:tcBorders>
              <w:bottom w:val="single" w:sz="4" w:space="0" w:color="auto"/>
            </w:tcBorders>
            <w:shd w:val="pct20" w:color="auto" w:fill="FFFFFF" w:themeFill="background1"/>
            <w:vAlign w:val="center"/>
          </w:tcPr>
          <w:p w:rsidR="00C44942" w:rsidRPr="00C44942" w:rsidRDefault="00C44942" w:rsidP="007C2DB1">
            <w:pPr>
              <w:jc w:val="center"/>
              <w:rPr>
                <w:rFonts w:asciiTheme="minorHAnsi" w:hAnsiTheme="minorHAnsi" w:cstheme="minorHAnsi"/>
                <w:b/>
                <w:bCs/>
                <w:sz w:val="22"/>
                <w:szCs w:val="22"/>
              </w:rPr>
            </w:pPr>
            <w:r>
              <w:rPr>
                <w:rFonts w:asciiTheme="minorHAnsi" w:hAnsiTheme="minorHAnsi" w:cstheme="minorHAnsi"/>
                <w:b/>
                <w:bCs/>
                <w:sz w:val="22"/>
                <w:szCs w:val="22"/>
              </w:rPr>
              <w:t>Table 12-7 Total Annualized Hour Burden for the Information Collection</w:t>
            </w:r>
          </w:p>
        </w:tc>
      </w:tr>
      <w:tr w:rsidR="00C876B4" w:rsidRPr="000C06AD" w:rsidTr="00C44942">
        <w:tc>
          <w:tcPr>
            <w:tcW w:w="1818" w:type="dxa"/>
            <w:tcBorders>
              <w:bottom w:val="single" w:sz="4" w:space="0" w:color="auto"/>
            </w:tcBorders>
            <w:shd w:val="clear" w:color="auto" w:fill="FFFFFF" w:themeFill="background1"/>
            <w:vAlign w:val="center"/>
          </w:tcPr>
          <w:p w:rsidR="00C876B4" w:rsidRPr="000C06AD" w:rsidRDefault="00C876B4" w:rsidP="007C2DB1">
            <w:pPr>
              <w:jc w:val="center"/>
              <w:rPr>
                <w:rFonts w:ascii="Times New Roman" w:hAnsi="Times New Roman"/>
                <w:b/>
                <w:bCs/>
                <w:sz w:val="22"/>
                <w:szCs w:val="22"/>
              </w:rPr>
            </w:pPr>
            <w:r w:rsidRPr="000C06AD">
              <w:rPr>
                <w:rFonts w:ascii="Times New Roman" w:hAnsi="Times New Roman"/>
                <w:b/>
                <w:bCs/>
                <w:sz w:val="22"/>
                <w:szCs w:val="22"/>
              </w:rPr>
              <w:t>Type of Respondent</w:t>
            </w:r>
          </w:p>
        </w:tc>
        <w:tc>
          <w:tcPr>
            <w:tcW w:w="1800" w:type="dxa"/>
            <w:tcBorders>
              <w:bottom w:val="single" w:sz="4" w:space="0" w:color="auto"/>
            </w:tcBorders>
            <w:shd w:val="clear" w:color="auto" w:fill="FFFFFF" w:themeFill="background1"/>
            <w:vAlign w:val="center"/>
          </w:tcPr>
          <w:p w:rsidR="00C876B4" w:rsidRPr="000C06AD" w:rsidRDefault="00C876B4" w:rsidP="007C2DB1">
            <w:pPr>
              <w:jc w:val="center"/>
              <w:rPr>
                <w:rFonts w:ascii="Times New Roman" w:hAnsi="Times New Roman"/>
                <w:b/>
                <w:bCs/>
                <w:sz w:val="22"/>
                <w:szCs w:val="22"/>
              </w:rPr>
            </w:pPr>
            <w:r w:rsidRPr="000C06AD">
              <w:rPr>
                <w:rFonts w:ascii="Times New Roman" w:hAnsi="Times New Roman"/>
                <w:b/>
                <w:bCs/>
                <w:sz w:val="22"/>
                <w:szCs w:val="22"/>
              </w:rPr>
              <w:t>Number of Respondents</w:t>
            </w:r>
          </w:p>
        </w:tc>
        <w:tc>
          <w:tcPr>
            <w:tcW w:w="1710" w:type="dxa"/>
            <w:tcBorders>
              <w:bottom w:val="single" w:sz="4" w:space="0" w:color="auto"/>
            </w:tcBorders>
            <w:shd w:val="clear" w:color="auto" w:fill="FFFFFF" w:themeFill="background1"/>
            <w:vAlign w:val="center"/>
          </w:tcPr>
          <w:p w:rsidR="00C876B4" w:rsidRPr="000C06AD" w:rsidRDefault="00C876B4" w:rsidP="007C2DB1">
            <w:pPr>
              <w:jc w:val="center"/>
              <w:rPr>
                <w:rFonts w:asciiTheme="minorHAnsi" w:hAnsiTheme="minorHAnsi" w:cstheme="minorHAnsi"/>
                <w:b/>
                <w:bCs/>
                <w:sz w:val="22"/>
                <w:szCs w:val="22"/>
              </w:rPr>
            </w:pPr>
            <w:r w:rsidRPr="000C06AD">
              <w:rPr>
                <w:rFonts w:asciiTheme="minorHAnsi" w:hAnsiTheme="minorHAnsi" w:cstheme="minorHAnsi"/>
                <w:b/>
                <w:bCs/>
                <w:sz w:val="22"/>
                <w:szCs w:val="22"/>
              </w:rPr>
              <w:t>Frequency of Response</w:t>
            </w:r>
          </w:p>
        </w:tc>
        <w:tc>
          <w:tcPr>
            <w:tcW w:w="1800" w:type="dxa"/>
            <w:tcBorders>
              <w:bottom w:val="single" w:sz="4" w:space="0" w:color="auto"/>
            </w:tcBorders>
            <w:shd w:val="clear" w:color="auto" w:fill="FFFFFF" w:themeFill="background1"/>
            <w:vAlign w:val="center"/>
          </w:tcPr>
          <w:p w:rsidR="00C876B4" w:rsidRPr="000C06AD" w:rsidRDefault="00C876B4" w:rsidP="007C2DB1">
            <w:pPr>
              <w:jc w:val="center"/>
              <w:rPr>
                <w:rFonts w:ascii="Times New Roman" w:hAnsi="Times New Roman"/>
                <w:b/>
                <w:bCs/>
                <w:sz w:val="22"/>
                <w:szCs w:val="22"/>
              </w:rPr>
            </w:pPr>
            <w:r w:rsidRPr="000C06AD">
              <w:rPr>
                <w:rFonts w:ascii="Times New Roman" w:hAnsi="Times New Roman"/>
                <w:b/>
                <w:bCs/>
                <w:sz w:val="22"/>
                <w:szCs w:val="22"/>
              </w:rPr>
              <w:t>Average Time per Response</w:t>
            </w:r>
          </w:p>
        </w:tc>
        <w:tc>
          <w:tcPr>
            <w:tcW w:w="1710" w:type="dxa"/>
            <w:tcBorders>
              <w:bottom w:val="single" w:sz="4" w:space="0" w:color="auto"/>
            </w:tcBorders>
            <w:shd w:val="clear" w:color="auto" w:fill="FFFFFF" w:themeFill="background1"/>
            <w:vAlign w:val="center"/>
          </w:tcPr>
          <w:p w:rsidR="00C876B4" w:rsidRPr="000C06AD" w:rsidRDefault="00C876B4" w:rsidP="007C2DB1">
            <w:pPr>
              <w:jc w:val="center"/>
              <w:rPr>
                <w:rFonts w:asciiTheme="minorHAnsi" w:hAnsiTheme="minorHAnsi" w:cstheme="minorHAnsi"/>
                <w:b/>
                <w:bCs/>
                <w:sz w:val="22"/>
                <w:szCs w:val="22"/>
              </w:rPr>
            </w:pPr>
            <w:r w:rsidRPr="000C06AD">
              <w:rPr>
                <w:rFonts w:asciiTheme="minorHAnsi" w:hAnsiTheme="minorHAnsi" w:cstheme="minorHAnsi"/>
                <w:b/>
                <w:bCs/>
                <w:sz w:val="22"/>
                <w:szCs w:val="22"/>
              </w:rPr>
              <w:t>Annual Hour Burden</w:t>
            </w:r>
          </w:p>
        </w:tc>
      </w:tr>
      <w:tr w:rsidR="00C44942" w:rsidRPr="000C06AD" w:rsidTr="00C44942">
        <w:tc>
          <w:tcPr>
            <w:tcW w:w="8838" w:type="dxa"/>
            <w:gridSpan w:val="5"/>
            <w:shd w:val="pct10" w:color="auto" w:fill="FFFFFF" w:themeFill="background1"/>
          </w:tcPr>
          <w:p w:rsidR="00C44942" w:rsidRPr="00C44942" w:rsidRDefault="00C44942" w:rsidP="00C44942">
            <w:pPr>
              <w:rPr>
                <w:rFonts w:asciiTheme="minorHAnsi" w:hAnsiTheme="minorHAnsi" w:cstheme="minorHAnsi"/>
                <w:b/>
                <w:sz w:val="22"/>
                <w:szCs w:val="22"/>
              </w:rPr>
            </w:pPr>
            <w:r w:rsidRPr="00C44942">
              <w:rPr>
                <w:rFonts w:asciiTheme="minorHAnsi" w:hAnsiTheme="minorHAnsi" w:cstheme="minorHAnsi"/>
                <w:b/>
                <w:sz w:val="22"/>
                <w:szCs w:val="22"/>
              </w:rPr>
              <w:t>Study Registration and Data Submission</w:t>
            </w:r>
          </w:p>
        </w:tc>
      </w:tr>
      <w:tr w:rsidR="00C876B4" w:rsidRPr="000C06AD" w:rsidTr="00C44942">
        <w:tc>
          <w:tcPr>
            <w:tcW w:w="1818" w:type="dxa"/>
            <w:shd w:val="clear" w:color="auto" w:fill="FFFFFF" w:themeFill="background1"/>
          </w:tcPr>
          <w:p w:rsidR="00C876B4" w:rsidRPr="000C06AD" w:rsidRDefault="00C876B4" w:rsidP="00416891">
            <w:pPr>
              <w:rPr>
                <w:rFonts w:ascii="Times New Roman" w:hAnsi="Times New Roman"/>
                <w:sz w:val="22"/>
                <w:szCs w:val="22"/>
              </w:rPr>
            </w:pPr>
            <w:r w:rsidRPr="000C06AD">
              <w:rPr>
                <w:rFonts w:ascii="Times New Roman" w:hAnsi="Times New Roman"/>
                <w:sz w:val="22"/>
                <w:szCs w:val="22"/>
              </w:rPr>
              <w:t>PI Submitting Data</w:t>
            </w:r>
          </w:p>
        </w:tc>
        <w:tc>
          <w:tcPr>
            <w:tcW w:w="1800" w:type="dxa"/>
            <w:shd w:val="clear" w:color="auto" w:fill="FFFFFF" w:themeFill="background1"/>
            <w:vAlign w:val="center"/>
          </w:tcPr>
          <w:p w:rsidR="00C876B4" w:rsidRPr="000C06AD" w:rsidRDefault="00C876B4" w:rsidP="00416891">
            <w:pPr>
              <w:jc w:val="center"/>
              <w:rPr>
                <w:rFonts w:ascii="Times New Roman" w:hAnsi="Times New Roman"/>
                <w:sz w:val="22"/>
                <w:szCs w:val="22"/>
              </w:rPr>
            </w:pPr>
            <w:r w:rsidRPr="000C06AD">
              <w:rPr>
                <w:rFonts w:ascii="Times New Roman" w:hAnsi="Times New Roman"/>
                <w:sz w:val="22"/>
                <w:szCs w:val="22"/>
              </w:rPr>
              <w:t>50</w:t>
            </w:r>
          </w:p>
        </w:tc>
        <w:tc>
          <w:tcPr>
            <w:tcW w:w="1710" w:type="dxa"/>
            <w:shd w:val="clear" w:color="auto" w:fill="FFFFFF" w:themeFill="background1"/>
            <w:vAlign w:val="center"/>
          </w:tcPr>
          <w:p w:rsidR="00C876B4" w:rsidRPr="000C06AD" w:rsidRDefault="00C876B4" w:rsidP="00416891">
            <w:pPr>
              <w:jc w:val="center"/>
              <w:rPr>
                <w:rFonts w:asciiTheme="minorHAnsi" w:hAnsiTheme="minorHAnsi" w:cstheme="minorHAnsi"/>
                <w:sz w:val="22"/>
                <w:szCs w:val="22"/>
              </w:rPr>
            </w:pPr>
            <w:r w:rsidRPr="000C06AD">
              <w:rPr>
                <w:rFonts w:asciiTheme="minorHAnsi" w:hAnsiTheme="minorHAnsi" w:cstheme="minorHAnsi"/>
                <w:sz w:val="22"/>
                <w:szCs w:val="22"/>
              </w:rPr>
              <w:t>1</w:t>
            </w:r>
          </w:p>
        </w:tc>
        <w:tc>
          <w:tcPr>
            <w:tcW w:w="1800" w:type="dxa"/>
            <w:shd w:val="clear" w:color="auto" w:fill="FFFFFF" w:themeFill="background1"/>
            <w:vAlign w:val="center"/>
          </w:tcPr>
          <w:p w:rsidR="00C876B4" w:rsidRPr="000C06AD" w:rsidRDefault="00C876B4" w:rsidP="00416891">
            <w:pPr>
              <w:jc w:val="center"/>
              <w:rPr>
                <w:rFonts w:ascii="Times New Roman" w:hAnsi="Times New Roman"/>
                <w:sz w:val="22"/>
                <w:szCs w:val="22"/>
              </w:rPr>
            </w:pPr>
            <w:r>
              <w:rPr>
                <w:rFonts w:ascii="Times New Roman" w:hAnsi="Times New Roman"/>
                <w:sz w:val="22"/>
                <w:szCs w:val="22"/>
              </w:rPr>
              <w:t>45/60</w:t>
            </w:r>
            <w:r w:rsidRPr="000C06AD">
              <w:rPr>
                <w:rFonts w:ascii="Times New Roman" w:hAnsi="Times New Roman"/>
                <w:sz w:val="22"/>
                <w:szCs w:val="22"/>
              </w:rPr>
              <w:t xml:space="preserve"> hour </w:t>
            </w:r>
          </w:p>
        </w:tc>
        <w:tc>
          <w:tcPr>
            <w:tcW w:w="1710" w:type="dxa"/>
            <w:shd w:val="clear" w:color="auto" w:fill="FFFFFF" w:themeFill="background1"/>
            <w:vAlign w:val="center"/>
          </w:tcPr>
          <w:p w:rsidR="00C876B4" w:rsidRPr="000C06AD" w:rsidRDefault="00C876B4" w:rsidP="001E636B">
            <w:pPr>
              <w:jc w:val="center"/>
              <w:rPr>
                <w:rFonts w:asciiTheme="minorHAnsi" w:hAnsiTheme="minorHAnsi" w:cstheme="minorHAnsi"/>
                <w:sz w:val="22"/>
                <w:szCs w:val="22"/>
              </w:rPr>
            </w:pPr>
            <w:r w:rsidRPr="000C06AD">
              <w:rPr>
                <w:rFonts w:asciiTheme="minorHAnsi" w:hAnsiTheme="minorHAnsi" w:cstheme="minorHAnsi"/>
                <w:sz w:val="22"/>
                <w:szCs w:val="22"/>
              </w:rPr>
              <w:t>3</w:t>
            </w:r>
            <w:r w:rsidR="00C44942">
              <w:rPr>
                <w:rFonts w:asciiTheme="minorHAnsi" w:hAnsiTheme="minorHAnsi" w:cstheme="minorHAnsi"/>
                <w:sz w:val="22"/>
                <w:szCs w:val="22"/>
              </w:rPr>
              <w:t>8</w:t>
            </w:r>
          </w:p>
        </w:tc>
      </w:tr>
      <w:tr w:rsidR="00C876B4" w:rsidRPr="000C06AD" w:rsidTr="00C44942">
        <w:tc>
          <w:tcPr>
            <w:tcW w:w="1818" w:type="dxa"/>
            <w:shd w:val="clear" w:color="auto" w:fill="FFFFFF" w:themeFill="background1"/>
          </w:tcPr>
          <w:p w:rsidR="00C876B4" w:rsidRPr="000C06AD" w:rsidRDefault="00C876B4" w:rsidP="00416891">
            <w:pPr>
              <w:rPr>
                <w:rFonts w:ascii="Times New Roman" w:hAnsi="Times New Roman"/>
                <w:sz w:val="22"/>
                <w:szCs w:val="22"/>
              </w:rPr>
            </w:pPr>
            <w:r w:rsidRPr="000C06AD">
              <w:rPr>
                <w:rFonts w:ascii="Times New Roman" w:hAnsi="Times New Roman"/>
                <w:sz w:val="22"/>
                <w:szCs w:val="22"/>
              </w:rPr>
              <w:t>Submitter’s Institutional Signing Official</w:t>
            </w:r>
          </w:p>
        </w:tc>
        <w:tc>
          <w:tcPr>
            <w:tcW w:w="1800" w:type="dxa"/>
            <w:shd w:val="clear" w:color="auto" w:fill="FFFFFF" w:themeFill="background1"/>
            <w:vAlign w:val="center"/>
          </w:tcPr>
          <w:p w:rsidR="00C876B4" w:rsidRPr="000C06AD" w:rsidRDefault="00C876B4" w:rsidP="00416891">
            <w:pPr>
              <w:jc w:val="center"/>
              <w:rPr>
                <w:rFonts w:ascii="Times New Roman" w:hAnsi="Times New Roman"/>
                <w:sz w:val="22"/>
                <w:szCs w:val="22"/>
              </w:rPr>
            </w:pPr>
            <w:r w:rsidRPr="000C06AD">
              <w:rPr>
                <w:rFonts w:ascii="Times New Roman" w:hAnsi="Times New Roman"/>
                <w:sz w:val="22"/>
                <w:szCs w:val="22"/>
              </w:rPr>
              <w:t>50</w:t>
            </w:r>
          </w:p>
        </w:tc>
        <w:tc>
          <w:tcPr>
            <w:tcW w:w="1710" w:type="dxa"/>
            <w:shd w:val="clear" w:color="auto" w:fill="FFFFFF" w:themeFill="background1"/>
            <w:vAlign w:val="center"/>
          </w:tcPr>
          <w:p w:rsidR="00C876B4" w:rsidRPr="000C06AD" w:rsidRDefault="00C876B4" w:rsidP="00416891">
            <w:pPr>
              <w:jc w:val="center"/>
              <w:rPr>
                <w:rFonts w:asciiTheme="minorHAnsi" w:hAnsiTheme="minorHAnsi" w:cstheme="minorHAnsi"/>
                <w:sz w:val="22"/>
                <w:szCs w:val="22"/>
              </w:rPr>
            </w:pPr>
            <w:r w:rsidRPr="000C06AD">
              <w:rPr>
                <w:rFonts w:asciiTheme="minorHAnsi" w:hAnsiTheme="minorHAnsi" w:cstheme="minorHAnsi"/>
                <w:sz w:val="22"/>
                <w:szCs w:val="22"/>
              </w:rPr>
              <w:t>1</w:t>
            </w:r>
          </w:p>
        </w:tc>
        <w:tc>
          <w:tcPr>
            <w:tcW w:w="1800" w:type="dxa"/>
            <w:shd w:val="clear" w:color="auto" w:fill="FFFFFF" w:themeFill="background1"/>
            <w:vAlign w:val="center"/>
          </w:tcPr>
          <w:p w:rsidR="00C876B4" w:rsidRPr="000C06AD" w:rsidRDefault="00C876B4" w:rsidP="00416891">
            <w:pPr>
              <w:jc w:val="center"/>
              <w:rPr>
                <w:rFonts w:ascii="Times New Roman" w:hAnsi="Times New Roman"/>
                <w:sz w:val="22"/>
                <w:szCs w:val="22"/>
              </w:rPr>
            </w:pPr>
            <w:r>
              <w:rPr>
                <w:rFonts w:ascii="Times New Roman" w:hAnsi="Times New Roman"/>
                <w:sz w:val="22"/>
                <w:szCs w:val="22"/>
              </w:rPr>
              <w:t>30/60</w:t>
            </w:r>
            <w:r w:rsidRPr="000C06AD">
              <w:rPr>
                <w:rFonts w:ascii="Times New Roman" w:hAnsi="Times New Roman"/>
                <w:sz w:val="22"/>
                <w:szCs w:val="22"/>
              </w:rPr>
              <w:t xml:space="preserve"> hour</w:t>
            </w:r>
          </w:p>
        </w:tc>
        <w:tc>
          <w:tcPr>
            <w:tcW w:w="1710" w:type="dxa"/>
            <w:shd w:val="clear" w:color="auto" w:fill="FFFFFF" w:themeFill="background1"/>
            <w:vAlign w:val="center"/>
          </w:tcPr>
          <w:p w:rsidR="00C876B4" w:rsidRPr="000C06AD" w:rsidRDefault="00C876B4" w:rsidP="001E636B">
            <w:pPr>
              <w:jc w:val="center"/>
              <w:rPr>
                <w:rFonts w:asciiTheme="minorHAnsi" w:hAnsiTheme="minorHAnsi" w:cstheme="minorHAnsi"/>
                <w:sz w:val="22"/>
                <w:szCs w:val="22"/>
              </w:rPr>
            </w:pPr>
            <w:r w:rsidRPr="000C06AD">
              <w:rPr>
                <w:rFonts w:asciiTheme="minorHAnsi" w:hAnsiTheme="minorHAnsi" w:cstheme="minorHAnsi"/>
                <w:sz w:val="22"/>
                <w:szCs w:val="22"/>
              </w:rPr>
              <w:t>25</w:t>
            </w:r>
          </w:p>
        </w:tc>
      </w:tr>
      <w:tr w:rsidR="00C876B4" w:rsidRPr="000C06AD" w:rsidTr="00C44942">
        <w:tc>
          <w:tcPr>
            <w:tcW w:w="1818" w:type="dxa"/>
            <w:tcBorders>
              <w:bottom w:val="single" w:sz="4" w:space="0" w:color="auto"/>
            </w:tcBorders>
            <w:shd w:val="clear" w:color="auto" w:fill="FFFFFF" w:themeFill="background1"/>
          </w:tcPr>
          <w:p w:rsidR="00C876B4" w:rsidRPr="00C876B4" w:rsidRDefault="00C876B4" w:rsidP="00416891">
            <w:pPr>
              <w:rPr>
                <w:rFonts w:asciiTheme="minorHAnsi" w:hAnsiTheme="minorHAnsi" w:cstheme="minorHAnsi"/>
                <w:sz w:val="22"/>
                <w:szCs w:val="22"/>
              </w:rPr>
            </w:pPr>
            <w:r w:rsidRPr="00C876B4">
              <w:rPr>
                <w:rFonts w:asciiTheme="minorHAnsi" w:hAnsiTheme="minorHAnsi" w:cstheme="minorHAnsi"/>
                <w:sz w:val="22"/>
                <w:szCs w:val="22"/>
              </w:rPr>
              <w:t>Total</w:t>
            </w:r>
          </w:p>
        </w:tc>
        <w:tc>
          <w:tcPr>
            <w:tcW w:w="1800" w:type="dxa"/>
            <w:tcBorders>
              <w:bottom w:val="single" w:sz="4" w:space="0" w:color="auto"/>
            </w:tcBorders>
            <w:shd w:val="clear" w:color="auto" w:fill="FFFFFF" w:themeFill="background1"/>
            <w:vAlign w:val="center"/>
          </w:tcPr>
          <w:p w:rsidR="00C876B4" w:rsidRPr="00C876B4" w:rsidRDefault="00C44942" w:rsidP="00416891">
            <w:pPr>
              <w:jc w:val="center"/>
              <w:rPr>
                <w:rFonts w:asciiTheme="minorHAnsi" w:hAnsiTheme="minorHAnsi" w:cstheme="minorHAnsi"/>
                <w:sz w:val="22"/>
                <w:szCs w:val="22"/>
              </w:rPr>
            </w:pPr>
            <w:r>
              <w:rPr>
                <w:rFonts w:asciiTheme="minorHAnsi" w:hAnsiTheme="minorHAnsi" w:cstheme="minorHAnsi"/>
                <w:sz w:val="22"/>
                <w:szCs w:val="22"/>
              </w:rPr>
              <w:t>100</w:t>
            </w:r>
          </w:p>
        </w:tc>
        <w:tc>
          <w:tcPr>
            <w:tcW w:w="1710" w:type="dxa"/>
            <w:tcBorders>
              <w:bottom w:val="single" w:sz="4" w:space="0" w:color="auto"/>
            </w:tcBorders>
            <w:shd w:val="clear" w:color="auto" w:fill="FFFFFF" w:themeFill="background1"/>
            <w:vAlign w:val="center"/>
          </w:tcPr>
          <w:p w:rsidR="00C876B4" w:rsidRPr="00C876B4" w:rsidRDefault="00C876B4" w:rsidP="00416891">
            <w:pPr>
              <w:jc w:val="center"/>
              <w:rPr>
                <w:rFonts w:asciiTheme="minorHAnsi" w:hAnsiTheme="minorHAnsi" w:cstheme="minorHAnsi"/>
                <w:sz w:val="22"/>
                <w:szCs w:val="22"/>
              </w:rPr>
            </w:pPr>
          </w:p>
        </w:tc>
        <w:tc>
          <w:tcPr>
            <w:tcW w:w="1800" w:type="dxa"/>
            <w:tcBorders>
              <w:bottom w:val="single" w:sz="4" w:space="0" w:color="auto"/>
            </w:tcBorders>
            <w:shd w:val="clear" w:color="auto" w:fill="FFFFFF" w:themeFill="background1"/>
            <w:vAlign w:val="center"/>
          </w:tcPr>
          <w:p w:rsidR="00C876B4" w:rsidRPr="00C876B4" w:rsidRDefault="00C876B4" w:rsidP="00416891">
            <w:pPr>
              <w:jc w:val="center"/>
              <w:rPr>
                <w:rFonts w:asciiTheme="minorHAnsi" w:hAnsiTheme="minorHAnsi" w:cstheme="minorHAnsi"/>
                <w:sz w:val="22"/>
                <w:szCs w:val="22"/>
              </w:rPr>
            </w:pPr>
          </w:p>
        </w:tc>
        <w:tc>
          <w:tcPr>
            <w:tcW w:w="1710" w:type="dxa"/>
            <w:tcBorders>
              <w:bottom w:val="single" w:sz="4" w:space="0" w:color="auto"/>
            </w:tcBorders>
            <w:shd w:val="clear" w:color="auto" w:fill="FFFFFF" w:themeFill="background1"/>
            <w:vAlign w:val="center"/>
          </w:tcPr>
          <w:p w:rsidR="00C876B4" w:rsidRPr="00C876B4" w:rsidRDefault="00C44942" w:rsidP="001E636B">
            <w:pPr>
              <w:jc w:val="center"/>
              <w:rPr>
                <w:rFonts w:asciiTheme="minorHAnsi" w:hAnsiTheme="minorHAnsi" w:cstheme="minorHAnsi"/>
                <w:sz w:val="22"/>
                <w:szCs w:val="22"/>
              </w:rPr>
            </w:pPr>
            <w:r>
              <w:rPr>
                <w:rFonts w:asciiTheme="minorHAnsi" w:hAnsiTheme="minorHAnsi" w:cstheme="minorHAnsi"/>
                <w:sz w:val="22"/>
                <w:szCs w:val="22"/>
              </w:rPr>
              <w:t>63</w:t>
            </w:r>
          </w:p>
        </w:tc>
      </w:tr>
      <w:tr w:rsidR="00C44942" w:rsidRPr="000C06AD" w:rsidTr="00C44942">
        <w:tc>
          <w:tcPr>
            <w:tcW w:w="8838" w:type="dxa"/>
            <w:gridSpan w:val="5"/>
            <w:tcBorders>
              <w:bottom w:val="single" w:sz="4" w:space="0" w:color="auto"/>
            </w:tcBorders>
            <w:shd w:val="pct10" w:color="auto" w:fill="FFFFFF" w:themeFill="background1"/>
          </w:tcPr>
          <w:p w:rsidR="00C44942" w:rsidRPr="00C44942" w:rsidRDefault="00C44942" w:rsidP="00C44942">
            <w:pPr>
              <w:rPr>
                <w:rFonts w:asciiTheme="minorHAnsi" w:hAnsiTheme="minorHAnsi" w:cstheme="minorHAnsi"/>
                <w:b/>
                <w:sz w:val="22"/>
                <w:szCs w:val="22"/>
              </w:rPr>
            </w:pPr>
            <w:r w:rsidRPr="00C44942">
              <w:rPr>
                <w:rFonts w:asciiTheme="minorHAnsi" w:hAnsiTheme="minorHAnsi" w:cstheme="minorHAnsi"/>
                <w:b/>
                <w:sz w:val="22"/>
                <w:szCs w:val="22"/>
              </w:rPr>
              <w:t>Data Access Request</w:t>
            </w:r>
          </w:p>
        </w:tc>
      </w:tr>
      <w:tr w:rsidR="00C876B4" w:rsidRPr="000C06AD" w:rsidTr="00C44942">
        <w:tc>
          <w:tcPr>
            <w:tcW w:w="1818" w:type="dxa"/>
            <w:shd w:val="clear" w:color="auto" w:fill="FFFFFF" w:themeFill="background1"/>
          </w:tcPr>
          <w:p w:rsidR="00C876B4" w:rsidRPr="000C06AD" w:rsidRDefault="00C876B4" w:rsidP="00416891">
            <w:pPr>
              <w:rPr>
                <w:rFonts w:asciiTheme="minorHAnsi" w:hAnsiTheme="minorHAnsi" w:cstheme="minorHAnsi"/>
                <w:sz w:val="22"/>
                <w:szCs w:val="22"/>
              </w:rPr>
            </w:pPr>
            <w:r w:rsidRPr="000C06AD">
              <w:rPr>
                <w:rFonts w:asciiTheme="minorHAnsi" w:hAnsiTheme="minorHAnsi" w:cstheme="minorHAnsi"/>
                <w:sz w:val="22"/>
                <w:szCs w:val="22"/>
              </w:rPr>
              <w:t>PI Requesting Data</w:t>
            </w:r>
          </w:p>
        </w:tc>
        <w:tc>
          <w:tcPr>
            <w:tcW w:w="1800" w:type="dxa"/>
            <w:shd w:val="clear" w:color="auto" w:fill="FFFFFF" w:themeFill="background1"/>
            <w:vAlign w:val="center"/>
          </w:tcPr>
          <w:p w:rsidR="00C876B4" w:rsidRPr="000C06AD" w:rsidRDefault="00C876B4" w:rsidP="00416891">
            <w:pPr>
              <w:jc w:val="center"/>
              <w:rPr>
                <w:rFonts w:asciiTheme="minorHAnsi" w:hAnsiTheme="minorHAnsi" w:cstheme="minorHAnsi"/>
                <w:sz w:val="22"/>
                <w:szCs w:val="22"/>
              </w:rPr>
            </w:pPr>
            <w:r w:rsidRPr="000C06AD">
              <w:rPr>
                <w:rFonts w:asciiTheme="minorHAnsi" w:hAnsiTheme="minorHAnsi" w:cstheme="minorHAnsi"/>
                <w:sz w:val="22"/>
                <w:szCs w:val="22"/>
              </w:rPr>
              <w:t>633</w:t>
            </w:r>
          </w:p>
        </w:tc>
        <w:tc>
          <w:tcPr>
            <w:tcW w:w="1710" w:type="dxa"/>
            <w:shd w:val="clear" w:color="auto" w:fill="FFFFFF" w:themeFill="background1"/>
            <w:vAlign w:val="center"/>
          </w:tcPr>
          <w:p w:rsidR="00C876B4" w:rsidRPr="000C06AD" w:rsidRDefault="00C876B4" w:rsidP="00416891">
            <w:pPr>
              <w:jc w:val="center"/>
              <w:rPr>
                <w:rFonts w:asciiTheme="minorHAnsi" w:hAnsiTheme="minorHAnsi" w:cstheme="minorHAnsi"/>
                <w:sz w:val="22"/>
                <w:szCs w:val="22"/>
              </w:rPr>
            </w:pPr>
            <w:r w:rsidRPr="000C06AD">
              <w:rPr>
                <w:rFonts w:asciiTheme="minorHAnsi" w:hAnsiTheme="minorHAnsi" w:cstheme="minorHAnsi"/>
                <w:sz w:val="22"/>
                <w:szCs w:val="22"/>
              </w:rPr>
              <w:t>2</w:t>
            </w:r>
          </w:p>
        </w:tc>
        <w:tc>
          <w:tcPr>
            <w:tcW w:w="1800" w:type="dxa"/>
            <w:shd w:val="clear" w:color="auto" w:fill="FFFFFF" w:themeFill="background1"/>
            <w:vAlign w:val="center"/>
          </w:tcPr>
          <w:p w:rsidR="00C876B4" w:rsidRPr="000C06AD" w:rsidRDefault="00C876B4" w:rsidP="00416891">
            <w:pPr>
              <w:jc w:val="center"/>
              <w:rPr>
                <w:rFonts w:asciiTheme="minorHAnsi" w:hAnsiTheme="minorHAnsi" w:cstheme="minorHAnsi"/>
                <w:sz w:val="22"/>
                <w:szCs w:val="22"/>
              </w:rPr>
            </w:pPr>
            <w:r>
              <w:rPr>
                <w:rFonts w:ascii="Times New Roman" w:hAnsi="Times New Roman"/>
                <w:sz w:val="22"/>
                <w:szCs w:val="22"/>
              </w:rPr>
              <w:t>45/60</w:t>
            </w:r>
            <w:r w:rsidRPr="000C06AD">
              <w:rPr>
                <w:rFonts w:ascii="Times New Roman" w:hAnsi="Times New Roman"/>
                <w:sz w:val="22"/>
                <w:szCs w:val="22"/>
              </w:rPr>
              <w:t xml:space="preserve"> hour</w:t>
            </w:r>
          </w:p>
        </w:tc>
        <w:tc>
          <w:tcPr>
            <w:tcW w:w="1710" w:type="dxa"/>
            <w:shd w:val="clear" w:color="auto" w:fill="FFFFFF" w:themeFill="background1"/>
            <w:vAlign w:val="center"/>
          </w:tcPr>
          <w:p w:rsidR="00C876B4" w:rsidRPr="000C06AD" w:rsidRDefault="00C44942" w:rsidP="001E636B">
            <w:pPr>
              <w:jc w:val="center"/>
              <w:rPr>
                <w:rFonts w:asciiTheme="minorHAnsi" w:hAnsiTheme="minorHAnsi" w:cstheme="minorHAnsi"/>
                <w:sz w:val="22"/>
                <w:szCs w:val="22"/>
              </w:rPr>
            </w:pPr>
            <w:r>
              <w:rPr>
                <w:rFonts w:asciiTheme="minorHAnsi" w:hAnsiTheme="minorHAnsi" w:cstheme="minorHAnsi"/>
                <w:sz w:val="22"/>
                <w:szCs w:val="22"/>
              </w:rPr>
              <w:t>950</w:t>
            </w:r>
          </w:p>
        </w:tc>
      </w:tr>
      <w:tr w:rsidR="00C876B4" w:rsidRPr="000C06AD" w:rsidTr="00C44942">
        <w:tc>
          <w:tcPr>
            <w:tcW w:w="1818" w:type="dxa"/>
            <w:shd w:val="clear" w:color="auto" w:fill="FFFFFF" w:themeFill="background1"/>
          </w:tcPr>
          <w:p w:rsidR="00C876B4" w:rsidRPr="000C06AD" w:rsidRDefault="00C876B4" w:rsidP="00416891">
            <w:pPr>
              <w:rPr>
                <w:rFonts w:asciiTheme="minorHAnsi" w:hAnsiTheme="minorHAnsi" w:cstheme="minorHAnsi"/>
                <w:sz w:val="22"/>
                <w:szCs w:val="22"/>
              </w:rPr>
            </w:pPr>
            <w:r w:rsidRPr="000C06AD">
              <w:rPr>
                <w:rFonts w:asciiTheme="minorHAnsi" w:hAnsiTheme="minorHAnsi" w:cstheme="minorHAnsi"/>
                <w:sz w:val="22"/>
                <w:szCs w:val="22"/>
              </w:rPr>
              <w:t xml:space="preserve">Requester’s </w:t>
            </w:r>
            <w:r w:rsidRPr="000C06AD">
              <w:rPr>
                <w:rFonts w:ascii="Times New Roman" w:hAnsi="Times New Roman"/>
                <w:sz w:val="22"/>
                <w:szCs w:val="22"/>
              </w:rPr>
              <w:t>Institutional Signing Official</w:t>
            </w:r>
          </w:p>
        </w:tc>
        <w:tc>
          <w:tcPr>
            <w:tcW w:w="1800" w:type="dxa"/>
            <w:shd w:val="clear" w:color="auto" w:fill="FFFFFF" w:themeFill="background1"/>
            <w:vAlign w:val="center"/>
          </w:tcPr>
          <w:p w:rsidR="00C876B4" w:rsidRPr="000C06AD" w:rsidRDefault="00C876B4" w:rsidP="00416891">
            <w:pPr>
              <w:jc w:val="center"/>
              <w:rPr>
                <w:rFonts w:asciiTheme="minorHAnsi" w:hAnsiTheme="minorHAnsi" w:cstheme="minorHAnsi"/>
                <w:sz w:val="22"/>
                <w:szCs w:val="22"/>
              </w:rPr>
            </w:pPr>
            <w:r w:rsidRPr="000C06AD">
              <w:rPr>
                <w:rFonts w:asciiTheme="minorHAnsi" w:hAnsiTheme="minorHAnsi" w:cstheme="minorHAnsi"/>
                <w:sz w:val="22"/>
                <w:szCs w:val="22"/>
              </w:rPr>
              <w:t>633</w:t>
            </w:r>
          </w:p>
        </w:tc>
        <w:tc>
          <w:tcPr>
            <w:tcW w:w="1710" w:type="dxa"/>
            <w:shd w:val="clear" w:color="auto" w:fill="FFFFFF" w:themeFill="background1"/>
            <w:vAlign w:val="center"/>
          </w:tcPr>
          <w:p w:rsidR="00C876B4" w:rsidRPr="000C06AD" w:rsidRDefault="00C876B4" w:rsidP="00416891">
            <w:pPr>
              <w:jc w:val="center"/>
              <w:rPr>
                <w:rFonts w:asciiTheme="minorHAnsi" w:hAnsiTheme="minorHAnsi" w:cstheme="minorHAnsi"/>
                <w:sz w:val="22"/>
                <w:szCs w:val="22"/>
              </w:rPr>
            </w:pPr>
            <w:r w:rsidRPr="000C06AD">
              <w:rPr>
                <w:rFonts w:asciiTheme="minorHAnsi" w:hAnsiTheme="minorHAnsi" w:cstheme="minorHAnsi"/>
                <w:sz w:val="22"/>
                <w:szCs w:val="22"/>
              </w:rPr>
              <w:t>2</w:t>
            </w:r>
          </w:p>
        </w:tc>
        <w:tc>
          <w:tcPr>
            <w:tcW w:w="1800" w:type="dxa"/>
            <w:shd w:val="clear" w:color="auto" w:fill="FFFFFF" w:themeFill="background1"/>
            <w:vAlign w:val="center"/>
          </w:tcPr>
          <w:p w:rsidR="00C876B4" w:rsidRPr="000C06AD" w:rsidRDefault="00C876B4" w:rsidP="00416891">
            <w:pPr>
              <w:jc w:val="center"/>
              <w:rPr>
                <w:rFonts w:asciiTheme="minorHAnsi" w:hAnsiTheme="minorHAnsi" w:cstheme="minorHAnsi"/>
                <w:sz w:val="22"/>
                <w:szCs w:val="22"/>
              </w:rPr>
            </w:pPr>
            <w:r>
              <w:rPr>
                <w:rFonts w:ascii="Times New Roman" w:hAnsi="Times New Roman"/>
                <w:sz w:val="22"/>
                <w:szCs w:val="22"/>
              </w:rPr>
              <w:t>30/60</w:t>
            </w:r>
            <w:r w:rsidRPr="000C06AD">
              <w:rPr>
                <w:rFonts w:ascii="Times New Roman" w:hAnsi="Times New Roman"/>
                <w:sz w:val="22"/>
                <w:szCs w:val="22"/>
              </w:rPr>
              <w:t xml:space="preserve"> hour</w:t>
            </w:r>
          </w:p>
        </w:tc>
        <w:tc>
          <w:tcPr>
            <w:tcW w:w="1710" w:type="dxa"/>
            <w:shd w:val="clear" w:color="auto" w:fill="FFFFFF" w:themeFill="background1"/>
            <w:vAlign w:val="center"/>
          </w:tcPr>
          <w:p w:rsidR="00C876B4" w:rsidRPr="000C06AD" w:rsidRDefault="00C876B4" w:rsidP="001E636B">
            <w:pPr>
              <w:jc w:val="center"/>
              <w:rPr>
                <w:rFonts w:asciiTheme="minorHAnsi" w:hAnsiTheme="minorHAnsi" w:cstheme="minorHAnsi"/>
                <w:sz w:val="22"/>
                <w:szCs w:val="22"/>
              </w:rPr>
            </w:pPr>
            <w:r w:rsidRPr="000C06AD">
              <w:rPr>
                <w:rFonts w:asciiTheme="minorHAnsi" w:hAnsiTheme="minorHAnsi" w:cstheme="minorHAnsi"/>
                <w:sz w:val="22"/>
                <w:szCs w:val="22"/>
              </w:rPr>
              <w:t>633</w:t>
            </w:r>
          </w:p>
        </w:tc>
      </w:tr>
      <w:tr w:rsidR="00C876B4" w:rsidRPr="002F4B61" w:rsidTr="00C44942">
        <w:trPr>
          <w:trHeight w:val="70"/>
        </w:trPr>
        <w:tc>
          <w:tcPr>
            <w:tcW w:w="1818" w:type="dxa"/>
            <w:shd w:val="clear" w:color="auto" w:fill="FFFFFF" w:themeFill="background1"/>
          </w:tcPr>
          <w:p w:rsidR="00C876B4" w:rsidRPr="000C06AD" w:rsidRDefault="00C876B4" w:rsidP="00416891">
            <w:pPr>
              <w:rPr>
                <w:rFonts w:ascii="Times New Roman" w:hAnsi="Times New Roman"/>
                <w:sz w:val="22"/>
                <w:szCs w:val="22"/>
              </w:rPr>
            </w:pPr>
            <w:r w:rsidRPr="000C06AD">
              <w:rPr>
                <w:rFonts w:ascii="Times New Roman" w:hAnsi="Times New Roman"/>
                <w:sz w:val="22"/>
                <w:szCs w:val="22"/>
              </w:rPr>
              <w:t>Total</w:t>
            </w:r>
          </w:p>
        </w:tc>
        <w:tc>
          <w:tcPr>
            <w:tcW w:w="1800" w:type="dxa"/>
            <w:shd w:val="clear" w:color="auto" w:fill="FFFFFF" w:themeFill="background1"/>
            <w:vAlign w:val="center"/>
          </w:tcPr>
          <w:p w:rsidR="00C876B4" w:rsidRPr="000C06AD" w:rsidRDefault="004D087E" w:rsidP="00416891">
            <w:pPr>
              <w:jc w:val="center"/>
              <w:rPr>
                <w:rFonts w:ascii="Times New Roman" w:hAnsi="Times New Roman"/>
                <w:sz w:val="22"/>
                <w:szCs w:val="22"/>
              </w:rPr>
            </w:pPr>
            <w:r>
              <w:rPr>
                <w:rFonts w:ascii="Times New Roman" w:hAnsi="Times New Roman"/>
                <w:sz w:val="22"/>
                <w:szCs w:val="22"/>
              </w:rPr>
              <w:t>1,2</w:t>
            </w:r>
            <w:r w:rsidR="00C876B4" w:rsidRPr="000C06AD">
              <w:rPr>
                <w:rFonts w:ascii="Times New Roman" w:hAnsi="Times New Roman"/>
                <w:sz w:val="22"/>
                <w:szCs w:val="22"/>
              </w:rPr>
              <w:t>66</w:t>
            </w:r>
          </w:p>
        </w:tc>
        <w:tc>
          <w:tcPr>
            <w:tcW w:w="1710" w:type="dxa"/>
            <w:shd w:val="clear" w:color="auto" w:fill="FFFFFF" w:themeFill="background1"/>
          </w:tcPr>
          <w:p w:rsidR="00C876B4" w:rsidRPr="000C06AD" w:rsidRDefault="00C876B4" w:rsidP="00416891">
            <w:pPr>
              <w:jc w:val="center"/>
              <w:rPr>
                <w:rFonts w:asciiTheme="minorHAnsi" w:hAnsiTheme="minorHAnsi" w:cstheme="minorHAnsi"/>
                <w:sz w:val="22"/>
                <w:szCs w:val="22"/>
              </w:rPr>
            </w:pPr>
            <w:r w:rsidRPr="000C06AD">
              <w:rPr>
                <w:rFonts w:asciiTheme="minorHAnsi" w:hAnsiTheme="minorHAnsi" w:cstheme="minorHAnsi"/>
                <w:sz w:val="22"/>
                <w:szCs w:val="22"/>
              </w:rPr>
              <w:t>n/a</w:t>
            </w:r>
          </w:p>
        </w:tc>
        <w:tc>
          <w:tcPr>
            <w:tcW w:w="1800" w:type="dxa"/>
            <w:shd w:val="clear" w:color="auto" w:fill="FFFFFF" w:themeFill="background1"/>
          </w:tcPr>
          <w:p w:rsidR="00C876B4" w:rsidRPr="000C06AD" w:rsidRDefault="00C876B4" w:rsidP="00416891">
            <w:pPr>
              <w:jc w:val="center"/>
              <w:rPr>
                <w:rFonts w:ascii="Times New Roman" w:hAnsi="Times New Roman"/>
                <w:sz w:val="22"/>
                <w:szCs w:val="22"/>
              </w:rPr>
            </w:pPr>
            <w:r w:rsidRPr="000C06AD">
              <w:rPr>
                <w:rFonts w:ascii="Times New Roman" w:hAnsi="Times New Roman"/>
                <w:sz w:val="22"/>
                <w:szCs w:val="22"/>
              </w:rPr>
              <w:t>n/a</w:t>
            </w:r>
          </w:p>
        </w:tc>
        <w:tc>
          <w:tcPr>
            <w:tcW w:w="1710" w:type="dxa"/>
            <w:shd w:val="clear" w:color="auto" w:fill="FFFFFF" w:themeFill="background1"/>
          </w:tcPr>
          <w:p w:rsidR="00C876B4" w:rsidRPr="000C06AD" w:rsidRDefault="00C876B4" w:rsidP="00416891">
            <w:pPr>
              <w:jc w:val="center"/>
              <w:rPr>
                <w:rFonts w:asciiTheme="minorHAnsi" w:hAnsiTheme="minorHAnsi" w:cstheme="minorHAnsi"/>
                <w:sz w:val="22"/>
                <w:szCs w:val="22"/>
              </w:rPr>
            </w:pPr>
            <w:r w:rsidRPr="000C06AD">
              <w:rPr>
                <w:rFonts w:asciiTheme="minorHAnsi" w:hAnsiTheme="minorHAnsi" w:cstheme="minorHAnsi"/>
                <w:sz w:val="22"/>
                <w:szCs w:val="22"/>
              </w:rPr>
              <w:t>1</w:t>
            </w:r>
            <w:r w:rsidR="00C44942">
              <w:rPr>
                <w:rFonts w:asciiTheme="minorHAnsi" w:hAnsiTheme="minorHAnsi" w:cstheme="minorHAnsi"/>
                <w:sz w:val="22"/>
                <w:szCs w:val="22"/>
              </w:rPr>
              <w:t>,583</w:t>
            </w:r>
          </w:p>
        </w:tc>
      </w:tr>
    </w:tbl>
    <w:p w:rsidR="00416891" w:rsidRPr="002F4B61" w:rsidRDefault="00416891" w:rsidP="00283F0D">
      <w:pPr>
        <w:rPr>
          <w:sz w:val="22"/>
          <w:szCs w:val="22"/>
        </w:rPr>
      </w:pPr>
    </w:p>
    <w:p w:rsidR="00C5320F" w:rsidRPr="002F4B61" w:rsidRDefault="00C5320F" w:rsidP="00F67D0B">
      <w:pPr>
        <w:rPr>
          <w:b/>
          <w:sz w:val="22"/>
          <w:szCs w:val="22"/>
        </w:rPr>
      </w:pPr>
      <w:r w:rsidRPr="002F4B61">
        <w:rPr>
          <w:b/>
          <w:sz w:val="22"/>
          <w:szCs w:val="22"/>
        </w:rPr>
        <w:t>A.13</w:t>
      </w:r>
      <w:r w:rsidRPr="002F4B61">
        <w:rPr>
          <w:b/>
          <w:sz w:val="22"/>
          <w:szCs w:val="22"/>
        </w:rPr>
        <w:tab/>
        <w:t>Estimates of Other Total Annual Cost Burden to Respondents and Record Keepers</w:t>
      </w:r>
    </w:p>
    <w:p w:rsidR="00C5320F" w:rsidRPr="002F4B61" w:rsidRDefault="00C5320F">
      <w:pPr>
        <w:rPr>
          <w:b/>
          <w:sz w:val="22"/>
          <w:szCs w:val="22"/>
        </w:rPr>
      </w:pPr>
    </w:p>
    <w:p w:rsidR="00C5320F" w:rsidRPr="002F4B61" w:rsidRDefault="00C5320F" w:rsidP="0098310C">
      <w:pPr>
        <w:ind w:left="720"/>
        <w:rPr>
          <w:sz w:val="22"/>
          <w:szCs w:val="22"/>
        </w:rPr>
      </w:pPr>
      <w:r w:rsidRPr="002F4B61">
        <w:rPr>
          <w:sz w:val="22"/>
          <w:szCs w:val="22"/>
        </w:rPr>
        <w:t xml:space="preserve">There </w:t>
      </w:r>
      <w:r w:rsidR="004A101C" w:rsidRPr="002F4B61">
        <w:rPr>
          <w:sz w:val="22"/>
          <w:szCs w:val="22"/>
        </w:rPr>
        <w:t xml:space="preserve">are </w:t>
      </w:r>
      <w:r w:rsidRPr="002F4B61">
        <w:rPr>
          <w:sz w:val="22"/>
          <w:szCs w:val="22"/>
        </w:rPr>
        <w:t xml:space="preserve">no capital costs associated with this collection.  </w:t>
      </w:r>
    </w:p>
    <w:p w:rsidR="00C5320F" w:rsidRPr="002F4B61" w:rsidRDefault="00C5320F" w:rsidP="00F67D0B">
      <w:pPr>
        <w:rPr>
          <w:b/>
          <w:sz w:val="22"/>
          <w:szCs w:val="22"/>
        </w:rPr>
      </w:pPr>
    </w:p>
    <w:p w:rsidR="00C5320F" w:rsidRPr="002F4B61" w:rsidRDefault="00C5320F" w:rsidP="00F67D0B">
      <w:pPr>
        <w:rPr>
          <w:b/>
          <w:sz w:val="22"/>
          <w:szCs w:val="22"/>
        </w:rPr>
      </w:pPr>
      <w:r w:rsidRPr="002F4B61">
        <w:rPr>
          <w:b/>
          <w:sz w:val="22"/>
          <w:szCs w:val="22"/>
        </w:rPr>
        <w:t>A.14</w:t>
      </w:r>
      <w:r w:rsidRPr="002F4B61">
        <w:rPr>
          <w:b/>
          <w:sz w:val="22"/>
          <w:szCs w:val="22"/>
        </w:rPr>
        <w:tab/>
        <w:t>Annualized Cost to the Federal Government</w:t>
      </w:r>
    </w:p>
    <w:p w:rsidR="00C5320F" w:rsidRPr="002F4B61" w:rsidRDefault="00C5320F" w:rsidP="00955FAD">
      <w:pPr>
        <w:tabs>
          <w:tab w:val="num" w:pos="810"/>
        </w:tabs>
        <w:ind w:hanging="990"/>
        <w:rPr>
          <w:sz w:val="22"/>
          <w:szCs w:val="22"/>
        </w:rPr>
      </w:pPr>
    </w:p>
    <w:p w:rsidR="00C5320F" w:rsidRPr="002F4B61" w:rsidRDefault="00C5320F">
      <w:pPr>
        <w:ind w:left="720"/>
        <w:rPr>
          <w:color w:val="000000"/>
          <w:sz w:val="22"/>
          <w:szCs w:val="22"/>
        </w:rPr>
      </w:pPr>
      <w:r w:rsidRPr="002F4B61">
        <w:rPr>
          <w:rStyle w:val="apple-style-span"/>
          <w:color w:val="000000"/>
          <w:sz w:val="22"/>
          <w:szCs w:val="22"/>
        </w:rPr>
        <w:t xml:space="preserve">The estimated annualized cost to the Federal Government </w:t>
      </w:r>
      <w:r w:rsidR="00D778A3" w:rsidRPr="002F4B61">
        <w:rPr>
          <w:rStyle w:val="apple-style-span"/>
          <w:color w:val="000000"/>
          <w:sz w:val="22"/>
          <w:szCs w:val="22"/>
        </w:rPr>
        <w:t xml:space="preserve">to support this information collection </w:t>
      </w:r>
      <w:r w:rsidRPr="002F4B61">
        <w:rPr>
          <w:rStyle w:val="apple-style-span"/>
          <w:color w:val="000000"/>
          <w:sz w:val="22"/>
          <w:szCs w:val="22"/>
        </w:rPr>
        <w:t xml:space="preserve">is $9.25 million, which is comprised of program personnel costs and computer hardware/software costs associated with the project’s implementation and operation. </w:t>
      </w:r>
      <w:r w:rsidR="004A101C" w:rsidRPr="002F4B61">
        <w:rPr>
          <w:rStyle w:val="apple-style-span"/>
          <w:color w:val="000000"/>
          <w:sz w:val="22"/>
          <w:szCs w:val="22"/>
        </w:rPr>
        <w:t xml:space="preserve"> </w:t>
      </w:r>
      <w:r w:rsidRPr="002F4B61">
        <w:rPr>
          <w:rStyle w:val="apple-style-span"/>
          <w:color w:val="000000"/>
          <w:sz w:val="22"/>
          <w:szCs w:val="22"/>
        </w:rPr>
        <w:t>The estimated personnel cost is</w:t>
      </w:r>
      <w:r w:rsidR="00677CE0" w:rsidRPr="002F4B61">
        <w:rPr>
          <w:rStyle w:val="apple-style-span"/>
          <w:color w:val="000000"/>
          <w:sz w:val="22"/>
          <w:szCs w:val="22"/>
        </w:rPr>
        <w:t xml:space="preserve"> </w:t>
      </w:r>
      <w:r w:rsidRPr="002F4B61">
        <w:rPr>
          <w:rStyle w:val="apple-style-span"/>
          <w:color w:val="000000"/>
          <w:sz w:val="22"/>
          <w:szCs w:val="22"/>
        </w:rPr>
        <w:t xml:space="preserve">$6.75 million, based on 45 </w:t>
      </w:r>
      <w:r w:rsidR="00677CE0" w:rsidRPr="002F4B61">
        <w:rPr>
          <w:rStyle w:val="apple-style-span"/>
          <w:color w:val="000000"/>
          <w:sz w:val="22"/>
          <w:szCs w:val="22"/>
        </w:rPr>
        <w:t>programmers (</w:t>
      </w:r>
      <w:r w:rsidRPr="002F4B61">
        <w:rPr>
          <w:rStyle w:val="apple-style-span"/>
          <w:color w:val="000000"/>
          <w:sz w:val="22"/>
          <w:szCs w:val="22"/>
        </w:rPr>
        <w:t>contractor</w:t>
      </w:r>
      <w:r w:rsidR="00F72338" w:rsidRPr="002F4B61">
        <w:rPr>
          <w:rStyle w:val="apple-style-span"/>
          <w:color w:val="000000"/>
          <w:sz w:val="22"/>
          <w:szCs w:val="22"/>
        </w:rPr>
        <w:t>s</w:t>
      </w:r>
      <w:r w:rsidRPr="002F4B61">
        <w:rPr>
          <w:rStyle w:val="apple-style-span"/>
          <w:color w:val="000000"/>
          <w:sz w:val="22"/>
          <w:szCs w:val="22"/>
        </w:rPr>
        <w:t xml:space="preserve"> and </w:t>
      </w:r>
      <w:r w:rsidR="00677CE0" w:rsidRPr="002F4B61">
        <w:rPr>
          <w:rStyle w:val="apple-style-span"/>
          <w:color w:val="000000"/>
          <w:sz w:val="22"/>
          <w:szCs w:val="22"/>
        </w:rPr>
        <w:t>federal) at</w:t>
      </w:r>
      <w:r w:rsidRPr="002F4B61">
        <w:rPr>
          <w:rStyle w:val="apple-style-span"/>
          <w:color w:val="000000"/>
          <w:sz w:val="22"/>
          <w:szCs w:val="22"/>
        </w:rPr>
        <w:t xml:space="preserve"> an average annual rate of $150,000 (salary and benefi</w:t>
      </w:r>
      <w:r w:rsidR="00F72338" w:rsidRPr="002F4B61">
        <w:rPr>
          <w:rStyle w:val="apple-style-span"/>
          <w:color w:val="000000"/>
          <w:sz w:val="22"/>
          <w:szCs w:val="22"/>
        </w:rPr>
        <w:t>ts)</w:t>
      </w:r>
      <w:r w:rsidR="00677CE0" w:rsidRPr="002F4B61">
        <w:rPr>
          <w:rStyle w:val="apple-style-span"/>
          <w:color w:val="000000"/>
          <w:sz w:val="22"/>
          <w:szCs w:val="22"/>
        </w:rPr>
        <w:t>.</w:t>
      </w:r>
      <w:r w:rsidR="00F72338" w:rsidRPr="002F4B61">
        <w:rPr>
          <w:rStyle w:val="apple-style-span"/>
          <w:color w:val="000000"/>
          <w:sz w:val="22"/>
          <w:szCs w:val="22"/>
        </w:rPr>
        <w:t xml:space="preserve"> </w:t>
      </w:r>
      <w:r w:rsidR="004A101C" w:rsidRPr="002F4B61">
        <w:rPr>
          <w:rStyle w:val="apple-style-span"/>
          <w:color w:val="000000"/>
          <w:sz w:val="22"/>
          <w:szCs w:val="22"/>
        </w:rPr>
        <w:t xml:space="preserve"> </w:t>
      </w:r>
      <w:r w:rsidR="00677CE0" w:rsidRPr="002F4B61">
        <w:rPr>
          <w:rStyle w:val="apple-style-span"/>
          <w:color w:val="000000"/>
          <w:sz w:val="22"/>
          <w:szCs w:val="22"/>
        </w:rPr>
        <w:t xml:space="preserve">The </w:t>
      </w:r>
      <w:r w:rsidRPr="002F4B61">
        <w:rPr>
          <w:rStyle w:val="apple-style-span"/>
          <w:color w:val="000000"/>
          <w:sz w:val="22"/>
          <w:szCs w:val="22"/>
        </w:rPr>
        <w:t xml:space="preserve">estimated </w:t>
      </w:r>
      <w:r w:rsidR="00D73276" w:rsidRPr="002F4B61">
        <w:rPr>
          <w:rStyle w:val="apple-style-span"/>
          <w:color w:val="000000"/>
          <w:sz w:val="22"/>
          <w:szCs w:val="22"/>
        </w:rPr>
        <w:t xml:space="preserve">cost of </w:t>
      </w:r>
      <w:r w:rsidRPr="002F4B61">
        <w:rPr>
          <w:rStyle w:val="apple-style-span"/>
          <w:color w:val="000000"/>
          <w:sz w:val="22"/>
          <w:szCs w:val="22"/>
        </w:rPr>
        <w:t>compu</w:t>
      </w:r>
      <w:r w:rsidR="00F72338" w:rsidRPr="002F4B61">
        <w:rPr>
          <w:rStyle w:val="apple-style-span"/>
          <w:color w:val="000000"/>
          <w:sz w:val="22"/>
          <w:szCs w:val="22"/>
        </w:rPr>
        <w:t xml:space="preserve">ter hardware and software </w:t>
      </w:r>
      <w:r w:rsidR="00D73276" w:rsidRPr="002F4B61">
        <w:rPr>
          <w:rStyle w:val="apple-style-span"/>
          <w:color w:val="000000"/>
          <w:sz w:val="22"/>
          <w:szCs w:val="22"/>
        </w:rPr>
        <w:t xml:space="preserve">is </w:t>
      </w:r>
      <w:r w:rsidRPr="002F4B61">
        <w:rPr>
          <w:rStyle w:val="apple-style-span"/>
          <w:color w:val="000000"/>
          <w:sz w:val="22"/>
          <w:szCs w:val="22"/>
        </w:rPr>
        <w:t>$2.5 million.</w:t>
      </w:r>
    </w:p>
    <w:p w:rsidR="00C5320F" w:rsidRPr="002F4B61" w:rsidRDefault="00C5320F" w:rsidP="00827D40">
      <w:pPr>
        <w:tabs>
          <w:tab w:val="num" w:pos="810"/>
        </w:tabs>
        <w:ind w:left="810" w:hanging="810"/>
        <w:rPr>
          <w:sz w:val="22"/>
          <w:szCs w:val="22"/>
        </w:rPr>
      </w:pPr>
    </w:p>
    <w:p w:rsidR="00C5320F" w:rsidRPr="002F4B61" w:rsidRDefault="00C5320F" w:rsidP="00F67D0B">
      <w:pPr>
        <w:rPr>
          <w:b/>
          <w:sz w:val="22"/>
          <w:szCs w:val="22"/>
        </w:rPr>
      </w:pPr>
      <w:bookmarkStart w:id="1" w:name="OLE_LINK1"/>
      <w:bookmarkStart w:id="2" w:name="OLE_LINK2"/>
      <w:r w:rsidRPr="002F4B61">
        <w:rPr>
          <w:b/>
          <w:sz w:val="22"/>
          <w:szCs w:val="22"/>
        </w:rPr>
        <w:t>A.15</w:t>
      </w:r>
      <w:r w:rsidRPr="002F4B61">
        <w:rPr>
          <w:b/>
          <w:sz w:val="22"/>
          <w:szCs w:val="22"/>
        </w:rPr>
        <w:tab/>
        <w:t>Explanation for Program Changes or Adjustments</w:t>
      </w:r>
      <w:r w:rsidRPr="002F4B61">
        <w:rPr>
          <w:sz w:val="22"/>
          <w:szCs w:val="22"/>
        </w:rPr>
        <w:t xml:space="preserve"> </w:t>
      </w:r>
    </w:p>
    <w:p w:rsidR="00C5320F" w:rsidRPr="002F4B61" w:rsidRDefault="00C5320F" w:rsidP="00955FAD">
      <w:pPr>
        <w:tabs>
          <w:tab w:val="num" w:pos="810"/>
        </w:tabs>
        <w:autoSpaceDE w:val="0"/>
        <w:autoSpaceDN w:val="0"/>
        <w:adjustRightInd w:val="0"/>
        <w:ind w:left="360" w:hanging="990"/>
        <w:rPr>
          <w:b/>
          <w:sz w:val="22"/>
          <w:szCs w:val="22"/>
        </w:rPr>
      </w:pPr>
    </w:p>
    <w:p w:rsidR="00C5320F" w:rsidRPr="002F4B61" w:rsidRDefault="00D80630" w:rsidP="003160F7">
      <w:pPr>
        <w:tabs>
          <w:tab w:val="num" w:pos="810"/>
        </w:tabs>
        <w:autoSpaceDE w:val="0"/>
        <w:autoSpaceDN w:val="0"/>
        <w:adjustRightInd w:val="0"/>
        <w:ind w:left="720"/>
        <w:rPr>
          <w:sz w:val="22"/>
          <w:szCs w:val="22"/>
        </w:rPr>
      </w:pPr>
      <w:r w:rsidRPr="002F4B61">
        <w:rPr>
          <w:sz w:val="22"/>
          <w:szCs w:val="22"/>
        </w:rPr>
        <w:t>NIH has been collecting study information and data from submitters and process</w:t>
      </w:r>
      <w:r w:rsidR="003036EB" w:rsidRPr="002F4B61">
        <w:rPr>
          <w:sz w:val="22"/>
          <w:szCs w:val="22"/>
        </w:rPr>
        <w:t>ing</w:t>
      </w:r>
      <w:r w:rsidRPr="002F4B61">
        <w:rPr>
          <w:sz w:val="22"/>
          <w:szCs w:val="22"/>
        </w:rPr>
        <w:t xml:space="preserve"> data access re</w:t>
      </w:r>
      <w:r w:rsidR="004A71CA">
        <w:rPr>
          <w:sz w:val="22"/>
          <w:szCs w:val="22"/>
        </w:rPr>
        <w:t>quests since 2008 under the OMB-approved SF</w:t>
      </w:r>
      <w:r w:rsidR="009A08C0">
        <w:rPr>
          <w:sz w:val="22"/>
          <w:szCs w:val="22"/>
        </w:rPr>
        <w:t xml:space="preserve">424 R&amp;R </w:t>
      </w:r>
      <w:r w:rsidR="004A71CA" w:rsidRPr="002F4B61">
        <w:rPr>
          <w:sz w:val="22"/>
          <w:szCs w:val="22"/>
        </w:rPr>
        <w:t>form</w:t>
      </w:r>
      <w:r w:rsidR="004A71CA">
        <w:rPr>
          <w:sz w:val="22"/>
          <w:szCs w:val="22"/>
        </w:rPr>
        <w:t xml:space="preserve"> (OMB Number 4040-0001, expiration date February 28, 2013)</w:t>
      </w:r>
      <w:r w:rsidRPr="002F4B61">
        <w:rPr>
          <w:sz w:val="22"/>
          <w:szCs w:val="22"/>
        </w:rPr>
        <w:t>.  NIH is seeking approval to</w:t>
      </w:r>
      <w:r w:rsidR="003036EB" w:rsidRPr="002F4B61">
        <w:rPr>
          <w:sz w:val="22"/>
          <w:szCs w:val="22"/>
        </w:rPr>
        <w:t xml:space="preserve"> </w:t>
      </w:r>
      <w:r w:rsidRPr="002F4B61">
        <w:rPr>
          <w:sz w:val="22"/>
          <w:szCs w:val="22"/>
        </w:rPr>
        <w:t xml:space="preserve">modify the manner of collecting the study registration information, </w:t>
      </w:r>
      <w:r w:rsidR="00D778A3" w:rsidRPr="002F4B61">
        <w:rPr>
          <w:sz w:val="22"/>
          <w:szCs w:val="22"/>
        </w:rPr>
        <w:t xml:space="preserve">study </w:t>
      </w:r>
      <w:r w:rsidRPr="002F4B61">
        <w:rPr>
          <w:sz w:val="22"/>
          <w:szCs w:val="22"/>
        </w:rPr>
        <w:t xml:space="preserve">data, and access information in order to </w:t>
      </w:r>
      <w:r w:rsidR="003036EB" w:rsidRPr="002F4B61">
        <w:rPr>
          <w:sz w:val="22"/>
          <w:szCs w:val="22"/>
        </w:rPr>
        <w:t xml:space="preserve">ease the burden </w:t>
      </w:r>
      <w:r w:rsidRPr="002F4B61">
        <w:rPr>
          <w:sz w:val="22"/>
          <w:szCs w:val="22"/>
        </w:rPr>
        <w:t xml:space="preserve">for submitters and </w:t>
      </w:r>
      <w:r w:rsidR="008E4C3F" w:rsidRPr="002F4B61">
        <w:rPr>
          <w:sz w:val="22"/>
          <w:szCs w:val="22"/>
        </w:rPr>
        <w:t>requeste</w:t>
      </w:r>
      <w:r w:rsidR="008E5B9E" w:rsidRPr="002F4B61">
        <w:rPr>
          <w:sz w:val="22"/>
          <w:szCs w:val="22"/>
        </w:rPr>
        <w:t>rs</w:t>
      </w:r>
      <w:r w:rsidRPr="002F4B61">
        <w:rPr>
          <w:sz w:val="22"/>
          <w:szCs w:val="22"/>
        </w:rPr>
        <w:t xml:space="preserve">.   </w:t>
      </w:r>
    </w:p>
    <w:bookmarkEnd w:id="1"/>
    <w:bookmarkEnd w:id="2"/>
    <w:p w:rsidR="00DD2E6C" w:rsidRDefault="00DD2E6C" w:rsidP="00F67D0B">
      <w:pPr>
        <w:rPr>
          <w:b/>
          <w:sz w:val="22"/>
          <w:szCs w:val="22"/>
        </w:rPr>
      </w:pPr>
    </w:p>
    <w:p w:rsidR="00400589" w:rsidRPr="002F4B61" w:rsidRDefault="00400589" w:rsidP="00F67D0B">
      <w:pPr>
        <w:rPr>
          <w:b/>
          <w:sz w:val="22"/>
          <w:szCs w:val="22"/>
        </w:rPr>
      </w:pPr>
    </w:p>
    <w:p w:rsidR="00C5320F" w:rsidRPr="002F4B61" w:rsidRDefault="00C5320F" w:rsidP="00F67D0B">
      <w:pPr>
        <w:rPr>
          <w:b/>
          <w:sz w:val="22"/>
          <w:szCs w:val="22"/>
        </w:rPr>
      </w:pPr>
      <w:r w:rsidRPr="002F4B61">
        <w:rPr>
          <w:b/>
          <w:sz w:val="22"/>
          <w:szCs w:val="22"/>
        </w:rPr>
        <w:t>A.16</w:t>
      </w:r>
      <w:r w:rsidRPr="002F4B61">
        <w:rPr>
          <w:b/>
          <w:sz w:val="22"/>
          <w:szCs w:val="22"/>
        </w:rPr>
        <w:tab/>
        <w:t>Plans for Tabulation and Publication and Project Time Schedule</w:t>
      </w:r>
    </w:p>
    <w:p w:rsidR="00C5320F" w:rsidRPr="002F4B61" w:rsidRDefault="00C5320F" w:rsidP="00F67D0B">
      <w:pPr>
        <w:rPr>
          <w:b/>
          <w:sz w:val="22"/>
          <w:szCs w:val="22"/>
        </w:rPr>
      </w:pPr>
    </w:p>
    <w:p w:rsidR="00C5320F" w:rsidRPr="002F4B61" w:rsidRDefault="00AD1D93" w:rsidP="006F6724">
      <w:pPr>
        <w:ind w:left="720"/>
        <w:rPr>
          <w:sz w:val="22"/>
          <w:szCs w:val="22"/>
        </w:rPr>
      </w:pPr>
      <w:r w:rsidRPr="002F4B61">
        <w:rPr>
          <w:sz w:val="22"/>
          <w:szCs w:val="22"/>
        </w:rPr>
        <w:t xml:space="preserve">Information </w:t>
      </w:r>
      <w:r w:rsidR="00C5320F" w:rsidRPr="002F4B61">
        <w:rPr>
          <w:sz w:val="22"/>
          <w:szCs w:val="22"/>
        </w:rPr>
        <w:t xml:space="preserve">submitted to </w:t>
      </w:r>
      <w:r w:rsidR="00F72338" w:rsidRPr="002F4B61">
        <w:rPr>
          <w:sz w:val="22"/>
          <w:szCs w:val="22"/>
        </w:rPr>
        <w:t xml:space="preserve">dbGaP </w:t>
      </w:r>
      <w:r w:rsidRPr="002F4B61">
        <w:rPr>
          <w:sz w:val="22"/>
          <w:szCs w:val="22"/>
        </w:rPr>
        <w:t xml:space="preserve">to </w:t>
      </w:r>
      <w:r w:rsidR="004A101C" w:rsidRPr="002F4B61">
        <w:rPr>
          <w:sz w:val="22"/>
          <w:szCs w:val="22"/>
        </w:rPr>
        <w:t xml:space="preserve">register studies </w:t>
      </w:r>
      <w:r w:rsidRPr="002F4B61">
        <w:rPr>
          <w:sz w:val="22"/>
          <w:szCs w:val="22"/>
        </w:rPr>
        <w:t xml:space="preserve">or access genomic data </w:t>
      </w:r>
      <w:r w:rsidR="00F72338" w:rsidRPr="002F4B61">
        <w:rPr>
          <w:sz w:val="22"/>
          <w:szCs w:val="22"/>
        </w:rPr>
        <w:t>will</w:t>
      </w:r>
      <w:r w:rsidR="00C5320F" w:rsidRPr="002F4B61">
        <w:rPr>
          <w:sz w:val="22"/>
          <w:szCs w:val="22"/>
        </w:rPr>
        <w:t xml:space="preserve"> be made available to the public via </w:t>
      </w:r>
      <w:r w:rsidR="004A101C" w:rsidRPr="002F4B61">
        <w:rPr>
          <w:sz w:val="22"/>
          <w:szCs w:val="22"/>
        </w:rPr>
        <w:t xml:space="preserve">the dbGaP </w:t>
      </w:r>
      <w:r w:rsidR="00C5320F" w:rsidRPr="002F4B61">
        <w:rPr>
          <w:sz w:val="22"/>
          <w:szCs w:val="22"/>
        </w:rPr>
        <w:t xml:space="preserve">website.  The only </w:t>
      </w:r>
      <w:r w:rsidR="00111203" w:rsidRPr="002F4B61">
        <w:rPr>
          <w:sz w:val="22"/>
          <w:szCs w:val="22"/>
        </w:rPr>
        <w:t xml:space="preserve">submitted </w:t>
      </w:r>
      <w:r w:rsidR="00C5320F" w:rsidRPr="002F4B61">
        <w:rPr>
          <w:sz w:val="22"/>
          <w:szCs w:val="22"/>
        </w:rPr>
        <w:t xml:space="preserve">information that will not be </w:t>
      </w:r>
      <w:r w:rsidR="00111203" w:rsidRPr="002F4B61">
        <w:rPr>
          <w:sz w:val="22"/>
          <w:szCs w:val="22"/>
        </w:rPr>
        <w:t xml:space="preserve">publicly </w:t>
      </w:r>
      <w:r w:rsidR="00C5320F" w:rsidRPr="002F4B61">
        <w:rPr>
          <w:sz w:val="22"/>
          <w:szCs w:val="22"/>
        </w:rPr>
        <w:t xml:space="preserve">displayed on the website is </w:t>
      </w:r>
      <w:r w:rsidR="00A203F4" w:rsidRPr="002F4B61">
        <w:rPr>
          <w:sz w:val="22"/>
          <w:szCs w:val="22"/>
        </w:rPr>
        <w:t>contact</w:t>
      </w:r>
      <w:r w:rsidR="00C5320F" w:rsidRPr="002F4B61">
        <w:rPr>
          <w:sz w:val="22"/>
          <w:szCs w:val="22"/>
        </w:rPr>
        <w:t xml:space="preserve"> information </w:t>
      </w:r>
      <w:r w:rsidR="00D80630" w:rsidRPr="002F4B61">
        <w:rPr>
          <w:sz w:val="22"/>
          <w:szCs w:val="22"/>
        </w:rPr>
        <w:t xml:space="preserve">of the submitting </w:t>
      </w:r>
      <w:r w:rsidR="00DB7FB8" w:rsidRPr="002F4B61">
        <w:rPr>
          <w:sz w:val="22"/>
          <w:szCs w:val="22"/>
        </w:rPr>
        <w:t>PIs</w:t>
      </w:r>
      <w:r w:rsidR="00D80630" w:rsidRPr="002F4B61">
        <w:rPr>
          <w:sz w:val="22"/>
          <w:szCs w:val="22"/>
        </w:rPr>
        <w:t xml:space="preserve"> and </w:t>
      </w:r>
      <w:r w:rsidR="008E5B9E" w:rsidRPr="002F4B61">
        <w:rPr>
          <w:sz w:val="22"/>
          <w:szCs w:val="22"/>
        </w:rPr>
        <w:t>request</w:t>
      </w:r>
      <w:r w:rsidR="008E4C3F" w:rsidRPr="002F4B61">
        <w:rPr>
          <w:sz w:val="22"/>
          <w:szCs w:val="22"/>
        </w:rPr>
        <w:t>e</w:t>
      </w:r>
      <w:r w:rsidR="008E5B9E" w:rsidRPr="002F4B61">
        <w:rPr>
          <w:sz w:val="22"/>
          <w:szCs w:val="22"/>
        </w:rPr>
        <w:t xml:space="preserve">rs </w:t>
      </w:r>
      <w:r w:rsidR="00C5320F" w:rsidRPr="002F4B61">
        <w:rPr>
          <w:sz w:val="22"/>
          <w:szCs w:val="22"/>
        </w:rPr>
        <w:t>(</w:t>
      </w:r>
      <w:r w:rsidR="00A203F4" w:rsidRPr="002F4B61">
        <w:rPr>
          <w:sz w:val="22"/>
          <w:szCs w:val="22"/>
        </w:rPr>
        <w:t>i.e.,</w:t>
      </w:r>
      <w:r w:rsidR="00C5320F" w:rsidRPr="002F4B61">
        <w:rPr>
          <w:sz w:val="22"/>
          <w:szCs w:val="22"/>
        </w:rPr>
        <w:t xml:space="preserve"> </w:t>
      </w:r>
      <w:r w:rsidR="00A203F4" w:rsidRPr="002F4B61">
        <w:rPr>
          <w:sz w:val="22"/>
          <w:szCs w:val="22"/>
        </w:rPr>
        <w:t xml:space="preserve">the </w:t>
      </w:r>
      <w:r w:rsidR="00DB7FB8" w:rsidRPr="002F4B61">
        <w:rPr>
          <w:sz w:val="22"/>
          <w:szCs w:val="22"/>
        </w:rPr>
        <w:t>PI’s</w:t>
      </w:r>
      <w:r w:rsidR="00A203F4" w:rsidRPr="002F4B61">
        <w:rPr>
          <w:sz w:val="22"/>
          <w:szCs w:val="22"/>
        </w:rPr>
        <w:t xml:space="preserve"> email addresses</w:t>
      </w:r>
      <w:r w:rsidR="001060AD" w:rsidRPr="002F4B61">
        <w:rPr>
          <w:sz w:val="22"/>
          <w:szCs w:val="22"/>
        </w:rPr>
        <w:t xml:space="preserve"> and </w:t>
      </w:r>
      <w:r w:rsidR="00C5320F" w:rsidRPr="002F4B61">
        <w:rPr>
          <w:sz w:val="22"/>
          <w:szCs w:val="22"/>
        </w:rPr>
        <w:t>phone</w:t>
      </w:r>
      <w:r w:rsidR="00A203F4" w:rsidRPr="002F4B61">
        <w:rPr>
          <w:sz w:val="22"/>
          <w:szCs w:val="22"/>
        </w:rPr>
        <w:t xml:space="preserve"> and </w:t>
      </w:r>
      <w:r w:rsidR="00C5320F" w:rsidRPr="002F4B61">
        <w:rPr>
          <w:sz w:val="22"/>
          <w:szCs w:val="22"/>
        </w:rPr>
        <w:t xml:space="preserve">fax numbers). </w:t>
      </w:r>
      <w:r w:rsidR="00FD21B9" w:rsidRPr="002F4B61">
        <w:rPr>
          <w:sz w:val="22"/>
          <w:szCs w:val="22"/>
        </w:rPr>
        <w:t xml:space="preserve"> </w:t>
      </w:r>
    </w:p>
    <w:p w:rsidR="00C5320F" w:rsidRPr="002F4B61" w:rsidRDefault="00C5320F" w:rsidP="006F6724">
      <w:pPr>
        <w:ind w:left="720"/>
        <w:rPr>
          <w:sz w:val="22"/>
          <w:szCs w:val="22"/>
        </w:rPr>
      </w:pPr>
    </w:p>
    <w:p w:rsidR="00B978CE" w:rsidRPr="002F4B61" w:rsidRDefault="00B978CE" w:rsidP="00D35132">
      <w:pPr>
        <w:ind w:left="720"/>
        <w:rPr>
          <w:sz w:val="22"/>
          <w:szCs w:val="22"/>
        </w:rPr>
      </w:pPr>
      <w:r w:rsidRPr="002F4B61">
        <w:rPr>
          <w:sz w:val="22"/>
          <w:szCs w:val="22"/>
        </w:rPr>
        <w:t xml:space="preserve">NIH will periodically publish an </w:t>
      </w:r>
      <w:r w:rsidR="000839BB" w:rsidRPr="002F4B61">
        <w:rPr>
          <w:sz w:val="22"/>
          <w:szCs w:val="22"/>
        </w:rPr>
        <w:t xml:space="preserve">analysis </w:t>
      </w:r>
      <w:r w:rsidRPr="002F4B61">
        <w:rPr>
          <w:sz w:val="22"/>
          <w:szCs w:val="22"/>
        </w:rPr>
        <w:t xml:space="preserve">of dbGaP usage that would include summary statistics </w:t>
      </w:r>
      <w:r w:rsidR="001060AD" w:rsidRPr="002F4B61">
        <w:rPr>
          <w:sz w:val="22"/>
          <w:szCs w:val="22"/>
        </w:rPr>
        <w:t xml:space="preserve">such as the </w:t>
      </w:r>
      <w:r w:rsidRPr="002F4B61">
        <w:rPr>
          <w:sz w:val="22"/>
          <w:szCs w:val="22"/>
        </w:rPr>
        <w:t xml:space="preserve">number of registered studies, the number of submitted/approved DARs, trends in usage, </w:t>
      </w:r>
      <w:r w:rsidR="001060AD" w:rsidRPr="002F4B61">
        <w:rPr>
          <w:sz w:val="22"/>
          <w:szCs w:val="22"/>
        </w:rPr>
        <w:t xml:space="preserve">and </w:t>
      </w:r>
      <w:r w:rsidRPr="002F4B61">
        <w:rPr>
          <w:sz w:val="22"/>
          <w:szCs w:val="22"/>
        </w:rPr>
        <w:t>number of publications.  Additionally</w:t>
      </w:r>
      <w:r w:rsidR="005613BB" w:rsidRPr="002F4B61">
        <w:rPr>
          <w:sz w:val="22"/>
          <w:szCs w:val="22"/>
        </w:rPr>
        <w:t>,</w:t>
      </w:r>
      <w:r w:rsidRPr="002F4B61">
        <w:rPr>
          <w:sz w:val="22"/>
          <w:szCs w:val="22"/>
        </w:rPr>
        <w:t xml:space="preserve"> </w:t>
      </w:r>
      <w:r w:rsidR="004418BB" w:rsidRPr="002F4B61">
        <w:rPr>
          <w:sz w:val="22"/>
          <w:szCs w:val="22"/>
        </w:rPr>
        <w:t xml:space="preserve">these </w:t>
      </w:r>
      <w:r w:rsidRPr="002F4B61">
        <w:rPr>
          <w:sz w:val="22"/>
          <w:szCs w:val="22"/>
        </w:rPr>
        <w:t xml:space="preserve">summary statistics </w:t>
      </w:r>
      <w:r w:rsidR="001060AD" w:rsidRPr="002F4B61">
        <w:rPr>
          <w:sz w:val="22"/>
          <w:szCs w:val="22"/>
        </w:rPr>
        <w:t xml:space="preserve">may </w:t>
      </w:r>
      <w:r w:rsidRPr="002F4B61">
        <w:rPr>
          <w:sz w:val="22"/>
          <w:szCs w:val="22"/>
        </w:rPr>
        <w:t>be posted on th</w:t>
      </w:r>
      <w:r w:rsidR="004418BB" w:rsidRPr="002F4B61">
        <w:rPr>
          <w:sz w:val="22"/>
          <w:szCs w:val="22"/>
        </w:rPr>
        <w:t>e dbGaP website</w:t>
      </w:r>
      <w:r w:rsidRPr="002F4B61">
        <w:rPr>
          <w:sz w:val="22"/>
          <w:szCs w:val="22"/>
        </w:rPr>
        <w:t xml:space="preserve">. </w:t>
      </w:r>
    </w:p>
    <w:p w:rsidR="00B978CE" w:rsidRPr="002F4B61" w:rsidRDefault="00B978CE" w:rsidP="00D35132">
      <w:pPr>
        <w:ind w:left="720"/>
        <w:rPr>
          <w:sz w:val="22"/>
          <w:szCs w:val="22"/>
        </w:rPr>
      </w:pPr>
    </w:p>
    <w:p w:rsidR="00C5320F" w:rsidRPr="002F4B61" w:rsidRDefault="00C5320F" w:rsidP="00F67D0B">
      <w:pPr>
        <w:rPr>
          <w:b/>
          <w:sz w:val="22"/>
          <w:szCs w:val="22"/>
        </w:rPr>
      </w:pPr>
      <w:r w:rsidRPr="002F4B61">
        <w:rPr>
          <w:b/>
          <w:sz w:val="22"/>
          <w:szCs w:val="22"/>
        </w:rPr>
        <w:t xml:space="preserve">A.17 </w:t>
      </w:r>
      <w:r w:rsidRPr="002F4B61">
        <w:rPr>
          <w:b/>
          <w:sz w:val="22"/>
          <w:szCs w:val="22"/>
        </w:rPr>
        <w:tab/>
        <w:t>Reason(s) Display of OMB Expiration Date is Inappropriate</w:t>
      </w:r>
    </w:p>
    <w:p w:rsidR="00C5320F" w:rsidRPr="002F4B61" w:rsidRDefault="00C5320F" w:rsidP="00955FAD">
      <w:pPr>
        <w:tabs>
          <w:tab w:val="num" w:pos="810"/>
        </w:tabs>
        <w:ind w:hanging="990"/>
        <w:rPr>
          <w:sz w:val="22"/>
          <w:szCs w:val="22"/>
        </w:rPr>
      </w:pPr>
    </w:p>
    <w:p w:rsidR="00C5320F" w:rsidRPr="002F4B61" w:rsidRDefault="00C5320F" w:rsidP="00955FAD">
      <w:pPr>
        <w:tabs>
          <w:tab w:val="num" w:pos="810"/>
        </w:tabs>
        <w:ind w:left="720"/>
        <w:rPr>
          <w:sz w:val="22"/>
          <w:szCs w:val="22"/>
        </w:rPr>
      </w:pPr>
      <w:r w:rsidRPr="002F4B61">
        <w:rPr>
          <w:sz w:val="22"/>
          <w:szCs w:val="22"/>
        </w:rPr>
        <w:t>No exemption is requested.</w:t>
      </w:r>
    </w:p>
    <w:p w:rsidR="00C5320F" w:rsidRPr="002F4B61" w:rsidRDefault="00C5320F" w:rsidP="00955FAD">
      <w:pPr>
        <w:tabs>
          <w:tab w:val="num" w:pos="810"/>
        </w:tabs>
        <w:ind w:left="360" w:hanging="990"/>
        <w:rPr>
          <w:sz w:val="22"/>
          <w:szCs w:val="22"/>
        </w:rPr>
      </w:pPr>
    </w:p>
    <w:p w:rsidR="00C5320F" w:rsidRPr="002F4B61" w:rsidRDefault="00C5320F" w:rsidP="00F67D0B">
      <w:pPr>
        <w:rPr>
          <w:b/>
          <w:sz w:val="22"/>
          <w:szCs w:val="22"/>
        </w:rPr>
      </w:pPr>
      <w:r w:rsidRPr="002F4B61">
        <w:rPr>
          <w:b/>
          <w:sz w:val="22"/>
          <w:szCs w:val="22"/>
        </w:rPr>
        <w:t xml:space="preserve">A.18 </w:t>
      </w:r>
      <w:r w:rsidRPr="002F4B61">
        <w:rPr>
          <w:b/>
          <w:sz w:val="22"/>
          <w:szCs w:val="22"/>
        </w:rPr>
        <w:tab/>
        <w:t xml:space="preserve">Exceptions to Certification for Paperwork Reduction Act </w:t>
      </w:r>
      <w:r w:rsidR="00D80630" w:rsidRPr="002F4B61">
        <w:rPr>
          <w:b/>
          <w:sz w:val="22"/>
          <w:szCs w:val="22"/>
        </w:rPr>
        <w:t>Submissions</w:t>
      </w:r>
    </w:p>
    <w:p w:rsidR="00C5320F" w:rsidRPr="002F4B61" w:rsidRDefault="00C5320F" w:rsidP="00955FAD">
      <w:pPr>
        <w:tabs>
          <w:tab w:val="num" w:pos="810"/>
        </w:tabs>
        <w:ind w:hanging="990"/>
        <w:rPr>
          <w:b/>
          <w:sz w:val="22"/>
          <w:szCs w:val="22"/>
        </w:rPr>
      </w:pPr>
    </w:p>
    <w:p w:rsidR="00C5320F" w:rsidRPr="002F4B61" w:rsidRDefault="00C5320F" w:rsidP="00E4035F">
      <w:pPr>
        <w:tabs>
          <w:tab w:val="num" w:pos="810"/>
        </w:tabs>
        <w:ind w:left="720"/>
        <w:rPr>
          <w:sz w:val="22"/>
          <w:szCs w:val="22"/>
        </w:rPr>
      </w:pPr>
      <w:r w:rsidRPr="002F4B61">
        <w:rPr>
          <w:sz w:val="22"/>
          <w:szCs w:val="22"/>
        </w:rPr>
        <w:t>No exceptions are requested.</w:t>
      </w:r>
    </w:p>
    <w:sectPr w:rsidR="00C5320F" w:rsidRPr="002F4B61" w:rsidSect="0098310C">
      <w:headerReference w:type="default" r:id="rId12"/>
      <w:footerReference w:type="even" r:id="rId13"/>
      <w:footerReference w:type="default" r:id="rId14"/>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9DD" w:rsidRDefault="00BA39DD">
      <w:r>
        <w:separator/>
      </w:r>
    </w:p>
  </w:endnote>
  <w:endnote w:type="continuationSeparator" w:id="0">
    <w:p w:rsidR="00BA39DD" w:rsidRDefault="00BA3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90F" w:rsidRDefault="005D39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D390F" w:rsidRDefault="005D39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90F" w:rsidRDefault="005D39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15BC">
      <w:rPr>
        <w:rStyle w:val="PageNumber"/>
        <w:noProof/>
      </w:rPr>
      <w:t>1</w:t>
    </w:r>
    <w:r>
      <w:rPr>
        <w:rStyle w:val="PageNumber"/>
      </w:rPr>
      <w:fldChar w:fldCharType="end"/>
    </w:r>
  </w:p>
  <w:p w:rsidR="005D390F" w:rsidRDefault="005D39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9DD" w:rsidRDefault="00BA39DD">
      <w:r>
        <w:separator/>
      </w:r>
    </w:p>
  </w:footnote>
  <w:footnote w:type="continuationSeparator" w:id="0">
    <w:p w:rsidR="00BA39DD" w:rsidRDefault="00BA39DD">
      <w:r>
        <w:continuationSeparator/>
      </w:r>
    </w:p>
  </w:footnote>
  <w:footnote w:id="1">
    <w:p w:rsidR="005D390F" w:rsidRDefault="005D390F" w:rsidP="00733D9E">
      <w:pPr>
        <w:pStyle w:val="FootnoteText"/>
      </w:pPr>
      <w:r>
        <w:rPr>
          <w:rStyle w:val="FootnoteReference"/>
        </w:rPr>
        <w:footnoteRef/>
      </w:r>
      <w:r>
        <w:t xml:space="preserve"> NIH Guide Notice. </w:t>
      </w:r>
      <w:r w:rsidRPr="00A02C59">
        <w:t>Policy for Sharing of Data Obtained in NIH Supported or Conducted Genome-Wide Association Studies (GWAS</w:t>
      </w:r>
      <w:r>
        <w:t xml:space="preserve">). See: </w:t>
      </w:r>
      <w:hyperlink r:id="rId1" w:history="1">
        <w:r w:rsidRPr="00FB0207">
          <w:rPr>
            <w:rStyle w:val="Hyperlink"/>
          </w:rPr>
          <w:t>http://grants.nih.gov/grants/guide/notice-files/NOT-OD-07-088.html</w:t>
        </w:r>
      </w:hyperlink>
      <w:r>
        <w:rPr>
          <w:rStyle w:val="Hyperlink"/>
        </w:rPr>
        <w:t xml:space="preserve">. </w:t>
      </w:r>
    </w:p>
  </w:footnote>
  <w:footnote w:id="2">
    <w:p w:rsidR="005D390F" w:rsidRDefault="005D390F">
      <w:pPr>
        <w:pStyle w:val="FootnoteText"/>
      </w:pPr>
      <w:r>
        <w:rPr>
          <w:rStyle w:val="FootnoteReference"/>
        </w:rPr>
        <w:footnoteRef/>
      </w:r>
      <w:r>
        <w:t xml:space="preserve"> Code of Federal Regulations. 45 CFR 46.102(f). See </w:t>
      </w:r>
      <w:hyperlink r:id="rId2" w:anchor="46.102" w:history="1">
        <w:r w:rsidRPr="006D0C13">
          <w:rPr>
            <w:rStyle w:val="Hyperlink"/>
          </w:rPr>
          <w:t>http://www.hhs.gov/ohrp/humansubjects/guidance/45cfr46.html/#46.102</w:t>
        </w:r>
      </w:hyperlink>
      <w:r>
        <w:t xml:space="preserve">. </w:t>
      </w:r>
    </w:p>
  </w:footnote>
  <w:footnote w:id="3">
    <w:p w:rsidR="005D390F" w:rsidRDefault="005D390F">
      <w:pPr>
        <w:pStyle w:val="FootnoteText"/>
      </w:pPr>
      <w:r>
        <w:rPr>
          <w:rStyle w:val="FootnoteReference"/>
        </w:rPr>
        <w:footnoteRef/>
      </w:r>
      <w:r>
        <w:t xml:space="preserve"> Code of Federal Regulations. </w:t>
      </w:r>
      <w:r w:rsidRPr="001A2BFA">
        <w:t>45 CFR 164.514(b)(2</w:t>
      </w:r>
      <w:r>
        <w:t xml:space="preserve">). See </w:t>
      </w:r>
      <w:hyperlink r:id="rId3" w:history="1">
        <w:r w:rsidRPr="006D0C13">
          <w:rPr>
            <w:rStyle w:val="Hyperlink"/>
          </w:rPr>
          <w:t>http://www.gpo.gov/fdsys/pkg/CFR-2011-title45-vol1/pdf/CFR-2011-title45-vol1-sec164-514.pdf</w:t>
        </w:r>
      </w:hyperlink>
      <w:r>
        <w:t xml:space="preserve">. </w:t>
      </w:r>
    </w:p>
  </w:footnote>
  <w:footnote w:id="4">
    <w:p w:rsidR="005D390F" w:rsidRDefault="005D390F">
      <w:pPr>
        <w:pStyle w:val="FootnoteText"/>
      </w:pPr>
      <w:r>
        <w:rPr>
          <w:rStyle w:val="FootnoteReference"/>
        </w:rPr>
        <w:footnoteRef/>
      </w:r>
      <w:r>
        <w:t xml:space="preserve"> Model Data Use Certification Agreement.  See </w:t>
      </w:r>
      <w:hyperlink r:id="rId4" w:history="1">
        <w:r w:rsidRPr="006D0C13">
          <w:rPr>
            <w:rStyle w:val="Hyperlink"/>
          </w:rPr>
          <w:t>http://gwas.nih.gov/pdf/docs/ModelDUC.docx</w:t>
        </w:r>
      </w:hyperlink>
      <w:r>
        <w:t xml:space="preserve">. </w:t>
      </w:r>
    </w:p>
  </w:footnote>
  <w:footnote w:id="5">
    <w:p w:rsidR="005D390F" w:rsidRDefault="005D390F">
      <w:pPr>
        <w:pStyle w:val="FootnoteText"/>
      </w:pPr>
      <w:r>
        <w:rPr>
          <w:rStyle w:val="FootnoteReference"/>
        </w:rPr>
        <w:footnoteRef/>
      </w:r>
      <w:r>
        <w:t xml:space="preserve"> NIH Genomic Data User Code of Conduct. See </w:t>
      </w:r>
      <w:hyperlink r:id="rId5" w:history="1">
        <w:r w:rsidRPr="002D62ED">
          <w:rPr>
            <w:rStyle w:val="Hyperlink"/>
          </w:rPr>
          <w:t>https://dbgap.ncbi.nlm.nih.gov/aa/GWAS_Code_of_Conduct.html</w:t>
        </w:r>
      </w:hyperlink>
      <w:r>
        <w:t xml:space="preserve">. </w:t>
      </w:r>
    </w:p>
  </w:footnote>
  <w:footnote w:id="6">
    <w:p w:rsidR="005D390F" w:rsidRDefault="005D390F">
      <w:pPr>
        <w:pStyle w:val="FootnoteText"/>
      </w:pPr>
      <w:r>
        <w:rPr>
          <w:rStyle w:val="FootnoteReference"/>
        </w:rPr>
        <w:footnoteRef/>
      </w:r>
      <w:r>
        <w:t xml:space="preserve"> eRA Commons. See </w:t>
      </w:r>
      <w:hyperlink r:id="rId6" w:history="1">
        <w:r w:rsidRPr="002D62ED">
          <w:rPr>
            <w:rStyle w:val="Hyperlink"/>
          </w:rPr>
          <w:t>https://commons.era.nih.gov/commons/</w:t>
        </w:r>
      </w:hyperlink>
      <w:r>
        <w:t xml:space="preserve">. </w:t>
      </w:r>
    </w:p>
  </w:footnote>
  <w:footnote w:id="7">
    <w:p w:rsidR="005D390F" w:rsidRDefault="005D390F">
      <w:pPr>
        <w:pStyle w:val="FootnoteText"/>
      </w:pPr>
      <w:r>
        <w:rPr>
          <w:rStyle w:val="FootnoteReference"/>
        </w:rPr>
        <w:footnoteRef/>
      </w:r>
      <w:r>
        <w:t xml:space="preserve"> Request for Information (RFI): Proposed policy for sharing of data obtained in NIH supported or conducted genome-wide association studies (GWAS). </w:t>
      </w:r>
      <w:r w:rsidRPr="00B450D3">
        <w:rPr>
          <w:i/>
        </w:rPr>
        <w:t>Federal Register</w:t>
      </w:r>
      <w:r>
        <w:t xml:space="preserve">. 71(168): 51629-51631. See </w:t>
      </w:r>
      <w:hyperlink r:id="rId7" w:history="1">
        <w:r w:rsidRPr="009F76EB">
          <w:rPr>
            <w:rStyle w:val="Hyperlink"/>
          </w:rPr>
          <w:t>http://edocket.access.gpo.gov/2006/E6-14416.htm</w:t>
        </w:r>
      </w:hyperlink>
      <w:r>
        <w:t xml:space="preserve">. </w:t>
      </w:r>
    </w:p>
  </w:footnote>
  <w:footnote w:id="8">
    <w:p w:rsidR="005D390F" w:rsidRDefault="005D390F">
      <w:pPr>
        <w:pStyle w:val="FootnoteText"/>
      </w:pPr>
      <w:r>
        <w:rPr>
          <w:rStyle w:val="FootnoteReference"/>
        </w:rPr>
        <w:footnoteRef/>
      </w:r>
      <w:r>
        <w:t xml:space="preserve"> Request for Information (RFI): Proposed policy for sharing of data obtained in NIH supported or conducted genome-wide association studies (GWAS). NIH Guide. NOT-OD-094. August 30, 2006. See </w:t>
      </w:r>
      <w:hyperlink r:id="rId8" w:history="1">
        <w:r w:rsidRPr="009F76EB">
          <w:rPr>
            <w:rStyle w:val="Hyperlink"/>
          </w:rPr>
          <w:t>http://grants.nih.gov/grants/guide/notice-files/NOT-OD-06-094.html</w:t>
        </w:r>
      </w:hyperlink>
      <w:r>
        <w:t xml:space="preserve">. </w:t>
      </w:r>
    </w:p>
  </w:footnote>
  <w:footnote w:id="9">
    <w:p w:rsidR="005D390F" w:rsidRDefault="005D390F" w:rsidP="00241056">
      <w:pPr>
        <w:pStyle w:val="FootnoteText"/>
      </w:pPr>
      <w:r>
        <w:rPr>
          <w:rStyle w:val="FootnoteReference"/>
        </w:rPr>
        <w:footnoteRef/>
      </w:r>
      <w:r>
        <w:t xml:space="preserve"> </w:t>
      </w:r>
      <w:r w:rsidRPr="00F75638">
        <w:t>U.S. Bureau of Labor and</w:t>
      </w:r>
      <w:r>
        <w:t xml:space="preserve"> Statistics.</w:t>
      </w:r>
      <w:r w:rsidRPr="00F75638">
        <w:t xml:space="preserve"> May 201</w:t>
      </w:r>
      <w:r>
        <w:t>1.</w:t>
      </w:r>
      <w:r w:rsidRPr="00F75638">
        <w:t xml:space="preserve"> National Occupational Employment and Wage Estimates. See </w:t>
      </w:r>
      <w:r>
        <w:t xml:space="preserve"> </w:t>
      </w:r>
      <w:hyperlink r:id="rId9" w:anchor="19-0000" w:history="1">
        <w:r w:rsidRPr="00D14EE3">
          <w:rPr>
            <w:rStyle w:val="Hyperlink"/>
          </w:rPr>
          <w:t>http://www.bls.gov/oes/current/oes_nat.htm#19-0000</w:t>
        </w:r>
      </w:hyperlink>
      <w:r>
        <w:t xml:space="preserve"> </w:t>
      </w:r>
      <w:r w:rsidRPr="00F75638">
        <w:t>and</w:t>
      </w:r>
      <w:r>
        <w:t xml:space="preserve"> </w:t>
      </w:r>
      <w:hyperlink r:id="rId10" w:anchor="11-0000" w:history="1">
        <w:r w:rsidRPr="00D14EE3">
          <w:rPr>
            <w:rStyle w:val="Hyperlink"/>
          </w:rPr>
          <w:t>http://www.bls.gov/oes/current/oes_nat.htm#11-0000</w:t>
        </w:r>
      </w:hyperlink>
      <w:r>
        <w:t xml:space="preserve">. </w:t>
      </w:r>
    </w:p>
  </w:footnote>
  <w:footnote w:id="10">
    <w:p w:rsidR="005D390F" w:rsidRDefault="005D390F">
      <w:pPr>
        <w:pStyle w:val="FootnoteText"/>
      </w:pPr>
      <w:r>
        <w:rPr>
          <w:rStyle w:val="FootnoteReference"/>
        </w:rPr>
        <w:footnoteRef/>
      </w:r>
      <w:r>
        <w:t xml:space="preserve"> </w:t>
      </w:r>
      <w:r w:rsidRPr="00F75638">
        <w:t>U.S. Bureau of Labor and</w:t>
      </w:r>
      <w:r>
        <w:t xml:space="preserve"> Statistics.</w:t>
      </w:r>
      <w:r w:rsidRPr="00F75638">
        <w:t xml:space="preserve"> May 201</w:t>
      </w:r>
      <w:r>
        <w:t>1.</w:t>
      </w:r>
      <w:r w:rsidRPr="00F75638">
        <w:t xml:space="preserve"> National Occupational Employment and Wage Estimates. See </w:t>
      </w:r>
      <w:hyperlink r:id="rId11" w:anchor="19-0000" w:history="1">
        <w:r w:rsidRPr="00D14EE3">
          <w:rPr>
            <w:rStyle w:val="Hyperlink"/>
          </w:rPr>
          <w:t>http://www.bls.gov/oes/current/oes_nat.htm#19-0000</w:t>
        </w:r>
      </w:hyperlink>
      <w:r>
        <w:t xml:space="preserve"> </w:t>
      </w:r>
      <w:hyperlink w:history="1"/>
      <w:r w:rsidRPr="00F75638">
        <w:t>and</w:t>
      </w:r>
      <w:r>
        <w:t xml:space="preserve"> </w:t>
      </w:r>
      <w:hyperlink r:id="rId12" w:anchor="11-0000" w:history="1">
        <w:r w:rsidRPr="00D14EE3">
          <w:rPr>
            <w:rStyle w:val="Hyperlink"/>
          </w:rPr>
          <w:t>http://www.bls.gov/oes/current/oes_nat.htm#11-0000</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90F" w:rsidRPr="005D1B50" w:rsidRDefault="005D390F" w:rsidP="00CC1DC4">
    <w:pPr>
      <w:pStyle w:val="Header"/>
      <w:jc w:val="center"/>
      <w:rPr>
        <w:b/>
        <w:sz w:val="36"/>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13A2EDB"/>
    <w:multiLevelType w:val="hybridMultilevel"/>
    <w:tmpl w:val="6FDEFF04"/>
    <w:lvl w:ilvl="0" w:tplc="83D87494">
      <w:start w:val="1"/>
      <w:numFmt w:val="bullet"/>
      <w:lvlText w:val=""/>
      <w:lvlJc w:val="left"/>
      <w:pPr>
        <w:tabs>
          <w:tab w:val="num" w:pos="1440"/>
        </w:tabs>
        <w:ind w:left="1440" w:hanging="360"/>
      </w:pPr>
      <w:rPr>
        <w:rFonts w:ascii="Symbol" w:hAnsi="Symbol" w:hint="default"/>
        <w:color w:val="00000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1D029CE"/>
    <w:multiLevelType w:val="hybridMultilevel"/>
    <w:tmpl w:val="F0741682"/>
    <w:lvl w:ilvl="0" w:tplc="97B0A90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6A64743"/>
    <w:multiLevelType w:val="hybridMultilevel"/>
    <w:tmpl w:val="4E381B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77540B2"/>
    <w:multiLevelType w:val="hybridMultilevel"/>
    <w:tmpl w:val="52D42122"/>
    <w:lvl w:ilvl="0" w:tplc="83D87494">
      <w:start w:val="1"/>
      <w:numFmt w:val="bullet"/>
      <w:lvlText w:val=""/>
      <w:lvlJc w:val="left"/>
      <w:pPr>
        <w:tabs>
          <w:tab w:val="num" w:pos="1440"/>
        </w:tabs>
        <w:ind w:left="1440" w:hanging="360"/>
      </w:pPr>
      <w:rPr>
        <w:rFonts w:ascii="Symbol" w:hAnsi="Symbol" w:hint="default"/>
        <w:color w:val="00000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79B684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6">
    <w:nsid w:val="094F53F3"/>
    <w:multiLevelType w:val="hybridMultilevel"/>
    <w:tmpl w:val="F0E0500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0A90714C"/>
    <w:multiLevelType w:val="multilevel"/>
    <w:tmpl w:val="65B06A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C10B08"/>
    <w:multiLevelType w:val="multilevel"/>
    <w:tmpl w:val="CA6C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C5F4768"/>
    <w:multiLevelType w:val="hybridMultilevel"/>
    <w:tmpl w:val="6E680F66"/>
    <w:lvl w:ilvl="0" w:tplc="0FEAD40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0D2D3515"/>
    <w:multiLevelType w:val="hybridMultilevel"/>
    <w:tmpl w:val="7BECAF98"/>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1">
    <w:nsid w:val="0E76659D"/>
    <w:multiLevelType w:val="hybridMultilevel"/>
    <w:tmpl w:val="634828B4"/>
    <w:lvl w:ilvl="0" w:tplc="EA82383A">
      <w:start w:val="1"/>
      <w:numFmt w:val="upperLetter"/>
      <w:lvlText w:val="(%1)"/>
      <w:lvlJc w:val="left"/>
      <w:pPr>
        <w:tabs>
          <w:tab w:val="num" w:pos="810"/>
        </w:tabs>
        <w:ind w:left="810" w:hanging="45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040296E"/>
    <w:multiLevelType w:val="hybridMultilevel"/>
    <w:tmpl w:val="54B2B22C"/>
    <w:lvl w:ilvl="0" w:tplc="955EB8A8">
      <w:start w:val="1"/>
      <w:numFmt w:val="upperLetter"/>
      <w:lvlText w:val="(%1)"/>
      <w:lvlJc w:val="left"/>
      <w:pPr>
        <w:tabs>
          <w:tab w:val="num" w:pos="810"/>
        </w:tabs>
        <w:ind w:left="810" w:hanging="45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05D66A3"/>
    <w:multiLevelType w:val="hybridMultilevel"/>
    <w:tmpl w:val="B18485B2"/>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30F69C0"/>
    <w:multiLevelType w:val="hybridMultilevel"/>
    <w:tmpl w:val="8FC4F08E"/>
    <w:lvl w:ilvl="0" w:tplc="83D87494">
      <w:start w:val="1"/>
      <w:numFmt w:val="bullet"/>
      <w:lvlText w:val=""/>
      <w:lvlJc w:val="left"/>
      <w:pPr>
        <w:tabs>
          <w:tab w:val="num" w:pos="1440"/>
        </w:tabs>
        <w:ind w:left="1440" w:hanging="360"/>
      </w:pPr>
      <w:rPr>
        <w:rFonts w:ascii="Symbol" w:hAnsi="Symbol" w:hint="default"/>
        <w:color w:val="00000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139D2088"/>
    <w:multiLevelType w:val="singleLevel"/>
    <w:tmpl w:val="6E96FB7A"/>
    <w:lvl w:ilvl="0">
      <w:start w:val="15"/>
      <w:numFmt w:val="decimal"/>
      <w:lvlText w:val="%1."/>
      <w:lvlJc w:val="left"/>
      <w:pPr>
        <w:tabs>
          <w:tab w:val="num" w:pos="1440"/>
        </w:tabs>
        <w:ind w:left="1440" w:hanging="720"/>
      </w:pPr>
      <w:rPr>
        <w:rFonts w:cs="Times New Roman" w:hint="default"/>
        <w:b/>
      </w:rPr>
    </w:lvl>
  </w:abstractNum>
  <w:abstractNum w:abstractNumId="16">
    <w:nsid w:val="151454E9"/>
    <w:multiLevelType w:val="hybridMultilevel"/>
    <w:tmpl w:val="24202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6D6497F"/>
    <w:multiLevelType w:val="hybridMultilevel"/>
    <w:tmpl w:val="B82E6BF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71E0165"/>
    <w:multiLevelType w:val="multilevel"/>
    <w:tmpl w:val="3EFA6C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76832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185A6EB9"/>
    <w:multiLevelType w:val="hybridMultilevel"/>
    <w:tmpl w:val="29F4C4D8"/>
    <w:lvl w:ilvl="0" w:tplc="97B0A90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1A765E68"/>
    <w:multiLevelType w:val="multilevel"/>
    <w:tmpl w:val="FBC41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B1B7FE6"/>
    <w:multiLevelType w:val="hybridMultilevel"/>
    <w:tmpl w:val="BF74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BA116F8"/>
    <w:multiLevelType w:val="multilevel"/>
    <w:tmpl w:val="B6E87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BA36AE6"/>
    <w:multiLevelType w:val="hybridMultilevel"/>
    <w:tmpl w:val="7D4A023C"/>
    <w:lvl w:ilvl="0" w:tplc="0409000F">
      <w:start w:val="1"/>
      <w:numFmt w:val="decimal"/>
      <w:lvlText w:val="%1."/>
      <w:lvlJc w:val="left"/>
      <w:pPr>
        <w:ind w:left="2160" w:hanging="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nsid w:val="201E69E3"/>
    <w:multiLevelType w:val="hybridMultilevel"/>
    <w:tmpl w:val="3FDE77D8"/>
    <w:lvl w:ilvl="0" w:tplc="0FEAD402">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nsid w:val="21C6712B"/>
    <w:multiLevelType w:val="hybridMultilevel"/>
    <w:tmpl w:val="915CF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21B1752"/>
    <w:multiLevelType w:val="singleLevel"/>
    <w:tmpl w:val="04090013"/>
    <w:lvl w:ilvl="0">
      <w:start w:val="1"/>
      <w:numFmt w:val="upperRoman"/>
      <w:lvlText w:val="%1."/>
      <w:lvlJc w:val="left"/>
      <w:pPr>
        <w:tabs>
          <w:tab w:val="num" w:pos="720"/>
        </w:tabs>
        <w:ind w:left="720" w:hanging="720"/>
      </w:pPr>
      <w:rPr>
        <w:rFonts w:cs="Times New Roman" w:hint="default"/>
      </w:rPr>
    </w:lvl>
  </w:abstractNum>
  <w:abstractNum w:abstractNumId="28">
    <w:nsid w:val="256143DD"/>
    <w:multiLevelType w:val="hybridMultilevel"/>
    <w:tmpl w:val="DC7C0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5D75A8C"/>
    <w:multiLevelType w:val="hybridMultilevel"/>
    <w:tmpl w:val="E984F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8DE15EF"/>
    <w:multiLevelType w:val="hybridMultilevel"/>
    <w:tmpl w:val="0752392C"/>
    <w:lvl w:ilvl="0" w:tplc="7944BB82">
      <w:start w:val="1"/>
      <w:numFmt w:val="upperLetter"/>
      <w:lvlText w:val="(%1)"/>
      <w:lvlJc w:val="left"/>
      <w:pPr>
        <w:tabs>
          <w:tab w:val="num" w:pos="810"/>
        </w:tabs>
        <w:ind w:left="810" w:hanging="45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2B11563F"/>
    <w:multiLevelType w:val="hybridMultilevel"/>
    <w:tmpl w:val="F0D6D68E"/>
    <w:lvl w:ilvl="0" w:tplc="ABAA43B6">
      <w:start w:val="1"/>
      <w:numFmt w:val="upperLetter"/>
      <w:lvlText w:val="(%1)"/>
      <w:lvlJc w:val="left"/>
      <w:pPr>
        <w:tabs>
          <w:tab w:val="num" w:pos="810"/>
        </w:tabs>
        <w:ind w:left="810" w:hanging="45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2C4B076E"/>
    <w:multiLevelType w:val="hybridMultilevel"/>
    <w:tmpl w:val="83586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D91559B"/>
    <w:multiLevelType w:val="hybridMultilevel"/>
    <w:tmpl w:val="5D3C19E4"/>
    <w:lvl w:ilvl="0" w:tplc="C9A8E9C8">
      <w:start w:val="1"/>
      <w:numFmt w:val="upperLetter"/>
      <w:lvlText w:val="(%1)"/>
      <w:lvlJc w:val="left"/>
      <w:pPr>
        <w:tabs>
          <w:tab w:val="num" w:pos="810"/>
        </w:tabs>
        <w:ind w:left="810" w:hanging="45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2E412A0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5">
    <w:nsid w:val="2F9B0F57"/>
    <w:multiLevelType w:val="singleLevel"/>
    <w:tmpl w:val="FBACA93A"/>
    <w:lvl w:ilvl="0">
      <w:start w:val="18"/>
      <w:numFmt w:val="decimal"/>
      <w:lvlText w:val="%1."/>
      <w:lvlJc w:val="left"/>
      <w:pPr>
        <w:tabs>
          <w:tab w:val="num" w:pos="1440"/>
        </w:tabs>
        <w:ind w:left="1440" w:hanging="720"/>
      </w:pPr>
      <w:rPr>
        <w:rFonts w:cs="Times New Roman" w:hint="default"/>
      </w:rPr>
    </w:lvl>
  </w:abstractNum>
  <w:abstractNum w:abstractNumId="36">
    <w:nsid w:val="31EE375C"/>
    <w:multiLevelType w:val="hybridMultilevel"/>
    <w:tmpl w:val="BEFC6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3DF3A71"/>
    <w:multiLevelType w:val="hybridMultilevel"/>
    <w:tmpl w:val="7EC00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41D06D9"/>
    <w:multiLevelType w:val="hybridMultilevel"/>
    <w:tmpl w:val="338CD294"/>
    <w:lvl w:ilvl="0" w:tplc="9F8AF8CC">
      <w:start w:val="1"/>
      <w:numFmt w:val="upperLetter"/>
      <w:lvlText w:val="(%1)"/>
      <w:lvlJc w:val="left"/>
      <w:pPr>
        <w:tabs>
          <w:tab w:val="num" w:pos="810"/>
        </w:tabs>
        <w:ind w:left="810" w:hanging="45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37BA2389"/>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40">
    <w:nsid w:val="3C751099"/>
    <w:multiLevelType w:val="hybridMultilevel"/>
    <w:tmpl w:val="DEA61E0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45F2EBD"/>
    <w:multiLevelType w:val="hybridMultilevel"/>
    <w:tmpl w:val="706AED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4B2179A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3">
    <w:nsid w:val="4DC25496"/>
    <w:multiLevelType w:val="hybridMultilevel"/>
    <w:tmpl w:val="8FDED29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4">
    <w:nsid w:val="4EC947A0"/>
    <w:multiLevelType w:val="hybridMultilevel"/>
    <w:tmpl w:val="0A7ECEC2"/>
    <w:lvl w:ilvl="0" w:tplc="153CF13C">
      <w:start w:val="1"/>
      <w:numFmt w:val="upperLetter"/>
      <w:lvlText w:val="(%1)"/>
      <w:lvlJc w:val="left"/>
      <w:pPr>
        <w:tabs>
          <w:tab w:val="num" w:pos="810"/>
        </w:tabs>
        <w:ind w:left="810" w:hanging="45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50D40C8F"/>
    <w:multiLevelType w:val="hybridMultilevel"/>
    <w:tmpl w:val="0AE42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1FB4E9A"/>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47">
    <w:nsid w:val="58D53A11"/>
    <w:multiLevelType w:val="multilevel"/>
    <w:tmpl w:val="BD68E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93500C8"/>
    <w:multiLevelType w:val="singleLevel"/>
    <w:tmpl w:val="6838AC12"/>
    <w:lvl w:ilvl="0">
      <w:start w:val="1"/>
      <w:numFmt w:val="upperRoman"/>
      <w:lvlText w:val="%1."/>
      <w:lvlJc w:val="left"/>
      <w:pPr>
        <w:tabs>
          <w:tab w:val="num" w:pos="720"/>
        </w:tabs>
        <w:ind w:left="720" w:hanging="720"/>
      </w:pPr>
      <w:rPr>
        <w:rFonts w:cs="Times New Roman" w:hint="default"/>
      </w:rPr>
    </w:lvl>
  </w:abstractNum>
  <w:abstractNum w:abstractNumId="49">
    <w:nsid w:val="597813C1"/>
    <w:multiLevelType w:val="singleLevel"/>
    <w:tmpl w:val="FBACA93A"/>
    <w:lvl w:ilvl="0">
      <w:start w:val="1"/>
      <w:numFmt w:val="decimal"/>
      <w:lvlText w:val="%1."/>
      <w:lvlJc w:val="left"/>
      <w:pPr>
        <w:tabs>
          <w:tab w:val="num" w:pos="1440"/>
        </w:tabs>
        <w:ind w:left="1440" w:hanging="720"/>
      </w:pPr>
      <w:rPr>
        <w:rFonts w:cs="Times New Roman" w:hint="default"/>
      </w:rPr>
    </w:lvl>
  </w:abstractNum>
  <w:abstractNum w:abstractNumId="50">
    <w:nsid w:val="5A1A70C7"/>
    <w:multiLevelType w:val="hybridMultilevel"/>
    <w:tmpl w:val="C0B8D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A430595"/>
    <w:multiLevelType w:val="hybridMultilevel"/>
    <w:tmpl w:val="9E2A3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5AD02CBF"/>
    <w:multiLevelType w:val="hybridMultilevel"/>
    <w:tmpl w:val="9F40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EB74E09"/>
    <w:multiLevelType w:val="hybridMultilevel"/>
    <w:tmpl w:val="CE260F64"/>
    <w:lvl w:ilvl="0" w:tplc="ECEA6F9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612B78AC"/>
    <w:multiLevelType w:val="hybridMultilevel"/>
    <w:tmpl w:val="5B983732"/>
    <w:lvl w:ilvl="0" w:tplc="8C88D4D4">
      <w:start w:val="1"/>
      <w:numFmt w:val="upperLetter"/>
      <w:lvlText w:val="(%1)"/>
      <w:lvlJc w:val="left"/>
      <w:pPr>
        <w:tabs>
          <w:tab w:val="num" w:pos="810"/>
        </w:tabs>
        <w:ind w:left="810" w:hanging="45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61595805"/>
    <w:multiLevelType w:val="hybridMultilevel"/>
    <w:tmpl w:val="F1225F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615A0835"/>
    <w:multiLevelType w:val="hybridMultilevel"/>
    <w:tmpl w:val="29A86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29C57E2"/>
    <w:multiLevelType w:val="hybridMultilevel"/>
    <w:tmpl w:val="6D248166"/>
    <w:lvl w:ilvl="0" w:tplc="97B0A90E">
      <w:start w:val="1"/>
      <w:numFmt w:val="lowerRoman"/>
      <w:lvlText w:val="(%1)"/>
      <w:lvlJc w:val="left"/>
      <w:pPr>
        <w:ind w:left="2160" w:hanging="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8">
    <w:nsid w:val="636C73D7"/>
    <w:multiLevelType w:val="hybridMultilevel"/>
    <w:tmpl w:val="7DCEC918"/>
    <w:lvl w:ilvl="0" w:tplc="6ED2E0FA">
      <w:start w:val="1"/>
      <w:numFmt w:val="upperLetter"/>
      <w:lvlText w:val="(%1)"/>
      <w:lvlJc w:val="left"/>
      <w:pPr>
        <w:tabs>
          <w:tab w:val="num" w:pos="810"/>
        </w:tabs>
        <w:ind w:left="810" w:hanging="45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640D238D"/>
    <w:multiLevelType w:val="hybridMultilevel"/>
    <w:tmpl w:val="3CE6A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4CD55B6"/>
    <w:multiLevelType w:val="multilevel"/>
    <w:tmpl w:val="F44CB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5623C29"/>
    <w:multiLevelType w:val="hybridMultilevel"/>
    <w:tmpl w:val="805E0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57577ED"/>
    <w:multiLevelType w:val="singleLevel"/>
    <w:tmpl w:val="08DA1208"/>
    <w:lvl w:ilvl="0">
      <w:start w:val="1"/>
      <w:numFmt w:val="decimal"/>
      <w:lvlText w:val="%1."/>
      <w:lvlJc w:val="left"/>
      <w:pPr>
        <w:tabs>
          <w:tab w:val="num" w:pos="360"/>
        </w:tabs>
        <w:ind w:left="360" w:hanging="360"/>
      </w:pPr>
      <w:rPr>
        <w:rFonts w:cs="Times New Roman" w:hint="default"/>
        <w:b/>
      </w:rPr>
    </w:lvl>
  </w:abstractNum>
  <w:abstractNum w:abstractNumId="63">
    <w:nsid w:val="679E5ED8"/>
    <w:multiLevelType w:val="hybridMultilevel"/>
    <w:tmpl w:val="90EADA54"/>
    <w:lvl w:ilvl="0" w:tplc="955EB8A8">
      <w:start w:val="1"/>
      <w:numFmt w:val="upperLetter"/>
      <w:lvlText w:val="(%1)"/>
      <w:lvlJc w:val="left"/>
      <w:pPr>
        <w:tabs>
          <w:tab w:val="num" w:pos="810"/>
        </w:tabs>
        <w:ind w:left="810" w:hanging="45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nsid w:val="68780F0E"/>
    <w:multiLevelType w:val="hybridMultilevel"/>
    <w:tmpl w:val="902A3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A4763A1"/>
    <w:multiLevelType w:val="hybridMultilevel"/>
    <w:tmpl w:val="CEB8F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C9B3F5D"/>
    <w:multiLevelType w:val="hybridMultilevel"/>
    <w:tmpl w:val="A386BB7E"/>
    <w:lvl w:ilvl="0" w:tplc="B6707014">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6DAB073D"/>
    <w:multiLevelType w:val="hybridMultilevel"/>
    <w:tmpl w:val="7D161726"/>
    <w:lvl w:ilvl="0" w:tplc="FA064514">
      <w:start w:val="1"/>
      <w:numFmt w:val="upperLetter"/>
      <w:lvlText w:val="(%1)"/>
      <w:lvlJc w:val="left"/>
      <w:pPr>
        <w:tabs>
          <w:tab w:val="num" w:pos="810"/>
        </w:tabs>
        <w:ind w:left="810" w:hanging="45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nsid w:val="6F4B5550"/>
    <w:multiLevelType w:val="hybridMultilevel"/>
    <w:tmpl w:val="3D705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412E4B"/>
    <w:multiLevelType w:val="hybridMultilevel"/>
    <w:tmpl w:val="4E406EC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30719F0"/>
    <w:multiLevelType w:val="hybridMultilevel"/>
    <w:tmpl w:val="653ABB4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1">
    <w:nsid w:val="743448E7"/>
    <w:multiLevelType w:val="hybridMultilevel"/>
    <w:tmpl w:val="1EB679DE"/>
    <w:lvl w:ilvl="0" w:tplc="93F22FE4">
      <w:start w:val="1"/>
      <w:numFmt w:val="upperLetter"/>
      <w:lvlText w:val="%1."/>
      <w:lvlJc w:val="left"/>
      <w:pPr>
        <w:tabs>
          <w:tab w:val="num" w:pos="720"/>
        </w:tabs>
        <w:ind w:left="720" w:hanging="360"/>
      </w:pPr>
      <w:rPr>
        <w:rFonts w:cs="Times New Roman"/>
      </w:rPr>
    </w:lvl>
    <w:lvl w:ilvl="1" w:tplc="46D0F2DA">
      <w:start w:val="1"/>
      <w:numFmt w:val="bullet"/>
      <w:lvlText w:val=""/>
      <w:lvlJc w:val="left"/>
      <w:pPr>
        <w:tabs>
          <w:tab w:val="num" w:pos="1080"/>
        </w:tabs>
        <w:ind w:left="1152" w:hanging="72"/>
      </w:pPr>
      <w:rPr>
        <w:rFonts w:ascii="Symbol" w:hAnsi="Symbol" w:hint="default"/>
      </w:rPr>
    </w:lvl>
    <w:lvl w:ilvl="2" w:tplc="22F8FE3A" w:tentative="1">
      <w:start w:val="1"/>
      <w:numFmt w:val="upperLetter"/>
      <w:lvlText w:val="%3."/>
      <w:lvlJc w:val="left"/>
      <w:pPr>
        <w:tabs>
          <w:tab w:val="num" w:pos="2160"/>
        </w:tabs>
        <w:ind w:left="2160" w:hanging="360"/>
      </w:pPr>
      <w:rPr>
        <w:rFonts w:cs="Times New Roman"/>
      </w:rPr>
    </w:lvl>
    <w:lvl w:ilvl="3" w:tplc="C2746B6A" w:tentative="1">
      <w:start w:val="1"/>
      <w:numFmt w:val="upperLetter"/>
      <w:lvlText w:val="%4."/>
      <w:lvlJc w:val="left"/>
      <w:pPr>
        <w:tabs>
          <w:tab w:val="num" w:pos="2880"/>
        </w:tabs>
        <w:ind w:left="2880" w:hanging="360"/>
      </w:pPr>
      <w:rPr>
        <w:rFonts w:cs="Times New Roman"/>
      </w:rPr>
    </w:lvl>
    <w:lvl w:ilvl="4" w:tplc="5A7800BA" w:tentative="1">
      <w:start w:val="1"/>
      <w:numFmt w:val="upperLetter"/>
      <w:lvlText w:val="%5."/>
      <w:lvlJc w:val="left"/>
      <w:pPr>
        <w:tabs>
          <w:tab w:val="num" w:pos="3600"/>
        </w:tabs>
        <w:ind w:left="3600" w:hanging="360"/>
      </w:pPr>
      <w:rPr>
        <w:rFonts w:cs="Times New Roman"/>
      </w:rPr>
    </w:lvl>
    <w:lvl w:ilvl="5" w:tplc="2FC28034" w:tentative="1">
      <w:start w:val="1"/>
      <w:numFmt w:val="upperLetter"/>
      <w:lvlText w:val="%6."/>
      <w:lvlJc w:val="left"/>
      <w:pPr>
        <w:tabs>
          <w:tab w:val="num" w:pos="4320"/>
        </w:tabs>
        <w:ind w:left="4320" w:hanging="360"/>
      </w:pPr>
      <w:rPr>
        <w:rFonts w:cs="Times New Roman"/>
      </w:rPr>
    </w:lvl>
    <w:lvl w:ilvl="6" w:tplc="AC60731A" w:tentative="1">
      <w:start w:val="1"/>
      <w:numFmt w:val="upperLetter"/>
      <w:lvlText w:val="%7."/>
      <w:lvlJc w:val="left"/>
      <w:pPr>
        <w:tabs>
          <w:tab w:val="num" w:pos="5040"/>
        </w:tabs>
        <w:ind w:left="5040" w:hanging="360"/>
      </w:pPr>
      <w:rPr>
        <w:rFonts w:cs="Times New Roman"/>
      </w:rPr>
    </w:lvl>
    <w:lvl w:ilvl="7" w:tplc="2B68A8CE" w:tentative="1">
      <w:start w:val="1"/>
      <w:numFmt w:val="upperLetter"/>
      <w:lvlText w:val="%8."/>
      <w:lvlJc w:val="left"/>
      <w:pPr>
        <w:tabs>
          <w:tab w:val="num" w:pos="5760"/>
        </w:tabs>
        <w:ind w:left="5760" w:hanging="360"/>
      </w:pPr>
      <w:rPr>
        <w:rFonts w:cs="Times New Roman"/>
      </w:rPr>
    </w:lvl>
    <w:lvl w:ilvl="8" w:tplc="838AE9C4" w:tentative="1">
      <w:start w:val="1"/>
      <w:numFmt w:val="upperLetter"/>
      <w:lvlText w:val="%9."/>
      <w:lvlJc w:val="left"/>
      <w:pPr>
        <w:tabs>
          <w:tab w:val="num" w:pos="6480"/>
        </w:tabs>
        <w:ind w:left="6480" w:hanging="360"/>
      </w:pPr>
      <w:rPr>
        <w:rFonts w:cs="Times New Roman"/>
      </w:rPr>
    </w:lvl>
  </w:abstractNum>
  <w:abstractNum w:abstractNumId="72">
    <w:nsid w:val="75006186"/>
    <w:multiLevelType w:val="hybridMultilevel"/>
    <w:tmpl w:val="49C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5E63DAD"/>
    <w:multiLevelType w:val="singleLevel"/>
    <w:tmpl w:val="B76AF102"/>
    <w:lvl w:ilvl="0">
      <w:start w:val="1"/>
      <w:numFmt w:val="upperLetter"/>
      <w:lvlText w:val="%1."/>
      <w:lvlJc w:val="left"/>
      <w:pPr>
        <w:tabs>
          <w:tab w:val="num" w:pos="720"/>
        </w:tabs>
        <w:ind w:left="720" w:hanging="360"/>
      </w:pPr>
      <w:rPr>
        <w:rFonts w:cs="Times New Roman" w:hint="default"/>
      </w:rPr>
    </w:lvl>
  </w:abstractNum>
  <w:abstractNum w:abstractNumId="74">
    <w:nsid w:val="76C6580D"/>
    <w:multiLevelType w:val="singleLevel"/>
    <w:tmpl w:val="6BDA060C"/>
    <w:lvl w:ilvl="0">
      <w:start w:val="1"/>
      <w:numFmt w:val="upperRoman"/>
      <w:lvlText w:val="%1."/>
      <w:lvlJc w:val="left"/>
      <w:pPr>
        <w:tabs>
          <w:tab w:val="num" w:pos="720"/>
        </w:tabs>
        <w:ind w:left="720" w:hanging="720"/>
      </w:pPr>
      <w:rPr>
        <w:rFonts w:cs="Times New Roman" w:hint="default"/>
      </w:rPr>
    </w:lvl>
  </w:abstractNum>
  <w:abstractNum w:abstractNumId="75">
    <w:nsid w:val="76EC032A"/>
    <w:multiLevelType w:val="hybridMultilevel"/>
    <w:tmpl w:val="A7A0265E"/>
    <w:lvl w:ilvl="0" w:tplc="955EB8A8">
      <w:start w:val="1"/>
      <w:numFmt w:val="upperLetter"/>
      <w:lvlText w:val="(%1)"/>
      <w:lvlJc w:val="left"/>
      <w:pPr>
        <w:tabs>
          <w:tab w:val="num" w:pos="810"/>
        </w:tabs>
        <w:ind w:left="810" w:hanging="45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79F500D5"/>
    <w:multiLevelType w:val="singleLevel"/>
    <w:tmpl w:val="96723B7C"/>
    <w:lvl w:ilvl="0">
      <w:start w:val="1"/>
      <w:numFmt w:val="upperLetter"/>
      <w:pStyle w:val="Heading2"/>
      <w:lvlText w:val="%1."/>
      <w:lvlJc w:val="left"/>
      <w:pPr>
        <w:tabs>
          <w:tab w:val="num" w:pos="720"/>
        </w:tabs>
        <w:ind w:left="720" w:hanging="720"/>
      </w:pPr>
      <w:rPr>
        <w:rFonts w:cs="Times New Roman" w:hint="default"/>
      </w:rPr>
    </w:lvl>
  </w:abstractNum>
  <w:abstractNum w:abstractNumId="77">
    <w:nsid w:val="7B094E35"/>
    <w:multiLevelType w:val="hybridMultilevel"/>
    <w:tmpl w:val="4EA476E6"/>
    <w:lvl w:ilvl="0" w:tplc="CF2AF438">
      <w:start w:val="1"/>
      <w:numFmt w:val="upperLetter"/>
      <w:lvlText w:val="%1."/>
      <w:lvlJc w:val="left"/>
      <w:pPr>
        <w:ind w:left="1080" w:hanging="360"/>
      </w:pPr>
      <w:rPr>
        <w:rFonts w:cs="Times New Roman" w:hint="default"/>
        <w:sz w:val="24"/>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8">
    <w:nsid w:val="7CDC65F8"/>
    <w:multiLevelType w:val="hybridMultilevel"/>
    <w:tmpl w:val="5C5A5888"/>
    <w:lvl w:ilvl="0" w:tplc="83D87494">
      <w:start w:val="1"/>
      <w:numFmt w:val="bullet"/>
      <w:lvlText w:val=""/>
      <w:lvlJc w:val="left"/>
      <w:pPr>
        <w:tabs>
          <w:tab w:val="num" w:pos="1440"/>
        </w:tabs>
        <w:ind w:left="1440" w:hanging="360"/>
      </w:pPr>
      <w:rPr>
        <w:rFonts w:ascii="Symbol" w:hAnsi="Symbol" w:hint="default"/>
        <w:color w:val="00000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76"/>
  </w:num>
  <w:num w:numId="2">
    <w:abstractNumId w:val="49"/>
  </w:num>
  <w:num w:numId="3">
    <w:abstractNumId w:val="5"/>
  </w:num>
  <w:num w:numId="4">
    <w:abstractNumId w:val="15"/>
  </w:num>
  <w:num w:numId="5">
    <w:abstractNumId w:val="35"/>
  </w:num>
  <w:num w:numId="6">
    <w:abstractNumId w:val="42"/>
  </w:num>
  <w:num w:numId="7">
    <w:abstractNumId w:val="34"/>
  </w:num>
  <w:num w:numId="8">
    <w:abstractNumId w:val="27"/>
  </w:num>
  <w:num w:numId="9">
    <w:abstractNumId w:val="73"/>
  </w:num>
  <w:num w:numId="10">
    <w:abstractNumId w:val="74"/>
  </w:num>
  <w:num w:numId="11">
    <w:abstractNumId w:val="0"/>
    <w:lvlOverride w:ilvl="0">
      <w:lvl w:ilvl="0">
        <w:numFmt w:val="bullet"/>
        <w:lvlText w:val=""/>
        <w:legacy w:legacy="1" w:legacySpace="0" w:legacyIndent="360"/>
        <w:lvlJc w:val="left"/>
        <w:pPr>
          <w:ind w:left="720" w:hanging="360"/>
        </w:pPr>
        <w:rPr>
          <w:rFonts w:ascii="Symbol" w:hAnsi="Symbol" w:hint="default"/>
        </w:rPr>
      </w:lvl>
    </w:lvlOverride>
  </w:num>
  <w:num w:numId="12">
    <w:abstractNumId w:val="0"/>
    <w:lvlOverride w:ilvl="0">
      <w:lvl w:ilvl="0">
        <w:numFmt w:val="bullet"/>
        <w:lvlText w:val=""/>
        <w:legacy w:legacy="1" w:legacySpace="0" w:legacyIndent="0"/>
        <w:lvlJc w:val="left"/>
        <w:rPr>
          <w:rFonts w:ascii="Symbol" w:hAnsi="Symbol" w:hint="default"/>
        </w:rPr>
      </w:lvl>
    </w:lvlOverride>
  </w:num>
  <w:num w:numId="13">
    <w:abstractNumId w:val="39"/>
  </w:num>
  <w:num w:numId="14">
    <w:abstractNumId w:val="48"/>
  </w:num>
  <w:num w:numId="15">
    <w:abstractNumId w:val="46"/>
  </w:num>
  <w:num w:numId="16">
    <w:abstractNumId w:val="0"/>
    <w:lvlOverride w:ilvl="0">
      <w:lvl w:ilvl="0">
        <w:numFmt w:val="bullet"/>
        <w:lvlText w:val=""/>
        <w:legacy w:legacy="1" w:legacySpace="0" w:legacyIndent="360"/>
        <w:lvlJc w:val="left"/>
        <w:pPr>
          <w:ind w:left="1440" w:hanging="360"/>
        </w:pPr>
        <w:rPr>
          <w:rFonts w:ascii="Symbol" w:hAnsi="Symbol" w:hint="default"/>
        </w:rPr>
      </w:lvl>
    </w:lvlOverride>
  </w:num>
  <w:num w:numId="17">
    <w:abstractNumId w:val="62"/>
  </w:num>
  <w:num w:numId="18">
    <w:abstractNumId w:val="19"/>
  </w:num>
  <w:num w:numId="19">
    <w:abstractNumId w:val="21"/>
  </w:num>
  <w:num w:numId="20">
    <w:abstractNumId w:val="21"/>
    <w:lvlOverride w:ilvl="0">
      <w:lvl w:ilvl="0">
        <w:numFmt w:val="decimal"/>
        <w:lvlText w:val=""/>
        <w:lvlJc w:val="left"/>
        <w:rPr>
          <w:rFonts w:cs="Times New Roman"/>
        </w:rPr>
      </w:lvl>
    </w:lvlOverride>
    <w:lvlOverride w:ilvl="1">
      <w:lvl w:ilvl="1">
        <w:numFmt w:val="bullet"/>
        <w:lvlText w:val=""/>
        <w:lvlJc w:val="left"/>
        <w:pPr>
          <w:tabs>
            <w:tab w:val="num" w:pos="1440"/>
          </w:tabs>
          <w:ind w:left="1440" w:hanging="360"/>
        </w:pPr>
        <w:rPr>
          <w:rFonts w:ascii="Symbol" w:hAnsi="Symbol" w:hint="default"/>
          <w:sz w:val="20"/>
        </w:rPr>
      </w:lvl>
    </w:lvlOverride>
  </w:num>
  <w:num w:numId="21">
    <w:abstractNumId w:val="47"/>
    <w:lvlOverride w:ilvl="0">
      <w:lvl w:ilvl="0">
        <w:numFmt w:val="decimal"/>
        <w:lvlText w:val=""/>
        <w:lvlJc w:val="left"/>
        <w:rPr>
          <w:rFonts w:cs="Times New Roman"/>
        </w:rPr>
      </w:lvl>
    </w:lvlOverride>
    <w:lvlOverride w:ilvl="1">
      <w:lvl w:ilvl="1">
        <w:numFmt w:val="bullet"/>
        <w:lvlText w:val=""/>
        <w:lvlJc w:val="left"/>
        <w:pPr>
          <w:tabs>
            <w:tab w:val="num" w:pos="1440"/>
          </w:tabs>
          <w:ind w:left="1440" w:hanging="360"/>
        </w:pPr>
        <w:rPr>
          <w:rFonts w:ascii="Symbol" w:hAnsi="Symbol" w:hint="default"/>
          <w:sz w:val="20"/>
        </w:rPr>
      </w:lvl>
    </w:lvlOverride>
  </w:num>
  <w:num w:numId="22">
    <w:abstractNumId w:val="60"/>
  </w:num>
  <w:num w:numId="23">
    <w:abstractNumId w:val="7"/>
  </w:num>
  <w:num w:numId="24">
    <w:abstractNumId w:val="23"/>
  </w:num>
  <w:num w:numId="25">
    <w:abstractNumId w:val="23"/>
    <w:lvlOverride w:ilvl="0">
      <w:lvl w:ilvl="0">
        <w:numFmt w:val="decimal"/>
        <w:lvlText w:val=""/>
        <w:lvlJc w:val="left"/>
        <w:rPr>
          <w:rFonts w:cs="Times New Roman"/>
        </w:rPr>
      </w:lvl>
    </w:lvlOverride>
    <w:lvlOverride w:ilvl="1">
      <w:lvl w:ilvl="1">
        <w:numFmt w:val="bullet"/>
        <w:lvlText w:val=""/>
        <w:lvlJc w:val="left"/>
        <w:pPr>
          <w:tabs>
            <w:tab w:val="num" w:pos="1440"/>
          </w:tabs>
          <w:ind w:left="1440" w:hanging="360"/>
        </w:pPr>
        <w:rPr>
          <w:rFonts w:ascii="Symbol" w:hAnsi="Symbol" w:hint="default"/>
          <w:sz w:val="20"/>
        </w:rPr>
      </w:lvl>
    </w:lvlOverride>
  </w:num>
  <w:num w:numId="26">
    <w:abstractNumId w:val="18"/>
  </w:num>
  <w:num w:numId="27">
    <w:abstractNumId w:val="44"/>
  </w:num>
  <w:num w:numId="28">
    <w:abstractNumId w:val="38"/>
  </w:num>
  <w:num w:numId="29">
    <w:abstractNumId w:val="11"/>
  </w:num>
  <w:num w:numId="30">
    <w:abstractNumId w:val="58"/>
  </w:num>
  <w:num w:numId="31">
    <w:abstractNumId w:val="30"/>
  </w:num>
  <w:num w:numId="32">
    <w:abstractNumId w:val="67"/>
  </w:num>
  <w:num w:numId="33">
    <w:abstractNumId w:val="31"/>
  </w:num>
  <w:num w:numId="34">
    <w:abstractNumId w:val="33"/>
  </w:num>
  <w:num w:numId="35">
    <w:abstractNumId w:val="54"/>
  </w:num>
  <w:num w:numId="36">
    <w:abstractNumId w:val="63"/>
  </w:num>
  <w:num w:numId="37">
    <w:abstractNumId w:val="25"/>
  </w:num>
  <w:num w:numId="38">
    <w:abstractNumId w:val="71"/>
  </w:num>
  <w:num w:numId="39">
    <w:abstractNumId w:val="12"/>
  </w:num>
  <w:num w:numId="40">
    <w:abstractNumId w:val="75"/>
  </w:num>
  <w:num w:numId="41">
    <w:abstractNumId w:val="66"/>
  </w:num>
  <w:num w:numId="42">
    <w:abstractNumId w:val="70"/>
  </w:num>
  <w:num w:numId="43">
    <w:abstractNumId w:val="10"/>
  </w:num>
  <w:num w:numId="44">
    <w:abstractNumId w:val="53"/>
  </w:num>
  <w:num w:numId="45">
    <w:abstractNumId w:val="6"/>
  </w:num>
  <w:num w:numId="46">
    <w:abstractNumId w:val="9"/>
  </w:num>
  <w:num w:numId="47">
    <w:abstractNumId w:val="16"/>
  </w:num>
  <w:num w:numId="48">
    <w:abstractNumId w:val="56"/>
  </w:num>
  <w:num w:numId="49">
    <w:abstractNumId w:val="29"/>
  </w:num>
  <w:num w:numId="50">
    <w:abstractNumId w:val="61"/>
  </w:num>
  <w:num w:numId="51">
    <w:abstractNumId w:val="43"/>
  </w:num>
  <w:num w:numId="52">
    <w:abstractNumId w:val="50"/>
  </w:num>
  <w:num w:numId="53">
    <w:abstractNumId w:val="65"/>
  </w:num>
  <w:num w:numId="54">
    <w:abstractNumId w:val="22"/>
  </w:num>
  <w:num w:numId="55">
    <w:abstractNumId w:val="32"/>
  </w:num>
  <w:num w:numId="56">
    <w:abstractNumId w:val="59"/>
  </w:num>
  <w:num w:numId="57">
    <w:abstractNumId w:val="68"/>
  </w:num>
  <w:num w:numId="58">
    <w:abstractNumId w:val="41"/>
  </w:num>
  <w:num w:numId="59">
    <w:abstractNumId w:val="72"/>
  </w:num>
  <w:num w:numId="60">
    <w:abstractNumId w:val="37"/>
  </w:num>
  <w:num w:numId="61">
    <w:abstractNumId w:val="13"/>
  </w:num>
  <w:num w:numId="62">
    <w:abstractNumId w:val="40"/>
  </w:num>
  <w:num w:numId="63">
    <w:abstractNumId w:val="69"/>
  </w:num>
  <w:num w:numId="64">
    <w:abstractNumId w:val="17"/>
  </w:num>
  <w:num w:numId="65">
    <w:abstractNumId w:val="20"/>
  </w:num>
  <w:num w:numId="66">
    <w:abstractNumId w:val="2"/>
  </w:num>
  <w:num w:numId="67">
    <w:abstractNumId w:val="57"/>
  </w:num>
  <w:num w:numId="68">
    <w:abstractNumId w:val="24"/>
  </w:num>
  <w:num w:numId="69">
    <w:abstractNumId w:val="36"/>
  </w:num>
  <w:num w:numId="70">
    <w:abstractNumId w:val="28"/>
  </w:num>
  <w:num w:numId="71">
    <w:abstractNumId w:val="64"/>
  </w:num>
  <w:num w:numId="72">
    <w:abstractNumId w:val="52"/>
  </w:num>
  <w:num w:numId="73">
    <w:abstractNumId w:val="26"/>
  </w:num>
  <w:num w:numId="74">
    <w:abstractNumId w:val="77"/>
  </w:num>
  <w:num w:numId="75">
    <w:abstractNumId w:val="8"/>
  </w:num>
  <w:num w:numId="76">
    <w:abstractNumId w:val="45"/>
  </w:num>
  <w:num w:numId="77">
    <w:abstractNumId w:val="51"/>
  </w:num>
  <w:num w:numId="78">
    <w:abstractNumId w:val="4"/>
  </w:num>
  <w:num w:numId="79">
    <w:abstractNumId w:val="14"/>
  </w:num>
  <w:num w:numId="80">
    <w:abstractNumId w:val="1"/>
  </w:num>
  <w:num w:numId="81">
    <w:abstractNumId w:val="3"/>
  </w:num>
  <w:num w:numId="82">
    <w:abstractNumId w:val="78"/>
  </w:num>
  <w:num w:numId="83">
    <w:abstractNumId w:val="5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0A6"/>
    <w:rsid w:val="000004F0"/>
    <w:rsid w:val="000011AC"/>
    <w:rsid w:val="00003080"/>
    <w:rsid w:val="000032C9"/>
    <w:rsid w:val="00003AEA"/>
    <w:rsid w:val="00004BA9"/>
    <w:rsid w:val="00004E15"/>
    <w:rsid w:val="0000653F"/>
    <w:rsid w:val="000072E2"/>
    <w:rsid w:val="00010345"/>
    <w:rsid w:val="000110A6"/>
    <w:rsid w:val="000134FB"/>
    <w:rsid w:val="00013D1D"/>
    <w:rsid w:val="00015DB9"/>
    <w:rsid w:val="000172F8"/>
    <w:rsid w:val="00020DF3"/>
    <w:rsid w:val="00021216"/>
    <w:rsid w:val="000228E1"/>
    <w:rsid w:val="00022E7B"/>
    <w:rsid w:val="00023214"/>
    <w:rsid w:val="0002356B"/>
    <w:rsid w:val="000255B1"/>
    <w:rsid w:val="00027850"/>
    <w:rsid w:val="000310B7"/>
    <w:rsid w:val="000318C2"/>
    <w:rsid w:val="000358B8"/>
    <w:rsid w:val="00036207"/>
    <w:rsid w:val="00036678"/>
    <w:rsid w:val="0003679E"/>
    <w:rsid w:val="00036CBB"/>
    <w:rsid w:val="00036EFC"/>
    <w:rsid w:val="000370A9"/>
    <w:rsid w:val="00037F90"/>
    <w:rsid w:val="000403B9"/>
    <w:rsid w:val="0004066D"/>
    <w:rsid w:val="0004195D"/>
    <w:rsid w:val="000436E4"/>
    <w:rsid w:val="000454FC"/>
    <w:rsid w:val="00045566"/>
    <w:rsid w:val="000458C6"/>
    <w:rsid w:val="00045BAC"/>
    <w:rsid w:val="000468E4"/>
    <w:rsid w:val="00047708"/>
    <w:rsid w:val="00050113"/>
    <w:rsid w:val="000505D5"/>
    <w:rsid w:val="000507E8"/>
    <w:rsid w:val="00050C79"/>
    <w:rsid w:val="00051518"/>
    <w:rsid w:val="00052219"/>
    <w:rsid w:val="000541C2"/>
    <w:rsid w:val="000543B9"/>
    <w:rsid w:val="00057B9B"/>
    <w:rsid w:val="00060004"/>
    <w:rsid w:val="00060262"/>
    <w:rsid w:val="00060570"/>
    <w:rsid w:val="00061C97"/>
    <w:rsid w:val="00063648"/>
    <w:rsid w:val="00064881"/>
    <w:rsid w:val="000652AB"/>
    <w:rsid w:val="00065B07"/>
    <w:rsid w:val="00065DF3"/>
    <w:rsid w:val="00065E9D"/>
    <w:rsid w:val="000660FB"/>
    <w:rsid w:val="000665DA"/>
    <w:rsid w:val="00070D38"/>
    <w:rsid w:val="00071DBC"/>
    <w:rsid w:val="00072355"/>
    <w:rsid w:val="000728D6"/>
    <w:rsid w:val="00072A67"/>
    <w:rsid w:val="00073744"/>
    <w:rsid w:val="0007386F"/>
    <w:rsid w:val="0007484E"/>
    <w:rsid w:val="0007523D"/>
    <w:rsid w:val="000758D7"/>
    <w:rsid w:val="00075B2A"/>
    <w:rsid w:val="00076C00"/>
    <w:rsid w:val="00080761"/>
    <w:rsid w:val="00080D12"/>
    <w:rsid w:val="00082F66"/>
    <w:rsid w:val="000839BB"/>
    <w:rsid w:val="0008527C"/>
    <w:rsid w:val="00085981"/>
    <w:rsid w:val="000866F4"/>
    <w:rsid w:val="00086DBB"/>
    <w:rsid w:val="00087923"/>
    <w:rsid w:val="00090429"/>
    <w:rsid w:val="00090D0F"/>
    <w:rsid w:val="00090F4A"/>
    <w:rsid w:val="00092B69"/>
    <w:rsid w:val="00092DAB"/>
    <w:rsid w:val="00094CE7"/>
    <w:rsid w:val="000962ED"/>
    <w:rsid w:val="00096C44"/>
    <w:rsid w:val="00097E80"/>
    <w:rsid w:val="000A124F"/>
    <w:rsid w:val="000A1AAA"/>
    <w:rsid w:val="000A24ED"/>
    <w:rsid w:val="000A529A"/>
    <w:rsid w:val="000A6603"/>
    <w:rsid w:val="000A6920"/>
    <w:rsid w:val="000A7C13"/>
    <w:rsid w:val="000B0B1F"/>
    <w:rsid w:val="000B0F7D"/>
    <w:rsid w:val="000B1CBC"/>
    <w:rsid w:val="000B250D"/>
    <w:rsid w:val="000B4281"/>
    <w:rsid w:val="000B4DFC"/>
    <w:rsid w:val="000B4F5E"/>
    <w:rsid w:val="000B6097"/>
    <w:rsid w:val="000B7F35"/>
    <w:rsid w:val="000C06AD"/>
    <w:rsid w:val="000C0E6A"/>
    <w:rsid w:val="000C17C7"/>
    <w:rsid w:val="000C1F1E"/>
    <w:rsid w:val="000C1FA0"/>
    <w:rsid w:val="000C20E1"/>
    <w:rsid w:val="000C2975"/>
    <w:rsid w:val="000C38D7"/>
    <w:rsid w:val="000C3C53"/>
    <w:rsid w:val="000C5DBE"/>
    <w:rsid w:val="000C6302"/>
    <w:rsid w:val="000C7AEC"/>
    <w:rsid w:val="000C7D4E"/>
    <w:rsid w:val="000D0148"/>
    <w:rsid w:val="000D050C"/>
    <w:rsid w:val="000D0932"/>
    <w:rsid w:val="000D18B1"/>
    <w:rsid w:val="000D1CF5"/>
    <w:rsid w:val="000D1E49"/>
    <w:rsid w:val="000D227D"/>
    <w:rsid w:val="000D2574"/>
    <w:rsid w:val="000D2CCB"/>
    <w:rsid w:val="000D34C7"/>
    <w:rsid w:val="000D3E5F"/>
    <w:rsid w:val="000D426A"/>
    <w:rsid w:val="000D5016"/>
    <w:rsid w:val="000D52F1"/>
    <w:rsid w:val="000D5965"/>
    <w:rsid w:val="000D7718"/>
    <w:rsid w:val="000E0613"/>
    <w:rsid w:val="000E14CF"/>
    <w:rsid w:val="000E2251"/>
    <w:rsid w:val="000E3AB9"/>
    <w:rsid w:val="000E45DA"/>
    <w:rsid w:val="000E4BE8"/>
    <w:rsid w:val="000F03F7"/>
    <w:rsid w:val="000F16F8"/>
    <w:rsid w:val="000F3FD0"/>
    <w:rsid w:val="000F422F"/>
    <w:rsid w:val="000F619D"/>
    <w:rsid w:val="000F7633"/>
    <w:rsid w:val="000F7A7F"/>
    <w:rsid w:val="000F7CE6"/>
    <w:rsid w:val="0010119A"/>
    <w:rsid w:val="00101321"/>
    <w:rsid w:val="00104243"/>
    <w:rsid w:val="00104253"/>
    <w:rsid w:val="001060AD"/>
    <w:rsid w:val="00106D84"/>
    <w:rsid w:val="00110993"/>
    <w:rsid w:val="00111203"/>
    <w:rsid w:val="00111A8A"/>
    <w:rsid w:val="00111AD2"/>
    <w:rsid w:val="00112707"/>
    <w:rsid w:val="00112C01"/>
    <w:rsid w:val="00113641"/>
    <w:rsid w:val="001136BB"/>
    <w:rsid w:val="00114449"/>
    <w:rsid w:val="00114F41"/>
    <w:rsid w:val="00116192"/>
    <w:rsid w:val="00116694"/>
    <w:rsid w:val="001166C8"/>
    <w:rsid w:val="00120D7F"/>
    <w:rsid w:val="00120E22"/>
    <w:rsid w:val="001229CA"/>
    <w:rsid w:val="001238F7"/>
    <w:rsid w:val="00123EFA"/>
    <w:rsid w:val="001242E6"/>
    <w:rsid w:val="001253F1"/>
    <w:rsid w:val="001266CE"/>
    <w:rsid w:val="001268B2"/>
    <w:rsid w:val="001326D8"/>
    <w:rsid w:val="00135513"/>
    <w:rsid w:val="00135884"/>
    <w:rsid w:val="00135C33"/>
    <w:rsid w:val="00136457"/>
    <w:rsid w:val="001416EA"/>
    <w:rsid w:val="00141978"/>
    <w:rsid w:val="0014264E"/>
    <w:rsid w:val="0014363B"/>
    <w:rsid w:val="00145207"/>
    <w:rsid w:val="001454DC"/>
    <w:rsid w:val="00145A93"/>
    <w:rsid w:val="0014658E"/>
    <w:rsid w:val="0015010C"/>
    <w:rsid w:val="001509FC"/>
    <w:rsid w:val="00153C9E"/>
    <w:rsid w:val="001540C6"/>
    <w:rsid w:val="001547D1"/>
    <w:rsid w:val="00154914"/>
    <w:rsid w:val="0015578D"/>
    <w:rsid w:val="001558D7"/>
    <w:rsid w:val="00156821"/>
    <w:rsid w:val="00160CBC"/>
    <w:rsid w:val="001638EC"/>
    <w:rsid w:val="00163C4D"/>
    <w:rsid w:val="00163EC4"/>
    <w:rsid w:val="001642CB"/>
    <w:rsid w:val="00165EE2"/>
    <w:rsid w:val="00165FC5"/>
    <w:rsid w:val="001662DC"/>
    <w:rsid w:val="00166F97"/>
    <w:rsid w:val="00171CB4"/>
    <w:rsid w:val="00172123"/>
    <w:rsid w:val="0017314E"/>
    <w:rsid w:val="00173259"/>
    <w:rsid w:val="001767DE"/>
    <w:rsid w:val="00177BC0"/>
    <w:rsid w:val="001811DB"/>
    <w:rsid w:val="00181F77"/>
    <w:rsid w:val="00182859"/>
    <w:rsid w:val="001836C0"/>
    <w:rsid w:val="00183E0F"/>
    <w:rsid w:val="001848F2"/>
    <w:rsid w:val="00184B3E"/>
    <w:rsid w:val="00187215"/>
    <w:rsid w:val="00191CA7"/>
    <w:rsid w:val="0019301C"/>
    <w:rsid w:val="0019555A"/>
    <w:rsid w:val="001A077C"/>
    <w:rsid w:val="001A174B"/>
    <w:rsid w:val="001A2BFA"/>
    <w:rsid w:val="001A3DDB"/>
    <w:rsid w:val="001A3E56"/>
    <w:rsid w:val="001A4821"/>
    <w:rsid w:val="001A4B84"/>
    <w:rsid w:val="001A4C9E"/>
    <w:rsid w:val="001A61AF"/>
    <w:rsid w:val="001A63D3"/>
    <w:rsid w:val="001A6FAD"/>
    <w:rsid w:val="001A7D5A"/>
    <w:rsid w:val="001A7ED3"/>
    <w:rsid w:val="001B28A9"/>
    <w:rsid w:val="001B4C4A"/>
    <w:rsid w:val="001B6164"/>
    <w:rsid w:val="001C16B5"/>
    <w:rsid w:val="001C2C07"/>
    <w:rsid w:val="001C30FD"/>
    <w:rsid w:val="001C31B8"/>
    <w:rsid w:val="001C32D4"/>
    <w:rsid w:val="001C5622"/>
    <w:rsid w:val="001C5A44"/>
    <w:rsid w:val="001C6CD6"/>
    <w:rsid w:val="001D4748"/>
    <w:rsid w:val="001D53DD"/>
    <w:rsid w:val="001D58F6"/>
    <w:rsid w:val="001D711F"/>
    <w:rsid w:val="001D760D"/>
    <w:rsid w:val="001E0080"/>
    <w:rsid w:val="001E31A7"/>
    <w:rsid w:val="001E4365"/>
    <w:rsid w:val="001E636B"/>
    <w:rsid w:val="001E741F"/>
    <w:rsid w:val="001E77AD"/>
    <w:rsid w:val="001F027D"/>
    <w:rsid w:val="001F0923"/>
    <w:rsid w:val="001F0FD4"/>
    <w:rsid w:val="001F1AC7"/>
    <w:rsid w:val="001F1BA3"/>
    <w:rsid w:val="001F22E9"/>
    <w:rsid w:val="001F4DE5"/>
    <w:rsid w:val="001F4F67"/>
    <w:rsid w:val="001F7335"/>
    <w:rsid w:val="001F75A7"/>
    <w:rsid w:val="002003A6"/>
    <w:rsid w:val="002009AD"/>
    <w:rsid w:val="00200AE0"/>
    <w:rsid w:val="00201AF4"/>
    <w:rsid w:val="00202B25"/>
    <w:rsid w:val="00202E6A"/>
    <w:rsid w:val="00203820"/>
    <w:rsid w:val="00204C64"/>
    <w:rsid w:val="002051F7"/>
    <w:rsid w:val="002053F6"/>
    <w:rsid w:val="00205F75"/>
    <w:rsid w:val="00206A16"/>
    <w:rsid w:val="002074B9"/>
    <w:rsid w:val="002077C5"/>
    <w:rsid w:val="00211211"/>
    <w:rsid w:val="00213540"/>
    <w:rsid w:val="002136C5"/>
    <w:rsid w:val="00213B89"/>
    <w:rsid w:val="00215890"/>
    <w:rsid w:val="00215EFD"/>
    <w:rsid w:val="00222147"/>
    <w:rsid w:val="00223A81"/>
    <w:rsid w:val="0022411B"/>
    <w:rsid w:val="00225BD7"/>
    <w:rsid w:val="00226761"/>
    <w:rsid w:val="002272E1"/>
    <w:rsid w:val="00230BF5"/>
    <w:rsid w:val="00231E0A"/>
    <w:rsid w:val="002328E4"/>
    <w:rsid w:val="00232EE3"/>
    <w:rsid w:val="0023340D"/>
    <w:rsid w:val="002346EE"/>
    <w:rsid w:val="0023622F"/>
    <w:rsid w:val="00237E1A"/>
    <w:rsid w:val="00237FD5"/>
    <w:rsid w:val="00240587"/>
    <w:rsid w:val="00241047"/>
    <w:rsid w:val="00241056"/>
    <w:rsid w:val="00241F2C"/>
    <w:rsid w:val="00242BEB"/>
    <w:rsid w:val="00242C1E"/>
    <w:rsid w:val="0024380C"/>
    <w:rsid w:val="00243E1F"/>
    <w:rsid w:val="0024579F"/>
    <w:rsid w:val="0024777B"/>
    <w:rsid w:val="00247C80"/>
    <w:rsid w:val="00247CB7"/>
    <w:rsid w:val="00251A6A"/>
    <w:rsid w:val="00252E63"/>
    <w:rsid w:val="00254EAB"/>
    <w:rsid w:val="00254F7E"/>
    <w:rsid w:val="00257150"/>
    <w:rsid w:val="00257621"/>
    <w:rsid w:val="002576D8"/>
    <w:rsid w:val="00261FF7"/>
    <w:rsid w:val="002622B7"/>
    <w:rsid w:val="002623C6"/>
    <w:rsid w:val="00262910"/>
    <w:rsid w:val="00262A96"/>
    <w:rsid w:val="002630D1"/>
    <w:rsid w:val="00263179"/>
    <w:rsid w:val="00263CA0"/>
    <w:rsid w:val="00265ECF"/>
    <w:rsid w:val="00267920"/>
    <w:rsid w:val="00267CE3"/>
    <w:rsid w:val="00270161"/>
    <w:rsid w:val="002709BA"/>
    <w:rsid w:val="00270A09"/>
    <w:rsid w:val="00271F56"/>
    <w:rsid w:val="00272B0B"/>
    <w:rsid w:val="00274D2C"/>
    <w:rsid w:val="00274F89"/>
    <w:rsid w:val="00276EAF"/>
    <w:rsid w:val="00281944"/>
    <w:rsid w:val="00282EC3"/>
    <w:rsid w:val="002838B5"/>
    <w:rsid w:val="00283ACA"/>
    <w:rsid w:val="00283C07"/>
    <w:rsid w:val="00283EF0"/>
    <w:rsid w:val="00283F0D"/>
    <w:rsid w:val="00284E00"/>
    <w:rsid w:val="00284F8D"/>
    <w:rsid w:val="00285492"/>
    <w:rsid w:val="00285598"/>
    <w:rsid w:val="00285B66"/>
    <w:rsid w:val="00285DC3"/>
    <w:rsid w:val="00285E9D"/>
    <w:rsid w:val="0028758F"/>
    <w:rsid w:val="00291810"/>
    <w:rsid w:val="002918EA"/>
    <w:rsid w:val="00294855"/>
    <w:rsid w:val="002955BB"/>
    <w:rsid w:val="002A07C1"/>
    <w:rsid w:val="002A142F"/>
    <w:rsid w:val="002A1EB7"/>
    <w:rsid w:val="002A22F3"/>
    <w:rsid w:val="002A36DA"/>
    <w:rsid w:val="002A61E1"/>
    <w:rsid w:val="002A6542"/>
    <w:rsid w:val="002A6799"/>
    <w:rsid w:val="002A6B65"/>
    <w:rsid w:val="002A7A98"/>
    <w:rsid w:val="002B0920"/>
    <w:rsid w:val="002B16BA"/>
    <w:rsid w:val="002B1A32"/>
    <w:rsid w:val="002B3228"/>
    <w:rsid w:val="002B37A2"/>
    <w:rsid w:val="002B6D1E"/>
    <w:rsid w:val="002C17D1"/>
    <w:rsid w:val="002C2BEC"/>
    <w:rsid w:val="002C3870"/>
    <w:rsid w:val="002C5C76"/>
    <w:rsid w:val="002C5ED5"/>
    <w:rsid w:val="002C63FE"/>
    <w:rsid w:val="002C6B0F"/>
    <w:rsid w:val="002C6E26"/>
    <w:rsid w:val="002D1C39"/>
    <w:rsid w:val="002D2429"/>
    <w:rsid w:val="002D38CE"/>
    <w:rsid w:val="002D49D1"/>
    <w:rsid w:val="002D5085"/>
    <w:rsid w:val="002D73AA"/>
    <w:rsid w:val="002D7926"/>
    <w:rsid w:val="002D7F2B"/>
    <w:rsid w:val="002E5814"/>
    <w:rsid w:val="002E61F3"/>
    <w:rsid w:val="002E72E0"/>
    <w:rsid w:val="002F279D"/>
    <w:rsid w:val="002F27E6"/>
    <w:rsid w:val="002F4B61"/>
    <w:rsid w:val="002F5947"/>
    <w:rsid w:val="002F5F0E"/>
    <w:rsid w:val="002F628B"/>
    <w:rsid w:val="002F6EB4"/>
    <w:rsid w:val="00301015"/>
    <w:rsid w:val="00301457"/>
    <w:rsid w:val="003036EB"/>
    <w:rsid w:val="00306565"/>
    <w:rsid w:val="00306643"/>
    <w:rsid w:val="00306A16"/>
    <w:rsid w:val="003073B2"/>
    <w:rsid w:val="00307DFD"/>
    <w:rsid w:val="00310FCE"/>
    <w:rsid w:val="00311445"/>
    <w:rsid w:val="00311663"/>
    <w:rsid w:val="00313D94"/>
    <w:rsid w:val="00313F3A"/>
    <w:rsid w:val="00313F58"/>
    <w:rsid w:val="00314968"/>
    <w:rsid w:val="00315700"/>
    <w:rsid w:val="00315966"/>
    <w:rsid w:val="003160F7"/>
    <w:rsid w:val="00321264"/>
    <w:rsid w:val="0032180D"/>
    <w:rsid w:val="00321B13"/>
    <w:rsid w:val="00321D40"/>
    <w:rsid w:val="003229B6"/>
    <w:rsid w:val="00322B65"/>
    <w:rsid w:val="0032322B"/>
    <w:rsid w:val="00323860"/>
    <w:rsid w:val="00325218"/>
    <w:rsid w:val="00325557"/>
    <w:rsid w:val="00325653"/>
    <w:rsid w:val="00326ED6"/>
    <w:rsid w:val="003302DE"/>
    <w:rsid w:val="00330FA4"/>
    <w:rsid w:val="0033107A"/>
    <w:rsid w:val="00331B77"/>
    <w:rsid w:val="00332481"/>
    <w:rsid w:val="003326E4"/>
    <w:rsid w:val="00332949"/>
    <w:rsid w:val="00332EAD"/>
    <w:rsid w:val="0033334E"/>
    <w:rsid w:val="00336E21"/>
    <w:rsid w:val="003413F5"/>
    <w:rsid w:val="00341411"/>
    <w:rsid w:val="00343635"/>
    <w:rsid w:val="00343A8D"/>
    <w:rsid w:val="00344A3E"/>
    <w:rsid w:val="00346A3A"/>
    <w:rsid w:val="00350860"/>
    <w:rsid w:val="00351222"/>
    <w:rsid w:val="00351D8D"/>
    <w:rsid w:val="003529E6"/>
    <w:rsid w:val="00356C4E"/>
    <w:rsid w:val="003570A4"/>
    <w:rsid w:val="00357D46"/>
    <w:rsid w:val="00362807"/>
    <w:rsid w:val="003631F0"/>
    <w:rsid w:val="003665D9"/>
    <w:rsid w:val="00367AAC"/>
    <w:rsid w:val="00370763"/>
    <w:rsid w:val="00370833"/>
    <w:rsid w:val="00371DEC"/>
    <w:rsid w:val="00373576"/>
    <w:rsid w:val="00374454"/>
    <w:rsid w:val="00375984"/>
    <w:rsid w:val="00375A8C"/>
    <w:rsid w:val="00376849"/>
    <w:rsid w:val="00377D12"/>
    <w:rsid w:val="00380F8A"/>
    <w:rsid w:val="0038136C"/>
    <w:rsid w:val="00381C10"/>
    <w:rsid w:val="00382750"/>
    <w:rsid w:val="00383ABF"/>
    <w:rsid w:val="00383AD8"/>
    <w:rsid w:val="00384535"/>
    <w:rsid w:val="0038542C"/>
    <w:rsid w:val="00385F1B"/>
    <w:rsid w:val="0038659F"/>
    <w:rsid w:val="00386DB2"/>
    <w:rsid w:val="00387E1C"/>
    <w:rsid w:val="003902BB"/>
    <w:rsid w:val="00392650"/>
    <w:rsid w:val="0039437A"/>
    <w:rsid w:val="003956F2"/>
    <w:rsid w:val="0039575B"/>
    <w:rsid w:val="0039579A"/>
    <w:rsid w:val="0039588D"/>
    <w:rsid w:val="00396962"/>
    <w:rsid w:val="0039762C"/>
    <w:rsid w:val="003A0434"/>
    <w:rsid w:val="003A0693"/>
    <w:rsid w:val="003A324D"/>
    <w:rsid w:val="003A358F"/>
    <w:rsid w:val="003A68A6"/>
    <w:rsid w:val="003A7615"/>
    <w:rsid w:val="003A7956"/>
    <w:rsid w:val="003A7A71"/>
    <w:rsid w:val="003B0CF1"/>
    <w:rsid w:val="003B0D39"/>
    <w:rsid w:val="003B2CEC"/>
    <w:rsid w:val="003B32AB"/>
    <w:rsid w:val="003B498A"/>
    <w:rsid w:val="003B54D0"/>
    <w:rsid w:val="003B5E05"/>
    <w:rsid w:val="003B6731"/>
    <w:rsid w:val="003B7588"/>
    <w:rsid w:val="003C0BEE"/>
    <w:rsid w:val="003C0C2E"/>
    <w:rsid w:val="003C3626"/>
    <w:rsid w:val="003C3D57"/>
    <w:rsid w:val="003C4579"/>
    <w:rsid w:val="003C486C"/>
    <w:rsid w:val="003C4C71"/>
    <w:rsid w:val="003C4EA0"/>
    <w:rsid w:val="003C4EAB"/>
    <w:rsid w:val="003C4F1F"/>
    <w:rsid w:val="003C528E"/>
    <w:rsid w:val="003C5731"/>
    <w:rsid w:val="003C6A85"/>
    <w:rsid w:val="003C6FAB"/>
    <w:rsid w:val="003C70F1"/>
    <w:rsid w:val="003D14FD"/>
    <w:rsid w:val="003D1AB9"/>
    <w:rsid w:val="003D3084"/>
    <w:rsid w:val="003D3598"/>
    <w:rsid w:val="003D47B6"/>
    <w:rsid w:val="003E3DA5"/>
    <w:rsid w:val="003E413D"/>
    <w:rsid w:val="003E6058"/>
    <w:rsid w:val="003F046F"/>
    <w:rsid w:val="003F0B80"/>
    <w:rsid w:val="003F2CE1"/>
    <w:rsid w:val="003F385D"/>
    <w:rsid w:val="003F3E16"/>
    <w:rsid w:val="003F3EA3"/>
    <w:rsid w:val="003F475A"/>
    <w:rsid w:val="003F79A9"/>
    <w:rsid w:val="003F7BCE"/>
    <w:rsid w:val="003F7F87"/>
    <w:rsid w:val="00400589"/>
    <w:rsid w:val="00400754"/>
    <w:rsid w:val="00400C3D"/>
    <w:rsid w:val="00400D57"/>
    <w:rsid w:val="00402F07"/>
    <w:rsid w:val="00404B11"/>
    <w:rsid w:val="0040624E"/>
    <w:rsid w:val="004062D0"/>
    <w:rsid w:val="004072C5"/>
    <w:rsid w:val="00407CE5"/>
    <w:rsid w:val="00407E84"/>
    <w:rsid w:val="00407FE8"/>
    <w:rsid w:val="00410818"/>
    <w:rsid w:val="00410CF4"/>
    <w:rsid w:val="00410E59"/>
    <w:rsid w:val="00412ECA"/>
    <w:rsid w:val="0041447F"/>
    <w:rsid w:val="00415ABD"/>
    <w:rsid w:val="00415E59"/>
    <w:rsid w:val="00416891"/>
    <w:rsid w:val="00420492"/>
    <w:rsid w:val="004219F2"/>
    <w:rsid w:val="00422C6C"/>
    <w:rsid w:val="00423260"/>
    <w:rsid w:val="004237CA"/>
    <w:rsid w:val="00424860"/>
    <w:rsid w:val="0042628E"/>
    <w:rsid w:val="004273B0"/>
    <w:rsid w:val="004277EE"/>
    <w:rsid w:val="00430A42"/>
    <w:rsid w:val="004316C8"/>
    <w:rsid w:val="00431991"/>
    <w:rsid w:val="00431A3A"/>
    <w:rsid w:val="004334EB"/>
    <w:rsid w:val="00433855"/>
    <w:rsid w:val="0043533F"/>
    <w:rsid w:val="004358FF"/>
    <w:rsid w:val="004366A1"/>
    <w:rsid w:val="00437BC4"/>
    <w:rsid w:val="0044111F"/>
    <w:rsid w:val="004418BB"/>
    <w:rsid w:val="00442290"/>
    <w:rsid w:val="00443BDF"/>
    <w:rsid w:val="0044507D"/>
    <w:rsid w:val="00445337"/>
    <w:rsid w:val="0044765C"/>
    <w:rsid w:val="00450320"/>
    <w:rsid w:val="00450780"/>
    <w:rsid w:val="00450C7F"/>
    <w:rsid w:val="004513DA"/>
    <w:rsid w:val="004521CB"/>
    <w:rsid w:val="00452370"/>
    <w:rsid w:val="0045244B"/>
    <w:rsid w:val="0045334D"/>
    <w:rsid w:val="00455145"/>
    <w:rsid w:val="004562E9"/>
    <w:rsid w:val="004573FC"/>
    <w:rsid w:val="00461655"/>
    <w:rsid w:val="00462107"/>
    <w:rsid w:val="00462815"/>
    <w:rsid w:val="004629E8"/>
    <w:rsid w:val="00463D23"/>
    <w:rsid w:val="004665F5"/>
    <w:rsid w:val="004669A9"/>
    <w:rsid w:val="00467A03"/>
    <w:rsid w:val="00470633"/>
    <w:rsid w:val="00470E3E"/>
    <w:rsid w:val="004714BC"/>
    <w:rsid w:val="00474098"/>
    <w:rsid w:val="00482683"/>
    <w:rsid w:val="00482BDB"/>
    <w:rsid w:val="00482CAE"/>
    <w:rsid w:val="004831DA"/>
    <w:rsid w:val="0048394E"/>
    <w:rsid w:val="004843C1"/>
    <w:rsid w:val="00484D58"/>
    <w:rsid w:val="00484F65"/>
    <w:rsid w:val="00485DA5"/>
    <w:rsid w:val="00487506"/>
    <w:rsid w:val="00491A8B"/>
    <w:rsid w:val="00494929"/>
    <w:rsid w:val="0049496F"/>
    <w:rsid w:val="004957AA"/>
    <w:rsid w:val="00495BE2"/>
    <w:rsid w:val="00496151"/>
    <w:rsid w:val="00496D24"/>
    <w:rsid w:val="004A101C"/>
    <w:rsid w:val="004A1408"/>
    <w:rsid w:val="004A1422"/>
    <w:rsid w:val="004A1B7B"/>
    <w:rsid w:val="004A1FAA"/>
    <w:rsid w:val="004A226D"/>
    <w:rsid w:val="004A2D49"/>
    <w:rsid w:val="004A2F4F"/>
    <w:rsid w:val="004A3D9D"/>
    <w:rsid w:val="004A4A78"/>
    <w:rsid w:val="004A6C32"/>
    <w:rsid w:val="004A6F68"/>
    <w:rsid w:val="004A704F"/>
    <w:rsid w:val="004A71CA"/>
    <w:rsid w:val="004A7F1C"/>
    <w:rsid w:val="004A7F9D"/>
    <w:rsid w:val="004B0C03"/>
    <w:rsid w:val="004B0DA3"/>
    <w:rsid w:val="004B12A6"/>
    <w:rsid w:val="004B19DA"/>
    <w:rsid w:val="004B3172"/>
    <w:rsid w:val="004B4444"/>
    <w:rsid w:val="004B53CA"/>
    <w:rsid w:val="004B595F"/>
    <w:rsid w:val="004B611A"/>
    <w:rsid w:val="004B6346"/>
    <w:rsid w:val="004B6E3B"/>
    <w:rsid w:val="004B6F5D"/>
    <w:rsid w:val="004B767A"/>
    <w:rsid w:val="004B7F49"/>
    <w:rsid w:val="004C09CC"/>
    <w:rsid w:val="004C1EC8"/>
    <w:rsid w:val="004C5639"/>
    <w:rsid w:val="004C6846"/>
    <w:rsid w:val="004C6901"/>
    <w:rsid w:val="004C77A5"/>
    <w:rsid w:val="004D087E"/>
    <w:rsid w:val="004D08D0"/>
    <w:rsid w:val="004D297D"/>
    <w:rsid w:val="004D520D"/>
    <w:rsid w:val="004D5938"/>
    <w:rsid w:val="004D5EE4"/>
    <w:rsid w:val="004E40D5"/>
    <w:rsid w:val="004E4C83"/>
    <w:rsid w:val="004E5942"/>
    <w:rsid w:val="004E702E"/>
    <w:rsid w:val="004E7E5B"/>
    <w:rsid w:val="004F0F07"/>
    <w:rsid w:val="004F29B5"/>
    <w:rsid w:val="004F4379"/>
    <w:rsid w:val="004F519E"/>
    <w:rsid w:val="004F6D3B"/>
    <w:rsid w:val="004F7D7B"/>
    <w:rsid w:val="00500250"/>
    <w:rsid w:val="00500CFA"/>
    <w:rsid w:val="00501B38"/>
    <w:rsid w:val="00503113"/>
    <w:rsid w:val="00503317"/>
    <w:rsid w:val="00503C19"/>
    <w:rsid w:val="00505C85"/>
    <w:rsid w:val="00506122"/>
    <w:rsid w:val="0051066C"/>
    <w:rsid w:val="00510E75"/>
    <w:rsid w:val="00511B06"/>
    <w:rsid w:val="005120B3"/>
    <w:rsid w:val="00513A20"/>
    <w:rsid w:val="00515299"/>
    <w:rsid w:val="005169C7"/>
    <w:rsid w:val="00516BD8"/>
    <w:rsid w:val="00520822"/>
    <w:rsid w:val="0052181E"/>
    <w:rsid w:val="0052360E"/>
    <w:rsid w:val="005237FA"/>
    <w:rsid w:val="00524C90"/>
    <w:rsid w:val="00525FF5"/>
    <w:rsid w:val="00526628"/>
    <w:rsid w:val="0052705F"/>
    <w:rsid w:val="00532284"/>
    <w:rsid w:val="005323A2"/>
    <w:rsid w:val="0053396B"/>
    <w:rsid w:val="005340AA"/>
    <w:rsid w:val="0053466E"/>
    <w:rsid w:val="005363F7"/>
    <w:rsid w:val="005371B6"/>
    <w:rsid w:val="00537C1A"/>
    <w:rsid w:val="00537E0B"/>
    <w:rsid w:val="00537E6A"/>
    <w:rsid w:val="005403D9"/>
    <w:rsid w:val="00540DCE"/>
    <w:rsid w:val="00544269"/>
    <w:rsid w:val="0054494A"/>
    <w:rsid w:val="00544AFE"/>
    <w:rsid w:val="00550C91"/>
    <w:rsid w:val="00551FC9"/>
    <w:rsid w:val="00553D86"/>
    <w:rsid w:val="00554B8D"/>
    <w:rsid w:val="00554E15"/>
    <w:rsid w:val="00555031"/>
    <w:rsid w:val="0055573B"/>
    <w:rsid w:val="00555D6F"/>
    <w:rsid w:val="0055680A"/>
    <w:rsid w:val="005571E3"/>
    <w:rsid w:val="00560169"/>
    <w:rsid w:val="00560295"/>
    <w:rsid w:val="00560D27"/>
    <w:rsid w:val="005613BB"/>
    <w:rsid w:val="0056164C"/>
    <w:rsid w:val="005625A5"/>
    <w:rsid w:val="00563BC3"/>
    <w:rsid w:val="00564747"/>
    <w:rsid w:val="00564D69"/>
    <w:rsid w:val="00567428"/>
    <w:rsid w:val="005678A3"/>
    <w:rsid w:val="00571BF7"/>
    <w:rsid w:val="00572307"/>
    <w:rsid w:val="00572898"/>
    <w:rsid w:val="00572DD6"/>
    <w:rsid w:val="005731BC"/>
    <w:rsid w:val="00576022"/>
    <w:rsid w:val="005774FC"/>
    <w:rsid w:val="00581348"/>
    <w:rsid w:val="00581BFB"/>
    <w:rsid w:val="00582053"/>
    <w:rsid w:val="00582D60"/>
    <w:rsid w:val="00583333"/>
    <w:rsid w:val="00592695"/>
    <w:rsid w:val="00593C82"/>
    <w:rsid w:val="00594670"/>
    <w:rsid w:val="0059495D"/>
    <w:rsid w:val="00594E79"/>
    <w:rsid w:val="005957AF"/>
    <w:rsid w:val="005958DC"/>
    <w:rsid w:val="00595A35"/>
    <w:rsid w:val="005963C2"/>
    <w:rsid w:val="005965D8"/>
    <w:rsid w:val="00596AFD"/>
    <w:rsid w:val="005A02F2"/>
    <w:rsid w:val="005A2A18"/>
    <w:rsid w:val="005A4427"/>
    <w:rsid w:val="005A53F5"/>
    <w:rsid w:val="005A6138"/>
    <w:rsid w:val="005A6B84"/>
    <w:rsid w:val="005A6B8B"/>
    <w:rsid w:val="005A7655"/>
    <w:rsid w:val="005B004B"/>
    <w:rsid w:val="005B07A6"/>
    <w:rsid w:val="005B1046"/>
    <w:rsid w:val="005B137C"/>
    <w:rsid w:val="005B1E39"/>
    <w:rsid w:val="005B1FF0"/>
    <w:rsid w:val="005B2CFA"/>
    <w:rsid w:val="005B44B3"/>
    <w:rsid w:val="005B5870"/>
    <w:rsid w:val="005B7DEA"/>
    <w:rsid w:val="005C0B7B"/>
    <w:rsid w:val="005C15EA"/>
    <w:rsid w:val="005C2B7A"/>
    <w:rsid w:val="005C32E1"/>
    <w:rsid w:val="005C34FC"/>
    <w:rsid w:val="005C40D1"/>
    <w:rsid w:val="005C4AD3"/>
    <w:rsid w:val="005C5C58"/>
    <w:rsid w:val="005C5F5A"/>
    <w:rsid w:val="005C6A65"/>
    <w:rsid w:val="005C76E4"/>
    <w:rsid w:val="005D0629"/>
    <w:rsid w:val="005D0C2B"/>
    <w:rsid w:val="005D1B50"/>
    <w:rsid w:val="005D1B51"/>
    <w:rsid w:val="005D20C0"/>
    <w:rsid w:val="005D24F8"/>
    <w:rsid w:val="005D29C9"/>
    <w:rsid w:val="005D2E31"/>
    <w:rsid w:val="005D355F"/>
    <w:rsid w:val="005D36BC"/>
    <w:rsid w:val="005D3834"/>
    <w:rsid w:val="005D390F"/>
    <w:rsid w:val="005D3D06"/>
    <w:rsid w:val="005D58AA"/>
    <w:rsid w:val="005D5E4B"/>
    <w:rsid w:val="005D6A92"/>
    <w:rsid w:val="005E015F"/>
    <w:rsid w:val="005E0C68"/>
    <w:rsid w:val="005E11D6"/>
    <w:rsid w:val="005E79C7"/>
    <w:rsid w:val="005F0B1C"/>
    <w:rsid w:val="005F1563"/>
    <w:rsid w:val="005F1790"/>
    <w:rsid w:val="005F1C37"/>
    <w:rsid w:val="005F2917"/>
    <w:rsid w:val="005F598D"/>
    <w:rsid w:val="005F6F50"/>
    <w:rsid w:val="005F7B29"/>
    <w:rsid w:val="006006BB"/>
    <w:rsid w:val="00600BBA"/>
    <w:rsid w:val="00601521"/>
    <w:rsid w:val="006016B6"/>
    <w:rsid w:val="006018F3"/>
    <w:rsid w:val="00603130"/>
    <w:rsid w:val="0060401D"/>
    <w:rsid w:val="00613264"/>
    <w:rsid w:val="00613F7B"/>
    <w:rsid w:val="006159A8"/>
    <w:rsid w:val="0061613A"/>
    <w:rsid w:val="00616155"/>
    <w:rsid w:val="00616597"/>
    <w:rsid w:val="006206A2"/>
    <w:rsid w:val="00621A36"/>
    <w:rsid w:val="00622B01"/>
    <w:rsid w:val="0062663E"/>
    <w:rsid w:val="00626E43"/>
    <w:rsid w:val="006277E8"/>
    <w:rsid w:val="00627B58"/>
    <w:rsid w:val="00627DA2"/>
    <w:rsid w:val="00630CEA"/>
    <w:rsid w:val="0063148F"/>
    <w:rsid w:val="006318BF"/>
    <w:rsid w:val="006328C7"/>
    <w:rsid w:val="00634E20"/>
    <w:rsid w:val="00634E61"/>
    <w:rsid w:val="00635024"/>
    <w:rsid w:val="00636042"/>
    <w:rsid w:val="006404CA"/>
    <w:rsid w:val="00642087"/>
    <w:rsid w:val="006437F8"/>
    <w:rsid w:val="006441CF"/>
    <w:rsid w:val="00647461"/>
    <w:rsid w:val="00651AC3"/>
    <w:rsid w:val="00651F0E"/>
    <w:rsid w:val="0065292B"/>
    <w:rsid w:val="00652BAD"/>
    <w:rsid w:val="0066108A"/>
    <w:rsid w:val="00661B3E"/>
    <w:rsid w:val="0066370C"/>
    <w:rsid w:val="00667597"/>
    <w:rsid w:val="00670A1B"/>
    <w:rsid w:val="006723B7"/>
    <w:rsid w:val="00672E43"/>
    <w:rsid w:val="0067310B"/>
    <w:rsid w:val="00677785"/>
    <w:rsid w:val="00677CE0"/>
    <w:rsid w:val="00680049"/>
    <w:rsid w:val="00680104"/>
    <w:rsid w:val="00680E77"/>
    <w:rsid w:val="0068754B"/>
    <w:rsid w:val="00687C73"/>
    <w:rsid w:val="0069067C"/>
    <w:rsid w:val="00690860"/>
    <w:rsid w:val="006911DF"/>
    <w:rsid w:val="00691AFA"/>
    <w:rsid w:val="00692D85"/>
    <w:rsid w:val="00692D8C"/>
    <w:rsid w:val="0069495E"/>
    <w:rsid w:val="00695CF4"/>
    <w:rsid w:val="006A0480"/>
    <w:rsid w:val="006A1BB8"/>
    <w:rsid w:val="006A1FD6"/>
    <w:rsid w:val="006A2151"/>
    <w:rsid w:val="006A28A9"/>
    <w:rsid w:val="006A48ED"/>
    <w:rsid w:val="006A496F"/>
    <w:rsid w:val="006A51CA"/>
    <w:rsid w:val="006A543A"/>
    <w:rsid w:val="006A791D"/>
    <w:rsid w:val="006B035F"/>
    <w:rsid w:val="006B1282"/>
    <w:rsid w:val="006B1C65"/>
    <w:rsid w:val="006B1EEC"/>
    <w:rsid w:val="006B3437"/>
    <w:rsid w:val="006B3CB1"/>
    <w:rsid w:val="006B4513"/>
    <w:rsid w:val="006B535D"/>
    <w:rsid w:val="006B7BA4"/>
    <w:rsid w:val="006C41EE"/>
    <w:rsid w:val="006C4873"/>
    <w:rsid w:val="006C4C53"/>
    <w:rsid w:val="006C6637"/>
    <w:rsid w:val="006D21E4"/>
    <w:rsid w:val="006D2C77"/>
    <w:rsid w:val="006D3C10"/>
    <w:rsid w:val="006D484E"/>
    <w:rsid w:val="006D4F12"/>
    <w:rsid w:val="006D7544"/>
    <w:rsid w:val="006E005F"/>
    <w:rsid w:val="006E0639"/>
    <w:rsid w:val="006E0C88"/>
    <w:rsid w:val="006E0E95"/>
    <w:rsid w:val="006E0FCE"/>
    <w:rsid w:val="006E1166"/>
    <w:rsid w:val="006E1751"/>
    <w:rsid w:val="006E50C7"/>
    <w:rsid w:val="006E51C8"/>
    <w:rsid w:val="006E7629"/>
    <w:rsid w:val="006E76AB"/>
    <w:rsid w:val="006F04F8"/>
    <w:rsid w:val="006F0599"/>
    <w:rsid w:val="006F061A"/>
    <w:rsid w:val="006F116C"/>
    <w:rsid w:val="006F1D1C"/>
    <w:rsid w:val="006F2A51"/>
    <w:rsid w:val="006F497A"/>
    <w:rsid w:val="006F5FC5"/>
    <w:rsid w:val="006F6724"/>
    <w:rsid w:val="006F6E76"/>
    <w:rsid w:val="006F7552"/>
    <w:rsid w:val="006F7970"/>
    <w:rsid w:val="006F79BF"/>
    <w:rsid w:val="006F7AAC"/>
    <w:rsid w:val="00700E9B"/>
    <w:rsid w:val="007011E8"/>
    <w:rsid w:val="00701BAE"/>
    <w:rsid w:val="00701DE0"/>
    <w:rsid w:val="00702363"/>
    <w:rsid w:val="00702717"/>
    <w:rsid w:val="00703557"/>
    <w:rsid w:val="00703F27"/>
    <w:rsid w:val="007042E6"/>
    <w:rsid w:val="007059A4"/>
    <w:rsid w:val="00706BF3"/>
    <w:rsid w:val="00706CEA"/>
    <w:rsid w:val="00706E51"/>
    <w:rsid w:val="00707239"/>
    <w:rsid w:val="0071218F"/>
    <w:rsid w:val="00716552"/>
    <w:rsid w:val="00716BAA"/>
    <w:rsid w:val="00716D03"/>
    <w:rsid w:val="007220BD"/>
    <w:rsid w:val="00722C46"/>
    <w:rsid w:val="0072326B"/>
    <w:rsid w:val="00726A03"/>
    <w:rsid w:val="00730760"/>
    <w:rsid w:val="00731A37"/>
    <w:rsid w:val="00732B61"/>
    <w:rsid w:val="00733D9E"/>
    <w:rsid w:val="00735202"/>
    <w:rsid w:val="007402D0"/>
    <w:rsid w:val="007444D6"/>
    <w:rsid w:val="00744A65"/>
    <w:rsid w:val="007450F1"/>
    <w:rsid w:val="00745923"/>
    <w:rsid w:val="00747DAE"/>
    <w:rsid w:val="00753B43"/>
    <w:rsid w:val="00754823"/>
    <w:rsid w:val="00754D6A"/>
    <w:rsid w:val="0075632B"/>
    <w:rsid w:val="00756976"/>
    <w:rsid w:val="00757639"/>
    <w:rsid w:val="00757DBE"/>
    <w:rsid w:val="00761E53"/>
    <w:rsid w:val="00764522"/>
    <w:rsid w:val="00764AFC"/>
    <w:rsid w:val="00765574"/>
    <w:rsid w:val="00765697"/>
    <w:rsid w:val="00766A60"/>
    <w:rsid w:val="00766CB6"/>
    <w:rsid w:val="00767C91"/>
    <w:rsid w:val="00770BB8"/>
    <w:rsid w:val="00770DE3"/>
    <w:rsid w:val="00773654"/>
    <w:rsid w:val="007755FE"/>
    <w:rsid w:val="007764FF"/>
    <w:rsid w:val="00776E10"/>
    <w:rsid w:val="00777E7A"/>
    <w:rsid w:val="00783CF1"/>
    <w:rsid w:val="0078602C"/>
    <w:rsid w:val="00786541"/>
    <w:rsid w:val="00786C7A"/>
    <w:rsid w:val="00786CA1"/>
    <w:rsid w:val="00787CB9"/>
    <w:rsid w:val="00791A22"/>
    <w:rsid w:val="00792C2B"/>
    <w:rsid w:val="00792FC5"/>
    <w:rsid w:val="0079373D"/>
    <w:rsid w:val="00793D2D"/>
    <w:rsid w:val="0079728D"/>
    <w:rsid w:val="007976E1"/>
    <w:rsid w:val="0079792A"/>
    <w:rsid w:val="007A0766"/>
    <w:rsid w:val="007A0F0E"/>
    <w:rsid w:val="007A102A"/>
    <w:rsid w:val="007A1280"/>
    <w:rsid w:val="007A1521"/>
    <w:rsid w:val="007A25D8"/>
    <w:rsid w:val="007A2FDB"/>
    <w:rsid w:val="007A3524"/>
    <w:rsid w:val="007A36BF"/>
    <w:rsid w:val="007A3DA2"/>
    <w:rsid w:val="007A42C4"/>
    <w:rsid w:val="007A58C8"/>
    <w:rsid w:val="007A6466"/>
    <w:rsid w:val="007A6CA5"/>
    <w:rsid w:val="007A74E7"/>
    <w:rsid w:val="007B062A"/>
    <w:rsid w:val="007B10C3"/>
    <w:rsid w:val="007B1A83"/>
    <w:rsid w:val="007B32C7"/>
    <w:rsid w:val="007B386D"/>
    <w:rsid w:val="007B3962"/>
    <w:rsid w:val="007B49E4"/>
    <w:rsid w:val="007B4E06"/>
    <w:rsid w:val="007B6CA5"/>
    <w:rsid w:val="007B790E"/>
    <w:rsid w:val="007C08FF"/>
    <w:rsid w:val="007C0929"/>
    <w:rsid w:val="007C0D0E"/>
    <w:rsid w:val="007C141C"/>
    <w:rsid w:val="007C2DB1"/>
    <w:rsid w:val="007C62C1"/>
    <w:rsid w:val="007C67BA"/>
    <w:rsid w:val="007C6E8B"/>
    <w:rsid w:val="007C6FFE"/>
    <w:rsid w:val="007D0565"/>
    <w:rsid w:val="007D15E8"/>
    <w:rsid w:val="007D17B5"/>
    <w:rsid w:val="007D20C4"/>
    <w:rsid w:val="007E0A51"/>
    <w:rsid w:val="007E0A55"/>
    <w:rsid w:val="007E0D24"/>
    <w:rsid w:val="007E2E12"/>
    <w:rsid w:val="007E49B3"/>
    <w:rsid w:val="007E4C05"/>
    <w:rsid w:val="007E5B92"/>
    <w:rsid w:val="007E5E0B"/>
    <w:rsid w:val="007E644A"/>
    <w:rsid w:val="007F24DC"/>
    <w:rsid w:val="007F2A9B"/>
    <w:rsid w:val="007F2EB9"/>
    <w:rsid w:val="007F364B"/>
    <w:rsid w:val="007F3CF5"/>
    <w:rsid w:val="007F44F0"/>
    <w:rsid w:val="007F57C3"/>
    <w:rsid w:val="007F660F"/>
    <w:rsid w:val="007F6DE5"/>
    <w:rsid w:val="007F7C05"/>
    <w:rsid w:val="007F7CED"/>
    <w:rsid w:val="008003AE"/>
    <w:rsid w:val="0080329B"/>
    <w:rsid w:val="008068A4"/>
    <w:rsid w:val="0080740D"/>
    <w:rsid w:val="008074EB"/>
    <w:rsid w:val="00811C1F"/>
    <w:rsid w:val="0081294B"/>
    <w:rsid w:val="00812C03"/>
    <w:rsid w:val="00812E2A"/>
    <w:rsid w:val="00814B73"/>
    <w:rsid w:val="00815072"/>
    <w:rsid w:val="008174FD"/>
    <w:rsid w:val="008211C3"/>
    <w:rsid w:val="00821538"/>
    <w:rsid w:val="0082204B"/>
    <w:rsid w:val="00822F72"/>
    <w:rsid w:val="00823EB8"/>
    <w:rsid w:val="00825CB1"/>
    <w:rsid w:val="008262C7"/>
    <w:rsid w:val="0082652E"/>
    <w:rsid w:val="00827D40"/>
    <w:rsid w:val="00827F8B"/>
    <w:rsid w:val="008307FB"/>
    <w:rsid w:val="00830D5E"/>
    <w:rsid w:val="00830DF7"/>
    <w:rsid w:val="00830F14"/>
    <w:rsid w:val="00831A93"/>
    <w:rsid w:val="0083323D"/>
    <w:rsid w:val="0083388B"/>
    <w:rsid w:val="008338E1"/>
    <w:rsid w:val="008365C7"/>
    <w:rsid w:val="0083662A"/>
    <w:rsid w:val="0083778B"/>
    <w:rsid w:val="00837825"/>
    <w:rsid w:val="00840FCD"/>
    <w:rsid w:val="008424F6"/>
    <w:rsid w:val="00843F03"/>
    <w:rsid w:val="00844D01"/>
    <w:rsid w:val="00845427"/>
    <w:rsid w:val="008506CC"/>
    <w:rsid w:val="0085148D"/>
    <w:rsid w:val="00851804"/>
    <w:rsid w:val="0085225C"/>
    <w:rsid w:val="00852E37"/>
    <w:rsid w:val="00852F66"/>
    <w:rsid w:val="008530C9"/>
    <w:rsid w:val="0085312D"/>
    <w:rsid w:val="008550FC"/>
    <w:rsid w:val="008564B2"/>
    <w:rsid w:val="00856EB9"/>
    <w:rsid w:val="008604AD"/>
    <w:rsid w:val="0086089C"/>
    <w:rsid w:val="00860967"/>
    <w:rsid w:val="008614BD"/>
    <w:rsid w:val="0086232B"/>
    <w:rsid w:val="00863162"/>
    <w:rsid w:val="00865C1A"/>
    <w:rsid w:val="00865D21"/>
    <w:rsid w:val="008674F3"/>
    <w:rsid w:val="00867FA4"/>
    <w:rsid w:val="00867FFD"/>
    <w:rsid w:val="00870C25"/>
    <w:rsid w:val="0087109D"/>
    <w:rsid w:val="008745FF"/>
    <w:rsid w:val="008756FB"/>
    <w:rsid w:val="0087583C"/>
    <w:rsid w:val="00876953"/>
    <w:rsid w:val="00877B97"/>
    <w:rsid w:val="00880E7B"/>
    <w:rsid w:val="00881964"/>
    <w:rsid w:val="0088435F"/>
    <w:rsid w:val="0088539B"/>
    <w:rsid w:val="00885DDC"/>
    <w:rsid w:val="008865E9"/>
    <w:rsid w:val="00887064"/>
    <w:rsid w:val="008870B2"/>
    <w:rsid w:val="0088769E"/>
    <w:rsid w:val="00887AC1"/>
    <w:rsid w:val="00890454"/>
    <w:rsid w:val="008907AA"/>
    <w:rsid w:val="008922C5"/>
    <w:rsid w:val="008932AA"/>
    <w:rsid w:val="00893DFA"/>
    <w:rsid w:val="00893FA6"/>
    <w:rsid w:val="00895EDA"/>
    <w:rsid w:val="0089716B"/>
    <w:rsid w:val="0089782F"/>
    <w:rsid w:val="008A1009"/>
    <w:rsid w:val="008A1CCA"/>
    <w:rsid w:val="008A3D6F"/>
    <w:rsid w:val="008A4344"/>
    <w:rsid w:val="008A4870"/>
    <w:rsid w:val="008A5C23"/>
    <w:rsid w:val="008A609E"/>
    <w:rsid w:val="008A6EC7"/>
    <w:rsid w:val="008A798C"/>
    <w:rsid w:val="008B0B57"/>
    <w:rsid w:val="008B1B9B"/>
    <w:rsid w:val="008B230A"/>
    <w:rsid w:val="008B2E91"/>
    <w:rsid w:val="008B399D"/>
    <w:rsid w:val="008B3FD3"/>
    <w:rsid w:val="008B4FB5"/>
    <w:rsid w:val="008B4FC6"/>
    <w:rsid w:val="008B5E5A"/>
    <w:rsid w:val="008B7CF3"/>
    <w:rsid w:val="008C0078"/>
    <w:rsid w:val="008C0300"/>
    <w:rsid w:val="008C1154"/>
    <w:rsid w:val="008C1260"/>
    <w:rsid w:val="008C170E"/>
    <w:rsid w:val="008C28B1"/>
    <w:rsid w:val="008C4E64"/>
    <w:rsid w:val="008C6303"/>
    <w:rsid w:val="008D00AE"/>
    <w:rsid w:val="008D3F08"/>
    <w:rsid w:val="008D477D"/>
    <w:rsid w:val="008D4959"/>
    <w:rsid w:val="008D4E43"/>
    <w:rsid w:val="008D6CF6"/>
    <w:rsid w:val="008D6F19"/>
    <w:rsid w:val="008D79D3"/>
    <w:rsid w:val="008E273F"/>
    <w:rsid w:val="008E413A"/>
    <w:rsid w:val="008E4C3F"/>
    <w:rsid w:val="008E5B9E"/>
    <w:rsid w:val="008E6DBE"/>
    <w:rsid w:val="008E7529"/>
    <w:rsid w:val="008E7B9B"/>
    <w:rsid w:val="008F08A6"/>
    <w:rsid w:val="008F0B83"/>
    <w:rsid w:val="008F2338"/>
    <w:rsid w:val="008F396F"/>
    <w:rsid w:val="008F6297"/>
    <w:rsid w:val="00900DDB"/>
    <w:rsid w:val="0090107B"/>
    <w:rsid w:val="009019F8"/>
    <w:rsid w:val="00902CE4"/>
    <w:rsid w:val="0090443B"/>
    <w:rsid w:val="0090477E"/>
    <w:rsid w:val="0090508C"/>
    <w:rsid w:val="00905470"/>
    <w:rsid w:val="00906EE2"/>
    <w:rsid w:val="00907DC1"/>
    <w:rsid w:val="00910FB2"/>
    <w:rsid w:val="00911372"/>
    <w:rsid w:val="00913A69"/>
    <w:rsid w:val="00915FCD"/>
    <w:rsid w:val="0091657F"/>
    <w:rsid w:val="00916759"/>
    <w:rsid w:val="00917265"/>
    <w:rsid w:val="00920D6B"/>
    <w:rsid w:val="00920FA0"/>
    <w:rsid w:val="00922258"/>
    <w:rsid w:val="009254DF"/>
    <w:rsid w:val="00925923"/>
    <w:rsid w:val="00927451"/>
    <w:rsid w:val="00927479"/>
    <w:rsid w:val="00927BA1"/>
    <w:rsid w:val="00927BBD"/>
    <w:rsid w:val="00930458"/>
    <w:rsid w:val="00930777"/>
    <w:rsid w:val="00930F9F"/>
    <w:rsid w:val="00931FF0"/>
    <w:rsid w:val="00933CBC"/>
    <w:rsid w:val="00934B61"/>
    <w:rsid w:val="0093520B"/>
    <w:rsid w:val="00935283"/>
    <w:rsid w:val="0093560B"/>
    <w:rsid w:val="00935CD8"/>
    <w:rsid w:val="00936BEE"/>
    <w:rsid w:val="00937A7D"/>
    <w:rsid w:val="00940E06"/>
    <w:rsid w:val="00941CF7"/>
    <w:rsid w:val="009443B6"/>
    <w:rsid w:val="00944A39"/>
    <w:rsid w:val="00945315"/>
    <w:rsid w:val="00945500"/>
    <w:rsid w:val="0094722B"/>
    <w:rsid w:val="00947FB1"/>
    <w:rsid w:val="00950C1F"/>
    <w:rsid w:val="009515BC"/>
    <w:rsid w:val="009525B8"/>
    <w:rsid w:val="00952790"/>
    <w:rsid w:val="009532F2"/>
    <w:rsid w:val="00953AAC"/>
    <w:rsid w:val="00953C86"/>
    <w:rsid w:val="00955105"/>
    <w:rsid w:val="00955FAD"/>
    <w:rsid w:val="00956890"/>
    <w:rsid w:val="00956F07"/>
    <w:rsid w:val="00961C2A"/>
    <w:rsid w:val="00962115"/>
    <w:rsid w:val="009622F4"/>
    <w:rsid w:val="00963168"/>
    <w:rsid w:val="00963E9B"/>
    <w:rsid w:val="00963FAD"/>
    <w:rsid w:val="00964696"/>
    <w:rsid w:val="009657BE"/>
    <w:rsid w:val="009676E5"/>
    <w:rsid w:val="009700C3"/>
    <w:rsid w:val="0097447B"/>
    <w:rsid w:val="00975A72"/>
    <w:rsid w:val="009779A8"/>
    <w:rsid w:val="009779AD"/>
    <w:rsid w:val="00980E0B"/>
    <w:rsid w:val="009811A1"/>
    <w:rsid w:val="00981530"/>
    <w:rsid w:val="00982F37"/>
    <w:rsid w:val="0098310C"/>
    <w:rsid w:val="0098577A"/>
    <w:rsid w:val="00986F41"/>
    <w:rsid w:val="009919C4"/>
    <w:rsid w:val="0099234F"/>
    <w:rsid w:val="0099249B"/>
    <w:rsid w:val="00993599"/>
    <w:rsid w:val="00993F98"/>
    <w:rsid w:val="009974DF"/>
    <w:rsid w:val="00997BE9"/>
    <w:rsid w:val="00997C5A"/>
    <w:rsid w:val="00997F52"/>
    <w:rsid w:val="009A08C0"/>
    <w:rsid w:val="009A1D20"/>
    <w:rsid w:val="009A5E14"/>
    <w:rsid w:val="009A73D0"/>
    <w:rsid w:val="009B0AAE"/>
    <w:rsid w:val="009B0F13"/>
    <w:rsid w:val="009B214D"/>
    <w:rsid w:val="009B2D93"/>
    <w:rsid w:val="009B2EBE"/>
    <w:rsid w:val="009B2F4E"/>
    <w:rsid w:val="009B3D1B"/>
    <w:rsid w:val="009B4985"/>
    <w:rsid w:val="009B5121"/>
    <w:rsid w:val="009B5BD5"/>
    <w:rsid w:val="009B7102"/>
    <w:rsid w:val="009B75E8"/>
    <w:rsid w:val="009B7620"/>
    <w:rsid w:val="009C02CA"/>
    <w:rsid w:val="009C0BF1"/>
    <w:rsid w:val="009C0FFC"/>
    <w:rsid w:val="009C1109"/>
    <w:rsid w:val="009C170B"/>
    <w:rsid w:val="009C1808"/>
    <w:rsid w:val="009C287E"/>
    <w:rsid w:val="009C305C"/>
    <w:rsid w:val="009C305F"/>
    <w:rsid w:val="009C4792"/>
    <w:rsid w:val="009C4B68"/>
    <w:rsid w:val="009C5033"/>
    <w:rsid w:val="009C6089"/>
    <w:rsid w:val="009C643A"/>
    <w:rsid w:val="009C7C28"/>
    <w:rsid w:val="009D2364"/>
    <w:rsid w:val="009D304F"/>
    <w:rsid w:val="009D40CA"/>
    <w:rsid w:val="009D4C8D"/>
    <w:rsid w:val="009D4E8A"/>
    <w:rsid w:val="009D5991"/>
    <w:rsid w:val="009D6050"/>
    <w:rsid w:val="009D6B6B"/>
    <w:rsid w:val="009D7E20"/>
    <w:rsid w:val="009D7FF8"/>
    <w:rsid w:val="009E000C"/>
    <w:rsid w:val="009E06E4"/>
    <w:rsid w:val="009E0D2C"/>
    <w:rsid w:val="009E0E13"/>
    <w:rsid w:val="009E14FF"/>
    <w:rsid w:val="009E1E6B"/>
    <w:rsid w:val="009E2BA4"/>
    <w:rsid w:val="009E4561"/>
    <w:rsid w:val="009E5513"/>
    <w:rsid w:val="009E783F"/>
    <w:rsid w:val="009E78B9"/>
    <w:rsid w:val="009F2079"/>
    <w:rsid w:val="009F4348"/>
    <w:rsid w:val="009F4CBB"/>
    <w:rsid w:val="009F56A8"/>
    <w:rsid w:val="009F678B"/>
    <w:rsid w:val="009F6A0A"/>
    <w:rsid w:val="00A01043"/>
    <w:rsid w:val="00A01CA2"/>
    <w:rsid w:val="00A01E36"/>
    <w:rsid w:val="00A01E5E"/>
    <w:rsid w:val="00A02C59"/>
    <w:rsid w:val="00A02E86"/>
    <w:rsid w:val="00A031E6"/>
    <w:rsid w:val="00A039FC"/>
    <w:rsid w:val="00A04518"/>
    <w:rsid w:val="00A04C22"/>
    <w:rsid w:val="00A0573C"/>
    <w:rsid w:val="00A072F4"/>
    <w:rsid w:val="00A074B9"/>
    <w:rsid w:val="00A07C0A"/>
    <w:rsid w:val="00A109E4"/>
    <w:rsid w:val="00A133A6"/>
    <w:rsid w:val="00A15AB5"/>
    <w:rsid w:val="00A16E6B"/>
    <w:rsid w:val="00A17B75"/>
    <w:rsid w:val="00A203F4"/>
    <w:rsid w:val="00A20D1C"/>
    <w:rsid w:val="00A21344"/>
    <w:rsid w:val="00A2148C"/>
    <w:rsid w:val="00A222C0"/>
    <w:rsid w:val="00A22B29"/>
    <w:rsid w:val="00A23CD6"/>
    <w:rsid w:val="00A24B3A"/>
    <w:rsid w:val="00A26EDD"/>
    <w:rsid w:val="00A306EF"/>
    <w:rsid w:val="00A313A5"/>
    <w:rsid w:val="00A326A3"/>
    <w:rsid w:val="00A331C0"/>
    <w:rsid w:val="00A331D7"/>
    <w:rsid w:val="00A35337"/>
    <w:rsid w:val="00A36447"/>
    <w:rsid w:val="00A3738F"/>
    <w:rsid w:val="00A374B8"/>
    <w:rsid w:val="00A401E3"/>
    <w:rsid w:val="00A401F1"/>
    <w:rsid w:val="00A42171"/>
    <w:rsid w:val="00A446EA"/>
    <w:rsid w:val="00A46723"/>
    <w:rsid w:val="00A467E7"/>
    <w:rsid w:val="00A46CD6"/>
    <w:rsid w:val="00A47788"/>
    <w:rsid w:val="00A50BDA"/>
    <w:rsid w:val="00A51208"/>
    <w:rsid w:val="00A51E11"/>
    <w:rsid w:val="00A52CFD"/>
    <w:rsid w:val="00A551B4"/>
    <w:rsid w:val="00A57026"/>
    <w:rsid w:val="00A60AED"/>
    <w:rsid w:val="00A60BB0"/>
    <w:rsid w:val="00A61B04"/>
    <w:rsid w:val="00A6288E"/>
    <w:rsid w:val="00A62BEA"/>
    <w:rsid w:val="00A63E18"/>
    <w:rsid w:val="00A655F9"/>
    <w:rsid w:val="00A67CD8"/>
    <w:rsid w:val="00A70401"/>
    <w:rsid w:val="00A71F5B"/>
    <w:rsid w:val="00A7264D"/>
    <w:rsid w:val="00A72E78"/>
    <w:rsid w:val="00A72E8D"/>
    <w:rsid w:val="00A741FB"/>
    <w:rsid w:val="00A74CD4"/>
    <w:rsid w:val="00A74E54"/>
    <w:rsid w:val="00A774CF"/>
    <w:rsid w:val="00A77AED"/>
    <w:rsid w:val="00A802C3"/>
    <w:rsid w:val="00A81B06"/>
    <w:rsid w:val="00A82F48"/>
    <w:rsid w:val="00A83D0D"/>
    <w:rsid w:val="00A84EED"/>
    <w:rsid w:val="00A85D71"/>
    <w:rsid w:val="00A869D0"/>
    <w:rsid w:val="00A875A5"/>
    <w:rsid w:val="00A90E47"/>
    <w:rsid w:val="00A91401"/>
    <w:rsid w:val="00A9187B"/>
    <w:rsid w:val="00A91A7D"/>
    <w:rsid w:val="00A91A94"/>
    <w:rsid w:val="00A9325D"/>
    <w:rsid w:val="00A937C6"/>
    <w:rsid w:val="00A9464C"/>
    <w:rsid w:val="00A974B2"/>
    <w:rsid w:val="00AA2670"/>
    <w:rsid w:val="00AA2F62"/>
    <w:rsid w:val="00AA75AA"/>
    <w:rsid w:val="00AA7D9A"/>
    <w:rsid w:val="00AB00FF"/>
    <w:rsid w:val="00AB0C0D"/>
    <w:rsid w:val="00AB18FA"/>
    <w:rsid w:val="00AB23D3"/>
    <w:rsid w:val="00AB2FB4"/>
    <w:rsid w:val="00AB2FF1"/>
    <w:rsid w:val="00AB3665"/>
    <w:rsid w:val="00AB3771"/>
    <w:rsid w:val="00AB6644"/>
    <w:rsid w:val="00AB6DAC"/>
    <w:rsid w:val="00AB71EB"/>
    <w:rsid w:val="00AC086A"/>
    <w:rsid w:val="00AC0874"/>
    <w:rsid w:val="00AC1284"/>
    <w:rsid w:val="00AC6929"/>
    <w:rsid w:val="00AC6EBB"/>
    <w:rsid w:val="00AD0721"/>
    <w:rsid w:val="00AD1D93"/>
    <w:rsid w:val="00AD2D9F"/>
    <w:rsid w:val="00AD315A"/>
    <w:rsid w:val="00AD3407"/>
    <w:rsid w:val="00AD390E"/>
    <w:rsid w:val="00AD4A21"/>
    <w:rsid w:val="00AD4BDF"/>
    <w:rsid w:val="00AD640E"/>
    <w:rsid w:val="00AD658E"/>
    <w:rsid w:val="00AE263C"/>
    <w:rsid w:val="00AE4F55"/>
    <w:rsid w:val="00AE5E7E"/>
    <w:rsid w:val="00AF1948"/>
    <w:rsid w:val="00AF3BEB"/>
    <w:rsid w:val="00AF4910"/>
    <w:rsid w:val="00AF56D2"/>
    <w:rsid w:val="00AF66E1"/>
    <w:rsid w:val="00AF6A57"/>
    <w:rsid w:val="00AF6EE5"/>
    <w:rsid w:val="00B00B5C"/>
    <w:rsid w:val="00B0300C"/>
    <w:rsid w:val="00B0434F"/>
    <w:rsid w:val="00B0653F"/>
    <w:rsid w:val="00B06653"/>
    <w:rsid w:val="00B069CA"/>
    <w:rsid w:val="00B07F81"/>
    <w:rsid w:val="00B10FAA"/>
    <w:rsid w:val="00B133B7"/>
    <w:rsid w:val="00B133F7"/>
    <w:rsid w:val="00B14D59"/>
    <w:rsid w:val="00B16C48"/>
    <w:rsid w:val="00B16E1B"/>
    <w:rsid w:val="00B16EA3"/>
    <w:rsid w:val="00B16FFB"/>
    <w:rsid w:val="00B17C8D"/>
    <w:rsid w:val="00B17CFE"/>
    <w:rsid w:val="00B20A06"/>
    <w:rsid w:val="00B259CE"/>
    <w:rsid w:val="00B270F5"/>
    <w:rsid w:val="00B27512"/>
    <w:rsid w:val="00B32490"/>
    <w:rsid w:val="00B32710"/>
    <w:rsid w:val="00B33110"/>
    <w:rsid w:val="00B335D4"/>
    <w:rsid w:val="00B33C23"/>
    <w:rsid w:val="00B34A3A"/>
    <w:rsid w:val="00B35349"/>
    <w:rsid w:val="00B35D20"/>
    <w:rsid w:val="00B360B0"/>
    <w:rsid w:val="00B37816"/>
    <w:rsid w:val="00B40D2C"/>
    <w:rsid w:val="00B41314"/>
    <w:rsid w:val="00B42742"/>
    <w:rsid w:val="00B42F0E"/>
    <w:rsid w:val="00B43849"/>
    <w:rsid w:val="00B450D3"/>
    <w:rsid w:val="00B45882"/>
    <w:rsid w:val="00B50F95"/>
    <w:rsid w:val="00B51D32"/>
    <w:rsid w:val="00B52EEE"/>
    <w:rsid w:val="00B53757"/>
    <w:rsid w:val="00B56A08"/>
    <w:rsid w:val="00B56FF8"/>
    <w:rsid w:val="00B570D0"/>
    <w:rsid w:val="00B57225"/>
    <w:rsid w:val="00B605A6"/>
    <w:rsid w:val="00B6246D"/>
    <w:rsid w:val="00B6323D"/>
    <w:rsid w:val="00B657E7"/>
    <w:rsid w:val="00B67029"/>
    <w:rsid w:val="00B701D6"/>
    <w:rsid w:val="00B74247"/>
    <w:rsid w:val="00B74FAF"/>
    <w:rsid w:val="00B7646C"/>
    <w:rsid w:val="00B8165F"/>
    <w:rsid w:val="00B836B8"/>
    <w:rsid w:val="00B84CDB"/>
    <w:rsid w:val="00B84F40"/>
    <w:rsid w:val="00B85093"/>
    <w:rsid w:val="00B87839"/>
    <w:rsid w:val="00B908D8"/>
    <w:rsid w:val="00B918C5"/>
    <w:rsid w:val="00B91D63"/>
    <w:rsid w:val="00B95D34"/>
    <w:rsid w:val="00B96588"/>
    <w:rsid w:val="00B978CE"/>
    <w:rsid w:val="00BA020A"/>
    <w:rsid w:val="00BA39DD"/>
    <w:rsid w:val="00BA41A5"/>
    <w:rsid w:val="00BA46AD"/>
    <w:rsid w:val="00BA71E6"/>
    <w:rsid w:val="00BA75EF"/>
    <w:rsid w:val="00BB0F68"/>
    <w:rsid w:val="00BB16BF"/>
    <w:rsid w:val="00BB3543"/>
    <w:rsid w:val="00BB3A66"/>
    <w:rsid w:val="00BB3A7E"/>
    <w:rsid w:val="00BB3D5C"/>
    <w:rsid w:val="00BB49AF"/>
    <w:rsid w:val="00BB4BA1"/>
    <w:rsid w:val="00BB5423"/>
    <w:rsid w:val="00BB5F18"/>
    <w:rsid w:val="00BB62BF"/>
    <w:rsid w:val="00BB67AE"/>
    <w:rsid w:val="00BB6E70"/>
    <w:rsid w:val="00BB7038"/>
    <w:rsid w:val="00BC0E84"/>
    <w:rsid w:val="00BC14FC"/>
    <w:rsid w:val="00BC1515"/>
    <w:rsid w:val="00BC26D3"/>
    <w:rsid w:val="00BC2D3E"/>
    <w:rsid w:val="00BC3334"/>
    <w:rsid w:val="00BC356D"/>
    <w:rsid w:val="00BC523C"/>
    <w:rsid w:val="00BC52FD"/>
    <w:rsid w:val="00BC54F7"/>
    <w:rsid w:val="00BC58C5"/>
    <w:rsid w:val="00BC7944"/>
    <w:rsid w:val="00BD0170"/>
    <w:rsid w:val="00BD17E2"/>
    <w:rsid w:val="00BD24C6"/>
    <w:rsid w:val="00BD2575"/>
    <w:rsid w:val="00BD2812"/>
    <w:rsid w:val="00BD2D90"/>
    <w:rsid w:val="00BD3714"/>
    <w:rsid w:val="00BD619C"/>
    <w:rsid w:val="00BD79E6"/>
    <w:rsid w:val="00BE0236"/>
    <w:rsid w:val="00BE0B4E"/>
    <w:rsid w:val="00BE1268"/>
    <w:rsid w:val="00BE1A9F"/>
    <w:rsid w:val="00BE1F77"/>
    <w:rsid w:val="00BE2037"/>
    <w:rsid w:val="00BE264D"/>
    <w:rsid w:val="00BE2F36"/>
    <w:rsid w:val="00BE300E"/>
    <w:rsid w:val="00BE3703"/>
    <w:rsid w:val="00BE4F9E"/>
    <w:rsid w:val="00BE56F4"/>
    <w:rsid w:val="00BE5BDA"/>
    <w:rsid w:val="00BE6856"/>
    <w:rsid w:val="00BE74A9"/>
    <w:rsid w:val="00BF22DB"/>
    <w:rsid w:val="00BF2A44"/>
    <w:rsid w:val="00BF387B"/>
    <w:rsid w:val="00BF4272"/>
    <w:rsid w:val="00BF4E72"/>
    <w:rsid w:val="00BF5BAA"/>
    <w:rsid w:val="00BF5BC1"/>
    <w:rsid w:val="00BF643C"/>
    <w:rsid w:val="00BF6B7B"/>
    <w:rsid w:val="00C01E4A"/>
    <w:rsid w:val="00C0232C"/>
    <w:rsid w:val="00C02D3E"/>
    <w:rsid w:val="00C049D6"/>
    <w:rsid w:val="00C055B3"/>
    <w:rsid w:val="00C05C1F"/>
    <w:rsid w:val="00C06046"/>
    <w:rsid w:val="00C104C4"/>
    <w:rsid w:val="00C108A4"/>
    <w:rsid w:val="00C13DF3"/>
    <w:rsid w:val="00C14E0D"/>
    <w:rsid w:val="00C16161"/>
    <w:rsid w:val="00C1701A"/>
    <w:rsid w:val="00C17289"/>
    <w:rsid w:val="00C17346"/>
    <w:rsid w:val="00C204E6"/>
    <w:rsid w:val="00C22338"/>
    <w:rsid w:val="00C22661"/>
    <w:rsid w:val="00C23D60"/>
    <w:rsid w:val="00C261B8"/>
    <w:rsid w:val="00C27713"/>
    <w:rsid w:val="00C3021A"/>
    <w:rsid w:val="00C30DD1"/>
    <w:rsid w:val="00C320E8"/>
    <w:rsid w:val="00C33A1E"/>
    <w:rsid w:val="00C3593C"/>
    <w:rsid w:val="00C36B54"/>
    <w:rsid w:val="00C3778F"/>
    <w:rsid w:val="00C405E1"/>
    <w:rsid w:val="00C41E59"/>
    <w:rsid w:val="00C429B6"/>
    <w:rsid w:val="00C42C53"/>
    <w:rsid w:val="00C42E47"/>
    <w:rsid w:val="00C43990"/>
    <w:rsid w:val="00C44942"/>
    <w:rsid w:val="00C453B4"/>
    <w:rsid w:val="00C45ADE"/>
    <w:rsid w:val="00C46433"/>
    <w:rsid w:val="00C466F4"/>
    <w:rsid w:val="00C468B7"/>
    <w:rsid w:val="00C52E5B"/>
    <w:rsid w:val="00C5320F"/>
    <w:rsid w:val="00C53A4D"/>
    <w:rsid w:val="00C57171"/>
    <w:rsid w:val="00C60C4D"/>
    <w:rsid w:val="00C61439"/>
    <w:rsid w:val="00C63634"/>
    <w:rsid w:val="00C63C84"/>
    <w:rsid w:val="00C63F70"/>
    <w:rsid w:val="00C650F0"/>
    <w:rsid w:val="00C66250"/>
    <w:rsid w:val="00C6655C"/>
    <w:rsid w:val="00C6679B"/>
    <w:rsid w:val="00C66F8E"/>
    <w:rsid w:val="00C70BB3"/>
    <w:rsid w:val="00C721E8"/>
    <w:rsid w:val="00C7328F"/>
    <w:rsid w:val="00C759BE"/>
    <w:rsid w:val="00C75C3A"/>
    <w:rsid w:val="00C7672E"/>
    <w:rsid w:val="00C7732D"/>
    <w:rsid w:val="00C8021F"/>
    <w:rsid w:val="00C8143D"/>
    <w:rsid w:val="00C8237B"/>
    <w:rsid w:val="00C825E1"/>
    <w:rsid w:val="00C858C1"/>
    <w:rsid w:val="00C862B6"/>
    <w:rsid w:val="00C86ED1"/>
    <w:rsid w:val="00C872B0"/>
    <w:rsid w:val="00C876B4"/>
    <w:rsid w:val="00C90710"/>
    <w:rsid w:val="00C91786"/>
    <w:rsid w:val="00C9223E"/>
    <w:rsid w:val="00C93092"/>
    <w:rsid w:val="00C930ED"/>
    <w:rsid w:val="00C94B84"/>
    <w:rsid w:val="00C961E1"/>
    <w:rsid w:val="00C9735B"/>
    <w:rsid w:val="00CA0E1A"/>
    <w:rsid w:val="00CA130C"/>
    <w:rsid w:val="00CA1420"/>
    <w:rsid w:val="00CA2326"/>
    <w:rsid w:val="00CA258F"/>
    <w:rsid w:val="00CA2D00"/>
    <w:rsid w:val="00CA34DB"/>
    <w:rsid w:val="00CA43C4"/>
    <w:rsid w:val="00CA50AF"/>
    <w:rsid w:val="00CA517D"/>
    <w:rsid w:val="00CA5212"/>
    <w:rsid w:val="00CA53BC"/>
    <w:rsid w:val="00CA5734"/>
    <w:rsid w:val="00CA57E7"/>
    <w:rsid w:val="00CA5810"/>
    <w:rsid w:val="00CB2C08"/>
    <w:rsid w:val="00CB2EEE"/>
    <w:rsid w:val="00CB4575"/>
    <w:rsid w:val="00CB50E7"/>
    <w:rsid w:val="00CB596A"/>
    <w:rsid w:val="00CB6BFD"/>
    <w:rsid w:val="00CB74AB"/>
    <w:rsid w:val="00CB7D19"/>
    <w:rsid w:val="00CB7E81"/>
    <w:rsid w:val="00CC0727"/>
    <w:rsid w:val="00CC09F7"/>
    <w:rsid w:val="00CC1DC4"/>
    <w:rsid w:val="00CC2DA6"/>
    <w:rsid w:val="00CC52C3"/>
    <w:rsid w:val="00CC60F4"/>
    <w:rsid w:val="00CC6BEF"/>
    <w:rsid w:val="00CC7073"/>
    <w:rsid w:val="00CC7268"/>
    <w:rsid w:val="00CC72E3"/>
    <w:rsid w:val="00CC7AFD"/>
    <w:rsid w:val="00CD0BB0"/>
    <w:rsid w:val="00CD1C13"/>
    <w:rsid w:val="00CD42A5"/>
    <w:rsid w:val="00CD4A24"/>
    <w:rsid w:val="00CD552C"/>
    <w:rsid w:val="00CD67F1"/>
    <w:rsid w:val="00CD6D06"/>
    <w:rsid w:val="00CE0CCD"/>
    <w:rsid w:val="00CE1444"/>
    <w:rsid w:val="00CE1654"/>
    <w:rsid w:val="00CE1F1F"/>
    <w:rsid w:val="00CE2064"/>
    <w:rsid w:val="00CE23AB"/>
    <w:rsid w:val="00CE2F44"/>
    <w:rsid w:val="00CE46E2"/>
    <w:rsid w:val="00CE5C4B"/>
    <w:rsid w:val="00CE5FF3"/>
    <w:rsid w:val="00CE6313"/>
    <w:rsid w:val="00CE6C37"/>
    <w:rsid w:val="00CE7C0B"/>
    <w:rsid w:val="00CE7D32"/>
    <w:rsid w:val="00CF0AF4"/>
    <w:rsid w:val="00CF1E64"/>
    <w:rsid w:val="00CF3329"/>
    <w:rsid w:val="00CF336E"/>
    <w:rsid w:val="00CF3429"/>
    <w:rsid w:val="00CF5657"/>
    <w:rsid w:val="00D006CA"/>
    <w:rsid w:val="00D00949"/>
    <w:rsid w:val="00D009AB"/>
    <w:rsid w:val="00D00FBA"/>
    <w:rsid w:val="00D011B3"/>
    <w:rsid w:val="00D0155F"/>
    <w:rsid w:val="00D02BF1"/>
    <w:rsid w:val="00D02CBB"/>
    <w:rsid w:val="00D03688"/>
    <w:rsid w:val="00D0480D"/>
    <w:rsid w:val="00D05B7B"/>
    <w:rsid w:val="00D066BA"/>
    <w:rsid w:val="00D07E24"/>
    <w:rsid w:val="00D12814"/>
    <w:rsid w:val="00D137FE"/>
    <w:rsid w:val="00D14AAD"/>
    <w:rsid w:val="00D14DE7"/>
    <w:rsid w:val="00D1675A"/>
    <w:rsid w:val="00D16AD9"/>
    <w:rsid w:val="00D16DAA"/>
    <w:rsid w:val="00D171CB"/>
    <w:rsid w:val="00D17228"/>
    <w:rsid w:val="00D17FE6"/>
    <w:rsid w:val="00D209BA"/>
    <w:rsid w:val="00D20A71"/>
    <w:rsid w:val="00D20B35"/>
    <w:rsid w:val="00D21161"/>
    <w:rsid w:val="00D23043"/>
    <w:rsid w:val="00D24473"/>
    <w:rsid w:val="00D26166"/>
    <w:rsid w:val="00D26B08"/>
    <w:rsid w:val="00D273D7"/>
    <w:rsid w:val="00D27E1E"/>
    <w:rsid w:val="00D3365B"/>
    <w:rsid w:val="00D35132"/>
    <w:rsid w:val="00D36555"/>
    <w:rsid w:val="00D368AE"/>
    <w:rsid w:val="00D41DB8"/>
    <w:rsid w:val="00D43855"/>
    <w:rsid w:val="00D43B27"/>
    <w:rsid w:val="00D441C9"/>
    <w:rsid w:val="00D459CD"/>
    <w:rsid w:val="00D4662A"/>
    <w:rsid w:val="00D46F5E"/>
    <w:rsid w:val="00D473EB"/>
    <w:rsid w:val="00D47890"/>
    <w:rsid w:val="00D47951"/>
    <w:rsid w:val="00D5091E"/>
    <w:rsid w:val="00D51F83"/>
    <w:rsid w:val="00D522AD"/>
    <w:rsid w:val="00D5251A"/>
    <w:rsid w:val="00D526D4"/>
    <w:rsid w:val="00D53647"/>
    <w:rsid w:val="00D5394D"/>
    <w:rsid w:val="00D53DB6"/>
    <w:rsid w:val="00D5569E"/>
    <w:rsid w:val="00D55B0F"/>
    <w:rsid w:val="00D55E0F"/>
    <w:rsid w:val="00D563B4"/>
    <w:rsid w:val="00D568E7"/>
    <w:rsid w:val="00D568E8"/>
    <w:rsid w:val="00D56E20"/>
    <w:rsid w:val="00D57F32"/>
    <w:rsid w:val="00D61107"/>
    <w:rsid w:val="00D621C2"/>
    <w:rsid w:val="00D648C7"/>
    <w:rsid w:val="00D670CF"/>
    <w:rsid w:val="00D72005"/>
    <w:rsid w:val="00D73276"/>
    <w:rsid w:val="00D736B0"/>
    <w:rsid w:val="00D74F08"/>
    <w:rsid w:val="00D75219"/>
    <w:rsid w:val="00D754E5"/>
    <w:rsid w:val="00D75630"/>
    <w:rsid w:val="00D76DA3"/>
    <w:rsid w:val="00D778A3"/>
    <w:rsid w:val="00D80630"/>
    <w:rsid w:val="00D8076F"/>
    <w:rsid w:val="00D80A83"/>
    <w:rsid w:val="00D810DF"/>
    <w:rsid w:val="00D8190F"/>
    <w:rsid w:val="00D81BA4"/>
    <w:rsid w:val="00D8210A"/>
    <w:rsid w:val="00D8218A"/>
    <w:rsid w:val="00D828EA"/>
    <w:rsid w:val="00D838A1"/>
    <w:rsid w:val="00D84ADD"/>
    <w:rsid w:val="00D85A71"/>
    <w:rsid w:val="00D86EEC"/>
    <w:rsid w:val="00D87BC3"/>
    <w:rsid w:val="00D918AB"/>
    <w:rsid w:val="00D91E8F"/>
    <w:rsid w:val="00D9279E"/>
    <w:rsid w:val="00D94E9F"/>
    <w:rsid w:val="00D94EE1"/>
    <w:rsid w:val="00D958E9"/>
    <w:rsid w:val="00D96FC2"/>
    <w:rsid w:val="00D97806"/>
    <w:rsid w:val="00DA0D63"/>
    <w:rsid w:val="00DA182A"/>
    <w:rsid w:val="00DA3088"/>
    <w:rsid w:val="00DA4873"/>
    <w:rsid w:val="00DA5FEC"/>
    <w:rsid w:val="00DA6D36"/>
    <w:rsid w:val="00DB34D1"/>
    <w:rsid w:val="00DB448F"/>
    <w:rsid w:val="00DB4977"/>
    <w:rsid w:val="00DB4DEB"/>
    <w:rsid w:val="00DB5459"/>
    <w:rsid w:val="00DB645F"/>
    <w:rsid w:val="00DB65E7"/>
    <w:rsid w:val="00DB7FB8"/>
    <w:rsid w:val="00DC1A12"/>
    <w:rsid w:val="00DC1A84"/>
    <w:rsid w:val="00DC3175"/>
    <w:rsid w:val="00DC473B"/>
    <w:rsid w:val="00DC5D62"/>
    <w:rsid w:val="00DC5DCF"/>
    <w:rsid w:val="00DC7862"/>
    <w:rsid w:val="00DD0017"/>
    <w:rsid w:val="00DD0A1E"/>
    <w:rsid w:val="00DD1905"/>
    <w:rsid w:val="00DD1D4E"/>
    <w:rsid w:val="00DD2C87"/>
    <w:rsid w:val="00DD2E6C"/>
    <w:rsid w:val="00DD345C"/>
    <w:rsid w:val="00DD38C0"/>
    <w:rsid w:val="00DD49A2"/>
    <w:rsid w:val="00DD4B4B"/>
    <w:rsid w:val="00DD4D4B"/>
    <w:rsid w:val="00DD5B09"/>
    <w:rsid w:val="00DD6E4A"/>
    <w:rsid w:val="00DE0D41"/>
    <w:rsid w:val="00DE0FC7"/>
    <w:rsid w:val="00DE19D5"/>
    <w:rsid w:val="00DE2B79"/>
    <w:rsid w:val="00DE2D04"/>
    <w:rsid w:val="00DE6366"/>
    <w:rsid w:val="00DE7726"/>
    <w:rsid w:val="00DE775D"/>
    <w:rsid w:val="00DE7BB8"/>
    <w:rsid w:val="00DF11B3"/>
    <w:rsid w:val="00DF155D"/>
    <w:rsid w:val="00DF3248"/>
    <w:rsid w:val="00DF34BC"/>
    <w:rsid w:val="00DF3E3A"/>
    <w:rsid w:val="00DF4EC0"/>
    <w:rsid w:val="00DF59EC"/>
    <w:rsid w:val="00DF635C"/>
    <w:rsid w:val="00DF782D"/>
    <w:rsid w:val="00E01546"/>
    <w:rsid w:val="00E01AB2"/>
    <w:rsid w:val="00E02135"/>
    <w:rsid w:val="00E02BA9"/>
    <w:rsid w:val="00E03139"/>
    <w:rsid w:val="00E04C95"/>
    <w:rsid w:val="00E05037"/>
    <w:rsid w:val="00E0520C"/>
    <w:rsid w:val="00E06398"/>
    <w:rsid w:val="00E12D27"/>
    <w:rsid w:val="00E1324F"/>
    <w:rsid w:val="00E17C7F"/>
    <w:rsid w:val="00E202F3"/>
    <w:rsid w:val="00E220AF"/>
    <w:rsid w:val="00E23B0C"/>
    <w:rsid w:val="00E23D8D"/>
    <w:rsid w:val="00E24259"/>
    <w:rsid w:val="00E243E7"/>
    <w:rsid w:val="00E245AF"/>
    <w:rsid w:val="00E24BCC"/>
    <w:rsid w:val="00E257F5"/>
    <w:rsid w:val="00E25DDA"/>
    <w:rsid w:val="00E26339"/>
    <w:rsid w:val="00E26A09"/>
    <w:rsid w:val="00E272EA"/>
    <w:rsid w:val="00E319A0"/>
    <w:rsid w:val="00E333E0"/>
    <w:rsid w:val="00E34A12"/>
    <w:rsid w:val="00E34DA0"/>
    <w:rsid w:val="00E34FED"/>
    <w:rsid w:val="00E4035F"/>
    <w:rsid w:val="00E4238D"/>
    <w:rsid w:val="00E42A43"/>
    <w:rsid w:val="00E42E59"/>
    <w:rsid w:val="00E44E43"/>
    <w:rsid w:val="00E47D59"/>
    <w:rsid w:val="00E506BD"/>
    <w:rsid w:val="00E5072F"/>
    <w:rsid w:val="00E52B13"/>
    <w:rsid w:val="00E5498C"/>
    <w:rsid w:val="00E56258"/>
    <w:rsid w:val="00E56E22"/>
    <w:rsid w:val="00E57201"/>
    <w:rsid w:val="00E5775E"/>
    <w:rsid w:val="00E612BE"/>
    <w:rsid w:val="00E61805"/>
    <w:rsid w:val="00E6292B"/>
    <w:rsid w:val="00E64120"/>
    <w:rsid w:val="00E66BB1"/>
    <w:rsid w:val="00E66C96"/>
    <w:rsid w:val="00E7027A"/>
    <w:rsid w:val="00E70B4B"/>
    <w:rsid w:val="00E7247C"/>
    <w:rsid w:val="00E72992"/>
    <w:rsid w:val="00E7559D"/>
    <w:rsid w:val="00E761C1"/>
    <w:rsid w:val="00E76249"/>
    <w:rsid w:val="00E7641D"/>
    <w:rsid w:val="00E76DC3"/>
    <w:rsid w:val="00E83AF0"/>
    <w:rsid w:val="00E84A29"/>
    <w:rsid w:val="00E858E0"/>
    <w:rsid w:val="00E91B97"/>
    <w:rsid w:val="00E935A8"/>
    <w:rsid w:val="00E93945"/>
    <w:rsid w:val="00EA076A"/>
    <w:rsid w:val="00EA28F9"/>
    <w:rsid w:val="00EA3111"/>
    <w:rsid w:val="00EA3BF8"/>
    <w:rsid w:val="00EA4EED"/>
    <w:rsid w:val="00EA53A4"/>
    <w:rsid w:val="00EA5864"/>
    <w:rsid w:val="00EA6611"/>
    <w:rsid w:val="00EA75F6"/>
    <w:rsid w:val="00EA792B"/>
    <w:rsid w:val="00EA79DC"/>
    <w:rsid w:val="00EB0697"/>
    <w:rsid w:val="00EB0767"/>
    <w:rsid w:val="00EB1CA5"/>
    <w:rsid w:val="00EB2553"/>
    <w:rsid w:val="00EB3E11"/>
    <w:rsid w:val="00EB4A07"/>
    <w:rsid w:val="00EB679A"/>
    <w:rsid w:val="00EB6C6E"/>
    <w:rsid w:val="00EB6D42"/>
    <w:rsid w:val="00EB7476"/>
    <w:rsid w:val="00EB7777"/>
    <w:rsid w:val="00EB796F"/>
    <w:rsid w:val="00EC0334"/>
    <w:rsid w:val="00EC076F"/>
    <w:rsid w:val="00EC0BEF"/>
    <w:rsid w:val="00EC111E"/>
    <w:rsid w:val="00EC1F11"/>
    <w:rsid w:val="00EC2A45"/>
    <w:rsid w:val="00EC34B1"/>
    <w:rsid w:val="00EC3F8F"/>
    <w:rsid w:val="00EC40C3"/>
    <w:rsid w:val="00EC5C27"/>
    <w:rsid w:val="00EC6FCD"/>
    <w:rsid w:val="00EC78D2"/>
    <w:rsid w:val="00ED1168"/>
    <w:rsid w:val="00ED48FC"/>
    <w:rsid w:val="00ED6C71"/>
    <w:rsid w:val="00ED6FD5"/>
    <w:rsid w:val="00ED75C9"/>
    <w:rsid w:val="00ED7E60"/>
    <w:rsid w:val="00EE09EB"/>
    <w:rsid w:val="00EE1307"/>
    <w:rsid w:val="00EE20A8"/>
    <w:rsid w:val="00EE398B"/>
    <w:rsid w:val="00EE5484"/>
    <w:rsid w:val="00EE6CD6"/>
    <w:rsid w:val="00EF12C1"/>
    <w:rsid w:val="00EF2B6C"/>
    <w:rsid w:val="00EF3AE1"/>
    <w:rsid w:val="00EF3CA4"/>
    <w:rsid w:val="00EF4F7C"/>
    <w:rsid w:val="00EF4F81"/>
    <w:rsid w:val="00EF57AC"/>
    <w:rsid w:val="00EF73CE"/>
    <w:rsid w:val="00EF7CA0"/>
    <w:rsid w:val="00F00A5C"/>
    <w:rsid w:val="00F01B45"/>
    <w:rsid w:val="00F03F99"/>
    <w:rsid w:val="00F0459F"/>
    <w:rsid w:val="00F04EF7"/>
    <w:rsid w:val="00F0513A"/>
    <w:rsid w:val="00F058E7"/>
    <w:rsid w:val="00F05D3F"/>
    <w:rsid w:val="00F06AE8"/>
    <w:rsid w:val="00F06C9C"/>
    <w:rsid w:val="00F0725F"/>
    <w:rsid w:val="00F074D5"/>
    <w:rsid w:val="00F12C9A"/>
    <w:rsid w:val="00F13A40"/>
    <w:rsid w:val="00F14BD1"/>
    <w:rsid w:val="00F14CFC"/>
    <w:rsid w:val="00F15CDF"/>
    <w:rsid w:val="00F15E57"/>
    <w:rsid w:val="00F16C96"/>
    <w:rsid w:val="00F21012"/>
    <w:rsid w:val="00F21277"/>
    <w:rsid w:val="00F2240B"/>
    <w:rsid w:val="00F2269D"/>
    <w:rsid w:val="00F22914"/>
    <w:rsid w:val="00F2349B"/>
    <w:rsid w:val="00F23632"/>
    <w:rsid w:val="00F249AC"/>
    <w:rsid w:val="00F24BAE"/>
    <w:rsid w:val="00F25ABC"/>
    <w:rsid w:val="00F26598"/>
    <w:rsid w:val="00F2687E"/>
    <w:rsid w:val="00F27B12"/>
    <w:rsid w:val="00F27BDA"/>
    <w:rsid w:val="00F326EA"/>
    <w:rsid w:val="00F32A9E"/>
    <w:rsid w:val="00F32BCF"/>
    <w:rsid w:val="00F32C4C"/>
    <w:rsid w:val="00F32E96"/>
    <w:rsid w:val="00F358EC"/>
    <w:rsid w:val="00F36935"/>
    <w:rsid w:val="00F375F9"/>
    <w:rsid w:val="00F414C8"/>
    <w:rsid w:val="00F41975"/>
    <w:rsid w:val="00F41E19"/>
    <w:rsid w:val="00F43000"/>
    <w:rsid w:val="00F45232"/>
    <w:rsid w:val="00F45359"/>
    <w:rsid w:val="00F4715E"/>
    <w:rsid w:val="00F47537"/>
    <w:rsid w:val="00F4777A"/>
    <w:rsid w:val="00F47F2B"/>
    <w:rsid w:val="00F5021E"/>
    <w:rsid w:val="00F506D8"/>
    <w:rsid w:val="00F50701"/>
    <w:rsid w:val="00F507E6"/>
    <w:rsid w:val="00F51182"/>
    <w:rsid w:val="00F51896"/>
    <w:rsid w:val="00F53E0C"/>
    <w:rsid w:val="00F543B1"/>
    <w:rsid w:val="00F55606"/>
    <w:rsid w:val="00F57095"/>
    <w:rsid w:val="00F57205"/>
    <w:rsid w:val="00F5743A"/>
    <w:rsid w:val="00F57DFB"/>
    <w:rsid w:val="00F60CD6"/>
    <w:rsid w:val="00F60FBF"/>
    <w:rsid w:val="00F6183C"/>
    <w:rsid w:val="00F625B2"/>
    <w:rsid w:val="00F64DA5"/>
    <w:rsid w:val="00F64E5A"/>
    <w:rsid w:val="00F6592B"/>
    <w:rsid w:val="00F66548"/>
    <w:rsid w:val="00F67318"/>
    <w:rsid w:val="00F67D0B"/>
    <w:rsid w:val="00F70BC8"/>
    <w:rsid w:val="00F716CE"/>
    <w:rsid w:val="00F72338"/>
    <w:rsid w:val="00F72702"/>
    <w:rsid w:val="00F74F35"/>
    <w:rsid w:val="00F75638"/>
    <w:rsid w:val="00F75A1F"/>
    <w:rsid w:val="00F768D8"/>
    <w:rsid w:val="00F770F5"/>
    <w:rsid w:val="00F80BA4"/>
    <w:rsid w:val="00F8220B"/>
    <w:rsid w:val="00F8274E"/>
    <w:rsid w:val="00F82AE3"/>
    <w:rsid w:val="00F8589A"/>
    <w:rsid w:val="00F85D46"/>
    <w:rsid w:val="00F903C5"/>
    <w:rsid w:val="00F90709"/>
    <w:rsid w:val="00F90760"/>
    <w:rsid w:val="00F90E55"/>
    <w:rsid w:val="00F911E5"/>
    <w:rsid w:val="00F94391"/>
    <w:rsid w:val="00F95832"/>
    <w:rsid w:val="00F95E66"/>
    <w:rsid w:val="00FA0DD7"/>
    <w:rsid w:val="00FA14D4"/>
    <w:rsid w:val="00FA1A6D"/>
    <w:rsid w:val="00FA1D3E"/>
    <w:rsid w:val="00FA2AA1"/>
    <w:rsid w:val="00FA40FC"/>
    <w:rsid w:val="00FA4837"/>
    <w:rsid w:val="00FA4BCC"/>
    <w:rsid w:val="00FA4FBC"/>
    <w:rsid w:val="00FA56F3"/>
    <w:rsid w:val="00FA571E"/>
    <w:rsid w:val="00FB0B0B"/>
    <w:rsid w:val="00FB147F"/>
    <w:rsid w:val="00FB2EBE"/>
    <w:rsid w:val="00FB45C7"/>
    <w:rsid w:val="00FB502D"/>
    <w:rsid w:val="00FB6B4A"/>
    <w:rsid w:val="00FB7BDC"/>
    <w:rsid w:val="00FC0C16"/>
    <w:rsid w:val="00FC2DE7"/>
    <w:rsid w:val="00FC56B8"/>
    <w:rsid w:val="00FC6558"/>
    <w:rsid w:val="00FC6B94"/>
    <w:rsid w:val="00FD0BD1"/>
    <w:rsid w:val="00FD0EB9"/>
    <w:rsid w:val="00FD18B6"/>
    <w:rsid w:val="00FD21B9"/>
    <w:rsid w:val="00FD3C57"/>
    <w:rsid w:val="00FD3CF5"/>
    <w:rsid w:val="00FD5AF2"/>
    <w:rsid w:val="00FD7D65"/>
    <w:rsid w:val="00FE13A8"/>
    <w:rsid w:val="00FE167B"/>
    <w:rsid w:val="00FE258C"/>
    <w:rsid w:val="00FE3BE6"/>
    <w:rsid w:val="00FE4A61"/>
    <w:rsid w:val="00FE4F5F"/>
    <w:rsid w:val="00FE5171"/>
    <w:rsid w:val="00FE7CFA"/>
    <w:rsid w:val="00FF267C"/>
    <w:rsid w:val="00FF2C2C"/>
    <w:rsid w:val="00FF2E69"/>
    <w:rsid w:val="00FF3180"/>
    <w:rsid w:val="00FF321A"/>
    <w:rsid w:val="00FF539F"/>
    <w:rsid w:val="00FF5F12"/>
    <w:rsid w:val="00FF75AC"/>
    <w:rsid w:val="00FF7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83C07"/>
    <w:rPr>
      <w:kern w:val="28"/>
      <w:sz w:val="24"/>
      <w:szCs w:val="20"/>
    </w:rPr>
  </w:style>
  <w:style w:type="paragraph" w:styleId="Heading1">
    <w:name w:val="heading 1"/>
    <w:basedOn w:val="Normal"/>
    <w:next w:val="Normal"/>
    <w:link w:val="Heading1Char"/>
    <w:uiPriority w:val="99"/>
    <w:qFormat/>
    <w:rsid w:val="00E34A12"/>
    <w:pPr>
      <w:keepNext/>
      <w:outlineLvl w:val="0"/>
    </w:pPr>
    <w:rPr>
      <w:sz w:val="28"/>
    </w:rPr>
  </w:style>
  <w:style w:type="paragraph" w:styleId="Heading2">
    <w:name w:val="heading 2"/>
    <w:basedOn w:val="Normal"/>
    <w:next w:val="Normal"/>
    <w:link w:val="Heading2Char"/>
    <w:uiPriority w:val="99"/>
    <w:qFormat/>
    <w:rsid w:val="00E34A12"/>
    <w:pPr>
      <w:keepNext/>
      <w:numPr>
        <w:numId w:val="1"/>
      </w:numPr>
      <w:outlineLvl w:val="1"/>
    </w:pPr>
    <w:rPr>
      <w:b/>
      <w:sz w:val="28"/>
    </w:rPr>
  </w:style>
  <w:style w:type="paragraph" w:styleId="Heading3">
    <w:name w:val="heading 3"/>
    <w:basedOn w:val="Normal"/>
    <w:next w:val="Normal"/>
    <w:link w:val="Heading3Char"/>
    <w:uiPriority w:val="99"/>
    <w:qFormat/>
    <w:rsid w:val="00E34A12"/>
    <w:pPr>
      <w:keepNext/>
      <w:outlineLvl w:val="2"/>
    </w:pPr>
    <w:rPr>
      <w:b/>
    </w:rPr>
  </w:style>
  <w:style w:type="paragraph" w:styleId="Heading4">
    <w:name w:val="heading 4"/>
    <w:basedOn w:val="Normal"/>
    <w:next w:val="Normal"/>
    <w:link w:val="Heading4Char"/>
    <w:uiPriority w:val="99"/>
    <w:qFormat/>
    <w:rsid w:val="00E34A12"/>
    <w:pPr>
      <w:keepNext/>
      <w:jc w:val="center"/>
      <w:outlineLvl w:val="3"/>
    </w:pPr>
    <w:rPr>
      <w:b/>
    </w:rPr>
  </w:style>
  <w:style w:type="paragraph" w:styleId="Heading5">
    <w:name w:val="heading 5"/>
    <w:basedOn w:val="Normal"/>
    <w:next w:val="Normal"/>
    <w:link w:val="Heading5Char"/>
    <w:uiPriority w:val="99"/>
    <w:qFormat/>
    <w:rsid w:val="00E34A12"/>
    <w:pPr>
      <w:keepNext/>
      <w:outlineLvl w:val="4"/>
    </w:pPr>
    <w:rPr>
      <w:b/>
      <w:sz w:val="20"/>
    </w:rPr>
  </w:style>
  <w:style w:type="paragraph" w:styleId="Heading6">
    <w:name w:val="heading 6"/>
    <w:basedOn w:val="Normal"/>
    <w:next w:val="Normal"/>
    <w:link w:val="Heading6Char"/>
    <w:uiPriority w:val="99"/>
    <w:qFormat/>
    <w:rsid w:val="00E34A1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5"/>
    </w:pPr>
    <w:rPr>
      <w:b/>
      <w:sz w:val="20"/>
    </w:rPr>
  </w:style>
  <w:style w:type="paragraph" w:styleId="Heading7">
    <w:name w:val="heading 7"/>
    <w:basedOn w:val="Normal"/>
    <w:next w:val="Normal"/>
    <w:link w:val="Heading7Char"/>
    <w:uiPriority w:val="99"/>
    <w:qFormat/>
    <w:rsid w:val="00E34A12"/>
    <w:pPr>
      <w:keepNext/>
      <w:outlineLvl w:val="6"/>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7247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7247C"/>
    <w:rPr>
      <w:rFonts w:ascii="Cambria" w:hAnsi="Cambria" w:cs="Times New Roman"/>
      <w:b/>
      <w:bCs/>
      <w:i/>
      <w:iCs/>
      <w:kern w:val="28"/>
      <w:sz w:val="28"/>
      <w:szCs w:val="28"/>
    </w:rPr>
  </w:style>
  <w:style w:type="character" w:customStyle="1" w:styleId="Heading3Char">
    <w:name w:val="Heading 3 Char"/>
    <w:basedOn w:val="DefaultParagraphFont"/>
    <w:link w:val="Heading3"/>
    <w:uiPriority w:val="99"/>
    <w:semiHidden/>
    <w:locked/>
    <w:rsid w:val="00E7247C"/>
    <w:rPr>
      <w:rFonts w:ascii="Cambria" w:hAnsi="Cambria" w:cs="Times New Roman"/>
      <w:b/>
      <w:bCs/>
      <w:kern w:val="28"/>
      <w:sz w:val="26"/>
      <w:szCs w:val="26"/>
    </w:rPr>
  </w:style>
  <w:style w:type="character" w:customStyle="1" w:styleId="Heading4Char">
    <w:name w:val="Heading 4 Char"/>
    <w:basedOn w:val="DefaultParagraphFont"/>
    <w:link w:val="Heading4"/>
    <w:uiPriority w:val="99"/>
    <w:semiHidden/>
    <w:locked/>
    <w:rsid w:val="00E7247C"/>
    <w:rPr>
      <w:rFonts w:ascii="Calibri" w:hAnsi="Calibri" w:cs="Times New Roman"/>
      <w:b/>
      <w:bCs/>
      <w:kern w:val="28"/>
      <w:sz w:val="28"/>
      <w:szCs w:val="28"/>
    </w:rPr>
  </w:style>
  <w:style w:type="character" w:customStyle="1" w:styleId="Heading5Char">
    <w:name w:val="Heading 5 Char"/>
    <w:basedOn w:val="DefaultParagraphFont"/>
    <w:link w:val="Heading5"/>
    <w:uiPriority w:val="99"/>
    <w:semiHidden/>
    <w:locked/>
    <w:rsid w:val="00E7247C"/>
    <w:rPr>
      <w:rFonts w:ascii="Calibri" w:hAnsi="Calibri" w:cs="Times New Roman"/>
      <w:b/>
      <w:bCs/>
      <w:i/>
      <w:iCs/>
      <w:kern w:val="28"/>
      <w:sz w:val="26"/>
      <w:szCs w:val="26"/>
    </w:rPr>
  </w:style>
  <w:style w:type="character" w:customStyle="1" w:styleId="Heading6Char">
    <w:name w:val="Heading 6 Char"/>
    <w:basedOn w:val="DefaultParagraphFont"/>
    <w:link w:val="Heading6"/>
    <w:uiPriority w:val="99"/>
    <w:semiHidden/>
    <w:locked/>
    <w:rsid w:val="00E7247C"/>
    <w:rPr>
      <w:rFonts w:ascii="Calibri" w:hAnsi="Calibri" w:cs="Times New Roman"/>
      <w:b/>
      <w:bCs/>
      <w:kern w:val="28"/>
    </w:rPr>
  </w:style>
  <w:style w:type="character" w:customStyle="1" w:styleId="Heading7Char">
    <w:name w:val="Heading 7 Char"/>
    <w:basedOn w:val="DefaultParagraphFont"/>
    <w:link w:val="Heading7"/>
    <w:uiPriority w:val="99"/>
    <w:semiHidden/>
    <w:locked/>
    <w:rsid w:val="00E7247C"/>
    <w:rPr>
      <w:rFonts w:ascii="Calibri" w:hAnsi="Calibri" w:cs="Times New Roman"/>
      <w:kern w:val="28"/>
      <w:sz w:val="24"/>
      <w:szCs w:val="24"/>
    </w:rPr>
  </w:style>
  <w:style w:type="paragraph" w:styleId="BalloonText">
    <w:name w:val="Balloon Text"/>
    <w:basedOn w:val="Normal"/>
    <w:link w:val="BalloonTextChar"/>
    <w:uiPriority w:val="99"/>
    <w:semiHidden/>
    <w:rsid w:val="0019301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247C"/>
    <w:rPr>
      <w:rFonts w:cs="Times New Roman"/>
      <w:kern w:val="28"/>
      <w:sz w:val="2"/>
    </w:rPr>
  </w:style>
  <w:style w:type="paragraph" w:customStyle="1" w:styleId="H1">
    <w:name w:val="H1"/>
    <w:basedOn w:val="Normal"/>
    <w:next w:val="Normal"/>
    <w:uiPriority w:val="99"/>
    <w:rsid w:val="00E34A12"/>
    <w:pPr>
      <w:keepNext/>
      <w:spacing w:before="100" w:after="100"/>
      <w:outlineLvl w:val="1"/>
    </w:pPr>
    <w:rPr>
      <w:b/>
      <w:kern w:val="36"/>
      <w:sz w:val="48"/>
    </w:rPr>
  </w:style>
  <w:style w:type="paragraph" w:customStyle="1" w:styleId="H2">
    <w:name w:val="H2"/>
    <w:basedOn w:val="Normal"/>
    <w:next w:val="Normal"/>
    <w:uiPriority w:val="99"/>
    <w:rsid w:val="00E34A12"/>
    <w:pPr>
      <w:keepNext/>
      <w:spacing w:before="100" w:after="100"/>
      <w:outlineLvl w:val="2"/>
    </w:pPr>
    <w:rPr>
      <w:b/>
      <w:kern w:val="0"/>
      <w:sz w:val="36"/>
    </w:rPr>
  </w:style>
  <w:style w:type="character" w:styleId="Hyperlink">
    <w:name w:val="Hyperlink"/>
    <w:basedOn w:val="DefaultParagraphFont"/>
    <w:uiPriority w:val="99"/>
    <w:rsid w:val="00E34A12"/>
    <w:rPr>
      <w:rFonts w:cs="Times New Roman"/>
      <w:color w:val="0000FF"/>
      <w:u w:val="single"/>
    </w:rPr>
  </w:style>
  <w:style w:type="character" w:styleId="Strong">
    <w:name w:val="Strong"/>
    <w:basedOn w:val="DefaultParagraphFont"/>
    <w:uiPriority w:val="99"/>
    <w:qFormat/>
    <w:rsid w:val="00E34A12"/>
    <w:rPr>
      <w:rFonts w:cs="Times New Roman"/>
      <w:b/>
    </w:rPr>
  </w:style>
  <w:style w:type="character" w:styleId="FollowedHyperlink">
    <w:name w:val="FollowedHyperlink"/>
    <w:basedOn w:val="DefaultParagraphFont"/>
    <w:uiPriority w:val="99"/>
    <w:rsid w:val="00E34A12"/>
    <w:rPr>
      <w:rFonts w:cs="Times New Roman"/>
      <w:color w:val="800080"/>
      <w:u w:val="single"/>
    </w:rPr>
  </w:style>
  <w:style w:type="paragraph" w:styleId="Footer">
    <w:name w:val="footer"/>
    <w:basedOn w:val="Normal"/>
    <w:link w:val="FooterChar"/>
    <w:uiPriority w:val="99"/>
    <w:rsid w:val="00E34A12"/>
    <w:pPr>
      <w:tabs>
        <w:tab w:val="center" w:pos="4320"/>
        <w:tab w:val="right" w:pos="8640"/>
      </w:tabs>
    </w:pPr>
  </w:style>
  <w:style w:type="character" w:customStyle="1" w:styleId="FooterChar">
    <w:name w:val="Footer Char"/>
    <w:basedOn w:val="DefaultParagraphFont"/>
    <w:link w:val="Footer"/>
    <w:uiPriority w:val="99"/>
    <w:semiHidden/>
    <w:locked/>
    <w:rsid w:val="00E7247C"/>
    <w:rPr>
      <w:rFonts w:cs="Times New Roman"/>
      <w:kern w:val="28"/>
      <w:sz w:val="20"/>
      <w:szCs w:val="20"/>
    </w:rPr>
  </w:style>
  <w:style w:type="character" w:styleId="PageNumber">
    <w:name w:val="page number"/>
    <w:basedOn w:val="DefaultParagraphFont"/>
    <w:uiPriority w:val="99"/>
    <w:rsid w:val="00E34A12"/>
    <w:rPr>
      <w:rFonts w:cs="Times New Roman"/>
    </w:rPr>
  </w:style>
  <w:style w:type="paragraph" w:styleId="BodyTextIndent">
    <w:name w:val="Body Text Indent"/>
    <w:basedOn w:val="Normal"/>
    <w:link w:val="BodyTextIndentChar"/>
    <w:uiPriority w:val="99"/>
    <w:rsid w:val="00E34A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style>
  <w:style w:type="character" w:customStyle="1" w:styleId="BodyTextIndentChar">
    <w:name w:val="Body Text Indent Char"/>
    <w:basedOn w:val="DefaultParagraphFont"/>
    <w:link w:val="BodyTextIndent"/>
    <w:uiPriority w:val="99"/>
    <w:semiHidden/>
    <w:locked/>
    <w:rsid w:val="00E7247C"/>
    <w:rPr>
      <w:rFonts w:cs="Times New Roman"/>
      <w:kern w:val="28"/>
      <w:sz w:val="20"/>
      <w:szCs w:val="20"/>
    </w:rPr>
  </w:style>
  <w:style w:type="paragraph" w:styleId="BodyText2">
    <w:name w:val="Body Text 2"/>
    <w:basedOn w:val="Normal"/>
    <w:link w:val="BodyText2Char"/>
    <w:uiPriority w:val="99"/>
    <w:rsid w:val="00E34A12"/>
    <w:rPr>
      <w:kern w:val="0"/>
      <w:sz w:val="28"/>
    </w:rPr>
  </w:style>
  <w:style w:type="character" w:customStyle="1" w:styleId="BodyText2Char">
    <w:name w:val="Body Text 2 Char"/>
    <w:basedOn w:val="DefaultParagraphFont"/>
    <w:link w:val="BodyText2"/>
    <w:uiPriority w:val="99"/>
    <w:semiHidden/>
    <w:locked/>
    <w:rsid w:val="00E7247C"/>
    <w:rPr>
      <w:rFonts w:cs="Times New Roman"/>
      <w:kern w:val="28"/>
      <w:sz w:val="20"/>
      <w:szCs w:val="20"/>
    </w:rPr>
  </w:style>
  <w:style w:type="paragraph" w:styleId="Header">
    <w:name w:val="header"/>
    <w:basedOn w:val="Normal"/>
    <w:link w:val="HeaderChar"/>
    <w:uiPriority w:val="99"/>
    <w:rsid w:val="00E34A12"/>
    <w:pPr>
      <w:tabs>
        <w:tab w:val="center" w:pos="4320"/>
        <w:tab w:val="right" w:pos="8640"/>
      </w:tabs>
    </w:pPr>
  </w:style>
  <w:style w:type="character" w:customStyle="1" w:styleId="HeaderChar">
    <w:name w:val="Header Char"/>
    <w:basedOn w:val="DefaultParagraphFont"/>
    <w:link w:val="Header"/>
    <w:uiPriority w:val="99"/>
    <w:semiHidden/>
    <w:locked/>
    <w:rsid w:val="00E7247C"/>
    <w:rPr>
      <w:rFonts w:cs="Times New Roman"/>
      <w:kern w:val="28"/>
      <w:sz w:val="20"/>
      <w:szCs w:val="20"/>
    </w:rPr>
  </w:style>
  <w:style w:type="paragraph" w:styleId="BodyTextIndent2">
    <w:name w:val="Body Text Indent 2"/>
    <w:basedOn w:val="Normal"/>
    <w:link w:val="BodyTextIndent2Char"/>
    <w:uiPriority w:val="99"/>
    <w:rsid w:val="00E34A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Pr>
      <w:rFonts w:ascii="Courier" w:hAnsi="Courier"/>
      <w:kern w:val="0"/>
    </w:rPr>
  </w:style>
  <w:style w:type="character" w:customStyle="1" w:styleId="BodyTextIndent2Char">
    <w:name w:val="Body Text Indent 2 Char"/>
    <w:basedOn w:val="DefaultParagraphFont"/>
    <w:link w:val="BodyTextIndent2"/>
    <w:uiPriority w:val="99"/>
    <w:semiHidden/>
    <w:locked/>
    <w:rsid w:val="00E7247C"/>
    <w:rPr>
      <w:rFonts w:cs="Times New Roman"/>
      <w:kern w:val="28"/>
      <w:sz w:val="20"/>
      <w:szCs w:val="20"/>
    </w:rPr>
  </w:style>
  <w:style w:type="paragraph" w:styleId="FootnoteText">
    <w:name w:val="footnote text"/>
    <w:basedOn w:val="Normal"/>
    <w:link w:val="FootnoteTextChar"/>
    <w:uiPriority w:val="99"/>
    <w:semiHidden/>
    <w:rsid w:val="00E34A12"/>
    <w:rPr>
      <w:sz w:val="20"/>
    </w:rPr>
  </w:style>
  <w:style w:type="character" w:customStyle="1" w:styleId="FootnoteTextChar">
    <w:name w:val="Footnote Text Char"/>
    <w:basedOn w:val="DefaultParagraphFont"/>
    <w:link w:val="FootnoteText"/>
    <w:uiPriority w:val="99"/>
    <w:semiHidden/>
    <w:locked/>
    <w:rsid w:val="00E7247C"/>
    <w:rPr>
      <w:rFonts w:cs="Times New Roman"/>
      <w:kern w:val="28"/>
      <w:sz w:val="20"/>
      <w:szCs w:val="20"/>
    </w:rPr>
  </w:style>
  <w:style w:type="character" w:styleId="FootnoteReference">
    <w:name w:val="footnote reference"/>
    <w:basedOn w:val="DefaultParagraphFont"/>
    <w:uiPriority w:val="99"/>
    <w:semiHidden/>
    <w:rsid w:val="00E34A12"/>
    <w:rPr>
      <w:rFonts w:cs="Times New Roman"/>
      <w:vertAlign w:val="superscript"/>
    </w:rPr>
  </w:style>
  <w:style w:type="paragraph" w:customStyle="1" w:styleId="DefinitionTerm">
    <w:name w:val="Definition Term"/>
    <w:basedOn w:val="Normal"/>
    <w:next w:val="DefinitionList"/>
    <w:uiPriority w:val="99"/>
    <w:rsid w:val="00E34A12"/>
    <w:rPr>
      <w:kern w:val="0"/>
    </w:rPr>
  </w:style>
  <w:style w:type="paragraph" w:customStyle="1" w:styleId="DefinitionList">
    <w:name w:val="Definition List"/>
    <w:basedOn w:val="Normal"/>
    <w:next w:val="DefinitionTerm"/>
    <w:uiPriority w:val="99"/>
    <w:rsid w:val="00E34A12"/>
    <w:pPr>
      <w:ind w:left="360"/>
    </w:pPr>
    <w:rPr>
      <w:kern w:val="0"/>
    </w:rPr>
  </w:style>
  <w:style w:type="character" w:customStyle="1" w:styleId="Definition">
    <w:name w:val="Definition"/>
    <w:uiPriority w:val="99"/>
    <w:rsid w:val="00E34A12"/>
    <w:rPr>
      <w:i/>
    </w:rPr>
  </w:style>
  <w:style w:type="paragraph" w:customStyle="1" w:styleId="H3">
    <w:name w:val="H3"/>
    <w:basedOn w:val="Normal"/>
    <w:next w:val="Normal"/>
    <w:uiPriority w:val="99"/>
    <w:rsid w:val="00E34A12"/>
    <w:pPr>
      <w:keepNext/>
      <w:spacing w:before="100" w:after="100"/>
      <w:outlineLvl w:val="3"/>
    </w:pPr>
    <w:rPr>
      <w:b/>
      <w:kern w:val="0"/>
      <w:sz w:val="28"/>
    </w:rPr>
  </w:style>
  <w:style w:type="paragraph" w:customStyle="1" w:styleId="H4">
    <w:name w:val="H4"/>
    <w:basedOn w:val="Normal"/>
    <w:next w:val="Normal"/>
    <w:uiPriority w:val="99"/>
    <w:rsid w:val="00E34A12"/>
    <w:pPr>
      <w:keepNext/>
      <w:spacing w:before="100" w:after="100"/>
      <w:outlineLvl w:val="4"/>
    </w:pPr>
    <w:rPr>
      <w:b/>
      <w:kern w:val="0"/>
    </w:rPr>
  </w:style>
  <w:style w:type="paragraph" w:customStyle="1" w:styleId="H5">
    <w:name w:val="H5"/>
    <w:basedOn w:val="Normal"/>
    <w:next w:val="Normal"/>
    <w:uiPriority w:val="99"/>
    <w:rsid w:val="00E34A12"/>
    <w:pPr>
      <w:keepNext/>
      <w:spacing w:before="100" w:after="100"/>
      <w:outlineLvl w:val="5"/>
    </w:pPr>
    <w:rPr>
      <w:b/>
      <w:kern w:val="0"/>
      <w:sz w:val="20"/>
    </w:rPr>
  </w:style>
  <w:style w:type="paragraph" w:customStyle="1" w:styleId="H6">
    <w:name w:val="H6"/>
    <w:basedOn w:val="Normal"/>
    <w:next w:val="Normal"/>
    <w:uiPriority w:val="99"/>
    <w:rsid w:val="00E34A12"/>
    <w:pPr>
      <w:keepNext/>
      <w:spacing w:before="100" w:after="100"/>
      <w:outlineLvl w:val="6"/>
    </w:pPr>
    <w:rPr>
      <w:b/>
      <w:kern w:val="0"/>
      <w:sz w:val="16"/>
    </w:rPr>
  </w:style>
  <w:style w:type="paragraph" w:customStyle="1" w:styleId="Address">
    <w:name w:val="Address"/>
    <w:basedOn w:val="Normal"/>
    <w:next w:val="Normal"/>
    <w:uiPriority w:val="99"/>
    <w:rsid w:val="00E34A12"/>
    <w:rPr>
      <w:i/>
      <w:kern w:val="0"/>
    </w:rPr>
  </w:style>
  <w:style w:type="paragraph" w:customStyle="1" w:styleId="Blockquote">
    <w:name w:val="Blockquote"/>
    <w:basedOn w:val="Normal"/>
    <w:uiPriority w:val="99"/>
    <w:rsid w:val="00E34A12"/>
    <w:pPr>
      <w:spacing w:before="100" w:after="100"/>
      <w:ind w:left="360" w:right="360"/>
    </w:pPr>
    <w:rPr>
      <w:kern w:val="0"/>
    </w:rPr>
  </w:style>
  <w:style w:type="character" w:customStyle="1" w:styleId="CITE">
    <w:name w:val="CITE"/>
    <w:uiPriority w:val="99"/>
    <w:rsid w:val="00E34A12"/>
    <w:rPr>
      <w:i/>
    </w:rPr>
  </w:style>
  <w:style w:type="character" w:customStyle="1" w:styleId="CODE">
    <w:name w:val="CODE"/>
    <w:uiPriority w:val="99"/>
    <w:rsid w:val="00E34A12"/>
    <w:rPr>
      <w:rFonts w:ascii="Courier New" w:hAnsi="Courier New"/>
      <w:sz w:val="20"/>
    </w:rPr>
  </w:style>
  <w:style w:type="character" w:customStyle="1" w:styleId="Keyboard">
    <w:name w:val="Keyboard"/>
    <w:uiPriority w:val="99"/>
    <w:rsid w:val="00E34A12"/>
    <w:rPr>
      <w:rFonts w:ascii="Courier New" w:hAnsi="Courier New"/>
      <w:b/>
      <w:sz w:val="20"/>
    </w:rPr>
  </w:style>
  <w:style w:type="paragraph" w:customStyle="1" w:styleId="Preformatted">
    <w:name w:val="Preformatted"/>
    <w:basedOn w:val="Normal"/>
    <w:uiPriority w:val="99"/>
    <w:rsid w:val="00E34A1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kern w:val="0"/>
      <w:sz w:val="20"/>
    </w:rPr>
  </w:style>
  <w:style w:type="paragraph" w:styleId="z-BottomofForm">
    <w:name w:val="HTML Bottom of Form"/>
    <w:basedOn w:val="Normal"/>
    <w:next w:val="Normal"/>
    <w:link w:val="z-BottomofFormChar"/>
    <w:hidden/>
    <w:uiPriority w:val="99"/>
    <w:rsid w:val="00E34A12"/>
    <w:pPr>
      <w:pBdr>
        <w:top w:val="double" w:sz="2" w:space="0" w:color="000000"/>
      </w:pBdr>
      <w:jc w:val="center"/>
    </w:pPr>
    <w:rPr>
      <w:rFonts w:ascii="Arial" w:hAnsi="Arial"/>
      <w:vanish/>
      <w:kern w:val="0"/>
      <w:sz w:val="16"/>
    </w:rPr>
  </w:style>
  <w:style w:type="character" w:customStyle="1" w:styleId="z-BottomofFormChar">
    <w:name w:val="z-Bottom of Form Char"/>
    <w:basedOn w:val="DefaultParagraphFont"/>
    <w:link w:val="z-BottomofForm"/>
    <w:uiPriority w:val="99"/>
    <w:semiHidden/>
    <w:locked/>
    <w:rsid w:val="00E7247C"/>
    <w:rPr>
      <w:rFonts w:ascii="Arial" w:hAnsi="Arial" w:cs="Arial"/>
      <w:vanish/>
      <w:kern w:val="28"/>
      <w:sz w:val="16"/>
      <w:szCs w:val="16"/>
    </w:rPr>
  </w:style>
  <w:style w:type="paragraph" w:styleId="z-TopofForm">
    <w:name w:val="HTML Top of Form"/>
    <w:basedOn w:val="Normal"/>
    <w:next w:val="Normal"/>
    <w:link w:val="z-TopofFormChar"/>
    <w:hidden/>
    <w:uiPriority w:val="99"/>
    <w:rsid w:val="00E34A12"/>
    <w:pPr>
      <w:pBdr>
        <w:bottom w:val="double" w:sz="2" w:space="0" w:color="000000"/>
      </w:pBdr>
      <w:jc w:val="center"/>
    </w:pPr>
    <w:rPr>
      <w:rFonts w:ascii="Arial" w:hAnsi="Arial"/>
      <w:vanish/>
      <w:kern w:val="0"/>
      <w:sz w:val="16"/>
    </w:rPr>
  </w:style>
  <w:style w:type="character" w:customStyle="1" w:styleId="z-TopofFormChar">
    <w:name w:val="z-Top of Form Char"/>
    <w:basedOn w:val="DefaultParagraphFont"/>
    <w:link w:val="z-TopofForm"/>
    <w:uiPriority w:val="99"/>
    <w:semiHidden/>
    <w:locked/>
    <w:rsid w:val="00E7247C"/>
    <w:rPr>
      <w:rFonts w:ascii="Arial" w:hAnsi="Arial" w:cs="Arial"/>
      <w:vanish/>
      <w:kern w:val="28"/>
      <w:sz w:val="16"/>
      <w:szCs w:val="16"/>
    </w:rPr>
  </w:style>
  <w:style w:type="character" w:customStyle="1" w:styleId="Sample">
    <w:name w:val="Sample"/>
    <w:uiPriority w:val="99"/>
    <w:rsid w:val="00E34A12"/>
    <w:rPr>
      <w:rFonts w:ascii="Courier New" w:hAnsi="Courier New"/>
    </w:rPr>
  </w:style>
  <w:style w:type="character" w:customStyle="1" w:styleId="Typewriter">
    <w:name w:val="Typewriter"/>
    <w:uiPriority w:val="99"/>
    <w:rsid w:val="00E34A12"/>
    <w:rPr>
      <w:rFonts w:ascii="Courier New" w:hAnsi="Courier New"/>
      <w:sz w:val="20"/>
    </w:rPr>
  </w:style>
  <w:style w:type="character" w:customStyle="1" w:styleId="Variable">
    <w:name w:val="Variable"/>
    <w:uiPriority w:val="99"/>
    <w:rsid w:val="00E34A12"/>
    <w:rPr>
      <w:i/>
    </w:rPr>
  </w:style>
  <w:style w:type="character" w:customStyle="1" w:styleId="HTMLMarkup">
    <w:name w:val="HTML Markup"/>
    <w:uiPriority w:val="99"/>
    <w:rsid w:val="00E34A12"/>
    <w:rPr>
      <w:vanish/>
      <w:color w:val="FF0000"/>
    </w:rPr>
  </w:style>
  <w:style w:type="character" w:customStyle="1" w:styleId="Comment">
    <w:name w:val="Comment"/>
    <w:uiPriority w:val="99"/>
    <w:rsid w:val="00E34A12"/>
    <w:rPr>
      <w:vanish/>
    </w:rPr>
  </w:style>
  <w:style w:type="paragraph" w:styleId="NormalWeb">
    <w:name w:val="Normal (Web)"/>
    <w:basedOn w:val="Normal"/>
    <w:uiPriority w:val="99"/>
    <w:rsid w:val="00D43855"/>
    <w:pPr>
      <w:spacing w:before="100" w:beforeAutospacing="1" w:after="100" w:afterAutospacing="1"/>
    </w:pPr>
    <w:rPr>
      <w:kern w:val="0"/>
      <w:szCs w:val="24"/>
    </w:rPr>
  </w:style>
  <w:style w:type="paragraph" w:styleId="EndnoteText">
    <w:name w:val="endnote text"/>
    <w:basedOn w:val="Normal"/>
    <w:link w:val="EndnoteTextChar"/>
    <w:uiPriority w:val="99"/>
    <w:rsid w:val="0004195D"/>
    <w:rPr>
      <w:sz w:val="20"/>
    </w:rPr>
  </w:style>
  <w:style w:type="character" w:customStyle="1" w:styleId="EndnoteTextChar">
    <w:name w:val="Endnote Text Char"/>
    <w:basedOn w:val="DefaultParagraphFont"/>
    <w:link w:val="EndnoteText"/>
    <w:uiPriority w:val="99"/>
    <w:locked/>
    <w:rsid w:val="0004195D"/>
    <w:rPr>
      <w:rFonts w:cs="Times New Roman"/>
      <w:kern w:val="28"/>
    </w:rPr>
  </w:style>
  <w:style w:type="character" w:styleId="EndnoteReference">
    <w:name w:val="endnote reference"/>
    <w:basedOn w:val="DefaultParagraphFont"/>
    <w:uiPriority w:val="99"/>
    <w:rsid w:val="0004195D"/>
    <w:rPr>
      <w:rFonts w:cs="Times New Roman"/>
      <w:vertAlign w:val="superscript"/>
    </w:rPr>
  </w:style>
  <w:style w:type="paragraph" w:styleId="PlainText">
    <w:name w:val="Plain Text"/>
    <w:basedOn w:val="Normal"/>
    <w:link w:val="PlainTextChar"/>
    <w:uiPriority w:val="99"/>
    <w:rsid w:val="00A074B9"/>
    <w:rPr>
      <w:rFonts w:ascii="Courier New" w:hAnsi="Courier New" w:cs="Courier New"/>
      <w:sz w:val="20"/>
    </w:rPr>
  </w:style>
  <w:style w:type="character" w:customStyle="1" w:styleId="PlainTextChar">
    <w:name w:val="Plain Text Char"/>
    <w:basedOn w:val="DefaultParagraphFont"/>
    <w:link w:val="PlainText"/>
    <w:uiPriority w:val="99"/>
    <w:locked/>
    <w:rsid w:val="00A074B9"/>
    <w:rPr>
      <w:rFonts w:ascii="Courier New" w:hAnsi="Courier New" w:cs="Courier New"/>
      <w:kern w:val="28"/>
    </w:rPr>
  </w:style>
  <w:style w:type="paragraph" w:customStyle="1" w:styleId="Default">
    <w:name w:val="Default"/>
    <w:uiPriority w:val="99"/>
    <w:rsid w:val="00396962"/>
    <w:pPr>
      <w:autoSpaceDE w:val="0"/>
      <w:autoSpaceDN w:val="0"/>
      <w:adjustRightInd w:val="0"/>
    </w:pPr>
    <w:rPr>
      <w:color w:val="000000"/>
      <w:sz w:val="24"/>
      <w:szCs w:val="24"/>
    </w:rPr>
  </w:style>
  <w:style w:type="paragraph" w:styleId="Revision">
    <w:name w:val="Revision"/>
    <w:hidden/>
    <w:uiPriority w:val="99"/>
    <w:semiHidden/>
    <w:rsid w:val="00267CE3"/>
    <w:rPr>
      <w:kern w:val="28"/>
      <w:sz w:val="24"/>
      <w:szCs w:val="20"/>
    </w:rPr>
  </w:style>
  <w:style w:type="paragraph" w:styleId="ListParagraph">
    <w:name w:val="List Paragraph"/>
    <w:basedOn w:val="Normal"/>
    <w:uiPriority w:val="99"/>
    <w:qFormat/>
    <w:rsid w:val="00343635"/>
    <w:pPr>
      <w:ind w:left="720"/>
    </w:pPr>
  </w:style>
  <w:style w:type="paragraph" w:styleId="TOC1">
    <w:name w:val="toc 1"/>
    <w:basedOn w:val="Normal"/>
    <w:autoRedefine/>
    <w:uiPriority w:val="99"/>
    <w:rsid w:val="00701BAE"/>
    <w:pPr>
      <w:tabs>
        <w:tab w:val="left" w:pos="0"/>
        <w:tab w:val="left" w:pos="720"/>
        <w:tab w:val="right" w:leader="dot" w:pos="9494"/>
      </w:tabs>
      <w:spacing w:before="120" w:after="120" w:line="480" w:lineRule="auto"/>
      <w:jc w:val="both"/>
    </w:pPr>
    <w:rPr>
      <w:b/>
      <w:caps/>
      <w:noProof/>
      <w:kern w:val="0"/>
      <w:szCs w:val="24"/>
    </w:rPr>
  </w:style>
  <w:style w:type="paragraph" w:styleId="TOC2">
    <w:name w:val="toc 2"/>
    <w:basedOn w:val="Normal"/>
    <w:autoRedefine/>
    <w:uiPriority w:val="99"/>
    <w:rsid w:val="00701BAE"/>
    <w:pPr>
      <w:tabs>
        <w:tab w:val="left" w:pos="720"/>
        <w:tab w:val="right" w:leader="dot" w:pos="9494"/>
      </w:tabs>
      <w:spacing w:before="120" w:after="120" w:line="240" w:lineRule="atLeast"/>
      <w:ind w:left="720" w:hanging="720"/>
    </w:pPr>
    <w:rPr>
      <w:smallCaps/>
      <w:kern w:val="0"/>
      <w:sz w:val="20"/>
    </w:rPr>
  </w:style>
  <w:style w:type="paragraph" w:customStyle="1" w:styleId="P1-StandPara">
    <w:name w:val="P1-Stand Para"/>
    <w:uiPriority w:val="99"/>
    <w:rsid w:val="00701BAE"/>
    <w:pPr>
      <w:spacing w:line="480" w:lineRule="auto"/>
      <w:ind w:firstLine="720"/>
    </w:pPr>
    <w:rPr>
      <w:szCs w:val="20"/>
    </w:rPr>
  </w:style>
  <w:style w:type="character" w:styleId="CommentReference">
    <w:name w:val="annotation reference"/>
    <w:basedOn w:val="DefaultParagraphFont"/>
    <w:uiPriority w:val="99"/>
    <w:rsid w:val="00BA020A"/>
    <w:rPr>
      <w:rFonts w:cs="Times New Roman"/>
      <w:sz w:val="16"/>
      <w:szCs w:val="16"/>
    </w:rPr>
  </w:style>
  <w:style w:type="paragraph" w:styleId="CommentText">
    <w:name w:val="annotation text"/>
    <w:basedOn w:val="Normal"/>
    <w:link w:val="CommentTextChar"/>
    <w:uiPriority w:val="99"/>
    <w:rsid w:val="00BA020A"/>
    <w:pPr>
      <w:spacing w:after="200" w:line="276" w:lineRule="auto"/>
    </w:pPr>
    <w:rPr>
      <w:rFonts w:ascii="Calibri" w:hAnsi="Calibri"/>
      <w:kern w:val="0"/>
      <w:sz w:val="20"/>
    </w:rPr>
  </w:style>
  <w:style w:type="character" w:customStyle="1" w:styleId="CommentTextChar">
    <w:name w:val="Comment Text Char"/>
    <w:basedOn w:val="DefaultParagraphFont"/>
    <w:link w:val="CommentText"/>
    <w:uiPriority w:val="99"/>
    <w:locked/>
    <w:rsid w:val="00BA020A"/>
    <w:rPr>
      <w:rFonts w:ascii="Calibri" w:hAnsi="Calibri" w:cs="Times New Roman"/>
    </w:rPr>
  </w:style>
  <w:style w:type="table" w:styleId="TableGrid">
    <w:name w:val="Table Grid"/>
    <w:basedOn w:val="TableNormal"/>
    <w:uiPriority w:val="99"/>
    <w:locked/>
    <w:rsid w:val="00F074D5"/>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rsid w:val="00FB2EBE"/>
    <w:pPr>
      <w:spacing w:after="0" w:line="240" w:lineRule="auto"/>
    </w:pPr>
    <w:rPr>
      <w:rFonts w:ascii="Times New Roman" w:hAnsi="Times New Roman"/>
      <w:b/>
      <w:bCs/>
      <w:kern w:val="28"/>
    </w:rPr>
  </w:style>
  <w:style w:type="character" w:customStyle="1" w:styleId="CommentSubjectChar">
    <w:name w:val="Comment Subject Char"/>
    <w:basedOn w:val="CommentTextChar"/>
    <w:link w:val="CommentSubject"/>
    <w:uiPriority w:val="99"/>
    <w:semiHidden/>
    <w:locked/>
    <w:rsid w:val="00086DBB"/>
    <w:rPr>
      <w:rFonts w:ascii="Calibri" w:hAnsi="Calibri" w:cs="Times New Roman"/>
      <w:b/>
      <w:bCs/>
      <w:kern w:val="28"/>
      <w:sz w:val="20"/>
      <w:szCs w:val="20"/>
    </w:rPr>
  </w:style>
  <w:style w:type="paragraph" w:styleId="BodyText">
    <w:name w:val="Body Text"/>
    <w:basedOn w:val="Normal"/>
    <w:link w:val="BodyTextChar"/>
    <w:uiPriority w:val="99"/>
    <w:rsid w:val="009C0BF1"/>
    <w:pPr>
      <w:spacing w:after="120"/>
    </w:pPr>
  </w:style>
  <w:style w:type="character" w:customStyle="1" w:styleId="BodyTextChar">
    <w:name w:val="Body Text Char"/>
    <w:basedOn w:val="DefaultParagraphFont"/>
    <w:link w:val="BodyText"/>
    <w:uiPriority w:val="99"/>
    <w:locked/>
    <w:rsid w:val="009C0BF1"/>
    <w:rPr>
      <w:rFonts w:cs="Times New Roman"/>
      <w:kern w:val="28"/>
      <w:sz w:val="24"/>
    </w:rPr>
  </w:style>
  <w:style w:type="paragraph" w:customStyle="1" w:styleId="tt-tabletitle">
    <w:name w:val="tt-tabletitle"/>
    <w:basedOn w:val="Normal"/>
    <w:uiPriority w:val="99"/>
    <w:rsid w:val="00EB4A07"/>
    <w:pPr>
      <w:spacing w:line="240" w:lineRule="atLeast"/>
      <w:ind w:left="1152" w:hanging="1152"/>
    </w:pPr>
    <w:rPr>
      <w:rFonts w:eastAsia="MS Mincho"/>
      <w:kern w:val="0"/>
      <w:sz w:val="22"/>
      <w:szCs w:val="22"/>
      <w:lang w:eastAsia="ja-JP"/>
    </w:rPr>
  </w:style>
  <w:style w:type="character" w:styleId="Emphasis">
    <w:name w:val="Emphasis"/>
    <w:basedOn w:val="DefaultParagraphFont"/>
    <w:uiPriority w:val="99"/>
    <w:qFormat/>
    <w:locked/>
    <w:rsid w:val="00852F66"/>
    <w:rPr>
      <w:rFonts w:cs="Times New Roman"/>
      <w:i/>
      <w:iCs/>
    </w:rPr>
  </w:style>
  <w:style w:type="character" w:customStyle="1" w:styleId="addtitle2">
    <w:name w:val="addtitle2"/>
    <w:basedOn w:val="DefaultParagraphFont"/>
    <w:uiPriority w:val="99"/>
    <w:rsid w:val="00AB0C0D"/>
    <w:rPr>
      <w:rFonts w:cs="Times New Roman"/>
      <w:b/>
      <w:bCs/>
      <w:color w:val="993366"/>
      <w:sz w:val="38"/>
      <w:szCs w:val="38"/>
    </w:rPr>
  </w:style>
  <w:style w:type="character" w:customStyle="1" w:styleId="apple-style-span">
    <w:name w:val="apple-style-span"/>
    <w:basedOn w:val="DefaultParagraphFont"/>
    <w:uiPriority w:val="99"/>
    <w:rsid w:val="00827D4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83C07"/>
    <w:rPr>
      <w:kern w:val="28"/>
      <w:sz w:val="24"/>
      <w:szCs w:val="20"/>
    </w:rPr>
  </w:style>
  <w:style w:type="paragraph" w:styleId="Heading1">
    <w:name w:val="heading 1"/>
    <w:basedOn w:val="Normal"/>
    <w:next w:val="Normal"/>
    <w:link w:val="Heading1Char"/>
    <w:uiPriority w:val="99"/>
    <w:qFormat/>
    <w:rsid w:val="00E34A12"/>
    <w:pPr>
      <w:keepNext/>
      <w:outlineLvl w:val="0"/>
    </w:pPr>
    <w:rPr>
      <w:sz w:val="28"/>
    </w:rPr>
  </w:style>
  <w:style w:type="paragraph" w:styleId="Heading2">
    <w:name w:val="heading 2"/>
    <w:basedOn w:val="Normal"/>
    <w:next w:val="Normal"/>
    <w:link w:val="Heading2Char"/>
    <w:uiPriority w:val="99"/>
    <w:qFormat/>
    <w:rsid w:val="00E34A12"/>
    <w:pPr>
      <w:keepNext/>
      <w:numPr>
        <w:numId w:val="1"/>
      </w:numPr>
      <w:outlineLvl w:val="1"/>
    </w:pPr>
    <w:rPr>
      <w:b/>
      <w:sz w:val="28"/>
    </w:rPr>
  </w:style>
  <w:style w:type="paragraph" w:styleId="Heading3">
    <w:name w:val="heading 3"/>
    <w:basedOn w:val="Normal"/>
    <w:next w:val="Normal"/>
    <w:link w:val="Heading3Char"/>
    <w:uiPriority w:val="99"/>
    <w:qFormat/>
    <w:rsid w:val="00E34A12"/>
    <w:pPr>
      <w:keepNext/>
      <w:outlineLvl w:val="2"/>
    </w:pPr>
    <w:rPr>
      <w:b/>
    </w:rPr>
  </w:style>
  <w:style w:type="paragraph" w:styleId="Heading4">
    <w:name w:val="heading 4"/>
    <w:basedOn w:val="Normal"/>
    <w:next w:val="Normal"/>
    <w:link w:val="Heading4Char"/>
    <w:uiPriority w:val="99"/>
    <w:qFormat/>
    <w:rsid w:val="00E34A12"/>
    <w:pPr>
      <w:keepNext/>
      <w:jc w:val="center"/>
      <w:outlineLvl w:val="3"/>
    </w:pPr>
    <w:rPr>
      <w:b/>
    </w:rPr>
  </w:style>
  <w:style w:type="paragraph" w:styleId="Heading5">
    <w:name w:val="heading 5"/>
    <w:basedOn w:val="Normal"/>
    <w:next w:val="Normal"/>
    <w:link w:val="Heading5Char"/>
    <w:uiPriority w:val="99"/>
    <w:qFormat/>
    <w:rsid w:val="00E34A12"/>
    <w:pPr>
      <w:keepNext/>
      <w:outlineLvl w:val="4"/>
    </w:pPr>
    <w:rPr>
      <w:b/>
      <w:sz w:val="20"/>
    </w:rPr>
  </w:style>
  <w:style w:type="paragraph" w:styleId="Heading6">
    <w:name w:val="heading 6"/>
    <w:basedOn w:val="Normal"/>
    <w:next w:val="Normal"/>
    <w:link w:val="Heading6Char"/>
    <w:uiPriority w:val="99"/>
    <w:qFormat/>
    <w:rsid w:val="00E34A1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5"/>
    </w:pPr>
    <w:rPr>
      <w:b/>
      <w:sz w:val="20"/>
    </w:rPr>
  </w:style>
  <w:style w:type="paragraph" w:styleId="Heading7">
    <w:name w:val="heading 7"/>
    <w:basedOn w:val="Normal"/>
    <w:next w:val="Normal"/>
    <w:link w:val="Heading7Char"/>
    <w:uiPriority w:val="99"/>
    <w:qFormat/>
    <w:rsid w:val="00E34A12"/>
    <w:pPr>
      <w:keepNext/>
      <w:outlineLvl w:val="6"/>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7247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7247C"/>
    <w:rPr>
      <w:rFonts w:ascii="Cambria" w:hAnsi="Cambria" w:cs="Times New Roman"/>
      <w:b/>
      <w:bCs/>
      <w:i/>
      <w:iCs/>
      <w:kern w:val="28"/>
      <w:sz w:val="28"/>
      <w:szCs w:val="28"/>
    </w:rPr>
  </w:style>
  <w:style w:type="character" w:customStyle="1" w:styleId="Heading3Char">
    <w:name w:val="Heading 3 Char"/>
    <w:basedOn w:val="DefaultParagraphFont"/>
    <w:link w:val="Heading3"/>
    <w:uiPriority w:val="99"/>
    <w:semiHidden/>
    <w:locked/>
    <w:rsid w:val="00E7247C"/>
    <w:rPr>
      <w:rFonts w:ascii="Cambria" w:hAnsi="Cambria" w:cs="Times New Roman"/>
      <w:b/>
      <w:bCs/>
      <w:kern w:val="28"/>
      <w:sz w:val="26"/>
      <w:szCs w:val="26"/>
    </w:rPr>
  </w:style>
  <w:style w:type="character" w:customStyle="1" w:styleId="Heading4Char">
    <w:name w:val="Heading 4 Char"/>
    <w:basedOn w:val="DefaultParagraphFont"/>
    <w:link w:val="Heading4"/>
    <w:uiPriority w:val="99"/>
    <w:semiHidden/>
    <w:locked/>
    <w:rsid w:val="00E7247C"/>
    <w:rPr>
      <w:rFonts w:ascii="Calibri" w:hAnsi="Calibri" w:cs="Times New Roman"/>
      <w:b/>
      <w:bCs/>
      <w:kern w:val="28"/>
      <w:sz w:val="28"/>
      <w:szCs w:val="28"/>
    </w:rPr>
  </w:style>
  <w:style w:type="character" w:customStyle="1" w:styleId="Heading5Char">
    <w:name w:val="Heading 5 Char"/>
    <w:basedOn w:val="DefaultParagraphFont"/>
    <w:link w:val="Heading5"/>
    <w:uiPriority w:val="99"/>
    <w:semiHidden/>
    <w:locked/>
    <w:rsid w:val="00E7247C"/>
    <w:rPr>
      <w:rFonts w:ascii="Calibri" w:hAnsi="Calibri" w:cs="Times New Roman"/>
      <w:b/>
      <w:bCs/>
      <w:i/>
      <w:iCs/>
      <w:kern w:val="28"/>
      <w:sz w:val="26"/>
      <w:szCs w:val="26"/>
    </w:rPr>
  </w:style>
  <w:style w:type="character" w:customStyle="1" w:styleId="Heading6Char">
    <w:name w:val="Heading 6 Char"/>
    <w:basedOn w:val="DefaultParagraphFont"/>
    <w:link w:val="Heading6"/>
    <w:uiPriority w:val="99"/>
    <w:semiHidden/>
    <w:locked/>
    <w:rsid w:val="00E7247C"/>
    <w:rPr>
      <w:rFonts w:ascii="Calibri" w:hAnsi="Calibri" w:cs="Times New Roman"/>
      <w:b/>
      <w:bCs/>
      <w:kern w:val="28"/>
    </w:rPr>
  </w:style>
  <w:style w:type="character" w:customStyle="1" w:styleId="Heading7Char">
    <w:name w:val="Heading 7 Char"/>
    <w:basedOn w:val="DefaultParagraphFont"/>
    <w:link w:val="Heading7"/>
    <w:uiPriority w:val="99"/>
    <w:semiHidden/>
    <w:locked/>
    <w:rsid w:val="00E7247C"/>
    <w:rPr>
      <w:rFonts w:ascii="Calibri" w:hAnsi="Calibri" w:cs="Times New Roman"/>
      <w:kern w:val="28"/>
      <w:sz w:val="24"/>
      <w:szCs w:val="24"/>
    </w:rPr>
  </w:style>
  <w:style w:type="paragraph" w:styleId="BalloonText">
    <w:name w:val="Balloon Text"/>
    <w:basedOn w:val="Normal"/>
    <w:link w:val="BalloonTextChar"/>
    <w:uiPriority w:val="99"/>
    <w:semiHidden/>
    <w:rsid w:val="0019301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247C"/>
    <w:rPr>
      <w:rFonts w:cs="Times New Roman"/>
      <w:kern w:val="28"/>
      <w:sz w:val="2"/>
    </w:rPr>
  </w:style>
  <w:style w:type="paragraph" w:customStyle="1" w:styleId="H1">
    <w:name w:val="H1"/>
    <w:basedOn w:val="Normal"/>
    <w:next w:val="Normal"/>
    <w:uiPriority w:val="99"/>
    <w:rsid w:val="00E34A12"/>
    <w:pPr>
      <w:keepNext/>
      <w:spacing w:before="100" w:after="100"/>
      <w:outlineLvl w:val="1"/>
    </w:pPr>
    <w:rPr>
      <w:b/>
      <w:kern w:val="36"/>
      <w:sz w:val="48"/>
    </w:rPr>
  </w:style>
  <w:style w:type="paragraph" w:customStyle="1" w:styleId="H2">
    <w:name w:val="H2"/>
    <w:basedOn w:val="Normal"/>
    <w:next w:val="Normal"/>
    <w:uiPriority w:val="99"/>
    <w:rsid w:val="00E34A12"/>
    <w:pPr>
      <w:keepNext/>
      <w:spacing w:before="100" w:after="100"/>
      <w:outlineLvl w:val="2"/>
    </w:pPr>
    <w:rPr>
      <w:b/>
      <w:kern w:val="0"/>
      <w:sz w:val="36"/>
    </w:rPr>
  </w:style>
  <w:style w:type="character" w:styleId="Hyperlink">
    <w:name w:val="Hyperlink"/>
    <w:basedOn w:val="DefaultParagraphFont"/>
    <w:uiPriority w:val="99"/>
    <w:rsid w:val="00E34A12"/>
    <w:rPr>
      <w:rFonts w:cs="Times New Roman"/>
      <w:color w:val="0000FF"/>
      <w:u w:val="single"/>
    </w:rPr>
  </w:style>
  <w:style w:type="character" w:styleId="Strong">
    <w:name w:val="Strong"/>
    <w:basedOn w:val="DefaultParagraphFont"/>
    <w:uiPriority w:val="99"/>
    <w:qFormat/>
    <w:rsid w:val="00E34A12"/>
    <w:rPr>
      <w:rFonts w:cs="Times New Roman"/>
      <w:b/>
    </w:rPr>
  </w:style>
  <w:style w:type="character" w:styleId="FollowedHyperlink">
    <w:name w:val="FollowedHyperlink"/>
    <w:basedOn w:val="DefaultParagraphFont"/>
    <w:uiPriority w:val="99"/>
    <w:rsid w:val="00E34A12"/>
    <w:rPr>
      <w:rFonts w:cs="Times New Roman"/>
      <w:color w:val="800080"/>
      <w:u w:val="single"/>
    </w:rPr>
  </w:style>
  <w:style w:type="paragraph" w:styleId="Footer">
    <w:name w:val="footer"/>
    <w:basedOn w:val="Normal"/>
    <w:link w:val="FooterChar"/>
    <w:uiPriority w:val="99"/>
    <w:rsid w:val="00E34A12"/>
    <w:pPr>
      <w:tabs>
        <w:tab w:val="center" w:pos="4320"/>
        <w:tab w:val="right" w:pos="8640"/>
      </w:tabs>
    </w:pPr>
  </w:style>
  <w:style w:type="character" w:customStyle="1" w:styleId="FooterChar">
    <w:name w:val="Footer Char"/>
    <w:basedOn w:val="DefaultParagraphFont"/>
    <w:link w:val="Footer"/>
    <w:uiPriority w:val="99"/>
    <w:semiHidden/>
    <w:locked/>
    <w:rsid w:val="00E7247C"/>
    <w:rPr>
      <w:rFonts w:cs="Times New Roman"/>
      <w:kern w:val="28"/>
      <w:sz w:val="20"/>
      <w:szCs w:val="20"/>
    </w:rPr>
  </w:style>
  <w:style w:type="character" w:styleId="PageNumber">
    <w:name w:val="page number"/>
    <w:basedOn w:val="DefaultParagraphFont"/>
    <w:uiPriority w:val="99"/>
    <w:rsid w:val="00E34A12"/>
    <w:rPr>
      <w:rFonts w:cs="Times New Roman"/>
    </w:rPr>
  </w:style>
  <w:style w:type="paragraph" w:styleId="BodyTextIndent">
    <w:name w:val="Body Text Indent"/>
    <w:basedOn w:val="Normal"/>
    <w:link w:val="BodyTextIndentChar"/>
    <w:uiPriority w:val="99"/>
    <w:rsid w:val="00E34A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style>
  <w:style w:type="character" w:customStyle="1" w:styleId="BodyTextIndentChar">
    <w:name w:val="Body Text Indent Char"/>
    <w:basedOn w:val="DefaultParagraphFont"/>
    <w:link w:val="BodyTextIndent"/>
    <w:uiPriority w:val="99"/>
    <w:semiHidden/>
    <w:locked/>
    <w:rsid w:val="00E7247C"/>
    <w:rPr>
      <w:rFonts w:cs="Times New Roman"/>
      <w:kern w:val="28"/>
      <w:sz w:val="20"/>
      <w:szCs w:val="20"/>
    </w:rPr>
  </w:style>
  <w:style w:type="paragraph" w:styleId="BodyText2">
    <w:name w:val="Body Text 2"/>
    <w:basedOn w:val="Normal"/>
    <w:link w:val="BodyText2Char"/>
    <w:uiPriority w:val="99"/>
    <w:rsid w:val="00E34A12"/>
    <w:rPr>
      <w:kern w:val="0"/>
      <w:sz w:val="28"/>
    </w:rPr>
  </w:style>
  <w:style w:type="character" w:customStyle="1" w:styleId="BodyText2Char">
    <w:name w:val="Body Text 2 Char"/>
    <w:basedOn w:val="DefaultParagraphFont"/>
    <w:link w:val="BodyText2"/>
    <w:uiPriority w:val="99"/>
    <w:semiHidden/>
    <w:locked/>
    <w:rsid w:val="00E7247C"/>
    <w:rPr>
      <w:rFonts w:cs="Times New Roman"/>
      <w:kern w:val="28"/>
      <w:sz w:val="20"/>
      <w:szCs w:val="20"/>
    </w:rPr>
  </w:style>
  <w:style w:type="paragraph" w:styleId="Header">
    <w:name w:val="header"/>
    <w:basedOn w:val="Normal"/>
    <w:link w:val="HeaderChar"/>
    <w:uiPriority w:val="99"/>
    <w:rsid w:val="00E34A12"/>
    <w:pPr>
      <w:tabs>
        <w:tab w:val="center" w:pos="4320"/>
        <w:tab w:val="right" w:pos="8640"/>
      </w:tabs>
    </w:pPr>
  </w:style>
  <w:style w:type="character" w:customStyle="1" w:styleId="HeaderChar">
    <w:name w:val="Header Char"/>
    <w:basedOn w:val="DefaultParagraphFont"/>
    <w:link w:val="Header"/>
    <w:uiPriority w:val="99"/>
    <w:semiHidden/>
    <w:locked/>
    <w:rsid w:val="00E7247C"/>
    <w:rPr>
      <w:rFonts w:cs="Times New Roman"/>
      <w:kern w:val="28"/>
      <w:sz w:val="20"/>
      <w:szCs w:val="20"/>
    </w:rPr>
  </w:style>
  <w:style w:type="paragraph" w:styleId="BodyTextIndent2">
    <w:name w:val="Body Text Indent 2"/>
    <w:basedOn w:val="Normal"/>
    <w:link w:val="BodyTextIndent2Char"/>
    <w:uiPriority w:val="99"/>
    <w:rsid w:val="00E34A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Pr>
      <w:rFonts w:ascii="Courier" w:hAnsi="Courier"/>
      <w:kern w:val="0"/>
    </w:rPr>
  </w:style>
  <w:style w:type="character" w:customStyle="1" w:styleId="BodyTextIndent2Char">
    <w:name w:val="Body Text Indent 2 Char"/>
    <w:basedOn w:val="DefaultParagraphFont"/>
    <w:link w:val="BodyTextIndent2"/>
    <w:uiPriority w:val="99"/>
    <w:semiHidden/>
    <w:locked/>
    <w:rsid w:val="00E7247C"/>
    <w:rPr>
      <w:rFonts w:cs="Times New Roman"/>
      <w:kern w:val="28"/>
      <w:sz w:val="20"/>
      <w:szCs w:val="20"/>
    </w:rPr>
  </w:style>
  <w:style w:type="paragraph" w:styleId="FootnoteText">
    <w:name w:val="footnote text"/>
    <w:basedOn w:val="Normal"/>
    <w:link w:val="FootnoteTextChar"/>
    <w:uiPriority w:val="99"/>
    <w:semiHidden/>
    <w:rsid w:val="00E34A12"/>
    <w:rPr>
      <w:sz w:val="20"/>
    </w:rPr>
  </w:style>
  <w:style w:type="character" w:customStyle="1" w:styleId="FootnoteTextChar">
    <w:name w:val="Footnote Text Char"/>
    <w:basedOn w:val="DefaultParagraphFont"/>
    <w:link w:val="FootnoteText"/>
    <w:uiPriority w:val="99"/>
    <w:semiHidden/>
    <w:locked/>
    <w:rsid w:val="00E7247C"/>
    <w:rPr>
      <w:rFonts w:cs="Times New Roman"/>
      <w:kern w:val="28"/>
      <w:sz w:val="20"/>
      <w:szCs w:val="20"/>
    </w:rPr>
  </w:style>
  <w:style w:type="character" w:styleId="FootnoteReference">
    <w:name w:val="footnote reference"/>
    <w:basedOn w:val="DefaultParagraphFont"/>
    <w:uiPriority w:val="99"/>
    <w:semiHidden/>
    <w:rsid w:val="00E34A12"/>
    <w:rPr>
      <w:rFonts w:cs="Times New Roman"/>
      <w:vertAlign w:val="superscript"/>
    </w:rPr>
  </w:style>
  <w:style w:type="paragraph" w:customStyle="1" w:styleId="DefinitionTerm">
    <w:name w:val="Definition Term"/>
    <w:basedOn w:val="Normal"/>
    <w:next w:val="DefinitionList"/>
    <w:uiPriority w:val="99"/>
    <w:rsid w:val="00E34A12"/>
    <w:rPr>
      <w:kern w:val="0"/>
    </w:rPr>
  </w:style>
  <w:style w:type="paragraph" w:customStyle="1" w:styleId="DefinitionList">
    <w:name w:val="Definition List"/>
    <w:basedOn w:val="Normal"/>
    <w:next w:val="DefinitionTerm"/>
    <w:uiPriority w:val="99"/>
    <w:rsid w:val="00E34A12"/>
    <w:pPr>
      <w:ind w:left="360"/>
    </w:pPr>
    <w:rPr>
      <w:kern w:val="0"/>
    </w:rPr>
  </w:style>
  <w:style w:type="character" w:customStyle="1" w:styleId="Definition">
    <w:name w:val="Definition"/>
    <w:uiPriority w:val="99"/>
    <w:rsid w:val="00E34A12"/>
    <w:rPr>
      <w:i/>
    </w:rPr>
  </w:style>
  <w:style w:type="paragraph" w:customStyle="1" w:styleId="H3">
    <w:name w:val="H3"/>
    <w:basedOn w:val="Normal"/>
    <w:next w:val="Normal"/>
    <w:uiPriority w:val="99"/>
    <w:rsid w:val="00E34A12"/>
    <w:pPr>
      <w:keepNext/>
      <w:spacing w:before="100" w:after="100"/>
      <w:outlineLvl w:val="3"/>
    </w:pPr>
    <w:rPr>
      <w:b/>
      <w:kern w:val="0"/>
      <w:sz w:val="28"/>
    </w:rPr>
  </w:style>
  <w:style w:type="paragraph" w:customStyle="1" w:styleId="H4">
    <w:name w:val="H4"/>
    <w:basedOn w:val="Normal"/>
    <w:next w:val="Normal"/>
    <w:uiPriority w:val="99"/>
    <w:rsid w:val="00E34A12"/>
    <w:pPr>
      <w:keepNext/>
      <w:spacing w:before="100" w:after="100"/>
      <w:outlineLvl w:val="4"/>
    </w:pPr>
    <w:rPr>
      <w:b/>
      <w:kern w:val="0"/>
    </w:rPr>
  </w:style>
  <w:style w:type="paragraph" w:customStyle="1" w:styleId="H5">
    <w:name w:val="H5"/>
    <w:basedOn w:val="Normal"/>
    <w:next w:val="Normal"/>
    <w:uiPriority w:val="99"/>
    <w:rsid w:val="00E34A12"/>
    <w:pPr>
      <w:keepNext/>
      <w:spacing w:before="100" w:after="100"/>
      <w:outlineLvl w:val="5"/>
    </w:pPr>
    <w:rPr>
      <w:b/>
      <w:kern w:val="0"/>
      <w:sz w:val="20"/>
    </w:rPr>
  </w:style>
  <w:style w:type="paragraph" w:customStyle="1" w:styleId="H6">
    <w:name w:val="H6"/>
    <w:basedOn w:val="Normal"/>
    <w:next w:val="Normal"/>
    <w:uiPriority w:val="99"/>
    <w:rsid w:val="00E34A12"/>
    <w:pPr>
      <w:keepNext/>
      <w:spacing w:before="100" w:after="100"/>
      <w:outlineLvl w:val="6"/>
    </w:pPr>
    <w:rPr>
      <w:b/>
      <w:kern w:val="0"/>
      <w:sz w:val="16"/>
    </w:rPr>
  </w:style>
  <w:style w:type="paragraph" w:customStyle="1" w:styleId="Address">
    <w:name w:val="Address"/>
    <w:basedOn w:val="Normal"/>
    <w:next w:val="Normal"/>
    <w:uiPriority w:val="99"/>
    <w:rsid w:val="00E34A12"/>
    <w:rPr>
      <w:i/>
      <w:kern w:val="0"/>
    </w:rPr>
  </w:style>
  <w:style w:type="paragraph" w:customStyle="1" w:styleId="Blockquote">
    <w:name w:val="Blockquote"/>
    <w:basedOn w:val="Normal"/>
    <w:uiPriority w:val="99"/>
    <w:rsid w:val="00E34A12"/>
    <w:pPr>
      <w:spacing w:before="100" w:after="100"/>
      <w:ind w:left="360" w:right="360"/>
    </w:pPr>
    <w:rPr>
      <w:kern w:val="0"/>
    </w:rPr>
  </w:style>
  <w:style w:type="character" w:customStyle="1" w:styleId="CITE">
    <w:name w:val="CITE"/>
    <w:uiPriority w:val="99"/>
    <w:rsid w:val="00E34A12"/>
    <w:rPr>
      <w:i/>
    </w:rPr>
  </w:style>
  <w:style w:type="character" w:customStyle="1" w:styleId="CODE">
    <w:name w:val="CODE"/>
    <w:uiPriority w:val="99"/>
    <w:rsid w:val="00E34A12"/>
    <w:rPr>
      <w:rFonts w:ascii="Courier New" w:hAnsi="Courier New"/>
      <w:sz w:val="20"/>
    </w:rPr>
  </w:style>
  <w:style w:type="character" w:customStyle="1" w:styleId="Keyboard">
    <w:name w:val="Keyboard"/>
    <w:uiPriority w:val="99"/>
    <w:rsid w:val="00E34A12"/>
    <w:rPr>
      <w:rFonts w:ascii="Courier New" w:hAnsi="Courier New"/>
      <w:b/>
      <w:sz w:val="20"/>
    </w:rPr>
  </w:style>
  <w:style w:type="paragraph" w:customStyle="1" w:styleId="Preformatted">
    <w:name w:val="Preformatted"/>
    <w:basedOn w:val="Normal"/>
    <w:uiPriority w:val="99"/>
    <w:rsid w:val="00E34A1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kern w:val="0"/>
      <w:sz w:val="20"/>
    </w:rPr>
  </w:style>
  <w:style w:type="paragraph" w:styleId="z-BottomofForm">
    <w:name w:val="HTML Bottom of Form"/>
    <w:basedOn w:val="Normal"/>
    <w:next w:val="Normal"/>
    <w:link w:val="z-BottomofFormChar"/>
    <w:hidden/>
    <w:uiPriority w:val="99"/>
    <w:rsid w:val="00E34A12"/>
    <w:pPr>
      <w:pBdr>
        <w:top w:val="double" w:sz="2" w:space="0" w:color="000000"/>
      </w:pBdr>
      <w:jc w:val="center"/>
    </w:pPr>
    <w:rPr>
      <w:rFonts w:ascii="Arial" w:hAnsi="Arial"/>
      <w:vanish/>
      <w:kern w:val="0"/>
      <w:sz w:val="16"/>
    </w:rPr>
  </w:style>
  <w:style w:type="character" w:customStyle="1" w:styleId="z-BottomofFormChar">
    <w:name w:val="z-Bottom of Form Char"/>
    <w:basedOn w:val="DefaultParagraphFont"/>
    <w:link w:val="z-BottomofForm"/>
    <w:uiPriority w:val="99"/>
    <w:semiHidden/>
    <w:locked/>
    <w:rsid w:val="00E7247C"/>
    <w:rPr>
      <w:rFonts w:ascii="Arial" w:hAnsi="Arial" w:cs="Arial"/>
      <w:vanish/>
      <w:kern w:val="28"/>
      <w:sz w:val="16"/>
      <w:szCs w:val="16"/>
    </w:rPr>
  </w:style>
  <w:style w:type="paragraph" w:styleId="z-TopofForm">
    <w:name w:val="HTML Top of Form"/>
    <w:basedOn w:val="Normal"/>
    <w:next w:val="Normal"/>
    <w:link w:val="z-TopofFormChar"/>
    <w:hidden/>
    <w:uiPriority w:val="99"/>
    <w:rsid w:val="00E34A12"/>
    <w:pPr>
      <w:pBdr>
        <w:bottom w:val="double" w:sz="2" w:space="0" w:color="000000"/>
      </w:pBdr>
      <w:jc w:val="center"/>
    </w:pPr>
    <w:rPr>
      <w:rFonts w:ascii="Arial" w:hAnsi="Arial"/>
      <w:vanish/>
      <w:kern w:val="0"/>
      <w:sz w:val="16"/>
    </w:rPr>
  </w:style>
  <w:style w:type="character" w:customStyle="1" w:styleId="z-TopofFormChar">
    <w:name w:val="z-Top of Form Char"/>
    <w:basedOn w:val="DefaultParagraphFont"/>
    <w:link w:val="z-TopofForm"/>
    <w:uiPriority w:val="99"/>
    <w:semiHidden/>
    <w:locked/>
    <w:rsid w:val="00E7247C"/>
    <w:rPr>
      <w:rFonts w:ascii="Arial" w:hAnsi="Arial" w:cs="Arial"/>
      <w:vanish/>
      <w:kern w:val="28"/>
      <w:sz w:val="16"/>
      <w:szCs w:val="16"/>
    </w:rPr>
  </w:style>
  <w:style w:type="character" w:customStyle="1" w:styleId="Sample">
    <w:name w:val="Sample"/>
    <w:uiPriority w:val="99"/>
    <w:rsid w:val="00E34A12"/>
    <w:rPr>
      <w:rFonts w:ascii="Courier New" w:hAnsi="Courier New"/>
    </w:rPr>
  </w:style>
  <w:style w:type="character" w:customStyle="1" w:styleId="Typewriter">
    <w:name w:val="Typewriter"/>
    <w:uiPriority w:val="99"/>
    <w:rsid w:val="00E34A12"/>
    <w:rPr>
      <w:rFonts w:ascii="Courier New" w:hAnsi="Courier New"/>
      <w:sz w:val="20"/>
    </w:rPr>
  </w:style>
  <w:style w:type="character" w:customStyle="1" w:styleId="Variable">
    <w:name w:val="Variable"/>
    <w:uiPriority w:val="99"/>
    <w:rsid w:val="00E34A12"/>
    <w:rPr>
      <w:i/>
    </w:rPr>
  </w:style>
  <w:style w:type="character" w:customStyle="1" w:styleId="HTMLMarkup">
    <w:name w:val="HTML Markup"/>
    <w:uiPriority w:val="99"/>
    <w:rsid w:val="00E34A12"/>
    <w:rPr>
      <w:vanish/>
      <w:color w:val="FF0000"/>
    </w:rPr>
  </w:style>
  <w:style w:type="character" w:customStyle="1" w:styleId="Comment">
    <w:name w:val="Comment"/>
    <w:uiPriority w:val="99"/>
    <w:rsid w:val="00E34A12"/>
    <w:rPr>
      <w:vanish/>
    </w:rPr>
  </w:style>
  <w:style w:type="paragraph" w:styleId="NormalWeb">
    <w:name w:val="Normal (Web)"/>
    <w:basedOn w:val="Normal"/>
    <w:uiPriority w:val="99"/>
    <w:rsid w:val="00D43855"/>
    <w:pPr>
      <w:spacing w:before="100" w:beforeAutospacing="1" w:after="100" w:afterAutospacing="1"/>
    </w:pPr>
    <w:rPr>
      <w:kern w:val="0"/>
      <w:szCs w:val="24"/>
    </w:rPr>
  </w:style>
  <w:style w:type="paragraph" w:styleId="EndnoteText">
    <w:name w:val="endnote text"/>
    <w:basedOn w:val="Normal"/>
    <w:link w:val="EndnoteTextChar"/>
    <w:uiPriority w:val="99"/>
    <w:rsid w:val="0004195D"/>
    <w:rPr>
      <w:sz w:val="20"/>
    </w:rPr>
  </w:style>
  <w:style w:type="character" w:customStyle="1" w:styleId="EndnoteTextChar">
    <w:name w:val="Endnote Text Char"/>
    <w:basedOn w:val="DefaultParagraphFont"/>
    <w:link w:val="EndnoteText"/>
    <w:uiPriority w:val="99"/>
    <w:locked/>
    <w:rsid w:val="0004195D"/>
    <w:rPr>
      <w:rFonts w:cs="Times New Roman"/>
      <w:kern w:val="28"/>
    </w:rPr>
  </w:style>
  <w:style w:type="character" w:styleId="EndnoteReference">
    <w:name w:val="endnote reference"/>
    <w:basedOn w:val="DefaultParagraphFont"/>
    <w:uiPriority w:val="99"/>
    <w:rsid w:val="0004195D"/>
    <w:rPr>
      <w:rFonts w:cs="Times New Roman"/>
      <w:vertAlign w:val="superscript"/>
    </w:rPr>
  </w:style>
  <w:style w:type="paragraph" w:styleId="PlainText">
    <w:name w:val="Plain Text"/>
    <w:basedOn w:val="Normal"/>
    <w:link w:val="PlainTextChar"/>
    <w:uiPriority w:val="99"/>
    <w:rsid w:val="00A074B9"/>
    <w:rPr>
      <w:rFonts w:ascii="Courier New" w:hAnsi="Courier New" w:cs="Courier New"/>
      <w:sz w:val="20"/>
    </w:rPr>
  </w:style>
  <w:style w:type="character" w:customStyle="1" w:styleId="PlainTextChar">
    <w:name w:val="Plain Text Char"/>
    <w:basedOn w:val="DefaultParagraphFont"/>
    <w:link w:val="PlainText"/>
    <w:uiPriority w:val="99"/>
    <w:locked/>
    <w:rsid w:val="00A074B9"/>
    <w:rPr>
      <w:rFonts w:ascii="Courier New" w:hAnsi="Courier New" w:cs="Courier New"/>
      <w:kern w:val="28"/>
    </w:rPr>
  </w:style>
  <w:style w:type="paragraph" w:customStyle="1" w:styleId="Default">
    <w:name w:val="Default"/>
    <w:uiPriority w:val="99"/>
    <w:rsid w:val="00396962"/>
    <w:pPr>
      <w:autoSpaceDE w:val="0"/>
      <w:autoSpaceDN w:val="0"/>
      <w:adjustRightInd w:val="0"/>
    </w:pPr>
    <w:rPr>
      <w:color w:val="000000"/>
      <w:sz w:val="24"/>
      <w:szCs w:val="24"/>
    </w:rPr>
  </w:style>
  <w:style w:type="paragraph" w:styleId="Revision">
    <w:name w:val="Revision"/>
    <w:hidden/>
    <w:uiPriority w:val="99"/>
    <w:semiHidden/>
    <w:rsid w:val="00267CE3"/>
    <w:rPr>
      <w:kern w:val="28"/>
      <w:sz w:val="24"/>
      <w:szCs w:val="20"/>
    </w:rPr>
  </w:style>
  <w:style w:type="paragraph" w:styleId="ListParagraph">
    <w:name w:val="List Paragraph"/>
    <w:basedOn w:val="Normal"/>
    <w:uiPriority w:val="99"/>
    <w:qFormat/>
    <w:rsid w:val="00343635"/>
    <w:pPr>
      <w:ind w:left="720"/>
    </w:pPr>
  </w:style>
  <w:style w:type="paragraph" w:styleId="TOC1">
    <w:name w:val="toc 1"/>
    <w:basedOn w:val="Normal"/>
    <w:autoRedefine/>
    <w:uiPriority w:val="99"/>
    <w:rsid w:val="00701BAE"/>
    <w:pPr>
      <w:tabs>
        <w:tab w:val="left" w:pos="0"/>
        <w:tab w:val="left" w:pos="720"/>
        <w:tab w:val="right" w:leader="dot" w:pos="9494"/>
      </w:tabs>
      <w:spacing w:before="120" w:after="120" w:line="480" w:lineRule="auto"/>
      <w:jc w:val="both"/>
    </w:pPr>
    <w:rPr>
      <w:b/>
      <w:caps/>
      <w:noProof/>
      <w:kern w:val="0"/>
      <w:szCs w:val="24"/>
    </w:rPr>
  </w:style>
  <w:style w:type="paragraph" w:styleId="TOC2">
    <w:name w:val="toc 2"/>
    <w:basedOn w:val="Normal"/>
    <w:autoRedefine/>
    <w:uiPriority w:val="99"/>
    <w:rsid w:val="00701BAE"/>
    <w:pPr>
      <w:tabs>
        <w:tab w:val="left" w:pos="720"/>
        <w:tab w:val="right" w:leader="dot" w:pos="9494"/>
      </w:tabs>
      <w:spacing w:before="120" w:after="120" w:line="240" w:lineRule="atLeast"/>
      <w:ind w:left="720" w:hanging="720"/>
    </w:pPr>
    <w:rPr>
      <w:smallCaps/>
      <w:kern w:val="0"/>
      <w:sz w:val="20"/>
    </w:rPr>
  </w:style>
  <w:style w:type="paragraph" w:customStyle="1" w:styleId="P1-StandPara">
    <w:name w:val="P1-Stand Para"/>
    <w:uiPriority w:val="99"/>
    <w:rsid w:val="00701BAE"/>
    <w:pPr>
      <w:spacing w:line="480" w:lineRule="auto"/>
      <w:ind w:firstLine="720"/>
    </w:pPr>
    <w:rPr>
      <w:szCs w:val="20"/>
    </w:rPr>
  </w:style>
  <w:style w:type="character" w:styleId="CommentReference">
    <w:name w:val="annotation reference"/>
    <w:basedOn w:val="DefaultParagraphFont"/>
    <w:uiPriority w:val="99"/>
    <w:rsid w:val="00BA020A"/>
    <w:rPr>
      <w:rFonts w:cs="Times New Roman"/>
      <w:sz w:val="16"/>
      <w:szCs w:val="16"/>
    </w:rPr>
  </w:style>
  <w:style w:type="paragraph" w:styleId="CommentText">
    <w:name w:val="annotation text"/>
    <w:basedOn w:val="Normal"/>
    <w:link w:val="CommentTextChar"/>
    <w:uiPriority w:val="99"/>
    <w:rsid w:val="00BA020A"/>
    <w:pPr>
      <w:spacing w:after="200" w:line="276" w:lineRule="auto"/>
    </w:pPr>
    <w:rPr>
      <w:rFonts w:ascii="Calibri" w:hAnsi="Calibri"/>
      <w:kern w:val="0"/>
      <w:sz w:val="20"/>
    </w:rPr>
  </w:style>
  <w:style w:type="character" w:customStyle="1" w:styleId="CommentTextChar">
    <w:name w:val="Comment Text Char"/>
    <w:basedOn w:val="DefaultParagraphFont"/>
    <w:link w:val="CommentText"/>
    <w:uiPriority w:val="99"/>
    <w:locked/>
    <w:rsid w:val="00BA020A"/>
    <w:rPr>
      <w:rFonts w:ascii="Calibri" w:hAnsi="Calibri" w:cs="Times New Roman"/>
    </w:rPr>
  </w:style>
  <w:style w:type="table" w:styleId="TableGrid">
    <w:name w:val="Table Grid"/>
    <w:basedOn w:val="TableNormal"/>
    <w:uiPriority w:val="99"/>
    <w:locked/>
    <w:rsid w:val="00F074D5"/>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rsid w:val="00FB2EBE"/>
    <w:pPr>
      <w:spacing w:after="0" w:line="240" w:lineRule="auto"/>
    </w:pPr>
    <w:rPr>
      <w:rFonts w:ascii="Times New Roman" w:hAnsi="Times New Roman"/>
      <w:b/>
      <w:bCs/>
      <w:kern w:val="28"/>
    </w:rPr>
  </w:style>
  <w:style w:type="character" w:customStyle="1" w:styleId="CommentSubjectChar">
    <w:name w:val="Comment Subject Char"/>
    <w:basedOn w:val="CommentTextChar"/>
    <w:link w:val="CommentSubject"/>
    <w:uiPriority w:val="99"/>
    <w:semiHidden/>
    <w:locked/>
    <w:rsid w:val="00086DBB"/>
    <w:rPr>
      <w:rFonts w:ascii="Calibri" w:hAnsi="Calibri" w:cs="Times New Roman"/>
      <w:b/>
      <w:bCs/>
      <w:kern w:val="28"/>
      <w:sz w:val="20"/>
      <w:szCs w:val="20"/>
    </w:rPr>
  </w:style>
  <w:style w:type="paragraph" w:styleId="BodyText">
    <w:name w:val="Body Text"/>
    <w:basedOn w:val="Normal"/>
    <w:link w:val="BodyTextChar"/>
    <w:uiPriority w:val="99"/>
    <w:rsid w:val="009C0BF1"/>
    <w:pPr>
      <w:spacing w:after="120"/>
    </w:pPr>
  </w:style>
  <w:style w:type="character" w:customStyle="1" w:styleId="BodyTextChar">
    <w:name w:val="Body Text Char"/>
    <w:basedOn w:val="DefaultParagraphFont"/>
    <w:link w:val="BodyText"/>
    <w:uiPriority w:val="99"/>
    <w:locked/>
    <w:rsid w:val="009C0BF1"/>
    <w:rPr>
      <w:rFonts w:cs="Times New Roman"/>
      <w:kern w:val="28"/>
      <w:sz w:val="24"/>
    </w:rPr>
  </w:style>
  <w:style w:type="paragraph" w:customStyle="1" w:styleId="tt-tabletitle">
    <w:name w:val="tt-tabletitle"/>
    <w:basedOn w:val="Normal"/>
    <w:uiPriority w:val="99"/>
    <w:rsid w:val="00EB4A07"/>
    <w:pPr>
      <w:spacing w:line="240" w:lineRule="atLeast"/>
      <w:ind w:left="1152" w:hanging="1152"/>
    </w:pPr>
    <w:rPr>
      <w:rFonts w:eastAsia="MS Mincho"/>
      <w:kern w:val="0"/>
      <w:sz w:val="22"/>
      <w:szCs w:val="22"/>
      <w:lang w:eastAsia="ja-JP"/>
    </w:rPr>
  </w:style>
  <w:style w:type="character" w:styleId="Emphasis">
    <w:name w:val="Emphasis"/>
    <w:basedOn w:val="DefaultParagraphFont"/>
    <w:uiPriority w:val="99"/>
    <w:qFormat/>
    <w:locked/>
    <w:rsid w:val="00852F66"/>
    <w:rPr>
      <w:rFonts w:cs="Times New Roman"/>
      <w:i/>
      <w:iCs/>
    </w:rPr>
  </w:style>
  <w:style w:type="character" w:customStyle="1" w:styleId="addtitle2">
    <w:name w:val="addtitle2"/>
    <w:basedOn w:val="DefaultParagraphFont"/>
    <w:uiPriority w:val="99"/>
    <w:rsid w:val="00AB0C0D"/>
    <w:rPr>
      <w:rFonts w:cs="Times New Roman"/>
      <w:b/>
      <w:bCs/>
      <w:color w:val="993366"/>
      <w:sz w:val="38"/>
      <w:szCs w:val="38"/>
    </w:rPr>
  </w:style>
  <w:style w:type="character" w:customStyle="1" w:styleId="apple-style-span">
    <w:name w:val="apple-style-span"/>
    <w:basedOn w:val="DefaultParagraphFont"/>
    <w:uiPriority w:val="99"/>
    <w:rsid w:val="00827D4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016733">
      <w:marLeft w:val="0"/>
      <w:marRight w:val="0"/>
      <w:marTop w:val="0"/>
      <w:marBottom w:val="0"/>
      <w:divBdr>
        <w:top w:val="none" w:sz="0" w:space="0" w:color="auto"/>
        <w:left w:val="none" w:sz="0" w:space="0" w:color="auto"/>
        <w:bottom w:val="none" w:sz="0" w:space="0" w:color="auto"/>
        <w:right w:val="none" w:sz="0" w:space="0" w:color="auto"/>
      </w:divBdr>
    </w:div>
    <w:div w:id="985016735">
      <w:marLeft w:val="0"/>
      <w:marRight w:val="0"/>
      <w:marTop w:val="0"/>
      <w:marBottom w:val="0"/>
      <w:divBdr>
        <w:top w:val="none" w:sz="0" w:space="0" w:color="auto"/>
        <w:left w:val="none" w:sz="0" w:space="0" w:color="auto"/>
        <w:bottom w:val="none" w:sz="0" w:space="0" w:color="auto"/>
        <w:right w:val="none" w:sz="0" w:space="0" w:color="auto"/>
      </w:divBdr>
      <w:divsChild>
        <w:div w:id="985016734">
          <w:marLeft w:val="5"/>
          <w:marRight w:val="5"/>
          <w:marTop w:val="0"/>
          <w:marBottom w:val="0"/>
          <w:divBdr>
            <w:top w:val="none" w:sz="0" w:space="0" w:color="auto"/>
            <w:left w:val="none" w:sz="0" w:space="0" w:color="auto"/>
            <w:bottom w:val="none" w:sz="0" w:space="0" w:color="auto"/>
            <w:right w:val="none" w:sz="0" w:space="0" w:color="auto"/>
          </w:divBdr>
        </w:div>
      </w:divsChild>
    </w:div>
    <w:div w:id="985016736">
      <w:marLeft w:val="0"/>
      <w:marRight w:val="0"/>
      <w:marTop w:val="0"/>
      <w:marBottom w:val="0"/>
      <w:divBdr>
        <w:top w:val="none" w:sz="0" w:space="0" w:color="auto"/>
        <w:left w:val="none" w:sz="0" w:space="0" w:color="auto"/>
        <w:bottom w:val="none" w:sz="0" w:space="0" w:color="auto"/>
        <w:right w:val="none" w:sz="0" w:space="0" w:color="auto"/>
      </w:divBdr>
    </w:div>
    <w:div w:id="985016737">
      <w:marLeft w:val="0"/>
      <w:marRight w:val="0"/>
      <w:marTop w:val="0"/>
      <w:marBottom w:val="0"/>
      <w:divBdr>
        <w:top w:val="none" w:sz="0" w:space="0" w:color="auto"/>
        <w:left w:val="none" w:sz="0" w:space="0" w:color="auto"/>
        <w:bottom w:val="none" w:sz="0" w:space="0" w:color="auto"/>
        <w:right w:val="none" w:sz="0" w:space="0" w:color="auto"/>
      </w:divBdr>
    </w:div>
    <w:div w:id="985016738">
      <w:marLeft w:val="0"/>
      <w:marRight w:val="0"/>
      <w:marTop w:val="0"/>
      <w:marBottom w:val="0"/>
      <w:divBdr>
        <w:top w:val="none" w:sz="0" w:space="0" w:color="auto"/>
        <w:left w:val="none" w:sz="0" w:space="0" w:color="auto"/>
        <w:bottom w:val="none" w:sz="0" w:space="0" w:color="auto"/>
        <w:right w:val="none" w:sz="0" w:space="0" w:color="auto"/>
      </w:divBdr>
    </w:div>
    <w:div w:id="985016739">
      <w:marLeft w:val="0"/>
      <w:marRight w:val="0"/>
      <w:marTop w:val="0"/>
      <w:marBottom w:val="0"/>
      <w:divBdr>
        <w:top w:val="none" w:sz="0" w:space="0" w:color="auto"/>
        <w:left w:val="none" w:sz="0" w:space="0" w:color="auto"/>
        <w:bottom w:val="none" w:sz="0" w:space="0" w:color="auto"/>
        <w:right w:val="none" w:sz="0" w:space="0" w:color="auto"/>
      </w:divBdr>
    </w:div>
    <w:div w:id="985016740">
      <w:marLeft w:val="0"/>
      <w:marRight w:val="0"/>
      <w:marTop w:val="0"/>
      <w:marBottom w:val="0"/>
      <w:divBdr>
        <w:top w:val="none" w:sz="0" w:space="0" w:color="auto"/>
        <w:left w:val="none" w:sz="0" w:space="0" w:color="auto"/>
        <w:bottom w:val="none" w:sz="0" w:space="0" w:color="auto"/>
        <w:right w:val="none" w:sz="0" w:space="0" w:color="auto"/>
      </w:divBdr>
    </w:div>
    <w:div w:id="985016741">
      <w:marLeft w:val="0"/>
      <w:marRight w:val="0"/>
      <w:marTop w:val="0"/>
      <w:marBottom w:val="0"/>
      <w:divBdr>
        <w:top w:val="none" w:sz="0" w:space="0" w:color="auto"/>
        <w:left w:val="none" w:sz="0" w:space="0" w:color="auto"/>
        <w:bottom w:val="none" w:sz="0" w:space="0" w:color="auto"/>
        <w:right w:val="none" w:sz="0" w:space="0" w:color="auto"/>
      </w:divBdr>
    </w:div>
    <w:div w:id="985016742">
      <w:marLeft w:val="0"/>
      <w:marRight w:val="0"/>
      <w:marTop w:val="0"/>
      <w:marBottom w:val="0"/>
      <w:divBdr>
        <w:top w:val="none" w:sz="0" w:space="0" w:color="auto"/>
        <w:left w:val="none" w:sz="0" w:space="0" w:color="auto"/>
        <w:bottom w:val="none" w:sz="0" w:space="0" w:color="auto"/>
        <w:right w:val="none" w:sz="0" w:space="0" w:color="auto"/>
      </w:divBdr>
    </w:div>
    <w:div w:id="985016743">
      <w:marLeft w:val="0"/>
      <w:marRight w:val="0"/>
      <w:marTop w:val="0"/>
      <w:marBottom w:val="0"/>
      <w:divBdr>
        <w:top w:val="none" w:sz="0" w:space="0" w:color="auto"/>
        <w:left w:val="none" w:sz="0" w:space="0" w:color="auto"/>
        <w:bottom w:val="none" w:sz="0" w:space="0" w:color="auto"/>
        <w:right w:val="none" w:sz="0" w:space="0" w:color="auto"/>
      </w:divBdr>
    </w:div>
    <w:div w:id="985016745">
      <w:marLeft w:val="0"/>
      <w:marRight w:val="0"/>
      <w:marTop w:val="0"/>
      <w:marBottom w:val="0"/>
      <w:divBdr>
        <w:top w:val="none" w:sz="0" w:space="0" w:color="auto"/>
        <w:left w:val="none" w:sz="0" w:space="0" w:color="auto"/>
        <w:bottom w:val="none" w:sz="0" w:space="0" w:color="auto"/>
        <w:right w:val="none" w:sz="0" w:space="0" w:color="auto"/>
      </w:divBdr>
      <w:divsChild>
        <w:div w:id="985016744">
          <w:marLeft w:val="0"/>
          <w:marRight w:val="0"/>
          <w:marTop w:val="0"/>
          <w:marBottom w:val="0"/>
          <w:divBdr>
            <w:top w:val="none" w:sz="0" w:space="0" w:color="auto"/>
            <w:left w:val="none" w:sz="0" w:space="0" w:color="auto"/>
            <w:bottom w:val="none" w:sz="0" w:space="0" w:color="auto"/>
            <w:right w:val="none" w:sz="0" w:space="0" w:color="auto"/>
          </w:divBdr>
          <w:divsChild>
            <w:div w:id="985016747">
              <w:marLeft w:val="150"/>
              <w:marRight w:val="150"/>
              <w:marTop w:val="0"/>
              <w:marBottom w:val="0"/>
              <w:divBdr>
                <w:top w:val="none" w:sz="0" w:space="0" w:color="auto"/>
                <w:left w:val="none" w:sz="0" w:space="0" w:color="auto"/>
                <w:bottom w:val="none" w:sz="0" w:space="0" w:color="auto"/>
                <w:right w:val="none" w:sz="0" w:space="0" w:color="auto"/>
              </w:divBdr>
              <w:divsChild>
                <w:div w:id="98501675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016750">
      <w:marLeft w:val="0"/>
      <w:marRight w:val="0"/>
      <w:marTop w:val="0"/>
      <w:marBottom w:val="0"/>
      <w:divBdr>
        <w:top w:val="none" w:sz="0" w:space="0" w:color="auto"/>
        <w:left w:val="none" w:sz="0" w:space="0" w:color="auto"/>
        <w:bottom w:val="none" w:sz="0" w:space="0" w:color="auto"/>
        <w:right w:val="none" w:sz="0" w:space="0" w:color="auto"/>
      </w:divBdr>
      <w:divsChild>
        <w:div w:id="985016749">
          <w:marLeft w:val="0"/>
          <w:marRight w:val="0"/>
          <w:marTop w:val="0"/>
          <w:marBottom w:val="0"/>
          <w:divBdr>
            <w:top w:val="none" w:sz="0" w:space="0" w:color="auto"/>
            <w:left w:val="none" w:sz="0" w:space="0" w:color="auto"/>
            <w:bottom w:val="none" w:sz="0" w:space="0" w:color="auto"/>
            <w:right w:val="none" w:sz="0" w:space="0" w:color="auto"/>
          </w:divBdr>
          <w:divsChild>
            <w:div w:id="985016748">
              <w:marLeft w:val="150"/>
              <w:marRight w:val="150"/>
              <w:marTop w:val="0"/>
              <w:marBottom w:val="0"/>
              <w:divBdr>
                <w:top w:val="none" w:sz="0" w:space="0" w:color="auto"/>
                <w:left w:val="none" w:sz="0" w:space="0" w:color="auto"/>
                <w:bottom w:val="none" w:sz="0" w:space="0" w:color="auto"/>
                <w:right w:val="none" w:sz="0" w:space="0" w:color="auto"/>
              </w:divBdr>
              <w:divsChild>
                <w:div w:id="98501674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016752">
      <w:marLeft w:val="0"/>
      <w:marRight w:val="0"/>
      <w:marTop w:val="0"/>
      <w:marBottom w:val="0"/>
      <w:divBdr>
        <w:top w:val="none" w:sz="0" w:space="0" w:color="auto"/>
        <w:left w:val="none" w:sz="0" w:space="0" w:color="auto"/>
        <w:bottom w:val="none" w:sz="0" w:space="0" w:color="auto"/>
        <w:right w:val="none" w:sz="0" w:space="0" w:color="auto"/>
      </w:divBdr>
    </w:div>
    <w:div w:id="985016753">
      <w:marLeft w:val="0"/>
      <w:marRight w:val="0"/>
      <w:marTop w:val="0"/>
      <w:marBottom w:val="0"/>
      <w:divBdr>
        <w:top w:val="none" w:sz="0" w:space="0" w:color="auto"/>
        <w:left w:val="none" w:sz="0" w:space="0" w:color="auto"/>
        <w:bottom w:val="none" w:sz="0" w:space="0" w:color="auto"/>
        <w:right w:val="none" w:sz="0" w:space="0" w:color="auto"/>
      </w:divBdr>
    </w:div>
    <w:div w:id="9850167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rojectreporter.nih.gov/reporter.cfm"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mailto:carrs@mail.nih.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grants.nih.gov/grants/guide/notice-files/NOT-OD-06-094.html" TargetMode="External"/><Relationship Id="rId3" Type="http://schemas.openxmlformats.org/officeDocument/2006/relationships/hyperlink" Target="http://www.gpo.gov/fdsys/pkg/CFR-2011-title45-vol1/pdf/CFR-2011-title45-vol1-sec164-514.pdf" TargetMode="External"/><Relationship Id="rId7" Type="http://schemas.openxmlformats.org/officeDocument/2006/relationships/hyperlink" Target="http://edocket.access.gpo.gov/2006/E6-14416.htm" TargetMode="External"/><Relationship Id="rId12" Type="http://schemas.openxmlformats.org/officeDocument/2006/relationships/hyperlink" Target="http://www.bls.gov/oes/current/oes_nat.htm" TargetMode="External"/><Relationship Id="rId2" Type="http://schemas.openxmlformats.org/officeDocument/2006/relationships/hyperlink" Target="http://www.hhs.gov/ohrp/humansubjects/guidance/45cfr46.html/" TargetMode="External"/><Relationship Id="rId1" Type="http://schemas.openxmlformats.org/officeDocument/2006/relationships/hyperlink" Target="http://grants.nih.gov/grants/guide/notice-files/NOT-OD-07-088.html" TargetMode="External"/><Relationship Id="rId6" Type="http://schemas.openxmlformats.org/officeDocument/2006/relationships/hyperlink" Target="https://commons.era.nih.gov/commons/" TargetMode="External"/><Relationship Id="rId11" Type="http://schemas.openxmlformats.org/officeDocument/2006/relationships/hyperlink" Target="http://www.bls.gov/oes/current/oes_nat.htm" TargetMode="External"/><Relationship Id="rId5" Type="http://schemas.openxmlformats.org/officeDocument/2006/relationships/hyperlink" Target="https://dbgap.ncbi.nlm.nih.gov/aa/GWAS_Code_of_Conduct.html" TargetMode="External"/><Relationship Id="rId10" Type="http://schemas.openxmlformats.org/officeDocument/2006/relationships/hyperlink" Target="http://www.bls.gov/oes/current/oes_nat.htm" TargetMode="External"/><Relationship Id="rId4" Type="http://schemas.openxmlformats.org/officeDocument/2006/relationships/hyperlink" Target="http://gwas.nih.gov/pdf/docs/ModelDUC.docx" TargetMode="Externa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13618-852B-4486-A9C7-39919F177F12}">
  <ds:schemaRefs>
    <ds:schemaRef ds:uri="http://schemas.openxmlformats.org/officeDocument/2006/bibliography"/>
  </ds:schemaRefs>
</ds:datastoreItem>
</file>

<file path=customXml/itemProps2.xml><?xml version="1.0" encoding="utf-8"?>
<ds:datastoreItem xmlns:ds="http://schemas.openxmlformats.org/officeDocument/2006/customXml" ds:itemID="{600F4E41-ED85-4267-88F6-C85DFF187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4955</Words>
  <Characters>28245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FDAMA Section 113, Paperwork Reduction Act Submission</vt:lpstr>
    </vt:vector>
  </TitlesOfParts>
  <Company>FDA</Company>
  <LinksUpToDate>false</LinksUpToDate>
  <CharactersWithSpaces>33134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FDAMA Section 113, Paperwork Reduction Act Submission</dc:title>
  <dc:creator>NLM - Sheehan/Sharlip</dc:creator>
  <cp:lastModifiedBy>curriem</cp:lastModifiedBy>
  <cp:revision>2</cp:revision>
  <cp:lastPrinted>2012-09-13T14:36:00Z</cp:lastPrinted>
  <dcterms:created xsi:type="dcterms:W3CDTF">2013-01-29T21:35:00Z</dcterms:created>
  <dcterms:modified xsi:type="dcterms:W3CDTF">2013-01-29T21:35:00Z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