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7D" w:rsidRPr="005F1CE7" w:rsidRDefault="00237D7D" w:rsidP="00BE7843">
      <w:pPr>
        <w:jc w:val="center"/>
        <w:rPr>
          <w:rFonts w:ascii="Times New Roman" w:hAnsi="Times New Roman"/>
          <w:b/>
          <w:sz w:val="28"/>
          <w:szCs w:val="28"/>
        </w:rPr>
      </w:pPr>
      <w:r w:rsidRPr="005F1CE7">
        <w:rPr>
          <w:rFonts w:ascii="Times New Roman" w:hAnsi="Times New Roman"/>
          <w:b/>
          <w:sz w:val="28"/>
          <w:szCs w:val="28"/>
        </w:rPr>
        <w:t xml:space="preserve">Supporting Statement </w:t>
      </w:r>
      <w:r w:rsidR="00FF2F61" w:rsidRPr="005F1CE7">
        <w:rPr>
          <w:rFonts w:ascii="Times New Roman" w:hAnsi="Times New Roman"/>
          <w:b/>
          <w:sz w:val="28"/>
          <w:szCs w:val="28"/>
        </w:rPr>
        <w:t xml:space="preserve">for </w:t>
      </w:r>
      <w:r w:rsidR="005A37EA" w:rsidRPr="005F1CE7">
        <w:rPr>
          <w:rFonts w:ascii="Times New Roman" w:hAnsi="Times New Roman"/>
          <w:b/>
          <w:sz w:val="28"/>
          <w:szCs w:val="28"/>
        </w:rPr>
        <w:t xml:space="preserve">Paperwork Reduction Act </w:t>
      </w:r>
      <w:r w:rsidR="00FF2F61" w:rsidRPr="005F1CE7">
        <w:rPr>
          <w:rFonts w:ascii="Times New Roman" w:hAnsi="Times New Roman"/>
          <w:b/>
          <w:sz w:val="28"/>
          <w:szCs w:val="28"/>
        </w:rPr>
        <w:t xml:space="preserve">Submission </w:t>
      </w:r>
      <w:r w:rsidR="005A37EA" w:rsidRPr="005F1CE7">
        <w:rPr>
          <w:rFonts w:ascii="Times New Roman" w:hAnsi="Times New Roman"/>
          <w:b/>
          <w:sz w:val="28"/>
          <w:szCs w:val="28"/>
        </w:rPr>
        <w:t>for</w:t>
      </w:r>
      <w:r w:rsidRPr="005F1CE7">
        <w:rPr>
          <w:rFonts w:ascii="Times New Roman" w:hAnsi="Times New Roman"/>
          <w:b/>
          <w:sz w:val="28"/>
          <w:szCs w:val="28"/>
        </w:rPr>
        <w:t xml:space="preserve"> the</w:t>
      </w:r>
    </w:p>
    <w:p w:rsidR="007C1D84" w:rsidRPr="005F1CE7" w:rsidRDefault="004D1285" w:rsidP="00BE7843">
      <w:pPr>
        <w:jc w:val="center"/>
        <w:rPr>
          <w:rFonts w:ascii="Times New Roman" w:hAnsi="Times New Roman"/>
          <w:b/>
          <w:sz w:val="28"/>
          <w:szCs w:val="28"/>
        </w:rPr>
      </w:pPr>
      <w:r w:rsidRPr="005F1CE7">
        <w:rPr>
          <w:rFonts w:ascii="Times New Roman" w:hAnsi="Times New Roman"/>
          <w:b/>
          <w:sz w:val="28"/>
          <w:szCs w:val="28"/>
        </w:rPr>
        <w:t xml:space="preserve">USGS </w:t>
      </w:r>
      <w:r w:rsidR="00237D7D" w:rsidRPr="005F1CE7">
        <w:rPr>
          <w:rFonts w:ascii="Times New Roman" w:hAnsi="Times New Roman"/>
          <w:b/>
          <w:sz w:val="28"/>
          <w:szCs w:val="28"/>
        </w:rPr>
        <w:t>Earthquake Hazards Program</w:t>
      </w:r>
      <w:r w:rsidR="007C1D84" w:rsidRPr="005F1CE7">
        <w:rPr>
          <w:rFonts w:ascii="Times New Roman" w:hAnsi="Times New Roman"/>
          <w:b/>
          <w:sz w:val="28"/>
          <w:szCs w:val="28"/>
        </w:rPr>
        <w:t xml:space="preserve"> </w:t>
      </w:r>
      <w:r w:rsidR="00237D7D" w:rsidRPr="005F1CE7">
        <w:rPr>
          <w:rFonts w:ascii="Times New Roman" w:hAnsi="Times New Roman"/>
          <w:b/>
          <w:sz w:val="28"/>
          <w:szCs w:val="28"/>
        </w:rPr>
        <w:t>(EHP)</w:t>
      </w:r>
      <w:r w:rsidR="00545D01">
        <w:rPr>
          <w:rFonts w:ascii="Times New Roman" w:hAnsi="Times New Roman"/>
          <w:b/>
          <w:sz w:val="28"/>
          <w:szCs w:val="28"/>
        </w:rPr>
        <w:t xml:space="preserve"> Research and Monitoring</w:t>
      </w:r>
    </w:p>
    <w:p w:rsidR="00237D7D" w:rsidRPr="005F1CE7" w:rsidRDefault="00FF2F61" w:rsidP="00BE7843">
      <w:pPr>
        <w:jc w:val="center"/>
        <w:rPr>
          <w:rFonts w:ascii="Times New Roman" w:hAnsi="Times New Roman"/>
          <w:b/>
          <w:sz w:val="28"/>
          <w:szCs w:val="28"/>
        </w:rPr>
      </w:pPr>
      <w:r w:rsidRPr="005F1CE7">
        <w:rPr>
          <w:rFonts w:ascii="Times New Roman" w:hAnsi="Times New Roman"/>
          <w:b/>
          <w:sz w:val="28"/>
          <w:szCs w:val="28"/>
        </w:rPr>
        <w:t xml:space="preserve">Annual </w:t>
      </w:r>
      <w:r w:rsidR="008632F6" w:rsidRPr="005F1CE7">
        <w:rPr>
          <w:rFonts w:ascii="Times New Roman" w:hAnsi="Times New Roman"/>
          <w:b/>
          <w:sz w:val="28"/>
          <w:szCs w:val="28"/>
        </w:rPr>
        <w:t xml:space="preserve">Assistance </w:t>
      </w:r>
      <w:r w:rsidR="00237D7D" w:rsidRPr="005F1CE7">
        <w:rPr>
          <w:rFonts w:ascii="Times New Roman" w:hAnsi="Times New Roman"/>
          <w:b/>
          <w:sz w:val="28"/>
          <w:szCs w:val="28"/>
        </w:rPr>
        <w:t>Announcement</w:t>
      </w:r>
    </w:p>
    <w:p w:rsidR="005A37EA" w:rsidRPr="005F1CE7" w:rsidRDefault="005A37EA" w:rsidP="00BE7843">
      <w:pPr>
        <w:jc w:val="center"/>
        <w:rPr>
          <w:rFonts w:ascii="Times New Roman" w:hAnsi="Times New Roman"/>
          <w:b/>
          <w:sz w:val="28"/>
          <w:szCs w:val="28"/>
        </w:rPr>
      </w:pPr>
      <w:r w:rsidRPr="005F1CE7">
        <w:rPr>
          <w:rFonts w:ascii="Times New Roman" w:hAnsi="Times New Roman"/>
          <w:b/>
          <w:sz w:val="28"/>
          <w:szCs w:val="28"/>
        </w:rPr>
        <w:t>OMB Control Number 1028-0051</w:t>
      </w:r>
    </w:p>
    <w:p w:rsidR="005A37EA" w:rsidRPr="005F1CE7" w:rsidRDefault="005A37EA" w:rsidP="00BE7843">
      <w:pPr>
        <w:jc w:val="center"/>
        <w:rPr>
          <w:rFonts w:ascii="Times New Roman" w:hAnsi="Times New Roman"/>
          <w:b/>
          <w:sz w:val="28"/>
          <w:szCs w:val="28"/>
        </w:rPr>
      </w:pPr>
      <w:r w:rsidRPr="005F1CE7">
        <w:rPr>
          <w:rFonts w:ascii="Times New Roman" w:hAnsi="Times New Roman"/>
          <w:b/>
          <w:sz w:val="28"/>
          <w:szCs w:val="28"/>
        </w:rPr>
        <w:t xml:space="preserve">Current Expiration Date: </w:t>
      </w:r>
      <w:r w:rsidR="007F701B">
        <w:rPr>
          <w:rFonts w:ascii="Times New Roman" w:hAnsi="Times New Roman"/>
          <w:b/>
          <w:sz w:val="28"/>
          <w:szCs w:val="28"/>
        </w:rPr>
        <w:t>2/28</w:t>
      </w:r>
      <w:r w:rsidRPr="005F1CE7">
        <w:rPr>
          <w:rFonts w:ascii="Times New Roman" w:hAnsi="Times New Roman"/>
          <w:b/>
          <w:sz w:val="28"/>
          <w:szCs w:val="28"/>
        </w:rPr>
        <w:t>/</w:t>
      </w:r>
      <w:r w:rsidR="007F701B">
        <w:rPr>
          <w:rFonts w:ascii="Times New Roman" w:hAnsi="Times New Roman"/>
          <w:b/>
          <w:sz w:val="28"/>
          <w:szCs w:val="28"/>
        </w:rPr>
        <w:t>2013</w:t>
      </w:r>
    </w:p>
    <w:p w:rsidR="00A84AD0" w:rsidRPr="00C353E5" w:rsidRDefault="00A84AD0" w:rsidP="00BE7843">
      <w:pPr>
        <w:rPr>
          <w:rFonts w:ascii="Times New Roman" w:hAnsi="Times New Roman"/>
          <w:sz w:val="22"/>
          <w:szCs w:val="22"/>
        </w:rPr>
      </w:pPr>
    </w:p>
    <w:p w:rsidR="00237D7D" w:rsidRPr="00C353E5" w:rsidRDefault="00A84AD0" w:rsidP="00BE7843">
      <w:pPr>
        <w:rPr>
          <w:rFonts w:ascii="Times New Roman" w:hAnsi="Times New Roman"/>
          <w:sz w:val="22"/>
          <w:szCs w:val="22"/>
        </w:rPr>
      </w:pPr>
      <w:r w:rsidRPr="00C353E5">
        <w:rPr>
          <w:rFonts w:ascii="Times New Roman" w:hAnsi="Times New Roman"/>
          <w:sz w:val="22"/>
          <w:szCs w:val="22"/>
        </w:rPr>
        <w:t>Terms of Clearance</w:t>
      </w:r>
      <w:r w:rsidR="00886CEC" w:rsidRPr="00C353E5">
        <w:rPr>
          <w:rFonts w:ascii="Times New Roman" w:hAnsi="Times New Roman"/>
          <w:sz w:val="22"/>
          <w:szCs w:val="22"/>
        </w:rPr>
        <w:t>: None</w:t>
      </w:r>
    </w:p>
    <w:p w:rsidR="00A84AD0" w:rsidRPr="00C353E5" w:rsidRDefault="00A84AD0" w:rsidP="00BE7843">
      <w:pPr>
        <w:rPr>
          <w:rFonts w:ascii="Times New Roman" w:hAnsi="Times New Roman"/>
          <w:sz w:val="22"/>
          <w:szCs w:val="22"/>
        </w:rPr>
      </w:pPr>
    </w:p>
    <w:p w:rsidR="00237D7D" w:rsidRPr="00C353E5" w:rsidRDefault="00237D7D" w:rsidP="00BE7843">
      <w:pPr>
        <w:rPr>
          <w:rFonts w:ascii="Times New Roman" w:hAnsi="Times New Roman"/>
          <w:sz w:val="22"/>
          <w:szCs w:val="22"/>
        </w:rPr>
      </w:pPr>
      <w:r w:rsidRPr="00C353E5">
        <w:rPr>
          <w:rFonts w:ascii="Times New Roman" w:hAnsi="Times New Roman"/>
          <w:sz w:val="22"/>
          <w:szCs w:val="22"/>
        </w:rPr>
        <w:t>Justification</w:t>
      </w:r>
    </w:p>
    <w:p w:rsidR="000957A1" w:rsidRPr="00C353E5" w:rsidRDefault="000957A1" w:rsidP="00BE7843">
      <w:pPr>
        <w:rPr>
          <w:rFonts w:ascii="Times New Roman" w:hAnsi="Times New Roman"/>
          <w:sz w:val="22"/>
          <w:szCs w:val="22"/>
        </w:rPr>
      </w:pPr>
    </w:p>
    <w:p w:rsidR="000957A1" w:rsidRPr="00C353E5" w:rsidRDefault="000957A1" w:rsidP="00BE7843">
      <w:pPr>
        <w:rPr>
          <w:rFonts w:ascii="Times New Roman" w:hAnsi="Times New Roman"/>
          <w:b/>
          <w:sz w:val="22"/>
          <w:szCs w:val="22"/>
        </w:rPr>
      </w:pPr>
      <w:r w:rsidRPr="00C353E5">
        <w:rPr>
          <w:rFonts w:ascii="Times New Roman" w:hAnsi="Times New Roman"/>
          <w:b/>
          <w:i/>
          <w:sz w:val="22"/>
          <w:szCs w:val="22"/>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353E5">
        <w:rPr>
          <w:rFonts w:ascii="Times New Roman" w:hAnsi="Times New Roman"/>
          <w:b/>
          <w:sz w:val="22"/>
          <w:szCs w:val="22"/>
        </w:rPr>
        <w:t xml:space="preserve">  </w:t>
      </w:r>
    </w:p>
    <w:p w:rsidR="00237D7D" w:rsidRPr="00C353E5" w:rsidRDefault="00237D7D" w:rsidP="00BE7843">
      <w:pPr>
        <w:rPr>
          <w:rFonts w:ascii="Times New Roman" w:hAnsi="Times New Roman"/>
          <w:sz w:val="22"/>
          <w:szCs w:val="22"/>
        </w:rPr>
      </w:pPr>
    </w:p>
    <w:p w:rsidR="004D1285" w:rsidRPr="00C353E5" w:rsidRDefault="00237D7D" w:rsidP="00BE7843">
      <w:pPr>
        <w:rPr>
          <w:rFonts w:ascii="Times New Roman" w:hAnsi="Times New Roman"/>
          <w:sz w:val="22"/>
          <w:szCs w:val="22"/>
        </w:rPr>
      </w:pPr>
      <w:r w:rsidRPr="00C353E5">
        <w:rPr>
          <w:rFonts w:ascii="Times New Roman" w:hAnsi="Times New Roman"/>
          <w:sz w:val="22"/>
          <w:szCs w:val="22"/>
        </w:rPr>
        <w:t xml:space="preserve">The Earthquake Hazards Reduction Act of 1977, Public Law 95-124 (42 USC 7701 </w:t>
      </w:r>
      <w:r w:rsidRPr="00C353E5">
        <w:rPr>
          <w:rFonts w:ascii="Times New Roman" w:hAnsi="Times New Roman"/>
          <w:i/>
          <w:sz w:val="22"/>
          <w:szCs w:val="22"/>
        </w:rPr>
        <w:t>et. seq.</w:t>
      </w:r>
      <w:r w:rsidRPr="00C353E5">
        <w:rPr>
          <w:rFonts w:ascii="Times New Roman" w:hAnsi="Times New Roman"/>
          <w:sz w:val="22"/>
          <w:szCs w:val="22"/>
        </w:rPr>
        <w:t>), most recently amended as Public Law 10</w:t>
      </w:r>
      <w:r w:rsidR="00FF2F61" w:rsidRPr="00C353E5">
        <w:rPr>
          <w:rFonts w:ascii="Times New Roman" w:hAnsi="Times New Roman"/>
          <w:sz w:val="22"/>
          <w:szCs w:val="22"/>
        </w:rPr>
        <w:t>8-360</w:t>
      </w:r>
      <w:r w:rsidRPr="00C353E5">
        <w:rPr>
          <w:rFonts w:ascii="Times New Roman" w:hAnsi="Times New Roman"/>
          <w:sz w:val="22"/>
          <w:szCs w:val="22"/>
        </w:rPr>
        <w:t xml:space="preserve">, authorizes the U. S. Geological Survey (USGS) to </w:t>
      </w:r>
      <w:r w:rsidR="00E92FA5" w:rsidRPr="00C353E5">
        <w:rPr>
          <w:rFonts w:ascii="Times New Roman" w:hAnsi="Times New Roman"/>
          <w:sz w:val="22"/>
          <w:szCs w:val="22"/>
        </w:rPr>
        <w:t>support research and regional earthquake monitoring networks through</w:t>
      </w:r>
      <w:r w:rsidRPr="00C353E5">
        <w:rPr>
          <w:rFonts w:ascii="Times New Roman" w:hAnsi="Times New Roman"/>
          <w:sz w:val="22"/>
          <w:szCs w:val="22"/>
        </w:rPr>
        <w:t xml:space="preserve"> assistance</w:t>
      </w:r>
      <w:r w:rsidR="00E92FA5" w:rsidRPr="00C353E5">
        <w:rPr>
          <w:rFonts w:ascii="Times New Roman" w:hAnsi="Times New Roman"/>
          <w:sz w:val="22"/>
          <w:szCs w:val="22"/>
        </w:rPr>
        <w:t xml:space="preserve"> (grants and cooperative agreements).</w:t>
      </w:r>
      <w:r w:rsidRPr="00C353E5">
        <w:rPr>
          <w:rFonts w:ascii="Times New Roman" w:hAnsi="Times New Roman"/>
          <w:sz w:val="22"/>
          <w:szCs w:val="22"/>
        </w:rPr>
        <w:t xml:space="preserve"> The </w:t>
      </w:r>
      <w:r w:rsidR="00E92FA5" w:rsidRPr="00C353E5">
        <w:rPr>
          <w:rFonts w:ascii="Times New Roman" w:hAnsi="Times New Roman"/>
          <w:sz w:val="22"/>
          <w:szCs w:val="22"/>
        </w:rPr>
        <w:t xml:space="preserve">USGS’s Earthquake Hazards Program (EHP) </w:t>
      </w:r>
      <w:r w:rsidRPr="00C353E5">
        <w:rPr>
          <w:rFonts w:ascii="Times New Roman" w:hAnsi="Times New Roman"/>
          <w:sz w:val="22"/>
          <w:szCs w:val="22"/>
        </w:rPr>
        <w:t>support</w:t>
      </w:r>
      <w:r w:rsidR="00E92FA5" w:rsidRPr="00C353E5">
        <w:rPr>
          <w:rFonts w:ascii="Times New Roman" w:hAnsi="Times New Roman"/>
          <w:sz w:val="22"/>
          <w:szCs w:val="22"/>
        </w:rPr>
        <w:t>s</w:t>
      </w:r>
      <w:r w:rsidRPr="00C353E5">
        <w:rPr>
          <w:rFonts w:ascii="Times New Roman" w:hAnsi="Times New Roman"/>
          <w:sz w:val="22"/>
          <w:szCs w:val="22"/>
        </w:rPr>
        <w:t xml:space="preserve"> research in earthquake hazards</w:t>
      </w:r>
      <w:r w:rsidR="00E92FA5" w:rsidRPr="00C353E5">
        <w:rPr>
          <w:rFonts w:ascii="Times New Roman" w:hAnsi="Times New Roman"/>
          <w:sz w:val="22"/>
          <w:szCs w:val="22"/>
        </w:rPr>
        <w:t>,</w:t>
      </w:r>
      <w:r w:rsidRPr="00C353E5">
        <w:rPr>
          <w:rFonts w:ascii="Times New Roman" w:hAnsi="Times New Roman"/>
          <w:sz w:val="22"/>
          <w:szCs w:val="22"/>
        </w:rPr>
        <w:t xml:space="preserve"> the physics of earthquakes</w:t>
      </w:r>
      <w:r w:rsidR="00E92FA5" w:rsidRPr="00C353E5">
        <w:rPr>
          <w:rFonts w:ascii="Times New Roman" w:hAnsi="Times New Roman"/>
          <w:sz w:val="22"/>
          <w:szCs w:val="22"/>
        </w:rPr>
        <w:t>,</w:t>
      </w:r>
      <w:r w:rsidRPr="00C353E5">
        <w:rPr>
          <w:rFonts w:ascii="Times New Roman" w:hAnsi="Times New Roman"/>
          <w:sz w:val="22"/>
          <w:szCs w:val="22"/>
        </w:rPr>
        <w:t xml:space="preserve"> and earthquake occurrence in order to provide earth science data and information essential to mitigate earthquake losses</w:t>
      </w:r>
      <w:r w:rsidR="00E92FA5" w:rsidRPr="00C353E5">
        <w:rPr>
          <w:rFonts w:ascii="Times New Roman" w:hAnsi="Times New Roman"/>
          <w:sz w:val="22"/>
          <w:szCs w:val="22"/>
        </w:rPr>
        <w:t xml:space="preserve"> and supports operations and maintenance performed by regional monitoring networks as part of EHP’s Advanced National Seismic System (ANSS). </w:t>
      </w:r>
      <w:r w:rsidR="00B211DE" w:rsidRPr="00C353E5">
        <w:rPr>
          <w:rFonts w:ascii="Times New Roman" w:hAnsi="Times New Roman"/>
          <w:sz w:val="22"/>
          <w:szCs w:val="22"/>
        </w:rPr>
        <w:t xml:space="preserve">The </w:t>
      </w:r>
      <w:r w:rsidR="00D151D2" w:rsidRPr="00C353E5">
        <w:rPr>
          <w:rFonts w:ascii="Times New Roman" w:hAnsi="Times New Roman"/>
          <w:sz w:val="22"/>
          <w:szCs w:val="22"/>
        </w:rPr>
        <w:t xml:space="preserve">assistance </w:t>
      </w:r>
      <w:r w:rsidR="00B211DE" w:rsidRPr="00C353E5">
        <w:rPr>
          <w:rFonts w:ascii="Times New Roman" w:hAnsi="Times New Roman"/>
          <w:sz w:val="22"/>
          <w:szCs w:val="22"/>
        </w:rPr>
        <w:t>application</w:t>
      </w:r>
      <w:r w:rsidRPr="00C353E5">
        <w:rPr>
          <w:rFonts w:ascii="Times New Roman" w:hAnsi="Times New Roman"/>
          <w:sz w:val="22"/>
          <w:szCs w:val="22"/>
        </w:rPr>
        <w:t xml:space="preserve"> instructions</w:t>
      </w:r>
      <w:r w:rsidR="00FF2F61" w:rsidRPr="00C353E5">
        <w:rPr>
          <w:rFonts w:ascii="Times New Roman" w:hAnsi="Times New Roman"/>
          <w:sz w:val="22"/>
          <w:szCs w:val="22"/>
        </w:rPr>
        <w:t xml:space="preserve">, </w:t>
      </w:r>
      <w:r w:rsidRPr="00C353E5">
        <w:rPr>
          <w:rFonts w:ascii="Times New Roman" w:hAnsi="Times New Roman"/>
          <w:sz w:val="22"/>
          <w:szCs w:val="22"/>
        </w:rPr>
        <w:t>specific objectives</w:t>
      </w:r>
      <w:r w:rsidR="00FF2F61" w:rsidRPr="00C353E5">
        <w:rPr>
          <w:rFonts w:ascii="Times New Roman" w:hAnsi="Times New Roman"/>
          <w:sz w:val="22"/>
          <w:szCs w:val="22"/>
        </w:rPr>
        <w:t>, and reporting requirements</w:t>
      </w:r>
      <w:r w:rsidRPr="00C353E5">
        <w:rPr>
          <w:rFonts w:ascii="Times New Roman" w:hAnsi="Times New Roman"/>
          <w:sz w:val="22"/>
          <w:szCs w:val="22"/>
        </w:rPr>
        <w:t xml:space="preserve"> are identified in program announcement</w:t>
      </w:r>
      <w:r w:rsidR="00E92FA5" w:rsidRPr="00C353E5">
        <w:rPr>
          <w:rFonts w:ascii="Times New Roman" w:hAnsi="Times New Roman"/>
          <w:sz w:val="22"/>
          <w:szCs w:val="22"/>
        </w:rPr>
        <w:t>s posted to Grants.gov</w:t>
      </w:r>
      <w:r w:rsidRPr="00C353E5">
        <w:rPr>
          <w:rFonts w:ascii="Times New Roman" w:hAnsi="Times New Roman"/>
          <w:sz w:val="22"/>
          <w:szCs w:val="22"/>
        </w:rPr>
        <w:t xml:space="preserve">. </w:t>
      </w:r>
    </w:p>
    <w:p w:rsidR="00EA3D73" w:rsidRPr="00C353E5" w:rsidRDefault="00EA3D73" w:rsidP="00BE7843">
      <w:pPr>
        <w:rPr>
          <w:rFonts w:ascii="Times New Roman" w:hAnsi="Times New Roman"/>
          <w:sz w:val="22"/>
          <w:szCs w:val="22"/>
        </w:rPr>
      </w:pPr>
    </w:p>
    <w:p w:rsidR="00EA3D73" w:rsidRPr="00C353E5" w:rsidRDefault="00EA3D73" w:rsidP="00BE7843">
      <w:pPr>
        <w:rPr>
          <w:rFonts w:ascii="Times New Roman" w:hAnsi="Times New Roman"/>
          <w:b/>
          <w:i/>
          <w:sz w:val="22"/>
          <w:szCs w:val="22"/>
        </w:rPr>
      </w:pPr>
      <w:r w:rsidRPr="00C353E5">
        <w:rPr>
          <w:rFonts w:ascii="Times New Roman" w:hAnsi="Times New Roman"/>
          <w:b/>
          <w:i/>
          <w:sz w:val="22"/>
          <w:szCs w:val="22"/>
        </w:rPr>
        <w:t xml:space="preserve">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  </w:t>
      </w:r>
    </w:p>
    <w:p w:rsidR="00CF54BC" w:rsidRDefault="00CF54BC" w:rsidP="00BE7843">
      <w:pPr>
        <w:rPr>
          <w:rFonts w:ascii="Times New Roman" w:hAnsi="Times New Roman"/>
          <w:sz w:val="22"/>
          <w:szCs w:val="22"/>
        </w:rPr>
      </w:pPr>
    </w:p>
    <w:p w:rsidR="00CF54BC" w:rsidRDefault="00070B68" w:rsidP="00BE7843">
      <w:pPr>
        <w:rPr>
          <w:rFonts w:ascii="Times New Roman" w:hAnsi="Times New Roman"/>
          <w:sz w:val="22"/>
          <w:szCs w:val="22"/>
        </w:rPr>
      </w:pPr>
      <w:r>
        <w:rPr>
          <w:rFonts w:ascii="Times New Roman" w:hAnsi="Times New Roman"/>
          <w:sz w:val="22"/>
          <w:szCs w:val="22"/>
        </w:rPr>
        <w:t>Approximately 250</w:t>
      </w:r>
      <w:r w:rsidRPr="00070B68">
        <w:rPr>
          <w:rFonts w:ascii="Times New Roman" w:hAnsi="Times New Roman"/>
          <w:sz w:val="22"/>
          <w:szCs w:val="22"/>
        </w:rPr>
        <w:t xml:space="preserve"> </w:t>
      </w:r>
      <w:r>
        <w:rPr>
          <w:rFonts w:ascii="Times New Roman" w:hAnsi="Times New Roman"/>
          <w:sz w:val="22"/>
          <w:szCs w:val="22"/>
        </w:rPr>
        <w:t>r</w:t>
      </w:r>
      <w:r w:rsidRPr="00070B68">
        <w:rPr>
          <w:rFonts w:ascii="Times New Roman" w:hAnsi="Times New Roman"/>
          <w:sz w:val="22"/>
          <w:szCs w:val="22"/>
        </w:rPr>
        <w:t>esearch scientists and engineers</w:t>
      </w:r>
      <w:r w:rsidR="00CF54BC" w:rsidRPr="00070B68">
        <w:rPr>
          <w:rFonts w:ascii="Times New Roman" w:hAnsi="Times New Roman"/>
          <w:sz w:val="22"/>
          <w:szCs w:val="22"/>
        </w:rPr>
        <w:t xml:space="preserve"> </w:t>
      </w:r>
      <w:r>
        <w:rPr>
          <w:rFonts w:ascii="Times New Roman" w:hAnsi="Times New Roman"/>
          <w:sz w:val="22"/>
          <w:szCs w:val="22"/>
        </w:rPr>
        <w:t xml:space="preserve">from </w:t>
      </w:r>
      <w:r w:rsidRPr="00070B68">
        <w:rPr>
          <w:rFonts w:ascii="Times New Roman" w:hAnsi="Times New Roman"/>
          <w:sz w:val="22"/>
          <w:szCs w:val="22"/>
        </w:rPr>
        <w:t xml:space="preserve">educational institutions, and profit and non-profit organizations </w:t>
      </w:r>
      <w:r>
        <w:rPr>
          <w:rFonts w:ascii="Times New Roman" w:hAnsi="Times New Roman"/>
          <w:sz w:val="22"/>
          <w:szCs w:val="22"/>
        </w:rPr>
        <w:t>submit</w:t>
      </w:r>
      <w:r w:rsidR="00CF54BC" w:rsidRPr="00070B68">
        <w:rPr>
          <w:rFonts w:ascii="Times New Roman" w:hAnsi="Times New Roman"/>
          <w:sz w:val="22"/>
          <w:szCs w:val="22"/>
        </w:rPr>
        <w:t xml:space="preserve"> </w:t>
      </w:r>
      <w:r>
        <w:rPr>
          <w:rFonts w:ascii="Times New Roman" w:hAnsi="Times New Roman"/>
          <w:sz w:val="22"/>
          <w:szCs w:val="22"/>
        </w:rPr>
        <w:t>proposals</w:t>
      </w:r>
      <w:r w:rsidR="00CF54BC" w:rsidRPr="00070B68">
        <w:rPr>
          <w:rFonts w:ascii="Times New Roman" w:hAnsi="Times New Roman"/>
          <w:sz w:val="22"/>
          <w:szCs w:val="22"/>
        </w:rPr>
        <w:t xml:space="preserve"> to acquire funding to support research </w:t>
      </w:r>
      <w:r>
        <w:rPr>
          <w:rFonts w:ascii="Times New Roman" w:hAnsi="Times New Roman"/>
          <w:sz w:val="22"/>
          <w:szCs w:val="22"/>
        </w:rPr>
        <w:t>related to earthquake hazards assessments, earthquake causes and effects and earthquake monitoring.</w:t>
      </w:r>
    </w:p>
    <w:p w:rsidR="00CF54BC" w:rsidRDefault="00CF54BC" w:rsidP="00BE7843">
      <w:pPr>
        <w:rPr>
          <w:rFonts w:ascii="Times New Roman" w:hAnsi="Times New Roman"/>
          <w:sz w:val="22"/>
          <w:szCs w:val="22"/>
        </w:rPr>
      </w:pPr>
    </w:p>
    <w:p w:rsidR="00506929" w:rsidRPr="00C353E5" w:rsidRDefault="00237D7D" w:rsidP="00BE7843">
      <w:pPr>
        <w:rPr>
          <w:rFonts w:ascii="Times New Roman" w:hAnsi="Times New Roman"/>
          <w:sz w:val="22"/>
          <w:szCs w:val="22"/>
        </w:rPr>
      </w:pPr>
      <w:r w:rsidRPr="00C353E5">
        <w:rPr>
          <w:rFonts w:ascii="Times New Roman" w:hAnsi="Times New Roman"/>
          <w:sz w:val="22"/>
          <w:szCs w:val="22"/>
        </w:rPr>
        <w:t xml:space="preserve">The </w:t>
      </w:r>
      <w:r w:rsidR="00E92FA5" w:rsidRPr="00C353E5">
        <w:rPr>
          <w:rFonts w:ascii="Times New Roman" w:hAnsi="Times New Roman"/>
          <w:sz w:val="22"/>
          <w:szCs w:val="22"/>
        </w:rPr>
        <w:t>EHP</w:t>
      </w:r>
      <w:r w:rsidR="00D809FE" w:rsidRPr="00C353E5">
        <w:rPr>
          <w:rFonts w:ascii="Times New Roman" w:hAnsi="Times New Roman"/>
          <w:sz w:val="22"/>
          <w:szCs w:val="22"/>
        </w:rPr>
        <w:t xml:space="preserve"> will continue to use the requested </w:t>
      </w:r>
      <w:r w:rsidRPr="00C353E5">
        <w:rPr>
          <w:rFonts w:ascii="Times New Roman" w:hAnsi="Times New Roman"/>
          <w:sz w:val="22"/>
          <w:szCs w:val="22"/>
        </w:rPr>
        <w:t>information to determine the eligibility of the applicants and as the basis for approval or disapproval of proposed research</w:t>
      </w:r>
      <w:r w:rsidR="00E92FA5" w:rsidRPr="00C353E5">
        <w:rPr>
          <w:rFonts w:ascii="Times New Roman" w:hAnsi="Times New Roman"/>
          <w:sz w:val="22"/>
          <w:szCs w:val="22"/>
        </w:rPr>
        <w:t xml:space="preserve"> or network operations</w:t>
      </w:r>
      <w:r w:rsidRPr="00C353E5">
        <w:rPr>
          <w:rFonts w:ascii="Times New Roman" w:hAnsi="Times New Roman"/>
          <w:sz w:val="22"/>
          <w:szCs w:val="22"/>
        </w:rPr>
        <w:t xml:space="preserve">. </w:t>
      </w:r>
      <w:r w:rsidR="00506929" w:rsidRPr="00C353E5">
        <w:rPr>
          <w:rFonts w:ascii="Times New Roman" w:hAnsi="Times New Roman"/>
          <w:sz w:val="22"/>
          <w:szCs w:val="22"/>
        </w:rPr>
        <w:t xml:space="preserve">This collection will ensure that sufficient and relevant information is available to evaluate and select applications for funding.  Financial assistance will be awarded following the evaluation and ranking of applications by </w:t>
      </w:r>
      <w:r w:rsidR="00E92FA5" w:rsidRPr="00C353E5">
        <w:rPr>
          <w:rFonts w:ascii="Times New Roman" w:hAnsi="Times New Roman"/>
          <w:sz w:val="22"/>
          <w:szCs w:val="22"/>
        </w:rPr>
        <w:t>a</w:t>
      </w:r>
      <w:r w:rsidR="00506929" w:rsidRPr="00C353E5">
        <w:rPr>
          <w:rFonts w:ascii="Times New Roman" w:hAnsi="Times New Roman"/>
          <w:sz w:val="22"/>
          <w:szCs w:val="22"/>
        </w:rPr>
        <w:t xml:space="preserve"> review panel familiar with the objectives of the </w:t>
      </w:r>
      <w:r w:rsidR="00E92FA5" w:rsidRPr="00C353E5">
        <w:rPr>
          <w:rFonts w:ascii="Times New Roman" w:hAnsi="Times New Roman"/>
          <w:sz w:val="22"/>
          <w:szCs w:val="22"/>
        </w:rPr>
        <w:t>EHP</w:t>
      </w:r>
      <w:r w:rsidR="00506929" w:rsidRPr="00C353E5">
        <w:rPr>
          <w:rFonts w:ascii="Times New Roman" w:hAnsi="Times New Roman"/>
          <w:sz w:val="22"/>
          <w:szCs w:val="22"/>
        </w:rPr>
        <w:t>.</w:t>
      </w:r>
    </w:p>
    <w:p w:rsidR="00506929" w:rsidRPr="00C353E5" w:rsidRDefault="00506929" w:rsidP="00BE7843">
      <w:pPr>
        <w:rPr>
          <w:rFonts w:ascii="Times New Roman" w:hAnsi="Times New Roman"/>
          <w:sz w:val="22"/>
          <w:szCs w:val="22"/>
        </w:rPr>
      </w:pPr>
    </w:p>
    <w:p w:rsidR="004D1285" w:rsidRPr="00C353E5" w:rsidRDefault="004D1285" w:rsidP="00BE7843">
      <w:pPr>
        <w:rPr>
          <w:rFonts w:ascii="Times New Roman" w:hAnsi="Times New Roman"/>
          <w:sz w:val="22"/>
          <w:szCs w:val="22"/>
        </w:rPr>
      </w:pPr>
      <w:r w:rsidRPr="00C353E5">
        <w:rPr>
          <w:rFonts w:ascii="Times New Roman" w:hAnsi="Times New Roman"/>
          <w:sz w:val="22"/>
          <w:szCs w:val="22"/>
        </w:rPr>
        <w:t>T</w:t>
      </w:r>
      <w:r w:rsidR="00237D7D" w:rsidRPr="00C353E5">
        <w:rPr>
          <w:rFonts w:ascii="Times New Roman" w:hAnsi="Times New Roman"/>
          <w:sz w:val="22"/>
          <w:szCs w:val="22"/>
        </w:rPr>
        <w:t>he technical narrative</w:t>
      </w:r>
      <w:r w:rsidR="007A030B">
        <w:rPr>
          <w:rFonts w:ascii="Times New Roman" w:hAnsi="Times New Roman"/>
          <w:sz w:val="22"/>
          <w:szCs w:val="22"/>
        </w:rPr>
        <w:t xml:space="preserve"> of the proposal for assistance support</w:t>
      </w:r>
      <w:r w:rsidR="00237D7D" w:rsidRPr="00C353E5">
        <w:rPr>
          <w:rFonts w:ascii="Times New Roman" w:hAnsi="Times New Roman"/>
          <w:sz w:val="22"/>
          <w:szCs w:val="22"/>
        </w:rPr>
        <w:t xml:space="preserve"> is needed </w:t>
      </w:r>
      <w:r w:rsidR="007A030B">
        <w:rPr>
          <w:rFonts w:ascii="Times New Roman" w:hAnsi="Times New Roman"/>
          <w:sz w:val="22"/>
          <w:szCs w:val="22"/>
        </w:rPr>
        <w:t>as</w:t>
      </w:r>
      <w:r w:rsidR="00237D7D" w:rsidRPr="00C353E5">
        <w:rPr>
          <w:rFonts w:ascii="Times New Roman" w:hAnsi="Times New Roman"/>
          <w:sz w:val="22"/>
          <w:szCs w:val="22"/>
        </w:rPr>
        <w:t xml:space="preserve"> the applicant describe</w:t>
      </w:r>
      <w:r w:rsidR="007A030B">
        <w:rPr>
          <w:rFonts w:ascii="Times New Roman" w:hAnsi="Times New Roman"/>
          <w:sz w:val="22"/>
          <w:szCs w:val="22"/>
        </w:rPr>
        <w:t>s</w:t>
      </w:r>
      <w:r w:rsidR="00237D7D" w:rsidRPr="00C353E5">
        <w:rPr>
          <w:rFonts w:ascii="Times New Roman" w:hAnsi="Times New Roman"/>
          <w:sz w:val="22"/>
          <w:szCs w:val="22"/>
        </w:rPr>
        <w:t xml:space="preserve"> the proposed research </w:t>
      </w:r>
      <w:r w:rsidR="007A030B">
        <w:rPr>
          <w:rFonts w:ascii="Times New Roman" w:hAnsi="Times New Roman"/>
          <w:sz w:val="22"/>
          <w:szCs w:val="22"/>
        </w:rPr>
        <w:t xml:space="preserve">or network operations </w:t>
      </w:r>
      <w:r w:rsidR="00237D7D" w:rsidRPr="00C353E5">
        <w:rPr>
          <w:rFonts w:ascii="Times New Roman" w:hAnsi="Times New Roman"/>
          <w:sz w:val="22"/>
          <w:szCs w:val="22"/>
        </w:rPr>
        <w:t xml:space="preserve">and management plan, and </w:t>
      </w:r>
      <w:r w:rsidR="007C1D84" w:rsidRPr="00C353E5">
        <w:rPr>
          <w:rFonts w:ascii="Times New Roman" w:hAnsi="Times New Roman"/>
          <w:sz w:val="22"/>
          <w:szCs w:val="22"/>
        </w:rPr>
        <w:t xml:space="preserve">peer </w:t>
      </w:r>
      <w:r w:rsidR="00237D7D" w:rsidRPr="00C353E5">
        <w:rPr>
          <w:rFonts w:ascii="Times New Roman" w:hAnsi="Times New Roman"/>
          <w:sz w:val="22"/>
          <w:szCs w:val="22"/>
        </w:rPr>
        <w:t xml:space="preserve">reviewers </w:t>
      </w:r>
      <w:r w:rsidR="007A030B">
        <w:rPr>
          <w:rFonts w:ascii="Times New Roman" w:hAnsi="Times New Roman"/>
          <w:sz w:val="22"/>
          <w:szCs w:val="22"/>
        </w:rPr>
        <w:t xml:space="preserve">subsequently use the narrative </w:t>
      </w:r>
      <w:r w:rsidR="00237D7D" w:rsidRPr="00C353E5">
        <w:rPr>
          <w:rFonts w:ascii="Times New Roman" w:hAnsi="Times New Roman"/>
          <w:sz w:val="22"/>
          <w:szCs w:val="22"/>
        </w:rPr>
        <w:t xml:space="preserve">to evaluate the research </w:t>
      </w:r>
      <w:r w:rsidR="007A030B">
        <w:rPr>
          <w:rFonts w:ascii="Times New Roman" w:hAnsi="Times New Roman"/>
          <w:sz w:val="22"/>
          <w:szCs w:val="22"/>
        </w:rPr>
        <w:t xml:space="preserve">or operations </w:t>
      </w:r>
      <w:r w:rsidR="00237D7D" w:rsidRPr="00C353E5">
        <w:rPr>
          <w:rFonts w:ascii="Times New Roman" w:hAnsi="Times New Roman"/>
          <w:sz w:val="22"/>
          <w:szCs w:val="22"/>
        </w:rPr>
        <w:t xml:space="preserve">against established </w:t>
      </w:r>
      <w:r w:rsidR="00BA35BB" w:rsidRPr="00C353E5">
        <w:rPr>
          <w:rFonts w:ascii="Times New Roman" w:hAnsi="Times New Roman"/>
          <w:sz w:val="22"/>
          <w:szCs w:val="22"/>
        </w:rPr>
        <w:t>EHP</w:t>
      </w:r>
      <w:r w:rsidR="007C1D84" w:rsidRPr="00C353E5">
        <w:rPr>
          <w:rFonts w:ascii="Times New Roman" w:hAnsi="Times New Roman"/>
          <w:sz w:val="22"/>
          <w:szCs w:val="22"/>
        </w:rPr>
        <w:t xml:space="preserve"> </w:t>
      </w:r>
      <w:r w:rsidR="00237D7D" w:rsidRPr="00C353E5">
        <w:rPr>
          <w:rFonts w:ascii="Times New Roman" w:hAnsi="Times New Roman"/>
          <w:sz w:val="22"/>
          <w:szCs w:val="22"/>
        </w:rPr>
        <w:t xml:space="preserve">criteria. The application’s uniform appearance and assembly are needed to minimize the time required by the </w:t>
      </w:r>
      <w:r w:rsidR="00BA35BB" w:rsidRPr="00C353E5">
        <w:rPr>
          <w:rFonts w:ascii="Times New Roman" w:hAnsi="Times New Roman"/>
          <w:sz w:val="22"/>
          <w:szCs w:val="22"/>
        </w:rPr>
        <w:t>bureau</w:t>
      </w:r>
      <w:r w:rsidR="00237D7D" w:rsidRPr="00C353E5">
        <w:rPr>
          <w:rFonts w:ascii="Times New Roman" w:hAnsi="Times New Roman"/>
          <w:sz w:val="22"/>
          <w:szCs w:val="22"/>
        </w:rPr>
        <w:t xml:space="preserve"> to determine applicant eligibility and for review and oversight. Reporting requirements are the minimum required by</w:t>
      </w:r>
      <w:r w:rsidR="003D704D" w:rsidRPr="00C353E5">
        <w:rPr>
          <w:rFonts w:ascii="Times New Roman" w:hAnsi="Times New Roman"/>
          <w:sz w:val="22"/>
          <w:szCs w:val="22"/>
        </w:rPr>
        <w:t xml:space="preserve"> the OMB Circulars. F</w:t>
      </w:r>
      <w:r w:rsidR="00237D7D" w:rsidRPr="00C353E5">
        <w:rPr>
          <w:rFonts w:ascii="Times New Roman" w:hAnsi="Times New Roman"/>
          <w:sz w:val="22"/>
          <w:szCs w:val="22"/>
        </w:rPr>
        <w:t>inal technical report</w:t>
      </w:r>
      <w:r w:rsidR="003D704D" w:rsidRPr="00C353E5">
        <w:rPr>
          <w:rFonts w:ascii="Times New Roman" w:hAnsi="Times New Roman"/>
          <w:sz w:val="22"/>
          <w:szCs w:val="22"/>
        </w:rPr>
        <w:t>s</w:t>
      </w:r>
      <w:r w:rsidR="00237D7D" w:rsidRPr="00C353E5">
        <w:rPr>
          <w:rFonts w:ascii="Times New Roman" w:hAnsi="Times New Roman"/>
          <w:sz w:val="22"/>
          <w:szCs w:val="22"/>
        </w:rPr>
        <w:t xml:space="preserve"> </w:t>
      </w:r>
      <w:r w:rsidR="007A030B">
        <w:rPr>
          <w:rFonts w:ascii="Times New Roman" w:hAnsi="Times New Roman"/>
          <w:sz w:val="22"/>
          <w:szCs w:val="22"/>
        </w:rPr>
        <w:t xml:space="preserve">and annual progress reports </w:t>
      </w:r>
      <w:r w:rsidR="00237D7D" w:rsidRPr="00C353E5">
        <w:rPr>
          <w:rFonts w:ascii="Times New Roman" w:hAnsi="Times New Roman"/>
          <w:sz w:val="22"/>
          <w:szCs w:val="22"/>
        </w:rPr>
        <w:t>are needed for technical monitoring of the projects to assure consistency with the objectives of the program’s legislation. The technical rep</w:t>
      </w:r>
      <w:r w:rsidR="007C1D84" w:rsidRPr="00C353E5">
        <w:rPr>
          <w:rFonts w:ascii="Times New Roman" w:hAnsi="Times New Roman"/>
          <w:sz w:val="22"/>
          <w:szCs w:val="22"/>
        </w:rPr>
        <w:t xml:space="preserve">orts have </w:t>
      </w:r>
      <w:r w:rsidR="00BA35BB" w:rsidRPr="00C353E5">
        <w:rPr>
          <w:rFonts w:ascii="Times New Roman" w:hAnsi="Times New Roman"/>
          <w:sz w:val="22"/>
          <w:szCs w:val="22"/>
        </w:rPr>
        <w:t xml:space="preserve">only general </w:t>
      </w:r>
      <w:r w:rsidR="007C1D84" w:rsidRPr="00C353E5">
        <w:rPr>
          <w:rFonts w:ascii="Times New Roman" w:hAnsi="Times New Roman"/>
          <w:sz w:val="22"/>
          <w:szCs w:val="22"/>
        </w:rPr>
        <w:t>format</w:t>
      </w:r>
      <w:r w:rsidR="00BA35BB" w:rsidRPr="00C353E5">
        <w:rPr>
          <w:rFonts w:ascii="Times New Roman" w:hAnsi="Times New Roman"/>
          <w:sz w:val="22"/>
          <w:szCs w:val="22"/>
        </w:rPr>
        <w:t xml:space="preserve"> requirements</w:t>
      </w:r>
      <w:r w:rsidR="007C1D84" w:rsidRPr="00C353E5">
        <w:rPr>
          <w:rFonts w:ascii="Times New Roman" w:hAnsi="Times New Roman"/>
          <w:sz w:val="22"/>
          <w:szCs w:val="22"/>
        </w:rPr>
        <w:t>. R</w:t>
      </w:r>
      <w:r w:rsidR="00237D7D" w:rsidRPr="00C353E5">
        <w:rPr>
          <w:rFonts w:ascii="Times New Roman" w:hAnsi="Times New Roman"/>
          <w:sz w:val="22"/>
          <w:szCs w:val="22"/>
        </w:rPr>
        <w:t xml:space="preserve">e-prints of peer-reviewed articles submitted for publication in journals </w:t>
      </w:r>
      <w:r w:rsidR="00506929" w:rsidRPr="00C353E5">
        <w:rPr>
          <w:rFonts w:ascii="Times New Roman" w:hAnsi="Times New Roman"/>
          <w:sz w:val="22"/>
          <w:szCs w:val="22"/>
        </w:rPr>
        <w:t xml:space="preserve">have been </w:t>
      </w:r>
      <w:r w:rsidR="00237D7D" w:rsidRPr="00C353E5">
        <w:rPr>
          <w:rFonts w:ascii="Times New Roman" w:hAnsi="Times New Roman"/>
          <w:sz w:val="22"/>
          <w:szCs w:val="22"/>
        </w:rPr>
        <w:t>accepted as final te</w:t>
      </w:r>
      <w:r w:rsidR="007C1D84" w:rsidRPr="00C353E5">
        <w:rPr>
          <w:rFonts w:ascii="Times New Roman" w:hAnsi="Times New Roman"/>
          <w:sz w:val="22"/>
          <w:szCs w:val="22"/>
        </w:rPr>
        <w:t xml:space="preserve">chnical reports. </w:t>
      </w:r>
    </w:p>
    <w:p w:rsidR="004D1285" w:rsidRPr="00C353E5" w:rsidRDefault="004D1285" w:rsidP="00BE7843">
      <w:pPr>
        <w:rPr>
          <w:rFonts w:ascii="Times New Roman" w:hAnsi="Times New Roman"/>
          <w:sz w:val="22"/>
          <w:szCs w:val="22"/>
        </w:rPr>
      </w:pPr>
    </w:p>
    <w:p w:rsidR="004D1285" w:rsidRPr="00C353E5" w:rsidRDefault="004D1285" w:rsidP="00BE7843">
      <w:pPr>
        <w:rPr>
          <w:rFonts w:ascii="Times New Roman" w:hAnsi="Times New Roman"/>
          <w:sz w:val="22"/>
          <w:szCs w:val="22"/>
        </w:rPr>
      </w:pPr>
      <w:r w:rsidRPr="00C353E5">
        <w:rPr>
          <w:rFonts w:ascii="Times New Roman" w:hAnsi="Times New Roman"/>
          <w:sz w:val="22"/>
          <w:szCs w:val="22"/>
        </w:rPr>
        <w:lastRenderedPageBreak/>
        <w:t>The maximum length of the application is 25 pages. The final technical reports are published in their entirety (maximum of 10 MB, including figures) on the EHP External Support office’s website, part of the USGS website. The final technical report requirement was created in response to the requirement in Public Law 95-124, Section 2, paragraph (8), which states: “Improved mechanisms are needed to translate existing information and research findings into reasonable and usable specifications, criteria, and practices so that individuals, organizations, and governmental units may make informed decisions and take appropriate actions</w:t>
      </w:r>
      <w:r w:rsidR="007A030B">
        <w:rPr>
          <w:rFonts w:ascii="Times New Roman" w:hAnsi="Times New Roman"/>
          <w:sz w:val="22"/>
          <w:szCs w:val="22"/>
        </w:rPr>
        <w:t>.”</w:t>
      </w:r>
    </w:p>
    <w:p w:rsidR="00E11A16" w:rsidRPr="00C353E5" w:rsidRDefault="00E11A16" w:rsidP="00BE7843">
      <w:pPr>
        <w:rPr>
          <w:rFonts w:ascii="Times New Roman" w:hAnsi="Times New Roman"/>
          <w:sz w:val="22"/>
          <w:szCs w:val="22"/>
        </w:rPr>
      </w:pPr>
    </w:p>
    <w:p w:rsidR="00B35C46" w:rsidRPr="00C353E5" w:rsidRDefault="002C64CC" w:rsidP="00BE7843">
      <w:pPr>
        <w:rPr>
          <w:rFonts w:ascii="Times New Roman" w:hAnsi="Times New Roman"/>
          <w:b/>
          <w:i/>
          <w:sz w:val="22"/>
          <w:szCs w:val="22"/>
        </w:rPr>
      </w:pPr>
      <w:r w:rsidRPr="00C353E5">
        <w:rPr>
          <w:rFonts w:ascii="Times New Roman" w:hAnsi="Times New Roman"/>
          <w:b/>
          <w:i/>
          <w:sz w:val="22"/>
          <w:szCs w:val="22"/>
        </w:rPr>
        <w:t xml:space="preserve">3.   </w:t>
      </w:r>
      <w:r w:rsidR="00B35C46" w:rsidRPr="00C353E5">
        <w:rPr>
          <w:rFonts w:ascii="Times New Roman" w:hAnsi="Times New Roman"/>
          <w:b/>
          <w:i/>
          <w:sz w:val="22"/>
          <w:szCs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p>
    <w:p w:rsidR="00BA35BB" w:rsidRPr="00C353E5" w:rsidRDefault="00BA35BB" w:rsidP="00BE7843">
      <w:pPr>
        <w:rPr>
          <w:rFonts w:ascii="Times New Roman" w:hAnsi="Times New Roman"/>
          <w:sz w:val="22"/>
          <w:szCs w:val="22"/>
        </w:rPr>
      </w:pPr>
    </w:p>
    <w:p w:rsidR="00BA35BB" w:rsidRPr="00C353E5" w:rsidRDefault="00506929" w:rsidP="00506929">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color w:val="000000"/>
          <w:sz w:val="22"/>
          <w:szCs w:val="22"/>
        </w:rPr>
      </w:pPr>
      <w:r w:rsidRPr="00C353E5">
        <w:rPr>
          <w:rFonts w:ascii="Times New Roman" w:hAnsi="Times New Roman"/>
          <w:sz w:val="22"/>
          <w:szCs w:val="22"/>
        </w:rPr>
        <w:t>All applications must be submitted electronically via Grants.gov (http://www.grants.gov). The progress and final reports will be submitted directly to the program office via e-mail (</w:t>
      </w:r>
      <w:r w:rsidR="00BA35BB" w:rsidRPr="00C353E5">
        <w:rPr>
          <w:rFonts w:ascii="Times New Roman" w:hAnsi="Times New Roman"/>
          <w:color w:val="000000"/>
          <w:sz w:val="22"/>
          <w:szCs w:val="22"/>
        </w:rPr>
        <w:t>gd-erp-coordinator@usgs.gov) and are posted for public use at earthquake.usgs.gov/research/external.</w:t>
      </w:r>
    </w:p>
    <w:p w:rsidR="00B35C46" w:rsidRPr="00C353E5" w:rsidRDefault="00B35C46" w:rsidP="00BA35BB">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color w:val="000000"/>
          <w:sz w:val="22"/>
          <w:szCs w:val="22"/>
        </w:rPr>
      </w:pPr>
    </w:p>
    <w:p w:rsidR="00D95D4D" w:rsidRPr="00C353E5" w:rsidRDefault="007C1D84" w:rsidP="00BE7843">
      <w:pPr>
        <w:rPr>
          <w:rFonts w:ascii="Times New Roman" w:hAnsi="Times New Roman"/>
          <w:b/>
          <w:color w:val="000000"/>
          <w:sz w:val="22"/>
          <w:szCs w:val="22"/>
        </w:rPr>
      </w:pPr>
      <w:r w:rsidRPr="00C353E5">
        <w:rPr>
          <w:rFonts w:ascii="Times New Roman" w:hAnsi="Times New Roman"/>
          <w:b/>
          <w:i/>
          <w:sz w:val="22"/>
          <w:szCs w:val="22"/>
        </w:rPr>
        <w:t xml:space="preserve">4.   </w:t>
      </w:r>
      <w:r w:rsidR="00D95D4D" w:rsidRPr="00C353E5">
        <w:rPr>
          <w:rFonts w:ascii="Times New Roman" w:hAnsi="Times New Roman"/>
          <w:b/>
          <w:i/>
          <w:sz w:val="22"/>
          <w:szCs w:val="22"/>
        </w:rPr>
        <w:t>Describe efforts to identify duplication.  Show specifically why any similar information already available cannot be used or modified for use for the purposes described in Item 2 above.</w:t>
      </w:r>
    </w:p>
    <w:p w:rsidR="00237D7D" w:rsidRPr="00C353E5" w:rsidRDefault="00237D7D" w:rsidP="00BE7843">
      <w:pPr>
        <w:rPr>
          <w:rFonts w:ascii="Times New Roman" w:hAnsi="Times New Roman"/>
          <w:sz w:val="22"/>
          <w:szCs w:val="22"/>
        </w:rPr>
      </w:pPr>
    </w:p>
    <w:p w:rsidR="00237D7D" w:rsidRPr="00C353E5" w:rsidRDefault="00237D7D" w:rsidP="00BE7843">
      <w:pPr>
        <w:rPr>
          <w:rFonts w:ascii="Times New Roman" w:hAnsi="Times New Roman"/>
          <w:sz w:val="22"/>
          <w:szCs w:val="22"/>
        </w:rPr>
      </w:pPr>
      <w:r w:rsidRPr="00C353E5">
        <w:rPr>
          <w:rFonts w:ascii="Times New Roman" w:hAnsi="Times New Roman"/>
          <w:sz w:val="22"/>
          <w:szCs w:val="22"/>
        </w:rPr>
        <w:t>The information is used solely for the purpose of this program and is not duplicated. The subject matter of each application and report are unique to each applicant each year. There is no similar information available which could be used or modified for this purpose.</w:t>
      </w:r>
    </w:p>
    <w:p w:rsidR="00D63F00" w:rsidRPr="00C353E5" w:rsidRDefault="00D63F00" w:rsidP="00BE7843">
      <w:pPr>
        <w:rPr>
          <w:rFonts w:ascii="Times New Roman" w:hAnsi="Times New Roman"/>
          <w:sz w:val="22"/>
          <w:szCs w:val="22"/>
        </w:rPr>
      </w:pPr>
    </w:p>
    <w:p w:rsidR="00B1684A" w:rsidRPr="00C353E5" w:rsidRDefault="002C64CC" w:rsidP="00BE7843">
      <w:pPr>
        <w:rPr>
          <w:rFonts w:ascii="Times New Roman" w:hAnsi="Times New Roman"/>
          <w:b/>
          <w:i/>
          <w:sz w:val="22"/>
          <w:szCs w:val="22"/>
        </w:rPr>
      </w:pPr>
      <w:r w:rsidRPr="00C353E5">
        <w:rPr>
          <w:rFonts w:ascii="Times New Roman" w:hAnsi="Times New Roman"/>
          <w:b/>
          <w:i/>
          <w:sz w:val="22"/>
          <w:szCs w:val="22"/>
        </w:rPr>
        <w:t xml:space="preserve">5.   </w:t>
      </w:r>
      <w:r w:rsidR="00506929" w:rsidRPr="00C353E5">
        <w:rPr>
          <w:rFonts w:ascii="Times New Roman" w:hAnsi="Times New Roman"/>
          <w:b/>
          <w:bCs/>
          <w:i/>
          <w:sz w:val="22"/>
          <w:szCs w:val="22"/>
        </w:rPr>
        <w:t>If the collection of information impacts small businesses or other small entities, describe the methods used to minimize burden.</w:t>
      </w:r>
      <w:r w:rsidR="00506929" w:rsidRPr="00C353E5">
        <w:rPr>
          <w:rFonts w:ascii="Times New Roman" w:hAnsi="Times New Roman"/>
          <w:b/>
          <w:i/>
          <w:sz w:val="22"/>
          <w:szCs w:val="22"/>
        </w:rPr>
        <w:t xml:space="preserve"> </w:t>
      </w:r>
    </w:p>
    <w:p w:rsidR="004D1285" w:rsidRPr="007A030B" w:rsidRDefault="004D1285" w:rsidP="00BE7843">
      <w:pPr>
        <w:rPr>
          <w:rFonts w:ascii="Times New Roman" w:hAnsi="Times New Roman"/>
          <w:sz w:val="22"/>
          <w:szCs w:val="22"/>
        </w:rPr>
      </w:pPr>
    </w:p>
    <w:p w:rsidR="00F41684" w:rsidRPr="00C353E5" w:rsidRDefault="00506929" w:rsidP="00B168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C353E5">
        <w:rPr>
          <w:rFonts w:ascii="Times New Roman" w:hAnsi="Times New Roman"/>
          <w:sz w:val="22"/>
          <w:szCs w:val="22"/>
        </w:rPr>
        <w:t xml:space="preserve">The information collection will not significantly impact small businesses or entities. Applicants generally include </w:t>
      </w:r>
      <w:r w:rsidR="00B1684A" w:rsidRPr="00C353E5">
        <w:rPr>
          <w:rFonts w:ascii="Times New Roman" w:hAnsi="Times New Roman"/>
          <w:sz w:val="22"/>
          <w:szCs w:val="22"/>
        </w:rPr>
        <w:t xml:space="preserve">less than 20 </w:t>
      </w:r>
      <w:r w:rsidRPr="00C353E5">
        <w:rPr>
          <w:rFonts w:ascii="Times New Roman" w:hAnsi="Times New Roman"/>
          <w:sz w:val="22"/>
          <w:szCs w:val="22"/>
        </w:rPr>
        <w:t xml:space="preserve">small businesses per year. </w:t>
      </w:r>
      <w:r w:rsidR="00B1684A" w:rsidRPr="00C353E5">
        <w:rPr>
          <w:rFonts w:ascii="Times New Roman" w:hAnsi="Times New Roman"/>
          <w:sz w:val="22"/>
          <w:szCs w:val="22"/>
        </w:rPr>
        <w:t>Less than 15</w:t>
      </w:r>
      <w:r w:rsidRPr="00C353E5">
        <w:rPr>
          <w:rFonts w:ascii="Times New Roman" w:hAnsi="Times New Roman"/>
          <w:sz w:val="22"/>
          <w:szCs w:val="22"/>
        </w:rPr>
        <w:t xml:space="preserve"> small businesses submit final technical reports each year.  </w:t>
      </w:r>
      <w:r w:rsidR="00B1684A" w:rsidRPr="00C353E5">
        <w:rPr>
          <w:rFonts w:ascii="Times New Roman" w:hAnsi="Times New Roman"/>
          <w:sz w:val="22"/>
          <w:szCs w:val="22"/>
        </w:rPr>
        <w:t xml:space="preserve">(The majority of applicants and awardees are universities.) </w:t>
      </w:r>
      <w:r w:rsidRPr="00C353E5">
        <w:rPr>
          <w:rFonts w:ascii="Times New Roman" w:hAnsi="Times New Roman"/>
          <w:sz w:val="22"/>
          <w:szCs w:val="22"/>
        </w:rPr>
        <w:t>We collect only the minimum information necessary to evaluate applications and ensure that projects are successful and meet the requirements of authorizing statutes and Federal regulations.</w:t>
      </w:r>
    </w:p>
    <w:p w:rsidR="00B1684A" w:rsidRPr="00C353E5" w:rsidRDefault="00B1684A" w:rsidP="00BE7843">
      <w:pPr>
        <w:rPr>
          <w:rFonts w:ascii="Times New Roman" w:hAnsi="Times New Roman"/>
          <w:sz w:val="22"/>
          <w:szCs w:val="22"/>
        </w:rPr>
      </w:pPr>
    </w:p>
    <w:p w:rsidR="00F41684" w:rsidRPr="00C353E5" w:rsidRDefault="007C1D84" w:rsidP="00BE7843">
      <w:pPr>
        <w:rPr>
          <w:rFonts w:ascii="Times New Roman" w:hAnsi="Times New Roman"/>
          <w:b/>
          <w:sz w:val="22"/>
          <w:szCs w:val="22"/>
        </w:rPr>
      </w:pPr>
      <w:r w:rsidRPr="00C353E5">
        <w:rPr>
          <w:rFonts w:ascii="Times New Roman" w:hAnsi="Times New Roman"/>
          <w:b/>
          <w:i/>
          <w:sz w:val="22"/>
          <w:szCs w:val="22"/>
        </w:rPr>
        <w:t xml:space="preserve">6.   </w:t>
      </w:r>
      <w:r w:rsidR="00F41684" w:rsidRPr="00C353E5">
        <w:rPr>
          <w:rFonts w:ascii="Times New Roman" w:hAnsi="Times New Roman"/>
          <w:b/>
          <w:i/>
          <w:sz w:val="22"/>
          <w:szCs w:val="22"/>
        </w:rPr>
        <w:t>Describe the consequence to Federal program or policy activities if the collection is not conducted or is conducted less frequently, as well as any technical or legal obstacles to reducing burden.</w:t>
      </w:r>
    </w:p>
    <w:p w:rsidR="00237D7D" w:rsidRPr="00C353E5" w:rsidRDefault="00237D7D" w:rsidP="00BE7843">
      <w:pPr>
        <w:rPr>
          <w:rFonts w:ascii="Times New Roman" w:hAnsi="Times New Roman"/>
          <w:sz w:val="22"/>
          <w:szCs w:val="22"/>
        </w:rPr>
      </w:pPr>
    </w:p>
    <w:p w:rsidR="00237D7D" w:rsidRPr="00C353E5" w:rsidRDefault="007C1D84" w:rsidP="00BE7843">
      <w:pPr>
        <w:rPr>
          <w:rFonts w:ascii="Times New Roman" w:hAnsi="Times New Roman"/>
          <w:sz w:val="22"/>
          <w:szCs w:val="22"/>
        </w:rPr>
      </w:pPr>
      <w:r w:rsidRPr="00C353E5">
        <w:rPr>
          <w:rFonts w:ascii="Times New Roman" w:hAnsi="Times New Roman"/>
          <w:sz w:val="22"/>
          <w:szCs w:val="22"/>
        </w:rPr>
        <w:t>F</w:t>
      </w:r>
      <w:r w:rsidR="00237D7D" w:rsidRPr="00C353E5">
        <w:rPr>
          <w:rFonts w:ascii="Times New Roman" w:hAnsi="Times New Roman"/>
          <w:sz w:val="22"/>
          <w:szCs w:val="22"/>
        </w:rPr>
        <w:t>unding for the E</w:t>
      </w:r>
      <w:r w:rsidR="00B1684A" w:rsidRPr="00C353E5">
        <w:rPr>
          <w:rFonts w:ascii="Times New Roman" w:hAnsi="Times New Roman"/>
          <w:sz w:val="22"/>
          <w:szCs w:val="22"/>
        </w:rPr>
        <w:t>HP</w:t>
      </w:r>
      <w:r w:rsidR="00237D7D" w:rsidRPr="00C353E5">
        <w:rPr>
          <w:rFonts w:ascii="Times New Roman" w:hAnsi="Times New Roman"/>
          <w:sz w:val="22"/>
          <w:szCs w:val="22"/>
        </w:rPr>
        <w:t xml:space="preserve"> is appropriated on a fiscal year basis as part of the </w:t>
      </w:r>
      <w:r w:rsidR="00506929" w:rsidRPr="00C353E5">
        <w:rPr>
          <w:rFonts w:ascii="Times New Roman" w:hAnsi="Times New Roman"/>
          <w:sz w:val="22"/>
          <w:szCs w:val="22"/>
        </w:rPr>
        <w:t xml:space="preserve">USGS </w:t>
      </w:r>
      <w:r w:rsidR="00237D7D" w:rsidRPr="00C353E5">
        <w:rPr>
          <w:rFonts w:ascii="Times New Roman" w:hAnsi="Times New Roman"/>
          <w:sz w:val="22"/>
          <w:szCs w:val="22"/>
        </w:rPr>
        <w:t>annual appropriation. The program priorities may change each year as directed by Congress. Consequently, the issuance of announcement</w:t>
      </w:r>
      <w:r w:rsidR="00B1684A" w:rsidRPr="00C353E5">
        <w:rPr>
          <w:rFonts w:ascii="Times New Roman" w:hAnsi="Times New Roman"/>
          <w:sz w:val="22"/>
          <w:szCs w:val="22"/>
        </w:rPr>
        <w:t>s</w:t>
      </w:r>
      <w:r w:rsidR="00237D7D" w:rsidRPr="00C353E5">
        <w:rPr>
          <w:rFonts w:ascii="Times New Roman" w:hAnsi="Times New Roman"/>
          <w:sz w:val="22"/>
          <w:szCs w:val="22"/>
        </w:rPr>
        <w:t xml:space="preserve"> and submission of applications must be scheduled no less frequently than annually.</w:t>
      </w:r>
    </w:p>
    <w:p w:rsidR="00083220" w:rsidRPr="00C353E5" w:rsidRDefault="00083220" w:rsidP="00BE7843">
      <w:pPr>
        <w:rPr>
          <w:rFonts w:ascii="Times New Roman" w:hAnsi="Times New Roman"/>
          <w:sz w:val="22"/>
          <w:szCs w:val="22"/>
        </w:rPr>
      </w:pPr>
    </w:p>
    <w:p w:rsidR="00506929" w:rsidRPr="00C353E5" w:rsidRDefault="00506929" w:rsidP="00B1684A">
      <w:pPr>
        <w:rPr>
          <w:rFonts w:ascii="Times New Roman" w:hAnsi="Times New Roman"/>
          <w:b/>
          <w:i/>
          <w:sz w:val="22"/>
          <w:szCs w:val="22"/>
        </w:rPr>
      </w:pPr>
      <w:r w:rsidRPr="00C353E5">
        <w:rPr>
          <w:rFonts w:ascii="Times New Roman" w:hAnsi="Times New Roman"/>
          <w:b/>
          <w:i/>
          <w:sz w:val="22"/>
          <w:szCs w:val="22"/>
        </w:rPr>
        <w:t>7. Explain any special circumstances that would cause an information collection to be conducted in a manner: (i) requiring respondents to report more often than quarterly, (ii) requiring respondents prepare written responses in fewer than 30 days after receipt, (iii) requiring respondents to submit more than an original and two copies of any document, (iv) retain records for more than 3 years; (v) in connection with a statistical survey, that is not designed to produce valid and reliable results that can be generalized to the universe of study; (vi) the use of a statistical data classification that has not been reviewed and approved by OMB; (vii) that includes a pledge of confidentiality not supported by authority established in statute or regulation; requiring respondents to submit proprietary trade secrets or other confidential information.</w:t>
      </w:r>
    </w:p>
    <w:p w:rsidR="00506929" w:rsidRPr="00C353E5" w:rsidRDefault="00506929" w:rsidP="00506929">
      <w:pPr>
        <w:ind w:left="360" w:hanging="360"/>
        <w:rPr>
          <w:rFonts w:ascii="Times New Roman" w:hAnsi="Times New Roman"/>
          <w:sz w:val="22"/>
          <w:szCs w:val="22"/>
        </w:rPr>
      </w:pPr>
    </w:p>
    <w:p w:rsidR="00D7416D" w:rsidRDefault="00D7416D" w:rsidP="00BE7843">
      <w:pPr>
        <w:rPr>
          <w:rFonts w:ascii="Times New Roman" w:hAnsi="Times New Roman"/>
          <w:sz w:val="22"/>
          <w:szCs w:val="22"/>
        </w:rPr>
      </w:pPr>
      <w:r w:rsidRPr="00C353E5">
        <w:rPr>
          <w:rFonts w:ascii="Times New Roman" w:hAnsi="Times New Roman"/>
          <w:sz w:val="22"/>
          <w:szCs w:val="22"/>
        </w:rPr>
        <w:lastRenderedPageBreak/>
        <w:t>There are no circumstances that require us to collect the information in a manner inconsistent with OMB guidelines.</w:t>
      </w:r>
    </w:p>
    <w:p w:rsidR="002871BF" w:rsidRPr="00C353E5" w:rsidRDefault="002871BF" w:rsidP="00BE7843">
      <w:pPr>
        <w:rPr>
          <w:rFonts w:ascii="Times New Roman" w:hAnsi="Times New Roman"/>
          <w:sz w:val="22"/>
          <w:szCs w:val="22"/>
        </w:rPr>
      </w:pPr>
    </w:p>
    <w:p w:rsidR="003F630F" w:rsidRPr="00C353E5" w:rsidRDefault="002C64CC" w:rsidP="00BE7843">
      <w:pPr>
        <w:rPr>
          <w:rFonts w:ascii="Times New Roman" w:hAnsi="Times New Roman"/>
          <w:b/>
          <w:i/>
          <w:sz w:val="22"/>
          <w:szCs w:val="22"/>
        </w:rPr>
      </w:pPr>
      <w:r w:rsidRPr="00C353E5">
        <w:rPr>
          <w:rFonts w:ascii="Times New Roman" w:hAnsi="Times New Roman"/>
          <w:b/>
          <w:i/>
          <w:sz w:val="22"/>
          <w:szCs w:val="22"/>
        </w:rPr>
        <w:t xml:space="preserve">8.   </w:t>
      </w:r>
      <w:r w:rsidR="003F630F" w:rsidRPr="00C353E5">
        <w:rPr>
          <w:rFonts w:ascii="Times New Roman" w:hAnsi="Times New Roman"/>
          <w:b/>
          <w:i/>
          <w:sz w:val="22"/>
          <w:szCs w:val="22"/>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  </w:t>
      </w:r>
    </w:p>
    <w:p w:rsidR="003F630F" w:rsidRPr="00C353E5" w:rsidRDefault="003F630F" w:rsidP="00BE7843">
      <w:pPr>
        <w:rPr>
          <w:rFonts w:ascii="Times New Roman" w:hAnsi="Times New Roman"/>
          <w:b/>
          <w:sz w:val="22"/>
          <w:szCs w:val="22"/>
        </w:rPr>
      </w:pPr>
    </w:p>
    <w:p w:rsidR="003F630F" w:rsidRPr="00C353E5" w:rsidRDefault="003F630F" w:rsidP="00BE7843">
      <w:pPr>
        <w:rPr>
          <w:rFonts w:ascii="Times New Roman" w:hAnsi="Times New Roman"/>
          <w:b/>
          <w:sz w:val="22"/>
          <w:szCs w:val="22"/>
        </w:rPr>
      </w:pPr>
      <w:r w:rsidRPr="00C353E5">
        <w:rPr>
          <w:rFonts w:ascii="Times New Roman" w:hAnsi="Times New Roman"/>
          <w:b/>
          <w:i/>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E24AD" w:rsidRPr="00C353E5" w:rsidRDefault="00FE24AD" w:rsidP="00BE7843">
      <w:pPr>
        <w:rPr>
          <w:rFonts w:ascii="Times New Roman" w:hAnsi="Times New Roman"/>
          <w:sz w:val="22"/>
          <w:szCs w:val="22"/>
        </w:rPr>
      </w:pPr>
    </w:p>
    <w:p w:rsidR="00D7416D" w:rsidRPr="00C353E5" w:rsidRDefault="002871BF" w:rsidP="00BE7843">
      <w:pPr>
        <w:rPr>
          <w:rFonts w:ascii="Times New Roman" w:hAnsi="Times New Roman"/>
          <w:sz w:val="22"/>
          <w:szCs w:val="22"/>
        </w:rPr>
      </w:pPr>
      <w:r>
        <w:rPr>
          <w:rFonts w:ascii="Times New Roman" w:hAnsi="Times New Roman"/>
          <w:sz w:val="22"/>
          <w:szCs w:val="22"/>
        </w:rPr>
        <w:t>On October 31, 2012</w:t>
      </w:r>
      <w:r w:rsidR="00D7416D" w:rsidRPr="00C353E5">
        <w:rPr>
          <w:rFonts w:ascii="Times New Roman" w:hAnsi="Times New Roman"/>
          <w:sz w:val="22"/>
          <w:szCs w:val="22"/>
        </w:rPr>
        <w:t>, we publish</w:t>
      </w:r>
      <w:r>
        <w:rPr>
          <w:rFonts w:ascii="Times New Roman" w:hAnsi="Times New Roman"/>
          <w:sz w:val="22"/>
          <w:szCs w:val="22"/>
        </w:rPr>
        <w:t xml:space="preserve">ed a Federal Register </w:t>
      </w:r>
      <w:r w:rsidRPr="00E16AB5">
        <w:rPr>
          <w:rFonts w:ascii="Times New Roman" w:hAnsi="Times New Roman"/>
          <w:sz w:val="22"/>
          <w:szCs w:val="22"/>
        </w:rPr>
        <w:t>Notice (77</w:t>
      </w:r>
      <w:r w:rsidR="00D7416D" w:rsidRPr="00E16AB5">
        <w:rPr>
          <w:rFonts w:ascii="Times New Roman" w:hAnsi="Times New Roman"/>
          <w:sz w:val="22"/>
          <w:szCs w:val="22"/>
        </w:rPr>
        <w:t xml:space="preserve"> FR </w:t>
      </w:r>
      <w:r w:rsidR="00E16AB5">
        <w:rPr>
          <w:rFonts w:ascii="Times New Roman" w:hAnsi="Times New Roman"/>
          <w:sz w:val="22"/>
          <w:szCs w:val="22"/>
        </w:rPr>
        <w:t>65903</w:t>
      </w:r>
      <w:r w:rsidR="00D7416D" w:rsidRPr="00E16AB5">
        <w:rPr>
          <w:rFonts w:ascii="Times New Roman" w:hAnsi="Times New Roman"/>
          <w:sz w:val="22"/>
          <w:szCs w:val="22"/>
        </w:rPr>
        <w:t>)</w:t>
      </w:r>
      <w:r w:rsidR="00D7416D" w:rsidRPr="00C353E5">
        <w:rPr>
          <w:rFonts w:ascii="Times New Roman" w:hAnsi="Times New Roman"/>
          <w:sz w:val="22"/>
          <w:szCs w:val="22"/>
        </w:rPr>
        <w:t xml:space="preserve"> announcing that we would submit this information request to OMB for approval. In that notice we solicited comments for 60 days, ending </w:t>
      </w:r>
      <w:r>
        <w:rPr>
          <w:rFonts w:ascii="Times New Roman" w:hAnsi="Times New Roman"/>
          <w:sz w:val="22"/>
          <w:szCs w:val="22"/>
        </w:rPr>
        <w:t>December 31, 2012</w:t>
      </w:r>
      <w:r w:rsidR="00D7416D" w:rsidRPr="00C353E5">
        <w:rPr>
          <w:rFonts w:ascii="Times New Roman" w:hAnsi="Times New Roman"/>
          <w:sz w:val="22"/>
          <w:szCs w:val="22"/>
        </w:rPr>
        <w:t>.</w:t>
      </w:r>
      <w:r>
        <w:rPr>
          <w:rFonts w:ascii="Times New Roman" w:hAnsi="Times New Roman"/>
          <w:sz w:val="22"/>
          <w:szCs w:val="22"/>
        </w:rPr>
        <w:t xml:space="preserve"> No</w:t>
      </w:r>
      <w:r w:rsidR="00D7416D" w:rsidRPr="00C353E5">
        <w:rPr>
          <w:rFonts w:ascii="Times New Roman" w:hAnsi="Times New Roman"/>
          <w:sz w:val="22"/>
          <w:szCs w:val="22"/>
        </w:rPr>
        <w:t xml:space="preserve"> comments </w:t>
      </w:r>
      <w:r>
        <w:rPr>
          <w:rFonts w:ascii="Times New Roman" w:hAnsi="Times New Roman"/>
          <w:sz w:val="22"/>
          <w:szCs w:val="22"/>
        </w:rPr>
        <w:t xml:space="preserve">were received </w:t>
      </w:r>
      <w:r w:rsidR="00D7416D" w:rsidRPr="00C353E5">
        <w:rPr>
          <w:rFonts w:ascii="Times New Roman" w:hAnsi="Times New Roman"/>
          <w:sz w:val="22"/>
          <w:szCs w:val="22"/>
        </w:rPr>
        <w:t xml:space="preserve">in response to this notice. </w:t>
      </w:r>
    </w:p>
    <w:p w:rsidR="00D7416D" w:rsidRPr="00C353E5" w:rsidRDefault="00D7416D" w:rsidP="00BE7843">
      <w:pPr>
        <w:rPr>
          <w:rFonts w:ascii="Times New Roman" w:hAnsi="Times New Roman"/>
          <w:sz w:val="22"/>
          <w:szCs w:val="22"/>
        </w:rPr>
      </w:pPr>
    </w:p>
    <w:p w:rsidR="00E41ED0" w:rsidRDefault="00D7416D" w:rsidP="00BE7843">
      <w:pPr>
        <w:rPr>
          <w:rFonts w:ascii="Times New Roman" w:hAnsi="Times New Roman"/>
          <w:sz w:val="22"/>
          <w:szCs w:val="22"/>
        </w:rPr>
      </w:pPr>
      <w:r w:rsidRPr="00C353E5">
        <w:rPr>
          <w:rFonts w:ascii="Times New Roman" w:hAnsi="Times New Roman"/>
          <w:sz w:val="22"/>
          <w:szCs w:val="22"/>
        </w:rPr>
        <w:t xml:space="preserve">In additional to our Federal Register notice, we solicited </w:t>
      </w:r>
      <w:r w:rsidR="00B1684A" w:rsidRPr="00C353E5">
        <w:rPr>
          <w:rFonts w:ascii="Times New Roman" w:hAnsi="Times New Roman"/>
          <w:sz w:val="22"/>
          <w:szCs w:val="22"/>
        </w:rPr>
        <w:t xml:space="preserve">ad hoc </w:t>
      </w:r>
      <w:r w:rsidR="00E109E2">
        <w:rPr>
          <w:rFonts w:ascii="Times New Roman" w:hAnsi="Times New Roman"/>
          <w:sz w:val="22"/>
          <w:szCs w:val="22"/>
        </w:rPr>
        <w:t xml:space="preserve">estimates of times to prepare reports and proposals and general </w:t>
      </w:r>
      <w:r w:rsidRPr="00C353E5">
        <w:rPr>
          <w:rFonts w:ascii="Times New Roman" w:hAnsi="Times New Roman"/>
          <w:sz w:val="22"/>
          <w:szCs w:val="22"/>
        </w:rPr>
        <w:t xml:space="preserve">comments </w:t>
      </w:r>
      <w:r w:rsidR="00E109E2">
        <w:rPr>
          <w:rFonts w:ascii="Times New Roman" w:hAnsi="Times New Roman"/>
          <w:sz w:val="22"/>
          <w:szCs w:val="22"/>
        </w:rPr>
        <w:t xml:space="preserve">on any problems encountered during the proposal submittal period </w:t>
      </w:r>
      <w:r w:rsidRPr="00C353E5">
        <w:rPr>
          <w:rFonts w:ascii="Times New Roman" w:hAnsi="Times New Roman"/>
          <w:sz w:val="22"/>
          <w:szCs w:val="22"/>
        </w:rPr>
        <w:t xml:space="preserve">from </w:t>
      </w:r>
      <w:r w:rsidR="00B1684A" w:rsidRPr="00C353E5">
        <w:rPr>
          <w:rFonts w:ascii="Times New Roman" w:hAnsi="Times New Roman"/>
          <w:sz w:val="22"/>
          <w:szCs w:val="22"/>
        </w:rPr>
        <w:t>s</w:t>
      </w:r>
      <w:r w:rsidR="00FE60F0">
        <w:rPr>
          <w:rFonts w:ascii="Times New Roman" w:hAnsi="Times New Roman"/>
          <w:sz w:val="22"/>
          <w:szCs w:val="22"/>
        </w:rPr>
        <w:t>everal</w:t>
      </w:r>
      <w:r w:rsidR="00B1684A" w:rsidRPr="00C353E5">
        <w:rPr>
          <w:rFonts w:ascii="Times New Roman" w:hAnsi="Times New Roman"/>
          <w:sz w:val="22"/>
          <w:szCs w:val="22"/>
        </w:rPr>
        <w:t xml:space="preserve"> past </w:t>
      </w:r>
      <w:r w:rsidR="00E109E2">
        <w:rPr>
          <w:rFonts w:ascii="Times New Roman" w:hAnsi="Times New Roman"/>
          <w:sz w:val="22"/>
          <w:szCs w:val="22"/>
        </w:rPr>
        <w:t xml:space="preserve">assistance proposers and </w:t>
      </w:r>
      <w:r w:rsidR="00B1684A" w:rsidRPr="00C353E5">
        <w:rPr>
          <w:rFonts w:ascii="Times New Roman" w:hAnsi="Times New Roman"/>
          <w:sz w:val="22"/>
          <w:szCs w:val="22"/>
        </w:rPr>
        <w:t>recipients</w:t>
      </w:r>
      <w:r w:rsidRPr="00C353E5">
        <w:rPr>
          <w:rFonts w:ascii="Times New Roman" w:hAnsi="Times New Roman"/>
          <w:sz w:val="22"/>
          <w:szCs w:val="22"/>
        </w:rPr>
        <w:t xml:space="preserve"> </w:t>
      </w:r>
      <w:r w:rsidR="00E109E2">
        <w:rPr>
          <w:rFonts w:ascii="Times New Roman" w:hAnsi="Times New Roman"/>
          <w:sz w:val="22"/>
          <w:szCs w:val="22"/>
        </w:rPr>
        <w:t xml:space="preserve">(see below) </w:t>
      </w:r>
      <w:r w:rsidRPr="00C353E5">
        <w:rPr>
          <w:rFonts w:ascii="Times New Roman" w:hAnsi="Times New Roman"/>
          <w:sz w:val="22"/>
          <w:szCs w:val="22"/>
        </w:rPr>
        <w:t xml:space="preserve">to obtain their views </w:t>
      </w:r>
      <w:r w:rsidR="00D85352" w:rsidRPr="00C353E5">
        <w:rPr>
          <w:rFonts w:ascii="Times New Roman" w:hAnsi="Times New Roman"/>
          <w:sz w:val="22"/>
          <w:szCs w:val="22"/>
        </w:rPr>
        <w:t>on the burden that the grant application and r</w:t>
      </w:r>
      <w:r w:rsidR="005D60D2" w:rsidRPr="00C353E5">
        <w:rPr>
          <w:rFonts w:ascii="Times New Roman" w:hAnsi="Times New Roman"/>
          <w:sz w:val="22"/>
          <w:szCs w:val="22"/>
        </w:rPr>
        <w:t>eporting imposes</w:t>
      </w:r>
      <w:r w:rsidR="00FE60F0">
        <w:rPr>
          <w:rFonts w:ascii="Times New Roman" w:hAnsi="Times New Roman"/>
          <w:sz w:val="22"/>
          <w:szCs w:val="22"/>
        </w:rPr>
        <w:t>.</w:t>
      </w:r>
      <w:r w:rsidR="00E109E2">
        <w:rPr>
          <w:rFonts w:ascii="Times New Roman" w:hAnsi="Times New Roman"/>
          <w:sz w:val="22"/>
          <w:szCs w:val="22"/>
        </w:rPr>
        <w:t xml:space="preserve">  The amounts of time needed are reflected in our burden times for reports and proposals.  The feedback we received was primarily about </w:t>
      </w:r>
      <w:r w:rsidR="003541C5">
        <w:rPr>
          <w:rFonts w:ascii="Times New Roman" w:hAnsi="Times New Roman"/>
          <w:sz w:val="22"/>
          <w:szCs w:val="22"/>
        </w:rPr>
        <w:t xml:space="preserve">minor </w:t>
      </w:r>
      <w:r w:rsidR="00E109E2">
        <w:rPr>
          <w:rFonts w:ascii="Times New Roman" w:hAnsi="Times New Roman"/>
          <w:sz w:val="22"/>
          <w:szCs w:val="22"/>
        </w:rPr>
        <w:t xml:space="preserve">problems </w:t>
      </w:r>
      <w:r w:rsidR="003541C5">
        <w:rPr>
          <w:rFonts w:ascii="Times New Roman" w:hAnsi="Times New Roman"/>
          <w:sz w:val="22"/>
          <w:szCs w:val="22"/>
        </w:rPr>
        <w:t>with the multi-step process to upload proposals into Grants.gov</w:t>
      </w:r>
      <w:r w:rsidR="00E109E2">
        <w:rPr>
          <w:rFonts w:ascii="Times New Roman" w:hAnsi="Times New Roman"/>
          <w:sz w:val="22"/>
          <w:szCs w:val="22"/>
        </w:rPr>
        <w:t xml:space="preserve">.  </w:t>
      </w:r>
    </w:p>
    <w:p w:rsidR="003541C5" w:rsidRPr="00C353E5" w:rsidRDefault="003541C5" w:rsidP="00BE7843">
      <w:pPr>
        <w:rPr>
          <w:rFonts w:ascii="Times New Roman" w:hAnsi="Times New Roman"/>
          <w:sz w:val="22"/>
          <w:szCs w:val="22"/>
        </w:rPr>
      </w:pPr>
    </w:p>
    <w:p w:rsidR="00BE7843" w:rsidRDefault="002871BF" w:rsidP="00BE7843">
      <w:pPr>
        <w:ind w:left="720"/>
        <w:rPr>
          <w:rFonts w:ascii="Times New Roman" w:hAnsi="Times New Roman"/>
          <w:color w:val="000000"/>
          <w:sz w:val="22"/>
          <w:szCs w:val="22"/>
        </w:rPr>
      </w:pPr>
      <w:proofErr w:type="spellStart"/>
      <w:r>
        <w:rPr>
          <w:rFonts w:ascii="Times New Roman" w:hAnsi="Times New Roman"/>
          <w:color w:val="000000"/>
          <w:sz w:val="22"/>
          <w:szCs w:val="22"/>
        </w:rPr>
        <w:t>Egill</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Hauksson</w:t>
      </w:r>
      <w:proofErr w:type="spellEnd"/>
      <w:r w:rsidR="00BE7843" w:rsidRPr="00C353E5">
        <w:rPr>
          <w:rFonts w:ascii="Times New Roman" w:hAnsi="Times New Roman"/>
          <w:color w:val="000000"/>
          <w:sz w:val="22"/>
          <w:szCs w:val="22"/>
        </w:rPr>
        <w:t xml:space="preserve">, </w:t>
      </w:r>
      <w:r>
        <w:rPr>
          <w:rFonts w:ascii="Times New Roman" w:hAnsi="Times New Roman"/>
          <w:color w:val="000000"/>
          <w:sz w:val="22"/>
          <w:szCs w:val="22"/>
        </w:rPr>
        <w:t>California Institute of Technology</w:t>
      </w:r>
      <w:r w:rsidR="00BE7843" w:rsidRPr="00C353E5">
        <w:rPr>
          <w:rFonts w:ascii="Times New Roman" w:hAnsi="Times New Roman"/>
          <w:color w:val="000000"/>
          <w:sz w:val="22"/>
          <w:szCs w:val="22"/>
        </w:rPr>
        <w:t xml:space="preserve">, </w:t>
      </w:r>
      <w:r>
        <w:rPr>
          <w:rFonts w:ascii="Times New Roman" w:hAnsi="Times New Roman"/>
          <w:color w:val="000000"/>
          <w:sz w:val="22"/>
          <w:szCs w:val="22"/>
        </w:rPr>
        <w:t>Seismological Laboratory</w:t>
      </w:r>
    </w:p>
    <w:p w:rsidR="00BE7843" w:rsidRPr="00C353E5" w:rsidRDefault="002871BF" w:rsidP="00BE7843">
      <w:pPr>
        <w:ind w:left="720"/>
        <w:rPr>
          <w:rFonts w:ascii="Times New Roman" w:hAnsi="Times New Roman"/>
          <w:color w:val="000000"/>
          <w:sz w:val="22"/>
          <w:szCs w:val="22"/>
          <w:lang w:val="es-CO"/>
        </w:rPr>
      </w:pPr>
      <w:r>
        <w:rPr>
          <w:rFonts w:ascii="Times New Roman" w:hAnsi="Times New Roman"/>
          <w:color w:val="000000"/>
          <w:sz w:val="22"/>
          <w:szCs w:val="22"/>
        </w:rPr>
        <w:t xml:space="preserve">12200 E California Blvd, Pasadena, CA </w:t>
      </w:r>
      <w:proofErr w:type="gramStart"/>
      <w:r>
        <w:rPr>
          <w:rFonts w:ascii="Times New Roman" w:hAnsi="Times New Roman"/>
          <w:color w:val="000000"/>
          <w:sz w:val="22"/>
          <w:szCs w:val="22"/>
        </w:rPr>
        <w:t>91125  (</w:t>
      </w:r>
      <w:proofErr w:type="gramEnd"/>
      <w:r>
        <w:rPr>
          <w:rFonts w:ascii="Times New Roman" w:hAnsi="Times New Roman"/>
          <w:color w:val="000000"/>
          <w:sz w:val="22"/>
          <w:szCs w:val="22"/>
        </w:rPr>
        <w:t>626) 395-6919</w:t>
      </w:r>
    </w:p>
    <w:p w:rsidR="00BE7843" w:rsidRPr="00C353E5" w:rsidRDefault="00BE7843" w:rsidP="00BE7843">
      <w:pPr>
        <w:ind w:left="720"/>
        <w:rPr>
          <w:rFonts w:ascii="Times New Roman" w:hAnsi="Times New Roman"/>
          <w:color w:val="000000"/>
          <w:sz w:val="22"/>
          <w:szCs w:val="22"/>
          <w:lang w:val="es-CO"/>
        </w:rPr>
      </w:pPr>
    </w:p>
    <w:p w:rsidR="00BE7843" w:rsidRPr="00C353E5" w:rsidRDefault="002871BF" w:rsidP="002871BF">
      <w:pPr>
        <w:ind w:left="720"/>
        <w:rPr>
          <w:rFonts w:ascii="Times New Roman" w:hAnsi="Times New Roman"/>
          <w:sz w:val="22"/>
          <w:szCs w:val="22"/>
        </w:rPr>
      </w:pPr>
      <w:r>
        <w:rPr>
          <w:rFonts w:ascii="Times New Roman" w:hAnsi="Times New Roman"/>
          <w:sz w:val="22"/>
          <w:szCs w:val="22"/>
        </w:rPr>
        <w:t>Chris Wills</w:t>
      </w:r>
      <w:r w:rsidR="00BE7843" w:rsidRPr="00C353E5">
        <w:rPr>
          <w:rFonts w:ascii="Times New Roman" w:hAnsi="Times New Roman"/>
          <w:sz w:val="22"/>
          <w:szCs w:val="22"/>
        </w:rPr>
        <w:t>, California Geological Survey</w:t>
      </w:r>
    </w:p>
    <w:p w:rsidR="00BE7843" w:rsidRPr="00C353E5" w:rsidRDefault="00BE7843" w:rsidP="00BE7843">
      <w:pPr>
        <w:ind w:left="720"/>
        <w:rPr>
          <w:rFonts w:ascii="Times New Roman" w:hAnsi="Times New Roman"/>
          <w:sz w:val="22"/>
          <w:szCs w:val="22"/>
        </w:rPr>
      </w:pPr>
      <w:r w:rsidRPr="00C353E5">
        <w:rPr>
          <w:rFonts w:ascii="Times New Roman" w:hAnsi="Times New Roman"/>
          <w:sz w:val="22"/>
          <w:szCs w:val="22"/>
        </w:rPr>
        <w:t>801 K Street, Sacramento, CA 95814   (916) 32</w:t>
      </w:r>
      <w:r w:rsidR="002871BF">
        <w:rPr>
          <w:rFonts w:ascii="Times New Roman" w:hAnsi="Times New Roman"/>
          <w:sz w:val="22"/>
          <w:szCs w:val="22"/>
        </w:rPr>
        <w:t>2-1080</w:t>
      </w:r>
    </w:p>
    <w:p w:rsidR="00BE7843" w:rsidRPr="00C353E5" w:rsidRDefault="00BE7843" w:rsidP="00BE7843">
      <w:pPr>
        <w:ind w:left="720"/>
        <w:rPr>
          <w:rFonts w:ascii="Times New Roman" w:hAnsi="Times New Roman"/>
          <w:sz w:val="22"/>
          <w:szCs w:val="22"/>
        </w:rPr>
      </w:pPr>
    </w:p>
    <w:p w:rsidR="00BE7843" w:rsidRPr="00C353E5" w:rsidRDefault="00BE7843" w:rsidP="00BE7843">
      <w:pPr>
        <w:ind w:left="720"/>
        <w:rPr>
          <w:rFonts w:ascii="Times New Roman" w:hAnsi="Times New Roman"/>
          <w:sz w:val="22"/>
          <w:szCs w:val="22"/>
        </w:rPr>
      </w:pPr>
      <w:r w:rsidRPr="00C353E5">
        <w:rPr>
          <w:rFonts w:ascii="Times New Roman" w:hAnsi="Times New Roman"/>
          <w:sz w:val="22"/>
          <w:szCs w:val="22"/>
        </w:rPr>
        <w:t>Ivan Wong, Seismic Hazards Group, URS Corporation</w:t>
      </w:r>
    </w:p>
    <w:p w:rsidR="00BE7843" w:rsidRPr="00C353E5" w:rsidRDefault="00BE7843" w:rsidP="00BE7843">
      <w:pPr>
        <w:ind w:left="720"/>
        <w:rPr>
          <w:rFonts w:ascii="Times New Roman" w:hAnsi="Times New Roman"/>
          <w:sz w:val="22"/>
          <w:szCs w:val="22"/>
        </w:rPr>
      </w:pPr>
      <w:r w:rsidRPr="00C353E5">
        <w:rPr>
          <w:rFonts w:ascii="Times New Roman" w:hAnsi="Times New Roman"/>
          <w:sz w:val="22"/>
          <w:szCs w:val="22"/>
        </w:rPr>
        <w:t xml:space="preserve">1333 Broadway, </w:t>
      </w:r>
      <w:smartTag w:uri="urn:schemas-microsoft-com:office:smarttags" w:element="address">
        <w:smartTag w:uri="urn:schemas-microsoft-com:office:smarttags" w:element="Street">
          <w:r w:rsidRPr="00C353E5">
            <w:rPr>
              <w:rFonts w:ascii="Times New Roman" w:hAnsi="Times New Roman"/>
              <w:sz w:val="22"/>
              <w:szCs w:val="22"/>
            </w:rPr>
            <w:t>Suite</w:t>
          </w:r>
        </w:smartTag>
        <w:r w:rsidRPr="00C353E5">
          <w:rPr>
            <w:rFonts w:ascii="Times New Roman" w:hAnsi="Times New Roman"/>
            <w:sz w:val="22"/>
            <w:szCs w:val="22"/>
          </w:rPr>
          <w:t xml:space="preserve"> 800</w:t>
        </w:r>
      </w:smartTag>
      <w:r w:rsidRPr="00C353E5">
        <w:rPr>
          <w:rFonts w:ascii="Times New Roman" w:hAnsi="Times New Roman"/>
          <w:sz w:val="22"/>
          <w:szCs w:val="22"/>
        </w:rPr>
        <w:t xml:space="preserve">, </w:t>
      </w:r>
      <w:smartTag w:uri="urn:schemas-microsoft-com:office:smarttags" w:element="place">
        <w:smartTag w:uri="urn:schemas-microsoft-com:office:smarttags" w:element="City">
          <w:r w:rsidRPr="00C353E5">
            <w:rPr>
              <w:rFonts w:ascii="Times New Roman" w:hAnsi="Times New Roman"/>
              <w:sz w:val="22"/>
              <w:szCs w:val="22"/>
            </w:rPr>
            <w:t>Oakland</w:t>
          </w:r>
        </w:smartTag>
        <w:r w:rsidRPr="00C353E5">
          <w:rPr>
            <w:rFonts w:ascii="Times New Roman" w:hAnsi="Times New Roman"/>
            <w:sz w:val="22"/>
            <w:szCs w:val="22"/>
          </w:rPr>
          <w:t xml:space="preserve">, </w:t>
        </w:r>
        <w:smartTag w:uri="urn:schemas-microsoft-com:office:smarttags" w:element="State">
          <w:r w:rsidRPr="00C353E5">
            <w:rPr>
              <w:rFonts w:ascii="Times New Roman" w:hAnsi="Times New Roman"/>
              <w:sz w:val="22"/>
              <w:szCs w:val="22"/>
            </w:rPr>
            <w:t>CA</w:t>
          </w:r>
        </w:smartTag>
        <w:r w:rsidRPr="00C353E5">
          <w:rPr>
            <w:rFonts w:ascii="Times New Roman" w:hAnsi="Times New Roman"/>
            <w:sz w:val="22"/>
            <w:szCs w:val="22"/>
          </w:rPr>
          <w:t xml:space="preserve"> </w:t>
        </w:r>
        <w:smartTag w:uri="urn:schemas-microsoft-com:office:smarttags" w:element="PostalCode">
          <w:r w:rsidRPr="00C353E5">
            <w:rPr>
              <w:rFonts w:ascii="Times New Roman" w:hAnsi="Times New Roman"/>
              <w:sz w:val="22"/>
              <w:szCs w:val="22"/>
            </w:rPr>
            <w:t>94612</w:t>
          </w:r>
        </w:smartTag>
      </w:smartTag>
      <w:r w:rsidRPr="00C353E5">
        <w:rPr>
          <w:rFonts w:ascii="Times New Roman" w:hAnsi="Times New Roman"/>
          <w:sz w:val="22"/>
          <w:szCs w:val="22"/>
        </w:rPr>
        <w:t xml:space="preserve">   (510) 874-3014</w:t>
      </w:r>
    </w:p>
    <w:p w:rsidR="00E41ED0" w:rsidRPr="00C353E5" w:rsidRDefault="00E41ED0" w:rsidP="00BE7843">
      <w:pPr>
        <w:rPr>
          <w:rFonts w:ascii="Times New Roman" w:hAnsi="Times New Roman"/>
          <w:sz w:val="22"/>
          <w:szCs w:val="22"/>
        </w:rPr>
      </w:pPr>
    </w:p>
    <w:p w:rsidR="009103C2" w:rsidRPr="00C353E5" w:rsidRDefault="00BE7843" w:rsidP="00BE7843">
      <w:pPr>
        <w:rPr>
          <w:rFonts w:ascii="Times New Roman" w:hAnsi="Times New Roman"/>
          <w:b/>
          <w:sz w:val="22"/>
          <w:szCs w:val="22"/>
        </w:rPr>
      </w:pPr>
      <w:r w:rsidRPr="00C353E5">
        <w:rPr>
          <w:rFonts w:ascii="Times New Roman" w:hAnsi="Times New Roman"/>
          <w:b/>
          <w:i/>
          <w:sz w:val="22"/>
          <w:szCs w:val="22"/>
        </w:rPr>
        <w:t xml:space="preserve">9.   </w:t>
      </w:r>
      <w:r w:rsidR="009103C2" w:rsidRPr="00C353E5">
        <w:rPr>
          <w:rFonts w:ascii="Times New Roman" w:hAnsi="Times New Roman"/>
          <w:b/>
          <w:i/>
          <w:sz w:val="22"/>
          <w:szCs w:val="22"/>
        </w:rPr>
        <w:t>Explain any decision to provide any payment or gift to respondents, other than remuneration of contractors or grantees.</w:t>
      </w:r>
      <w:r w:rsidR="009103C2" w:rsidRPr="00C353E5">
        <w:rPr>
          <w:rFonts w:ascii="Times New Roman" w:hAnsi="Times New Roman"/>
          <w:b/>
          <w:sz w:val="22"/>
          <w:szCs w:val="22"/>
        </w:rPr>
        <w:t xml:space="preserve"> </w:t>
      </w:r>
    </w:p>
    <w:p w:rsidR="00237D7D" w:rsidRPr="00C353E5" w:rsidRDefault="00237D7D" w:rsidP="00BE7843">
      <w:pPr>
        <w:rPr>
          <w:rFonts w:ascii="Times New Roman" w:hAnsi="Times New Roman"/>
          <w:sz w:val="22"/>
          <w:szCs w:val="22"/>
        </w:rPr>
      </w:pPr>
    </w:p>
    <w:p w:rsidR="00D7416D" w:rsidRPr="00C353E5" w:rsidRDefault="00D7416D" w:rsidP="00D7416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C353E5">
        <w:rPr>
          <w:rFonts w:ascii="Times New Roman" w:hAnsi="Times New Roman"/>
          <w:sz w:val="22"/>
          <w:szCs w:val="22"/>
        </w:rPr>
        <w:t>Except for the remuneration of grantees, no payments or gifts are provided to the respondents.</w:t>
      </w:r>
    </w:p>
    <w:p w:rsidR="008346C9" w:rsidRPr="00C353E5" w:rsidRDefault="008346C9" w:rsidP="00BE7843">
      <w:pPr>
        <w:rPr>
          <w:rFonts w:ascii="Times New Roman" w:hAnsi="Times New Roman"/>
          <w:sz w:val="22"/>
          <w:szCs w:val="22"/>
        </w:rPr>
      </w:pPr>
    </w:p>
    <w:p w:rsidR="008346C9" w:rsidRPr="00C353E5" w:rsidRDefault="002C64CC" w:rsidP="00BE7843">
      <w:pPr>
        <w:rPr>
          <w:rFonts w:ascii="Times New Roman" w:hAnsi="Times New Roman"/>
          <w:b/>
          <w:i/>
          <w:sz w:val="22"/>
          <w:szCs w:val="22"/>
        </w:rPr>
      </w:pPr>
      <w:r w:rsidRPr="00C353E5">
        <w:rPr>
          <w:rFonts w:ascii="Times New Roman" w:hAnsi="Times New Roman"/>
          <w:b/>
          <w:i/>
          <w:sz w:val="22"/>
          <w:szCs w:val="22"/>
        </w:rPr>
        <w:t xml:space="preserve">10.   </w:t>
      </w:r>
      <w:r w:rsidR="008346C9" w:rsidRPr="00C353E5">
        <w:rPr>
          <w:rFonts w:ascii="Times New Roman" w:hAnsi="Times New Roman"/>
          <w:b/>
          <w:i/>
          <w:sz w:val="22"/>
          <w:szCs w:val="22"/>
        </w:rPr>
        <w:t xml:space="preserve">Describe any assurance of confidentiality provided to respondents and the basis for the assurance in statute, regulation, or agency policy.  </w:t>
      </w:r>
    </w:p>
    <w:p w:rsidR="008346C9" w:rsidRPr="00C353E5" w:rsidRDefault="008346C9" w:rsidP="00BE7843">
      <w:pPr>
        <w:rPr>
          <w:rFonts w:ascii="Times New Roman" w:hAnsi="Times New Roman"/>
          <w:sz w:val="22"/>
          <w:szCs w:val="22"/>
        </w:rPr>
      </w:pPr>
    </w:p>
    <w:p w:rsidR="00237D7D" w:rsidRPr="00C353E5" w:rsidRDefault="00237D7D" w:rsidP="00BE7843">
      <w:pPr>
        <w:rPr>
          <w:rFonts w:ascii="Times New Roman" w:hAnsi="Times New Roman"/>
          <w:sz w:val="22"/>
          <w:szCs w:val="22"/>
        </w:rPr>
      </w:pPr>
      <w:r w:rsidRPr="00C353E5">
        <w:rPr>
          <w:rFonts w:ascii="Times New Roman" w:hAnsi="Times New Roman"/>
          <w:sz w:val="22"/>
          <w:szCs w:val="22"/>
        </w:rPr>
        <w:t>No assurance of confidentiality is provided.</w:t>
      </w:r>
    </w:p>
    <w:p w:rsidR="008346C9" w:rsidRPr="00C353E5" w:rsidRDefault="008346C9" w:rsidP="00BE7843">
      <w:pPr>
        <w:rPr>
          <w:rFonts w:ascii="Times New Roman" w:hAnsi="Times New Roman"/>
          <w:sz w:val="22"/>
          <w:szCs w:val="22"/>
        </w:rPr>
      </w:pPr>
    </w:p>
    <w:p w:rsidR="008346C9" w:rsidRPr="00C353E5" w:rsidRDefault="002C64CC" w:rsidP="00BE7843">
      <w:pPr>
        <w:rPr>
          <w:rFonts w:ascii="Times New Roman" w:hAnsi="Times New Roman"/>
          <w:b/>
          <w:i/>
          <w:sz w:val="22"/>
          <w:szCs w:val="22"/>
        </w:rPr>
      </w:pPr>
      <w:r w:rsidRPr="00C353E5">
        <w:rPr>
          <w:rFonts w:ascii="Times New Roman" w:hAnsi="Times New Roman"/>
          <w:b/>
          <w:i/>
          <w:sz w:val="22"/>
          <w:szCs w:val="22"/>
        </w:rPr>
        <w:t xml:space="preserve">11.   </w:t>
      </w:r>
      <w:r w:rsidR="008346C9" w:rsidRPr="00C353E5">
        <w:rPr>
          <w:rFonts w:ascii="Times New Roman" w:hAnsi="Times New Roman"/>
          <w:b/>
          <w:i/>
          <w:sz w:val="22"/>
          <w:szCs w:val="22"/>
        </w:rPr>
        <w:t xml:space="preserve">Provide additional justification for any questions of a sensitive nature, such as sexual behavior and attitudes, religious beliefs, and other matters that are commonly considered private.  This </w:t>
      </w:r>
      <w:r w:rsidR="008346C9" w:rsidRPr="00C353E5">
        <w:rPr>
          <w:rFonts w:ascii="Times New Roman" w:hAnsi="Times New Roman"/>
          <w:b/>
          <w:i/>
          <w:sz w:val="22"/>
          <w:szCs w:val="22"/>
        </w:rPr>
        <w:lastRenderedPageBreak/>
        <w:t xml:space="preserve">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346C9" w:rsidRPr="00C353E5" w:rsidRDefault="008346C9" w:rsidP="00BE7843">
      <w:pPr>
        <w:rPr>
          <w:rFonts w:ascii="Times New Roman" w:hAnsi="Times New Roman"/>
          <w:sz w:val="22"/>
          <w:szCs w:val="22"/>
        </w:rPr>
      </w:pPr>
    </w:p>
    <w:p w:rsidR="00237D7D" w:rsidRPr="00C353E5" w:rsidRDefault="00237D7D" w:rsidP="00BE7843">
      <w:pPr>
        <w:rPr>
          <w:rFonts w:ascii="Times New Roman" w:hAnsi="Times New Roman"/>
          <w:sz w:val="22"/>
          <w:szCs w:val="22"/>
        </w:rPr>
      </w:pPr>
      <w:r w:rsidRPr="00C353E5">
        <w:rPr>
          <w:rFonts w:ascii="Times New Roman" w:hAnsi="Times New Roman"/>
          <w:sz w:val="22"/>
          <w:szCs w:val="22"/>
        </w:rPr>
        <w:t>No sensitive questions are asked.</w:t>
      </w:r>
    </w:p>
    <w:p w:rsidR="00E82E54" w:rsidRPr="00C353E5" w:rsidRDefault="00E82E54" w:rsidP="00BE7843">
      <w:pPr>
        <w:rPr>
          <w:rFonts w:ascii="Times New Roman" w:hAnsi="Times New Roman"/>
          <w:sz w:val="22"/>
          <w:szCs w:val="22"/>
        </w:rPr>
      </w:pPr>
    </w:p>
    <w:p w:rsidR="00E82E54" w:rsidRPr="00C353E5" w:rsidRDefault="002C64CC" w:rsidP="00D7416D">
      <w:pPr>
        <w:rPr>
          <w:rFonts w:ascii="Times New Roman" w:hAnsi="Times New Roman"/>
          <w:b/>
          <w:sz w:val="22"/>
          <w:szCs w:val="22"/>
        </w:rPr>
      </w:pPr>
      <w:r w:rsidRPr="00C353E5">
        <w:rPr>
          <w:rFonts w:ascii="Times New Roman" w:hAnsi="Times New Roman"/>
          <w:b/>
          <w:i/>
          <w:sz w:val="22"/>
          <w:szCs w:val="22"/>
        </w:rPr>
        <w:t xml:space="preserve">12.   </w:t>
      </w:r>
      <w:r w:rsidR="00E82E54" w:rsidRPr="00C353E5">
        <w:rPr>
          <w:rFonts w:ascii="Times New Roman" w:hAnsi="Times New Roman"/>
          <w:b/>
          <w:i/>
          <w:sz w:val="22"/>
          <w:szCs w:val="22"/>
        </w:rPr>
        <w:t xml:space="preserve">Provide estimates of the hour burden of the collection of information.  </w:t>
      </w:r>
    </w:p>
    <w:p w:rsidR="00237D7D" w:rsidRPr="00C353E5" w:rsidRDefault="00237D7D" w:rsidP="00BE7843">
      <w:pPr>
        <w:rPr>
          <w:rFonts w:ascii="Times New Roman" w:hAnsi="Times New Roman"/>
          <w:sz w:val="22"/>
          <w:szCs w:val="22"/>
        </w:rPr>
      </w:pPr>
    </w:p>
    <w:p w:rsidR="00C353E5" w:rsidRPr="00AA0EF1" w:rsidRDefault="00C353E5" w:rsidP="00BE7843">
      <w:pPr>
        <w:rPr>
          <w:rFonts w:ascii="Times New Roman" w:hAnsi="Times New Roman"/>
          <w:sz w:val="22"/>
          <w:szCs w:val="22"/>
        </w:rPr>
      </w:pPr>
      <w:r w:rsidRPr="00AA0EF1">
        <w:rPr>
          <w:rFonts w:ascii="Times New Roman" w:hAnsi="Times New Roman"/>
          <w:sz w:val="22"/>
          <w:szCs w:val="22"/>
        </w:rPr>
        <w:t xml:space="preserve">Our estimates, in Table </w:t>
      </w:r>
      <w:r w:rsidR="007A030B">
        <w:rPr>
          <w:rFonts w:ascii="Times New Roman" w:hAnsi="Times New Roman"/>
          <w:sz w:val="22"/>
          <w:szCs w:val="22"/>
        </w:rPr>
        <w:t>1</w:t>
      </w:r>
      <w:r w:rsidRPr="00AA0EF1">
        <w:rPr>
          <w:rFonts w:ascii="Times New Roman" w:hAnsi="Times New Roman"/>
          <w:sz w:val="22"/>
          <w:szCs w:val="22"/>
        </w:rPr>
        <w:t xml:space="preserve"> below, are based on our own knowledge plus the outreach described in item 8. </w:t>
      </w:r>
    </w:p>
    <w:p w:rsidR="00C353E5" w:rsidRPr="00AA0EF1" w:rsidRDefault="00C353E5" w:rsidP="00BE7843">
      <w:pPr>
        <w:rPr>
          <w:rFonts w:ascii="Times New Roman" w:hAnsi="Times New Roman"/>
          <w:sz w:val="22"/>
          <w:szCs w:val="22"/>
        </w:rPr>
      </w:pPr>
    </w:p>
    <w:p w:rsidR="00C353E5" w:rsidRPr="00AA0EF1" w:rsidRDefault="00C353E5" w:rsidP="00AA0EF1">
      <w:pPr>
        <w:rPr>
          <w:rFonts w:ascii="Times New Roman" w:hAnsi="Times New Roman"/>
          <w:sz w:val="22"/>
          <w:szCs w:val="22"/>
        </w:rPr>
      </w:pPr>
      <w:r w:rsidRPr="00AA0EF1">
        <w:rPr>
          <w:rFonts w:ascii="Times New Roman" w:hAnsi="Times New Roman"/>
          <w:b/>
          <w:i/>
          <w:sz w:val="22"/>
          <w:szCs w:val="22"/>
        </w:rPr>
        <w:t>Narrative</w:t>
      </w:r>
      <w:r w:rsidR="007A030B">
        <w:rPr>
          <w:rFonts w:ascii="Times New Roman" w:hAnsi="Times New Roman"/>
          <w:b/>
          <w:i/>
          <w:sz w:val="22"/>
          <w:szCs w:val="22"/>
        </w:rPr>
        <w:t>/Proposal</w:t>
      </w:r>
      <w:r w:rsidRPr="00AA0EF1">
        <w:rPr>
          <w:rFonts w:ascii="Times New Roman" w:hAnsi="Times New Roman"/>
          <w:b/>
          <w:i/>
          <w:sz w:val="22"/>
          <w:szCs w:val="22"/>
        </w:rPr>
        <w:t xml:space="preserve"> Preparation</w:t>
      </w:r>
      <w:r w:rsidRPr="00AA0EF1">
        <w:rPr>
          <w:rFonts w:ascii="Times New Roman" w:hAnsi="Times New Roman"/>
          <w:sz w:val="22"/>
          <w:szCs w:val="22"/>
        </w:rPr>
        <w:t>: We anticipate that it will take each applicant approximately 45 hours to complete the project narrative and to provide any other relevant supporting documents</w:t>
      </w:r>
      <w:r w:rsidR="007A030B">
        <w:rPr>
          <w:rFonts w:ascii="Times New Roman" w:hAnsi="Times New Roman"/>
          <w:sz w:val="22"/>
          <w:szCs w:val="22"/>
        </w:rPr>
        <w:t xml:space="preserve"> as a proposal for assistance support</w:t>
      </w:r>
      <w:r w:rsidRPr="00AA0EF1">
        <w:rPr>
          <w:rFonts w:ascii="Times New Roman" w:hAnsi="Times New Roman"/>
          <w:sz w:val="22"/>
          <w:szCs w:val="22"/>
        </w:rPr>
        <w:t xml:space="preserve"> (totaling 11,250 hours). </w:t>
      </w:r>
    </w:p>
    <w:p w:rsidR="00C353E5" w:rsidRPr="00AA0EF1" w:rsidRDefault="00C353E5" w:rsidP="00BE7843">
      <w:pPr>
        <w:rPr>
          <w:rFonts w:ascii="Times New Roman" w:hAnsi="Times New Roman"/>
          <w:sz w:val="22"/>
          <w:szCs w:val="22"/>
        </w:rPr>
      </w:pPr>
    </w:p>
    <w:p w:rsidR="0088250D" w:rsidRDefault="00AA0EF1" w:rsidP="0088250D">
      <w:pPr>
        <w:rPr>
          <w:rFonts w:ascii="Times New Roman" w:hAnsi="Times New Roman"/>
          <w:i/>
          <w:sz w:val="22"/>
          <w:szCs w:val="22"/>
        </w:rPr>
      </w:pPr>
      <w:r w:rsidRPr="00AA0EF1">
        <w:rPr>
          <w:rFonts w:ascii="Times New Roman" w:hAnsi="Times New Roman"/>
          <w:b/>
          <w:i/>
          <w:sz w:val="22"/>
          <w:szCs w:val="22"/>
        </w:rPr>
        <w:t>Final Report Preparation:</w:t>
      </w:r>
      <w:r>
        <w:rPr>
          <w:rFonts w:ascii="Times New Roman" w:hAnsi="Times New Roman"/>
          <w:sz w:val="22"/>
          <w:szCs w:val="22"/>
        </w:rPr>
        <w:t xml:space="preserve"> </w:t>
      </w:r>
      <w:r w:rsidR="00C353E5" w:rsidRPr="00AA0EF1">
        <w:rPr>
          <w:rFonts w:ascii="Times New Roman" w:hAnsi="Times New Roman"/>
          <w:sz w:val="22"/>
          <w:szCs w:val="22"/>
        </w:rPr>
        <w:t>Based on past averages and future projections for this activity, we anticipate awarding an averag</w:t>
      </w:r>
      <w:r w:rsidR="003541C5">
        <w:rPr>
          <w:rFonts w:ascii="Times New Roman" w:hAnsi="Times New Roman"/>
          <w:sz w:val="22"/>
          <w:szCs w:val="22"/>
        </w:rPr>
        <w:t>e of 100 grants per year. The 10</w:t>
      </w:r>
      <w:r w:rsidR="00C353E5" w:rsidRPr="00AA0EF1">
        <w:rPr>
          <w:rFonts w:ascii="Times New Roman" w:hAnsi="Times New Roman"/>
          <w:sz w:val="22"/>
          <w:szCs w:val="22"/>
        </w:rPr>
        <w:t>0 award recipients are required to submit either a progress report or a final technical report</w:t>
      </w:r>
      <w:r>
        <w:rPr>
          <w:rFonts w:ascii="Times New Roman" w:hAnsi="Times New Roman"/>
          <w:sz w:val="22"/>
          <w:szCs w:val="22"/>
        </w:rPr>
        <w:t>. We estimate that it will take an</w:t>
      </w:r>
      <w:r w:rsidR="003541C5">
        <w:rPr>
          <w:rFonts w:ascii="Times New Roman" w:hAnsi="Times New Roman"/>
          <w:sz w:val="22"/>
          <w:szCs w:val="22"/>
        </w:rPr>
        <w:t xml:space="preserve"> average of 12</w:t>
      </w:r>
      <w:r w:rsidR="00C353E5" w:rsidRPr="00AA0EF1">
        <w:rPr>
          <w:rFonts w:ascii="Times New Roman" w:hAnsi="Times New Roman"/>
          <w:sz w:val="22"/>
          <w:szCs w:val="22"/>
        </w:rPr>
        <w:t xml:space="preserve"> hours </w:t>
      </w:r>
      <w:r>
        <w:rPr>
          <w:rFonts w:ascii="Times New Roman" w:hAnsi="Times New Roman"/>
          <w:sz w:val="22"/>
          <w:szCs w:val="22"/>
        </w:rPr>
        <w:t xml:space="preserve">to complete </w:t>
      </w:r>
      <w:r w:rsidR="00FB2160">
        <w:rPr>
          <w:rFonts w:ascii="Times New Roman" w:hAnsi="Times New Roman"/>
          <w:sz w:val="22"/>
          <w:szCs w:val="22"/>
        </w:rPr>
        <w:t>the report</w:t>
      </w:r>
      <w:r>
        <w:rPr>
          <w:rFonts w:ascii="Times New Roman" w:hAnsi="Times New Roman"/>
          <w:sz w:val="22"/>
          <w:szCs w:val="22"/>
        </w:rPr>
        <w:t xml:space="preserve"> </w:t>
      </w:r>
      <w:r w:rsidR="003541C5">
        <w:rPr>
          <w:rFonts w:ascii="Times New Roman" w:hAnsi="Times New Roman"/>
          <w:sz w:val="22"/>
          <w:szCs w:val="22"/>
        </w:rPr>
        <w:t>(totaling 1,200</w:t>
      </w:r>
      <w:r w:rsidRPr="00AA0EF1">
        <w:rPr>
          <w:rFonts w:ascii="Times New Roman" w:hAnsi="Times New Roman"/>
          <w:sz w:val="22"/>
          <w:szCs w:val="22"/>
        </w:rPr>
        <w:t xml:space="preserve"> hours)</w:t>
      </w:r>
      <w:r w:rsidR="007C6999">
        <w:rPr>
          <w:rFonts w:ascii="Times New Roman" w:hAnsi="Times New Roman"/>
          <w:sz w:val="22"/>
          <w:szCs w:val="22"/>
        </w:rPr>
        <w:t xml:space="preserve">. </w:t>
      </w:r>
    </w:p>
    <w:p w:rsidR="0088250D" w:rsidRPr="003541C5" w:rsidRDefault="0088250D" w:rsidP="0088250D">
      <w:pPr>
        <w:rPr>
          <w:rFonts w:ascii="Times New Roman" w:hAnsi="Times New Roman"/>
          <w:sz w:val="22"/>
          <w:szCs w:val="22"/>
        </w:rPr>
      </w:pPr>
    </w:p>
    <w:p w:rsidR="0088250D" w:rsidRDefault="0088250D" w:rsidP="0088250D">
      <w:pPr>
        <w:rPr>
          <w:rFonts w:ascii="Times New Roman" w:hAnsi="Times New Roman"/>
          <w:sz w:val="22"/>
          <w:szCs w:val="22"/>
        </w:rPr>
      </w:pPr>
      <w:r>
        <w:rPr>
          <w:rFonts w:ascii="Times New Roman" w:hAnsi="Times New Roman"/>
          <w:sz w:val="22"/>
          <w:szCs w:val="22"/>
        </w:rPr>
        <w:t xml:space="preserve">This is a </w:t>
      </w:r>
      <w:r w:rsidR="003541C5">
        <w:rPr>
          <w:rFonts w:ascii="Times New Roman" w:hAnsi="Times New Roman"/>
          <w:sz w:val="22"/>
          <w:szCs w:val="22"/>
        </w:rPr>
        <w:t xml:space="preserve">minor </w:t>
      </w:r>
      <w:r>
        <w:rPr>
          <w:rFonts w:ascii="Times New Roman" w:hAnsi="Times New Roman"/>
          <w:sz w:val="22"/>
          <w:szCs w:val="22"/>
        </w:rPr>
        <w:t>change that</w:t>
      </w:r>
      <w:r w:rsidRPr="00B97806">
        <w:rPr>
          <w:rFonts w:ascii="Times New Roman" w:hAnsi="Times New Roman"/>
          <w:sz w:val="22"/>
          <w:szCs w:val="22"/>
        </w:rPr>
        <w:t xml:space="preserve"> represents an adj</w:t>
      </w:r>
      <w:r w:rsidR="003541C5">
        <w:rPr>
          <w:rFonts w:ascii="Times New Roman" w:hAnsi="Times New Roman"/>
          <w:sz w:val="22"/>
          <w:szCs w:val="22"/>
        </w:rPr>
        <w:t xml:space="preserve">ustment in progress and final reporting averages based </w:t>
      </w:r>
      <w:r w:rsidRPr="00B97806">
        <w:rPr>
          <w:rFonts w:ascii="Times New Roman" w:hAnsi="Times New Roman"/>
          <w:sz w:val="22"/>
          <w:szCs w:val="22"/>
        </w:rPr>
        <w:t>on our experience in administering this collection</w:t>
      </w:r>
      <w:r w:rsidR="003541C5">
        <w:rPr>
          <w:rFonts w:ascii="Times New Roman" w:hAnsi="Times New Roman"/>
          <w:sz w:val="22"/>
          <w:szCs w:val="22"/>
        </w:rPr>
        <w:t xml:space="preserve">, our recent number of awards per year, and on </w:t>
      </w:r>
      <w:r w:rsidRPr="00B97806">
        <w:rPr>
          <w:rFonts w:ascii="Times New Roman" w:hAnsi="Times New Roman"/>
          <w:sz w:val="22"/>
          <w:szCs w:val="22"/>
        </w:rPr>
        <w:t>the respondent feedback described in item 8 above.</w:t>
      </w:r>
      <w:r>
        <w:rPr>
          <w:rFonts w:ascii="Times New Roman" w:hAnsi="Times New Roman"/>
          <w:sz w:val="22"/>
          <w:szCs w:val="22"/>
        </w:rPr>
        <w:t xml:space="preserve"> </w:t>
      </w:r>
      <w:r w:rsidRPr="00047781">
        <w:rPr>
          <w:rFonts w:ascii="Times New Roman" w:hAnsi="Times New Roman"/>
          <w:sz w:val="22"/>
          <w:szCs w:val="22"/>
        </w:rPr>
        <w:t>The minimal reporting requirements</w:t>
      </w:r>
      <w:r w:rsidR="003541C5">
        <w:rPr>
          <w:rFonts w:ascii="Times New Roman" w:hAnsi="Times New Roman"/>
          <w:sz w:val="22"/>
          <w:szCs w:val="22"/>
        </w:rPr>
        <w:t xml:space="preserve"> increased the </w:t>
      </w:r>
      <w:r w:rsidRPr="00047781">
        <w:rPr>
          <w:rFonts w:ascii="Times New Roman" w:hAnsi="Times New Roman"/>
          <w:sz w:val="22"/>
          <w:szCs w:val="22"/>
        </w:rPr>
        <w:t xml:space="preserve">burden from </w:t>
      </w:r>
      <w:r w:rsidR="003541C5">
        <w:rPr>
          <w:rFonts w:ascii="Times New Roman" w:hAnsi="Times New Roman"/>
          <w:sz w:val="22"/>
          <w:szCs w:val="22"/>
        </w:rPr>
        <w:t>a total of 1080 hours to a total of 1200 hours.</w:t>
      </w:r>
    </w:p>
    <w:p w:rsidR="0088250D" w:rsidRDefault="0088250D" w:rsidP="00C353E5">
      <w:pPr>
        <w:rPr>
          <w:rFonts w:ascii="Times New Roman" w:hAnsi="Times New Roman"/>
          <w:sz w:val="22"/>
          <w:szCs w:val="22"/>
        </w:rPr>
      </w:pPr>
    </w:p>
    <w:p w:rsidR="00C353E5" w:rsidRPr="00A923E2" w:rsidRDefault="00AA0EF1" w:rsidP="00BE7843">
      <w:pPr>
        <w:rPr>
          <w:rFonts w:ascii="Times New Roman" w:hAnsi="Times New Roman"/>
          <w:sz w:val="22"/>
          <w:szCs w:val="22"/>
        </w:rPr>
      </w:pPr>
      <w:r w:rsidRPr="00AA0EF1">
        <w:rPr>
          <w:rFonts w:ascii="Times New Roman" w:hAnsi="Times New Roman"/>
          <w:sz w:val="22"/>
          <w:szCs w:val="22"/>
        </w:rPr>
        <w:t>We estimate that the total burden for this col</w:t>
      </w:r>
      <w:r w:rsidR="00FB2160">
        <w:rPr>
          <w:rFonts w:ascii="Times New Roman" w:hAnsi="Times New Roman"/>
          <w:sz w:val="22"/>
          <w:szCs w:val="22"/>
        </w:rPr>
        <w:t>lection will be 12,</w:t>
      </w:r>
      <w:r w:rsidR="003541C5">
        <w:rPr>
          <w:rFonts w:ascii="Times New Roman" w:hAnsi="Times New Roman"/>
          <w:sz w:val="22"/>
          <w:szCs w:val="22"/>
        </w:rPr>
        <w:t>450</w:t>
      </w:r>
      <w:r w:rsidR="00FB2160">
        <w:rPr>
          <w:rFonts w:ascii="Times New Roman" w:hAnsi="Times New Roman"/>
          <w:sz w:val="22"/>
          <w:szCs w:val="22"/>
        </w:rPr>
        <w:t xml:space="preserve"> hours, as shown in Table </w:t>
      </w:r>
      <w:r w:rsidR="007A030B">
        <w:rPr>
          <w:rFonts w:ascii="Times New Roman" w:hAnsi="Times New Roman"/>
          <w:sz w:val="22"/>
          <w:szCs w:val="22"/>
        </w:rPr>
        <w:t>1</w:t>
      </w:r>
      <w:r w:rsidR="00FB2160">
        <w:rPr>
          <w:rFonts w:ascii="Times New Roman" w:hAnsi="Times New Roman"/>
          <w:sz w:val="22"/>
          <w:szCs w:val="22"/>
        </w:rPr>
        <w:t xml:space="preserve"> below (first </w:t>
      </w:r>
      <w:r w:rsidR="00FB2160" w:rsidRPr="00A923E2">
        <w:rPr>
          <w:rFonts w:ascii="Times New Roman" w:hAnsi="Times New Roman"/>
          <w:sz w:val="22"/>
          <w:szCs w:val="22"/>
        </w:rPr>
        <w:t>4 columns).</w:t>
      </w:r>
    </w:p>
    <w:p w:rsidR="00FB2160" w:rsidRPr="00A923E2" w:rsidRDefault="00FB2160" w:rsidP="00960C9E">
      <w:pPr>
        <w:rPr>
          <w:rFonts w:ascii="Times New Roman" w:hAnsi="Times New Roman"/>
          <w:sz w:val="22"/>
        </w:rPr>
      </w:pPr>
    </w:p>
    <w:p w:rsidR="00F631FE" w:rsidRPr="00A923E2" w:rsidRDefault="00960C9E" w:rsidP="00F631FE">
      <w:pPr>
        <w:rPr>
          <w:rFonts w:ascii="Times New Roman" w:hAnsi="Times New Roman"/>
          <w:sz w:val="22"/>
        </w:rPr>
      </w:pPr>
      <w:r w:rsidRPr="00A923E2">
        <w:rPr>
          <w:rFonts w:ascii="Times New Roman" w:hAnsi="Times New Roman"/>
          <w:sz w:val="22"/>
        </w:rPr>
        <w:t xml:space="preserve">To </w:t>
      </w:r>
      <w:r w:rsidR="007A030B" w:rsidRPr="00A923E2">
        <w:rPr>
          <w:rFonts w:ascii="Times New Roman" w:hAnsi="Times New Roman"/>
          <w:sz w:val="22"/>
        </w:rPr>
        <w:t xml:space="preserve">estimate the dollar values of burden hours in Table 1, we </w:t>
      </w:r>
      <w:r w:rsidRPr="00A923E2">
        <w:rPr>
          <w:rFonts w:ascii="Times New Roman" w:hAnsi="Times New Roman"/>
          <w:sz w:val="22"/>
        </w:rPr>
        <w:t xml:space="preserve">used </w:t>
      </w:r>
      <w:r w:rsidR="00F631FE" w:rsidRPr="00A923E2">
        <w:rPr>
          <w:rFonts w:ascii="Times New Roman" w:hAnsi="Times New Roman"/>
          <w:sz w:val="22"/>
        </w:rPr>
        <w:t>data from</w:t>
      </w:r>
      <w:r w:rsidR="00CF6D63" w:rsidRPr="00A923E2">
        <w:rPr>
          <w:rFonts w:ascii="Times New Roman" w:hAnsi="Times New Roman"/>
          <w:sz w:val="22"/>
        </w:rPr>
        <w:t xml:space="preserve"> </w:t>
      </w:r>
      <w:hyperlink r:id="rId8" w:history="1">
        <w:r w:rsidR="00CF6D63" w:rsidRPr="00A923E2">
          <w:rPr>
            <w:rStyle w:val="Hyperlink"/>
            <w:rFonts w:ascii="Times New Roman" w:hAnsi="Times New Roman"/>
            <w:sz w:val="22"/>
          </w:rPr>
          <w:t>http://www.bls.gov/news.release/pdf/ocwage.pdf</w:t>
        </w:r>
      </w:hyperlink>
      <w:r w:rsidR="00CF6D63" w:rsidRPr="00A923E2">
        <w:rPr>
          <w:rFonts w:ascii="Times New Roman" w:hAnsi="Times New Roman"/>
          <w:sz w:val="22"/>
        </w:rPr>
        <w:t xml:space="preserve"> , Table 1 Geoscientist mean hourly wages </w:t>
      </w:r>
      <w:r w:rsidR="00F631FE" w:rsidRPr="00A923E2">
        <w:rPr>
          <w:rFonts w:ascii="Times New Roman" w:hAnsi="Times New Roman"/>
          <w:sz w:val="22"/>
        </w:rPr>
        <w:t>($4</w:t>
      </w:r>
      <w:r w:rsidR="00CF0E24">
        <w:rPr>
          <w:rFonts w:ascii="Times New Roman" w:hAnsi="Times New Roman"/>
          <w:sz w:val="22"/>
        </w:rPr>
        <w:t>6.97</w:t>
      </w:r>
      <w:r w:rsidR="00F631FE" w:rsidRPr="00A923E2">
        <w:rPr>
          <w:rFonts w:ascii="Times New Roman" w:hAnsi="Times New Roman"/>
          <w:sz w:val="22"/>
        </w:rPr>
        <w:t xml:space="preserve">) </w:t>
      </w:r>
      <w:r w:rsidR="00CF6D63" w:rsidRPr="00A923E2">
        <w:rPr>
          <w:rFonts w:ascii="Times New Roman" w:hAnsi="Times New Roman"/>
          <w:sz w:val="22"/>
        </w:rPr>
        <w:t>to account for indi</w:t>
      </w:r>
      <w:r w:rsidRPr="00A923E2">
        <w:rPr>
          <w:rFonts w:ascii="Times New Roman" w:hAnsi="Times New Roman"/>
          <w:sz w:val="22"/>
        </w:rPr>
        <w:t xml:space="preserve">viduals </w:t>
      </w:r>
      <w:r w:rsidR="00CF6D63" w:rsidRPr="00A923E2">
        <w:rPr>
          <w:rFonts w:ascii="Times New Roman" w:hAnsi="Times New Roman"/>
          <w:sz w:val="22"/>
        </w:rPr>
        <w:t>in</w:t>
      </w:r>
      <w:r w:rsidRPr="00A923E2">
        <w:rPr>
          <w:rFonts w:ascii="Times New Roman" w:hAnsi="Times New Roman"/>
          <w:sz w:val="22"/>
        </w:rPr>
        <w:t xml:space="preserve"> the private sector.</w:t>
      </w:r>
      <w:r w:rsidR="00F631FE" w:rsidRPr="00A923E2">
        <w:rPr>
          <w:rFonts w:ascii="Times New Roman" w:hAnsi="Times New Roman"/>
          <w:sz w:val="22"/>
        </w:rPr>
        <w:t xml:space="preserve">  To account for benefits, we multiplied the mean hourly rate by 1.4</w:t>
      </w:r>
      <w:r w:rsidR="00CF0E24">
        <w:rPr>
          <w:rFonts w:ascii="Times New Roman" w:hAnsi="Times New Roman"/>
          <w:sz w:val="22"/>
        </w:rPr>
        <w:t>4</w:t>
      </w:r>
      <w:r w:rsidR="00F631FE" w:rsidRPr="00A923E2">
        <w:rPr>
          <w:rFonts w:ascii="Times New Roman" w:hAnsi="Times New Roman"/>
          <w:sz w:val="22"/>
        </w:rPr>
        <w:t>, for a total of $6</w:t>
      </w:r>
      <w:r w:rsidR="00CF0E24">
        <w:rPr>
          <w:rFonts w:ascii="Times New Roman" w:hAnsi="Times New Roman"/>
          <w:sz w:val="22"/>
        </w:rPr>
        <w:t>6.76</w:t>
      </w:r>
      <w:r w:rsidR="00F631FE" w:rsidRPr="00A923E2">
        <w:rPr>
          <w:rFonts w:ascii="Times New Roman" w:hAnsi="Times New Roman"/>
          <w:sz w:val="22"/>
        </w:rPr>
        <w:t xml:space="preserve">.  </w:t>
      </w:r>
      <w:r w:rsidR="004A3E3D" w:rsidRPr="00A923E2">
        <w:rPr>
          <w:rFonts w:ascii="Times New Roman" w:hAnsi="Times New Roman"/>
          <w:sz w:val="22"/>
        </w:rPr>
        <w:t xml:space="preserve">We calculated the benefits in accordance with BLS news release USDL: </w:t>
      </w:r>
      <w:r w:rsidR="00610DB8">
        <w:rPr>
          <w:rFonts w:ascii="Times New Roman" w:hAnsi="Times New Roman"/>
          <w:sz w:val="22"/>
        </w:rPr>
        <w:t>12</w:t>
      </w:r>
      <w:r w:rsidR="004A3E3D" w:rsidRPr="00A923E2">
        <w:rPr>
          <w:rFonts w:ascii="Times New Roman" w:hAnsi="Times New Roman"/>
          <w:sz w:val="22"/>
        </w:rPr>
        <w:t>-</w:t>
      </w:r>
      <w:r w:rsidR="00610DB8">
        <w:rPr>
          <w:rFonts w:ascii="Times New Roman" w:hAnsi="Times New Roman"/>
          <w:sz w:val="22"/>
        </w:rPr>
        <w:t>2404</w:t>
      </w:r>
      <w:r w:rsidR="004A3E3D" w:rsidRPr="00A923E2">
        <w:rPr>
          <w:rFonts w:ascii="Times New Roman" w:hAnsi="Times New Roman"/>
          <w:sz w:val="22"/>
        </w:rPr>
        <w:t xml:space="preserve"> of </w:t>
      </w:r>
      <w:r w:rsidR="00610DB8">
        <w:rPr>
          <w:rFonts w:ascii="Times New Roman" w:hAnsi="Times New Roman"/>
          <w:sz w:val="22"/>
        </w:rPr>
        <w:t>December 11</w:t>
      </w:r>
      <w:r w:rsidR="004A3E3D" w:rsidRPr="00A923E2">
        <w:rPr>
          <w:rFonts w:ascii="Times New Roman" w:hAnsi="Times New Roman"/>
          <w:sz w:val="22"/>
        </w:rPr>
        <w:t>, 20</w:t>
      </w:r>
      <w:r w:rsidR="00610DB8">
        <w:rPr>
          <w:rFonts w:ascii="Times New Roman" w:hAnsi="Times New Roman"/>
          <w:sz w:val="22"/>
        </w:rPr>
        <w:t>12</w:t>
      </w:r>
      <w:r w:rsidR="004A3E3D" w:rsidRPr="00A923E2">
        <w:rPr>
          <w:rFonts w:ascii="Times New Roman" w:hAnsi="Times New Roman"/>
          <w:sz w:val="22"/>
        </w:rPr>
        <w:t xml:space="preserve">. </w:t>
      </w:r>
    </w:p>
    <w:p w:rsidR="00960C9E" w:rsidRPr="00A923E2" w:rsidRDefault="00960C9E" w:rsidP="00960C9E">
      <w:pPr>
        <w:rPr>
          <w:rFonts w:ascii="Times New Roman" w:hAnsi="Times New Roman"/>
          <w:sz w:val="22"/>
        </w:rPr>
      </w:pPr>
    </w:p>
    <w:p w:rsidR="00AA0EF1" w:rsidRPr="00A923E2" w:rsidRDefault="007A030B" w:rsidP="00AA0EF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roofErr w:type="gramStart"/>
      <w:r w:rsidRPr="00A923E2">
        <w:rPr>
          <w:rFonts w:ascii="Times New Roman" w:hAnsi="Times New Roman"/>
          <w:b/>
          <w:sz w:val="22"/>
          <w:szCs w:val="22"/>
        </w:rPr>
        <w:t>Table 1</w:t>
      </w:r>
      <w:r w:rsidR="00AA0EF1" w:rsidRPr="00A923E2">
        <w:rPr>
          <w:rFonts w:ascii="Times New Roman" w:hAnsi="Times New Roman"/>
          <w:b/>
          <w:sz w:val="22"/>
          <w:szCs w:val="22"/>
        </w:rPr>
        <w:t>.</w:t>
      </w:r>
      <w:proofErr w:type="gramEnd"/>
      <w:r w:rsidR="00AA0EF1" w:rsidRPr="00A923E2">
        <w:rPr>
          <w:rFonts w:ascii="Times New Roman" w:hAnsi="Times New Roman"/>
          <w:b/>
          <w:sz w:val="22"/>
          <w:szCs w:val="22"/>
        </w:rPr>
        <w:t xml:space="preserve"> Estimated Dollar Value of Annual Burden Hours</w:t>
      </w:r>
    </w:p>
    <w:p w:rsidR="00F27E2F" w:rsidRPr="00A923E2" w:rsidRDefault="00F27E2F" w:rsidP="00495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170"/>
        <w:gridCol w:w="1530"/>
        <w:gridCol w:w="1204"/>
        <w:gridCol w:w="1496"/>
        <w:gridCol w:w="1530"/>
      </w:tblGrid>
      <w:tr w:rsidR="00F27E2F" w:rsidRPr="00A923E2" w:rsidTr="00A45353">
        <w:trPr>
          <w:trHeight w:val="1124"/>
        </w:trPr>
        <w:tc>
          <w:tcPr>
            <w:tcW w:w="2358" w:type="dxa"/>
            <w:shd w:val="clear" w:color="auto" w:fill="F2F2F2"/>
            <w:vAlign w:val="center"/>
          </w:tcPr>
          <w:p w:rsidR="00F27E2F" w:rsidRPr="00A923E2" w:rsidRDefault="00F27E2F" w:rsidP="00DA194B">
            <w:pPr>
              <w:jc w:val="center"/>
              <w:rPr>
                <w:rFonts w:ascii="Times New Roman" w:hAnsi="Times New Roman"/>
              </w:rPr>
            </w:pPr>
            <w:r w:rsidRPr="00A923E2">
              <w:rPr>
                <w:rFonts w:ascii="Times New Roman" w:hAnsi="Times New Roman"/>
                <w:lang w:val="en-CA"/>
              </w:rPr>
              <w:t>Activity</w:t>
            </w:r>
          </w:p>
        </w:tc>
        <w:tc>
          <w:tcPr>
            <w:tcW w:w="1170" w:type="dxa"/>
            <w:shd w:val="clear" w:color="auto" w:fill="F2F2F2"/>
            <w:vAlign w:val="center"/>
          </w:tcPr>
          <w:p w:rsidR="00F27E2F" w:rsidRPr="00A923E2" w:rsidRDefault="00F27E2F" w:rsidP="00DA194B">
            <w:pPr>
              <w:jc w:val="center"/>
              <w:rPr>
                <w:rFonts w:ascii="Times New Roman" w:hAnsi="Times New Roman"/>
              </w:rPr>
            </w:pPr>
            <w:r w:rsidRPr="00A923E2">
              <w:rPr>
                <w:rFonts w:ascii="Times New Roman" w:hAnsi="Times New Roman"/>
                <w:lang w:val="en-CA"/>
              </w:rPr>
              <w:t>Annual Number of Responses</w:t>
            </w:r>
          </w:p>
        </w:tc>
        <w:tc>
          <w:tcPr>
            <w:tcW w:w="1530" w:type="dxa"/>
            <w:shd w:val="clear" w:color="auto" w:fill="F2F2F2"/>
            <w:vAlign w:val="center"/>
          </w:tcPr>
          <w:p w:rsidR="00F27E2F" w:rsidRPr="00A923E2" w:rsidRDefault="00F27E2F" w:rsidP="00DA194B">
            <w:pPr>
              <w:jc w:val="center"/>
              <w:rPr>
                <w:rFonts w:ascii="Times New Roman" w:hAnsi="Times New Roman"/>
              </w:rPr>
            </w:pPr>
            <w:r w:rsidRPr="00A923E2">
              <w:rPr>
                <w:rFonts w:ascii="Times New Roman" w:hAnsi="Times New Roman"/>
                <w:lang w:val="en-CA"/>
              </w:rPr>
              <w:t>Estimated Completion Time per Respondent</w:t>
            </w:r>
          </w:p>
        </w:tc>
        <w:tc>
          <w:tcPr>
            <w:tcW w:w="1204" w:type="dxa"/>
            <w:shd w:val="clear" w:color="auto" w:fill="F2F2F2"/>
            <w:vAlign w:val="center"/>
          </w:tcPr>
          <w:p w:rsidR="00F27E2F" w:rsidRPr="00A923E2" w:rsidRDefault="00F27E2F" w:rsidP="00DA194B">
            <w:pPr>
              <w:jc w:val="center"/>
              <w:rPr>
                <w:rFonts w:ascii="Times New Roman" w:hAnsi="Times New Roman"/>
              </w:rPr>
            </w:pPr>
            <w:r w:rsidRPr="00A923E2">
              <w:rPr>
                <w:rFonts w:ascii="Times New Roman" w:hAnsi="Times New Roman"/>
                <w:lang w:val="en-CA"/>
              </w:rPr>
              <w:t>Total Annual Burden Hours</w:t>
            </w:r>
          </w:p>
        </w:tc>
        <w:tc>
          <w:tcPr>
            <w:tcW w:w="1496" w:type="dxa"/>
            <w:shd w:val="clear" w:color="auto" w:fill="F2F2F2"/>
            <w:vAlign w:val="center"/>
          </w:tcPr>
          <w:p w:rsidR="00F27E2F" w:rsidRPr="00A923E2" w:rsidRDefault="00F27E2F" w:rsidP="00DA194B">
            <w:pPr>
              <w:jc w:val="center"/>
              <w:rPr>
                <w:rFonts w:ascii="Times New Roman" w:hAnsi="Times New Roman"/>
                <w:lang w:val="en-CA"/>
              </w:rPr>
            </w:pPr>
            <w:r w:rsidRPr="00A923E2">
              <w:rPr>
                <w:rFonts w:ascii="Times New Roman" w:hAnsi="Times New Roman"/>
                <w:lang w:val="en-CA"/>
              </w:rPr>
              <w:t>Dollar Value of Burden Hour  [Including Benefits]</w:t>
            </w:r>
          </w:p>
        </w:tc>
        <w:tc>
          <w:tcPr>
            <w:tcW w:w="1530" w:type="dxa"/>
            <w:tcBorders>
              <w:bottom w:val="single" w:sz="4" w:space="0" w:color="auto"/>
            </w:tcBorders>
            <w:shd w:val="clear" w:color="auto" w:fill="F2F2F2"/>
            <w:vAlign w:val="center"/>
          </w:tcPr>
          <w:p w:rsidR="00F27E2F" w:rsidRPr="00A923E2" w:rsidRDefault="00F27E2F" w:rsidP="00DA194B">
            <w:pPr>
              <w:jc w:val="center"/>
              <w:rPr>
                <w:rFonts w:ascii="Times New Roman" w:hAnsi="Times New Roman"/>
                <w:lang w:val="en-CA"/>
              </w:rPr>
            </w:pPr>
            <w:r w:rsidRPr="00A923E2">
              <w:rPr>
                <w:rFonts w:ascii="Times New Roman" w:hAnsi="Times New Roman"/>
                <w:lang w:val="en-CA"/>
              </w:rPr>
              <w:t>Total Dollar Value of Annual Burden Hours</w:t>
            </w:r>
          </w:p>
        </w:tc>
      </w:tr>
      <w:tr w:rsidR="00F27E2F" w:rsidRPr="00A923E2" w:rsidTr="00A45353">
        <w:trPr>
          <w:trHeight w:val="629"/>
        </w:trPr>
        <w:tc>
          <w:tcPr>
            <w:tcW w:w="2358" w:type="dxa"/>
            <w:vAlign w:val="center"/>
          </w:tcPr>
          <w:p w:rsidR="00A45353" w:rsidRDefault="00A45353" w:rsidP="002F3BD9">
            <w:pPr>
              <w:rPr>
                <w:rFonts w:ascii="Times New Roman" w:hAnsi="Times New Roman"/>
                <w:lang w:val="en-CA"/>
              </w:rPr>
            </w:pPr>
          </w:p>
          <w:p w:rsidR="00CF6D63" w:rsidRPr="00A45353" w:rsidRDefault="00F27E2F" w:rsidP="002F3BD9">
            <w:pPr>
              <w:rPr>
                <w:rFonts w:ascii="Times New Roman" w:hAnsi="Times New Roman"/>
                <w:lang w:val="en-CA"/>
              </w:rPr>
            </w:pPr>
            <w:r w:rsidRPr="00A923E2">
              <w:rPr>
                <w:rFonts w:ascii="Times New Roman" w:hAnsi="Times New Roman"/>
                <w:lang w:val="en-CA"/>
              </w:rPr>
              <w:t>Narrative/ Proposal Preparation</w:t>
            </w:r>
          </w:p>
        </w:tc>
        <w:tc>
          <w:tcPr>
            <w:tcW w:w="1170" w:type="dxa"/>
            <w:vAlign w:val="center"/>
          </w:tcPr>
          <w:p w:rsidR="00CF6D63" w:rsidRPr="00A923E2" w:rsidRDefault="004A3E3D" w:rsidP="00CF6D63">
            <w:pPr>
              <w:jc w:val="center"/>
              <w:rPr>
                <w:rFonts w:ascii="Times New Roman" w:hAnsi="Times New Roman"/>
              </w:rPr>
            </w:pPr>
            <w:r w:rsidRPr="00A923E2">
              <w:rPr>
                <w:rFonts w:ascii="Times New Roman" w:hAnsi="Times New Roman"/>
              </w:rPr>
              <w:t>250</w:t>
            </w:r>
          </w:p>
        </w:tc>
        <w:tc>
          <w:tcPr>
            <w:tcW w:w="1530" w:type="dxa"/>
            <w:vAlign w:val="center"/>
          </w:tcPr>
          <w:p w:rsidR="00CF6D63" w:rsidRPr="00A923E2" w:rsidRDefault="00F27E2F" w:rsidP="004A3E3D">
            <w:pPr>
              <w:jc w:val="center"/>
              <w:rPr>
                <w:rFonts w:ascii="Times New Roman" w:hAnsi="Times New Roman"/>
              </w:rPr>
            </w:pPr>
            <w:r w:rsidRPr="00A923E2">
              <w:rPr>
                <w:rFonts w:ascii="Times New Roman" w:hAnsi="Times New Roman"/>
              </w:rPr>
              <w:t>45 hours</w:t>
            </w:r>
          </w:p>
        </w:tc>
        <w:tc>
          <w:tcPr>
            <w:tcW w:w="1204" w:type="dxa"/>
            <w:vAlign w:val="center"/>
          </w:tcPr>
          <w:p w:rsidR="00F631FE" w:rsidRPr="00A923E2" w:rsidRDefault="004A3E3D" w:rsidP="00DA194B">
            <w:pPr>
              <w:jc w:val="center"/>
              <w:rPr>
                <w:rFonts w:ascii="Times New Roman" w:hAnsi="Times New Roman"/>
              </w:rPr>
            </w:pPr>
            <w:r w:rsidRPr="00A923E2">
              <w:rPr>
                <w:rFonts w:ascii="Times New Roman" w:hAnsi="Times New Roman"/>
              </w:rPr>
              <w:t>11,250</w:t>
            </w:r>
          </w:p>
        </w:tc>
        <w:tc>
          <w:tcPr>
            <w:tcW w:w="1496" w:type="dxa"/>
            <w:vAlign w:val="center"/>
          </w:tcPr>
          <w:p w:rsidR="00F631FE" w:rsidRPr="00A923E2" w:rsidRDefault="004A3E3D" w:rsidP="00CF0E24">
            <w:pPr>
              <w:jc w:val="center"/>
              <w:rPr>
                <w:rFonts w:ascii="Times New Roman" w:hAnsi="Times New Roman"/>
              </w:rPr>
            </w:pPr>
            <w:r w:rsidRPr="00A923E2">
              <w:rPr>
                <w:rFonts w:ascii="Times New Roman" w:hAnsi="Times New Roman"/>
              </w:rPr>
              <w:t>$6</w:t>
            </w:r>
            <w:r w:rsidR="00CF0E24">
              <w:rPr>
                <w:rFonts w:ascii="Times New Roman" w:hAnsi="Times New Roman"/>
              </w:rPr>
              <w:t>7</w:t>
            </w:r>
            <w:r w:rsidRPr="00A923E2">
              <w:rPr>
                <w:rFonts w:ascii="Times New Roman" w:hAnsi="Times New Roman"/>
              </w:rPr>
              <w:t>.</w:t>
            </w:r>
            <w:r w:rsidR="00CF0E24">
              <w:rPr>
                <w:rFonts w:ascii="Times New Roman" w:hAnsi="Times New Roman"/>
              </w:rPr>
              <w:t>64</w:t>
            </w:r>
          </w:p>
        </w:tc>
        <w:tc>
          <w:tcPr>
            <w:tcW w:w="1530" w:type="dxa"/>
            <w:shd w:val="clear" w:color="auto" w:fill="auto"/>
            <w:vAlign w:val="center"/>
          </w:tcPr>
          <w:p w:rsidR="00F27E2F" w:rsidRPr="00A923E2" w:rsidRDefault="00921629" w:rsidP="00CF0E24">
            <w:pPr>
              <w:jc w:val="center"/>
              <w:rPr>
                <w:rFonts w:ascii="Times New Roman" w:hAnsi="Times New Roman"/>
              </w:rPr>
            </w:pPr>
            <w:r w:rsidRPr="00A923E2">
              <w:rPr>
                <w:rFonts w:ascii="Times New Roman" w:hAnsi="Times New Roman"/>
              </w:rPr>
              <w:t>$</w:t>
            </w:r>
            <w:r w:rsidR="00CF0E24">
              <w:rPr>
                <w:rFonts w:ascii="Times New Roman" w:hAnsi="Times New Roman"/>
              </w:rPr>
              <w:t>760,950</w:t>
            </w:r>
          </w:p>
        </w:tc>
      </w:tr>
      <w:tr w:rsidR="00F27E2F" w:rsidRPr="00A923E2" w:rsidTr="009F0BA1">
        <w:trPr>
          <w:trHeight w:val="440"/>
        </w:trPr>
        <w:tc>
          <w:tcPr>
            <w:tcW w:w="2358" w:type="dxa"/>
            <w:vAlign w:val="center"/>
          </w:tcPr>
          <w:p w:rsidR="00CF6D63" w:rsidRPr="00A923E2" w:rsidRDefault="00F27E2F" w:rsidP="004A3E3D">
            <w:pPr>
              <w:rPr>
                <w:rFonts w:ascii="Times New Roman" w:hAnsi="Times New Roman"/>
              </w:rPr>
            </w:pPr>
            <w:r w:rsidRPr="00A923E2">
              <w:rPr>
                <w:rFonts w:ascii="Times New Roman" w:hAnsi="Times New Roman"/>
                <w:lang w:val="en-CA"/>
              </w:rPr>
              <w:t>Final Reports</w:t>
            </w:r>
            <w:r w:rsidR="009F0BA1" w:rsidRPr="00A923E2">
              <w:rPr>
                <w:rFonts w:ascii="Times New Roman" w:hAnsi="Times New Roman"/>
                <w:lang w:val="en-CA"/>
              </w:rPr>
              <w:t xml:space="preserve"> (or annual progress report*)</w:t>
            </w:r>
          </w:p>
        </w:tc>
        <w:tc>
          <w:tcPr>
            <w:tcW w:w="1170" w:type="dxa"/>
            <w:vAlign w:val="center"/>
          </w:tcPr>
          <w:p w:rsidR="00CF6D63" w:rsidRPr="00A923E2" w:rsidRDefault="004A3E3D" w:rsidP="00DA194B">
            <w:pPr>
              <w:jc w:val="center"/>
              <w:rPr>
                <w:rFonts w:ascii="Times New Roman" w:hAnsi="Times New Roman"/>
              </w:rPr>
            </w:pPr>
            <w:r w:rsidRPr="00A923E2">
              <w:rPr>
                <w:rFonts w:ascii="Times New Roman" w:hAnsi="Times New Roman"/>
              </w:rPr>
              <w:t>1</w:t>
            </w:r>
            <w:r w:rsidR="003541C5" w:rsidRPr="00A923E2">
              <w:rPr>
                <w:rFonts w:ascii="Times New Roman" w:hAnsi="Times New Roman"/>
              </w:rPr>
              <w:t>00</w:t>
            </w:r>
          </w:p>
        </w:tc>
        <w:tc>
          <w:tcPr>
            <w:tcW w:w="1530" w:type="dxa"/>
            <w:vAlign w:val="center"/>
          </w:tcPr>
          <w:p w:rsidR="00F631FE" w:rsidRPr="00A923E2" w:rsidRDefault="003541C5" w:rsidP="004A3E3D">
            <w:pPr>
              <w:jc w:val="center"/>
              <w:rPr>
                <w:rFonts w:ascii="Times New Roman" w:hAnsi="Times New Roman"/>
              </w:rPr>
            </w:pPr>
            <w:r w:rsidRPr="00A923E2">
              <w:rPr>
                <w:rFonts w:ascii="Times New Roman" w:hAnsi="Times New Roman"/>
              </w:rPr>
              <w:t>12</w:t>
            </w:r>
            <w:r w:rsidR="00F27E2F" w:rsidRPr="00A923E2">
              <w:rPr>
                <w:rFonts w:ascii="Times New Roman" w:hAnsi="Times New Roman"/>
              </w:rPr>
              <w:t xml:space="preserve"> hours</w:t>
            </w:r>
          </w:p>
        </w:tc>
        <w:tc>
          <w:tcPr>
            <w:tcW w:w="1204" w:type="dxa"/>
            <w:vAlign w:val="center"/>
          </w:tcPr>
          <w:p w:rsidR="00F631FE" w:rsidRPr="00A923E2" w:rsidRDefault="004A3E3D" w:rsidP="003541C5">
            <w:pPr>
              <w:jc w:val="center"/>
              <w:rPr>
                <w:rFonts w:ascii="Times New Roman" w:hAnsi="Times New Roman"/>
              </w:rPr>
            </w:pPr>
            <w:r w:rsidRPr="00A923E2">
              <w:rPr>
                <w:rFonts w:ascii="Times New Roman" w:hAnsi="Times New Roman"/>
              </w:rPr>
              <w:t>1</w:t>
            </w:r>
            <w:r w:rsidR="003541C5" w:rsidRPr="00A923E2">
              <w:rPr>
                <w:rFonts w:ascii="Times New Roman" w:hAnsi="Times New Roman"/>
              </w:rPr>
              <w:t>200</w:t>
            </w:r>
          </w:p>
        </w:tc>
        <w:tc>
          <w:tcPr>
            <w:tcW w:w="1496" w:type="dxa"/>
            <w:vAlign w:val="center"/>
          </w:tcPr>
          <w:p w:rsidR="00F631FE" w:rsidRPr="00A923E2" w:rsidRDefault="00CF0E24" w:rsidP="00CF0E24">
            <w:pPr>
              <w:jc w:val="center"/>
              <w:rPr>
                <w:rFonts w:ascii="Times New Roman" w:hAnsi="Times New Roman"/>
              </w:rPr>
            </w:pPr>
            <w:r>
              <w:rPr>
                <w:rFonts w:ascii="Times New Roman" w:hAnsi="Times New Roman"/>
              </w:rPr>
              <w:t>$67.64</w:t>
            </w:r>
          </w:p>
        </w:tc>
        <w:tc>
          <w:tcPr>
            <w:tcW w:w="1530" w:type="dxa"/>
            <w:tcBorders>
              <w:bottom w:val="single" w:sz="4" w:space="0" w:color="auto"/>
            </w:tcBorders>
            <w:shd w:val="clear" w:color="auto" w:fill="auto"/>
            <w:vAlign w:val="center"/>
          </w:tcPr>
          <w:p w:rsidR="00F27E2F" w:rsidRPr="00A923E2" w:rsidRDefault="00F27E2F" w:rsidP="003541C5">
            <w:pPr>
              <w:jc w:val="center"/>
              <w:rPr>
                <w:rFonts w:ascii="Times New Roman" w:hAnsi="Times New Roman"/>
              </w:rPr>
            </w:pPr>
            <w:r w:rsidRPr="00A923E2">
              <w:rPr>
                <w:rFonts w:ascii="Times New Roman" w:hAnsi="Times New Roman"/>
              </w:rPr>
              <w:t>$</w:t>
            </w:r>
            <w:r w:rsidR="00CF0E24">
              <w:rPr>
                <w:rFonts w:ascii="Times New Roman" w:hAnsi="Times New Roman"/>
              </w:rPr>
              <w:t>81,168</w:t>
            </w:r>
          </w:p>
        </w:tc>
      </w:tr>
      <w:tr w:rsidR="00F27E2F" w:rsidRPr="00DA194B" w:rsidTr="009F0BA1">
        <w:trPr>
          <w:trHeight w:val="350"/>
        </w:trPr>
        <w:tc>
          <w:tcPr>
            <w:tcW w:w="2358" w:type="dxa"/>
            <w:vAlign w:val="center"/>
          </w:tcPr>
          <w:p w:rsidR="00F27E2F" w:rsidRPr="00A923E2" w:rsidRDefault="00F27E2F" w:rsidP="002F3BD9">
            <w:pPr>
              <w:rPr>
                <w:rFonts w:ascii="Times New Roman" w:hAnsi="Times New Roman"/>
                <w:b/>
              </w:rPr>
            </w:pPr>
            <w:r w:rsidRPr="00A923E2">
              <w:rPr>
                <w:rFonts w:ascii="Times New Roman" w:hAnsi="Times New Roman"/>
                <w:b/>
              </w:rPr>
              <w:t>Total</w:t>
            </w:r>
          </w:p>
        </w:tc>
        <w:tc>
          <w:tcPr>
            <w:tcW w:w="1170" w:type="dxa"/>
            <w:vAlign w:val="center"/>
          </w:tcPr>
          <w:p w:rsidR="00F27E2F" w:rsidRPr="00A923E2" w:rsidRDefault="00610DB8" w:rsidP="00DA194B">
            <w:pPr>
              <w:jc w:val="center"/>
              <w:rPr>
                <w:rFonts w:ascii="Times New Roman" w:hAnsi="Times New Roman"/>
              </w:rPr>
            </w:pPr>
            <w:r>
              <w:rPr>
                <w:rFonts w:ascii="Times New Roman" w:hAnsi="Times New Roman"/>
              </w:rPr>
              <w:t>35</w:t>
            </w:r>
            <w:r w:rsidR="00F27E2F" w:rsidRPr="00A923E2">
              <w:rPr>
                <w:rFonts w:ascii="Times New Roman" w:hAnsi="Times New Roman"/>
              </w:rPr>
              <w:t>0</w:t>
            </w:r>
          </w:p>
        </w:tc>
        <w:tc>
          <w:tcPr>
            <w:tcW w:w="1530" w:type="dxa"/>
            <w:vAlign w:val="center"/>
          </w:tcPr>
          <w:p w:rsidR="00F27E2F" w:rsidRPr="00A923E2" w:rsidRDefault="00F27E2F" w:rsidP="00DA194B">
            <w:pPr>
              <w:jc w:val="center"/>
              <w:rPr>
                <w:rFonts w:ascii="Times New Roman" w:hAnsi="Times New Roman"/>
              </w:rPr>
            </w:pPr>
          </w:p>
        </w:tc>
        <w:tc>
          <w:tcPr>
            <w:tcW w:w="1204" w:type="dxa"/>
            <w:vAlign w:val="center"/>
          </w:tcPr>
          <w:p w:rsidR="00F27E2F" w:rsidRPr="00A923E2" w:rsidRDefault="00376EF0" w:rsidP="00DA194B">
            <w:pPr>
              <w:jc w:val="center"/>
              <w:rPr>
                <w:rFonts w:ascii="Times New Roman" w:hAnsi="Times New Roman"/>
              </w:rPr>
            </w:pPr>
            <w:r w:rsidRPr="00A923E2">
              <w:rPr>
                <w:rFonts w:ascii="Times New Roman" w:hAnsi="Times New Roman"/>
              </w:rPr>
              <w:t>12,45</w:t>
            </w:r>
            <w:r w:rsidR="00F27E2F" w:rsidRPr="00A923E2">
              <w:rPr>
                <w:rFonts w:ascii="Times New Roman" w:hAnsi="Times New Roman"/>
              </w:rPr>
              <w:t>0</w:t>
            </w:r>
          </w:p>
        </w:tc>
        <w:tc>
          <w:tcPr>
            <w:tcW w:w="1496" w:type="dxa"/>
            <w:vAlign w:val="center"/>
          </w:tcPr>
          <w:p w:rsidR="00F27E2F" w:rsidRPr="00A923E2" w:rsidRDefault="00F27E2F" w:rsidP="00DA194B">
            <w:pPr>
              <w:jc w:val="center"/>
              <w:rPr>
                <w:rFonts w:ascii="Times New Roman" w:hAnsi="Times New Roman"/>
              </w:rPr>
            </w:pPr>
          </w:p>
        </w:tc>
        <w:tc>
          <w:tcPr>
            <w:tcW w:w="1530" w:type="dxa"/>
            <w:shd w:val="clear" w:color="auto" w:fill="auto"/>
            <w:vAlign w:val="center"/>
          </w:tcPr>
          <w:p w:rsidR="00F27E2F" w:rsidRPr="00DE3276" w:rsidRDefault="00F30DA5" w:rsidP="00CF0E24">
            <w:pPr>
              <w:jc w:val="center"/>
              <w:rPr>
                <w:rFonts w:ascii="Times New Roman" w:hAnsi="Times New Roman"/>
                <w:b/>
              </w:rPr>
            </w:pPr>
            <w:r w:rsidRPr="00A923E2">
              <w:rPr>
                <w:rFonts w:ascii="Times New Roman" w:hAnsi="Times New Roman"/>
                <w:b/>
              </w:rPr>
              <w:fldChar w:fldCharType="begin"/>
            </w:r>
            <w:r w:rsidRPr="00A923E2">
              <w:rPr>
                <w:rFonts w:ascii="Times New Roman" w:hAnsi="Times New Roman"/>
                <w:b/>
              </w:rPr>
              <w:instrText xml:space="preserve"> =SUM(ABOVE) </w:instrText>
            </w:r>
            <w:r w:rsidRPr="00A923E2">
              <w:rPr>
                <w:rFonts w:ascii="Times New Roman" w:hAnsi="Times New Roman"/>
                <w:b/>
              </w:rPr>
              <w:fldChar w:fldCharType="separate"/>
            </w:r>
            <w:r w:rsidR="003541C5" w:rsidRPr="00A923E2">
              <w:rPr>
                <w:rFonts w:ascii="Times New Roman" w:hAnsi="Times New Roman"/>
                <w:b/>
                <w:noProof/>
              </w:rPr>
              <w:t>$</w:t>
            </w:r>
            <w:r w:rsidR="00CF0E24">
              <w:rPr>
                <w:rFonts w:ascii="Times New Roman" w:hAnsi="Times New Roman"/>
                <w:b/>
                <w:noProof/>
              </w:rPr>
              <w:t>842</w:t>
            </w:r>
            <w:r w:rsidRPr="00A923E2">
              <w:rPr>
                <w:rFonts w:ascii="Times New Roman" w:hAnsi="Times New Roman"/>
                <w:b/>
                <w:noProof/>
              </w:rPr>
              <w:t>,</w:t>
            </w:r>
            <w:r w:rsidRPr="00A923E2">
              <w:rPr>
                <w:rFonts w:ascii="Times New Roman" w:hAnsi="Times New Roman"/>
                <w:b/>
              </w:rPr>
              <w:fldChar w:fldCharType="end"/>
            </w:r>
            <w:r w:rsidR="00CF0E24">
              <w:rPr>
                <w:rFonts w:ascii="Times New Roman" w:hAnsi="Times New Roman"/>
                <w:b/>
              </w:rPr>
              <w:t>118</w:t>
            </w:r>
          </w:p>
        </w:tc>
      </w:tr>
    </w:tbl>
    <w:p w:rsidR="00F27E2F" w:rsidRDefault="00F27E2F" w:rsidP="00495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Cs/>
          <w:sz w:val="22"/>
          <w:szCs w:val="22"/>
        </w:rPr>
      </w:pPr>
    </w:p>
    <w:p w:rsidR="007C6999" w:rsidRPr="009F0BA1" w:rsidRDefault="007C6999" w:rsidP="009F0BA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Times New Roman" w:hAnsi="Times New Roman"/>
          <w:bCs/>
          <w:sz w:val="18"/>
          <w:szCs w:val="18"/>
        </w:rPr>
      </w:pPr>
      <w:r w:rsidRPr="009F0BA1">
        <w:rPr>
          <w:rFonts w:ascii="Times New Roman" w:hAnsi="Times New Roman"/>
          <w:bCs/>
          <w:sz w:val="18"/>
          <w:szCs w:val="18"/>
        </w:rPr>
        <w:t>*</w:t>
      </w:r>
      <w:r w:rsidR="009F0BA1">
        <w:rPr>
          <w:rFonts w:ascii="Times New Roman" w:hAnsi="Times New Roman"/>
          <w:sz w:val="18"/>
          <w:szCs w:val="18"/>
        </w:rPr>
        <w:t>F</w:t>
      </w:r>
      <w:r w:rsidRPr="009F0BA1">
        <w:rPr>
          <w:rFonts w:ascii="Times New Roman" w:hAnsi="Times New Roman"/>
          <w:sz w:val="18"/>
          <w:szCs w:val="18"/>
        </w:rPr>
        <w:t>or awards of 2-5 years, at the end of each funded year the PI must submit a progress report to receive subsequent funding for the following year.</w:t>
      </w:r>
    </w:p>
    <w:p w:rsidR="00F27E2F" w:rsidRDefault="00F27E2F" w:rsidP="00495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Cs/>
          <w:sz w:val="22"/>
          <w:szCs w:val="22"/>
        </w:rPr>
      </w:pPr>
    </w:p>
    <w:p w:rsidR="009F0BA1" w:rsidRPr="009F0BA1" w:rsidRDefault="009F0BA1" w:rsidP="00495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bCs/>
          <w:sz w:val="22"/>
          <w:szCs w:val="22"/>
        </w:rPr>
      </w:pPr>
    </w:p>
    <w:p w:rsidR="00495CB0" w:rsidRPr="00AA0EF1" w:rsidRDefault="00594871" w:rsidP="00495C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i/>
          <w:sz w:val="22"/>
          <w:szCs w:val="22"/>
        </w:rPr>
      </w:pPr>
      <w:r>
        <w:rPr>
          <w:rFonts w:ascii="Times New Roman" w:hAnsi="Times New Roman"/>
          <w:b/>
          <w:bCs/>
          <w:i/>
          <w:sz w:val="22"/>
          <w:szCs w:val="22"/>
        </w:rPr>
        <w:lastRenderedPageBreak/>
        <w:t>13</w:t>
      </w:r>
      <w:r w:rsidR="00495CB0" w:rsidRPr="00AA0EF1">
        <w:rPr>
          <w:rFonts w:ascii="Times New Roman" w:hAnsi="Times New Roman"/>
          <w:b/>
          <w:bCs/>
          <w:i/>
          <w:sz w:val="22"/>
          <w:szCs w:val="22"/>
        </w:rPr>
        <w:t>.</w:t>
      </w:r>
      <w:r w:rsidR="00495CB0" w:rsidRPr="00AA0EF1">
        <w:rPr>
          <w:rFonts w:ascii="Times New Roman" w:hAnsi="Times New Roman"/>
          <w:b/>
          <w:bCs/>
          <w:i/>
          <w:sz w:val="22"/>
          <w:szCs w:val="22"/>
        </w:rPr>
        <w:tab/>
      </w:r>
      <w:r w:rsidR="00495CB0" w:rsidRPr="00AA0EF1">
        <w:rPr>
          <w:rFonts w:ascii="Times New Roman" w:hAnsi="Times New Roman"/>
          <w:b/>
          <w:i/>
          <w:sz w:val="22"/>
          <w:szCs w:val="22"/>
        </w:rPr>
        <w:t xml:space="preserve">Provide an estimate of the total annual [non-hour] cost burden to respondents or record keepers resulting from the collection of information.  </w:t>
      </w:r>
    </w:p>
    <w:p w:rsidR="00495CB0" w:rsidRPr="00C353E5" w:rsidRDefault="00495CB0" w:rsidP="00495C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2"/>
          <w:szCs w:val="22"/>
        </w:rPr>
      </w:pPr>
    </w:p>
    <w:p w:rsidR="004D1285" w:rsidRPr="00F27E2F" w:rsidRDefault="00495CB0" w:rsidP="005C1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2"/>
          <w:szCs w:val="22"/>
        </w:rPr>
      </w:pPr>
      <w:r w:rsidRPr="00C353E5">
        <w:rPr>
          <w:rFonts w:ascii="Times New Roman" w:hAnsi="Times New Roman"/>
          <w:sz w:val="22"/>
          <w:szCs w:val="22"/>
        </w:rPr>
        <w:t>We have identified no reporting and recordkeeping “non-hour cost” burdens associated with this proposed collection of information.</w:t>
      </w:r>
    </w:p>
    <w:p w:rsidR="000F54B3" w:rsidRPr="00C353E5" w:rsidRDefault="000F54B3" w:rsidP="00BE7843">
      <w:pPr>
        <w:rPr>
          <w:rFonts w:ascii="Times New Roman" w:hAnsi="Times New Roman"/>
          <w:sz w:val="22"/>
          <w:szCs w:val="22"/>
        </w:rPr>
      </w:pPr>
    </w:p>
    <w:p w:rsidR="000F54B3" w:rsidRPr="00A923E2" w:rsidRDefault="005C194A" w:rsidP="00BE7843">
      <w:pPr>
        <w:rPr>
          <w:rFonts w:ascii="Times New Roman" w:hAnsi="Times New Roman"/>
          <w:b/>
          <w:i/>
          <w:sz w:val="22"/>
          <w:szCs w:val="22"/>
        </w:rPr>
      </w:pPr>
      <w:r w:rsidRPr="00A923E2">
        <w:rPr>
          <w:rFonts w:ascii="Times New Roman" w:hAnsi="Times New Roman"/>
          <w:b/>
          <w:bCs/>
          <w:i/>
          <w:sz w:val="22"/>
          <w:szCs w:val="22"/>
        </w:rPr>
        <w:t>14.</w:t>
      </w:r>
      <w:r w:rsidR="00495CB0" w:rsidRPr="00A923E2">
        <w:rPr>
          <w:rFonts w:ascii="Times New Roman" w:hAnsi="Times New Roman"/>
          <w:b/>
          <w:i/>
          <w:sz w:val="22"/>
          <w:szCs w:val="22"/>
        </w:rPr>
        <w:t xml:space="preserve"> Provide estimates of annualized cost to the Federal government</w:t>
      </w:r>
      <w:r w:rsidR="004D3DE3" w:rsidRPr="00A923E2">
        <w:rPr>
          <w:rFonts w:ascii="Times New Roman" w:hAnsi="Times New Roman"/>
          <w:b/>
          <w:i/>
          <w:sz w:val="22"/>
          <w:szCs w:val="22"/>
        </w:rPr>
        <w:t>.</w:t>
      </w:r>
    </w:p>
    <w:p w:rsidR="000F54B3" w:rsidRPr="00A923E2" w:rsidRDefault="000F54B3" w:rsidP="00BE7843">
      <w:pPr>
        <w:rPr>
          <w:rFonts w:ascii="Times New Roman" w:hAnsi="Times New Roman"/>
          <w:sz w:val="22"/>
          <w:szCs w:val="22"/>
        </w:rPr>
      </w:pPr>
    </w:p>
    <w:p w:rsidR="00F8660E" w:rsidRPr="00A923E2" w:rsidRDefault="00F8660E" w:rsidP="00F8660E">
      <w:pPr>
        <w:rPr>
          <w:rFonts w:ascii="Times New Roman" w:hAnsi="Times New Roman"/>
          <w:sz w:val="22"/>
          <w:szCs w:val="22"/>
        </w:rPr>
      </w:pPr>
      <w:r w:rsidRPr="00A923E2">
        <w:rPr>
          <w:rFonts w:ascii="Times New Roman" w:hAnsi="Times New Roman"/>
          <w:sz w:val="22"/>
          <w:szCs w:val="22"/>
        </w:rPr>
        <w:t xml:space="preserve">The estimated annual cost to the Federal Government </w:t>
      </w:r>
      <w:r w:rsidR="009905B0" w:rsidRPr="00A923E2">
        <w:rPr>
          <w:rFonts w:ascii="Times New Roman" w:hAnsi="Times New Roman"/>
          <w:sz w:val="22"/>
          <w:szCs w:val="22"/>
        </w:rPr>
        <w:t xml:space="preserve">is </w:t>
      </w:r>
      <w:r w:rsidR="001609B4" w:rsidRPr="00A923E2">
        <w:rPr>
          <w:rFonts w:ascii="Times New Roman" w:hAnsi="Times New Roman"/>
          <w:sz w:val="22"/>
          <w:szCs w:val="22"/>
        </w:rPr>
        <w:t>$</w:t>
      </w:r>
      <w:r w:rsidR="00924704">
        <w:rPr>
          <w:rFonts w:ascii="Times New Roman" w:hAnsi="Times New Roman"/>
          <w:sz w:val="22"/>
          <w:szCs w:val="22"/>
        </w:rPr>
        <w:t>510,225</w:t>
      </w:r>
      <w:r w:rsidR="008D4EA3" w:rsidRPr="00A923E2">
        <w:rPr>
          <w:rFonts w:ascii="Times New Roman" w:hAnsi="Times New Roman"/>
          <w:sz w:val="18"/>
          <w:szCs w:val="18"/>
        </w:rPr>
        <w:t xml:space="preserve"> </w:t>
      </w:r>
      <w:r w:rsidR="009905B0" w:rsidRPr="00A923E2">
        <w:rPr>
          <w:rFonts w:ascii="Times New Roman" w:hAnsi="Times New Roman"/>
          <w:sz w:val="22"/>
          <w:szCs w:val="22"/>
        </w:rPr>
        <w:t xml:space="preserve">as itemized in Table </w:t>
      </w:r>
      <w:r w:rsidR="00F27E2F" w:rsidRPr="00A923E2">
        <w:rPr>
          <w:rFonts w:ascii="Times New Roman" w:hAnsi="Times New Roman"/>
          <w:sz w:val="22"/>
          <w:szCs w:val="22"/>
        </w:rPr>
        <w:t>2</w:t>
      </w:r>
      <w:r w:rsidR="009905B0" w:rsidRPr="00A923E2">
        <w:rPr>
          <w:rFonts w:ascii="Times New Roman" w:hAnsi="Times New Roman"/>
          <w:sz w:val="22"/>
          <w:szCs w:val="22"/>
        </w:rPr>
        <w:t>, below.  The table shows</w:t>
      </w:r>
      <w:r w:rsidRPr="00A923E2">
        <w:rPr>
          <w:rFonts w:ascii="Times New Roman" w:hAnsi="Times New Roman"/>
          <w:sz w:val="22"/>
          <w:szCs w:val="22"/>
        </w:rPr>
        <w:t xml:space="preserve"> Federal Staff and grade level performing various tasks associated with this collection of information</w:t>
      </w:r>
      <w:r w:rsidR="00CE303F" w:rsidRPr="00A923E2">
        <w:rPr>
          <w:rFonts w:ascii="Times New Roman" w:hAnsi="Times New Roman"/>
          <w:sz w:val="22"/>
          <w:szCs w:val="22"/>
        </w:rPr>
        <w:t xml:space="preserve"> and time spent processing and reviewing information received as a result of this collection</w:t>
      </w:r>
      <w:r w:rsidRPr="00A923E2">
        <w:rPr>
          <w:rFonts w:ascii="Times New Roman" w:hAnsi="Times New Roman"/>
          <w:sz w:val="22"/>
          <w:szCs w:val="22"/>
        </w:rPr>
        <w:t xml:space="preserve">. </w:t>
      </w:r>
      <w:r w:rsidR="00CE303F" w:rsidRPr="00A923E2">
        <w:rPr>
          <w:rFonts w:ascii="Times New Roman" w:hAnsi="Times New Roman"/>
          <w:sz w:val="22"/>
          <w:szCs w:val="22"/>
        </w:rPr>
        <w:t>Primary USGS staff involved are the Contracting Officer, External Support Manager</w:t>
      </w:r>
      <w:r w:rsidR="009905B0" w:rsidRPr="00A923E2">
        <w:rPr>
          <w:rFonts w:ascii="Times New Roman" w:hAnsi="Times New Roman"/>
          <w:sz w:val="22"/>
          <w:szCs w:val="22"/>
        </w:rPr>
        <w:t>,</w:t>
      </w:r>
      <w:r w:rsidR="00CE303F" w:rsidRPr="00A923E2">
        <w:rPr>
          <w:rFonts w:ascii="Times New Roman" w:hAnsi="Times New Roman"/>
          <w:sz w:val="22"/>
          <w:szCs w:val="22"/>
        </w:rPr>
        <w:t xml:space="preserve"> and Program Analyst for developing the program announcement, organizing the proposals, completing all logistics for the peer panel meetings to review proposals, notifying recipients of awards, preparing requisitions, making awards, and requesting and reviewing required reports</w:t>
      </w:r>
      <w:r w:rsidR="0057402C" w:rsidRPr="00A923E2">
        <w:rPr>
          <w:rFonts w:ascii="Times New Roman" w:hAnsi="Times New Roman"/>
          <w:sz w:val="22"/>
          <w:szCs w:val="22"/>
        </w:rPr>
        <w:t>.</w:t>
      </w:r>
      <w:r w:rsidR="009905B0" w:rsidRPr="00A923E2">
        <w:rPr>
          <w:rFonts w:ascii="Times New Roman" w:hAnsi="Times New Roman"/>
          <w:sz w:val="22"/>
          <w:szCs w:val="22"/>
        </w:rPr>
        <w:t xml:space="preserve">  Grade levels, time, and </w:t>
      </w:r>
      <w:r w:rsidR="009E5480" w:rsidRPr="00A923E2">
        <w:rPr>
          <w:rFonts w:ascii="Times New Roman" w:hAnsi="Times New Roman"/>
          <w:sz w:val="22"/>
          <w:szCs w:val="22"/>
        </w:rPr>
        <w:t>annual</w:t>
      </w:r>
      <w:r w:rsidR="009905B0" w:rsidRPr="00A923E2">
        <w:rPr>
          <w:rFonts w:ascii="Times New Roman" w:hAnsi="Times New Roman"/>
          <w:sz w:val="22"/>
          <w:szCs w:val="22"/>
        </w:rPr>
        <w:t xml:space="preserve"> costs for each of </w:t>
      </w:r>
      <w:r w:rsidR="00327607" w:rsidRPr="00A923E2">
        <w:rPr>
          <w:rFonts w:ascii="Times New Roman" w:hAnsi="Times New Roman"/>
          <w:sz w:val="22"/>
          <w:szCs w:val="22"/>
        </w:rPr>
        <w:t>the</w:t>
      </w:r>
      <w:r w:rsidR="009905B0" w:rsidRPr="00A923E2">
        <w:rPr>
          <w:rFonts w:ascii="Times New Roman" w:hAnsi="Times New Roman"/>
          <w:sz w:val="22"/>
          <w:szCs w:val="22"/>
        </w:rPr>
        <w:t xml:space="preserve"> three individuals </w:t>
      </w:r>
      <w:r w:rsidR="00327607" w:rsidRPr="00A923E2">
        <w:rPr>
          <w:rFonts w:ascii="Times New Roman" w:hAnsi="Times New Roman"/>
          <w:sz w:val="22"/>
          <w:szCs w:val="22"/>
        </w:rPr>
        <w:t xml:space="preserve">are </w:t>
      </w:r>
      <w:r w:rsidR="009905B0" w:rsidRPr="00A923E2">
        <w:rPr>
          <w:rFonts w:ascii="Times New Roman" w:hAnsi="Times New Roman"/>
          <w:sz w:val="22"/>
          <w:szCs w:val="22"/>
        </w:rPr>
        <w:t>provided below.  On average each year ten</w:t>
      </w:r>
      <w:r w:rsidR="00CE303F" w:rsidRPr="00A923E2">
        <w:rPr>
          <w:rFonts w:ascii="Times New Roman" w:hAnsi="Times New Roman"/>
          <w:sz w:val="22"/>
          <w:szCs w:val="22"/>
        </w:rPr>
        <w:t xml:space="preserve"> </w:t>
      </w:r>
      <w:r w:rsidR="009905B0" w:rsidRPr="00A923E2">
        <w:rPr>
          <w:rFonts w:ascii="Times New Roman" w:hAnsi="Times New Roman"/>
          <w:sz w:val="22"/>
          <w:szCs w:val="22"/>
        </w:rPr>
        <w:t xml:space="preserve">USGS </w:t>
      </w:r>
      <w:r w:rsidR="00CE303F" w:rsidRPr="00A923E2">
        <w:rPr>
          <w:rFonts w:ascii="Times New Roman" w:hAnsi="Times New Roman"/>
          <w:sz w:val="22"/>
          <w:szCs w:val="22"/>
        </w:rPr>
        <w:t>Regional or Topical Coordinators</w:t>
      </w:r>
      <w:r w:rsidR="0057402C" w:rsidRPr="00A923E2">
        <w:rPr>
          <w:rFonts w:ascii="Times New Roman" w:hAnsi="Times New Roman"/>
          <w:sz w:val="22"/>
          <w:szCs w:val="22"/>
        </w:rPr>
        <w:t xml:space="preserve"> assist with developing the program announcement, review proposals, manage the peer review panel meetings, and </w:t>
      </w:r>
      <w:r w:rsidRPr="00A923E2">
        <w:rPr>
          <w:rFonts w:ascii="Times New Roman" w:hAnsi="Times New Roman"/>
          <w:sz w:val="22"/>
          <w:szCs w:val="22"/>
        </w:rPr>
        <w:t>provid</w:t>
      </w:r>
      <w:r w:rsidR="0057402C" w:rsidRPr="00A923E2">
        <w:rPr>
          <w:rFonts w:ascii="Times New Roman" w:hAnsi="Times New Roman"/>
          <w:sz w:val="22"/>
          <w:szCs w:val="22"/>
        </w:rPr>
        <w:t>e</w:t>
      </w:r>
      <w:r w:rsidRPr="00A923E2">
        <w:rPr>
          <w:rFonts w:ascii="Times New Roman" w:hAnsi="Times New Roman"/>
          <w:sz w:val="22"/>
          <w:szCs w:val="22"/>
        </w:rPr>
        <w:t xml:space="preserve"> technical support to the awarded projects</w:t>
      </w:r>
      <w:r w:rsidR="009905B0" w:rsidRPr="00A923E2">
        <w:rPr>
          <w:rFonts w:ascii="Times New Roman" w:hAnsi="Times New Roman"/>
          <w:sz w:val="22"/>
          <w:szCs w:val="22"/>
        </w:rPr>
        <w:t xml:space="preserve"> for an average of 120 hours per year per coordinator; an aggregate grade level and annual cost </w:t>
      </w:r>
      <w:r w:rsidR="009E5480" w:rsidRPr="00A923E2">
        <w:rPr>
          <w:rFonts w:ascii="Times New Roman" w:hAnsi="Times New Roman"/>
          <w:sz w:val="22"/>
          <w:szCs w:val="22"/>
        </w:rPr>
        <w:t xml:space="preserve">for the coordinators’ involvement </w:t>
      </w:r>
      <w:r w:rsidR="009905B0" w:rsidRPr="00A923E2">
        <w:rPr>
          <w:rFonts w:ascii="Times New Roman" w:hAnsi="Times New Roman"/>
          <w:sz w:val="22"/>
          <w:szCs w:val="22"/>
        </w:rPr>
        <w:t xml:space="preserve">are provided below.  </w:t>
      </w:r>
      <w:r w:rsidR="0057402C" w:rsidRPr="00A923E2">
        <w:rPr>
          <w:rFonts w:ascii="Times New Roman" w:hAnsi="Times New Roman"/>
          <w:sz w:val="22"/>
          <w:szCs w:val="22"/>
        </w:rPr>
        <w:t xml:space="preserve">Several USGS </w:t>
      </w:r>
      <w:r w:rsidR="009905B0" w:rsidRPr="00A923E2">
        <w:rPr>
          <w:rFonts w:ascii="Times New Roman" w:hAnsi="Times New Roman"/>
          <w:sz w:val="22"/>
          <w:szCs w:val="22"/>
        </w:rPr>
        <w:t xml:space="preserve">scientific </w:t>
      </w:r>
      <w:r w:rsidR="0057402C" w:rsidRPr="00A923E2">
        <w:rPr>
          <w:rFonts w:ascii="Times New Roman" w:hAnsi="Times New Roman"/>
          <w:sz w:val="22"/>
          <w:szCs w:val="22"/>
        </w:rPr>
        <w:t xml:space="preserve">staff also </w:t>
      </w:r>
      <w:r w:rsidR="00C711F9" w:rsidRPr="00A923E2">
        <w:rPr>
          <w:rFonts w:ascii="Times New Roman" w:hAnsi="Times New Roman"/>
          <w:sz w:val="22"/>
          <w:szCs w:val="22"/>
        </w:rPr>
        <w:t>serves</w:t>
      </w:r>
      <w:r w:rsidR="0057402C" w:rsidRPr="00A923E2">
        <w:rPr>
          <w:rFonts w:ascii="Times New Roman" w:hAnsi="Times New Roman"/>
          <w:sz w:val="22"/>
          <w:szCs w:val="22"/>
        </w:rPr>
        <w:t xml:space="preserve"> as panel members; </w:t>
      </w:r>
      <w:r w:rsidR="009E5480" w:rsidRPr="00A923E2">
        <w:rPr>
          <w:rFonts w:ascii="Times New Roman" w:hAnsi="Times New Roman"/>
          <w:sz w:val="22"/>
          <w:szCs w:val="22"/>
        </w:rPr>
        <w:t xml:space="preserve">these panel members spend </w:t>
      </w:r>
      <w:r w:rsidR="0057402C" w:rsidRPr="00A923E2">
        <w:rPr>
          <w:rFonts w:ascii="Times New Roman" w:hAnsi="Times New Roman"/>
          <w:sz w:val="22"/>
          <w:szCs w:val="22"/>
        </w:rPr>
        <w:t xml:space="preserve">44 hours on average </w:t>
      </w:r>
      <w:r w:rsidR="009905B0" w:rsidRPr="00A923E2">
        <w:rPr>
          <w:rFonts w:ascii="Times New Roman" w:hAnsi="Times New Roman"/>
          <w:sz w:val="22"/>
          <w:szCs w:val="22"/>
        </w:rPr>
        <w:t xml:space="preserve">per person </w:t>
      </w:r>
      <w:r w:rsidR="0057402C" w:rsidRPr="00A923E2">
        <w:rPr>
          <w:rFonts w:ascii="Times New Roman" w:hAnsi="Times New Roman"/>
          <w:sz w:val="22"/>
          <w:szCs w:val="22"/>
        </w:rPr>
        <w:t>for reviews, meeting participation, and travel</w:t>
      </w:r>
      <w:r w:rsidR="009E5480" w:rsidRPr="00A923E2">
        <w:rPr>
          <w:rFonts w:ascii="Times New Roman" w:hAnsi="Times New Roman"/>
          <w:sz w:val="22"/>
          <w:szCs w:val="22"/>
        </w:rPr>
        <w:t>.  W</w:t>
      </w:r>
      <w:r w:rsidR="0057402C" w:rsidRPr="00A923E2">
        <w:rPr>
          <w:rFonts w:ascii="Times New Roman" w:hAnsi="Times New Roman"/>
          <w:sz w:val="22"/>
          <w:szCs w:val="22"/>
        </w:rPr>
        <w:t>e have provided an aggregated grade level and annual cost below</w:t>
      </w:r>
      <w:r w:rsidR="009E5480" w:rsidRPr="00A923E2">
        <w:rPr>
          <w:rFonts w:ascii="Times New Roman" w:hAnsi="Times New Roman"/>
          <w:sz w:val="22"/>
          <w:szCs w:val="22"/>
        </w:rPr>
        <w:t xml:space="preserve"> for USGS panel members</w:t>
      </w:r>
      <w:r w:rsidR="0057402C" w:rsidRPr="00A923E2">
        <w:rPr>
          <w:rFonts w:ascii="Times New Roman" w:hAnsi="Times New Roman"/>
          <w:sz w:val="22"/>
          <w:szCs w:val="22"/>
        </w:rPr>
        <w:t xml:space="preserve">. </w:t>
      </w:r>
    </w:p>
    <w:p w:rsidR="00F8660E" w:rsidRPr="00A923E2" w:rsidRDefault="00F8660E" w:rsidP="00FE60F0">
      <w:pPr>
        <w:tabs>
          <w:tab w:val="left" w:pos="3464"/>
        </w:tabs>
        <w:rPr>
          <w:rFonts w:ascii="Times New Roman" w:hAnsi="Times New Roman"/>
          <w:sz w:val="22"/>
          <w:szCs w:val="22"/>
        </w:rPr>
      </w:pPr>
    </w:p>
    <w:p w:rsidR="00F8660E" w:rsidRPr="00A923E2" w:rsidRDefault="00F8660E" w:rsidP="00F8660E">
      <w:pPr>
        <w:rPr>
          <w:rFonts w:ascii="Times New Roman" w:hAnsi="Times New Roman"/>
          <w:sz w:val="22"/>
          <w:szCs w:val="22"/>
        </w:rPr>
      </w:pPr>
      <w:r w:rsidRPr="00A923E2">
        <w:rPr>
          <w:rFonts w:ascii="Times New Roman" w:hAnsi="Times New Roman"/>
          <w:sz w:val="22"/>
          <w:szCs w:val="22"/>
        </w:rPr>
        <w:t>We used the Office of Personnel Management Salary Table 20</w:t>
      </w:r>
      <w:r w:rsidR="00610DB8">
        <w:rPr>
          <w:rFonts w:ascii="Times New Roman" w:hAnsi="Times New Roman"/>
          <w:sz w:val="22"/>
          <w:szCs w:val="22"/>
        </w:rPr>
        <w:t>12</w:t>
      </w:r>
      <w:r w:rsidRPr="00A923E2">
        <w:rPr>
          <w:rFonts w:ascii="Times New Roman" w:hAnsi="Times New Roman"/>
          <w:sz w:val="22"/>
          <w:szCs w:val="22"/>
        </w:rPr>
        <w:t>-DCB</w:t>
      </w:r>
      <w:r w:rsidR="00610DB8">
        <w:rPr>
          <w:rFonts w:ascii="Times New Roman" w:hAnsi="Times New Roman"/>
          <w:sz w:val="22"/>
          <w:szCs w:val="22"/>
        </w:rPr>
        <w:t xml:space="preserve"> (http://www.opm.gov/flsa/oca/12</w:t>
      </w:r>
      <w:r w:rsidRPr="00A923E2">
        <w:rPr>
          <w:rFonts w:ascii="Times New Roman" w:hAnsi="Times New Roman"/>
          <w:sz w:val="22"/>
          <w:szCs w:val="22"/>
        </w:rPr>
        <w:t>tables/html/dcb_</w:t>
      </w:r>
      <w:r w:rsidR="00610DB8">
        <w:rPr>
          <w:rFonts w:ascii="Times New Roman" w:hAnsi="Times New Roman"/>
          <w:sz w:val="22"/>
          <w:szCs w:val="22"/>
        </w:rPr>
        <w:t>leo_</w:t>
      </w:r>
      <w:r w:rsidRPr="00A923E2">
        <w:rPr>
          <w:rFonts w:ascii="Times New Roman" w:hAnsi="Times New Roman"/>
          <w:sz w:val="22"/>
          <w:szCs w:val="22"/>
        </w:rPr>
        <w:t>h.asp) to determine the hourly rate. We multiplied the hourly rate by 1.5 to account for benefits (as implied by the previously referenced BLS news release).</w:t>
      </w:r>
    </w:p>
    <w:p w:rsidR="00F8660E" w:rsidRPr="00A923E2" w:rsidRDefault="00F8660E" w:rsidP="00F8660E">
      <w:pPr>
        <w:rPr>
          <w:sz w:val="22"/>
          <w:szCs w:val="22"/>
        </w:rPr>
      </w:pPr>
    </w:p>
    <w:p w:rsidR="005C194A" w:rsidRPr="00A923E2" w:rsidRDefault="00F8660E" w:rsidP="00BE7843">
      <w:pPr>
        <w:rPr>
          <w:rFonts w:ascii="Times New Roman" w:hAnsi="Times New Roman"/>
          <w:sz w:val="22"/>
          <w:szCs w:val="22"/>
        </w:rPr>
      </w:pPr>
      <w:r w:rsidRPr="00A923E2">
        <w:rPr>
          <w:rFonts w:ascii="Times New Roman" w:hAnsi="Times New Roman"/>
          <w:sz w:val="22"/>
          <w:szCs w:val="22"/>
        </w:rPr>
        <w:t xml:space="preserve">In addition to the salaries and benefits, we estimate that </w:t>
      </w:r>
      <w:r w:rsidR="00237D7D" w:rsidRPr="00A923E2">
        <w:rPr>
          <w:rFonts w:ascii="Times New Roman" w:hAnsi="Times New Roman"/>
          <w:sz w:val="22"/>
          <w:szCs w:val="22"/>
        </w:rPr>
        <w:t>$</w:t>
      </w:r>
      <w:r w:rsidR="00F16214" w:rsidRPr="00A923E2">
        <w:rPr>
          <w:rFonts w:ascii="Times New Roman" w:hAnsi="Times New Roman"/>
          <w:sz w:val="22"/>
          <w:szCs w:val="22"/>
        </w:rPr>
        <w:t>4</w:t>
      </w:r>
      <w:r w:rsidR="00924704">
        <w:rPr>
          <w:rFonts w:ascii="Times New Roman" w:hAnsi="Times New Roman"/>
          <w:sz w:val="22"/>
          <w:szCs w:val="22"/>
        </w:rPr>
        <w:t>0</w:t>
      </w:r>
      <w:r w:rsidR="00237D7D" w:rsidRPr="00A923E2">
        <w:rPr>
          <w:rFonts w:ascii="Times New Roman" w:hAnsi="Times New Roman"/>
          <w:sz w:val="22"/>
          <w:szCs w:val="22"/>
        </w:rPr>
        <w:t>,000 for holding the proposal review panel meeting</w:t>
      </w:r>
      <w:r w:rsidR="00F16214" w:rsidRPr="00A923E2">
        <w:rPr>
          <w:rFonts w:ascii="Times New Roman" w:hAnsi="Times New Roman"/>
          <w:sz w:val="22"/>
          <w:szCs w:val="22"/>
        </w:rPr>
        <w:t>s required each fiscal year</w:t>
      </w:r>
      <w:r w:rsidR="0057402C" w:rsidRPr="00A923E2">
        <w:rPr>
          <w:rFonts w:ascii="Times New Roman" w:hAnsi="Times New Roman"/>
          <w:sz w:val="22"/>
          <w:szCs w:val="22"/>
        </w:rPr>
        <w:t xml:space="preserve"> for </w:t>
      </w:r>
      <w:r w:rsidR="00D151D2" w:rsidRPr="00A923E2">
        <w:rPr>
          <w:rFonts w:ascii="Times New Roman" w:hAnsi="Times New Roman"/>
          <w:sz w:val="22"/>
          <w:szCs w:val="22"/>
        </w:rPr>
        <w:t>transportation and p</w:t>
      </w:r>
      <w:r w:rsidR="00237D7D" w:rsidRPr="00A923E2">
        <w:rPr>
          <w:rFonts w:ascii="Times New Roman" w:hAnsi="Times New Roman"/>
          <w:sz w:val="22"/>
          <w:szCs w:val="22"/>
        </w:rPr>
        <w:t>er diem</w:t>
      </w:r>
      <w:r w:rsidR="00D151D2" w:rsidRPr="00A923E2">
        <w:rPr>
          <w:rFonts w:ascii="Times New Roman" w:hAnsi="Times New Roman"/>
          <w:sz w:val="22"/>
          <w:szCs w:val="22"/>
        </w:rPr>
        <w:t xml:space="preserve"> for </w:t>
      </w:r>
      <w:r w:rsidRPr="00A923E2">
        <w:rPr>
          <w:rFonts w:ascii="Times New Roman" w:hAnsi="Times New Roman"/>
          <w:sz w:val="22"/>
          <w:szCs w:val="22"/>
        </w:rPr>
        <w:t xml:space="preserve">outside </w:t>
      </w:r>
      <w:r w:rsidR="00D151D2" w:rsidRPr="00A923E2">
        <w:rPr>
          <w:rFonts w:ascii="Times New Roman" w:hAnsi="Times New Roman"/>
          <w:sz w:val="22"/>
          <w:szCs w:val="22"/>
        </w:rPr>
        <w:t>peer reviewers and USGS staff</w:t>
      </w:r>
      <w:r w:rsidR="0057402C" w:rsidRPr="00A923E2">
        <w:rPr>
          <w:rFonts w:ascii="Times New Roman" w:hAnsi="Times New Roman"/>
          <w:sz w:val="22"/>
          <w:szCs w:val="22"/>
        </w:rPr>
        <w:t xml:space="preserve"> (</w:t>
      </w:r>
      <w:r w:rsidR="00237D7D" w:rsidRPr="00A923E2">
        <w:rPr>
          <w:rFonts w:ascii="Times New Roman" w:hAnsi="Times New Roman"/>
          <w:sz w:val="22"/>
          <w:szCs w:val="22"/>
        </w:rPr>
        <w:t xml:space="preserve">no salaries or stipends are paid to </w:t>
      </w:r>
      <w:r w:rsidRPr="00A923E2">
        <w:rPr>
          <w:rFonts w:ascii="Times New Roman" w:hAnsi="Times New Roman"/>
          <w:sz w:val="22"/>
          <w:szCs w:val="22"/>
        </w:rPr>
        <w:t xml:space="preserve">non-federal </w:t>
      </w:r>
      <w:r w:rsidR="00FE60F0" w:rsidRPr="00A923E2">
        <w:rPr>
          <w:rFonts w:ascii="Times New Roman" w:hAnsi="Times New Roman"/>
          <w:sz w:val="22"/>
          <w:szCs w:val="22"/>
        </w:rPr>
        <w:t>personnel</w:t>
      </w:r>
      <w:r w:rsidR="0057402C" w:rsidRPr="00A923E2">
        <w:rPr>
          <w:rFonts w:ascii="Times New Roman" w:hAnsi="Times New Roman"/>
          <w:sz w:val="22"/>
          <w:szCs w:val="22"/>
        </w:rPr>
        <w:t xml:space="preserve"> that participate on the panel reviews</w:t>
      </w:r>
      <w:r w:rsidR="00924704">
        <w:rPr>
          <w:rFonts w:ascii="Times New Roman" w:hAnsi="Times New Roman"/>
          <w:sz w:val="22"/>
          <w:szCs w:val="22"/>
        </w:rPr>
        <w:t>)</w:t>
      </w:r>
      <w:r w:rsidRPr="00A923E2">
        <w:rPr>
          <w:rFonts w:ascii="Times New Roman" w:hAnsi="Times New Roman"/>
          <w:sz w:val="22"/>
          <w:szCs w:val="22"/>
        </w:rPr>
        <w:t xml:space="preserve">. </w:t>
      </w:r>
      <w:r w:rsidR="00F16214" w:rsidRPr="00A923E2">
        <w:rPr>
          <w:rFonts w:ascii="Times New Roman" w:hAnsi="Times New Roman"/>
          <w:sz w:val="22"/>
          <w:szCs w:val="22"/>
        </w:rPr>
        <w:t xml:space="preserve"> USGS facilities are used for panel meetings, so no room rental fees are incurred.</w:t>
      </w:r>
    </w:p>
    <w:p w:rsidR="00F8660E" w:rsidRPr="00A923E2" w:rsidRDefault="00F8660E" w:rsidP="00BE7843">
      <w:pPr>
        <w:rPr>
          <w:rFonts w:ascii="Times New Roman" w:hAnsi="Times New Roman"/>
          <w:sz w:val="22"/>
          <w:szCs w:val="22"/>
        </w:rPr>
      </w:pPr>
    </w:p>
    <w:p w:rsidR="003826CF" w:rsidRPr="00A923E2" w:rsidRDefault="00C711F9" w:rsidP="00F8660E">
      <w:pPr>
        <w:rPr>
          <w:rFonts w:ascii="Times New Roman" w:hAnsi="Times New Roman"/>
          <w:b/>
          <w:sz w:val="22"/>
          <w:szCs w:val="22"/>
        </w:rPr>
      </w:pPr>
      <w:proofErr w:type="gramStart"/>
      <w:r w:rsidRPr="00A923E2">
        <w:rPr>
          <w:rFonts w:ascii="Times New Roman" w:hAnsi="Times New Roman"/>
          <w:b/>
          <w:sz w:val="22"/>
          <w:szCs w:val="22"/>
        </w:rPr>
        <w:t>T</w:t>
      </w:r>
      <w:r w:rsidR="00F8660E" w:rsidRPr="00A923E2">
        <w:rPr>
          <w:rFonts w:ascii="Times New Roman" w:hAnsi="Times New Roman"/>
          <w:b/>
          <w:sz w:val="22"/>
          <w:szCs w:val="22"/>
        </w:rPr>
        <w:t xml:space="preserve">able </w:t>
      </w:r>
      <w:r w:rsidR="00F27E2F" w:rsidRPr="00A923E2">
        <w:rPr>
          <w:rFonts w:ascii="Times New Roman" w:hAnsi="Times New Roman"/>
          <w:b/>
          <w:sz w:val="22"/>
          <w:szCs w:val="22"/>
        </w:rPr>
        <w:t>2</w:t>
      </w:r>
      <w:r w:rsidR="00F8660E" w:rsidRPr="00A923E2">
        <w:rPr>
          <w:rFonts w:ascii="Times New Roman" w:hAnsi="Times New Roman"/>
          <w:b/>
          <w:sz w:val="22"/>
          <w:szCs w:val="22"/>
        </w:rPr>
        <w:t>.</w:t>
      </w:r>
      <w:proofErr w:type="gramEnd"/>
      <w:r w:rsidR="00F8660E" w:rsidRPr="00A923E2">
        <w:rPr>
          <w:rFonts w:ascii="Times New Roman" w:hAnsi="Times New Roman"/>
          <w:b/>
          <w:sz w:val="22"/>
          <w:szCs w:val="22"/>
        </w:rPr>
        <w:t xml:space="preserve"> </w:t>
      </w:r>
      <w:r w:rsidR="008D4EA3" w:rsidRPr="00A923E2">
        <w:rPr>
          <w:rFonts w:ascii="Times New Roman" w:hAnsi="Times New Roman"/>
          <w:b/>
          <w:sz w:val="22"/>
          <w:szCs w:val="22"/>
        </w:rPr>
        <w:t>Total Annual Cost to the Federal Government</w:t>
      </w:r>
    </w:p>
    <w:p w:rsidR="005F1CE7" w:rsidRPr="00A923E2" w:rsidRDefault="005F1CE7" w:rsidP="003826CF">
      <w:pPr>
        <w:ind w:firstLine="720"/>
        <w:rPr>
          <w:rFonts w:ascii="Times New Roman" w:hAnsi="Times New Roman"/>
          <w:sz w:val="22"/>
          <w:szCs w:val="22"/>
        </w:rPr>
      </w:pPr>
    </w:p>
    <w:tbl>
      <w:tblPr>
        <w:tblpPr w:leftFromText="180" w:rightFromText="180" w:vertAnchor="text" w:horzAnchor="margin" w:tblpXSpec="center" w:tblpY="85"/>
        <w:tblW w:w="8748" w:type="dxa"/>
        <w:tblLayout w:type="fixed"/>
        <w:tblLook w:val="0000" w:firstRow="0" w:lastRow="0" w:firstColumn="0" w:lastColumn="0" w:noHBand="0" w:noVBand="0"/>
      </w:tblPr>
      <w:tblGrid>
        <w:gridCol w:w="2715"/>
        <w:gridCol w:w="90"/>
        <w:gridCol w:w="6"/>
        <w:gridCol w:w="983"/>
        <w:gridCol w:w="180"/>
        <w:gridCol w:w="1021"/>
        <w:gridCol w:w="1410"/>
        <w:gridCol w:w="1171"/>
        <w:gridCol w:w="1172"/>
      </w:tblGrid>
      <w:tr w:rsidR="008D4EA3" w:rsidRPr="00A923E2" w:rsidTr="003A6EE4">
        <w:trPr>
          <w:trHeight w:val="1313"/>
          <w:tblHeader/>
        </w:trPr>
        <w:tc>
          <w:tcPr>
            <w:tcW w:w="2716" w:type="dxa"/>
            <w:tcBorders>
              <w:top w:val="single" w:sz="4" w:space="0" w:color="auto"/>
              <w:left w:val="single" w:sz="4" w:space="0" w:color="auto"/>
              <w:bottom w:val="single" w:sz="4" w:space="0" w:color="auto"/>
              <w:right w:val="single" w:sz="4" w:space="0" w:color="auto"/>
            </w:tcBorders>
            <w:shd w:val="clear" w:color="auto" w:fill="E0E0E0"/>
            <w:vAlign w:val="center"/>
          </w:tcPr>
          <w:p w:rsidR="008D4EA3" w:rsidRPr="00A923E2" w:rsidRDefault="00DE3276" w:rsidP="00DA194B">
            <w:pPr>
              <w:jc w:val="center"/>
              <w:rPr>
                <w:rFonts w:ascii="Times New Roman" w:hAnsi="Times New Roman"/>
                <w:b/>
                <w:bCs/>
              </w:rPr>
            </w:pPr>
            <w:r w:rsidRPr="00A923E2">
              <w:rPr>
                <w:rFonts w:ascii="Times New Roman" w:hAnsi="Times New Roman"/>
                <w:b/>
                <w:bCs/>
              </w:rPr>
              <w:t>Position</w:t>
            </w:r>
          </w:p>
        </w:tc>
        <w:tc>
          <w:tcPr>
            <w:tcW w:w="1079" w:type="dxa"/>
            <w:gridSpan w:val="3"/>
            <w:tcBorders>
              <w:top w:val="single" w:sz="4" w:space="0" w:color="auto"/>
              <w:left w:val="nil"/>
              <w:bottom w:val="single" w:sz="4" w:space="0" w:color="auto"/>
              <w:right w:val="single" w:sz="4" w:space="0" w:color="auto"/>
            </w:tcBorders>
            <w:shd w:val="clear" w:color="auto" w:fill="E0E0E0"/>
            <w:vAlign w:val="center"/>
          </w:tcPr>
          <w:p w:rsidR="008D4EA3" w:rsidRPr="00A923E2" w:rsidRDefault="00DE3276" w:rsidP="00DA194B">
            <w:pPr>
              <w:jc w:val="center"/>
              <w:rPr>
                <w:rFonts w:ascii="Times New Roman" w:hAnsi="Times New Roman"/>
                <w:b/>
                <w:bCs/>
              </w:rPr>
            </w:pPr>
            <w:r w:rsidRPr="00A923E2">
              <w:rPr>
                <w:rFonts w:ascii="Times New Roman" w:hAnsi="Times New Roman"/>
                <w:b/>
                <w:bCs/>
              </w:rPr>
              <w:t>Grade/</w:t>
            </w:r>
          </w:p>
          <w:p w:rsidR="008D4EA3" w:rsidRPr="00A923E2" w:rsidRDefault="00DE3276" w:rsidP="00DA194B">
            <w:pPr>
              <w:jc w:val="center"/>
              <w:rPr>
                <w:rFonts w:ascii="Times New Roman" w:hAnsi="Times New Roman"/>
                <w:b/>
                <w:bCs/>
              </w:rPr>
            </w:pPr>
            <w:r w:rsidRPr="00A923E2">
              <w:rPr>
                <w:rFonts w:ascii="Times New Roman" w:hAnsi="Times New Roman"/>
                <w:b/>
                <w:bCs/>
              </w:rPr>
              <w:t>Step</w:t>
            </w:r>
          </w:p>
        </w:tc>
        <w:tc>
          <w:tcPr>
            <w:tcW w:w="1202" w:type="dxa"/>
            <w:gridSpan w:val="2"/>
            <w:tcBorders>
              <w:top w:val="single" w:sz="4" w:space="0" w:color="auto"/>
              <w:left w:val="nil"/>
              <w:bottom w:val="single" w:sz="4" w:space="0" w:color="auto"/>
              <w:right w:val="single" w:sz="4" w:space="0" w:color="auto"/>
            </w:tcBorders>
            <w:shd w:val="clear" w:color="auto" w:fill="E0E0E0"/>
            <w:vAlign w:val="center"/>
          </w:tcPr>
          <w:p w:rsidR="008D4EA3" w:rsidRPr="00A923E2" w:rsidRDefault="00DE3276" w:rsidP="00DA194B">
            <w:pPr>
              <w:jc w:val="center"/>
              <w:rPr>
                <w:rFonts w:ascii="Times New Roman" w:hAnsi="Times New Roman"/>
                <w:b/>
                <w:bCs/>
              </w:rPr>
            </w:pPr>
            <w:r w:rsidRPr="00A923E2">
              <w:rPr>
                <w:rFonts w:ascii="Times New Roman" w:hAnsi="Times New Roman"/>
                <w:b/>
                <w:bCs/>
              </w:rPr>
              <w:t>Hourly Rate</w:t>
            </w:r>
          </w:p>
        </w:tc>
        <w:tc>
          <w:tcPr>
            <w:tcW w:w="1408" w:type="dxa"/>
            <w:tcBorders>
              <w:top w:val="single" w:sz="4" w:space="0" w:color="auto"/>
              <w:left w:val="nil"/>
              <w:bottom w:val="single" w:sz="4" w:space="0" w:color="auto"/>
              <w:right w:val="single" w:sz="4" w:space="0" w:color="auto"/>
            </w:tcBorders>
            <w:shd w:val="clear" w:color="auto" w:fill="E0E0E0"/>
            <w:vAlign w:val="center"/>
          </w:tcPr>
          <w:p w:rsidR="008D4EA3" w:rsidRPr="00A923E2" w:rsidRDefault="00DE3276" w:rsidP="00DA194B">
            <w:pPr>
              <w:jc w:val="center"/>
              <w:rPr>
                <w:rFonts w:ascii="Times New Roman" w:hAnsi="Times New Roman"/>
                <w:b/>
                <w:bCs/>
              </w:rPr>
            </w:pPr>
            <w:r w:rsidRPr="00A923E2">
              <w:rPr>
                <w:rFonts w:ascii="Times New Roman" w:hAnsi="Times New Roman"/>
                <w:b/>
                <w:bCs/>
              </w:rPr>
              <w:t>Hourly Rate Incl. Benefits</w:t>
            </w:r>
          </w:p>
          <w:p w:rsidR="008D4EA3" w:rsidRPr="00A923E2" w:rsidRDefault="00DE3276" w:rsidP="00DA194B">
            <w:pPr>
              <w:jc w:val="center"/>
              <w:rPr>
                <w:rFonts w:ascii="Times New Roman" w:hAnsi="Times New Roman"/>
                <w:b/>
                <w:bCs/>
              </w:rPr>
            </w:pPr>
            <w:r w:rsidRPr="00A923E2">
              <w:rPr>
                <w:rFonts w:ascii="Times New Roman" w:hAnsi="Times New Roman"/>
                <w:b/>
                <w:bCs/>
              </w:rPr>
              <w:t>(1.5 X Hourly Pay Rate)</w:t>
            </w:r>
          </w:p>
        </w:tc>
        <w:tc>
          <w:tcPr>
            <w:tcW w:w="1170" w:type="dxa"/>
            <w:tcBorders>
              <w:top w:val="single" w:sz="4" w:space="0" w:color="auto"/>
              <w:left w:val="nil"/>
              <w:bottom w:val="single" w:sz="4" w:space="0" w:color="auto"/>
              <w:right w:val="single" w:sz="4" w:space="0" w:color="auto"/>
            </w:tcBorders>
            <w:shd w:val="clear" w:color="auto" w:fill="E0E0E0"/>
            <w:vAlign w:val="center"/>
          </w:tcPr>
          <w:p w:rsidR="008D4EA3" w:rsidRPr="00A923E2" w:rsidRDefault="00DE3276" w:rsidP="00DA194B">
            <w:pPr>
              <w:jc w:val="center"/>
              <w:rPr>
                <w:rFonts w:ascii="Times New Roman" w:hAnsi="Times New Roman"/>
                <w:b/>
                <w:bCs/>
              </w:rPr>
            </w:pPr>
            <w:r w:rsidRPr="00A923E2">
              <w:rPr>
                <w:rFonts w:ascii="Times New Roman" w:hAnsi="Times New Roman"/>
                <w:b/>
                <w:bCs/>
              </w:rPr>
              <w:t>Total Annual Hours</w:t>
            </w:r>
          </w:p>
        </w:tc>
        <w:tc>
          <w:tcPr>
            <w:tcW w:w="1173" w:type="dxa"/>
            <w:tcBorders>
              <w:top w:val="single" w:sz="4" w:space="0" w:color="auto"/>
              <w:left w:val="nil"/>
              <w:bottom w:val="single" w:sz="4" w:space="0" w:color="auto"/>
              <w:right w:val="single" w:sz="4" w:space="0" w:color="auto"/>
            </w:tcBorders>
            <w:shd w:val="clear" w:color="auto" w:fill="E0E0E0"/>
            <w:vAlign w:val="center"/>
          </w:tcPr>
          <w:p w:rsidR="008D4EA3" w:rsidRPr="00A923E2" w:rsidRDefault="00DE3276" w:rsidP="00DA194B">
            <w:pPr>
              <w:jc w:val="center"/>
              <w:rPr>
                <w:rFonts w:ascii="Times New Roman" w:hAnsi="Times New Roman"/>
                <w:b/>
                <w:bCs/>
              </w:rPr>
            </w:pPr>
            <w:r w:rsidRPr="00A923E2">
              <w:rPr>
                <w:rFonts w:ascii="Times New Roman" w:hAnsi="Times New Roman"/>
                <w:b/>
                <w:bCs/>
              </w:rPr>
              <w:t>Annual Cost</w:t>
            </w:r>
          </w:p>
        </w:tc>
      </w:tr>
      <w:tr w:rsidR="008D4EA3" w:rsidRPr="00A923E2" w:rsidTr="003A6EE4">
        <w:trPr>
          <w:trHeight w:val="674"/>
          <w:tblHeader/>
        </w:trPr>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8D4EA3" w:rsidRPr="00A923E2" w:rsidRDefault="008D4EA3" w:rsidP="00DA194B">
            <w:pPr>
              <w:rPr>
                <w:rFonts w:ascii="Times New Roman" w:hAnsi="Times New Roman"/>
              </w:rPr>
            </w:pPr>
            <w:r w:rsidRPr="00A923E2">
              <w:rPr>
                <w:rFonts w:ascii="Times New Roman" w:hAnsi="Times New Roman"/>
              </w:rPr>
              <w:t>Physical Scientist/ External  Support Manager</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GS 14/10</w:t>
            </w:r>
          </w:p>
        </w:tc>
        <w:tc>
          <w:tcPr>
            <w:tcW w:w="1202" w:type="dxa"/>
            <w:gridSpan w:val="2"/>
            <w:tcBorders>
              <w:top w:val="single" w:sz="4" w:space="0" w:color="auto"/>
              <w:left w:val="nil"/>
              <w:bottom w:val="single" w:sz="4" w:space="0" w:color="auto"/>
              <w:right w:val="single" w:sz="4" w:space="0" w:color="auto"/>
            </w:tcBorders>
            <w:shd w:val="clear" w:color="auto" w:fill="auto"/>
            <w:noWrap/>
            <w:vAlign w:val="center"/>
          </w:tcPr>
          <w:p w:rsidR="008D4EA3" w:rsidRPr="00A923E2" w:rsidRDefault="008D4EA3" w:rsidP="009512E9">
            <w:pPr>
              <w:jc w:val="center"/>
              <w:rPr>
                <w:rFonts w:ascii="Times New Roman" w:hAnsi="Times New Roman"/>
              </w:rPr>
            </w:pPr>
            <w:r w:rsidRPr="00A923E2">
              <w:rPr>
                <w:rFonts w:ascii="Times New Roman" w:hAnsi="Times New Roman"/>
              </w:rPr>
              <w:t>$6</w:t>
            </w:r>
            <w:r w:rsidR="009512E9">
              <w:rPr>
                <w:rFonts w:ascii="Times New Roman" w:hAnsi="Times New Roman"/>
              </w:rPr>
              <w:t>5.53</w:t>
            </w:r>
            <w:r w:rsidR="00C711F9" w:rsidRPr="00A923E2">
              <w:rPr>
                <w:rFonts w:ascii="Times New Roman" w:hAnsi="Times New Roman"/>
              </w:rPr>
              <w:t xml:space="preserve"> </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8D4EA3" w:rsidRPr="00A923E2" w:rsidRDefault="009512E9" w:rsidP="009512E9">
            <w:pPr>
              <w:jc w:val="center"/>
              <w:rPr>
                <w:rFonts w:ascii="Times New Roman" w:hAnsi="Times New Roman"/>
              </w:rPr>
            </w:pPr>
            <w:r>
              <w:rPr>
                <w:rFonts w:ascii="Times New Roman" w:hAnsi="Times New Roman"/>
              </w:rPr>
              <w:t>$98</w:t>
            </w:r>
            <w:r w:rsidR="008D4EA3" w:rsidRPr="00A923E2">
              <w:rPr>
                <w:rFonts w:ascii="Times New Roman" w:hAnsi="Times New Roman"/>
              </w:rPr>
              <w:t>.</w:t>
            </w:r>
            <w:r>
              <w:rPr>
                <w:rFonts w:ascii="Times New Roman" w:hAnsi="Times New Roman"/>
              </w:rPr>
              <w:t>30</w:t>
            </w:r>
          </w:p>
        </w:tc>
        <w:tc>
          <w:tcPr>
            <w:tcW w:w="1170"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1,700</w:t>
            </w:r>
          </w:p>
        </w:tc>
        <w:tc>
          <w:tcPr>
            <w:tcW w:w="1173"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$16</w:t>
            </w:r>
            <w:r w:rsidR="009512E9">
              <w:rPr>
                <w:rFonts w:ascii="Times New Roman" w:hAnsi="Times New Roman"/>
              </w:rPr>
              <w:t>7</w:t>
            </w:r>
            <w:r w:rsidRPr="00A923E2">
              <w:rPr>
                <w:rFonts w:ascii="Times New Roman" w:hAnsi="Times New Roman"/>
              </w:rPr>
              <w:t>,</w:t>
            </w:r>
            <w:r w:rsidR="009512E9">
              <w:rPr>
                <w:rFonts w:ascii="Times New Roman" w:hAnsi="Times New Roman"/>
              </w:rPr>
              <w:t>110</w:t>
            </w:r>
          </w:p>
        </w:tc>
      </w:tr>
      <w:tr w:rsidR="008D4EA3" w:rsidRPr="00A923E2" w:rsidTr="003A6EE4">
        <w:trPr>
          <w:trHeight w:val="502"/>
          <w:tblHeader/>
        </w:trPr>
        <w:tc>
          <w:tcPr>
            <w:tcW w:w="2716" w:type="dxa"/>
            <w:tcBorders>
              <w:top w:val="single" w:sz="4" w:space="0" w:color="auto"/>
              <w:left w:val="single" w:sz="4" w:space="0" w:color="auto"/>
              <w:bottom w:val="single" w:sz="6" w:space="0" w:color="auto"/>
              <w:right w:val="single" w:sz="4" w:space="0" w:color="auto"/>
            </w:tcBorders>
            <w:shd w:val="clear" w:color="auto" w:fill="auto"/>
            <w:vAlign w:val="center"/>
          </w:tcPr>
          <w:p w:rsidR="008D4EA3" w:rsidRPr="00A923E2" w:rsidRDefault="008D4EA3" w:rsidP="00DA194B">
            <w:pPr>
              <w:rPr>
                <w:rFonts w:ascii="Times New Roman" w:hAnsi="Times New Roman"/>
              </w:rPr>
            </w:pPr>
            <w:r w:rsidRPr="00A923E2">
              <w:rPr>
                <w:rFonts w:ascii="Times New Roman" w:hAnsi="Times New Roman"/>
              </w:rPr>
              <w:t>Program Analyst</w:t>
            </w:r>
          </w:p>
        </w:tc>
        <w:tc>
          <w:tcPr>
            <w:tcW w:w="1079" w:type="dxa"/>
            <w:gridSpan w:val="3"/>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GS 9/</w:t>
            </w:r>
            <w:r w:rsidR="009512E9">
              <w:rPr>
                <w:rFonts w:ascii="Times New Roman" w:hAnsi="Times New Roman"/>
              </w:rPr>
              <w:t>7</w:t>
            </w:r>
          </w:p>
        </w:tc>
        <w:tc>
          <w:tcPr>
            <w:tcW w:w="1202" w:type="dxa"/>
            <w:gridSpan w:val="2"/>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w:t>
            </w:r>
            <w:r w:rsidR="009512E9">
              <w:rPr>
                <w:rFonts w:ascii="Times New Roman" w:hAnsi="Times New Roman"/>
              </w:rPr>
              <w:t>30.51</w:t>
            </w:r>
          </w:p>
        </w:tc>
        <w:tc>
          <w:tcPr>
            <w:tcW w:w="1408" w:type="dxa"/>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w:t>
            </w:r>
            <w:r w:rsidR="009512E9">
              <w:rPr>
                <w:rFonts w:ascii="Times New Roman" w:hAnsi="Times New Roman"/>
              </w:rPr>
              <w:t>45.77</w:t>
            </w:r>
          </w:p>
        </w:tc>
        <w:tc>
          <w:tcPr>
            <w:tcW w:w="1170" w:type="dxa"/>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1,700</w:t>
            </w:r>
          </w:p>
        </w:tc>
        <w:tc>
          <w:tcPr>
            <w:tcW w:w="1173" w:type="dxa"/>
            <w:tcBorders>
              <w:top w:val="single" w:sz="4" w:space="0" w:color="auto"/>
              <w:left w:val="nil"/>
              <w:bottom w:val="single" w:sz="6" w:space="0" w:color="auto"/>
              <w:right w:val="single" w:sz="4" w:space="0" w:color="auto"/>
            </w:tcBorders>
            <w:shd w:val="clear" w:color="auto" w:fill="auto"/>
            <w:vAlign w:val="center"/>
          </w:tcPr>
          <w:p w:rsidR="008D4EA3" w:rsidRPr="00A923E2" w:rsidRDefault="009512E9" w:rsidP="009512E9">
            <w:pPr>
              <w:jc w:val="center"/>
              <w:rPr>
                <w:rFonts w:ascii="Times New Roman" w:hAnsi="Times New Roman"/>
              </w:rPr>
            </w:pPr>
            <w:r>
              <w:rPr>
                <w:rFonts w:ascii="Times New Roman" w:hAnsi="Times New Roman"/>
              </w:rPr>
              <w:t>$77</w:t>
            </w:r>
            <w:r w:rsidR="008D4EA3" w:rsidRPr="00A923E2">
              <w:rPr>
                <w:rFonts w:ascii="Times New Roman" w:hAnsi="Times New Roman"/>
              </w:rPr>
              <w:t>,</w:t>
            </w:r>
            <w:r>
              <w:rPr>
                <w:rFonts w:ascii="Times New Roman" w:hAnsi="Times New Roman"/>
              </w:rPr>
              <w:t>809</w:t>
            </w:r>
          </w:p>
        </w:tc>
      </w:tr>
      <w:tr w:rsidR="008D4EA3" w:rsidRPr="00A923E2" w:rsidTr="003A6EE4">
        <w:trPr>
          <w:trHeight w:val="515"/>
          <w:tblHeader/>
        </w:trPr>
        <w:tc>
          <w:tcPr>
            <w:tcW w:w="2716" w:type="dxa"/>
            <w:tcBorders>
              <w:top w:val="single" w:sz="4" w:space="0" w:color="auto"/>
              <w:left w:val="single" w:sz="4" w:space="0" w:color="auto"/>
              <w:bottom w:val="single" w:sz="6" w:space="0" w:color="auto"/>
              <w:right w:val="single" w:sz="4" w:space="0" w:color="auto"/>
            </w:tcBorders>
            <w:shd w:val="clear" w:color="auto" w:fill="auto"/>
            <w:vAlign w:val="center"/>
          </w:tcPr>
          <w:p w:rsidR="008D4EA3" w:rsidRPr="00A923E2" w:rsidRDefault="008D4EA3" w:rsidP="00DA194B">
            <w:pPr>
              <w:rPr>
                <w:rFonts w:ascii="Times New Roman" w:hAnsi="Times New Roman"/>
              </w:rPr>
            </w:pPr>
            <w:r w:rsidRPr="00A923E2">
              <w:rPr>
                <w:rFonts w:ascii="Times New Roman" w:hAnsi="Times New Roman"/>
              </w:rPr>
              <w:t>Contracting Officer</w:t>
            </w:r>
          </w:p>
        </w:tc>
        <w:tc>
          <w:tcPr>
            <w:tcW w:w="1079" w:type="dxa"/>
            <w:gridSpan w:val="3"/>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GS 13/</w:t>
            </w:r>
            <w:r w:rsidR="009512E9">
              <w:rPr>
                <w:rFonts w:ascii="Times New Roman" w:hAnsi="Times New Roman"/>
              </w:rPr>
              <w:t>10</w:t>
            </w:r>
          </w:p>
        </w:tc>
        <w:tc>
          <w:tcPr>
            <w:tcW w:w="1202" w:type="dxa"/>
            <w:gridSpan w:val="2"/>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$5</w:t>
            </w:r>
            <w:r w:rsidR="009512E9">
              <w:rPr>
                <w:rFonts w:ascii="Times New Roman" w:hAnsi="Times New Roman"/>
              </w:rPr>
              <w:t>5.46</w:t>
            </w:r>
          </w:p>
        </w:tc>
        <w:tc>
          <w:tcPr>
            <w:tcW w:w="1408" w:type="dxa"/>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w:t>
            </w:r>
            <w:r w:rsidR="009512E9">
              <w:rPr>
                <w:rFonts w:ascii="Times New Roman" w:hAnsi="Times New Roman"/>
              </w:rPr>
              <w:t>83.19</w:t>
            </w:r>
          </w:p>
        </w:tc>
        <w:tc>
          <w:tcPr>
            <w:tcW w:w="1170" w:type="dxa"/>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900</w:t>
            </w:r>
          </w:p>
        </w:tc>
        <w:tc>
          <w:tcPr>
            <w:tcW w:w="1173" w:type="dxa"/>
            <w:tcBorders>
              <w:top w:val="single" w:sz="4" w:space="0" w:color="auto"/>
              <w:left w:val="nil"/>
              <w:bottom w:val="single" w:sz="6" w:space="0" w:color="auto"/>
              <w:right w:val="single" w:sz="4" w:space="0" w:color="auto"/>
            </w:tcBorders>
            <w:shd w:val="clear" w:color="auto" w:fill="auto"/>
            <w:vAlign w:val="center"/>
          </w:tcPr>
          <w:p w:rsidR="008D4EA3" w:rsidRPr="00A923E2" w:rsidRDefault="009512E9" w:rsidP="009512E9">
            <w:pPr>
              <w:jc w:val="center"/>
              <w:rPr>
                <w:rFonts w:ascii="Times New Roman" w:hAnsi="Times New Roman"/>
              </w:rPr>
            </w:pPr>
            <w:r>
              <w:rPr>
                <w:rFonts w:ascii="Times New Roman" w:hAnsi="Times New Roman"/>
              </w:rPr>
              <w:t>$74,871</w:t>
            </w:r>
          </w:p>
        </w:tc>
      </w:tr>
      <w:tr w:rsidR="008D4EA3" w:rsidRPr="00A923E2" w:rsidTr="003A6EE4">
        <w:trPr>
          <w:trHeight w:val="443"/>
          <w:tblHeader/>
        </w:trPr>
        <w:tc>
          <w:tcPr>
            <w:tcW w:w="6408" w:type="dxa"/>
            <w:gridSpan w:val="7"/>
            <w:tcBorders>
              <w:top w:val="single" w:sz="6" w:space="0" w:color="auto"/>
              <w:left w:val="single" w:sz="4" w:space="0" w:color="auto"/>
              <w:bottom w:val="single" w:sz="4" w:space="0" w:color="auto"/>
              <w:right w:val="single" w:sz="4" w:space="0" w:color="auto"/>
            </w:tcBorders>
            <w:shd w:val="clear" w:color="auto" w:fill="auto"/>
            <w:vAlign w:val="center"/>
          </w:tcPr>
          <w:p w:rsidR="008D4EA3" w:rsidRPr="00A923E2" w:rsidRDefault="008D4EA3" w:rsidP="00DA194B">
            <w:pPr>
              <w:rPr>
                <w:rFonts w:ascii="Times New Roman" w:hAnsi="Times New Roman"/>
                <w:b/>
              </w:rPr>
            </w:pPr>
            <w:r w:rsidRPr="00A923E2">
              <w:rPr>
                <w:rFonts w:ascii="Times New Roman" w:hAnsi="Times New Roman"/>
                <w:b/>
              </w:rPr>
              <w:t>Subtotal</w:t>
            </w:r>
          </w:p>
        </w:tc>
        <w:tc>
          <w:tcPr>
            <w:tcW w:w="1172" w:type="dxa"/>
            <w:tcBorders>
              <w:top w:val="single" w:sz="6" w:space="0" w:color="auto"/>
              <w:left w:val="single" w:sz="4" w:space="0" w:color="auto"/>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b/>
              </w:rPr>
            </w:pPr>
            <w:r w:rsidRPr="00A923E2">
              <w:rPr>
                <w:rFonts w:ascii="Times New Roman" w:hAnsi="Times New Roman"/>
                <w:b/>
              </w:rPr>
              <w:t>4,300</w:t>
            </w:r>
          </w:p>
        </w:tc>
        <w:tc>
          <w:tcPr>
            <w:tcW w:w="1168" w:type="dxa"/>
            <w:tcBorders>
              <w:top w:val="single" w:sz="6" w:space="0" w:color="auto"/>
              <w:left w:val="single" w:sz="4" w:space="0" w:color="auto"/>
              <w:bottom w:val="single" w:sz="4" w:space="0" w:color="auto"/>
              <w:right w:val="single" w:sz="4" w:space="0" w:color="auto"/>
            </w:tcBorders>
            <w:shd w:val="clear" w:color="auto" w:fill="auto"/>
            <w:vAlign w:val="center"/>
          </w:tcPr>
          <w:p w:rsidR="008D4EA3" w:rsidRPr="00A923E2" w:rsidRDefault="008D4EA3" w:rsidP="00924704">
            <w:pPr>
              <w:jc w:val="center"/>
              <w:rPr>
                <w:rFonts w:ascii="Times New Roman" w:hAnsi="Times New Roman"/>
                <w:b/>
              </w:rPr>
            </w:pPr>
            <w:r w:rsidRPr="00A923E2">
              <w:rPr>
                <w:rFonts w:ascii="Times New Roman" w:hAnsi="Times New Roman"/>
                <w:b/>
              </w:rPr>
              <w:fldChar w:fldCharType="begin"/>
            </w:r>
            <w:r w:rsidRPr="00A923E2">
              <w:rPr>
                <w:rFonts w:ascii="Times New Roman" w:hAnsi="Times New Roman"/>
                <w:b/>
              </w:rPr>
              <w:instrText xml:space="preserve"> =SUM(ABOVE) </w:instrText>
            </w:r>
            <w:r w:rsidRPr="00A923E2">
              <w:rPr>
                <w:rFonts w:ascii="Times New Roman" w:hAnsi="Times New Roman"/>
                <w:b/>
              </w:rPr>
              <w:fldChar w:fldCharType="separate"/>
            </w:r>
            <w:r w:rsidRPr="00A923E2">
              <w:rPr>
                <w:rFonts w:ascii="Times New Roman" w:hAnsi="Times New Roman"/>
                <w:b/>
                <w:noProof/>
              </w:rPr>
              <w:t>$</w:t>
            </w:r>
            <w:r w:rsidR="009512E9">
              <w:rPr>
                <w:rFonts w:ascii="Times New Roman" w:hAnsi="Times New Roman"/>
                <w:b/>
                <w:noProof/>
              </w:rPr>
              <w:t>319,790</w:t>
            </w:r>
            <w:r w:rsidRPr="00A923E2">
              <w:rPr>
                <w:rFonts w:ascii="Times New Roman" w:hAnsi="Times New Roman"/>
                <w:b/>
              </w:rPr>
              <w:fldChar w:fldCharType="end"/>
            </w:r>
          </w:p>
        </w:tc>
      </w:tr>
      <w:tr w:rsidR="008D4EA3" w:rsidRPr="00A923E2" w:rsidTr="003A6EE4">
        <w:trPr>
          <w:trHeight w:val="363"/>
          <w:tblHeader/>
        </w:trPr>
        <w:tc>
          <w:tcPr>
            <w:tcW w:w="3975" w:type="dxa"/>
            <w:gridSpan w:val="5"/>
            <w:tcBorders>
              <w:top w:val="single" w:sz="6" w:space="0" w:color="auto"/>
              <w:left w:val="single" w:sz="4" w:space="0" w:color="auto"/>
              <w:bottom w:val="single" w:sz="4" w:space="0" w:color="auto"/>
            </w:tcBorders>
            <w:shd w:val="clear" w:color="auto" w:fill="auto"/>
            <w:vAlign w:val="center"/>
          </w:tcPr>
          <w:p w:rsidR="008D4EA3" w:rsidRPr="00A923E2" w:rsidRDefault="008D4EA3" w:rsidP="00DA194B">
            <w:pPr>
              <w:rPr>
                <w:rFonts w:ascii="Times New Roman" w:hAnsi="Times New Roman"/>
              </w:rPr>
            </w:pPr>
            <w:r w:rsidRPr="00A923E2">
              <w:rPr>
                <w:rFonts w:ascii="Times New Roman" w:hAnsi="Times New Roman"/>
              </w:rPr>
              <w:t xml:space="preserve">10 Regional Topical Coordinators </w:t>
            </w:r>
          </w:p>
        </w:tc>
        <w:tc>
          <w:tcPr>
            <w:tcW w:w="4773" w:type="dxa"/>
            <w:gridSpan w:val="4"/>
            <w:tcBorders>
              <w:top w:val="single" w:sz="6" w:space="0" w:color="auto"/>
              <w:left w:val="nil"/>
              <w:bottom w:val="single" w:sz="4" w:space="0" w:color="auto"/>
              <w:right w:val="single" w:sz="4" w:space="0" w:color="auto"/>
            </w:tcBorders>
            <w:shd w:val="clear" w:color="auto" w:fill="auto"/>
            <w:vAlign w:val="center"/>
          </w:tcPr>
          <w:p w:rsidR="008D4EA3" w:rsidRPr="00A923E2" w:rsidRDefault="008D4EA3" w:rsidP="00DA194B">
            <w:pPr>
              <w:rPr>
                <w:rFonts w:ascii="Times New Roman" w:hAnsi="Times New Roman"/>
              </w:rPr>
            </w:pPr>
          </w:p>
        </w:tc>
      </w:tr>
      <w:tr w:rsidR="008D4EA3" w:rsidRPr="00A923E2" w:rsidTr="003A6EE4">
        <w:trPr>
          <w:trHeight w:val="542"/>
          <w:tblHeader/>
        </w:trPr>
        <w:tc>
          <w:tcPr>
            <w:tcW w:w="2805"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8D4EA3" w:rsidRPr="00A923E2" w:rsidRDefault="003A6EE4" w:rsidP="00DA194B">
            <w:pPr>
              <w:rPr>
                <w:rFonts w:ascii="Times New Roman" w:hAnsi="Times New Roman"/>
              </w:rPr>
            </w:pPr>
            <w:r w:rsidRPr="00A923E2">
              <w:rPr>
                <w:rFonts w:ascii="Times New Roman" w:hAnsi="Times New Roman"/>
              </w:rPr>
              <w:lastRenderedPageBreak/>
              <w:t>2</w:t>
            </w:r>
            <w:r w:rsidR="008D4EA3" w:rsidRPr="00A923E2">
              <w:rPr>
                <w:rFonts w:ascii="Times New Roman" w:hAnsi="Times New Roman"/>
              </w:rPr>
              <w:t xml:space="preserve"> Geologists (120 total annual hours each)</w:t>
            </w:r>
          </w:p>
        </w:tc>
        <w:tc>
          <w:tcPr>
            <w:tcW w:w="1170" w:type="dxa"/>
            <w:gridSpan w:val="3"/>
            <w:tcBorders>
              <w:top w:val="single" w:sz="6"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GS 13/</w:t>
            </w:r>
            <w:r w:rsidR="009512E9">
              <w:rPr>
                <w:rFonts w:ascii="Times New Roman" w:hAnsi="Times New Roman"/>
              </w:rPr>
              <w:t>6</w:t>
            </w:r>
          </w:p>
        </w:tc>
        <w:tc>
          <w:tcPr>
            <w:tcW w:w="1022" w:type="dxa"/>
            <w:tcBorders>
              <w:top w:val="single" w:sz="6" w:space="0" w:color="auto"/>
              <w:left w:val="nil"/>
              <w:bottom w:val="single" w:sz="4"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$4</w:t>
            </w:r>
            <w:r w:rsidR="009512E9">
              <w:rPr>
                <w:rFonts w:ascii="Times New Roman" w:hAnsi="Times New Roman"/>
              </w:rPr>
              <w:t>9.77</w:t>
            </w:r>
          </w:p>
        </w:tc>
        <w:tc>
          <w:tcPr>
            <w:tcW w:w="1408" w:type="dxa"/>
            <w:tcBorders>
              <w:top w:val="single" w:sz="6" w:space="0" w:color="auto"/>
              <w:left w:val="nil"/>
              <w:bottom w:val="single" w:sz="4"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$7</w:t>
            </w:r>
            <w:r w:rsidR="009512E9">
              <w:rPr>
                <w:rFonts w:ascii="Times New Roman" w:hAnsi="Times New Roman"/>
              </w:rPr>
              <w:t>4.66</w:t>
            </w:r>
          </w:p>
        </w:tc>
        <w:tc>
          <w:tcPr>
            <w:tcW w:w="1170" w:type="dxa"/>
            <w:tcBorders>
              <w:top w:val="single" w:sz="6" w:space="0" w:color="auto"/>
              <w:left w:val="nil"/>
              <w:bottom w:val="single" w:sz="4" w:space="0" w:color="auto"/>
              <w:right w:val="single" w:sz="4" w:space="0" w:color="auto"/>
            </w:tcBorders>
            <w:shd w:val="clear" w:color="auto" w:fill="auto"/>
            <w:vAlign w:val="center"/>
          </w:tcPr>
          <w:p w:rsidR="008D4EA3" w:rsidRPr="00A923E2" w:rsidRDefault="003A6EE4" w:rsidP="00DA194B">
            <w:pPr>
              <w:jc w:val="center"/>
              <w:rPr>
                <w:rFonts w:ascii="Times New Roman" w:hAnsi="Times New Roman"/>
              </w:rPr>
            </w:pPr>
            <w:r w:rsidRPr="00A923E2">
              <w:rPr>
                <w:rFonts w:ascii="Times New Roman" w:hAnsi="Times New Roman"/>
              </w:rPr>
              <w:t>240</w:t>
            </w:r>
          </w:p>
        </w:tc>
        <w:tc>
          <w:tcPr>
            <w:tcW w:w="1173" w:type="dxa"/>
            <w:tcBorders>
              <w:top w:val="single" w:sz="6" w:space="0" w:color="auto"/>
              <w:left w:val="nil"/>
              <w:bottom w:val="single" w:sz="4"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w:t>
            </w:r>
            <w:r w:rsidR="00070B68" w:rsidRPr="00A923E2">
              <w:rPr>
                <w:rFonts w:ascii="Times New Roman" w:hAnsi="Times New Roman"/>
              </w:rPr>
              <w:t>1</w:t>
            </w:r>
            <w:r w:rsidR="009512E9">
              <w:rPr>
                <w:rFonts w:ascii="Times New Roman" w:hAnsi="Times New Roman"/>
              </w:rPr>
              <w:t>7</w:t>
            </w:r>
            <w:r w:rsidR="00070B68" w:rsidRPr="00A923E2">
              <w:rPr>
                <w:rFonts w:ascii="Times New Roman" w:hAnsi="Times New Roman"/>
              </w:rPr>
              <w:t>,</w:t>
            </w:r>
            <w:r w:rsidR="009512E9">
              <w:rPr>
                <w:rFonts w:ascii="Times New Roman" w:hAnsi="Times New Roman"/>
              </w:rPr>
              <w:t>918</w:t>
            </w:r>
          </w:p>
        </w:tc>
      </w:tr>
      <w:tr w:rsidR="008D4EA3" w:rsidRPr="00A923E2" w:rsidTr="003A6EE4">
        <w:trPr>
          <w:trHeight w:val="538"/>
          <w:tblHeader/>
        </w:trPr>
        <w:tc>
          <w:tcPr>
            <w:tcW w:w="2805" w:type="dxa"/>
            <w:gridSpan w:val="2"/>
            <w:tcBorders>
              <w:top w:val="nil"/>
              <w:left w:val="single" w:sz="4" w:space="0" w:color="auto"/>
              <w:bottom w:val="single" w:sz="4" w:space="0" w:color="auto"/>
              <w:right w:val="single" w:sz="4" w:space="0" w:color="auto"/>
            </w:tcBorders>
            <w:shd w:val="clear" w:color="auto" w:fill="auto"/>
            <w:vAlign w:val="center"/>
          </w:tcPr>
          <w:p w:rsidR="008D4EA3" w:rsidRPr="00A923E2" w:rsidDel="00775AEB" w:rsidRDefault="008D4EA3" w:rsidP="00DA194B">
            <w:pPr>
              <w:rPr>
                <w:rFonts w:ascii="Times New Roman" w:hAnsi="Times New Roman"/>
              </w:rPr>
            </w:pPr>
            <w:r w:rsidRPr="00A923E2">
              <w:rPr>
                <w:rFonts w:ascii="Times New Roman" w:hAnsi="Times New Roman"/>
              </w:rPr>
              <w:t>4 Geologists (120 total annual hours each)</w:t>
            </w:r>
          </w:p>
        </w:tc>
        <w:tc>
          <w:tcPr>
            <w:tcW w:w="1170" w:type="dxa"/>
            <w:gridSpan w:val="3"/>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GS 14/</w:t>
            </w:r>
            <w:r w:rsidR="009512E9">
              <w:rPr>
                <w:rFonts w:ascii="Times New Roman" w:hAnsi="Times New Roman"/>
              </w:rPr>
              <w:t>6</w:t>
            </w:r>
          </w:p>
        </w:tc>
        <w:tc>
          <w:tcPr>
            <w:tcW w:w="1022" w:type="dxa"/>
            <w:tcBorders>
              <w:top w:val="nil"/>
              <w:left w:val="nil"/>
              <w:bottom w:val="single" w:sz="4"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$5</w:t>
            </w:r>
            <w:r w:rsidR="009512E9">
              <w:rPr>
                <w:rFonts w:ascii="Times New Roman" w:hAnsi="Times New Roman"/>
              </w:rPr>
              <w:t>8.81</w:t>
            </w:r>
          </w:p>
        </w:tc>
        <w:tc>
          <w:tcPr>
            <w:tcW w:w="1408" w:type="dxa"/>
            <w:tcBorders>
              <w:top w:val="nil"/>
              <w:left w:val="nil"/>
              <w:bottom w:val="single" w:sz="4"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$8</w:t>
            </w:r>
            <w:r w:rsidR="009512E9">
              <w:rPr>
                <w:rFonts w:ascii="Times New Roman" w:hAnsi="Times New Roman"/>
              </w:rPr>
              <w:t>8</w:t>
            </w:r>
            <w:r w:rsidRPr="00A923E2">
              <w:rPr>
                <w:rFonts w:ascii="Times New Roman" w:hAnsi="Times New Roman"/>
              </w:rPr>
              <w:t>.</w:t>
            </w:r>
            <w:r w:rsidR="009512E9">
              <w:rPr>
                <w:rFonts w:ascii="Times New Roman" w:hAnsi="Times New Roman"/>
              </w:rPr>
              <w:t>22</w:t>
            </w:r>
          </w:p>
        </w:tc>
        <w:tc>
          <w:tcPr>
            <w:tcW w:w="1170" w:type="dxa"/>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480</w:t>
            </w:r>
          </w:p>
        </w:tc>
        <w:tc>
          <w:tcPr>
            <w:tcW w:w="1173" w:type="dxa"/>
            <w:tcBorders>
              <w:top w:val="nil"/>
              <w:left w:val="nil"/>
              <w:bottom w:val="single" w:sz="4"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$4</w:t>
            </w:r>
            <w:r w:rsidR="009512E9">
              <w:rPr>
                <w:rFonts w:ascii="Times New Roman" w:hAnsi="Times New Roman"/>
              </w:rPr>
              <w:t>2</w:t>
            </w:r>
            <w:r w:rsidRPr="00A923E2">
              <w:rPr>
                <w:rFonts w:ascii="Times New Roman" w:hAnsi="Times New Roman"/>
              </w:rPr>
              <w:t>,</w:t>
            </w:r>
            <w:r w:rsidR="009512E9">
              <w:rPr>
                <w:rFonts w:ascii="Times New Roman" w:hAnsi="Times New Roman"/>
              </w:rPr>
              <w:t>346</w:t>
            </w:r>
          </w:p>
        </w:tc>
      </w:tr>
      <w:tr w:rsidR="008D4EA3" w:rsidRPr="00A923E2" w:rsidTr="003A6EE4">
        <w:trPr>
          <w:trHeight w:val="619"/>
          <w:tblHeader/>
        </w:trPr>
        <w:tc>
          <w:tcPr>
            <w:tcW w:w="2805" w:type="dxa"/>
            <w:gridSpan w:val="2"/>
            <w:tcBorders>
              <w:top w:val="nil"/>
              <w:left w:val="single" w:sz="4" w:space="0" w:color="auto"/>
              <w:bottom w:val="single" w:sz="4" w:space="0" w:color="auto"/>
              <w:right w:val="single" w:sz="4" w:space="0" w:color="auto"/>
            </w:tcBorders>
            <w:shd w:val="clear" w:color="auto" w:fill="auto"/>
            <w:vAlign w:val="center"/>
          </w:tcPr>
          <w:p w:rsidR="008D4EA3" w:rsidRPr="00A923E2" w:rsidRDefault="003A6EE4" w:rsidP="00DA194B">
            <w:pPr>
              <w:rPr>
                <w:rFonts w:ascii="Times New Roman" w:hAnsi="Times New Roman"/>
              </w:rPr>
            </w:pPr>
            <w:r w:rsidRPr="00A923E2">
              <w:rPr>
                <w:rFonts w:ascii="Times New Roman" w:hAnsi="Times New Roman"/>
              </w:rPr>
              <w:t>4</w:t>
            </w:r>
            <w:r w:rsidR="008D4EA3" w:rsidRPr="00A923E2">
              <w:rPr>
                <w:rFonts w:ascii="Times New Roman" w:hAnsi="Times New Roman"/>
              </w:rPr>
              <w:t xml:space="preserve"> Geologists (120 total annual hours each)</w:t>
            </w:r>
          </w:p>
        </w:tc>
        <w:tc>
          <w:tcPr>
            <w:tcW w:w="1170" w:type="dxa"/>
            <w:gridSpan w:val="3"/>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GS 15/</w:t>
            </w:r>
            <w:r w:rsidR="009512E9">
              <w:rPr>
                <w:rFonts w:ascii="Times New Roman" w:hAnsi="Times New Roman"/>
              </w:rPr>
              <w:t>6</w:t>
            </w:r>
          </w:p>
        </w:tc>
        <w:tc>
          <w:tcPr>
            <w:tcW w:w="1022" w:type="dxa"/>
            <w:tcBorders>
              <w:top w:val="nil"/>
              <w:left w:val="nil"/>
              <w:bottom w:val="single" w:sz="4" w:space="0" w:color="auto"/>
              <w:right w:val="single" w:sz="4" w:space="0" w:color="auto"/>
            </w:tcBorders>
            <w:shd w:val="clear" w:color="auto" w:fill="auto"/>
            <w:vAlign w:val="center"/>
          </w:tcPr>
          <w:p w:rsidR="008D4EA3" w:rsidRPr="00A923E2" w:rsidRDefault="009512E9" w:rsidP="009512E9">
            <w:pPr>
              <w:jc w:val="center"/>
              <w:rPr>
                <w:rFonts w:ascii="Times New Roman" w:hAnsi="Times New Roman"/>
              </w:rPr>
            </w:pPr>
            <w:r>
              <w:rPr>
                <w:rFonts w:ascii="Times New Roman" w:hAnsi="Times New Roman"/>
              </w:rPr>
              <w:t>$69</w:t>
            </w:r>
            <w:r w:rsidR="008D4EA3" w:rsidRPr="00A923E2">
              <w:rPr>
                <w:rFonts w:ascii="Times New Roman" w:hAnsi="Times New Roman"/>
              </w:rPr>
              <w:t>.</w:t>
            </w:r>
            <w:r>
              <w:rPr>
                <w:rFonts w:ascii="Times New Roman" w:hAnsi="Times New Roman"/>
              </w:rPr>
              <w:t>18</w:t>
            </w:r>
          </w:p>
        </w:tc>
        <w:tc>
          <w:tcPr>
            <w:tcW w:w="1408" w:type="dxa"/>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w:t>
            </w:r>
            <w:r w:rsidR="009512E9">
              <w:rPr>
                <w:rFonts w:ascii="Times New Roman" w:hAnsi="Times New Roman"/>
              </w:rPr>
              <w:t>103.77</w:t>
            </w:r>
          </w:p>
        </w:tc>
        <w:tc>
          <w:tcPr>
            <w:tcW w:w="1170" w:type="dxa"/>
            <w:tcBorders>
              <w:top w:val="nil"/>
              <w:left w:val="nil"/>
              <w:bottom w:val="single" w:sz="4" w:space="0" w:color="auto"/>
              <w:right w:val="single" w:sz="4" w:space="0" w:color="auto"/>
            </w:tcBorders>
            <w:shd w:val="clear" w:color="auto" w:fill="auto"/>
            <w:vAlign w:val="center"/>
          </w:tcPr>
          <w:p w:rsidR="008D4EA3" w:rsidRPr="00A923E2" w:rsidRDefault="003A6EE4" w:rsidP="00DA194B">
            <w:pPr>
              <w:jc w:val="center"/>
              <w:rPr>
                <w:rFonts w:ascii="Times New Roman" w:hAnsi="Times New Roman"/>
              </w:rPr>
            </w:pPr>
            <w:r w:rsidRPr="00A923E2">
              <w:rPr>
                <w:rFonts w:ascii="Times New Roman" w:hAnsi="Times New Roman"/>
              </w:rPr>
              <w:t>480</w:t>
            </w:r>
          </w:p>
        </w:tc>
        <w:tc>
          <w:tcPr>
            <w:tcW w:w="1173" w:type="dxa"/>
            <w:tcBorders>
              <w:top w:val="nil"/>
              <w:left w:val="nil"/>
              <w:bottom w:val="single" w:sz="4" w:space="0" w:color="auto"/>
              <w:right w:val="single" w:sz="4" w:space="0" w:color="auto"/>
            </w:tcBorders>
            <w:shd w:val="clear" w:color="auto" w:fill="auto"/>
            <w:vAlign w:val="center"/>
          </w:tcPr>
          <w:p w:rsidR="008D4EA3" w:rsidRPr="00A923E2" w:rsidRDefault="008D4EA3" w:rsidP="009512E9">
            <w:pPr>
              <w:jc w:val="center"/>
              <w:rPr>
                <w:rFonts w:ascii="Times New Roman" w:hAnsi="Times New Roman"/>
              </w:rPr>
            </w:pPr>
            <w:r w:rsidRPr="00A923E2">
              <w:rPr>
                <w:rFonts w:ascii="Times New Roman" w:hAnsi="Times New Roman"/>
              </w:rPr>
              <w:t>$</w:t>
            </w:r>
            <w:r w:rsidR="009512E9">
              <w:rPr>
                <w:rFonts w:ascii="Times New Roman" w:hAnsi="Times New Roman"/>
              </w:rPr>
              <w:t>49</w:t>
            </w:r>
            <w:r w:rsidR="003A6EE4" w:rsidRPr="00A923E2">
              <w:rPr>
                <w:rFonts w:ascii="Times New Roman" w:hAnsi="Times New Roman"/>
              </w:rPr>
              <w:t>,</w:t>
            </w:r>
            <w:r w:rsidR="009512E9">
              <w:rPr>
                <w:rFonts w:ascii="Times New Roman" w:hAnsi="Times New Roman"/>
              </w:rPr>
              <w:t>810</w:t>
            </w:r>
          </w:p>
        </w:tc>
      </w:tr>
      <w:tr w:rsidR="008D4EA3" w:rsidRPr="00A923E2" w:rsidTr="003A6EE4">
        <w:trPr>
          <w:trHeight w:val="403"/>
          <w:tblHeader/>
        </w:trPr>
        <w:tc>
          <w:tcPr>
            <w:tcW w:w="6405" w:type="dxa"/>
            <w:gridSpan w:val="7"/>
            <w:tcBorders>
              <w:top w:val="nil"/>
              <w:left w:val="single" w:sz="4" w:space="0" w:color="auto"/>
              <w:bottom w:val="single" w:sz="4" w:space="0" w:color="auto"/>
              <w:right w:val="single" w:sz="4" w:space="0" w:color="auto"/>
            </w:tcBorders>
            <w:shd w:val="clear" w:color="auto" w:fill="auto"/>
            <w:vAlign w:val="center"/>
          </w:tcPr>
          <w:p w:rsidR="008D4EA3" w:rsidRPr="00A923E2" w:rsidRDefault="008D4EA3" w:rsidP="00DA194B">
            <w:pPr>
              <w:rPr>
                <w:rFonts w:ascii="Times New Roman" w:hAnsi="Times New Roman"/>
                <w:b/>
              </w:rPr>
            </w:pPr>
            <w:r w:rsidRPr="00A923E2">
              <w:rPr>
                <w:rFonts w:ascii="Times New Roman" w:hAnsi="Times New Roman"/>
                <w:b/>
              </w:rPr>
              <w:t>Subtotal</w:t>
            </w:r>
          </w:p>
        </w:tc>
        <w:tc>
          <w:tcPr>
            <w:tcW w:w="1170" w:type="dxa"/>
            <w:tcBorders>
              <w:top w:val="nil"/>
              <w:left w:val="single" w:sz="4" w:space="0" w:color="auto"/>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b/>
              </w:rPr>
            </w:pPr>
            <w:r w:rsidRPr="00A923E2">
              <w:rPr>
                <w:rFonts w:ascii="Times New Roman" w:hAnsi="Times New Roman"/>
                <w:b/>
              </w:rPr>
              <w:t>1,200</w:t>
            </w:r>
          </w:p>
        </w:tc>
        <w:tc>
          <w:tcPr>
            <w:tcW w:w="1173" w:type="dxa"/>
            <w:tcBorders>
              <w:top w:val="nil"/>
              <w:left w:val="nil"/>
              <w:bottom w:val="single" w:sz="4" w:space="0" w:color="auto"/>
              <w:right w:val="single" w:sz="4" w:space="0" w:color="auto"/>
            </w:tcBorders>
            <w:shd w:val="clear" w:color="auto" w:fill="auto"/>
            <w:vAlign w:val="center"/>
          </w:tcPr>
          <w:p w:rsidR="008D4EA3" w:rsidRPr="00A923E2" w:rsidRDefault="003A6EE4" w:rsidP="00FD4A7D">
            <w:pPr>
              <w:jc w:val="center"/>
              <w:rPr>
                <w:rFonts w:ascii="Times New Roman" w:hAnsi="Times New Roman"/>
                <w:b/>
              </w:rPr>
            </w:pPr>
            <w:r w:rsidRPr="00A923E2">
              <w:rPr>
                <w:rFonts w:ascii="Times New Roman" w:hAnsi="Times New Roman"/>
                <w:b/>
              </w:rPr>
              <w:t>$1</w:t>
            </w:r>
            <w:r w:rsidR="00BC561A">
              <w:rPr>
                <w:rFonts w:ascii="Times New Roman" w:hAnsi="Times New Roman"/>
                <w:b/>
              </w:rPr>
              <w:t>10</w:t>
            </w:r>
            <w:r w:rsidRPr="00A923E2">
              <w:rPr>
                <w:rFonts w:ascii="Times New Roman" w:hAnsi="Times New Roman"/>
                <w:b/>
              </w:rPr>
              <w:t>,</w:t>
            </w:r>
            <w:r w:rsidR="00BC561A">
              <w:rPr>
                <w:rFonts w:ascii="Times New Roman" w:hAnsi="Times New Roman"/>
                <w:b/>
              </w:rPr>
              <w:t>074</w:t>
            </w:r>
          </w:p>
        </w:tc>
      </w:tr>
      <w:tr w:rsidR="008D4EA3" w:rsidRPr="00A923E2" w:rsidTr="003A6EE4">
        <w:trPr>
          <w:trHeight w:val="538"/>
          <w:tblHeader/>
        </w:trPr>
        <w:tc>
          <w:tcPr>
            <w:tcW w:w="2811" w:type="dxa"/>
            <w:gridSpan w:val="3"/>
            <w:tcBorders>
              <w:top w:val="nil"/>
              <w:left w:val="single" w:sz="4" w:space="0" w:color="auto"/>
              <w:bottom w:val="single" w:sz="4" w:space="0" w:color="auto"/>
            </w:tcBorders>
            <w:shd w:val="clear" w:color="auto" w:fill="auto"/>
            <w:vAlign w:val="center"/>
          </w:tcPr>
          <w:p w:rsidR="008D4EA3" w:rsidRPr="00A923E2" w:rsidRDefault="008D4EA3" w:rsidP="00DA194B">
            <w:pPr>
              <w:rPr>
                <w:rFonts w:ascii="Times New Roman" w:hAnsi="Times New Roman"/>
              </w:rPr>
            </w:pPr>
            <w:r w:rsidRPr="00A923E2">
              <w:rPr>
                <w:rFonts w:ascii="Times New Roman" w:hAnsi="Times New Roman"/>
              </w:rPr>
              <w:t xml:space="preserve">10 Panel members </w:t>
            </w:r>
          </w:p>
        </w:tc>
        <w:tc>
          <w:tcPr>
            <w:tcW w:w="5937" w:type="dxa"/>
            <w:gridSpan w:val="6"/>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p>
        </w:tc>
      </w:tr>
      <w:tr w:rsidR="008D4EA3" w:rsidRPr="00A923E2" w:rsidTr="003A6EE4">
        <w:trPr>
          <w:trHeight w:val="520"/>
          <w:tblHeader/>
        </w:trPr>
        <w:tc>
          <w:tcPr>
            <w:tcW w:w="2805" w:type="dxa"/>
            <w:gridSpan w:val="2"/>
            <w:tcBorders>
              <w:top w:val="nil"/>
              <w:left w:val="single" w:sz="4" w:space="0" w:color="auto"/>
              <w:bottom w:val="single" w:sz="4" w:space="0" w:color="auto"/>
              <w:right w:val="single" w:sz="4" w:space="0" w:color="auto"/>
            </w:tcBorders>
            <w:shd w:val="clear" w:color="auto" w:fill="auto"/>
            <w:vAlign w:val="center"/>
          </w:tcPr>
          <w:p w:rsidR="008D4EA3" w:rsidRPr="00A923E2" w:rsidRDefault="003A6EE4" w:rsidP="00DA194B">
            <w:pPr>
              <w:rPr>
                <w:rFonts w:ascii="Times New Roman" w:hAnsi="Times New Roman"/>
              </w:rPr>
            </w:pPr>
            <w:r w:rsidRPr="00A923E2">
              <w:rPr>
                <w:rFonts w:ascii="Times New Roman" w:hAnsi="Times New Roman"/>
              </w:rPr>
              <w:t>2</w:t>
            </w:r>
            <w:r w:rsidR="008D4EA3" w:rsidRPr="00A923E2">
              <w:rPr>
                <w:rFonts w:ascii="Times New Roman" w:hAnsi="Times New Roman"/>
              </w:rPr>
              <w:t xml:space="preserve"> Geologists (44 total annual hours each)</w:t>
            </w:r>
          </w:p>
        </w:tc>
        <w:tc>
          <w:tcPr>
            <w:tcW w:w="1170" w:type="dxa"/>
            <w:gridSpan w:val="3"/>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GS 13/</w:t>
            </w:r>
            <w:r w:rsidR="00BC561A">
              <w:rPr>
                <w:rFonts w:ascii="Times New Roman" w:hAnsi="Times New Roman"/>
              </w:rPr>
              <w:t>6</w:t>
            </w:r>
          </w:p>
        </w:tc>
        <w:tc>
          <w:tcPr>
            <w:tcW w:w="1022" w:type="dxa"/>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$4</w:t>
            </w:r>
            <w:r w:rsidR="00BC561A">
              <w:rPr>
                <w:rFonts w:ascii="Times New Roman" w:hAnsi="Times New Roman"/>
              </w:rPr>
              <w:t>9.77</w:t>
            </w:r>
          </w:p>
        </w:tc>
        <w:tc>
          <w:tcPr>
            <w:tcW w:w="1408" w:type="dxa"/>
            <w:tcBorders>
              <w:top w:val="nil"/>
              <w:left w:val="nil"/>
              <w:bottom w:val="single" w:sz="4" w:space="0" w:color="auto"/>
              <w:right w:val="single" w:sz="4" w:space="0" w:color="auto"/>
            </w:tcBorders>
            <w:shd w:val="clear" w:color="auto" w:fill="auto"/>
            <w:vAlign w:val="center"/>
          </w:tcPr>
          <w:p w:rsidR="008D4EA3" w:rsidRPr="00A923E2" w:rsidRDefault="008D4EA3" w:rsidP="00FD4A7D">
            <w:pPr>
              <w:jc w:val="center"/>
              <w:rPr>
                <w:rFonts w:ascii="Times New Roman" w:hAnsi="Times New Roman"/>
              </w:rPr>
            </w:pPr>
            <w:r w:rsidRPr="00A923E2">
              <w:rPr>
                <w:rFonts w:ascii="Times New Roman" w:hAnsi="Times New Roman"/>
              </w:rPr>
              <w:t>$7</w:t>
            </w:r>
            <w:r w:rsidR="00BC561A">
              <w:rPr>
                <w:rFonts w:ascii="Times New Roman" w:hAnsi="Times New Roman"/>
              </w:rPr>
              <w:t>4.66</w:t>
            </w:r>
          </w:p>
        </w:tc>
        <w:tc>
          <w:tcPr>
            <w:tcW w:w="1170" w:type="dxa"/>
            <w:tcBorders>
              <w:top w:val="nil"/>
              <w:left w:val="nil"/>
              <w:bottom w:val="single" w:sz="4" w:space="0" w:color="auto"/>
              <w:right w:val="single" w:sz="4" w:space="0" w:color="auto"/>
            </w:tcBorders>
            <w:shd w:val="clear" w:color="auto" w:fill="auto"/>
            <w:vAlign w:val="center"/>
          </w:tcPr>
          <w:p w:rsidR="008D4EA3" w:rsidRPr="00A923E2" w:rsidRDefault="003A6EE4" w:rsidP="00DA194B">
            <w:pPr>
              <w:jc w:val="center"/>
              <w:rPr>
                <w:rFonts w:ascii="Times New Roman" w:hAnsi="Times New Roman"/>
              </w:rPr>
            </w:pPr>
            <w:r w:rsidRPr="00A923E2">
              <w:rPr>
                <w:rFonts w:ascii="Times New Roman" w:hAnsi="Times New Roman"/>
              </w:rPr>
              <w:t>88</w:t>
            </w:r>
          </w:p>
        </w:tc>
        <w:tc>
          <w:tcPr>
            <w:tcW w:w="1173" w:type="dxa"/>
            <w:tcBorders>
              <w:top w:val="nil"/>
              <w:left w:val="nil"/>
              <w:bottom w:val="single" w:sz="4" w:space="0" w:color="auto"/>
              <w:right w:val="single" w:sz="4" w:space="0" w:color="auto"/>
            </w:tcBorders>
            <w:shd w:val="clear" w:color="auto" w:fill="auto"/>
            <w:vAlign w:val="center"/>
          </w:tcPr>
          <w:p w:rsidR="008D4EA3" w:rsidRPr="00A923E2" w:rsidRDefault="008D4EA3" w:rsidP="00FD4A7D">
            <w:pPr>
              <w:jc w:val="center"/>
              <w:rPr>
                <w:rFonts w:ascii="Times New Roman" w:hAnsi="Times New Roman"/>
              </w:rPr>
            </w:pPr>
            <w:r w:rsidRPr="00A923E2">
              <w:rPr>
                <w:rFonts w:ascii="Times New Roman" w:hAnsi="Times New Roman"/>
              </w:rPr>
              <w:t>$</w:t>
            </w:r>
            <w:r w:rsidR="00DE3276" w:rsidRPr="00A923E2">
              <w:rPr>
                <w:rFonts w:ascii="Times New Roman" w:hAnsi="Times New Roman"/>
              </w:rPr>
              <w:t>6,</w:t>
            </w:r>
            <w:r w:rsidR="00BC561A">
              <w:rPr>
                <w:rFonts w:ascii="Times New Roman" w:hAnsi="Times New Roman"/>
              </w:rPr>
              <w:t>570</w:t>
            </w:r>
          </w:p>
        </w:tc>
      </w:tr>
      <w:tr w:rsidR="008D4EA3" w:rsidRPr="00A923E2" w:rsidTr="003A6EE4">
        <w:trPr>
          <w:trHeight w:val="529"/>
          <w:tblHeader/>
        </w:trPr>
        <w:tc>
          <w:tcPr>
            <w:tcW w:w="2805" w:type="dxa"/>
            <w:gridSpan w:val="2"/>
            <w:tcBorders>
              <w:top w:val="nil"/>
              <w:left w:val="single" w:sz="4" w:space="0" w:color="auto"/>
              <w:bottom w:val="single" w:sz="4" w:space="0" w:color="auto"/>
              <w:right w:val="single" w:sz="4" w:space="0" w:color="auto"/>
            </w:tcBorders>
            <w:shd w:val="clear" w:color="auto" w:fill="auto"/>
            <w:vAlign w:val="center"/>
          </w:tcPr>
          <w:p w:rsidR="008D4EA3" w:rsidRPr="00A923E2" w:rsidRDefault="008D4EA3" w:rsidP="00DA194B">
            <w:pPr>
              <w:rPr>
                <w:rFonts w:ascii="Times New Roman" w:hAnsi="Times New Roman"/>
              </w:rPr>
            </w:pPr>
            <w:r w:rsidRPr="00A923E2">
              <w:rPr>
                <w:rFonts w:ascii="Times New Roman" w:hAnsi="Times New Roman"/>
              </w:rPr>
              <w:t>4 Geologists (44 total annual hours each)</w:t>
            </w:r>
          </w:p>
        </w:tc>
        <w:tc>
          <w:tcPr>
            <w:tcW w:w="1170" w:type="dxa"/>
            <w:gridSpan w:val="3"/>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GS 14/</w:t>
            </w:r>
            <w:r w:rsidR="00BC561A">
              <w:rPr>
                <w:rFonts w:ascii="Times New Roman" w:hAnsi="Times New Roman"/>
              </w:rPr>
              <w:t>6</w:t>
            </w:r>
          </w:p>
        </w:tc>
        <w:tc>
          <w:tcPr>
            <w:tcW w:w="1022" w:type="dxa"/>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$5</w:t>
            </w:r>
            <w:r w:rsidR="00BC561A">
              <w:rPr>
                <w:rFonts w:ascii="Times New Roman" w:hAnsi="Times New Roman"/>
              </w:rPr>
              <w:t>8.81</w:t>
            </w:r>
          </w:p>
        </w:tc>
        <w:tc>
          <w:tcPr>
            <w:tcW w:w="1408" w:type="dxa"/>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$8</w:t>
            </w:r>
            <w:r w:rsidR="00BC561A">
              <w:rPr>
                <w:rFonts w:ascii="Times New Roman" w:hAnsi="Times New Roman"/>
              </w:rPr>
              <w:t>8.22</w:t>
            </w:r>
          </w:p>
        </w:tc>
        <w:tc>
          <w:tcPr>
            <w:tcW w:w="1170" w:type="dxa"/>
            <w:tcBorders>
              <w:top w:val="nil"/>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176</w:t>
            </w:r>
          </w:p>
        </w:tc>
        <w:tc>
          <w:tcPr>
            <w:tcW w:w="1173" w:type="dxa"/>
            <w:tcBorders>
              <w:top w:val="nil"/>
              <w:left w:val="nil"/>
              <w:bottom w:val="single" w:sz="4" w:space="0" w:color="auto"/>
              <w:right w:val="single" w:sz="4" w:space="0" w:color="auto"/>
            </w:tcBorders>
            <w:shd w:val="clear" w:color="auto" w:fill="auto"/>
            <w:vAlign w:val="center"/>
          </w:tcPr>
          <w:p w:rsidR="008D4EA3" w:rsidRPr="00A923E2" w:rsidRDefault="00BC561A" w:rsidP="00BC561A">
            <w:pPr>
              <w:jc w:val="center"/>
              <w:rPr>
                <w:rFonts w:ascii="Times New Roman" w:hAnsi="Times New Roman"/>
              </w:rPr>
            </w:pPr>
            <w:r>
              <w:rPr>
                <w:rFonts w:ascii="Times New Roman" w:hAnsi="Times New Roman"/>
              </w:rPr>
              <w:t>$15</w:t>
            </w:r>
            <w:r w:rsidR="008D4EA3" w:rsidRPr="00A923E2">
              <w:rPr>
                <w:rFonts w:ascii="Times New Roman" w:hAnsi="Times New Roman"/>
              </w:rPr>
              <w:t>,</w:t>
            </w:r>
            <w:r>
              <w:rPr>
                <w:rFonts w:ascii="Times New Roman" w:hAnsi="Times New Roman"/>
              </w:rPr>
              <w:t>527</w:t>
            </w:r>
          </w:p>
        </w:tc>
      </w:tr>
      <w:tr w:rsidR="008D4EA3" w:rsidRPr="00A923E2" w:rsidTr="003A6EE4">
        <w:trPr>
          <w:trHeight w:val="619"/>
          <w:tblHeader/>
        </w:trPr>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EA3" w:rsidRPr="00A923E2" w:rsidRDefault="003A6EE4" w:rsidP="00DA194B">
            <w:pPr>
              <w:rPr>
                <w:rFonts w:ascii="Times New Roman" w:hAnsi="Times New Roman"/>
              </w:rPr>
            </w:pPr>
            <w:r w:rsidRPr="00A923E2">
              <w:rPr>
                <w:rFonts w:ascii="Times New Roman" w:hAnsi="Times New Roman"/>
              </w:rPr>
              <w:t>4</w:t>
            </w:r>
            <w:r w:rsidR="008D4EA3" w:rsidRPr="00A923E2">
              <w:rPr>
                <w:rFonts w:ascii="Times New Roman" w:hAnsi="Times New Roman"/>
              </w:rPr>
              <w:t xml:space="preserve"> Geologist  (44 total annual hours each)</w:t>
            </w:r>
          </w:p>
        </w:tc>
        <w:tc>
          <w:tcPr>
            <w:tcW w:w="1170" w:type="dxa"/>
            <w:gridSpan w:val="3"/>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GS 15/</w:t>
            </w:r>
            <w:r w:rsidR="00BC561A">
              <w:rPr>
                <w:rFonts w:ascii="Times New Roman" w:hAnsi="Times New Roman"/>
              </w:rPr>
              <w:t>6</w:t>
            </w:r>
          </w:p>
        </w:tc>
        <w:tc>
          <w:tcPr>
            <w:tcW w:w="1022"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$6</w:t>
            </w:r>
            <w:r w:rsidR="00BC561A">
              <w:rPr>
                <w:rFonts w:ascii="Times New Roman" w:hAnsi="Times New Roman"/>
              </w:rPr>
              <w:t>9.18</w:t>
            </w:r>
          </w:p>
        </w:tc>
        <w:tc>
          <w:tcPr>
            <w:tcW w:w="1408"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r w:rsidRPr="00A923E2">
              <w:rPr>
                <w:rFonts w:ascii="Times New Roman" w:hAnsi="Times New Roman"/>
              </w:rPr>
              <w:t>$</w:t>
            </w:r>
            <w:r w:rsidR="00BC561A">
              <w:rPr>
                <w:rFonts w:ascii="Times New Roman" w:hAnsi="Times New Roman"/>
              </w:rPr>
              <w:t>103.77</w:t>
            </w:r>
          </w:p>
        </w:tc>
        <w:tc>
          <w:tcPr>
            <w:tcW w:w="1170"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3A6EE4" w:rsidP="00DA194B">
            <w:pPr>
              <w:jc w:val="center"/>
              <w:rPr>
                <w:rFonts w:ascii="Times New Roman" w:hAnsi="Times New Roman"/>
              </w:rPr>
            </w:pPr>
            <w:r w:rsidRPr="00A923E2">
              <w:rPr>
                <w:rFonts w:ascii="Times New Roman" w:hAnsi="Times New Roman"/>
              </w:rPr>
              <w:t>176</w:t>
            </w:r>
          </w:p>
        </w:tc>
        <w:tc>
          <w:tcPr>
            <w:tcW w:w="1173"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BC561A">
            <w:pPr>
              <w:jc w:val="center"/>
              <w:rPr>
                <w:rFonts w:ascii="Times New Roman" w:hAnsi="Times New Roman"/>
              </w:rPr>
            </w:pPr>
            <w:r w:rsidRPr="00A923E2">
              <w:rPr>
                <w:rFonts w:ascii="Times New Roman" w:hAnsi="Times New Roman"/>
              </w:rPr>
              <w:t>$</w:t>
            </w:r>
            <w:r w:rsidR="00BC561A">
              <w:rPr>
                <w:rFonts w:ascii="Times New Roman" w:hAnsi="Times New Roman"/>
              </w:rPr>
              <w:t>18</w:t>
            </w:r>
            <w:r w:rsidR="00DE3276" w:rsidRPr="00A923E2">
              <w:rPr>
                <w:rFonts w:ascii="Times New Roman" w:hAnsi="Times New Roman"/>
              </w:rPr>
              <w:t>,</w:t>
            </w:r>
            <w:r w:rsidR="00BC561A">
              <w:rPr>
                <w:rFonts w:ascii="Times New Roman" w:hAnsi="Times New Roman"/>
              </w:rPr>
              <w:t>264</w:t>
            </w:r>
          </w:p>
        </w:tc>
      </w:tr>
      <w:tr w:rsidR="008D4EA3" w:rsidRPr="00A923E2" w:rsidTr="003A6EE4">
        <w:trPr>
          <w:trHeight w:val="358"/>
          <w:tblHeader/>
        </w:trPr>
        <w:tc>
          <w:tcPr>
            <w:tcW w:w="64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EA3" w:rsidRPr="00A923E2" w:rsidRDefault="008D4EA3" w:rsidP="00DA194B">
            <w:pPr>
              <w:rPr>
                <w:rFonts w:ascii="Times New Roman" w:hAnsi="Times New Roman"/>
                <w:b/>
              </w:rPr>
            </w:pPr>
            <w:r w:rsidRPr="00A923E2">
              <w:rPr>
                <w:rFonts w:ascii="Times New Roman" w:hAnsi="Times New Roman"/>
                <w:b/>
              </w:rPr>
              <w:t>Subtotal</w:t>
            </w:r>
          </w:p>
        </w:tc>
        <w:tc>
          <w:tcPr>
            <w:tcW w:w="1170"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b/>
              </w:rPr>
            </w:pPr>
            <w:r w:rsidRPr="00A923E2">
              <w:rPr>
                <w:rFonts w:ascii="Times New Roman" w:hAnsi="Times New Roman"/>
                <w:b/>
              </w:rPr>
              <w:t>440</w:t>
            </w:r>
          </w:p>
        </w:tc>
        <w:tc>
          <w:tcPr>
            <w:tcW w:w="1173"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BC561A">
            <w:pPr>
              <w:jc w:val="center"/>
              <w:rPr>
                <w:rFonts w:ascii="Times New Roman" w:hAnsi="Times New Roman"/>
                <w:b/>
              </w:rPr>
            </w:pPr>
            <w:r w:rsidRPr="00A923E2">
              <w:rPr>
                <w:rFonts w:ascii="Times New Roman" w:hAnsi="Times New Roman"/>
                <w:b/>
              </w:rPr>
              <w:fldChar w:fldCharType="begin"/>
            </w:r>
            <w:r w:rsidRPr="00A923E2">
              <w:rPr>
                <w:rFonts w:ascii="Times New Roman" w:hAnsi="Times New Roman"/>
                <w:b/>
              </w:rPr>
              <w:instrText xml:space="preserve"> =SUM(ABOVE) </w:instrText>
            </w:r>
            <w:r w:rsidRPr="00A923E2">
              <w:rPr>
                <w:rFonts w:ascii="Times New Roman" w:hAnsi="Times New Roman"/>
                <w:b/>
              </w:rPr>
              <w:fldChar w:fldCharType="separate"/>
            </w:r>
            <w:r w:rsidRPr="00A923E2">
              <w:rPr>
                <w:rFonts w:ascii="Times New Roman" w:hAnsi="Times New Roman"/>
                <w:b/>
                <w:noProof/>
              </w:rPr>
              <w:t>$</w:t>
            </w:r>
            <w:r w:rsidRPr="00A923E2">
              <w:rPr>
                <w:rFonts w:ascii="Times New Roman" w:hAnsi="Times New Roman"/>
                <w:b/>
              </w:rPr>
              <w:fldChar w:fldCharType="end"/>
            </w:r>
            <w:r w:rsidR="00BC561A">
              <w:rPr>
                <w:rFonts w:ascii="Times New Roman" w:hAnsi="Times New Roman"/>
                <w:b/>
              </w:rPr>
              <w:t>40</w:t>
            </w:r>
            <w:r w:rsidR="00DE3276" w:rsidRPr="00A923E2">
              <w:rPr>
                <w:rFonts w:ascii="Times New Roman" w:hAnsi="Times New Roman"/>
                <w:b/>
              </w:rPr>
              <w:t>,</w:t>
            </w:r>
            <w:r w:rsidR="00BC561A">
              <w:rPr>
                <w:rFonts w:ascii="Times New Roman" w:hAnsi="Times New Roman"/>
                <w:b/>
              </w:rPr>
              <w:t>361</w:t>
            </w:r>
          </w:p>
        </w:tc>
      </w:tr>
      <w:tr w:rsidR="008D4EA3" w:rsidRPr="00A923E2" w:rsidTr="003A6EE4">
        <w:trPr>
          <w:trHeight w:val="458"/>
          <w:tblHeader/>
        </w:trPr>
        <w:tc>
          <w:tcPr>
            <w:tcW w:w="64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EA3" w:rsidRPr="00A923E2" w:rsidRDefault="008D4EA3" w:rsidP="00DA194B">
            <w:pPr>
              <w:rPr>
                <w:rFonts w:ascii="Times New Roman" w:hAnsi="Times New Roman"/>
              </w:rPr>
            </w:pPr>
            <w:r w:rsidRPr="00A923E2">
              <w:rPr>
                <w:rFonts w:ascii="Times New Roman" w:hAnsi="Times New Roman"/>
                <w:b/>
              </w:rPr>
              <w:t>Federal Employee Salaries and Benefits (on average per year)</w:t>
            </w:r>
          </w:p>
        </w:tc>
        <w:tc>
          <w:tcPr>
            <w:tcW w:w="1170"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BC561A">
            <w:pPr>
              <w:jc w:val="center"/>
              <w:rPr>
                <w:rFonts w:ascii="Times New Roman" w:hAnsi="Times New Roman"/>
                <w:b/>
              </w:rPr>
            </w:pPr>
            <w:r w:rsidRPr="00A923E2">
              <w:rPr>
                <w:rFonts w:ascii="Times New Roman" w:hAnsi="Times New Roman"/>
                <w:b/>
              </w:rPr>
              <w:t>$</w:t>
            </w:r>
            <w:r w:rsidR="00DE3276" w:rsidRPr="00A923E2">
              <w:rPr>
                <w:rFonts w:ascii="Times New Roman" w:hAnsi="Times New Roman"/>
                <w:b/>
              </w:rPr>
              <w:t>4</w:t>
            </w:r>
            <w:r w:rsidR="00BC561A">
              <w:rPr>
                <w:rFonts w:ascii="Times New Roman" w:hAnsi="Times New Roman"/>
                <w:b/>
              </w:rPr>
              <w:t>70</w:t>
            </w:r>
            <w:r w:rsidR="00DE3276" w:rsidRPr="00A923E2">
              <w:rPr>
                <w:rFonts w:ascii="Times New Roman" w:hAnsi="Times New Roman"/>
                <w:b/>
              </w:rPr>
              <w:t>,</w:t>
            </w:r>
            <w:r w:rsidR="00BC561A">
              <w:rPr>
                <w:rFonts w:ascii="Times New Roman" w:hAnsi="Times New Roman"/>
                <w:b/>
              </w:rPr>
              <w:t>225</w:t>
            </w:r>
          </w:p>
        </w:tc>
      </w:tr>
      <w:tr w:rsidR="008D4EA3" w:rsidRPr="00A923E2" w:rsidTr="003A6EE4">
        <w:trPr>
          <w:trHeight w:val="425"/>
          <w:tblHeader/>
        </w:trPr>
        <w:tc>
          <w:tcPr>
            <w:tcW w:w="64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EA3" w:rsidRPr="00A923E2" w:rsidRDefault="008D4EA3" w:rsidP="00DA194B">
            <w:pPr>
              <w:rPr>
                <w:rFonts w:ascii="Times New Roman" w:hAnsi="Times New Roman"/>
                <w:b/>
              </w:rPr>
            </w:pPr>
            <w:r w:rsidRPr="00A923E2">
              <w:rPr>
                <w:rFonts w:ascii="Times New Roman" w:hAnsi="Times New Roman"/>
                <w:b/>
              </w:rPr>
              <w:t>Travel and per diem Costs</w:t>
            </w:r>
          </w:p>
        </w:tc>
        <w:tc>
          <w:tcPr>
            <w:tcW w:w="1170"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8D4EA3" w:rsidRPr="00A923E2" w:rsidRDefault="008D4EA3" w:rsidP="00610DB8">
            <w:pPr>
              <w:jc w:val="center"/>
              <w:rPr>
                <w:rFonts w:ascii="Times New Roman" w:hAnsi="Times New Roman"/>
                <w:b/>
              </w:rPr>
            </w:pPr>
            <w:r w:rsidRPr="00A923E2">
              <w:rPr>
                <w:rFonts w:ascii="Times New Roman" w:hAnsi="Times New Roman"/>
                <w:b/>
              </w:rPr>
              <w:t>$4</w:t>
            </w:r>
            <w:r w:rsidR="00610DB8">
              <w:rPr>
                <w:rFonts w:ascii="Times New Roman" w:hAnsi="Times New Roman"/>
                <w:b/>
              </w:rPr>
              <w:t>0</w:t>
            </w:r>
            <w:r w:rsidRPr="00A923E2">
              <w:rPr>
                <w:rFonts w:ascii="Times New Roman" w:hAnsi="Times New Roman"/>
                <w:b/>
              </w:rPr>
              <w:t>,0</w:t>
            </w:r>
            <w:r w:rsidR="00DE3276" w:rsidRPr="00A923E2">
              <w:rPr>
                <w:rFonts w:ascii="Times New Roman" w:hAnsi="Times New Roman"/>
                <w:b/>
              </w:rPr>
              <w:t>0</w:t>
            </w:r>
            <w:r w:rsidRPr="00A923E2">
              <w:rPr>
                <w:rFonts w:ascii="Times New Roman" w:hAnsi="Times New Roman"/>
                <w:b/>
              </w:rPr>
              <w:t>0</w:t>
            </w:r>
          </w:p>
        </w:tc>
      </w:tr>
      <w:tr w:rsidR="008D4EA3" w:rsidRPr="00A923E2" w:rsidTr="003A6EE4">
        <w:trPr>
          <w:trHeight w:val="443"/>
          <w:tblHeader/>
        </w:trPr>
        <w:tc>
          <w:tcPr>
            <w:tcW w:w="6405" w:type="dxa"/>
            <w:gridSpan w:val="7"/>
            <w:tcBorders>
              <w:top w:val="single" w:sz="4" w:space="0" w:color="auto"/>
              <w:left w:val="single" w:sz="4" w:space="0" w:color="auto"/>
              <w:bottom w:val="single" w:sz="6" w:space="0" w:color="auto"/>
              <w:right w:val="single" w:sz="4" w:space="0" w:color="auto"/>
            </w:tcBorders>
            <w:shd w:val="clear" w:color="auto" w:fill="auto"/>
            <w:vAlign w:val="center"/>
          </w:tcPr>
          <w:p w:rsidR="008D4EA3" w:rsidRPr="00A923E2" w:rsidRDefault="008D4EA3" w:rsidP="00DA194B">
            <w:pPr>
              <w:rPr>
                <w:rFonts w:ascii="Times New Roman" w:hAnsi="Times New Roman"/>
                <w:b/>
              </w:rPr>
            </w:pPr>
            <w:r w:rsidRPr="00A923E2">
              <w:rPr>
                <w:rFonts w:ascii="Times New Roman" w:hAnsi="Times New Roman"/>
                <w:b/>
              </w:rPr>
              <w:t>Total Annual Cost to the Federal Government</w:t>
            </w:r>
          </w:p>
        </w:tc>
        <w:tc>
          <w:tcPr>
            <w:tcW w:w="1170" w:type="dxa"/>
            <w:tcBorders>
              <w:top w:val="single" w:sz="4" w:space="0" w:color="auto"/>
              <w:left w:val="nil"/>
              <w:bottom w:val="single" w:sz="6" w:space="0" w:color="auto"/>
              <w:right w:val="single" w:sz="4" w:space="0" w:color="auto"/>
            </w:tcBorders>
            <w:shd w:val="clear" w:color="auto" w:fill="auto"/>
            <w:vAlign w:val="center"/>
          </w:tcPr>
          <w:p w:rsidR="008D4EA3" w:rsidRPr="00A923E2" w:rsidRDefault="008D4EA3" w:rsidP="00DA194B">
            <w:pPr>
              <w:jc w:val="center"/>
              <w:rPr>
                <w:rFonts w:ascii="Times New Roman" w:hAnsi="Times New Roman"/>
              </w:rPr>
            </w:pPr>
          </w:p>
        </w:tc>
        <w:tc>
          <w:tcPr>
            <w:tcW w:w="1173" w:type="dxa"/>
            <w:tcBorders>
              <w:top w:val="single" w:sz="4" w:space="0" w:color="auto"/>
              <w:left w:val="nil"/>
              <w:bottom w:val="single" w:sz="6" w:space="0" w:color="auto"/>
              <w:right w:val="single" w:sz="4" w:space="0" w:color="auto"/>
            </w:tcBorders>
            <w:shd w:val="clear" w:color="auto" w:fill="auto"/>
            <w:vAlign w:val="center"/>
          </w:tcPr>
          <w:p w:rsidR="008D4EA3" w:rsidRPr="00A923E2" w:rsidRDefault="00DE3276" w:rsidP="00610DB8">
            <w:pPr>
              <w:jc w:val="center"/>
              <w:rPr>
                <w:rFonts w:ascii="Times New Roman" w:hAnsi="Times New Roman"/>
                <w:b/>
              </w:rPr>
            </w:pPr>
            <w:r w:rsidRPr="00A923E2">
              <w:rPr>
                <w:rFonts w:ascii="Times New Roman" w:hAnsi="Times New Roman"/>
                <w:b/>
              </w:rPr>
              <w:t>$</w:t>
            </w:r>
            <w:r w:rsidR="00610DB8">
              <w:rPr>
                <w:rFonts w:ascii="Times New Roman" w:hAnsi="Times New Roman"/>
                <w:b/>
              </w:rPr>
              <w:t>510</w:t>
            </w:r>
            <w:r w:rsidRPr="00A923E2">
              <w:rPr>
                <w:rFonts w:ascii="Times New Roman" w:hAnsi="Times New Roman"/>
                <w:b/>
              </w:rPr>
              <w:t>,</w:t>
            </w:r>
            <w:r w:rsidR="00610DB8">
              <w:rPr>
                <w:rFonts w:ascii="Times New Roman" w:hAnsi="Times New Roman"/>
                <w:b/>
              </w:rPr>
              <w:t>225</w:t>
            </w:r>
          </w:p>
        </w:tc>
      </w:tr>
    </w:tbl>
    <w:p w:rsidR="008D4EA3" w:rsidRPr="00610DB8" w:rsidRDefault="008D4EA3" w:rsidP="00BE7843">
      <w:pPr>
        <w:rPr>
          <w:rFonts w:ascii="Times New Roman" w:hAnsi="Times New Roman"/>
          <w:sz w:val="22"/>
          <w:szCs w:val="22"/>
        </w:rPr>
      </w:pPr>
    </w:p>
    <w:p w:rsidR="00C711F9" w:rsidRPr="00A923E2" w:rsidRDefault="00C711F9" w:rsidP="00BE7843">
      <w:pPr>
        <w:rPr>
          <w:rFonts w:ascii="Times New Roman" w:hAnsi="Times New Roman"/>
          <w:sz w:val="22"/>
          <w:szCs w:val="22"/>
        </w:rPr>
      </w:pPr>
    </w:p>
    <w:p w:rsidR="00B952D7" w:rsidRPr="00A923E2" w:rsidRDefault="00993387" w:rsidP="00BE7843">
      <w:pPr>
        <w:rPr>
          <w:rFonts w:ascii="Times New Roman" w:hAnsi="Times New Roman"/>
          <w:b/>
          <w:i/>
          <w:sz w:val="22"/>
          <w:szCs w:val="22"/>
        </w:rPr>
      </w:pPr>
      <w:r w:rsidRPr="00A923E2">
        <w:rPr>
          <w:rFonts w:ascii="Times New Roman" w:hAnsi="Times New Roman"/>
          <w:b/>
          <w:i/>
          <w:sz w:val="22"/>
          <w:szCs w:val="22"/>
        </w:rPr>
        <w:t xml:space="preserve">15.  </w:t>
      </w:r>
      <w:r w:rsidR="00B952D7" w:rsidRPr="00A923E2">
        <w:rPr>
          <w:rFonts w:ascii="Times New Roman" w:hAnsi="Times New Roman"/>
          <w:b/>
          <w:i/>
          <w:sz w:val="22"/>
          <w:szCs w:val="22"/>
        </w:rPr>
        <w:t>Explain the reasons for any program changes or adjustments</w:t>
      </w:r>
    </w:p>
    <w:p w:rsidR="00B97806" w:rsidRPr="00A923E2" w:rsidRDefault="00B97806" w:rsidP="00BE7843">
      <w:pPr>
        <w:rPr>
          <w:rFonts w:ascii="Times New Roman" w:hAnsi="Times New Roman"/>
          <w:b/>
          <w:sz w:val="22"/>
          <w:szCs w:val="22"/>
        </w:rPr>
      </w:pPr>
    </w:p>
    <w:p w:rsidR="00B97806" w:rsidRPr="00A923E2" w:rsidRDefault="00B97806" w:rsidP="00B97806">
      <w:pPr>
        <w:rPr>
          <w:rFonts w:ascii="Times New Roman" w:hAnsi="Times New Roman"/>
          <w:sz w:val="24"/>
          <w:szCs w:val="24"/>
        </w:rPr>
      </w:pPr>
      <w:r w:rsidRPr="00A923E2">
        <w:rPr>
          <w:rFonts w:ascii="Times New Roman" w:hAnsi="Times New Roman"/>
          <w:sz w:val="24"/>
          <w:szCs w:val="24"/>
        </w:rPr>
        <w:t>We estimate that there will be 3</w:t>
      </w:r>
      <w:r w:rsidR="00A45353">
        <w:rPr>
          <w:rFonts w:ascii="Times New Roman" w:hAnsi="Times New Roman"/>
          <w:sz w:val="24"/>
          <w:szCs w:val="24"/>
        </w:rPr>
        <w:t>50</w:t>
      </w:r>
      <w:r w:rsidRPr="00A923E2">
        <w:rPr>
          <w:rFonts w:ascii="Times New Roman" w:hAnsi="Times New Roman"/>
          <w:sz w:val="24"/>
          <w:szCs w:val="24"/>
        </w:rPr>
        <w:t xml:space="preserve"> responses totaling 12,</w:t>
      </w:r>
      <w:r w:rsidR="00A45353">
        <w:rPr>
          <w:rFonts w:ascii="Times New Roman" w:hAnsi="Times New Roman"/>
          <w:sz w:val="24"/>
          <w:szCs w:val="24"/>
        </w:rPr>
        <w:t>45</w:t>
      </w:r>
      <w:r w:rsidRPr="00A923E2">
        <w:rPr>
          <w:rFonts w:ascii="Times New Roman" w:hAnsi="Times New Roman"/>
          <w:sz w:val="24"/>
          <w:szCs w:val="24"/>
        </w:rPr>
        <w:t>0</w:t>
      </w:r>
      <w:r w:rsidR="00FD4A7D" w:rsidRPr="00A923E2">
        <w:rPr>
          <w:rFonts w:ascii="Times New Roman" w:hAnsi="Times New Roman"/>
          <w:sz w:val="24"/>
          <w:szCs w:val="24"/>
        </w:rPr>
        <w:t xml:space="preserve"> burden hours. </w:t>
      </w:r>
      <w:r w:rsidR="004A3E3D" w:rsidRPr="00A923E2">
        <w:rPr>
          <w:rFonts w:ascii="Times New Roman" w:hAnsi="Times New Roman"/>
          <w:sz w:val="24"/>
          <w:szCs w:val="24"/>
        </w:rPr>
        <w:t>This represents an increase of</w:t>
      </w:r>
      <w:r w:rsidR="00FD4A7D" w:rsidRPr="00A923E2">
        <w:rPr>
          <w:rFonts w:ascii="Times New Roman" w:hAnsi="Times New Roman"/>
          <w:sz w:val="24"/>
          <w:szCs w:val="24"/>
        </w:rPr>
        <w:t xml:space="preserve"> </w:t>
      </w:r>
      <w:r w:rsidR="00A45353">
        <w:rPr>
          <w:rFonts w:ascii="Times New Roman" w:hAnsi="Times New Roman"/>
          <w:sz w:val="24"/>
          <w:szCs w:val="24"/>
        </w:rPr>
        <w:t xml:space="preserve">120 hours for </w:t>
      </w:r>
      <w:r w:rsidR="004A3E3D" w:rsidRPr="00A923E2">
        <w:rPr>
          <w:rFonts w:ascii="Times New Roman" w:hAnsi="Times New Roman"/>
          <w:sz w:val="24"/>
          <w:szCs w:val="24"/>
        </w:rPr>
        <w:t>final t</w:t>
      </w:r>
      <w:r w:rsidR="00FD4A7D" w:rsidRPr="00A923E2">
        <w:rPr>
          <w:rFonts w:ascii="Times New Roman" w:hAnsi="Times New Roman"/>
          <w:sz w:val="24"/>
          <w:szCs w:val="24"/>
        </w:rPr>
        <w:t>echnical</w:t>
      </w:r>
      <w:r w:rsidR="00A45353">
        <w:rPr>
          <w:rFonts w:ascii="Times New Roman" w:hAnsi="Times New Roman"/>
          <w:sz w:val="24"/>
          <w:szCs w:val="24"/>
        </w:rPr>
        <w:t>/annual progress</w:t>
      </w:r>
      <w:r w:rsidR="00FD4A7D" w:rsidRPr="00A923E2">
        <w:rPr>
          <w:rFonts w:ascii="Times New Roman" w:hAnsi="Times New Roman"/>
          <w:sz w:val="24"/>
          <w:szCs w:val="24"/>
        </w:rPr>
        <w:t xml:space="preserve"> </w:t>
      </w:r>
      <w:r w:rsidR="004A3E3D" w:rsidRPr="00A923E2">
        <w:rPr>
          <w:rFonts w:ascii="Times New Roman" w:hAnsi="Times New Roman"/>
          <w:sz w:val="24"/>
          <w:szCs w:val="24"/>
        </w:rPr>
        <w:t>r</w:t>
      </w:r>
      <w:r w:rsidR="00FD4A7D" w:rsidRPr="00A923E2">
        <w:rPr>
          <w:rFonts w:ascii="Times New Roman" w:hAnsi="Times New Roman"/>
          <w:sz w:val="24"/>
          <w:szCs w:val="24"/>
        </w:rPr>
        <w:t>eports due to adjustments</w:t>
      </w:r>
      <w:r w:rsidR="00A45353">
        <w:rPr>
          <w:rFonts w:ascii="Times New Roman" w:hAnsi="Times New Roman"/>
          <w:sz w:val="24"/>
          <w:szCs w:val="24"/>
        </w:rPr>
        <w:t xml:space="preserve"> in both the number of reports per year as well as hours per report based on recent history and on feedback as noted above.</w:t>
      </w:r>
    </w:p>
    <w:p w:rsidR="00B97806" w:rsidRPr="00A923E2" w:rsidRDefault="00B97806" w:rsidP="00B97806">
      <w:pPr>
        <w:rPr>
          <w:rFonts w:ascii="Times New Roman" w:hAnsi="Times New Roman"/>
          <w:sz w:val="22"/>
          <w:szCs w:val="22"/>
        </w:rPr>
      </w:pPr>
    </w:p>
    <w:p w:rsidR="00A7440D" w:rsidRPr="00A923E2" w:rsidRDefault="00993387" w:rsidP="00BE7843">
      <w:pPr>
        <w:rPr>
          <w:rFonts w:ascii="Times New Roman" w:hAnsi="Times New Roman"/>
          <w:b/>
          <w:sz w:val="22"/>
          <w:szCs w:val="22"/>
        </w:rPr>
      </w:pPr>
      <w:r w:rsidRPr="00A923E2">
        <w:rPr>
          <w:rFonts w:ascii="Times New Roman" w:hAnsi="Times New Roman"/>
          <w:b/>
          <w:i/>
          <w:sz w:val="22"/>
          <w:szCs w:val="22"/>
        </w:rPr>
        <w:t xml:space="preserve">16.   </w:t>
      </w:r>
      <w:r w:rsidR="00A7440D" w:rsidRPr="00A923E2">
        <w:rPr>
          <w:rFonts w:ascii="Times New Roman" w:hAnsi="Times New Roman"/>
          <w:b/>
          <w:i/>
          <w:sz w:val="22"/>
          <w:szCs w:val="22"/>
        </w:rPr>
        <w:t>For collections of information whose results will be published, outline plans for tabulation and publication.  Address any complex analytical techniques that will be used.  Provide the time schedu</w:t>
      </w:r>
      <w:bookmarkStart w:id="0" w:name="_GoBack"/>
      <w:bookmarkEnd w:id="0"/>
      <w:r w:rsidR="00A7440D" w:rsidRPr="00A923E2">
        <w:rPr>
          <w:rFonts w:ascii="Times New Roman" w:hAnsi="Times New Roman"/>
          <w:b/>
          <w:i/>
          <w:sz w:val="22"/>
          <w:szCs w:val="22"/>
        </w:rPr>
        <w:t>le for the entire project, including beginning and ending dates of the collection of information, completion of report, publication dates, and other actions.</w:t>
      </w:r>
    </w:p>
    <w:p w:rsidR="00237D7D" w:rsidRPr="00A923E2" w:rsidRDefault="00237D7D" w:rsidP="00BE7843">
      <w:pPr>
        <w:rPr>
          <w:rFonts w:ascii="Times New Roman" w:hAnsi="Times New Roman"/>
          <w:b/>
          <w:sz w:val="22"/>
          <w:szCs w:val="22"/>
        </w:rPr>
      </w:pPr>
    </w:p>
    <w:p w:rsidR="00237D7D" w:rsidRPr="00C353E5" w:rsidRDefault="00237D7D" w:rsidP="00BE7843">
      <w:pPr>
        <w:rPr>
          <w:rFonts w:ascii="Times New Roman" w:hAnsi="Times New Roman"/>
          <w:sz w:val="22"/>
          <w:szCs w:val="22"/>
        </w:rPr>
      </w:pPr>
      <w:r w:rsidRPr="00A923E2">
        <w:rPr>
          <w:rFonts w:ascii="Times New Roman" w:hAnsi="Times New Roman"/>
          <w:sz w:val="22"/>
          <w:szCs w:val="22"/>
        </w:rPr>
        <w:t>This is an on-going information collection without an ending date. No statistical analysis, tabulation, or publication is planned for this information.</w:t>
      </w:r>
    </w:p>
    <w:p w:rsidR="00802A5C" w:rsidRPr="00C353E5" w:rsidRDefault="00802A5C" w:rsidP="00BE7843">
      <w:pPr>
        <w:rPr>
          <w:rFonts w:ascii="Times New Roman" w:hAnsi="Times New Roman"/>
          <w:sz w:val="22"/>
          <w:szCs w:val="22"/>
        </w:rPr>
      </w:pPr>
    </w:p>
    <w:p w:rsidR="00802A5C" w:rsidRPr="004E13EF" w:rsidRDefault="00993387" w:rsidP="00BE7843">
      <w:pPr>
        <w:rPr>
          <w:rFonts w:ascii="Times New Roman" w:hAnsi="Times New Roman"/>
          <w:b/>
          <w:sz w:val="22"/>
          <w:szCs w:val="22"/>
        </w:rPr>
      </w:pPr>
      <w:r w:rsidRPr="004E13EF">
        <w:rPr>
          <w:rFonts w:ascii="Times New Roman" w:hAnsi="Times New Roman"/>
          <w:b/>
          <w:i/>
          <w:sz w:val="22"/>
          <w:szCs w:val="22"/>
        </w:rPr>
        <w:t xml:space="preserve">17.  </w:t>
      </w:r>
      <w:r w:rsidR="00802A5C" w:rsidRPr="004E13EF">
        <w:rPr>
          <w:rFonts w:ascii="Times New Roman" w:hAnsi="Times New Roman"/>
          <w:b/>
          <w:i/>
          <w:sz w:val="22"/>
          <w:szCs w:val="22"/>
        </w:rPr>
        <w:t>If seeking approval to not display the expiration date for OMB approval of the information collection, explain the reasons that display would be inappropriate.</w:t>
      </w:r>
      <w:r w:rsidR="00802A5C" w:rsidRPr="004E13EF">
        <w:rPr>
          <w:rFonts w:ascii="Times New Roman" w:hAnsi="Times New Roman"/>
          <w:b/>
          <w:sz w:val="22"/>
          <w:szCs w:val="22"/>
        </w:rPr>
        <w:t xml:space="preserve">  </w:t>
      </w:r>
    </w:p>
    <w:p w:rsidR="00802A5C" w:rsidRPr="00C353E5" w:rsidRDefault="00802A5C" w:rsidP="00BE7843">
      <w:pPr>
        <w:rPr>
          <w:rFonts w:ascii="Times New Roman" w:hAnsi="Times New Roman"/>
          <w:sz w:val="22"/>
          <w:szCs w:val="22"/>
        </w:rPr>
      </w:pPr>
    </w:p>
    <w:p w:rsidR="00ED0D08" w:rsidRPr="00C353E5" w:rsidRDefault="00237D7D" w:rsidP="00BE7843">
      <w:pPr>
        <w:rPr>
          <w:rFonts w:ascii="Times New Roman" w:hAnsi="Times New Roman"/>
          <w:sz w:val="22"/>
          <w:szCs w:val="22"/>
        </w:rPr>
      </w:pPr>
      <w:r w:rsidRPr="00C353E5">
        <w:rPr>
          <w:rFonts w:ascii="Times New Roman" w:hAnsi="Times New Roman"/>
          <w:sz w:val="22"/>
          <w:szCs w:val="22"/>
        </w:rPr>
        <w:t>No</w:t>
      </w:r>
      <w:r w:rsidR="00993387" w:rsidRPr="00C353E5">
        <w:rPr>
          <w:rFonts w:ascii="Times New Roman" w:hAnsi="Times New Roman"/>
          <w:sz w:val="22"/>
          <w:szCs w:val="22"/>
        </w:rPr>
        <w:t>t</w:t>
      </w:r>
      <w:r w:rsidRPr="00C353E5">
        <w:rPr>
          <w:rFonts w:ascii="Times New Roman" w:hAnsi="Times New Roman"/>
          <w:sz w:val="22"/>
          <w:szCs w:val="22"/>
        </w:rPr>
        <w:t xml:space="preserve"> applicable.</w:t>
      </w:r>
    </w:p>
    <w:p w:rsidR="00ED0D08" w:rsidRPr="00C353E5" w:rsidRDefault="00ED0D08" w:rsidP="00BE7843">
      <w:pPr>
        <w:rPr>
          <w:rFonts w:ascii="Times New Roman" w:hAnsi="Times New Roman"/>
          <w:sz w:val="22"/>
          <w:szCs w:val="22"/>
        </w:rPr>
      </w:pPr>
    </w:p>
    <w:p w:rsidR="00ED0D08" w:rsidRPr="004E13EF" w:rsidRDefault="00993387" w:rsidP="00BE7843">
      <w:pPr>
        <w:rPr>
          <w:rFonts w:ascii="Times New Roman" w:hAnsi="Times New Roman"/>
          <w:b/>
          <w:sz w:val="22"/>
          <w:szCs w:val="22"/>
        </w:rPr>
      </w:pPr>
      <w:r w:rsidRPr="004E13EF">
        <w:rPr>
          <w:rFonts w:ascii="Times New Roman" w:hAnsi="Times New Roman"/>
          <w:b/>
          <w:i/>
          <w:sz w:val="22"/>
          <w:szCs w:val="22"/>
        </w:rPr>
        <w:t xml:space="preserve">18.   </w:t>
      </w:r>
      <w:r w:rsidR="00ED0D08" w:rsidRPr="004E13EF">
        <w:rPr>
          <w:rFonts w:ascii="Times New Roman" w:hAnsi="Times New Roman"/>
          <w:b/>
          <w:i/>
          <w:sz w:val="22"/>
          <w:szCs w:val="22"/>
        </w:rPr>
        <w:t>Explain each exception to the certification statement identified in Item 19, “Certification for Paperwork Reduction Act Submissions,” of OMB Form 83-I.</w:t>
      </w:r>
      <w:r w:rsidR="00ED0D08" w:rsidRPr="004E13EF">
        <w:rPr>
          <w:rFonts w:ascii="Times New Roman" w:hAnsi="Times New Roman"/>
          <w:b/>
          <w:sz w:val="22"/>
          <w:szCs w:val="22"/>
        </w:rPr>
        <w:t xml:space="preserve">  </w:t>
      </w:r>
    </w:p>
    <w:p w:rsidR="00993387" w:rsidRPr="00C353E5" w:rsidRDefault="00993387" w:rsidP="00BE7843">
      <w:pPr>
        <w:rPr>
          <w:rFonts w:ascii="Times New Roman" w:hAnsi="Times New Roman"/>
          <w:sz w:val="22"/>
          <w:szCs w:val="22"/>
        </w:rPr>
      </w:pPr>
    </w:p>
    <w:p w:rsidR="006D509B" w:rsidRPr="00C353E5" w:rsidRDefault="00237D7D" w:rsidP="00BE7843">
      <w:pPr>
        <w:rPr>
          <w:rFonts w:ascii="Times New Roman" w:hAnsi="Times New Roman"/>
          <w:sz w:val="22"/>
          <w:szCs w:val="22"/>
        </w:rPr>
      </w:pPr>
      <w:r w:rsidRPr="00C353E5">
        <w:rPr>
          <w:rFonts w:ascii="Times New Roman" w:hAnsi="Times New Roman"/>
          <w:sz w:val="22"/>
          <w:szCs w:val="22"/>
        </w:rPr>
        <w:t>No</w:t>
      </w:r>
      <w:r w:rsidR="00993387" w:rsidRPr="00C353E5">
        <w:rPr>
          <w:rFonts w:ascii="Times New Roman" w:hAnsi="Times New Roman"/>
          <w:sz w:val="22"/>
          <w:szCs w:val="22"/>
        </w:rPr>
        <w:t>t</w:t>
      </w:r>
      <w:r w:rsidRPr="00C353E5">
        <w:rPr>
          <w:rFonts w:ascii="Times New Roman" w:hAnsi="Times New Roman"/>
          <w:sz w:val="22"/>
          <w:szCs w:val="22"/>
        </w:rPr>
        <w:t xml:space="preserve"> applicable.</w:t>
      </w:r>
      <w:r w:rsidR="00993387" w:rsidRPr="00C353E5">
        <w:rPr>
          <w:rFonts w:ascii="Times New Roman" w:hAnsi="Times New Roman"/>
          <w:sz w:val="22"/>
          <w:szCs w:val="22"/>
        </w:rPr>
        <w:t xml:space="preserve">  No exceptions to the certification are being made.</w:t>
      </w:r>
    </w:p>
    <w:sectPr w:rsidR="006D509B" w:rsidRPr="00C353E5">
      <w:footerReference w:type="even" r:id="rId9"/>
      <w:footerReference w:type="defaul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C3D" w:rsidRDefault="00BB1C3D">
      <w:r>
        <w:separator/>
      </w:r>
    </w:p>
  </w:endnote>
  <w:endnote w:type="continuationSeparator" w:id="0">
    <w:p w:rsidR="00BB1C3D" w:rsidRDefault="00BB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7F" w:rsidRDefault="0006097F" w:rsidP="005806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7F" w:rsidRDefault="00060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7F" w:rsidRDefault="0006097F" w:rsidP="005806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1DFD">
      <w:rPr>
        <w:rStyle w:val="PageNumber"/>
        <w:noProof/>
      </w:rPr>
      <w:t>4</w:t>
    </w:r>
    <w:r>
      <w:rPr>
        <w:rStyle w:val="PageNumber"/>
      </w:rPr>
      <w:fldChar w:fldCharType="end"/>
    </w:r>
  </w:p>
  <w:p w:rsidR="0006097F" w:rsidRDefault="00060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C3D" w:rsidRDefault="00BB1C3D">
      <w:r>
        <w:separator/>
      </w:r>
    </w:p>
  </w:footnote>
  <w:footnote w:type="continuationSeparator" w:id="0">
    <w:p w:rsidR="00BB1C3D" w:rsidRDefault="00BB1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A021692"/>
    <w:multiLevelType w:val="hybridMultilevel"/>
    <w:tmpl w:val="0DEC7E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DD14E7"/>
    <w:multiLevelType w:val="singleLevel"/>
    <w:tmpl w:val="0E4CDEB4"/>
    <w:lvl w:ilvl="0">
      <w:start w:val="18"/>
      <w:numFmt w:val="decimal"/>
      <w:lvlText w:val="%1."/>
      <w:lvlJc w:val="left"/>
      <w:pPr>
        <w:tabs>
          <w:tab w:val="num" w:pos="720"/>
        </w:tabs>
        <w:ind w:left="720" w:hanging="360"/>
      </w:pPr>
      <w:rPr>
        <w:rFonts w:hint="default"/>
      </w:rPr>
    </w:lvl>
  </w:abstractNum>
  <w:abstractNum w:abstractNumId="3">
    <w:nsid w:val="29A67D29"/>
    <w:multiLevelType w:val="hybridMultilevel"/>
    <w:tmpl w:val="AADAE6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5CC1686"/>
    <w:multiLevelType w:val="hybridMultilevel"/>
    <w:tmpl w:val="C6BCA41C"/>
    <w:lvl w:ilvl="0" w:tplc="3BA0EA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5D7738"/>
    <w:multiLevelType w:val="singleLevel"/>
    <w:tmpl w:val="C7AA50F6"/>
    <w:lvl w:ilvl="0">
      <w:start w:val="1"/>
      <w:numFmt w:val="decimal"/>
      <w:lvlText w:val="%1."/>
      <w:lvlJc w:val="left"/>
      <w:pPr>
        <w:tabs>
          <w:tab w:val="num" w:pos="720"/>
        </w:tabs>
        <w:ind w:left="720" w:hanging="360"/>
      </w:pPr>
      <w:rPr>
        <w:rFonts w:hint="default"/>
      </w:rPr>
    </w:lvl>
  </w:abstractNum>
  <w:abstractNum w:abstractNumId="6">
    <w:nsid w:val="52110C87"/>
    <w:multiLevelType w:val="hybridMultilevel"/>
    <w:tmpl w:val="92BA86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AC2178D"/>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674174B8"/>
    <w:multiLevelType w:val="singleLevel"/>
    <w:tmpl w:val="1E74C586"/>
    <w:lvl w:ilvl="0">
      <w:start w:val="9"/>
      <w:numFmt w:val="decimal"/>
      <w:lvlText w:val="%1."/>
      <w:lvlJc w:val="left"/>
      <w:pPr>
        <w:tabs>
          <w:tab w:val="num" w:pos="720"/>
        </w:tabs>
        <w:ind w:left="720" w:hanging="360"/>
      </w:pPr>
      <w:rPr>
        <w:rFonts w:hint="default"/>
      </w:rPr>
    </w:lvl>
  </w:abstractNum>
  <w:num w:numId="1">
    <w:abstractNumId w:val="8"/>
  </w:num>
  <w:num w:numId="2">
    <w:abstractNumId w:val="2"/>
  </w:num>
  <w:num w:numId="3">
    <w:abstractNumId w:val="7"/>
  </w:num>
  <w:num w:numId="4">
    <w:abstractNumId w:val="5"/>
  </w:num>
  <w:num w:numId="5">
    <w:abstractNumId w:val="1"/>
  </w:num>
  <w:num w:numId="6">
    <w:abstractNumId w:val="3"/>
  </w:num>
  <w:num w:numId="7">
    <w:abstractNumId w:val="0"/>
    <w:lvlOverride w:ilvl="0">
      <w:startOverride w:val="2"/>
      <w:lvl w:ilvl="0">
        <w:start w:val="2"/>
        <w:numFmt w:val="decimal"/>
        <w:pStyle w:val="QuickA"/>
        <w:lvlText w:val="%1."/>
        <w:lvlJc w:val="left"/>
      </w:lvl>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28"/>
    <w:rsid w:val="00014557"/>
    <w:rsid w:val="0001542A"/>
    <w:rsid w:val="0002246C"/>
    <w:rsid w:val="00024CFE"/>
    <w:rsid w:val="000260FE"/>
    <w:rsid w:val="0004758E"/>
    <w:rsid w:val="00047781"/>
    <w:rsid w:val="0006097F"/>
    <w:rsid w:val="00070B68"/>
    <w:rsid w:val="00076E31"/>
    <w:rsid w:val="00083220"/>
    <w:rsid w:val="000957A1"/>
    <w:rsid w:val="000A507E"/>
    <w:rsid w:val="000C2041"/>
    <w:rsid w:val="000E271B"/>
    <w:rsid w:val="000E5C08"/>
    <w:rsid w:val="000F54B3"/>
    <w:rsid w:val="000F6365"/>
    <w:rsid w:val="00125A72"/>
    <w:rsid w:val="001608DF"/>
    <w:rsid w:val="001609B4"/>
    <w:rsid w:val="0019449F"/>
    <w:rsid w:val="001A0752"/>
    <w:rsid w:val="001A35C1"/>
    <w:rsid w:val="00207976"/>
    <w:rsid w:val="00237D7D"/>
    <w:rsid w:val="002712EB"/>
    <w:rsid w:val="002871BF"/>
    <w:rsid w:val="00291836"/>
    <w:rsid w:val="002947DF"/>
    <w:rsid w:val="002C64CC"/>
    <w:rsid w:val="002E6206"/>
    <w:rsid w:val="002E7B68"/>
    <w:rsid w:val="002F3BD9"/>
    <w:rsid w:val="00302AC4"/>
    <w:rsid w:val="0032153A"/>
    <w:rsid w:val="00327607"/>
    <w:rsid w:val="00332335"/>
    <w:rsid w:val="003360B4"/>
    <w:rsid w:val="003541C5"/>
    <w:rsid w:val="003671C8"/>
    <w:rsid w:val="00376EF0"/>
    <w:rsid w:val="003826CF"/>
    <w:rsid w:val="003A1608"/>
    <w:rsid w:val="003A6EE4"/>
    <w:rsid w:val="003C5189"/>
    <w:rsid w:val="003D704D"/>
    <w:rsid w:val="003F3FDD"/>
    <w:rsid w:val="003F630F"/>
    <w:rsid w:val="00406224"/>
    <w:rsid w:val="00426830"/>
    <w:rsid w:val="00460A9B"/>
    <w:rsid w:val="00495CB0"/>
    <w:rsid w:val="004A3E3D"/>
    <w:rsid w:val="004D1285"/>
    <w:rsid w:val="004D3DE3"/>
    <w:rsid w:val="004D43C5"/>
    <w:rsid w:val="004E13EF"/>
    <w:rsid w:val="004E4B06"/>
    <w:rsid w:val="00506929"/>
    <w:rsid w:val="00545D01"/>
    <w:rsid w:val="0057402C"/>
    <w:rsid w:val="0058062B"/>
    <w:rsid w:val="005854F8"/>
    <w:rsid w:val="00594871"/>
    <w:rsid w:val="005A37EA"/>
    <w:rsid w:val="005A77E7"/>
    <w:rsid w:val="005B3E80"/>
    <w:rsid w:val="005C194A"/>
    <w:rsid w:val="005D50E4"/>
    <w:rsid w:val="005D60D2"/>
    <w:rsid w:val="005F1CE7"/>
    <w:rsid w:val="00610DB8"/>
    <w:rsid w:val="00611759"/>
    <w:rsid w:val="0062629A"/>
    <w:rsid w:val="00642F28"/>
    <w:rsid w:val="006512AE"/>
    <w:rsid w:val="006C2A37"/>
    <w:rsid w:val="006C7E1C"/>
    <w:rsid w:val="006D509B"/>
    <w:rsid w:val="006E3032"/>
    <w:rsid w:val="00701785"/>
    <w:rsid w:val="00701E2B"/>
    <w:rsid w:val="007238F6"/>
    <w:rsid w:val="0075744A"/>
    <w:rsid w:val="007A030B"/>
    <w:rsid w:val="007A783B"/>
    <w:rsid w:val="007B7A32"/>
    <w:rsid w:val="007C1D84"/>
    <w:rsid w:val="007C6999"/>
    <w:rsid w:val="007D018B"/>
    <w:rsid w:val="007F701B"/>
    <w:rsid w:val="00802A5C"/>
    <w:rsid w:val="00816132"/>
    <w:rsid w:val="008346C9"/>
    <w:rsid w:val="00844576"/>
    <w:rsid w:val="00854707"/>
    <w:rsid w:val="008632F6"/>
    <w:rsid w:val="0088250D"/>
    <w:rsid w:val="00886CEC"/>
    <w:rsid w:val="008A5700"/>
    <w:rsid w:val="008D4EA3"/>
    <w:rsid w:val="008D51D2"/>
    <w:rsid w:val="00904A26"/>
    <w:rsid w:val="009103C2"/>
    <w:rsid w:val="00921629"/>
    <w:rsid w:val="00924704"/>
    <w:rsid w:val="009459A7"/>
    <w:rsid w:val="00947777"/>
    <w:rsid w:val="009512E9"/>
    <w:rsid w:val="009542E7"/>
    <w:rsid w:val="00960C9E"/>
    <w:rsid w:val="009905B0"/>
    <w:rsid w:val="00993387"/>
    <w:rsid w:val="009A1DB8"/>
    <w:rsid w:val="009D277A"/>
    <w:rsid w:val="009E4C46"/>
    <w:rsid w:val="009E5480"/>
    <w:rsid w:val="009E5E48"/>
    <w:rsid w:val="009F0BA1"/>
    <w:rsid w:val="009F57ED"/>
    <w:rsid w:val="00A131D0"/>
    <w:rsid w:val="00A45353"/>
    <w:rsid w:val="00A66563"/>
    <w:rsid w:val="00A7440D"/>
    <w:rsid w:val="00A83EC8"/>
    <w:rsid w:val="00A84AD0"/>
    <w:rsid w:val="00A923E2"/>
    <w:rsid w:val="00AA0EF1"/>
    <w:rsid w:val="00AA54F6"/>
    <w:rsid w:val="00AF3135"/>
    <w:rsid w:val="00AF3B56"/>
    <w:rsid w:val="00B12D56"/>
    <w:rsid w:val="00B1684A"/>
    <w:rsid w:val="00B211DE"/>
    <w:rsid w:val="00B24D58"/>
    <w:rsid w:val="00B35C46"/>
    <w:rsid w:val="00B51A83"/>
    <w:rsid w:val="00B63095"/>
    <w:rsid w:val="00B7139A"/>
    <w:rsid w:val="00B71BCC"/>
    <w:rsid w:val="00B724A8"/>
    <w:rsid w:val="00B952D7"/>
    <w:rsid w:val="00B97806"/>
    <w:rsid w:val="00BA35BB"/>
    <w:rsid w:val="00BB1C3D"/>
    <w:rsid w:val="00BB5CCA"/>
    <w:rsid w:val="00BC13F7"/>
    <w:rsid w:val="00BC561A"/>
    <w:rsid w:val="00BE7843"/>
    <w:rsid w:val="00BF0977"/>
    <w:rsid w:val="00C10CAE"/>
    <w:rsid w:val="00C2427D"/>
    <w:rsid w:val="00C353E5"/>
    <w:rsid w:val="00C4694D"/>
    <w:rsid w:val="00C52EE2"/>
    <w:rsid w:val="00C711F9"/>
    <w:rsid w:val="00C8550D"/>
    <w:rsid w:val="00CC5B4D"/>
    <w:rsid w:val="00CD44AC"/>
    <w:rsid w:val="00CE303F"/>
    <w:rsid w:val="00CF0E24"/>
    <w:rsid w:val="00CF54BC"/>
    <w:rsid w:val="00CF6D63"/>
    <w:rsid w:val="00D151D2"/>
    <w:rsid w:val="00D61C87"/>
    <w:rsid w:val="00D62F45"/>
    <w:rsid w:val="00D63F00"/>
    <w:rsid w:val="00D65974"/>
    <w:rsid w:val="00D7416D"/>
    <w:rsid w:val="00D77910"/>
    <w:rsid w:val="00D809FE"/>
    <w:rsid w:val="00D85352"/>
    <w:rsid w:val="00D95D4D"/>
    <w:rsid w:val="00D97989"/>
    <w:rsid w:val="00DA194B"/>
    <w:rsid w:val="00DB33C8"/>
    <w:rsid w:val="00DE3276"/>
    <w:rsid w:val="00DF1DFD"/>
    <w:rsid w:val="00DF4BA2"/>
    <w:rsid w:val="00E109E2"/>
    <w:rsid w:val="00E11A16"/>
    <w:rsid w:val="00E16AB5"/>
    <w:rsid w:val="00E257F6"/>
    <w:rsid w:val="00E41ED0"/>
    <w:rsid w:val="00E610AB"/>
    <w:rsid w:val="00E8079F"/>
    <w:rsid w:val="00E82E54"/>
    <w:rsid w:val="00E87FC3"/>
    <w:rsid w:val="00E90A21"/>
    <w:rsid w:val="00E92FA5"/>
    <w:rsid w:val="00EA3D73"/>
    <w:rsid w:val="00EA5221"/>
    <w:rsid w:val="00EB0D29"/>
    <w:rsid w:val="00EC16B0"/>
    <w:rsid w:val="00ED0D08"/>
    <w:rsid w:val="00EF5091"/>
    <w:rsid w:val="00EF760C"/>
    <w:rsid w:val="00F144B9"/>
    <w:rsid w:val="00F16214"/>
    <w:rsid w:val="00F27E2F"/>
    <w:rsid w:val="00F30DA5"/>
    <w:rsid w:val="00F41684"/>
    <w:rsid w:val="00F42B1E"/>
    <w:rsid w:val="00F55223"/>
    <w:rsid w:val="00F631FE"/>
    <w:rsid w:val="00F73F32"/>
    <w:rsid w:val="00F84257"/>
    <w:rsid w:val="00F8660E"/>
    <w:rsid w:val="00FB2160"/>
    <w:rsid w:val="00FC3C9C"/>
    <w:rsid w:val="00FD4A7D"/>
    <w:rsid w:val="00FE24AD"/>
    <w:rsid w:val="00FE60F0"/>
    <w:rsid w:val="00FF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List2">
    <w:name w:val="List 2"/>
    <w:basedOn w:val="Normal"/>
    <w:pPr>
      <w:ind w:left="720" w:hanging="360"/>
    </w:pPr>
  </w:style>
  <w:style w:type="paragraph" w:styleId="ListContinue2">
    <w:name w:val="List Continue 2"/>
    <w:basedOn w:val="Normal"/>
    <w:pPr>
      <w:spacing w:after="120"/>
      <w:ind w:left="720"/>
    </w:pPr>
  </w:style>
  <w:style w:type="paragraph" w:styleId="BodyText">
    <w:name w:val="Body Text"/>
    <w:basedOn w:val="Normal"/>
    <w:pPr>
      <w:spacing w:after="120"/>
    </w:pPr>
  </w:style>
  <w:style w:type="character" w:styleId="Hyperlink">
    <w:name w:val="Hyperlink"/>
    <w:rsid w:val="00B35C46"/>
    <w:rPr>
      <w:color w:val="0000FF"/>
      <w:u w:val="single"/>
    </w:rPr>
  </w:style>
  <w:style w:type="paragraph" w:customStyle="1" w:styleId="QuickA">
    <w:name w:val="Quick A."/>
    <w:basedOn w:val="Normal"/>
    <w:rsid w:val="00E82E54"/>
    <w:pPr>
      <w:widowControl w:val="0"/>
      <w:numPr>
        <w:numId w:val="7"/>
      </w:numPr>
      <w:ind w:left="360" w:hanging="360"/>
    </w:pPr>
    <w:rPr>
      <w:rFonts w:ascii="Courier New" w:hAnsi="Courier New"/>
      <w:snapToGrid w:val="0"/>
      <w:sz w:val="24"/>
    </w:rPr>
  </w:style>
  <w:style w:type="paragraph" w:styleId="Footer">
    <w:name w:val="footer"/>
    <w:basedOn w:val="Normal"/>
    <w:rsid w:val="001A35C1"/>
    <w:pPr>
      <w:tabs>
        <w:tab w:val="center" w:pos="4320"/>
        <w:tab w:val="right" w:pos="8640"/>
      </w:tabs>
    </w:pPr>
  </w:style>
  <w:style w:type="character" w:styleId="PageNumber">
    <w:name w:val="page number"/>
    <w:basedOn w:val="DefaultParagraphFont"/>
    <w:rsid w:val="001A35C1"/>
  </w:style>
  <w:style w:type="paragraph" w:styleId="BalloonText">
    <w:name w:val="Balloon Text"/>
    <w:basedOn w:val="Normal"/>
    <w:link w:val="BalloonTextChar"/>
    <w:rsid w:val="00D809FE"/>
    <w:rPr>
      <w:rFonts w:ascii="Tahoma" w:hAnsi="Tahoma" w:cs="Tahoma"/>
      <w:sz w:val="16"/>
      <w:szCs w:val="16"/>
    </w:rPr>
  </w:style>
  <w:style w:type="character" w:customStyle="1" w:styleId="BalloonTextChar">
    <w:name w:val="Balloon Text Char"/>
    <w:link w:val="BalloonText"/>
    <w:rsid w:val="00D809FE"/>
    <w:rPr>
      <w:rFonts w:ascii="Tahoma" w:hAnsi="Tahoma" w:cs="Tahoma"/>
      <w:sz w:val="16"/>
      <w:szCs w:val="16"/>
    </w:rPr>
  </w:style>
  <w:style w:type="character" w:styleId="CommentReference">
    <w:name w:val="annotation reference"/>
    <w:rsid w:val="00D809FE"/>
    <w:rPr>
      <w:sz w:val="16"/>
      <w:szCs w:val="16"/>
    </w:rPr>
  </w:style>
  <w:style w:type="paragraph" w:styleId="CommentText">
    <w:name w:val="annotation text"/>
    <w:basedOn w:val="Normal"/>
    <w:link w:val="CommentTextChar"/>
    <w:rsid w:val="00D809FE"/>
  </w:style>
  <w:style w:type="character" w:customStyle="1" w:styleId="CommentTextChar">
    <w:name w:val="Comment Text Char"/>
    <w:basedOn w:val="DefaultParagraphFont"/>
    <w:link w:val="CommentText"/>
    <w:rsid w:val="00D809FE"/>
  </w:style>
  <w:style w:type="paragraph" w:styleId="CommentSubject">
    <w:name w:val="annotation subject"/>
    <w:basedOn w:val="CommentText"/>
    <w:next w:val="CommentText"/>
    <w:link w:val="CommentSubjectChar"/>
    <w:rsid w:val="00D809FE"/>
    <w:rPr>
      <w:b/>
      <w:bCs/>
    </w:rPr>
  </w:style>
  <w:style w:type="character" w:customStyle="1" w:styleId="CommentSubjectChar">
    <w:name w:val="Comment Subject Char"/>
    <w:link w:val="CommentSubject"/>
    <w:rsid w:val="00D809FE"/>
    <w:rPr>
      <w:b/>
      <w:bCs/>
    </w:rPr>
  </w:style>
  <w:style w:type="paragraph" w:styleId="Header">
    <w:name w:val="header"/>
    <w:basedOn w:val="Normal"/>
    <w:link w:val="HeaderChar"/>
    <w:rsid w:val="00495CB0"/>
    <w:pPr>
      <w:tabs>
        <w:tab w:val="center" w:pos="4680"/>
        <w:tab w:val="right" w:pos="9360"/>
      </w:tabs>
    </w:pPr>
  </w:style>
  <w:style w:type="character" w:customStyle="1" w:styleId="HeaderChar">
    <w:name w:val="Header Char"/>
    <w:basedOn w:val="DefaultParagraphFont"/>
    <w:link w:val="Header"/>
    <w:rsid w:val="00495CB0"/>
  </w:style>
  <w:style w:type="paragraph" w:styleId="BodyTextIndent">
    <w:name w:val="Body Text Indent"/>
    <w:basedOn w:val="Normal"/>
    <w:link w:val="BodyTextIndentChar"/>
    <w:rsid w:val="00C353E5"/>
    <w:pPr>
      <w:widowControl w:val="0"/>
      <w:autoSpaceDE w:val="0"/>
      <w:autoSpaceDN w:val="0"/>
      <w:adjustRightInd w:val="0"/>
      <w:spacing w:after="120"/>
      <w:ind w:left="360"/>
    </w:pPr>
    <w:rPr>
      <w:rFonts w:ascii="Times New Roman" w:hAnsi="Times New Roman"/>
    </w:rPr>
  </w:style>
  <w:style w:type="character" w:customStyle="1" w:styleId="BodyTextIndentChar">
    <w:name w:val="Body Text Indent Char"/>
    <w:link w:val="BodyTextIndent"/>
    <w:rsid w:val="00C353E5"/>
    <w:rPr>
      <w:rFonts w:ascii="Times New Roman" w:hAnsi="Times New Roman"/>
    </w:rPr>
  </w:style>
  <w:style w:type="paragraph" w:styleId="Revision">
    <w:name w:val="Revision"/>
    <w:hidden/>
    <w:uiPriority w:val="99"/>
    <w:semiHidden/>
    <w:rsid w:val="004D3DE3"/>
  </w:style>
  <w:style w:type="table" w:styleId="TableGrid">
    <w:name w:val="Table Grid"/>
    <w:basedOn w:val="TableNormal"/>
    <w:rsid w:val="009E5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923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List2">
    <w:name w:val="List 2"/>
    <w:basedOn w:val="Normal"/>
    <w:pPr>
      <w:ind w:left="720" w:hanging="360"/>
    </w:pPr>
  </w:style>
  <w:style w:type="paragraph" w:styleId="ListContinue2">
    <w:name w:val="List Continue 2"/>
    <w:basedOn w:val="Normal"/>
    <w:pPr>
      <w:spacing w:after="120"/>
      <w:ind w:left="720"/>
    </w:pPr>
  </w:style>
  <w:style w:type="paragraph" w:styleId="BodyText">
    <w:name w:val="Body Text"/>
    <w:basedOn w:val="Normal"/>
    <w:pPr>
      <w:spacing w:after="120"/>
    </w:pPr>
  </w:style>
  <w:style w:type="character" w:styleId="Hyperlink">
    <w:name w:val="Hyperlink"/>
    <w:rsid w:val="00B35C46"/>
    <w:rPr>
      <w:color w:val="0000FF"/>
      <w:u w:val="single"/>
    </w:rPr>
  </w:style>
  <w:style w:type="paragraph" w:customStyle="1" w:styleId="QuickA">
    <w:name w:val="Quick A."/>
    <w:basedOn w:val="Normal"/>
    <w:rsid w:val="00E82E54"/>
    <w:pPr>
      <w:widowControl w:val="0"/>
      <w:numPr>
        <w:numId w:val="7"/>
      </w:numPr>
      <w:ind w:left="360" w:hanging="360"/>
    </w:pPr>
    <w:rPr>
      <w:rFonts w:ascii="Courier New" w:hAnsi="Courier New"/>
      <w:snapToGrid w:val="0"/>
      <w:sz w:val="24"/>
    </w:rPr>
  </w:style>
  <w:style w:type="paragraph" w:styleId="Footer">
    <w:name w:val="footer"/>
    <w:basedOn w:val="Normal"/>
    <w:rsid w:val="001A35C1"/>
    <w:pPr>
      <w:tabs>
        <w:tab w:val="center" w:pos="4320"/>
        <w:tab w:val="right" w:pos="8640"/>
      </w:tabs>
    </w:pPr>
  </w:style>
  <w:style w:type="character" w:styleId="PageNumber">
    <w:name w:val="page number"/>
    <w:basedOn w:val="DefaultParagraphFont"/>
    <w:rsid w:val="001A35C1"/>
  </w:style>
  <w:style w:type="paragraph" w:styleId="BalloonText">
    <w:name w:val="Balloon Text"/>
    <w:basedOn w:val="Normal"/>
    <w:link w:val="BalloonTextChar"/>
    <w:rsid w:val="00D809FE"/>
    <w:rPr>
      <w:rFonts w:ascii="Tahoma" w:hAnsi="Tahoma" w:cs="Tahoma"/>
      <w:sz w:val="16"/>
      <w:szCs w:val="16"/>
    </w:rPr>
  </w:style>
  <w:style w:type="character" w:customStyle="1" w:styleId="BalloonTextChar">
    <w:name w:val="Balloon Text Char"/>
    <w:link w:val="BalloonText"/>
    <w:rsid w:val="00D809FE"/>
    <w:rPr>
      <w:rFonts w:ascii="Tahoma" w:hAnsi="Tahoma" w:cs="Tahoma"/>
      <w:sz w:val="16"/>
      <w:szCs w:val="16"/>
    </w:rPr>
  </w:style>
  <w:style w:type="character" w:styleId="CommentReference">
    <w:name w:val="annotation reference"/>
    <w:rsid w:val="00D809FE"/>
    <w:rPr>
      <w:sz w:val="16"/>
      <w:szCs w:val="16"/>
    </w:rPr>
  </w:style>
  <w:style w:type="paragraph" w:styleId="CommentText">
    <w:name w:val="annotation text"/>
    <w:basedOn w:val="Normal"/>
    <w:link w:val="CommentTextChar"/>
    <w:rsid w:val="00D809FE"/>
  </w:style>
  <w:style w:type="character" w:customStyle="1" w:styleId="CommentTextChar">
    <w:name w:val="Comment Text Char"/>
    <w:basedOn w:val="DefaultParagraphFont"/>
    <w:link w:val="CommentText"/>
    <w:rsid w:val="00D809FE"/>
  </w:style>
  <w:style w:type="paragraph" w:styleId="CommentSubject">
    <w:name w:val="annotation subject"/>
    <w:basedOn w:val="CommentText"/>
    <w:next w:val="CommentText"/>
    <w:link w:val="CommentSubjectChar"/>
    <w:rsid w:val="00D809FE"/>
    <w:rPr>
      <w:b/>
      <w:bCs/>
    </w:rPr>
  </w:style>
  <w:style w:type="character" w:customStyle="1" w:styleId="CommentSubjectChar">
    <w:name w:val="Comment Subject Char"/>
    <w:link w:val="CommentSubject"/>
    <w:rsid w:val="00D809FE"/>
    <w:rPr>
      <w:b/>
      <w:bCs/>
    </w:rPr>
  </w:style>
  <w:style w:type="paragraph" w:styleId="Header">
    <w:name w:val="header"/>
    <w:basedOn w:val="Normal"/>
    <w:link w:val="HeaderChar"/>
    <w:rsid w:val="00495CB0"/>
    <w:pPr>
      <w:tabs>
        <w:tab w:val="center" w:pos="4680"/>
        <w:tab w:val="right" w:pos="9360"/>
      </w:tabs>
    </w:pPr>
  </w:style>
  <w:style w:type="character" w:customStyle="1" w:styleId="HeaderChar">
    <w:name w:val="Header Char"/>
    <w:basedOn w:val="DefaultParagraphFont"/>
    <w:link w:val="Header"/>
    <w:rsid w:val="00495CB0"/>
  </w:style>
  <w:style w:type="paragraph" w:styleId="BodyTextIndent">
    <w:name w:val="Body Text Indent"/>
    <w:basedOn w:val="Normal"/>
    <w:link w:val="BodyTextIndentChar"/>
    <w:rsid w:val="00C353E5"/>
    <w:pPr>
      <w:widowControl w:val="0"/>
      <w:autoSpaceDE w:val="0"/>
      <w:autoSpaceDN w:val="0"/>
      <w:adjustRightInd w:val="0"/>
      <w:spacing w:after="120"/>
      <w:ind w:left="360"/>
    </w:pPr>
    <w:rPr>
      <w:rFonts w:ascii="Times New Roman" w:hAnsi="Times New Roman"/>
    </w:rPr>
  </w:style>
  <w:style w:type="character" w:customStyle="1" w:styleId="BodyTextIndentChar">
    <w:name w:val="Body Text Indent Char"/>
    <w:link w:val="BodyTextIndent"/>
    <w:rsid w:val="00C353E5"/>
    <w:rPr>
      <w:rFonts w:ascii="Times New Roman" w:hAnsi="Times New Roman"/>
    </w:rPr>
  </w:style>
  <w:style w:type="paragraph" w:styleId="Revision">
    <w:name w:val="Revision"/>
    <w:hidden/>
    <w:uiPriority w:val="99"/>
    <w:semiHidden/>
    <w:rsid w:val="004D3DE3"/>
  </w:style>
  <w:style w:type="table" w:styleId="TableGrid">
    <w:name w:val="Table Grid"/>
    <w:basedOn w:val="TableNormal"/>
    <w:rsid w:val="009E5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923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ocwag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2639</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vt:lpstr>
    </vt:vector>
  </TitlesOfParts>
  <Company>U. S. Geological Survey</Company>
  <LinksUpToDate>false</LinksUpToDate>
  <CharactersWithSpaces>17897</CharactersWithSpaces>
  <SharedDoc>false</SharedDoc>
  <HLinks>
    <vt:vector size="6" baseType="variant">
      <vt:variant>
        <vt:i4>7995517</vt:i4>
      </vt:variant>
      <vt:variant>
        <vt:i4>0</vt:i4>
      </vt:variant>
      <vt:variant>
        <vt:i4>0</vt:i4>
      </vt:variant>
      <vt:variant>
        <vt:i4>5</vt:i4>
      </vt:variant>
      <vt:variant>
        <vt:lpwstr>http://www.bls.gov/news.release/pdf/ocwage.pdf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Lemersal, Elizabeth A.</dc:creator>
  <cp:lastModifiedBy>Baloch, Shari M.</cp:lastModifiedBy>
  <cp:revision>3</cp:revision>
  <cp:lastPrinted>2013-01-17T20:35:00Z</cp:lastPrinted>
  <dcterms:created xsi:type="dcterms:W3CDTF">2013-01-27T18:10:00Z</dcterms:created>
  <dcterms:modified xsi:type="dcterms:W3CDTF">2013-01-27T18:22:00Z</dcterms:modified>
</cp:coreProperties>
</file>