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87"/>
        <w:gridCol w:w="2580"/>
        <w:gridCol w:w="1793"/>
      </w:tblGrid>
      <w:tr w:rsidR="003128A8" w:rsidTr="00D34DFD">
        <w:trPr>
          <w:cantSplit/>
          <w:trHeight w:hRule="exact" w:val="1800"/>
        </w:trPr>
        <w:tc>
          <w:tcPr>
            <w:tcW w:w="4987" w:type="dxa"/>
            <w:tcBorders>
              <w:bottom w:val="single" w:sz="4" w:space="0" w:color="081C5A"/>
            </w:tcBorders>
            <w:tcMar>
              <w:left w:w="0" w:type="dxa"/>
            </w:tcMar>
          </w:tcPr>
          <w:p w:rsidR="003128A8" w:rsidRDefault="003128A8" w:rsidP="004B4890">
            <w:bookmarkStart w:id="0" w:name="_GoBack"/>
            <w:bookmarkEnd w:id="0"/>
            <w:r>
              <w:rPr>
                <w:noProof/>
              </w:rPr>
              <w:drawing>
                <wp:inline distT="0" distB="0" distL="0" distR="0">
                  <wp:extent cx="581025" cy="571500"/>
                  <wp:effectExtent l="19050" t="0" r="9525" b="0"/>
                  <wp:docPr id="1" name="Picture 1" descr="ATFSe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FSealBlue"/>
                          <pic:cNvPicPr>
                            <a:picLocks noChangeAspect="1" noChangeArrowheads="1"/>
                          </pic:cNvPicPr>
                        </pic:nvPicPr>
                        <pic:blipFill>
                          <a:blip r:embed="rId8" cstate="print"/>
                          <a:srcRect/>
                          <a:stretch>
                            <a:fillRect/>
                          </a:stretch>
                        </pic:blipFill>
                        <pic:spPr bwMode="auto">
                          <a:xfrm>
                            <a:off x="0" y="0"/>
                            <a:ext cx="581025" cy="571500"/>
                          </a:xfrm>
                          <a:prstGeom prst="rect">
                            <a:avLst/>
                          </a:prstGeom>
                          <a:noFill/>
                          <a:ln w="9525">
                            <a:noFill/>
                            <a:miter lim="800000"/>
                            <a:headEnd/>
                            <a:tailEnd/>
                          </a:ln>
                        </pic:spPr>
                      </pic:pic>
                    </a:graphicData>
                  </a:graphic>
                </wp:inline>
              </w:drawing>
            </w:r>
          </w:p>
          <w:p w:rsidR="003128A8" w:rsidRDefault="003128A8" w:rsidP="004B4890"/>
        </w:tc>
        <w:tc>
          <w:tcPr>
            <w:tcW w:w="4373" w:type="dxa"/>
            <w:gridSpan w:val="2"/>
            <w:tcBorders>
              <w:bottom w:val="single" w:sz="4" w:space="0" w:color="081C5A"/>
            </w:tcBorders>
          </w:tcPr>
          <w:p w:rsidR="003128A8" w:rsidRPr="006D05E8" w:rsidRDefault="003128A8" w:rsidP="004B4890">
            <w:pPr>
              <w:spacing w:before="60"/>
              <w:rPr>
                <w:b/>
                <w:color w:val="081C5A"/>
              </w:rPr>
            </w:pPr>
            <w:smartTag w:uri="urn:schemas-microsoft-com:office:smarttags" w:element="place">
              <w:smartTag w:uri="urn:schemas-microsoft-com:office:smarttags" w:element="country-region">
                <w:r w:rsidRPr="006D05E8">
                  <w:rPr>
                    <w:b/>
                    <w:color w:val="081C5A"/>
                  </w:rPr>
                  <w:t>U.S.</w:t>
                </w:r>
              </w:smartTag>
            </w:smartTag>
            <w:r w:rsidRPr="006D05E8">
              <w:rPr>
                <w:b/>
                <w:color w:val="081C5A"/>
              </w:rPr>
              <w:t xml:space="preserve"> Department of Justice</w:t>
            </w:r>
          </w:p>
          <w:p w:rsidR="003128A8" w:rsidRPr="006D05E8" w:rsidRDefault="003128A8" w:rsidP="004B4890">
            <w:pPr>
              <w:rPr>
                <w:b/>
                <w:color w:val="081C5A"/>
              </w:rPr>
            </w:pPr>
          </w:p>
          <w:p w:rsidR="003128A8" w:rsidRPr="006D05E8" w:rsidRDefault="003128A8" w:rsidP="004B4890">
            <w:pPr>
              <w:rPr>
                <w:color w:val="081C5A"/>
              </w:rPr>
            </w:pPr>
            <w:r w:rsidRPr="006D05E8">
              <w:rPr>
                <w:color w:val="081C5A"/>
              </w:rPr>
              <w:t>Bureau of Alcohol, Tobacco,</w:t>
            </w:r>
            <w:r w:rsidRPr="006D05E8">
              <w:rPr>
                <w:color w:val="081C5A"/>
              </w:rPr>
              <w:br/>
              <w:t>Firearms and Explosives</w:t>
            </w:r>
          </w:p>
          <w:p w:rsidR="003128A8" w:rsidRPr="006D05E8" w:rsidRDefault="003128A8" w:rsidP="004B4890">
            <w:pPr>
              <w:rPr>
                <w:color w:val="081C5A"/>
              </w:rPr>
            </w:pPr>
          </w:p>
          <w:p w:rsidR="003128A8" w:rsidRPr="006D05E8" w:rsidRDefault="00D34DFD" w:rsidP="004B4890">
            <w:pPr>
              <w:spacing w:after="120" w:line="360" w:lineRule="auto"/>
              <w:rPr>
                <w:i/>
                <w:color w:val="081C5A"/>
              </w:rPr>
            </w:pPr>
            <w:r>
              <w:rPr>
                <w:i/>
                <w:color w:val="081C5A"/>
              </w:rPr>
              <w:t>Firearms and Explosives Services Division</w:t>
            </w:r>
          </w:p>
        </w:tc>
      </w:tr>
      <w:tr w:rsidR="003128A8" w:rsidTr="00D34DFD">
        <w:trPr>
          <w:cantSplit/>
          <w:trHeight w:hRule="exact" w:val="360"/>
        </w:trPr>
        <w:tc>
          <w:tcPr>
            <w:tcW w:w="4987" w:type="dxa"/>
            <w:tcBorders>
              <w:top w:val="single" w:sz="4" w:space="0" w:color="081C5A"/>
            </w:tcBorders>
          </w:tcPr>
          <w:p w:rsidR="003128A8" w:rsidRDefault="003128A8" w:rsidP="004B4890"/>
        </w:tc>
        <w:tc>
          <w:tcPr>
            <w:tcW w:w="4373" w:type="dxa"/>
            <w:gridSpan w:val="2"/>
            <w:tcBorders>
              <w:top w:val="single" w:sz="4" w:space="0" w:color="081C5A"/>
            </w:tcBorders>
          </w:tcPr>
          <w:p w:rsidR="003128A8" w:rsidRPr="006D05E8" w:rsidRDefault="003128A8" w:rsidP="004B4890">
            <w:pPr>
              <w:rPr>
                <w:i/>
                <w:color w:val="081C5A"/>
                <w:sz w:val="16"/>
                <w:szCs w:val="16"/>
              </w:rPr>
            </w:pPr>
          </w:p>
        </w:tc>
      </w:tr>
      <w:tr w:rsidR="003128A8" w:rsidTr="00D34DFD">
        <w:trPr>
          <w:cantSplit/>
          <w:trHeight w:hRule="exact" w:val="360"/>
        </w:trPr>
        <w:tc>
          <w:tcPr>
            <w:tcW w:w="4987" w:type="dxa"/>
            <w:vMerge w:val="restart"/>
          </w:tcPr>
          <w:p w:rsidR="00DF74ED" w:rsidRDefault="00DF74ED" w:rsidP="00DF74ED">
            <w:r>
              <w:t xml:space="preserve">                              </w:t>
            </w:r>
            <w:r w:rsidR="00EB5F6E">
              <w:t>May</w:t>
            </w:r>
            <w:r w:rsidR="004B4890">
              <w:t xml:space="preserve"> </w:t>
            </w:r>
            <w:r w:rsidR="00EB5F6E">
              <w:t>2</w:t>
            </w:r>
            <w:r w:rsidR="004B4890">
              <w:t>, 2013</w:t>
            </w:r>
          </w:p>
          <w:p w:rsidR="003128A8" w:rsidRDefault="003128A8" w:rsidP="004B4890"/>
        </w:tc>
        <w:tc>
          <w:tcPr>
            <w:tcW w:w="2580" w:type="dxa"/>
          </w:tcPr>
          <w:p w:rsidR="003128A8" w:rsidRPr="006D05E8" w:rsidRDefault="003128A8" w:rsidP="004B4890">
            <w:pPr>
              <w:rPr>
                <w:i/>
                <w:color w:val="081C5A"/>
                <w:sz w:val="16"/>
                <w:szCs w:val="16"/>
              </w:rPr>
            </w:pPr>
            <w:r>
              <w:rPr>
                <w:i/>
                <w:color w:val="081C5A"/>
                <w:sz w:val="16"/>
                <w:szCs w:val="16"/>
              </w:rPr>
              <w:t>Washington, DC 20226</w:t>
            </w:r>
          </w:p>
          <w:p w:rsidR="003128A8" w:rsidRPr="006D05E8" w:rsidRDefault="003128A8" w:rsidP="004B4890">
            <w:pPr>
              <w:rPr>
                <w:color w:val="081C5A"/>
                <w:sz w:val="16"/>
                <w:szCs w:val="16"/>
              </w:rPr>
            </w:pPr>
          </w:p>
        </w:tc>
        <w:tc>
          <w:tcPr>
            <w:tcW w:w="1793" w:type="dxa"/>
          </w:tcPr>
          <w:p w:rsidR="003128A8" w:rsidRDefault="003128A8" w:rsidP="004B4890">
            <w:pPr>
              <w:rPr>
                <w:color w:val="081C5A"/>
                <w:sz w:val="16"/>
                <w:szCs w:val="16"/>
              </w:rPr>
            </w:pPr>
          </w:p>
          <w:p w:rsidR="003128A8" w:rsidRPr="006D05E8" w:rsidRDefault="003128A8" w:rsidP="004B4890">
            <w:pPr>
              <w:rPr>
                <w:color w:val="081C5A"/>
                <w:sz w:val="16"/>
                <w:szCs w:val="16"/>
              </w:rPr>
            </w:pPr>
          </w:p>
        </w:tc>
      </w:tr>
      <w:tr w:rsidR="003128A8" w:rsidTr="00D34DFD">
        <w:trPr>
          <w:cantSplit/>
          <w:trHeight w:val="195"/>
        </w:trPr>
        <w:tc>
          <w:tcPr>
            <w:tcW w:w="4987" w:type="dxa"/>
            <w:vMerge/>
          </w:tcPr>
          <w:p w:rsidR="003128A8" w:rsidRDefault="003128A8" w:rsidP="004B4890"/>
        </w:tc>
        <w:tc>
          <w:tcPr>
            <w:tcW w:w="4373" w:type="dxa"/>
            <w:gridSpan w:val="2"/>
          </w:tcPr>
          <w:p w:rsidR="003128A8" w:rsidRPr="006D05E8" w:rsidRDefault="003128A8" w:rsidP="004B4890">
            <w:pPr>
              <w:rPr>
                <w:i/>
                <w:color w:val="081C5A"/>
                <w:sz w:val="16"/>
                <w:szCs w:val="16"/>
              </w:rPr>
            </w:pPr>
            <w:r w:rsidRPr="006D05E8">
              <w:rPr>
                <w:color w:val="081C5A"/>
                <w:sz w:val="16"/>
                <w:szCs w:val="16"/>
              </w:rPr>
              <w:t>www.atf.gov</w:t>
            </w:r>
          </w:p>
        </w:tc>
      </w:tr>
    </w:tbl>
    <w:p w:rsidR="00DF74ED" w:rsidRDefault="00DF74ED"/>
    <w:p w:rsidR="00014DF6" w:rsidRPr="004A530D" w:rsidRDefault="00014DF6" w:rsidP="00014DF6">
      <w:pPr>
        <w:ind w:left="1440"/>
      </w:pPr>
      <w:r w:rsidRPr="004A530D">
        <w:tab/>
      </w:r>
      <w:r w:rsidRPr="004A530D">
        <w:tab/>
      </w:r>
      <w:r w:rsidRPr="004A530D">
        <w:tab/>
      </w:r>
    </w:p>
    <w:p w:rsidR="00B359CF" w:rsidRDefault="00B359CF" w:rsidP="00014DF6">
      <w:pPr>
        <w:ind w:right="720"/>
      </w:pPr>
      <w:r>
        <w:t>Christopher A. Conte</w:t>
      </w:r>
    </w:p>
    <w:p w:rsidR="00014DF6" w:rsidRPr="004A530D" w:rsidRDefault="00B359CF" w:rsidP="00014DF6">
      <w:pPr>
        <w:ind w:right="720"/>
      </w:pPr>
      <w:r>
        <w:t>National Rifle Association</w:t>
      </w:r>
    </w:p>
    <w:p w:rsidR="00014DF6" w:rsidRPr="004A530D" w:rsidRDefault="00B359CF" w:rsidP="00014DF6">
      <w:pPr>
        <w:ind w:right="720"/>
      </w:pPr>
      <w:r>
        <w:t>Institute for Legislative Action</w:t>
      </w:r>
    </w:p>
    <w:p w:rsidR="00014DF6" w:rsidRDefault="00B359CF" w:rsidP="00014DF6">
      <w:pPr>
        <w:ind w:right="720"/>
      </w:pPr>
      <w:r>
        <w:t xml:space="preserve">11250 </w:t>
      </w:r>
      <w:proofErr w:type="spellStart"/>
      <w:r>
        <w:t>Waples</w:t>
      </w:r>
      <w:proofErr w:type="spellEnd"/>
      <w:r>
        <w:t xml:space="preserve"> Mill Road</w:t>
      </w:r>
    </w:p>
    <w:p w:rsidR="00B359CF" w:rsidRDefault="00B359CF" w:rsidP="00014DF6">
      <w:pPr>
        <w:ind w:right="720"/>
      </w:pPr>
      <w:r>
        <w:t>Fairfax, Virginia  22030-7400</w:t>
      </w:r>
    </w:p>
    <w:p w:rsidR="00B359CF" w:rsidRDefault="00B359CF" w:rsidP="00014DF6">
      <w:pPr>
        <w:ind w:right="720"/>
      </w:pPr>
    </w:p>
    <w:p w:rsidR="00B359CF" w:rsidRDefault="00B359CF" w:rsidP="00014DF6">
      <w:pPr>
        <w:ind w:right="720"/>
      </w:pPr>
      <w:r>
        <w:tab/>
        <w:t>Re:</w:t>
      </w:r>
      <w:r>
        <w:tab/>
        <w:t>Federal Register Notice, OMB Number 1140-0018 (November 6, 2012)</w:t>
      </w:r>
    </w:p>
    <w:p w:rsidR="00F67783" w:rsidRPr="004A530D" w:rsidRDefault="00F67783" w:rsidP="00014DF6">
      <w:pPr>
        <w:ind w:right="720"/>
      </w:pPr>
      <w:r>
        <w:tab/>
      </w:r>
      <w:r>
        <w:tab/>
        <w:t>(Application for Federal Firearms License, ATF Form 7 (5310.12))</w:t>
      </w:r>
    </w:p>
    <w:p w:rsidR="00B359CF" w:rsidRDefault="00B359CF" w:rsidP="00014DF6">
      <w:pPr>
        <w:ind w:right="720"/>
      </w:pPr>
    </w:p>
    <w:p w:rsidR="00014DF6" w:rsidRPr="004A530D" w:rsidRDefault="00014DF6" w:rsidP="00014DF6">
      <w:pPr>
        <w:ind w:right="720"/>
      </w:pPr>
      <w:r w:rsidRPr="004A530D">
        <w:t xml:space="preserve">Dear Mr. </w:t>
      </w:r>
      <w:r w:rsidR="00B359CF">
        <w:t>Conte</w:t>
      </w:r>
      <w:r w:rsidRPr="004A530D">
        <w:t>:</w:t>
      </w:r>
    </w:p>
    <w:p w:rsidR="00014DF6" w:rsidRPr="004A530D" w:rsidRDefault="00014DF6" w:rsidP="00014DF6">
      <w:pPr>
        <w:ind w:right="720"/>
      </w:pPr>
    </w:p>
    <w:p w:rsidR="00014DF6" w:rsidRDefault="00014DF6" w:rsidP="00574F79">
      <w:pPr>
        <w:ind w:right="720"/>
      </w:pPr>
      <w:r w:rsidRPr="004A530D">
        <w:t>This respon</w:t>
      </w:r>
      <w:r>
        <w:t>d</w:t>
      </w:r>
      <w:r w:rsidRPr="004A530D">
        <w:t xml:space="preserve">s to your </w:t>
      </w:r>
      <w:r>
        <w:t>letter</w:t>
      </w:r>
      <w:r w:rsidRPr="004A530D">
        <w:t xml:space="preserve"> </w:t>
      </w:r>
      <w:r w:rsidR="00D26238">
        <w:t xml:space="preserve">on behalf of the National Rifle Association (NRA) </w:t>
      </w:r>
      <w:r w:rsidR="00B359CF">
        <w:t xml:space="preserve">to the Bureau of Alcohol, Tobacco, Firearms and Explosives (ATF) </w:t>
      </w:r>
      <w:r w:rsidR="00EB5F6E">
        <w:t xml:space="preserve">dated </w:t>
      </w:r>
      <w:r w:rsidR="00DF7184">
        <w:t xml:space="preserve">January </w:t>
      </w:r>
      <w:r w:rsidR="00EB5F6E">
        <w:t>7</w:t>
      </w:r>
      <w:r w:rsidR="00D26238">
        <w:t xml:space="preserve">, 2013, </w:t>
      </w:r>
      <w:r w:rsidR="009A4BE8">
        <w:t>commenting on ATF’s</w:t>
      </w:r>
      <w:r w:rsidR="00B359CF">
        <w:t xml:space="preserve"> </w:t>
      </w:r>
      <w:r w:rsidR="009A4BE8">
        <w:t xml:space="preserve">renewed </w:t>
      </w:r>
      <w:r w:rsidR="00B359CF">
        <w:t xml:space="preserve">collection of information </w:t>
      </w:r>
      <w:r w:rsidR="009A4BE8">
        <w:t xml:space="preserve">on ATF Form 7 </w:t>
      </w:r>
      <w:r w:rsidR="00B359CF">
        <w:t xml:space="preserve">under OMB Number 1140-0018.  ATF submitted the </w:t>
      </w:r>
      <w:r w:rsidR="009A4BE8">
        <w:t xml:space="preserve">renewed </w:t>
      </w:r>
      <w:r w:rsidR="00B359CF">
        <w:t xml:space="preserve">information collection request to the Office of Management and Budget (OMB) for review and approval in accordance with the Paperwork Reduction Act of 1995.  </w:t>
      </w:r>
    </w:p>
    <w:p w:rsidR="00B359CF" w:rsidRDefault="00B359CF" w:rsidP="00574F79">
      <w:pPr>
        <w:ind w:right="720"/>
      </w:pPr>
    </w:p>
    <w:p w:rsidR="00B359CF" w:rsidRDefault="00B359CF" w:rsidP="00574F79">
      <w:pPr>
        <w:ind w:right="720"/>
      </w:pPr>
      <w:r>
        <w:t xml:space="preserve">NRA </w:t>
      </w:r>
      <w:r w:rsidR="005718C0">
        <w:t>comment</w:t>
      </w:r>
      <w:r w:rsidR="005555F3">
        <w:t>ed</w:t>
      </w:r>
      <w:r>
        <w:t xml:space="preserve"> that ATF does not have the legal authority to collect certain information on ATF Form 7, Application for Federal Firearms License, </w:t>
      </w:r>
      <w:r w:rsidR="00D26238">
        <w:t xml:space="preserve">because it does not fall within the “statutory authority for ATF Form 7 … found in 18 U.S.C. § 923(a)”.  That section states, in relevant part, that “[t]he application shall be in such form and contain only that information necessary to determine eligibility for licensing </w:t>
      </w:r>
      <w:r w:rsidR="00D26238" w:rsidRPr="00D26238">
        <w:rPr>
          <w:i/>
        </w:rPr>
        <w:t>as the Attorney General shall by regulation prescribe</w:t>
      </w:r>
      <w:r w:rsidR="00D26238">
        <w:t>…”  (</w:t>
      </w:r>
      <w:proofErr w:type="gramStart"/>
      <w:r w:rsidR="00D26238">
        <w:t>emphasis</w:t>
      </w:r>
      <w:proofErr w:type="gramEnd"/>
      <w:r w:rsidR="00D26238">
        <w:t xml:space="preserve"> added).</w:t>
      </w:r>
    </w:p>
    <w:p w:rsidR="00181D52" w:rsidRDefault="00181D52" w:rsidP="00574F79">
      <w:pPr>
        <w:ind w:right="720"/>
      </w:pPr>
    </w:p>
    <w:p w:rsidR="00D26238" w:rsidRDefault="004A4422" w:rsidP="00574F79">
      <w:pPr>
        <w:ind w:right="720"/>
      </w:pPr>
      <w:r>
        <w:t>Contrary to NRA’s asserti</w:t>
      </w:r>
      <w:r w:rsidR="001E5050">
        <w:t>on</w:t>
      </w:r>
      <w:r>
        <w:t>, ATF has the legal authority to collect this information</w:t>
      </w:r>
      <w:r w:rsidR="001E5050">
        <w:t xml:space="preserve"> by regulations prescribed</w:t>
      </w:r>
      <w:r>
        <w:t xml:space="preserve">.  </w:t>
      </w:r>
      <w:r w:rsidR="001E5050">
        <w:t>Specifically, c</w:t>
      </w:r>
      <w:r w:rsidR="00EB5F6E">
        <w:t xml:space="preserve">ompletion of the contested items </w:t>
      </w:r>
      <w:r w:rsidR="005555F3">
        <w:t xml:space="preserve">is required to determine the applicant’s eligibility for licensure, and </w:t>
      </w:r>
      <w:r w:rsidR="00EB5F6E">
        <w:t>is required by 27 C.F.R. § 478.21(a)</w:t>
      </w:r>
      <w:r w:rsidR="00BE4787">
        <w:t>,</w:t>
      </w:r>
      <w:r w:rsidR="00EB5F6E">
        <w:t xml:space="preserve"> which provides:</w:t>
      </w:r>
    </w:p>
    <w:p w:rsidR="00EB5F6E" w:rsidRDefault="00EB5F6E" w:rsidP="00574F79">
      <w:pPr>
        <w:ind w:right="720"/>
      </w:pPr>
    </w:p>
    <w:p w:rsidR="00EB5F6E" w:rsidRPr="003C57D5" w:rsidRDefault="00181D52" w:rsidP="00181D52">
      <w:pPr>
        <w:ind w:left="720" w:right="720"/>
      </w:pPr>
      <w:r>
        <w:t xml:space="preserve">The Director is authorized to prescribe all forms required by this part.  All of the information called for in each form shall be furnished as indicated by the headings on the form and the </w:t>
      </w:r>
      <w:r w:rsidRPr="003C57D5">
        <w:t>instructions on or pertaining to the form.  In addition, information called for in each form shall be furnished as required by this part.</w:t>
      </w:r>
    </w:p>
    <w:p w:rsidR="003C57D5" w:rsidRPr="003C57D5" w:rsidRDefault="003C57D5" w:rsidP="00574F79">
      <w:pPr>
        <w:ind w:right="720"/>
      </w:pPr>
    </w:p>
    <w:p w:rsidR="00181D52" w:rsidRPr="00DE6A9A" w:rsidRDefault="003C57D5" w:rsidP="00574F79">
      <w:pPr>
        <w:ind w:right="720"/>
      </w:pPr>
      <w:r w:rsidRPr="003C57D5">
        <w:t xml:space="preserve">The contested information was necessary at the time of issuance of </w:t>
      </w:r>
      <w:r>
        <w:t xml:space="preserve">ATF </w:t>
      </w:r>
      <w:r w:rsidRPr="003C57D5">
        <w:t xml:space="preserve">Form 7, and continues to be necessary.   </w:t>
      </w:r>
      <w:r w:rsidR="00EA0F71" w:rsidRPr="003C57D5">
        <w:rPr>
          <w:i/>
        </w:rPr>
        <w:t xml:space="preserve">Cf. </w:t>
      </w:r>
      <w:proofErr w:type="spellStart"/>
      <w:r w:rsidR="00EA0F71" w:rsidRPr="003C57D5">
        <w:rPr>
          <w:i/>
        </w:rPr>
        <w:t>Armalite</w:t>
      </w:r>
      <w:proofErr w:type="spellEnd"/>
      <w:r w:rsidR="00EA0F71" w:rsidRPr="003C57D5">
        <w:rPr>
          <w:i/>
        </w:rPr>
        <w:t xml:space="preserve"> v. Lambert</w:t>
      </w:r>
      <w:r w:rsidR="00EA0F71" w:rsidRPr="003C57D5">
        <w:t>, 512 F. Supp. 2d 1070, 1081 (N.D. Ohio 2007)</w:t>
      </w:r>
      <w:r w:rsidR="00FB7D6D" w:rsidRPr="003C57D5">
        <w:t xml:space="preserve">, </w:t>
      </w:r>
      <w:proofErr w:type="spellStart"/>
      <w:r w:rsidR="00FB7D6D" w:rsidRPr="003C57D5">
        <w:rPr>
          <w:i/>
        </w:rPr>
        <w:t>aff’d</w:t>
      </w:r>
      <w:proofErr w:type="spellEnd"/>
      <w:r w:rsidR="00FB7D6D" w:rsidRPr="003C57D5">
        <w:t>, 544 F.3d 644 (6</w:t>
      </w:r>
      <w:r w:rsidR="00FB7D6D" w:rsidRPr="003C57D5">
        <w:rPr>
          <w:vertAlign w:val="superscript"/>
        </w:rPr>
        <w:t>th</w:t>
      </w:r>
      <w:r w:rsidR="00FB7D6D" w:rsidRPr="003C57D5">
        <w:t xml:space="preserve"> Cir. 2008)</w:t>
      </w:r>
      <w:r w:rsidR="00EA0F71" w:rsidRPr="003C57D5">
        <w:t xml:space="preserve"> (</w:t>
      </w:r>
      <w:r w:rsidR="00665E54" w:rsidRPr="003C57D5">
        <w:t>rejecting a challenge to ATF’s authority requir</w:t>
      </w:r>
      <w:r w:rsidR="00D30640" w:rsidRPr="003C57D5">
        <w:t>ing</w:t>
      </w:r>
      <w:r w:rsidR="00665E54" w:rsidRPr="003C57D5">
        <w:t xml:space="preserve"> completion of certain items on ATF Form 4473); </w:t>
      </w:r>
      <w:r w:rsidR="001E15D1" w:rsidRPr="003C57D5">
        <w:rPr>
          <w:i/>
        </w:rPr>
        <w:t>RSM v. Herbert</w:t>
      </w:r>
      <w:r w:rsidR="001E15D1" w:rsidRPr="00762339">
        <w:t>, No. WMN-05-847, 2006 U.S. Dist. LEXIS 97237</w:t>
      </w:r>
      <w:r w:rsidR="006C0FC5" w:rsidRPr="00762339">
        <w:t xml:space="preserve"> (</w:t>
      </w:r>
      <w:proofErr w:type="spellStart"/>
      <w:r w:rsidR="006C0FC5" w:rsidRPr="00762339">
        <w:t>D.Md</w:t>
      </w:r>
      <w:proofErr w:type="spellEnd"/>
      <w:r w:rsidR="006C0FC5" w:rsidRPr="00762339">
        <w:t xml:space="preserve"> </w:t>
      </w:r>
      <w:r w:rsidR="006C0FC5" w:rsidRPr="00DE6A9A">
        <w:t>2006)</w:t>
      </w:r>
      <w:r w:rsidR="00255A35" w:rsidRPr="00DE6A9A">
        <w:t xml:space="preserve">, </w:t>
      </w:r>
      <w:proofErr w:type="spellStart"/>
      <w:r w:rsidR="00255A35" w:rsidRPr="00DE6A9A">
        <w:rPr>
          <w:i/>
        </w:rPr>
        <w:t>aff’d</w:t>
      </w:r>
      <w:proofErr w:type="spellEnd"/>
      <w:r w:rsidR="00255A35" w:rsidRPr="00DE6A9A">
        <w:t>, 466 F.3d 316 (4</w:t>
      </w:r>
      <w:r w:rsidR="00255A35" w:rsidRPr="00DE6A9A">
        <w:rPr>
          <w:vertAlign w:val="superscript"/>
        </w:rPr>
        <w:t>th</w:t>
      </w:r>
      <w:r w:rsidR="00255A35" w:rsidRPr="00DE6A9A">
        <w:t xml:space="preserve"> Cir. 2006)</w:t>
      </w:r>
      <w:r w:rsidR="001E15D1" w:rsidRPr="00DE6A9A">
        <w:t xml:space="preserve"> (ATF has authority, pursuant to 18 </w:t>
      </w:r>
      <w:r w:rsidR="001E15D1" w:rsidRPr="00DE6A9A">
        <w:lastRenderedPageBreak/>
        <w:t xml:space="preserve">U.S.C. § 926, to promulgate rules necessary to carry out the provisions of Chapter 44, and </w:t>
      </w:r>
      <w:r w:rsidR="00D61C60">
        <w:t xml:space="preserve">is </w:t>
      </w:r>
      <w:r w:rsidR="001E15D1" w:rsidRPr="00DE6A9A">
        <w:t>accord</w:t>
      </w:r>
      <w:r w:rsidR="00D61C60">
        <w:t>ed</w:t>
      </w:r>
      <w:r w:rsidR="001E15D1" w:rsidRPr="00DE6A9A">
        <w:t xml:space="preserve"> great deference to </w:t>
      </w:r>
      <w:r w:rsidR="00D61C60">
        <w:t xml:space="preserve">its </w:t>
      </w:r>
      <w:r w:rsidR="001E15D1" w:rsidRPr="00DE6A9A">
        <w:t>longstanding interpretations of law)</w:t>
      </w:r>
      <w:r w:rsidR="00DE6A9A" w:rsidRPr="00DE6A9A">
        <w:t xml:space="preserve">; </w:t>
      </w:r>
      <w:r w:rsidR="00DE6A9A" w:rsidRPr="00DE6A9A">
        <w:rPr>
          <w:i/>
        </w:rPr>
        <w:t xml:space="preserve">Nat’l Rifle </w:t>
      </w:r>
      <w:proofErr w:type="spellStart"/>
      <w:r w:rsidR="00DE6A9A" w:rsidRPr="00DE6A9A">
        <w:rPr>
          <w:i/>
        </w:rPr>
        <w:t>Ass’n</w:t>
      </w:r>
      <w:proofErr w:type="spellEnd"/>
      <w:r w:rsidR="00DE6A9A" w:rsidRPr="00DE6A9A">
        <w:rPr>
          <w:i/>
        </w:rPr>
        <w:t xml:space="preserve"> v. Brady,</w:t>
      </w:r>
      <w:r w:rsidR="00DE6A9A" w:rsidRPr="00DE6A9A">
        <w:t xml:space="preserve"> 914 F.2d 475, 479 (4</w:t>
      </w:r>
      <w:r w:rsidR="00DE6A9A" w:rsidRPr="00DE6A9A">
        <w:rPr>
          <w:vertAlign w:val="superscript"/>
        </w:rPr>
        <w:t>th</w:t>
      </w:r>
      <w:r w:rsidR="00DE6A9A" w:rsidRPr="00DE6A9A">
        <w:t xml:space="preserve"> Cir. 1990) </w:t>
      </w:r>
      <w:r w:rsidR="00762339" w:rsidRPr="00DE6A9A">
        <w:t xml:space="preserve">(ATF </w:t>
      </w:r>
      <w:r w:rsidR="00D67DD0">
        <w:t>had authority to promulgate and</w:t>
      </w:r>
      <w:r w:rsidR="00762339" w:rsidRPr="00DE6A9A">
        <w:t xml:space="preserve"> implement such regulations as are necessary to carry out the purposes of the Gun Control Act</w:t>
      </w:r>
      <w:r w:rsidR="00CB2C65">
        <w:t>,</w:t>
      </w:r>
      <w:r w:rsidR="00762339" w:rsidRPr="00DE6A9A">
        <w:t xml:space="preserve"> and is entitled to deference in determining w</w:t>
      </w:r>
      <w:r w:rsidR="009427AB">
        <w:t>hich regulations are necessary).</w:t>
      </w:r>
    </w:p>
    <w:p w:rsidR="00181D52" w:rsidRPr="00DE6A9A" w:rsidRDefault="00181D52" w:rsidP="00574F79">
      <w:pPr>
        <w:ind w:right="720"/>
      </w:pPr>
    </w:p>
    <w:p w:rsidR="00014DF6" w:rsidRPr="00DE6A9A" w:rsidRDefault="00014DF6" w:rsidP="00014DF6">
      <w:pPr>
        <w:ind w:right="720"/>
      </w:pPr>
      <w:r w:rsidRPr="00DE6A9A">
        <w:t xml:space="preserve">We trust the foregoing has been responsive to your request.  </w:t>
      </w:r>
    </w:p>
    <w:p w:rsidR="00014DF6" w:rsidRDefault="00014DF6" w:rsidP="00014DF6">
      <w:pPr>
        <w:ind w:right="720"/>
      </w:pPr>
    </w:p>
    <w:p w:rsidR="00AF37C2" w:rsidRPr="00DE6A9A" w:rsidRDefault="00AF37C2" w:rsidP="00014DF6">
      <w:pPr>
        <w:ind w:right="720"/>
      </w:pPr>
    </w:p>
    <w:p w:rsidR="00014DF6" w:rsidRPr="00DE6A9A" w:rsidRDefault="00014DF6" w:rsidP="00014DF6">
      <w:pPr>
        <w:ind w:right="720"/>
        <w:jc w:val="center"/>
      </w:pPr>
      <w:r w:rsidRPr="00DE6A9A">
        <w:t>Sincerely yours,</w:t>
      </w:r>
    </w:p>
    <w:p w:rsidR="00014DF6" w:rsidRPr="00762339" w:rsidRDefault="00014DF6" w:rsidP="00014DF6">
      <w:pPr>
        <w:ind w:right="720"/>
        <w:jc w:val="center"/>
      </w:pPr>
    </w:p>
    <w:p w:rsidR="00014DF6" w:rsidRPr="00762339" w:rsidRDefault="00014DF6" w:rsidP="00014DF6">
      <w:pPr>
        <w:ind w:right="720"/>
        <w:jc w:val="center"/>
      </w:pPr>
    </w:p>
    <w:p w:rsidR="00014DF6" w:rsidRPr="00762339" w:rsidRDefault="00014DF6" w:rsidP="00014DF6">
      <w:pPr>
        <w:ind w:right="720"/>
        <w:jc w:val="center"/>
      </w:pPr>
    </w:p>
    <w:p w:rsidR="00014DF6" w:rsidRPr="00762339" w:rsidRDefault="004D4ECE" w:rsidP="00014DF6">
      <w:pPr>
        <w:ind w:right="720"/>
        <w:jc w:val="center"/>
      </w:pPr>
      <w:r>
        <w:t>Stephen B. Albro</w:t>
      </w:r>
    </w:p>
    <w:p w:rsidR="00014DF6" w:rsidRPr="004A530D" w:rsidRDefault="00014DF6" w:rsidP="00014DF6">
      <w:pPr>
        <w:ind w:right="720"/>
        <w:jc w:val="center"/>
      </w:pPr>
      <w:r w:rsidRPr="00762339">
        <w:t xml:space="preserve">Chief, Firearms </w:t>
      </w:r>
      <w:r w:rsidR="00F203AD" w:rsidRPr="00762339">
        <w:t>and Explosives Servi</w:t>
      </w:r>
      <w:r w:rsidR="00F203AD">
        <w:t>ces Division</w:t>
      </w:r>
    </w:p>
    <w:p w:rsidR="00014DF6" w:rsidRPr="004A530D" w:rsidRDefault="00014DF6" w:rsidP="00014DF6"/>
    <w:p w:rsidR="00014DF6" w:rsidRPr="004A530D" w:rsidRDefault="00014DF6" w:rsidP="00014DF6"/>
    <w:p w:rsidR="00014DF6" w:rsidRPr="004A530D" w:rsidRDefault="00014DF6" w:rsidP="00014DF6"/>
    <w:p w:rsidR="00014DF6" w:rsidRPr="004A530D" w:rsidRDefault="00014DF6" w:rsidP="00014DF6"/>
    <w:p w:rsidR="00014DF6" w:rsidRPr="004A530D" w:rsidRDefault="00014DF6" w:rsidP="00014DF6"/>
    <w:p w:rsidR="00014DF6" w:rsidRPr="004A530D" w:rsidRDefault="00014DF6" w:rsidP="00014DF6"/>
    <w:p w:rsidR="00014DF6" w:rsidRPr="004A530D" w:rsidRDefault="00014DF6" w:rsidP="00014DF6"/>
    <w:p w:rsidR="00014DF6" w:rsidRPr="004A530D" w:rsidRDefault="00014DF6" w:rsidP="00014DF6"/>
    <w:p w:rsidR="00345DAF" w:rsidRDefault="00345DAF" w:rsidP="00014DF6">
      <w:pPr>
        <w:ind w:right="720"/>
        <w:jc w:val="right"/>
      </w:pPr>
    </w:p>
    <w:sectPr w:rsidR="00345DAF" w:rsidSect="009B495B">
      <w:headerReference w:type="default" r:id="rId9"/>
      <w:pgSz w:w="12240" w:h="15840"/>
      <w:pgMar w:top="475" w:right="72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C51" w:rsidRDefault="002C1C51" w:rsidP="009B495B">
      <w:r>
        <w:separator/>
      </w:r>
    </w:p>
  </w:endnote>
  <w:endnote w:type="continuationSeparator" w:id="0">
    <w:p w:rsidR="002C1C51" w:rsidRDefault="002C1C51" w:rsidP="009B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C51" w:rsidRDefault="002C1C51" w:rsidP="009B495B">
      <w:r>
        <w:separator/>
      </w:r>
    </w:p>
  </w:footnote>
  <w:footnote w:type="continuationSeparator" w:id="0">
    <w:p w:rsidR="002C1C51" w:rsidRDefault="002C1C51" w:rsidP="009B4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AD" w:rsidRDefault="00D24A2D">
    <w:pPr>
      <w:pStyle w:val="Header"/>
      <w:jc w:val="center"/>
    </w:pPr>
    <w:sdt>
      <w:sdtPr>
        <w:id w:val="6252313"/>
        <w:docPartObj>
          <w:docPartGallery w:val="Page Numbers (Top of Page)"/>
          <w:docPartUnique/>
        </w:docPartObj>
      </w:sdtPr>
      <w:sdtEndPr/>
      <w:sdtContent>
        <w:r w:rsidR="00F203AD">
          <w:t xml:space="preserve">- </w:t>
        </w:r>
        <w:r>
          <w:fldChar w:fldCharType="begin"/>
        </w:r>
        <w:r>
          <w:instrText xml:space="preserve"> PAGE   \* MERGEFORMAT </w:instrText>
        </w:r>
        <w:r>
          <w:fldChar w:fldCharType="separate"/>
        </w:r>
        <w:r>
          <w:rPr>
            <w:noProof/>
          </w:rPr>
          <w:t>2</w:t>
        </w:r>
        <w:r>
          <w:rPr>
            <w:noProof/>
          </w:rPr>
          <w:fldChar w:fldCharType="end"/>
        </w:r>
      </w:sdtContent>
    </w:sdt>
    <w:r w:rsidR="00F203AD">
      <w:t xml:space="preserve"> -</w:t>
    </w:r>
  </w:p>
  <w:p w:rsidR="00F203AD" w:rsidRDefault="00F203AD">
    <w:pPr>
      <w:pStyle w:val="Header"/>
    </w:pPr>
  </w:p>
  <w:p w:rsidR="00BF1067" w:rsidRDefault="00BF1067" w:rsidP="00BF1067">
    <w:pPr>
      <w:ind w:right="720"/>
    </w:pPr>
    <w:r>
      <w:t>Christopher A. Conte</w:t>
    </w:r>
  </w:p>
  <w:p w:rsidR="00BF1067" w:rsidRDefault="00BF1067">
    <w:pPr>
      <w:pStyle w:val="Header"/>
    </w:pPr>
  </w:p>
  <w:p w:rsidR="00F203AD" w:rsidRDefault="00F20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8A8"/>
    <w:rsid w:val="00014DF6"/>
    <w:rsid w:val="000244DE"/>
    <w:rsid w:val="000D4720"/>
    <w:rsid w:val="00181D52"/>
    <w:rsid w:val="0018215B"/>
    <w:rsid w:val="001E15D1"/>
    <w:rsid w:val="001E5050"/>
    <w:rsid w:val="00255A35"/>
    <w:rsid w:val="00265358"/>
    <w:rsid w:val="002C1C51"/>
    <w:rsid w:val="003128A8"/>
    <w:rsid w:val="00342BE9"/>
    <w:rsid w:val="00345DAF"/>
    <w:rsid w:val="003C1CA3"/>
    <w:rsid w:val="003C57D5"/>
    <w:rsid w:val="00406C8D"/>
    <w:rsid w:val="00446C51"/>
    <w:rsid w:val="004A4422"/>
    <w:rsid w:val="004B4890"/>
    <w:rsid w:val="004D2E85"/>
    <w:rsid w:val="004D4ECE"/>
    <w:rsid w:val="00534624"/>
    <w:rsid w:val="00545BF3"/>
    <w:rsid w:val="005555F3"/>
    <w:rsid w:val="005718C0"/>
    <w:rsid w:val="00574F79"/>
    <w:rsid w:val="00593DC3"/>
    <w:rsid w:val="005C4818"/>
    <w:rsid w:val="00640761"/>
    <w:rsid w:val="00665E54"/>
    <w:rsid w:val="00696BEF"/>
    <w:rsid w:val="006B40B9"/>
    <w:rsid w:val="006C0FC5"/>
    <w:rsid w:val="006C4543"/>
    <w:rsid w:val="00762339"/>
    <w:rsid w:val="00773AE1"/>
    <w:rsid w:val="008329DD"/>
    <w:rsid w:val="008353FB"/>
    <w:rsid w:val="008516DB"/>
    <w:rsid w:val="00851DBA"/>
    <w:rsid w:val="00860166"/>
    <w:rsid w:val="0087180F"/>
    <w:rsid w:val="00893096"/>
    <w:rsid w:val="008E5AE9"/>
    <w:rsid w:val="008F2756"/>
    <w:rsid w:val="00923902"/>
    <w:rsid w:val="009427AB"/>
    <w:rsid w:val="009A4BE8"/>
    <w:rsid w:val="009B495B"/>
    <w:rsid w:val="009E3DAF"/>
    <w:rsid w:val="00A576D5"/>
    <w:rsid w:val="00A86A3C"/>
    <w:rsid w:val="00AF37C2"/>
    <w:rsid w:val="00B359CF"/>
    <w:rsid w:val="00B37611"/>
    <w:rsid w:val="00B923E4"/>
    <w:rsid w:val="00BB774F"/>
    <w:rsid w:val="00BC7B9D"/>
    <w:rsid w:val="00BD42C1"/>
    <w:rsid w:val="00BE2866"/>
    <w:rsid w:val="00BE4787"/>
    <w:rsid w:val="00BF1067"/>
    <w:rsid w:val="00BF63C7"/>
    <w:rsid w:val="00C06DBA"/>
    <w:rsid w:val="00C478CB"/>
    <w:rsid w:val="00C50CEA"/>
    <w:rsid w:val="00C67BD4"/>
    <w:rsid w:val="00C80560"/>
    <w:rsid w:val="00CB2C65"/>
    <w:rsid w:val="00CD60E0"/>
    <w:rsid w:val="00CE17C1"/>
    <w:rsid w:val="00CF34E1"/>
    <w:rsid w:val="00D24A2D"/>
    <w:rsid w:val="00D26238"/>
    <w:rsid w:val="00D30640"/>
    <w:rsid w:val="00D3309B"/>
    <w:rsid w:val="00D34DFD"/>
    <w:rsid w:val="00D47952"/>
    <w:rsid w:val="00D61C60"/>
    <w:rsid w:val="00D67DD0"/>
    <w:rsid w:val="00DE6A9A"/>
    <w:rsid w:val="00DF7184"/>
    <w:rsid w:val="00DF74ED"/>
    <w:rsid w:val="00E163E4"/>
    <w:rsid w:val="00E608EF"/>
    <w:rsid w:val="00EA0F71"/>
    <w:rsid w:val="00EB5F6E"/>
    <w:rsid w:val="00F203AD"/>
    <w:rsid w:val="00F21CB8"/>
    <w:rsid w:val="00F44B22"/>
    <w:rsid w:val="00F67783"/>
    <w:rsid w:val="00F720BE"/>
    <w:rsid w:val="00F96B68"/>
    <w:rsid w:val="00FA3D4B"/>
    <w:rsid w:val="00FB7D6D"/>
    <w:rsid w:val="00FE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28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28A8"/>
    <w:rPr>
      <w:rFonts w:ascii="Tahoma" w:hAnsi="Tahoma" w:cs="Tahoma"/>
      <w:sz w:val="16"/>
      <w:szCs w:val="16"/>
    </w:rPr>
  </w:style>
  <w:style w:type="character" w:customStyle="1" w:styleId="BalloonTextChar">
    <w:name w:val="Balloon Text Char"/>
    <w:basedOn w:val="DefaultParagraphFont"/>
    <w:link w:val="BalloonText"/>
    <w:uiPriority w:val="99"/>
    <w:semiHidden/>
    <w:rsid w:val="003128A8"/>
    <w:rPr>
      <w:rFonts w:ascii="Tahoma" w:eastAsia="Times New Roman" w:hAnsi="Tahoma" w:cs="Tahoma"/>
      <w:sz w:val="16"/>
      <w:szCs w:val="16"/>
    </w:rPr>
  </w:style>
  <w:style w:type="character" w:styleId="Hyperlink">
    <w:name w:val="Hyperlink"/>
    <w:basedOn w:val="DefaultParagraphFont"/>
    <w:uiPriority w:val="99"/>
    <w:unhideWhenUsed/>
    <w:rsid w:val="0018215B"/>
    <w:rPr>
      <w:color w:val="0000FF"/>
      <w:u w:val="single"/>
    </w:rPr>
  </w:style>
  <w:style w:type="paragraph" w:styleId="Header">
    <w:name w:val="header"/>
    <w:basedOn w:val="Normal"/>
    <w:link w:val="HeaderChar"/>
    <w:uiPriority w:val="99"/>
    <w:unhideWhenUsed/>
    <w:rsid w:val="009B495B"/>
    <w:pPr>
      <w:tabs>
        <w:tab w:val="center" w:pos="4680"/>
        <w:tab w:val="right" w:pos="9360"/>
      </w:tabs>
    </w:pPr>
  </w:style>
  <w:style w:type="character" w:customStyle="1" w:styleId="HeaderChar">
    <w:name w:val="Header Char"/>
    <w:basedOn w:val="DefaultParagraphFont"/>
    <w:link w:val="Header"/>
    <w:uiPriority w:val="99"/>
    <w:rsid w:val="009B495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B495B"/>
    <w:pPr>
      <w:tabs>
        <w:tab w:val="center" w:pos="4680"/>
        <w:tab w:val="right" w:pos="9360"/>
      </w:tabs>
    </w:pPr>
  </w:style>
  <w:style w:type="character" w:customStyle="1" w:styleId="FooterChar">
    <w:name w:val="Footer Char"/>
    <w:basedOn w:val="DefaultParagraphFont"/>
    <w:link w:val="Footer"/>
    <w:uiPriority w:val="99"/>
    <w:semiHidden/>
    <w:rsid w:val="009B495B"/>
    <w:rPr>
      <w:rFonts w:ascii="Times New Roman" w:eastAsia="Times New Roman" w:hAnsi="Times New Roman" w:cs="Times New Roman"/>
      <w:sz w:val="24"/>
      <w:szCs w:val="24"/>
    </w:rPr>
  </w:style>
  <w:style w:type="paragraph" w:styleId="FootnoteText">
    <w:name w:val="footnote text"/>
    <w:basedOn w:val="Normal"/>
    <w:link w:val="FootnoteTextChar"/>
    <w:rsid w:val="00014DF6"/>
    <w:rPr>
      <w:sz w:val="20"/>
      <w:szCs w:val="20"/>
    </w:rPr>
  </w:style>
  <w:style w:type="character" w:customStyle="1" w:styleId="FootnoteTextChar">
    <w:name w:val="Footnote Text Char"/>
    <w:basedOn w:val="DefaultParagraphFont"/>
    <w:link w:val="FootnoteText"/>
    <w:rsid w:val="00014DF6"/>
    <w:rPr>
      <w:rFonts w:ascii="Times New Roman" w:eastAsia="Times New Roman" w:hAnsi="Times New Roman" w:cs="Times New Roman"/>
      <w:sz w:val="20"/>
      <w:szCs w:val="20"/>
    </w:rPr>
  </w:style>
  <w:style w:type="character" w:styleId="FootnoteReference">
    <w:name w:val="footnote reference"/>
    <w:basedOn w:val="DefaultParagraphFont"/>
    <w:rsid w:val="00014D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8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28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28A8"/>
    <w:rPr>
      <w:rFonts w:ascii="Tahoma" w:hAnsi="Tahoma" w:cs="Tahoma"/>
      <w:sz w:val="16"/>
      <w:szCs w:val="16"/>
    </w:rPr>
  </w:style>
  <w:style w:type="character" w:customStyle="1" w:styleId="BalloonTextChar">
    <w:name w:val="Balloon Text Char"/>
    <w:basedOn w:val="DefaultParagraphFont"/>
    <w:link w:val="BalloonText"/>
    <w:uiPriority w:val="99"/>
    <w:semiHidden/>
    <w:rsid w:val="003128A8"/>
    <w:rPr>
      <w:rFonts w:ascii="Tahoma" w:eastAsia="Times New Roman" w:hAnsi="Tahoma" w:cs="Tahoma"/>
      <w:sz w:val="16"/>
      <w:szCs w:val="16"/>
    </w:rPr>
  </w:style>
  <w:style w:type="character" w:styleId="Hyperlink">
    <w:name w:val="Hyperlink"/>
    <w:basedOn w:val="DefaultParagraphFont"/>
    <w:uiPriority w:val="99"/>
    <w:unhideWhenUsed/>
    <w:rsid w:val="0018215B"/>
    <w:rPr>
      <w:color w:val="0000FF"/>
      <w:u w:val="single"/>
    </w:rPr>
  </w:style>
  <w:style w:type="paragraph" w:styleId="Header">
    <w:name w:val="header"/>
    <w:basedOn w:val="Normal"/>
    <w:link w:val="HeaderChar"/>
    <w:uiPriority w:val="99"/>
    <w:unhideWhenUsed/>
    <w:rsid w:val="009B495B"/>
    <w:pPr>
      <w:tabs>
        <w:tab w:val="center" w:pos="4680"/>
        <w:tab w:val="right" w:pos="9360"/>
      </w:tabs>
    </w:pPr>
  </w:style>
  <w:style w:type="character" w:customStyle="1" w:styleId="HeaderChar">
    <w:name w:val="Header Char"/>
    <w:basedOn w:val="DefaultParagraphFont"/>
    <w:link w:val="Header"/>
    <w:uiPriority w:val="99"/>
    <w:rsid w:val="009B495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B495B"/>
    <w:pPr>
      <w:tabs>
        <w:tab w:val="center" w:pos="4680"/>
        <w:tab w:val="right" w:pos="9360"/>
      </w:tabs>
    </w:pPr>
  </w:style>
  <w:style w:type="character" w:customStyle="1" w:styleId="FooterChar">
    <w:name w:val="Footer Char"/>
    <w:basedOn w:val="DefaultParagraphFont"/>
    <w:link w:val="Footer"/>
    <w:uiPriority w:val="99"/>
    <w:semiHidden/>
    <w:rsid w:val="009B495B"/>
    <w:rPr>
      <w:rFonts w:ascii="Times New Roman" w:eastAsia="Times New Roman" w:hAnsi="Times New Roman" w:cs="Times New Roman"/>
      <w:sz w:val="24"/>
      <w:szCs w:val="24"/>
    </w:rPr>
  </w:style>
  <w:style w:type="paragraph" w:styleId="FootnoteText">
    <w:name w:val="footnote text"/>
    <w:basedOn w:val="Normal"/>
    <w:link w:val="FootnoteTextChar"/>
    <w:rsid w:val="00014DF6"/>
    <w:rPr>
      <w:sz w:val="20"/>
      <w:szCs w:val="20"/>
    </w:rPr>
  </w:style>
  <w:style w:type="character" w:customStyle="1" w:styleId="FootnoteTextChar">
    <w:name w:val="Footnote Text Char"/>
    <w:basedOn w:val="DefaultParagraphFont"/>
    <w:link w:val="FootnoteText"/>
    <w:rsid w:val="00014DF6"/>
    <w:rPr>
      <w:rFonts w:ascii="Times New Roman" w:eastAsia="Times New Roman" w:hAnsi="Times New Roman" w:cs="Times New Roman"/>
      <w:sz w:val="20"/>
      <w:szCs w:val="20"/>
    </w:rPr>
  </w:style>
  <w:style w:type="character" w:styleId="FootnoteReference">
    <w:name w:val="footnote reference"/>
    <w:basedOn w:val="DefaultParagraphFont"/>
    <w:rsid w:val="00014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FF3A-EE49-4A1C-B002-42B7F2D6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 Rogers</dc:creator>
  <cp:lastModifiedBy>C Lallemand</cp:lastModifiedBy>
  <cp:revision>2</cp:revision>
  <cp:lastPrinted>2011-04-01T13:01:00Z</cp:lastPrinted>
  <dcterms:created xsi:type="dcterms:W3CDTF">2013-05-09T18:57:00Z</dcterms:created>
  <dcterms:modified xsi:type="dcterms:W3CDTF">2013-05-09T18:57:00Z</dcterms:modified>
</cp:coreProperties>
</file>