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F388" w14:textId="22A27B5C" w:rsidR="00714636" w:rsidRDefault="00714636" w:rsidP="00226237">
      <w:pPr>
        <w:jc w:val="center"/>
        <w:rPr>
          <w:b/>
        </w:rPr>
      </w:pPr>
      <w:r>
        <w:rPr>
          <w:b/>
        </w:rPr>
        <w:t>OMB Supporting Statement</w:t>
      </w:r>
    </w:p>
    <w:p w14:paraId="10BC4B53" w14:textId="4E632CFC" w:rsidR="00714636" w:rsidRDefault="00714636" w:rsidP="00226237">
      <w:pPr>
        <w:jc w:val="center"/>
        <w:rPr>
          <w:b/>
        </w:rPr>
      </w:pPr>
      <w:r>
        <w:rPr>
          <w:b/>
        </w:rPr>
        <w:t>Bureau of the Fiscal Service/Treasury</w:t>
      </w:r>
    </w:p>
    <w:p w14:paraId="2A22A5B7" w14:textId="63365472" w:rsidR="00F87489" w:rsidRDefault="00F87489" w:rsidP="00226237">
      <w:pPr>
        <w:jc w:val="center"/>
        <w:rPr>
          <w:b/>
        </w:rPr>
      </w:pPr>
      <w:r>
        <w:rPr>
          <w:b/>
        </w:rPr>
        <w:t>Electronic Tax Refund Motivation Research</w:t>
      </w:r>
    </w:p>
    <w:p w14:paraId="4D786433" w14:textId="77777777" w:rsidR="00F87489" w:rsidRDefault="00F87489">
      <w:pPr>
        <w:rPr>
          <w:b/>
        </w:rPr>
      </w:pPr>
    </w:p>
    <w:p w14:paraId="190A3D84" w14:textId="77777777" w:rsidR="00714636" w:rsidRDefault="00714636" w:rsidP="008E3939">
      <w:pPr>
        <w:rPr>
          <w:b/>
          <w:sz w:val="22"/>
          <w:u w:val="single"/>
        </w:rPr>
      </w:pPr>
      <w:r w:rsidRPr="00714636">
        <w:rPr>
          <w:b/>
          <w:sz w:val="22"/>
          <w:u w:val="single"/>
        </w:rPr>
        <w:t>Background and Objectives</w:t>
      </w:r>
    </w:p>
    <w:p w14:paraId="0244CCE3" w14:textId="77777777" w:rsidR="00714636" w:rsidRPr="00714636" w:rsidRDefault="00714636" w:rsidP="008E3939">
      <w:pPr>
        <w:rPr>
          <w:b/>
          <w:sz w:val="22"/>
          <w:u w:val="single"/>
        </w:rPr>
      </w:pPr>
    </w:p>
    <w:p w14:paraId="1EA8E793" w14:textId="2C1D9DA2" w:rsidR="00F87489" w:rsidRDefault="00F87489" w:rsidP="008E3939">
      <w:pPr>
        <w:rPr>
          <w:sz w:val="22"/>
        </w:rPr>
      </w:pPr>
      <w:r w:rsidRPr="006B648E">
        <w:rPr>
          <w:sz w:val="22"/>
        </w:rPr>
        <w:t>Th</w:t>
      </w:r>
      <w:r w:rsidR="00714636">
        <w:rPr>
          <w:sz w:val="22"/>
        </w:rPr>
        <w:t>e Bureau of the Fiscal Services</w:t>
      </w:r>
      <w:r w:rsidRPr="006B648E">
        <w:rPr>
          <w:sz w:val="22"/>
        </w:rPr>
        <w:t xml:space="preserve"> </w:t>
      </w:r>
      <w:r w:rsidR="00714636">
        <w:rPr>
          <w:sz w:val="22"/>
        </w:rPr>
        <w:t>p</w:t>
      </w:r>
      <w:r w:rsidRPr="006B648E">
        <w:rPr>
          <w:sz w:val="22"/>
        </w:rPr>
        <w:t xml:space="preserve">rovides an overview of the </w:t>
      </w:r>
      <w:r w:rsidR="00DF2806">
        <w:rPr>
          <w:sz w:val="22"/>
        </w:rPr>
        <w:t>final</w:t>
      </w:r>
      <w:r>
        <w:rPr>
          <w:sz w:val="22"/>
        </w:rPr>
        <w:t xml:space="preserve"> </w:t>
      </w:r>
      <w:r w:rsidR="00E76AC1">
        <w:rPr>
          <w:sz w:val="22"/>
        </w:rPr>
        <w:t>phase</w:t>
      </w:r>
      <w:r>
        <w:rPr>
          <w:sz w:val="22"/>
        </w:rPr>
        <w:t xml:space="preserve"> of primary research to determine how best to motivate taxpayers toward converting to electronic refunds from paper </w:t>
      </w:r>
      <w:bookmarkStart w:id="0" w:name="_GoBack"/>
      <w:bookmarkEnd w:id="0"/>
      <w:r>
        <w:rPr>
          <w:sz w:val="22"/>
        </w:rPr>
        <w:t>checks</w:t>
      </w:r>
      <w:r w:rsidR="00A14D47">
        <w:rPr>
          <w:sz w:val="22"/>
        </w:rPr>
        <w:t xml:space="preserve"> for their federal tax refund</w:t>
      </w:r>
      <w:r>
        <w:rPr>
          <w:sz w:val="22"/>
        </w:rPr>
        <w:t>.</w:t>
      </w:r>
      <w:r w:rsidR="00EA2480" w:rsidRPr="00EA2480">
        <w:rPr>
          <w:sz w:val="22"/>
        </w:rPr>
        <w:t xml:space="preserve"> </w:t>
      </w:r>
      <w:r w:rsidR="00EA2480">
        <w:rPr>
          <w:sz w:val="22"/>
        </w:rPr>
        <w:t>T</w:t>
      </w:r>
      <w:r w:rsidR="00225A21">
        <w:rPr>
          <w:sz w:val="22"/>
        </w:rPr>
        <w:t>he</w:t>
      </w:r>
      <w:r w:rsidR="00EA2480">
        <w:rPr>
          <w:sz w:val="22"/>
        </w:rPr>
        <w:t xml:space="preserve"> remaining population who has not converted to electronic tax refunds</w:t>
      </w:r>
      <w:r>
        <w:rPr>
          <w:sz w:val="22"/>
        </w:rPr>
        <w:t xml:space="preserve"> </w:t>
      </w:r>
      <w:r w:rsidR="00EA2480">
        <w:rPr>
          <w:sz w:val="22"/>
        </w:rPr>
        <w:t xml:space="preserve">is particularly challenging. </w:t>
      </w:r>
      <w:r w:rsidRPr="006B648E">
        <w:rPr>
          <w:sz w:val="22"/>
        </w:rPr>
        <w:t>We will conduc</w:t>
      </w:r>
      <w:r w:rsidR="00DF2806">
        <w:rPr>
          <w:sz w:val="22"/>
        </w:rPr>
        <w:t xml:space="preserve">t </w:t>
      </w:r>
      <w:r>
        <w:rPr>
          <w:sz w:val="22"/>
        </w:rPr>
        <w:t>research with two types of respondents: taxpayers who presently rece</w:t>
      </w:r>
      <w:r w:rsidR="007C4ED0">
        <w:rPr>
          <w:sz w:val="22"/>
        </w:rPr>
        <w:t xml:space="preserve">ive refunds via paper check and </w:t>
      </w:r>
      <w:r>
        <w:rPr>
          <w:sz w:val="22"/>
        </w:rPr>
        <w:t>tax</w:t>
      </w:r>
      <w:r w:rsidR="007C4ED0">
        <w:rPr>
          <w:sz w:val="22"/>
        </w:rPr>
        <w:t xml:space="preserve">payers </w:t>
      </w:r>
      <w:r>
        <w:rPr>
          <w:sz w:val="22"/>
        </w:rPr>
        <w:t xml:space="preserve">who </w:t>
      </w:r>
      <w:r w:rsidR="00EC7238">
        <w:rPr>
          <w:sz w:val="22"/>
        </w:rPr>
        <w:t xml:space="preserve">receive their refund via electronic funds transfer </w:t>
      </w:r>
      <w:r w:rsidR="00F27AA8">
        <w:rPr>
          <w:sz w:val="22"/>
        </w:rPr>
        <w:t>for comparison</w:t>
      </w:r>
      <w:r>
        <w:rPr>
          <w:sz w:val="22"/>
        </w:rPr>
        <w:t>.</w:t>
      </w:r>
      <w:r w:rsidR="00226237">
        <w:rPr>
          <w:sz w:val="22"/>
        </w:rPr>
        <w:t xml:space="preserve"> It is particularly important to understand the underl</w:t>
      </w:r>
      <w:r w:rsidR="00225A21">
        <w:rPr>
          <w:sz w:val="22"/>
        </w:rPr>
        <w:t>ying motivations of</w:t>
      </w:r>
      <w:r w:rsidR="00226237">
        <w:rPr>
          <w:sz w:val="22"/>
        </w:rPr>
        <w:t xml:space="preserve"> this population</w:t>
      </w:r>
      <w:r w:rsidR="00F27AA8">
        <w:rPr>
          <w:sz w:val="22"/>
        </w:rPr>
        <w:t xml:space="preserve"> (those who receive refunds via paper checks) because they have </w:t>
      </w:r>
      <w:r w:rsidR="00226237">
        <w:rPr>
          <w:sz w:val="22"/>
        </w:rPr>
        <w:t>been continually resistant to changing their behavior regarding receiving tax refunds</w:t>
      </w:r>
      <w:r w:rsidR="006C6E13">
        <w:rPr>
          <w:sz w:val="22"/>
        </w:rPr>
        <w:t xml:space="preserve"> electronically</w:t>
      </w:r>
      <w:r w:rsidR="00EA2480">
        <w:rPr>
          <w:sz w:val="22"/>
        </w:rPr>
        <w:t xml:space="preserve">. </w:t>
      </w:r>
    </w:p>
    <w:p w14:paraId="50C8AD38" w14:textId="77777777" w:rsidR="00F87489" w:rsidRDefault="00F87489" w:rsidP="008E3939">
      <w:pPr>
        <w:rPr>
          <w:sz w:val="22"/>
        </w:rPr>
      </w:pPr>
    </w:p>
    <w:p w14:paraId="3DAA2DBD" w14:textId="77ED57C6" w:rsidR="00F87489" w:rsidRPr="00F63FBF" w:rsidRDefault="00F87489" w:rsidP="00DB6F52">
      <w:pPr>
        <w:rPr>
          <w:sz w:val="22"/>
          <w:szCs w:val="22"/>
        </w:rPr>
      </w:pPr>
      <w:proofErr w:type="gramStart"/>
      <w:r>
        <w:rPr>
          <w:sz w:val="22"/>
          <w:u w:val="single"/>
        </w:rPr>
        <w:t>Purpose.</w:t>
      </w:r>
      <w:proofErr w:type="gramEnd"/>
      <w:r>
        <w:rPr>
          <w:sz w:val="22"/>
          <w:u w:val="single"/>
        </w:rPr>
        <w:t xml:space="preserve"> </w:t>
      </w:r>
      <w:r w:rsidR="00DB6F52">
        <w:rPr>
          <w:sz w:val="22"/>
          <w:szCs w:val="22"/>
        </w:rPr>
        <w:t xml:space="preserve">The two main goals of the </w:t>
      </w:r>
      <w:r w:rsidR="00F63FBF">
        <w:rPr>
          <w:sz w:val="22"/>
          <w:szCs w:val="22"/>
        </w:rPr>
        <w:t xml:space="preserve">study are: 1) </w:t>
      </w:r>
      <w:r w:rsidR="00DB6F52">
        <w:rPr>
          <w:sz w:val="22"/>
          <w:szCs w:val="22"/>
        </w:rPr>
        <w:t>Identify with greater precision the demographic, behavioral and attitudinal delineators of those who choose to receive their tax refund by paper check</w:t>
      </w:r>
      <w:r w:rsidR="00F63FBF">
        <w:rPr>
          <w:sz w:val="22"/>
          <w:szCs w:val="22"/>
        </w:rPr>
        <w:t xml:space="preserve">, and 2) </w:t>
      </w:r>
      <w:r w:rsidR="00DB6F52">
        <w:rPr>
          <w:sz w:val="22"/>
          <w:szCs w:val="22"/>
        </w:rPr>
        <w:t>Identify the incidence and prevalence of major reasons people have for their behavior and related attitudes, across the range of taxpayers.</w:t>
      </w:r>
      <w:r w:rsidR="00F63FBF">
        <w:rPr>
          <w:sz w:val="22"/>
          <w:szCs w:val="22"/>
        </w:rPr>
        <w:t xml:space="preserve"> </w:t>
      </w:r>
      <w:r w:rsidR="00B1202B">
        <w:rPr>
          <w:sz w:val="22"/>
        </w:rPr>
        <w:t>This research will not be used for any policy change.</w:t>
      </w:r>
    </w:p>
    <w:p w14:paraId="44A970D2" w14:textId="77777777" w:rsidR="00F87489" w:rsidRDefault="00F87489" w:rsidP="008E3939">
      <w:pPr>
        <w:rPr>
          <w:sz w:val="22"/>
        </w:rPr>
      </w:pPr>
    </w:p>
    <w:p w14:paraId="073520DA" w14:textId="79F426BF" w:rsidR="00714636" w:rsidRPr="00714636" w:rsidRDefault="00714636" w:rsidP="008E3939">
      <w:pPr>
        <w:rPr>
          <w:b/>
          <w:sz w:val="22"/>
          <w:u w:val="single"/>
        </w:rPr>
      </w:pPr>
      <w:r w:rsidRPr="00714636">
        <w:rPr>
          <w:b/>
          <w:sz w:val="22"/>
          <w:u w:val="single"/>
        </w:rPr>
        <w:t>Methodology</w:t>
      </w:r>
    </w:p>
    <w:p w14:paraId="1C3A0C3C" w14:textId="77777777" w:rsidR="00714636" w:rsidRDefault="00714636" w:rsidP="008E3939">
      <w:pPr>
        <w:rPr>
          <w:sz w:val="22"/>
        </w:rPr>
      </w:pPr>
    </w:p>
    <w:p w14:paraId="713BC397" w14:textId="35517A5E" w:rsidR="00BF2801" w:rsidRPr="00BF2801" w:rsidRDefault="00F87489" w:rsidP="00BF2801">
      <w:pPr>
        <w:rPr>
          <w:rFonts w:cs="Arial"/>
          <w:sz w:val="22"/>
          <w:szCs w:val="22"/>
        </w:rPr>
      </w:pPr>
      <w:proofErr w:type="gramStart"/>
      <w:r>
        <w:rPr>
          <w:sz w:val="22"/>
          <w:u w:val="single"/>
        </w:rPr>
        <w:t>Approach.</w:t>
      </w:r>
      <w:proofErr w:type="gramEnd"/>
      <w:r>
        <w:rPr>
          <w:sz w:val="22"/>
          <w:u w:val="single"/>
        </w:rPr>
        <w:t xml:space="preserve"> </w:t>
      </w:r>
      <w:r w:rsidRPr="006B648E">
        <w:rPr>
          <w:rFonts w:cs="Arial"/>
          <w:sz w:val="22"/>
          <w:szCs w:val="22"/>
        </w:rPr>
        <w:t>This research will be conduc</w:t>
      </w:r>
      <w:r>
        <w:rPr>
          <w:rFonts w:cs="Arial"/>
          <w:sz w:val="22"/>
          <w:szCs w:val="22"/>
        </w:rPr>
        <w:t xml:space="preserve">ted </w:t>
      </w:r>
      <w:r w:rsidR="000A0808">
        <w:rPr>
          <w:rFonts w:cs="Arial"/>
          <w:sz w:val="22"/>
          <w:szCs w:val="22"/>
        </w:rPr>
        <w:t>via</w:t>
      </w:r>
      <w:r w:rsidR="00BF2801">
        <w:rPr>
          <w:rFonts w:cs="Arial"/>
          <w:sz w:val="22"/>
          <w:szCs w:val="22"/>
        </w:rPr>
        <w:t xml:space="preserve"> a</w:t>
      </w:r>
      <w:r w:rsidR="00BF2801" w:rsidRPr="00BF2801">
        <w:rPr>
          <w:rFonts w:cs="Arial"/>
          <w:sz w:val="22"/>
          <w:szCs w:val="22"/>
        </w:rPr>
        <w:t>n existing nationally representative cross-section sample (onl</w:t>
      </w:r>
      <w:r w:rsidR="000A0808">
        <w:rPr>
          <w:rFonts w:cs="Arial"/>
          <w:sz w:val="22"/>
          <w:szCs w:val="22"/>
        </w:rPr>
        <w:t xml:space="preserve">ine </w:t>
      </w:r>
      <w:proofErr w:type="spellStart"/>
      <w:r w:rsidR="000A0808">
        <w:rPr>
          <w:rFonts w:cs="Arial"/>
          <w:sz w:val="22"/>
          <w:szCs w:val="22"/>
        </w:rPr>
        <w:t>KnowledgePanel</w:t>
      </w:r>
      <w:proofErr w:type="spellEnd"/>
      <w:r w:rsidR="000A0808">
        <w:rPr>
          <w:rFonts w:cs="Arial"/>
          <w:sz w:val="22"/>
          <w:szCs w:val="22"/>
        </w:rPr>
        <w:t xml:space="preserve">). The </w:t>
      </w:r>
      <w:proofErr w:type="spellStart"/>
      <w:r w:rsidR="000A0808">
        <w:rPr>
          <w:rFonts w:cs="Arial"/>
          <w:sz w:val="22"/>
          <w:szCs w:val="22"/>
        </w:rPr>
        <w:t>KnowledgePanel</w:t>
      </w:r>
      <w:proofErr w:type="spellEnd"/>
      <w:r w:rsidR="000A0808">
        <w:rPr>
          <w:rFonts w:cs="Arial"/>
          <w:sz w:val="22"/>
          <w:szCs w:val="22"/>
        </w:rPr>
        <w:t xml:space="preserve"> utilizes probability-</w:t>
      </w:r>
      <w:r w:rsidR="00BF2801" w:rsidRPr="00BF2801">
        <w:rPr>
          <w:rFonts w:cs="Arial"/>
          <w:sz w:val="22"/>
          <w:szCs w:val="22"/>
        </w:rPr>
        <w:t>based recruitment beginning with an address-based sampling frame that includes cell phone only households and non-internet households (these are provided a netbook and free monthly ISP). This allows for projectable population estimates for the subsets of individuals who receive paper refund checks and have been identified as of special interest such as social security recipients, under/unbanked,</w:t>
      </w:r>
      <w:r w:rsidR="005A257C">
        <w:rPr>
          <w:rFonts w:cs="Arial"/>
          <w:sz w:val="22"/>
          <w:szCs w:val="22"/>
        </w:rPr>
        <w:t xml:space="preserve"> and</w:t>
      </w:r>
      <w:r w:rsidR="00BF2801" w:rsidRPr="00BF2801">
        <w:rPr>
          <w:rFonts w:cs="Arial"/>
          <w:sz w:val="22"/>
          <w:szCs w:val="22"/>
        </w:rPr>
        <w:t xml:space="preserve"> switchers</w:t>
      </w:r>
      <w:r w:rsidR="00EF4A32">
        <w:rPr>
          <w:rFonts w:cs="Arial"/>
          <w:sz w:val="22"/>
          <w:szCs w:val="22"/>
        </w:rPr>
        <w:t xml:space="preserve"> (those who report they received an electronic tax refund in the past but then switched back to paper check refunds)</w:t>
      </w:r>
      <w:r w:rsidR="00BF2801" w:rsidRPr="00BF2801">
        <w:rPr>
          <w:rFonts w:cs="Arial"/>
          <w:sz w:val="22"/>
          <w:szCs w:val="22"/>
        </w:rPr>
        <w:t>.</w:t>
      </w:r>
    </w:p>
    <w:p w14:paraId="1CCB5957" w14:textId="77777777" w:rsidR="00BF2801" w:rsidRPr="00BF2801" w:rsidRDefault="00BF2801" w:rsidP="00BF2801">
      <w:pPr>
        <w:rPr>
          <w:rFonts w:cs="Arial"/>
          <w:sz w:val="22"/>
          <w:szCs w:val="22"/>
        </w:rPr>
      </w:pPr>
    </w:p>
    <w:p w14:paraId="33277552" w14:textId="77777777" w:rsidR="00EF4A32" w:rsidRDefault="00BF2801" w:rsidP="00BF2801">
      <w:pPr>
        <w:rPr>
          <w:rFonts w:cs="Arial"/>
          <w:b/>
          <w:i/>
          <w:color w:val="000000"/>
        </w:rPr>
      </w:pPr>
      <w:r w:rsidRPr="00BF2801">
        <w:rPr>
          <w:rFonts w:cs="Arial"/>
          <w:sz w:val="22"/>
          <w:szCs w:val="22"/>
        </w:rPr>
        <w:t>In all cases, participation will be voluntary and categorization of participants will be based on their self-reporting.  There will be no personally identifiable information collected and no association with their tax returns.</w:t>
      </w:r>
      <w:r>
        <w:rPr>
          <w:rFonts w:cs="Arial"/>
          <w:b/>
          <w:i/>
          <w:color w:val="000000"/>
        </w:rPr>
        <w:t xml:space="preserve">  </w:t>
      </w:r>
    </w:p>
    <w:p w14:paraId="1D13B48E" w14:textId="77777777" w:rsidR="00F87489" w:rsidRDefault="00F87489" w:rsidP="008E3939">
      <w:pPr>
        <w:rPr>
          <w:rFonts w:cs="Arial"/>
          <w:b/>
          <w:i/>
          <w:color w:val="000000"/>
        </w:rPr>
      </w:pPr>
    </w:p>
    <w:p w14:paraId="1CAAF349" w14:textId="1DFA8637" w:rsidR="00F87489" w:rsidRDefault="00F87489" w:rsidP="00755F8C">
      <w:pPr>
        <w:rPr>
          <w:rFonts w:cs="Arial"/>
          <w:color w:val="000000"/>
          <w:sz w:val="22"/>
          <w:szCs w:val="22"/>
        </w:rPr>
      </w:pPr>
      <w:proofErr w:type="gramStart"/>
      <w:r w:rsidRPr="006B648E">
        <w:rPr>
          <w:rFonts w:cs="Arial"/>
          <w:color w:val="000000"/>
          <w:sz w:val="22"/>
          <w:szCs w:val="22"/>
          <w:u w:val="single"/>
        </w:rPr>
        <w:t>Question focus.</w:t>
      </w:r>
      <w:proofErr w:type="gramEnd"/>
      <w:r w:rsidRPr="006B648E">
        <w:rPr>
          <w:rFonts w:cs="Arial"/>
          <w:color w:val="000000"/>
          <w:sz w:val="22"/>
          <w:szCs w:val="22"/>
        </w:rPr>
        <w:t xml:space="preserve">  This round of research builds on </w:t>
      </w:r>
      <w:r>
        <w:rPr>
          <w:rFonts w:cs="Arial"/>
          <w:color w:val="000000"/>
          <w:sz w:val="22"/>
          <w:szCs w:val="22"/>
        </w:rPr>
        <w:t xml:space="preserve">results of </w:t>
      </w:r>
      <w:r w:rsidR="00D079F8">
        <w:rPr>
          <w:rFonts w:cs="Arial"/>
          <w:color w:val="000000"/>
          <w:sz w:val="22"/>
          <w:szCs w:val="22"/>
        </w:rPr>
        <w:t>the</w:t>
      </w:r>
      <w:r>
        <w:rPr>
          <w:rFonts w:cs="Arial"/>
          <w:color w:val="000000"/>
          <w:sz w:val="22"/>
          <w:szCs w:val="22"/>
        </w:rPr>
        <w:t xml:space="preserve"> </w:t>
      </w:r>
      <w:r w:rsidR="006855EC">
        <w:rPr>
          <w:rFonts w:cs="Arial"/>
          <w:color w:val="000000"/>
          <w:sz w:val="22"/>
          <w:szCs w:val="22"/>
        </w:rPr>
        <w:t>qualitative focus groups</w:t>
      </w:r>
      <w:r w:rsidR="00987BBD">
        <w:rPr>
          <w:rFonts w:cs="Arial"/>
          <w:color w:val="000000"/>
          <w:sz w:val="22"/>
          <w:szCs w:val="22"/>
        </w:rPr>
        <w:t xml:space="preserve"> conducted in June </w:t>
      </w:r>
      <w:r w:rsidR="00A14D47">
        <w:rPr>
          <w:rFonts w:cs="Arial"/>
          <w:color w:val="000000"/>
          <w:sz w:val="22"/>
          <w:szCs w:val="22"/>
        </w:rPr>
        <w:t xml:space="preserve">2014 </w:t>
      </w:r>
      <w:r w:rsidR="00987BBD">
        <w:rPr>
          <w:rFonts w:cs="Arial"/>
          <w:color w:val="000000"/>
          <w:sz w:val="22"/>
          <w:szCs w:val="22"/>
        </w:rPr>
        <w:t>that determined the attributes, benefits, emotions and values most associated</w:t>
      </w:r>
      <w:r w:rsidR="00D079F8">
        <w:rPr>
          <w:rFonts w:cs="Arial"/>
          <w:color w:val="000000"/>
          <w:sz w:val="22"/>
          <w:szCs w:val="22"/>
        </w:rPr>
        <w:t xml:space="preserve"> with tax refunds. This phase</w:t>
      </w:r>
      <w:r w:rsidR="00192E71">
        <w:rPr>
          <w:rFonts w:cs="Arial"/>
          <w:color w:val="000000"/>
          <w:sz w:val="22"/>
          <w:szCs w:val="22"/>
        </w:rPr>
        <w:t xml:space="preserve"> will concentrate on understanding the relative </w:t>
      </w:r>
      <w:r w:rsidR="00A14D47">
        <w:rPr>
          <w:rFonts w:cs="Arial"/>
          <w:color w:val="000000"/>
          <w:sz w:val="22"/>
          <w:szCs w:val="22"/>
        </w:rPr>
        <w:t xml:space="preserve">strengths </w:t>
      </w:r>
      <w:r w:rsidR="00192E71">
        <w:rPr>
          <w:rFonts w:cs="Arial"/>
          <w:color w:val="000000"/>
          <w:sz w:val="22"/>
          <w:szCs w:val="22"/>
        </w:rPr>
        <w:t>of paper checks v</w:t>
      </w:r>
      <w:r w:rsidR="00D079F8">
        <w:rPr>
          <w:rFonts w:cs="Arial"/>
          <w:color w:val="000000"/>
          <w:sz w:val="22"/>
          <w:szCs w:val="22"/>
        </w:rPr>
        <w:t xml:space="preserve">ersus electronic refunds and </w:t>
      </w:r>
      <w:r w:rsidR="00192E71">
        <w:rPr>
          <w:rFonts w:cs="Arial"/>
          <w:color w:val="000000"/>
          <w:sz w:val="22"/>
          <w:szCs w:val="22"/>
        </w:rPr>
        <w:t xml:space="preserve">how best to articulate the most promising concepts </w:t>
      </w:r>
      <w:r w:rsidR="008A0B73">
        <w:rPr>
          <w:rFonts w:cs="Arial"/>
          <w:color w:val="000000"/>
          <w:sz w:val="22"/>
          <w:szCs w:val="22"/>
        </w:rPr>
        <w:t xml:space="preserve">and persuasive statements. The persuasive statements will target the intellectual bridges identified in the qualitative phase. Each statement will be rated against the metric of </w:t>
      </w:r>
      <w:r w:rsidR="00A14D47">
        <w:rPr>
          <w:rFonts w:cs="Arial"/>
          <w:color w:val="000000"/>
          <w:sz w:val="22"/>
          <w:szCs w:val="22"/>
        </w:rPr>
        <w:t>“</w:t>
      </w:r>
      <w:r w:rsidR="008A0B73">
        <w:rPr>
          <w:rFonts w:cs="Arial"/>
          <w:color w:val="000000"/>
          <w:sz w:val="22"/>
          <w:szCs w:val="22"/>
        </w:rPr>
        <w:t xml:space="preserve">to what degree </w:t>
      </w:r>
      <w:r w:rsidR="00BB787D">
        <w:rPr>
          <w:rFonts w:cs="Arial"/>
          <w:color w:val="000000"/>
          <w:sz w:val="22"/>
          <w:szCs w:val="22"/>
        </w:rPr>
        <w:t>t</w:t>
      </w:r>
      <w:r w:rsidR="008A0B73">
        <w:rPr>
          <w:rFonts w:cs="Arial"/>
          <w:color w:val="000000"/>
          <w:sz w:val="22"/>
          <w:szCs w:val="22"/>
        </w:rPr>
        <w:t xml:space="preserve">his would cause you </w:t>
      </w:r>
      <w:r w:rsidR="008E2BF0">
        <w:rPr>
          <w:rFonts w:cs="Arial"/>
          <w:color w:val="000000"/>
          <w:sz w:val="22"/>
          <w:szCs w:val="22"/>
        </w:rPr>
        <w:t xml:space="preserve">to switch to </w:t>
      </w:r>
      <w:r w:rsidR="00A14D47">
        <w:rPr>
          <w:rFonts w:cs="Arial"/>
          <w:color w:val="000000"/>
          <w:sz w:val="22"/>
          <w:szCs w:val="22"/>
        </w:rPr>
        <w:t>direct deposit</w:t>
      </w:r>
      <w:r w:rsidR="008E2BF0">
        <w:rPr>
          <w:rFonts w:cs="Arial"/>
          <w:color w:val="000000"/>
          <w:sz w:val="22"/>
          <w:szCs w:val="22"/>
        </w:rPr>
        <w:t xml:space="preserve"> refunds.</w:t>
      </w:r>
      <w:r w:rsidR="00A14D47">
        <w:rPr>
          <w:rFonts w:cs="Arial"/>
          <w:color w:val="000000"/>
          <w:sz w:val="22"/>
          <w:szCs w:val="22"/>
        </w:rPr>
        <w:t>”</w:t>
      </w:r>
    </w:p>
    <w:p w14:paraId="65440BF6" w14:textId="77777777" w:rsidR="00F87489" w:rsidRDefault="00F87489" w:rsidP="00755F8C">
      <w:pPr>
        <w:rPr>
          <w:rFonts w:cs="Arial"/>
          <w:color w:val="000000"/>
          <w:sz w:val="22"/>
          <w:szCs w:val="22"/>
        </w:rPr>
      </w:pPr>
    </w:p>
    <w:p w14:paraId="2F6EE3E0" w14:textId="481FB95D" w:rsidR="00F87489" w:rsidRPr="006B648E" w:rsidRDefault="0094543F" w:rsidP="00FB07C6">
      <w:pPr>
        <w:spacing w:before="40" w:after="40" w:line="240" w:lineRule="exact"/>
        <w:rPr>
          <w:rFonts w:cs="Arial"/>
          <w:color w:val="000000"/>
          <w:sz w:val="22"/>
          <w:szCs w:val="22"/>
        </w:rPr>
      </w:pPr>
      <w:r>
        <w:rPr>
          <w:rFonts w:cs="Arial"/>
          <w:color w:val="000000"/>
          <w:sz w:val="22"/>
          <w:szCs w:val="22"/>
        </w:rPr>
        <w:t>The questions will focus on</w:t>
      </w:r>
      <w:r w:rsidR="003D3E55">
        <w:rPr>
          <w:rFonts w:cs="Arial"/>
          <w:color w:val="000000"/>
          <w:sz w:val="22"/>
          <w:szCs w:val="22"/>
        </w:rPr>
        <w:t xml:space="preserve"> </w:t>
      </w:r>
      <w:r w:rsidR="00F87489">
        <w:rPr>
          <w:rFonts w:cs="Arial"/>
          <w:color w:val="000000"/>
          <w:sz w:val="22"/>
          <w:szCs w:val="22"/>
        </w:rPr>
        <w:t xml:space="preserve">past and present </w:t>
      </w:r>
      <w:r w:rsidR="003D3E55">
        <w:rPr>
          <w:rFonts w:cs="Arial"/>
          <w:color w:val="000000"/>
          <w:sz w:val="22"/>
          <w:szCs w:val="22"/>
        </w:rPr>
        <w:t xml:space="preserve">tax filing </w:t>
      </w:r>
      <w:r w:rsidR="00F87489">
        <w:rPr>
          <w:rFonts w:cs="Arial"/>
          <w:color w:val="000000"/>
          <w:sz w:val="22"/>
          <w:szCs w:val="22"/>
        </w:rPr>
        <w:t>behavior and</w:t>
      </w:r>
      <w:r w:rsidR="00932DB3">
        <w:rPr>
          <w:sz w:val="22"/>
        </w:rPr>
        <w:t xml:space="preserve"> f</w:t>
      </w:r>
      <w:r w:rsidR="00BB787D">
        <w:rPr>
          <w:sz w:val="22"/>
        </w:rPr>
        <w:t>orm of tax refund for the past three</w:t>
      </w:r>
      <w:r w:rsidR="00932DB3">
        <w:rPr>
          <w:sz w:val="22"/>
        </w:rPr>
        <w:t xml:space="preserve"> years, use of tax professional, software, or online services, use of e-file, state refund</w:t>
      </w:r>
      <w:r>
        <w:rPr>
          <w:sz w:val="22"/>
        </w:rPr>
        <w:t xml:space="preserve"> method</w:t>
      </w:r>
      <w:r w:rsidR="00932DB3">
        <w:rPr>
          <w:sz w:val="22"/>
        </w:rPr>
        <w:t xml:space="preserve"> if applicable, use of direct deposit and online bill-pay, open ended question about why the target audiences chooses paper checks, a battery of tangible and emotional </w:t>
      </w:r>
      <w:r w:rsidR="00932DB3">
        <w:rPr>
          <w:sz w:val="22"/>
        </w:rPr>
        <w:lastRenderedPageBreak/>
        <w:t>reasons for tax refund payment forms</w:t>
      </w:r>
      <w:r w:rsidR="00FB07C6">
        <w:rPr>
          <w:sz w:val="22"/>
        </w:rPr>
        <w:t>, r</w:t>
      </w:r>
      <w:r w:rsidR="00932DB3">
        <w:rPr>
          <w:sz w:val="22"/>
        </w:rPr>
        <w:t xml:space="preserve">eaction to potential </w:t>
      </w:r>
      <w:r w:rsidR="00FB07C6">
        <w:rPr>
          <w:sz w:val="22"/>
        </w:rPr>
        <w:t xml:space="preserve">persuasive </w:t>
      </w:r>
      <w:r w:rsidR="00932DB3">
        <w:rPr>
          <w:sz w:val="22"/>
        </w:rPr>
        <w:t>messages that describe motivating benefits of receiving tax refunds electronically</w:t>
      </w:r>
      <w:r w:rsidR="00FB07C6">
        <w:rPr>
          <w:sz w:val="22"/>
        </w:rPr>
        <w:t xml:space="preserve">, </w:t>
      </w:r>
      <w:r w:rsidR="00932DB3">
        <w:rPr>
          <w:sz w:val="22"/>
        </w:rPr>
        <w:t xml:space="preserve">classification </w:t>
      </w:r>
      <w:r w:rsidR="00FB07C6">
        <w:rPr>
          <w:sz w:val="22"/>
        </w:rPr>
        <w:t>and demographic questions</w:t>
      </w:r>
      <w:r w:rsidR="00FB07C6">
        <w:rPr>
          <w:rFonts w:cs="Arial"/>
          <w:color w:val="000000"/>
          <w:sz w:val="22"/>
          <w:szCs w:val="22"/>
        </w:rPr>
        <w:t>.</w:t>
      </w:r>
      <w:r w:rsidR="005E6FB1">
        <w:rPr>
          <w:rFonts w:cs="Arial"/>
          <w:color w:val="000000"/>
          <w:sz w:val="22"/>
          <w:szCs w:val="22"/>
        </w:rPr>
        <w:t xml:space="preserve"> </w:t>
      </w:r>
      <w:r w:rsidR="00F87489" w:rsidRPr="006B648E">
        <w:rPr>
          <w:rFonts w:cs="Arial"/>
          <w:color w:val="000000"/>
          <w:sz w:val="22"/>
          <w:szCs w:val="22"/>
        </w:rPr>
        <w:t xml:space="preserve">For details, see the </w:t>
      </w:r>
      <w:r w:rsidR="00103BA2">
        <w:rPr>
          <w:rFonts w:cs="Arial"/>
          <w:color w:val="000000"/>
          <w:sz w:val="22"/>
          <w:szCs w:val="22"/>
        </w:rPr>
        <w:t>questionnaire that accompanies</w:t>
      </w:r>
      <w:r w:rsidR="00F87489" w:rsidRPr="006B648E">
        <w:rPr>
          <w:rFonts w:cs="Arial"/>
          <w:color w:val="000000"/>
          <w:sz w:val="22"/>
          <w:szCs w:val="22"/>
        </w:rPr>
        <w:t xml:space="preserve"> this document. </w:t>
      </w:r>
    </w:p>
    <w:p w14:paraId="4C28CC1C" w14:textId="77777777" w:rsidR="00F87489" w:rsidRPr="006B648E" w:rsidRDefault="00F87489" w:rsidP="00755F8C">
      <w:pPr>
        <w:rPr>
          <w:rFonts w:cs="Arial"/>
          <w:color w:val="000000"/>
          <w:sz w:val="22"/>
          <w:szCs w:val="22"/>
        </w:rPr>
      </w:pPr>
    </w:p>
    <w:p w14:paraId="4AB3ABCF" w14:textId="77777777" w:rsidR="00C14D9E" w:rsidRDefault="00F87489" w:rsidP="00755F8C">
      <w:pPr>
        <w:rPr>
          <w:rFonts w:cs="Arial"/>
          <w:color w:val="000000"/>
          <w:sz w:val="22"/>
          <w:szCs w:val="22"/>
        </w:rPr>
      </w:pPr>
      <w:proofErr w:type="gramStart"/>
      <w:r w:rsidRPr="006B648E">
        <w:rPr>
          <w:rFonts w:cs="Arial"/>
          <w:color w:val="000000"/>
          <w:sz w:val="22"/>
          <w:szCs w:val="22"/>
          <w:u w:val="single"/>
        </w:rPr>
        <w:t>Analysis.</w:t>
      </w:r>
      <w:proofErr w:type="gramEnd"/>
      <w:r>
        <w:rPr>
          <w:rFonts w:cs="Arial"/>
          <w:color w:val="000000"/>
          <w:sz w:val="22"/>
          <w:szCs w:val="22"/>
        </w:rPr>
        <w:t xml:space="preserve">  </w:t>
      </w:r>
    </w:p>
    <w:p w14:paraId="61B89127" w14:textId="77777777" w:rsidR="00C14D9E" w:rsidRDefault="00C14D9E" w:rsidP="00755F8C">
      <w:pPr>
        <w:rPr>
          <w:rFonts w:cs="Arial"/>
          <w:color w:val="000000"/>
          <w:sz w:val="22"/>
          <w:szCs w:val="22"/>
        </w:rPr>
      </w:pPr>
    </w:p>
    <w:p w14:paraId="00A56A7A" w14:textId="5031B36F" w:rsidR="00C14D9E" w:rsidRDefault="00BE3EA6" w:rsidP="00C14D9E">
      <w:pPr>
        <w:rPr>
          <w:sz w:val="22"/>
        </w:rPr>
      </w:pPr>
      <w:r>
        <w:rPr>
          <w:rFonts w:cs="Arial"/>
          <w:color w:val="000000"/>
          <w:sz w:val="22"/>
          <w:szCs w:val="22"/>
        </w:rPr>
        <w:t>The a</w:t>
      </w:r>
      <w:r w:rsidR="009D00E3">
        <w:rPr>
          <w:rFonts w:cs="Arial"/>
          <w:color w:val="000000"/>
          <w:sz w:val="22"/>
          <w:szCs w:val="22"/>
        </w:rPr>
        <w:t>nalysis will identify</w:t>
      </w:r>
      <w:r w:rsidR="00077C88" w:rsidRPr="006B648E">
        <w:rPr>
          <w:rFonts w:cs="Arial"/>
          <w:color w:val="000000"/>
          <w:sz w:val="22"/>
          <w:szCs w:val="22"/>
        </w:rPr>
        <w:t xml:space="preserve"> </w:t>
      </w:r>
      <w:r w:rsidR="00077C88">
        <w:rPr>
          <w:rFonts w:cs="Arial"/>
          <w:color w:val="000000"/>
          <w:sz w:val="22"/>
          <w:szCs w:val="22"/>
        </w:rPr>
        <w:t>and quantify</w:t>
      </w:r>
      <w:r w:rsidR="009D00E3">
        <w:rPr>
          <w:rFonts w:cs="Arial"/>
          <w:color w:val="000000"/>
          <w:sz w:val="22"/>
          <w:szCs w:val="22"/>
        </w:rPr>
        <w:t xml:space="preserve"> </w:t>
      </w:r>
      <w:r w:rsidR="00077C88" w:rsidRPr="006B648E">
        <w:rPr>
          <w:rFonts w:cs="Arial"/>
          <w:color w:val="000000"/>
          <w:sz w:val="22"/>
          <w:szCs w:val="22"/>
        </w:rPr>
        <w:t xml:space="preserve">the </w:t>
      </w:r>
      <w:r w:rsidR="00077C88">
        <w:rPr>
          <w:rFonts w:cs="Arial"/>
          <w:color w:val="000000"/>
          <w:sz w:val="22"/>
          <w:szCs w:val="22"/>
        </w:rPr>
        <w:t xml:space="preserve">specific tangible attributes and benefits of both paper and electronic refunds and their associated emotional and value meanings.  </w:t>
      </w:r>
      <w:r w:rsidR="00D24349">
        <w:rPr>
          <w:sz w:val="22"/>
        </w:rPr>
        <w:t>Specifically:</w:t>
      </w:r>
    </w:p>
    <w:p w14:paraId="64F26D9C" w14:textId="77777777" w:rsidR="00C14D9E" w:rsidRDefault="00C14D9E" w:rsidP="00C14D9E">
      <w:pPr>
        <w:rPr>
          <w:sz w:val="22"/>
        </w:rPr>
      </w:pPr>
    </w:p>
    <w:p w14:paraId="4363E8B8" w14:textId="77777777" w:rsidR="00C14D9E" w:rsidRDefault="00C14D9E" w:rsidP="00C14D9E">
      <w:pPr>
        <w:numPr>
          <w:ilvl w:val="0"/>
          <w:numId w:val="1"/>
        </w:numPr>
        <w:spacing w:before="40" w:after="40" w:line="240" w:lineRule="exact"/>
        <w:rPr>
          <w:sz w:val="22"/>
        </w:rPr>
      </w:pPr>
      <w:r>
        <w:rPr>
          <w:sz w:val="22"/>
        </w:rPr>
        <w:t>The sub-populations that choose to receive their refund by paper check described in terms of demographics, behaviors and attitudes that most make them hesitant to adopt electronic tax refunds</w:t>
      </w:r>
    </w:p>
    <w:p w14:paraId="6AE3A120" w14:textId="77777777" w:rsidR="00C14D9E" w:rsidRDefault="00C14D9E" w:rsidP="00C14D9E">
      <w:pPr>
        <w:numPr>
          <w:ilvl w:val="0"/>
          <w:numId w:val="1"/>
        </w:numPr>
        <w:spacing w:before="40" w:after="40" w:line="240" w:lineRule="exact"/>
        <w:rPr>
          <w:sz w:val="22"/>
        </w:rPr>
      </w:pPr>
      <w:r>
        <w:rPr>
          <w:sz w:val="22"/>
        </w:rPr>
        <w:t>Any sub-populations that fluctuate between paper and electronic delivery, and the reasons for the flux</w:t>
      </w:r>
    </w:p>
    <w:p w14:paraId="39A93100" w14:textId="7B033FC1" w:rsidR="00C14D9E" w:rsidRDefault="00C14D9E" w:rsidP="00C14D9E">
      <w:pPr>
        <w:numPr>
          <w:ilvl w:val="0"/>
          <w:numId w:val="1"/>
        </w:numPr>
        <w:spacing w:before="40" w:after="40" w:line="240" w:lineRule="exact"/>
        <w:rPr>
          <w:sz w:val="22"/>
        </w:rPr>
      </w:pPr>
      <w:r>
        <w:rPr>
          <w:sz w:val="22"/>
        </w:rPr>
        <w:t xml:space="preserve">The primary drivers of the decision to receive paper </w:t>
      </w:r>
      <w:r w:rsidR="00077C88">
        <w:rPr>
          <w:sz w:val="22"/>
        </w:rPr>
        <w:t>checks.</w:t>
      </w:r>
    </w:p>
    <w:p w14:paraId="2AC9A7E4" w14:textId="77777777" w:rsidR="00C14D9E" w:rsidRDefault="00C14D9E" w:rsidP="00C14D9E">
      <w:pPr>
        <w:rPr>
          <w:sz w:val="22"/>
        </w:rPr>
      </w:pPr>
    </w:p>
    <w:p w14:paraId="542B2FCD" w14:textId="2677142C" w:rsidR="00F87489" w:rsidRPr="005901C9" w:rsidRDefault="00E174C2" w:rsidP="00C14D9E">
      <w:pPr>
        <w:rPr>
          <w:sz w:val="22"/>
        </w:rPr>
      </w:pPr>
      <w:r>
        <w:rPr>
          <w:sz w:val="22"/>
        </w:rPr>
        <w:t>The analysis will</w:t>
      </w:r>
      <w:r w:rsidR="00C14D9E" w:rsidRPr="007B4092">
        <w:rPr>
          <w:sz w:val="22"/>
        </w:rPr>
        <w:t xml:space="preserve"> illuminate the most compelling barriers inhibiting switching</w:t>
      </w:r>
      <w:r w:rsidR="00C14D9E">
        <w:rPr>
          <w:sz w:val="22"/>
        </w:rPr>
        <w:t xml:space="preserve"> to and maintaining a preference for electronic tax refunds, paired against the most compelling messages to induce the more desired behavior of receiving refunds electronically. </w:t>
      </w:r>
      <w:r>
        <w:rPr>
          <w:sz w:val="22"/>
        </w:rPr>
        <w:t>A</w:t>
      </w:r>
      <w:r w:rsidR="00C14D9E">
        <w:rPr>
          <w:sz w:val="22"/>
        </w:rPr>
        <w:t xml:space="preserve"> two-step analytical process</w:t>
      </w:r>
      <w:r>
        <w:rPr>
          <w:sz w:val="22"/>
        </w:rPr>
        <w:t xml:space="preserve"> will be used</w:t>
      </w:r>
      <w:r w:rsidR="002C703D">
        <w:rPr>
          <w:sz w:val="22"/>
        </w:rPr>
        <w:t xml:space="preserve">: 1) </w:t>
      </w:r>
      <w:r w:rsidR="00C14D9E">
        <w:rPr>
          <w:sz w:val="22"/>
        </w:rPr>
        <w:t xml:space="preserve">create clusters of respondents based upon similarities in knowledge, attitudes and behaviors in order to </w:t>
      </w:r>
      <w:r w:rsidR="002C703D">
        <w:rPr>
          <w:sz w:val="22"/>
        </w:rPr>
        <w:t>identify</w:t>
      </w:r>
      <w:r w:rsidR="00C14D9E">
        <w:rPr>
          <w:sz w:val="22"/>
        </w:rPr>
        <w:t xml:space="preserve"> the key differentiators identifying important sub-segments of the n</w:t>
      </w:r>
      <w:r w:rsidR="002C703D">
        <w:rPr>
          <w:sz w:val="22"/>
        </w:rPr>
        <w:t>on-electronic refund audience, and 2) A</w:t>
      </w:r>
      <w:r w:rsidR="00C14D9E">
        <w:rPr>
          <w:sz w:val="22"/>
        </w:rPr>
        <w:t xml:space="preserve">nalyze the “whys” behind a preference for paper and/or a dislike </w:t>
      </w:r>
      <w:r w:rsidR="005C33F9">
        <w:rPr>
          <w:sz w:val="22"/>
        </w:rPr>
        <w:t>of electronic refunds</w:t>
      </w:r>
      <w:r w:rsidR="002C703D">
        <w:rPr>
          <w:sz w:val="22"/>
        </w:rPr>
        <w:t xml:space="preserve"> to</w:t>
      </w:r>
      <w:r w:rsidR="00C14D9E">
        <w:rPr>
          <w:sz w:val="22"/>
        </w:rPr>
        <w:t xml:space="preserve"> determine which potential messaging option will motivate the greatest number within each sup-population to move toward electronic refunds.</w:t>
      </w:r>
      <w:r w:rsidR="005901C9">
        <w:rPr>
          <w:sz w:val="22"/>
        </w:rPr>
        <w:t xml:space="preserve"> </w:t>
      </w:r>
      <w:r w:rsidR="00416461" w:rsidRPr="005901C9">
        <w:rPr>
          <w:rFonts w:cs="Arial"/>
          <w:color w:val="000000"/>
          <w:sz w:val="22"/>
          <w:szCs w:val="22"/>
        </w:rPr>
        <w:t>The research team will interpret and present the results to the full Research Workgroup, and will discuss recommendations and implications.</w:t>
      </w:r>
    </w:p>
    <w:p w14:paraId="17D5BF51" w14:textId="77777777" w:rsidR="00F87489" w:rsidRDefault="00F87489" w:rsidP="00755F8C">
      <w:pPr>
        <w:rPr>
          <w:rFonts w:cs="Arial"/>
          <w:color w:val="000000"/>
          <w:sz w:val="22"/>
          <w:szCs w:val="22"/>
        </w:rPr>
      </w:pPr>
    </w:p>
    <w:p w14:paraId="71708312" w14:textId="2325F1E5" w:rsidR="005B0B48" w:rsidRPr="005B0B48" w:rsidRDefault="005B0B48" w:rsidP="00755F8C">
      <w:pPr>
        <w:rPr>
          <w:rFonts w:cs="Arial"/>
          <w:b/>
          <w:color w:val="000000"/>
          <w:sz w:val="22"/>
          <w:szCs w:val="22"/>
          <w:u w:val="single"/>
        </w:rPr>
      </w:pPr>
      <w:r w:rsidRPr="005B0B48">
        <w:rPr>
          <w:rFonts w:cs="Arial"/>
          <w:b/>
          <w:color w:val="000000"/>
          <w:sz w:val="22"/>
          <w:szCs w:val="22"/>
          <w:u w:val="single"/>
        </w:rPr>
        <w:t>Estimated Burden Hours</w:t>
      </w:r>
    </w:p>
    <w:p w14:paraId="04614879" w14:textId="77777777" w:rsidR="005B0B48" w:rsidRDefault="005B0B48" w:rsidP="00755F8C">
      <w:pPr>
        <w:rPr>
          <w:rFonts w:cs="Arial"/>
          <w:color w:val="000000"/>
          <w:sz w:val="22"/>
          <w:szCs w:val="22"/>
        </w:rPr>
      </w:pPr>
    </w:p>
    <w:p w14:paraId="34055179" w14:textId="5680EE51" w:rsidR="005B0B48" w:rsidRPr="006855EC" w:rsidRDefault="005B0B48" w:rsidP="005B0B48">
      <w:pPr>
        <w:rPr>
          <w:rFonts w:cs="Arial"/>
          <w:color w:val="000000"/>
          <w:sz w:val="22"/>
          <w:szCs w:val="22"/>
        </w:rPr>
      </w:pPr>
      <w:r w:rsidRPr="006B648E">
        <w:rPr>
          <w:rFonts w:cs="Arial"/>
          <w:color w:val="000000"/>
          <w:sz w:val="22"/>
          <w:szCs w:val="22"/>
        </w:rPr>
        <w:t>Tota</w:t>
      </w:r>
      <w:r>
        <w:rPr>
          <w:rFonts w:cs="Arial"/>
          <w:color w:val="000000"/>
          <w:sz w:val="22"/>
          <w:szCs w:val="22"/>
        </w:rPr>
        <w:t>l burden time will be approximately 650 hours</w:t>
      </w:r>
      <w:r>
        <w:rPr>
          <w:rFonts w:cs="Arial"/>
          <w:color w:val="000000"/>
          <w:sz w:val="22"/>
          <w:szCs w:val="22"/>
        </w:rPr>
        <w:t xml:space="preserve">. This time estimate is based on completing </w:t>
      </w:r>
      <w:proofErr w:type="gramStart"/>
      <w:r>
        <w:rPr>
          <w:rFonts w:cs="Arial"/>
          <w:color w:val="000000"/>
          <w:sz w:val="22"/>
          <w:szCs w:val="22"/>
        </w:rPr>
        <w:t>2,600  15</w:t>
      </w:r>
      <w:proofErr w:type="gramEnd"/>
      <w:r>
        <w:rPr>
          <w:rFonts w:cs="Arial"/>
          <w:color w:val="000000"/>
          <w:sz w:val="22"/>
          <w:szCs w:val="22"/>
        </w:rPr>
        <w:t xml:space="preserve"> minute interview</w:t>
      </w:r>
      <w:r w:rsidR="00B62130">
        <w:rPr>
          <w:rFonts w:cs="Arial"/>
          <w:color w:val="000000"/>
          <w:sz w:val="22"/>
          <w:szCs w:val="22"/>
        </w:rPr>
        <w:t>s</w:t>
      </w:r>
      <w:r>
        <w:rPr>
          <w:rFonts w:cs="Arial"/>
          <w:color w:val="000000"/>
          <w:sz w:val="22"/>
          <w:szCs w:val="22"/>
        </w:rPr>
        <w:t xml:space="preserve"> (2</w:t>
      </w:r>
      <w:r>
        <w:rPr>
          <w:rFonts w:cs="Arial"/>
          <w:color w:val="000000"/>
          <w:sz w:val="22"/>
          <w:szCs w:val="22"/>
        </w:rPr>
        <w:t>,</w:t>
      </w:r>
      <w:r>
        <w:rPr>
          <w:rFonts w:cs="Arial"/>
          <w:color w:val="000000"/>
          <w:sz w:val="22"/>
          <w:szCs w:val="22"/>
        </w:rPr>
        <w:t>600</w:t>
      </w:r>
      <w:r w:rsidR="00B62130">
        <w:rPr>
          <w:rFonts w:cs="Arial"/>
          <w:color w:val="000000"/>
          <w:sz w:val="22"/>
          <w:szCs w:val="22"/>
        </w:rPr>
        <w:t xml:space="preserve"> X</w:t>
      </w:r>
      <w:r>
        <w:rPr>
          <w:rFonts w:cs="Arial"/>
          <w:color w:val="000000"/>
          <w:sz w:val="22"/>
          <w:szCs w:val="22"/>
        </w:rPr>
        <w:t xml:space="preserve"> 15 minute</w:t>
      </w:r>
      <w:r w:rsidR="00B62130">
        <w:rPr>
          <w:rFonts w:cs="Arial"/>
          <w:color w:val="000000"/>
          <w:sz w:val="22"/>
          <w:szCs w:val="22"/>
        </w:rPr>
        <w:t>s</w:t>
      </w:r>
      <w:r w:rsidRPr="006B648E">
        <w:rPr>
          <w:rFonts w:cs="Arial"/>
          <w:color w:val="000000"/>
          <w:sz w:val="22"/>
          <w:szCs w:val="22"/>
        </w:rPr>
        <w:t>)</w:t>
      </w:r>
      <w:r w:rsidR="00B62130">
        <w:rPr>
          <w:rFonts w:cs="Arial"/>
          <w:color w:val="000000"/>
          <w:sz w:val="22"/>
          <w:szCs w:val="22"/>
        </w:rPr>
        <w:t>/60 = 650</w:t>
      </w:r>
      <w:r w:rsidRPr="006B648E">
        <w:rPr>
          <w:rFonts w:cs="Arial"/>
          <w:color w:val="000000"/>
          <w:sz w:val="22"/>
          <w:szCs w:val="22"/>
        </w:rPr>
        <w:t xml:space="preserve">. </w:t>
      </w:r>
    </w:p>
    <w:p w14:paraId="6BEE677F" w14:textId="77777777" w:rsidR="005B0B48" w:rsidRPr="006B648E" w:rsidRDefault="005B0B48" w:rsidP="00755F8C">
      <w:pPr>
        <w:rPr>
          <w:rFonts w:cs="Arial"/>
          <w:color w:val="000000"/>
          <w:sz w:val="22"/>
          <w:szCs w:val="22"/>
        </w:rPr>
      </w:pPr>
    </w:p>
    <w:p w14:paraId="7E1932DB" w14:textId="77777777" w:rsidR="00F87489" w:rsidRPr="00E765AB" w:rsidRDefault="00F87489" w:rsidP="00755F8C">
      <w:pPr>
        <w:rPr>
          <w:rFonts w:cs="Arial"/>
          <w:b/>
          <w:color w:val="000000"/>
          <w:sz w:val="22"/>
          <w:szCs w:val="22"/>
        </w:rPr>
      </w:pPr>
      <w:proofErr w:type="gramStart"/>
      <w:r w:rsidRPr="006B648E">
        <w:rPr>
          <w:rFonts w:cs="Arial"/>
          <w:color w:val="000000"/>
          <w:sz w:val="22"/>
          <w:szCs w:val="22"/>
          <w:u w:val="single"/>
        </w:rPr>
        <w:t>Timing.</w:t>
      </w:r>
      <w:proofErr w:type="gramEnd"/>
      <w:r w:rsidRPr="006B648E">
        <w:rPr>
          <w:rFonts w:cs="Arial"/>
          <w:color w:val="000000"/>
          <w:sz w:val="22"/>
          <w:szCs w:val="22"/>
        </w:rPr>
        <w:t xml:space="preserve">  </w:t>
      </w:r>
    </w:p>
    <w:p w14:paraId="27C0F0C0" w14:textId="77777777" w:rsidR="00F87489" w:rsidRPr="006B648E" w:rsidRDefault="00F87489" w:rsidP="00755F8C">
      <w:pPr>
        <w:rPr>
          <w:rFonts w:cs="Arial"/>
          <w:color w:val="000000"/>
          <w:sz w:val="22"/>
          <w:szCs w:val="22"/>
        </w:rPr>
      </w:pPr>
    </w:p>
    <w:p w14:paraId="2FE0AC86" w14:textId="26FFEB06" w:rsidR="00F87489" w:rsidRPr="006B648E" w:rsidRDefault="00907FDA" w:rsidP="00755F8C">
      <w:pPr>
        <w:rPr>
          <w:rFonts w:cs="Arial"/>
          <w:color w:val="000000"/>
          <w:sz w:val="22"/>
          <w:szCs w:val="22"/>
        </w:rPr>
      </w:pPr>
      <w:r>
        <w:rPr>
          <w:rFonts w:cs="Arial"/>
          <w:color w:val="000000"/>
          <w:sz w:val="22"/>
          <w:szCs w:val="22"/>
        </w:rPr>
        <w:t>July</w:t>
      </w:r>
      <w:r w:rsidR="00F87489" w:rsidRPr="006B648E">
        <w:rPr>
          <w:rFonts w:cs="Arial"/>
          <w:color w:val="000000"/>
          <w:sz w:val="22"/>
          <w:szCs w:val="22"/>
        </w:rPr>
        <w:t xml:space="preserve"> – OMB Review</w:t>
      </w:r>
    </w:p>
    <w:p w14:paraId="2289709B" w14:textId="222C8234" w:rsidR="00F87489" w:rsidRPr="006B648E" w:rsidRDefault="00907FDA" w:rsidP="00755F8C">
      <w:pPr>
        <w:rPr>
          <w:rFonts w:cs="Arial"/>
          <w:color w:val="000000"/>
          <w:sz w:val="22"/>
          <w:szCs w:val="22"/>
        </w:rPr>
      </w:pPr>
      <w:r>
        <w:rPr>
          <w:rFonts w:cs="Arial"/>
          <w:color w:val="000000"/>
          <w:sz w:val="22"/>
          <w:szCs w:val="22"/>
        </w:rPr>
        <w:t>July – Finalization of questionnaire</w:t>
      </w:r>
    </w:p>
    <w:p w14:paraId="0DB1A2A8" w14:textId="5CCFE6CD" w:rsidR="00F87489" w:rsidRPr="006B648E" w:rsidRDefault="00907FDA" w:rsidP="00755F8C">
      <w:pPr>
        <w:rPr>
          <w:rFonts w:cs="Arial"/>
          <w:color w:val="000000"/>
          <w:sz w:val="22"/>
          <w:szCs w:val="22"/>
        </w:rPr>
      </w:pPr>
      <w:r>
        <w:rPr>
          <w:rFonts w:cs="Arial"/>
          <w:color w:val="000000"/>
          <w:sz w:val="22"/>
          <w:szCs w:val="22"/>
        </w:rPr>
        <w:t xml:space="preserve">Early to </w:t>
      </w:r>
      <w:proofErr w:type="spellStart"/>
      <w:r>
        <w:rPr>
          <w:rFonts w:cs="Arial"/>
          <w:color w:val="000000"/>
          <w:sz w:val="22"/>
          <w:szCs w:val="22"/>
        </w:rPr>
        <w:t>mid August</w:t>
      </w:r>
      <w:proofErr w:type="spellEnd"/>
      <w:r w:rsidR="00F87489">
        <w:rPr>
          <w:rFonts w:cs="Arial"/>
          <w:color w:val="000000"/>
          <w:sz w:val="22"/>
          <w:szCs w:val="22"/>
        </w:rPr>
        <w:t xml:space="preserve"> </w:t>
      </w:r>
      <w:r w:rsidR="00CE6927">
        <w:rPr>
          <w:rFonts w:cs="Arial"/>
          <w:color w:val="000000"/>
          <w:sz w:val="22"/>
          <w:szCs w:val="22"/>
        </w:rPr>
        <w:t>– Data collection</w:t>
      </w:r>
    </w:p>
    <w:p w14:paraId="72B9D148" w14:textId="7879CE56" w:rsidR="00F87489" w:rsidRDefault="00907FDA" w:rsidP="00755F8C">
      <w:pPr>
        <w:rPr>
          <w:rFonts w:cs="Arial"/>
          <w:color w:val="000000"/>
          <w:sz w:val="22"/>
          <w:szCs w:val="22"/>
        </w:rPr>
      </w:pPr>
      <w:r>
        <w:rPr>
          <w:rFonts w:cs="Arial"/>
          <w:color w:val="000000"/>
          <w:sz w:val="22"/>
          <w:szCs w:val="22"/>
        </w:rPr>
        <w:t>Late August/Early September</w:t>
      </w:r>
      <w:r w:rsidR="00F87489" w:rsidRPr="006B648E">
        <w:rPr>
          <w:rFonts w:cs="Arial"/>
          <w:color w:val="000000"/>
          <w:sz w:val="22"/>
          <w:szCs w:val="22"/>
        </w:rPr>
        <w:t xml:space="preserve"> –</w:t>
      </w:r>
      <w:r w:rsidR="00F87489">
        <w:rPr>
          <w:rFonts w:cs="Arial"/>
          <w:color w:val="000000"/>
          <w:sz w:val="22"/>
          <w:szCs w:val="22"/>
        </w:rPr>
        <w:t xml:space="preserve"> Analyze and report on findings</w:t>
      </w:r>
    </w:p>
    <w:p w14:paraId="5D9EB795" w14:textId="77777777" w:rsidR="00F87489" w:rsidRDefault="00F87489" w:rsidP="00755F8C">
      <w:pPr>
        <w:rPr>
          <w:rFonts w:cs="Arial"/>
          <w:color w:val="000000"/>
          <w:sz w:val="22"/>
          <w:szCs w:val="22"/>
        </w:rPr>
      </w:pPr>
    </w:p>
    <w:p w14:paraId="4B135CCF" w14:textId="77777777" w:rsidR="005B0B48" w:rsidRDefault="00F87489" w:rsidP="000F506E">
      <w:pPr>
        <w:rPr>
          <w:rFonts w:cs="Arial"/>
          <w:color w:val="000000"/>
          <w:sz w:val="22"/>
          <w:szCs w:val="22"/>
        </w:rPr>
      </w:pPr>
      <w:r w:rsidRPr="005B0B48">
        <w:rPr>
          <w:rFonts w:cs="Arial"/>
          <w:b/>
          <w:color w:val="000000"/>
          <w:sz w:val="22"/>
          <w:szCs w:val="22"/>
          <w:u w:val="single"/>
        </w:rPr>
        <w:t>Contact</w:t>
      </w:r>
      <w:r>
        <w:rPr>
          <w:rFonts w:cs="Arial"/>
          <w:color w:val="000000"/>
          <w:sz w:val="22"/>
          <w:szCs w:val="22"/>
        </w:rPr>
        <w:t xml:space="preserve"> </w:t>
      </w:r>
    </w:p>
    <w:p w14:paraId="5CA2428A" w14:textId="77777777" w:rsidR="005B0B48" w:rsidRDefault="005B0B48" w:rsidP="000F506E">
      <w:pPr>
        <w:rPr>
          <w:rFonts w:cs="Arial"/>
          <w:color w:val="000000"/>
          <w:sz w:val="22"/>
          <w:szCs w:val="22"/>
        </w:rPr>
      </w:pPr>
    </w:p>
    <w:p w14:paraId="30EE1297" w14:textId="77777777" w:rsidR="005B0B48" w:rsidRDefault="005B0B48" w:rsidP="000F506E">
      <w:pPr>
        <w:rPr>
          <w:rFonts w:cs="Arial"/>
          <w:color w:val="000000"/>
          <w:sz w:val="22"/>
          <w:szCs w:val="22"/>
        </w:rPr>
      </w:pPr>
      <w:r>
        <w:rPr>
          <w:rFonts w:cs="Arial"/>
          <w:color w:val="000000"/>
          <w:sz w:val="22"/>
          <w:szCs w:val="22"/>
        </w:rPr>
        <w:t>For questions regarding the survey, contact</w:t>
      </w:r>
      <w:r w:rsidR="006F654F">
        <w:rPr>
          <w:rFonts w:cs="Arial"/>
          <w:color w:val="000000"/>
          <w:sz w:val="22"/>
          <w:szCs w:val="22"/>
        </w:rPr>
        <w:t xml:space="preserve">: </w:t>
      </w:r>
    </w:p>
    <w:p w14:paraId="537A5F15" w14:textId="57F4982A" w:rsidR="005B0B48" w:rsidRDefault="007B2006" w:rsidP="000F506E">
      <w:pPr>
        <w:rPr>
          <w:rFonts w:cs="Arial"/>
          <w:color w:val="000000"/>
          <w:sz w:val="22"/>
          <w:szCs w:val="22"/>
        </w:rPr>
      </w:pPr>
      <w:r>
        <w:rPr>
          <w:rFonts w:cs="Arial"/>
          <w:color w:val="000000"/>
          <w:sz w:val="22"/>
          <w:szCs w:val="22"/>
        </w:rPr>
        <w:t>Dave Richardson</w:t>
      </w:r>
    </w:p>
    <w:p w14:paraId="556FC69D" w14:textId="77777777" w:rsidR="005B0B48" w:rsidRDefault="006F654F" w:rsidP="000F506E">
      <w:pPr>
        <w:rPr>
          <w:rFonts w:cs="Arial"/>
          <w:color w:val="000000"/>
          <w:sz w:val="22"/>
          <w:szCs w:val="22"/>
        </w:rPr>
      </w:pPr>
      <w:r>
        <w:rPr>
          <w:rFonts w:cs="Arial"/>
          <w:color w:val="000000"/>
          <w:sz w:val="22"/>
          <w:szCs w:val="22"/>
        </w:rPr>
        <w:t>Artemis Strategy Group</w:t>
      </w:r>
    </w:p>
    <w:p w14:paraId="5376433A" w14:textId="77777777" w:rsidR="005B0B48" w:rsidRDefault="005B0B48" w:rsidP="000F506E">
      <w:pPr>
        <w:rPr>
          <w:rFonts w:cs="Arial"/>
          <w:color w:val="000000"/>
          <w:sz w:val="22"/>
          <w:szCs w:val="22"/>
        </w:rPr>
      </w:pPr>
      <w:r>
        <w:rPr>
          <w:rFonts w:cs="Arial"/>
          <w:color w:val="000000"/>
          <w:sz w:val="22"/>
          <w:szCs w:val="22"/>
        </w:rPr>
        <w:t>1</w:t>
      </w:r>
      <w:r w:rsidR="00101800">
        <w:rPr>
          <w:rFonts w:cs="Arial"/>
          <w:color w:val="000000"/>
          <w:sz w:val="22"/>
          <w:szCs w:val="22"/>
        </w:rPr>
        <w:t>025 Vermont Ave NW, Suite 830</w:t>
      </w:r>
    </w:p>
    <w:p w14:paraId="4D95FFCF" w14:textId="77777777" w:rsidR="005B0B48" w:rsidRDefault="00101800" w:rsidP="000F506E">
      <w:pPr>
        <w:rPr>
          <w:rFonts w:cs="Arial"/>
          <w:color w:val="000000"/>
          <w:sz w:val="22"/>
          <w:szCs w:val="22"/>
        </w:rPr>
      </w:pPr>
      <w:r>
        <w:rPr>
          <w:rFonts w:cs="Arial"/>
          <w:color w:val="000000"/>
          <w:sz w:val="22"/>
          <w:szCs w:val="22"/>
        </w:rPr>
        <w:t>Washington DC 20005</w:t>
      </w:r>
    </w:p>
    <w:p w14:paraId="0DC4FDBC" w14:textId="77777777" w:rsidR="005B0B48" w:rsidRDefault="00B62130" w:rsidP="000F506E">
      <w:pPr>
        <w:rPr>
          <w:rStyle w:val="Hyperlink"/>
          <w:rFonts w:cs="Arial"/>
          <w:sz w:val="22"/>
          <w:szCs w:val="22"/>
        </w:rPr>
      </w:pPr>
      <w:hyperlink r:id="rId6" w:history="1">
        <w:r w:rsidR="007B2006" w:rsidRPr="00BA78EB">
          <w:rPr>
            <w:rStyle w:val="Hyperlink"/>
            <w:rFonts w:cs="Arial"/>
            <w:sz w:val="22"/>
            <w:szCs w:val="22"/>
          </w:rPr>
          <w:t>drichardson@artemissg.com</w:t>
        </w:r>
      </w:hyperlink>
    </w:p>
    <w:p w14:paraId="459AEF52" w14:textId="5946CCD1" w:rsidR="00F87489" w:rsidRPr="008E3939" w:rsidRDefault="008F3B11" w:rsidP="000F506E">
      <w:proofErr w:type="gramStart"/>
      <w:r>
        <w:rPr>
          <w:rFonts w:cs="Arial"/>
          <w:color w:val="000000"/>
          <w:sz w:val="22"/>
          <w:szCs w:val="22"/>
        </w:rPr>
        <w:t>telephone</w:t>
      </w:r>
      <w:proofErr w:type="gramEnd"/>
      <w:r>
        <w:rPr>
          <w:rFonts w:cs="Arial"/>
          <w:color w:val="000000"/>
          <w:sz w:val="22"/>
          <w:szCs w:val="22"/>
        </w:rPr>
        <w:t xml:space="preserve">: 703-262-0550 </w:t>
      </w:r>
    </w:p>
    <w:sectPr w:rsidR="00F87489" w:rsidRPr="008E3939" w:rsidSect="006361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20D0"/>
    <w:multiLevelType w:val="hybridMultilevel"/>
    <w:tmpl w:val="0CD0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E40261"/>
    <w:multiLevelType w:val="hybridMultilevel"/>
    <w:tmpl w:val="FEE09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15FA5"/>
    <w:multiLevelType w:val="hybridMultilevel"/>
    <w:tmpl w:val="F65EF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39"/>
    <w:rsid w:val="000239FD"/>
    <w:rsid w:val="000664FD"/>
    <w:rsid w:val="00077C88"/>
    <w:rsid w:val="000A0808"/>
    <w:rsid w:val="000E0CED"/>
    <w:rsid w:val="000E19FA"/>
    <w:rsid w:val="000F506E"/>
    <w:rsid w:val="00101800"/>
    <w:rsid w:val="00103BA2"/>
    <w:rsid w:val="00165C7B"/>
    <w:rsid w:val="00167ED0"/>
    <w:rsid w:val="00192E71"/>
    <w:rsid w:val="00225A21"/>
    <w:rsid w:val="00226237"/>
    <w:rsid w:val="00286A36"/>
    <w:rsid w:val="00292B4D"/>
    <w:rsid w:val="002C703D"/>
    <w:rsid w:val="002E590F"/>
    <w:rsid w:val="00351F8F"/>
    <w:rsid w:val="00392F69"/>
    <w:rsid w:val="00395F13"/>
    <w:rsid w:val="003D3E55"/>
    <w:rsid w:val="0041302E"/>
    <w:rsid w:val="00416461"/>
    <w:rsid w:val="00437850"/>
    <w:rsid w:val="00445A9E"/>
    <w:rsid w:val="004549F3"/>
    <w:rsid w:val="004D57E9"/>
    <w:rsid w:val="00572C42"/>
    <w:rsid w:val="0058505D"/>
    <w:rsid w:val="005901C9"/>
    <w:rsid w:val="005A257C"/>
    <w:rsid w:val="005B0B48"/>
    <w:rsid w:val="005C33F9"/>
    <w:rsid w:val="005E2D81"/>
    <w:rsid w:val="005E6FB1"/>
    <w:rsid w:val="00605DE2"/>
    <w:rsid w:val="00605FD4"/>
    <w:rsid w:val="00623A0B"/>
    <w:rsid w:val="006361B8"/>
    <w:rsid w:val="006560C0"/>
    <w:rsid w:val="006711B1"/>
    <w:rsid w:val="006855EC"/>
    <w:rsid w:val="006A3FC1"/>
    <w:rsid w:val="006B648E"/>
    <w:rsid w:val="006C6E13"/>
    <w:rsid w:val="006F654F"/>
    <w:rsid w:val="00714636"/>
    <w:rsid w:val="00755F8C"/>
    <w:rsid w:val="007B2006"/>
    <w:rsid w:val="007C4ED0"/>
    <w:rsid w:val="007E05CF"/>
    <w:rsid w:val="007E3F52"/>
    <w:rsid w:val="00806FDA"/>
    <w:rsid w:val="00892638"/>
    <w:rsid w:val="008A0B73"/>
    <w:rsid w:val="008A1A77"/>
    <w:rsid w:val="008B541B"/>
    <w:rsid w:val="008B62BD"/>
    <w:rsid w:val="008E2BF0"/>
    <w:rsid w:val="008E3939"/>
    <w:rsid w:val="008F3B11"/>
    <w:rsid w:val="00907FDA"/>
    <w:rsid w:val="009142CD"/>
    <w:rsid w:val="00932DB3"/>
    <w:rsid w:val="0094543F"/>
    <w:rsid w:val="00987BBD"/>
    <w:rsid w:val="009D00E3"/>
    <w:rsid w:val="009F7EEF"/>
    <w:rsid w:val="00A14D47"/>
    <w:rsid w:val="00A36AFC"/>
    <w:rsid w:val="00AC6357"/>
    <w:rsid w:val="00B1202B"/>
    <w:rsid w:val="00B14B1C"/>
    <w:rsid w:val="00B5662D"/>
    <w:rsid w:val="00B62130"/>
    <w:rsid w:val="00BB787D"/>
    <w:rsid w:val="00BE3EA6"/>
    <w:rsid w:val="00BE740A"/>
    <w:rsid w:val="00BF2801"/>
    <w:rsid w:val="00C14D9E"/>
    <w:rsid w:val="00CB5CD8"/>
    <w:rsid w:val="00CE6927"/>
    <w:rsid w:val="00D079F8"/>
    <w:rsid w:val="00D24349"/>
    <w:rsid w:val="00D7777A"/>
    <w:rsid w:val="00DB0816"/>
    <w:rsid w:val="00DB6F52"/>
    <w:rsid w:val="00DF2806"/>
    <w:rsid w:val="00E174C2"/>
    <w:rsid w:val="00E765AB"/>
    <w:rsid w:val="00E76AC1"/>
    <w:rsid w:val="00EA2480"/>
    <w:rsid w:val="00EC7238"/>
    <w:rsid w:val="00EF4A32"/>
    <w:rsid w:val="00F27AA8"/>
    <w:rsid w:val="00F63FBF"/>
    <w:rsid w:val="00F87489"/>
    <w:rsid w:val="00F879DD"/>
    <w:rsid w:val="00FB07C6"/>
    <w:rsid w:val="00FE7EE8"/>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7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378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7850"/>
    <w:rPr>
      <w:rFonts w:ascii="Tahoma" w:hAnsi="Tahoma" w:cs="Tahoma"/>
      <w:sz w:val="16"/>
      <w:szCs w:val="16"/>
    </w:rPr>
  </w:style>
  <w:style w:type="character" w:styleId="CommentReference">
    <w:name w:val="annotation reference"/>
    <w:basedOn w:val="DefaultParagraphFont"/>
    <w:uiPriority w:val="99"/>
    <w:semiHidden/>
    <w:rsid w:val="000E19FA"/>
    <w:rPr>
      <w:rFonts w:cs="Times New Roman"/>
      <w:sz w:val="16"/>
      <w:szCs w:val="16"/>
    </w:rPr>
  </w:style>
  <w:style w:type="paragraph" w:styleId="CommentText">
    <w:name w:val="annotation text"/>
    <w:basedOn w:val="Normal"/>
    <w:link w:val="CommentTextChar"/>
    <w:uiPriority w:val="99"/>
    <w:semiHidden/>
    <w:rsid w:val="000E19FA"/>
    <w:rPr>
      <w:sz w:val="20"/>
      <w:szCs w:val="20"/>
    </w:rPr>
  </w:style>
  <w:style w:type="character" w:customStyle="1" w:styleId="CommentTextChar">
    <w:name w:val="Comment Text Char"/>
    <w:basedOn w:val="DefaultParagraphFont"/>
    <w:link w:val="CommentText"/>
    <w:uiPriority w:val="99"/>
    <w:semiHidden/>
    <w:locked/>
    <w:rsid w:val="000E19FA"/>
    <w:rPr>
      <w:rFonts w:cs="Times New Roman"/>
      <w:sz w:val="20"/>
      <w:szCs w:val="20"/>
    </w:rPr>
  </w:style>
  <w:style w:type="paragraph" w:styleId="CommentSubject">
    <w:name w:val="annotation subject"/>
    <w:basedOn w:val="CommentText"/>
    <w:next w:val="CommentText"/>
    <w:link w:val="CommentSubjectChar"/>
    <w:uiPriority w:val="99"/>
    <w:semiHidden/>
    <w:rsid w:val="000E19FA"/>
    <w:rPr>
      <w:b/>
      <w:bCs/>
    </w:rPr>
  </w:style>
  <w:style w:type="character" w:customStyle="1" w:styleId="CommentSubjectChar">
    <w:name w:val="Comment Subject Char"/>
    <w:basedOn w:val="CommentTextChar"/>
    <w:link w:val="CommentSubject"/>
    <w:uiPriority w:val="99"/>
    <w:semiHidden/>
    <w:locked/>
    <w:rsid w:val="000E19FA"/>
    <w:rPr>
      <w:rFonts w:cs="Times New Roman"/>
      <w:b/>
      <w:bCs/>
      <w:sz w:val="20"/>
      <w:szCs w:val="20"/>
    </w:rPr>
  </w:style>
  <w:style w:type="character" w:styleId="Hyperlink">
    <w:name w:val="Hyperlink"/>
    <w:basedOn w:val="DefaultParagraphFont"/>
    <w:uiPriority w:val="99"/>
    <w:unhideWhenUsed/>
    <w:rsid w:val="006F654F"/>
    <w:rPr>
      <w:color w:val="0000FF" w:themeColor="hyperlink"/>
      <w:u w:val="single"/>
    </w:rPr>
  </w:style>
  <w:style w:type="character" w:styleId="FollowedHyperlink">
    <w:name w:val="FollowedHyperlink"/>
    <w:basedOn w:val="DefaultParagraphFont"/>
    <w:uiPriority w:val="99"/>
    <w:semiHidden/>
    <w:unhideWhenUsed/>
    <w:rsid w:val="007B20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378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7850"/>
    <w:rPr>
      <w:rFonts w:ascii="Tahoma" w:hAnsi="Tahoma" w:cs="Tahoma"/>
      <w:sz w:val="16"/>
      <w:szCs w:val="16"/>
    </w:rPr>
  </w:style>
  <w:style w:type="character" w:styleId="CommentReference">
    <w:name w:val="annotation reference"/>
    <w:basedOn w:val="DefaultParagraphFont"/>
    <w:uiPriority w:val="99"/>
    <w:semiHidden/>
    <w:rsid w:val="000E19FA"/>
    <w:rPr>
      <w:rFonts w:cs="Times New Roman"/>
      <w:sz w:val="16"/>
      <w:szCs w:val="16"/>
    </w:rPr>
  </w:style>
  <w:style w:type="paragraph" w:styleId="CommentText">
    <w:name w:val="annotation text"/>
    <w:basedOn w:val="Normal"/>
    <w:link w:val="CommentTextChar"/>
    <w:uiPriority w:val="99"/>
    <w:semiHidden/>
    <w:rsid w:val="000E19FA"/>
    <w:rPr>
      <w:sz w:val="20"/>
      <w:szCs w:val="20"/>
    </w:rPr>
  </w:style>
  <w:style w:type="character" w:customStyle="1" w:styleId="CommentTextChar">
    <w:name w:val="Comment Text Char"/>
    <w:basedOn w:val="DefaultParagraphFont"/>
    <w:link w:val="CommentText"/>
    <w:uiPriority w:val="99"/>
    <w:semiHidden/>
    <w:locked/>
    <w:rsid w:val="000E19FA"/>
    <w:rPr>
      <w:rFonts w:cs="Times New Roman"/>
      <w:sz w:val="20"/>
      <w:szCs w:val="20"/>
    </w:rPr>
  </w:style>
  <w:style w:type="paragraph" w:styleId="CommentSubject">
    <w:name w:val="annotation subject"/>
    <w:basedOn w:val="CommentText"/>
    <w:next w:val="CommentText"/>
    <w:link w:val="CommentSubjectChar"/>
    <w:uiPriority w:val="99"/>
    <w:semiHidden/>
    <w:rsid w:val="000E19FA"/>
    <w:rPr>
      <w:b/>
      <w:bCs/>
    </w:rPr>
  </w:style>
  <w:style w:type="character" w:customStyle="1" w:styleId="CommentSubjectChar">
    <w:name w:val="Comment Subject Char"/>
    <w:basedOn w:val="CommentTextChar"/>
    <w:link w:val="CommentSubject"/>
    <w:uiPriority w:val="99"/>
    <w:semiHidden/>
    <w:locked/>
    <w:rsid w:val="000E19FA"/>
    <w:rPr>
      <w:rFonts w:cs="Times New Roman"/>
      <w:b/>
      <w:bCs/>
      <w:sz w:val="20"/>
      <w:szCs w:val="20"/>
    </w:rPr>
  </w:style>
  <w:style w:type="character" w:styleId="Hyperlink">
    <w:name w:val="Hyperlink"/>
    <w:basedOn w:val="DefaultParagraphFont"/>
    <w:uiPriority w:val="99"/>
    <w:unhideWhenUsed/>
    <w:rsid w:val="006F654F"/>
    <w:rPr>
      <w:color w:val="0000FF" w:themeColor="hyperlink"/>
      <w:u w:val="single"/>
    </w:rPr>
  </w:style>
  <w:style w:type="character" w:styleId="FollowedHyperlink">
    <w:name w:val="FollowedHyperlink"/>
    <w:basedOn w:val="DefaultParagraphFont"/>
    <w:uiPriority w:val="99"/>
    <w:semiHidden/>
    <w:unhideWhenUsed/>
    <w:rsid w:val="007B2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84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ichardson@artemiss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DeWitt</dc:creator>
  <cp:lastModifiedBy>Edita W. Rickard </cp:lastModifiedBy>
  <cp:revision>2</cp:revision>
  <cp:lastPrinted>2014-07-09T14:45:00Z</cp:lastPrinted>
  <dcterms:created xsi:type="dcterms:W3CDTF">2014-07-10T15:17:00Z</dcterms:created>
  <dcterms:modified xsi:type="dcterms:W3CDTF">2014-07-10T15:17:00Z</dcterms:modified>
</cp:coreProperties>
</file>