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E6D" w:rsidRPr="00E14D82" w:rsidRDefault="00916E6D" w:rsidP="00916E6D">
      <w:pPr>
        <w:jc w:val="center"/>
        <w:rPr>
          <w:b/>
          <w:szCs w:val="28"/>
        </w:rPr>
      </w:pPr>
      <w:r w:rsidRPr="00E14D82">
        <w:rPr>
          <w:b/>
          <w:szCs w:val="28"/>
        </w:rPr>
        <w:t>Supporting Statement</w:t>
      </w:r>
    </w:p>
    <w:p w:rsidR="00916E6D" w:rsidRPr="00E14D82" w:rsidRDefault="00222E61" w:rsidP="00E14D82">
      <w:pPr>
        <w:jc w:val="center"/>
        <w:rPr>
          <w:b/>
          <w:szCs w:val="28"/>
        </w:rPr>
      </w:pPr>
      <w:r>
        <w:rPr>
          <w:b/>
          <w:szCs w:val="28"/>
        </w:rPr>
        <w:t xml:space="preserve">Information Collection (ICR) </w:t>
      </w:r>
      <w:r w:rsidR="00916E6D" w:rsidRPr="00E14D82">
        <w:rPr>
          <w:b/>
          <w:szCs w:val="28"/>
        </w:rPr>
        <w:t>Approval Request to Conduct Customer Satisfaction Research (OMB #1545-</w:t>
      </w:r>
      <w:r w:rsidR="00777C92" w:rsidRPr="00E14D82">
        <w:rPr>
          <w:b/>
          <w:szCs w:val="28"/>
        </w:rPr>
        <w:t>1432</w:t>
      </w:r>
      <w:r w:rsidR="00916E6D" w:rsidRPr="00E14D82">
        <w:rPr>
          <w:b/>
          <w:szCs w:val="28"/>
        </w:rPr>
        <w:t>)</w:t>
      </w:r>
    </w:p>
    <w:p w:rsidR="00916E6D" w:rsidRDefault="00916E6D" w:rsidP="00916E6D">
      <w:pPr>
        <w:ind w:firstLine="720"/>
        <w:jc w:val="center"/>
        <w:rPr>
          <w:rFonts w:ascii="Berlin Sans FB" w:hAnsi="Berlin Sans FB"/>
          <w:b/>
          <w:szCs w:val="28"/>
        </w:rPr>
      </w:pPr>
    </w:p>
    <w:p w:rsidR="00C26234" w:rsidRPr="00C26234" w:rsidRDefault="00C26234" w:rsidP="00C26234">
      <w:pPr>
        <w:ind w:firstLine="720"/>
        <w:rPr>
          <w:b/>
          <w:szCs w:val="28"/>
        </w:rPr>
      </w:pPr>
      <w:r w:rsidRPr="00C26234">
        <w:rPr>
          <w:b/>
          <w:szCs w:val="28"/>
        </w:rPr>
        <w:t>Title:</w:t>
      </w:r>
      <w:r>
        <w:rPr>
          <w:b/>
          <w:szCs w:val="28"/>
        </w:rPr>
        <w:t xml:space="preserve">  </w:t>
      </w:r>
      <w:r w:rsidR="00BF1A9A">
        <w:rPr>
          <w:b/>
          <w:szCs w:val="28"/>
        </w:rPr>
        <w:t>CSCO Customer Satisfaction Survey Card Insert</w:t>
      </w:r>
    </w:p>
    <w:p w:rsidR="00916E6D" w:rsidRDefault="00916E6D" w:rsidP="00916E6D"/>
    <w:p w:rsidR="00916E6D" w:rsidRDefault="00916E6D" w:rsidP="00916E6D">
      <w:pPr>
        <w:pStyle w:val="ListParagraph"/>
        <w:numPr>
          <w:ilvl w:val="0"/>
          <w:numId w:val="19"/>
        </w:numPr>
        <w:ind w:left="0"/>
        <w:rPr>
          <w:b/>
        </w:rPr>
      </w:pPr>
      <w:r>
        <w:rPr>
          <w:b/>
        </w:rPr>
        <w:t>JUSTIFICATION</w:t>
      </w:r>
    </w:p>
    <w:p w:rsidR="00916E6D" w:rsidRDefault="00916E6D" w:rsidP="00916E6D">
      <w:pPr>
        <w:pStyle w:val="ListParagraph"/>
        <w:ind w:left="0"/>
        <w:rPr>
          <w:b/>
        </w:rPr>
      </w:pPr>
    </w:p>
    <w:p w:rsidR="00916E6D" w:rsidRDefault="00916E6D" w:rsidP="00916E6D">
      <w:pPr>
        <w:pStyle w:val="ListParagraph"/>
        <w:numPr>
          <w:ilvl w:val="0"/>
          <w:numId w:val="20"/>
        </w:numPr>
        <w:ind w:left="0"/>
        <w:rPr>
          <w:b/>
        </w:rPr>
      </w:pPr>
      <w:r>
        <w:rPr>
          <w:b/>
        </w:rPr>
        <w:t>Circumstances Making the Collection of Information Necessary</w:t>
      </w:r>
      <w:bookmarkStart w:id="0" w:name="_GoBack"/>
      <w:r w:rsidR="002870D9">
        <w:rPr>
          <w:b/>
        </w:rPr>
        <w:t xml:space="preserve"> </w:t>
      </w:r>
      <w:bookmarkEnd w:id="0"/>
      <w:r w:rsidR="002870D9">
        <w:rPr>
          <w:b/>
        </w:rPr>
        <w:t>–</w:t>
      </w:r>
      <w:r w:rsidR="002870D9" w:rsidRPr="0020544B">
        <w:t xml:space="preserve"> </w:t>
      </w:r>
      <w:r w:rsidR="0020544B" w:rsidRPr="0020544B">
        <w:t>W</w:t>
      </w:r>
      <w:r w:rsidR="002870D9" w:rsidRPr="0020544B">
        <w:t>age</w:t>
      </w:r>
      <w:r w:rsidR="002870D9" w:rsidRPr="00701F40">
        <w:t xml:space="preserve"> and Investment </w:t>
      </w:r>
      <w:r w:rsidR="00701F40" w:rsidRPr="00701F40">
        <w:t xml:space="preserve">Compliance Services </w:t>
      </w:r>
      <w:r w:rsidR="002870D9" w:rsidRPr="00701F40">
        <w:t xml:space="preserve">Collection Operation </w:t>
      </w:r>
      <w:r w:rsidR="00701F40" w:rsidRPr="00701F40">
        <w:t xml:space="preserve">(CSCO) </w:t>
      </w:r>
      <w:r w:rsidR="002870D9" w:rsidRPr="00701F40">
        <w:t xml:space="preserve">is </w:t>
      </w:r>
      <w:r w:rsidR="00701F40" w:rsidRPr="00701F40">
        <w:t xml:space="preserve">required to use customer satisfaction surveys to assess how </w:t>
      </w:r>
      <w:r w:rsidR="00322073">
        <w:t>well taxpayers are being served as part of the IRS Balance</w:t>
      </w:r>
      <w:r w:rsidR="00BF1A9A">
        <w:t>d Measures. Right now, the CSCO</w:t>
      </w:r>
      <w:r w:rsidR="00322073">
        <w:t xml:space="preserve"> survey procedure involves a </w:t>
      </w:r>
      <w:r w:rsidR="00BF1A9A">
        <w:t xml:space="preserve">follow-up phone survey. The phone-based survey is not ideal because of a one month delay involved in accumulating a sample, and because phone numbers are not captured for all taxpayers with CSCO cases. The survey proposed in this document would </w:t>
      </w:r>
      <w:r w:rsidR="00322073">
        <w:t xml:space="preserve">test of a new survey administration technique wherein the </w:t>
      </w:r>
      <w:r w:rsidR="00BF1A9A">
        <w:t xml:space="preserve">customer satisfaction </w:t>
      </w:r>
      <w:r w:rsidR="00322073">
        <w:t xml:space="preserve">questionnaire is included in the closing letter as a postage-paid </w:t>
      </w:r>
      <w:r w:rsidR="0020544B">
        <w:t>postcard</w:t>
      </w:r>
      <w:r w:rsidR="00322073">
        <w:t xml:space="preserve">. It is believed that, if response rates are acceptable, </w:t>
      </w:r>
      <w:r w:rsidR="00193B3F">
        <w:t>this metho</w:t>
      </w:r>
      <w:r w:rsidR="00BF1A9A">
        <w:t xml:space="preserve">d is </w:t>
      </w:r>
      <w:r w:rsidR="0020544B">
        <w:t>preferable</w:t>
      </w:r>
      <w:r w:rsidR="00BF1A9A">
        <w:t xml:space="preserve"> because of</w:t>
      </w:r>
      <w:r w:rsidR="00193B3F">
        <w:t xml:space="preserve"> potential </w:t>
      </w:r>
      <w:r w:rsidR="00BF1A9A">
        <w:t xml:space="preserve">recall and sampling </w:t>
      </w:r>
      <w:r w:rsidR="00193B3F">
        <w:t>biases possible within the current</w:t>
      </w:r>
      <w:r w:rsidR="00BF1A9A">
        <w:t xml:space="preserve"> phone-based</w:t>
      </w:r>
      <w:r w:rsidR="00193B3F">
        <w:t xml:space="preserve"> testing procedure. </w:t>
      </w:r>
    </w:p>
    <w:p w:rsidR="00916E6D" w:rsidRDefault="00916E6D" w:rsidP="00916E6D">
      <w:pPr>
        <w:pStyle w:val="ListParagraph"/>
        <w:ind w:left="0"/>
        <w:rPr>
          <w:b/>
        </w:rPr>
      </w:pPr>
    </w:p>
    <w:p w:rsidR="00957AEC" w:rsidRDefault="00916E6D" w:rsidP="00957AEC">
      <w:pPr>
        <w:pStyle w:val="ListParagraph"/>
        <w:numPr>
          <w:ilvl w:val="0"/>
          <w:numId w:val="20"/>
        </w:numPr>
        <w:ind w:left="0"/>
      </w:pPr>
      <w:r>
        <w:rPr>
          <w:b/>
        </w:rPr>
        <w:t>Purpose and Use of the Information Collection</w:t>
      </w:r>
      <w:r w:rsidR="00E13F41">
        <w:rPr>
          <w:b/>
        </w:rPr>
        <w:t xml:space="preserve"> – </w:t>
      </w:r>
      <w:r w:rsidR="001508A6">
        <w:t xml:space="preserve">Comparison between the </w:t>
      </w:r>
      <w:r w:rsidR="00BF1A9A">
        <w:t>i</w:t>
      </w:r>
      <w:r w:rsidR="00E13F41" w:rsidRPr="00701F40">
        <w:t>nformation c</w:t>
      </w:r>
      <w:r w:rsidR="001508A6">
        <w:t xml:space="preserve">ollected using this survey and the existing survey will </w:t>
      </w:r>
      <w:r w:rsidR="00E13F41" w:rsidRPr="00701F40">
        <w:t>provide an estimate of</w:t>
      </w:r>
      <w:r w:rsidR="001508A6">
        <w:t xml:space="preserve"> the effectiveness and accuracy of a insert-based method of testing</w:t>
      </w:r>
      <w:r w:rsidR="00E13F41" w:rsidRPr="00701F40">
        <w:t xml:space="preserve"> taxpayer satisfaction with the service provided by CSCO</w:t>
      </w:r>
      <w:r w:rsidR="0046051E">
        <w:t xml:space="preserve">. </w:t>
      </w:r>
      <w:r w:rsidR="001508A6">
        <w:t xml:space="preserve">It is believed that </w:t>
      </w:r>
      <w:r w:rsidR="0046051E" w:rsidRPr="0046051E">
        <w:t>This survey will</w:t>
      </w:r>
      <w:r w:rsidR="00BF1A9A">
        <w:t xml:space="preserve"> be run concurrently with the existing phone-based survey to facilitate</w:t>
      </w:r>
      <w:r w:rsidR="0046051E" w:rsidRPr="0046051E">
        <w:t xml:space="preserve"> </w:t>
      </w:r>
      <w:r w:rsidR="00BF1A9A">
        <w:t>accurate comparison</w:t>
      </w:r>
      <w:r w:rsidR="0046051E">
        <w:t xml:space="preserve">. </w:t>
      </w:r>
      <w:r w:rsidR="00BF1A9A">
        <w:t>The comparison will include</w:t>
      </w:r>
      <w:r w:rsidR="00012FAE">
        <w:t xml:space="preserve">, response rate and </w:t>
      </w:r>
      <w:r w:rsidR="00BF1A9A">
        <w:t>consistency of responses</w:t>
      </w:r>
      <w:r w:rsidR="00012FAE">
        <w:t>.</w:t>
      </w:r>
    </w:p>
    <w:p w:rsidR="00916E6D" w:rsidRDefault="00916E6D" w:rsidP="00916E6D"/>
    <w:p w:rsidR="00916E6D" w:rsidRPr="00193B3F" w:rsidRDefault="00916E6D" w:rsidP="00916E6D">
      <w:pPr>
        <w:pStyle w:val="ListParagraph"/>
        <w:numPr>
          <w:ilvl w:val="0"/>
          <w:numId w:val="20"/>
        </w:numPr>
        <w:ind w:left="0"/>
      </w:pPr>
      <w:r>
        <w:rPr>
          <w:b/>
        </w:rPr>
        <w:t>Consideration Given to Information Technology</w:t>
      </w:r>
      <w:r w:rsidR="00E13F41">
        <w:rPr>
          <w:b/>
        </w:rPr>
        <w:t xml:space="preserve"> –</w:t>
      </w:r>
      <w:r w:rsidR="00193B3F">
        <w:rPr>
          <w:b/>
        </w:rPr>
        <w:t xml:space="preserve"> </w:t>
      </w:r>
      <w:r w:rsidR="00193B3F" w:rsidRPr="00193B3F">
        <w:t>Because we would like to test the effectiveness of providing a survey with the closing letter, limited consideration was given to using</w:t>
      </w:r>
      <w:r w:rsidR="00193B3F">
        <w:t xml:space="preserve"> information</w:t>
      </w:r>
      <w:r w:rsidR="00193B3F" w:rsidRPr="00193B3F">
        <w:t xml:space="preserve"> technology </w:t>
      </w:r>
      <w:r w:rsidR="00193B3F">
        <w:t>to administer this survey</w:t>
      </w:r>
    </w:p>
    <w:p w:rsidR="00916E6D" w:rsidRDefault="00916E6D" w:rsidP="00916E6D"/>
    <w:p w:rsidR="00916E6D" w:rsidRPr="001508A6" w:rsidRDefault="00916E6D" w:rsidP="0046051E">
      <w:pPr>
        <w:pStyle w:val="ListParagraph"/>
        <w:numPr>
          <w:ilvl w:val="0"/>
          <w:numId w:val="20"/>
        </w:numPr>
        <w:ind w:left="0"/>
      </w:pPr>
      <w:r>
        <w:rPr>
          <w:b/>
        </w:rPr>
        <w:t xml:space="preserve"> Duplication of Information</w:t>
      </w:r>
      <w:r w:rsidR="0046051E">
        <w:rPr>
          <w:b/>
        </w:rPr>
        <w:t xml:space="preserve"> –</w:t>
      </w:r>
      <w:r w:rsidR="00193B3F">
        <w:rPr>
          <w:b/>
        </w:rPr>
        <w:t xml:space="preserve"> </w:t>
      </w:r>
      <w:r w:rsidR="00193B3F" w:rsidRPr="00193B3F">
        <w:t xml:space="preserve">There will be duplication </w:t>
      </w:r>
      <w:r w:rsidR="00012FAE">
        <w:t xml:space="preserve">of information collected because of concurrent collection through survey card insert and phone-based survey methods. This redundancy is </w:t>
      </w:r>
      <w:r w:rsidR="00193B3F" w:rsidRPr="00193B3F">
        <w:t xml:space="preserve">necessary to permit comparison </w:t>
      </w:r>
      <w:r w:rsidR="00AD3BA9">
        <w:t xml:space="preserve">between </w:t>
      </w:r>
      <w:r w:rsidR="00012FAE">
        <w:t>the two methods.</w:t>
      </w:r>
      <w:r w:rsidR="00193B3F">
        <w:rPr>
          <w:b/>
        </w:rPr>
        <w:t xml:space="preserve"> </w:t>
      </w:r>
    </w:p>
    <w:p w:rsidR="001508A6" w:rsidRDefault="001508A6" w:rsidP="001508A6">
      <w:pPr>
        <w:pStyle w:val="ListParagraph"/>
        <w:ind w:left="0"/>
      </w:pPr>
    </w:p>
    <w:p w:rsidR="00916E6D" w:rsidRDefault="00916E6D" w:rsidP="00916E6D">
      <w:pPr>
        <w:pStyle w:val="ListParagraph"/>
        <w:numPr>
          <w:ilvl w:val="0"/>
          <w:numId w:val="20"/>
        </w:numPr>
        <w:ind w:left="0"/>
        <w:rPr>
          <w:b/>
        </w:rPr>
      </w:pPr>
      <w:r>
        <w:rPr>
          <w:b/>
        </w:rPr>
        <w:t xml:space="preserve"> Reducing the Burden on Small Entities</w:t>
      </w:r>
      <w:r w:rsidR="006A06B6">
        <w:rPr>
          <w:b/>
        </w:rPr>
        <w:t xml:space="preserve"> – </w:t>
      </w:r>
      <w:r w:rsidR="006A06B6" w:rsidRPr="006A06B6">
        <w:t>This survey, because it is administered in written form potentially imposes much less burden on the respondent</w:t>
      </w:r>
      <w:r w:rsidR="006A06B6">
        <w:t xml:space="preserve"> compared to the phone-based interview currently in use. In addition, the comparable or superior response rate anticipated with this mode will mean a smaller sample may be necessary, reducing overall burden in addition to decreasing cost</w:t>
      </w:r>
      <w:r w:rsidR="006A06B6" w:rsidRPr="006A06B6">
        <w:t>.</w:t>
      </w:r>
    </w:p>
    <w:p w:rsidR="00916E6D" w:rsidRDefault="00916E6D" w:rsidP="00916E6D"/>
    <w:p w:rsidR="00916E6D" w:rsidRDefault="00916E6D" w:rsidP="00916E6D">
      <w:pPr>
        <w:pStyle w:val="ListParagraph"/>
        <w:numPr>
          <w:ilvl w:val="0"/>
          <w:numId w:val="20"/>
        </w:numPr>
        <w:ind w:left="0"/>
        <w:rPr>
          <w:b/>
        </w:rPr>
      </w:pPr>
      <w:r>
        <w:rPr>
          <w:b/>
        </w:rPr>
        <w:t xml:space="preserve">Consequences of Not Conducting Collection </w:t>
      </w:r>
      <w:r w:rsidR="001508A6">
        <w:rPr>
          <w:b/>
        </w:rPr>
        <w:t xml:space="preserve">– </w:t>
      </w:r>
      <w:r w:rsidR="001508A6" w:rsidRPr="001508A6">
        <w:t>Not conducting this survey would mean that the decision about whether to switch to a insert-type closing survey instead of a phone-based closin</w:t>
      </w:r>
      <w:r w:rsidR="00012FAE">
        <w:t>g survey would not benefit from data based comparison.</w:t>
      </w:r>
    </w:p>
    <w:p w:rsidR="00916E6D" w:rsidRDefault="00916E6D" w:rsidP="00916E6D">
      <w:pPr>
        <w:pStyle w:val="ListParagraph"/>
        <w:ind w:left="0"/>
        <w:rPr>
          <w:b/>
        </w:rPr>
      </w:pPr>
    </w:p>
    <w:p w:rsidR="00916E6D" w:rsidRPr="0037185E" w:rsidRDefault="00916E6D" w:rsidP="00916E6D">
      <w:pPr>
        <w:pStyle w:val="ListParagraph"/>
        <w:numPr>
          <w:ilvl w:val="0"/>
          <w:numId w:val="20"/>
        </w:numPr>
        <w:ind w:left="0"/>
      </w:pPr>
      <w:r>
        <w:rPr>
          <w:b/>
        </w:rPr>
        <w:t>Special Circumstances</w:t>
      </w:r>
      <w:r w:rsidR="0037185E">
        <w:rPr>
          <w:b/>
        </w:rPr>
        <w:t xml:space="preserve"> – </w:t>
      </w:r>
      <w:r w:rsidR="0037185E" w:rsidRPr="0037185E">
        <w:t>N/A</w:t>
      </w:r>
    </w:p>
    <w:p w:rsidR="00916E6D" w:rsidRDefault="00916E6D" w:rsidP="00916E6D"/>
    <w:p w:rsidR="00916E6D" w:rsidRDefault="00916E6D" w:rsidP="00916E6D">
      <w:pPr>
        <w:pStyle w:val="ListParagraph"/>
        <w:numPr>
          <w:ilvl w:val="0"/>
          <w:numId w:val="20"/>
        </w:numPr>
        <w:ind w:left="0"/>
        <w:rPr>
          <w:b/>
        </w:rPr>
      </w:pPr>
      <w:r>
        <w:rPr>
          <w:b/>
        </w:rPr>
        <w:t>Consultations with Persons Outside the Agency</w:t>
      </w:r>
      <w:r w:rsidR="00A404C5">
        <w:rPr>
          <w:b/>
        </w:rPr>
        <w:t xml:space="preserve"> –</w:t>
      </w:r>
      <w:r w:rsidR="0037185E">
        <w:rPr>
          <w:b/>
        </w:rPr>
        <w:t xml:space="preserve"> </w:t>
      </w:r>
      <w:r w:rsidR="00A404C5" w:rsidRPr="0037185E">
        <w:t>N/A</w:t>
      </w:r>
    </w:p>
    <w:p w:rsidR="00916E6D" w:rsidRDefault="00916E6D" w:rsidP="00916E6D"/>
    <w:p w:rsidR="00916E6D" w:rsidRDefault="00916E6D" w:rsidP="00916E6D">
      <w:pPr>
        <w:pStyle w:val="ListParagraph"/>
        <w:numPr>
          <w:ilvl w:val="0"/>
          <w:numId w:val="20"/>
        </w:numPr>
        <w:ind w:left="0"/>
        <w:rPr>
          <w:b/>
        </w:rPr>
      </w:pPr>
      <w:r>
        <w:rPr>
          <w:b/>
        </w:rPr>
        <w:lastRenderedPageBreak/>
        <w:t>Payment or Gift</w:t>
      </w:r>
      <w:r w:rsidR="00A404C5">
        <w:rPr>
          <w:b/>
        </w:rPr>
        <w:t xml:space="preserve"> – </w:t>
      </w:r>
      <w:r w:rsidR="00A404C5" w:rsidRPr="0037185E">
        <w:t>N/A</w:t>
      </w:r>
    </w:p>
    <w:p w:rsidR="00916E6D" w:rsidRPr="00336C81" w:rsidRDefault="00916E6D" w:rsidP="00916E6D">
      <w:pPr>
        <w:rPr>
          <w:color w:val="FF0000"/>
        </w:rPr>
      </w:pPr>
    </w:p>
    <w:p w:rsidR="00916E6D" w:rsidRDefault="00916E6D" w:rsidP="00916E6D">
      <w:pPr>
        <w:pStyle w:val="ListParagraph"/>
        <w:numPr>
          <w:ilvl w:val="0"/>
          <w:numId w:val="20"/>
        </w:numPr>
        <w:ind w:left="0"/>
        <w:rPr>
          <w:b/>
          <w:color w:val="FF0000"/>
        </w:rPr>
      </w:pPr>
      <w:r w:rsidRPr="00336C81">
        <w:rPr>
          <w:b/>
          <w:color w:val="FF0000"/>
        </w:rPr>
        <w:t xml:space="preserve"> </w:t>
      </w:r>
      <w:r w:rsidRPr="00C8158A">
        <w:rPr>
          <w:b/>
          <w:color w:val="000000"/>
        </w:rPr>
        <w:t>Confidentiality</w:t>
      </w:r>
      <w:r w:rsidR="00336C81" w:rsidRPr="00C8158A">
        <w:rPr>
          <w:b/>
          <w:color w:val="000000"/>
        </w:rPr>
        <w:t>:</w:t>
      </w:r>
      <w:r w:rsidR="00E14D82" w:rsidRPr="00336C81">
        <w:rPr>
          <w:b/>
          <w:color w:val="FF0000"/>
        </w:rPr>
        <w:t xml:space="preserve"> </w:t>
      </w:r>
    </w:p>
    <w:p w:rsidR="008373A5" w:rsidRDefault="008373A5" w:rsidP="008373A5">
      <w:pPr>
        <w:pStyle w:val="ListParagraph"/>
        <w:rPr>
          <w:b/>
          <w:color w:val="FF0000"/>
        </w:rPr>
      </w:pPr>
    </w:p>
    <w:p w:rsidR="008373A5" w:rsidRPr="007C1FF3" w:rsidRDefault="007C1FF3" w:rsidP="008373A5">
      <w:pPr>
        <w:pStyle w:val="ListParagraph"/>
        <w:ind w:left="0"/>
      </w:pPr>
      <w:r w:rsidRPr="007C1FF3">
        <w:t>No personally identifiable information (PII) will be collected. Wage and Investment, Research and Analysis (WIRA) personnel will ensure the privacy, disclosure, and security of the survey results as allowed by law. Public and official access to the information will be tightly controlled as stipulated by the security requirements of the Computer Security Act of 1987 and Office of Management and Budget Circular A-130.</w:t>
      </w:r>
    </w:p>
    <w:p w:rsidR="00916E6D" w:rsidRDefault="00916E6D" w:rsidP="00916E6D"/>
    <w:p w:rsidR="00916E6D" w:rsidRDefault="00916E6D" w:rsidP="00916E6D">
      <w:pPr>
        <w:pStyle w:val="ListParagraph"/>
        <w:numPr>
          <w:ilvl w:val="0"/>
          <w:numId w:val="20"/>
        </w:numPr>
        <w:ind w:left="0"/>
        <w:rPr>
          <w:b/>
        </w:rPr>
      </w:pPr>
      <w:r>
        <w:rPr>
          <w:b/>
        </w:rPr>
        <w:t>Sensitive Nature</w:t>
      </w:r>
      <w:r w:rsidR="00F62DC4">
        <w:rPr>
          <w:b/>
        </w:rPr>
        <w:t xml:space="preserve"> – </w:t>
      </w:r>
      <w:r w:rsidR="00F62DC4" w:rsidRPr="00F62DC4">
        <w:t>No information of sensitive nature will be collected</w:t>
      </w:r>
    </w:p>
    <w:p w:rsidR="00916E6D" w:rsidRDefault="00916E6D" w:rsidP="00916E6D"/>
    <w:p w:rsidR="00916E6D" w:rsidRDefault="00916E6D" w:rsidP="00916E6D">
      <w:pPr>
        <w:pStyle w:val="ListParagraph"/>
        <w:numPr>
          <w:ilvl w:val="0"/>
          <w:numId w:val="20"/>
        </w:numPr>
        <w:ind w:left="0"/>
        <w:rPr>
          <w:b/>
        </w:rPr>
      </w:pPr>
      <w:r>
        <w:rPr>
          <w:b/>
        </w:rPr>
        <w:t>Burden of Information Collection</w:t>
      </w:r>
      <w:r w:rsidR="00E14D82">
        <w:rPr>
          <w:b/>
        </w:rPr>
        <w:t xml:space="preserve"> </w:t>
      </w:r>
    </w:p>
    <w:p w:rsidR="008824EA" w:rsidRPr="008824EA" w:rsidRDefault="008824EA" w:rsidP="008824EA">
      <w:pPr>
        <w:tabs>
          <w:tab w:val="left" w:pos="-1080"/>
          <w:tab w:val="left" w:pos="-720"/>
          <w:tab w:val="left" w:pos="0"/>
          <w:tab w:val="left" w:pos="450"/>
          <w:tab w:val="left" w:pos="720"/>
          <w:tab w:val="left" w:pos="2160"/>
        </w:tabs>
        <w:rPr>
          <w:sz w:val="8"/>
          <w:szCs w:val="8"/>
        </w:rPr>
      </w:pPr>
    </w:p>
    <w:p w:rsidR="008824EA" w:rsidRDefault="008824EA" w:rsidP="008824EA">
      <w:pPr>
        <w:tabs>
          <w:tab w:val="left" w:pos="-1080"/>
          <w:tab w:val="left" w:pos="-720"/>
          <w:tab w:val="left" w:pos="0"/>
          <w:tab w:val="left" w:pos="450"/>
          <w:tab w:val="left" w:pos="720"/>
          <w:tab w:val="left" w:pos="2160"/>
        </w:tabs>
      </w:pPr>
      <w:r>
        <w:t xml:space="preserve">The </w:t>
      </w:r>
      <w:r w:rsidRPr="00D0400A">
        <w:t xml:space="preserve">total </w:t>
      </w:r>
      <w:r>
        <w:t>annu</w:t>
      </w:r>
      <w:r w:rsidR="00604C68">
        <w:t>al burden hours requested (86.67</w:t>
      </w:r>
      <w:r>
        <w:t xml:space="preserve"> hrs</w:t>
      </w:r>
      <w:r w:rsidR="00EB3A69">
        <w:t>.</w:t>
      </w:r>
      <w:r>
        <w:t xml:space="preserve">). </w:t>
      </w:r>
      <w:r w:rsidRPr="00D0400A">
        <w:t>The estimated time to comp</w:t>
      </w:r>
      <w:r w:rsidR="00604C68">
        <w:t>lete the survey is four</w:t>
      </w:r>
      <w:r>
        <w:t xml:space="preserve"> minutes and </w:t>
      </w:r>
      <w:r w:rsidRPr="00D0400A">
        <w:t>a 40 percent response rate</w:t>
      </w:r>
      <w:r>
        <w:t xml:space="preserve"> is a</w:t>
      </w:r>
      <w:r w:rsidR="00604C68">
        <w:t>ssumed. We expect to contact 2000</w:t>
      </w:r>
      <w:r>
        <w:t xml:space="preserve"> </w:t>
      </w:r>
      <w:r w:rsidR="00604C68">
        <w:t>(2000x1/60=33.3</w:t>
      </w:r>
      <w:r w:rsidR="00EB3A69">
        <w:t xml:space="preserve">3) </w:t>
      </w:r>
      <w:r>
        <w:t>pot</w:t>
      </w:r>
      <w:r w:rsidR="00604C68">
        <w:t>ential participants of which 800</w:t>
      </w:r>
      <w:r>
        <w:t xml:space="preserve"> </w:t>
      </w:r>
      <w:r w:rsidR="00604C68">
        <w:t>(800x4/60=86.67</w:t>
      </w:r>
      <w:r w:rsidR="00EB3A69">
        <w:t xml:space="preserve">) </w:t>
      </w:r>
      <w:r>
        <w:t>are expected to respond to the survey.  The contact time to determine non-participation is 1 minute.</w:t>
      </w:r>
    </w:p>
    <w:p w:rsidR="008824EA" w:rsidRDefault="008824EA" w:rsidP="008824EA"/>
    <w:tbl>
      <w:tblPr>
        <w:tblW w:w="0" w:type="auto"/>
        <w:tblLayout w:type="fixed"/>
        <w:tblCellMar>
          <w:left w:w="102" w:type="dxa"/>
          <w:right w:w="102" w:type="dxa"/>
        </w:tblCellMar>
        <w:tblLook w:val="0000" w:firstRow="0" w:lastRow="0" w:firstColumn="0" w:lastColumn="0" w:noHBand="0" w:noVBand="0"/>
      </w:tblPr>
      <w:tblGrid>
        <w:gridCol w:w="2880"/>
        <w:gridCol w:w="1710"/>
        <w:gridCol w:w="1800"/>
        <w:gridCol w:w="1260"/>
      </w:tblGrid>
      <w:tr w:rsidR="008824EA" w:rsidRPr="000947EB" w:rsidTr="008824EA">
        <w:tc>
          <w:tcPr>
            <w:tcW w:w="2880" w:type="dxa"/>
            <w:tcBorders>
              <w:top w:val="single" w:sz="6" w:space="0" w:color="000000"/>
              <w:left w:val="single" w:sz="6" w:space="0" w:color="000000"/>
              <w:bottom w:val="single" w:sz="6" w:space="0" w:color="FFFFFF"/>
              <w:right w:val="single" w:sz="6" w:space="0" w:color="FFFFFF"/>
            </w:tcBorders>
          </w:tcPr>
          <w:p w:rsidR="008824EA" w:rsidRPr="00EB3A69" w:rsidRDefault="008824EA" w:rsidP="008824EA">
            <w:pPr>
              <w:rPr>
                <w:b/>
                <w:sz w:val="20"/>
              </w:rPr>
            </w:pPr>
          </w:p>
          <w:p w:rsidR="008824EA" w:rsidRPr="00EB3A69" w:rsidRDefault="008824EA" w:rsidP="008824EA">
            <w:pPr>
              <w:tabs>
                <w:tab w:val="left" w:pos="-1080"/>
                <w:tab w:val="left" w:pos="-720"/>
                <w:tab w:val="left" w:pos="0"/>
                <w:tab w:val="left" w:pos="450"/>
                <w:tab w:val="left" w:pos="720"/>
                <w:tab w:val="left" w:pos="2160"/>
              </w:tabs>
              <w:jc w:val="center"/>
              <w:rPr>
                <w:b/>
                <w:sz w:val="20"/>
              </w:rPr>
            </w:pPr>
            <w:r w:rsidRPr="00EB3A69">
              <w:rPr>
                <w:b/>
                <w:sz w:val="20"/>
              </w:rPr>
              <w:t>Type of Collection</w:t>
            </w:r>
          </w:p>
        </w:tc>
        <w:tc>
          <w:tcPr>
            <w:tcW w:w="1710" w:type="dxa"/>
            <w:tcBorders>
              <w:top w:val="single" w:sz="6" w:space="0" w:color="000000"/>
              <w:left w:val="single" w:sz="6" w:space="0" w:color="000000"/>
              <w:bottom w:val="single" w:sz="6" w:space="0" w:color="FFFFFF"/>
              <w:right w:val="single" w:sz="6" w:space="0" w:color="FFFFFF"/>
            </w:tcBorders>
          </w:tcPr>
          <w:p w:rsidR="008824EA" w:rsidRPr="00EB3A69" w:rsidRDefault="008824EA" w:rsidP="008824EA">
            <w:pPr>
              <w:rPr>
                <w:b/>
                <w:sz w:val="20"/>
              </w:rPr>
            </w:pPr>
          </w:p>
          <w:p w:rsidR="008824EA" w:rsidRPr="00EB3A69" w:rsidRDefault="000C3899" w:rsidP="008824EA">
            <w:pPr>
              <w:tabs>
                <w:tab w:val="left" w:pos="-1080"/>
                <w:tab w:val="left" w:pos="-720"/>
                <w:tab w:val="left" w:pos="0"/>
                <w:tab w:val="left" w:pos="450"/>
                <w:tab w:val="left" w:pos="720"/>
                <w:tab w:val="left" w:pos="2160"/>
              </w:tabs>
              <w:jc w:val="center"/>
              <w:rPr>
                <w:b/>
                <w:sz w:val="20"/>
              </w:rPr>
            </w:pPr>
            <w:r>
              <w:rPr>
                <w:b/>
                <w:sz w:val="20"/>
              </w:rPr>
              <w:t>Participation</w:t>
            </w:r>
          </w:p>
        </w:tc>
        <w:tc>
          <w:tcPr>
            <w:tcW w:w="1800" w:type="dxa"/>
            <w:tcBorders>
              <w:top w:val="single" w:sz="6" w:space="0" w:color="000000"/>
              <w:left w:val="single" w:sz="6" w:space="0" w:color="000000"/>
              <w:bottom w:val="single" w:sz="6" w:space="0" w:color="FFFFFF"/>
              <w:right w:val="single" w:sz="6" w:space="0" w:color="FFFFFF"/>
            </w:tcBorders>
          </w:tcPr>
          <w:p w:rsidR="008824EA" w:rsidRPr="00EB3A69" w:rsidRDefault="008824EA" w:rsidP="008824EA">
            <w:pPr>
              <w:rPr>
                <w:b/>
                <w:sz w:val="20"/>
              </w:rPr>
            </w:pPr>
          </w:p>
          <w:p w:rsidR="00EB3A69" w:rsidRPr="00EB3A69" w:rsidRDefault="008824EA" w:rsidP="008824EA">
            <w:pPr>
              <w:tabs>
                <w:tab w:val="left" w:pos="-1080"/>
                <w:tab w:val="left" w:pos="-720"/>
                <w:tab w:val="left" w:pos="0"/>
                <w:tab w:val="left" w:pos="450"/>
                <w:tab w:val="left" w:pos="720"/>
                <w:tab w:val="left" w:pos="2160"/>
              </w:tabs>
              <w:jc w:val="center"/>
              <w:rPr>
                <w:b/>
                <w:sz w:val="20"/>
              </w:rPr>
            </w:pPr>
            <w:r w:rsidRPr="00EB3A69">
              <w:rPr>
                <w:b/>
                <w:sz w:val="20"/>
              </w:rPr>
              <w:t>Response</w:t>
            </w:r>
            <w:r w:rsidR="00EB3A69" w:rsidRPr="00EB3A69">
              <w:rPr>
                <w:b/>
                <w:sz w:val="20"/>
              </w:rPr>
              <w:t xml:space="preserve"> </w:t>
            </w:r>
          </w:p>
          <w:p w:rsidR="008824EA" w:rsidRPr="00EB3A69" w:rsidRDefault="00EB3A69" w:rsidP="008824EA">
            <w:pPr>
              <w:tabs>
                <w:tab w:val="left" w:pos="-1080"/>
                <w:tab w:val="left" w:pos="-720"/>
                <w:tab w:val="left" w:pos="0"/>
                <w:tab w:val="left" w:pos="450"/>
                <w:tab w:val="left" w:pos="720"/>
                <w:tab w:val="left" w:pos="2160"/>
              </w:tabs>
              <w:jc w:val="center"/>
              <w:rPr>
                <w:b/>
                <w:sz w:val="20"/>
              </w:rPr>
            </w:pPr>
            <w:r w:rsidRPr="00EB3A69">
              <w:rPr>
                <w:b/>
                <w:sz w:val="20"/>
              </w:rPr>
              <w:t>Time</w:t>
            </w:r>
          </w:p>
          <w:p w:rsidR="00EB3A69" w:rsidRPr="00EB3A69" w:rsidRDefault="00EB3A69" w:rsidP="008824EA">
            <w:pPr>
              <w:tabs>
                <w:tab w:val="left" w:pos="-1080"/>
                <w:tab w:val="left" w:pos="-720"/>
                <w:tab w:val="left" w:pos="0"/>
                <w:tab w:val="left" w:pos="450"/>
                <w:tab w:val="left" w:pos="720"/>
                <w:tab w:val="left" w:pos="2160"/>
              </w:tabs>
              <w:jc w:val="center"/>
              <w:rPr>
                <w:b/>
                <w:sz w:val="20"/>
              </w:rPr>
            </w:pPr>
            <w:r w:rsidRPr="00EB3A69">
              <w:rPr>
                <w:b/>
                <w:sz w:val="20"/>
              </w:rPr>
              <w:t>(minutes)</w:t>
            </w:r>
          </w:p>
        </w:tc>
        <w:tc>
          <w:tcPr>
            <w:tcW w:w="1260" w:type="dxa"/>
            <w:tcBorders>
              <w:top w:val="single" w:sz="6" w:space="0" w:color="000000"/>
              <w:left w:val="single" w:sz="6" w:space="0" w:color="000000"/>
              <w:bottom w:val="single" w:sz="6" w:space="0" w:color="FFFFFF"/>
              <w:right w:val="single" w:sz="6" w:space="0" w:color="000000"/>
            </w:tcBorders>
          </w:tcPr>
          <w:p w:rsidR="008824EA" w:rsidRPr="00EB3A69" w:rsidRDefault="008824EA" w:rsidP="008824EA">
            <w:pPr>
              <w:rPr>
                <w:b/>
                <w:sz w:val="20"/>
              </w:rPr>
            </w:pPr>
          </w:p>
          <w:p w:rsidR="008824EA" w:rsidRPr="00EB3A69" w:rsidRDefault="008824EA" w:rsidP="008824EA">
            <w:pPr>
              <w:tabs>
                <w:tab w:val="left" w:pos="-1080"/>
                <w:tab w:val="left" w:pos="-720"/>
                <w:tab w:val="left" w:pos="0"/>
                <w:tab w:val="left" w:pos="450"/>
                <w:tab w:val="left" w:pos="720"/>
                <w:tab w:val="left" w:pos="2160"/>
              </w:tabs>
              <w:jc w:val="center"/>
              <w:rPr>
                <w:b/>
                <w:sz w:val="20"/>
              </w:rPr>
            </w:pPr>
            <w:r w:rsidRPr="00EB3A69">
              <w:rPr>
                <w:b/>
                <w:sz w:val="20"/>
              </w:rPr>
              <w:t xml:space="preserve">Total </w:t>
            </w:r>
            <w:r w:rsidR="00EB3A69" w:rsidRPr="00EB3A69">
              <w:rPr>
                <w:b/>
                <w:sz w:val="20"/>
              </w:rPr>
              <w:t>Burden (</w:t>
            </w:r>
            <w:r w:rsidRPr="00EB3A69">
              <w:rPr>
                <w:b/>
                <w:sz w:val="20"/>
              </w:rPr>
              <w:t>Hours</w:t>
            </w:r>
            <w:r w:rsidR="00EB3A69" w:rsidRPr="00EB3A69">
              <w:rPr>
                <w:b/>
                <w:sz w:val="20"/>
              </w:rPr>
              <w:t>)</w:t>
            </w:r>
          </w:p>
        </w:tc>
      </w:tr>
      <w:tr w:rsidR="008824EA" w:rsidRPr="000947EB" w:rsidTr="008824EA">
        <w:tc>
          <w:tcPr>
            <w:tcW w:w="2880" w:type="dxa"/>
            <w:tcBorders>
              <w:top w:val="single" w:sz="6" w:space="0" w:color="000000"/>
              <w:left w:val="single" w:sz="6" w:space="0" w:color="000000"/>
              <w:bottom w:val="single" w:sz="6" w:space="0" w:color="000000"/>
              <w:right w:val="single" w:sz="6" w:space="0" w:color="FFFFFF"/>
            </w:tcBorders>
            <w:vAlign w:val="center"/>
          </w:tcPr>
          <w:p w:rsidR="008824EA" w:rsidRPr="000947EB" w:rsidRDefault="000C3899" w:rsidP="000C3899">
            <w:pPr>
              <w:tabs>
                <w:tab w:val="left" w:pos="-1080"/>
                <w:tab w:val="left" w:pos="-720"/>
                <w:tab w:val="left" w:pos="0"/>
                <w:tab w:val="left" w:pos="450"/>
                <w:tab w:val="left" w:pos="720"/>
                <w:tab w:val="left" w:pos="2160"/>
              </w:tabs>
              <w:rPr>
                <w:sz w:val="20"/>
              </w:rPr>
            </w:pPr>
            <w:r>
              <w:rPr>
                <w:sz w:val="20"/>
              </w:rPr>
              <w:t xml:space="preserve">Potential </w:t>
            </w:r>
            <w:r w:rsidR="008824EA" w:rsidRPr="000947EB">
              <w:rPr>
                <w:sz w:val="20"/>
              </w:rPr>
              <w:t>participa</w:t>
            </w:r>
            <w:r>
              <w:rPr>
                <w:sz w:val="20"/>
              </w:rPr>
              <w:t>n</w:t>
            </w:r>
            <w:r w:rsidR="008824EA" w:rsidRPr="000947EB">
              <w:rPr>
                <w:sz w:val="20"/>
              </w:rPr>
              <w:t>t</w:t>
            </w:r>
            <w:r>
              <w:rPr>
                <w:sz w:val="20"/>
              </w:rPr>
              <w:t>s</w:t>
            </w:r>
          </w:p>
        </w:tc>
        <w:tc>
          <w:tcPr>
            <w:tcW w:w="1710" w:type="dxa"/>
            <w:tcBorders>
              <w:top w:val="single" w:sz="6" w:space="0" w:color="000000"/>
              <w:left w:val="single" w:sz="6" w:space="0" w:color="000000"/>
              <w:bottom w:val="single" w:sz="6" w:space="0" w:color="000000"/>
              <w:right w:val="single" w:sz="6" w:space="0" w:color="FFFFFF"/>
            </w:tcBorders>
            <w:vAlign w:val="center"/>
          </w:tcPr>
          <w:p w:rsidR="008824EA" w:rsidRPr="000947EB" w:rsidRDefault="00604C68" w:rsidP="008824EA">
            <w:pPr>
              <w:tabs>
                <w:tab w:val="left" w:pos="-1080"/>
                <w:tab w:val="left" w:pos="-720"/>
                <w:tab w:val="left" w:pos="0"/>
                <w:tab w:val="left" w:pos="450"/>
                <w:tab w:val="left" w:pos="720"/>
                <w:tab w:val="left" w:pos="2160"/>
              </w:tabs>
              <w:jc w:val="center"/>
              <w:rPr>
                <w:sz w:val="20"/>
              </w:rPr>
            </w:pPr>
            <w:r>
              <w:rPr>
                <w:sz w:val="20"/>
              </w:rPr>
              <w:t>2000</w:t>
            </w:r>
          </w:p>
        </w:tc>
        <w:tc>
          <w:tcPr>
            <w:tcW w:w="1800" w:type="dxa"/>
            <w:tcBorders>
              <w:top w:val="single" w:sz="6" w:space="0" w:color="000000"/>
              <w:left w:val="single" w:sz="6" w:space="0" w:color="000000"/>
              <w:bottom w:val="single" w:sz="6" w:space="0" w:color="000000"/>
              <w:right w:val="single" w:sz="6" w:space="0" w:color="FFFFFF"/>
            </w:tcBorders>
            <w:vAlign w:val="center"/>
          </w:tcPr>
          <w:p w:rsidR="008824EA" w:rsidRPr="000947EB" w:rsidRDefault="008824EA" w:rsidP="00EB3A69">
            <w:pPr>
              <w:tabs>
                <w:tab w:val="left" w:pos="-1080"/>
                <w:tab w:val="left" w:pos="-720"/>
                <w:tab w:val="left" w:pos="0"/>
                <w:tab w:val="left" w:pos="450"/>
                <w:tab w:val="left" w:pos="720"/>
                <w:tab w:val="left" w:pos="2160"/>
              </w:tabs>
              <w:jc w:val="center"/>
              <w:rPr>
                <w:sz w:val="20"/>
              </w:rPr>
            </w:pPr>
            <w:r w:rsidRPr="000947EB">
              <w:rPr>
                <w:sz w:val="20"/>
              </w:rPr>
              <w:t>1 minute</w:t>
            </w:r>
          </w:p>
        </w:tc>
        <w:tc>
          <w:tcPr>
            <w:tcW w:w="1260" w:type="dxa"/>
            <w:tcBorders>
              <w:top w:val="single" w:sz="6" w:space="0" w:color="000000"/>
              <w:left w:val="single" w:sz="6" w:space="0" w:color="000000"/>
              <w:bottom w:val="single" w:sz="6" w:space="0" w:color="000000"/>
              <w:right w:val="single" w:sz="6" w:space="0" w:color="000000"/>
            </w:tcBorders>
            <w:vAlign w:val="center"/>
          </w:tcPr>
          <w:p w:rsidR="008824EA" w:rsidRPr="000947EB" w:rsidRDefault="00604C68" w:rsidP="008824EA">
            <w:pPr>
              <w:tabs>
                <w:tab w:val="left" w:pos="-1080"/>
                <w:tab w:val="left" w:pos="-720"/>
                <w:tab w:val="left" w:pos="0"/>
                <w:tab w:val="left" w:pos="450"/>
                <w:tab w:val="left" w:pos="720"/>
                <w:tab w:val="left" w:pos="2160"/>
              </w:tabs>
              <w:jc w:val="center"/>
              <w:rPr>
                <w:sz w:val="20"/>
              </w:rPr>
            </w:pPr>
            <w:r>
              <w:rPr>
                <w:sz w:val="20"/>
              </w:rPr>
              <w:t>33.33</w:t>
            </w:r>
            <w:r w:rsidR="008824EA">
              <w:rPr>
                <w:sz w:val="20"/>
              </w:rPr>
              <w:t xml:space="preserve"> hrs</w:t>
            </w:r>
            <w:r w:rsidR="00CE2E08">
              <w:rPr>
                <w:sz w:val="20"/>
              </w:rPr>
              <w:t>.</w:t>
            </w:r>
          </w:p>
        </w:tc>
      </w:tr>
      <w:tr w:rsidR="008824EA" w:rsidRPr="000947EB" w:rsidTr="008824EA">
        <w:tc>
          <w:tcPr>
            <w:tcW w:w="2880" w:type="dxa"/>
            <w:tcBorders>
              <w:top w:val="single" w:sz="6" w:space="0" w:color="000000"/>
              <w:left w:val="single" w:sz="6" w:space="0" w:color="000000"/>
              <w:bottom w:val="single" w:sz="6" w:space="0" w:color="000000"/>
              <w:right w:val="single" w:sz="6" w:space="0" w:color="FFFFFF"/>
            </w:tcBorders>
            <w:vAlign w:val="center"/>
          </w:tcPr>
          <w:p w:rsidR="008824EA" w:rsidRPr="000947EB" w:rsidRDefault="008824EA" w:rsidP="008824EA">
            <w:pPr>
              <w:rPr>
                <w:sz w:val="20"/>
              </w:rPr>
            </w:pPr>
            <w:r w:rsidRPr="000947EB">
              <w:rPr>
                <w:sz w:val="20"/>
              </w:rPr>
              <w:t>Customers who respond to survey (subset of above)</w:t>
            </w:r>
          </w:p>
        </w:tc>
        <w:tc>
          <w:tcPr>
            <w:tcW w:w="1710" w:type="dxa"/>
            <w:tcBorders>
              <w:top w:val="single" w:sz="6" w:space="0" w:color="000000"/>
              <w:left w:val="single" w:sz="6" w:space="0" w:color="000000"/>
              <w:bottom w:val="single" w:sz="6" w:space="0" w:color="000000"/>
              <w:right w:val="single" w:sz="6" w:space="0" w:color="FFFFFF"/>
            </w:tcBorders>
            <w:vAlign w:val="center"/>
          </w:tcPr>
          <w:p w:rsidR="008824EA" w:rsidRPr="000947EB" w:rsidRDefault="00604C68" w:rsidP="008824EA">
            <w:pPr>
              <w:jc w:val="center"/>
              <w:rPr>
                <w:sz w:val="20"/>
              </w:rPr>
            </w:pPr>
            <w:r>
              <w:rPr>
                <w:sz w:val="20"/>
              </w:rPr>
              <w:t>800</w:t>
            </w:r>
          </w:p>
        </w:tc>
        <w:tc>
          <w:tcPr>
            <w:tcW w:w="1800" w:type="dxa"/>
            <w:tcBorders>
              <w:top w:val="single" w:sz="6" w:space="0" w:color="000000"/>
              <w:left w:val="single" w:sz="6" w:space="0" w:color="000000"/>
              <w:bottom w:val="single" w:sz="6" w:space="0" w:color="000000"/>
              <w:right w:val="single" w:sz="6" w:space="0" w:color="FFFFFF"/>
            </w:tcBorders>
            <w:vAlign w:val="center"/>
          </w:tcPr>
          <w:p w:rsidR="008824EA" w:rsidRPr="000947EB" w:rsidRDefault="00604C68" w:rsidP="00EB3A69">
            <w:pPr>
              <w:jc w:val="center"/>
              <w:rPr>
                <w:sz w:val="20"/>
              </w:rPr>
            </w:pPr>
            <w:r>
              <w:rPr>
                <w:sz w:val="20"/>
              </w:rPr>
              <w:t>4</w:t>
            </w:r>
            <w:r w:rsidR="008824EA" w:rsidRPr="000947EB">
              <w:rPr>
                <w:sz w:val="20"/>
              </w:rPr>
              <w:t xml:space="preserve"> minutes</w:t>
            </w:r>
          </w:p>
        </w:tc>
        <w:tc>
          <w:tcPr>
            <w:tcW w:w="1260" w:type="dxa"/>
            <w:tcBorders>
              <w:top w:val="single" w:sz="6" w:space="0" w:color="000000"/>
              <w:left w:val="single" w:sz="6" w:space="0" w:color="000000"/>
              <w:bottom w:val="single" w:sz="6" w:space="0" w:color="000000"/>
              <w:right w:val="single" w:sz="6" w:space="0" w:color="000000"/>
            </w:tcBorders>
            <w:vAlign w:val="center"/>
          </w:tcPr>
          <w:p w:rsidR="008824EA" w:rsidRPr="000947EB" w:rsidRDefault="00604C68" w:rsidP="008824EA">
            <w:pPr>
              <w:tabs>
                <w:tab w:val="left" w:pos="-1080"/>
                <w:tab w:val="left" w:pos="-720"/>
                <w:tab w:val="left" w:pos="0"/>
                <w:tab w:val="left" w:pos="450"/>
                <w:tab w:val="left" w:pos="720"/>
                <w:tab w:val="left" w:pos="2160"/>
              </w:tabs>
              <w:jc w:val="center"/>
              <w:rPr>
                <w:sz w:val="20"/>
              </w:rPr>
            </w:pPr>
            <w:r>
              <w:rPr>
                <w:sz w:val="20"/>
              </w:rPr>
              <w:t>53.33</w:t>
            </w:r>
            <w:r w:rsidR="008824EA">
              <w:rPr>
                <w:sz w:val="20"/>
              </w:rPr>
              <w:t xml:space="preserve"> hrs</w:t>
            </w:r>
            <w:r w:rsidR="00CE2E08">
              <w:rPr>
                <w:sz w:val="20"/>
              </w:rPr>
              <w:t>.</w:t>
            </w:r>
          </w:p>
        </w:tc>
      </w:tr>
      <w:tr w:rsidR="008824EA" w:rsidRPr="000947EB" w:rsidTr="008824EA">
        <w:tc>
          <w:tcPr>
            <w:tcW w:w="2880" w:type="dxa"/>
            <w:tcBorders>
              <w:top w:val="single" w:sz="6" w:space="0" w:color="000000"/>
              <w:left w:val="single" w:sz="6" w:space="0" w:color="000000"/>
              <w:bottom w:val="single" w:sz="6" w:space="0" w:color="000000"/>
              <w:right w:val="single" w:sz="6" w:space="0" w:color="FFFFFF"/>
            </w:tcBorders>
            <w:vAlign w:val="center"/>
          </w:tcPr>
          <w:p w:rsidR="008824EA" w:rsidRPr="001B3956" w:rsidRDefault="008824EA" w:rsidP="00EB3A69">
            <w:pPr>
              <w:rPr>
                <w:b/>
                <w:sz w:val="20"/>
              </w:rPr>
            </w:pPr>
            <w:r>
              <w:rPr>
                <w:b/>
                <w:sz w:val="20"/>
              </w:rPr>
              <w:t xml:space="preserve"> Grand </w:t>
            </w:r>
            <w:r w:rsidRPr="001B3956">
              <w:rPr>
                <w:b/>
                <w:sz w:val="20"/>
              </w:rPr>
              <w:t>Total</w:t>
            </w:r>
            <w:r>
              <w:rPr>
                <w:b/>
                <w:sz w:val="20"/>
              </w:rPr>
              <w:t xml:space="preserve"> </w:t>
            </w:r>
            <w:r w:rsidR="00EB3A69">
              <w:rPr>
                <w:b/>
                <w:sz w:val="20"/>
              </w:rPr>
              <w:t>(column 4)</w:t>
            </w:r>
          </w:p>
        </w:tc>
        <w:tc>
          <w:tcPr>
            <w:tcW w:w="1710" w:type="dxa"/>
            <w:tcBorders>
              <w:top w:val="single" w:sz="6" w:space="0" w:color="000000"/>
              <w:left w:val="single" w:sz="6" w:space="0" w:color="000000"/>
              <w:bottom w:val="single" w:sz="6" w:space="0" w:color="000000"/>
              <w:right w:val="single" w:sz="6" w:space="0" w:color="FFFFFF"/>
            </w:tcBorders>
            <w:vAlign w:val="center"/>
          </w:tcPr>
          <w:p w:rsidR="008824EA" w:rsidRPr="000947EB" w:rsidRDefault="008824EA" w:rsidP="008824EA">
            <w:pPr>
              <w:jc w:val="center"/>
              <w:rPr>
                <w:sz w:val="20"/>
              </w:rPr>
            </w:pPr>
          </w:p>
        </w:tc>
        <w:tc>
          <w:tcPr>
            <w:tcW w:w="1800" w:type="dxa"/>
            <w:tcBorders>
              <w:top w:val="single" w:sz="6" w:space="0" w:color="000000"/>
              <w:left w:val="single" w:sz="6" w:space="0" w:color="000000"/>
              <w:bottom w:val="single" w:sz="6" w:space="0" w:color="000000"/>
              <w:right w:val="single" w:sz="6" w:space="0" w:color="FFFFFF"/>
            </w:tcBorders>
            <w:vAlign w:val="center"/>
          </w:tcPr>
          <w:p w:rsidR="008824EA" w:rsidRPr="000947EB" w:rsidRDefault="008824EA" w:rsidP="008824EA">
            <w:pPr>
              <w:jc w:val="center"/>
              <w:rPr>
                <w:sz w:val="20"/>
              </w:rPr>
            </w:pPr>
          </w:p>
        </w:tc>
        <w:tc>
          <w:tcPr>
            <w:tcW w:w="1260" w:type="dxa"/>
            <w:tcBorders>
              <w:top w:val="single" w:sz="6" w:space="0" w:color="000000"/>
              <w:left w:val="single" w:sz="6" w:space="0" w:color="000000"/>
              <w:bottom w:val="single" w:sz="6" w:space="0" w:color="000000"/>
              <w:right w:val="single" w:sz="6" w:space="0" w:color="000000"/>
            </w:tcBorders>
            <w:vAlign w:val="center"/>
          </w:tcPr>
          <w:p w:rsidR="008824EA" w:rsidRPr="001B3956" w:rsidRDefault="00604C68" w:rsidP="008824EA">
            <w:pPr>
              <w:tabs>
                <w:tab w:val="left" w:pos="-1080"/>
                <w:tab w:val="left" w:pos="-720"/>
                <w:tab w:val="left" w:pos="0"/>
                <w:tab w:val="left" w:pos="450"/>
                <w:tab w:val="left" w:pos="720"/>
                <w:tab w:val="left" w:pos="2160"/>
              </w:tabs>
              <w:jc w:val="center"/>
              <w:rPr>
                <w:b/>
                <w:sz w:val="20"/>
              </w:rPr>
            </w:pPr>
            <w:r>
              <w:rPr>
                <w:b/>
                <w:sz w:val="20"/>
              </w:rPr>
              <w:t>86.67</w:t>
            </w:r>
            <w:r w:rsidR="008824EA" w:rsidRPr="001B3956">
              <w:rPr>
                <w:b/>
                <w:sz w:val="20"/>
              </w:rPr>
              <w:t xml:space="preserve"> hrs</w:t>
            </w:r>
            <w:r w:rsidR="00CE2E08">
              <w:rPr>
                <w:b/>
                <w:sz w:val="20"/>
              </w:rPr>
              <w:t>.</w:t>
            </w:r>
          </w:p>
        </w:tc>
      </w:tr>
    </w:tbl>
    <w:p w:rsidR="008824EA" w:rsidRDefault="008824EA" w:rsidP="008824EA">
      <w:pPr>
        <w:tabs>
          <w:tab w:val="left" w:pos="-1080"/>
          <w:tab w:val="left" w:pos="-720"/>
          <w:tab w:val="left" w:pos="0"/>
          <w:tab w:val="left" w:pos="450"/>
          <w:tab w:val="left" w:pos="720"/>
          <w:tab w:val="left" w:pos="2160"/>
        </w:tabs>
      </w:pPr>
    </w:p>
    <w:p w:rsidR="008824EA" w:rsidRDefault="008824EA" w:rsidP="008824EA">
      <w:pPr>
        <w:tabs>
          <w:tab w:val="left" w:pos="-1080"/>
          <w:tab w:val="left" w:pos="-720"/>
          <w:tab w:val="left" w:pos="0"/>
          <w:tab w:val="left" w:pos="450"/>
          <w:tab w:val="left" w:pos="720"/>
          <w:tab w:val="left" w:pos="2160"/>
        </w:tabs>
      </w:pPr>
    </w:p>
    <w:p w:rsidR="008824EA" w:rsidRDefault="008824EA" w:rsidP="008824EA">
      <w:pPr>
        <w:pStyle w:val="ListParagraph"/>
        <w:ind w:left="0"/>
        <w:rPr>
          <w:b/>
        </w:rPr>
      </w:pPr>
    </w:p>
    <w:p w:rsidR="00591FCE" w:rsidRDefault="00591FCE" w:rsidP="00591FCE">
      <w:pPr>
        <w:tabs>
          <w:tab w:val="left" w:pos="-1080"/>
          <w:tab w:val="left" w:pos="-720"/>
          <w:tab w:val="left" w:pos="0"/>
          <w:tab w:val="left" w:pos="450"/>
          <w:tab w:val="left" w:pos="720"/>
          <w:tab w:val="left" w:pos="2160"/>
        </w:tabs>
        <w:rPr>
          <w:b/>
        </w:rPr>
      </w:pPr>
    </w:p>
    <w:p w:rsidR="00916E6D" w:rsidRDefault="00916E6D" w:rsidP="00916E6D">
      <w:pPr>
        <w:pStyle w:val="ListParagraph"/>
        <w:numPr>
          <w:ilvl w:val="0"/>
          <w:numId w:val="20"/>
        </w:numPr>
        <w:ind w:left="0"/>
        <w:rPr>
          <w:b/>
        </w:rPr>
      </w:pPr>
      <w:r>
        <w:rPr>
          <w:b/>
        </w:rPr>
        <w:t>Costs to Respondents</w:t>
      </w:r>
    </w:p>
    <w:p w:rsidR="00916E6D" w:rsidRDefault="00916E6D" w:rsidP="00916E6D">
      <w:pPr>
        <w:pStyle w:val="ListParagraph"/>
        <w:ind w:left="0"/>
        <w:rPr>
          <w:b/>
        </w:rPr>
      </w:pPr>
    </w:p>
    <w:p w:rsidR="00916E6D" w:rsidRDefault="001B3956" w:rsidP="00916E6D">
      <w:r w:rsidRPr="001B3956">
        <w:t>Not Applicable</w:t>
      </w:r>
      <w:r>
        <w:t xml:space="preserve">.  </w:t>
      </w:r>
    </w:p>
    <w:p w:rsidR="00591FCE" w:rsidRDefault="00591FCE" w:rsidP="00916E6D"/>
    <w:p w:rsidR="00916E6D" w:rsidRDefault="00916E6D" w:rsidP="00916E6D">
      <w:pPr>
        <w:pStyle w:val="ListParagraph"/>
        <w:numPr>
          <w:ilvl w:val="0"/>
          <w:numId w:val="20"/>
        </w:numPr>
        <w:ind w:left="0"/>
        <w:rPr>
          <w:b/>
        </w:rPr>
      </w:pPr>
      <w:r>
        <w:rPr>
          <w:b/>
        </w:rPr>
        <w:t>Costs to Federal Government</w:t>
      </w:r>
      <w:r w:rsidR="008373A5">
        <w:rPr>
          <w:b/>
        </w:rPr>
        <w:t xml:space="preserve"> </w:t>
      </w:r>
    </w:p>
    <w:p w:rsidR="00916E6D" w:rsidRDefault="00916E6D" w:rsidP="00916E6D">
      <w:pPr>
        <w:pStyle w:val="ListParagraph"/>
        <w:ind w:left="0"/>
        <w:rPr>
          <w:b/>
        </w:rPr>
      </w:pPr>
    </w:p>
    <w:p w:rsidR="0094128D" w:rsidRPr="0094128D" w:rsidRDefault="00F94242" w:rsidP="00916E6D">
      <w:pPr>
        <w:pStyle w:val="ListParagraph"/>
        <w:ind w:left="0"/>
      </w:pPr>
      <w:r>
        <w:t xml:space="preserve">Under the USPS guidelines provided here [ </w:t>
      </w:r>
      <w:hyperlink r:id="rId8" w:history="1">
        <w:r w:rsidRPr="002B6B31">
          <w:rPr>
            <w:rStyle w:val="Hyperlink"/>
          </w:rPr>
          <w:t>https://www.usps.com/business/reply-mail.htm</w:t>
        </w:r>
      </w:hyperlink>
      <w:r>
        <w:t xml:space="preserve"> ] r</w:t>
      </w:r>
      <w:r w:rsidR="0094128D" w:rsidRPr="0094128D">
        <w:t>eturn postage</w:t>
      </w:r>
      <w:r>
        <w:t xml:space="preserve"> will be paid only for survey cards returned to W&amp;I Research and Analysis</w:t>
      </w:r>
      <w:r w:rsidR="0094128D" w:rsidRPr="0094128D">
        <w:t>.</w:t>
      </w:r>
      <w:r>
        <w:t xml:space="preserve"> Assuming a 40% response rate for 2000 survey questionnaire cards, the postage cost will be $264. This survey will incur no additional outgoing cost as the questionnaire will be included as part of a regular closed case letter.</w:t>
      </w:r>
    </w:p>
    <w:p w:rsidR="00916E6D" w:rsidRPr="00916E6D" w:rsidRDefault="00916E6D" w:rsidP="00916E6D"/>
    <w:p w:rsidR="00916E6D" w:rsidRDefault="00916E6D" w:rsidP="00916E6D">
      <w:pPr>
        <w:pStyle w:val="ListParagraph"/>
        <w:numPr>
          <w:ilvl w:val="0"/>
          <w:numId w:val="20"/>
        </w:numPr>
        <w:ind w:left="0"/>
        <w:rPr>
          <w:b/>
        </w:rPr>
      </w:pPr>
      <w:r>
        <w:rPr>
          <w:b/>
        </w:rPr>
        <w:t>Reason for Change</w:t>
      </w:r>
    </w:p>
    <w:p w:rsidR="00916E6D" w:rsidRDefault="00916E6D" w:rsidP="00916E6D">
      <w:pPr>
        <w:pStyle w:val="ListParagraph"/>
        <w:ind w:left="0"/>
        <w:rPr>
          <w:b/>
        </w:rPr>
      </w:pPr>
    </w:p>
    <w:p w:rsidR="00916E6D" w:rsidRDefault="00EB451F" w:rsidP="00916E6D">
      <w:r>
        <w:t xml:space="preserve">Not applicable.  </w:t>
      </w:r>
    </w:p>
    <w:p w:rsidR="00591FCE" w:rsidRDefault="00591FCE" w:rsidP="00916E6D">
      <w:pPr>
        <w:rPr>
          <w:b/>
        </w:rPr>
      </w:pPr>
    </w:p>
    <w:p w:rsidR="00916E6D" w:rsidRDefault="00916E6D" w:rsidP="00916E6D">
      <w:pPr>
        <w:pStyle w:val="ListParagraph"/>
        <w:numPr>
          <w:ilvl w:val="0"/>
          <w:numId w:val="20"/>
        </w:numPr>
        <w:ind w:left="0"/>
        <w:rPr>
          <w:b/>
        </w:rPr>
      </w:pPr>
      <w:r>
        <w:rPr>
          <w:b/>
        </w:rPr>
        <w:t xml:space="preserve">Tabulation of Results, Schedule, </w:t>
      </w:r>
      <w:r w:rsidR="0020544B">
        <w:rPr>
          <w:b/>
        </w:rPr>
        <w:t>and Analysis</w:t>
      </w:r>
      <w:r>
        <w:rPr>
          <w:b/>
        </w:rPr>
        <w:t xml:space="preserve"> Plans</w:t>
      </w:r>
      <w:r w:rsidR="008373A5">
        <w:rPr>
          <w:b/>
        </w:rPr>
        <w:t xml:space="preserve"> – </w:t>
      </w:r>
      <w:r w:rsidR="008373A5" w:rsidRPr="008373A5">
        <w:t>Results will be tabulated on Mondays for responses received during the prior week.</w:t>
      </w:r>
      <w:r w:rsidR="008373A5">
        <w:rPr>
          <w:b/>
        </w:rPr>
        <w:t xml:space="preserve"> </w:t>
      </w:r>
      <w:r w:rsidR="008373A5" w:rsidRPr="008373A5">
        <w:t xml:space="preserve">Tabulation will continue for six weeks after the close </w:t>
      </w:r>
      <w:r w:rsidR="008373A5" w:rsidRPr="008373A5">
        <w:lastRenderedPageBreak/>
        <w:t>of the survey fielding period.</w:t>
      </w:r>
      <w:r w:rsidR="008373A5">
        <w:rPr>
          <w:b/>
        </w:rPr>
        <w:t xml:space="preserve"> </w:t>
      </w:r>
      <w:r w:rsidR="008373A5" w:rsidRPr="00DC4A4F">
        <w:t>Tabula</w:t>
      </w:r>
      <w:r w:rsidR="00DC4A4F" w:rsidRPr="00DC4A4F">
        <w:t>tion of survey results includes scanning categorical responses as well as transcription of open-ended responses.</w:t>
      </w:r>
      <w:r w:rsidR="00DC4A4F">
        <w:rPr>
          <w:b/>
        </w:rPr>
        <w:t xml:space="preserve">  </w:t>
      </w:r>
    </w:p>
    <w:p w:rsidR="00916E6D" w:rsidRDefault="00916E6D" w:rsidP="00916E6D"/>
    <w:p w:rsidR="00916E6D" w:rsidRDefault="00916E6D" w:rsidP="00916E6D">
      <w:pPr>
        <w:pStyle w:val="ListParagraph"/>
        <w:numPr>
          <w:ilvl w:val="0"/>
          <w:numId w:val="20"/>
        </w:numPr>
        <w:ind w:left="0"/>
        <w:rPr>
          <w:b/>
        </w:rPr>
      </w:pPr>
      <w:r>
        <w:rPr>
          <w:b/>
        </w:rPr>
        <w:t>Display of OMB Approval Date</w:t>
      </w:r>
    </w:p>
    <w:p w:rsidR="00591FCE" w:rsidRDefault="00591FCE" w:rsidP="00916E6D"/>
    <w:p w:rsidR="00916E6D" w:rsidRDefault="00591FCE" w:rsidP="00916E6D">
      <w:r>
        <w:t>Not applicable</w:t>
      </w:r>
    </w:p>
    <w:p w:rsidR="00916E6D" w:rsidRDefault="00916E6D" w:rsidP="00916E6D"/>
    <w:p w:rsidR="00916E6D" w:rsidRDefault="00916E6D" w:rsidP="00916E6D">
      <w:pPr>
        <w:pStyle w:val="ListParagraph"/>
        <w:numPr>
          <w:ilvl w:val="0"/>
          <w:numId w:val="20"/>
        </w:numPr>
        <w:ind w:left="0"/>
        <w:rPr>
          <w:b/>
        </w:rPr>
      </w:pPr>
      <w:r>
        <w:rPr>
          <w:b/>
        </w:rPr>
        <w:t>Exceptions to Certification for Paperwork Reduction Act Submissions</w:t>
      </w:r>
    </w:p>
    <w:p w:rsidR="00916E6D" w:rsidRDefault="00916E6D" w:rsidP="00916E6D">
      <w:pPr>
        <w:pStyle w:val="ListParagraph"/>
        <w:ind w:left="0"/>
        <w:rPr>
          <w:b/>
        </w:rPr>
      </w:pPr>
    </w:p>
    <w:p w:rsidR="00CA252B" w:rsidRDefault="00916E6D" w:rsidP="00916E6D">
      <w:r>
        <w:t>These activities comply with the requirements in 5 CFR 1320.9.</w:t>
      </w:r>
    </w:p>
    <w:p w:rsidR="00CA252B" w:rsidRDefault="00CA252B" w:rsidP="00916E6D"/>
    <w:p w:rsidR="00CA252B" w:rsidRDefault="00CA252B" w:rsidP="00012FAE">
      <w:pPr>
        <w:pStyle w:val="BodyTextIndent3"/>
        <w:ind w:left="0"/>
        <w:rPr>
          <w:b/>
        </w:rPr>
      </w:pPr>
      <w:r>
        <w:rPr>
          <w:b/>
        </w:rPr>
        <w:t xml:space="preserve">       19. Dates Collection </w:t>
      </w:r>
      <w:r w:rsidR="00222E61">
        <w:rPr>
          <w:b/>
        </w:rPr>
        <w:t xml:space="preserve">of Information will </w:t>
      </w:r>
      <w:r>
        <w:rPr>
          <w:b/>
        </w:rPr>
        <w:t>Begin and End</w:t>
      </w:r>
      <w:r w:rsidR="00056E70">
        <w:rPr>
          <w:b/>
        </w:rPr>
        <w:t xml:space="preserve">: </w:t>
      </w:r>
      <w:r w:rsidR="00056E70" w:rsidRPr="00056E70">
        <w:t>November 2013 – November 2014</w:t>
      </w:r>
    </w:p>
    <w:p w:rsidR="00056E70" w:rsidRDefault="00056E70" w:rsidP="00012FAE">
      <w:pPr>
        <w:pStyle w:val="BodyTextIndent3"/>
        <w:ind w:left="0"/>
        <w:rPr>
          <w:b/>
        </w:rPr>
      </w:pPr>
    </w:p>
    <w:p w:rsidR="00916E6D" w:rsidRDefault="00916E6D" w:rsidP="00916E6D">
      <w:pPr>
        <w:pStyle w:val="BodyTextIndent3"/>
        <w:ind w:left="0"/>
        <w:rPr>
          <w:b/>
        </w:rPr>
      </w:pPr>
    </w:p>
    <w:p w:rsidR="00916E6D" w:rsidRDefault="00916E6D" w:rsidP="00916E6D">
      <w:pPr>
        <w:pStyle w:val="BodyTextIndent3"/>
        <w:ind w:left="0"/>
        <w:rPr>
          <w:b/>
        </w:rPr>
      </w:pPr>
      <w:r>
        <w:rPr>
          <w:b/>
        </w:rPr>
        <w:t>B.</w:t>
      </w:r>
      <w:r>
        <w:rPr>
          <w:b/>
        </w:rPr>
        <w:tab/>
        <w:t>STATISTICAL METHODS</w:t>
      </w:r>
    </w:p>
    <w:p w:rsidR="00916E6D" w:rsidRDefault="00916E6D" w:rsidP="00916E6D">
      <w:pPr>
        <w:rPr>
          <w:b/>
        </w:rPr>
      </w:pPr>
    </w:p>
    <w:p w:rsidR="00916E6D" w:rsidRDefault="00916E6D" w:rsidP="00916E6D">
      <w:pPr>
        <w:pStyle w:val="ListParagraph"/>
        <w:numPr>
          <w:ilvl w:val="0"/>
          <w:numId w:val="21"/>
        </w:numPr>
        <w:rPr>
          <w:b/>
        </w:rPr>
      </w:pPr>
      <w:r>
        <w:rPr>
          <w:b/>
        </w:rPr>
        <w:t>Universe and Respondent Selection</w:t>
      </w:r>
      <w:r w:rsidR="004F2745">
        <w:rPr>
          <w:b/>
        </w:rPr>
        <w:t xml:space="preserve"> – </w:t>
      </w:r>
      <w:r w:rsidR="004F2745" w:rsidRPr="004F2745">
        <w:t xml:space="preserve">for the purposes of testing the effectiveness of this mode of administration, the sample will be drawn by manually including survey questionnaires in randomly selected closing letters. </w:t>
      </w:r>
    </w:p>
    <w:p w:rsidR="00916E6D" w:rsidRDefault="00916E6D" w:rsidP="00012FAE">
      <w:pPr>
        <w:pStyle w:val="ListParagraph"/>
        <w:ind w:left="0"/>
        <w:rPr>
          <w:b/>
        </w:rPr>
      </w:pPr>
    </w:p>
    <w:p w:rsidR="00916E6D" w:rsidRDefault="00916E6D" w:rsidP="00916E6D">
      <w:pPr>
        <w:pStyle w:val="ListParagraph"/>
        <w:numPr>
          <w:ilvl w:val="0"/>
          <w:numId w:val="21"/>
        </w:numPr>
        <w:rPr>
          <w:b/>
        </w:rPr>
      </w:pPr>
      <w:r>
        <w:rPr>
          <w:b/>
        </w:rPr>
        <w:t>Procedures for Collecting Information</w:t>
      </w:r>
      <w:r w:rsidR="004F2745">
        <w:rPr>
          <w:b/>
        </w:rPr>
        <w:t xml:space="preserve"> </w:t>
      </w:r>
      <w:r w:rsidR="009B56F7">
        <w:rPr>
          <w:b/>
        </w:rPr>
        <w:t>–</w:t>
      </w:r>
      <w:r w:rsidR="004F2745">
        <w:rPr>
          <w:b/>
        </w:rPr>
        <w:t xml:space="preserve"> </w:t>
      </w:r>
      <w:r w:rsidR="009B56F7" w:rsidRPr="009B56F7">
        <w:t>Respondents will return postage prepaid questionnaire cards. Returned cards will be</w:t>
      </w:r>
      <w:r w:rsidR="009B56F7">
        <w:t xml:space="preserve"> scanned using teleform technology, automatically converting results into a data set.</w:t>
      </w:r>
    </w:p>
    <w:p w:rsidR="00916E6D" w:rsidRPr="00012FAE" w:rsidRDefault="00916E6D" w:rsidP="00916E6D">
      <w:pPr>
        <w:rPr>
          <w:iCs/>
        </w:rPr>
      </w:pPr>
    </w:p>
    <w:p w:rsidR="00916E6D" w:rsidRPr="009B56F7" w:rsidRDefault="00916E6D" w:rsidP="00916E6D">
      <w:pPr>
        <w:pStyle w:val="ListParagraph"/>
        <w:numPr>
          <w:ilvl w:val="0"/>
          <w:numId w:val="21"/>
        </w:numPr>
      </w:pPr>
      <w:r>
        <w:rPr>
          <w:b/>
        </w:rPr>
        <w:t>Methods to Maximize Response</w:t>
      </w:r>
      <w:r w:rsidR="0037185E">
        <w:rPr>
          <w:b/>
        </w:rPr>
        <w:t xml:space="preserve"> </w:t>
      </w:r>
      <w:r w:rsidR="009B56F7">
        <w:rPr>
          <w:b/>
        </w:rPr>
        <w:t xml:space="preserve">- </w:t>
      </w:r>
      <w:r w:rsidR="0037185E" w:rsidRPr="009B56F7">
        <w:t xml:space="preserve">The survey will be of lesser length than the existing phone-based </w:t>
      </w:r>
      <w:r w:rsidR="00AD3BA9">
        <w:t>survey, and it will be provided to potential respondents at the moment they receive letters closing their CSCO action. The current method relies on phone calls weeks after the case is closed. We believe that an opportunity to provide feedback at the moment of resolution may increase response rate, help better target the CSCO area, and decrease recall bias.</w:t>
      </w:r>
    </w:p>
    <w:p w:rsidR="00916E6D" w:rsidRDefault="00916E6D" w:rsidP="00916E6D">
      <w:pPr>
        <w:pStyle w:val="ListParagraph"/>
        <w:ind w:left="360"/>
      </w:pPr>
    </w:p>
    <w:p w:rsidR="00DB3EBE" w:rsidRPr="008D1978" w:rsidRDefault="00DB3EBE" w:rsidP="00DB3EBE">
      <w:pPr>
        <w:numPr>
          <w:ilvl w:val="0"/>
          <w:numId w:val="21"/>
        </w:numPr>
        <w:rPr>
          <w:rFonts w:cs="Arial"/>
          <w:szCs w:val="20"/>
        </w:rPr>
      </w:pPr>
      <w:r>
        <w:rPr>
          <w:b/>
        </w:rPr>
        <w:t xml:space="preserve">Testing of Procedures – </w:t>
      </w:r>
      <w:r w:rsidRPr="008D1978">
        <w:rPr>
          <w:rFonts w:cs="Arial"/>
          <w:szCs w:val="20"/>
        </w:rPr>
        <w:t>The questionnaire is an established and tested survey instrument. If changes are made to the questionnaire, only minor changes are expected. Revising the coding scheme for open-ended questions is one example.</w:t>
      </w:r>
    </w:p>
    <w:p w:rsidR="00916E6D" w:rsidRDefault="00916E6D" w:rsidP="00DB3EBE">
      <w:pPr>
        <w:pStyle w:val="ListParagraph"/>
        <w:ind w:left="0"/>
        <w:rPr>
          <w:b/>
        </w:rPr>
      </w:pPr>
    </w:p>
    <w:p w:rsidR="00916E6D" w:rsidRDefault="00916E6D" w:rsidP="00916E6D">
      <w:pPr>
        <w:pStyle w:val="ListParagraph"/>
        <w:numPr>
          <w:ilvl w:val="0"/>
          <w:numId w:val="21"/>
        </w:numPr>
        <w:rPr>
          <w:b/>
        </w:rPr>
      </w:pPr>
      <w:r>
        <w:rPr>
          <w:b/>
        </w:rPr>
        <w:t>Contacts for Statistical Aspects and Data Collection</w:t>
      </w:r>
    </w:p>
    <w:p w:rsidR="00916E6D" w:rsidRDefault="00916E6D" w:rsidP="00916E6D">
      <w:pPr>
        <w:pStyle w:val="ListParagraph"/>
        <w:ind w:left="360"/>
        <w:rPr>
          <w:b/>
        </w:rPr>
      </w:pPr>
    </w:p>
    <w:p w:rsidR="00916E6D" w:rsidRPr="00DB3EBE" w:rsidRDefault="00DB3EBE" w:rsidP="0024521E">
      <w:r w:rsidRPr="00DB3EBE">
        <w:t>Ben Shackleford</w:t>
      </w:r>
    </w:p>
    <w:p w:rsidR="00DB3EBE" w:rsidRPr="00DB3EBE" w:rsidRDefault="00DB3EBE" w:rsidP="0024521E">
      <w:r w:rsidRPr="00DB3EBE">
        <w:t>Wage and Investment Research and Analysis</w:t>
      </w:r>
    </w:p>
    <w:p w:rsidR="00DB3EBE" w:rsidRPr="00DB3EBE" w:rsidRDefault="0020544B" w:rsidP="0024521E">
      <w:hyperlink r:id="rId9" w:history="1">
        <w:r w:rsidR="00DB3EBE" w:rsidRPr="00DB3EBE">
          <w:rPr>
            <w:rStyle w:val="Hyperlink"/>
          </w:rPr>
          <w:t>Ben.A.Shackleford@IRS.gov</w:t>
        </w:r>
      </w:hyperlink>
    </w:p>
    <w:p w:rsidR="00DB3EBE" w:rsidRPr="00DB3EBE" w:rsidRDefault="00DB3EBE" w:rsidP="0024521E">
      <w:r w:rsidRPr="00DB3EBE">
        <w:t>Desk: 404-338-8970</w:t>
      </w:r>
    </w:p>
    <w:p w:rsidR="00DB3EBE" w:rsidRDefault="00DB3EBE" w:rsidP="0024521E">
      <w:r w:rsidRPr="00DB3EBE">
        <w:t>Mobile: 678-860-1279</w:t>
      </w:r>
    </w:p>
    <w:p w:rsidR="00DB3EBE" w:rsidRDefault="00DB3EBE" w:rsidP="0024521E"/>
    <w:p w:rsidR="00DB3EBE" w:rsidRDefault="00DB3EBE" w:rsidP="0024521E">
      <w:r>
        <w:t>Kahoa Bonhomme</w:t>
      </w:r>
    </w:p>
    <w:p w:rsidR="00DB3EBE" w:rsidRDefault="00DB3EBE" w:rsidP="0024521E">
      <w:r>
        <w:t>Wage and Investment Research and Analysis</w:t>
      </w:r>
    </w:p>
    <w:p w:rsidR="00DB3EBE" w:rsidRDefault="0020544B" w:rsidP="0024521E">
      <w:hyperlink r:id="rId10" w:history="1">
        <w:r w:rsidR="00DB3EBE" w:rsidRPr="006A76E5">
          <w:rPr>
            <w:rStyle w:val="Hyperlink"/>
          </w:rPr>
          <w:t>Kahoa.J.Bonhomme@IRS.gov</w:t>
        </w:r>
      </w:hyperlink>
    </w:p>
    <w:p w:rsidR="00DB3EBE" w:rsidRPr="00DB3EBE" w:rsidRDefault="00F956CE" w:rsidP="0024521E">
      <w:r>
        <w:t>Desk: 404-338-8474</w:t>
      </w:r>
    </w:p>
    <w:sectPr w:rsidR="00DB3EBE" w:rsidRPr="00DB3EBE" w:rsidSect="00194AC6">
      <w:headerReference w:type="default" r:id="rId11"/>
      <w:foot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AE5" w:rsidRDefault="008D7AE5">
      <w:r>
        <w:separator/>
      </w:r>
    </w:p>
  </w:endnote>
  <w:endnote w:type="continuationSeparator" w:id="0">
    <w:p w:rsidR="008D7AE5" w:rsidRDefault="008D7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4EA" w:rsidRDefault="008824EA">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20544B">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AE5" w:rsidRDefault="008D7AE5">
      <w:r>
        <w:separator/>
      </w:r>
    </w:p>
  </w:footnote>
  <w:footnote w:type="continuationSeparator" w:id="0">
    <w:p w:rsidR="008D7AE5" w:rsidRDefault="008D7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4EA" w:rsidRDefault="008824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591103"/>
    <w:multiLevelType w:val="hybridMultilevel"/>
    <w:tmpl w:val="FA96116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A4F0487"/>
    <w:multiLevelType w:val="hybridMultilevel"/>
    <w:tmpl w:val="F2148E08"/>
    <w:lvl w:ilvl="0" w:tplc="75F847E4">
      <w:start w:val="1"/>
      <w:numFmt w:val="upperLetter"/>
      <w:lvlText w:val="%1."/>
      <w:lvlJc w:val="left"/>
      <w:pPr>
        <w:ind w:left="360" w:hanging="360"/>
      </w:pPr>
      <w:rPr>
        <w:rFonts w:cs="Times New Roman" w:hint="default"/>
        <w:u w:val="none"/>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nsid w:val="6D412705"/>
    <w:multiLevelType w:val="hybridMultilevel"/>
    <w:tmpl w:val="77685916"/>
    <w:lvl w:ilvl="0" w:tplc="FB9E71E4">
      <w:start w:val="1"/>
      <w:numFmt w:val="decimal"/>
      <w:lvlText w:val="%1."/>
      <w:lvlJc w:val="left"/>
      <w:pPr>
        <w:ind w:left="360" w:hanging="360"/>
      </w:pPr>
      <w:rPr>
        <w:rFonts w:cs="Times New Roman" w:hint="default"/>
        <w:color w:val="auto"/>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746221AE"/>
    <w:multiLevelType w:val="hybridMultilevel"/>
    <w:tmpl w:val="9FA4EFC0"/>
    <w:lvl w:ilvl="0" w:tplc="A098562A">
      <w:start w:val="1"/>
      <w:numFmt w:val="decimal"/>
      <w:lvlText w:val="%1."/>
      <w:lvlJc w:val="left"/>
      <w:pPr>
        <w:ind w:left="360" w:hanging="360"/>
      </w:pPr>
      <w:rPr>
        <w:rFonts w:cs="Times New Roman"/>
      </w:rPr>
    </w:lvl>
    <w:lvl w:ilvl="1" w:tplc="3E8E237A"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9">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0">
    <w:nsid w:val="7CF10674"/>
    <w:multiLevelType w:val="hybridMultilevel"/>
    <w:tmpl w:val="8F30CE14"/>
    <w:lvl w:ilvl="0" w:tplc="D44CED98">
      <w:start w:val="1"/>
      <w:numFmt w:val="bullet"/>
      <w:lvlText w:val=""/>
      <w:lvlJc w:val="left"/>
      <w:pPr>
        <w:tabs>
          <w:tab w:val="num" w:pos="720"/>
        </w:tabs>
        <w:ind w:left="720" w:hanging="360"/>
      </w:pPr>
      <w:rPr>
        <w:rFonts w:ascii="Symbol" w:hAnsi="Symbol" w:hint="default"/>
      </w:rPr>
    </w:lvl>
    <w:lvl w:ilvl="1" w:tplc="A6A0BCB4" w:tentative="1">
      <w:start w:val="1"/>
      <w:numFmt w:val="bullet"/>
      <w:lvlText w:val="o"/>
      <w:lvlJc w:val="left"/>
      <w:pPr>
        <w:tabs>
          <w:tab w:val="num" w:pos="1440"/>
        </w:tabs>
        <w:ind w:left="1440" w:hanging="360"/>
      </w:pPr>
      <w:rPr>
        <w:rFonts w:ascii="Courier New" w:hAnsi="Courier New" w:hint="default"/>
      </w:rPr>
    </w:lvl>
    <w:lvl w:ilvl="2" w:tplc="FFA86E18" w:tentative="1">
      <w:start w:val="1"/>
      <w:numFmt w:val="bullet"/>
      <w:lvlText w:val=""/>
      <w:lvlJc w:val="left"/>
      <w:pPr>
        <w:tabs>
          <w:tab w:val="num" w:pos="2160"/>
        </w:tabs>
        <w:ind w:left="2160" w:hanging="360"/>
      </w:pPr>
      <w:rPr>
        <w:rFonts w:ascii="Wingdings" w:hAnsi="Wingdings" w:hint="default"/>
      </w:rPr>
    </w:lvl>
    <w:lvl w:ilvl="3" w:tplc="FD4E5770" w:tentative="1">
      <w:start w:val="1"/>
      <w:numFmt w:val="bullet"/>
      <w:lvlText w:val=""/>
      <w:lvlJc w:val="left"/>
      <w:pPr>
        <w:tabs>
          <w:tab w:val="num" w:pos="2880"/>
        </w:tabs>
        <w:ind w:left="2880" w:hanging="360"/>
      </w:pPr>
      <w:rPr>
        <w:rFonts w:ascii="Symbol" w:hAnsi="Symbol" w:hint="default"/>
      </w:rPr>
    </w:lvl>
    <w:lvl w:ilvl="4" w:tplc="B532D4C2" w:tentative="1">
      <w:start w:val="1"/>
      <w:numFmt w:val="bullet"/>
      <w:lvlText w:val="o"/>
      <w:lvlJc w:val="left"/>
      <w:pPr>
        <w:tabs>
          <w:tab w:val="num" w:pos="3600"/>
        </w:tabs>
        <w:ind w:left="3600" w:hanging="360"/>
      </w:pPr>
      <w:rPr>
        <w:rFonts w:ascii="Courier New" w:hAnsi="Courier New" w:hint="default"/>
      </w:rPr>
    </w:lvl>
    <w:lvl w:ilvl="5" w:tplc="A692A814" w:tentative="1">
      <w:start w:val="1"/>
      <w:numFmt w:val="bullet"/>
      <w:lvlText w:val=""/>
      <w:lvlJc w:val="left"/>
      <w:pPr>
        <w:tabs>
          <w:tab w:val="num" w:pos="4320"/>
        </w:tabs>
        <w:ind w:left="4320" w:hanging="360"/>
      </w:pPr>
      <w:rPr>
        <w:rFonts w:ascii="Wingdings" w:hAnsi="Wingdings" w:hint="default"/>
      </w:rPr>
    </w:lvl>
    <w:lvl w:ilvl="6" w:tplc="B96869F4" w:tentative="1">
      <w:start w:val="1"/>
      <w:numFmt w:val="bullet"/>
      <w:lvlText w:val=""/>
      <w:lvlJc w:val="left"/>
      <w:pPr>
        <w:tabs>
          <w:tab w:val="num" w:pos="5040"/>
        </w:tabs>
        <w:ind w:left="5040" w:hanging="360"/>
      </w:pPr>
      <w:rPr>
        <w:rFonts w:ascii="Symbol" w:hAnsi="Symbol" w:hint="default"/>
      </w:rPr>
    </w:lvl>
    <w:lvl w:ilvl="7" w:tplc="1B6E948C" w:tentative="1">
      <w:start w:val="1"/>
      <w:numFmt w:val="bullet"/>
      <w:lvlText w:val="o"/>
      <w:lvlJc w:val="left"/>
      <w:pPr>
        <w:tabs>
          <w:tab w:val="num" w:pos="5760"/>
        </w:tabs>
        <w:ind w:left="5760" w:hanging="360"/>
      </w:pPr>
      <w:rPr>
        <w:rFonts w:ascii="Courier New" w:hAnsi="Courier New" w:hint="default"/>
      </w:rPr>
    </w:lvl>
    <w:lvl w:ilvl="8" w:tplc="6420974C"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9"/>
  </w:num>
  <w:num w:numId="3">
    <w:abstractNumId w:val="18"/>
  </w:num>
  <w:num w:numId="4">
    <w:abstractNumId w:val="20"/>
  </w:num>
  <w:num w:numId="5">
    <w:abstractNumId w:val="3"/>
  </w:num>
  <w:num w:numId="6">
    <w:abstractNumId w:val="1"/>
  </w:num>
  <w:num w:numId="7">
    <w:abstractNumId w:val="9"/>
  </w:num>
  <w:num w:numId="8">
    <w:abstractNumId w:val="15"/>
  </w:num>
  <w:num w:numId="9">
    <w:abstractNumId w:val="10"/>
  </w:num>
  <w:num w:numId="10">
    <w:abstractNumId w:val="2"/>
  </w:num>
  <w:num w:numId="11">
    <w:abstractNumId w:val="6"/>
  </w:num>
  <w:num w:numId="12">
    <w:abstractNumId w:val="8"/>
  </w:num>
  <w:num w:numId="13">
    <w:abstractNumId w:val="0"/>
  </w:num>
  <w:num w:numId="14">
    <w:abstractNumId w:val="17"/>
  </w:num>
  <w:num w:numId="15">
    <w:abstractNumId w:val="14"/>
  </w:num>
  <w:num w:numId="16">
    <w:abstractNumId w:val="13"/>
  </w:num>
  <w:num w:numId="17">
    <w:abstractNumId w:val="4"/>
  </w:num>
  <w:num w:numId="18">
    <w:abstractNumId w:val="5"/>
  </w:num>
  <w:num w:numId="19">
    <w:abstractNumId w:val="12"/>
  </w:num>
  <w:num w:numId="20">
    <w:abstractNumId w:val="16"/>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383F"/>
    <w:rsid w:val="00012FAE"/>
    <w:rsid w:val="00023A57"/>
    <w:rsid w:val="00047A64"/>
    <w:rsid w:val="00056E70"/>
    <w:rsid w:val="00060837"/>
    <w:rsid w:val="00067329"/>
    <w:rsid w:val="000810D9"/>
    <w:rsid w:val="000B2838"/>
    <w:rsid w:val="000B28F5"/>
    <w:rsid w:val="000C3899"/>
    <w:rsid w:val="000D44CA"/>
    <w:rsid w:val="000E200B"/>
    <w:rsid w:val="000F68BE"/>
    <w:rsid w:val="001508A6"/>
    <w:rsid w:val="001557E9"/>
    <w:rsid w:val="00157D98"/>
    <w:rsid w:val="0017764D"/>
    <w:rsid w:val="001927A4"/>
    <w:rsid w:val="00193B3F"/>
    <w:rsid w:val="0019477A"/>
    <w:rsid w:val="00194AC6"/>
    <w:rsid w:val="001A23B0"/>
    <w:rsid w:val="001A25CC"/>
    <w:rsid w:val="001B0AAA"/>
    <w:rsid w:val="001B3956"/>
    <w:rsid w:val="001C39F7"/>
    <w:rsid w:val="001F1CA3"/>
    <w:rsid w:val="00203E87"/>
    <w:rsid w:val="0020544B"/>
    <w:rsid w:val="00222E61"/>
    <w:rsid w:val="00225C38"/>
    <w:rsid w:val="00237B48"/>
    <w:rsid w:val="0024521E"/>
    <w:rsid w:val="00263C3D"/>
    <w:rsid w:val="00274D0B"/>
    <w:rsid w:val="002870D9"/>
    <w:rsid w:val="002B3C95"/>
    <w:rsid w:val="002D0B92"/>
    <w:rsid w:val="003142CA"/>
    <w:rsid w:val="00322073"/>
    <w:rsid w:val="00332E7E"/>
    <w:rsid w:val="00336C81"/>
    <w:rsid w:val="0037185E"/>
    <w:rsid w:val="003D5BBE"/>
    <w:rsid w:val="003E3C61"/>
    <w:rsid w:val="003F1C5B"/>
    <w:rsid w:val="00400920"/>
    <w:rsid w:val="00434E33"/>
    <w:rsid w:val="00441434"/>
    <w:rsid w:val="0045264C"/>
    <w:rsid w:val="0046051E"/>
    <w:rsid w:val="00465533"/>
    <w:rsid w:val="004872C1"/>
    <w:rsid w:val="004876EC"/>
    <w:rsid w:val="004D6E14"/>
    <w:rsid w:val="004F2745"/>
    <w:rsid w:val="005009B0"/>
    <w:rsid w:val="00554069"/>
    <w:rsid w:val="00575EAC"/>
    <w:rsid w:val="00591FCE"/>
    <w:rsid w:val="005A1006"/>
    <w:rsid w:val="005E714A"/>
    <w:rsid w:val="00604C68"/>
    <w:rsid w:val="006140A0"/>
    <w:rsid w:val="00636621"/>
    <w:rsid w:val="00642B49"/>
    <w:rsid w:val="006446A5"/>
    <w:rsid w:val="00671D31"/>
    <w:rsid w:val="006832D9"/>
    <w:rsid w:val="0069403B"/>
    <w:rsid w:val="006A06B6"/>
    <w:rsid w:val="006D0FFF"/>
    <w:rsid w:val="006F3DDE"/>
    <w:rsid w:val="00701F40"/>
    <w:rsid w:val="00704678"/>
    <w:rsid w:val="007425E7"/>
    <w:rsid w:val="00777C92"/>
    <w:rsid w:val="007C1FF3"/>
    <w:rsid w:val="007D1731"/>
    <w:rsid w:val="00802607"/>
    <w:rsid w:val="00803FF1"/>
    <w:rsid w:val="008101A5"/>
    <w:rsid w:val="00822664"/>
    <w:rsid w:val="00824ACA"/>
    <w:rsid w:val="008373A5"/>
    <w:rsid w:val="00843796"/>
    <w:rsid w:val="00875917"/>
    <w:rsid w:val="008824EA"/>
    <w:rsid w:val="00891D71"/>
    <w:rsid w:val="00895229"/>
    <w:rsid w:val="008B312E"/>
    <w:rsid w:val="008D7AE5"/>
    <w:rsid w:val="008E1814"/>
    <w:rsid w:val="008F0203"/>
    <w:rsid w:val="008F30B0"/>
    <w:rsid w:val="008F33C4"/>
    <w:rsid w:val="008F50D4"/>
    <w:rsid w:val="00916E6D"/>
    <w:rsid w:val="009202FB"/>
    <w:rsid w:val="009239AA"/>
    <w:rsid w:val="0092696D"/>
    <w:rsid w:val="00935ADA"/>
    <w:rsid w:val="0094128D"/>
    <w:rsid w:val="00946B6C"/>
    <w:rsid w:val="00955A71"/>
    <w:rsid w:val="00957AEC"/>
    <w:rsid w:val="0096108F"/>
    <w:rsid w:val="009721E6"/>
    <w:rsid w:val="0099657B"/>
    <w:rsid w:val="009B56F7"/>
    <w:rsid w:val="009C13B9"/>
    <w:rsid w:val="009D01A2"/>
    <w:rsid w:val="009E4B0D"/>
    <w:rsid w:val="009F5923"/>
    <w:rsid w:val="009F66AC"/>
    <w:rsid w:val="00A403BB"/>
    <w:rsid w:val="00A404C5"/>
    <w:rsid w:val="00A674DF"/>
    <w:rsid w:val="00A83AA6"/>
    <w:rsid w:val="00AC180F"/>
    <w:rsid w:val="00AC3BEF"/>
    <w:rsid w:val="00AD3BA9"/>
    <w:rsid w:val="00AE1809"/>
    <w:rsid w:val="00B51F57"/>
    <w:rsid w:val="00B660A2"/>
    <w:rsid w:val="00B80D76"/>
    <w:rsid w:val="00BA2105"/>
    <w:rsid w:val="00BA7E06"/>
    <w:rsid w:val="00BB43B5"/>
    <w:rsid w:val="00BB6219"/>
    <w:rsid w:val="00BD0A7D"/>
    <w:rsid w:val="00BD290F"/>
    <w:rsid w:val="00BF1A9A"/>
    <w:rsid w:val="00C14CC4"/>
    <w:rsid w:val="00C166C2"/>
    <w:rsid w:val="00C26234"/>
    <w:rsid w:val="00C33C52"/>
    <w:rsid w:val="00C40D8B"/>
    <w:rsid w:val="00C8158A"/>
    <w:rsid w:val="00C8407A"/>
    <w:rsid w:val="00C8488C"/>
    <w:rsid w:val="00C86E91"/>
    <w:rsid w:val="00CA252B"/>
    <w:rsid w:val="00CA2650"/>
    <w:rsid w:val="00CB1078"/>
    <w:rsid w:val="00CC6FAF"/>
    <w:rsid w:val="00CE2E08"/>
    <w:rsid w:val="00D24698"/>
    <w:rsid w:val="00D6383F"/>
    <w:rsid w:val="00DB3EBE"/>
    <w:rsid w:val="00DB59D0"/>
    <w:rsid w:val="00DC33D3"/>
    <w:rsid w:val="00DC4A4F"/>
    <w:rsid w:val="00DE364B"/>
    <w:rsid w:val="00E13F41"/>
    <w:rsid w:val="00E14D82"/>
    <w:rsid w:val="00E2468B"/>
    <w:rsid w:val="00E26329"/>
    <w:rsid w:val="00E40B50"/>
    <w:rsid w:val="00E50293"/>
    <w:rsid w:val="00E65FFC"/>
    <w:rsid w:val="00E74051"/>
    <w:rsid w:val="00E80951"/>
    <w:rsid w:val="00E854FE"/>
    <w:rsid w:val="00E86CC6"/>
    <w:rsid w:val="00EB3A69"/>
    <w:rsid w:val="00EB451F"/>
    <w:rsid w:val="00EB56B3"/>
    <w:rsid w:val="00ED6492"/>
    <w:rsid w:val="00EF2095"/>
    <w:rsid w:val="00F06866"/>
    <w:rsid w:val="00F15956"/>
    <w:rsid w:val="00F24CFC"/>
    <w:rsid w:val="00F2709B"/>
    <w:rsid w:val="00F3170F"/>
    <w:rsid w:val="00F31EE2"/>
    <w:rsid w:val="00F6093A"/>
    <w:rsid w:val="00F62DC4"/>
    <w:rsid w:val="00F94242"/>
    <w:rsid w:val="00F956CE"/>
    <w:rsid w:val="00F976B0"/>
    <w:rsid w:val="00FA5F4F"/>
    <w:rsid w:val="00FA6DE7"/>
    <w:rsid w:val="00FB0BD2"/>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style>
  <w:style w:type="paragraph" w:styleId="BodyText">
    <w:name w:val="Body Text"/>
    <w:basedOn w:val="Normal"/>
    <w:rsid w:val="00194AC6"/>
    <w:pPr>
      <w:widowControl w:val="0"/>
    </w:pPr>
    <w:rPr>
      <w:i/>
      <w:iCs/>
      <w:sz w:val="20"/>
      <w:szCs w:val="20"/>
    </w:rPr>
  </w:style>
  <w:style w:type="paragraph" w:styleId="Footer">
    <w:name w:val="footer"/>
    <w:basedOn w:val="Normal"/>
    <w:rsid w:val="00194AC6"/>
    <w:pPr>
      <w:tabs>
        <w:tab w:val="center" w:pos="4320"/>
        <w:tab w:val="right" w:pos="8640"/>
      </w:tabs>
    </w:pPr>
  </w:style>
  <w:style w:type="character" w:styleId="PageNumber">
    <w:name w:val="page number"/>
    <w:rsid w:val="00194AC6"/>
    <w:rPr>
      <w:rFonts w:cs="Times New Roman"/>
    </w:rPr>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locked/>
    <w:rsid w:val="00FA6DE7"/>
    <w:rPr>
      <w:rFonts w:ascii="Tahoma" w:hAnsi="Tahoma" w:cs="Tahoma"/>
      <w:sz w:val="16"/>
      <w:szCs w:val="16"/>
    </w:rPr>
  </w:style>
  <w:style w:type="character" w:styleId="CommentReference">
    <w:name w:val="annotation reference"/>
    <w:rsid w:val="00F06866"/>
    <w:rPr>
      <w:rFonts w:cs="Times New Roman"/>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link w:val="CommentText"/>
    <w:locked/>
    <w:rsid w:val="00F06866"/>
    <w:rPr>
      <w:rFonts w:cs="Times New Roman"/>
    </w:rPr>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locked/>
    <w:rsid w:val="00F06866"/>
    <w:rPr>
      <w:rFonts w:cs="Times New Roman"/>
      <w:b/>
      <w:bCs/>
    </w:rPr>
  </w:style>
  <w:style w:type="paragraph" w:styleId="ListParagraph">
    <w:name w:val="List Paragraph"/>
    <w:basedOn w:val="Normal"/>
    <w:qFormat/>
    <w:rsid w:val="00C14CC4"/>
    <w:pPr>
      <w:ind w:left="720"/>
      <w:contextualSpacing/>
    </w:pPr>
  </w:style>
  <w:style w:type="character" w:styleId="Hyperlink">
    <w:name w:val="Hyperlink"/>
    <w:rsid w:val="00916E6D"/>
    <w:rPr>
      <w:color w:val="0000FF"/>
      <w:u w:val="single"/>
    </w:rPr>
  </w:style>
  <w:style w:type="paragraph" w:styleId="BodyTextIndent2">
    <w:name w:val="Body Text Indent 2"/>
    <w:basedOn w:val="Normal"/>
    <w:link w:val="BodyTextIndent2Char"/>
    <w:rsid w:val="00957AEC"/>
    <w:pPr>
      <w:spacing w:after="120" w:line="480" w:lineRule="auto"/>
      <w:ind w:left="360"/>
    </w:pPr>
  </w:style>
  <w:style w:type="character" w:customStyle="1" w:styleId="BodyTextIndent2Char">
    <w:name w:val="Body Text Indent 2 Char"/>
    <w:link w:val="BodyTextIndent2"/>
    <w:rsid w:val="00957AE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sps.com/business/reply-mail.ht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ahoa.J.Bonhomme@IRS.gov" TargetMode="External"/><Relationship Id="rId4" Type="http://schemas.openxmlformats.org/officeDocument/2006/relationships/settings" Target="settings.xml"/><Relationship Id="rId9" Type="http://schemas.openxmlformats.org/officeDocument/2006/relationships/hyperlink" Target="mailto:Ben.A.Shackleford@IRS.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998</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6674</CharactersWithSpaces>
  <SharedDoc>false</SharedDoc>
  <HLinks>
    <vt:vector size="18" baseType="variant">
      <vt:variant>
        <vt:i4>1507382</vt:i4>
      </vt:variant>
      <vt:variant>
        <vt:i4>6</vt:i4>
      </vt:variant>
      <vt:variant>
        <vt:i4>0</vt:i4>
      </vt:variant>
      <vt:variant>
        <vt:i4>5</vt:i4>
      </vt:variant>
      <vt:variant>
        <vt:lpwstr>mailto:Kahoa.J.Bonhomme@IRS.gov</vt:lpwstr>
      </vt:variant>
      <vt:variant>
        <vt:lpwstr/>
      </vt:variant>
      <vt:variant>
        <vt:i4>1245231</vt:i4>
      </vt:variant>
      <vt:variant>
        <vt:i4>3</vt:i4>
      </vt:variant>
      <vt:variant>
        <vt:i4>0</vt:i4>
      </vt:variant>
      <vt:variant>
        <vt:i4>5</vt:i4>
      </vt:variant>
      <vt:variant>
        <vt:lpwstr>mailto:Ben.A.Shackleford@IRS.gov</vt:lpwstr>
      </vt:variant>
      <vt:variant>
        <vt:lpwstr/>
      </vt:variant>
      <vt:variant>
        <vt:i4>4784132</vt:i4>
      </vt:variant>
      <vt:variant>
        <vt:i4>0</vt:i4>
      </vt:variant>
      <vt:variant>
        <vt:i4>0</vt:i4>
      </vt:variant>
      <vt:variant>
        <vt:i4>5</vt:i4>
      </vt:variant>
      <vt:variant>
        <vt:lpwstr>https://www.usps.com/business/reply-mail.htm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Department of Treasury</cp:lastModifiedBy>
  <cp:revision>4</cp:revision>
  <cp:lastPrinted>2011-06-16T18:42:00Z</cp:lastPrinted>
  <dcterms:created xsi:type="dcterms:W3CDTF">2013-09-26T16:03:00Z</dcterms:created>
  <dcterms:modified xsi:type="dcterms:W3CDTF">2014-02-06T14:16:00Z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