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DF" w:rsidRPr="00836E32" w:rsidRDefault="001751DF">
      <w:pPr>
        <w:rPr>
          <w:b/>
        </w:rPr>
      </w:pPr>
      <w:r w:rsidRPr="00836E32">
        <w:rPr>
          <w:rFonts w:ascii="Arial" w:eastAsia="Arial" w:hAnsi="Arial" w:cs="Arial"/>
          <w:b/>
        </w:rPr>
        <w:t>IRS Office of Procurement Contractor Survey</w:t>
      </w:r>
    </w:p>
    <w:p w:rsidR="001751DF" w:rsidRDefault="001751DF">
      <w:pPr>
        <w:rPr>
          <w:rFonts w:ascii="Arial" w:eastAsia="Arial" w:hAnsi="Arial" w:cs="Arial"/>
        </w:rPr>
      </w:pPr>
    </w:p>
    <w:p w:rsidR="00836E32" w:rsidRPr="00836E32" w:rsidRDefault="00836E3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Email:</w:t>
      </w:r>
    </w:p>
    <w:p w:rsidR="002B5779" w:rsidRDefault="00836E32" w:rsidP="00836E32">
      <w:pPr>
        <w:spacing w:before="100" w:beforeAutospacing="1" w:after="240"/>
        <w:rPr>
          <w:rFonts w:ascii="Arial" w:hAnsi="Arial" w:cs="Arial"/>
        </w:rPr>
      </w:pPr>
      <w:r>
        <w:rPr>
          <w:rFonts w:ascii="Arial" w:hAnsi="Arial" w:cs="Arial"/>
        </w:rPr>
        <w:t>This survey is being sent to you because you did business with the Internal Revenue Service (IRS), Office of</w:t>
      </w:r>
      <w:r w:rsidR="001A55C8">
        <w:rPr>
          <w:rFonts w:ascii="Arial" w:hAnsi="Arial" w:cs="Arial"/>
        </w:rPr>
        <w:t xml:space="preserve"> Procurement in fiscal year 2013</w:t>
      </w:r>
      <w:r>
        <w:rPr>
          <w:rFonts w:ascii="Arial" w:hAnsi="Arial" w:cs="Arial"/>
        </w:rPr>
        <w:t>.  All responses will remain completely anonymous unless you request to be contacted.  The results from this survey will be used to improve our service to you.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2B5779">
        <w:rPr>
          <w:rFonts w:ascii="Arial" w:hAnsi="Arial" w:cs="Arial"/>
        </w:rPr>
        <w:t xml:space="preserve">This survey is voluntary and will take about 5 minutes to complete. </w:t>
      </w:r>
      <w:r>
        <w:rPr>
          <w:rFonts w:ascii="Arial" w:hAnsi="Arial" w:cs="Arial"/>
        </w:rPr>
        <w:t>Please click on the link below to access the survey.  At the end of this survey, you will find a special notice regarding the Internal Revenue Service's transition to an electronic invoicing service known as the Invoice Processing Platform (IPP).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%[</w:t>
      </w:r>
      <w:proofErr w:type="gramEnd"/>
      <w:r>
        <w:rPr>
          <w:rFonts w:ascii="Arial" w:hAnsi="Arial" w:cs="Arial"/>
        </w:rPr>
        <w:t>Contractor Survey]URL%</w:t>
      </w:r>
    </w:p>
    <w:p w:rsidR="002B5779" w:rsidRPr="002B5779" w:rsidRDefault="002B5779" w:rsidP="002B5779">
      <w:pPr>
        <w:autoSpaceDE w:val="0"/>
        <w:autoSpaceDN w:val="0"/>
        <w:rPr>
          <w:rFonts w:ascii="Arial" w:eastAsia="MS PGothic" w:hAnsi="Arial" w:cs="Arial"/>
          <w:lang w:eastAsia="ja-JP"/>
        </w:rPr>
      </w:pPr>
      <w:r w:rsidRPr="002B5779">
        <w:rPr>
          <w:rFonts w:ascii="Arial" w:eastAsia="MS PGothic" w:hAnsi="Arial" w:cs="Arial"/>
          <w:lang w:eastAsia="ja-JP"/>
        </w:rPr>
        <w:t>The Paperwork Reduction Act requires that the IRS display an OMB control number on all public information requests. The OMB Control Number</w:t>
      </w:r>
    </w:p>
    <w:p w:rsidR="002B5779" w:rsidRPr="002B5779" w:rsidRDefault="002B5779" w:rsidP="002B5779">
      <w:pPr>
        <w:autoSpaceDE w:val="0"/>
        <w:autoSpaceDN w:val="0"/>
        <w:rPr>
          <w:rFonts w:ascii="Arial" w:eastAsia="Batang" w:hAnsi="Arial" w:cs="Arial"/>
          <w:b/>
          <w:bCs/>
          <w:color w:val="1F497D"/>
          <w:lang w:eastAsia="ja-JP"/>
        </w:rPr>
      </w:pPr>
      <w:proofErr w:type="gramStart"/>
      <w:r w:rsidRPr="002B5779">
        <w:rPr>
          <w:rFonts w:ascii="Arial" w:eastAsia="MS PGothic" w:hAnsi="Arial" w:cs="Arial"/>
          <w:lang w:eastAsia="ja-JP"/>
        </w:rPr>
        <w:t>for</w:t>
      </w:r>
      <w:proofErr w:type="gramEnd"/>
      <w:r w:rsidRPr="002B5779">
        <w:rPr>
          <w:rFonts w:ascii="Arial" w:eastAsia="MS PGothic" w:hAnsi="Arial" w:cs="Arial"/>
          <w:lang w:eastAsia="ja-JP"/>
        </w:rPr>
        <w:t xml:space="preserve"> this study is 1545</w:t>
      </w:r>
      <w:r w:rsidRPr="002B5779">
        <w:rPr>
          <w:rFonts w:ascii="Cambria Math" w:eastAsia="MS PGothic" w:hAnsi="Cambria Math" w:cs="Cambria Math"/>
          <w:lang w:eastAsia="ja-JP"/>
        </w:rPr>
        <w:t>‐</w:t>
      </w:r>
      <w:r w:rsidRPr="002B5779">
        <w:rPr>
          <w:rFonts w:ascii="Arial" w:eastAsia="MS PGothic" w:hAnsi="Arial" w:cs="Arial"/>
          <w:lang w:eastAsia="ja-JP"/>
        </w:rPr>
        <w:t xml:space="preserve">1432. This voluntary survey should take no more than </w:t>
      </w:r>
      <w:r>
        <w:rPr>
          <w:rFonts w:ascii="Arial" w:eastAsia="MS PGothic" w:hAnsi="Arial" w:cs="Arial"/>
          <w:lang w:eastAsia="ja-JP"/>
        </w:rPr>
        <w:t xml:space="preserve">5 </w:t>
      </w:r>
      <w:r w:rsidRPr="002B5779">
        <w:rPr>
          <w:rFonts w:ascii="Arial" w:eastAsia="MS PGothic" w:hAnsi="Arial" w:cs="Arial"/>
          <w:lang w:eastAsia="ja-JP"/>
        </w:rPr>
        <w:t>minutes to complete. Also, If you have any comments regarding the time estimates associated with this study or suggestions on making the process simpler, please write to the: IRS Tax Products Coordinating Committee, SE:W:CAR:MP:T:T:SP, 1111 Constitution Avenue, NW, Washington, DC 20224.</w:t>
      </w:r>
    </w:p>
    <w:p w:rsidR="00836E32" w:rsidRDefault="00836E32" w:rsidP="00836E32">
      <w:pPr>
        <w:spacing w:before="100" w:beforeAutospacing="1" w:after="240"/>
      </w:pPr>
      <w:r>
        <w:rPr>
          <w:rFonts w:ascii="Arial" w:hAnsi="Arial" w:cs="Arial"/>
        </w:rPr>
        <w:t>We value your feedback and look forward to working with you in the future.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Jacob (Jake) Hansen</w:t>
      </w:r>
      <w:r>
        <w:rPr>
          <w:rFonts w:ascii="Arial" w:hAnsi="Arial" w:cs="Arial"/>
        </w:rPr>
        <w:br/>
        <w:t>Director, IRS Procurement</w:t>
      </w:r>
    </w:p>
    <w:p w:rsidR="007862E8" w:rsidRPr="002B5779" w:rsidRDefault="007862E8" w:rsidP="007862E8">
      <w:pPr>
        <w:autoSpaceDE w:val="0"/>
        <w:autoSpaceDN w:val="0"/>
        <w:rPr>
          <w:rFonts w:ascii="Arial" w:eastAsia="MS PGothic" w:hAnsi="Arial" w:cs="Arial"/>
          <w:lang w:eastAsia="ja-JP"/>
        </w:rPr>
      </w:pPr>
      <w:r w:rsidRPr="002B5779">
        <w:rPr>
          <w:rFonts w:ascii="Arial" w:eastAsia="MS PGothic" w:hAnsi="Arial" w:cs="Arial"/>
          <w:lang w:eastAsia="ja-JP"/>
        </w:rPr>
        <w:t>The Paperwork Reduction Act requires that the IRS display an OMB control number on all public information requests. The OMB Control Number</w:t>
      </w:r>
    </w:p>
    <w:p w:rsidR="007862E8" w:rsidRPr="002B5779" w:rsidRDefault="007862E8" w:rsidP="007862E8">
      <w:pPr>
        <w:autoSpaceDE w:val="0"/>
        <w:autoSpaceDN w:val="0"/>
        <w:rPr>
          <w:rFonts w:ascii="Arial" w:eastAsia="Batang" w:hAnsi="Arial" w:cs="Arial"/>
          <w:b/>
          <w:bCs/>
          <w:color w:val="1F497D"/>
          <w:lang w:eastAsia="ja-JP"/>
        </w:rPr>
      </w:pPr>
      <w:proofErr w:type="gramStart"/>
      <w:r w:rsidRPr="002B5779">
        <w:rPr>
          <w:rFonts w:ascii="Arial" w:eastAsia="MS PGothic" w:hAnsi="Arial" w:cs="Arial"/>
          <w:lang w:eastAsia="ja-JP"/>
        </w:rPr>
        <w:t>for</w:t>
      </w:r>
      <w:proofErr w:type="gramEnd"/>
      <w:r w:rsidRPr="002B5779">
        <w:rPr>
          <w:rFonts w:ascii="Arial" w:eastAsia="MS PGothic" w:hAnsi="Arial" w:cs="Arial"/>
          <w:lang w:eastAsia="ja-JP"/>
        </w:rPr>
        <w:t xml:space="preserve"> this study is 1545</w:t>
      </w:r>
      <w:r w:rsidRPr="002B5779">
        <w:rPr>
          <w:rFonts w:ascii="Cambria Math" w:eastAsia="MS PGothic" w:hAnsi="Cambria Math" w:cs="Cambria Math"/>
          <w:lang w:eastAsia="ja-JP"/>
        </w:rPr>
        <w:t>‐</w:t>
      </w:r>
      <w:r w:rsidRPr="002B5779">
        <w:rPr>
          <w:rFonts w:ascii="Arial" w:eastAsia="MS PGothic" w:hAnsi="Arial" w:cs="Arial"/>
          <w:lang w:eastAsia="ja-JP"/>
        </w:rPr>
        <w:t xml:space="preserve">1432. This voluntary survey should take no more than </w:t>
      </w:r>
      <w:r>
        <w:rPr>
          <w:rFonts w:ascii="Arial" w:eastAsia="MS PGothic" w:hAnsi="Arial" w:cs="Arial"/>
          <w:lang w:eastAsia="ja-JP"/>
        </w:rPr>
        <w:t xml:space="preserve">5 </w:t>
      </w:r>
      <w:r w:rsidRPr="002B5779">
        <w:rPr>
          <w:rFonts w:ascii="Arial" w:eastAsia="MS PGothic" w:hAnsi="Arial" w:cs="Arial"/>
          <w:lang w:eastAsia="ja-JP"/>
        </w:rPr>
        <w:t>minutes to complete. Also, If you have any comments regarding the time estimates associated with this study or suggestions on making the process simpler, please write to the: IRS Tax Products Coordinating Committee, SE:W:CAR:MP:T:T:SP, 1111 Constitution Avenue, NW, Washington, DC 20224.</w:t>
      </w:r>
    </w:p>
    <w:p w:rsidR="007862E8" w:rsidRDefault="007862E8">
      <w:pPr>
        <w:rPr>
          <w:rFonts w:ascii="Arial" w:eastAsia="Arial" w:hAnsi="Arial" w:cs="Arial"/>
          <w:b/>
        </w:rPr>
      </w:pPr>
    </w:p>
    <w:p w:rsidR="00836E32" w:rsidRDefault="00836E3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Survey Questions:</w:t>
      </w:r>
    </w:p>
    <w:p w:rsidR="001751DF" w:rsidRDefault="001751D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</w:r>
      <w:r w:rsidR="00836E32">
        <w:rPr>
          <w:rFonts w:ascii="Arial" w:eastAsia="Arial" w:hAnsi="Arial" w:cs="Arial"/>
          <w:b/>
        </w:rPr>
        <w:t>Q</w:t>
      </w:r>
      <w:r>
        <w:rPr>
          <w:rFonts w:ascii="Arial" w:eastAsia="Arial" w:hAnsi="Arial" w:cs="Arial"/>
          <w:b/>
        </w:rPr>
        <w:t xml:space="preserve">1.  Compared to your relationship with other Federal Procurement organizations, how would you rate the quality of your relationship with IRS Procurement staff over the last year?  </w:t>
      </w:r>
      <w:r>
        <w:rPr>
          <w:rFonts w:ascii="Arial" w:eastAsia="Arial" w:hAnsi="Arial" w:cs="Arial"/>
          <w:b/>
        </w:rPr>
        <w:br/>
      </w:r>
    </w:p>
    <w:p w:rsidR="001751DF" w:rsidRDefault="001751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Wingdings" w:eastAsia="Wingdings" w:hAnsi="Wingdings" w:cs="Wingdings"/>
        </w:rPr>
        <w:t></w:t>
      </w:r>
      <w:r>
        <w:rPr>
          <w:rFonts w:ascii="Arial" w:eastAsia="Arial" w:hAnsi="Arial" w:cs="Arial"/>
        </w:rPr>
        <w:t xml:space="preserve"> Very Dissatisfied   </w:t>
      </w:r>
      <w:r w:rsidR="00836E32">
        <w:rPr>
          <w:rFonts w:ascii="Arial" w:eastAsia="Arial" w:hAnsi="Arial" w:cs="Arial"/>
        </w:rPr>
        <w:t>(go to Q1a)</w:t>
      </w:r>
    </w:p>
    <w:p w:rsidR="001751DF" w:rsidRDefault="001751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Wingdings" w:eastAsia="Wingdings" w:hAnsi="Wingdings" w:cs="Wingdings"/>
        </w:rPr>
        <w:t></w:t>
      </w:r>
      <w:r>
        <w:rPr>
          <w:rFonts w:ascii="Arial" w:eastAsia="Arial" w:hAnsi="Arial" w:cs="Arial"/>
        </w:rPr>
        <w:t xml:space="preserve"> Dissatisfied  </w:t>
      </w:r>
      <w:r w:rsidR="00836E32">
        <w:rPr>
          <w:rFonts w:ascii="Arial" w:eastAsia="Arial" w:hAnsi="Arial" w:cs="Arial"/>
        </w:rPr>
        <w:t xml:space="preserve"> (go to Q1a)</w:t>
      </w:r>
    </w:p>
    <w:p w:rsidR="001751DF" w:rsidRDefault="001751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Wingdings" w:eastAsia="Wingdings" w:hAnsi="Wingdings" w:cs="Wingdings"/>
        </w:rPr>
        <w:t></w:t>
      </w:r>
      <w:r>
        <w:rPr>
          <w:rFonts w:ascii="Arial" w:eastAsia="Arial" w:hAnsi="Arial" w:cs="Arial"/>
        </w:rPr>
        <w:t xml:space="preserve"> Neither Dissatisfied nor Satisfied   </w:t>
      </w:r>
      <w:r w:rsidR="00836E32">
        <w:rPr>
          <w:rFonts w:ascii="Arial" w:eastAsia="Arial" w:hAnsi="Arial" w:cs="Arial"/>
        </w:rPr>
        <w:t>(go to Q2)</w:t>
      </w:r>
      <w:r>
        <w:rPr>
          <w:rFonts w:ascii="Arial" w:eastAsia="Arial" w:hAnsi="Arial" w:cs="Arial"/>
        </w:rPr>
        <w:t> </w:t>
      </w:r>
    </w:p>
    <w:p w:rsidR="001751DF" w:rsidRDefault="001751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Wingdings" w:eastAsia="Wingdings" w:hAnsi="Wingdings" w:cs="Wingdings"/>
        </w:rPr>
        <w:t></w:t>
      </w:r>
      <w:r>
        <w:rPr>
          <w:rFonts w:ascii="Arial" w:eastAsia="Arial" w:hAnsi="Arial" w:cs="Arial"/>
        </w:rPr>
        <w:t xml:space="preserve"> Satisfied    </w:t>
      </w:r>
      <w:r w:rsidR="00836E32">
        <w:rPr>
          <w:rFonts w:ascii="Arial" w:eastAsia="Arial" w:hAnsi="Arial" w:cs="Arial"/>
        </w:rPr>
        <w:t>(go to Q2)</w:t>
      </w:r>
    </w:p>
    <w:p w:rsidR="00836E32" w:rsidRDefault="001751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</w:t>
      </w:r>
      <w:r>
        <w:rPr>
          <w:rFonts w:ascii="Wingdings" w:eastAsia="Wingdings" w:hAnsi="Wingdings" w:cs="Wingdings"/>
        </w:rPr>
        <w:t></w:t>
      </w:r>
      <w:r>
        <w:rPr>
          <w:rFonts w:ascii="Arial" w:eastAsia="Arial" w:hAnsi="Arial" w:cs="Arial"/>
        </w:rPr>
        <w:t xml:space="preserve"> Very </w:t>
      </w:r>
      <w:r w:rsidR="00836E32">
        <w:rPr>
          <w:rFonts w:ascii="Arial" w:eastAsia="Arial" w:hAnsi="Arial" w:cs="Arial"/>
        </w:rPr>
        <w:t>Satisfied   (go to Q2)</w:t>
      </w:r>
    </w:p>
    <w:p w:rsidR="001751DF" w:rsidRDefault="001751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 w:rsidR="00836E32">
        <w:rPr>
          <w:rFonts w:ascii="Arial" w:eastAsia="Arial" w:hAnsi="Arial" w:cs="Arial"/>
          <w:b/>
        </w:rPr>
        <w:t>Q</w:t>
      </w:r>
      <w:r>
        <w:rPr>
          <w:rFonts w:ascii="Arial" w:eastAsia="Arial" w:hAnsi="Arial" w:cs="Arial"/>
          <w:b/>
        </w:rPr>
        <w:t>1a.  Please explain why you are dissatisfied.</w:t>
      </w:r>
      <w:r>
        <w:rPr>
          <w:rFonts w:ascii="Arial" w:eastAsia="Arial" w:hAnsi="Arial" w:cs="Arial"/>
          <w:b/>
        </w:rPr>
        <w:br/>
      </w:r>
    </w:p>
    <w:p w:rsidR="001751DF" w:rsidRDefault="001751DF">
      <w:pPr>
        <w:spacing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______________________________________________________________</w:t>
      </w:r>
    </w:p>
    <w:p w:rsidR="00836E32" w:rsidRDefault="001751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:rsidR="00836E32" w:rsidRDefault="00836E32">
      <w:pPr>
        <w:rPr>
          <w:rFonts w:ascii="Arial" w:eastAsia="Arial" w:hAnsi="Arial" w:cs="Arial"/>
          <w:b/>
        </w:rPr>
      </w:pPr>
    </w:p>
    <w:p w:rsidR="001751DF" w:rsidRDefault="00836E3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Q</w:t>
      </w:r>
      <w:r w:rsidR="001751DF">
        <w:rPr>
          <w:rFonts w:ascii="Arial" w:eastAsia="Arial" w:hAnsi="Arial" w:cs="Arial"/>
          <w:b/>
        </w:rPr>
        <w:t>2.  How satisfied are you with the following areas:</w:t>
      </w:r>
      <w:r w:rsidR="001751DF">
        <w:rPr>
          <w:rFonts w:ascii="Arial" w:eastAsia="Arial" w:hAnsi="Arial" w:cs="Arial"/>
          <w:b/>
        </w:rPr>
        <w:br/>
      </w:r>
    </w:p>
    <w:p w:rsidR="001751DF" w:rsidRDefault="001751DF">
      <w:pPr>
        <w:spacing w:afterAutospacing="1"/>
        <w:rPr>
          <w:rFonts w:ascii="Arial" w:eastAsia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04"/>
        <w:gridCol w:w="1444"/>
        <w:gridCol w:w="1444"/>
        <w:gridCol w:w="1444"/>
        <w:gridCol w:w="1260"/>
        <w:gridCol w:w="1260"/>
      </w:tblGrid>
      <w:tr w:rsidR="001751DF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Very Dissatisfied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Dissatisfied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Neither Dissatisfied nor Satisfied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Satisfied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Very Satisfied</w:t>
            </w:r>
          </w:p>
        </w:tc>
      </w:tr>
      <w:tr w:rsidR="001751DF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  Timeliness of the procurement action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</w:t>
            </w:r>
          </w:p>
        </w:tc>
      </w:tr>
      <w:tr w:rsidR="001751DF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b.  Communications received from the Procurement staff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</w:t>
            </w:r>
          </w:p>
        </w:tc>
      </w:tr>
      <w:tr w:rsidR="001751DF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  Professionalism of the Procurement staff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1DF" w:rsidRDefault="001751DF">
            <w:pPr>
              <w:spacing w:afterAutospacing="1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</w:t>
            </w:r>
          </w:p>
        </w:tc>
      </w:tr>
    </w:tbl>
    <w:p w:rsidR="001751DF" w:rsidRDefault="001751DF">
      <w:pPr>
        <w:spacing w:afterAutospacing="1"/>
        <w:rPr>
          <w:rFonts w:ascii="Arial" w:eastAsia="Arial" w:hAnsi="Arial" w:cs="Arial"/>
        </w:rPr>
      </w:pPr>
    </w:p>
    <w:p w:rsidR="001751DF" w:rsidRDefault="00836E32">
      <w:pPr>
        <w:spacing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Q</w:t>
      </w:r>
      <w:r w:rsidR="001751DF">
        <w:rPr>
          <w:rFonts w:ascii="Arial" w:eastAsia="Arial" w:hAnsi="Arial" w:cs="Arial"/>
          <w:b/>
        </w:rPr>
        <w:t>3.  The Procurement process was easy to understand and navigate.</w:t>
      </w:r>
      <w:r w:rsidR="001751DF">
        <w:rPr>
          <w:rFonts w:ascii="Arial" w:eastAsia="Arial" w:hAnsi="Arial" w:cs="Arial"/>
        </w:rPr>
        <w:t xml:space="preserve">  </w:t>
      </w:r>
      <w:r w:rsidR="001751DF">
        <w:rPr>
          <w:rFonts w:ascii="Arial" w:eastAsia="Arial" w:hAnsi="Arial" w:cs="Arial"/>
        </w:rPr>
        <w:br/>
      </w:r>
    </w:p>
    <w:p w:rsidR="00836E32" w:rsidRDefault="001751DF">
      <w:pPr>
        <w:spacing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Wingdings" w:eastAsia="Wingdings" w:hAnsi="Wingdings" w:cs="Wingdings"/>
        </w:rPr>
        <w:t></w:t>
      </w:r>
      <w:r>
        <w:rPr>
          <w:rFonts w:ascii="Arial" w:eastAsia="Arial" w:hAnsi="Arial" w:cs="Arial"/>
        </w:rPr>
        <w:t xml:space="preserve"> Yes    </w:t>
      </w:r>
      <w:r w:rsidR="00836E32">
        <w:rPr>
          <w:rFonts w:ascii="Arial" w:eastAsia="Arial" w:hAnsi="Arial" w:cs="Arial"/>
        </w:rPr>
        <w:t>(go to Q4)</w:t>
      </w:r>
    </w:p>
    <w:p w:rsidR="001751DF" w:rsidRDefault="001751DF">
      <w:pPr>
        <w:spacing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Wingdings" w:eastAsia="Wingdings" w:hAnsi="Wingdings" w:cs="Wingdings"/>
        </w:rPr>
        <w:t></w:t>
      </w:r>
      <w:r>
        <w:rPr>
          <w:rFonts w:ascii="Arial" w:eastAsia="Arial" w:hAnsi="Arial" w:cs="Arial"/>
        </w:rPr>
        <w:t xml:space="preserve"> No    </w:t>
      </w:r>
      <w:r w:rsidR="00836E32">
        <w:rPr>
          <w:rFonts w:ascii="Arial" w:eastAsia="Arial" w:hAnsi="Arial" w:cs="Arial"/>
        </w:rPr>
        <w:t>(go to Q3a)</w:t>
      </w:r>
    </w:p>
    <w:p w:rsidR="001751DF" w:rsidRDefault="001751DF">
      <w:pPr>
        <w:spacing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</w:r>
      <w:r w:rsidR="00836E32">
        <w:rPr>
          <w:rFonts w:ascii="Arial" w:eastAsia="Arial" w:hAnsi="Arial" w:cs="Arial"/>
          <w:b/>
        </w:rPr>
        <w:t>Q</w:t>
      </w:r>
      <w:r>
        <w:rPr>
          <w:rFonts w:ascii="Arial" w:eastAsia="Arial" w:hAnsi="Arial" w:cs="Arial"/>
          <w:b/>
        </w:rPr>
        <w:t>3a.  You indicated the process was not easy to understand, please explain.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</w:p>
    <w:p w:rsidR="001751DF" w:rsidRDefault="001751DF">
      <w:pPr>
        <w:spacing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______________________________________________________________</w:t>
      </w:r>
    </w:p>
    <w:p w:rsidR="001751DF" w:rsidRDefault="001751DF">
      <w:pPr>
        <w:spacing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</w:t>
      </w:r>
      <w:r>
        <w:rPr>
          <w:rFonts w:ascii="Arial" w:eastAsia="Arial" w:hAnsi="Arial" w:cs="Arial"/>
          <w:b/>
        </w:rPr>
        <w:br/>
      </w:r>
      <w:r w:rsidR="00836E32">
        <w:rPr>
          <w:rFonts w:ascii="Arial" w:eastAsia="Arial" w:hAnsi="Arial" w:cs="Arial"/>
          <w:b/>
        </w:rPr>
        <w:t>Q</w:t>
      </w:r>
      <w:r>
        <w:rPr>
          <w:rFonts w:ascii="Arial" w:eastAsia="Arial" w:hAnsi="Arial" w:cs="Arial"/>
          <w:b/>
        </w:rPr>
        <w:t>4.  Is there anything the Procurement staff could have done to provide you with better customer service?  If so, please explain below.</w:t>
      </w:r>
      <w:r>
        <w:rPr>
          <w:rFonts w:ascii="Arial" w:eastAsia="Arial" w:hAnsi="Arial" w:cs="Arial"/>
          <w:b/>
        </w:rPr>
        <w:br/>
      </w:r>
    </w:p>
    <w:p w:rsidR="001751DF" w:rsidRDefault="001751DF">
      <w:pPr>
        <w:spacing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______________________________________________________________</w:t>
      </w:r>
    </w:p>
    <w:p w:rsidR="001751DF" w:rsidRDefault="001751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:rsidR="001751DF" w:rsidRDefault="001751DF">
      <w:pPr>
        <w:spacing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</w:r>
      <w:r w:rsidR="00836E32">
        <w:rPr>
          <w:rFonts w:ascii="Arial" w:eastAsia="Arial" w:hAnsi="Arial" w:cs="Arial"/>
          <w:b/>
        </w:rPr>
        <w:t>Q</w:t>
      </w:r>
      <w:r>
        <w:rPr>
          <w:rFonts w:ascii="Arial" w:eastAsia="Arial" w:hAnsi="Arial" w:cs="Arial"/>
          <w:b/>
        </w:rPr>
        <w:t xml:space="preserve">5.  Would you like to be contacted by someone to discuss this survey?  </w:t>
      </w:r>
      <w:r>
        <w:rPr>
          <w:rFonts w:ascii="Arial" w:eastAsia="Arial" w:hAnsi="Arial" w:cs="Arial"/>
          <w:b/>
        </w:rPr>
        <w:br/>
      </w:r>
    </w:p>
    <w:p w:rsidR="00836E32" w:rsidRDefault="001751DF">
      <w:pPr>
        <w:spacing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Wingdings" w:eastAsia="Wingdings" w:hAnsi="Wingdings" w:cs="Wingdings"/>
        </w:rPr>
        <w:t></w:t>
      </w:r>
      <w:r>
        <w:rPr>
          <w:rFonts w:ascii="Arial" w:eastAsia="Arial" w:hAnsi="Arial" w:cs="Arial"/>
        </w:rPr>
        <w:t xml:space="preserve"> Yes    </w:t>
      </w:r>
      <w:r w:rsidR="00836E32">
        <w:rPr>
          <w:rFonts w:ascii="Arial" w:eastAsia="Arial" w:hAnsi="Arial" w:cs="Arial"/>
        </w:rPr>
        <w:t>(go to Q5a)</w:t>
      </w:r>
    </w:p>
    <w:p w:rsidR="00836E32" w:rsidRDefault="001751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Wingdings" w:eastAsia="Wingdings" w:hAnsi="Wingdings" w:cs="Wingdings"/>
        </w:rPr>
        <w:t></w:t>
      </w:r>
      <w:r>
        <w:rPr>
          <w:rFonts w:ascii="Arial" w:eastAsia="Arial" w:hAnsi="Arial" w:cs="Arial"/>
        </w:rPr>
        <w:t xml:space="preserve"> No    </w:t>
      </w:r>
      <w:r w:rsidR="00836E32">
        <w:rPr>
          <w:rFonts w:ascii="Arial" w:eastAsia="Arial" w:hAnsi="Arial" w:cs="Arial"/>
        </w:rPr>
        <w:t xml:space="preserve"> (go to Submit page)</w:t>
      </w:r>
    </w:p>
    <w:p w:rsidR="001751DF" w:rsidRDefault="001751D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</w:r>
      <w:r w:rsidR="00836E32">
        <w:rPr>
          <w:rFonts w:ascii="Arial" w:eastAsia="Arial" w:hAnsi="Arial" w:cs="Arial"/>
          <w:b/>
        </w:rPr>
        <w:t>Q</w:t>
      </w:r>
      <w:r>
        <w:rPr>
          <w:rFonts w:ascii="Arial" w:eastAsia="Arial" w:hAnsi="Arial" w:cs="Arial"/>
          <w:b/>
        </w:rPr>
        <w:t>5a.  How would you prefer to be contacted?</w:t>
      </w:r>
      <w:r>
        <w:rPr>
          <w:rFonts w:ascii="Arial" w:eastAsia="Arial" w:hAnsi="Arial" w:cs="Arial"/>
          <w:b/>
        </w:rPr>
        <w:br/>
      </w:r>
    </w:p>
    <w:p w:rsidR="001751DF" w:rsidRDefault="001751DF">
      <w:pPr>
        <w:spacing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Wingdings" w:eastAsia="Wingdings" w:hAnsi="Wingdings" w:cs="Wingdings"/>
        </w:rPr>
        <w:t></w:t>
      </w:r>
      <w:r>
        <w:rPr>
          <w:rFonts w:ascii="Arial" w:eastAsia="Arial" w:hAnsi="Arial" w:cs="Arial"/>
        </w:rPr>
        <w:t xml:space="preserve"> Telephone    </w:t>
      </w:r>
      <w:r w:rsidR="00836E32">
        <w:rPr>
          <w:rFonts w:ascii="Arial" w:eastAsia="Arial" w:hAnsi="Arial" w:cs="Arial"/>
        </w:rPr>
        <w:t>(go to Q5b)</w:t>
      </w:r>
    </w:p>
    <w:p w:rsidR="00836E32" w:rsidRDefault="001751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Wingdings" w:eastAsia="Wingdings" w:hAnsi="Wingdings" w:cs="Wingdings"/>
        </w:rPr>
        <w:t></w:t>
      </w:r>
      <w:r>
        <w:rPr>
          <w:rFonts w:ascii="Arial" w:eastAsia="Arial" w:hAnsi="Arial" w:cs="Arial"/>
        </w:rPr>
        <w:t xml:space="preserve"> Email    </w:t>
      </w:r>
      <w:r w:rsidR="00836E32">
        <w:rPr>
          <w:rFonts w:ascii="Arial" w:eastAsia="Arial" w:hAnsi="Arial" w:cs="Arial"/>
        </w:rPr>
        <w:t>(go to Q5bb)</w:t>
      </w:r>
    </w:p>
    <w:p w:rsidR="001751DF" w:rsidRDefault="001751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 w:rsidR="00836E32">
        <w:rPr>
          <w:rFonts w:ascii="Arial" w:eastAsia="Arial" w:hAnsi="Arial" w:cs="Arial"/>
          <w:b/>
        </w:rPr>
        <w:t>Q</w:t>
      </w:r>
      <w:r>
        <w:rPr>
          <w:rFonts w:ascii="Arial" w:eastAsia="Arial" w:hAnsi="Arial" w:cs="Arial"/>
          <w:b/>
        </w:rPr>
        <w:t>5b.  So that we may contact you as requested, please enter your name and phone number in the spaces provided here.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br/>
      </w:r>
    </w:p>
    <w:p w:rsidR="001751DF" w:rsidRDefault="001751DF">
      <w:pPr>
        <w:spacing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proofErr w:type="gramStart"/>
      <w:r>
        <w:rPr>
          <w:rFonts w:ascii="Arial" w:eastAsia="Arial" w:hAnsi="Arial" w:cs="Arial"/>
        </w:rPr>
        <w:t>Name  _</w:t>
      </w:r>
      <w:proofErr w:type="gramEnd"/>
      <w:r>
        <w:rPr>
          <w:rFonts w:ascii="Arial" w:eastAsia="Arial" w:hAnsi="Arial" w:cs="Arial"/>
        </w:rPr>
        <w:t>___________________</w:t>
      </w:r>
    </w:p>
    <w:p w:rsidR="001751DF" w:rsidRDefault="001751DF">
      <w:pPr>
        <w:spacing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Phone Number ____________________</w:t>
      </w:r>
    </w:p>
    <w:p w:rsidR="001751DF" w:rsidRDefault="00836E32">
      <w:pPr>
        <w:spacing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Q</w:t>
      </w:r>
      <w:r w:rsidR="001751DF">
        <w:rPr>
          <w:rFonts w:ascii="Arial" w:eastAsia="Arial" w:hAnsi="Arial" w:cs="Arial"/>
          <w:b/>
        </w:rPr>
        <w:t>5b</w:t>
      </w:r>
      <w:r>
        <w:rPr>
          <w:rFonts w:ascii="Arial" w:eastAsia="Arial" w:hAnsi="Arial" w:cs="Arial"/>
          <w:b/>
        </w:rPr>
        <w:t>b</w:t>
      </w:r>
      <w:r w:rsidR="001751DF">
        <w:rPr>
          <w:rFonts w:ascii="Arial" w:eastAsia="Arial" w:hAnsi="Arial" w:cs="Arial"/>
          <w:b/>
        </w:rPr>
        <w:t>.  So that we may contact you as requested, please enter your name and email address in the spaces provided here.   </w:t>
      </w:r>
      <w:r w:rsidR="001751DF">
        <w:rPr>
          <w:rFonts w:ascii="Arial" w:eastAsia="Arial" w:hAnsi="Arial" w:cs="Arial"/>
          <w:b/>
        </w:rPr>
        <w:br/>
      </w:r>
    </w:p>
    <w:p w:rsidR="001751DF" w:rsidRDefault="001751DF">
      <w:pPr>
        <w:spacing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Name ____________________</w:t>
      </w:r>
    </w:p>
    <w:p w:rsidR="001751DF" w:rsidRDefault="001751DF">
      <w:pPr>
        <w:spacing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Email Address ____________________</w:t>
      </w:r>
    </w:p>
    <w:p w:rsidR="001751DF" w:rsidRDefault="001751DF">
      <w:pPr>
        <w:spacing w:afterAutospacing="1"/>
        <w:rPr>
          <w:rFonts w:ascii="Arial" w:eastAsia="Arial" w:hAnsi="Arial" w:cs="Arial"/>
        </w:rPr>
      </w:pPr>
    </w:p>
    <w:p w:rsidR="001751DF" w:rsidRDefault="001751DF">
      <w:pPr>
        <w:spacing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Please click the 'Submit' button below to submit your responses.</w:t>
      </w:r>
    </w:p>
    <w:p w:rsidR="00695951" w:rsidRPr="002B5779" w:rsidRDefault="00836E32" w:rsidP="00836E32">
      <w:pPr>
        <w:pStyle w:val="NormalWeb"/>
        <w:spacing w:after="0"/>
        <w:rPr>
          <w:color w:val="0070C0"/>
          <w:sz w:val="24"/>
          <w:szCs w:val="24"/>
        </w:rPr>
      </w:pPr>
      <w:r>
        <w:rPr>
          <w:rFonts w:ascii="Verdana" w:hAnsi="Verdana"/>
          <w:color w:val="0070C0"/>
          <w:sz w:val="24"/>
          <w:szCs w:val="24"/>
        </w:rPr>
        <w:t>Thank you for taking the time to complete this survey.</w:t>
      </w:r>
      <w:r>
        <w:rPr>
          <w:rFonts w:ascii="Verdana" w:hAnsi="Verdana"/>
          <w:color w:val="0070C0"/>
          <w:sz w:val="24"/>
          <w:szCs w:val="24"/>
        </w:rPr>
        <w:br/>
      </w:r>
    </w:p>
    <w:p w:rsidR="002B5779" w:rsidRPr="002B5779" w:rsidRDefault="002B5779" w:rsidP="002B5779">
      <w:pPr>
        <w:autoSpaceDE w:val="0"/>
        <w:autoSpaceDN w:val="0"/>
        <w:rPr>
          <w:rFonts w:ascii="Arial" w:eastAsia="Batang" w:hAnsi="Arial" w:cs="Arial"/>
          <w:b/>
          <w:bCs/>
          <w:color w:val="1F497D"/>
          <w:sz w:val="22"/>
          <w:szCs w:val="22"/>
          <w:lang w:eastAsia="ja-JP"/>
        </w:rPr>
      </w:pPr>
    </w:p>
    <w:p w:rsidR="002B5779" w:rsidRDefault="002B5779" w:rsidP="002B5779">
      <w:pPr>
        <w:autoSpaceDE w:val="0"/>
        <w:autoSpaceDN w:val="0"/>
        <w:rPr>
          <w:rFonts w:ascii="Arial" w:eastAsia="Batang" w:hAnsi="Arial" w:cs="Arial"/>
          <w:b/>
          <w:bCs/>
          <w:color w:val="1F497D"/>
          <w:sz w:val="22"/>
          <w:szCs w:val="22"/>
          <w:lang w:eastAsia="ja-JP"/>
        </w:rPr>
      </w:pPr>
    </w:p>
    <w:p w:rsidR="001751DF" w:rsidRDefault="00E22BA4" w:rsidP="002B5779">
      <w:pPr>
        <w:autoSpaceDE w:val="0"/>
        <w:autoSpaceDN w:val="0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lastRenderedPageBreak/>
        <w:t>Survey Reminder</w:t>
      </w:r>
    </w:p>
    <w:p w:rsidR="00E22BA4" w:rsidRDefault="00E22BA4">
      <w:pPr>
        <w:spacing w:after="280"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Two weeks ago, you receive</w:t>
      </w:r>
      <w:r w:rsidR="00695951">
        <w:rPr>
          <w:rFonts w:ascii="Arial" w:eastAsia="Arial" w:hAnsi="Arial" w:cs="Arial"/>
        </w:rPr>
        <w:t xml:space="preserve">d an invitation to complete Procurement’s </w:t>
      </w:r>
      <w:r>
        <w:rPr>
          <w:rFonts w:ascii="Arial" w:eastAsia="Arial" w:hAnsi="Arial" w:cs="Arial"/>
        </w:rPr>
        <w:t>Contractor Satisfaction Survey.</w:t>
      </w:r>
      <w:r w:rsidR="00695951">
        <w:rPr>
          <w:rFonts w:ascii="Arial" w:eastAsia="Arial" w:hAnsi="Arial" w:cs="Arial"/>
        </w:rPr>
        <w:t xml:space="preserve">  Your feedback will provide us with valuable information regarding your acquisition experience.  </w:t>
      </w:r>
      <w:r w:rsidR="002B5779">
        <w:rPr>
          <w:rFonts w:ascii="Arial" w:eastAsia="Arial" w:hAnsi="Arial" w:cs="Arial"/>
        </w:rPr>
        <w:t xml:space="preserve">This survey is completely voluntary.  </w:t>
      </w:r>
      <w:r w:rsidR="00695951">
        <w:rPr>
          <w:rFonts w:ascii="Arial" w:eastAsia="Arial" w:hAnsi="Arial" w:cs="Arial"/>
        </w:rPr>
        <w:t xml:space="preserve">If you have not had the chance to respond, please take about </w:t>
      </w:r>
      <w:r w:rsidR="0050198A">
        <w:rPr>
          <w:rFonts w:ascii="Arial" w:eastAsia="Arial" w:hAnsi="Arial" w:cs="Arial"/>
        </w:rPr>
        <w:t>5</w:t>
      </w:r>
      <w:r w:rsidR="00695951">
        <w:rPr>
          <w:rFonts w:ascii="Arial" w:eastAsia="Arial" w:hAnsi="Arial" w:cs="Arial"/>
        </w:rPr>
        <w:t xml:space="preserve"> minutes to complete the survey by clicking on the following link:</w:t>
      </w:r>
    </w:p>
    <w:p w:rsidR="00695951" w:rsidRDefault="00695951">
      <w:pPr>
        <w:spacing w:after="280" w:afterAutospacing="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%[</w:t>
      </w:r>
      <w:proofErr w:type="gramEnd"/>
      <w:r>
        <w:rPr>
          <w:rFonts w:ascii="Arial" w:eastAsia="Arial" w:hAnsi="Arial" w:cs="Arial"/>
        </w:rPr>
        <w:t>Contractor Survey]URL%</w:t>
      </w:r>
    </w:p>
    <w:p w:rsidR="00695951" w:rsidRDefault="00695951">
      <w:pPr>
        <w:spacing w:after="280"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survey is scheduled to cl</w:t>
      </w:r>
      <w:r w:rsidR="002B5779">
        <w:rPr>
          <w:rFonts w:ascii="Arial" w:eastAsia="Arial" w:hAnsi="Arial" w:cs="Arial"/>
        </w:rPr>
        <w:t>ose on Friday, December 12, 2014</w:t>
      </w:r>
      <w:r>
        <w:rPr>
          <w:rFonts w:ascii="Arial" w:eastAsia="Arial" w:hAnsi="Arial" w:cs="Arial"/>
        </w:rPr>
        <w:t>.</w:t>
      </w:r>
    </w:p>
    <w:p w:rsidR="00695951" w:rsidRPr="0067463B" w:rsidRDefault="00695951">
      <w:pPr>
        <w:spacing w:after="280" w:afterAutospacing="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Thank you in advance for taking the time to complete this survey.  If you would like additional information, please contact our Procurement Customer Service Help Line at 202-283-1478, Option 4 or via email at </w:t>
      </w:r>
      <w:proofErr w:type="spellStart"/>
      <w:r>
        <w:rPr>
          <w:rFonts w:ascii="Arial" w:eastAsia="Arial" w:hAnsi="Arial" w:cs="Arial"/>
          <w:color w:val="0070C0"/>
        </w:rPr>
        <w:t>AWSSProcCustomer</w:t>
      </w:r>
      <w:proofErr w:type="spellEnd"/>
      <w:r>
        <w:rPr>
          <w:rFonts w:ascii="Arial" w:eastAsia="Arial" w:hAnsi="Arial" w:cs="Arial"/>
          <w:color w:val="0070C0"/>
        </w:rPr>
        <w:t xml:space="preserve"> Service@irs.gov</w:t>
      </w:r>
      <w:r w:rsidRPr="0067463B">
        <w:rPr>
          <w:rFonts w:ascii="Arial" w:eastAsia="Arial" w:hAnsi="Arial" w:cs="Arial"/>
          <w:color w:val="000000"/>
        </w:rPr>
        <w:t>.</w:t>
      </w:r>
    </w:p>
    <w:p w:rsidR="00695951" w:rsidRPr="00E22BA4" w:rsidRDefault="00695951">
      <w:pPr>
        <w:spacing w:after="280" w:afterAutospacing="1"/>
        <w:rPr>
          <w:rFonts w:ascii="Arial" w:eastAsia="Arial" w:hAnsi="Arial" w:cs="Arial"/>
        </w:rPr>
      </w:pPr>
    </w:p>
    <w:p w:rsidR="00E22BA4" w:rsidRPr="00E22BA4" w:rsidRDefault="00E22BA4">
      <w:pPr>
        <w:spacing w:after="280" w:afterAutospacing="1"/>
        <w:rPr>
          <w:rFonts w:ascii="Arial" w:eastAsia="Arial" w:hAnsi="Arial" w:cs="Arial"/>
          <w:b/>
        </w:rPr>
      </w:pPr>
    </w:p>
    <w:sectPr w:rsidR="00E22BA4" w:rsidRPr="00E22B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B3E"/>
    <w:rsid w:val="001751DF"/>
    <w:rsid w:val="001A55C8"/>
    <w:rsid w:val="002B5779"/>
    <w:rsid w:val="0050198A"/>
    <w:rsid w:val="0067463B"/>
    <w:rsid w:val="00695951"/>
    <w:rsid w:val="007862E8"/>
    <w:rsid w:val="00836E32"/>
    <w:rsid w:val="00E2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36E32"/>
    <w:rPr>
      <w:strike w:val="0"/>
      <w:dstrike w:val="0"/>
      <w:color w:val="DE3B21"/>
      <w:u w:val="none"/>
      <w:effect w:val="none"/>
    </w:rPr>
  </w:style>
  <w:style w:type="character" w:styleId="Strong">
    <w:name w:val="Strong"/>
    <w:qFormat/>
    <w:rsid w:val="00836E32"/>
    <w:rPr>
      <w:b/>
      <w:bCs/>
    </w:rPr>
  </w:style>
  <w:style w:type="paragraph" w:styleId="NormalWeb">
    <w:name w:val="Normal (Web)"/>
    <w:basedOn w:val="Normal"/>
    <w:uiPriority w:val="99"/>
    <w:rsid w:val="00836E32"/>
    <w:pPr>
      <w:spacing w:after="120" w:line="255" w:lineRule="atLeast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38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0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09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17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1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CCCCCC"/>
                                                                <w:left w:val="none" w:sz="0" w:space="0" w:color="CCCCCC"/>
                                                                <w:bottom w:val="none" w:sz="0" w:space="0" w:color="CCCCCC"/>
                                                                <w:right w:val="none" w:sz="0" w:space="0" w:color="CCCCCC"/>
                                                              </w:divBdr>
                                                              <w:divsChild>
                                                                <w:div w:id="1013383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IRS Office of Procurement Contractor Survey</vt:lpstr>
    </vt:vector>
  </TitlesOfParts>
  <Company>Internal Revenue Service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IRS Office of Procurement Contractor Survey</dc:title>
  <dc:creator>MCMNB</dc:creator>
  <cp:lastModifiedBy>Department of Treasury</cp:lastModifiedBy>
  <cp:revision>2</cp:revision>
  <cp:lastPrinted>1601-01-01T00:00:00Z</cp:lastPrinted>
  <dcterms:created xsi:type="dcterms:W3CDTF">2014-01-27T15:13:00Z</dcterms:created>
  <dcterms:modified xsi:type="dcterms:W3CDTF">2014-01-27T15:13:00Z</dcterms:modified>
</cp:coreProperties>
</file>