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B7" w:rsidRPr="00331B48" w:rsidRDefault="004613B7" w:rsidP="00916E6D">
      <w:pPr>
        <w:jc w:val="center"/>
        <w:rPr>
          <w:b/>
          <w:color w:val="000000"/>
          <w:szCs w:val="28"/>
        </w:rPr>
      </w:pPr>
      <w:r w:rsidRPr="00331B48">
        <w:rPr>
          <w:b/>
          <w:color w:val="000000"/>
          <w:szCs w:val="28"/>
        </w:rPr>
        <w:t>201</w:t>
      </w:r>
      <w:r w:rsidR="0071640A">
        <w:rPr>
          <w:b/>
          <w:color w:val="000000"/>
          <w:szCs w:val="28"/>
        </w:rPr>
        <w:t>5</w:t>
      </w:r>
      <w:r w:rsidRPr="00331B48">
        <w:rPr>
          <w:b/>
          <w:color w:val="000000"/>
          <w:szCs w:val="28"/>
        </w:rPr>
        <w:t xml:space="preserve"> Oversight Board Comprehensive Taxpayer Attitude Survey</w:t>
      </w:r>
    </w:p>
    <w:p w:rsidR="004613B7" w:rsidRPr="00331B48" w:rsidRDefault="004613B7" w:rsidP="00916E6D">
      <w:pPr>
        <w:jc w:val="center"/>
        <w:rPr>
          <w:b/>
          <w:color w:val="000000"/>
          <w:szCs w:val="28"/>
        </w:rPr>
      </w:pPr>
      <w:r w:rsidRPr="00331B48">
        <w:rPr>
          <w:b/>
          <w:color w:val="000000"/>
          <w:szCs w:val="28"/>
        </w:rPr>
        <w:t>Supporting Statement</w:t>
      </w:r>
    </w:p>
    <w:p w:rsidR="004613B7" w:rsidRDefault="004613B7" w:rsidP="00E14D82">
      <w:pPr>
        <w:jc w:val="center"/>
        <w:rPr>
          <w:b/>
          <w:color w:val="000000"/>
          <w:szCs w:val="28"/>
        </w:rPr>
      </w:pPr>
      <w:r w:rsidRPr="00331B48">
        <w:rPr>
          <w:b/>
          <w:color w:val="000000"/>
          <w:szCs w:val="28"/>
        </w:rPr>
        <w:t>Approval Request to Conduct Customer Satisfaction Research (OMB #1545-1432)</w:t>
      </w:r>
    </w:p>
    <w:p w:rsidR="004613B7" w:rsidRPr="00E21E50" w:rsidRDefault="00745852" w:rsidP="00E14D82">
      <w:pPr>
        <w:jc w:val="center"/>
        <w:rPr>
          <w:rFonts w:ascii="Arial" w:hAnsi="Arial" w:cs="Arial"/>
          <w:b/>
          <w:i/>
          <w:color w:val="000000"/>
          <w:sz w:val="20"/>
          <w:szCs w:val="20"/>
        </w:rPr>
      </w:pPr>
      <w:r>
        <w:rPr>
          <w:b/>
          <w:color w:val="000000"/>
          <w:szCs w:val="28"/>
        </w:rPr>
        <w:t>CS-15</w:t>
      </w:r>
      <w:r w:rsidRPr="00745852">
        <w:rPr>
          <w:b/>
          <w:color w:val="FF0000"/>
          <w:szCs w:val="28"/>
        </w:rPr>
        <w:t>-</w:t>
      </w:r>
      <w:r w:rsidR="00013124">
        <w:rPr>
          <w:b/>
          <w:color w:val="FF0000"/>
          <w:szCs w:val="28"/>
        </w:rPr>
        <w:t xml:space="preserve">457 </w:t>
      </w:r>
      <w:r w:rsidR="00013124" w:rsidRPr="00013124">
        <w:rPr>
          <w:sz w:val="22"/>
          <w:szCs w:val="22"/>
        </w:rPr>
        <w:t>(2014 Control Number-</w:t>
      </w:r>
      <w:r w:rsidR="004613B7" w:rsidRPr="00013124">
        <w:rPr>
          <w:rFonts w:ascii="Arial" w:hAnsi="Arial" w:cs="Arial"/>
          <w:i/>
          <w:sz w:val="22"/>
          <w:szCs w:val="22"/>
        </w:rPr>
        <w:t xml:space="preserve"> </w:t>
      </w:r>
      <w:r w:rsidR="004613B7" w:rsidRPr="00013124">
        <w:rPr>
          <w:sz w:val="22"/>
          <w:szCs w:val="22"/>
        </w:rPr>
        <w:t>CS-1</w:t>
      </w:r>
      <w:r w:rsidR="00F10051" w:rsidRPr="00013124">
        <w:rPr>
          <w:sz w:val="22"/>
          <w:szCs w:val="22"/>
        </w:rPr>
        <w:t>4</w:t>
      </w:r>
      <w:r w:rsidR="004613B7" w:rsidRPr="00013124">
        <w:rPr>
          <w:sz w:val="22"/>
          <w:szCs w:val="22"/>
        </w:rPr>
        <w:t>-</w:t>
      </w:r>
      <w:r w:rsidR="00F10051" w:rsidRPr="00013124">
        <w:rPr>
          <w:sz w:val="22"/>
          <w:szCs w:val="22"/>
        </w:rPr>
        <w:t>444</w:t>
      </w:r>
      <w:r w:rsidR="00013124">
        <w:rPr>
          <w:sz w:val="22"/>
          <w:szCs w:val="22"/>
        </w:rPr>
        <w:t>)</w:t>
      </w:r>
      <w:bookmarkStart w:id="0" w:name="_GoBack"/>
      <w:bookmarkEnd w:id="0"/>
    </w:p>
    <w:p w:rsidR="004613B7" w:rsidRPr="00331B48" w:rsidRDefault="004613B7" w:rsidP="00916E6D">
      <w:pPr>
        <w:rPr>
          <w:color w:val="000000"/>
        </w:rPr>
      </w:pPr>
    </w:p>
    <w:p w:rsidR="004613B7" w:rsidRPr="00331B48" w:rsidRDefault="004613B7" w:rsidP="00916E6D">
      <w:pPr>
        <w:pStyle w:val="ListParagraph"/>
        <w:numPr>
          <w:ilvl w:val="0"/>
          <w:numId w:val="19"/>
        </w:numPr>
        <w:ind w:left="0"/>
        <w:rPr>
          <w:b/>
          <w:color w:val="000000"/>
        </w:rPr>
      </w:pPr>
      <w:r w:rsidRPr="00331B48">
        <w:rPr>
          <w:b/>
          <w:color w:val="000000"/>
        </w:rPr>
        <w:t>JUSTIFICATION</w:t>
      </w:r>
    </w:p>
    <w:p w:rsidR="004613B7" w:rsidRPr="00331B48" w:rsidRDefault="004613B7" w:rsidP="00916E6D">
      <w:pPr>
        <w:pStyle w:val="ListParagraph"/>
        <w:ind w:left="0"/>
        <w:rPr>
          <w:b/>
          <w:color w:val="000000"/>
        </w:rPr>
      </w:pPr>
    </w:p>
    <w:p w:rsidR="004613B7" w:rsidRPr="00331B48" w:rsidRDefault="004613B7" w:rsidP="00D570C7">
      <w:pPr>
        <w:pStyle w:val="ListParagraph"/>
        <w:numPr>
          <w:ilvl w:val="0"/>
          <w:numId w:val="20"/>
        </w:numPr>
        <w:ind w:left="0"/>
        <w:rPr>
          <w:color w:val="000000"/>
        </w:rPr>
      </w:pPr>
      <w:r w:rsidRPr="00331B48">
        <w:rPr>
          <w:b/>
          <w:color w:val="000000"/>
        </w:rPr>
        <w:t xml:space="preserve">Circumstances Making the Collection of Information Necessary </w:t>
      </w:r>
    </w:p>
    <w:p w:rsidR="004613B7" w:rsidRPr="005416BB" w:rsidRDefault="004613B7" w:rsidP="00EB11A7">
      <w:r w:rsidRPr="00331B48">
        <w:rPr>
          <w:color w:val="000000"/>
        </w:rPr>
        <w:t xml:space="preserve">The IRS Oversight Board was created by the </w:t>
      </w:r>
      <w:hyperlink r:id="rId8" w:tgtFrame="_blank" w:tooltip="This link opens in a new window." w:history="1">
        <w:r w:rsidRPr="00331B48">
          <w:rPr>
            <w:rStyle w:val="Hyperlink"/>
            <w:color w:val="000000"/>
            <w:u w:val="none"/>
          </w:rPr>
          <w:t>IRS Restructuring and Reform Act of 1998 (RRA 98)</w:t>
        </w:r>
      </w:hyperlink>
      <w:r>
        <w:t xml:space="preserve"> </w:t>
      </w:r>
      <w:hyperlink r:id="rId9" w:tgtFrame="_blank" w:tooltip="This link opens in a new window." w:history="1">
        <w:r w:rsidRPr="00135832">
          <w:rPr>
            <w:rStyle w:val="Hyperlink"/>
          </w:rPr>
          <w:t>http://66.77.70.81/irsob/documents/statute.pdf</w:t>
        </w:r>
      </w:hyperlink>
      <w:r w:rsidRPr="00331B48">
        <w:rPr>
          <w:color w:val="000000"/>
        </w:rPr>
        <w:t xml:space="preserve">, which was enacted to improve the IRS so that it could better serve the public and meet the needs of taxpayers. The Oversight Board is a nine-member independent body charged to oversee the IRS in its administration, management, </w:t>
      </w:r>
      <w:r w:rsidRPr="005416BB">
        <w:t xml:space="preserve">conduct, direction, and supervision of the execution and application of the internal revenue laws and to provide experience, independence, and stability to the IRS so that it may move forward in a cogent, focused direction.  The Board initiates this annual survey with the objective of better </w:t>
      </w:r>
      <w:r w:rsidRPr="005416BB">
        <w:rPr>
          <w:rFonts w:cs="Arial"/>
        </w:rPr>
        <w:t xml:space="preserve">understanding </w:t>
      </w:r>
      <w:r w:rsidRPr="005416BB">
        <w:t xml:space="preserve">what influences taxpayers’ tax compliance, their opinions of the IRS, and their </w:t>
      </w:r>
      <w:proofErr w:type="gramStart"/>
      <w:r w:rsidRPr="005416BB">
        <w:t>customer</w:t>
      </w:r>
      <w:proofErr w:type="gramEnd"/>
      <w:r w:rsidRPr="005416BB">
        <w:t xml:space="preserve"> service preferences—and how these taxpayer views change over time.</w:t>
      </w:r>
    </w:p>
    <w:p w:rsidR="004613B7" w:rsidRPr="005416BB" w:rsidRDefault="004613B7" w:rsidP="00916E6D">
      <w:pPr>
        <w:pStyle w:val="ListParagraph"/>
        <w:ind w:left="0"/>
        <w:rPr>
          <w:b/>
        </w:rPr>
      </w:pPr>
    </w:p>
    <w:p w:rsidR="004613B7" w:rsidRPr="005416BB" w:rsidRDefault="004613B7" w:rsidP="001E2E18">
      <w:pPr>
        <w:pStyle w:val="ListParagraph"/>
        <w:numPr>
          <w:ilvl w:val="0"/>
          <w:numId w:val="20"/>
        </w:numPr>
        <w:ind w:left="0"/>
      </w:pPr>
      <w:r w:rsidRPr="005416BB">
        <w:rPr>
          <w:b/>
        </w:rPr>
        <w:t xml:space="preserve">Purpose and Use of the Information Collection </w:t>
      </w:r>
    </w:p>
    <w:p w:rsidR="004613B7" w:rsidRPr="005416BB" w:rsidRDefault="004613B7" w:rsidP="003123E1">
      <w:r w:rsidRPr="005416BB">
        <w:rPr>
          <w:snapToGrid w:val="0"/>
        </w:rPr>
        <w:t xml:space="preserve">The findings from this survey will </w:t>
      </w:r>
      <w:r w:rsidRPr="005416BB">
        <w:t>provide the Board with a broader taxpayer context that informally aids Board members in their review of the performance of current IRS taxpayer service and enforcement programs designed to improve voluntary compliance; and in the Board’s deliberations on related IRS budget recommendations, proposals for strategic performance measures, and other matters, which fall under the Board’s statutory responsibility to oversee the IRS in its administration of internal revenue laws.</w:t>
      </w:r>
    </w:p>
    <w:p w:rsidR="004613B7" w:rsidRPr="005416BB" w:rsidRDefault="004613B7" w:rsidP="00916E6D"/>
    <w:p w:rsidR="004613B7" w:rsidRPr="005416BB" w:rsidRDefault="004613B7" w:rsidP="00916E6D">
      <w:pPr>
        <w:pStyle w:val="ListParagraph"/>
        <w:numPr>
          <w:ilvl w:val="0"/>
          <w:numId w:val="20"/>
        </w:numPr>
        <w:ind w:left="0"/>
        <w:rPr>
          <w:b/>
        </w:rPr>
      </w:pPr>
      <w:r w:rsidRPr="005416BB">
        <w:rPr>
          <w:b/>
        </w:rPr>
        <w:t xml:space="preserve">Consideration Given to Information Technology  </w:t>
      </w:r>
    </w:p>
    <w:p w:rsidR="004613B7" w:rsidRPr="005416BB" w:rsidRDefault="004613B7" w:rsidP="00E0701E">
      <w:pPr>
        <w:pStyle w:val="BodyTextFirstIndent"/>
        <w:spacing w:after="0"/>
        <w:ind w:firstLine="0"/>
      </w:pPr>
      <w:r w:rsidRPr="005416BB">
        <w:t xml:space="preserve">All interviews will be conducted using a Computer Assisted Telephone Interviewing (CATI) process. Interviewers will be professionally trained and continuously monitored and supervised. Telephone survey respondents, both male and female adults age 18 and older, would be selected via an RDD probability sample of all landline and cell phone telephone households in the continental </w:t>
      </w:r>
      <w:smartTag w:uri="urn:schemas-microsoft-com:office:smarttags" w:element="country-region">
        <w:smartTag w:uri="urn:schemas-microsoft-com:office:smarttags" w:element="place">
          <w:r w:rsidRPr="005416BB">
            <w:t>United States</w:t>
          </w:r>
        </w:smartTag>
      </w:smartTag>
      <w:r w:rsidRPr="005416BB">
        <w:t xml:space="preserve">. The RDD sampling system is computer based and provides an equal probability of selection for every telephone household. The sample represents telephone households with both listed and unlisted phones in their proper proportions. </w:t>
      </w:r>
    </w:p>
    <w:p w:rsidR="004613B7" w:rsidRPr="005416BB" w:rsidRDefault="004613B7" w:rsidP="00916E6D"/>
    <w:p w:rsidR="004613B7" w:rsidRPr="005416BB" w:rsidRDefault="004613B7" w:rsidP="00916E6D">
      <w:pPr>
        <w:pStyle w:val="ListParagraph"/>
        <w:numPr>
          <w:ilvl w:val="0"/>
          <w:numId w:val="20"/>
        </w:numPr>
        <w:ind w:left="0"/>
        <w:rPr>
          <w:b/>
        </w:rPr>
      </w:pPr>
      <w:r w:rsidRPr="005416BB">
        <w:rPr>
          <w:b/>
        </w:rPr>
        <w:t xml:space="preserve"> Duplication of Information  </w:t>
      </w:r>
    </w:p>
    <w:p w:rsidR="004613B7" w:rsidRPr="005416BB" w:rsidRDefault="004613B7" w:rsidP="00E0701E">
      <w:pPr>
        <w:pStyle w:val="Heading1"/>
        <w:ind w:left="45"/>
        <w:rPr>
          <w:b w:val="0"/>
        </w:rPr>
      </w:pPr>
      <w:r w:rsidRPr="005416BB">
        <w:rPr>
          <w:b w:val="0"/>
        </w:rPr>
        <w:t>In conducting this research, the Board will coordinate closely with the IRS to ensure that the research is conducted in such a way that it will provide maximum benefit to sound tax administration. IRS staff from the Office of Research, Analysis, and Statistics will assist in survey design. Additionally, information from past and ongoing Oversight Board surveys, IRS research, and other research by non-profit organizations will be considered. No similar data are gathered or maintained by the Agency or are available from other sources known to the IRS Oversight Board.</w:t>
      </w:r>
    </w:p>
    <w:p w:rsidR="004613B7" w:rsidRPr="005416BB" w:rsidRDefault="004613B7" w:rsidP="00916E6D"/>
    <w:p w:rsidR="004613B7" w:rsidRPr="005416BB" w:rsidRDefault="004613B7" w:rsidP="00916E6D">
      <w:pPr>
        <w:pStyle w:val="ListParagraph"/>
        <w:numPr>
          <w:ilvl w:val="0"/>
          <w:numId w:val="20"/>
        </w:numPr>
        <w:ind w:left="0"/>
        <w:rPr>
          <w:b/>
        </w:rPr>
      </w:pPr>
      <w:r w:rsidRPr="005416BB">
        <w:rPr>
          <w:b/>
        </w:rPr>
        <w:t xml:space="preserve">Reducing the Burden on Small Entities  </w:t>
      </w:r>
    </w:p>
    <w:p w:rsidR="004613B7" w:rsidRPr="005416BB" w:rsidRDefault="004613B7" w:rsidP="00E56836">
      <w:pPr>
        <w:pStyle w:val="ListParagraph"/>
        <w:ind w:left="18" w:hanging="378"/>
      </w:pPr>
      <w:r w:rsidRPr="005416BB">
        <w:rPr>
          <w:b/>
        </w:rPr>
        <w:t xml:space="preserve"> </w:t>
      </w:r>
      <w:r w:rsidRPr="005416BB">
        <w:rPr>
          <w:b/>
        </w:rPr>
        <w:tab/>
      </w:r>
      <w:r w:rsidRPr="005416BB">
        <w:t>N/A</w:t>
      </w:r>
    </w:p>
    <w:p w:rsidR="004613B7" w:rsidRPr="005416BB" w:rsidRDefault="004613B7" w:rsidP="00916E6D"/>
    <w:p w:rsidR="00745852" w:rsidRPr="005416BB" w:rsidRDefault="00745852" w:rsidP="00916E6D"/>
    <w:p w:rsidR="00745852" w:rsidRPr="005416BB" w:rsidRDefault="00745852" w:rsidP="00916E6D"/>
    <w:p w:rsidR="004613B7" w:rsidRPr="005416BB" w:rsidRDefault="004613B7" w:rsidP="00916E6D">
      <w:pPr>
        <w:pStyle w:val="ListParagraph"/>
        <w:numPr>
          <w:ilvl w:val="0"/>
          <w:numId w:val="20"/>
        </w:numPr>
        <w:ind w:left="0"/>
        <w:rPr>
          <w:b/>
        </w:rPr>
      </w:pPr>
      <w:r w:rsidRPr="005416BB">
        <w:rPr>
          <w:b/>
        </w:rPr>
        <w:t>Consequences of Not Conducting Collection</w:t>
      </w:r>
    </w:p>
    <w:p w:rsidR="004613B7" w:rsidRPr="005416BB" w:rsidRDefault="004613B7" w:rsidP="00801376">
      <w:r w:rsidRPr="005416BB">
        <w:lastRenderedPageBreak/>
        <w:t>The IRS Oversight Board would no longer be able to get critical input needed to provide a broader taxpayer context that informally aids Board members in their review of the performance of current IRS taxpayer service and enforcement programs designed to improve voluntary compliance</w:t>
      </w:r>
      <w:r w:rsidR="005416BB">
        <w:t>,</w:t>
      </w:r>
      <w:r w:rsidRPr="005416BB">
        <w:t xml:space="preserve"> and in the Board’s deliberations on related IRS budget recommendations, proposals for strategic performance measures, and other matters, which fall under the Board’s statutory responsibility to oversee the IRS in its administration of internal revenue laws. </w:t>
      </w:r>
    </w:p>
    <w:p w:rsidR="004613B7" w:rsidRPr="005416BB" w:rsidRDefault="004613B7" w:rsidP="00AD21DE">
      <w:r w:rsidRPr="005416BB">
        <w:t xml:space="preserve">   </w:t>
      </w:r>
    </w:p>
    <w:p w:rsidR="004613B7" w:rsidRPr="005416BB" w:rsidRDefault="004613B7" w:rsidP="00854FAD">
      <w:pPr>
        <w:pStyle w:val="ListParagraph"/>
        <w:numPr>
          <w:ilvl w:val="0"/>
          <w:numId w:val="20"/>
        </w:numPr>
        <w:ind w:left="0"/>
        <w:rPr>
          <w:b/>
        </w:rPr>
      </w:pPr>
      <w:r w:rsidRPr="005416BB">
        <w:rPr>
          <w:b/>
        </w:rPr>
        <w:t xml:space="preserve">Special Circumstances  </w:t>
      </w:r>
    </w:p>
    <w:p w:rsidR="004613B7" w:rsidRPr="005416BB" w:rsidRDefault="004613B7" w:rsidP="001C361F">
      <w:pPr>
        <w:pStyle w:val="ListParagraph"/>
        <w:ind w:left="18"/>
      </w:pPr>
      <w:r w:rsidRPr="005416BB">
        <w:t>There are no special circumstances. The information collected will be used for statistical purposes.</w:t>
      </w:r>
    </w:p>
    <w:p w:rsidR="004613B7" w:rsidRPr="005416BB" w:rsidRDefault="004613B7" w:rsidP="00916E6D"/>
    <w:p w:rsidR="004613B7" w:rsidRPr="005416BB" w:rsidRDefault="004613B7" w:rsidP="00854FAD">
      <w:pPr>
        <w:pStyle w:val="ListParagraph"/>
        <w:numPr>
          <w:ilvl w:val="0"/>
          <w:numId w:val="20"/>
        </w:numPr>
        <w:ind w:left="0"/>
        <w:rPr>
          <w:b/>
        </w:rPr>
      </w:pPr>
      <w:r w:rsidRPr="005416BB">
        <w:rPr>
          <w:b/>
        </w:rPr>
        <w:t xml:space="preserve">Consultations with Persons Outside the Agency  </w:t>
      </w:r>
    </w:p>
    <w:p w:rsidR="004613B7" w:rsidRPr="005416BB" w:rsidRDefault="004613B7" w:rsidP="00B14623">
      <w:r w:rsidRPr="005416BB">
        <w:t xml:space="preserve">It is expected that GfK Custom Research LLC (GfK) will conduct this research and that the analysis will be conducted in GfK’s offices in </w:t>
      </w:r>
      <w:smartTag w:uri="urn:schemas-microsoft-com:office:smarttags" w:element="City">
        <w:r w:rsidRPr="005416BB">
          <w:t>Washington</w:t>
        </w:r>
      </w:smartTag>
      <w:r w:rsidRPr="005416BB">
        <w:t xml:space="preserve">, </w:t>
      </w:r>
      <w:smartTag w:uri="urn:schemas-microsoft-com:office:smarttags" w:element="State">
        <w:r w:rsidRPr="005416BB">
          <w:t>DC</w:t>
        </w:r>
      </w:smartTag>
      <w:r w:rsidRPr="005416BB">
        <w:t xml:space="preserve">, and </w:t>
      </w:r>
      <w:smartTag w:uri="urn:schemas-microsoft-com:office:smarttags" w:element="City">
        <w:smartTag w:uri="urn:schemas-microsoft-com:office:smarttags" w:element="place">
          <w:smartTag w:uri="urn:schemas-microsoft-com:office:smarttags" w:element="City">
            <w:r w:rsidRPr="005416BB">
              <w:t>New York</w:t>
            </w:r>
          </w:smartTag>
          <w:r w:rsidRPr="005416BB">
            <w:t xml:space="preserve">, </w:t>
          </w:r>
          <w:smartTag w:uri="urn:schemas-microsoft-com:office:smarttags" w:element="State">
            <w:r w:rsidRPr="005416BB">
              <w:t>NY</w:t>
            </w:r>
          </w:smartTag>
        </w:smartTag>
      </w:smartTag>
      <w:r w:rsidRPr="005416BB">
        <w:t>.</w:t>
      </w:r>
    </w:p>
    <w:p w:rsidR="004613B7" w:rsidRPr="005416BB" w:rsidRDefault="004613B7" w:rsidP="00916E6D"/>
    <w:p w:rsidR="004613B7" w:rsidRPr="005416BB" w:rsidRDefault="004613B7" w:rsidP="00916E6D">
      <w:pPr>
        <w:pStyle w:val="ListParagraph"/>
        <w:numPr>
          <w:ilvl w:val="0"/>
          <w:numId w:val="20"/>
        </w:numPr>
        <w:ind w:left="0"/>
        <w:rPr>
          <w:b/>
        </w:rPr>
      </w:pPr>
      <w:r w:rsidRPr="005416BB">
        <w:rPr>
          <w:b/>
        </w:rPr>
        <w:t>Payment or Gift</w:t>
      </w:r>
    </w:p>
    <w:p w:rsidR="004613B7" w:rsidRPr="005416BB" w:rsidRDefault="004613B7" w:rsidP="00916E6D">
      <w:r w:rsidRPr="005416BB">
        <w:t>N/A</w:t>
      </w:r>
    </w:p>
    <w:p w:rsidR="004613B7" w:rsidRPr="005416BB" w:rsidRDefault="004613B7" w:rsidP="00916E6D"/>
    <w:p w:rsidR="004613B7" w:rsidRPr="005416BB" w:rsidRDefault="004613B7" w:rsidP="00916E6D">
      <w:pPr>
        <w:pStyle w:val="ListParagraph"/>
        <w:numPr>
          <w:ilvl w:val="0"/>
          <w:numId w:val="20"/>
        </w:numPr>
        <w:ind w:left="0"/>
        <w:rPr>
          <w:b/>
        </w:rPr>
      </w:pPr>
      <w:r w:rsidRPr="005416BB">
        <w:rPr>
          <w:b/>
        </w:rPr>
        <w:t xml:space="preserve">Confidentiality   </w:t>
      </w:r>
    </w:p>
    <w:p w:rsidR="004613B7" w:rsidRPr="005416BB" w:rsidRDefault="004613B7" w:rsidP="0081370E">
      <w:pPr>
        <w:ind w:left="18"/>
      </w:pPr>
      <w:r w:rsidRPr="005416BB">
        <w:t xml:space="preserve">The survey will be conducted by random digit dialing, and no sensitive personally identifiable information will be compiled by the vendor as part of the database for this survey, nor passed along to the IRS Oversight Board. Additionally, the vendor has signed a non-disclosure agreement as part of the contract with the Oversight Board and will take steps that ensure specific records cannot be tied to individual taxpayers. Research personnel will ensure that privacy and security of the results will be adhered to as allowed by law. Public and official access to the information will be tightly controlled. </w:t>
      </w:r>
    </w:p>
    <w:p w:rsidR="004613B7" w:rsidRPr="005416BB" w:rsidRDefault="004613B7" w:rsidP="00916E6D"/>
    <w:p w:rsidR="004613B7" w:rsidRPr="005416BB" w:rsidRDefault="004613B7" w:rsidP="00854FAD">
      <w:pPr>
        <w:pStyle w:val="ListParagraph"/>
        <w:numPr>
          <w:ilvl w:val="0"/>
          <w:numId w:val="20"/>
        </w:numPr>
        <w:ind w:left="0"/>
        <w:rPr>
          <w:b/>
        </w:rPr>
      </w:pPr>
      <w:r w:rsidRPr="005416BB">
        <w:rPr>
          <w:b/>
        </w:rPr>
        <w:t xml:space="preserve">Sensitive Nature </w:t>
      </w:r>
    </w:p>
    <w:p w:rsidR="004613B7" w:rsidRPr="005416BB" w:rsidRDefault="004613B7" w:rsidP="00916E6D">
      <w:r w:rsidRPr="005416BB">
        <w:t>This survey is not sensitive in nature and will include only standard demographic questions that cannot be tied to any individual. No sensitive personally identifiable information will be collected.</w:t>
      </w:r>
    </w:p>
    <w:p w:rsidR="004613B7" w:rsidRPr="005416BB" w:rsidRDefault="004613B7" w:rsidP="00916E6D"/>
    <w:p w:rsidR="009E1C07" w:rsidRPr="005416BB" w:rsidRDefault="004613B7" w:rsidP="00C277F1">
      <w:pPr>
        <w:pStyle w:val="ListParagraph"/>
        <w:numPr>
          <w:ilvl w:val="0"/>
          <w:numId w:val="20"/>
        </w:numPr>
        <w:ind w:left="0"/>
      </w:pPr>
      <w:r w:rsidRPr="005416BB">
        <w:rPr>
          <w:b/>
        </w:rPr>
        <w:t xml:space="preserve">Burden of Information </w:t>
      </w:r>
    </w:p>
    <w:p w:rsidR="004613B7" w:rsidRPr="005416BB" w:rsidRDefault="004613B7" w:rsidP="009E1C07">
      <w:r w:rsidRPr="005416BB">
        <w:t xml:space="preserve">The study will be conducted via a </w:t>
      </w:r>
      <w:r w:rsidR="00F42E06" w:rsidRPr="005416BB">
        <w:rPr>
          <w:b/>
        </w:rPr>
        <w:t>21</w:t>
      </w:r>
      <w:r w:rsidR="00F42E06" w:rsidRPr="005416BB">
        <w:t xml:space="preserve"> </w:t>
      </w:r>
      <w:r w:rsidRPr="005416BB">
        <w:t>minute telephone survey. Our target number for completed surveys is</w:t>
      </w:r>
      <w:r w:rsidR="00E3482D" w:rsidRPr="005416BB">
        <w:t xml:space="preserve"> </w:t>
      </w:r>
      <w:r w:rsidR="00E3482D" w:rsidRPr="005416BB">
        <w:rPr>
          <w:b/>
        </w:rPr>
        <w:t>1,000</w:t>
      </w:r>
      <w:r w:rsidRPr="005416BB">
        <w:t xml:space="preserve">. It is estimated that more than a thousand interviews will need to be conducted to achieve this goal. Of the </w:t>
      </w:r>
      <w:r w:rsidR="00802D0E" w:rsidRPr="005416BB">
        <w:rPr>
          <w:b/>
        </w:rPr>
        <w:t xml:space="preserve">21,800 </w:t>
      </w:r>
      <w:r w:rsidRPr="005416BB">
        <w:t xml:space="preserve">screened, it is estimated </w:t>
      </w:r>
      <w:r w:rsidRPr="005416BB">
        <w:rPr>
          <w:b/>
        </w:rPr>
        <w:t>that</w:t>
      </w:r>
      <w:r w:rsidR="00E3482D" w:rsidRPr="005416BB">
        <w:rPr>
          <w:b/>
        </w:rPr>
        <w:t xml:space="preserve"> </w:t>
      </w:r>
      <w:r w:rsidR="009E1C07" w:rsidRPr="005416BB">
        <w:rPr>
          <w:b/>
        </w:rPr>
        <w:t>9.6%</w:t>
      </w:r>
      <w:r w:rsidRPr="005416BB">
        <w:rPr>
          <w:b/>
        </w:rPr>
        <w:t xml:space="preserve"> (</w:t>
      </w:r>
      <w:r w:rsidR="00802D0E" w:rsidRPr="005416BB">
        <w:rPr>
          <w:b/>
        </w:rPr>
        <w:t xml:space="preserve">21,800 </w:t>
      </w:r>
      <w:r w:rsidRPr="005416BB">
        <w:rPr>
          <w:b/>
        </w:rPr>
        <w:t>x</w:t>
      </w:r>
      <w:r w:rsidR="00E3482D" w:rsidRPr="005416BB">
        <w:rPr>
          <w:b/>
        </w:rPr>
        <w:t xml:space="preserve"> </w:t>
      </w:r>
      <w:r w:rsidR="009E1C07" w:rsidRPr="005416BB">
        <w:rPr>
          <w:b/>
        </w:rPr>
        <w:t>9</w:t>
      </w:r>
      <w:r w:rsidR="00E3482D" w:rsidRPr="005416BB">
        <w:rPr>
          <w:b/>
        </w:rPr>
        <w:t>.</w:t>
      </w:r>
      <w:r w:rsidR="009E1C07" w:rsidRPr="005416BB">
        <w:rPr>
          <w:b/>
        </w:rPr>
        <w:t xml:space="preserve"> 6</w:t>
      </w:r>
      <w:r w:rsidR="00745852" w:rsidRPr="005416BB">
        <w:rPr>
          <w:b/>
        </w:rPr>
        <w:t>%</w:t>
      </w:r>
      <w:r w:rsidR="009E1C07" w:rsidRPr="005416BB">
        <w:rPr>
          <w:b/>
        </w:rPr>
        <w:t xml:space="preserve"> </w:t>
      </w:r>
      <w:r w:rsidRPr="005416BB">
        <w:rPr>
          <w:b/>
        </w:rPr>
        <w:t xml:space="preserve">= </w:t>
      </w:r>
      <w:r w:rsidR="00802D0E" w:rsidRPr="005416BB">
        <w:rPr>
          <w:b/>
        </w:rPr>
        <w:t>2,0</w:t>
      </w:r>
      <w:r w:rsidR="00745852" w:rsidRPr="005416BB">
        <w:rPr>
          <w:b/>
        </w:rPr>
        <w:t>93</w:t>
      </w:r>
      <w:r w:rsidRPr="005416BB">
        <w:rPr>
          <w:b/>
        </w:rPr>
        <w:t>)</w:t>
      </w:r>
      <w:r w:rsidRPr="005416BB">
        <w:t xml:space="preserve"> will agree to participate in the survey. </w:t>
      </w:r>
      <w:r w:rsidR="00802D0E" w:rsidRPr="005416BB">
        <w:rPr>
          <w:b/>
        </w:rPr>
        <w:t>Two</w:t>
      </w:r>
      <w:r w:rsidR="009E1C07" w:rsidRPr="005416BB">
        <w:rPr>
          <w:b/>
        </w:rPr>
        <w:t>-</w:t>
      </w:r>
      <w:r w:rsidR="00802D0E" w:rsidRPr="005416BB">
        <w:rPr>
          <w:b/>
        </w:rPr>
        <w:t>thousand</w:t>
      </w:r>
      <w:r w:rsidR="009E1C07" w:rsidRPr="005416BB">
        <w:rPr>
          <w:b/>
        </w:rPr>
        <w:t xml:space="preserve"> and </w:t>
      </w:r>
      <w:r w:rsidR="00745852" w:rsidRPr="005416BB">
        <w:rPr>
          <w:b/>
        </w:rPr>
        <w:t>ninety-three</w:t>
      </w:r>
      <w:r w:rsidRPr="005416BB">
        <w:t xml:space="preserve"> represents how many interviews in total, including</w:t>
      </w:r>
      <w:r w:rsidR="00745852" w:rsidRPr="005416BB">
        <w:t xml:space="preserve"> oversamples when quotas are met</w:t>
      </w:r>
      <w:r w:rsidRPr="005416BB">
        <w:t xml:space="preserve"> and those who only partially complete the survey.  The total burden for this survey is</w:t>
      </w:r>
      <w:r w:rsidR="00E3482D" w:rsidRPr="005416BB">
        <w:t xml:space="preserve"> </w:t>
      </w:r>
      <w:r w:rsidR="00F42E06" w:rsidRPr="005416BB">
        <w:rPr>
          <w:b/>
        </w:rPr>
        <w:t>9</w:t>
      </w:r>
      <w:r w:rsidR="00745852" w:rsidRPr="005416BB">
        <w:rPr>
          <w:b/>
        </w:rPr>
        <w:t>14</w:t>
      </w:r>
      <w:r w:rsidR="009E1C07" w:rsidRPr="005416BB">
        <w:rPr>
          <w:b/>
        </w:rPr>
        <w:t>.</w:t>
      </w:r>
      <w:r w:rsidR="00745852" w:rsidRPr="005416BB">
        <w:rPr>
          <w:b/>
        </w:rPr>
        <w:t>3</w:t>
      </w:r>
      <w:r w:rsidR="00F42E06" w:rsidRPr="005416BB">
        <w:rPr>
          <w:b/>
        </w:rPr>
        <w:t xml:space="preserve"> </w:t>
      </w:r>
      <w:r w:rsidRPr="005416BB">
        <w:t>hours.</w:t>
      </w:r>
    </w:p>
    <w:p w:rsidR="004613B7" w:rsidRPr="005416BB" w:rsidRDefault="004613B7" w:rsidP="00D76E17">
      <w:pPr>
        <w:rPr>
          <w:snapToGrid w:val="0"/>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2160"/>
        <w:gridCol w:w="1800"/>
        <w:gridCol w:w="1093"/>
      </w:tblGrid>
      <w:tr w:rsidR="005416BB" w:rsidRPr="005416BB" w:rsidTr="000905A7">
        <w:trPr>
          <w:trHeight w:val="274"/>
        </w:trPr>
        <w:tc>
          <w:tcPr>
            <w:tcW w:w="4608" w:type="dxa"/>
          </w:tcPr>
          <w:p w:rsidR="004613B7" w:rsidRPr="005416BB" w:rsidRDefault="004613B7" w:rsidP="001B396B">
            <w:pPr>
              <w:rPr>
                <w:b/>
              </w:rPr>
            </w:pPr>
            <w:r w:rsidRPr="005416BB">
              <w:rPr>
                <w:b/>
              </w:rPr>
              <w:t>Screened/Interviewed</w:t>
            </w:r>
          </w:p>
        </w:tc>
        <w:tc>
          <w:tcPr>
            <w:tcW w:w="2160" w:type="dxa"/>
          </w:tcPr>
          <w:p w:rsidR="004613B7" w:rsidRPr="005416BB" w:rsidRDefault="004613B7" w:rsidP="001B396B">
            <w:pPr>
              <w:rPr>
                <w:b/>
              </w:rPr>
            </w:pPr>
            <w:r w:rsidRPr="005416BB">
              <w:rPr>
                <w:b/>
              </w:rPr>
              <w:t>No. of Respondents</w:t>
            </w:r>
          </w:p>
        </w:tc>
        <w:tc>
          <w:tcPr>
            <w:tcW w:w="1800" w:type="dxa"/>
          </w:tcPr>
          <w:p w:rsidR="004613B7" w:rsidRPr="005416BB" w:rsidRDefault="004613B7" w:rsidP="001B396B">
            <w:pPr>
              <w:rPr>
                <w:b/>
              </w:rPr>
            </w:pPr>
            <w:r w:rsidRPr="005416BB">
              <w:rPr>
                <w:b/>
              </w:rPr>
              <w:t>Participation Time (minutes)</w:t>
            </w:r>
          </w:p>
        </w:tc>
        <w:tc>
          <w:tcPr>
            <w:tcW w:w="1093" w:type="dxa"/>
          </w:tcPr>
          <w:p w:rsidR="004613B7" w:rsidRPr="005416BB" w:rsidRDefault="004613B7" w:rsidP="001B396B">
            <w:pPr>
              <w:rPr>
                <w:b/>
              </w:rPr>
            </w:pPr>
            <w:r w:rsidRPr="005416BB">
              <w:rPr>
                <w:b/>
              </w:rPr>
              <w:t>Burden</w:t>
            </w:r>
          </w:p>
          <w:p w:rsidR="004613B7" w:rsidRPr="005416BB" w:rsidRDefault="004613B7" w:rsidP="001B396B">
            <w:pPr>
              <w:rPr>
                <w:b/>
              </w:rPr>
            </w:pPr>
            <w:r w:rsidRPr="005416BB">
              <w:rPr>
                <w:b/>
              </w:rPr>
              <w:t>(hours)</w:t>
            </w:r>
          </w:p>
        </w:tc>
      </w:tr>
      <w:tr w:rsidR="005416BB" w:rsidRPr="005416BB" w:rsidTr="000905A7">
        <w:trPr>
          <w:trHeight w:val="274"/>
        </w:trPr>
        <w:tc>
          <w:tcPr>
            <w:tcW w:w="4608" w:type="dxa"/>
          </w:tcPr>
          <w:p w:rsidR="004613B7" w:rsidRPr="005416BB" w:rsidRDefault="004613B7" w:rsidP="000905A7">
            <w:r w:rsidRPr="005416BB">
              <w:t>Total Screened</w:t>
            </w:r>
          </w:p>
        </w:tc>
        <w:tc>
          <w:tcPr>
            <w:tcW w:w="2160" w:type="dxa"/>
          </w:tcPr>
          <w:p w:rsidR="004613B7" w:rsidRPr="005416BB" w:rsidRDefault="00171BB9" w:rsidP="00E3482D">
            <w:pPr>
              <w:rPr>
                <w:b/>
              </w:rPr>
            </w:pPr>
            <w:r w:rsidRPr="005416BB">
              <w:rPr>
                <w:b/>
              </w:rPr>
              <w:t>21,800</w:t>
            </w:r>
          </w:p>
        </w:tc>
        <w:tc>
          <w:tcPr>
            <w:tcW w:w="1800" w:type="dxa"/>
          </w:tcPr>
          <w:p w:rsidR="004613B7" w:rsidRPr="005416BB" w:rsidRDefault="004613B7" w:rsidP="000905A7">
            <w:pPr>
              <w:rPr>
                <w:b/>
              </w:rPr>
            </w:pPr>
            <w:r w:rsidRPr="005416BB">
              <w:rPr>
                <w:b/>
              </w:rPr>
              <w:t xml:space="preserve">0.5 </w:t>
            </w:r>
          </w:p>
        </w:tc>
        <w:tc>
          <w:tcPr>
            <w:tcW w:w="1093" w:type="dxa"/>
          </w:tcPr>
          <w:p w:rsidR="004613B7" w:rsidRPr="005416BB" w:rsidRDefault="004613B7" w:rsidP="009E1C07">
            <w:r w:rsidRPr="005416BB">
              <w:rPr>
                <w:b/>
              </w:rPr>
              <w:t>1</w:t>
            </w:r>
            <w:r w:rsidR="00E3482D" w:rsidRPr="005416BB">
              <w:rPr>
                <w:b/>
              </w:rPr>
              <w:t>81.</w:t>
            </w:r>
            <w:r w:rsidR="009E1C07" w:rsidRPr="005416BB">
              <w:rPr>
                <w:b/>
              </w:rPr>
              <w:t>7</w:t>
            </w:r>
            <w:r w:rsidRPr="005416BB">
              <w:rPr>
                <w:b/>
              </w:rPr>
              <w:t xml:space="preserve"> </w:t>
            </w:r>
          </w:p>
        </w:tc>
      </w:tr>
      <w:tr w:rsidR="005416BB" w:rsidRPr="005416BB" w:rsidTr="000905A7">
        <w:trPr>
          <w:trHeight w:val="274"/>
        </w:trPr>
        <w:tc>
          <w:tcPr>
            <w:tcW w:w="4608" w:type="dxa"/>
          </w:tcPr>
          <w:p w:rsidR="004613B7" w:rsidRPr="005416BB" w:rsidRDefault="004613B7" w:rsidP="001B396B">
            <w:r w:rsidRPr="005416BB">
              <w:t xml:space="preserve">Total Participants </w:t>
            </w:r>
          </w:p>
        </w:tc>
        <w:tc>
          <w:tcPr>
            <w:tcW w:w="2160" w:type="dxa"/>
          </w:tcPr>
          <w:p w:rsidR="004613B7" w:rsidRPr="005416BB" w:rsidRDefault="00F42E06" w:rsidP="00745852">
            <w:pPr>
              <w:rPr>
                <w:b/>
              </w:rPr>
            </w:pPr>
            <w:r w:rsidRPr="005416BB">
              <w:rPr>
                <w:b/>
              </w:rPr>
              <w:t>2,0</w:t>
            </w:r>
            <w:r w:rsidR="00745852" w:rsidRPr="005416BB">
              <w:rPr>
                <w:b/>
              </w:rPr>
              <w:t>93</w:t>
            </w:r>
          </w:p>
        </w:tc>
        <w:tc>
          <w:tcPr>
            <w:tcW w:w="1800" w:type="dxa"/>
          </w:tcPr>
          <w:p w:rsidR="004613B7" w:rsidRPr="005416BB" w:rsidRDefault="00F42E06" w:rsidP="00E3482D">
            <w:pPr>
              <w:rPr>
                <w:b/>
              </w:rPr>
            </w:pPr>
            <w:r w:rsidRPr="005416BB">
              <w:rPr>
                <w:b/>
              </w:rPr>
              <w:t>21</w:t>
            </w:r>
          </w:p>
        </w:tc>
        <w:tc>
          <w:tcPr>
            <w:tcW w:w="1093" w:type="dxa"/>
          </w:tcPr>
          <w:p w:rsidR="004613B7" w:rsidRPr="005416BB" w:rsidRDefault="009E1C07" w:rsidP="00745852">
            <w:r w:rsidRPr="005416BB">
              <w:rPr>
                <w:b/>
              </w:rPr>
              <w:t>7</w:t>
            </w:r>
            <w:r w:rsidR="00745852" w:rsidRPr="005416BB">
              <w:rPr>
                <w:b/>
              </w:rPr>
              <w:t>32</w:t>
            </w:r>
            <w:r w:rsidR="00E3482D" w:rsidRPr="005416BB">
              <w:rPr>
                <w:b/>
              </w:rPr>
              <w:t>.</w:t>
            </w:r>
            <w:r w:rsidR="00745852" w:rsidRPr="005416BB">
              <w:rPr>
                <w:b/>
              </w:rPr>
              <w:t>6</w:t>
            </w:r>
          </w:p>
        </w:tc>
      </w:tr>
      <w:tr w:rsidR="005416BB" w:rsidRPr="005416BB" w:rsidTr="00C277F1">
        <w:trPr>
          <w:trHeight w:val="368"/>
        </w:trPr>
        <w:tc>
          <w:tcPr>
            <w:tcW w:w="6768" w:type="dxa"/>
            <w:gridSpan w:val="2"/>
          </w:tcPr>
          <w:p w:rsidR="004613B7" w:rsidRPr="005416BB" w:rsidRDefault="004613B7" w:rsidP="009E1C07">
            <w:pPr>
              <w:rPr>
                <w:b/>
              </w:rPr>
            </w:pPr>
            <w:r w:rsidRPr="005416BB">
              <w:rPr>
                <w:b/>
              </w:rPr>
              <w:t>Total Burden Hours</w:t>
            </w:r>
            <w:r w:rsidR="00745852" w:rsidRPr="005416BB">
              <w:rPr>
                <w:b/>
              </w:rPr>
              <w:t xml:space="preserve"> </w:t>
            </w:r>
          </w:p>
        </w:tc>
        <w:tc>
          <w:tcPr>
            <w:tcW w:w="1800" w:type="dxa"/>
          </w:tcPr>
          <w:p w:rsidR="004613B7" w:rsidRPr="005416BB" w:rsidRDefault="004613B7" w:rsidP="001B396B"/>
        </w:tc>
        <w:tc>
          <w:tcPr>
            <w:tcW w:w="1093" w:type="dxa"/>
          </w:tcPr>
          <w:p w:rsidR="004613B7" w:rsidRPr="005416BB" w:rsidRDefault="009E1C07" w:rsidP="00745852">
            <w:pPr>
              <w:rPr>
                <w:b/>
              </w:rPr>
            </w:pPr>
            <w:r w:rsidRPr="005416BB">
              <w:rPr>
                <w:b/>
              </w:rPr>
              <w:t>9</w:t>
            </w:r>
            <w:r w:rsidR="00745852" w:rsidRPr="005416BB">
              <w:rPr>
                <w:b/>
              </w:rPr>
              <w:t>14</w:t>
            </w:r>
            <w:r w:rsidR="00E3482D" w:rsidRPr="005416BB">
              <w:rPr>
                <w:b/>
              </w:rPr>
              <w:t>.</w:t>
            </w:r>
            <w:r w:rsidR="00745852" w:rsidRPr="005416BB">
              <w:rPr>
                <w:b/>
              </w:rPr>
              <w:t>3</w:t>
            </w:r>
            <w:r w:rsidR="00171BB9" w:rsidRPr="005416BB">
              <w:rPr>
                <w:b/>
              </w:rPr>
              <w:t xml:space="preserve"> </w:t>
            </w:r>
          </w:p>
        </w:tc>
      </w:tr>
    </w:tbl>
    <w:p w:rsidR="003F03EF" w:rsidRDefault="004613B7" w:rsidP="0071125A">
      <w:r w:rsidRPr="005416BB">
        <w:t xml:space="preserve">       </w:t>
      </w:r>
    </w:p>
    <w:p w:rsidR="00745852" w:rsidRPr="005416BB" w:rsidRDefault="003F03EF" w:rsidP="0071125A">
      <w:r w:rsidRPr="005416BB">
        <w:rPr>
          <w:b/>
        </w:rPr>
        <w:t xml:space="preserve">Estimated Response Rate: </w:t>
      </w:r>
      <w:r w:rsidRPr="00BA0F8F">
        <w:t>9.6% (2,093/21,800)</w:t>
      </w:r>
    </w:p>
    <w:p w:rsidR="004613B7" w:rsidRPr="005416BB" w:rsidRDefault="004613B7" w:rsidP="0071125A">
      <w:pPr>
        <w:rPr>
          <w:b/>
        </w:rPr>
      </w:pPr>
      <w:r w:rsidRPr="005416BB">
        <w:t xml:space="preserve">                                                                                                </w:t>
      </w:r>
    </w:p>
    <w:p w:rsidR="004613B7" w:rsidRPr="005416BB" w:rsidRDefault="004613B7" w:rsidP="00916E6D">
      <w:pPr>
        <w:pStyle w:val="ListParagraph"/>
        <w:numPr>
          <w:ilvl w:val="0"/>
          <w:numId w:val="20"/>
        </w:numPr>
        <w:ind w:left="0"/>
        <w:rPr>
          <w:b/>
        </w:rPr>
      </w:pPr>
      <w:r w:rsidRPr="005416BB">
        <w:rPr>
          <w:b/>
        </w:rPr>
        <w:lastRenderedPageBreak/>
        <w:t>Costs to Respondents</w:t>
      </w:r>
    </w:p>
    <w:p w:rsidR="004613B7" w:rsidRPr="005416BB" w:rsidRDefault="004613B7" w:rsidP="00916E6D">
      <w:r w:rsidRPr="005416BB">
        <w:t xml:space="preserve">Not Applicable.  </w:t>
      </w:r>
    </w:p>
    <w:p w:rsidR="004613B7" w:rsidRPr="005416BB" w:rsidRDefault="004613B7" w:rsidP="00916E6D"/>
    <w:p w:rsidR="004613B7" w:rsidRPr="005416BB" w:rsidRDefault="004613B7" w:rsidP="00916E6D">
      <w:pPr>
        <w:pStyle w:val="ListParagraph"/>
        <w:numPr>
          <w:ilvl w:val="0"/>
          <w:numId w:val="20"/>
        </w:numPr>
        <w:ind w:left="0"/>
        <w:rPr>
          <w:b/>
        </w:rPr>
      </w:pPr>
      <w:r w:rsidRPr="005416BB">
        <w:rPr>
          <w:b/>
        </w:rPr>
        <w:t xml:space="preserve">Costs to Federal Government  </w:t>
      </w:r>
    </w:p>
    <w:p w:rsidR="004613B7" w:rsidRPr="005416BB" w:rsidRDefault="004613B7" w:rsidP="00916E6D">
      <w:pPr>
        <w:pStyle w:val="ListParagraph"/>
        <w:ind w:left="0"/>
      </w:pPr>
      <w:r w:rsidRPr="005416BB">
        <w:t>$</w:t>
      </w:r>
      <w:r w:rsidR="00C941BA">
        <w:t>99,710</w:t>
      </w:r>
    </w:p>
    <w:p w:rsidR="004613B7" w:rsidRPr="005416BB" w:rsidRDefault="004613B7" w:rsidP="00916E6D"/>
    <w:p w:rsidR="004613B7" w:rsidRPr="005416BB" w:rsidRDefault="004613B7" w:rsidP="00916E6D">
      <w:pPr>
        <w:pStyle w:val="ListParagraph"/>
        <w:numPr>
          <w:ilvl w:val="0"/>
          <w:numId w:val="20"/>
        </w:numPr>
        <w:ind w:left="0"/>
        <w:rPr>
          <w:b/>
        </w:rPr>
      </w:pPr>
      <w:r w:rsidRPr="005416BB">
        <w:rPr>
          <w:b/>
        </w:rPr>
        <w:t>Reason for Change</w:t>
      </w:r>
      <w:r w:rsidRPr="005416BB">
        <w:t xml:space="preserve"> </w:t>
      </w:r>
      <w:r w:rsidRPr="005416BB">
        <w:rPr>
          <w:b/>
        </w:rPr>
        <w:t xml:space="preserve">  </w:t>
      </w:r>
    </w:p>
    <w:p w:rsidR="004613B7" w:rsidRPr="005416BB" w:rsidRDefault="004613B7" w:rsidP="00916E6D">
      <w:r w:rsidRPr="005416BB">
        <w:t xml:space="preserve">Not applicable.  </w:t>
      </w:r>
    </w:p>
    <w:p w:rsidR="004613B7" w:rsidRPr="005416BB" w:rsidRDefault="004613B7" w:rsidP="00916E6D">
      <w:pPr>
        <w:rPr>
          <w:b/>
        </w:rPr>
      </w:pPr>
    </w:p>
    <w:p w:rsidR="004613B7" w:rsidRPr="005416BB" w:rsidRDefault="004613B7" w:rsidP="00916E6D">
      <w:pPr>
        <w:pStyle w:val="ListParagraph"/>
        <w:numPr>
          <w:ilvl w:val="0"/>
          <w:numId w:val="20"/>
        </w:numPr>
        <w:ind w:left="0"/>
        <w:rPr>
          <w:b/>
        </w:rPr>
      </w:pPr>
      <w:r w:rsidRPr="005416BB">
        <w:rPr>
          <w:b/>
        </w:rPr>
        <w:t xml:space="preserve">Tabulation of Results, Schedule, Analysis Plans  </w:t>
      </w:r>
    </w:p>
    <w:p w:rsidR="004613B7" w:rsidRPr="005416BB" w:rsidRDefault="004613B7" w:rsidP="002844DF">
      <w:r w:rsidRPr="005416BB">
        <w:t>The data will be collected using a telephone survey in August 201</w:t>
      </w:r>
      <w:r w:rsidR="00F10051" w:rsidRPr="005416BB">
        <w:t>5</w:t>
      </w:r>
      <w:r w:rsidRPr="005416BB">
        <w:t xml:space="preserve">. Data from the survey will contain no sensitive personally identifiable information and will be assembled into a database in which responses are anonymous and tabulated into aggregate level results that summarize taxpayer compliance attitudes and IRS service preferences, and their relationships to key characteristics such as employment status and age. </w:t>
      </w:r>
      <w:r w:rsidRPr="005416BB">
        <w:rPr>
          <w:iCs/>
          <w:snapToGrid w:val="0"/>
        </w:rPr>
        <w:t xml:space="preserve">The data will </w:t>
      </w:r>
      <w:r w:rsidRPr="005416BB">
        <w:t>help the IRS Oversight Board to further develop general service improvement in tax administration.</w:t>
      </w:r>
    </w:p>
    <w:p w:rsidR="004613B7" w:rsidRPr="005416BB" w:rsidRDefault="004613B7" w:rsidP="00916E6D">
      <w:pPr>
        <w:rPr>
          <w:sz w:val="16"/>
          <w:szCs w:val="16"/>
        </w:rPr>
      </w:pPr>
    </w:p>
    <w:p w:rsidR="004613B7" w:rsidRPr="005416BB" w:rsidRDefault="004613B7" w:rsidP="002844DF">
      <w:pPr>
        <w:rPr>
          <w:snapToGrid w:val="0"/>
        </w:rPr>
      </w:pPr>
      <w:r w:rsidRPr="005416BB">
        <w:rPr>
          <w:snapToGrid w:val="0"/>
        </w:rPr>
        <w:t>Because the expected response rate is less than 50%, no critical decisions will be made solely from the analysis of the data from this survey. The results of this survey are simply one piece of a larger set of information needed to assess taxpayers’ attitudes and needs and help the Oversight Board better direct the IRS.</w:t>
      </w:r>
    </w:p>
    <w:p w:rsidR="004613B7" w:rsidRPr="005416BB" w:rsidRDefault="004613B7" w:rsidP="00916E6D"/>
    <w:p w:rsidR="004613B7" w:rsidRPr="005416BB" w:rsidRDefault="004613B7" w:rsidP="00916E6D">
      <w:pPr>
        <w:pStyle w:val="ListParagraph"/>
        <w:numPr>
          <w:ilvl w:val="0"/>
          <w:numId w:val="20"/>
        </w:numPr>
        <w:ind w:left="0"/>
        <w:rPr>
          <w:b/>
        </w:rPr>
      </w:pPr>
      <w:r w:rsidRPr="005416BB">
        <w:rPr>
          <w:b/>
        </w:rPr>
        <w:t xml:space="preserve">Display of OMB Approval Date  </w:t>
      </w:r>
    </w:p>
    <w:p w:rsidR="004613B7" w:rsidRPr="005416BB" w:rsidRDefault="004613B7" w:rsidP="00916E6D">
      <w:r w:rsidRPr="005416BB">
        <w:t>Not applicable</w:t>
      </w:r>
    </w:p>
    <w:p w:rsidR="004613B7" w:rsidRPr="005416BB" w:rsidRDefault="004613B7" w:rsidP="00916E6D"/>
    <w:p w:rsidR="004613B7" w:rsidRPr="005416BB" w:rsidRDefault="004613B7" w:rsidP="00770B9D">
      <w:pPr>
        <w:pStyle w:val="ListParagraph"/>
        <w:numPr>
          <w:ilvl w:val="0"/>
          <w:numId w:val="20"/>
        </w:numPr>
        <w:ind w:left="0"/>
        <w:rPr>
          <w:b/>
        </w:rPr>
      </w:pPr>
      <w:r w:rsidRPr="005416BB">
        <w:rPr>
          <w:b/>
        </w:rPr>
        <w:t xml:space="preserve">Exceptions to Certification for Paperwork Reduction Act Submissions  </w:t>
      </w:r>
    </w:p>
    <w:p w:rsidR="004613B7" w:rsidRPr="005416BB" w:rsidRDefault="004613B7" w:rsidP="00916E6D">
      <w:r w:rsidRPr="005416BB">
        <w:t>These activities comply with the requirements in 5 CFR 1320.9.</w:t>
      </w:r>
    </w:p>
    <w:p w:rsidR="004613B7" w:rsidRPr="005416BB" w:rsidRDefault="004613B7" w:rsidP="00916E6D"/>
    <w:p w:rsidR="004613B7" w:rsidRPr="005416BB" w:rsidRDefault="004613B7" w:rsidP="00916E6D">
      <w:pPr>
        <w:pStyle w:val="BodyTextIndent3"/>
        <w:ind w:left="0"/>
        <w:rPr>
          <w:b/>
        </w:rPr>
      </w:pPr>
      <w:r w:rsidRPr="005416BB">
        <w:rPr>
          <w:b/>
        </w:rPr>
        <w:t xml:space="preserve">       19. Dates Collection Begin and End  </w:t>
      </w:r>
    </w:p>
    <w:p w:rsidR="004613B7" w:rsidRPr="005416BB" w:rsidRDefault="004613B7" w:rsidP="00770B9D">
      <w:pPr>
        <w:ind w:left="45"/>
        <w:rPr>
          <w:rFonts w:cs="Arial"/>
        </w:rPr>
      </w:pPr>
      <w:r w:rsidRPr="005416BB">
        <w:rPr>
          <w:rFonts w:cs="Arial"/>
        </w:rPr>
        <w:t>The survey would be conducted between August 1 and August 31, 201</w:t>
      </w:r>
      <w:r w:rsidR="00F10051" w:rsidRPr="005416BB">
        <w:rPr>
          <w:rFonts w:cs="Arial"/>
        </w:rPr>
        <w:t>5</w:t>
      </w:r>
      <w:r w:rsidRPr="005416BB">
        <w:rPr>
          <w:rFonts w:cs="Arial"/>
        </w:rPr>
        <w:t>, pending receipt of OMB clearance.</w:t>
      </w:r>
    </w:p>
    <w:p w:rsidR="004613B7" w:rsidRPr="005416BB" w:rsidRDefault="004613B7" w:rsidP="00916E6D">
      <w:pPr>
        <w:pStyle w:val="BodyTextIndent3"/>
        <w:ind w:left="0"/>
        <w:rPr>
          <w:b/>
        </w:rPr>
      </w:pPr>
    </w:p>
    <w:p w:rsidR="004613B7" w:rsidRPr="005416BB" w:rsidRDefault="004613B7" w:rsidP="00916E6D">
      <w:pPr>
        <w:pStyle w:val="BodyTextIndent3"/>
        <w:ind w:left="0"/>
        <w:rPr>
          <w:b/>
        </w:rPr>
      </w:pPr>
      <w:r w:rsidRPr="005416BB">
        <w:rPr>
          <w:b/>
        </w:rPr>
        <w:t>B.</w:t>
      </w:r>
      <w:r w:rsidRPr="005416BB">
        <w:rPr>
          <w:b/>
        </w:rPr>
        <w:tab/>
        <w:t>STATISTICAL METHODS</w:t>
      </w:r>
    </w:p>
    <w:p w:rsidR="004613B7" w:rsidRPr="005416BB" w:rsidRDefault="004613B7" w:rsidP="00916E6D">
      <w:pPr>
        <w:pStyle w:val="BodyTextIndent3"/>
        <w:ind w:left="0"/>
        <w:rPr>
          <w:b/>
        </w:rPr>
      </w:pPr>
    </w:p>
    <w:p w:rsidR="004613B7" w:rsidRPr="005416BB" w:rsidRDefault="004613B7" w:rsidP="00916E6D">
      <w:pPr>
        <w:pStyle w:val="ListParagraph"/>
        <w:numPr>
          <w:ilvl w:val="0"/>
          <w:numId w:val="21"/>
        </w:numPr>
        <w:rPr>
          <w:b/>
        </w:rPr>
      </w:pPr>
      <w:r w:rsidRPr="005416BB">
        <w:rPr>
          <w:b/>
        </w:rPr>
        <w:t xml:space="preserve">Universe and Respondent Selection  </w:t>
      </w:r>
    </w:p>
    <w:p w:rsidR="004613B7" w:rsidRPr="005416BB" w:rsidRDefault="004613B7" w:rsidP="00DD226F">
      <w:pPr>
        <w:ind w:left="360"/>
      </w:pPr>
      <w:r w:rsidRPr="005416BB">
        <w:t xml:space="preserve">Taxpayers over the age of 18 that match the demographic characteristics of the </w:t>
      </w:r>
      <w:smartTag w:uri="urn:schemas-microsoft-com:office:smarttags" w:element="country-region">
        <w:smartTag w:uri="urn:schemas-microsoft-com:office:smarttags" w:element="place">
          <w:r w:rsidRPr="005416BB">
            <w:t>U.S.</w:t>
          </w:r>
        </w:smartTag>
      </w:smartTag>
      <w:r w:rsidRPr="005416BB">
        <w:t xml:space="preserve"> population will be reached via random digit dialing.</w:t>
      </w:r>
    </w:p>
    <w:p w:rsidR="004613B7" w:rsidRPr="005416BB" w:rsidRDefault="004613B7" w:rsidP="00916E6D">
      <w:pPr>
        <w:pStyle w:val="ListParagraph"/>
        <w:ind w:left="360"/>
        <w:rPr>
          <w:b/>
        </w:rPr>
      </w:pPr>
    </w:p>
    <w:p w:rsidR="004613B7" w:rsidRPr="005416BB" w:rsidRDefault="004613B7" w:rsidP="00916E6D">
      <w:pPr>
        <w:pStyle w:val="ListParagraph"/>
        <w:numPr>
          <w:ilvl w:val="0"/>
          <w:numId w:val="21"/>
        </w:numPr>
        <w:rPr>
          <w:b/>
        </w:rPr>
      </w:pPr>
      <w:r w:rsidRPr="005416BB">
        <w:rPr>
          <w:b/>
        </w:rPr>
        <w:t xml:space="preserve">Procedures for Collecting Information  </w:t>
      </w:r>
    </w:p>
    <w:p w:rsidR="004613B7" w:rsidRPr="005416BB" w:rsidRDefault="004613B7" w:rsidP="003A3A1E">
      <w:pPr>
        <w:pStyle w:val="BodyTextFirstIndent"/>
        <w:spacing w:after="0"/>
        <w:ind w:left="360" w:firstLine="0"/>
      </w:pPr>
      <w:r w:rsidRPr="005416BB">
        <w:rPr>
          <w:iCs/>
          <w:snapToGrid w:val="0"/>
          <w:szCs w:val="24"/>
        </w:rPr>
        <w:t>The data will be collected using a telephone survey of</w:t>
      </w:r>
      <w:r w:rsidR="00E3482D" w:rsidRPr="005416BB">
        <w:rPr>
          <w:iCs/>
          <w:snapToGrid w:val="0"/>
          <w:szCs w:val="24"/>
        </w:rPr>
        <w:t xml:space="preserve"> 70</w:t>
      </w:r>
      <w:r w:rsidR="009E1C07" w:rsidRPr="005416BB">
        <w:rPr>
          <w:iCs/>
          <w:snapToGrid w:val="0"/>
          <w:szCs w:val="24"/>
        </w:rPr>
        <w:t>0</w:t>
      </w:r>
      <w:r w:rsidRPr="005416BB">
        <w:rPr>
          <w:iCs/>
          <w:snapToGrid w:val="0"/>
          <w:szCs w:val="24"/>
        </w:rPr>
        <w:t xml:space="preserve"> landline and</w:t>
      </w:r>
      <w:r w:rsidR="00E3482D" w:rsidRPr="005416BB">
        <w:rPr>
          <w:iCs/>
          <w:snapToGrid w:val="0"/>
          <w:szCs w:val="24"/>
        </w:rPr>
        <w:t xml:space="preserve"> 30</w:t>
      </w:r>
      <w:r w:rsidR="009E1C07" w:rsidRPr="005416BB">
        <w:rPr>
          <w:iCs/>
          <w:snapToGrid w:val="0"/>
          <w:szCs w:val="24"/>
        </w:rPr>
        <w:t>0</w:t>
      </w:r>
      <w:r w:rsidRPr="005416BB">
        <w:rPr>
          <w:iCs/>
          <w:snapToGrid w:val="0"/>
          <w:szCs w:val="24"/>
        </w:rPr>
        <w:t xml:space="preserve"> cell phone respondents. </w:t>
      </w:r>
      <w:r w:rsidRPr="005416BB">
        <w:t xml:space="preserve">All interviews will be conducted using a Computer Assisted Telephone Interviewing (CATI) process. Interviewers will be professionally trained and continuously monitored and supervised. Telephone survey respondents, both male and female adults age 18 and older, would be selected via an RDD probability sample of all landline and cell phone telephone households in the continental </w:t>
      </w:r>
      <w:smartTag w:uri="urn:schemas-microsoft-com:office:smarttags" w:element="country-region">
        <w:smartTag w:uri="urn:schemas-microsoft-com:office:smarttags" w:element="place">
          <w:r w:rsidRPr="005416BB">
            <w:t>United States</w:t>
          </w:r>
        </w:smartTag>
      </w:smartTag>
      <w:r w:rsidRPr="005416BB">
        <w:t xml:space="preserve">. The RDD sampling system is computer based and provides an equal probability of selection for every telephone household. The sample represents telephone households with both listed and unlisted phones in their proper proportions. </w:t>
      </w:r>
    </w:p>
    <w:p w:rsidR="004613B7" w:rsidRPr="005416BB" w:rsidRDefault="004613B7" w:rsidP="002844DF">
      <w:pPr>
        <w:rPr>
          <w:i/>
          <w:iCs/>
        </w:rPr>
      </w:pPr>
    </w:p>
    <w:p w:rsidR="004613B7" w:rsidRPr="005416BB" w:rsidRDefault="004613B7" w:rsidP="00916E6D">
      <w:pPr>
        <w:pStyle w:val="ListParagraph"/>
        <w:numPr>
          <w:ilvl w:val="0"/>
          <w:numId w:val="21"/>
        </w:numPr>
        <w:rPr>
          <w:b/>
        </w:rPr>
      </w:pPr>
      <w:r w:rsidRPr="005416BB">
        <w:rPr>
          <w:b/>
        </w:rPr>
        <w:lastRenderedPageBreak/>
        <w:t xml:space="preserve">Methods to Maximize Response  </w:t>
      </w:r>
    </w:p>
    <w:p w:rsidR="004613B7" w:rsidRPr="005416BB" w:rsidRDefault="004613B7" w:rsidP="00916E6D">
      <w:pPr>
        <w:pStyle w:val="ListParagraph"/>
        <w:ind w:left="360"/>
      </w:pPr>
      <w:r w:rsidRPr="005416BB">
        <w:t>Up to five attempts will be made to reach each selected household (an original attempt, plus four more attempts to reach households that did not answer earlier calls).  All attempts will be made during evening and weekend hours, since those are the times when working respondents are most likely to be at home.  Calling attempts will be scheduled for different days of the week and weekends and will be spaced as far apart as is possible, within the restraints of the survey schedule.</w:t>
      </w:r>
    </w:p>
    <w:p w:rsidR="004613B7" w:rsidRPr="005416BB" w:rsidRDefault="004613B7" w:rsidP="00916E6D">
      <w:pPr>
        <w:pStyle w:val="ListParagraph"/>
        <w:ind w:left="360"/>
      </w:pPr>
    </w:p>
    <w:p w:rsidR="004613B7" w:rsidRPr="005416BB" w:rsidRDefault="004613B7" w:rsidP="009A4D30">
      <w:pPr>
        <w:ind w:left="360"/>
      </w:pPr>
      <w:r w:rsidRPr="005416BB">
        <w:t>Data is expected to be collected using GfK’s telephone centers located in the following cities:</w:t>
      </w:r>
    </w:p>
    <w:p w:rsidR="004613B7" w:rsidRPr="005416BB" w:rsidRDefault="004613B7" w:rsidP="009A4D30">
      <w:pPr>
        <w:numPr>
          <w:ilvl w:val="2"/>
          <w:numId w:val="23"/>
        </w:numPr>
        <w:tabs>
          <w:tab w:val="clear" w:pos="2160"/>
          <w:tab w:val="num" w:pos="1080"/>
        </w:tabs>
        <w:ind w:left="1080"/>
      </w:pPr>
      <w:r w:rsidRPr="005416BB">
        <w:t xml:space="preserve">Rexburg, ID and </w:t>
      </w:r>
    </w:p>
    <w:p w:rsidR="004613B7" w:rsidRPr="005416BB" w:rsidRDefault="004613B7" w:rsidP="009A4D30">
      <w:pPr>
        <w:numPr>
          <w:ilvl w:val="2"/>
          <w:numId w:val="23"/>
        </w:numPr>
        <w:tabs>
          <w:tab w:val="clear" w:pos="2160"/>
          <w:tab w:val="num" w:pos="1080"/>
        </w:tabs>
        <w:ind w:left="1080"/>
      </w:pPr>
      <w:r w:rsidRPr="005416BB">
        <w:t>Twin Falls, ID</w:t>
      </w:r>
    </w:p>
    <w:p w:rsidR="004613B7" w:rsidRPr="005416BB" w:rsidRDefault="004613B7" w:rsidP="009A4D30">
      <w:pPr>
        <w:ind w:left="360"/>
        <w:rPr>
          <w:bCs/>
        </w:rPr>
      </w:pPr>
    </w:p>
    <w:p w:rsidR="004613B7" w:rsidRPr="005416BB" w:rsidRDefault="004613B7" w:rsidP="009A4D30">
      <w:pPr>
        <w:ind w:left="360"/>
        <w:rPr>
          <w:bCs/>
        </w:rPr>
      </w:pPr>
      <w:r w:rsidRPr="005416BB">
        <w:rPr>
          <w:bCs/>
        </w:rPr>
        <w:t>Dialing may occur across multiple centers but all calls will be conducted during nighttime hours, 5:00 p.m. - 9:00 p.m. respondent time during weekdays, plus 10 a.m. – 6 p.m. on Saturdays and 3 p.m. – 9 p.m. on Sundays.</w:t>
      </w:r>
      <w:r w:rsidRPr="005416BB">
        <w:rPr>
          <w:bCs/>
        </w:rPr>
        <w:tab/>
      </w:r>
    </w:p>
    <w:p w:rsidR="004613B7" w:rsidRPr="005416BB" w:rsidRDefault="004613B7" w:rsidP="00916E6D">
      <w:pPr>
        <w:pStyle w:val="ListParagraph"/>
        <w:ind w:left="360"/>
      </w:pPr>
    </w:p>
    <w:p w:rsidR="004613B7" w:rsidRPr="005416BB" w:rsidRDefault="004613B7" w:rsidP="00B429E0">
      <w:pPr>
        <w:pStyle w:val="ListParagraph"/>
        <w:numPr>
          <w:ilvl w:val="0"/>
          <w:numId w:val="21"/>
        </w:numPr>
        <w:rPr>
          <w:b/>
        </w:rPr>
      </w:pPr>
      <w:r w:rsidRPr="005416BB">
        <w:rPr>
          <w:b/>
        </w:rPr>
        <w:t xml:space="preserve">Testing of Procedures  </w:t>
      </w:r>
    </w:p>
    <w:p w:rsidR="004613B7" w:rsidRPr="005416BB" w:rsidRDefault="004613B7" w:rsidP="00B429E0">
      <w:pPr>
        <w:pStyle w:val="listparagraph0"/>
        <w:spacing w:after="0" w:line="240" w:lineRule="auto"/>
        <w:ind w:left="360"/>
        <w:rPr>
          <w:rFonts w:ascii="Times New Roman" w:hAnsi="Times New Roman"/>
          <w:sz w:val="24"/>
          <w:szCs w:val="20"/>
        </w:rPr>
      </w:pPr>
      <w:r w:rsidRPr="005416BB">
        <w:rPr>
          <w:rFonts w:ascii="Times New Roman" w:hAnsi="Times New Roman"/>
          <w:sz w:val="24"/>
          <w:szCs w:val="20"/>
        </w:rPr>
        <w:t xml:space="preserve">The vendor will fully brief field staff responsible for data collection and the fieldwork will be monitored. 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clearance. All data will be cleaned and aggregated into a single database. The vendor is a member of CASRO and ESOMAR and adheres to the CASRO Code of Standards and Ethics for Survey Research Organizations as well as to internal quality assurance standards that address all components of the research process.  </w:t>
      </w:r>
    </w:p>
    <w:p w:rsidR="004613B7" w:rsidRPr="005416BB" w:rsidRDefault="004613B7" w:rsidP="00916E6D">
      <w:pPr>
        <w:pStyle w:val="ListParagraph"/>
        <w:ind w:left="360"/>
        <w:rPr>
          <w:b/>
        </w:rPr>
      </w:pPr>
      <w:r w:rsidRPr="005416BB">
        <w:rPr>
          <w:b/>
        </w:rPr>
        <w:t xml:space="preserve"> </w:t>
      </w:r>
    </w:p>
    <w:p w:rsidR="004613B7" w:rsidRPr="005416BB" w:rsidRDefault="004613B7" w:rsidP="00916E6D">
      <w:pPr>
        <w:pStyle w:val="ListParagraph"/>
        <w:numPr>
          <w:ilvl w:val="0"/>
          <w:numId w:val="21"/>
        </w:numPr>
        <w:rPr>
          <w:b/>
        </w:rPr>
      </w:pPr>
      <w:r w:rsidRPr="005416BB">
        <w:rPr>
          <w:b/>
        </w:rPr>
        <w:t>Contacts for Statistical Aspects and Data Collection</w:t>
      </w:r>
    </w:p>
    <w:p w:rsidR="004613B7" w:rsidRPr="005416BB" w:rsidRDefault="004613B7" w:rsidP="00DD58B8">
      <w:pPr>
        <w:ind w:left="360"/>
      </w:pPr>
      <w:r w:rsidRPr="005416BB">
        <w:t>Russell Geiman</w:t>
      </w:r>
    </w:p>
    <w:p w:rsidR="004613B7" w:rsidRPr="005416BB" w:rsidRDefault="004613B7" w:rsidP="00DD58B8">
      <w:pPr>
        <w:ind w:left="360"/>
      </w:pPr>
      <w:r w:rsidRPr="005416BB">
        <w:t>Senior Analyst</w:t>
      </w:r>
    </w:p>
    <w:p w:rsidR="004613B7" w:rsidRPr="005416BB" w:rsidRDefault="004613B7" w:rsidP="00DD58B8">
      <w:pPr>
        <w:ind w:left="360"/>
      </w:pPr>
      <w:r w:rsidRPr="005416BB">
        <w:t>IRS Oversight Board</w:t>
      </w:r>
    </w:p>
    <w:p w:rsidR="004613B7" w:rsidRPr="005416BB" w:rsidRDefault="004613B7" w:rsidP="001339FD">
      <w:pPr>
        <w:ind w:left="360"/>
      </w:pPr>
      <w:r w:rsidRPr="005416BB">
        <w:t>(202) 622-2698</w:t>
      </w:r>
    </w:p>
    <w:p w:rsidR="004613B7" w:rsidRPr="005416BB" w:rsidRDefault="004613B7" w:rsidP="001339FD">
      <w:pPr>
        <w:ind w:left="360"/>
      </w:pPr>
    </w:p>
    <w:p w:rsidR="004613B7" w:rsidRPr="005416BB" w:rsidRDefault="004613B7" w:rsidP="00622FBF">
      <w:pPr>
        <w:rPr>
          <w:b/>
          <w:snapToGrid w:val="0"/>
        </w:rPr>
      </w:pPr>
    </w:p>
    <w:p w:rsidR="004613B7" w:rsidRPr="005416BB" w:rsidRDefault="004613B7" w:rsidP="001339FD">
      <w:pPr>
        <w:ind w:left="360"/>
      </w:pPr>
    </w:p>
    <w:sectPr w:rsidR="004613B7" w:rsidRPr="005416BB" w:rsidSect="00745852">
      <w:headerReference w:type="default" r:id="rId1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57" w:rsidRDefault="00513957">
      <w:r>
        <w:separator/>
      </w:r>
    </w:p>
  </w:endnote>
  <w:endnote w:type="continuationSeparator" w:id="0">
    <w:p w:rsidR="00513957" w:rsidRDefault="0051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B7" w:rsidRDefault="004613B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1312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57" w:rsidRDefault="00513957">
      <w:r>
        <w:separator/>
      </w:r>
    </w:p>
  </w:footnote>
  <w:footnote w:type="continuationSeparator" w:id="0">
    <w:p w:rsidR="00513957" w:rsidRDefault="00513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B7" w:rsidRPr="001E2E18" w:rsidRDefault="004613B7" w:rsidP="001E2E18">
    <w:pPr>
      <w:pStyle w:val="Header"/>
      <w:jc w:val="right"/>
      <w:rPr>
        <w:b/>
        <w:color w:val="000000"/>
      </w:rPr>
    </w:pPr>
    <w:r w:rsidRPr="001E2E18">
      <w:rPr>
        <w:b/>
        <w:color w:val="000000"/>
      </w:rPr>
      <w:t>OMB 1545-1432</w:t>
    </w:r>
  </w:p>
  <w:p w:rsidR="004613B7" w:rsidRPr="001E2E18" w:rsidRDefault="004613B7" w:rsidP="001E2E18">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CC00FA"/>
    <w:multiLevelType w:val="hybridMultilevel"/>
    <w:tmpl w:val="6A34D3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87496"/>
    <w:multiLevelType w:val="hybridMultilevel"/>
    <w:tmpl w:val="070EF58A"/>
    <w:lvl w:ilvl="0" w:tplc="37309A76">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7F45495"/>
    <w:multiLevelType w:val="hybridMultilevel"/>
    <w:tmpl w:val="B93CCE7A"/>
    <w:lvl w:ilvl="0" w:tplc="DFB026F0">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E5A5619"/>
    <w:multiLevelType w:val="hybridMultilevel"/>
    <w:tmpl w:val="3F368EAC"/>
    <w:lvl w:ilvl="0" w:tplc="9B0CA046">
      <w:start w:val="1"/>
      <w:numFmt w:val="decimal"/>
      <w:lvlText w:val="%1"/>
      <w:lvlJc w:val="left"/>
      <w:pPr>
        <w:ind w:left="1442" w:hanging="720"/>
      </w:pPr>
      <w:rPr>
        <w:rFonts w:cs="Times New Roman" w:hint="default"/>
      </w:rPr>
    </w:lvl>
    <w:lvl w:ilvl="1" w:tplc="04090019" w:tentative="1">
      <w:start w:val="1"/>
      <w:numFmt w:val="lowerLetter"/>
      <w:lvlText w:val="%2."/>
      <w:lvlJc w:val="left"/>
      <w:pPr>
        <w:ind w:left="1802" w:hanging="360"/>
      </w:pPr>
      <w:rPr>
        <w:rFonts w:cs="Times New Roman"/>
      </w:rPr>
    </w:lvl>
    <w:lvl w:ilvl="2" w:tplc="0409001B" w:tentative="1">
      <w:start w:val="1"/>
      <w:numFmt w:val="lowerRoman"/>
      <w:lvlText w:val="%3."/>
      <w:lvlJc w:val="right"/>
      <w:pPr>
        <w:ind w:left="2522" w:hanging="180"/>
      </w:pPr>
      <w:rPr>
        <w:rFonts w:cs="Times New Roman"/>
      </w:rPr>
    </w:lvl>
    <w:lvl w:ilvl="3" w:tplc="0409000F" w:tentative="1">
      <w:start w:val="1"/>
      <w:numFmt w:val="decimal"/>
      <w:lvlText w:val="%4."/>
      <w:lvlJc w:val="left"/>
      <w:pPr>
        <w:ind w:left="3242" w:hanging="360"/>
      </w:pPr>
      <w:rPr>
        <w:rFonts w:cs="Times New Roman"/>
      </w:rPr>
    </w:lvl>
    <w:lvl w:ilvl="4" w:tplc="04090019" w:tentative="1">
      <w:start w:val="1"/>
      <w:numFmt w:val="lowerLetter"/>
      <w:lvlText w:val="%5."/>
      <w:lvlJc w:val="left"/>
      <w:pPr>
        <w:ind w:left="3962" w:hanging="360"/>
      </w:pPr>
      <w:rPr>
        <w:rFonts w:cs="Times New Roman"/>
      </w:rPr>
    </w:lvl>
    <w:lvl w:ilvl="5" w:tplc="0409001B" w:tentative="1">
      <w:start w:val="1"/>
      <w:numFmt w:val="lowerRoman"/>
      <w:lvlText w:val="%6."/>
      <w:lvlJc w:val="right"/>
      <w:pPr>
        <w:ind w:left="4682" w:hanging="180"/>
      </w:pPr>
      <w:rPr>
        <w:rFonts w:cs="Times New Roman"/>
      </w:rPr>
    </w:lvl>
    <w:lvl w:ilvl="6" w:tplc="0409000F" w:tentative="1">
      <w:start w:val="1"/>
      <w:numFmt w:val="decimal"/>
      <w:lvlText w:val="%7."/>
      <w:lvlJc w:val="left"/>
      <w:pPr>
        <w:ind w:left="5402" w:hanging="360"/>
      </w:pPr>
      <w:rPr>
        <w:rFonts w:cs="Times New Roman"/>
      </w:rPr>
    </w:lvl>
    <w:lvl w:ilvl="7" w:tplc="04090019" w:tentative="1">
      <w:start w:val="1"/>
      <w:numFmt w:val="lowerLetter"/>
      <w:lvlText w:val="%8."/>
      <w:lvlJc w:val="left"/>
      <w:pPr>
        <w:ind w:left="6122" w:hanging="360"/>
      </w:pPr>
      <w:rPr>
        <w:rFonts w:cs="Times New Roman"/>
      </w:rPr>
    </w:lvl>
    <w:lvl w:ilvl="8" w:tplc="0409001B" w:tentative="1">
      <w:start w:val="1"/>
      <w:numFmt w:val="lowerRoman"/>
      <w:lvlText w:val="%9."/>
      <w:lvlJc w:val="right"/>
      <w:pPr>
        <w:ind w:left="6842" w:hanging="180"/>
      </w:pPr>
      <w:rPr>
        <w:rFonts w:cs="Times New Roman"/>
      </w:rPr>
    </w:lvl>
  </w:abstractNum>
  <w:abstractNum w:abstractNumId="7">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5714A21"/>
    <w:multiLevelType w:val="hybridMultilevel"/>
    <w:tmpl w:val="3EAE1478"/>
    <w:lvl w:ilvl="0" w:tplc="DFB026F0">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24370A2A"/>
    <w:multiLevelType w:val="hybridMultilevel"/>
    <w:tmpl w:val="61E87702"/>
    <w:lvl w:ilvl="0" w:tplc="9E2816B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7257DB9"/>
    <w:multiLevelType w:val="hybridMultilevel"/>
    <w:tmpl w:val="243C63E8"/>
    <w:lvl w:ilvl="0" w:tplc="F63AC34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354965A1"/>
    <w:multiLevelType w:val="hybridMultilevel"/>
    <w:tmpl w:val="E12602B2"/>
    <w:lvl w:ilvl="0" w:tplc="9E2816B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nsid w:val="3BA017ED"/>
    <w:multiLevelType w:val="hybridMultilevel"/>
    <w:tmpl w:val="AEF6C71A"/>
    <w:lvl w:ilvl="0" w:tplc="DFB026F0">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EFF6CD5"/>
    <w:multiLevelType w:val="hybridMultilevel"/>
    <w:tmpl w:val="0666E3B4"/>
    <w:lvl w:ilvl="0" w:tplc="9E2816B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3F933817"/>
    <w:multiLevelType w:val="hybridMultilevel"/>
    <w:tmpl w:val="38348EA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1224EAB"/>
    <w:multiLevelType w:val="hybridMultilevel"/>
    <w:tmpl w:val="D3FC1BEE"/>
    <w:lvl w:ilvl="0" w:tplc="DFB026F0">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558468DD"/>
    <w:multiLevelType w:val="hybridMultilevel"/>
    <w:tmpl w:val="55F2BEE0"/>
    <w:lvl w:ilvl="0" w:tplc="9E2816B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55C9542E"/>
    <w:multiLevelType w:val="hybridMultilevel"/>
    <w:tmpl w:val="A6FE0628"/>
    <w:lvl w:ilvl="0" w:tplc="DFB026F0">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6B34F77"/>
    <w:multiLevelType w:val="hybridMultilevel"/>
    <w:tmpl w:val="ADEA5880"/>
    <w:lvl w:ilvl="0" w:tplc="9E2816B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58F91232"/>
    <w:multiLevelType w:val="hybridMultilevel"/>
    <w:tmpl w:val="1C86AA0E"/>
    <w:lvl w:ilvl="0" w:tplc="9E2816B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60B96CFA"/>
    <w:multiLevelType w:val="hybridMultilevel"/>
    <w:tmpl w:val="631EF67A"/>
    <w:lvl w:ilvl="0" w:tplc="23E0A7AE">
      <w:start w:val="1"/>
      <w:numFmt w:val="decimal"/>
      <w:lvlText w:val="%1"/>
      <w:lvlJc w:val="left"/>
      <w:pPr>
        <w:tabs>
          <w:tab w:val="num" w:pos="2880"/>
        </w:tabs>
        <w:ind w:left="2880" w:hanging="144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1">
    <w:nsid w:val="611B1E34"/>
    <w:multiLevelType w:val="hybridMultilevel"/>
    <w:tmpl w:val="ADEA5880"/>
    <w:lvl w:ilvl="0" w:tplc="9E2816B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4">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0651B52"/>
    <w:multiLevelType w:val="hybridMultilevel"/>
    <w:tmpl w:val="8EEA210E"/>
    <w:lvl w:ilvl="0" w:tplc="DFB026F0">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69757B8"/>
    <w:multiLevelType w:val="hybridMultilevel"/>
    <w:tmpl w:val="12A6B548"/>
    <w:lvl w:ilvl="0" w:tplc="737A89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40">
    <w:nsid w:val="7CF10674"/>
    <w:multiLevelType w:val="hybridMultilevel"/>
    <w:tmpl w:val="8F30CE14"/>
    <w:lvl w:ilvl="0" w:tplc="0D76EA08">
      <w:start w:val="1"/>
      <w:numFmt w:val="bullet"/>
      <w:lvlText w:val=""/>
      <w:lvlJc w:val="left"/>
      <w:pPr>
        <w:tabs>
          <w:tab w:val="num" w:pos="720"/>
        </w:tabs>
        <w:ind w:left="720" w:hanging="360"/>
      </w:pPr>
      <w:rPr>
        <w:rFonts w:ascii="Symbol" w:hAnsi="Symbol" w:hint="default"/>
      </w:rPr>
    </w:lvl>
    <w:lvl w:ilvl="1" w:tplc="F82E8130" w:tentative="1">
      <w:start w:val="1"/>
      <w:numFmt w:val="bullet"/>
      <w:lvlText w:val="o"/>
      <w:lvlJc w:val="left"/>
      <w:pPr>
        <w:tabs>
          <w:tab w:val="num" w:pos="1440"/>
        </w:tabs>
        <w:ind w:left="1440" w:hanging="360"/>
      </w:pPr>
      <w:rPr>
        <w:rFonts w:ascii="Courier New" w:hAnsi="Courier New" w:hint="default"/>
      </w:rPr>
    </w:lvl>
    <w:lvl w:ilvl="2" w:tplc="9A0C4186" w:tentative="1">
      <w:start w:val="1"/>
      <w:numFmt w:val="bullet"/>
      <w:lvlText w:val=""/>
      <w:lvlJc w:val="left"/>
      <w:pPr>
        <w:tabs>
          <w:tab w:val="num" w:pos="2160"/>
        </w:tabs>
        <w:ind w:left="2160" w:hanging="360"/>
      </w:pPr>
      <w:rPr>
        <w:rFonts w:ascii="Wingdings" w:hAnsi="Wingdings" w:hint="default"/>
      </w:rPr>
    </w:lvl>
    <w:lvl w:ilvl="3" w:tplc="29CCD63E" w:tentative="1">
      <w:start w:val="1"/>
      <w:numFmt w:val="bullet"/>
      <w:lvlText w:val=""/>
      <w:lvlJc w:val="left"/>
      <w:pPr>
        <w:tabs>
          <w:tab w:val="num" w:pos="2880"/>
        </w:tabs>
        <w:ind w:left="2880" w:hanging="360"/>
      </w:pPr>
      <w:rPr>
        <w:rFonts w:ascii="Symbol" w:hAnsi="Symbol" w:hint="default"/>
      </w:rPr>
    </w:lvl>
    <w:lvl w:ilvl="4" w:tplc="C72098A8" w:tentative="1">
      <w:start w:val="1"/>
      <w:numFmt w:val="bullet"/>
      <w:lvlText w:val="o"/>
      <w:lvlJc w:val="left"/>
      <w:pPr>
        <w:tabs>
          <w:tab w:val="num" w:pos="3600"/>
        </w:tabs>
        <w:ind w:left="3600" w:hanging="360"/>
      </w:pPr>
      <w:rPr>
        <w:rFonts w:ascii="Courier New" w:hAnsi="Courier New" w:hint="default"/>
      </w:rPr>
    </w:lvl>
    <w:lvl w:ilvl="5" w:tplc="D9A4FF32" w:tentative="1">
      <w:start w:val="1"/>
      <w:numFmt w:val="bullet"/>
      <w:lvlText w:val=""/>
      <w:lvlJc w:val="left"/>
      <w:pPr>
        <w:tabs>
          <w:tab w:val="num" w:pos="4320"/>
        </w:tabs>
        <w:ind w:left="4320" w:hanging="360"/>
      </w:pPr>
      <w:rPr>
        <w:rFonts w:ascii="Wingdings" w:hAnsi="Wingdings" w:hint="default"/>
      </w:rPr>
    </w:lvl>
    <w:lvl w:ilvl="6" w:tplc="C0FC0956" w:tentative="1">
      <w:start w:val="1"/>
      <w:numFmt w:val="bullet"/>
      <w:lvlText w:val=""/>
      <w:lvlJc w:val="left"/>
      <w:pPr>
        <w:tabs>
          <w:tab w:val="num" w:pos="5040"/>
        </w:tabs>
        <w:ind w:left="5040" w:hanging="360"/>
      </w:pPr>
      <w:rPr>
        <w:rFonts w:ascii="Symbol" w:hAnsi="Symbol" w:hint="default"/>
      </w:rPr>
    </w:lvl>
    <w:lvl w:ilvl="7" w:tplc="A38800B2" w:tentative="1">
      <w:start w:val="1"/>
      <w:numFmt w:val="bullet"/>
      <w:lvlText w:val="o"/>
      <w:lvlJc w:val="left"/>
      <w:pPr>
        <w:tabs>
          <w:tab w:val="num" w:pos="5760"/>
        </w:tabs>
        <w:ind w:left="5760" w:hanging="360"/>
      </w:pPr>
      <w:rPr>
        <w:rFonts w:ascii="Courier New" w:hAnsi="Courier New" w:hint="default"/>
      </w:rPr>
    </w:lvl>
    <w:lvl w:ilvl="8" w:tplc="04DA7FA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9"/>
  </w:num>
  <w:num w:numId="3">
    <w:abstractNumId w:val="38"/>
  </w:num>
  <w:num w:numId="4">
    <w:abstractNumId w:val="40"/>
  </w:num>
  <w:num w:numId="5">
    <w:abstractNumId w:val="7"/>
  </w:num>
  <w:num w:numId="6">
    <w:abstractNumId w:val="2"/>
  </w:num>
  <w:num w:numId="7">
    <w:abstractNumId w:val="17"/>
  </w:num>
  <w:num w:numId="8">
    <w:abstractNumId w:val="33"/>
  </w:num>
  <w:num w:numId="9">
    <w:abstractNumId w:val="21"/>
  </w:num>
  <w:num w:numId="10">
    <w:abstractNumId w:val="3"/>
  </w:num>
  <w:num w:numId="11">
    <w:abstractNumId w:val="11"/>
  </w:num>
  <w:num w:numId="12">
    <w:abstractNumId w:val="14"/>
  </w:num>
  <w:num w:numId="13">
    <w:abstractNumId w:val="0"/>
  </w:num>
  <w:num w:numId="14">
    <w:abstractNumId w:val="36"/>
  </w:num>
  <w:num w:numId="15">
    <w:abstractNumId w:val="32"/>
  </w:num>
  <w:num w:numId="16">
    <w:abstractNumId w:val="24"/>
  </w:num>
  <w:num w:numId="17">
    <w:abstractNumId w:val="8"/>
  </w:num>
  <w:num w:numId="18">
    <w:abstractNumId w:val="10"/>
  </w:num>
  <w:num w:numId="19">
    <w:abstractNumId w:val="23"/>
  </w:num>
  <w:num w:numId="20">
    <w:abstractNumId w:val="34"/>
  </w:num>
  <w:num w:numId="21">
    <w:abstractNumId w:val="12"/>
  </w:num>
  <w:num w:numId="22">
    <w:abstractNumId w:val="20"/>
  </w:num>
  <w:num w:numId="23">
    <w:abstractNumId w:val="1"/>
  </w:num>
  <w:num w:numId="24">
    <w:abstractNumId w:val="15"/>
  </w:num>
  <w:num w:numId="25">
    <w:abstractNumId w:val="4"/>
  </w:num>
  <w:num w:numId="26">
    <w:abstractNumId w:val="28"/>
  </w:num>
  <w:num w:numId="27">
    <w:abstractNumId w:val="27"/>
  </w:num>
  <w:num w:numId="28">
    <w:abstractNumId w:val="9"/>
  </w:num>
  <w:num w:numId="29">
    <w:abstractNumId w:val="18"/>
  </w:num>
  <w:num w:numId="30">
    <w:abstractNumId w:val="5"/>
  </w:num>
  <w:num w:numId="31">
    <w:abstractNumId w:val="25"/>
  </w:num>
  <w:num w:numId="32">
    <w:abstractNumId w:val="37"/>
  </w:num>
  <w:num w:numId="33">
    <w:abstractNumId w:val="35"/>
  </w:num>
  <w:num w:numId="34">
    <w:abstractNumId w:val="31"/>
  </w:num>
  <w:num w:numId="35">
    <w:abstractNumId w:val="13"/>
  </w:num>
  <w:num w:numId="36">
    <w:abstractNumId w:val="19"/>
  </w:num>
  <w:num w:numId="37">
    <w:abstractNumId w:val="30"/>
  </w:num>
  <w:num w:numId="38">
    <w:abstractNumId w:val="16"/>
  </w:num>
  <w:num w:numId="39">
    <w:abstractNumId w:val="29"/>
  </w:num>
  <w:num w:numId="40">
    <w:abstractNumId w:val="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0A5"/>
    <w:rsid w:val="00013124"/>
    <w:rsid w:val="00023A57"/>
    <w:rsid w:val="00032F0D"/>
    <w:rsid w:val="000337A6"/>
    <w:rsid w:val="00047A64"/>
    <w:rsid w:val="000514A5"/>
    <w:rsid w:val="00051FE2"/>
    <w:rsid w:val="00054F86"/>
    <w:rsid w:val="00055B7A"/>
    <w:rsid w:val="00067329"/>
    <w:rsid w:val="00085C57"/>
    <w:rsid w:val="000905A7"/>
    <w:rsid w:val="000A3F59"/>
    <w:rsid w:val="000B2838"/>
    <w:rsid w:val="000B7FB1"/>
    <w:rsid w:val="000D44CA"/>
    <w:rsid w:val="000D4DB0"/>
    <w:rsid w:val="000E1DF9"/>
    <w:rsid w:val="000E200B"/>
    <w:rsid w:val="000E4565"/>
    <w:rsid w:val="000F68BE"/>
    <w:rsid w:val="00100A90"/>
    <w:rsid w:val="001105C8"/>
    <w:rsid w:val="00110C98"/>
    <w:rsid w:val="0012364A"/>
    <w:rsid w:val="00125FDA"/>
    <w:rsid w:val="001271DE"/>
    <w:rsid w:val="001339FD"/>
    <w:rsid w:val="00135832"/>
    <w:rsid w:val="00157D98"/>
    <w:rsid w:val="001608BC"/>
    <w:rsid w:val="00171BB9"/>
    <w:rsid w:val="00183AF3"/>
    <w:rsid w:val="001927A4"/>
    <w:rsid w:val="00194AC6"/>
    <w:rsid w:val="00196496"/>
    <w:rsid w:val="001A23B0"/>
    <w:rsid w:val="001A25CC"/>
    <w:rsid w:val="001B0AAA"/>
    <w:rsid w:val="001B3956"/>
    <w:rsid w:val="001B396B"/>
    <w:rsid w:val="001C32E4"/>
    <w:rsid w:val="001C361F"/>
    <w:rsid w:val="001C39F7"/>
    <w:rsid w:val="001D329A"/>
    <w:rsid w:val="001D74DF"/>
    <w:rsid w:val="001E2E18"/>
    <w:rsid w:val="001F1CA3"/>
    <w:rsid w:val="00203E87"/>
    <w:rsid w:val="00216C11"/>
    <w:rsid w:val="0022128A"/>
    <w:rsid w:val="00225C38"/>
    <w:rsid w:val="00237B48"/>
    <w:rsid w:val="0024521E"/>
    <w:rsid w:val="00263C3D"/>
    <w:rsid w:val="00274D0B"/>
    <w:rsid w:val="002844DF"/>
    <w:rsid w:val="00295E32"/>
    <w:rsid w:val="002B3C95"/>
    <w:rsid w:val="002C3FD7"/>
    <w:rsid w:val="002C564C"/>
    <w:rsid w:val="002D0B92"/>
    <w:rsid w:val="003123E1"/>
    <w:rsid w:val="00331B48"/>
    <w:rsid w:val="00333FCF"/>
    <w:rsid w:val="0033435E"/>
    <w:rsid w:val="003431B6"/>
    <w:rsid w:val="00346913"/>
    <w:rsid w:val="00370488"/>
    <w:rsid w:val="003719D9"/>
    <w:rsid w:val="003A3A1E"/>
    <w:rsid w:val="003C1063"/>
    <w:rsid w:val="003D039E"/>
    <w:rsid w:val="003D274C"/>
    <w:rsid w:val="003D5BBE"/>
    <w:rsid w:val="003E3C61"/>
    <w:rsid w:val="003F03EF"/>
    <w:rsid w:val="003F1C5B"/>
    <w:rsid w:val="00400920"/>
    <w:rsid w:val="00401744"/>
    <w:rsid w:val="00416584"/>
    <w:rsid w:val="00430BA0"/>
    <w:rsid w:val="0043315D"/>
    <w:rsid w:val="00434E33"/>
    <w:rsid w:val="00441434"/>
    <w:rsid w:val="004420FB"/>
    <w:rsid w:val="0045264C"/>
    <w:rsid w:val="004613B7"/>
    <w:rsid w:val="004677AA"/>
    <w:rsid w:val="004872C1"/>
    <w:rsid w:val="004876EC"/>
    <w:rsid w:val="00495623"/>
    <w:rsid w:val="004A276E"/>
    <w:rsid w:val="004A77CD"/>
    <w:rsid w:val="004D1256"/>
    <w:rsid w:val="004D6E14"/>
    <w:rsid w:val="004E0521"/>
    <w:rsid w:val="004F1461"/>
    <w:rsid w:val="005009B0"/>
    <w:rsid w:val="00513957"/>
    <w:rsid w:val="005416BB"/>
    <w:rsid w:val="005522C0"/>
    <w:rsid w:val="0057655A"/>
    <w:rsid w:val="00585DB5"/>
    <w:rsid w:val="00591FCE"/>
    <w:rsid w:val="005A1006"/>
    <w:rsid w:val="005A48E7"/>
    <w:rsid w:val="005E6224"/>
    <w:rsid w:val="005E714A"/>
    <w:rsid w:val="00607A58"/>
    <w:rsid w:val="00610382"/>
    <w:rsid w:val="006140A0"/>
    <w:rsid w:val="00622FBF"/>
    <w:rsid w:val="00634BB0"/>
    <w:rsid w:val="00636621"/>
    <w:rsid w:val="00642B49"/>
    <w:rsid w:val="006446A5"/>
    <w:rsid w:val="00645A04"/>
    <w:rsid w:val="00665447"/>
    <w:rsid w:val="00671D31"/>
    <w:rsid w:val="006832D9"/>
    <w:rsid w:val="0069403B"/>
    <w:rsid w:val="00696D09"/>
    <w:rsid w:val="006A5947"/>
    <w:rsid w:val="006D0FFF"/>
    <w:rsid w:val="006E0EB1"/>
    <w:rsid w:val="006F3DDE"/>
    <w:rsid w:val="006F6212"/>
    <w:rsid w:val="00704678"/>
    <w:rsid w:val="00710CEA"/>
    <w:rsid w:val="0071125A"/>
    <w:rsid w:val="007131C9"/>
    <w:rsid w:val="0071640A"/>
    <w:rsid w:val="007425E7"/>
    <w:rsid w:val="00745852"/>
    <w:rsid w:val="0075296F"/>
    <w:rsid w:val="00770B9D"/>
    <w:rsid w:val="00777C92"/>
    <w:rsid w:val="007938A9"/>
    <w:rsid w:val="007A1A93"/>
    <w:rsid w:val="007B35B6"/>
    <w:rsid w:val="007D1731"/>
    <w:rsid w:val="007E226F"/>
    <w:rsid w:val="007E3AE1"/>
    <w:rsid w:val="007F5569"/>
    <w:rsid w:val="00801376"/>
    <w:rsid w:val="00802607"/>
    <w:rsid w:val="00802D0E"/>
    <w:rsid w:val="008101A5"/>
    <w:rsid w:val="0081370E"/>
    <w:rsid w:val="00822664"/>
    <w:rsid w:val="00824ACA"/>
    <w:rsid w:val="00831D66"/>
    <w:rsid w:val="00832253"/>
    <w:rsid w:val="0083250D"/>
    <w:rsid w:val="00843796"/>
    <w:rsid w:val="00846CC8"/>
    <w:rsid w:val="00854FAD"/>
    <w:rsid w:val="00886DBB"/>
    <w:rsid w:val="00895229"/>
    <w:rsid w:val="008A1235"/>
    <w:rsid w:val="008A2216"/>
    <w:rsid w:val="008A74F9"/>
    <w:rsid w:val="008B2316"/>
    <w:rsid w:val="008E08A0"/>
    <w:rsid w:val="008E1814"/>
    <w:rsid w:val="008E71B7"/>
    <w:rsid w:val="008F0203"/>
    <w:rsid w:val="008F33C4"/>
    <w:rsid w:val="008F50D4"/>
    <w:rsid w:val="00903EC9"/>
    <w:rsid w:val="00916E6D"/>
    <w:rsid w:val="009202FB"/>
    <w:rsid w:val="009239AA"/>
    <w:rsid w:val="00926069"/>
    <w:rsid w:val="00931BFD"/>
    <w:rsid w:val="00935ADA"/>
    <w:rsid w:val="00946B6C"/>
    <w:rsid w:val="00955A71"/>
    <w:rsid w:val="00956776"/>
    <w:rsid w:val="0096108F"/>
    <w:rsid w:val="00964C0E"/>
    <w:rsid w:val="009721E6"/>
    <w:rsid w:val="009871B5"/>
    <w:rsid w:val="009A4D30"/>
    <w:rsid w:val="009B04E2"/>
    <w:rsid w:val="009C13B9"/>
    <w:rsid w:val="009D01A2"/>
    <w:rsid w:val="009E1C07"/>
    <w:rsid w:val="009E4B0D"/>
    <w:rsid w:val="009F5923"/>
    <w:rsid w:val="009F66AC"/>
    <w:rsid w:val="00A32912"/>
    <w:rsid w:val="00A403BB"/>
    <w:rsid w:val="00A50A52"/>
    <w:rsid w:val="00A674DF"/>
    <w:rsid w:val="00A83AA6"/>
    <w:rsid w:val="00A91D19"/>
    <w:rsid w:val="00AB395F"/>
    <w:rsid w:val="00AC3BEF"/>
    <w:rsid w:val="00AD00E5"/>
    <w:rsid w:val="00AD21DE"/>
    <w:rsid w:val="00AE1809"/>
    <w:rsid w:val="00AF63EE"/>
    <w:rsid w:val="00AF756B"/>
    <w:rsid w:val="00B14623"/>
    <w:rsid w:val="00B429E0"/>
    <w:rsid w:val="00B51F57"/>
    <w:rsid w:val="00B6326B"/>
    <w:rsid w:val="00B80D76"/>
    <w:rsid w:val="00BA0F8F"/>
    <w:rsid w:val="00BA2105"/>
    <w:rsid w:val="00BA7E06"/>
    <w:rsid w:val="00BB3F07"/>
    <w:rsid w:val="00BB43B5"/>
    <w:rsid w:val="00BB6219"/>
    <w:rsid w:val="00BD0A7D"/>
    <w:rsid w:val="00BD290F"/>
    <w:rsid w:val="00C05B94"/>
    <w:rsid w:val="00C14CC4"/>
    <w:rsid w:val="00C166C2"/>
    <w:rsid w:val="00C277F1"/>
    <w:rsid w:val="00C303F6"/>
    <w:rsid w:val="00C33C52"/>
    <w:rsid w:val="00C40D8B"/>
    <w:rsid w:val="00C8407A"/>
    <w:rsid w:val="00C8488C"/>
    <w:rsid w:val="00C86E91"/>
    <w:rsid w:val="00C87E62"/>
    <w:rsid w:val="00C941BA"/>
    <w:rsid w:val="00C97934"/>
    <w:rsid w:val="00CA252B"/>
    <w:rsid w:val="00CA2650"/>
    <w:rsid w:val="00CB1078"/>
    <w:rsid w:val="00CC4862"/>
    <w:rsid w:val="00CC6FAF"/>
    <w:rsid w:val="00CD6D60"/>
    <w:rsid w:val="00D24698"/>
    <w:rsid w:val="00D40E0D"/>
    <w:rsid w:val="00D551E3"/>
    <w:rsid w:val="00D55D32"/>
    <w:rsid w:val="00D56351"/>
    <w:rsid w:val="00D570C7"/>
    <w:rsid w:val="00D6150F"/>
    <w:rsid w:val="00D6383F"/>
    <w:rsid w:val="00D73962"/>
    <w:rsid w:val="00D76E17"/>
    <w:rsid w:val="00DA7750"/>
    <w:rsid w:val="00DB59D0"/>
    <w:rsid w:val="00DC33D3"/>
    <w:rsid w:val="00DC7965"/>
    <w:rsid w:val="00DD226F"/>
    <w:rsid w:val="00DD58B8"/>
    <w:rsid w:val="00DD63D4"/>
    <w:rsid w:val="00DD652B"/>
    <w:rsid w:val="00DE364B"/>
    <w:rsid w:val="00DF1263"/>
    <w:rsid w:val="00E0701E"/>
    <w:rsid w:val="00E113AF"/>
    <w:rsid w:val="00E12E6B"/>
    <w:rsid w:val="00E14D82"/>
    <w:rsid w:val="00E21E50"/>
    <w:rsid w:val="00E2468B"/>
    <w:rsid w:val="00E26329"/>
    <w:rsid w:val="00E3482D"/>
    <w:rsid w:val="00E40B50"/>
    <w:rsid w:val="00E50293"/>
    <w:rsid w:val="00E56836"/>
    <w:rsid w:val="00E65FFC"/>
    <w:rsid w:val="00E74051"/>
    <w:rsid w:val="00E80951"/>
    <w:rsid w:val="00E854FE"/>
    <w:rsid w:val="00E86CC6"/>
    <w:rsid w:val="00EA5FBC"/>
    <w:rsid w:val="00EB11A7"/>
    <w:rsid w:val="00EB451F"/>
    <w:rsid w:val="00EB56B3"/>
    <w:rsid w:val="00EB6743"/>
    <w:rsid w:val="00ED6492"/>
    <w:rsid w:val="00EF2095"/>
    <w:rsid w:val="00EF51D4"/>
    <w:rsid w:val="00F00F00"/>
    <w:rsid w:val="00F06866"/>
    <w:rsid w:val="00F10051"/>
    <w:rsid w:val="00F15956"/>
    <w:rsid w:val="00F24CFC"/>
    <w:rsid w:val="00F2709B"/>
    <w:rsid w:val="00F3170F"/>
    <w:rsid w:val="00F34034"/>
    <w:rsid w:val="00F3484B"/>
    <w:rsid w:val="00F35C89"/>
    <w:rsid w:val="00F36A65"/>
    <w:rsid w:val="00F42E06"/>
    <w:rsid w:val="00F6093A"/>
    <w:rsid w:val="00F654D3"/>
    <w:rsid w:val="00F6693B"/>
    <w:rsid w:val="00F66DAF"/>
    <w:rsid w:val="00F81198"/>
    <w:rsid w:val="00F823C8"/>
    <w:rsid w:val="00F85BD8"/>
    <w:rsid w:val="00F976B0"/>
    <w:rsid w:val="00FA102E"/>
    <w:rsid w:val="00FA60E5"/>
    <w:rsid w:val="00FA6DE7"/>
    <w:rsid w:val="00FB0BD2"/>
    <w:rsid w:val="00FB1F72"/>
    <w:rsid w:val="00FB4B16"/>
    <w:rsid w:val="00FC0A8E"/>
    <w:rsid w:val="00FD6E15"/>
    <w:rsid w:val="00FE2FA6"/>
    <w:rsid w:val="00FE3DF2"/>
    <w:rsid w:val="00FE7515"/>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F3ED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F3ED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F3ED3"/>
    <w:rPr>
      <w:rFonts w:ascii="Cambria" w:eastAsia="Times New Roman" w:hAnsi="Cambria" w:cs="Times New Roman"/>
      <w:b/>
      <w:bCs/>
      <w:sz w:val="26"/>
      <w:szCs w:val="26"/>
    </w:rPr>
  </w:style>
  <w:style w:type="character" w:customStyle="1" w:styleId="Heading4Char">
    <w:name w:val="Heading 4 Char"/>
    <w:link w:val="Heading4"/>
    <w:uiPriority w:val="9"/>
    <w:semiHidden/>
    <w:rsid w:val="00BF3ED3"/>
    <w:rPr>
      <w:rFonts w:ascii="Calibri" w:eastAsia="Times New Roman" w:hAnsi="Calibri" w:cs="Times New Roman"/>
      <w:b/>
      <w:bCs/>
      <w:sz w:val="28"/>
      <w:szCs w:val="28"/>
    </w:rPr>
  </w:style>
  <w:style w:type="character" w:customStyle="1" w:styleId="Heading5Char">
    <w:name w:val="Heading 5 Char"/>
    <w:link w:val="Heading5"/>
    <w:uiPriority w:val="9"/>
    <w:semiHidden/>
    <w:rsid w:val="00BF3ED3"/>
    <w:rPr>
      <w:rFonts w:ascii="Calibri" w:eastAsia="Times New Roman"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rsid w:val="00BF3ED3"/>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rsid w:val="00BF3ED3"/>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rsid w:val="00BF3ED3"/>
    <w:rPr>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rsid w:val="00BF3ED3"/>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rsid w:val="00BF3ED3"/>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rsid w:val="00BF3ED3"/>
    <w:rPr>
      <w:sz w:val="0"/>
      <w:szCs w:val="0"/>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sz w:val="16"/>
      <w:szCs w:val="16"/>
    </w:rPr>
  </w:style>
  <w:style w:type="character" w:customStyle="1" w:styleId="DocumentMapChar">
    <w:name w:val="Document Map Char"/>
    <w:link w:val="DocumentMap"/>
    <w:uiPriority w:val="99"/>
    <w:locked/>
    <w:rsid w:val="00FA6DE7"/>
    <w:rPr>
      <w:rFonts w:ascii="Tahoma" w:hAnsi="Tahoma"/>
      <w:sz w:val="16"/>
    </w:rPr>
  </w:style>
  <w:style w:type="character" w:styleId="CommentReference">
    <w:name w:val="annotation reference"/>
    <w:uiPriority w:val="99"/>
    <w:rsid w:val="00F06866"/>
    <w:rPr>
      <w:rFonts w:cs="Times New Roman"/>
      <w:sz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b/>
    </w:rPr>
  </w:style>
  <w:style w:type="paragraph" w:styleId="ListParagraph">
    <w:name w:val="List Paragraph"/>
    <w:basedOn w:val="Normal"/>
    <w:uiPriority w:val="99"/>
    <w:qFormat/>
    <w:rsid w:val="00C14CC4"/>
    <w:pPr>
      <w:ind w:left="720"/>
      <w:contextualSpacing/>
    </w:pPr>
  </w:style>
  <w:style w:type="character" w:styleId="Hyperlink">
    <w:name w:val="Hyperlink"/>
    <w:uiPriority w:val="99"/>
    <w:rsid w:val="00916E6D"/>
    <w:rPr>
      <w:rFonts w:cs="Times New Roman"/>
      <w:color w:val="0000FF"/>
      <w:u w:val="single"/>
    </w:rPr>
  </w:style>
  <w:style w:type="paragraph" w:styleId="BodyTextFirstIndent">
    <w:name w:val="Body Text First Indent"/>
    <w:basedOn w:val="BodyText"/>
    <w:link w:val="BodyTextFirstIndentChar"/>
    <w:uiPriority w:val="99"/>
    <w:rsid w:val="00E0701E"/>
    <w:pPr>
      <w:widowControl/>
      <w:spacing w:after="120"/>
      <w:ind w:firstLine="210"/>
    </w:pPr>
    <w:rPr>
      <w:i w:val="0"/>
      <w:iCs w:val="0"/>
      <w:sz w:val="24"/>
    </w:rPr>
  </w:style>
  <w:style w:type="character" w:customStyle="1" w:styleId="BodyTextFirstIndentChar">
    <w:name w:val="Body Text First Indent Char"/>
    <w:basedOn w:val="BodyTextChar"/>
    <w:link w:val="BodyTextFirstIndent"/>
    <w:uiPriority w:val="99"/>
    <w:semiHidden/>
    <w:rsid w:val="00BF3ED3"/>
    <w:rPr>
      <w:sz w:val="24"/>
      <w:szCs w:val="24"/>
    </w:rPr>
  </w:style>
  <w:style w:type="paragraph" w:customStyle="1" w:styleId="listparagraph0">
    <w:name w:val="listparagraph"/>
    <w:basedOn w:val="Normal"/>
    <w:uiPriority w:val="99"/>
    <w:rsid w:val="00B429E0"/>
    <w:pPr>
      <w:spacing w:after="200" w:line="276" w:lineRule="auto"/>
      <w:ind w:left="720"/>
    </w:pPr>
    <w:rPr>
      <w:rFonts w:ascii="Calibri" w:hAnsi="Calibri"/>
      <w:sz w:val="22"/>
      <w:szCs w:val="22"/>
    </w:rPr>
  </w:style>
  <w:style w:type="paragraph" w:customStyle="1" w:styleId="OMNIQ">
    <w:name w:val="OMNIQ"/>
    <w:basedOn w:val="Normal"/>
    <w:link w:val="OMNIQChar"/>
    <w:uiPriority w:val="99"/>
    <w:rsid w:val="00964C0E"/>
    <w:pPr>
      <w:widowControl w:val="0"/>
      <w:tabs>
        <w:tab w:val="left" w:pos="720"/>
        <w:tab w:val="left" w:pos="2880"/>
        <w:tab w:val="left" w:pos="8640"/>
      </w:tabs>
      <w:ind w:left="720" w:hanging="720"/>
    </w:pPr>
    <w:rPr>
      <w:rFonts w:ascii="Courier" w:hAnsi="Courier"/>
      <w:sz w:val="20"/>
      <w:szCs w:val="20"/>
    </w:rPr>
  </w:style>
  <w:style w:type="character" w:customStyle="1" w:styleId="OMNIQChar">
    <w:name w:val="OMNIQ Char"/>
    <w:link w:val="OMNIQ"/>
    <w:uiPriority w:val="99"/>
    <w:locked/>
    <w:rsid w:val="00964C0E"/>
    <w:rPr>
      <w:rFonts w:ascii="Courier" w:hAnsi="Courier"/>
      <w:snapToGrid w:val="0"/>
      <w:lang w:val="en-US" w:eastAsia="en-US"/>
    </w:rPr>
  </w:style>
  <w:style w:type="paragraph" w:customStyle="1" w:styleId="QuestionText">
    <w:name w:val="Question Text"/>
    <w:basedOn w:val="Normal"/>
    <w:next w:val="Normal"/>
    <w:link w:val="QuestionTextChar"/>
    <w:uiPriority w:val="99"/>
    <w:rsid w:val="00964C0E"/>
    <w:pPr>
      <w:ind w:left="720" w:hanging="720"/>
    </w:pPr>
    <w:rPr>
      <w:rFonts w:ascii="Tahoma" w:hAnsi="Tahoma" w:cs="Tahoma"/>
      <w:b/>
      <w:sz w:val="20"/>
      <w:szCs w:val="20"/>
    </w:rPr>
  </w:style>
  <w:style w:type="paragraph" w:customStyle="1" w:styleId="Responses">
    <w:name w:val="Responses"/>
    <w:basedOn w:val="Normal"/>
    <w:uiPriority w:val="99"/>
    <w:rsid w:val="00964C0E"/>
    <w:pPr>
      <w:ind w:left="1440" w:hanging="720"/>
    </w:pPr>
    <w:rPr>
      <w:rFonts w:ascii="Tahoma" w:hAnsi="Tahoma" w:cs="Tahoma"/>
      <w:sz w:val="20"/>
      <w:szCs w:val="20"/>
    </w:rPr>
  </w:style>
  <w:style w:type="paragraph" w:customStyle="1" w:styleId="ProgrammerInstructions">
    <w:name w:val="Programmer Instructions"/>
    <w:basedOn w:val="Normal"/>
    <w:next w:val="Normal"/>
    <w:link w:val="ProgrammerInstructionsChar"/>
    <w:uiPriority w:val="99"/>
    <w:rsid w:val="00964C0E"/>
    <w:rPr>
      <w:rFonts w:ascii="Tahoma" w:hAnsi="Tahoma" w:cs="Tahoma"/>
      <w:caps/>
      <w:sz w:val="20"/>
      <w:szCs w:val="20"/>
    </w:rPr>
  </w:style>
  <w:style w:type="character" w:customStyle="1" w:styleId="ProgrammerInstructionsChar">
    <w:name w:val="Programmer Instructions Char"/>
    <w:link w:val="ProgrammerInstructions"/>
    <w:uiPriority w:val="99"/>
    <w:locked/>
    <w:rsid w:val="00964C0E"/>
    <w:rPr>
      <w:rFonts w:ascii="Tahoma" w:hAnsi="Tahoma"/>
      <w:caps/>
      <w:lang w:val="en-US" w:eastAsia="en-US"/>
    </w:rPr>
  </w:style>
  <w:style w:type="paragraph" w:customStyle="1" w:styleId="InterviewerInstructions">
    <w:name w:val="Interviewer Instructions"/>
    <w:basedOn w:val="Normal"/>
    <w:next w:val="Normal"/>
    <w:uiPriority w:val="99"/>
    <w:rsid w:val="00964C0E"/>
    <w:rPr>
      <w:rFonts w:ascii="Tahoma" w:hAnsi="Tahoma" w:cs="Tahoma"/>
      <w:caps/>
      <w:color w:val="FF0000"/>
      <w:sz w:val="20"/>
      <w:szCs w:val="20"/>
    </w:rPr>
  </w:style>
  <w:style w:type="character" w:customStyle="1" w:styleId="QuestionTextChar">
    <w:name w:val="Question Text Char"/>
    <w:link w:val="QuestionText"/>
    <w:uiPriority w:val="99"/>
    <w:locked/>
    <w:rsid w:val="00964C0E"/>
    <w:rPr>
      <w:rFonts w:ascii="Tahoma" w:hAnsi="Tahoma"/>
      <w:b/>
      <w:lang w:val="en-US" w:eastAsia="en-US"/>
    </w:rPr>
  </w:style>
  <w:style w:type="character" w:customStyle="1" w:styleId="814hb">
    <w:name w:val="814hb"/>
    <w:uiPriority w:val="99"/>
    <w:semiHidden/>
    <w:rsid w:val="00DC7965"/>
    <w:rPr>
      <w:rFonts w:ascii="Century Gothic" w:hAnsi="Century Gothic"/>
      <w:color w:val="000000"/>
      <w:sz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F3ED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F3ED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F3ED3"/>
    <w:rPr>
      <w:rFonts w:ascii="Cambria" w:eastAsia="Times New Roman" w:hAnsi="Cambria" w:cs="Times New Roman"/>
      <w:b/>
      <w:bCs/>
      <w:sz w:val="26"/>
      <w:szCs w:val="26"/>
    </w:rPr>
  </w:style>
  <w:style w:type="character" w:customStyle="1" w:styleId="Heading4Char">
    <w:name w:val="Heading 4 Char"/>
    <w:link w:val="Heading4"/>
    <w:uiPriority w:val="9"/>
    <w:semiHidden/>
    <w:rsid w:val="00BF3ED3"/>
    <w:rPr>
      <w:rFonts w:ascii="Calibri" w:eastAsia="Times New Roman" w:hAnsi="Calibri" w:cs="Times New Roman"/>
      <w:b/>
      <w:bCs/>
      <w:sz w:val="28"/>
      <w:szCs w:val="28"/>
    </w:rPr>
  </w:style>
  <w:style w:type="character" w:customStyle="1" w:styleId="Heading5Char">
    <w:name w:val="Heading 5 Char"/>
    <w:link w:val="Heading5"/>
    <w:uiPriority w:val="9"/>
    <w:semiHidden/>
    <w:rsid w:val="00BF3ED3"/>
    <w:rPr>
      <w:rFonts w:ascii="Calibri" w:eastAsia="Times New Roman"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rsid w:val="00BF3ED3"/>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rsid w:val="00BF3ED3"/>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rsid w:val="00BF3ED3"/>
    <w:rPr>
      <w:sz w:val="24"/>
      <w:szCs w:val="24"/>
    </w:rPr>
  </w:style>
  <w:style w:type="character" w:styleId="PageNumber">
    <w:name w:val="page number"/>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rsid w:val="00BF3ED3"/>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rsid w:val="00BF3ED3"/>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rsid w:val="00BF3ED3"/>
    <w:rPr>
      <w:sz w:val="0"/>
      <w:szCs w:val="0"/>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sz w:val="16"/>
      <w:szCs w:val="16"/>
    </w:rPr>
  </w:style>
  <w:style w:type="character" w:customStyle="1" w:styleId="DocumentMapChar">
    <w:name w:val="Document Map Char"/>
    <w:link w:val="DocumentMap"/>
    <w:uiPriority w:val="99"/>
    <w:locked/>
    <w:rsid w:val="00FA6DE7"/>
    <w:rPr>
      <w:rFonts w:ascii="Tahoma" w:hAnsi="Tahoma"/>
      <w:sz w:val="16"/>
    </w:rPr>
  </w:style>
  <w:style w:type="character" w:styleId="CommentReference">
    <w:name w:val="annotation reference"/>
    <w:uiPriority w:val="99"/>
    <w:rsid w:val="00F06866"/>
    <w:rPr>
      <w:rFonts w:cs="Times New Roman"/>
      <w:sz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b/>
    </w:rPr>
  </w:style>
  <w:style w:type="paragraph" w:styleId="ListParagraph">
    <w:name w:val="List Paragraph"/>
    <w:basedOn w:val="Normal"/>
    <w:uiPriority w:val="99"/>
    <w:qFormat/>
    <w:rsid w:val="00C14CC4"/>
    <w:pPr>
      <w:ind w:left="720"/>
      <w:contextualSpacing/>
    </w:pPr>
  </w:style>
  <w:style w:type="character" w:styleId="Hyperlink">
    <w:name w:val="Hyperlink"/>
    <w:uiPriority w:val="99"/>
    <w:rsid w:val="00916E6D"/>
    <w:rPr>
      <w:rFonts w:cs="Times New Roman"/>
      <w:color w:val="0000FF"/>
      <w:u w:val="single"/>
    </w:rPr>
  </w:style>
  <w:style w:type="paragraph" w:styleId="BodyTextFirstIndent">
    <w:name w:val="Body Text First Indent"/>
    <w:basedOn w:val="BodyText"/>
    <w:link w:val="BodyTextFirstIndentChar"/>
    <w:uiPriority w:val="99"/>
    <w:rsid w:val="00E0701E"/>
    <w:pPr>
      <w:widowControl/>
      <w:spacing w:after="120"/>
      <w:ind w:firstLine="210"/>
    </w:pPr>
    <w:rPr>
      <w:i w:val="0"/>
      <w:iCs w:val="0"/>
      <w:sz w:val="24"/>
    </w:rPr>
  </w:style>
  <w:style w:type="character" w:customStyle="1" w:styleId="BodyTextFirstIndentChar">
    <w:name w:val="Body Text First Indent Char"/>
    <w:basedOn w:val="BodyTextChar"/>
    <w:link w:val="BodyTextFirstIndent"/>
    <w:uiPriority w:val="99"/>
    <w:semiHidden/>
    <w:rsid w:val="00BF3ED3"/>
    <w:rPr>
      <w:sz w:val="24"/>
      <w:szCs w:val="24"/>
    </w:rPr>
  </w:style>
  <w:style w:type="paragraph" w:customStyle="1" w:styleId="listparagraph0">
    <w:name w:val="listparagraph"/>
    <w:basedOn w:val="Normal"/>
    <w:uiPriority w:val="99"/>
    <w:rsid w:val="00B429E0"/>
    <w:pPr>
      <w:spacing w:after="200" w:line="276" w:lineRule="auto"/>
      <w:ind w:left="720"/>
    </w:pPr>
    <w:rPr>
      <w:rFonts w:ascii="Calibri" w:hAnsi="Calibri"/>
      <w:sz w:val="22"/>
      <w:szCs w:val="22"/>
    </w:rPr>
  </w:style>
  <w:style w:type="paragraph" w:customStyle="1" w:styleId="OMNIQ">
    <w:name w:val="OMNIQ"/>
    <w:basedOn w:val="Normal"/>
    <w:link w:val="OMNIQChar"/>
    <w:uiPriority w:val="99"/>
    <w:rsid w:val="00964C0E"/>
    <w:pPr>
      <w:widowControl w:val="0"/>
      <w:tabs>
        <w:tab w:val="left" w:pos="720"/>
        <w:tab w:val="left" w:pos="2880"/>
        <w:tab w:val="left" w:pos="8640"/>
      </w:tabs>
      <w:ind w:left="720" w:hanging="720"/>
    </w:pPr>
    <w:rPr>
      <w:rFonts w:ascii="Courier" w:hAnsi="Courier"/>
      <w:sz w:val="20"/>
      <w:szCs w:val="20"/>
    </w:rPr>
  </w:style>
  <w:style w:type="character" w:customStyle="1" w:styleId="OMNIQChar">
    <w:name w:val="OMNIQ Char"/>
    <w:link w:val="OMNIQ"/>
    <w:uiPriority w:val="99"/>
    <w:locked/>
    <w:rsid w:val="00964C0E"/>
    <w:rPr>
      <w:rFonts w:ascii="Courier" w:hAnsi="Courier"/>
      <w:snapToGrid w:val="0"/>
      <w:lang w:val="en-US" w:eastAsia="en-US"/>
    </w:rPr>
  </w:style>
  <w:style w:type="paragraph" w:customStyle="1" w:styleId="QuestionText">
    <w:name w:val="Question Text"/>
    <w:basedOn w:val="Normal"/>
    <w:next w:val="Normal"/>
    <w:link w:val="QuestionTextChar"/>
    <w:uiPriority w:val="99"/>
    <w:rsid w:val="00964C0E"/>
    <w:pPr>
      <w:ind w:left="720" w:hanging="720"/>
    </w:pPr>
    <w:rPr>
      <w:rFonts w:ascii="Tahoma" w:hAnsi="Tahoma" w:cs="Tahoma"/>
      <w:b/>
      <w:sz w:val="20"/>
      <w:szCs w:val="20"/>
    </w:rPr>
  </w:style>
  <w:style w:type="paragraph" w:customStyle="1" w:styleId="Responses">
    <w:name w:val="Responses"/>
    <w:basedOn w:val="Normal"/>
    <w:uiPriority w:val="99"/>
    <w:rsid w:val="00964C0E"/>
    <w:pPr>
      <w:ind w:left="1440" w:hanging="720"/>
    </w:pPr>
    <w:rPr>
      <w:rFonts w:ascii="Tahoma" w:hAnsi="Tahoma" w:cs="Tahoma"/>
      <w:sz w:val="20"/>
      <w:szCs w:val="20"/>
    </w:rPr>
  </w:style>
  <w:style w:type="paragraph" w:customStyle="1" w:styleId="ProgrammerInstructions">
    <w:name w:val="Programmer Instructions"/>
    <w:basedOn w:val="Normal"/>
    <w:next w:val="Normal"/>
    <w:link w:val="ProgrammerInstructionsChar"/>
    <w:uiPriority w:val="99"/>
    <w:rsid w:val="00964C0E"/>
    <w:rPr>
      <w:rFonts w:ascii="Tahoma" w:hAnsi="Tahoma" w:cs="Tahoma"/>
      <w:caps/>
      <w:sz w:val="20"/>
      <w:szCs w:val="20"/>
    </w:rPr>
  </w:style>
  <w:style w:type="character" w:customStyle="1" w:styleId="ProgrammerInstructionsChar">
    <w:name w:val="Programmer Instructions Char"/>
    <w:link w:val="ProgrammerInstructions"/>
    <w:uiPriority w:val="99"/>
    <w:locked/>
    <w:rsid w:val="00964C0E"/>
    <w:rPr>
      <w:rFonts w:ascii="Tahoma" w:hAnsi="Tahoma"/>
      <w:caps/>
      <w:lang w:val="en-US" w:eastAsia="en-US"/>
    </w:rPr>
  </w:style>
  <w:style w:type="paragraph" w:customStyle="1" w:styleId="InterviewerInstructions">
    <w:name w:val="Interviewer Instructions"/>
    <w:basedOn w:val="Normal"/>
    <w:next w:val="Normal"/>
    <w:uiPriority w:val="99"/>
    <w:rsid w:val="00964C0E"/>
    <w:rPr>
      <w:rFonts w:ascii="Tahoma" w:hAnsi="Tahoma" w:cs="Tahoma"/>
      <w:caps/>
      <w:color w:val="FF0000"/>
      <w:sz w:val="20"/>
      <w:szCs w:val="20"/>
    </w:rPr>
  </w:style>
  <w:style w:type="character" w:customStyle="1" w:styleId="QuestionTextChar">
    <w:name w:val="Question Text Char"/>
    <w:link w:val="QuestionText"/>
    <w:uiPriority w:val="99"/>
    <w:locked/>
    <w:rsid w:val="00964C0E"/>
    <w:rPr>
      <w:rFonts w:ascii="Tahoma" w:hAnsi="Tahoma"/>
      <w:b/>
      <w:lang w:val="en-US" w:eastAsia="en-US"/>
    </w:rPr>
  </w:style>
  <w:style w:type="character" w:customStyle="1" w:styleId="814hb">
    <w:name w:val="814hb"/>
    <w:uiPriority w:val="99"/>
    <w:semiHidden/>
    <w:rsid w:val="00DC7965"/>
    <w:rPr>
      <w:rFonts w:ascii="Century Gothic" w:hAnsi="Century Gothic"/>
      <w:color w:val="00000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273046">
      <w:marLeft w:val="0"/>
      <w:marRight w:val="0"/>
      <w:marTop w:val="0"/>
      <w:marBottom w:val="0"/>
      <w:divBdr>
        <w:top w:val="none" w:sz="0" w:space="0" w:color="auto"/>
        <w:left w:val="none" w:sz="0" w:space="0" w:color="auto"/>
        <w:bottom w:val="none" w:sz="0" w:space="0" w:color="auto"/>
        <w:right w:val="none" w:sz="0" w:space="0" w:color="auto"/>
      </w:divBdr>
    </w:div>
    <w:div w:id="1682273047">
      <w:marLeft w:val="0"/>
      <w:marRight w:val="0"/>
      <w:marTop w:val="0"/>
      <w:marBottom w:val="0"/>
      <w:divBdr>
        <w:top w:val="none" w:sz="0" w:space="0" w:color="auto"/>
        <w:left w:val="none" w:sz="0" w:space="0" w:color="auto"/>
        <w:bottom w:val="none" w:sz="0" w:space="0" w:color="auto"/>
        <w:right w:val="none" w:sz="0" w:space="0" w:color="auto"/>
      </w:divBdr>
    </w:div>
    <w:div w:id="1682273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gov/irsob/documents/statut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66.77.70.81/irsob/documents/statu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2</cp:revision>
  <cp:lastPrinted>2014-03-25T13:58:00Z</cp:lastPrinted>
  <dcterms:created xsi:type="dcterms:W3CDTF">2015-04-16T19:27:00Z</dcterms:created>
  <dcterms:modified xsi:type="dcterms:W3CDTF">2015-04-16T19:27:00Z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