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E1EB8" w:rsidRDefault="00EE1EB8" w:rsidP="00EE1EB8">
      <w:pPr>
        <w:jc w:val="center"/>
        <w:rPr>
          <w:b/>
          <w:szCs w:val="28"/>
        </w:rPr>
      </w:pPr>
      <w:r w:rsidRPr="00EE1EB8">
        <w:rPr>
          <w:b/>
        </w:rPr>
        <w:t xml:space="preserve"> S</w:t>
      </w:r>
      <w:r w:rsidR="00916E6D" w:rsidRPr="00EE1EB8">
        <w:rPr>
          <w:b/>
          <w:szCs w:val="28"/>
        </w:rPr>
        <w:t>upporting Statement</w:t>
      </w:r>
    </w:p>
    <w:p w:rsidR="00916E6D" w:rsidRPr="00EE1EB8" w:rsidRDefault="00916E6D" w:rsidP="00916E6D">
      <w:pPr>
        <w:ind w:firstLine="720"/>
        <w:jc w:val="center"/>
        <w:rPr>
          <w:b/>
          <w:szCs w:val="28"/>
        </w:rPr>
      </w:pPr>
      <w:r w:rsidRPr="00EE1EB8">
        <w:rPr>
          <w:b/>
          <w:szCs w:val="28"/>
        </w:rPr>
        <w:t>Approval Request to Conduct Customer Satisfaction Research (OMB #1545-</w:t>
      </w:r>
      <w:r w:rsidR="00777C92" w:rsidRPr="00EE1EB8">
        <w:rPr>
          <w:b/>
          <w:szCs w:val="28"/>
        </w:rPr>
        <w:t>1432</w:t>
      </w:r>
      <w:r w:rsidRPr="00EE1EB8">
        <w:rPr>
          <w:b/>
          <w:szCs w:val="28"/>
        </w:rPr>
        <w:t>)</w:t>
      </w:r>
    </w:p>
    <w:p w:rsidR="00916E6D" w:rsidRPr="00EE1EB8" w:rsidRDefault="00AC4AE5" w:rsidP="00E11157">
      <w:pPr>
        <w:jc w:val="center"/>
        <w:rPr>
          <w:b/>
        </w:rPr>
      </w:pPr>
      <w:r>
        <w:rPr>
          <w:b/>
        </w:rPr>
        <w:t>TE/GE Exempt Organizations Web-based Training Survey</w:t>
      </w:r>
    </w:p>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916E6D" w:rsidRDefault="00916E6D" w:rsidP="00916E6D">
      <w:pPr>
        <w:pStyle w:val="ListParagraph"/>
        <w:ind w:left="0"/>
        <w:rPr>
          <w:b/>
        </w:rPr>
      </w:pPr>
    </w:p>
    <w:p w:rsidR="00CF2A99" w:rsidRDefault="00F8286C" w:rsidP="00F8286C">
      <w:r w:rsidRPr="00F8286C">
        <w:t>This package is a continuation of the same survey approved under CS-06-016, CS-07-071</w:t>
      </w:r>
      <w:r w:rsidR="00AC4AE5">
        <w:t>,</w:t>
      </w:r>
      <w:r w:rsidRPr="00F8286C">
        <w:t xml:space="preserve"> CS-09-199</w:t>
      </w:r>
      <w:r w:rsidR="00AC4AE5">
        <w:t>, and CS-12-341</w:t>
      </w:r>
      <w:r w:rsidRPr="00F8286C">
        <w:t xml:space="preserve">.  </w:t>
      </w:r>
      <w:r w:rsidR="0038655F">
        <w:t xml:space="preserve">For </w:t>
      </w:r>
      <w:r w:rsidR="009525B2">
        <w:t xml:space="preserve">calendar years </w:t>
      </w:r>
      <w:r w:rsidR="0038655F">
        <w:t>2012</w:t>
      </w:r>
      <w:r w:rsidR="009525B2">
        <w:t xml:space="preserve"> and 2013</w:t>
      </w:r>
      <w:r w:rsidR="0038655F">
        <w:t>, StayExempt</w:t>
      </w:r>
      <w:r w:rsidR="009525B2">
        <w:t>.</w:t>
      </w:r>
      <w:r w:rsidR="0038655F">
        <w:t xml:space="preserve">irs.gov hosted 24 </w:t>
      </w:r>
      <w:r w:rsidR="009525B2">
        <w:t>training modules</w:t>
      </w:r>
      <w:r w:rsidR="0038655F">
        <w:t xml:space="preserve"> with various survey</w:t>
      </w:r>
      <w:r w:rsidR="009525B2">
        <w:t>s following the completion of each training module</w:t>
      </w:r>
      <w:r w:rsidR="0038655F">
        <w:t xml:space="preserve">. </w:t>
      </w:r>
      <w:r w:rsidR="009525B2">
        <w:t xml:space="preserve">In 2014 and 2015, </w:t>
      </w:r>
      <w:r w:rsidR="0038655F">
        <w:t xml:space="preserve">the </w:t>
      </w:r>
      <w:r w:rsidR="009525B2">
        <w:t>web</w:t>
      </w:r>
      <w:r w:rsidR="0038655F">
        <w:t xml:space="preserve">site will include only 13 of those 24 </w:t>
      </w:r>
      <w:r w:rsidR="009525B2">
        <w:t>modules</w:t>
      </w:r>
      <w:r w:rsidR="0038655F">
        <w:t xml:space="preserve"> using the same surveys</w:t>
      </w:r>
      <w:r w:rsidR="009525B2">
        <w:t>, h</w:t>
      </w:r>
      <w:r w:rsidR="0038655F">
        <w:t xml:space="preserve">owever, two additional courses will be added </w:t>
      </w:r>
      <w:r w:rsidR="009525B2">
        <w:t>bringing the total to 15 training modules and applicable surveys.</w:t>
      </w:r>
    </w:p>
    <w:p w:rsidR="0038655F" w:rsidRDefault="0038655F" w:rsidP="00F8286C"/>
    <w:p w:rsidR="00F8286C" w:rsidRPr="00F8286C" w:rsidRDefault="00F8286C" w:rsidP="00F8286C">
      <w:r w:rsidRPr="00F8286C">
        <w:t>The Customer Education and Outreach (CE&amp;O) office of Exempt Organizations within the Tax Exempt and Government Entities (TE/GE) operating division of the IRS assists tax-exempt organizations in understanding their tax compliance requirements. CE&amp;O does this by producing a variety of written and online publications and by sponsoring live seminars and workshops.</w:t>
      </w:r>
    </w:p>
    <w:p w:rsidR="006C77D5" w:rsidRDefault="00F8286C" w:rsidP="00F8286C">
      <w:r w:rsidRPr="00F8286C">
        <w:t>Since 2000, CE&amp;O has held annual workshops in six or more cities across the country for individuals who work with small and medium size tax-exempt organizations. In order to reach a larger audi</w:t>
      </w:r>
      <w:r w:rsidR="006C77D5">
        <w:t>ence, in 2007 CE&amp;O developed a W</w:t>
      </w:r>
      <w:r w:rsidRPr="00F8286C">
        <w:t xml:space="preserve">eb-based version of this workshop at </w:t>
      </w:r>
      <w:hyperlink r:id="rId7" w:history="1">
        <w:r w:rsidRPr="00F8286C">
          <w:rPr>
            <w:rStyle w:val="Hyperlink"/>
          </w:rPr>
          <w:t>www.stayexempt.org</w:t>
        </w:r>
      </w:hyperlink>
      <w:r w:rsidRPr="00F8286C">
        <w:t xml:space="preserve">. </w:t>
      </w:r>
    </w:p>
    <w:p w:rsidR="006C77D5" w:rsidRDefault="006C77D5" w:rsidP="00F8286C"/>
    <w:p w:rsidR="00F8286C" w:rsidRPr="00F8286C" w:rsidRDefault="00F8286C" w:rsidP="00F8286C">
      <w:r w:rsidRPr="00F8286C">
        <w:t>The target audience for this product includes staff and volunteers</w:t>
      </w:r>
      <w:r w:rsidR="00C10356">
        <w:t xml:space="preserve"> of organizations exempt under S</w:t>
      </w:r>
      <w:r w:rsidRPr="00F8286C">
        <w:t xml:space="preserve">ection 501(c)(3) of the </w:t>
      </w:r>
      <w:r w:rsidR="006C77D5">
        <w:t xml:space="preserve">Internal Revenue Code.  </w:t>
      </w:r>
      <w:r w:rsidRPr="00F8286C">
        <w:t xml:space="preserve">At the </w:t>
      </w:r>
      <w:r w:rsidR="00807552">
        <w:t xml:space="preserve">completion of each training within the Web-based workshop, </w:t>
      </w:r>
      <w:r w:rsidRPr="00F8286C">
        <w:t>the user can elect to take a survey regarding the effectiveness of the training module.  The survey results provide CE&amp;O with valuable feedback that allows them to improve future training.</w:t>
      </w:r>
    </w:p>
    <w:p w:rsidR="00916E6D" w:rsidRDefault="00916E6D" w:rsidP="00916E6D"/>
    <w:p w:rsidR="00916E6D" w:rsidRDefault="00916E6D" w:rsidP="00916E6D">
      <w:pPr>
        <w:pStyle w:val="ListParagraph"/>
        <w:numPr>
          <w:ilvl w:val="0"/>
          <w:numId w:val="20"/>
        </w:numPr>
        <w:ind w:left="0"/>
        <w:rPr>
          <w:b/>
        </w:rPr>
      </w:pPr>
      <w:r>
        <w:rPr>
          <w:b/>
        </w:rPr>
        <w:t>Purpose and Use of the Information Collection</w:t>
      </w:r>
    </w:p>
    <w:p w:rsidR="00916E6D" w:rsidRDefault="00916E6D" w:rsidP="00916E6D">
      <w:pPr>
        <w:rPr>
          <w:highlight w:val="yellow"/>
        </w:rPr>
      </w:pPr>
    </w:p>
    <w:p w:rsidR="00F8286C" w:rsidRPr="00F8286C" w:rsidRDefault="00C10356" w:rsidP="00F8286C">
      <w:r>
        <w:t>CE&amp;O markets the W</w:t>
      </w:r>
      <w:r w:rsidR="00F8286C" w:rsidRPr="00F8286C">
        <w:t xml:space="preserve">eb-based training program using a variety of methods including, announcements via </w:t>
      </w:r>
      <w:r w:rsidR="00F8286C" w:rsidRPr="00F8286C">
        <w:rPr>
          <w:i/>
        </w:rPr>
        <w:t>EO Update</w:t>
      </w:r>
      <w:r w:rsidR="00F8286C" w:rsidRPr="00F8286C">
        <w:t xml:space="preserve"> (an electronic newsletter with information for tax-exempt organizations and tax practitioners who represent them); a prominent link on the Charities and Non-Profits page of irs.gov; and asking stakeholders (trade associations, practitioner groups, etc.) to send their members a link to the site. The contractor purchased the URL “stayexempt.org,” and houses the training there. Thus, we can advertise the URL and users can go directly to the product without going to irs.gov first.  </w:t>
      </w:r>
    </w:p>
    <w:p w:rsidR="00F8286C" w:rsidRPr="00F8286C" w:rsidRDefault="00F8286C" w:rsidP="00F8286C"/>
    <w:p w:rsidR="00F8286C" w:rsidRPr="00F8286C" w:rsidRDefault="00307A5F" w:rsidP="00F8286C">
      <w:r w:rsidRPr="008D5330">
        <w:t xml:space="preserve">Approximately </w:t>
      </w:r>
      <w:r>
        <w:t>96,873</w:t>
      </w:r>
      <w:r w:rsidRPr="008D5330">
        <w:t xml:space="preserve"> </w:t>
      </w:r>
      <w:r>
        <w:t xml:space="preserve">customers took one of the training courses. </w:t>
      </w:r>
      <w:r w:rsidR="00F8286C" w:rsidRPr="00F8286C">
        <w:t xml:space="preserve">After completing each </w:t>
      </w:r>
      <w:r>
        <w:t xml:space="preserve">training </w:t>
      </w:r>
      <w:r w:rsidR="00F8286C" w:rsidRPr="00F8286C">
        <w:t>module, user</w:t>
      </w:r>
      <w:r w:rsidR="00E11157">
        <w:t>s</w:t>
      </w:r>
      <w:r w:rsidR="00F8286C" w:rsidRPr="00F8286C">
        <w:t xml:space="preserve"> can elect to complete a survey. </w:t>
      </w:r>
      <w:r w:rsidR="00E11157">
        <w:t>5,546</w:t>
      </w:r>
      <w:r w:rsidR="00377CA3">
        <w:t xml:space="preserve"> participants completed </w:t>
      </w:r>
      <w:r w:rsidR="00F8286C" w:rsidRPr="00F8286C">
        <w:t xml:space="preserve">the survey in </w:t>
      </w:r>
      <w:r w:rsidR="00F8286C" w:rsidRPr="008D5330">
        <w:t>20</w:t>
      </w:r>
      <w:r w:rsidR="008D5330" w:rsidRPr="008D5330">
        <w:t>12</w:t>
      </w:r>
      <w:r w:rsidR="00F8286C" w:rsidRPr="008D5330">
        <w:t xml:space="preserve"> and 201</w:t>
      </w:r>
      <w:r w:rsidR="008D5330" w:rsidRPr="008D5330">
        <w:t>3</w:t>
      </w:r>
      <w:r w:rsidR="00F8286C" w:rsidRPr="008D5330">
        <w:t xml:space="preserve">. </w:t>
      </w:r>
      <w:r w:rsidR="0024315D">
        <w:t>T</w:t>
      </w:r>
      <w:r w:rsidR="00F8286C" w:rsidRPr="00F8286C">
        <w:t xml:space="preserve">hat’s a response rate of </w:t>
      </w:r>
      <w:r w:rsidR="0024315D">
        <w:t>5.7</w:t>
      </w:r>
      <w:r w:rsidR="00F8286C" w:rsidRPr="00F8286C">
        <w:t>%</w:t>
      </w:r>
      <w:r w:rsidR="00377CA3">
        <w:t xml:space="preserve"> </w:t>
      </w:r>
      <w:r w:rsidR="0024315D">
        <w:t xml:space="preserve">over </w:t>
      </w:r>
      <w:r w:rsidR="00377CA3">
        <w:t>the two years</w:t>
      </w:r>
      <w:r w:rsidR="00F8286C" w:rsidRPr="00F8286C">
        <w:t>.</w:t>
      </w:r>
      <w:r w:rsidR="00F8286C" w:rsidRPr="00F8286C">
        <w:rPr>
          <w:color w:val="0000FF"/>
        </w:rPr>
        <w:t xml:space="preserve">  </w:t>
      </w:r>
      <w:r w:rsidR="00F8286C" w:rsidRPr="00F8286C">
        <w:t>The results from this survey are simply one piece of a larger set of information needed to assess the needs related to services provided by the IRS.</w:t>
      </w:r>
    </w:p>
    <w:p w:rsidR="00F8286C" w:rsidRPr="00F8286C" w:rsidRDefault="00F8286C" w:rsidP="00F8286C"/>
    <w:p w:rsidR="00F8286C" w:rsidRPr="00F8286C" w:rsidRDefault="00F8286C" w:rsidP="00F8286C">
      <w:r w:rsidRPr="00F8286C">
        <w:t xml:space="preserve">Based on the success of the training so far, and because we plan to maintain the training as-is for several more years, this clearance package covers the period of </w:t>
      </w:r>
      <w:r w:rsidR="00F2753B">
        <w:t>February</w:t>
      </w:r>
      <w:r w:rsidRPr="00F8286C">
        <w:t xml:space="preserve"> 20</w:t>
      </w:r>
      <w:r w:rsidR="008D5330">
        <w:t>14</w:t>
      </w:r>
      <w:r w:rsidRPr="00F8286C">
        <w:t xml:space="preserve"> – December 201</w:t>
      </w:r>
      <w:r w:rsidR="008D5330">
        <w:t>5</w:t>
      </w:r>
      <w:r w:rsidRPr="00F8286C">
        <w:t xml:space="preserve">.  </w:t>
      </w:r>
      <w:r w:rsidRPr="00F8286C">
        <w:lastRenderedPageBreak/>
        <w:t>The contractor will continue to provide monthly reports on overall website usage and survey results. We will evaluate the survey results and make any necessary improvements to the training program.</w:t>
      </w:r>
    </w:p>
    <w:p w:rsidR="00F8286C" w:rsidRDefault="00F8286C" w:rsidP="00F8286C">
      <w:pPr>
        <w:rPr>
          <w:rFonts w:ascii="Arial" w:hAnsi="Arial"/>
          <w:b/>
        </w:rPr>
      </w:pP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916E6D" w:rsidRDefault="00916E6D" w:rsidP="00916E6D">
      <w:pPr>
        <w:rPr>
          <w:highlight w:val="yellow"/>
        </w:rPr>
      </w:pPr>
    </w:p>
    <w:p w:rsidR="00916E6D" w:rsidRDefault="00F4298D" w:rsidP="00916E6D">
      <w:r>
        <w:t xml:space="preserve">TE/GE </w:t>
      </w:r>
      <w:r w:rsidR="00F8286C">
        <w:t xml:space="preserve">is making full use of technology by offering more and more </w:t>
      </w:r>
      <w:r w:rsidR="0039388C">
        <w:t>W</w:t>
      </w:r>
      <w:r w:rsidR="00F8286C">
        <w:t xml:space="preserve">eb-based trainings to assist more and more customers better understand their tax obligation. </w:t>
      </w:r>
      <w:r w:rsidR="0039388C">
        <w:t>The survey is also W</w:t>
      </w:r>
      <w:r w:rsidR="00F8286C">
        <w:t xml:space="preserve">eb-based and is offered at the completion of each </w:t>
      </w:r>
      <w:r w:rsidR="008D5330">
        <w:t>course</w:t>
      </w:r>
      <w:r w:rsidR="00F8286C">
        <w:t>.</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916E6D" w:rsidRDefault="00916E6D" w:rsidP="00916E6D"/>
    <w:p w:rsidR="00916E6D" w:rsidRDefault="00916E6D" w:rsidP="00916E6D">
      <w:r w:rsidRPr="00315467">
        <w:t xml:space="preserve">This survey will provide valuable information that is not available in any internal IRS data source.  </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916E6D" w:rsidRDefault="00916E6D" w:rsidP="00916E6D">
      <w:pPr>
        <w:pStyle w:val="ListParagraph"/>
        <w:ind w:left="0"/>
        <w:rPr>
          <w:b/>
        </w:rPr>
      </w:pPr>
    </w:p>
    <w:p w:rsidR="00916E6D" w:rsidRDefault="00916E6D" w:rsidP="00916E6D">
      <w:r>
        <w:t>NA</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916E6D" w:rsidRDefault="00916E6D" w:rsidP="00916E6D">
      <w:pPr>
        <w:pStyle w:val="ListParagraph"/>
        <w:ind w:left="0"/>
        <w:rPr>
          <w:b/>
        </w:rPr>
      </w:pPr>
    </w:p>
    <w:p w:rsidR="00916E6D" w:rsidRDefault="006B0B43" w:rsidP="00916E6D">
      <w:r>
        <w:t>Without this</w:t>
      </w:r>
      <w:r w:rsidR="00916E6D">
        <w:t xml:space="preserve"> </w:t>
      </w:r>
      <w:r w:rsidR="00F8286C">
        <w:t>survey</w:t>
      </w:r>
      <w:r w:rsidR="00916E6D">
        <w:t xml:space="preserve">, </w:t>
      </w:r>
      <w:r>
        <w:t>TE/GE</w:t>
      </w:r>
      <w:r w:rsidR="00916E6D">
        <w:t xml:space="preserve"> will not </w:t>
      </w:r>
      <w:r w:rsidR="00F8286C">
        <w:t>have the feedback necessary to enhance current trainings and develop new trainings around the customers’ needs.</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Special Circumstances</w:t>
      </w:r>
    </w:p>
    <w:p w:rsidR="00916E6D" w:rsidRDefault="00916E6D" w:rsidP="00916E6D">
      <w:pPr>
        <w:pStyle w:val="ListParagraph"/>
        <w:ind w:left="0"/>
        <w:rPr>
          <w:b/>
        </w:rPr>
      </w:pPr>
    </w:p>
    <w:p w:rsidR="00916E6D" w:rsidRDefault="00916E6D" w:rsidP="00916E6D">
      <w:r>
        <w:t>There are no special circumstances. The information collected will be voluntary and will not be used for statistical purposes.</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916E6D" w:rsidRDefault="00916E6D" w:rsidP="00916E6D">
      <w:pPr>
        <w:pStyle w:val="ListParagraph"/>
        <w:ind w:left="0"/>
        <w:rPr>
          <w:b/>
        </w:rPr>
      </w:pPr>
    </w:p>
    <w:p w:rsidR="00916E6D" w:rsidRDefault="00916E6D" w:rsidP="00916E6D">
      <w:r>
        <w:t>NA</w:t>
      </w:r>
    </w:p>
    <w:p w:rsidR="00916E6D" w:rsidRDefault="00916E6D" w:rsidP="00916E6D"/>
    <w:p w:rsidR="00916E6D" w:rsidRDefault="00916E6D" w:rsidP="00916E6D">
      <w:pPr>
        <w:pStyle w:val="ListParagraph"/>
        <w:numPr>
          <w:ilvl w:val="0"/>
          <w:numId w:val="20"/>
        </w:numPr>
        <w:ind w:left="0"/>
        <w:rPr>
          <w:b/>
        </w:rPr>
      </w:pPr>
      <w:r>
        <w:rPr>
          <w:b/>
        </w:rPr>
        <w:t>Payment or Gift</w:t>
      </w:r>
    </w:p>
    <w:p w:rsidR="00916E6D" w:rsidRDefault="00916E6D" w:rsidP="00916E6D"/>
    <w:p w:rsidR="00916E6D" w:rsidRDefault="006B0B43" w:rsidP="00916E6D">
      <w:r>
        <w:t>TE/GE</w:t>
      </w:r>
      <w:r w:rsidR="00916E6D" w:rsidRPr="00AC2497">
        <w:t xml:space="preserve"> </w:t>
      </w:r>
      <w:r w:rsidR="00916E6D">
        <w:t>will not provide payment or other forms of remuneration to respondents</w:t>
      </w:r>
      <w:r>
        <w:t>.</w:t>
      </w:r>
      <w:r w:rsidR="00916E6D">
        <w:t xml:space="preserve"> </w:t>
      </w:r>
    </w:p>
    <w:p w:rsidR="00916E6D" w:rsidRDefault="00916E6D" w:rsidP="00916E6D"/>
    <w:p w:rsidR="00916E6D" w:rsidRPr="00F15739" w:rsidRDefault="00916E6D" w:rsidP="00916E6D">
      <w:pPr>
        <w:pStyle w:val="ListParagraph"/>
        <w:numPr>
          <w:ilvl w:val="0"/>
          <w:numId w:val="20"/>
        </w:numPr>
        <w:ind w:left="0"/>
        <w:rPr>
          <w:b/>
        </w:rPr>
      </w:pPr>
      <w:r w:rsidRPr="00253B65">
        <w:rPr>
          <w:b/>
        </w:rPr>
        <w:t xml:space="preserve"> </w:t>
      </w:r>
      <w:r w:rsidRPr="00F15739">
        <w:rPr>
          <w:b/>
        </w:rPr>
        <w:t xml:space="preserve">Confidentiality </w:t>
      </w:r>
    </w:p>
    <w:p w:rsidR="00916E6D" w:rsidRDefault="00916E6D" w:rsidP="00916E6D"/>
    <w:p w:rsidR="00DD6592" w:rsidRPr="00B42576" w:rsidRDefault="00DD6592" w:rsidP="00DD6592">
      <w:r w:rsidRPr="00B42576">
        <w:t>All participants will be subject to the provisions of the Taxpayer Bill of Rig</w:t>
      </w:r>
      <w:r>
        <w:t xml:space="preserve">hts II during this study and TE/GE </w:t>
      </w:r>
      <w:r w:rsidRPr="00B42576">
        <w:t>as well as the contractor will ensure that all participants are treated fairly and appropriately.</w:t>
      </w:r>
    </w:p>
    <w:p w:rsidR="00DD6592" w:rsidRPr="00B42576" w:rsidRDefault="00DD6592" w:rsidP="00DD6592">
      <w:pPr>
        <w:ind w:left="360"/>
        <w:rPr>
          <w:highlight w:val="yellow"/>
        </w:rPr>
      </w:pPr>
    </w:p>
    <w:p w:rsidR="00DD6592" w:rsidRPr="00B42576" w:rsidRDefault="00DD6592" w:rsidP="00DD6592">
      <w:r w:rsidRPr="00B42576">
        <w:lastRenderedPageBreak/>
        <w:t xml:space="preserve">The security of the data used in this project and the privacy of taxpayers to the extent allowed by law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DD6592" w:rsidRPr="00B42576" w:rsidRDefault="00DD6592" w:rsidP="00DD6592">
      <w:pPr>
        <w:ind w:left="360"/>
        <w:rPr>
          <w:highlight w:val="yellow"/>
        </w:rPr>
      </w:pPr>
    </w:p>
    <w:p w:rsidR="00DD6592" w:rsidRPr="00B42576" w:rsidRDefault="00DD6592" w:rsidP="00DD6592">
      <w:r w:rsidRPr="00B42576">
        <w:t>The IRS will apply and meet fair information and record-keeping practices to ensure privacy protection of all taxpayers</w:t>
      </w:r>
      <w:r w:rsidR="00295B81">
        <w:t xml:space="preserve"> to the extent allowed by law</w:t>
      </w:r>
      <w:bookmarkStart w:id="0" w:name="_GoBack"/>
      <w:bookmarkEnd w:id="0"/>
      <w:r w:rsidRPr="00B42576">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DD6592" w:rsidRPr="00B42576" w:rsidRDefault="00DD6592" w:rsidP="00DD6592">
      <w:pPr>
        <w:ind w:left="360"/>
        <w:rPr>
          <w:highlight w:val="yellow"/>
        </w:rPr>
      </w:pPr>
    </w:p>
    <w:p w:rsidR="00DD6592" w:rsidRPr="00B42576" w:rsidRDefault="00DD6592" w:rsidP="00DD6592">
      <w:r w:rsidRPr="00B42576">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w:t>
      </w:r>
      <w:r w:rsidR="00F2753B">
        <w:t xml:space="preserve"> to the extent allowed by law.</w:t>
      </w:r>
      <w:r w:rsidRPr="00B42576">
        <w:t>.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DD6592" w:rsidRPr="00B42576" w:rsidRDefault="00DD6592" w:rsidP="00DD6592"/>
    <w:p w:rsidR="00916E6D" w:rsidRDefault="00916E6D" w:rsidP="00916E6D"/>
    <w:p w:rsidR="00916E6D" w:rsidRDefault="00916E6D" w:rsidP="00916E6D">
      <w:pPr>
        <w:pStyle w:val="ListParagraph"/>
        <w:numPr>
          <w:ilvl w:val="0"/>
          <w:numId w:val="20"/>
        </w:numPr>
        <w:ind w:left="0"/>
        <w:rPr>
          <w:b/>
        </w:rPr>
      </w:pPr>
      <w:r>
        <w:rPr>
          <w:b/>
        </w:rPr>
        <w:t>Sensitive Nature</w:t>
      </w:r>
    </w:p>
    <w:p w:rsidR="00916E6D" w:rsidRDefault="00916E6D" w:rsidP="00916E6D">
      <w:pPr>
        <w:pStyle w:val="ListParagraph"/>
        <w:ind w:left="0"/>
        <w:rPr>
          <w:b/>
        </w:rPr>
      </w:pPr>
    </w:p>
    <w:p w:rsidR="00916E6D" w:rsidRDefault="00916E6D" w:rsidP="00916E6D">
      <w:r>
        <w:t>No questions will be asked that are of a personal or sensitive nature.</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Burden of Information Collection</w:t>
      </w:r>
    </w:p>
    <w:p w:rsidR="00916E6D" w:rsidRDefault="00916E6D" w:rsidP="00916E6D"/>
    <w:p w:rsidR="006B5C76" w:rsidRPr="009C6A3A" w:rsidRDefault="006B5C76" w:rsidP="00D042C5">
      <w:r w:rsidRPr="00D0400A">
        <w:t>The estimated tim</w:t>
      </w:r>
      <w:r>
        <w:t xml:space="preserve">e to complete the survey is </w:t>
      </w:r>
      <w:r w:rsidR="00C10356">
        <w:t xml:space="preserve">4.5 </w:t>
      </w:r>
      <w:r w:rsidRPr="00D0400A">
        <w:t>minutes</w:t>
      </w:r>
      <w:r>
        <w:t xml:space="preserve">. </w:t>
      </w:r>
      <w:r w:rsidR="00CF2A99" w:rsidRPr="00F8286C">
        <w:t xml:space="preserve">The estimated burden hours </w:t>
      </w:r>
      <w:r w:rsidR="00CF2A99">
        <w:t xml:space="preserve">for 2014 and 2015 </w:t>
      </w:r>
      <w:r w:rsidR="00CF2A99" w:rsidRPr="00F8286C">
        <w:t xml:space="preserve">are </w:t>
      </w:r>
      <w:r w:rsidR="00CF2A99">
        <w:t>lower than the burden hours in 2012 and 2013 due to less training modules offered (1</w:t>
      </w:r>
      <w:r w:rsidR="00807552">
        <w:t>5</w:t>
      </w:r>
      <w:r w:rsidR="00CF2A99">
        <w:t xml:space="preserve"> instead of 24). Based on the past re</w:t>
      </w:r>
      <w:r w:rsidR="00580494">
        <w:t>sponse rate of 5.7 percent</w:t>
      </w:r>
      <w:r w:rsidR="00D042C5">
        <w:t>, we estimate 416 hours of burden o</w:t>
      </w:r>
      <w:r>
        <w:t>ver the requested period for this clearance (</w:t>
      </w:r>
      <w:r w:rsidR="00F2753B">
        <w:t>February</w:t>
      </w:r>
      <w:r>
        <w:t xml:space="preserve"> 1, 201</w:t>
      </w:r>
      <w:r w:rsidR="00C10356">
        <w:t>4</w:t>
      </w:r>
      <w:r>
        <w:t xml:space="preserve"> thought December 31, 201</w:t>
      </w:r>
      <w:r w:rsidR="00C10356">
        <w:t>5</w:t>
      </w:r>
      <w:r w:rsidRPr="009C6A3A">
        <w:t xml:space="preserve">). Only the burden of those customers completing the survey is calculated </w:t>
      </w:r>
      <w:r w:rsidR="00031CFD">
        <w:t>above</w:t>
      </w:r>
      <w:r w:rsidRPr="009C6A3A">
        <w:t xml:space="preserve"> since the amount of time required to not navigate to the survey is zero. </w:t>
      </w:r>
    </w:p>
    <w:p w:rsidR="00916E6D" w:rsidRDefault="00916E6D" w:rsidP="00916E6D"/>
    <w:p w:rsidR="00DD6592" w:rsidRDefault="00DD6592" w:rsidP="00916E6D"/>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800"/>
        <w:gridCol w:w="1620"/>
        <w:gridCol w:w="1710"/>
      </w:tblGrid>
      <w:tr w:rsidR="00DD6592" w:rsidRPr="00916E6D" w:rsidTr="00D042C5">
        <w:trPr>
          <w:trHeight w:val="274"/>
        </w:trPr>
        <w:tc>
          <w:tcPr>
            <w:tcW w:w="4428" w:type="dxa"/>
          </w:tcPr>
          <w:p w:rsidR="00DD6592" w:rsidRPr="00916E6D" w:rsidRDefault="00DD6592" w:rsidP="009325DE">
            <w:pPr>
              <w:rPr>
                <w:b/>
              </w:rPr>
            </w:pPr>
            <w:r w:rsidRPr="00916E6D">
              <w:rPr>
                <w:b/>
              </w:rPr>
              <w:t xml:space="preserve">Category of Respondent </w:t>
            </w:r>
          </w:p>
        </w:tc>
        <w:tc>
          <w:tcPr>
            <w:tcW w:w="1800" w:type="dxa"/>
          </w:tcPr>
          <w:p w:rsidR="00DD6592" w:rsidRPr="00916E6D" w:rsidRDefault="00DD6592" w:rsidP="009325DE">
            <w:pPr>
              <w:rPr>
                <w:b/>
              </w:rPr>
            </w:pPr>
            <w:r w:rsidRPr="00916E6D">
              <w:rPr>
                <w:b/>
              </w:rPr>
              <w:t>No. of Respondents</w:t>
            </w:r>
          </w:p>
        </w:tc>
        <w:tc>
          <w:tcPr>
            <w:tcW w:w="1620" w:type="dxa"/>
          </w:tcPr>
          <w:p w:rsidR="00DD6592" w:rsidRPr="00916E6D" w:rsidRDefault="00DD6592" w:rsidP="009325DE">
            <w:pPr>
              <w:rPr>
                <w:b/>
              </w:rPr>
            </w:pPr>
            <w:r w:rsidRPr="00916E6D">
              <w:rPr>
                <w:b/>
              </w:rPr>
              <w:t>Participation Time</w:t>
            </w:r>
          </w:p>
        </w:tc>
        <w:tc>
          <w:tcPr>
            <w:tcW w:w="1710" w:type="dxa"/>
          </w:tcPr>
          <w:p w:rsidR="00DD6592" w:rsidRPr="00916E6D" w:rsidRDefault="00DD6592" w:rsidP="009325DE">
            <w:pPr>
              <w:rPr>
                <w:b/>
              </w:rPr>
            </w:pPr>
            <w:r w:rsidRPr="00916E6D">
              <w:rPr>
                <w:b/>
              </w:rPr>
              <w:t>Burden</w:t>
            </w:r>
          </w:p>
        </w:tc>
      </w:tr>
      <w:tr w:rsidR="00DD6592" w:rsidRPr="00916E6D" w:rsidTr="00D042C5">
        <w:trPr>
          <w:trHeight w:val="274"/>
        </w:trPr>
        <w:tc>
          <w:tcPr>
            <w:tcW w:w="4428" w:type="dxa"/>
          </w:tcPr>
          <w:p w:rsidR="00DD6592" w:rsidRPr="00916E6D" w:rsidRDefault="00DD6592" w:rsidP="009325DE">
            <w:r>
              <w:t>All EO Web-Based Training Participants</w:t>
            </w:r>
          </w:p>
        </w:tc>
        <w:tc>
          <w:tcPr>
            <w:tcW w:w="1800" w:type="dxa"/>
          </w:tcPr>
          <w:p w:rsidR="00DD6592" w:rsidRPr="00916E6D" w:rsidRDefault="0024315D" w:rsidP="009325DE">
            <w:r>
              <w:t>96,873</w:t>
            </w:r>
          </w:p>
        </w:tc>
        <w:tc>
          <w:tcPr>
            <w:tcW w:w="1620" w:type="dxa"/>
          </w:tcPr>
          <w:p w:rsidR="00DD6592" w:rsidRPr="00916E6D" w:rsidRDefault="00DD6592" w:rsidP="009325DE">
            <w:r>
              <w:t>N/A</w:t>
            </w:r>
          </w:p>
        </w:tc>
        <w:tc>
          <w:tcPr>
            <w:tcW w:w="1710" w:type="dxa"/>
          </w:tcPr>
          <w:p w:rsidR="00DD6592" w:rsidRPr="00916E6D" w:rsidRDefault="00D042C5" w:rsidP="009325DE">
            <w:r>
              <w:t>N/A</w:t>
            </w:r>
          </w:p>
        </w:tc>
      </w:tr>
      <w:tr w:rsidR="00DD6592" w:rsidRPr="00916E6D" w:rsidTr="00D042C5">
        <w:trPr>
          <w:trHeight w:val="274"/>
        </w:trPr>
        <w:tc>
          <w:tcPr>
            <w:tcW w:w="4428" w:type="dxa"/>
          </w:tcPr>
          <w:p w:rsidR="00DD6592" w:rsidRPr="00916E6D" w:rsidRDefault="00DD6592" w:rsidP="009325DE">
            <w:r w:rsidRPr="00916E6D">
              <w:t>Customers who respond to survey (subset of above)</w:t>
            </w:r>
          </w:p>
        </w:tc>
        <w:tc>
          <w:tcPr>
            <w:tcW w:w="1800" w:type="dxa"/>
          </w:tcPr>
          <w:p w:rsidR="00DD6592" w:rsidRPr="00916E6D" w:rsidRDefault="00DD6592" w:rsidP="009325DE">
            <w:r>
              <w:t>5,546</w:t>
            </w:r>
          </w:p>
        </w:tc>
        <w:tc>
          <w:tcPr>
            <w:tcW w:w="1620" w:type="dxa"/>
          </w:tcPr>
          <w:p w:rsidR="00DD6592" w:rsidRPr="00916E6D" w:rsidRDefault="00DD6592" w:rsidP="009325DE">
            <w:r>
              <w:t>4.5</w:t>
            </w:r>
            <w:r w:rsidRPr="00916E6D">
              <w:t xml:space="preserve"> minutes</w:t>
            </w:r>
          </w:p>
        </w:tc>
        <w:tc>
          <w:tcPr>
            <w:tcW w:w="1710" w:type="dxa"/>
          </w:tcPr>
          <w:p w:rsidR="00DD6592" w:rsidRPr="00916E6D" w:rsidRDefault="00DD6592" w:rsidP="009325DE">
            <w:r>
              <w:t>24,957 minutes</w:t>
            </w:r>
          </w:p>
        </w:tc>
      </w:tr>
      <w:tr w:rsidR="00DD6592" w:rsidRPr="00916E6D" w:rsidTr="00D042C5">
        <w:trPr>
          <w:trHeight w:val="289"/>
        </w:trPr>
        <w:tc>
          <w:tcPr>
            <w:tcW w:w="4428" w:type="dxa"/>
          </w:tcPr>
          <w:p w:rsidR="00DD6592" w:rsidRPr="00916E6D" w:rsidRDefault="00DD6592" w:rsidP="009325DE">
            <w:pPr>
              <w:rPr>
                <w:b/>
              </w:rPr>
            </w:pPr>
            <w:r>
              <w:rPr>
                <w:b/>
              </w:rPr>
              <w:t>Total Burden</w:t>
            </w:r>
          </w:p>
        </w:tc>
        <w:tc>
          <w:tcPr>
            <w:tcW w:w="1800" w:type="dxa"/>
          </w:tcPr>
          <w:p w:rsidR="00DD6592" w:rsidRPr="00916E6D" w:rsidRDefault="00DD6592" w:rsidP="009325DE">
            <w:pPr>
              <w:rPr>
                <w:b/>
              </w:rPr>
            </w:pPr>
          </w:p>
        </w:tc>
        <w:tc>
          <w:tcPr>
            <w:tcW w:w="1620" w:type="dxa"/>
          </w:tcPr>
          <w:p w:rsidR="00DD6592" w:rsidRPr="00916E6D" w:rsidRDefault="00DD6592" w:rsidP="009325DE"/>
        </w:tc>
        <w:tc>
          <w:tcPr>
            <w:tcW w:w="1710" w:type="dxa"/>
          </w:tcPr>
          <w:p w:rsidR="00DD6592" w:rsidRPr="00916E6D" w:rsidRDefault="006F6E72" w:rsidP="004A5CCE">
            <w:pPr>
              <w:rPr>
                <w:b/>
              </w:rPr>
            </w:pPr>
            <w:r>
              <w:rPr>
                <w:b/>
              </w:rPr>
              <w:t>416</w:t>
            </w:r>
            <w:r w:rsidR="00DD6592">
              <w:rPr>
                <w:b/>
              </w:rPr>
              <w:t xml:space="preserve"> hours</w:t>
            </w:r>
          </w:p>
        </w:tc>
      </w:tr>
    </w:tbl>
    <w:p w:rsidR="00DD6592" w:rsidRDefault="00DD6592" w:rsidP="00916E6D"/>
    <w:p w:rsidR="00916E6D" w:rsidRDefault="00916E6D" w:rsidP="00916E6D"/>
    <w:p w:rsidR="00916E6D" w:rsidRDefault="00916E6D" w:rsidP="00916E6D">
      <w:pPr>
        <w:pStyle w:val="ListParagraph"/>
        <w:numPr>
          <w:ilvl w:val="0"/>
          <w:numId w:val="20"/>
        </w:numPr>
        <w:ind w:left="0"/>
        <w:rPr>
          <w:b/>
        </w:rPr>
      </w:pPr>
      <w:r>
        <w:rPr>
          <w:b/>
        </w:rPr>
        <w:lastRenderedPageBreak/>
        <w:t>Costs to Respondents</w:t>
      </w:r>
    </w:p>
    <w:p w:rsidR="00916E6D" w:rsidRDefault="00916E6D" w:rsidP="00916E6D">
      <w:pPr>
        <w:pStyle w:val="ListParagraph"/>
        <w:ind w:left="0"/>
        <w:rPr>
          <w:b/>
        </w:rPr>
      </w:pPr>
    </w:p>
    <w:p w:rsidR="00916E6D" w:rsidRDefault="00916E6D" w:rsidP="00916E6D">
      <w:r>
        <w:t xml:space="preserve">No costs are anticipated.  </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Costs to Federal Government</w:t>
      </w:r>
    </w:p>
    <w:p w:rsidR="00955F86" w:rsidRDefault="00955F86" w:rsidP="00916E6D"/>
    <w:p w:rsidR="00916E6D" w:rsidRDefault="006B5C76" w:rsidP="00916E6D">
      <w:r>
        <w:t>$4,00</w:t>
      </w:r>
      <w:r w:rsidR="00955F86">
        <w:t>0</w:t>
      </w:r>
    </w:p>
    <w:p w:rsidR="00916E6D" w:rsidRPr="00916E6D" w:rsidRDefault="00916E6D" w:rsidP="00916E6D"/>
    <w:p w:rsidR="00916E6D" w:rsidRDefault="00916E6D" w:rsidP="00916E6D">
      <w:pPr>
        <w:pStyle w:val="ListParagraph"/>
        <w:numPr>
          <w:ilvl w:val="0"/>
          <w:numId w:val="20"/>
        </w:numPr>
        <w:ind w:left="0"/>
        <w:rPr>
          <w:b/>
        </w:rPr>
      </w:pPr>
      <w:r>
        <w:rPr>
          <w:b/>
        </w:rPr>
        <w:t>Reason for Change</w:t>
      </w:r>
    </w:p>
    <w:p w:rsidR="00916E6D" w:rsidRDefault="00916E6D" w:rsidP="00916E6D">
      <w:pPr>
        <w:pStyle w:val="ListParagraph"/>
        <w:ind w:left="0"/>
        <w:rPr>
          <w:b/>
        </w:rPr>
      </w:pPr>
    </w:p>
    <w:p w:rsidR="00916E6D" w:rsidRDefault="00EB451F" w:rsidP="00916E6D">
      <w:r>
        <w:t xml:space="preserve">Not applicable.  </w:t>
      </w:r>
    </w:p>
    <w:p w:rsidR="00916E6D" w:rsidRDefault="00916E6D" w:rsidP="00916E6D">
      <w:pPr>
        <w:rPr>
          <w:b/>
        </w:rPr>
      </w:pPr>
    </w:p>
    <w:p w:rsidR="00916E6D" w:rsidRDefault="00916E6D"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916E6D" w:rsidRDefault="00916E6D" w:rsidP="00916E6D"/>
    <w:p w:rsidR="00916E6D" w:rsidRDefault="00916E6D" w:rsidP="00916E6D">
      <w:r>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916E6D" w:rsidRDefault="00916E6D" w:rsidP="00916E6D"/>
    <w:p w:rsidR="00916E6D" w:rsidRDefault="00916E6D" w:rsidP="00916E6D">
      <w:r>
        <w:t xml:space="preserve">Although </w:t>
      </w:r>
      <w:r w:rsidR="00955F86">
        <w:t xml:space="preserve">TE/GE </w:t>
      </w:r>
      <w:r>
        <w:t>does not intend to publish its findings</w:t>
      </w:r>
      <w:r w:rsidRPr="00BA1806">
        <w:t>,</w:t>
      </w:r>
      <w:r>
        <w:t xml:space="preserve"> </w:t>
      </w:r>
      <w:r w:rsidR="00955F86">
        <w:t>TE/GE</w:t>
      </w:r>
      <w:r w:rsidRPr="00BA1806">
        <w:t xml:space="preserve"> </w:t>
      </w:r>
      <w:r>
        <w:t>may receive requests to release the information (e.g., congressional inquiry, Freedom of Information Act r</w:t>
      </w:r>
      <w:r w:rsidR="00955F86">
        <w:t>equests). TE/GE</w:t>
      </w:r>
      <w:r>
        <w:t xml:space="preserve"> </w:t>
      </w:r>
      <w:r w:rsidRPr="00BA1806">
        <w:t xml:space="preserve">will disseminate the findings when appropriate, strictly following </w:t>
      </w:r>
      <w:r>
        <w:t>IRS’</w:t>
      </w:r>
      <w:r w:rsidRPr="00BA1806">
        <w:t xml:space="preserve">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Display of OMB Approval Date</w:t>
      </w:r>
    </w:p>
    <w:p w:rsidR="00916E6D" w:rsidRDefault="00916E6D" w:rsidP="00916E6D">
      <w:pPr>
        <w:pStyle w:val="ListParagraph"/>
        <w:ind w:left="0"/>
        <w:rPr>
          <w:b/>
        </w:rPr>
      </w:pPr>
    </w:p>
    <w:p w:rsidR="00916E6D" w:rsidRDefault="00916E6D" w:rsidP="00916E6D">
      <w:r>
        <w:t>We are requesting no exemption.</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Exceptions to Certification for Paperwork Reduction Act Submissions</w:t>
      </w:r>
    </w:p>
    <w:p w:rsidR="00916E6D" w:rsidRDefault="00916E6D" w:rsidP="00916E6D">
      <w:pPr>
        <w:pStyle w:val="ListParagraph"/>
        <w:ind w:left="0"/>
        <w:rPr>
          <w:b/>
        </w:rPr>
      </w:pPr>
    </w:p>
    <w:p w:rsidR="00916E6D" w:rsidRDefault="00916E6D" w:rsidP="00916E6D">
      <w:r>
        <w:t>These activities comply with the requirements in 5 CFR 1320.9.</w:t>
      </w:r>
    </w:p>
    <w:p w:rsidR="00DD6592" w:rsidRDefault="00DD6592" w:rsidP="00DD6592">
      <w:pPr>
        <w:pStyle w:val="BodyTextIndent3"/>
        <w:ind w:left="0"/>
        <w:rPr>
          <w:b/>
        </w:rPr>
      </w:pPr>
    </w:p>
    <w:p w:rsidR="00DD6592" w:rsidRDefault="00DD6592" w:rsidP="00DD6592">
      <w:pPr>
        <w:pStyle w:val="BodyTextIndent3"/>
        <w:ind w:left="0"/>
        <w:rPr>
          <w:b/>
        </w:rPr>
      </w:pPr>
      <w:r>
        <w:rPr>
          <w:b/>
        </w:rPr>
        <w:t xml:space="preserve">       19. Dates Collection Begin and End</w:t>
      </w:r>
    </w:p>
    <w:p w:rsidR="00DD6592" w:rsidRPr="004A5563" w:rsidRDefault="00DD6592" w:rsidP="00DD6592">
      <w:pPr>
        <w:pStyle w:val="BodyTextIndent3"/>
        <w:ind w:left="0"/>
      </w:pPr>
    </w:p>
    <w:p w:rsidR="00DD6592" w:rsidRPr="004A5563" w:rsidRDefault="00DD6592" w:rsidP="00DD6592">
      <w:pPr>
        <w:pStyle w:val="BodyTextIndent3"/>
        <w:ind w:left="0"/>
      </w:pPr>
      <w:r>
        <w:tab/>
      </w:r>
      <w:r w:rsidR="00F2753B">
        <w:t>February</w:t>
      </w:r>
      <w:r>
        <w:t xml:space="preserve"> 2014 – December 2015</w:t>
      </w:r>
    </w:p>
    <w:p w:rsidR="00916E6D" w:rsidRDefault="00DD6592" w:rsidP="00DD6592">
      <w:pPr>
        <w:rPr>
          <w:rFonts w:ascii="Tahoma" w:hAnsi="Tahoma"/>
          <w:b/>
          <w:sz w:val="20"/>
          <w:szCs w:val="20"/>
        </w:rPr>
      </w:pPr>
      <w:r>
        <w:rPr>
          <w:b/>
        </w:rPr>
        <w:br w:type="page"/>
      </w:r>
    </w:p>
    <w:p w:rsidR="00916E6D" w:rsidRDefault="00916E6D" w:rsidP="00916E6D">
      <w:pPr>
        <w:pStyle w:val="BodyTextIndent3"/>
        <w:ind w:left="0"/>
        <w:rPr>
          <w:b/>
        </w:rPr>
      </w:pPr>
      <w:r>
        <w:rPr>
          <w:b/>
        </w:rPr>
        <w:t>B.</w:t>
      </w:r>
      <w:r>
        <w:rPr>
          <w:b/>
        </w:rPr>
        <w:tab/>
        <w:t>STATISTICAL METHODS</w:t>
      </w:r>
    </w:p>
    <w:p w:rsidR="00916E6D" w:rsidRDefault="00916E6D" w:rsidP="00916E6D">
      <w:pPr>
        <w:pStyle w:val="BodyTextIndent3"/>
        <w:ind w:left="0"/>
        <w:rPr>
          <w:b/>
        </w:rPr>
      </w:pPr>
    </w:p>
    <w:p w:rsidR="00916E6D" w:rsidRDefault="00916E6D" w:rsidP="00916E6D">
      <w:pPr>
        <w:rPr>
          <w:b/>
        </w:rPr>
      </w:pPr>
      <w:r>
        <w:t xml:space="preserve">The primary purpose of these collections will be for internal management purposes; there are no plans to publish or otherwise release this information.  </w:t>
      </w:r>
    </w:p>
    <w:p w:rsidR="00916E6D" w:rsidRDefault="00916E6D" w:rsidP="00916E6D">
      <w:pPr>
        <w:rPr>
          <w:b/>
        </w:rPr>
      </w:pPr>
    </w:p>
    <w:p w:rsidR="00916E6D" w:rsidRDefault="00916E6D" w:rsidP="00916E6D">
      <w:pPr>
        <w:pStyle w:val="ListParagraph"/>
        <w:numPr>
          <w:ilvl w:val="0"/>
          <w:numId w:val="21"/>
        </w:numPr>
        <w:rPr>
          <w:b/>
        </w:rPr>
      </w:pPr>
      <w:r>
        <w:rPr>
          <w:b/>
        </w:rPr>
        <w:t>Universe and Respondent Selection</w:t>
      </w:r>
    </w:p>
    <w:p w:rsidR="00916E6D" w:rsidRDefault="00916E6D" w:rsidP="00BC4556">
      <w:pPr>
        <w:pStyle w:val="ListParagraph"/>
        <w:ind w:left="360"/>
        <w:rPr>
          <w:b/>
        </w:rPr>
      </w:pPr>
    </w:p>
    <w:p w:rsidR="006B5C76" w:rsidRPr="00BC4556" w:rsidRDefault="00C10356" w:rsidP="00BC4556">
      <w:pPr>
        <w:pStyle w:val="ListParagraph"/>
        <w:ind w:left="360"/>
        <w:rPr>
          <w:b/>
        </w:rPr>
      </w:pPr>
      <w:r>
        <w:t>CE&amp;O markets the W</w:t>
      </w:r>
      <w:r w:rsidR="006B5C76" w:rsidRPr="00F8286C">
        <w:t xml:space="preserve">eb-based training program using a variety of methods including, announcements via </w:t>
      </w:r>
      <w:r w:rsidR="006B5C76" w:rsidRPr="00F8286C">
        <w:rPr>
          <w:i/>
        </w:rPr>
        <w:t>EO Update</w:t>
      </w:r>
      <w:r w:rsidR="006B5C76" w:rsidRPr="00F8286C">
        <w:t xml:space="preserve"> (an electronic newsletter with information for tax-exempt organizations and tax practitioners who represent them); a prominent link on the Charities and Non-Profits page of irs.gov; and asking stakeholders (trade associations, practitioner groups, etc.) to send their members a link to the site. The contractor purchased the URL “stayexempt.org,” and houses the training</w:t>
      </w:r>
      <w:r w:rsidR="006B5C76">
        <w:t>s</w:t>
      </w:r>
      <w:r w:rsidR="006B5C76" w:rsidRPr="00F8286C">
        <w:t xml:space="preserve"> there. </w:t>
      </w:r>
      <w:r w:rsidR="0024315D">
        <w:t>The user can elect to complete the survey a</w:t>
      </w:r>
      <w:r w:rsidR="006B5C76">
        <w:t xml:space="preserve">fter completing each </w:t>
      </w:r>
      <w:r w:rsidR="00307A5F">
        <w:t xml:space="preserve">of the </w:t>
      </w:r>
      <w:r w:rsidR="006B5C76">
        <w:t>training</w:t>
      </w:r>
      <w:r w:rsidR="00307A5F">
        <w:t>s</w:t>
      </w:r>
      <w:r w:rsidR="006B5C76">
        <w:t>.</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BC4556" w:rsidRDefault="00BC4556" w:rsidP="00BC4556">
      <w:pPr>
        <w:pStyle w:val="BodyTextIndent2"/>
        <w:spacing w:line="240" w:lineRule="auto"/>
        <w:ind w:left="0"/>
      </w:pPr>
    </w:p>
    <w:p w:rsidR="006B5C76" w:rsidRPr="00BC4556" w:rsidRDefault="006B5C76" w:rsidP="006B5C76">
      <w:pPr>
        <w:pStyle w:val="ListParagraph"/>
        <w:ind w:left="360"/>
        <w:rPr>
          <w:b/>
        </w:rPr>
      </w:pPr>
      <w:r w:rsidRPr="00F8286C">
        <w:t>The contractor purchased the URL “stayexempt.org,” and houses the training</w:t>
      </w:r>
      <w:r>
        <w:t>s</w:t>
      </w:r>
      <w:r w:rsidRPr="00F8286C">
        <w:t xml:space="preserve"> there. </w:t>
      </w:r>
      <w:r w:rsidR="0024315D">
        <w:t>T</w:t>
      </w:r>
      <w:r w:rsidR="0024315D" w:rsidRPr="00F8286C">
        <w:t>he user can</w:t>
      </w:r>
      <w:r w:rsidR="0024315D">
        <w:t xml:space="preserve"> elect to complete the survey a</w:t>
      </w:r>
      <w:r>
        <w:t>fter completing each</w:t>
      </w:r>
      <w:r w:rsidR="00307A5F">
        <w:t xml:space="preserve"> of the</w:t>
      </w:r>
      <w:r>
        <w:t xml:space="preserve"> training</w:t>
      </w:r>
      <w:r w:rsidR="00307A5F">
        <w:t>s</w:t>
      </w:r>
      <w:r>
        <w:t>.</w:t>
      </w:r>
    </w:p>
    <w:p w:rsidR="00916E6D" w:rsidRDefault="00916E6D" w:rsidP="00BC4556">
      <w:pPr>
        <w:rPr>
          <w:i/>
          <w:iCs/>
        </w:rPr>
      </w:pPr>
    </w:p>
    <w:p w:rsidR="00916E6D" w:rsidRDefault="00916E6D" w:rsidP="00916E6D">
      <w:pPr>
        <w:pStyle w:val="ListParagraph"/>
        <w:numPr>
          <w:ilvl w:val="0"/>
          <w:numId w:val="21"/>
        </w:numPr>
        <w:rPr>
          <w:b/>
        </w:rPr>
      </w:pPr>
      <w:r>
        <w:rPr>
          <w:b/>
        </w:rPr>
        <w:t>Methods to Maximize Response</w:t>
      </w:r>
    </w:p>
    <w:p w:rsidR="00916E6D" w:rsidRDefault="00916E6D" w:rsidP="00916E6D">
      <w:pPr>
        <w:pStyle w:val="ListParagraph"/>
        <w:ind w:left="360"/>
      </w:pPr>
    </w:p>
    <w:p w:rsidR="00E43926" w:rsidRDefault="0024315D" w:rsidP="00916E6D">
      <w:pPr>
        <w:pStyle w:val="ListParagraph"/>
        <w:ind w:left="360"/>
      </w:pPr>
      <w:r>
        <w:t>All users are asked to complete the survey a</w:t>
      </w:r>
      <w:r w:rsidR="00E43926">
        <w:t>t the completion of the training.</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Testing of Procedures</w:t>
      </w:r>
    </w:p>
    <w:p w:rsidR="00916E6D" w:rsidRDefault="00916E6D" w:rsidP="00916E6D">
      <w:pPr>
        <w:pStyle w:val="ListParagraph"/>
        <w:ind w:left="360"/>
        <w:rPr>
          <w:b/>
        </w:rPr>
      </w:pPr>
      <w:r>
        <w:rPr>
          <w:b/>
        </w:rPr>
        <w:t xml:space="preserve"> </w:t>
      </w:r>
    </w:p>
    <w:p w:rsidR="00916E6D" w:rsidRDefault="006B5C76" w:rsidP="00916E6D">
      <w:pPr>
        <w:pStyle w:val="ListParagraph"/>
        <w:ind w:left="360"/>
        <w:rPr>
          <w:b/>
        </w:rPr>
      </w:pPr>
      <w:r>
        <w:t xml:space="preserve">N/A </w:t>
      </w:r>
    </w:p>
    <w:p w:rsidR="00916E6D" w:rsidRDefault="00916E6D" w:rsidP="00916E6D">
      <w:pPr>
        <w:pStyle w:val="ListParagraph"/>
        <w:ind w:left="360"/>
        <w:rPr>
          <w:b/>
        </w:rPr>
      </w:pP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Contacts for Statistical Aspects and Data Collection</w:t>
      </w:r>
    </w:p>
    <w:p w:rsidR="00916E6D" w:rsidRDefault="00916E6D" w:rsidP="00916E6D">
      <w:pPr>
        <w:pStyle w:val="ListParagraph"/>
        <w:ind w:left="360"/>
        <w:rPr>
          <w:b/>
        </w:rPr>
      </w:pPr>
    </w:p>
    <w:p w:rsidR="00916E6D" w:rsidRDefault="00BC4556" w:rsidP="00916E6D">
      <w:pPr>
        <w:pStyle w:val="ListParagraph"/>
        <w:ind w:left="360"/>
      </w:pPr>
      <w:r>
        <w:t>Michelle Pendzick in the Strategy &amp; Planning Office, TE/GE manages all of the customer satisfaction survey. Michelle may be contacted at 202-683-9195 or by email at michelle.pendzick@irs.gov.</w:t>
      </w:r>
    </w:p>
    <w:p w:rsidR="00916E6D" w:rsidRDefault="00916E6D" w:rsidP="00916E6D">
      <w:pPr>
        <w:ind w:left="360"/>
      </w:pPr>
    </w:p>
    <w:p w:rsidR="00916E6D" w:rsidRPr="00916E6D" w:rsidRDefault="00916E6D" w:rsidP="00916E6D">
      <w:pPr>
        <w:jc w:val="both"/>
      </w:pPr>
    </w:p>
    <w:p w:rsidR="00916E6D" w:rsidRPr="00916E6D" w:rsidRDefault="00916E6D" w:rsidP="0024521E">
      <w:pPr>
        <w:rPr>
          <w:b/>
        </w:rPr>
      </w:pPr>
    </w:p>
    <w:sectPr w:rsidR="00916E6D" w:rsidRPr="00916E6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93" w:rsidRDefault="00641593">
      <w:r>
        <w:separator/>
      </w:r>
    </w:p>
  </w:endnote>
  <w:endnote w:type="continuationSeparator" w:id="0">
    <w:p w:rsidR="00641593" w:rsidRDefault="0064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26" w:rsidRDefault="00E4392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5B8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93" w:rsidRDefault="00641593">
      <w:r>
        <w:separator/>
      </w:r>
    </w:p>
  </w:footnote>
  <w:footnote w:type="continuationSeparator" w:id="0">
    <w:p w:rsidR="00641593" w:rsidRDefault="0064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26" w:rsidRDefault="00E43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AF30017"/>
    <w:multiLevelType w:val="hybridMultilevel"/>
    <w:tmpl w:val="5A8404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12"/>
  </w:num>
  <w:num w:numId="20">
    <w:abstractNumId w:val="17"/>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31CFD"/>
    <w:rsid w:val="00047A64"/>
    <w:rsid w:val="00067329"/>
    <w:rsid w:val="000B2838"/>
    <w:rsid w:val="000D44CA"/>
    <w:rsid w:val="000E200B"/>
    <w:rsid w:val="000F68BE"/>
    <w:rsid w:val="00107DBD"/>
    <w:rsid w:val="001927A4"/>
    <w:rsid w:val="00194AC6"/>
    <w:rsid w:val="001A23B0"/>
    <w:rsid w:val="001A25CC"/>
    <w:rsid w:val="001B0AAA"/>
    <w:rsid w:val="001C39F7"/>
    <w:rsid w:val="001F183A"/>
    <w:rsid w:val="00225C38"/>
    <w:rsid w:val="00231DF5"/>
    <w:rsid w:val="00237B48"/>
    <w:rsid w:val="0024315D"/>
    <w:rsid w:val="0024521E"/>
    <w:rsid w:val="00257DA8"/>
    <w:rsid w:val="00263C3D"/>
    <w:rsid w:val="00273C3D"/>
    <w:rsid w:val="00274D0B"/>
    <w:rsid w:val="00293BDA"/>
    <w:rsid w:val="00295B81"/>
    <w:rsid w:val="002B3C95"/>
    <w:rsid w:val="002C372F"/>
    <w:rsid w:val="002C6F9C"/>
    <w:rsid w:val="002D0B92"/>
    <w:rsid w:val="00307A5F"/>
    <w:rsid w:val="00360526"/>
    <w:rsid w:val="00362EEE"/>
    <w:rsid w:val="003745D6"/>
    <w:rsid w:val="00377CA3"/>
    <w:rsid w:val="0038655F"/>
    <w:rsid w:val="0039388C"/>
    <w:rsid w:val="003D5BBE"/>
    <w:rsid w:val="003E3C61"/>
    <w:rsid w:val="003F1C5B"/>
    <w:rsid w:val="00425933"/>
    <w:rsid w:val="00434E33"/>
    <w:rsid w:val="00441434"/>
    <w:rsid w:val="004516B7"/>
    <w:rsid w:val="0045264C"/>
    <w:rsid w:val="004872C1"/>
    <w:rsid w:val="004876EC"/>
    <w:rsid w:val="004A5CCE"/>
    <w:rsid w:val="004D6E14"/>
    <w:rsid w:val="004E308B"/>
    <w:rsid w:val="005009B0"/>
    <w:rsid w:val="00580494"/>
    <w:rsid w:val="005A0B2E"/>
    <w:rsid w:val="005A1006"/>
    <w:rsid w:val="005A6023"/>
    <w:rsid w:val="005B7A72"/>
    <w:rsid w:val="005D4D3B"/>
    <w:rsid w:val="005E17B9"/>
    <w:rsid w:val="005E714A"/>
    <w:rsid w:val="006140A0"/>
    <w:rsid w:val="0062299D"/>
    <w:rsid w:val="00636621"/>
    <w:rsid w:val="00641593"/>
    <w:rsid w:val="00642B49"/>
    <w:rsid w:val="0065695D"/>
    <w:rsid w:val="006832D9"/>
    <w:rsid w:val="0069403B"/>
    <w:rsid w:val="006B0B43"/>
    <w:rsid w:val="006B5C76"/>
    <w:rsid w:val="006C77D5"/>
    <w:rsid w:val="006D0FFF"/>
    <w:rsid w:val="006F3DDE"/>
    <w:rsid w:val="006F6E72"/>
    <w:rsid w:val="00704678"/>
    <w:rsid w:val="00727E36"/>
    <w:rsid w:val="007425E7"/>
    <w:rsid w:val="007751A0"/>
    <w:rsid w:val="00777C92"/>
    <w:rsid w:val="007D1731"/>
    <w:rsid w:val="00802607"/>
    <w:rsid w:val="00807552"/>
    <w:rsid w:val="008101A5"/>
    <w:rsid w:val="00816F34"/>
    <w:rsid w:val="00822664"/>
    <w:rsid w:val="00843796"/>
    <w:rsid w:val="00874786"/>
    <w:rsid w:val="0088210C"/>
    <w:rsid w:val="00895229"/>
    <w:rsid w:val="008D5330"/>
    <w:rsid w:val="008E1814"/>
    <w:rsid w:val="008F0203"/>
    <w:rsid w:val="008F33C4"/>
    <w:rsid w:val="008F50D4"/>
    <w:rsid w:val="009023DA"/>
    <w:rsid w:val="00905C9B"/>
    <w:rsid w:val="00916E6D"/>
    <w:rsid w:val="009202FB"/>
    <w:rsid w:val="009239AA"/>
    <w:rsid w:val="009325DE"/>
    <w:rsid w:val="00935ADA"/>
    <w:rsid w:val="00946B6C"/>
    <w:rsid w:val="00951A98"/>
    <w:rsid w:val="009525B2"/>
    <w:rsid w:val="00955A71"/>
    <w:rsid w:val="00955F86"/>
    <w:rsid w:val="0096108F"/>
    <w:rsid w:val="00966ADB"/>
    <w:rsid w:val="009721E6"/>
    <w:rsid w:val="009C13B9"/>
    <w:rsid w:val="009C6A3A"/>
    <w:rsid w:val="009D01A2"/>
    <w:rsid w:val="009E4B0D"/>
    <w:rsid w:val="009F5923"/>
    <w:rsid w:val="009F66AC"/>
    <w:rsid w:val="00A403BB"/>
    <w:rsid w:val="00A674DF"/>
    <w:rsid w:val="00A83AA6"/>
    <w:rsid w:val="00AB4C13"/>
    <w:rsid w:val="00AC3BEF"/>
    <w:rsid w:val="00AC4AE5"/>
    <w:rsid w:val="00AE1809"/>
    <w:rsid w:val="00AF4A25"/>
    <w:rsid w:val="00B562BE"/>
    <w:rsid w:val="00B80D76"/>
    <w:rsid w:val="00BA2105"/>
    <w:rsid w:val="00BA7E06"/>
    <w:rsid w:val="00BB43B5"/>
    <w:rsid w:val="00BB6219"/>
    <w:rsid w:val="00BC4556"/>
    <w:rsid w:val="00BC631F"/>
    <w:rsid w:val="00BD0A7D"/>
    <w:rsid w:val="00BD290F"/>
    <w:rsid w:val="00BF5210"/>
    <w:rsid w:val="00C10356"/>
    <w:rsid w:val="00C14CC4"/>
    <w:rsid w:val="00C166C2"/>
    <w:rsid w:val="00C33C52"/>
    <w:rsid w:val="00C40D8B"/>
    <w:rsid w:val="00C8407A"/>
    <w:rsid w:val="00C8488C"/>
    <w:rsid w:val="00C86E91"/>
    <w:rsid w:val="00CA2650"/>
    <w:rsid w:val="00CB1078"/>
    <w:rsid w:val="00CC6FAF"/>
    <w:rsid w:val="00CF2A99"/>
    <w:rsid w:val="00D042C5"/>
    <w:rsid w:val="00D24698"/>
    <w:rsid w:val="00D6383F"/>
    <w:rsid w:val="00D648FD"/>
    <w:rsid w:val="00D967F0"/>
    <w:rsid w:val="00DA642A"/>
    <w:rsid w:val="00DB59D0"/>
    <w:rsid w:val="00DC33D3"/>
    <w:rsid w:val="00DD6592"/>
    <w:rsid w:val="00DE364B"/>
    <w:rsid w:val="00E11157"/>
    <w:rsid w:val="00E2468B"/>
    <w:rsid w:val="00E26329"/>
    <w:rsid w:val="00E40B50"/>
    <w:rsid w:val="00E43926"/>
    <w:rsid w:val="00E47945"/>
    <w:rsid w:val="00E50293"/>
    <w:rsid w:val="00E65FFC"/>
    <w:rsid w:val="00E74051"/>
    <w:rsid w:val="00E80951"/>
    <w:rsid w:val="00E854FE"/>
    <w:rsid w:val="00E86CC6"/>
    <w:rsid w:val="00E86EB7"/>
    <w:rsid w:val="00EB451F"/>
    <w:rsid w:val="00EB56B3"/>
    <w:rsid w:val="00EB6C5F"/>
    <w:rsid w:val="00ED6492"/>
    <w:rsid w:val="00EE1EB8"/>
    <w:rsid w:val="00EF2095"/>
    <w:rsid w:val="00F06866"/>
    <w:rsid w:val="00F15956"/>
    <w:rsid w:val="00F24CFC"/>
    <w:rsid w:val="00F2709B"/>
    <w:rsid w:val="00F2753B"/>
    <w:rsid w:val="00F3170F"/>
    <w:rsid w:val="00F4298D"/>
    <w:rsid w:val="00F5187D"/>
    <w:rsid w:val="00F6093A"/>
    <w:rsid w:val="00F8286C"/>
    <w:rsid w:val="00F96748"/>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styleId="BodyTextIndent2">
    <w:name w:val="Body Text Indent 2"/>
    <w:basedOn w:val="Normal"/>
    <w:rsid w:val="00EE1EB8"/>
    <w:pPr>
      <w:spacing w:after="120" w:line="480" w:lineRule="auto"/>
      <w:ind w:left="360"/>
    </w:pPr>
  </w:style>
  <w:style w:type="paragraph" w:customStyle="1" w:styleId="Default">
    <w:name w:val="Default"/>
    <w:rsid w:val="00F4298D"/>
    <w:pPr>
      <w:autoSpaceDE w:val="0"/>
      <w:autoSpaceDN w:val="0"/>
      <w:adjustRightInd w:val="0"/>
    </w:pPr>
    <w:rPr>
      <w:rFonts w:ascii="Arial" w:hAnsi="Arial" w:cs="Arial"/>
      <w:color w:val="000000"/>
      <w:sz w:val="24"/>
      <w:szCs w:val="24"/>
    </w:rPr>
  </w:style>
  <w:style w:type="paragraph" w:styleId="BodyText2">
    <w:name w:val="Body Text 2"/>
    <w:basedOn w:val="Normal"/>
    <w:rsid w:val="00B562B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yexem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1438</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9616</CharactersWithSpaces>
  <SharedDoc>false</SharedDoc>
  <HLinks>
    <vt:vector size="6" baseType="variant">
      <vt:variant>
        <vt:i4>3801140</vt:i4>
      </vt:variant>
      <vt:variant>
        <vt:i4>0</vt:i4>
      </vt:variant>
      <vt:variant>
        <vt:i4>0</vt:i4>
      </vt:variant>
      <vt:variant>
        <vt:i4>5</vt:i4>
      </vt:variant>
      <vt:variant>
        <vt:lpwstr>http://www.stayexempt.org/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2011-06-16T19:42:00Z</cp:lastPrinted>
  <dcterms:created xsi:type="dcterms:W3CDTF">2014-01-09T21:34:00Z</dcterms:created>
  <dcterms:modified xsi:type="dcterms:W3CDTF">2014-01-09T21:34:00Z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