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27" w:rsidRPr="00E26BDE" w:rsidRDefault="00AF3927" w:rsidP="00AF3927">
      <w:pPr>
        <w:jc w:val="center"/>
        <w:rPr>
          <w:b/>
          <w:szCs w:val="28"/>
        </w:rPr>
      </w:pPr>
      <w:r w:rsidRPr="00E26BDE">
        <w:rPr>
          <w:b/>
          <w:szCs w:val="28"/>
        </w:rPr>
        <w:t>Supporting Statement</w:t>
      </w:r>
    </w:p>
    <w:p w:rsidR="00AF3927" w:rsidRPr="00E26BDE" w:rsidRDefault="00AF3927" w:rsidP="00AF3927">
      <w:pPr>
        <w:ind w:firstLine="720"/>
        <w:jc w:val="center"/>
        <w:rPr>
          <w:b/>
          <w:szCs w:val="28"/>
        </w:rPr>
      </w:pPr>
      <w:r w:rsidRPr="00E26BDE">
        <w:rPr>
          <w:b/>
          <w:szCs w:val="28"/>
        </w:rPr>
        <w:t>Approval Request to Conduct Customer Satisfaction Research (OMB #1545-</w:t>
      </w:r>
      <w:r w:rsidR="00867BDB">
        <w:rPr>
          <w:b/>
          <w:szCs w:val="28"/>
        </w:rPr>
        <w:t>1432</w:t>
      </w:r>
      <w:r w:rsidRPr="00E26BDE">
        <w:rPr>
          <w:b/>
          <w:szCs w:val="28"/>
        </w:rPr>
        <w:t>)</w:t>
      </w:r>
    </w:p>
    <w:p w:rsidR="00AF3927" w:rsidRPr="00E26BDE" w:rsidRDefault="00FA5D35" w:rsidP="00AF3927">
      <w:pPr>
        <w:ind w:firstLine="720"/>
        <w:jc w:val="center"/>
        <w:rPr>
          <w:b/>
          <w:szCs w:val="28"/>
        </w:rPr>
      </w:pPr>
      <w:r w:rsidRPr="003F6668">
        <w:rPr>
          <w:b/>
          <w:szCs w:val="28"/>
        </w:rPr>
        <w:t>E-File</w:t>
      </w:r>
      <w:r w:rsidR="00AF113C" w:rsidRPr="003F6668">
        <w:rPr>
          <w:b/>
          <w:szCs w:val="28"/>
        </w:rPr>
        <w:t xml:space="preserve"> (Form 2290)</w:t>
      </w:r>
      <w:r w:rsidRPr="003F6668">
        <w:rPr>
          <w:b/>
          <w:szCs w:val="28"/>
        </w:rPr>
        <w:t xml:space="preserve"> </w:t>
      </w:r>
      <w:r w:rsidR="00AF3927" w:rsidRPr="003F6668">
        <w:rPr>
          <w:b/>
          <w:szCs w:val="28"/>
        </w:rPr>
        <w:t>Customer Satisfaction</w:t>
      </w:r>
      <w:r w:rsidR="00F762F5" w:rsidRPr="003F6668">
        <w:rPr>
          <w:b/>
          <w:szCs w:val="28"/>
        </w:rPr>
        <w:t xml:space="preserve"> Mail</w:t>
      </w:r>
      <w:r w:rsidR="00AF3927" w:rsidRPr="003F6668">
        <w:rPr>
          <w:b/>
          <w:szCs w:val="28"/>
        </w:rPr>
        <w:t xml:space="preserve"> Survey</w:t>
      </w:r>
    </w:p>
    <w:p w:rsidR="00AF3927" w:rsidRDefault="00AF3927" w:rsidP="00AF3927"/>
    <w:p w:rsidR="00AF3927" w:rsidRDefault="00AF3927" w:rsidP="00AF3927"/>
    <w:p w:rsidR="00AF3927" w:rsidRDefault="00AF3927" w:rsidP="00AF3927">
      <w:pPr>
        <w:pStyle w:val="ListParagraph"/>
        <w:numPr>
          <w:ilvl w:val="0"/>
          <w:numId w:val="20"/>
        </w:numPr>
        <w:ind w:left="0"/>
        <w:rPr>
          <w:b/>
        </w:rPr>
      </w:pPr>
      <w:r>
        <w:rPr>
          <w:b/>
        </w:rPr>
        <w:t>JUSTIFICATION</w:t>
      </w:r>
    </w:p>
    <w:p w:rsidR="00AF3927" w:rsidRDefault="00AF3927" w:rsidP="00AF3927">
      <w:pPr>
        <w:numPr>
          <w:ilvl w:val="0"/>
          <w:numId w:val="21"/>
        </w:numPr>
        <w:spacing w:before="100" w:beforeAutospacing="1" w:after="100" w:afterAutospacing="1"/>
        <w:ind w:left="0"/>
        <w:contextualSpacing/>
        <w:rPr>
          <w:b/>
        </w:rPr>
      </w:pPr>
      <w:r>
        <w:rPr>
          <w:b/>
        </w:rPr>
        <w:t>Circumstances Making the Collection of Information Necessary</w:t>
      </w:r>
    </w:p>
    <w:p w:rsidR="00AF3927" w:rsidRDefault="00AF3927" w:rsidP="00AF3927">
      <w:pPr>
        <w:spacing w:before="100" w:beforeAutospacing="1" w:after="100" w:afterAutospacing="1"/>
        <w:contextualSpacing/>
        <w:rPr>
          <w:b/>
        </w:rPr>
      </w:pPr>
    </w:p>
    <w:p w:rsidR="00953889" w:rsidRPr="003312B4" w:rsidRDefault="00953889" w:rsidP="00953889">
      <w:pPr>
        <w:autoSpaceDE w:val="0"/>
        <w:autoSpaceDN w:val="0"/>
        <w:adjustRightInd w:val="0"/>
        <w:rPr>
          <w:color w:val="000000"/>
        </w:rPr>
      </w:pPr>
      <w:r w:rsidRPr="003312B4">
        <w:rPr>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2971F7" w:rsidRPr="00626616" w:rsidRDefault="002971F7" w:rsidP="00953889">
      <w:pPr>
        <w:autoSpaceDE w:val="0"/>
        <w:autoSpaceDN w:val="0"/>
        <w:adjustRightInd w:val="0"/>
        <w:rPr>
          <w:color w:val="000000"/>
          <w:highlight w:val="yellow"/>
        </w:rPr>
      </w:pPr>
    </w:p>
    <w:p w:rsidR="003312B4" w:rsidRPr="00C577F9" w:rsidRDefault="003312B4" w:rsidP="00953889">
      <w:pPr>
        <w:pStyle w:val="BodyTextIndent2"/>
        <w:spacing w:after="0" w:line="240" w:lineRule="auto"/>
        <w:ind w:left="0"/>
        <w:rPr>
          <w:highlight w:val="yellow"/>
        </w:rPr>
      </w:pPr>
      <w:r w:rsidRPr="003F6668">
        <w:rPr>
          <w:rFonts w:cs="TimesNewRoman"/>
        </w:rPr>
        <w:t>We want to target</w:t>
      </w:r>
      <w:r w:rsidR="00AF113C" w:rsidRPr="003F6668">
        <w:rPr>
          <w:rFonts w:cs="TimesNewRoman"/>
        </w:rPr>
        <w:t xml:space="preserve"> people who are required to file a </w:t>
      </w:r>
      <w:r w:rsidR="00AF113C" w:rsidRPr="003F6668">
        <w:rPr>
          <w:rFonts w:cs="TimesNewRoman"/>
          <w:i/>
        </w:rPr>
        <w:t>Heavy Highway Vehicle Use Tax Return</w:t>
      </w:r>
      <w:r w:rsidR="00AF113C" w:rsidRPr="003F6668">
        <w:rPr>
          <w:rFonts w:cs="TimesNewRoman"/>
        </w:rPr>
        <w:t xml:space="preserve"> using Form 2290.</w:t>
      </w:r>
      <w:r w:rsidRPr="003F6668">
        <w:rPr>
          <w:rFonts w:cs="TimesNewRoman"/>
        </w:rPr>
        <w:t xml:space="preserve"> </w:t>
      </w:r>
      <w:r w:rsidR="00AF113C" w:rsidRPr="003F6668">
        <w:rPr>
          <w:rFonts w:cs="TimesNewRoman"/>
        </w:rPr>
        <w:t>We want</w:t>
      </w:r>
      <w:r w:rsidR="00AF113C" w:rsidRPr="007258C4">
        <w:rPr>
          <w:rFonts w:cs="TimesNewRoman"/>
        </w:rPr>
        <w:t xml:space="preserve"> to </w:t>
      </w:r>
      <w:r w:rsidR="00AF113C">
        <w:rPr>
          <w:color w:val="252525"/>
        </w:rPr>
        <w:t>understand the reasons why they choose to submit their tax return via paper submission or electronically.</w:t>
      </w:r>
      <w:r w:rsidR="00AF113C">
        <w:rPr>
          <w:rFonts w:cs="TimesNewRoman"/>
        </w:rPr>
        <w:t xml:space="preserve"> The IRS</w:t>
      </w:r>
      <w:r w:rsidR="003F6668">
        <w:rPr>
          <w:rFonts w:cs="TimesNewRoman"/>
        </w:rPr>
        <w:t xml:space="preserve"> would like to identify</w:t>
      </w:r>
      <w:r w:rsidR="00AF113C">
        <w:rPr>
          <w:rFonts w:cs="TimesNewRoman"/>
        </w:rPr>
        <w:t xml:space="preserve"> taxpayers</w:t>
      </w:r>
      <w:r w:rsidR="003F6668">
        <w:rPr>
          <w:rFonts w:cs="TimesNewRoman"/>
        </w:rPr>
        <w:t>’</w:t>
      </w:r>
      <w:r w:rsidR="00AF113C">
        <w:rPr>
          <w:rFonts w:cs="TimesNewRoman"/>
        </w:rPr>
        <w:t xml:space="preserve"> experience with electronic filing, or the barriers that keep them from filing electronically so we can remove those barriers</w:t>
      </w:r>
      <w:r w:rsidR="003F6668">
        <w:rPr>
          <w:rFonts w:cs="TimesNewRoman"/>
        </w:rPr>
        <w:t xml:space="preserve"> and</w:t>
      </w:r>
      <w:r w:rsidR="00AF113C">
        <w:rPr>
          <w:rFonts w:cs="TimesNewRoman"/>
        </w:rPr>
        <w:t xml:space="preserve"> identify improvement opportunities. </w:t>
      </w:r>
    </w:p>
    <w:p w:rsidR="00AF3927" w:rsidRDefault="00AF3927" w:rsidP="00AF3927"/>
    <w:p w:rsidR="00AF3927" w:rsidRDefault="00AF3927" w:rsidP="00AF3927">
      <w:pPr>
        <w:pStyle w:val="ListParagraph"/>
        <w:numPr>
          <w:ilvl w:val="0"/>
          <w:numId w:val="21"/>
        </w:numPr>
        <w:ind w:left="0"/>
        <w:rPr>
          <w:b/>
        </w:rPr>
      </w:pPr>
      <w:r>
        <w:rPr>
          <w:b/>
        </w:rPr>
        <w:t>Purpose and Use of the Information Collection</w:t>
      </w:r>
    </w:p>
    <w:p w:rsidR="00AF3927" w:rsidRDefault="00AF3927" w:rsidP="00AF3927">
      <w:pPr>
        <w:rPr>
          <w:highlight w:val="yellow"/>
        </w:rPr>
      </w:pPr>
    </w:p>
    <w:p w:rsidR="00953889" w:rsidRPr="003312B4" w:rsidRDefault="0011085F" w:rsidP="000E67ED">
      <w:pPr>
        <w:autoSpaceDE w:val="0"/>
        <w:autoSpaceDN w:val="0"/>
        <w:adjustRightInd w:val="0"/>
      </w:pPr>
      <w:r>
        <w:t>Excise Tax</w:t>
      </w:r>
      <w:r w:rsidRPr="003312B4">
        <w:t xml:space="preserve"> management is motivated to </w:t>
      </w:r>
      <w:r>
        <w:t>identify the barriers preventing more F</w:t>
      </w:r>
      <w:r w:rsidR="000E67ED">
        <w:t xml:space="preserve">orm </w:t>
      </w:r>
      <w:r>
        <w:t>2290 filers from e-filing and to suggest strategies to remove these barriers and increase the rate of F</w:t>
      </w:r>
      <w:r w:rsidR="000E67ED">
        <w:t xml:space="preserve">orm </w:t>
      </w:r>
      <w:r>
        <w:t>2290 e-filing</w:t>
      </w:r>
      <w:r w:rsidR="000E67ED">
        <w:t xml:space="preserve">. Survey results will be used to </w:t>
      </w:r>
      <w:r w:rsidR="00953889" w:rsidRPr="003312B4">
        <w:t>identify improvement opportunities and as the basis for enacting improvements.</w:t>
      </w:r>
    </w:p>
    <w:p w:rsidR="00953889" w:rsidRPr="00626616" w:rsidRDefault="00953889" w:rsidP="00AF3927">
      <w:pPr>
        <w:rPr>
          <w:highlight w:val="yellow"/>
        </w:rPr>
      </w:pPr>
    </w:p>
    <w:p w:rsidR="00AF3927" w:rsidRDefault="00AF3927" w:rsidP="00AF3927">
      <w:pPr>
        <w:pStyle w:val="ListParagraph"/>
        <w:numPr>
          <w:ilvl w:val="0"/>
          <w:numId w:val="21"/>
        </w:numPr>
        <w:ind w:left="0"/>
        <w:rPr>
          <w:b/>
        </w:rPr>
      </w:pPr>
      <w:r>
        <w:rPr>
          <w:b/>
        </w:rPr>
        <w:t>Consideration Given to Information Technology</w:t>
      </w:r>
    </w:p>
    <w:p w:rsidR="00AF3927" w:rsidRDefault="00AF3927" w:rsidP="00AF3927">
      <w:pPr>
        <w:rPr>
          <w:highlight w:val="yellow"/>
        </w:rPr>
      </w:pPr>
    </w:p>
    <w:p w:rsidR="00C91B81" w:rsidRPr="002971F7" w:rsidRDefault="00591778" w:rsidP="00C91B81">
      <w:pPr>
        <w:pStyle w:val="BodyTextIndent2"/>
        <w:spacing w:after="0" w:line="240" w:lineRule="auto"/>
        <w:ind w:left="0"/>
      </w:pPr>
      <w:r>
        <w:t xml:space="preserve">The </w:t>
      </w:r>
      <w:r w:rsidR="00FA5D35">
        <w:t>E-File</w:t>
      </w:r>
      <w:r w:rsidR="005A5C4F">
        <w:t xml:space="preserve"> s</w:t>
      </w:r>
      <w:r w:rsidR="00953889" w:rsidRPr="002971F7">
        <w:t>urvey</w:t>
      </w:r>
      <w:r w:rsidR="00AF3927" w:rsidRPr="002971F7">
        <w:t xml:space="preserve"> will be </w:t>
      </w:r>
      <w:r w:rsidR="00953889" w:rsidRPr="002971F7">
        <w:t xml:space="preserve">administered </w:t>
      </w:r>
      <w:r w:rsidR="00C91B81" w:rsidRPr="002971F7">
        <w:t xml:space="preserve">by mail </w:t>
      </w:r>
      <w:r w:rsidR="00626616">
        <w:t>as a one-time survey.</w:t>
      </w:r>
      <w:r w:rsidR="00953889" w:rsidRPr="002971F7">
        <w:t xml:space="preserve"> </w:t>
      </w:r>
    </w:p>
    <w:p w:rsidR="00AF3927" w:rsidRDefault="00AF3927" w:rsidP="00AF3927"/>
    <w:p w:rsidR="00AF3927" w:rsidRDefault="00AF3927" w:rsidP="00AF3927">
      <w:pPr>
        <w:pStyle w:val="ListParagraph"/>
        <w:numPr>
          <w:ilvl w:val="0"/>
          <w:numId w:val="21"/>
        </w:numPr>
        <w:ind w:left="0"/>
        <w:rPr>
          <w:b/>
        </w:rPr>
      </w:pPr>
      <w:r>
        <w:rPr>
          <w:b/>
        </w:rPr>
        <w:t xml:space="preserve"> Duplication of Information</w:t>
      </w:r>
    </w:p>
    <w:p w:rsidR="00AF3927" w:rsidRDefault="00AF3927" w:rsidP="00AF3927"/>
    <w:p w:rsidR="005A5C4F" w:rsidRDefault="00AF3927" w:rsidP="00AF3927">
      <w:r>
        <w:t xml:space="preserve">This survey will provide valuable information that is not available in any internal IRS data source. </w:t>
      </w:r>
    </w:p>
    <w:p w:rsidR="00AF3927" w:rsidRDefault="00AF3927" w:rsidP="00AF3927">
      <w:r>
        <w:t xml:space="preserve"> </w:t>
      </w:r>
    </w:p>
    <w:p w:rsidR="00AF3927" w:rsidRPr="00742A42" w:rsidRDefault="00AF3927" w:rsidP="00742A42">
      <w:pPr>
        <w:pStyle w:val="ListParagraph"/>
        <w:numPr>
          <w:ilvl w:val="0"/>
          <w:numId w:val="21"/>
        </w:numPr>
        <w:ind w:left="0"/>
        <w:rPr>
          <w:b/>
        </w:rPr>
      </w:pPr>
      <w:r w:rsidRPr="00742A42">
        <w:rPr>
          <w:b/>
        </w:rPr>
        <w:t>Reducing the Burden on Small Entities</w:t>
      </w:r>
    </w:p>
    <w:p w:rsidR="005A5C4F" w:rsidRDefault="00742A42" w:rsidP="005A5C4F">
      <w:pPr>
        <w:rPr>
          <w:rFonts w:cs="Arial"/>
          <w:szCs w:val="22"/>
        </w:rPr>
      </w:pPr>
      <w:r>
        <w:rPr>
          <w:rFonts w:cs="Arial"/>
          <w:szCs w:val="22"/>
        </w:rPr>
        <w:t>N/A</w:t>
      </w:r>
    </w:p>
    <w:p w:rsidR="00AF3927" w:rsidRDefault="00AF3927" w:rsidP="00C91B81"/>
    <w:p w:rsidR="00AF3927" w:rsidRPr="00722F01" w:rsidRDefault="00AF3927" w:rsidP="00C91B81">
      <w:pPr>
        <w:pStyle w:val="ListParagraph"/>
        <w:numPr>
          <w:ilvl w:val="0"/>
          <w:numId w:val="21"/>
        </w:numPr>
        <w:ind w:left="0"/>
        <w:rPr>
          <w:b/>
        </w:rPr>
      </w:pPr>
      <w:r w:rsidRPr="00722F01">
        <w:rPr>
          <w:b/>
        </w:rPr>
        <w:t xml:space="preserve">Consequences of Not Conducting Collection </w:t>
      </w:r>
    </w:p>
    <w:p w:rsidR="00F60A9D" w:rsidRPr="00722F01" w:rsidRDefault="00F60A9D" w:rsidP="00F60A9D">
      <w:pPr>
        <w:rPr>
          <w:rFonts w:cs="Arial"/>
          <w:bCs/>
          <w:szCs w:val="22"/>
        </w:rPr>
      </w:pPr>
    </w:p>
    <w:p w:rsidR="0098415C" w:rsidRPr="00C577F9" w:rsidRDefault="00F30D6E" w:rsidP="0098415C">
      <w:pPr>
        <w:pStyle w:val="BodyTextIndent2"/>
        <w:spacing w:after="0" w:line="240" w:lineRule="auto"/>
        <w:ind w:left="0"/>
        <w:rPr>
          <w:highlight w:val="yellow"/>
        </w:rPr>
      </w:pPr>
      <w:r w:rsidRPr="00722F01">
        <w:rPr>
          <w:rFonts w:cs="Arial"/>
          <w:bCs/>
          <w:szCs w:val="22"/>
        </w:rPr>
        <w:t>If survey is not conducted</w:t>
      </w:r>
      <w:r w:rsidR="0098415C" w:rsidRPr="00722F01">
        <w:rPr>
          <w:rFonts w:cs="Arial"/>
          <w:bCs/>
          <w:szCs w:val="22"/>
        </w:rPr>
        <w:t xml:space="preserve">, </w:t>
      </w:r>
      <w:r w:rsidR="0011085F">
        <w:rPr>
          <w:rFonts w:cs="Arial"/>
          <w:bCs/>
          <w:szCs w:val="22"/>
        </w:rPr>
        <w:t>Excise Tax management</w:t>
      </w:r>
      <w:r w:rsidR="0098415C" w:rsidRPr="00722F01">
        <w:rPr>
          <w:rFonts w:cs="Arial"/>
          <w:bCs/>
          <w:szCs w:val="22"/>
        </w:rPr>
        <w:t xml:space="preserve"> will not</w:t>
      </w:r>
      <w:r w:rsidR="0098415C" w:rsidRPr="00722F01">
        <w:rPr>
          <w:rFonts w:cs="TimesNewRoman"/>
        </w:rPr>
        <w:t xml:space="preserve"> </w:t>
      </w:r>
      <w:r w:rsidR="0098415C" w:rsidRPr="00722F01">
        <w:rPr>
          <w:color w:val="252525"/>
        </w:rPr>
        <w:t>know the reasons</w:t>
      </w:r>
      <w:r w:rsidR="0098415C">
        <w:rPr>
          <w:color w:val="252525"/>
        </w:rPr>
        <w:t xml:space="preserve"> why taxpayers choose to submit their </w:t>
      </w:r>
      <w:r w:rsidR="0098415C" w:rsidRPr="003F6668">
        <w:rPr>
          <w:rFonts w:cs="TimesNewRoman"/>
          <w:i/>
        </w:rPr>
        <w:t>Heavy Highway Vehicle Use Tax Return</w:t>
      </w:r>
      <w:r w:rsidR="0011085F">
        <w:rPr>
          <w:rFonts w:cs="TimesNewRoman"/>
          <w:i/>
        </w:rPr>
        <w:t>,</w:t>
      </w:r>
      <w:r w:rsidR="0098415C" w:rsidRPr="003F6668">
        <w:rPr>
          <w:rFonts w:cs="TimesNewRoman"/>
        </w:rPr>
        <w:t xml:space="preserve"> using Form 2290</w:t>
      </w:r>
      <w:r w:rsidR="0011085F">
        <w:rPr>
          <w:rFonts w:cs="TimesNewRoman"/>
        </w:rPr>
        <w:t>,</w:t>
      </w:r>
      <w:r w:rsidR="0098415C">
        <w:rPr>
          <w:color w:val="252525"/>
        </w:rPr>
        <w:t xml:space="preserve"> via paper submission instead of electronically.</w:t>
      </w:r>
      <w:r w:rsidR="0098415C" w:rsidRPr="0098415C">
        <w:rPr>
          <w:rFonts w:cs="TimesNewRoman"/>
        </w:rPr>
        <w:t xml:space="preserve"> </w:t>
      </w:r>
      <w:r w:rsidR="0098415C">
        <w:rPr>
          <w:rFonts w:cs="TimesNewRoman"/>
        </w:rPr>
        <w:t xml:space="preserve">The IRS </w:t>
      </w:r>
      <w:r w:rsidR="00722F01">
        <w:rPr>
          <w:rFonts w:cs="TimesNewRoman"/>
        </w:rPr>
        <w:t>will not be able to remove</w:t>
      </w:r>
      <w:r w:rsidR="0098415C">
        <w:rPr>
          <w:rFonts w:cs="TimesNewRoman"/>
        </w:rPr>
        <w:t xml:space="preserve"> the barriers that keep </w:t>
      </w:r>
      <w:r w:rsidR="00722F01">
        <w:rPr>
          <w:rFonts w:cs="TimesNewRoman"/>
        </w:rPr>
        <w:t>taxpayers</w:t>
      </w:r>
      <w:r w:rsidR="0098415C">
        <w:rPr>
          <w:rFonts w:cs="TimesNewRoman"/>
        </w:rPr>
        <w:t xml:space="preserve"> from filing electronically and identify improvement opportunities. </w:t>
      </w:r>
    </w:p>
    <w:p w:rsidR="0098415C" w:rsidRDefault="0098415C" w:rsidP="0098415C">
      <w:pPr>
        <w:pStyle w:val="BodyTextIndent2"/>
        <w:spacing w:after="0" w:line="240" w:lineRule="auto"/>
        <w:ind w:left="0"/>
        <w:rPr>
          <w:color w:val="252525"/>
        </w:rPr>
      </w:pPr>
    </w:p>
    <w:p w:rsidR="00AF3927" w:rsidRDefault="00AF3927" w:rsidP="00C91B81">
      <w:pPr>
        <w:pStyle w:val="ListParagraph"/>
        <w:numPr>
          <w:ilvl w:val="0"/>
          <w:numId w:val="21"/>
        </w:numPr>
        <w:ind w:left="0"/>
        <w:rPr>
          <w:b/>
        </w:rPr>
      </w:pPr>
      <w:r>
        <w:rPr>
          <w:b/>
        </w:rPr>
        <w:t>Special Circumstances</w:t>
      </w:r>
    </w:p>
    <w:p w:rsidR="008338F7" w:rsidRDefault="008338F7" w:rsidP="00C91B81"/>
    <w:p w:rsidR="00AF3927" w:rsidRPr="006B5400" w:rsidRDefault="00AF3927" w:rsidP="00C91B81">
      <w:pPr>
        <w:rPr>
          <w:b/>
        </w:rPr>
      </w:pPr>
      <w:r w:rsidRPr="006B5400">
        <w:t>There are no special circumstances. The information collected will be voluntary</w:t>
      </w:r>
      <w:r w:rsidR="006B5400" w:rsidRPr="006B5400">
        <w:t>.</w:t>
      </w:r>
      <w:r w:rsidR="00A02828" w:rsidRPr="006B5400">
        <w:t xml:space="preserve"> </w:t>
      </w:r>
      <w:r w:rsidR="00A02828" w:rsidRPr="006B5400">
        <w:rPr>
          <w:rStyle w:val="Strong"/>
          <w:b w:val="0"/>
        </w:rPr>
        <w:t>These statistics could be used in making management decisions such as in business improvement opportunities.</w:t>
      </w:r>
    </w:p>
    <w:p w:rsidR="00AF3927" w:rsidRDefault="00AF3927" w:rsidP="00C91B81"/>
    <w:p w:rsidR="00AF3927" w:rsidRDefault="00AF3927" w:rsidP="00C91B81">
      <w:pPr>
        <w:pStyle w:val="ListParagraph"/>
        <w:numPr>
          <w:ilvl w:val="0"/>
          <w:numId w:val="21"/>
        </w:numPr>
        <w:ind w:left="0"/>
        <w:rPr>
          <w:b/>
        </w:rPr>
      </w:pPr>
      <w:r>
        <w:rPr>
          <w:b/>
        </w:rPr>
        <w:t>Consultations with Persons Outside the Agency</w:t>
      </w:r>
    </w:p>
    <w:p w:rsidR="00AF3927" w:rsidRDefault="00AF3927" w:rsidP="00C91B81">
      <w:r>
        <w:t>N</w:t>
      </w:r>
      <w:r w:rsidR="004C4D5D">
        <w:t>/</w:t>
      </w:r>
      <w:r>
        <w:t>A</w:t>
      </w:r>
    </w:p>
    <w:p w:rsidR="00AF3927" w:rsidRDefault="00AF3927" w:rsidP="00C91B81"/>
    <w:p w:rsidR="00AF3927" w:rsidRPr="004C4D5D" w:rsidRDefault="00AF3927" w:rsidP="004C4D5D">
      <w:pPr>
        <w:pStyle w:val="ListParagraph"/>
        <w:numPr>
          <w:ilvl w:val="0"/>
          <w:numId w:val="21"/>
        </w:numPr>
        <w:ind w:left="0"/>
        <w:rPr>
          <w:b/>
        </w:rPr>
      </w:pPr>
      <w:r w:rsidRPr="004C4D5D">
        <w:rPr>
          <w:b/>
        </w:rPr>
        <w:t>Payment or Gift</w:t>
      </w:r>
    </w:p>
    <w:p w:rsidR="00AF3927" w:rsidRDefault="004C4D5D" w:rsidP="00C91B81">
      <w:r>
        <w:t>N/A</w:t>
      </w:r>
    </w:p>
    <w:p w:rsidR="00AF3927" w:rsidRDefault="00AF3927" w:rsidP="00C91B81"/>
    <w:p w:rsidR="00AF3927" w:rsidRDefault="00AF3927" w:rsidP="00C91B81">
      <w:pPr>
        <w:pStyle w:val="ListParagraph"/>
        <w:numPr>
          <w:ilvl w:val="0"/>
          <w:numId w:val="21"/>
        </w:numPr>
        <w:ind w:left="0"/>
        <w:rPr>
          <w:b/>
        </w:rPr>
      </w:pPr>
      <w:r>
        <w:rPr>
          <w:b/>
        </w:rPr>
        <w:t xml:space="preserve"> Confidentiality </w:t>
      </w:r>
    </w:p>
    <w:p w:rsidR="002F468F" w:rsidRDefault="002F468F" w:rsidP="002F468F">
      <w:pPr>
        <w:autoSpaceDE w:val="0"/>
        <w:autoSpaceDN w:val="0"/>
        <w:adjustRightInd w:val="0"/>
      </w:pPr>
      <w:r w:rsidRPr="00102E11">
        <w:t>The data returned to IRS will have no identifying information relating specific records to individual taxpayers. Nonetheless, IRS will ensure that privacy to the extent allowed by law and security of the aggregated results will receive the utmost attention. Public and official access to the information will be tightly controlled. The computer files containing this tabulated information will remain password protected at all times.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rsidR="00AF3927" w:rsidRDefault="00AF3927" w:rsidP="00C91B81"/>
    <w:p w:rsidR="00AF3927" w:rsidRDefault="00AF3927" w:rsidP="00C91B81">
      <w:pPr>
        <w:pStyle w:val="ListParagraph"/>
        <w:numPr>
          <w:ilvl w:val="0"/>
          <w:numId w:val="21"/>
        </w:numPr>
        <w:ind w:left="0"/>
        <w:rPr>
          <w:b/>
        </w:rPr>
      </w:pPr>
      <w:r>
        <w:rPr>
          <w:b/>
        </w:rPr>
        <w:t>Sensitive Nature</w:t>
      </w:r>
    </w:p>
    <w:p w:rsidR="008338F7" w:rsidRDefault="008338F7" w:rsidP="00C91B81"/>
    <w:p w:rsidR="00AF3927" w:rsidRDefault="00AF3927" w:rsidP="00C91B81">
      <w:r>
        <w:t>No questions will be asked that are of a personal or sensitive nature.</w:t>
      </w:r>
    </w:p>
    <w:p w:rsidR="00AF3927" w:rsidRDefault="00AF3927" w:rsidP="00C91B81"/>
    <w:p w:rsidR="00AF3927" w:rsidRPr="00180D1A" w:rsidRDefault="00AF3927" w:rsidP="00C91B81">
      <w:pPr>
        <w:pStyle w:val="ListParagraph"/>
        <w:numPr>
          <w:ilvl w:val="0"/>
          <w:numId w:val="21"/>
        </w:numPr>
        <w:ind w:left="0"/>
        <w:rPr>
          <w:b/>
        </w:rPr>
      </w:pPr>
      <w:r w:rsidRPr="00180D1A">
        <w:rPr>
          <w:b/>
        </w:rPr>
        <w:t>Burden of Information Collection</w:t>
      </w:r>
    </w:p>
    <w:p w:rsidR="00F60A9D" w:rsidRPr="00180D1A" w:rsidRDefault="00F60A9D" w:rsidP="00F60A9D">
      <w:pPr>
        <w:pStyle w:val="ListParagraph"/>
        <w:ind w:left="-360"/>
        <w:rPr>
          <w:b/>
        </w:rPr>
      </w:pPr>
    </w:p>
    <w:p w:rsidR="00812FD0" w:rsidRPr="00180D1A" w:rsidRDefault="00812FD0" w:rsidP="00812FD0">
      <w:pPr>
        <w:rPr>
          <w:rFonts w:cs="Arial"/>
          <w:color w:val="000000"/>
          <w:szCs w:val="20"/>
        </w:rPr>
      </w:pPr>
      <w:r w:rsidRPr="00180D1A">
        <w:rPr>
          <w:rFonts w:cs="Arial"/>
          <w:szCs w:val="20"/>
        </w:rPr>
        <w:t xml:space="preserve">The </w:t>
      </w:r>
      <w:r w:rsidRPr="00180D1A">
        <w:rPr>
          <w:rFonts w:cs="Arial"/>
          <w:color w:val="000000"/>
          <w:szCs w:val="20"/>
        </w:rPr>
        <w:t xml:space="preserve">survey interview is designed to minimize burden on the taxpayer. The time that a respondent takes to complete the mail survey is carefully considered and only the most important areas are being surveyed. The average time of participation is expected to be 7 minutes. The questions are generally one sentence in structure and on an elementary concept level. </w:t>
      </w:r>
    </w:p>
    <w:p w:rsidR="00812FD0" w:rsidRPr="00180D1A" w:rsidRDefault="00812FD0" w:rsidP="00812FD0">
      <w:pPr>
        <w:rPr>
          <w:color w:val="000000"/>
        </w:rPr>
      </w:pPr>
    </w:p>
    <w:p w:rsidR="00812FD0" w:rsidRPr="00180D1A" w:rsidRDefault="00812FD0" w:rsidP="00812FD0">
      <w:pPr>
        <w:rPr>
          <w:rFonts w:cs="Arial"/>
          <w:szCs w:val="20"/>
        </w:rPr>
      </w:pPr>
      <w:r w:rsidRPr="00180D1A">
        <w:rPr>
          <w:rFonts w:cs="Arial"/>
          <w:color w:val="000000"/>
          <w:szCs w:val="20"/>
        </w:rPr>
        <w:t xml:space="preserve">Based on </w:t>
      </w:r>
      <w:r w:rsidRPr="00180D1A">
        <w:rPr>
          <w:rFonts w:cs="Arial"/>
          <w:szCs w:val="20"/>
        </w:rPr>
        <w:t xml:space="preserve">a sample of potential respondents of 2,000  and a response rate of 20%, we expect 400 survey participants, leaving 1,600 non-participants. The contact time to determine non-participants could take up to two minutes to read the pre-contact letter, with the resulting burden for </w:t>
      </w:r>
      <w:r w:rsidRPr="00180D1A">
        <w:rPr>
          <w:rFonts w:cs="Arial"/>
          <w:szCs w:val="20"/>
          <w:u w:val="single"/>
        </w:rPr>
        <w:t>non-participants</w:t>
      </w:r>
      <w:r w:rsidRPr="00180D1A">
        <w:rPr>
          <w:rFonts w:cs="Arial"/>
          <w:szCs w:val="20"/>
        </w:rPr>
        <w:t xml:space="preserve"> being 1,600 x 2 minutes = 3,200/60 minutes = 53.3 </w:t>
      </w:r>
      <w:r w:rsidRPr="00180D1A">
        <w:rPr>
          <w:rFonts w:cs="Arial"/>
          <w:szCs w:val="20"/>
          <w:u w:val="single"/>
        </w:rPr>
        <w:t xml:space="preserve"> burden hours</w:t>
      </w:r>
      <w:r w:rsidRPr="00180D1A">
        <w:rPr>
          <w:rFonts w:cs="Arial"/>
          <w:szCs w:val="20"/>
        </w:rPr>
        <w:t>.</w:t>
      </w:r>
    </w:p>
    <w:p w:rsidR="00812FD0" w:rsidRPr="00180D1A" w:rsidRDefault="00812FD0" w:rsidP="00812FD0"/>
    <w:p w:rsidR="00812FD0" w:rsidRPr="00180D1A" w:rsidRDefault="00812FD0" w:rsidP="00812FD0">
      <w:pPr>
        <w:rPr>
          <w:rFonts w:cs="Arial"/>
          <w:color w:val="000000"/>
          <w:szCs w:val="20"/>
        </w:rPr>
      </w:pPr>
      <w:r w:rsidRPr="00180D1A">
        <w:rPr>
          <w:rFonts w:cs="Arial"/>
          <w:szCs w:val="20"/>
        </w:rPr>
        <w:t xml:space="preserve">Participation time is expected to be </w:t>
      </w:r>
      <w:r w:rsidRPr="00180D1A">
        <w:rPr>
          <w:rFonts w:cs="Arial"/>
          <w:color w:val="000000"/>
          <w:szCs w:val="20"/>
        </w:rPr>
        <w:t xml:space="preserve">7 minutes. This reflects the time to read the pre-notification letter (2 minutes) and time needed to complete the survey (5 minutes maximum). The time burden for </w:t>
      </w:r>
      <w:r w:rsidRPr="00180D1A">
        <w:rPr>
          <w:rFonts w:cs="Arial"/>
          <w:color w:val="000000"/>
          <w:szCs w:val="20"/>
          <w:u w:val="single"/>
        </w:rPr>
        <w:t>participants</w:t>
      </w:r>
      <w:r w:rsidRPr="00180D1A">
        <w:rPr>
          <w:rFonts w:cs="Arial"/>
          <w:color w:val="000000"/>
          <w:szCs w:val="20"/>
        </w:rPr>
        <w:t xml:space="preserve"> is 400 x 7 = 2,800/60 minutes = 46.7 </w:t>
      </w:r>
      <w:r w:rsidRPr="00180D1A">
        <w:rPr>
          <w:rFonts w:cs="Arial"/>
          <w:color w:val="000000"/>
          <w:szCs w:val="20"/>
          <w:u w:val="single"/>
        </w:rPr>
        <w:t>burden hours</w:t>
      </w:r>
      <w:r w:rsidRPr="00180D1A">
        <w:rPr>
          <w:rFonts w:cs="Arial"/>
          <w:color w:val="000000"/>
          <w:szCs w:val="20"/>
        </w:rPr>
        <w:t>.</w:t>
      </w:r>
    </w:p>
    <w:p w:rsidR="00812FD0" w:rsidRPr="00180D1A" w:rsidRDefault="00812FD0" w:rsidP="00812FD0">
      <w:pPr>
        <w:rPr>
          <w:rFonts w:cs="Arial"/>
          <w:color w:val="000000"/>
          <w:szCs w:val="20"/>
        </w:rPr>
      </w:pPr>
    </w:p>
    <w:p w:rsidR="00812FD0" w:rsidRPr="00751D88" w:rsidRDefault="00812FD0" w:rsidP="00812FD0">
      <w:pPr>
        <w:rPr>
          <w:color w:val="000000"/>
        </w:rPr>
      </w:pPr>
      <w:r w:rsidRPr="00180D1A">
        <w:rPr>
          <w:color w:val="000000"/>
        </w:rPr>
        <w:t xml:space="preserve">The total burden hours for the survey is (53.3 + 46.7) = </w:t>
      </w:r>
      <w:r w:rsidRPr="00180D1A">
        <w:rPr>
          <w:b/>
          <w:color w:val="000000"/>
          <w:u w:val="single"/>
        </w:rPr>
        <w:t>100 burden hours</w:t>
      </w:r>
    </w:p>
    <w:p w:rsidR="00812FD0" w:rsidRDefault="00812FD0" w:rsidP="00812FD0">
      <w:pPr>
        <w:rPr>
          <w:rFonts w:ascii="Arial" w:hAnsi="Arial" w:cs="Arial"/>
          <w:sz w:val="20"/>
          <w:szCs w:val="20"/>
        </w:rPr>
      </w:pPr>
    </w:p>
    <w:p w:rsidR="00812FD0" w:rsidRDefault="00812FD0" w:rsidP="00812FD0">
      <w:pPr>
        <w:rPr>
          <w:rFonts w:cs="Arial"/>
          <w:szCs w:val="20"/>
        </w:rPr>
      </w:pPr>
      <w:r w:rsidRPr="00812FD0">
        <w:t xml:space="preserve">Minor revisions, that will not impact the burden hours, may be made to the survey questionnaire.  </w:t>
      </w:r>
      <w:r w:rsidRPr="00812FD0">
        <w:rPr>
          <w:rFonts w:cs="Arial"/>
          <w:szCs w:val="20"/>
        </w:rPr>
        <w:t xml:space="preserve">If changes are made to the questionnaire, only minor changes are expected. Revising the coding scheme for </w:t>
      </w:r>
      <w:r w:rsidR="00722F01">
        <w:rPr>
          <w:rFonts w:cs="Arial"/>
          <w:szCs w:val="20"/>
        </w:rPr>
        <w:t>comments</w:t>
      </w:r>
      <w:r w:rsidRPr="00812FD0">
        <w:rPr>
          <w:rFonts w:cs="Arial"/>
          <w:szCs w:val="20"/>
        </w:rPr>
        <w:t xml:space="preserve"> is one example.</w:t>
      </w:r>
    </w:p>
    <w:p w:rsidR="00812FD0" w:rsidRPr="00751D88" w:rsidRDefault="00812FD0" w:rsidP="00812FD0">
      <w:pPr>
        <w:rPr>
          <w:rFonts w:ascii="Arial" w:hAnsi="Arial" w:cs="Arial"/>
          <w:sz w:val="20"/>
          <w:szCs w:val="20"/>
        </w:rPr>
      </w:pPr>
    </w:p>
    <w:p w:rsidR="00812FD0" w:rsidRPr="00722F01" w:rsidRDefault="0003024E" w:rsidP="00812FD0">
      <w:pPr>
        <w:rPr>
          <w:rFonts w:cs="Arial"/>
          <w:szCs w:val="20"/>
          <w:u w:val="single"/>
        </w:rPr>
      </w:pPr>
      <w:r w:rsidRPr="00722F01">
        <w:rPr>
          <w:rFonts w:cs="Arial"/>
          <w:szCs w:val="20"/>
          <w:u w:val="single"/>
        </w:rPr>
        <w:t xml:space="preserve">E-File </w:t>
      </w:r>
      <w:r w:rsidR="00812FD0" w:rsidRPr="00722F01">
        <w:rPr>
          <w:rFonts w:cs="Arial"/>
          <w:szCs w:val="20"/>
          <w:u w:val="single"/>
        </w:rPr>
        <w:t>Survey</w:t>
      </w:r>
    </w:p>
    <w:p w:rsidR="00812FD0" w:rsidRPr="00722F01" w:rsidRDefault="00812FD0" w:rsidP="00812FD0">
      <w:pPr>
        <w:ind w:left="360"/>
        <w:rPr>
          <w:rFonts w:cs="Arial"/>
          <w:szCs w:val="20"/>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7"/>
        <w:gridCol w:w="1530"/>
        <w:gridCol w:w="1710"/>
        <w:gridCol w:w="1003"/>
      </w:tblGrid>
      <w:tr w:rsidR="00812FD0" w:rsidRPr="00722F01"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Participation Time</w:t>
            </w: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Burden</w:t>
            </w:r>
          </w:p>
        </w:tc>
      </w:tr>
      <w:tr w:rsidR="00812FD0" w:rsidRPr="00722F01"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812FD0" w:rsidRPr="00722F01" w:rsidRDefault="0003024E" w:rsidP="00845E62">
            <w:pPr>
              <w:rPr>
                <w:rFonts w:cs="Arial"/>
                <w:szCs w:val="20"/>
              </w:rPr>
            </w:pPr>
            <w:r w:rsidRPr="00722F01">
              <w:rPr>
                <w:rFonts w:cs="Arial"/>
                <w:szCs w:val="20"/>
              </w:rPr>
              <w:t>E-File</w:t>
            </w:r>
            <w:r w:rsidR="00812FD0" w:rsidRPr="00722F01">
              <w:rPr>
                <w:rFonts w:cs="Arial"/>
                <w:szCs w:val="20"/>
              </w:rPr>
              <w:t xml:space="preserve"> Non-participant </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szCs w:val="20"/>
              </w:rPr>
            </w:pPr>
            <w:r w:rsidRPr="00722F01">
              <w:rPr>
                <w:rFonts w:cs="Arial"/>
                <w:szCs w:val="20"/>
              </w:rPr>
              <w:t>1,600</w:t>
            </w:r>
          </w:p>
        </w:tc>
        <w:tc>
          <w:tcPr>
            <w:tcW w:w="171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szCs w:val="20"/>
              </w:rPr>
            </w:pPr>
            <w:r w:rsidRPr="00722F01">
              <w:rPr>
                <w:rFonts w:cs="Arial"/>
                <w:szCs w:val="20"/>
              </w:rPr>
              <w:t>2 min</w:t>
            </w: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szCs w:val="20"/>
              </w:rPr>
            </w:pPr>
            <w:r w:rsidRPr="00722F01">
              <w:rPr>
                <w:rFonts w:cs="Arial"/>
                <w:szCs w:val="20"/>
              </w:rPr>
              <w:t>53.3</w:t>
            </w:r>
          </w:p>
        </w:tc>
      </w:tr>
      <w:tr w:rsidR="00812FD0" w:rsidRPr="00722F01" w:rsidTr="00845E62">
        <w:trPr>
          <w:trHeight w:val="274"/>
        </w:trPr>
        <w:tc>
          <w:tcPr>
            <w:tcW w:w="5418" w:type="dxa"/>
            <w:tcBorders>
              <w:top w:val="single" w:sz="4" w:space="0" w:color="auto"/>
              <w:left w:val="single" w:sz="4" w:space="0" w:color="auto"/>
              <w:bottom w:val="single" w:sz="4" w:space="0" w:color="auto"/>
              <w:right w:val="single" w:sz="4" w:space="0" w:color="auto"/>
            </w:tcBorders>
            <w:hideMark/>
          </w:tcPr>
          <w:p w:rsidR="00812FD0" w:rsidRPr="00722F01" w:rsidRDefault="0003024E" w:rsidP="00845E62">
            <w:pPr>
              <w:rPr>
                <w:rFonts w:cs="Arial"/>
                <w:szCs w:val="20"/>
              </w:rPr>
            </w:pPr>
            <w:r w:rsidRPr="00722F01">
              <w:rPr>
                <w:rFonts w:cs="Arial"/>
                <w:szCs w:val="20"/>
              </w:rPr>
              <w:t>E-File</w:t>
            </w:r>
            <w:r w:rsidR="00812FD0" w:rsidRPr="00722F01">
              <w:rPr>
                <w:rFonts w:cs="Arial"/>
                <w:szCs w:val="20"/>
              </w:rPr>
              <w:t xml:space="preserve"> Expected Participants</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szCs w:val="20"/>
              </w:rPr>
            </w:pPr>
            <w:r w:rsidRPr="00722F01">
              <w:rPr>
                <w:rFonts w:cs="Arial"/>
                <w:szCs w:val="20"/>
              </w:rPr>
              <w:t>400</w:t>
            </w:r>
          </w:p>
        </w:tc>
        <w:tc>
          <w:tcPr>
            <w:tcW w:w="171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szCs w:val="20"/>
              </w:rPr>
            </w:pPr>
            <w:r w:rsidRPr="00722F01">
              <w:rPr>
                <w:rFonts w:cs="Arial"/>
                <w:szCs w:val="20"/>
              </w:rPr>
              <w:t>7 min</w:t>
            </w: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szCs w:val="20"/>
              </w:rPr>
            </w:pPr>
            <w:r w:rsidRPr="00722F01">
              <w:rPr>
                <w:rFonts w:cs="Arial"/>
                <w:szCs w:val="20"/>
              </w:rPr>
              <w:t>46.7</w:t>
            </w:r>
          </w:p>
        </w:tc>
      </w:tr>
      <w:tr w:rsidR="00812FD0" w:rsidRPr="00722F01" w:rsidTr="00845E62">
        <w:trPr>
          <w:trHeight w:val="289"/>
        </w:trPr>
        <w:tc>
          <w:tcPr>
            <w:tcW w:w="5418"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Totals</w:t>
            </w:r>
          </w:p>
        </w:tc>
        <w:tc>
          <w:tcPr>
            <w:tcW w:w="1530"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2,000</w:t>
            </w:r>
          </w:p>
        </w:tc>
        <w:tc>
          <w:tcPr>
            <w:tcW w:w="1710" w:type="dxa"/>
            <w:tcBorders>
              <w:top w:val="single" w:sz="4" w:space="0" w:color="auto"/>
              <w:left w:val="single" w:sz="4" w:space="0" w:color="auto"/>
              <w:bottom w:val="single" w:sz="4" w:space="0" w:color="auto"/>
              <w:right w:val="single" w:sz="4" w:space="0" w:color="auto"/>
            </w:tcBorders>
          </w:tcPr>
          <w:p w:rsidR="00812FD0" w:rsidRPr="00722F01" w:rsidRDefault="00812FD0" w:rsidP="00845E62">
            <w:pPr>
              <w:rPr>
                <w:rFonts w:cs="Arial"/>
                <w:szCs w:val="20"/>
              </w:rPr>
            </w:pPr>
          </w:p>
        </w:tc>
        <w:tc>
          <w:tcPr>
            <w:tcW w:w="1003" w:type="dxa"/>
            <w:tcBorders>
              <w:top w:val="single" w:sz="4" w:space="0" w:color="auto"/>
              <w:left w:val="single" w:sz="4" w:space="0" w:color="auto"/>
              <w:bottom w:val="single" w:sz="4" w:space="0" w:color="auto"/>
              <w:right w:val="single" w:sz="4" w:space="0" w:color="auto"/>
            </w:tcBorders>
            <w:hideMark/>
          </w:tcPr>
          <w:p w:rsidR="00812FD0" w:rsidRPr="00722F01" w:rsidRDefault="00812FD0" w:rsidP="00845E62">
            <w:pPr>
              <w:rPr>
                <w:rFonts w:cs="Arial"/>
                <w:b/>
                <w:szCs w:val="20"/>
              </w:rPr>
            </w:pPr>
            <w:r w:rsidRPr="00722F01">
              <w:rPr>
                <w:rFonts w:cs="Arial"/>
                <w:b/>
                <w:szCs w:val="20"/>
              </w:rPr>
              <w:t>100</w:t>
            </w:r>
          </w:p>
        </w:tc>
      </w:tr>
    </w:tbl>
    <w:p w:rsidR="00812FD0" w:rsidRPr="00722F01" w:rsidRDefault="00812FD0" w:rsidP="00812FD0">
      <w:pPr>
        <w:rPr>
          <w:rFonts w:cs="Arial"/>
          <w:szCs w:val="20"/>
        </w:rPr>
      </w:pPr>
    </w:p>
    <w:p w:rsidR="00812FD0" w:rsidRPr="00722F01" w:rsidRDefault="00812FD0" w:rsidP="00812FD0">
      <w:pPr>
        <w:rPr>
          <w:b/>
        </w:rPr>
      </w:pPr>
      <w:r w:rsidRPr="00722F01">
        <w:rPr>
          <w:b/>
        </w:rPr>
        <w:t>Estimated Response Rate: 20%</w:t>
      </w:r>
    </w:p>
    <w:p w:rsidR="00812FD0" w:rsidRPr="00722F01" w:rsidRDefault="00812FD0" w:rsidP="00812FD0">
      <w:pPr>
        <w:rPr>
          <w:b/>
          <w:sz w:val="20"/>
          <w:szCs w:val="20"/>
          <w:u w:val="single"/>
        </w:rPr>
      </w:pPr>
    </w:p>
    <w:p w:rsidR="00812FD0" w:rsidRDefault="00812FD0" w:rsidP="00812FD0">
      <w:pPr>
        <w:rPr>
          <w:b/>
          <w:u w:val="single"/>
        </w:rPr>
      </w:pPr>
      <w:r w:rsidRPr="00722F01">
        <w:rPr>
          <w:b/>
          <w:u w:val="single"/>
        </w:rPr>
        <w:t>Total Burden Estimate = 100 hrs</w:t>
      </w:r>
      <w:r w:rsidR="00FE5156">
        <w:rPr>
          <w:b/>
          <w:u w:val="single"/>
        </w:rPr>
        <w:t>.</w:t>
      </w:r>
    </w:p>
    <w:p w:rsidR="00812FD0" w:rsidRDefault="00812FD0" w:rsidP="00812FD0">
      <w:pPr>
        <w:rPr>
          <w:rFonts w:ascii="Arial" w:hAnsi="Arial" w:cs="Arial"/>
          <w:color w:val="0000FF"/>
        </w:rPr>
      </w:pPr>
    </w:p>
    <w:p w:rsidR="00AF3927" w:rsidRPr="00A91B0B" w:rsidRDefault="00AF3927" w:rsidP="000E7EEF">
      <w:pPr>
        <w:pStyle w:val="ListParagraph"/>
        <w:numPr>
          <w:ilvl w:val="0"/>
          <w:numId w:val="21"/>
        </w:numPr>
        <w:ind w:left="0"/>
        <w:rPr>
          <w:b/>
        </w:rPr>
      </w:pPr>
      <w:r w:rsidRPr="00A91B0B">
        <w:rPr>
          <w:b/>
        </w:rPr>
        <w:t xml:space="preserve">Costs to </w:t>
      </w:r>
      <w:r w:rsidR="00F60A9D" w:rsidRPr="00A91B0B">
        <w:rPr>
          <w:b/>
        </w:rPr>
        <w:t>Respondents</w:t>
      </w:r>
    </w:p>
    <w:p w:rsidR="00AF3927" w:rsidRPr="00FF5763" w:rsidRDefault="00F60A9D" w:rsidP="000E7EEF">
      <w:r>
        <w:t>N</w:t>
      </w:r>
      <w:r w:rsidRPr="00FF5763">
        <w:t>/A</w:t>
      </w:r>
    </w:p>
    <w:p w:rsidR="00AF3927" w:rsidRPr="00FF5763" w:rsidRDefault="00AF3927" w:rsidP="000E7EEF">
      <w:pPr>
        <w:rPr>
          <w:sz w:val="20"/>
          <w:szCs w:val="20"/>
        </w:rPr>
      </w:pPr>
    </w:p>
    <w:p w:rsidR="00AF3927" w:rsidRPr="000242C4" w:rsidRDefault="00F60A9D" w:rsidP="000E7EEF">
      <w:pPr>
        <w:pStyle w:val="ListParagraph"/>
        <w:numPr>
          <w:ilvl w:val="0"/>
          <w:numId w:val="21"/>
        </w:numPr>
        <w:ind w:left="0"/>
        <w:rPr>
          <w:b/>
        </w:rPr>
      </w:pPr>
      <w:r w:rsidRPr="000242C4">
        <w:rPr>
          <w:b/>
        </w:rPr>
        <w:t>Cost to Federal Government</w:t>
      </w:r>
    </w:p>
    <w:p w:rsidR="00742A42" w:rsidRDefault="00742A42" w:rsidP="00742A42">
      <w:r w:rsidRPr="000242C4">
        <w:t>The estimated cost is $</w:t>
      </w:r>
      <w:r w:rsidR="00AA7636">
        <w:t>2,500</w:t>
      </w:r>
      <w:r w:rsidRPr="000242C4">
        <w:t>.</w:t>
      </w:r>
      <w:r>
        <w:t xml:space="preserve"> </w:t>
      </w:r>
    </w:p>
    <w:p w:rsidR="00FF5763" w:rsidRPr="00FF5763" w:rsidRDefault="00FF5763" w:rsidP="000E7EEF">
      <w:pPr>
        <w:rPr>
          <w:b/>
          <w:sz w:val="20"/>
          <w:szCs w:val="20"/>
        </w:rPr>
      </w:pPr>
    </w:p>
    <w:p w:rsidR="00F60A9D" w:rsidRDefault="00F60A9D" w:rsidP="000E7EEF">
      <w:pPr>
        <w:pStyle w:val="ListParagraph"/>
        <w:numPr>
          <w:ilvl w:val="0"/>
          <w:numId w:val="21"/>
        </w:numPr>
        <w:ind w:left="0"/>
        <w:rPr>
          <w:b/>
        </w:rPr>
      </w:pPr>
      <w:r>
        <w:rPr>
          <w:b/>
        </w:rPr>
        <w:t>Reason for Change</w:t>
      </w:r>
    </w:p>
    <w:p w:rsidR="00F60A9D" w:rsidRDefault="00F60A9D" w:rsidP="00F60A9D">
      <w:pPr>
        <w:pStyle w:val="ListParagraph"/>
        <w:ind w:left="0"/>
      </w:pPr>
      <w:r>
        <w:t>N/A</w:t>
      </w:r>
    </w:p>
    <w:p w:rsidR="00F60A9D" w:rsidRPr="00F60A9D" w:rsidRDefault="00F60A9D" w:rsidP="00F60A9D">
      <w:pPr>
        <w:pStyle w:val="ListParagraph"/>
        <w:ind w:left="0"/>
      </w:pPr>
    </w:p>
    <w:p w:rsidR="00AF3927" w:rsidRDefault="00AF3927" w:rsidP="000E7EEF">
      <w:pPr>
        <w:pStyle w:val="ListParagraph"/>
        <w:numPr>
          <w:ilvl w:val="0"/>
          <w:numId w:val="21"/>
        </w:numPr>
        <w:ind w:left="0"/>
        <w:rPr>
          <w:b/>
        </w:rPr>
      </w:pPr>
      <w:r>
        <w:rPr>
          <w:b/>
        </w:rPr>
        <w:t>Tabulation of Results, Schedule, Analysis Plans</w:t>
      </w:r>
    </w:p>
    <w:p w:rsidR="00AF3927" w:rsidRDefault="00AF3927" w:rsidP="000E7EEF"/>
    <w:p w:rsidR="00FE5156" w:rsidRDefault="00AD28F2" w:rsidP="00FE5156">
      <w:r w:rsidRPr="00CD784F">
        <w:rPr>
          <w:rFonts w:cs="Arial"/>
          <w:szCs w:val="20"/>
        </w:rPr>
        <w:t>The survey data is collected via mail questionnaire</w:t>
      </w:r>
      <w:r w:rsidR="00BB4BF7" w:rsidRPr="00CD784F">
        <w:rPr>
          <w:rFonts w:cs="Arial"/>
          <w:szCs w:val="20"/>
        </w:rPr>
        <w:t>.</w:t>
      </w:r>
      <w:r w:rsidR="002557F9" w:rsidRPr="00CD784F">
        <w:rPr>
          <w:rFonts w:cs="Arial"/>
          <w:szCs w:val="20"/>
        </w:rPr>
        <w:t xml:space="preserve"> </w:t>
      </w:r>
      <w:r w:rsidRPr="00CD784F">
        <w:rPr>
          <w:rFonts w:cs="Arial"/>
          <w:szCs w:val="20"/>
        </w:rPr>
        <w:t xml:space="preserve">The survey includes several </w:t>
      </w:r>
      <w:r w:rsidR="00BB4BF7" w:rsidRPr="00CD784F">
        <w:rPr>
          <w:rFonts w:cs="Arial"/>
          <w:szCs w:val="20"/>
        </w:rPr>
        <w:t>q</w:t>
      </w:r>
      <w:r w:rsidRPr="00CD784F">
        <w:rPr>
          <w:rFonts w:cs="Arial"/>
          <w:szCs w:val="20"/>
        </w:rPr>
        <w:t xml:space="preserve">uestions </w:t>
      </w:r>
      <w:r w:rsidR="00CD784F" w:rsidRPr="00CD784F">
        <w:rPr>
          <w:rFonts w:cs="Arial"/>
          <w:szCs w:val="20"/>
        </w:rPr>
        <w:t>relating to the use of the taxpayer’s</w:t>
      </w:r>
      <w:r w:rsidR="00CD784F" w:rsidRPr="00CD784F">
        <w:rPr>
          <w:rFonts w:cs="Arial"/>
          <w:i/>
          <w:szCs w:val="20"/>
        </w:rPr>
        <w:t xml:space="preserve"> Heavy Highway Vehicle</w:t>
      </w:r>
      <w:r w:rsidR="00CD784F" w:rsidRPr="00CD784F">
        <w:rPr>
          <w:rFonts w:cs="Arial"/>
          <w:szCs w:val="20"/>
        </w:rPr>
        <w:t xml:space="preserve"> (truck/trailer) and the type of hauling they do. Additional questions ask how they prepare and file their tax return. </w:t>
      </w:r>
      <w:r w:rsidR="00FE5156" w:rsidRPr="00FE5156">
        <w:t xml:space="preserve">The purpose of the </w:t>
      </w:r>
      <w:r w:rsidR="0011085F">
        <w:t>survey</w:t>
      </w:r>
      <w:r w:rsidR="00FE5156" w:rsidRPr="00FE5156">
        <w:t xml:space="preserve"> is primarily descriptive.</w:t>
      </w:r>
      <w:r w:rsidR="00FE5156">
        <w:t xml:space="preserve"> </w:t>
      </w:r>
    </w:p>
    <w:p w:rsidR="00FE5156" w:rsidRDefault="00FE5156" w:rsidP="00FE5156"/>
    <w:p w:rsidR="00FE5156" w:rsidRDefault="00FE5156" w:rsidP="00FE5156">
      <w:r w:rsidRPr="00FE5156">
        <w:t>Questions 5-9 and 12-13 approach the issue of reasons not to e-file from various angles. They try to identify respondents choosing not e-file because of the following hypothesized barriers:</w:t>
      </w:r>
    </w:p>
    <w:p w:rsidR="00FE5156" w:rsidRPr="00FE5156" w:rsidRDefault="00FE5156" w:rsidP="00FE5156">
      <w:pPr>
        <w:rPr>
          <w:rFonts w:cs="Arial"/>
          <w:szCs w:val="20"/>
        </w:rPr>
      </w:pPr>
    </w:p>
    <w:p w:rsidR="00FE5156" w:rsidRPr="00FE5156" w:rsidRDefault="00FE5156" w:rsidP="00464A0D">
      <w:pPr>
        <w:pStyle w:val="BodyText"/>
        <w:widowControl/>
        <w:numPr>
          <w:ilvl w:val="0"/>
          <w:numId w:val="25"/>
        </w:numPr>
        <w:ind w:left="450" w:firstLine="0"/>
        <w:rPr>
          <w:i w:val="0"/>
          <w:sz w:val="24"/>
          <w:szCs w:val="24"/>
        </w:rPr>
      </w:pPr>
      <w:r w:rsidRPr="00FE5156">
        <w:rPr>
          <w:i w:val="0"/>
          <w:sz w:val="24"/>
          <w:szCs w:val="24"/>
        </w:rPr>
        <w:t>Use of a paid preparer who does not e-file</w:t>
      </w:r>
    </w:p>
    <w:p w:rsidR="00FE5156" w:rsidRPr="00FE5156" w:rsidRDefault="00FE5156" w:rsidP="00464A0D">
      <w:pPr>
        <w:pStyle w:val="BodyText"/>
        <w:widowControl/>
        <w:numPr>
          <w:ilvl w:val="0"/>
          <w:numId w:val="25"/>
        </w:numPr>
        <w:ind w:left="450" w:firstLine="0"/>
        <w:rPr>
          <w:i w:val="0"/>
          <w:sz w:val="24"/>
          <w:szCs w:val="24"/>
        </w:rPr>
      </w:pPr>
      <w:r w:rsidRPr="00FE5156">
        <w:rPr>
          <w:i w:val="0"/>
          <w:sz w:val="24"/>
          <w:szCs w:val="24"/>
        </w:rPr>
        <w:t>The cost of e-filing</w:t>
      </w:r>
    </w:p>
    <w:p w:rsidR="00FE5156" w:rsidRPr="00FE5156" w:rsidRDefault="00FE5156" w:rsidP="00464A0D">
      <w:pPr>
        <w:pStyle w:val="BodyText"/>
        <w:widowControl/>
        <w:numPr>
          <w:ilvl w:val="0"/>
          <w:numId w:val="25"/>
        </w:numPr>
        <w:ind w:left="450" w:firstLine="0"/>
        <w:rPr>
          <w:i w:val="0"/>
          <w:sz w:val="24"/>
          <w:szCs w:val="24"/>
        </w:rPr>
      </w:pPr>
      <w:r w:rsidRPr="00FE5156">
        <w:rPr>
          <w:i w:val="0"/>
          <w:sz w:val="24"/>
          <w:szCs w:val="24"/>
        </w:rPr>
        <w:t>Finding e-filing too difficult</w:t>
      </w:r>
    </w:p>
    <w:p w:rsidR="00FE5156" w:rsidRPr="00FE5156" w:rsidRDefault="00FE5156" w:rsidP="00464A0D">
      <w:pPr>
        <w:pStyle w:val="BodyText"/>
        <w:widowControl/>
        <w:numPr>
          <w:ilvl w:val="0"/>
          <w:numId w:val="25"/>
        </w:numPr>
        <w:ind w:left="450" w:firstLine="0"/>
        <w:rPr>
          <w:i w:val="0"/>
          <w:sz w:val="24"/>
          <w:szCs w:val="24"/>
        </w:rPr>
      </w:pPr>
      <w:r w:rsidRPr="00FE5156">
        <w:rPr>
          <w:i w:val="0"/>
          <w:sz w:val="24"/>
          <w:szCs w:val="24"/>
        </w:rPr>
        <w:t>Not knowing how to e-file</w:t>
      </w:r>
    </w:p>
    <w:p w:rsidR="00FE5156" w:rsidRPr="00FE5156" w:rsidRDefault="00FE5156" w:rsidP="00464A0D">
      <w:pPr>
        <w:pStyle w:val="BodyText"/>
        <w:widowControl/>
        <w:numPr>
          <w:ilvl w:val="0"/>
          <w:numId w:val="25"/>
        </w:numPr>
        <w:ind w:left="450" w:firstLine="0"/>
        <w:rPr>
          <w:i w:val="0"/>
          <w:sz w:val="24"/>
          <w:szCs w:val="24"/>
        </w:rPr>
      </w:pPr>
      <w:r w:rsidRPr="00FE5156">
        <w:rPr>
          <w:i w:val="0"/>
          <w:sz w:val="24"/>
          <w:szCs w:val="24"/>
        </w:rPr>
        <w:t>Not knowing Form 2290 could be e-filed</w:t>
      </w:r>
    </w:p>
    <w:p w:rsidR="00FE5156" w:rsidRPr="00FE5156" w:rsidRDefault="00FE5156" w:rsidP="00464A0D">
      <w:pPr>
        <w:pStyle w:val="BodyText"/>
        <w:widowControl/>
        <w:numPr>
          <w:ilvl w:val="0"/>
          <w:numId w:val="25"/>
        </w:numPr>
        <w:ind w:left="450" w:firstLine="0"/>
        <w:rPr>
          <w:i w:val="0"/>
          <w:sz w:val="24"/>
          <w:szCs w:val="24"/>
        </w:rPr>
      </w:pPr>
      <w:r w:rsidRPr="00FE5156">
        <w:rPr>
          <w:i w:val="0"/>
          <w:sz w:val="24"/>
          <w:szCs w:val="24"/>
        </w:rPr>
        <w:t>Data security and privacy concerns</w:t>
      </w:r>
    </w:p>
    <w:p w:rsidR="00FE5156" w:rsidRPr="00FE5156" w:rsidRDefault="00FE5156" w:rsidP="00464A0D">
      <w:pPr>
        <w:pStyle w:val="BodyText"/>
        <w:widowControl/>
        <w:numPr>
          <w:ilvl w:val="0"/>
          <w:numId w:val="25"/>
        </w:numPr>
        <w:ind w:left="450" w:firstLine="0"/>
        <w:rPr>
          <w:i w:val="0"/>
          <w:sz w:val="24"/>
          <w:szCs w:val="24"/>
        </w:rPr>
      </w:pPr>
      <w:r w:rsidRPr="00FE5156">
        <w:rPr>
          <w:i w:val="0"/>
          <w:sz w:val="24"/>
          <w:szCs w:val="24"/>
        </w:rPr>
        <w:t>Computer or internet access issues</w:t>
      </w:r>
    </w:p>
    <w:p w:rsidR="00FE5156" w:rsidRDefault="00FE5156" w:rsidP="00464A0D">
      <w:pPr>
        <w:pStyle w:val="BodyText"/>
        <w:widowControl/>
        <w:numPr>
          <w:ilvl w:val="0"/>
          <w:numId w:val="25"/>
        </w:numPr>
        <w:ind w:left="450" w:firstLine="0"/>
        <w:rPr>
          <w:i w:val="0"/>
          <w:sz w:val="24"/>
          <w:szCs w:val="24"/>
        </w:rPr>
      </w:pPr>
      <w:r w:rsidRPr="00FE5156">
        <w:rPr>
          <w:i w:val="0"/>
          <w:sz w:val="24"/>
          <w:szCs w:val="24"/>
        </w:rPr>
        <w:t>Belief e-filing would make it more difficult to obtain Schedule 1 and register vehicle</w:t>
      </w:r>
    </w:p>
    <w:p w:rsidR="00FE5156" w:rsidRPr="00FE5156" w:rsidRDefault="00FE5156" w:rsidP="00FE5156">
      <w:pPr>
        <w:pStyle w:val="BodyText"/>
        <w:widowControl/>
        <w:rPr>
          <w:i w:val="0"/>
          <w:sz w:val="24"/>
          <w:szCs w:val="24"/>
        </w:rPr>
      </w:pPr>
    </w:p>
    <w:p w:rsidR="00FE5156" w:rsidRDefault="00FE5156" w:rsidP="00FE5156">
      <w:pPr>
        <w:pStyle w:val="BodyText"/>
        <w:rPr>
          <w:i w:val="0"/>
          <w:sz w:val="24"/>
          <w:szCs w:val="24"/>
        </w:rPr>
      </w:pPr>
      <w:r w:rsidRPr="00FE5156">
        <w:rPr>
          <w:i w:val="0"/>
          <w:sz w:val="24"/>
          <w:szCs w:val="24"/>
        </w:rPr>
        <w:t xml:space="preserve">Questions 9 and 13 also have free-response areas so respondents can provide additional reasons they choose not to e-file. We will rank these barriers by prevalence and cross-tabulate with the descriptive questions 1-4 and 10-11. Questions 1-4 and 10-11 ask about: </w:t>
      </w:r>
    </w:p>
    <w:p w:rsidR="00FE5156" w:rsidRPr="00FE5156" w:rsidRDefault="00FE5156" w:rsidP="00FE5156">
      <w:pPr>
        <w:pStyle w:val="BodyText"/>
        <w:rPr>
          <w:i w:val="0"/>
          <w:sz w:val="24"/>
          <w:szCs w:val="24"/>
        </w:rPr>
      </w:pPr>
    </w:p>
    <w:p w:rsidR="00FE5156" w:rsidRPr="00FE5156" w:rsidRDefault="00FE5156" w:rsidP="00464A0D">
      <w:pPr>
        <w:pStyle w:val="BodyText"/>
        <w:widowControl/>
        <w:numPr>
          <w:ilvl w:val="0"/>
          <w:numId w:val="26"/>
        </w:numPr>
        <w:ind w:left="0" w:firstLine="450"/>
        <w:rPr>
          <w:i w:val="0"/>
          <w:sz w:val="24"/>
          <w:szCs w:val="24"/>
        </w:rPr>
      </w:pPr>
      <w:r w:rsidRPr="00FE5156">
        <w:rPr>
          <w:i w:val="0"/>
          <w:sz w:val="24"/>
          <w:szCs w:val="24"/>
        </w:rPr>
        <w:t>Length of time as an operator</w:t>
      </w:r>
    </w:p>
    <w:p w:rsidR="00FE5156" w:rsidRPr="00FE5156" w:rsidRDefault="00FE5156" w:rsidP="00464A0D">
      <w:pPr>
        <w:pStyle w:val="BodyText"/>
        <w:widowControl/>
        <w:numPr>
          <w:ilvl w:val="0"/>
          <w:numId w:val="26"/>
        </w:numPr>
        <w:ind w:left="0" w:firstLine="450"/>
        <w:rPr>
          <w:i w:val="0"/>
          <w:sz w:val="24"/>
          <w:szCs w:val="24"/>
        </w:rPr>
      </w:pPr>
      <w:r w:rsidRPr="00FE5156">
        <w:rPr>
          <w:i w:val="0"/>
          <w:sz w:val="24"/>
          <w:szCs w:val="24"/>
        </w:rPr>
        <w:t>Is the entity an independent operator</w:t>
      </w:r>
    </w:p>
    <w:p w:rsidR="00FE5156" w:rsidRPr="00FE5156" w:rsidRDefault="00FE5156" w:rsidP="00464A0D">
      <w:pPr>
        <w:pStyle w:val="BodyText"/>
        <w:widowControl/>
        <w:numPr>
          <w:ilvl w:val="0"/>
          <w:numId w:val="26"/>
        </w:numPr>
        <w:ind w:left="0" w:firstLine="450"/>
        <w:rPr>
          <w:i w:val="0"/>
          <w:sz w:val="24"/>
          <w:szCs w:val="24"/>
        </w:rPr>
      </w:pPr>
      <w:r w:rsidRPr="00FE5156">
        <w:rPr>
          <w:i w:val="0"/>
          <w:sz w:val="24"/>
          <w:szCs w:val="24"/>
        </w:rPr>
        <w:t>Number of employees if applicable</w:t>
      </w:r>
    </w:p>
    <w:p w:rsidR="00FE5156" w:rsidRPr="00FE5156" w:rsidRDefault="00FE5156" w:rsidP="00464A0D">
      <w:pPr>
        <w:pStyle w:val="BodyText"/>
        <w:widowControl/>
        <w:numPr>
          <w:ilvl w:val="0"/>
          <w:numId w:val="26"/>
        </w:numPr>
        <w:ind w:left="0" w:firstLine="450"/>
        <w:rPr>
          <w:i w:val="0"/>
          <w:sz w:val="24"/>
          <w:szCs w:val="24"/>
        </w:rPr>
      </w:pPr>
      <w:r w:rsidRPr="00FE5156">
        <w:rPr>
          <w:i w:val="0"/>
          <w:sz w:val="24"/>
          <w:szCs w:val="24"/>
        </w:rPr>
        <w:t>Interstate versus intrastate operation</w:t>
      </w:r>
    </w:p>
    <w:p w:rsidR="00FE5156" w:rsidRPr="00FE5156" w:rsidRDefault="00FE5156" w:rsidP="00464A0D">
      <w:pPr>
        <w:pStyle w:val="BodyText"/>
        <w:widowControl/>
        <w:numPr>
          <w:ilvl w:val="0"/>
          <w:numId w:val="26"/>
        </w:numPr>
        <w:ind w:left="0" w:firstLine="450"/>
        <w:rPr>
          <w:i w:val="0"/>
          <w:sz w:val="24"/>
          <w:szCs w:val="24"/>
        </w:rPr>
      </w:pPr>
      <w:r w:rsidRPr="00FE5156">
        <w:rPr>
          <w:i w:val="0"/>
          <w:sz w:val="24"/>
          <w:szCs w:val="24"/>
        </w:rPr>
        <w:t>Did the IRS contact the respondent and why</w:t>
      </w:r>
    </w:p>
    <w:p w:rsidR="00FE5156" w:rsidRDefault="00FE5156" w:rsidP="00FE5156">
      <w:pPr>
        <w:pStyle w:val="BodyText"/>
        <w:rPr>
          <w:i w:val="0"/>
          <w:sz w:val="24"/>
          <w:szCs w:val="24"/>
        </w:rPr>
      </w:pPr>
    </w:p>
    <w:p w:rsidR="00FE5156" w:rsidRDefault="00FE5156" w:rsidP="00FE5156">
      <w:pPr>
        <w:pStyle w:val="BodyText"/>
        <w:rPr>
          <w:i w:val="0"/>
          <w:sz w:val="24"/>
          <w:szCs w:val="24"/>
        </w:rPr>
      </w:pPr>
      <w:r w:rsidRPr="00FE5156">
        <w:rPr>
          <w:i w:val="0"/>
          <w:sz w:val="24"/>
          <w:szCs w:val="24"/>
        </w:rPr>
        <w:t>By cross-tabulating the descriptive results with the barrier results, we will try to determine whether respondents’ reasons for not e-filing vary across those characteristics.</w:t>
      </w:r>
    </w:p>
    <w:p w:rsidR="00FE5156" w:rsidRPr="00FE5156" w:rsidRDefault="00FE5156" w:rsidP="00FE5156">
      <w:pPr>
        <w:pStyle w:val="BodyText"/>
        <w:rPr>
          <w:i w:val="0"/>
          <w:sz w:val="24"/>
          <w:szCs w:val="24"/>
        </w:rPr>
      </w:pPr>
    </w:p>
    <w:p w:rsidR="00FE5156" w:rsidRDefault="00FE5156" w:rsidP="00FE5156">
      <w:pPr>
        <w:pStyle w:val="BodyText"/>
        <w:rPr>
          <w:i w:val="0"/>
          <w:sz w:val="24"/>
          <w:szCs w:val="24"/>
        </w:rPr>
      </w:pPr>
      <w:r w:rsidRPr="00FE5156">
        <w:rPr>
          <w:i w:val="0"/>
          <w:sz w:val="24"/>
          <w:szCs w:val="24"/>
        </w:rPr>
        <w:t xml:space="preserve">Questions 14-16 ask about respondents’ satisfaction with paper filing, whether they believe e-filing would make it easier for them to register their vehicle, and how likely they believe they are to switch to e-filing. In theory, cross-tabulation of these results with the barrier questions should help identify relative strength of the barriers. If respondents dissatisfied with paper filing who </w:t>
      </w:r>
      <w:r w:rsidRPr="00FE5156">
        <w:rPr>
          <w:i w:val="0"/>
          <w:sz w:val="24"/>
          <w:szCs w:val="24"/>
        </w:rPr>
        <w:lastRenderedPageBreak/>
        <w:t xml:space="preserve">report barrier A report themselves as more likely to switch to e-filing than respondents dissatisfied with paper filing who report barrier B, we might conclude that B is a stronger barrier to e-filing than A. </w:t>
      </w:r>
    </w:p>
    <w:p w:rsidR="00FE5156" w:rsidRPr="00FE5156" w:rsidRDefault="00FE5156" w:rsidP="00FE5156">
      <w:pPr>
        <w:pStyle w:val="BodyText"/>
        <w:rPr>
          <w:i w:val="0"/>
          <w:sz w:val="24"/>
          <w:szCs w:val="24"/>
        </w:rPr>
      </w:pPr>
    </w:p>
    <w:p w:rsidR="00FE5156" w:rsidRPr="00FE5156" w:rsidRDefault="00FE5156" w:rsidP="00FE5156">
      <w:pPr>
        <w:pStyle w:val="BodyText"/>
        <w:rPr>
          <w:i w:val="0"/>
          <w:sz w:val="24"/>
          <w:szCs w:val="24"/>
        </w:rPr>
      </w:pPr>
      <w:r w:rsidRPr="00FE5156">
        <w:rPr>
          <w:i w:val="0"/>
          <w:sz w:val="24"/>
          <w:szCs w:val="24"/>
        </w:rPr>
        <w:t xml:space="preserve">We will combine the measures of barrier prevalence and barrier strength in a leverage analysis. </w:t>
      </w:r>
    </w:p>
    <w:p w:rsidR="00FE5156" w:rsidRDefault="00FE5156" w:rsidP="00FE5156">
      <w:pPr>
        <w:pStyle w:val="BodyText"/>
        <w:rPr>
          <w:i w:val="0"/>
          <w:sz w:val="24"/>
          <w:szCs w:val="24"/>
        </w:rPr>
      </w:pPr>
      <w:r w:rsidRPr="00FE5156">
        <w:rPr>
          <w:i w:val="0"/>
          <w:sz w:val="24"/>
          <w:szCs w:val="24"/>
        </w:rPr>
        <w:t>We anticipate a high nonresponse rate and will attempt nonresponse analysis based on the ID match to CDW data. However, depending on the quality of the demographic data available and its relation to the values of interest, we may not be able to make any nonresponse corrections. Consequently, the survey results may represent only the respondents and cannot be extended to the population.</w:t>
      </w:r>
    </w:p>
    <w:p w:rsidR="00AF3927" w:rsidRDefault="00AF3927" w:rsidP="000E7EEF"/>
    <w:p w:rsidR="00AF3927" w:rsidRDefault="00AF3927" w:rsidP="000E7EEF">
      <w:pPr>
        <w:pStyle w:val="ListParagraph"/>
        <w:numPr>
          <w:ilvl w:val="0"/>
          <w:numId w:val="21"/>
        </w:numPr>
        <w:ind w:left="0"/>
        <w:rPr>
          <w:b/>
        </w:rPr>
      </w:pPr>
      <w:r>
        <w:rPr>
          <w:b/>
        </w:rPr>
        <w:t>Display of OMB Approval Date</w:t>
      </w:r>
    </w:p>
    <w:p w:rsidR="00AF3927" w:rsidRDefault="000E7EEF" w:rsidP="000E7EEF">
      <w:pPr>
        <w:contextualSpacing/>
      </w:pPr>
      <w:r w:rsidRPr="000E7EEF">
        <w:t>N/A</w:t>
      </w:r>
    </w:p>
    <w:p w:rsidR="00AF3927" w:rsidRDefault="00AF3927" w:rsidP="000E7EEF"/>
    <w:p w:rsidR="00AF3927" w:rsidRDefault="00AF3927" w:rsidP="000E7EEF">
      <w:pPr>
        <w:pStyle w:val="ListParagraph"/>
        <w:numPr>
          <w:ilvl w:val="0"/>
          <w:numId w:val="21"/>
        </w:numPr>
        <w:ind w:left="0"/>
        <w:rPr>
          <w:b/>
        </w:rPr>
      </w:pPr>
      <w:r>
        <w:rPr>
          <w:b/>
        </w:rPr>
        <w:t>Exceptions to Certification for Paperwork Reduction Act Submissions</w:t>
      </w:r>
    </w:p>
    <w:p w:rsidR="00AA259E" w:rsidRDefault="00AA259E" w:rsidP="00AA259E">
      <w:r>
        <w:t>N/A</w:t>
      </w:r>
    </w:p>
    <w:p w:rsidR="00AA259E" w:rsidRDefault="00AA259E" w:rsidP="00EC1140">
      <w:pPr>
        <w:pStyle w:val="ListParagraph"/>
        <w:ind w:left="0"/>
        <w:rPr>
          <w:b/>
        </w:rPr>
      </w:pPr>
    </w:p>
    <w:p w:rsidR="00AA259E" w:rsidRDefault="00AA259E" w:rsidP="00AA259E">
      <w:pPr>
        <w:pStyle w:val="ListParagraph"/>
        <w:numPr>
          <w:ilvl w:val="0"/>
          <w:numId w:val="21"/>
        </w:numPr>
        <w:ind w:left="0"/>
        <w:rPr>
          <w:b/>
        </w:rPr>
      </w:pPr>
      <w:r w:rsidRPr="00AA259E">
        <w:rPr>
          <w:b/>
        </w:rPr>
        <w:t>Dates collection will begin and end</w:t>
      </w:r>
    </w:p>
    <w:p w:rsidR="00EB446B" w:rsidRDefault="00AA7636" w:rsidP="00EB446B">
      <w:pPr>
        <w:pStyle w:val="msolistparagraph0"/>
        <w:ind w:left="0"/>
        <w:rPr>
          <w:rFonts w:ascii="Times New Roman" w:hAnsi="Times New Roman"/>
          <w:sz w:val="24"/>
          <w:szCs w:val="24"/>
        </w:rPr>
      </w:pPr>
      <w:r>
        <w:rPr>
          <w:rFonts w:ascii="Times New Roman" w:hAnsi="Times New Roman"/>
          <w:sz w:val="24"/>
          <w:szCs w:val="24"/>
        </w:rPr>
        <w:t>May</w:t>
      </w:r>
      <w:r w:rsidR="00EB446B" w:rsidRPr="000242C4">
        <w:rPr>
          <w:rFonts w:ascii="Times New Roman" w:hAnsi="Times New Roman"/>
          <w:sz w:val="24"/>
          <w:szCs w:val="24"/>
        </w:rPr>
        <w:t xml:space="preserve"> 1, 201</w:t>
      </w:r>
      <w:r>
        <w:rPr>
          <w:rFonts w:ascii="Times New Roman" w:hAnsi="Times New Roman"/>
          <w:sz w:val="24"/>
          <w:szCs w:val="24"/>
        </w:rPr>
        <w:t>5</w:t>
      </w:r>
      <w:r w:rsidR="00EB446B" w:rsidRPr="000242C4">
        <w:rPr>
          <w:rFonts w:ascii="Times New Roman" w:hAnsi="Times New Roman"/>
          <w:sz w:val="24"/>
          <w:szCs w:val="24"/>
        </w:rPr>
        <w:t xml:space="preserve"> through </w:t>
      </w:r>
      <w:r>
        <w:rPr>
          <w:rFonts w:ascii="Times New Roman" w:hAnsi="Times New Roman"/>
          <w:sz w:val="24"/>
          <w:szCs w:val="24"/>
        </w:rPr>
        <w:t>August</w:t>
      </w:r>
      <w:r w:rsidR="00EB446B" w:rsidRPr="000242C4">
        <w:rPr>
          <w:rFonts w:ascii="Times New Roman" w:hAnsi="Times New Roman"/>
          <w:sz w:val="24"/>
          <w:szCs w:val="24"/>
        </w:rPr>
        <w:t xml:space="preserve"> </w:t>
      </w:r>
      <w:r w:rsidR="006351DF" w:rsidRPr="000242C4">
        <w:rPr>
          <w:rFonts w:ascii="Times New Roman" w:hAnsi="Times New Roman"/>
          <w:sz w:val="24"/>
          <w:szCs w:val="24"/>
        </w:rPr>
        <w:t xml:space="preserve">31, </w:t>
      </w:r>
      <w:r w:rsidR="00EB446B" w:rsidRPr="000242C4">
        <w:rPr>
          <w:rFonts w:ascii="Times New Roman" w:hAnsi="Times New Roman"/>
          <w:sz w:val="24"/>
          <w:szCs w:val="24"/>
        </w:rPr>
        <w:t>201</w:t>
      </w:r>
      <w:r>
        <w:rPr>
          <w:rFonts w:ascii="Times New Roman" w:hAnsi="Times New Roman"/>
          <w:sz w:val="24"/>
          <w:szCs w:val="24"/>
        </w:rPr>
        <w:t>5</w:t>
      </w:r>
      <w:r w:rsidR="00EB446B" w:rsidRPr="006351DF">
        <w:rPr>
          <w:rFonts w:ascii="Times New Roman" w:hAnsi="Times New Roman"/>
          <w:sz w:val="24"/>
          <w:szCs w:val="24"/>
        </w:rPr>
        <w:t xml:space="preserve"> </w:t>
      </w:r>
    </w:p>
    <w:p w:rsidR="00CD784F" w:rsidRDefault="00CD784F" w:rsidP="00EB446B">
      <w:pPr>
        <w:pStyle w:val="msolistparagraph0"/>
        <w:ind w:left="0"/>
        <w:rPr>
          <w:rFonts w:ascii="Times New Roman" w:hAnsi="Times New Roman"/>
          <w:sz w:val="24"/>
          <w:szCs w:val="24"/>
        </w:rPr>
      </w:pPr>
    </w:p>
    <w:p w:rsidR="00CD784F" w:rsidRPr="006351DF" w:rsidRDefault="00CD784F" w:rsidP="00EB446B">
      <w:pPr>
        <w:pStyle w:val="msolistparagraph0"/>
        <w:ind w:left="0"/>
        <w:rPr>
          <w:rFonts w:ascii="Times New Roman" w:hAnsi="Times New Roman"/>
          <w:sz w:val="24"/>
          <w:szCs w:val="24"/>
        </w:rPr>
      </w:pPr>
    </w:p>
    <w:p w:rsidR="00717F5F" w:rsidRPr="00AA259E" w:rsidRDefault="00717F5F" w:rsidP="00AA259E">
      <w:pPr>
        <w:pStyle w:val="ListParagraph"/>
        <w:ind w:left="0"/>
      </w:pPr>
    </w:p>
    <w:p w:rsidR="00AF3927" w:rsidRDefault="00AF3927" w:rsidP="000E7EEF">
      <w:pPr>
        <w:pStyle w:val="BodyTextIndent3"/>
        <w:ind w:left="0"/>
        <w:rPr>
          <w:b/>
        </w:rPr>
      </w:pPr>
      <w:r>
        <w:rPr>
          <w:b/>
        </w:rPr>
        <w:t>B.</w:t>
      </w:r>
      <w:r>
        <w:rPr>
          <w:b/>
        </w:rPr>
        <w:tab/>
        <w:t>STATISTICAL METHODS</w:t>
      </w:r>
    </w:p>
    <w:p w:rsidR="00AF3927" w:rsidRDefault="00AF3927" w:rsidP="000E7EEF">
      <w:pPr>
        <w:pStyle w:val="BodyTextIndent3"/>
        <w:ind w:left="0"/>
        <w:rPr>
          <w:b/>
        </w:rPr>
      </w:pPr>
    </w:p>
    <w:p w:rsidR="00AF3927" w:rsidRDefault="00AF3927" w:rsidP="006A7201">
      <w:pPr>
        <w:pStyle w:val="ListParagraph"/>
        <w:numPr>
          <w:ilvl w:val="0"/>
          <w:numId w:val="22"/>
        </w:numPr>
        <w:ind w:left="0"/>
        <w:rPr>
          <w:b/>
        </w:rPr>
      </w:pPr>
      <w:r>
        <w:rPr>
          <w:b/>
        </w:rPr>
        <w:t>Universe and Respondent Selection</w:t>
      </w:r>
    </w:p>
    <w:p w:rsidR="000E67ED" w:rsidRDefault="000E67ED" w:rsidP="000E67ED">
      <w:pPr>
        <w:pStyle w:val="ListParagraph"/>
        <w:ind w:left="0"/>
        <w:rPr>
          <w:b/>
        </w:rPr>
      </w:pPr>
    </w:p>
    <w:p w:rsidR="000E67ED" w:rsidRPr="000E67ED" w:rsidRDefault="000E67ED" w:rsidP="000E67ED">
      <w:pPr>
        <w:pStyle w:val="BodyText"/>
        <w:rPr>
          <w:i w:val="0"/>
          <w:sz w:val="24"/>
          <w:szCs w:val="24"/>
        </w:rPr>
      </w:pPr>
      <w:r w:rsidRPr="000E67ED">
        <w:rPr>
          <w:i w:val="0"/>
          <w:sz w:val="24"/>
          <w:szCs w:val="24"/>
        </w:rPr>
        <w:t>The target population is F</w:t>
      </w:r>
      <w:r>
        <w:rPr>
          <w:i w:val="0"/>
          <w:sz w:val="24"/>
          <w:szCs w:val="24"/>
        </w:rPr>
        <w:t xml:space="preserve">orm </w:t>
      </w:r>
      <w:r w:rsidRPr="000E67ED">
        <w:rPr>
          <w:i w:val="0"/>
          <w:sz w:val="24"/>
          <w:szCs w:val="24"/>
        </w:rPr>
        <w:t>2290 filers whose most recent F</w:t>
      </w:r>
      <w:r>
        <w:rPr>
          <w:i w:val="0"/>
          <w:sz w:val="24"/>
          <w:szCs w:val="24"/>
        </w:rPr>
        <w:t xml:space="preserve">orm </w:t>
      </w:r>
      <w:r w:rsidRPr="000E67ED">
        <w:rPr>
          <w:i w:val="0"/>
          <w:sz w:val="24"/>
          <w:szCs w:val="24"/>
        </w:rPr>
        <w:t>2290 was filed on paper, in or since July 2014. (July is the primary filing month for F</w:t>
      </w:r>
      <w:r>
        <w:rPr>
          <w:i w:val="0"/>
          <w:sz w:val="24"/>
          <w:szCs w:val="24"/>
        </w:rPr>
        <w:t xml:space="preserve">orm </w:t>
      </w:r>
      <w:r w:rsidRPr="000E67ED">
        <w:rPr>
          <w:i w:val="0"/>
          <w:sz w:val="24"/>
          <w:szCs w:val="24"/>
        </w:rPr>
        <w:t>2290; F</w:t>
      </w:r>
      <w:r>
        <w:rPr>
          <w:i w:val="0"/>
          <w:sz w:val="24"/>
          <w:szCs w:val="24"/>
        </w:rPr>
        <w:t xml:space="preserve">orm </w:t>
      </w:r>
      <w:r w:rsidRPr="000E67ED">
        <w:rPr>
          <w:i w:val="0"/>
          <w:sz w:val="24"/>
          <w:szCs w:val="24"/>
        </w:rPr>
        <w:t>2290s filed in some other month can only apply to vehicles which were not in use between the previous July and the time of filing.) The client will provide a list of these taxpayers</w:t>
      </w:r>
      <w:r w:rsidR="00BA43D4">
        <w:rPr>
          <w:i w:val="0"/>
          <w:sz w:val="24"/>
          <w:szCs w:val="24"/>
        </w:rPr>
        <w:t xml:space="preserve"> </w:t>
      </w:r>
      <w:r w:rsidR="00BA43D4" w:rsidRPr="00BA43D4">
        <w:rPr>
          <w:i w:val="0"/>
          <w:sz w:val="24"/>
          <w:szCs w:val="24"/>
        </w:rPr>
        <w:t xml:space="preserve">from the </w:t>
      </w:r>
      <w:r w:rsidR="00BA43D4" w:rsidRPr="00BA43D4">
        <w:rPr>
          <w:sz w:val="24"/>
          <w:szCs w:val="24"/>
        </w:rPr>
        <w:t>Comp</w:t>
      </w:r>
      <w:r w:rsidR="00BA43D4">
        <w:rPr>
          <w:sz w:val="24"/>
          <w:szCs w:val="24"/>
        </w:rPr>
        <w:t>liance Data Warehouse (Masterf</w:t>
      </w:r>
      <w:r w:rsidR="00BA43D4" w:rsidRPr="00BA43D4">
        <w:rPr>
          <w:sz w:val="24"/>
          <w:szCs w:val="24"/>
        </w:rPr>
        <w:t>ile)</w:t>
      </w:r>
      <w:r w:rsidRPr="00BA43D4">
        <w:rPr>
          <w:i w:val="0"/>
          <w:sz w:val="24"/>
          <w:szCs w:val="24"/>
        </w:rPr>
        <w:t>. This is not a complete list of the current cycle, as the list</w:t>
      </w:r>
      <w:r w:rsidRPr="000E67ED">
        <w:rPr>
          <w:i w:val="0"/>
          <w:sz w:val="24"/>
          <w:szCs w:val="24"/>
        </w:rPr>
        <w:t xml:space="preserve"> will be created before June 2015, but based on past years will omit only a small proportion of the population; in the previous three years, under 10 percent of F</w:t>
      </w:r>
      <w:r>
        <w:rPr>
          <w:i w:val="0"/>
          <w:sz w:val="24"/>
          <w:szCs w:val="24"/>
        </w:rPr>
        <w:t xml:space="preserve">orm </w:t>
      </w:r>
      <w:r w:rsidRPr="000E67ED">
        <w:rPr>
          <w:i w:val="0"/>
          <w:sz w:val="24"/>
          <w:szCs w:val="24"/>
        </w:rPr>
        <w:t>2290s were filed from March to June.</w:t>
      </w:r>
      <w:r>
        <w:rPr>
          <w:i w:val="0"/>
          <w:sz w:val="24"/>
          <w:szCs w:val="24"/>
        </w:rPr>
        <w:t xml:space="preserve"> </w:t>
      </w:r>
      <w:r w:rsidRPr="000E67ED">
        <w:rPr>
          <w:i w:val="0"/>
          <w:sz w:val="24"/>
          <w:szCs w:val="24"/>
        </w:rPr>
        <w:t xml:space="preserve">The sampling frame will also exclude taxpayers with no usable domestic mailing address in the data provided by the </w:t>
      </w:r>
      <w:bookmarkStart w:id="0" w:name="_GoBack"/>
      <w:bookmarkEnd w:id="0"/>
      <w:r w:rsidRPr="000E67ED">
        <w:rPr>
          <w:i w:val="0"/>
          <w:sz w:val="24"/>
          <w:szCs w:val="24"/>
        </w:rPr>
        <w:t>client.</w:t>
      </w:r>
      <w:r>
        <w:rPr>
          <w:i w:val="0"/>
          <w:sz w:val="24"/>
          <w:szCs w:val="24"/>
        </w:rPr>
        <w:t xml:space="preserve"> </w:t>
      </w:r>
      <w:r w:rsidRPr="000E67ED">
        <w:rPr>
          <w:i w:val="0"/>
          <w:sz w:val="24"/>
          <w:szCs w:val="24"/>
        </w:rPr>
        <w:t>We will draw a simple random sample of 2000 TINs. Anticipated sampling precision is 2 percent.</w:t>
      </w:r>
    </w:p>
    <w:p w:rsidR="009142AC" w:rsidRDefault="009142AC" w:rsidP="006A7201">
      <w:pPr>
        <w:contextualSpacing/>
        <w:rPr>
          <w:b/>
        </w:rPr>
      </w:pPr>
    </w:p>
    <w:p w:rsidR="00AF3927" w:rsidRDefault="00AF3927" w:rsidP="006A7201">
      <w:pPr>
        <w:numPr>
          <w:ilvl w:val="0"/>
          <w:numId w:val="22"/>
        </w:numPr>
        <w:ind w:left="0"/>
        <w:contextualSpacing/>
        <w:rPr>
          <w:b/>
        </w:rPr>
      </w:pPr>
      <w:r>
        <w:rPr>
          <w:b/>
        </w:rPr>
        <w:t>Procedures for Collecting Information</w:t>
      </w:r>
    </w:p>
    <w:p w:rsidR="00AF3927" w:rsidRDefault="00AF3927" w:rsidP="006A7201">
      <w:pPr>
        <w:contextualSpacing/>
        <w:rPr>
          <w:b/>
        </w:rPr>
      </w:pPr>
    </w:p>
    <w:p w:rsidR="006A7201" w:rsidRDefault="00AA7636" w:rsidP="006A7201">
      <w:pPr>
        <w:pStyle w:val="BodyTextIndent2"/>
        <w:spacing w:after="0" w:line="240" w:lineRule="auto"/>
        <w:ind w:left="0"/>
        <w:rPr>
          <w:b/>
        </w:rPr>
      </w:pPr>
      <w:r>
        <w:t>IRS</w:t>
      </w:r>
      <w:r w:rsidR="006A7201" w:rsidRPr="006A7201">
        <w:t xml:space="preserve"> will administer the survey by mail. Standard procedures will be used in order to obtain the highest response rate possible for the mail survey.  These will include: 1) a pre-notification letter on IRS letterhead about the survey, 2) cover letter and questionnaire, 3) a postcard reminder, and 4) a cover letter and a copy of questionnaire to non-respondents. </w:t>
      </w:r>
    </w:p>
    <w:p w:rsidR="00AF3927" w:rsidRDefault="00AF3927" w:rsidP="006A7201">
      <w:pPr>
        <w:contextualSpacing/>
        <w:rPr>
          <w:b/>
        </w:rPr>
      </w:pPr>
    </w:p>
    <w:p w:rsidR="00AF3927" w:rsidRDefault="00AF3927" w:rsidP="008D1978">
      <w:pPr>
        <w:numPr>
          <w:ilvl w:val="0"/>
          <w:numId w:val="22"/>
        </w:numPr>
        <w:spacing w:before="100" w:beforeAutospacing="1" w:after="100" w:afterAutospacing="1"/>
        <w:ind w:left="0"/>
        <w:contextualSpacing/>
        <w:rPr>
          <w:b/>
        </w:rPr>
      </w:pPr>
      <w:r>
        <w:rPr>
          <w:b/>
        </w:rPr>
        <w:t>Methods to Maximize Response</w:t>
      </w:r>
    </w:p>
    <w:p w:rsidR="00AF3927" w:rsidRDefault="00AF3927" w:rsidP="000E7EEF">
      <w:pPr>
        <w:spacing w:before="100" w:beforeAutospacing="1" w:after="100" w:afterAutospacing="1"/>
        <w:ind w:left="360"/>
        <w:contextualSpacing/>
      </w:pPr>
    </w:p>
    <w:p w:rsidR="006A7201" w:rsidRPr="006A7201" w:rsidRDefault="006A7201" w:rsidP="006A7201">
      <w:pPr>
        <w:rPr>
          <w:rFonts w:cs="Arial"/>
          <w:szCs w:val="20"/>
        </w:rPr>
      </w:pPr>
      <w:r w:rsidRPr="006A7201">
        <w:rPr>
          <w:rFonts w:cs="Arial"/>
          <w:szCs w:val="20"/>
        </w:rPr>
        <w:t>The questionnaire length is minimized to reduce respondent burden; thereby, tending to increase response rates. Respondents are assured anonymity of their responses. Also, weighting procedures can be applied to adjust aggregated data from those who do respond.</w:t>
      </w:r>
    </w:p>
    <w:p w:rsidR="00AF3927" w:rsidRDefault="00AF3927" w:rsidP="000E7EEF">
      <w:pPr>
        <w:spacing w:before="100" w:beforeAutospacing="1" w:after="100" w:afterAutospacing="1"/>
        <w:ind w:left="360"/>
        <w:contextualSpacing/>
        <w:rPr>
          <w:b/>
        </w:rPr>
      </w:pPr>
    </w:p>
    <w:p w:rsidR="005F6D97" w:rsidRDefault="005F6D97" w:rsidP="000E7EEF">
      <w:pPr>
        <w:spacing w:before="100" w:beforeAutospacing="1" w:after="100" w:afterAutospacing="1"/>
        <w:ind w:left="360"/>
        <w:contextualSpacing/>
        <w:rPr>
          <w:b/>
        </w:rPr>
      </w:pPr>
    </w:p>
    <w:p w:rsidR="005F6D97" w:rsidRDefault="005F6D97" w:rsidP="000E7EEF">
      <w:pPr>
        <w:spacing w:before="100" w:beforeAutospacing="1" w:after="100" w:afterAutospacing="1"/>
        <w:ind w:left="360"/>
        <w:contextualSpacing/>
        <w:rPr>
          <w:b/>
        </w:rPr>
      </w:pPr>
    </w:p>
    <w:p w:rsidR="00AF3927" w:rsidRPr="00464A0D" w:rsidRDefault="00AF3927" w:rsidP="008D1978">
      <w:pPr>
        <w:numPr>
          <w:ilvl w:val="0"/>
          <w:numId w:val="22"/>
        </w:numPr>
        <w:spacing w:before="100" w:beforeAutospacing="1" w:after="100" w:afterAutospacing="1"/>
        <w:ind w:left="0"/>
        <w:contextualSpacing/>
        <w:rPr>
          <w:b/>
        </w:rPr>
      </w:pPr>
      <w:r w:rsidRPr="00464A0D">
        <w:rPr>
          <w:b/>
        </w:rPr>
        <w:t>Testing of Procedures</w:t>
      </w:r>
    </w:p>
    <w:p w:rsidR="00AF3927" w:rsidRDefault="00AF3927" w:rsidP="000E7EEF">
      <w:pPr>
        <w:spacing w:before="100" w:beforeAutospacing="1" w:after="100" w:afterAutospacing="1"/>
        <w:ind w:left="360"/>
        <w:contextualSpacing/>
        <w:rPr>
          <w:b/>
        </w:rPr>
      </w:pPr>
      <w:r>
        <w:rPr>
          <w:b/>
        </w:rPr>
        <w:t xml:space="preserve"> </w:t>
      </w:r>
    </w:p>
    <w:p w:rsidR="00464A0D" w:rsidRPr="00464A0D" w:rsidRDefault="00CF3CE5" w:rsidP="00464A0D">
      <w:r w:rsidRPr="00464A0D">
        <w:t xml:space="preserve">The survey was designed in conjunction with Excise Tax. It includes qualitative and quantitative questions. </w:t>
      </w:r>
      <w:r w:rsidR="00464A0D" w:rsidRPr="00464A0D">
        <w:t xml:space="preserve">If changes are made to the questionnaire, they are expected to be minor.  For example, revising the coding scheme for </w:t>
      </w:r>
      <w:r w:rsidR="00464A0D">
        <w:t>comments</w:t>
      </w:r>
      <w:r w:rsidR="00464A0D" w:rsidRPr="00464A0D">
        <w:t xml:space="preserve"> is one example.  </w:t>
      </w:r>
    </w:p>
    <w:p w:rsidR="00AF3927" w:rsidRDefault="00AF3927" w:rsidP="00464A0D">
      <w:pPr>
        <w:spacing w:line="237" w:lineRule="auto"/>
        <w:ind w:right="233"/>
        <w:rPr>
          <w:b/>
        </w:rPr>
      </w:pPr>
    </w:p>
    <w:p w:rsidR="00AF3927" w:rsidRDefault="00AF3927" w:rsidP="008D1978">
      <w:pPr>
        <w:numPr>
          <w:ilvl w:val="0"/>
          <w:numId w:val="22"/>
        </w:numPr>
        <w:spacing w:before="100" w:beforeAutospacing="1" w:after="100" w:afterAutospacing="1"/>
        <w:ind w:left="0"/>
        <w:contextualSpacing/>
        <w:rPr>
          <w:b/>
        </w:rPr>
      </w:pPr>
      <w:r>
        <w:rPr>
          <w:b/>
        </w:rPr>
        <w:t>Contacts for Statistical Aspects and Data Collection</w:t>
      </w:r>
    </w:p>
    <w:p w:rsidR="00AF3927" w:rsidRDefault="00AF3927" w:rsidP="000E7EEF">
      <w:pPr>
        <w:spacing w:before="100" w:beforeAutospacing="1" w:after="100" w:afterAutospacing="1"/>
        <w:ind w:left="360"/>
        <w:contextualSpacing/>
        <w:rPr>
          <w:b/>
        </w:rPr>
      </w:pPr>
    </w:p>
    <w:p w:rsidR="008D1978" w:rsidRDefault="008D1978" w:rsidP="008D1978">
      <w:r w:rsidRPr="005E143A">
        <w:t>For questions regarding the study or questionnaire design or statistical methodology, contact:</w:t>
      </w:r>
    </w:p>
    <w:p w:rsidR="008D1978" w:rsidRPr="005E143A" w:rsidRDefault="008D1978" w:rsidP="008D1978"/>
    <w:p w:rsidR="008D1978" w:rsidRDefault="008D1978" w:rsidP="008D1978">
      <w:pPr>
        <w:ind w:left="360"/>
      </w:pPr>
      <w:r>
        <w:t>Sharon Luckett</w:t>
      </w:r>
      <w:r w:rsidR="00D42099">
        <w:tab/>
      </w:r>
      <w:r w:rsidR="00D42099">
        <w:tab/>
      </w:r>
      <w:r w:rsidR="00D42099">
        <w:tab/>
      </w:r>
    </w:p>
    <w:p w:rsidR="008D1978" w:rsidRDefault="008D1978" w:rsidP="008D1978">
      <w:pPr>
        <w:ind w:left="360"/>
      </w:pPr>
      <w:r>
        <w:t>SB/SE, Policy Analyst</w:t>
      </w:r>
      <w:r w:rsidR="00464A0D">
        <w:tab/>
      </w:r>
      <w:r w:rsidR="00464A0D">
        <w:tab/>
      </w:r>
    </w:p>
    <w:p w:rsidR="008D1978" w:rsidRDefault="00626616" w:rsidP="008D1978">
      <w:pPr>
        <w:ind w:left="360"/>
      </w:pPr>
      <w:r>
        <w:t>240-613-6466</w:t>
      </w:r>
      <w:r w:rsidR="00D42099">
        <w:tab/>
      </w:r>
      <w:r w:rsidR="00D42099">
        <w:tab/>
      </w:r>
      <w:r w:rsidR="00D42099">
        <w:tab/>
      </w:r>
      <w:r w:rsidR="00D42099">
        <w:tab/>
      </w:r>
    </w:p>
    <w:p w:rsidR="007F1F1A" w:rsidRDefault="00D42099" w:rsidP="008D1978">
      <w:pPr>
        <w:ind w:left="360"/>
      </w:pPr>
      <w:r w:rsidRPr="00D42099">
        <w:t>sharon.l.luckett@irs.gov</w:t>
      </w:r>
      <w:r>
        <w:tab/>
      </w:r>
      <w:r>
        <w:tab/>
      </w:r>
      <w:r>
        <w:tab/>
      </w:r>
    </w:p>
    <w:p w:rsidR="008338F7" w:rsidRDefault="008338F7" w:rsidP="008D1978">
      <w:pPr>
        <w:ind w:left="360"/>
      </w:pPr>
    </w:p>
    <w:p w:rsidR="00742A42" w:rsidRPr="00C774D4" w:rsidRDefault="00742A42" w:rsidP="00742A42">
      <w:pPr>
        <w:rPr>
          <w:b/>
          <w:bCs/>
        </w:rPr>
      </w:pPr>
      <w:r w:rsidRPr="00C774D4">
        <w:rPr>
          <w:b/>
          <w:bCs/>
        </w:rPr>
        <w:t xml:space="preserve">Survey instruments include the following and are </w:t>
      </w:r>
      <w:r>
        <w:rPr>
          <w:b/>
          <w:bCs/>
        </w:rPr>
        <w:t>included as a separate file</w:t>
      </w:r>
      <w:r w:rsidRPr="00C774D4">
        <w:rPr>
          <w:b/>
          <w:bCs/>
        </w:rPr>
        <w:t>.</w:t>
      </w:r>
    </w:p>
    <w:p w:rsidR="008338F7" w:rsidRDefault="008338F7" w:rsidP="008338F7">
      <w:pPr>
        <w:rPr>
          <w:bCs/>
        </w:rPr>
      </w:pPr>
    </w:p>
    <w:p w:rsidR="008338F7" w:rsidRDefault="008338F7" w:rsidP="008338F7">
      <w:pPr>
        <w:numPr>
          <w:ilvl w:val="0"/>
          <w:numId w:val="24"/>
        </w:numPr>
        <w:ind w:left="1296"/>
        <w:rPr>
          <w:bCs/>
        </w:rPr>
      </w:pPr>
      <w:r>
        <w:rPr>
          <w:bCs/>
        </w:rPr>
        <w:t>Pre-notification letter on IRS letterhead</w:t>
      </w:r>
    </w:p>
    <w:p w:rsidR="008338F7" w:rsidRDefault="008338F7" w:rsidP="008338F7">
      <w:pPr>
        <w:numPr>
          <w:ilvl w:val="0"/>
          <w:numId w:val="24"/>
        </w:numPr>
        <w:ind w:left="1296"/>
        <w:rPr>
          <w:bCs/>
        </w:rPr>
      </w:pPr>
      <w:r>
        <w:rPr>
          <w:bCs/>
        </w:rPr>
        <w:t>Cover letter and questionnaire</w:t>
      </w:r>
    </w:p>
    <w:p w:rsidR="008338F7" w:rsidRDefault="008338F7" w:rsidP="008338F7">
      <w:pPr>
        <w:numPr>
          <w:ilvl w:val="0"/>
          <w:numId w:val="24"/>
        </w:numPr>
        <w:ind w:left="1296"/>
        <w:rPr>
          <w:bCs/>
        </w:rPr>
      </w:pPr>
      <w:r>
        <w:rPr>
          <w:bCs/>
        </w:rPr>
        <w:t>Postcard reminder</w:t>
      </w:r>
    </w:p>
    <w:p w:rsidR="006D25E1" w:rsidRPr="006D25E1" w:rsidRDefault="008338F7" w:rsidP="00742A42">
      <w:pPr>
        <w:numPr>
          <w:ilvl w:val="0"/>
          <w:numId w:val="24"/>
        </w:numPr>
      </w:pPr>
      <w:r>
        <w:t>Cover letter for non-respondents</w:t>
      </w:r>
    </w:p>
    <w:sectPr w:rsidR="006D25E1" w:rsidRPr="006D25E1" w:rsidSect="0057086D">
      <w:footerReference w:type="even" r:id="rId8"/>
      <w:footerReference w:type="default" r:id="rId9"/>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BCC" w:rsidRDefault="00610BCC">
      <w:r>
        <w:separator/>
      </w:r>
    </w:p>
  </w:endnote>
  <w:endnote w:type="continuationSeparator" w:id="0">
    <w:p w:rsidR="00610BCC" w:rsidRDefault="0061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AC" w:rsidRDefault="00C046AC" w:rsidP="00566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6AC" w:rsidRDefault="00C04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6AC" w:rsidRDefault="00C046AC" w:rsidP="00566A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43D4">
      <w:rPr>
        <w:rStyle w:val="PageNumber"/>
        <w:noProof/>
      </w:rPr>
      <w:t>4</w:t>
    </w:r>
    <w:r>
      <w:rPr>
        <w:rStyle w:val="PageNumber"/>
      </w:rPr>
      <w:fldChar w:fldCharType="end"/>
    </w:r>
  </w:p>
  <w:p w:rsidR="00C046AC" w:rsidRDefault="00C04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BCC" w:rsidRDefault="00610BCC">
      <w:r>
        <w:separator/>
      </w:r>
    </w:p>
  </w:footnote>
  <w:footnote w:type="continuationSeparator" w:id="0">
    <w:p w:rsidR="00610BCC" w:rsidRDefault="00610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821121E"/>
    <w:multiLevelType w:val="hybridMultilevel"/>
    <w:tmpl w:val="7F6CB88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DC25239"/>
    <w:multiLevelType w:val="hybridMultilevel"/>
    <w:tmpl w:val="33A4687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num w:numId="1">
    <w:abstractNumId w:val="14"/>
  </w:num>
  <w:num w:numId="2">
    <w:abstractNumId w:val="22"/>
  </w:num>
  <w:num w:numId="3">
    <w:abstractNumId w:val="21"/>
  </w:num>
  <w:num w:numId="4">
    <w:abstractNumId w:val="23"/>
  </w:num>
  <w:num w:numId="5">
    <w:abstractNumId w:val="4"/>
  </w:num>
  <w:num w:numId="6">
    <w:abstractNumId w:val="2"/>
  </w:num>
  <w:num w:numId="7">
    <w:abstractNumId w:val="12"/>
  </w:num>
  <w:num w:numId="8">
    <w:abstractNumId w:val="18"/>
  </w:num>
  <w:num w:numId="9">
    <w:abstractNumId w:val="13"/>
  </w:num>
  <w:num w:numId="10">
    <w:abstractNumId w:val="3"/>
  </w:num>
  <w:num w:numId="11">
    <w:abstractNumId w:val="8"/>
  </w:num>
  <w:num w:numId="12">
    <w:abstractNumId w:val="10"/>
  </w:num>
  <w:num w:numId="13">
    <w:abstractNumId w:val="0"/>
  </w:num>
  <w:num w:numId="14">
    <w:abstractNumId w:val="20"/>
  </w:num>
  <w:num w:numId="15">
    <w:abstractNumId w:val="17"/>
  </w:num>
  <w:num w:numId="16">
    <w:abstractNumId w:val="16"/>
  </w:num>
  <w:num w:numId="17">
    <w:abstractNumId w:val="6"/>
  </w:num>
  <w:num w:numId="18">
    <w:abstractNumId w:val="7"/>
  </w:num>
  <w:num w:numId="19">
    <w:abstractNumId w:val="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210B"/>
    <w:rsid w:val="00023A57"/>
    <w:rsid w:val="000242C4"/>
    <w:rsid w:val="0003024E"/>
    <w:rsid w:val="00047A64"/>
    <w:rsid w:val="00067329"/>
    <w:rsid w:val="00084882"/>
    <w:rsid w:val="000B2838"/>
    <w:rsid w:val="000B299C"/>
    <w:rsid w:val="000B2EEF"/>
    <w:rsid w:val="000C104E"/>
    <w:rsid w:val="000D44CA"/>
    <w:rsid w:val="000D562D"/>
    <w:rsid w:val="000D72FC"/>
    <w:rsid w:val="000E200B"/>
    <w:rsid w:val="000E67ED"/>
    <w:rsid w:val="000E6C1B"/>
    <w:rsid w:val="000E7EEF"/>
    <w:rsid w:val="000F68BE"/>
    <w:rsid w:val="00102E11"/>
    <w:rsid w:val="00105A04"/>
    <w:rsid w:val="0011085F"/>
    <w:rsid w:val="0013411B"/>
    <w:rsid w:val="00150676"/>
    <w:rsid w:val="00180D1A"/>
    <w:rsid w:val="001927A4"/>
    <w:rsid w:val="00194AC6"/>
    <w:rsid w:val="001A23B0"/>
    <w:rsid w:val="001A25CC"/>
    <w:rsid w:val="001A546B"/>
    <w:rsid w:val="001B0AAA"/>
    <w:rsid w:val="001C39F7"/>
    <w:rsid w:val="001F1F79"/>
    <w:rsid w:val="002037E6"/>
    <w:rsid w:val="00237B48"/>
    <w:rsid w:val="0024521E"/>
    <w:rsid w:val="002557BB"/>
    <w:rsid w:val="002557F9"/>
    <w:rsid w:val="00263C3D"/>
    <w:rsid w:val="0026564E"/>
    <w:rsid w:val="00274D0B"/>
    <w:rsid w:val="00280B9E"/>
    <w:rsid w:val="002971F7"/>
    <w:rsid w:val="002A0A47"/>
    <w:rsid w:val="002A478A"/>
    <w:rsid w:val="002B3C95"/>
    <w:rsid w:val="002B486B"/>
    <w:rsid w:val="002B7317"/>
    <w:rsid w:val="002C5918"/>
    <w:rsid w:val="002D0B92"/>
    <w:rsid w:val="002F468F"/>
    <w:rsid w:val="00307B3A"/>
    <w:rsid w:val="003312B4"/>
    <w:rsid w:val="00337D68"/>
    <w:rsid w:val="00351D46"/>
    <w:rsid w:val="00353F0A"/>
    <w:rsid w:val="003844B1"/>
    <w:rsid w:val="003A205E"/>
    <w:rsid w:val="003C2E4A"/>
    <w:rsid w:val="003D0B0C"/>
    <w:rsid w:val="003D5BBE"/>
    <w:rsid w:val="003E2DF5"/>
    <w:rsid w:val="003E3C61"/>
    <w:rsid w:val="003F1C5B"/>
    <w:rsid w:val="003F6668"/>
    <w:rsid w:val="00423B13"/>
    <w:rsid w:val="00426E4D"/>
    <w:rsid w:val="00427689"/>
    <w:rsid w:val="00434CF6"/>
    <w:rsid w:val="00434E33"/>
    <w:rsid w:val="00441434"/>
    <w:rsid w:val="0045264C"/>
    <w:rsid w:val="00460ED3"/>
    <w:rsid w:val="00464A0D"/>
    <w:rsid w:val="004825C6"/>
    <w:rsid w:val="004832B1"/>
    <w:rsid w:val="004876EC"/>
    <w:rsid w:val="004C4D5D"/>
    <w:rsid w:val="004D6E14"/>
    <w:rsid w:val="004E0D6D"/>
    <w:rsid w:val="004E70E6"/>
    <w:rsid w:val="005009B0"/>
    <w:rsid w:val="005512BC"/>
    <w:rsid w:val="00555CFA"/>
    <w:rsid w:val="005635FB"/>
    <w:rsid w:val="00566A07"/>
    <w:rsid w:val="0057086D"/>
    <w:rsid w:val="00591778"/>
    <w:rsid w:val="005A1006"/>
    <w:rsid w:val="005A5508"/>
    <w:rsid w:val="005A5C4F"/>
    <w:rsid w:val="005C3F7F"/>
    <w:rsid w:val="005C68DB"/>
    <w:rsid w:val="005D7423"/>
    <w:rsid w:val="005E6AF7"/>
    <w:rsid w:val="005E714A"/>
    <w:rsid w:val="005F5D6F"/>
    <w:rsid w:val="005F6D97"/>
    <w:rsid w:val="00606A3F"/>
    <w:rsid w:val="00610BCC"/>
    <w:rsid w:val="006140A0"/>
    <w:rsid w:val="00620F47"/>
    <w:rsid w:val="00626616"/>
    <w:rsid w:val="006351DF"/>
    <w:rsid w:val="00636621"/>
    <w:rsid w:val="00642B49"/>
    <w:rsid w:val="00664457"/>
    <w:rsid w:val="006832D9"/>
    <w:rsid w:val="00685A47"/>
    <w:rsid w:val="0069403B"/>
    <w:rsid w:val="00695349"/>
    <w:rsid w:val="006A0BD0"/>
    <w:rsid w:val="006A7201"/>
    <w:rsid w:val="006B5400"/>
    <w:rsid w:val="006D13F0"/>
    <w:rsid w:val="006D25E1"/>
    <w:rsid w:val="006F3DDE"/>
    <w:rsid w:val="007008FD"/>
    <w:rsid w:val="00704678"/>
    <w:rsid w:val="007059E0"/>
    <w:rsid w:val="00711729"/>
    <w:rsid w:val="0071425A"/>
    <w:rsid w:val="00717F5F"/>
    <w:rsid w:val="00722F01"/>
    <w:rsid w:val="007425E7"/>
    <w:rsid w:val="00742A42"/>
    <w:rsid w:val="00744F00"/>
    <w:rsid w:val="007451E6"/>
    <w:rsid w:val="007F1F1A"/>
    <w:rsid w:val="007F3599"/>
    <w:rsid w:val="007F4682"/>
    <w:rsid w:val="00802607"/>
    <w:rsid w:val="008101A5"/>
    <w:rsid w:val="00812FD0"/>
    <w:rsid w:val="00813437"/>
    <w:rsid w:val="008217A8"/>
    <w:rsid w:val="00822664"/>
    <w:rsid w:val="008338F7"/>
    <w:rsid w:val="008374E8"/>
    <w:rsid w:val="00843796"/>
    <w:rsid w:val="00845E62"/>
    <w:rsid w:val="00867BDB"/>
    <w:rsid w:val="00895229"/>
    <w:rsid w:val="008B3748"/>
    <w:rsid w:val="008C3DCB"/>
    <w:rsid w:val="008D1978"/>
    <w:rsid w:val="008D7CAB"/>
    <w:rsid w:val="008F0203"/>
    <w:rsid w:val="008F3266"/>
    <w:rsid w:val="008F50D4"/>
    <w:rsid w:val="008F5281"/>
    <w:rsid w:val="009055B7"/>
    <w:rsid w:val="009142AC"/>
    <w:rsid w:val="009239AA"/>
    <w:rsid w:val="00935ADA"/>
    <w:rsid w:val="00942FC1"/>
    <w:rsid w:val="00946B6C"/>
    <w:rsid w:val="00953889"/>
    <w:rsid w:val="00955A71"/>
    <w:rsid w:val="009570D9"/>
    <w:rsid w:val="0096108F"/>
    <w:rsid w:val="00962601"/>
    <w:rsid w:val="0098166D"/>
    <w:rsid w:val="0098415C"/>
    <w:rsid w:val="009921C5"/>
    <w:rsid w:val="009C13B9"/>
    <w:rsid w:val="009D01A2"/>
    <w:rsid w:val="009D405D"/>
    <w:rsid w:val="009F5345"/>
    <w:rsid w:val="009F5923"/>
    <w:rsid w:val="00A02828"/>
    <w:rsid w:val="00A03901"/>
    <w:rsid w:val="00A040DE"/>
    <w:rsid w:val="00A07A77"/>
    <w:rsid w:val="00A153F9"/>
    <w:rsid w:val="00A26564"/>
    <w:rsid w:val="00A31A55"/>
    <w:rsid w:val="00A343AF"/>
    <w:rsid w:val="00A403BB"/>
    <w:rsid w:val="00A674DF"/>
    <w:rsid w:val="00A72E81"/>
    <w:rsid w:val="00A83AA6"/>
    <w:rsid w:val="00A91B0B"/>
    <w:rsid w:val="00A92F8E"/>
    <w:rsid w:val="00A94F95"/>
    <w:rsid w:val="00AA259E"/>
    <w:rsid w:val="00AA7636"/>
    <w:rsid w:val="00AC51A6"/>
    <w:rsid w:val="00AD28F2"/>
    <w:rsid w:val="00AE1809"/>
    <w:rsid w:val="00AF113C"/>
    <w:rsid w:val="00AF3927"/>
    <w:rsid w:val="00B263AB"/>
    <w:rsid w:val="00B37990"/>
    <w:rsid w:val="00B80D76"/>
    <w:rsid w:val="00B865BE"/>
    <w:rsid w:val="00B86CE8"/>
    <w:rsid w:val="00B90B6B"/>
    <w:rsid w:val="00BA2105"/>
    <w:rsid w:val="00BA43D4"/>
    <w:rsid w:val="00BA6444"/>
    <w:rsid w:val="00BA7E06"/>
    <w:rsid w:val="00BB43B5"/>
    <w:rsid w:val="00BB4BF7"/>
    <w:rsid w:val="00BB6219"/>
    <w:rsid w:val="00BD290F"/>
    <w:rsid w:val="00BD692B"/>
    <w:rsid w:val="00BE45DE"/>
    <w:rsid w:val="00BF581F"/>
    <w:rsid w:val="00C046AC"/>
    <w:rsid w:val="00C14CC4"/>
    <w:rsid w:val="00C33C52"/>
    <w:rsid w:val="00C40D8B"/>
    <w:rsid w:val="00C46EF3"/>
    <w:rsid w:val="00C577F9"/>
    <w:rsid w:val="00C8407A"/>
    <w:rsid w:val="00C8488C"/>
    <w:rsid w:val="00C86E91"/>
    <w:rsid w:val="00C91B81"/>
    <w:rsid w:val="00C93A19"/>
    <w:rsid w:val="00CA2650"/>
    <w:rsid w:val="00CA7B9A"/>
    <w:rsid w:val="00CB1078"/>
    <w:rsid w:val="00CB501A"/>
    <w:rsid w:val="00CC5505"/>
    <w:rsid w:val="00CC6FAF"/>
    <w:rsid w:val="00CD784F"/>
    <w:rsid w:val="00CF3CE5"/>
    <w:rsid w:val="00D04E0C"/>
    <w:rsid w:val="00D24698"/>
    <w:rsid w:val="00D42099"/>
    <w:rsid w:val="00D62273"/>
    <w:rsid w:val="00D6383F"/>
    <w:rsid w:val="00D742DF"/>
    <w:rsid w:val="00D850C0"/>
    <w:rsid w:val="00DA0308"/>
    <w:rsid w:val="00DB59D0"/>
    <w:rsid w:val="00DC300D"/>
    <w:rsid w:val="00DC33D3"/>
    <w:rsid w:val="00DD4ED8"/>
    <w:rsid w:val="00E10F71"/>
    <w:rsid w:val="00E26329"/>
    <w:rsid w:val="00E26BDE"/>
    <w:rsid w:val="00E40B50"/>
    <w:rsid w:val="00E50293"/>
    <w:rsid w:val="00E65FFC"/>
    <w:rsid w:val="00E77E49"/>
    <w:rsid w:val="00E80951"/>
    <w:rsid w:val="00E854FE"/>
    <w:rsid w:val="00E86CC6"/>
    <w:rsid w:val="00EA09B0"/>
    <w:rsid w:val="00EB2594"/>
    <w:rsid w:val="00EB446B"/>
    <w:rsid w:val="00EB5262"/>
    <w:rsid w:val="00EB56B3"/>
    <w:rsid w:val="00EC1140"/>
    <w:rsid w:val="00ED6492"/>
    <w:rsid w:val="00ED7953"/>
    <w:rsid w:val="00EF2095"/>
    <w:rsid w:val="00F05597"/>
    <w:rsid w:val="00F06866"/>
    <w:rsid w:val="00F11E4D"/>
    <w:rsid w:val="00F146B8"/>
    <w:rsid w:val="00F15956"/>
    <w:rsid w:val="00F24CFC"/>
    <w:rsid w:val="00F271A8"/>
    <w:rsid w:val="00F308DA"/>
    <w:rsid w:val="00F30D6E"/>
    <w:rsid w:val="00F3170F"/>
    <w:rsid w:val="00F37362"/>
    <w:rsid w:val="00F60A9D"/>
    <w:rsid w:val="00F70F76"/>
    <w:rsid w:val="00F762F5"/>
    <w:rsid w:val="00F976B0"/>
    <w:rsid w:val="00FA5D35"/>
    <w:rsid w:val="00FA6DE7"/>
    <w:rsid w:val="00FC0A8E"/>
    <w:rsid w:val="00FC5DE9"/>
    <w:rsid w:val="00FD1402"/>
    <w:rsid w:val="00FD427F"/>
    <w:rsid w:val="00FE2FA6"/>
    <w:rsid w:val="00FE3DF2"/>
    <w:rsid w:val="00FE5156"/>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rsid w:val="00CA7B9A"/>
    <w:pPr>
      <w:spacing w:line="201" w:lineRule="atLeast"/>
    </w:pPr>
    <w:rPr>
      <w:color w:val="auto"/>
    </w:rPr>
  </w:style>
  <w:style w:type="character" w:customStyle="1" w:styleId="A0">
    <w:name w:val="A0"/>
    <w:rsid w:val="00CA7B9A"/>
    <w:rPr>
      <w:color w:val="221E1F"/>
    </w:rPr>
  </w:style>
  <w:style w:type="paragraph" w:customStyle="1" w:styleId="msolistparagraph0">
    <w:name w:val="msolistparagraph"/>
    <w:basedOn w:val="Normal"/>
    <w:rsid w:val="00EB446B"/>
    <w:pPr>
      <w:ind w:left="720"/>
    </w:pPr>
    <w:rPr>
      <w:rFonts w:ascii="Calibri" w:hAnsi="Calibri"/>
      <w:sz w:val="22"/>
      <w:szCs w:val="22"/>
    </w:rPr>
  </w:style>
  <w:style w:type="paragraph" w:styleId="FootnoteText">
    <w:name w:val="footnote text"/>
    <w:basedOn w:val="Normal"/>
    <w:link w:val="FootnoteTextChar"/>
    <w:unhideWhenUsed/>
    <w:rsid w:val="00FE5156"/>
    <w:pPr>
      <w:spacing w:after="240"/>
    </w:pPr>
    <w:rPr>
      <w:sz w:val="20"/>
      <w:szCs w:val="20"/>
    </w:rPr>
  </w:style>
  <w:style w:type="character" w:customStyle="1" w:styleId="FootnoteTextChar">
    <w:name w:val="Footnote Text Char"/>
    <w:basedOn w:val="DefaultParagraphFont"/>
    <w:link w:val="FootnoteText"/>
    <w:rsid w:val="00FE5156"/>
  </w:style>
  <w:style w:type="character" w:styleId="FootnoteReference">
    <w:name w:val="footnote reference"/>
    <w:unhideWhenUsed/>
    <w:rsid w:val="00FE51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704867001">
      <w:bodyDiv w:val="1"/>
      <w:marLeft w:val="0"/>
      <w:marRight w:val="0"/>
      <w:marTop w:val="0"/>
      <w:marBottom w:val="0"/>
      <w:divBdr>
        <w:top w:val="none" w:sz="0" w:space="0" w:color="auto"/>
        <w:left w:val="none" w:sz="0" w:space="0" w:color="auto"/>
        <w:bottom w:val="none" w:sz="0" w:space="0" w:color="auto"/>
        <w:right w:val="none" w:sz="0" w:space="0" w:color="auto"/>
      </w:divBdr>
    </w:div>
    <w:div w:id="15297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pbzlb</cp:lastModifiedBy>
  <cp:revision>3</cp:revision>
  <cp:lastPrinted>2011-12-06T13:46:00Z</cp:lastPrinted>
  <dcterms:created xsi:type="dcterms:W3CDTF">2015-01-13T20:42:00Z</dcterms:created>
  <dcterms:modified xsi:type="dcterms:W3CDTF">2015-01-13T20:49:00Z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