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1B6" w:rsidRDefault="008011B6">
      <w:pPr>
        <w:pStyle w:val="Title"/>
        <w:rPr>
          <w:rFonts w:ascii="Times New Roman" w:hAnsi="Times New Roman"/>
          <w:sz w:val="24"/>
          <w:szCs w:val="24"/>
        </w:rPr>
      </w:pPr>
    </w:p>
    <w:p w:rsidR="00386054" w:rsidRPr="00FA40CC" w:rsidRDefault="00386054">
      <w:pPr>
        <w:pStyle w:val="Title"/>
        <w:rPr>
          <w:rFonts w:ascii="Times New Roman" w:hAnsi="Times New Roman"/>
          <w:sz w:val="24"/>
          <w:szCs w:val="24"/>
        </w:rPr>
      </w:pPr>
      <w:r w:rsidRPr="00E023B7">
        <w:rPr>
          <w:rFonts w:ascii="Times New Roman" w:hAnsi="Times New Roman"/>
          <w:sz w:val="24"/>
          <w:szCs w:val="24"/>
        </w:rPr>
        <w:tab/>
      </w:r>
      <w:r w:rsidRPr="00FA40CC">
        <w:rPr>
          <w:rFonts w:ascii="Times New Roman" w:hAnsi="Times New Roman"/>
          <w:sz w:val="24"/>
          <w:szCs w:val="24"/>
        </w:rPr>
        <w:t>SUPPORTING STATEMENT</w:t>
      </w:r>
    </w:p>
    <w:p w:rsidR="00386054" w:rsidRPr="00FA40CC" w:rsidRDefault="00386054">
      <w:pPr>
        <w:pStyle w:val="Title"/>
        <w:rPr>
          <w:rFonts w:ascii="Times New Roman" w:hAnsi="Times New Roman"/>
          <w:sz w:val="24"/>
          <w:szCs w:val="24"/>
        </w:rPr>
      </w:pPr>
      <w:r w:rsidRPr="00FA40CC">
        <w:rPr>
          <w:rFonts w:ascii="Times New Roman" w:hAnsi="Times New Roman"/>
          <w:sz w:val="24"/>
          <w:szCs w:val="24"/>
        </w:rPr>
        <w:tab/>
        <w:t>FOR PAPERWORK REDUCTION ACT SUBMISSION</w:t>
      </w:r>
    </w:p>
    <w:p w:rsidR="00386054" w:rsidRPr="00FA40CC" w:rsidRDefault="00386054">
      <w:pPr>
        <w:tabs>
          <w:tab w:val="left" w:pos="0"/>
        </w:tabs>
        <w:suppressAutoHyphens/>
        <w:rPr>
          <w:rFonts w:ascii="Times New Roman" w:hAnsi="Times New Roman"/>
          <w:b/>
          <w:szCs w:val="24"/>
        </w:rPr>
      </w:pPr>
    </w:p>
    <w:bookmarkStart w:id="0" w:name="Text1"/>
    <w:p w:rsidR="00386054" w:rsidRPr="00FA40CC" w:rsidRDefault="007E77FA">
      <w:pPr>
        <w:suppressAutoHyphens/>
        <w:jc w:val="center"/>
        <w:rPr>
          <w:rFonts w:ascii="Times New Roman" w:hAnsi="Times New Roman"/>
          <w:b/>
          <w:szCs w:val="24"/>
        </w:rPr>
      </w:pPr>
      <w:r w:rsidRPr="00FA40CC">
        <w:rPr>
          <w:rFonts w:ascii="Times New Roman" w:hAnsi="Times New Roman"/>
          <w:b/>
          <w:szCs w:val="24"/>
        </w:rPr>
        <w:fldChar w:fldCharType="begin">
          <w:ffData>
            <w:name w:val="Text1"/>
            <w:enabled/>
            <w:calcOnExit w:val="0"/>
            <w:helpText w:type="text" w:val="Enter Title"/>
            <w:statusText w:type="text" w:val="Enter Title"/>
            <w:textInput/>
          </w:ffData>
        </w:fldChar>
      </w:r>
      <w:r w:rsidR="00386054" w:rsidRPr="00FA40CC">
        <w:rPr>
          <w:rFonts w:ascii="Times New Roman" w:hAnsi="Times New Roman"/>
          <w:b/>
          <w:szCs w:val="24"/>
        </w:rPr>
        <w:instrText xml:space="preserve"> FORMTEXT </w:instrText>
      </w:r>
      <w:r w:rsidRPr="00FA40CC">
        <w:rPr>
          <w:rFonts w:ascii="Times New Roman" w:hAnsi="Times New Roman"/>
          <w:b/>
          <w:szCs w:val="24"/>
        </w:rPr>
      </w:r>
      <w:r w:rsidRPr="00FA40CC">
        <w:rPr>
          <w:rFonts w:ascii="Times New Roman" w:hAnsi="Times New Roman"/>
          <w:b/>
          <w:szCs w:val="24"/>
        </w:rPr>
        <w:fldChar w:fldCharType="separate"/>
      </w:r>
      <w:r w:rsidR="00386054" w:rsidRPr="00FA40CC">
        <w:rPr>
          <w:rFonts w:ascii="Times New Roman" w:hAnsi="Times New Roman"/>
          <w:b/>
          <w:noProof/>
          <w:szCs w:val="24"/>
        </w:rPr>
        <w:t> </w:t>
      </w:r>
      <w:r w:rsidR="00386054" w:rsidRPr="00FA40CC">
        <w:rPr>
          <w:rFonts w:ascii="Times New Roman" w:hAnsi="Times New Roman"/>
          <w:b/>
          <w:noProof/>
          <w:szCs w:val="24"/>
        </w:rPr>
        <w:t> </w:t>
      </w:r>
      <w:r w:rsidR="00386054" w:rsidRPr="00FA40CC">
        <w:rPr>
          <w:rFonts w:ascii="Times New Roman" w:hAnsi="Times New Roman"/>
          <w:b/>
          <w:noProof/>
          <w:szCs w:val="24"/>
        </w:rPr>
        <w:t> </w:t>
      </w:r>
      <w:r w:rsidR="00386054" w:rsidRPr="00FA40CC">
        <w:rPr>
          <w:rFonts w:ascii="Times New Roman" w:hAnsi="Times New Roman"/>
          <w:b/>
          <w:noProof/>
          <w:szCs w:val="24"/>
        </w:rPr>
        <w:t> </w:t>
      </w:r>
      <w:r w:rsidR="00386054" w:rsidRPr="00FA40CC">
        <w:rPr>
          <w:rFonts w:ascii="Times New Roman" w:hAnsi="Times New Roman"/>
          <w:b/>
          <w:noProof/>
          <w:szCs w:val="24"/>
        </w:rPr>
        <w:t> </w:t>
      </w:r>
      <w:r w:rsidRPr="00FA40CC">
        <w:rPr>
          <w:rFonts w:ascii="Times New Roman" w:hAnsi="Times New Roman"/>
          <w:b/>
          <w:szCs w:val="24"/>
        </w:rPr>
        <w:fldChar w:fldCharType="end"/>
      </w:r>
      <w:bookmarkEnd w:id="0"/>
    </w:p>
    <w:p w:rsidR="00386054" w:rsidRPr="00FA40CC" w:rsidRDefault="00386054">
      <w:pPr>
        <w:tabs>
          <w:tab w:val="left" w:pos="0"/>
        </w:tabs>
        <w:suppressAutoHyphens/>
        <w:rPr>
          <w:rFonts w:ascii="Times New Roman" w:hAnsi="Times New Roman"/>
          <w:szCs w:val="24"/>
        </w:rPr>
      </w:pPr>
      <w:bookmarkStart w:id="1" w:name="_GoBack"/>
      <w:bookmarkEnd w:id="1"/>
    </w:p>
    <w:p w:rsidR="00386054" w:rsidRPr="00FA40CC" w:rsidRDefault="00386054">
      <w:pPr>
        <w:tabs>
          <w:tab w:val="left" w:pos="0"/>
        </w:tabs>
        <w:suppressAutoHyphens/>
        <w:rPr>
          <w:rFonts w:ascii="Times New Roman" w:hAnsi="Times New Roman"/>
          <w:b/>
          <w:szCs w:val="24"/>
        </w:rPr>
      </w:pPr>
    </w:p>
    <w:p w:rsidR="00386054" w:rsidRPr="00FA40CC" w:rsidRDefault="00386054">
      <w:pPr>
        <w:tabs>
          <w:tab w:val="left" w:pos="0"/>
        </w:tabs>
        <w:suppressAutoHyphens/>
        <w:rPr>
          <w:rFonts w:ascii="Times New Roman" w:hAnsi="Times New Roman"/>
          <w:szCs w:val="24"/>
        </w:rPr>
      </w:pPr>
      <w:r w:rsidRPr="00FA40CC">
        <w:rPr>
          <w:rFonts w:ascii="Times New Roman" w:hAnsi="Times New Roman"/>
          <w:b/>
          <w:szCs w:val="24"/>
        </w:rPr>
        <w:t xml:space="preserve">A. Justification </w:t>
      </w:r>
    </w:p>
    <w:p w:rsidR="00386054" w:rsidRPr="00FA40CC" w:rsidRDefault="00386054">
      <w:pPr>
        <w:tabs>
          <w:tab w:val="left" w:pos="0"/>
        </w:tabs>
        <w:suppressAutoHyphens/>
        <w:rPr>
          <w:rFonts w:ascii="Times New Roman" w:hAnsi="Times New Roman"/>
          <w:szCs w:val="24"/>
        </w:rPr>
      </w:pPr>
    </w:p>
    <w:p w:rsidR="00386054" w:rsidRPr="00FA40CC" w:rsidRDefault="00386054">
      <w:pPr>
        <w:tabs>
          <w:tab w:val="left" w:pos="0"/>
        </w:tabs>
        <w:suppressAutoHyphens/>
        <w:rPr>
          <w:rFonts w:ascii="Times New Roman" w:hAnsi="Times New Roman"/>
          <w:szCs w:val="24"/>
        </w:rPr>
      </w:pPr>
      <w:r w:rsidRPr="00FA40CC">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FA40CC">
        <w:rPr>
          <w:rFonts w:ascii="Times New Roman" w:hAnsi="Times New Roman"/>
          <w:szCs w:val="24"/>
        </w:rPr>
        <w:t xml:space="preserve">hard </w:t>
      </w:r>
      <w:r w:rsidRPr="00FA40CC">
        <w:rPr>
          <w:rFonts w:ascii="Times New Roman" w:hAnsi="Times New Roman"/>
          <w:szCs w:val="24"/>
        </w:rPr>
        <w:t>copy of the appropriate section of each statute and regulation mandating or authorizing the collection of information</w:t>
      </w:r>
      <w:r w:rsidR="003C7F70" w:rsidRPr="00FA40CC">
        <w:rPr>
          <w:rFonts w:ascii="Times New Roman" w:hAnsi="Times New Roman"/>
          <w:szCs w:val="24"/>
        </w:rPr>
        <w:t>,</w:t>
      </w:r>
      <w:r w:rsidR="00050CBE" w:rsidRPr="00FA40CC">
        <w:rPr>
          <w:rFonts w:ascii="Times New Roman" w:hAnsi="Times New Roman"/>
          <w:szCs w:val="24"/>
        </w:rPr>
        <w:t xml:space="preserve"> or </w:t>
      </w:r>
      <w:r w:rsidR="003C7F70" w:rsidRPr="00FA40CC">
        <w:rPr>
          <w:rFonts w:ascii="Times New Roman" w:hAnsi="Times New Roman"/>
          <w:szCs w:val="24"/>
        </w:rPr>
        <w:t xml:space="preserve">you may </w:t>
      </w:r>
      <w:r w:rsidR="00050CBE" w:rsidRPr="00FA40CC">
        <w:rPr>
          <w:rFonts w:ascii="Times New Roman" w:hAnsi="Times New Roman"/>
          <w:szCs w:val="24"/>
        </w:rPr>
        <w:t xml:space="preserve">provide a valid </w:t>
      </w:r>
      <w:r w:rsidR="003C7F70" w:rsidRPr="00FA40CC">
        <w:rPr>
          <w:rFonts w:ascii="Times New Roman" w:hAnsi="Times New Roman"/>
          <w:szCs w:val="24"/>
        </w:rPr>
        <w:t>URL</w:t>
      </w:r>
      <w:r w:rsidR="00050CBE" w:rsidRPr="00FA40CC">
        <w:rPr>
          <w:rFonts w:ascii="Times New Roman" w:hAnsi="Times New Roman"/>
          <w:szCs w:val="24"/>
        </w:rPr>
        <w:t xml:space="preserve"> link or paste the applicable section</w:t>
      </w:r>
      <w:r w:rsidR="003C7F70" w:rsidRPr="00FA40CC">
        <w:rPr>
          <w:rStyle w:val="FootnoteReference"/>
          <w:szCs w:val="24"/>
        </w:rPr>
        <w:footnoteReference w:id="1"/>
      </w:r>
      <w:r w:rsidRPr="00FA40CC">
        <w:rPr>
          <w:rFonts w:ascii="Times New Roman" w:hAnsi="Times New Roman"/>
          <w:szCs w:val="24"/>
        </w:rPr>
        <w:t>. Specify the review type of the collection (new, revision, extension, reinstatement with change, reinstatement without change)</w:t>
      </w:r>
      <w:r w:rsidR="00050CBE" w:rsidRPr="00FA40CC">
        <w:rPr>
          <w:rFonts w:ascii="Times New Roman" w:hAnsi="Times New Roman"/>
          <w:szCs w:val="24"/>
        </w:rPr>
        <w:t>. If revised, briefly specify the changes.  If a rulemaking is involved, make note of the sections or changed sections, if applicable.</w:t>
      </w:r>
    </w:p>
    <w:p w:rsidR="00386054" w:rsidRPr="00FA40CC" w:rsidRDefault="00386054">
      <w:pPr>
        <w:tabs>
          <w:tab w:val="left" w:pos="0"/>
        </w:tabs>
        <w:suppressAutoHyphens/>
        <w:rPr>
          <w:rFonts w:ascii="Times New Roman" w:hAnsi="Times New Roman"/>
          <w:szCs w:val="24"/>
        </w:rPr>
      </w:pPr>
    </w:p>
    <w:p w:rsidR="004549E5" w:rsidRPr="00FA40CC" w:rsidRDefault="00BC1C70" w:rsidP="004549E5">
      <w:pPr>
        <w:ind w:left="360"/>
        <w:rPr>
          <w:rFonts w:ascii="Times New Roman" w:hAnsi="Times New Roman"/>
          <w:szCs w:val="24"/>
        </w:rPr>
      </w:pPr>
      <w:r w:rsidRPr="00FA40CC">
        <w:rPr>
          <w:rFonts w:ascii="Times New Roman" w:hAnsi="Times New Roman"/>
          <w:szCs w:val="24"/>
        </w:rPr>
        <w:t xml:space="preserve">The Department of Education is requesting an extension of the previously approved </w:t>
      </w:r>
      <w:r w:rsidR="00CB2643">
        <w:rPr>
          <w:rFonts w:ascii="Times New Roman" w:hAnsi="Times New Roman"/>
          <w:szCs w:val="24"/>
        </w:rPr>
        <w:t>(Gaining Early Awareness and Readiness for Undergraduate Programs</w:t>
      </w:r>
      <w:r w:rsidR="00C058A1">
        <w:rPr>
          <w:rFonts w:ascii="Times New Roman" w:hAnsi="Times New Roman"/>
          <w:szCs w:val="24"/>
        </w:rPr>
        <w:t>)</w:t>
      </w:r>
      <w:r w:rsidR="00CB2643">
        <w:rPr>
          <w:rFonts w:ascii="Times New Roman" w:hAnsi="Times New Roman"/>
          <w:szCs w:val="24"/>
        </w:rPr>
        <w:t xml:space="preserve"> annual</w:t>
      </w:r>
      <w:r w:rsidRPr="00FA40CC">
        <w:rPr>
          <w:rFonts w:ascii="Times New Roman" w:hAnsi="Times New Roman"/>
          <w:szCs w:val="24"/>
        </w:rPr>
        <w:t xml:space="preserve"> performance report that expires on </w:t>
      </w:r>
      <w:r w:rsidR="00CB2643">
        <w:rPr>
          <w:rFonts w:ascii="Times New Roman" w:hAnsi="Times New Roman"/>
          <w:szCs w:val="24"/>
        </w:rPr>
        <w:t>January</w:t>
      </w:r>
      <w:r w:rsidRPr="00FA40CC">
        <w:rPr>
          <w:rFonts w:ascii="Times New Roman" w:hAnsi="Times New Roman"/>
          <w:szCs w:val="24"/>
        </w:rPr>
        <w:t xml:space="preserve"> </w:t>
      </w:r>
      <w:r w:rsidR="00CB2643">
        <w:rPr>
          <w:rFonts w:ascii="Times New Roman" w:hAnsi="Times New Roman"/>
          <w:szCs w:val="24"/>
        </w:rPr>
        <w:t>31</w:t>
      </w:r>
      <w:r w:rsidRPr="00FA40CC">
        <w:rPr>
          <w:rFonts w:ascii="Times New Roman" w:hAnsi="Times New Roman"/>
          <w:szCs w:val="24"/>
        </w:rPr>
        <w:t>, 201</w:t>
      </w:r>
      <w:r w:rsidR="00CB2643">
        <w:rPr>
          <w:rFonts w:ascii="Times New Roman" w:hAnsi="Times New Roman"/>
          <w:szCs w:val="24"/>
        </w:rPr>
        <w:t>3</w:t>
      </w:r>
      <w:r w:rsidRPr="00FA40CC">
        <w:rPr>
          <w:rFonts w:ascii="Times New Roman" w:hAnsi="Times New Roman"/>
          <w:szCs w:val="24"/>
        </w:rPr>
        <w:t xml:space="preserve">.  </w:t>
      </w:r>
      <w:r w:rsidR="004549E5" w:rsidRPr="00FA40CC">
        <w:rPr>
          <w:rFonts w:ascii="Times New Roman" w:hAnsi="Times New Roman"/>
          <w:szCs w:val="24"/>
        </w:rPr>
        <w:t>The information is collected under the authority of Title VII, Part A, Subpart 2, Section 711 of the Higher Education Act of 1965, as amended; the program regulations in 34 CFR 648; and the Education Department General Administrative Regulations (EDGAR) in 34 CFR 74.51</w:t>
      </w:r>
      <w:r w:rsidR="004549E5" w:rsidRPr="00FA40CC">
        <w:rPr>
          <w:rFonts w:ascii="Times New Roman" w:hAnsi="Times New Roman"/>
          <w:b/>
          <w:i/>
          <w:szCs w:val="24"/>
        </w:rPr>
        <w:t>.  (Copies of the authorizing statute and the program regulations are attached).</w:t>
      </w:r>
      <w:r w:rsidR="004549E5" w:rsidRPr="00FA40CC">
        <w:rPr>
          <w:rFonts w:ascii="Times New Roman" w:hAnsi="Times New Roman"/>
          <w:szCs w:val="24"/>
        </w:rPr>
        <w:t xml:space="preserve">  Further, the performance report form lends itself to the collection of quantifiable data needed to respond to the requirements of the Government Performance and Results Act (GPRA).</w:t>
      </w:r>
      <w:r w:rsidR="001D0B74">
        <w:rPr>
          <w:rFonts w:ascii="Times New Roman" w:hAnsi="Times New Roman"/>
          <w:szCs w:val="24"/>
        </w:rPr>
        <w:t xml:space="preserve">  Grantees are required to provide the data requested in order to obtain or retain benefit, according to </w:t>
      </w:r>
      <w:r w:rsidR="0038737E" w:rsidRPr="00802CE4">
        <w:rPr>
          <w:rFonts w:ascii="Times New Roman" w:hAnsi="Times New Roman"/>
          <w:szCs w:val="24"/>
        </w:rPr>
        <w:t>20 U.S.C. 1135, 34 CFR Sections 648.20, 648.31 and 648.66</w:t>
      </w:r>
      <w:r w:rsidR="0038737E">
        <w:rPr>
          <w:rFonts w:ascii="Times New Roman" w:hAnsi="Times New Roman"/>
          <w:szCs w:val="24"/>
        </w:rPr>
        <w:t>.</w:t>
      </w:r>
    </w:p>
    <w:p w:rsidR="004549E5" w:rsidRPr="00FA40CC" w:rsidRDefault="004549E5" w:rsidP="004549E5">
      <w:pPr>
        <w:ind w:left="360"/>
        <w:rPr>
          <w:rFonts w:ascii="Times New Roman" w:hAnsi="Times New Roman"/>
          <w:szCs w:val="24"/>
        </w:rPr>
      </w:pPr>
    </w:p>
    <w:p w:rsidR="00BC1C70" w:rsidRPr="00FA40CC" w:rsidRDefault="00BC1C70" w:rsidP="004549E5">
      <w:pPr>
        <w:ind w:left="360"/>
        <w:rPr>
          <w:rFonts w:ascii="Times New Roman" w:hAnsi="Times New Roman"/>
          <w:szCs w:val="24"/>
        </w:rPr>
      </w:pPr>
      <w:r w:rsidRPr="00FA40CC">
        <w:rPr>
          <w:rFonts w:ascii="Times New Roman" w:hAnsi="Times New Roman"/>
          <w:szCs w:val="24"/>
        </w:rPr>
        <w:t xml:space="preserve">The overall goal of the program is to </w:t>
      </w:r>
      <w:r w:rsidR="00CB2643">
        <w:rPr>
          <w:rFonts w:ascii="Times New Roman" w:hAnsi="Times New Roman"/>
          <w:szCs w:val="24"/>
        </w:rPr>
        <w:t>increase the number of low-income students entering enrolled in a post-secondary education.</w:t>
      </w:r>
    </w:p>
    <w:p w:rsidR="00BC1C70" w:rsidRPr="00FA40CC" w:rsidRDefault="00BC1C70" w:rsidP="00BC1C70">
      <w:pPr>
        <w:ind w:left="360"/>
        <w:rPr>
          <w:rFonts w:ascii="Times New Roman" w:hAnsi="Times New Roman"/>
          <w:szCs w:val="24"/>
        </w:rPr>
      </w:pPr>
    </w:p>
    <w:p w:rsidR="00BC1C70" w:rsidRPr="00FA40CC" w:rsidRDefault="00BC1C70" w:rsidP="009F149B">
      <w:pPr>
        <w:ind w:left="360"/>
        <w:rPr>
          <w:rFonts w:ascii="Times New Roman" w:hAnsi="Times New Roman"/>
          <w:szCs w:val="24"/>
        </w:rPr>
      </w:pPr>
      <w:r w:rsidRPr="00FA40CC">
        <w:rPr>
          <w:rFonts w:ascii="Times New Roman" w:hAnsi="Times New Roman"/>
          <w:szCs w:val="24"/>
        </w:rPr>
        <w:t xml:space="preserve">There are two versions of the performance report that are part of this package: the annual report.  </w:t>
      </w:r>
      <w:r w:rsidR="00BE5421">
        <w:rPr>
          <w:rFonts w:ascii="Times New Roman" w:hAnsi="Times New Roman"/>
          <w:szCs w:val="24"/>
        </w:rPr>
        <w:t>GEAR UP</w:t>
      </w:r>
      <w:r w:rsidRPr="00FA40CC">
        <w:rPr>
          <w:rFonts w:ascii="Times New Roman" w:hAnsi="Times New Roman"/>
          <w:szCs w:val="24"/>
        </w:rPr>
        <w:t xml:space="preserve"> grants are awarded for a period of </w:t>
      </w:r>
      <w:r w:rsidR="00BE5421">
        <w:rPr>
          <w:rFonts w:ascii="Times New Roman" w:hAnsi="Times New Roman"/>
          <w:szCs w:val="24"/>
        </w:rPr>
        <w:t>six and seven</w:t>
      </w:r>
      <w:r w:rsidRPr="00FA40CC">
        <w:rPr>
          <w:rFonts w:ascii="Times New Roman" w:hAnsi="Times New Roman"/>
          <w:szCs w:val="24"/>
        </w:rPr>
        <w:t xml:space="preserve"> years.  Grantees are required to submit an annual performance report </w:t>
      </w:r>
      <w:r w:rsidR="00BE5421">
        <w:rPr>
          <w:rFonts w:ascii="Times New Roman" w:hAnsi="Times New Roman"/>
          <w:szCs w:val="24"/>
        </w:rPr>
        <w:t xml:space="preserve">on </w:t>
      </w:r>
      <w:r w:rsidRPr="00FA40CC">
        <w:rPr>
          <w:rFonts w:ascii="Times New Roman" w:hAnsi="Times New Roman"/>
          <w:szCs w:val="24"/>
        </w:rPr>
        <w:t xml:space="preserve">April </w:t>
      </w:r>
      <w:r w:rsidR="00BE5421">
        <w:rPr>
          <w:rFonts w:ascii="Times New Roman" w:hAnsi="Times New Roman"/>
          <w:szCs w:val="24"/>
        </w:rPr>
        <w:t xml:space="preserve">15 </w:t>
      </w:r>
      <w:r w:rsidRPr="00FA40CC">
        <w:rPr>
          <w:rFonts w:ascii="Times New Roman" w:hAnsi="Times New Roman"/>
          <w:szCs w:val="24"/>
        </w:rPr>
        <w:t xml:space="preserve">for each budget period of the grant, and a final performance report 90 days after the grant expires.  The annual performance report asks for information specific to the budget year for which the report is being submitted.  The final performance report asks for information specific to the </w:t>
      </w:r>
      <w:r w:rsidR="00BE5421">
        <w:rPr>
          <w:rFonts w:ascii="Times New Roman" w:hAnsi="Times New Roman"/>
          <w:szCs w:val="24"/>
        </w:rPr>
        <w:t>last</w:t>
      </w:r>
      <w:r w:rsidRPr="00FA40CC">
        <w:rPr>
          <w:rFonts w:ascii="Times New Roman" w:hAnsi="Times New Roman"/>
          <w:szCs w:val="24"/>
        </w:rPr>
        <w:t xml:space="preserve"> budget year of the grant, and also requires the grantee to update the </w:t>
      </w:r>
      <w:r w:rsidR="00BE5421">
        <w:rPr>
          <w:rFonts w:ascii="Times New Roman" w:hAnsi="Times New Roman"/>
          <w:szCs w:val="24"/>
        </w:rPr>
        <w:t xml:space="preserve">enrollment and graduation data </w:t>
      </w:r>
      <w:r w:rsidRPr="00FA40CC">
        <w:rPr>
          <w:rFonts w:ascii="Times New Roman" w:hAnsi="Times New Roman"/>
          <w:szCs w:val="24"/>
        </w:rPr>
        <w:t xml:space="preserve">of all students who have </w:t>
      </w:r>
      <w:r w:rsidR="00BE5421">
        <w:rPr>
          <w:rFonts w:ascii="Times New Roman" w:hAnsi="Times New Roman"/>
          <w:szCs w:val="24"/>
        </w:rPr>
        <w:t>participated in</w:t>
      </w:r>
      <w:r w:rsidRPr="00FA40CC">
        <w:rPr>
          <w:rFonts w:ascii="Times New Roman" w:hAnsi="Times New Roman"/>
          <w:szCs w:val="24"/>
        </w:rPr>
        <w:t xml:space="preserve"> a </w:t>
      </w:r>
      <w:r w:rsidR="00BE5421">
        <w:rPr>
          <w:rFonts w:ascii="Times New Roman" w:hAnsi="Times New Roman"/>
          <w:szCs w:val="24"/>
        </w:rPr>
        <w:t>GEAR UP</w:t>
      </w:r>
      <w:r w:rsidRPr="00FA40CC">
        <w:rPr>
          <w:rFonts w:ascii="Times New Roman" w:hAnsi="Times New Roman"/>
          <w:szCs w:val="24"/>
        </w:rPr>
        <w:t xml:space="preserve"> </w:t>
      </w:r>
      <w:r w:rsidR="00BE5421">
        <w:rPr>
          <w:rFonts w:ascii="Times New Roman" w:hAnsi="Times New Roman"/>
          <w:szCs w:val="24"/>
        </w:rPr>
        <w:t>program</w:t>
      </w:r>
      <w:r w:rsidRPr="00FA40CC">
        <w:rPr>
          <w:rFonts w:ascii="Times New Roman" w:hAnsi="Times New Roman"/>
          <w:szCs w:val="24"/>
        </w:rPr>
        <w:t xml:space="preserve"> at any time during the project period.  This information allows the Department to track the number of </w:t>
      </w:r>
      <w:r w:rsidR="00BE5421">
        <w:rPr>
          <w:rFonts w:ascii="Times New Roman" w:hAnsi="Times New Roman"/>
          <w:szCs w:val="24"/>
        </w:rPr>
        <w:lastRenderedPageBreak/>
        <w:t>GEAR UP students</w:t>
      </w:r>
      <w:r w:rsidRPr="00FA40CC">
        <w:rPr>
          <w:rFonts w:ascii="Times New Roman" w:hAnsi="Times New Roman"/>
          <w:szCs w:val="24"/>
        </w:rPr>
        <w:t xml:space="preserve"> who </w:t>
      </w:r>
      <w:r w:rsidR="00BE5421">
        <w:rPr>
          <w:rFonts w:ascii="Times New Roman" w:hAnsi="Times New Roman"/>
          <w:szCs w:val="24"/>
        </w:rPr>
        <w:t>graduated and enrolled in postsecondary education</w:t>
      </w:r>
      <w:r w:rsidRPr="00FA40CC">
        <w:rPr>
          <w:rFonts w:ascii="Times New Roman" w:hAnsi="Times New Roman"/>
          <w:szCs w:val="24"/>
        </w:rPr>
        <w:t xml:space="preserve"> during the grant period.</w:t>
      </w:r>
    </w:p>
    <w:p w:rsidR="00BC1C70" w:rsidRPr="00FA40CC" w:rsidRDefault="00BC1C70" w:rsidP="00BC1C70">
      <w:pPr>
        <w:ind w:left="432" w:firstLine="18"/>
        <w:rPr>
          <w:rFonts w:ascii="Times New Roman" w:hAnsi="Times New Roman"/>
          <w:szCs w:val="24"/>
        </w:rPr>
      </w:pPr>
    </w:p>
    <w:p w:rsidR="00386054" w:rsidRPr="00FA40CC" w:rsidRDefault="00386054">
      <w:pPr>
        <w:tabs>
          <w:tab w:val="left" w:pos="-720"/>
        </w:tabs>
        <w:suppressAutoHyphens/>
        <w:rPr>
          <w:rFonts w:ascii="Times New Roman" w:hAnsi="Times New Roman"/>
          <w:szCs w:val="24"/>
        </w:rPr>
      </w:pPr>
      <w:r w:rsidRPr="00FA40CC">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sidRPr="00FA40CC">
        <w:rPr>
          <w:rFonts w:ascii="Times New Roman" w:hAnsi="Times New Roman"/>
          <w:szCs w:val="24"/>
        </w:rPr>
        <w:t xml:space="preserve"> </w:t>
      </w:r>
    </w:p>
    <w:p w:rsidR="00386054" w:rsidRPr="00FA40CC" w:rsidRDefault="00386054">
      <w:pPr>
        <w:tabs>
          <w:tab w:val="left" w:pos="-720"/>
        </w:tabs>
        <w:suppressAutoHyphens/>
        <w:rPr>
          <w:rFonts w:ascii="Times New Roman" w:hAnsi="Times New Roman"/>
          <w:szCs w:val="24"/>
        </w:rPr>
      </w:pPr>
    </w:p>
    <w:p w:rsidR="00BC1C70" w:rsidRPr="00FA40CC" w:rsidRDefault="00BC1C70" w:rsidP="00BC1C70">
      <w:pPr>
        <w:ind w:left="360"/>
        <w:rPr>
          <w:rFonts w:ascii="Times New Roman" w:hAnsi="Times New Roman"/>
          <w:szCs w:val="24"/>
        </w:rPr>
      </w:pPr>
      <w:r w:rsidRPr="00FA40CC">
        <w:rPr>
          <w:rFonts w:ascii="Times New Roman" w:hAnsi="Times New Roman"/>
          <w:szCs w:val="24"/>
        </w:rPr>
        <w:t>The Department uses the data collected from the performance reports to: (a) monitor grantee compliance with program regulations (34 CFR 648) in administering grant funds and selecting GAANN fellows; (b) collect the quantifiable data needed to evaluate project outcomes; and (c) assist in providing technical assistance to strengthen individual projects.</w:t>
      </w:r>
    </w:p>
    <w:p w:rsidR="00BC1C70" w:rsidRPr="00FA40CC" w:rsidRDefault="00BC1C70" w:rsidP="00BC1C70">
      <w:pPr>
        <w:ind w:left="360"/>
        <w:rPr>
          <w:rFonts w:ascii="Times New Roman" w:hAnsi="Times New Roman"/>
          <w:szCs w:val="24"/>
        </w:rPr>
      </w:pPr>
    </w:p>
    <w:p w:rsidR="00BC1C70" w:rsidRPr="00FA40CC" w:rsidRDefault="00BC1C70" w:rsidP="00BC1C70">
      <w:pPr>
        <w:ind w:left="360"/>
        <w:rPr>
          <w:rFonts w:ascii="Times New Roman" w:hAnsi="Times New Roman"/>
          <w:szCs w:val="24"/>
        </w:rPr>
      </w:pPr>
      <w:r w:rsidRPr="00FA40CC">
        <w:rPr>
          <w:rFonts w:ascii="Times New Roman" w:hAnsi="Times New Roman"/>
          <w:szCs w:val="24"/>
        </w:rPr>
        <w:t>The performance reports are used to collect programmatic data for purposes of annual reporting, budget submissions to OMB, Congressional hearings, Congressional inquiries, and to respond to inquiries from higher education interest groups and the general public.</w:t>
      </w:r>
    </w:p>
    <w:p w:rsidR="00386054" w:rsidRPr="00FA40CC" w:rsidRDefault="00386054">
      <w:pPr>
        <w:tabs>
          <w:tab w:val="left" w:pos="-720"/>
        </w:tabs>
        <w:suppressAutoHyphens/>
        <w:rPr>
          <w:rFonts w:ascii="Times New Roman" w:hAnsi="Times New Roman"/>
          <w:szCs w:val="24"/>
        </w:rPr>
      </w:pPr>
    </w:p>
    <w:p w:rsidR="00386054" w:rsidRPr="00FA40CC" w:rsidRDefault="00386054">
      <w:pPr>
        <w:tabs>
          <w:tab w:val="left" w:pos="-720"/>
        </w:tabs>
        <w:suppressAutoHyphens/>
        <w:rPr>
          <w:rFonts w:ascii="Times New Roman" w:hAnsi="Times New Roman"/>
          <w:szCs w:val="24"/>
        </w:rPr>
      </w:pPr>
      <w:r w:rsidRPr="00FA40CC">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FA40CC">
        <w:rPr>
          <w:rFonts w:ascii="Times New Roman" w:hAnsi="Times New Roman"/>
          <w:szCs w:val="24"/>
        </w:rPr>
        <w:t xml:space="preserve"> </w:t>
      </w:r>
    </w:p>
    <w:p w:rsidR="00386054" w:rsidRPr="00FA40CC" w:rsidRDefault="00386054">
      <w:pPr>
        <w:tabs>
          <w:tab w:val="left" w:pos="-720"/>
        </w:tabs>
        <w:suppressAutoHyphens/>
        <w:rPr>
          <w:rFonts w:ascii="Times New Roman" w:hAnsi="Times New Roman"/>
          <w:szCs w:val="24"/>
        </w:rPr>
      </w:pPr>
    </w:p>
    <w:p w:rsidR="00BC1C70" w:rsidRPr="00FA40CC" w:rsidRDefault="00BC1C70" w:rsidP="00BC1C70">
      <w:pPr>
        <w:ind w:left="360"/>
        <w:rPr>
          <w:rFonts w:ascii="Times New Roman" w:hAnsi="Times New Roman"/>
          <w:szCs w:val="24"/>
        </w:rPr>
      </w:pPr>
      <w:r w:rsidRPr="00FA40CC">
        <w:rPr>
          <w:rFonts w:ascii="Times New Roman" w:hAnsi="Times New Roman"/>
          <w:szCs w:val="24"/>
        </w:rPr>
        <w:t>Grantees use a web-based system to electronically retrieve and submit the requested information in the performance report.  The electronic version of the performance report automatically saves grantee information and student level data entered in one year for use in the following year.  Therefore, the data does not need to be re-entered, only updated when changes occur.  This assists in reducing the burden to grantees, particularly with regard to both the final report and the supplement to the final report, which require updates to the educational and employment status of all students that have been funded over the life of the grant.  The supplement is due two years after the final report.</w:t>
      </w:r>
    </w:p>
    <w:p w:rsidR="00386054" w:rsidRPr="00FA40CC" w:rsidRDefault="00386054">
      <w:pPr>
        <w:tabs>
          <w:tab w:val="left" w:pos="-720"/>
        </w:tabs>
        <w:suppressAutoHyphens/>
        <w:rPr>
          <w:rFonts w:ascii="Times New Roman" w:hAnsi="Times New Roman"/>
          <w:szCs w:val="24"/>
        </w:rPr>
      </w:pPr>
    </w:p>
    <w:p w:rsidR="00386054" w:rsidRPr="00FA40CC" w:rsidRDefault="00386054">
      <w:pPr>
        <w:tabs>
          <w:tab w:val="left" w:pos="-720"/>
        </w:tabs>
        <w:suppressAutoHyphens/>
        <w:rPr>
          <w:rFonts w:ascii="Times New Roman" w:hAnsi="Times New Roman"/>
          <w:szCs w:val="24"/>
        </w:rPr>
      </w:pPr>
      <w:r w:rsidRPr="00FA40CC">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FA40CC" w:rsidRDefault="00386054">
      <w:pPr>
        <w:tabs>
          <w:tab w:val="left" w:pos="-720"/>
        </w:tabs>
        <w:suppressAutoHyphens/>
        <w:rPr>
          <w:rFonts w:ascii="Times New Roman" w:hAnsi="Times New Roman"/>
          <w:szCs w:val="24"/>
        </w:rPr>
      </w:pPr>
    </w:p>
    <w:p w:rsidR="00BC1C70" w:rsidRPr="00FA40CC" w:rsidRDefault="00BC1C70" w:rsidP="00BC1C70">
      <w:pPr>
        <w:ind w:left="360"/>
        <w:rPr>
          <w:rFonts w:ascii="Times New Roman" w:hAnsi="Times New Roman"/>
          <w:szCs w:val="24"/>
        </w:rPr>
      </w:pPr>
      <w:r w:rsidRPr="00FA40CC">
        <w:rPr>
          <w:rFonts w:ascii="Times New Roman" w:hAnsi="Times New Roman"/>
          <w:szCs w:val="24"/>
        </w:rPr>
        <w:t xml:space="preserve">Since the information submitted in the performance reports is specific to the </w:t>
      </w:r>
      <w:r w:rsidR="00BE5421">
        <w:rPr>
          <w:rFonts w:ascii="Times New Roman" w:hAnsi="Times New Roman"/>
          <w:szCs w:val="24"/>
        </w:rPr>
        <w:t>GEAR UP</w:t>
      </w:r>
      <w:r w:rsidRPr="00FA40CC">
        <w:rPr>
          <w:rFonts w:ascii="Times New Roman" w:hAnsi="Times New Roman"/>
          <w:szCs w:val="24"/>
        </w:rPr>
        <w:t xml:space="preserve"> grant project, there is no duplication.  There is no other collection instrument available to collect the information necessary to meet the purposes described in item 2 above.</w:t>
      </w:r>
    </w:p>
    <w:p w:rsidR="00386054" w:rsidRPr="00FA40CC" w:rsidRDefault="00386054">
      <w:pPr>
        <w:tabs>
          <w:tab w:val="left" w:pos="-720"/>
        </w:tabs>
        <w:suppressAutoHyphens/>
        <w:rPr>
          <w:rFonts w:ascii="Times New Roman" w:hAnsi="Times New Roman"/>
          <w:szCs w:val="24"/>
        </w:rPr>
      </w:pPr>
    </w:p>
    <w:p w:rsidR="00386054" w:rsidRPr="00FA40CC" w:rsidRDefault="00386054" w:rsidP="00BD1325">
      <w:pPr>
        <w:rPr>
          <w:rFonts w:ascii="Times New Roman" w:hAnsi="Times New Roman"/>
          <w:szCs w:val="24"/>
        </w:rPr>
      </w:pPr>
      <w:r w:rsidRPr="00FA40CC">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FA40CC" w:rsidRDefault="00386054">
      <w:pPr>
        <w:tabs>
          <w:tab w:val="left" w:pos="-720"/>
        </w:tabs>
        <w:suppressAutoHyphens/>
        <w:rPr>
          <w:rFonts w:ascii="Times New Roman" w:hAnsi="Times New Roman"/>
          <w:szCs w:val="24"/>
        </w:rPr>
      </w:pPr>
    </w:p>
    <w:p w:rsidR="00BC1C70" w:rsidRPr="00FA40CC" w:rsidRDefault="003E3009" w:rsidP="00BC1C70">
      <w:pPr>
        <w:ind w:left="360"/>
        <w:rPr>
          <w:rFonts w:ascii="Times New Roman" w:hAnsi="Times New Roman"/>
          <w:szCs w:val="24"/>
        </w:rPr>
      </w:pPr>
      <w:r>
        <w:rPr>
          <w:rFonts w:ascii="Times New Roman" w:hAnsi="Times New Roman"/>
          <w:szCs w:val="24"/>
        </w:rPr>
        <w:lastRenderedPageBreak/>
        <w:t xml:space="preserve">Learning Education Agencies (LEA) </w:t>
      </w:r>
      <w:r w:rsidR="00AF74A4">
        <w:rPr>
          <w:rFonts w:ascii="Times New Roman" w:hAnsi="Times New Roman"/>
          <w:szCs w:val="24"/>
        </w:rPr>
        <w:t xml:space="preserve">Institutions </w:t>
      </w:r>
      <w:r w:rsidR="00BC1C70" w:rsidRPr="00FA40CC">
        <w:rPr>
          <w:rFonts w:ascii="Times New Roman" w:hAnsi="Times New Roman"/>
          <w:szCs w:val="24"/>
        </w:rPr>
        <w:t xml:space="preserve">of </w:t>
      </w:r>
      <w:r>
        <w:rPr>
          <w:rFonts w:ascii="Times New Roman" w:hAnsi="Times New Roman"/>
          <w:szCs w:val="24"/>
        </w:rPr>
        <w:t>H</w:t>
      </w:r>
      <w:r w:rsidR="00BC1C70" w:rsidRPr="00FA40CC">
        <w:rPr>
          <w:rFonts w:ascii="Times New Roman" w:hAnsi="Times New Roman"/>
          <w:szCs w:val="24"/>
        </w:rPr>
        <w:t xml:space="preserve">igher </w:t>
      </w:r>
      <w:r>
        <w:rPr>
          <w:rFonts w:ascii="Times New Roman" w:hAnsi="Times New Roman"/>
          <w:szCs w:val="24"/>
        </w:rPr>
        <w:t>E</w:t>
      </w:r>
      <w:r w:rsidR="00BC1C70" w:rsidRPr="00FA40CC">
        <w:rPr>
          <w:rFonts w:ascii="Times New Roman" w:hAnsi="Times New Roman"/>
          <w:szCs w:val="24"/>
        </w:rPr>
        <w:t xml:space="preserve">ducation </w:t>
      </w:r>
      <w:r>
        <w:rPr>
          <w:rFonts w:ascii="Times New Roman" w:hAnsi="Times New Roman"/>
          <w:szCs w:val="24"/>
        </w:rPr>
        <w:t xml:space="preserve">(IHE) </w:t>
      </w:r>
      <w:r w:rsidR="00BC1C70" w:rsidRPr="00FA40CC">
        <w:rPr>
          <w:rFonts w:ascii="Times New Roman" w:hAnsi="Times New Roman"/>
          <w:szCs w:val="24"/>
        </w:rPr>
        <w:t xml:space="preserve">are the sole recipients of </w:t>
      </w:r>
      <w:r>
        <w:rPr>
          <w:rFonts w:ascii="Times New Roman" w:hAnsi="Times New Roman"/>
          <w:szCs w:val="24"/>
        </w:rPr>
        <w:t>GEAR UP</w:t>
      </w:r>
      <w:r w:rsidR="00BC1C70" w:rsidRPr="00FA40CC">
        <w:rPr>
          <w:rFonts w:ascii="Times New Roman" w:hAnsi="Times New Roman"/>
          <w:szCs w:val="24"/>
        </w:rPr>
        <w:t xml:space="preserve"> grants.  There is no impact on small businesses or small entities.</w:t>
      </w:r>
    </w:p>
    <w:p w:rsidR="00386054" w:rsidRPr="00FA40CC" w:rsidRDefault="00386054">
      <w:pPr>
        <w:tabs>
          <w:tab w:val="left" w:pos="-720"/>
        </w:tabs>
        <w:suppressAutoHyphens/>
        <w:rPr>
          <w:rFonts w:ascii="Times New Roman" w:hAnsi="Times New Roman"/>
          <w:szCs w:val="24"/>
        </w:rPr>
      </w:pPr>
    </w:p>
    <w:p w:rsidR="00386054" w:rsidRPr="00FA40CC" w:rsidRDefault="00386054">
      <w:pPr>
        <w:tabs>
          <w:tab w:val="left" w:pos="-720"/>
        </w:tabs>
        <w:suppressAutoHyphens/>
        <w:rPr>
          <w:rFonts w:ascii="Times New Roman" w:hAnsi="Times New Roman"/>
          <w:szCs w:val="24"/>
        </w:rPr>
      </w:pPr>
      <w:r w:rsidRPr="00FA40CC">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FA40CC" w:rsidRDefault="00386054">
      <w:pPr>
        <w:tabs>
          <w:tab w:val="left" w:pos="-720"/>
        </w:tabs>
        <w:suppressAutoHyphens/>
        <w:rPr>
          <w:rFonts w:ascii="Times New Roman" w:hAnsi="Times New Roman"/>
          <w:szCs w:val="24"/>
        </w:rPr>
      </w:pPr>
    </w:p>
    <w:p w:rsidR="00BC1C70" w:rsidRPr="00FA40CC" w:rsidRDefault="00BC1C70" w:rsidP="00BC1C70">
      <w:pPr>
        <w:ind w:left="360"/>
        <w:rPr>
          <w:rFonts w:ascii="Times New Roman" w:hAnsi="Times New Roman"/>
          <w:szCs w:val="24"/>
        </w:rPr>
      </w:pPr>
      <w:r w:rsidRPr="00FA40CC">
        <w:rPr>
          <w:rFonts w:ascii="Times New Roman" w:hAnsi="Times New Roman"/>
          <w:szCs w:val="24"/>
        </w:rPr>
        <w:t xml:space="preserve">Collection of information is annual.  Collection of information on a less frequent basis would impede the Department’s ability to determine if the grantee is making satisfactory progress in meeting the goals and objectives proposed in its initial application for funds.  </w:t>
      </w:r>
    </w:p>
    <w:p w:rsidR="00BC1C70" w:rsidRPr="00FA40CC" w:rsidRDefault="00BC1C70" w:rsidP="00BC1C70">
      <w:pPr>
        <w:ind w:left="285" w:hanging="285"/>
        <w:rPr>
          <w:rFonts w:ascii="Times New Roman" w:hAnsi="Times New Roman"/>
          <w:szCs w:val="24"/>
        </w:rPr>
      </w:pPr>
    </w:p>
    <w:p w:rsidR="00386054" w:rsidRPr="00FA40CC" w:rsidRDefault="00BC1C70" w:rsidP="00BC1C70">
      <w:pPr>
        <w:ind w:left="360"/>
        <w:rPr>
          <w:rFonts w:ascii="Times New Roman" w:hAnsi="Times New Roman"/>
          <w:szCs w:val="24"/>
        </w:rPr>
      </w:pPr>
      <w:r w:rsidRPr="00FA40CC">
        <w:rPr>
          <w:rFonts w:ascii="Times New Roman" w:hAnsi="Times New Roman"/>
          <w:szCs w:val="24"/>
        </w:rPr>
        <w:t xml:space="preserve">Further, failure to collect this information would hinder the Department’s ability to carry out its required responsibility to perform an overall assessment of the </w:t>
      </w:r>
      <w:r w:rsidR="003E3009">
        <w:rPr>
          <w:rFonts w:ascii="Times New Roman" w:hAnsi="Times New Roman"/>
          <w:szCs w:val="24"/>
        </w:rPr>
        <w:t>GEAR UP</w:t>
      </w:r>
      <w:r w:rsidRPr="00FA40CC">
        <w:rPr>
          <w:rFonts w:ascii="Times New Roman" w:hAnsi="Times New Roman"/>
          <w:szCs w:val="24"/>
        </w:rPr>
        <w:t xml:space="preserve"> Program and its impact.</w:t>
      </w:r>
    </w:p>
    <w:p w:rsidR="00386054" w:rsidRPr="00FA40CC" w:rsidRDefault="00386054">
      <w:pPr>
        <w:tabs>
          <w:tab w:val="left" w:pos="-720"/>
        </w:tabs>
        <w:suppressAutoHyphens/>
        <w:rPr>
          <w:rFonts w:ascii="Times New Roman" w:hAnsi="Times New Roman"/>
          <w:szCs w:val="24"/>
        </w:rPr>
      </w:pPr>
    </w:p>
    <w:p w:rsidR="00386054" w:rsidRPr="00FA40CC" w:rsidRDefault="00386054">
      <w:pPr>
        <w:tabs>
          <w:tab w:val="left" w:pos="-720"/>
        </w:tabs>
        <w:suppressAutoHyphens/>
        <w:rPr>
          <w:rFonts w:ascii="Times New Roman" w:hAnsi="Times New Roman"/>
          <w:szCs w:val="24"/>
        </w:rPr>
      </w:pPr>
      <w:r w:rsidRPr="00FA40CC">
        <w:rPr>
          <w:rFonts w:ascii="Times New Roman" w:hAnsi="Times New Roman"/>
          <w:szCs w:val="24"/>
        </w:rPr>
        <w:t>7. Explain any special circumstances that would cause an information collection to be conducted in a manner:</w:t>
      </w:r>
    </w:p>
    <w:p w:rsidR="00386054" w:rsidRPr="00FA40CC" w:rsidRDefault="00386054">
      <w:pPr>
        <w:tabs>
          <w:tab w:val="left" w:pos="-720"/>
        </w:tabs>
        <w:suppressAutoHyphens/>
        <w:rPr>
          <w:rFonts w:ascii="Times New Roman" w:hAnsi="Times New Roman"/>
          <w:b/>
          <w:szCs w:val="24"/>
        </w:rPr>
      </w:pPr>
    </w:p>
    <w:p w:rsidR="00386054" w:rsidRPr="00FA40CC" w:rsidRDefault="00386054" w:rsidP="003C29C2">
      <w:pPr>
        <w:numPr>
          <w:ilvl w:val="0"/>
          <w:numId w:val="8"/>
        </w:numPr>
        <w:tabs>
          <w:tab w:val="left" w:pos="-720"/>
          <w:tab w:val="left" w:pos="1247"/>
        </w:tabs>
        <w:suppressAutoHyphens/>
        <w:rPr>
          <w:rFonts w:ascii="Times New Roman" w:hAnsi="Times New Roman"/>
          <w:szCs w:val="24"/>
        </w:rPr>
      </w:pPr>
      <w:r w:rsidRPr="00FA40CC">
        <w:rPr>
          <w:rFonts w:ascii="Times New Roman" w:hAnsi="Times New Roman"/>
          <w:szCs w:val="24"/>
        </w:rPr>
        <w:t>requiring respondents to report information to the agency more often than quarterly;</w:t>
      </w:r>
    </w:p>
    <w:p w:rsidR="00386054" w:rsidRPr="00FA40CC" w:rsidRDefault="00386054">
      <w:pPr>
        <w:numPr>
          <w:ilvl w:val="12"/>
          <w:numId w:val="0"/>
        </w:numPr>
        <w:tabs>
          <w:tab w:val="left" w:pos="-720"/>
        </w:tabs>
        <w:suppressAutoHyphens/>
        <w:ind w:left="340"/>
        <w:rPr>
          <w:rFonts w:ascii="Times New Roman" w:hAnsi="Times New Roman"/>
          <w:szCs w:val="24"/>
        </w:rPr>
      </w:pPr>
    </w:p>
    <w:p w:rsidR="00386054" w:rsidRPr="00FA40CC" w:rsidRDefault="00386054" w:rsidP="003C29C2">
      <w:pPr>
        <w:numPr>
          <w:ilvl w:val="0"/>
          <w:numId w:val="8"/>
        </w:numPr>
        <w:tabs>
          <w:tab w:val="left" w:pos="-720"/>
          <w:tab w:val="left" w:pos="1247"/>
        </w:tabs>
        <w:suppressAutoHyphens/>
        <w:rPr>
          <w:rFonts w:ascii="Times New Roman" w:hAnsi="Times New Roman"/>
          <w:szCs w:val="24"/>
        </w:rPr>
      </w:pPr>
      <w:r w:rsidRPr="00FA40CC">
        <w:rPr>
          <w:rFonts w:ascii="Times New Roman" w:hAnsi="Times New Roman"/>
          <w:szCs w:val="24"/>
        </w:rPr>
        <w:t>requiring respondents to prepare a written response to a collection of information in fewer than 30 days after receipt of it;</w:t>
      </w:r>
    </w:p>
    <w:p w:rsidR="00386054" w:rsidRPr="00FA40CC" w:rsidRDefault="00386054">
      <w:pPr>
        <w:numPr>
          <w:ilvl w:val="12"/>
          <w:numId w:val="0"/>
        </w:numPr>
        <w:tabs>
          <w:tab w:val="left" w:pos="-720"/>
        </w:tabs>
        <w:suppressAutoHyphens/>
        <w:rPr>
          <w:rFonts w:ascii="Times New Roman" w:hAnsi="Times New Roman"/>
          <w:szCs w:val="24"/>
        </w:rPr>
      </w:pPr>
    </w:p>
    <w:p w:rsidR="00386054" w:rsidRPr="00FA40CC" w:rsidRDefault="00386054" w:rsidP="003C29C2">
      <w:pPr>
        <w:numPr>
          <w:ilvl w:val="0"/>
          <w:numId w:val="8"/>
        </w:numPr>
        <w:tabs>
          <w:tab w:val="left" w:pos="-720"/>
          <w:tab w:val="left" w:pos="1247"/>
        </w:tabs>
        <w:suppressAutoHyphens/>
        <w:rPr>
          <w:rFonts w:ascii="Times New Roman" w:hAnsi="Times New Roman"/>
          <w:szCs w:val="24"/>
        </w:rPr>
      </w:pPr>
      <w:r w:rsidRPr="00FA40CC">
        <w:rPr>
          <w:rFonts w:ascii="Times New Roman" w:hAnsi="Times New Roman"/>
          <w:szCs w:val="24"/>
        </w:rPr>
        <w:t>requiring respondents to submit more than an original and two copies of any document;</w:t>
      </w:r>
    </w:p>
    <w:p w:rsidR="00386054" w:rsidRPr="00FA40CC" w:rsidRDefault="00386054">
      <w:pPr>
        <w:numPr>
          <w:ilvl w:val="12"/>
          <w:numId w:val="0"/>
        </w:numPr>
        <w:tabs>
          <w:tab w:val="left" w:pos="-720"/>
        </w:tabs>
        <w:suppressAutoHyphens/>
        <w:rPr>
          <w:rFonts w:ascii="Times New Roman" w:hAnsi="Times New Roman"/>
          <w:szCs w:val="24"/>
        </w:rPr>
      </w:pPr>
    </w:p>
    <w:p w:rsidR="00386054" w:rsidRPr="00FA40CC" w:rsidRDefault="00386054" w:rsidP="003C29C2">
      <w:pPr>
        <w:numPr>
          <w:ilvl w:val="0"/>
          <w:numId w:val="8"/>
        </w:numPr>
        <w:tabs>
          <w:tab w:val="left" w:pos="-720"/>
          <w:tab w:val="left" w:pos="1247"/>
        </w:tabs>
        <w:suppressAutoHyphens/>
        <w:rPr>
          <w:rFonts w:ascii="Times New Roman" w:hAnsi="Times New Roman"/>
          <w:szCs w:val="24"/>
        </w:rPr>
      </w:pPr>
      <w:r w:rsidRPr="00FA40CC">
        <w:rPr>
          <w:rFonts w:ascii="Times New Roman" w:hAnsi="Times New Roman"/>
          <w:szCs w:val="24"/>
        </w:rPr>
        <w:t>requiring respondents to retain records, other than health, medical, government contract, grant-in-aid, or tax records for more than three years;</w:t>
      </w:r>
    </w:p>
    <w:p w:rsidR="00386054" w:rsidRPr="00FA40CC" w:rsidRDefault="00386054">
      <w:pPr>
        <w:numPr>
          <w:ilvl w:val="12"/>
          <w:numId w:val="0"/>
        </w:numPr>
        <w:tabs>
          <w:tab w:val="left" w:pos="-720"/>
        </w:tabs>
        <w:suppressAutoHyphens/>
        <w:rPr>
          <w:rFonts w:ascii="Times New Roman" w:hAnsi="Times New Roman"/>
          <w:szCs w:val="24"/>
        </w:rPr>
      </w:pPr>
    </w:p>
    <w:p w:rsidR="00386054" w:rsidRPr="00FA40CC" w:rsidRDefault="00386054" w:rsidP="003C29C2">
      <w:pPr>
        <w:numPr>
          <w:ilvl w:val="0"/>
          <w:numId w:val="8"/>
        </w:numPr>
        <w:tabs>
          <w:tab w:val="left" w:pos="-720"/>
          <w:tab w:val="left" w:pos="1247"/>
        </w:tabs>
        <w:suppressAutoHyphens/>
        <w:rPr>
          <w:rFonts w:ascii="Times New Roman" w:hAnsi="Times New Roman"/>
          <w:szCs w:val="24"/>
        </w:rPr>
      </w:pPr>
      <w:r w:rsidRPr="00FA40CC">
        <w:rPr>
          <w:rFonts w:ascii="Times New Roman" w:hAnsi="Times New Roman"/>
          <w:szCs w:val="24"/>
        </w:rPr>
        <w:t>in connection with a statistical survey, that is not designed to produce valid and reliable results than can be generalized to the universe of study;</w:t>
      </w:r>
    </w:p>
    <w:p w:rsidR="00386054" w:rsidRPr="00FA40CC" w:rsidRDefault="00386054">
      <w:pPr>
        <w:numPr>
          <w:ilvl w:val="12"/>
          <w:numId w:val="0"/>
        </w:numPr>
        <w:tabs>
          <w:tab w:val="left" w:pos="-720"/>
        </w:tabs>
        <w:suppressAutoHyphens/>
        <w:rPr>
          <w:rFonts w:ascii="Times New Roman" w:hAnsi="Times New Roman"/>
          <w:szCs w:val="24"/>
        </w:rPr>
      </w:pPr>
    </w:p>
    <w:p w:rsidR="00386054" w:rsidRPr="00FA40CC" w:rsidRDefault="00386054" w:rsidP="003C29C2">
      <w:pPr>
        <w:numPr>
          <w:ilvl w:val="0"/>
          <w:numId w:val="8"/>
        </w:numPr>
        <w:tabs>
          <w:tab w:val="left" w:pos="-720"/>
          <w:tab w:val="left" w:pos="1247"/>
        </w:tabs>
        <w:suppressAutoHyphens/>
        <w:rPr>
          <w:rFonts w:ascii="Times New Roman" w:hAnsi="Times New Roman"/>
          <w:szCs w:val="24"/>
        </w:rPr>
      </w:pPr>
      <w:r w:rsidRPr="00FA40CC">
        <w:rPr>
          <w:rFonts w:ascii="Times New Roman" w:hAnsi="Times New Roman"/>
          <w:szCs w:val="24"/>
        </w:rPr>
        <w:t>requiring the use of a statistical data classification that has not been reviewed and approved by OMB;</w:t>
      </w:r>
    </w:p>
    <w:p w:rsidR="00386054" w:rsidRPr="00FA40CC" w:rsidRDefault="00386054">
      <w:pPr>
        <w:numPr>
          <w:ilvl w:val="12"/>
          <w:numId w:val="0"/>
        </w:numPr>
        <w:tabs>
          <w:tab w:val="left" w:pos="-720"/>
        </w:tabs>
        <w:suppressAutoHyphens/>
        <w:rPr>
          <w:rFonts w:ascii="Times New Roman" w:hAnsi="Times New Roman"/>
          <w:szCs w:val="24"/>
        </w:rPr>
      </w:pPr>
    </w:p>
    <w:p w:rsidR="00386054" w:rsidRPr="00FA40CC" w:rsidRDefault="00386054" w:rsidP="003C29C2">
      <w:pPr>
        <w:numPr>
          <w:ilvl w:val="0"/>
          <w:numId w:val="8"/>
        </w:numPr>
        <w:tabs>
          <w:tab w:val="left" w:pos="-720"/>
          <w:tab w:val="left" w:pos="1247"/>
        </w:tabs>
        <w:suppressAutoHyphens/>
        <w:rPr>
          <w:rFonts w:ascii="Times New Roman" w:hAnsi="Times New Roman"/>
          <w:szCs w:val="24"/>
        </w:rPr>
      </w:pPr>
      <w:r w:rsidRPr="00FA40CC">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FA40CC" w:rsidRDefault="00386054">
      <w:pPr>
        <w:numPr>
          <w:ilvl w:val="12"/>
          <w:numId w:val="0"/>
        </w:numPr>
        <w:tabs>
          <w:tab w:val="left" w:pos="-720"/>
        </w:tabs>
        <w:suppressAutoHyphens/>
        <w:rPr>
          <w:rFonts w:ascii="Times New Roman" w:hAnsi="Times New Roman"/>
          <w:szCs w:val="24"/>
        </w:rPr>
      </w:pPr>
    </w:p>
    <w:p w:rsidR="00386054" w:rsidRPr="00FA40CC" w:rsidRDefault="00386054" w:rsidP="003C29C2">
      <w:pPr>
        <w:numPr>
          <w:ilvl w:val="0"/>
          <w:numId w:val="8"/>
        </w:numPr>
        <w:tabs>
          <w:tab w:val="left" w:pos="-720"/>
          <w:tab w:val="left" w:pos="1247"/>
        </w:tabs>
        <w:suppressAutoHyphens/>
        <w:rPr>
          <w:rFonts w:ascii="Times New Roman" w:hAnsi="Times New Roman"/>
          <w:szCs w:val="24"/>
        </w:rPr>
      </w:pPr>
      <w:r w:rsidRPr="00FA40CC">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rsidR="009F149B" w:rsidRPr="00FA40CC" w:rsidRDefault="009F149B" w:rsidP="009F149B">
      <w:pPr>
        <w:pStyle w:val="ListParagraph"/>
        <w:rPr>
          <w:rFonts w:ascii="Times New Roman" w:hAnsi="Times New Roman"/>
          <w:szCs w:val="24"/>
        </w:rPr>
      </w:pPr>
    </w:p>
    <w:p w:rsidR="009F149B" w:rsidRPr="00FA40CC" w:rsidRDefault="009F149B" w:rsidP="009F149B">
      <w:pPr>
        <w:tabs>
          <w:tab w:val="left" w:pos="-720"/>
          <w:tab w:val="left" w:pos="1247"/>
        </w:tabs>
        <w:suppressAutoHyphens/>
        <w:ind w:left="720"/>
        <w:rPr>
          <w:rFonts w:ascii="Times New Roman" w:hAnsi="Times New Roman"/>
          <w:szCs w:val="24"/>
        </w:rPr>
      </w:pPr>
    </w:p>
    <w:p w:rsidR="00BC1C70" w:rsidRPr="00FA40CC" w:rsidRDefault="00BC1C70" w:rsidP="00BC1C70">
      <w:pPr>
        <w:pStyle w:val="BodyTextIndent2"/>
        <w:ind w:left="720" w:firstLine="0"/>
      </w:pPr>
      <w:r w:rsidRPr="00FA40CC">
        <w:lastRenderedPageBreak/>
        <w:t xml:space="preserve">There are no special circumstances that would cause this information collection to be conducted in such a manner, except for the </w:t>
      </w:r>
      <w:r w:rsidR="003E3009">
        <w:t>three</w:t>
      </w:r>
      <w:r w:rsidRPr="00FA40CC">
        <w:t>-year record-keeping retention period</w:t>
      </w:r>
      <w:r w:rsidR="00AF74A4">
        <w:t xml:space="preserve"> in EDGAR 74.53</w:t>
      </w:r>
      <w:r w:rsidRPr="00FA40CC">
        <w:t>.</w:t>
      </w:r>
    </w:p>
    <w:p w:rsidR="00386054" w:rsidRPr="00FA40CC" w:rsidRDefault="00386054">
      <w:pPr>
        <w:tabs>
          <w:tab w:val="left" w:pos="-720"/>
        </w:tabs>
        <w:suppressAutoHyphens/>
        <w:rPr>
          <w:rFonts w:ascii="Times New Roman" w:hAnsi="Times New Roman"/>
          <w:szCs w:val="24"/>
        </w:rPr>
      </w:pPr>
    </w:p>
    <w:p w:rsidR="00386054" w:rsidRPr="00FA40CC" w:rsidRDefault="001743A5">
      <w:pPr>
        <w:numPr>
          <w:ilvl w:val="0"/>
          <w:numId w:val="2"/>
        </w:numPr>
        <w:tabs>
          <w:tab w:val="left" w:pos="-720"/>
          <w:tab w:val="left" w:pos="375"/>
        </w:tabs>
        <w:suppressAutoHyphens/>
        <w:rPr>
          <w:rFonts w:ascii="Times New Roman" w:hAnsi="Times New Roman"/>
          <w:szCs w:val="24"/>
        </w:rPr>
      </w:pPr>
      <w:r w:rsidRPr="00FA40CC">
        <w:rPr>
          <w:rFonts w:ascii="Times New Roman" w:hAnsi="Times New Roman"/>
          <w:szCs w:val="24"/>
        </w:rPr>
        <w:t xml:space="preserve">As </w:t>
      </w:r>
      <w:r w:rsidR="00386054" w:rsidRPr="00FA40CC">
        <w:rPr>
          <w:rFonts w:ascii="Times New Roman" w:hAnsi="Times New Roman"/>
          <w:szCs w:val="24"/>
        </w:rPr>
        <w:t xml:space="preserve">applicable, </w:t>
      </w:r>
      <w:r w:rsidRPr="00FA40CC">
        <w:rPr>
          <w:rFonts w:ascii="Times New Roman" w:hAnsi="Times New Roman"/>
          <w:szCs w:val="24"/>
        </w:rPr>
        <w:t xml:space="preserve">state that the Department has published the 60 and 30 Federal Register notices as </w:t>
      </w:r>
      <w:r w:rsidR="00386054" w:rsidRPr="00FA40CC">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FA40CC" w:rsidRDefault="00386054">
      <w:pPr>
        <w:tabs>
          <w:tab w:val="left" w:pos="-720"/>
        </w:tabs>
        <w:suppressAutoHyphens/>
        <w:rPr>
          <w:rStyle w:val="a"/>
          <w:rFonts w:ascii="Times New Roman" w:hAnsi="Times New Roman"/>
          <w:b/>
          <w:szCs w:val="24"/>
        </w:rPr>
      </w:pPr>
    </w:p>
    <w:p w:rsidR="00386054" w:rsidRPr="00FA40CC" w:rsidRDefault="00386054" w:rsidP="003C29C2">
      <w:pPr>
        <w:tabs>
          <w:tab w:val="left" w:pos="-720"/>
        </w:tabs>
        <w:suppressAutoHyphens/>
        <w:ind w:left="360"/>
        <w:rPr>
          <w:rStyle w:val="a"/>
          <w:rFonts w:ascii="Times New Roman" w:hAnsi="Times New Roman"/>
          <w:szCs w:val="24"/>
        </w:rPr>
      </w:pPr>
      <w:r w:rsidRPr="00FA40CC">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FA40CC" w:rsidRDefault="00386054">
      <w:pPr>
        <w:tabs>
          <w:tab w:val="left" w:pos="-720"/>
        </w:tabs>
        <w:suppressAutoHyphens/>
        <w:rPr>
          <w:rStyle w:val="a"/>
          <w:rFonts w:ascii="Times New Roman" w:hAnsi="Times New Roman"/>
          <w:szCs w:val="24"/>
        </w:rPr>
      </w:pPr>
    </w:p>
    <w:p w:rsidR="00386054" w:rsidRPr="00FA40CC" w:rsidRDefault="00386054" w:rsidP="003C29C2">
      <w:pPr>
        <w:tabs>
          <w:tab w:val="left" w:pos="-720"/>
        </w:tabs>
        <w:suppressAutoHyphens/>
        <w:ind w:left="360"/>
        <w:rPr>
          <w:rFonts w:ascii="Times New Roman" w:hAnsi="Times New Roman"/>
          <w:szCs w:val="24"/>
        </w:rPr>
      </w:pPr>
      <w:r w:rsidRPr="00FA40CC">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FA40CC" w:rsidRDefault="00386054">
      <w:pPr>
        <w:tabs>
          <w:tab w:val="left" w:pos="-720"/>
        </w:tabs>
        <w:suppressAutoHyphens/>
        <w:rPr>
          <w:rFonts w:ascii="Times New Roman" w:hAnsi="Times New Roman"/>
          <w:szCs w:val="24"/>
        </w:rPr>
      </w:pPr>
    </w:p>
    <w:p w:rsidR="00BC1C70" w:rsidRPr="00FA40CC" w:rsidRDefault="00BC1C70" w:rsidP="00BC1C70">
      <w:pPr>
        <w:ind w:left="360"/>
        <w:rPr>
          <w:rFonts w:ascii="Times New Roman" w:hAnsi="Times New Roman"/>
          <w:szCs w:val="24"/>
        </w:rPr>
      </w:pPr>
      <w:r w:rsidRPr="00FA40CC">
        <w:rPr>
          <w:rFonts w:ascii="Times New Roman" w:hAnsi="Times New Roman"/>
          <w:szCs w:val="24"/>
        </w:rPr>
        <w:t>Comments and feedback regarding the frequency, clarity of instructions, reporting format, and data elements included in the performance report have been received from grantee institutions</w:t>
      </w:r>
      <w:r w:rsidR="007C7FCD">
        <w:rPr>
          <w:rFonts w:ascii="Times New Roman" w:hAnsi="Times New Roman"/>
          <w:szCs w:val="24"/>
        </w:rPr>
        <w:t xml:space="preserve"> in prior years</w:t>
      </w:r>
      <w:r w:rsidRPr="00FA40CC">
        <w:rPr>
          <w:rFonts w:ascii="Times New Roman" w:hAnsi="Times New Roman"/>
          <w:szCs w:val="24"/>
        </w:rPr>
        <w:t>.  The feedback received was the impetus for the changes that have been incorporated into the performance report form</w:t>
      </w:r>
      <w:r w:rsidR="007C7FCD">
        <w:rPr>
          <w:rFonts w:ascii="Times New Roman" w:hAnsi="Times New Roman"/>
          <w:szCs w:val="24"/>
        </w:rPr>
        <w:t xml:space="preserve"> in the past</w:t>
      </w:r>
      <w:r w:rsidRPr="00FA40CC">
        <w:rPr>
          <w:rFonts w:ascii="Times New Roman" w:hAnsi="Times New Roman"/>
          <w:szCs w:val="24"/>
        </w:rPr>
        <w:t>.  The changes made in the for</w:t>
      </w:r>
      <w:r w:rsidR="008C0FA8">
        <w:rPr>
          <w:rFonts w:ascii="Times New Roman" w:hAnsi="Times New Roman"/>
          <w:szCs w:val="24"/>
        </w:rPr>
        <w:t xml:space="preserve">m since the last OMB </w:t>
      </w:r>
      <w:r w:rsidR="00F33E4B">
        <w:rPr>
          <w:rFonts w:ascii="Times New Roman" w:hAnsi="Times New Roman"/>
          <w:szCs w:val="24"/>
        </w:rPr>
        <w:t>submission</w:t>
      </w:r>
      <w:r w:rsidR="00F33E4B" w:rsidRPr="00FA40CC">
        <w:rPr>
          <w:rFonts w:ascii="Times New Roman" w:hAnsi="Times New Roman"/>
          <w:szCs w:val="24"/>
        </w:rPr>
        <w:t xml:space="preserve"> are</w:t>
      </w:r>
      <w:r w:rsidRPr="00FA40CC">
        <w:rPr>
          <w:rFonts w:ascii="Times New Roman" w:hAnsi="Times New Roman"/>
          <w:szCs w:val="24"/>
        </w:rPr>
        <w:t xml:space="preserve"> primarily for the purpose of streamlining and clarifying the intent of the questions.  We </w:t>
      </w:r>
      <w:r w:rsidR="004549E5">
        <w:rPr>
          <w:rFonts w:ascii="Times New Roman" w:hAnsi="Times New Roman"/>
          <w:szCs w:val="24"/>
        </w:rPr>
        <w:t>published</w:t>
      </w:r>
      <w:r w:rsidRPr="00FA40CC">
        <w:rPr>
          <w:rFonts w:ascii="Times New Roman" w:hAnsi="Times New Roman"/>
          <w:szCs w:val="24"/>
        </w:rPr>
        <w:t xml:space="preserve"> 60-day and 30-day Federal Register Notices to allow public comment.</w:t>
      </w:r>
    </w:p>
    <w:p w:rsidR="00386054" w:rsidRDefault="00022E44">
      <w:pPr>
        <w:tabs>
          <w:tab w:val="left" w:pos="-720"/>
        </w:tabs>
        <w:suppressAutoHyphens/>
        <w:rPr>
          <w:rFonts w:ascii="Times New Roman" w:hAnsi="Times New Roman"/>
          <w:szCs w:val="24"/>
        </w:rPr>
      </w:pPr>
      <w:r>
        <w:rPr>
          <w:rFonts w:ascii="Times New Roman" w:hAnsi="Times New Roman"/>
          <w:szCs w:val="24"/>
        </w:rPr>
        <w:tab/>
      </w:r>
    </w:p>
    <w:p w:rsidR="00022E44" w:rsidRDefault="00DA1734" w:rsidP="00022E44">
      <w:pPr>
        <w:tabs>
          <w:tab w:val="left" w:pos="-720"/>
          <w:tab w:val="left" w:pos="720"/>
        </w:tabs>
        <w:suppressAutoHyphens/>
        <w:ind w:left="360"/>
        <w:rPr>
          <w:rFonts w:ascii="Times New Roman" w:hAnsi="Times New Roman"/>
          <w:szCs w:val="24"/>
        </w:rPr>
      </w:pPr>
      <w:r>
        <w:rPr>
          <w:rFonts w:ascii="Times New Roman" w:hAnsi="Times New Roman"/>
          <w:szCs w:val="24"/>
        </w:rPr>
        <w:t>For this submission, c</w:t>
      </w:r>
      <w:r w:rsidR="00022E44" w:rsidRPr="007979C8">
        <w:rPr>
          <w:rFonts w:ascii="Times New Roman" w:hAnsi="Times New Roman"/>
          <w:szCs w:val="24"/>
        </w:rPr>
        <w:t xml:space="preserve">larifying language was added to questions in the performance report </w:t>
      </w:r>
      <w:r w:rsidR="007C7FCD">
        <w:rPr>
          <w:rFonts w:ascii="Times New Roman" w:hAnsi="Times New Roman"/>
          <w:szCs w:val="24"/>
        </w:rPr>
        <w:t>to address previous input and comments</w:t>
      </w:r>
      <w:r w:rsidR="00022E44" w:rsidRPr="007979C8">
        <w:rPr>
          <w:rFonts w:ascii="Times New Roman" w:hAnsi="Times New Roman"/>
          <w:szCs w:val="24"/>
        </w:rPr>
        <w:t xml:space="preserve"> </w:t>
      </w:r>
      <w:r w:rsidR="007C7FCD">
        <w:rPr>
          <w:rFonts w:ascii="Times New Roman" w:hAnsi="Times New Roman"/>
          <w:szCs w:val="24"/>
        </w:rPr>
        <w:t xml:space="preserve">received </w:t>
      </w:r>
      <w:r w:rsidR="00022E44" w:rsidRPr="007979C8">
        <w:rPr>
          <w:rFonts w:ascii="Times New Roman" w:hAnsi="Times New Roman"/>
          <w:szCs w:val="24"/>
        </w:rPr>
        <w:t>from grantees</w:t>
      </w:r>
      <w:r w:rsidR="007C7FCD">
        <w:rPr>
          <w:rFonts w:ascii="Times New Roman" w:hAnsi="Times New Roman"/>
          <w:szCs w:val="24"/>
        </w:rPr>
        <w:t xml:space="preserve"> </w:t>
      </w:r>
      <w:r>
        <w:rPr>
          <w:rFonts w:ascii="Times New Roman" w:hAnsi="Times New Roman"/>
          <w:szCs w:val="24"/>
        </w:rPr>
        <w:t>since the previous OMB submission</w:t>
      </w:r>
      <w:r w:rsidR="00022E44" w:rsidRPr="007979C8">
        <w:rPr>
          <w:rFonts w:ascii="Times New Roman" w:hAnsi="Times New Roman"/>
          <w:szCs w:val="24"/>
        </w:rPr>
        <w:t xml:space="preserve">.  </w:t>
      </w:r>
      <w:r w:rsidR="0080031E" w:rsidRPr="007979C8">
        <w:rPr>
          <w:rFonts w:ascii="Times New Roman" w:hAnsi="Times New Roman"/>
          <w:szCs w:val="24"/>
        </w:rPr>
        <w:t>No questions were added, on</w:t>
      </w:r>
      <w:r w:rsidR="00107939" w:rsidRPr="007979C8">
        <w:rPr>
          <w:rFonts w:ascii="Times New Roman" w:hAnsi="Times New Roman"/>
          <w:szCs w:val="24"/>
        </w:rPr>
        <w:t xml:space="preserve">ly the language was clarified. </w:t>
      </w:r>
      <w:r>
        <w:rPr>
          <w:rFonts w:ascii="Times New Roman" w:hAnsi="Times New Roman"/>
          <w:szCs w:val="24"/>
        </w:rPr>
        <w:t xml:space="preserve">There is no change in burden. </w:t>
      </w:r>
      <w:r w:rsidR="00107939" w:rsidRPr="007979C8">
        <w:rPr>
          <w:rFonts w:ascii="Times New Roman" w:hAnsi="Times New Roman"/>
          <w:szCs w:val="24"/>
        </w:rPr>
        <w:t xml:space="preserve"> </w:t>
      </w:r>
      <w:r w:rsidR="00022E44" w:rsidRPr="007979C8">
        <w:rPr>
          <w:rFonts w:ascii="Times New Roman" w:hAnsi="Times New Roman"/>
          <w:szCs w:val="24"/>
        </w:rPr>
        <w:t xml:space="preserve">The 60 day Federal Register Notice </w:t>
      </w:r>
      <w:r w:rsidR="00AF74A4">
        <w:rPr>
          <w:rFonts w:ascii="Times New Roman" w:hAnsi="Times New Roman"/>
          <w:szCs w:val="24"/>
        </w:rPr>
        <w:t xml:space="preserve">was </w:t>
      </w:r>
      <w:r w:rsidR="00022E44" w:rsidRPr="007979C8">
        <w:rPr>
          <w:rFonts w:ascii="Times New Roman" w:hAnsi="Times New Roman"/>
          <w:szCs w:val="24"/>
        </w:rPr>
        <w:t xml:space="preserve">published </w:t>
      </w:r>
      <w:r w:rsidR="00AF74A4">
        <w:rPr>
          <w:rFonts w:ascii="Times New Roman" w:hAnsi="Times New Roman"/>
          <w:szCs w:val="24"/>
        </w:rPr>
        <w:t xml:space="preserve">in </w:t>
      </w:r>
      <w:r w:rsidR="00022E44" w:rsidRPr="007979C8">
        <w:rPr>
          <w:rFonts w:ascii="Times New Roman" w:hAnsi="Times New Roman"/>
          <w:szCs w:val="24"/>
        </w:rPr>
        <w:t>Vol. 77, page 24689 on 4/25/12.</w:t>
      </w:r>
      <w:r w:rsidR="00022E44">
        <w:rPr>
          <w:rFonts w:ascii="Times New Roman" w:hAnsi="Times New Roman"/>
          <w:szCs w:val="24"/>
        </w:rPr>
        <w:t xml:space="preserve">  </w:t>
      </w:r>
    </w:p>
    <w:p w:rsidR="007C7FCD" w:rsidRDefault="007C7FCD" w:rsidP="00022E44">
      <w:pPr>
        <w:tabs>
          <w:tab w:val="left" w:pos="-720"/>
          <w:tab w:val="left" w:pos="720"/>
        </w:tabs>
        <w:suppressAutoHyphens/>
        <w:ind w:left="360"/>
        <w:rPr>
          <w:rFonts w:ascii="Times New Roman" w:hAnsi="Times New Roman"/>
          <w:szCs w:val="24"/>
        </w:rPr>
      </w:pPr>
    </w:p>
    <w:p w:rsidR="007C7FCD" w:rsidRDefault="000A0FCA" w:rsidP="00022E44">
      <w:pPr>
        <w:tabs>
          <w:tab w:val="left" w:pos="-720"/>
          <w:tab w:val="left" w:pos="720"/>
        </w:tabs>
        <w:suppressAutoHyphens/>
        <w:ind w:left="360"/>
        <w:rPr>
          <w:rFonts w:ascii="Times New Roman" w:hAnsi="Times New Roman"/>
          <w:szCs w:val="24"/>
        </w:rPr>
      </w:pPr>
      <w:r>
        <w:rPr>
          <w:rFonts w:ascii="Times New Roman" w:hAnsi="Times New Roman"/>
          <w:szCs w:val="24"/>
        </w:rPr>
        <w:t>The GEAR UP program received public comments and those comments were addressed.</w:t>
      </w:r>
      <w:r w:rsidR="003F5AF0">
        <w:rPr>
          <w:rFonts w:ascii="Times New Roman" w:hAnsi="Times New Roman"/>
          <w:szCs w:val="24"/>
        </w:rPr>
        <w:t xml:space="preserve"> The primary issues addressed included:</w:t>
      </w:r>
    </w:p>
    <w:p w:rsidR="003F5AF0" w:rsidRDefault="003F5AF0" w:rsidP="003F5AF0">
      <w:pPr>
        <w:pStyle w:val="ListParagraph"/>
        <w:numPr>
          <w:ilvl w:val="0"/>
          <w:numId w:val="12"/>
        </w:numPr>
        <w:tabs>
          <w:tab w:val="left" w:pos="-720"/>
          <w:tab w:val="left" w:pos="720"/>
        </w:tabs>
        <w:suppressAutoHyphens/>
        <w:rPr>
          <w:rFonts w:ascii="Times New Roman" w:hAnsi="Times New Roman"/>
          <w:szCs w:val="24"/>
        </w:rPr>
      </w:pPr>
      <w:r w:rsidRPr="003F5AF0">
        <w:rPr>
          <w:rFonts w:ascii="Times New Roman" w:hAnsi="Times New Roman"/>
          <w:szCs w:val="24"/>
        </w:rPr>
        <w:t>State grantees are now required to list their participating schools. State and Partnership grantees are required to list the NCES ID numbers of participating schools.</w:t>
      </w:r>
    </w:p>
    <w:p w:rsidR="003F5AF0" w:rsidRDefault="003F5AF0" w:rsidP="003F5AF0">
      <w:pPr>
        <w:pStyle w:val="ListParagraph"/>
        <w:numPr>
          <w:ilvl w:val="0"/>
          <w:numId w:val="12"/>
        </w:numPr>
        <w:tabs>
          <w:tab w:val="left" w:pos="-720"/>
          <w:tab w:val="left" w:pos="720"/>
        </w:tabs>
        <w:suppressAutoHyphens/>
        <w:rPr>
          <w:rFonts w:ascii="Times New Roman" w:hAnsi="Times New Roman"/>
          <w:szCs w:val="24"/>
        </w:rPr>
      </w:pPr>
      <w:r w:rsidRPr="009F4F1B">
        <w:rPr>
          <w:rFonts w:ascii="Times New Roman" w:hAnsi="Times New Roman"/>
          <w:szCs w:val="24"/>
        </w:rPr>
        <w:t xml:space="preserve">The Student Enrollment in Courses by Grade Level Table has been revised to correspond with the Courses Completion Table. </w:t>
      </w:r>
      <w:r>
        <w:rPr>
          <w:rFonts w:ascii="Times New Roman" w:hAnsi="Times New Roman"/>
          <w:szCs w:val="24"/>
        </w:rPr>
        <w:t xml:space="preserve"> </w:t>
      </w:r>
      <w:r w:rsidRPr="009F4F1B">
        <w:rPr>
          <w:rFonts w:ascii="Times New Roman" w:hAnsi="Times New Roman"/>
          <w:szCs w:val="24"/>
        </w:rPr>
        <w:t xml:space="preserve">In addition, </w:t>
      </w:r>
      <w:r>
        <w:rPr>
          <w:rFonts w:ascii="Times New Roman" w:hAnsi="Times New Roman"/>
          <w:szCs w:val="24"/>
        </w:rPr>
        <w:t>t</w:t>
      </w:r>
      <w:r w:rsidRPr="009F4F1B">
        <w:rPr>
          <w:rFonts w:ascii="Times New Roman" w:hAnsi="Times New Roman"/>
          <w:szCs w:val="24"/>
        </w:rPr>
        <w:t>he Department will include an additional column for English/Language Arts.</w:t>
      </w:r>
    </w:p>
    <w:p w:rsidR="003F5AF0" w:rsidRPr="003F5AF0" w:rsidRDefault="003F5AF0" w:rsidP="003F5AF0">
      <w:pPr>
        <w:pStyle w:val="ListParagraph"/>
        <w:numPr>
          <w:ilvl w:val="0"/>
          <w:numId w:val="12"/>
        </w:numPr>
        <w:tabs>
          <w:tab w:val="left" w:pos="-720"/>
          <w:tab w:val="left" w:pos="720"/>
        </w:tabs>
        <w:suppressAutoHyphens/>
        <w:rPr>
          <w:rFonts w:ascii="Times New Roman" w:hAnsi="Times New Roman"/>
          <w:szCs w:val="24"/>
        </w:rPr>
      </w:pPr>
      <w:r>
        <w:rPr>
          <w:rFonts w:ascii="Times New Roman" w:hAnsi="Times New Roman"/>
          <w:szCs w:val="24"/>
        </w:rPr>
        <w:t>New fields have been added to the APR to accommodate reporting requirements for grantees that have a seventh year.</w:t>
      </w:r>
    </w:p>
    <w:p w:rsidR="00022E44" w:rsidRPr="00FA40CC" w:rsidRDefault="003F5AF0">
      <w:pPr>
        <w:tabs>
          <w:tab w:val="left" w:pos="-720"/>
        </w:tabs>
        <w:suppressAutoHyphens/>
        <w:rPr>
          <w:rFonts w:ascii="Times New Roman" w:hAnsi="Times New Roman"/>
          <w:szCs w:val="24"/>
        </w:rPr>
      </w:pPr>
      <w:r>
        <w:rPr>
          <w:rFonts w:ascii="Times New Roman" w:hAnsi="Times New Roman"/>
          <w:szCs w:val="24"/>
        </w:rPr>
        <w:t>These changes will result better data collection for the GEAR UP program.</w:t>
      </w:r>
    </w:p>
    <w:p w:rsidR="00386054" w:rsidRPr="00FA40CC" w:rsidRDefault="00386054">
      <w:pPr>
        <w:tabs>
          <w:tab w:val="left" w:pos="-720"/>
        </w:tabs>
        <w:suppressAutoHyphens/>
        <w:rPr>
          <w:rFonts w:ascii="Times New Roman" w:hAnsi="Times New Roman"/>
          <w:szCs w:val="24"/>
        </w:rPr>
      </w:pPr>
      <w:r w:rsidRPr="00FA40CC">
        <w:rPr>
          <w:rFonts w:ascii="Times New Roman" w:hAnsi="Times New Roman"/>
          <w:szCs w:val="24"/>
        </w:rPr>
        <w:lastRenderedPageBreak/>
        <w:t xml:space="preserve">9. </w:t>
      </w:r>
      <w:r w:rsidRPr="00FA40CC">
        <w:rPr>
          <w:rStyle w:val="a"/>
          <w:rFonts w:ascii="Times New Roman" w:hAnsi="Times New Roman"/>
          <w:szCs w:val="24"/>
        </w:rPr>
        <w:t>Explain any decision to provide any payment or gift to respondents, other than remuneration of contractors or grantees</w:t>
      </w:r>
      <w:r w:rsidR="003E285A" w:rsidRPr="00FA40CC">
        <w:rPr>
          <w:rStyle w:val="a"/>
          <w:rFonts w:ascii="Times New Roman" w:hAnsi="Times New Roman"/>
          <w:szCs w:val="24"/>
        </w:rPr>
        <w:t xml:space="preserve"> with meaningful justification</w:t>
      </w:r>
      <w:r w:rsidRPr="00FA40CC">
        <w:rPr>
          <w:rStyle w:val="a"/>
          <w:rFonts w:ascii="Times New Roman" w:hAnsi="Times New Roman"/>
          <w:szCs w:val="24"/>
        </w:rPr>
        <w:t>.</w:t>
      </w:r>
    </w:p>
    <w:p w:rsidR="00BC1C70" w:rsidRPr="00FA40CC" w:rsidRDefault="00BC1C70" w:rsidP="00BC1C70">
      <w:pPr>
        <w:ind w:firstLine="375"/>
        <w:rPr>
          <w:rFonts w:ascii="Times New Roman" w:hAnsi="Times New Roman"/>
          <w:szCs w:val="24"/>
        </w:rPr>
      </w:pPr>
    </w:p>
    <w:p w:rsidR="00BC1C70" w:rsidRPr="00FA40CC" w:rsidRDefault="00BC1C70" w:rsidP="00BC1C70">
      <w:pPr>
        <w:ind w:firstLine="375"/>
        <w:rPr>
          <w:rFonts w:ascii="Times New Roman" w:hAnsi="Times New Roman"/>
          <w:szCs w:val="24"/>
        </w:rPr>
      </w:pPr>
      <w:r w:rsidRPr="00FA40CC">
        <w:rPr>
          <w:rFonts w:ascii="Times New Roman" w:hAnsi="Times New Roman"/>
          <w:szCs w:val="24"/>
        </w:rPr>
        <w:t>The Department will not provide any payments or gifts to respondents.</w:t>
      </w:r>
    </w:p>
    <w:p w:rsidR="00386054" w:rsidRPr="00FA40CC" w:rsidRDefault="00386054">
      <w:pPr>
        <w:tabs>
          <w:tab w:val="left" w:pos="-720"/>
        </w:tabs>
        <w:suppressAutoHyphens/>
        <w:rPr>
          <w:rFonts w:ascii="Times New Roman" w:hAnsi="Times New Roman"/>
          <w:szCs w:val="24"/>
        </w:rPr>
      </w:pPr>
    </w:p>
    <w:p w:rsidR="00386054" w:rsidRPr="00FA40CC" w:rsidRDefault="00386054">
      <w:pPr>
        <w:tabs>
          <w:tab w:val="left" w:pos="-720"/>
        </w:tabs>
        <w:suppressAutoHyphens/>
        <w:rPr>
          <w:rFonts w:ascii="Times New Roman" w:hAnsi="Times New Roman"/>
          <w:szCs w:val="24"/>
        </w:rPr>
      </w:pPr>
      <w:r w:rsidRPr="00FA40CC">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FA40CC">
        <w:rPr>
          <w:rFonts w:ascii="Times New Roman" w:hAnsi="Times New Roman"/>
          <w:szCs w:val="24"/>
        </w:rPr>
        <w:t xml:space="preserve"> as indicated on the IC Data Form</w:t>
      </w:r>
      <w:r w:rsidRPr="00FA40CC">
        <w:rPr>
          <w:rFonts w:ascii="Times New Roman" w:hAnsi="Times New Roman"/>
          <w:szCs w:val="24"/>
        </w:rPr>
        <w:t xml:space="preserve">. A confidentiality statement with a legal citation that authorizes the </w:t>
      </w:r>
      <w:r w:rsidR="001743A5" w:rsidRPr="00FA40CC">
        <w:rPr>
          <w:rFonts w:ascii="Times New Roman" w:hAnsi="Times New Roman"/>
          <w:szCs w:val="24"/>
        </w:rPr>
        <w:t xml:space="preserve">pledge </w:t>
      </w:r>
      <w:r w:rsidRPr="00FA40CC">
        <w:rPr>
          <w:rFonts w:ascii="Times New Roman" w:hAnsi="Times New Roman"/>
          <w:szCs w:val="24"/>
        </w:rPr>
        <w:t xml:space="preserve">of </w:t>
      </w:r>
      <w:r w:rsidR="001743A5" w:rsidRPr="00FA40CC">
        <w:rPr>
          <w:rFonts w:ascii="Times New Roman" w:hAnsi="Times New Roman"/>
          <w:szCs w:val="24"/>
        </w:rPr>
        <w:t xml:space="preserve">confidentiality </w:t>
      </w:r>
      <w:r w:rsidRPr="00FA40CC">
        <w:rPr>
          <w:rFonts w:ascii="Times New Roman" w:hAnsi="Times New Roman"/>
          <w:szCs w:val="24"/>
        </w:rPr>
        <w:t>should be provided.</w:t>
      </w:r>
      <w:r w:rsidRPr="00FA40CC">
        <w:rPr>
          <w:rStyle w:val="FootnoteReference"/>
          <w:szCs w:val="24"/>
        </w:rPr>
        <w:footnoteReference w:id="2"/>
      </w:r>
      <w:r w:rsidR="001743A5" w:rsidRPr="00FA40CC">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FA40CC">
        <w:rPr>
          <w:rFonts w:ascii="Times New Roman" w:hAnsi="Times New Roman"/>
          <w:szCs w:val="24"/>
        </w:rPr>
        <w:t>s</w:t>
      </w:r>
      <w:r w:rsidR="001743A5" w:rsidRPr="00FA40CC">
        <w:rPr>
          <w:rFonts w:ascii="Times New Roman" w:hAnsi="Times New Roman"/>
          <w:szCs w:val="24"/>
        </w:rPr>
        <w:t xml:space="preserve"> no pledge about the confidentially of the data.</w:t>
      </w:r>
    </w:p>
    <w:p w:rsidR="00386054" w:rsidRPr="00FA40CC" w:rsidRDefault="00386054">
      <w:pPr>
        <w:tabs>
          <w:tab w:val="left" w:pos="-720"/>
        </w:tabs>
        <w:suppressAutoHyphens/>
        <w:rPr>
          <w:rFonts w:ascii="Times New Roman" w:hAnsi="Times New Roman"/>
          <w:szCs w:val="24"/>
        </w:rPr>
      </w:pPr>
    </w:p>
    <w:p w:rsidR="00386054" w:rsidRDefault="00BC1C70" w:rsidP="00107939">
      <w:pPr>
        <w:ind w:left="360"/>
        <w:rPr>
          <w:rFonts w:ascii="Times New Roman" w:hAnsi="Times New Roman"/>
          <w:szCs w:val="24"/>
        </w:rPr>
      </w:pPr>
      <w:r w:rsidRPr="00FA40CC">
        <w:rPr>
          <w:rFonts w:ascii="Times New Roman" w:hAnsi="Times New Roman"/>
          <w:szCs w:val="24"/>
        </w:rPr>
        <w:t xml:space="preserve">There is no program regulatory requirement for assuring confidentiality, except as provided by EDGAR (34 CFR 75.740 – Privacy), and the Family Educational Rights and Privacy Act of 1974.  </w:t>
      </w:r>
    </w:p>
    <w:p w:rsidR="00CA4E43" w:rsidRDefault="00CA4E43" w:rsidP="00107939">
      <w:pPr>
        <w:ind w:left="360"/>
        <w:rPr>
          <w:rFonts w:ascii="Times New Roman" w:hAnsi="Times New Roman"/>
          <w:szCs w:val="24"/>
        </w:rPr>
      </w:pPr>
    </w:p>
    <w:p w:rsidR="00CA4E43" w:rsidRDefault="00CA4E43" w:rsidP="00107939">
      <w:pPr>
        <w:ind w:left="360"/>
        <w:rPr>
          <w:rFonts w:ascii="Times New Roman" w:hAnsi="Times New Roman"/>
          <w:szCs w:val="24"/>
        </w:rPr>
      </w:pPr>
      <w:r>
        <w:rPr>
          <w:rFonts w:ascii="Times New Roman" w:hAnsi="Times New Roman"/>
          <w:szCs w:val="24"/>
        </w:rPr>
        <w:t xml:space="preserve">Prior to accessing the web based reporting software there is a Privacy Act Notice that grantees must read.  It states that the </w:t>
      </w:r>
      <w:r w:rsidRPr="00CA4E43">
        <w:rPr>
          <w:rFonts w:ascii="Times New Roman" w:hAnsi="Times New Roman"/>
          <w:szCs w:val="24"/>
        </w:rPr>
        <w:t xml:space="preserve">system contains personal information protected under the provisions of the Privacy Act of 1974, 5 U.S.C. § 552a -- as amended. Violations of the provisions of the Act may subject the offender to criminal penalties.  </w:t>
      </w:r>
      <w:r w:rsidRPr="00CD2B3F">
        <w:rPr>
          <w:rFonts w:ascii="Times New Roman" w:hAnsi="Times New Roman"/>
          <w:szCs w:val="24"/>
        </w:rPr>
        <w:t>A P</w:t>
      </w:r>
      <w:r>
        <w:rPr>
          <w:rFonts w:ascii="Times New Roman" w:hAnsi="Times New Roman"/>
          <w:szCs w:val="24"/>
        </w:rPr>
        <w:t xml:space="preserve">rivacy Impact </w:t>
      </w:r>
      <w:r w:rsidRPr="00CD2B3F">
        <w:rPr>
          <w:rFonts w:ascii="Times New Roman" w:hAnsi="Times New Roman"/>
          <w:szCs w:val="24"/>
        </w:rPr>
        <w:t>A</w:t>
      </w:r>
      <w:r>
        <w:rPr>
          <w:rFonts w:ascii="Times New Roman" w:hAnsi="Times New Roman"/>
          <w:szCs w:val="24"/>
        </w:rPr>
        <w:t>ssessment</w:t>
      </w:r>
      <w:r w:rsidRPr="00CD2B3F">
        <w:rPr>
          <w:rFonts w:ascii="Times New Roman" w:hAnsi="Times New Roman"/>
          <w:szCs w:val="24"/>
        </w:rPr>
        <w:t xml:space="preserve"> was completed in 2009 with the previous submission and has been updated for the 2012 submission.   We do not intend to do a system of records. A system of records has not been needed as we do not collect SSN information, and data is </w:t>
      </w:r>
      <w:r w:rsidR="00236C62">
        <w:rPr>
          <w:rFonts w:ascii="Times New Roman" w:hAnsi="Times New Roman"/>
          <w:szCs w:val="24"/>
        </w:rPr>
        <w:t xml:space="preserve">aggregated to evaluate the accomplishments and impact of the </w:t>
      </w:r>
      <w:r w:rsidR="003E3009">
        <w:rPr>
          <w:rFonts w:ascii="Times New Roman" w:hAnsi="Times New Roman"/>
          <w:szCs w:val="24"/>
        </w:rPr>
        <w:t>GEAR UP</w:t>
      </w:r>
      <w:r w:rsidR="00236C62">
        <w:rPr>
          <w:rFonts w:ascii="Times New Roman" w:hAnsi="Times New Roman"/>
          <w:szCs w:val="24"/>
        </w:rPr>
        <w:t xml:space="preserve"> program as a whole</w:t>
      </w:r>
      <w:r w:rsidRPr="00CD2B3F">
        <w:rPr>
          <w:rFonts w:ascii="Times New Roman" w:hAnsi="Times New Roman"/>
          <w:szCs w:val="24"/>
        </w:rPr>
        <w:t>.  The records are destroyed within three years of being received at the federal records center.</w:t>
      </w:r>
      <w:r>
        <w:rPr>
          <w:rFonts w:ascii="Times New Roman" w:hAnsi="Times New Roman"/>
          <w:szCs w:val="24"/>
        </w:rPr>
        <w:t xml:space="preserve">    </w:t>
      </w:r>
    </w:p>
    <w:p w:rsidR="00107939" w:rsidRPr="00FA40CC" w:rsidRDefault="00107939" w:rsidP="00107939">
      <w:pPr>
        <w:ind w:left="360"/>
        <w:rPr>
          <w:rFonts w:ascii="Times New Roman" w:hAnsi="Times New Roman"/>
          <w:szCs w:val="24"/>
        </w:rPr>
      </w:pPr>
    </w:p>
    <w:p w:rsidR="00386054" w:rsidRPr="00FA40CC" w:rsidRDefault="00386054">
      <w:pPr>
        <w:tabs>
          <w:tab w:val="left" w:pos="-720"/>
        </w:tabs>
        <w:suppressAutoHyphens/>
        <w:rPr>
          <w:rFonts w:ascii="Times New Roman" w:hAnsi="Times New Roman"/>
          <w:szCs w:val="24"/>
        </w:rPr>
      </w:pPr>
      <w:r w:rsidRPr="00FA40CC">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Pr="00FA40CC" w:rsidRDefault="00386054">
      <w:pPr>
        <w:tabs>
          <w:tab w:val="left" w:pos="-720"/>
        </w:tabs>
        <w:suppressAutoHyphens/>
        <w:rPr>
          <w:rFonts w:ascii="Times New Roman" w:hAnsi="Times New Roman"/>
          <w:szCs w:val="24"/>
        </w:rPr>
      </w:pPr>
    </w:p>
    <w:p w:rsidR="00BC1C70" w:rsidRPr="00FA40CC" w:rsidRDefault="00BC1C70" w:rsidP="00BC1C70">
      <w:pPr>
        <w:ind w:left="360"/>
        <w:rPr>
          <w:rFonts w:ascii="Times New Roman" w:hAnsi="Times New Roman"/>
          <w:szCs w:val="24"/>
        </w:rPr>
      </w:pPr>
      <w:r w:rsidRPr="00FA40CC">
        <w:rPr>
          <w:rFonts w:ascii="Times New Roman" w:hAnsi="Times New Roman"/>
          <w:szCs w:val="24"/>
        </w:rPr>
        <w:t>This application does not include questions about sexual behavior and attitudes, religious beliefs, or other items that are commonly considered sensitive and private.</w:t>
      </w:r>
    </w:p>
    <w:p w:rsidR="00BC1C70" w:rsidRPr="00FA40CC" w:rsidRDefault="00BC1C70">
      <w:pPr>
        <w:tabs>
          <w:tab w:val="left" w:pos="-720"/>
        </w:tabs>
        <w:suppressAutoHyphens/>
        <w:rPr>
          <w:rFonts w:ascii="Times New Roman" w:hAnsi="Times New Roman"/>
          <w:szCs w:val="24"/>
        </w:rPr>
      </w:pPr>
    </w:p>
    <w:p w:rsidR="00386054" w:rsidRPr="00FA40CC" w:rsidRDefault="00386054">
      <w:pPr>
        <w:tabs>
          <w:tab w:val="left" w:pos="-720"/>
        </w:tabs>
        <w:suppressAutoHyphens/>
        <w:rPr>
          <w:rStyle w:val="a"/>
          <w:rFonts w:ascii="Times New Roman" w:hAnsi="Times New Roman"/>
          <w:szCs w:val="24"/>
        </w:rPr>
      </w:pPr>
      <w:r w:rsidRPr="00FA40CC">
        <w:rPr>
          <w:rFonts w:ascii="Times New Roman" w:hAnsi="Times New Roman"/>
          <w:szCs w:val="24"/>
        </w:rPr>
        <w:t xml:space="preserve">12. </w:t>
      </w:r>
      <w:r w:rsidRPr="00FA40CC">
        <w:rPr>
          <w:rStyle w:val="a"/>
          <w:rFonts w:ascii="Times New Roman" w:hAnsi="Times New Roman"/>
          <w:szCs w:val="24"/>
        </w:rPr>
        <w:t>Provide estimates of the hour burden of the collection of information.  The statement should:</w:t>
      </w:r>
    </w:p>
    <w:p w:rsidR="00386054" w:rsidRPr="00FA40CC" w:rsidRDefault="00386054">
      <w:pPr>
        <w:tabs>
          <w:tab w:val="left" w:pos="-720"/>
        </w:tabs>
        <w:suppressAutoHyphens/>
        <w:rPr>
          <w:rStyle w:val="a"/>
          <w:rFonts w:ascii="Times New Roman" w:hAnsi="Times New Roman"/>
          <w:szCs w:val="24"/>
        </w:rPr>
      </w:pPr>
    </w:p>
    <w:p w:rsidR="00386054" w:rsidRPr="00FA40CC" w:rsidRDefault="00386054" w:rsidP="003C29C2">
      <w:pPr>
        <w:numPr>
          <w:ilvl w:val="0"/>
          <w:numId w:val="7"/>
        </w:numPr>
        <w:tabs>
          <w:tab w:val="left" w:pos="-720"/>
          <w:tab w:val="left" w:pos="1247"/>
        </w:tabs>
        <w:suppressAutoHyphens/>
        <w:rPr>
          <w:rStyle w:val="a"/>
          <w:rFonts w:ascii="Times New Roman" w:hAnsi="Times New Roman"/>
          <w:szCs w:val="24"/>
        </w:rPr>
      </w:pPr>
      <w:r w:rsidRPr="00FA40CC">
        <w:rPr>
          <w:rStyle w:val="a"/>
          <w:rFonts w:ascii="Times New Roman" w:hAnsi="Times New Roman"/>
          <w:szCs w:val="24"/>
        </w:rPr>
        <w:lastRenderedPageBreak/>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FA40CC" w:rsidRDefault="00386054" w:rsidP="003C29C2">
      <w:pPr>
        <w:tabs>
          <w:tab w:val="left" w:pos="-720"/>
          <w:tab w:val="left" w:pos="1247"/>
        </w:tabs>
        <w:suppressAutoHyphens/>
        <w:ind w:left="700"/>
        <w:rPr>
          <w:rStyle w:val="a"/>
          <w:rFonts w:ascii="Times New Roman" w:hAnsi="Times New Roman"/>
          <w:szCs w:val="24"/>
        </w:rPr>
      </w:pPr>
    </w:p>
    <w:p w:rsidR="00386054" w:rsidRPr="00FA40CC" w:rsidRDefault="00386054" w:rsidP="003C29C2">
      <w:pPr>
        <w:numPr>
          <w:ilvl w:val="0"/>
          <w:numId w:val="7"/>
        </w:numPr>
        <w:tabs>
          <w:tab w:val="left" w:pos="-720"/>
          <w:tab w:val="left" w:pos="1247"/>
        </w:tabs>
        <w:suppressAutoHyphens/>
        <w:rPr>
          <w:rStyle w:val="a"/>
          <w:rFonts w:ascii="Times New Roman" w:hAnsi="Times New Roman"/>
          <w:szCs w:val="24"/>
        </w:rPr>
      </w:pPr>
      <w:r w:rsidRPr="00FA40CC">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FA40CC">
        <w:rPr>
          <w:rStyle w:val="a"/>
          <w:rFonts w:ascii="Times New Roman" w:hAnsi="Times New Roman"/>
          <w:szCs w:val="24"/>
        </w:rPr>
        <w:t xml:space="preserve">ROCIS </w:t>
      </w:r>
      <w:r w:rsidRPr="00FA40CC">
        <w:rPr>
          <w:rStyle w:val="a"/>
          <w:rFonts w:ascii="Times New Roman" w:hAnsi="Times New Roman"/>
          <w:szCs w:val="24"/>
        </w:rPr>
        <w:t>IC Burden Analysis Table.</w:t>
      </w:r>
      <w:r w:rsidR="00CE72AF" w:rsidRPr="00FA40CC">
        <w:rPr>
          <w:rStyle w:val="a"/>
          <w:rFonts w:ascii="Times New Roman" w:hAnsi="Times New Roman"/>
          <w:szCs w:val="24"/>
        </w:rPr>
        <w:t xml:space="preserve">  (The table should at </w:t>
      </w:r>
      <w:r w:rsidR="003C7F70" w:rsidRPr="00FA40CC">
        <w:rPr>
          <w:rStyle w:val="a"/>
          <w:rFonts w:ascii="Times New Roman" w:hAnsi="Times New Roman"/>
          <w:szCs w:val="24"/>
        </w:rPr>
        <w:t>minimum</w:t>
      </w:r>
      <w:r w:rsidR="00CE72AF" w:rsidRPr="00FA40CC">
        <w:rPr>
          <w:rStyle w:val="a"/>
          <w:rFonts w:ascii="Times New Roman" w:hAnsi="Times New Roman"/>
          <w:szCs w:val="24"/>
        </w:rPr>
        <w:t xml:space="preserve"> include Respondent types, IC activity, Respondent and Responses, Hours/Response, and Total Hours)</w:t>
      </w:r>
    </w:p>
    <w:p w:rsidR="00386054" w:rsidRPr="00FA40CC" w:rsidRDefault="00386054" w:rsidP="003C29C2">
      <w:pPr>
        <w:tabs>
          <w:tab w:val="left" w:pos="-720"/>
          <w:tab w:val="left" w:pos="1247"/>
        </w:tabs>
        <w:suppressAutoHyphens/>
        <w:ind w:left="700"/>
        <w:rPr>
          <w:rStyle w:val="a"/>
          <w:rFonts w:ascii="Times New Roman" w:hAnsi="Times New Roman"/>
          <w:szCs w:val="24"/>
        </w:rPr>
      </w:pPr>
    </w:p>
    <w:p w:rsidR="00386054" w:rsidRPr="00FA40CC" w:rsidRDefault="00386054" w:rsidP="008F3062">
      <w:pPr>
        <w:numPr>
          <w:ilvl w:val="0"/>
          <w:numId w:val="7"/>
        </w:numPr>
        <w:tabs>
          <w:tab w:val="left" w:pos="-720"/>
          <w:tab w:val="left" w:pos="1247"/>
        </w:tabs>
        <w:suppressAutoHyphens/>
        <w:rPr>
          <w:rFonts w:ascii="Times New Roman" w:hAnsi="Times New Roman"/>
          <w:szCs w:val="24"/>
        </w:rPr>
      </w:pPr>
      <w:r w:rsidRPr="00FA40CC">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FA40CC" w:rsidRDefault="00386054">
      <w:pPr>
        <w:suppressAutoHyphens/>
        <w:rPr>
          <w:rFonts w:ascii="Times New Roman" w:hAnsi="Times New Roman"/>
          <w:szCs w:val="24"/>
        </w:rPr>
      </w:pPr>
    </w:p>
    <w:p w:rsidR="00BC1C70" w:rsidRPr="00FA40CC" w:rsidRDefault="00BC1C70" w:rsidP="00BC1C70">
      <w:pPr>
        <w:ind w:left="360"/>
        <w:rPr>
          <w:rFonts w:ascii="Times New Roman" w:hAnsi="Times New Roman"/>
          <w:szCs w:val="24"/>
        </w:rPr>
      </w:pPr>
      <w:r w:rsidRPr="00FA40CC">
        <w:rPr>
          <w:rFonts w:ascii="Times New Roman" w:hAnsi="Times New Roman"/>
          <w:szCs w:val="24"/>
        </w:rPr>
        <w:t>The estimated total reporting burden for this data collection is 2,475 hours.  This includes a total of 225 respondents</w:t>
      </w:r>
      <w:r w:rsidR="004B6E47" w:rsidRPr="00FA40CC">
        <w:rPr>
          <w:rFonts w:ascii="Times New Roman" w:hAnsi="Times New Roman"/>
          <w:szCs w:val="24"/>
        </w:rPr>
        <w:t xml:space="preserve"> (159 public institutions and 66 private institutions)</w:t>
      </w:r>
      <w:r w:rsidRPr="00FA40CC">
        <w:rPr>
          <w:rFonts w:ascii="Times New Roman" w:hAnsi="Times New Roman"/>
          <w:szCs w:val="24"/>
        </w:rPr>
        <w:t>, each with an estimated response time of 11 hours.  The burden hours have not been reduced since the previous collection package was submitted for clearance.  Comments and feedback regarding the</w:t>
      </w:r>
      <w:r w:rsidR="004809CB">
        <w:rPr>
          <w:rFonts w:ascii="Times New Roman" w:hAnsi="Times New Roman"/>
          <w:szCs w:val="24"/>
        </w:rPr>
        <w:t xml:space="preserve"> clarity of instructions </w:t>
      </w:r>
      <w:r w:rsidRPr="00FA40CC">
        <w:rPr>
          <w:rFonts w:ascii="Times New Roman" w:hAnsi="Times New Roman"/>
          <w:szCs w:val="24"/>
        </w:rPr>
        <w:t xml:space="preserve">in the performance report have been received from grantee institutions.  As noted under item 8, </w:t>
      </w:r>
      <w:r w:rsidR="00A829FE">
        <w:rPr>
          <w:rFonts w:ascii="Times New Roman" w:hAnsi="Times New Roman"/>
          <w:szCs w:val="24"/>
        </w:rPr>
        <w:t xml:space="preserve">clarifying language was added to questions based on feedback </w:t>
      </w:r>
      <w:r w:rsidRPr="00FA40CC">
        <w:rPr>
          <w:rFonts w:ascii="Times New Roman" w:hAnsi="Times New Roman"/>
          <w:szCs w:val="24"/>
        </w:rPr>
        <w:t xml:space="preserve">received </w:t>
      </w:r>
      <w:r w:rsidR="00A829FE">
        <w:rPr>
          <w:rFonts w:ascii="Times New Roman" w:hAnsi="Times New Roman"/>
          <w:szCs w:val="24"/>
        </w:rPr>
        <w:t xml:space="preserve">from grantees.  </w:t>
      </w:r>
      <w:r w:rsidR="0080031E">
        <w:rPr>
          <w:rFonts w:ascii="Times New Roman" w:hAnsi="Times New Roman"/>
          <w:szCs w:val="24"/>
        </w:rPr>
        <w:t>The changes did not affect the burden hours.</w:t>
      </w:r>
    </w:p>
    <w:p w:rsidR="004B6E47" w:rsidRPr="00FA40CC" w:rsidRDefault="004B6E47" w:rsidP="004B6E47">
      <w:pPr>
        <w:rPr>
          <w:rFonts w:ascii="Times New Roman" w:hAnsi="Times New Roman"/>
          <w:szCs w:val="24"/>
        </w:rPr>
      </w:pPr>
    </w:p>
    <w:p w:rsidR="004B6E47" w:rsidRPr="00FA40CC" w:rsidRDefault="004B6E47" w:rsidP="004B6E47">
      <w:pPr>
        <w:jc w:val="center"/>
        <w:rPr>
          <w:rFonts w:ascii="Times New Roman" w:hAnsi="Times New Roman"/>
          <w:szCs w:val="24"/>
        </w:rPr>
      </w:pPr>
      <w:r w:rsidRPr="00FA40CC">
        <w:rPr>
          <w:rFonts w:ascii="Times New Roman" w:hAnsi="Times New Roman"/>
          <w:szCs w:val="24"/>
        </w:rPr>
        <w:t>Affected Public</w:t>
      </w:r>
    </w:p>
    <w:p w:rsidR="00BC1C70" w:rsidRPr="00FA40CC" w:rsidRDefault="004B6E47" w:rsidP="004B6E47">
      <w:pPr>
        <w:jc w:val="center"/>
        <w:rPr>
          <w:rFonts w:ascii="Times New Roman" w:hAnsi="Times New Roman"/>
          <w:szCs w:val="24"/>
        </w:rPr>
      </w:pPr>
      <w:r w:rsidRPr="00FA40CC">
        <w:rPr>
          <w:rFonts w:ascii="Times New Roman" w:hAnsi="Times New Roman"/>
          <w:szCs w:val="24"/>
        </w:rPr>
        <w:t>(Estimated Burden Hours):</w:t>
      </w:r>
    </w:p>
    <w:tbl>
      <w:tblPr>
        <w:tblStyle w:val="TableGrid"/>
        <w:tblpPr w:leftFromText="180" w:rightFromText="180" w:vertAnchor="text" w:horzAnchor="margin" w:tblpXSpec="center" w:tblpY="203"/>
        <w:tblW w:w="0" w:type="auto"/>
        <w:tblLook w:val="04A0" w:firstRow="1" w:lastRow="0" w:firstColumn="1" w:lastColumn="0" w:noHBand="0" w:noVBand="1"/>
      </w:tblPr>
      <w:tblGrid>
        <w:gridCol w:w="5778"/>
        <w:gridCol w:w="1260"/>
        <w:gridCol w:w="1080"/>
      </w:tblGrid>
      <w:tr w:rsidR="004B6E47" w:rsidRPr="00FA40CC" w:rsidTr="004B6E47">
        <w:trPr>
          <w:trHeight w:val="285"/>
        </w:trPr>
        <w:tc>
          <w:tcPr>
            <w:tcW w:w="5778" w:type="dxa"/>
          </w:tcPr>
          <w:p w:rsidR="004B6E47" w:rsidRPr="00FA40CC" w:rsidRDefault="00F506F8" w:rsidP="004B6E47">
            <w:pPr>
              <w:rPr>
                <w:rFonts w:ascii="Times New Roman" w:hAnsi="Times New Roman"/>
                <w:szCs w:val="24"/>
              </w:rPr>
            </w:pPr>
            <w:r>
              <w:rPr>
                <w:rFonts w:ascii="Times New Roman" w:hAnsi="Times New Roman"/>
                <w:szCs w:val="24"/>
              </w:rPr>
              <w:t>Type of institution</w:t>
            </w:r>
          </w:p>
        </w:tc>
        <w:tc>
          <w:tcPr>
            <w:tcW w:w="1260" w:type="dxa"/>
          </w:tcPr>
          <w:p w:rsidR="004B6E47" w:rsidRPr="00FA40CC" w:rsidRDefault="004B6E47" w:rsidP="004B6E47">
            <w:pPr>
              <w:rPr>
                <w:rFonts w:ascii="Times New Roman" w:hAnsi="Times New Roman"/>
                <w:szCs w:val="24"/>
              </w:rPr>
            </w:pPr>
            <w:r w:rsidRPr="00FA40CC">
              <w:rPr>
                <w:rFonts w:ascii="Times New Roman" w:hAnsi="Times New Roman"/>
                <w:szCs w:val="24"/>
              </w:rPr>
              <w:t>Public</w:t>
            </w:r>
          </w:p>
        </w:tc>
        <w:tc>
          <w:tcPr>
            <w:tcW w:w="1080" w:type="dxa"/>
          </w:tcPr>
          <w:p w:rsidR="004B6E47" w:rsidRPr="00FA40CC" w:rsidRDefault="004B6E47" w:rsidP="004B6E47">
            <w:pPr>
              <w:rPr>
                <w:rFonts w:ascii="Times New Roman" w:hAnsi="Times New Roman"/>
                <w:szCs w:val="24"/>
              </w:rPr>
            </w:pPr>
            <w:r w:rsidRPr="00FA40CC">
              <w:rPr>
                <w:rFonts w:ascii="Times New Roman" w:hAnsi="Times New Roman"/>
                <w:szCs w:val="24"/>
              </w:rPr>
              <w:t>Private</w:t>
            </w:r>
          </w:p>
        </w:tc>
      </w:tr>
      <w:tr w:rsidR="004B6E47" w:rsidRPr="00FA40CC" w:rsidTr="004B6E47">
        <w:trPr>
          <w:trHeight w:val="285"/>
        </w:trPr>
        <w:tc>
          <w:tcPr>
            <w:tcW w:w="5778" w:type="dxa"/>
          </w:tcPr>
          <w:p w:rsidR="004B6E47" w:rsidRPr="00FA40CC" w:rsidRDefault="004B6E47" w:rsidP="004B6E47">
            <w:pPr>
              <w:rPr>
                <w:rFonts w:ascii="Times New Roman" w:hAnsi="Times New Roman"/>
                <w:szCs w:val="24"/>
              </w:rPr>
            </w:pPr>
            <w:r w:rsidRPr="00FA40CC">
              <w:rPr>
                <w:rFonts w:ascii="Times New Roman" w:hAnsi="Times New Roman"/>
                <w:szCs w:val="24"/>
              </w:rPr>
              <w:t>Estimated number of respondents</w:t>
            </w:r>
          </w:p>
        </w:tc>
        <w:tc>
          <w:tcPr>
            <w:tcW w:w="1260" w:type="dxa"/>
          </w:tcPr>
          <w:p w:rsidR="004B6E47" w:rsidRPr="00FA40CC" w:rsidRDefault="004B6E47" w:rsidP="004B6E47">
            <w:pPr>
              <w:rPr>
                <w:rFonts w:ascii="Times New Roman" w:hAnsi="Times New Roman"/>
                <w:szCs w:val="24"/>
              </w:rPr>
            </w:pPr>
            <w:r w:rsidRPr="00FA40CC">
              <w:rPr>
                <w:rFonts w:ascii="Times New Roman" w:hAnsi="Times New Roman"/>
                <w:szCs w:val="24"/>
              </w:rPr>
              <w:t>159</w:t>
            </w:r>
          </w:p>
        </w:tc>
        <w:tc>
          <w:tcPr>
            <w:tcW w:w="1080" w:type="dxa"/>
          </w:tcPr>
          <w:p w:rsidR="004B6E47" w:rsidRPr="00FA40CC" w:rsidRDefault="004B6E47" w:rsidP="004B6E47">
            <w:pPr>
              <w:rPr>
                <w:rFonts w:ascii="Times New Roman" w:hAnsi="Times New Roman"/>
                <w:szCs w:val="24"/>
              </w:rPr>
            </w:pPr>
            <w:r w:rsidRPr="00FA40CC">
              <w:rPr>
                <w:rFonts w:ascii="Times New Roman" w:hAnsi="Times New Roman"/>
                <w:szCs w:val="24"/>
              </w:rPr>
              <w:t>66</w:t>
            </w:r>
          </w:p>
        </w:tc>
      </w:tr>
      <w:tr w:rsidR="004B6E47" w:rsidRPr="00FA40CC" w:rsidTr="004B6E47">
        <w:trPr>
          <w:trHeight w:val="285"/>
        </w:trPr>
        <w:tc>
          <w:tcPr>
            <w:tcW w:w="5778" w:type="dxa"/>
          </w:tcPr>
          <w:p w:rsidR="004B6E47" w:rsidRPr="00FA40CC" w:rsidRDefault="004B6E47" w:rsidP="004B6E47">
            <w:pPr>
              <w:rPr>
                <w:rFonts w:ascii="Times New Roman" w:hAnsi="Times New Roman"/>
                <w:szCs w:val="24"/>
              </w:rPr>
            </w:pPr>
            <w:r w:rsidRPr="00FA40CC">
              <w:rPr>
                <w:rFonts w:ascii="Times New Roman" w:hAnsi="Times New Roman"/>
                <w:szCs w:val="24"/>
              </w:rPr>
              <w:t xml:space="preserve">Estimated preparation time Annual Report </w:t>
            </w:r>
          </w:p>
        </w:tc>
        <w:tc>
          <w:tcPr>
            <w:tcW w:w="1260" w:type="dxa"/>
          </w:tcPr>
          <w:p w:rsidR="004B6E47" w:rsidRPr="00FA40CC" w:rsidRDefault="004B6E47" w:rsidP="004B6E47">
            <w:pPr>
              <w:rPr>
                <w:rFonts w:ascii="Times New Roman" w:hAnsi="Times New Roman"/>
                <w:szCs w:val="24"/>
              </w:rPr>
            </w:pPr>
            <w:r w:rsidRPr="00FA40CC">
              <w:rPr>
                <w:rFonts w:ascii="Times New Roman" w:hAnsi="Times New Roman"/>
                <w:szCs w:val="24"/>
              </w:rPr>
              <w:t>11 hours</w:t>
            </w:r>
          </w:p>
        </w:tc>
        <w:tc>
          <w:tcPr>
            <w:tcW w:w="1080" w:type="dxa"/>
          </w:tcPr>
          <w:p w:rsidR="004B6E47" w:rsidRPr="00FA40CC" w:rsidRDefault="004B6E47" w:rsidP="004B6E47">
            <w:pPr>
              <w:rPr>
                <w:rFonts w:ascii="Times New Roman" w:hAnsi="Times New Roman"/>
                <w:szCs w:val="24"/>
              </w:rPr>
            </w:pPr>
            <w:r w:rsidRPr="00FA40CC">
              <w:rPr>
                <w:rFonts w:ascii="Times New Roman" w:hAnsi="Times New Roman"/>
                <w:szCs w:val="24"/>
              </w:rPr>
              <w:t>11 hours</w:t>
            </w:r>
          </w:p>
        </w:tc>
      </w:tr>
      <w:tr w:rsidR="004B6E47" w:rsidRPr="00FA40CC" w:rsidTr="004B6E47">
        <w:trPr>
          <w:trHeight w:val="285"/>
        </w:trPr>
        <w:tc>
          <w:tcPr>
            <w:tcW w:w="5778" w:type="dxa"/>
          </w:tcPr>
          <w:p w:rsidR="004B6E47" w:rsidRPr="00FA40CC" w:rsidRDefault="004B6E47" w:rsidP="004B6E47">
            <w:pPr>
              <w:rPr>
                <w:rFonts w:ascii="Times New Roman" w:hAnsi="Times New Roman"/>
                <w:szCs w:val="24"/>
              </w:rPr>
            </w:pPr>
            <w:r w:rsidRPr="00FA40CC">
              <w:rPr>
                <w:rFonts w:ascii="Times New Roman" w:hAnsi="Times New Roman"/>
                <w:szCs w:val="24"/>
              </w:rPr>
              <w:t>Average response time [(10.5x2) + 12]/3 = 11 hours</w:t>
            </w:r>
          </w:p>
        </w:tc>
        <w:tc>
          <w:tcPr>
            <w:tcW w:w="1260" w:type="dxa"/>
          </w:tcPr>
          <w:p w:rsidR="004B6E47" w:rsidRPr="00FA40CC" w:rsidRDefault="004B6E47" w:rsidP="004B6E47">
            <w:pPr>
              <w:rPr>
                <w:rFonts w:ascii="Times New Roman" w:hAnsi="Times New Roman"/>
                <w:szCs w:val="24"/>
              </w:rPr>
            </w:pPr>
            <w:r w:rsidRPr="00FA40CC">
              <w:rPr>
                <w:rFonts w:ascii="Times New Roman" w:hAnsi="Times New Roman"/>
                <w:szCs w:val="24"/>
              </w:rPr>
              <w:t>11 hours</w:t>
            </w:r>
          </w:p>
        </w:tc>
        <w:tc>
          <w:tcPr>
            <w:tcW w:w="1080" w:type="dxa"/>
          </w:tcPr>
          <w:p w:rsidR="004B6E47" w:rsidRPr="00FA40CC" w:rsidRDefault="004B6E47" w:rsidP="004B6E47">
            <w:pPr>
              <w:rPr>
                <w:rFonts w:ascii="Times New Roman" w:hAnsi="Times New Roman"/>
                <w:szCs w:val="24"/>
              </w:rPr>
            </w:pPr>
            <w:r w:rsidRPr="00FA40CC">
              <w:rPr>
                <w:rFonts w:ascii="Times New Roman" w:hAnsi="Times New Roman"/>
                <w:szCs w:val="24"/>
              </w:rPr>
              <w:t>11 hours</w:t>
            </w:r>
          </w:p>
        </w:tc>
      </w:tr>
      <w:tr w:rsidR="004B6E47" w:rsidRPr="00FA40CC" w:rsidTr="004B6E47">
        <w:trPr>
          <w:trHeight w:val="285"/>
        </w:trPr>
        <w:tc>
          <w:tcPr>
            <w:tcW w:w="5778" w:type="dxa"/>
          </w:tcPr>
          <w:p w:rsidR="004B6E47" w:rsidRPr="00FA40CC" w:rsidRDefault="00F120B6" w:rsidP="00F120B6">
            <w:pPr>
              <w:rPr>
                <w:rFonts w:ascii="Times New Roman" w:hAnsi="Times New Roman"/>
                <w:szCs w:val="24"/>
              </w:rPr>
            </w:pPr>
            <w:r w:rsidRPr="00FA40CC">
              <w:rPr>
                <w:rFonts w:ascii="Times New Roman" w:hAnsi="Times New Roman"/>
                <w:szCs w:val="24"/>
              </w:rPr>
              <w:t xml:space="preserve">Annual </w:t>
            </w:r>
            <w:r w:rsidR="004B6E47" w:rsidRPr="00FA40CC">
              <w:rPr>
                <w:rFonts w:ascii="Times New Roman" w:hAnsi="Times New Roman"/>
                <w:szCs w:val="24"/>
              </w:rPr>
              <w:t xml:space="preserve">estimated burden hours </w:t>
            </w:r>
          </w:p>
        </w:tc>
        <w:tc>
          <w:tcPr>
            <w:tcW w:w="1260" w:type="dxa"/>
          </w:tcPr>
          <w:p w:rsidR="004B6E47" w:rsidRPr="00FA40CC" w:rsidRDefault="004B6E47" w:rsidP="004B6E47">
            <w:pPr>
              <w:rPr>
                <w:rFonts w:ascii="Times New Roman" w:hAnsi="Times New Roman"/>
                <w:szCs w:val="24"/>
              </w:rPr>
            </w:pPr>
            <w:r w:rsidRPr="00FA40CC">
              <w:rPr>
                <w:rFonts w:ascii="Times New Roman" w:hAnsi="Times New Roman"/>
                <w:szCs w:val="24"/>
              </w:rPr>
              <w:t>1,749</w:t>
            </w:r>
          </w:p>
        </w:tc>
        <w:tc>
          <w:tcPr>
            <w:tcW w:w="1080" w:type="dxa"/>
          </w:tcPr>
          <w:p w:rsidR="004B6E47" w:rsidRPr="00FA40CC" w:rsidRDefault="004B6E47" w:rsidP="004B6E47">
            <w:pPr>
              <w:rPr>
                <w:rFonts w:ascii="Times New Roman" w:hAnsi="Times New Roman"/>
                <w:szCs w:val="24"/>
              </w:rPr>
            </w:pPr>
            <w:r w:rsidRPr="00FA40CC">
              <w:rPr>
                <w:rFonts w:ascii="Times New Roman" w:hAnsi="Times New Roman"/>
                <w:szCs w:val="24"/>
              </w:rPr>
              <w:t>726</w:t>
            </w:r>
          </w:p>
        </w:tc>
      </w:tr>
      <w:tr w:rsidR="004B6E47" w:rsidRPr="00FA40CC" w:rsidTr="004B6E47">
        <w:trPr>
          <w:trHeight w:val="285"/>
        </w:trPr>
        <w:tc>
          <w:tcPr>
            <w:tcW w:w="5778" w:type="dxa"/>
          </w:tcPr>
          <w:p w:rsidR="004B6E47" w:rsidRPr="00FA40CC" w:rsidRDefault="004B6E47" w:rsidP="004B6E47">
            <w:pPr>
              <w:rPr>
                <w:rFonts w:ascii="Times New Roman" w:hAnsi="Times New Roman"/>
                <w:szCs w:val="24"/>
              </w:rPr>
            </w:pPr>
            <w:r w:rsidRPr="00FA40CC">
              <w:rPr>
                <w:rFonts w:ascii="Times New Roman" w:hAnsi="Times New Roman"/>
                <w:szCs w:val="24"/>
              </w:rPr>
              <w:t>Total</w:t>
            </w:r>
            <w:r w:rsidR="00F120B6" w:rsidRPr="00FA40CC">
              <w:rPr>
                <w:rFonts w:ascii="Times New Roman" w:hAnsi="Times New Roman"/>
                <w:szCs w:val="24"/>
              </w:rPr>
              <w:t xml:space="preserve"> estimated</w:t>
            </w:r>
            <w:r w:rsidRPr="00FA40CC">
              <w:rPr>
                <w:rFonts w:ascii="Times New Roman" w:hAnsi="Times New Roman"/>
                <w:szCs w:val="24"/>
              </w:rPr>
              <w:t xml:space="preserve"> burden hours for all respondents</w:t>
            </w:r>
          </w:p>
        </w:tc>
        <w:tc>
          <w:tcPr>
            <w:tcW w:w="2340" w:type="dxa"/>
            <w:gridSpan w:val="2"/>
          </w:tcPr>
          <w:p w:rsidR="004B6E47" w:rsidRPr="00FA40CC" w:rsidRDefault="004B6E47" w:rsidP="004C033D">
            <w:pPr>
              <w:jc w:val="center"/>
              <w:rPr>
                <w:rFonts w:ascii="Times New Roman" w:hAnsi="Times New Roman"/>
                <w:szCs w:val="24"/>
              </w:rPr>
            </w:pPr>
            <w:r w:rsidRPr="00FA40CC">
              <w:rPr>
                <w:rFonts w:ascii="Times New Roman" w:hAnsi="Times New Roman"/>
                <w:szCs w:val="24"/>
              </w:rPr>
              <w:t>2,47</w:t>
            </w:r>
            <w:r w:rsidR="004C033D">
              <w:rPr>
                <w:rFonts w:ascii="Times New Roman" w:hAnsi="Times New Roman"/>
                <w:szCs w:val="24"/>
              </w:rPr>
              <w:t>5</w:t>
            </w:r>
            <w:r w:rsidRPr="00FA40CC">
              <w:rPr>
                <w:rFonts w:ascii="Times New Roman" w:hAnsi="Times New Roman"/>
                <w:szCs w:val="24"/>
              </w:rPr>
              <w:t xml:space="preserve"> hours</w:t>
            </w:r>
          </w:p>
        </w:tc>
      </w:tr>
    </w:tbl>
    <w:p w:rsidR="004B6E47" w:rsidRPr="00FA40CC" w:rsidRDefault="004B6E47" w:rsidP="00BC1C70">
      <w:pPr>
        <w:ind w:firstLine="360"/>
        <w:rPr>
          <w:rFonts w:ascii="Times New Roman" w:hAnsi="Times New Roman"/>
          <w:szCs w:val="24"/>
        </w:rPr>
      </w:pPr>
      <w:r w:rsidRPr="00FA40CC">
        <w:rPr>
          <w:rFonts w:ascii="Times New Roman" w:hAnsi="Times New Roman"/>
          <w:szCs w:val="24"/>
        </w:rPr>
        <w:tab/>
      </w:r>
    </w:p>
    <w:p w:rsidR="004B6E47" w:rsidRPr="00FA40CC" w:rsidRDefault="004B6E47" w:rsidP="004B6E47">
      <w:pPr>
        <w:ind w:left="360"/>
        <w:rPr>
          <w:rFonts w:ascii="Times New Roman" w:hAnsi="Times New Roman"/>
          <w:szCs w:val="24"/>
        </w:rPr>
      </w:pPr>
    </w:p>
    <w:p w:rsidR="004B6E47" w:rsidRPr="00FA40CC" w:rsidRDefault="004B6E47" w:rsidP="004B6E47">
      <w:pPr>
        <w:ind w:left="360"/>
        <w:rPr>
          <w:rFonts w:ascii="Times New Roman" w:hAnsi="Times New Roman"/>
          <w:szCs w:val="24"/>
        </w:rPr>
      </w:pPr>
    </w:p>
    <w:p w:rsidR="004B6E47" w:rsidRPr="00FA40CC" w:rsidRDefault="004B6E47" w:rsidP="004B6E47">
      <w:pPr>
        <w:ind w:left="360"/>
        <w:rPr>
          <w:rFonts w:ascii="Times New Roman" w:hAnsi="Times New Roman"/>
          <w:szCs w:val="24"/>
        </w:rPr>
      </w:pPr>
    </w:p>
    <w:p w:rsidR="004B6E47" w:rsidRPr="00FA40CC" w:rsidRDefault="004B6E47" w:rsidP="004B6E47">
      <w:pPr>
        <w:ind w:left="360"/>
        <w:rPr>
          <w:rFonts w:ascii="Times New Roman" w:hAnsi="Times New Roman"/>
          <w:szCs w:val="24"/>
        </w:rPr>
      </w:pPr>
    </w:p>
    <w:p w:rsidR="004B6E47" w:rsidRPr="00FA40CC" w:rsidRDefault="004B6E47" w:rsidP="004B6E47">
      <w:pPr>
        <w:ind w:left="360"/>
        <w:rPr>
          <w:rFonts w:ascii="Times New Roman" w:hAnsi="Times New Roman"/>
          <w:szCs w:val="24"/>
        </w:rPr>
      </w:pPr>
    </w:p>
    <w:p w:rsidR="004B6E47" w:rsidRPr="00FA40CC" w:rsidRDefault="004B6E47" w:rsidP="004B6E47">
      <w:pPr>
        <w:ind w:left="360"/>
        <w:rPr>
          <w:rFonts w:ascii="Times New Roman" w:hAnsi="Times New Roman"/>
          <w:szCs w:val="24"/>
        </w:rPr>
      </w:pPr>
    </w:p>
    <w:p w:rsidR="004B6E47" w:rsidRPr="00FA40CC" w:rsidRDefault="004B6E47" w:rsidP="004B6E47">
      <w:pPr>
        <w:ind w:left="360"/>
        <w:rPr>
          <w:rFonts w:ascii="Times New Roman" w:hAnsi="Times New Roman"/>
          <w:szCs w:val="24"/>
        </w:rPr>
      </w:pPr>
    </w:p>
    <w:p w:rsidR="004B6E47" w:rsidRPr="00FA40CC" w:rsidRDefault="004B6E47" w:rsidP="004B6E47">
      <w:pPr>
        <w:ind w:left="360"/>
        <w:rPr>
          <w:rFonts w:ascii="Times New Roman" w:hAnsi="Times New Roman"/>
          <w:szCs w:val="24"/>
        </w:rPr>
      </w:pPr>
    </w:p>
    <w:p w:rsidR="00BC1C70" w:rsidRPr="00FA40CC" w:rsidRDefault="00BC1C70" w:rsidP="004B6E47">
      <w:pPr>
        <w:ind w:left="360"/>
        <w:rPr>
          <w:rFonts w:ascii="Times New Roman" w:hAnsi="Times New Roman"/>
          <w:szCs w:val="24"/>
        </w:rPr>
      </w:pPr>
      <w:r w:rsidRPr="00FA40CC">
        <w:rPr>
          <w:rFonts w:ascii="Times New Roman" w:hAnsi="Times New Roman"/>
          <w:szCs w:val="24"/>
        </w:rPr>
        <w:t>The burden to each individual respondent, established at 1</w:t>
      </w:r>
      <w:r w:rsidR="0080031E">
        <w:rPr>
          <w:rFonts w:ascii="Times New Roman" w:hAnsi="Times New Roman"/>
          <w:szCs w:val="24"/>
        </w:rPr>
        <w:t>1</w:t>
      </w:r>
      <w:r w:rsidRPr="00FA40CC">
        <w:rPr>
          <w:rFonts w:ascii="Times New Roman" w:hAnsi="Times New Roman"/>
          <w:szCs w:val="24"/>
        </w:rPr>
        <w:t xml:space="preserve"> hours, is based on feedback from respondents during previous submissions.</w:t>
      </w:r>
      <w:r w:rsidR="008261A8">
        <w:rPr>
          <w:rFonts w:ascii="Times New Roman" w:hAnsi="Times New Roman"/>
          <w:szCs w:val="24"/>
        </w:rPr>
        <w:t xml:space="preserve"> Please note the two instruments for the GEAR UP public and private sector responses.</w:t>
      </w:r>
    </w:p>
    <w:p w:rsidR="00F120B6" w:rsidRPr="00FA40CC" w:rsidRDefault="00F120B6" w:rsidP="00F120B6">
      <w:pPr>
        <w:rPr>
          <w:rFonts w:ascii="Times New Roman" w:hAnsi="Times New Roman"/>
          <w:szCs w:val="24"/>
        </w:rPr>
      </w:pPr>
    </w:p>
    <w:p w:rsidR="00BC1C70" w:rsidRPr="00FA40CC" w:rsidRDefault="00BC1C70" w:rsidP="00F120B6">
      <w:pPr>
        <w:jc w:val="center"/>
        <w:rPr>
          <w:rFonts w:ascii="Times New Roman" w:hAnsi="Times New Roman"/>
          <w:szCs w:val="24"/>
        </w:rPr>
      </w:pPr>
      <w:r w:rsidRPr="00FA40CC">
        <w:rPr>
          <w:rFonts w:ascii="Times New Roman" w:hAnsi="Times New Roman"/>
          <w:szCs w:val="24"/>
        </w:rPr>
        <w:t>Estimated Cost to Respondents</w:t>
      </w:r>
    </w:p>
    <w:tbl>
      <w:tblPr>
        <w:tblW w:w="7935" w:type="dxa"/>
        <w:tblInd w:w="706" w:type="dxa"/>
        <w:tblLayout w:type="fixed"/>
        <w:tblCellMar>
          <w:left w:w="180" w:type="dxa"/>
          <w:right w:w="180" w:type="dxa"/>
        </w:tblCellMar>
        <w:tblLook w:val="0000" w:firstRow="0" w:lastRow="0" w:firstColumn="0" w:lastColumn="0" w:noHBand="0" w:noVBand="0"/>
      </w:tblPr>
      <w:tblGrid>
        <w:gridCol w:w="5235"/>
        <w:gridCol w:w="1350"/>
        <w:gridCol w:w="1350"/>
      </w:tblGrid>
      <w:tr w:rsidR="00F120B6" w:rsidRPr="00FA40CC" w:rsidTr="00F506F8">
        <w:trPr>
          <w:trHeight w:val="304"/>
        </w:trPr>
        <w:tc>
          <w:tcPr>
            <w:tcW w:w="5235" w:type="dxa"/>
            <w:tcBorders>
              <w:top w:val="single" w:sz="8" w:space="0" w:color="auto"/>
              <w:left w:val="single" w:sz="8" w:space="0" w:color="auto"/>
              <w:bottom w:val="single" w:sz="8" w:space="0" w:color="auto"/>
              <w:right w:val="nil"/>
            </w:tcBorders>
          </w:tcPr>
          <w:p w:rsidR="00F120B6" w:rsidRPr="00FA40CC" w:rsidRDefault="00F506F8" w:rsidP="003E4C14">
            <w:pPr>
              <w:rPr>
                <w:rFonts w:ascii="Times New Roman" w:hAnsi="Times New Roman"/>
                <w:szCs w:val="24"/>
              </w:rPr>
            </w:pPr>
            <w:r>
              <w:rPr>
                <w:rFonts w:ascii="Times New Roman" w:hAnsi="Times New Roman"/>
                <w:szCs w:val="24"/>
              </w:rPr>
              <w:t>Type of institution</w:t>
            </w:r>
          </w:p>
        </w:tc>
        <w:tc>
          <w:tcPr>
            <w:tcW w:w="1350" w:type="dxa"/>
            <w:tcBorders>
              <w:top w:val="single" w:sz="8" w:space="0" w:color="auto"/>
              <w:left w:val="single" w:sz="8" w:space="0" w:color="auto"/>
              <w:bottom w:val="single" w:sz="8" w:space="0" w:color="auto"/>
              <w:right w:val="single" w:sz="8" w:space="0" w:color="auto"/>
            </w:tcBorders>
          </w:tcPr>
          <w:p w:rsidR="00F120B6" w:rsidRPr="00FA40CC" w:rsidRDefault="00F120B6" w:rsidP="003E4C14">
            <w:pPr>
              <w:rPr>
                <w:rFonts w:ascii="Times New Roman" w:hAnsi="Times New Roman"/>
                <w:szCs w:val="24"/>
              </w:rPr>
            </w:pPr>
            <w:r w:rsidRPr="00FA40CC">
              <w:rPr>
                <w:rFonts w:ascii="Times New Roman" w:hAnsi="Times New Roman"/>
                <w:szCs w:val="24"/>
              </w:rPr>
              <w:t>Public</w:t>
            </w:r>
          </w:p>
        </w:tc>
        <w:tc>
          <w:tcPr>
            <w:tcW w:w="1350" w:type="dxa"/>
            <w:tcBorders>
              <w:top w:val="single" w:sz="8" w:space="0" w:color="auto"/>
              <w:left w:val="single" w:sz="8" w:space="0" w:color="auto"/>
              <w:bottom w:val="single" w:sz="8" w:space="0" w:color="auto"/>
              <w:right w:val="single" w:sz="8" w:space="0" w:color="auto"/>
            </w:tcBorders>
          </w:tcPr>
          <w:p w:rsidR="00F120B6" w:rsidRPr="00FA40CC" w:rsidRDefault="00F120B6" w:rsidP="003E4C14">
            <w:pPr>
              <w:rPr>
                <w:rFonts w:ascii="Times New Roman" w:hAnsi="Times New Roman"/>
                <w:szCs w:val="24"/>
              </w:rPr>
            </w:pPr>
            <w:r w:rsidRPr="00FA40CC">
              <w:rPr>
                <w:rFonts w:ascii="Times New Roman" w:hAnsi="Times New Roman"/>
                <w:szCs w:val="24"/>
              </w:rPr>
              <w:t>Private</w:t>
            </w:r>
          </w:p>
        </w:tc>
      </w:tr>
      <w:tr w:rsidR="00F120B6" w:rsidRPr="00FA40CC" w:rsidTr="00F506F8">
        <w:trPr>
          <w:trHeight w:val="358"/>
        </w:trPr>
        <w:tc>
          <w:tcPr>
            <w:tcW w:w="5235" w:type="dxa"/>
            <w:tcBorders>
              <w:top w:val="single" w:sz="8" w:space="0" w:color="auto"/>
              <w:left w:val="single" w:sz="8" w:space="0" w:color="auto"/>
              <w:bottom w:val="single" w:sz="8" w:space="0" w:color="auto"/>
              <w:right w:val="nil"/>
            </w:tcBorders>
          </w:tcPr>
          <w:p w:rsidR="00F120B6" w:rsidRPr="00FA40CC" w:rsidRDefault="00F120B6" w:rsidP="003E4C14">
            <w:pPr>
              <w:rPr>
                <w:rFonts w:ascii="Times New Roman" w:hAnsi="Times New Roman"/>
                <w:szCs w:val="24"/>
              </w:rPr>
            </w:pPr>
            <w:r w:rsidRPr="00FA40CC">
              <w:rPr>
                <w:rFonts w:ascii="Times New Roman" w:hAnsi="Times New Roman"/>
                <w:szCs w:val="24"/>
              </w:rPr>
              <w:t xml:space="preserve">Number of institutions </w:t>
            </w:r>
          </w:p>
        </w:tc>
        <w:tc>
          <w:tcPr>
            <w:tcW w:w="1350" w:type="dxa"/>
            <w:tcBorders>
              <w:top w:val="single" w:sz="8" w:space="0" w:color="auto"/>
              <w:left w:val="single" w:sz="8" w:space="0" w:color="auto"/>
              <w:bottom w:val="single" w:sz="8" w:space="0" w:color="auto"/>
              <w:right w:val="single" w:sz="8" w:space="0" w:color="auto"/>
            </w:tcBorders>
          </w:tcPr>
          <w:p w:rsidR="00F120B6" w:rsidRPr="00FA40CC" w:rsidRDefault="00F120B6" w:rsidP="003E4C14">
            <w:pPr>
              <w:rPr>
                <w:rFonts w:ascii="Times New Roman" w:hAnsi="Times New Roman"/>
                <w:szCs w:val="24"/>
              </w:rPr>
            </w:pPr>
            <w:r w:rsidRPr="00FA40CC">
              <w:rPr>
                <w:rFonts w:ascii="Times New Roman" w:hAnsi="Times New Roman"/>
                <w:szCs w:val="24"/>
              </w:rPr>
              <w:t>159</w:t>
            </w:r>
          </w:p>
        </w:tc>
        <w:tc>
          <w:tcPr>
            <w:tcW w:w="1350" w:type="dxa"/>
            <w:tcBorders>
              <w:top w:val="single" w:sz="8" w:space="0" w:color="auto"/>
              <w:left w:val="single" w:sz="8" w:space="0" w:color="auto"/>
              <w:bottom w:val="single" w:sz="8" w:space="0" w:color="auto"/>
              <w:right w:val="single" w:sz="8" w:space="0" w:color="auto"/>
            </w:tcBorders>
          </w:tcPr>
          <w:p w:rsidR="00F120B6" w:rsidRPr="00FA40CC" w:rsidRDefault="00F120B6" w:rsidP="003E4C14">
            <w:pPr>
              <w:rPr>
                <w:rFonts w:ascii="Times New Roman" w:hAnsi="Times New Roman"/>
                <w:szCs w:val="24"/>
              </w:rPr>
            </w:pPr>
            <w:r w:rsidRPr="00FA40CC">
              <w:rPr>
                <w:rFonts w:ascii="Times New Roman" w:hAnsi="Times New Roman"/>
                <w:szCs w:val="24"/>
              </w:rPr>
              <w:t>66</w:t>
            </w:r>
          </w:p>
        </w:tc>
      </w:tr>
      <w:tr w:rsidR="00F120B6" w:rsidRPr="00FA40CC" w:rsidTr="00F506F8">
        <w:trPr>
          <w:trHeight w:val="331"/>
        </w:trPr>
        <w:tc>
          <w:tcPr>
            <w:tcW w:w="5235" w:type="dxa"/>
            <w:tcBorders>
              <w:top w:val="single" w:sz="8" w:space="0" w:color="auto"/>
              <w:left w:val="single" w:sz="8" w:space="0" w:color="auto"/>
              <w:bottom w:val="single" w:sz="8" w:space="0" w:color="auto"/>
              <w:right w:val="nil"/>
            </w:tcBorders>
          </w:tcPr>
          <w:p w:rsidR="00F120B6" w:rsidRPr="00FA40CC" w:rsidRDefault="00F120B6" w:rsidP="00F120B6">
            <w:pPr>
              <w:rPr>
                <w:rFonts w:ascii="Times New Roman" w:hAnsi="Times New Roman"/>
                <w:szCs w:val="24"/>
              </w:rPr>
            </w:pPr>
            <w:r w:rsidRPr="00FA40CC">
              <w:rPr>
                <w:rFonts w:ascii="Times New Roman" w:hAnsi="Times New Roman"/>
                <w:szCs w:val="24"/>
              </w:rPr>
              <w:t>Professional staff: 1 personnel x 8 hours x $35</w:t>
            </w:r>
          </w:p>
        </w:tc>
        <w:tc>
          <w:tcPr>
            <w:tcW w:w="1350" w:type="dxa"/>
            <w:tcBorders>
              <w:top w:val="single" w:sz="8" w:space="0" w:color="auto"/>
              <w:left w:val="single" w:sz="8" w:space="0" w:color="auto"/>
              <w:bottom w:val="single" w:sz="8" w:space="0" w:color="auto"/>
              <w:right w:val="single" w:sz="8" w:space="0" w:color="auto"/>
            </w:tcBorders>
          </w:tcPr>
          <w:p w:rsidR="00F120B6" w:rsidRPr="00FA40CC" w:rsidRDefault="00F120B6" w:rsidP="003E4C14">
            <w:pPr>
              <w:rPr>
                <w:rFonts w:ascii="Times New Roman" w:hAnsi="Times New Roman"/>
                <w:szCs w:val="24"/>
              </w:rPr>
            </w:pPr>
            <w:r w:rsidRPr="00FA40CC">
              <w:rPr>
                <w:rFonts w:ascii="Times New Roman" w:hAnsi="Times New Roman"/>
                <w:szCs w:val="24"/>
              </w:rPr>
              <w:t>$280</w:t>
            </w:r>
          </w:p>
        </w:tc>
        <w:tc>
          <w:tcPr>
            <w:tcW w:w="1350" w:type="dxa"/>
            <w:tcBorders>
              <w:top w:val="single" w:sz="8" w:space="0" w:color="auto"/>
              <w:left w:val="single" w:sz="8" w:space="0" w:color="auto"/>
              <w:bottom w:val="single" w:sz="8" w:space="0" w:color="auto"/>
              <w:right w:val="single" w:sz="8" w:space="0" w:color="auto"/>
            </w:tcBorders>
          </w:tcPr>
          <w:p w:rsidR="00F120B6" w:rsidRPr="00FA40CC" w:rsidRDefault="00F120B6" w:rsidP="003E4C14">
            <w:pPr>
              <w:rPr>
                <w:rFonts w:ascii="Times New Roman" w:hAnsi="Times New Roman"/>
                <w:szCs w:val="24"/>
              </w:rPr>
            </w:pPr>
            <w:r w:rsidRPr="00FA40CC">
              <w:rPr>
                <w:rFonts w:ascii="Times New Roman" w:hAnsi="Times New Roman"/>
                <w:szCs w:val="24"/>
              </w:rPr>
              <w:t>$280</w:t>
            </w:r>
          </w:p>
        </w:tc>
      </w:tr>
      <w:tr w:rsidR="00F120B6" w:rsidRPr="00FA40CC" w:rsidTr="00F506F8">
        <w:trPr>
          <w:trHeight w:val="349"/>
        </w:trPr>
        <w:tc>
          <w:tcPr>
            <w:tcW w:w="5235" w:type="dxa"/>
            <w:tcBorders>
              <w:top w:val="single" w:sz="8" w:space="0" w:color="auto"/>
              <w:left w:val="single" w:sz="8" w:space="0" w:color="auto"/>
              <w:bottom w:val="single" w:sz="8" w:space="0" w:color="auto"/>
              <w:right w:val="nil"/>
            </w:tcBorders>
          </w:tcPr>
          <w:p w:rsidR="00F120B6" w:rsidRPr="00FA40CC" w:rsidRDefault="00F120B6" w:rsidP="00F120B6">
            <w:pPr>
              <w:rPr>
                <w:rFonts w:ascii="Times New Roman" w:hAnsi="Times New Roman"/>
                <w:szCs w:val="24"/>
              </w:rPr>
            </w:pPr>
            <w:r w:rsidRPr="00FA40CC">
              <w:rPr>
                <w:rFonts w:ascii="Times New Roman" w:hAnsi="Times New Roman"/>
                <w:szCs w:val="24"/>
              </w:rPr>
              <w:t>Clerical staff: 1 clerical x 2 hours x $8</w:t>
            </w:r>
          </w:p>
        </w:tc>
        <w:tc>
          <w:tcPr>
            <w:tcW w:w="1350" w:type="dxa"/>
            <w:tcBorders>
              <w:top w:val="single" w:sz="8" w:space="0" w:color="auto"/>
              <w:left w:val="single" w:sz="8" w:space="0" w:color="auto"/>
              <w:bottom w:val="single" w:sz="8" w:space="0" w:color="auto"/>
              <w:right w:val="single" w:sz="8" w:space="0" w:color="auto"/>
            </w:tcBorders>
          </w:tcPr>
          <w:p w:rsidR="00F120B6" w:rsidRPr="00FA40CC" w:rsidRDefault="00F120B6" w:rsidP="003E4C14">
            <w:pPr>
              <w:rPr>
                <w:rFonts w:ascii="Times New Roman" w:hAnsi="Times New Roman"/>
                <w:szCs w:val="24"/>
              </w:rPr>
            </w:pPr>
            <w:r w:rsidRPr="00FA40CC">
              <w:rPr>
                <w:rFonts w:ascii="Times New Roman" w:hAnsi="Times New Roman"/>
                <w:szCs w:val="24"/>
              </w:rPr>
              <w:t>$16</w:t>
            </w:r>
          </w:p>
        </w:tc>
        <w:tc>
          <w:tcPr>
            <w:tcW w:w="1350" w:type="dxa"/>
            <w:tcBorders>
              <w:top w:val="single" w:sz="8" w:space="0" w:color="auto"/>
              <w:left w:val="single" w:sz="8" w:space="0" w:color="auto"/>
              <w:bottom w:val="single" w:sz="8" w:space="0" w:color="auto"/>
              <w:right w:val="single" w:sz="8" w:space="0" w:color="auto"/>
            </w:tcBorders>
          </w:tcPr>
          <w:p w:rsidR="00F120B6" w:rsidRPr="00FA40CC" w:rsidRDefault="00F120B6" w:rsidP="003E4C14">
            <w:pPr>
              <w:rPr>
                <w:rFonts w:ascii="Times New Roman" w:hAnsi="Times New Roman"/>
                <w:szCs w:val="24"/>
              </w:rPr>
            </w:pPr>
            <w:r w:rsidRPr="00FA40CC">
              <w:rPr>
                <w:rFonts w:ascii="Times New Roman" w:hAnsi="Times New Roman"/>
                <w:szCs w:val="24"/>
              </w:rPr>
              <w:t>$16</w:t>
            </w:r>
          </w:p>
        </w:tc>
      </w:tr>
      <w:tr w:rsidR="00F120B6" w:rsidRPr="00FA40CC" w:rsidTr="00F506F8">
        <w:trPr>
          <w:trHeight w:val="331"/>
        </w:trPr>
        <w:tc>
          <w:tcPr>
            <w:tcW w:w="5235" w:type="dxa"/>
            <w:tcBorders>
              <w:top w:val="single" w:sz="8" w:space="0" w:color="auto"/>
              <w:left w:val="single" w:sz="8" w:space="0" w:color="auto"/>
              <w:bottom w:val="single" w:sz="8" w:space="0" w:color="auto"/>
              <w:right w:val="nil"/>
            </w:tcBorders>
          </w:tcPr>
          <w:p w:rsidR="00F120B6" w:rsidRPr="00FA40CC" w:rsidRDefault="00F120B6" w:rsidP="003E4C14">
            <w:pPr>
              <w:rPr>
                <w:rFonts w:ascii="Times New Roman" w:hAnsi="Times New Roman"/>
                <w:szCs w:val="24"/>
              </w:rPr>
            </w:pPr>
            <w:r w:rsidRPr="00FA40CC">
              <w:rPr>
                <w:rFonts w:ascii="Times New Roman" w:hAnsi="Times New Roman"/>
                <w:szCs w:val="24"/>
              </w:rPr>
              <w:t>Total estimated cost per respondent</w:t>
            </w:r>
          </w:p>
        </w:tc>
        <w:tc>
          <w:tcPr>
            <w:tcW w:w="1350" w:type="dxa"/>
            <w:tcBorders>
              <w:top w:val="single" w:sz="8" w:space="0" w:color="auto"/>
              <w:left w:val="single" w:sz="8" w:space="0" w:color="auto"/>
              <w:bottom w:val="single" w:sz="8" w:space="0" w:color="auto"/>
              <w:right w:val="single" w:sz="8" w:space="0" w:color="auto"/>
            </w:tcBorders>
          </w:tcPr>
          <w:p w:rsidR="00F120B6" w:rsidRPr="00FA40CC" w:rsidRDefault="00F120B6" w:rsidP="003E4C14">
            <w:pPr>
              <w:rPr>
                <w:rFonts w:ascii="Times New Roman" w:hAnsi="Times New Roman"/>
                <w:szCs w:val="24"/>
              </w:rPr>
            </w:pPr>
            <w:r w:rsidRPr="00FA40CC">
              <w:rPr>
                <w:rFonts w:ascii="Times New Roman" w:hAnsi="Times New Roman"/>
                <w:szCs w:val="24"/>
              </w:rPr>
              <w:t>$296</w:t>
            </w:r>
          </w:p>
        </w:tc>
        <w:tc>
          <w:tcPr>
            <w:tcW w:w="1350" w:type="dxa"/>
            <w:tcBorders>
              <w:top w:val="single" w:sz="8" w:space="0" w:color="auto"/>
              <w:left w:val="single" w:sz="8" w:space="0" w:color="auto"/>
              <w:bottom w:val="single" w:sz="8" w:space="0" w:color="auto"/>
              <w:right w:val="single" w:sz="8" w:space="0" w:color="auto"/>
            </w:tcBorders>
          </w:tcPr>
          <w:p w:rsidR="00F120B6" w:rsidRPr="00FA40CC" w:rsidRDefault="00F120B6" w:rsidP="003E4C14">
            <w:pPr>
              <w:rPr>
                <w:rFonts w:ascii="Times New Roman" w:hAnsi="Times New Roman"/>
                <w:szCs w:val="24"/>
              </w:rPr>
            </w:pPr>
            <w:r w:rsidRPr="00FA40CC">
              <w:rPr>
                <w:rFonts w:ascii="Times New Roman" w:hAnsi="Times New Roman"/>
                <w:szCs w:val="24"/>
              </w:rPr>
              <w:t>$296</w:t>
            </w:r>
          </w:p>
        </w:tc>
      </w:tr>
      <w:tr w:rsidR="00F120B6" w:rsidRPr="00FA40CC" w:rsidTr="00F506F8">
        <w:trPr>
          <w:trHeight w:val="552"/>
        </w:trPr>
        <w:tc>
          <w:tcPr>
            <w:tcW w:w="5235" w:type="dxa"/>
            <w:tcBorders>
              <w:top w:val="single" w:sz="8" w:space="0" w:color="auto"/>
              <w:left w:val="single" w:sz="8" w:space="0" w:color="auto"/>
              <w:bottom w:val="single" w:sz="8" w:space="0" w:color="auto"/>
              <w:right w:val="nil"/>
            </w:tcBorders>
          </w:tcPr>
          <w:p w:rsidR="00F120B6" w:rsidRPr="00FA40CC" w:rsidRDefault="00F120B6" w:rsidP="003E4C14">
            <w:pPr>
              <w:rPr>
                <w:rFonts w:ascii="Times New Roman" w:hAnsi="Times New Roman"/>
                <w:i/>
                <w:iCs/>
                <w:szCs w:val="24"/>
              </w:rPr>
            </w:pPr>
            <w:r w:rsidRPr="00FA40CC">
              <w:rPr>
                <w:rFonts w:ascii="Times New Roman" w:hAnsi="Times New Roman"/>
                <w:i/>
                <w:iCs/>
                <w:szCs w:val="24"/>
              </w:rPr>
              <w:t xml:space="preserve">Estimated costs to all respondents </w:t>
            </w:r>
          </w:p>
          <w:p w:rsidR="00F120B6" w:rsidRPr="00FA40CC" w:rsidRDefault="00F120B6" w:rsidP="00F120B6">
            <w:pPr>
              <w:rPr>
                <w:rFonts w:ascii="Times New Roman" w:hAnsi="Times New Roman"/>
                <w:szCs w:val="24"/>
              </w:rPr>
            </w:pPr>
            <w:r w:rsidRPr="00FA40CC">
              <w:rPr>
                <w:rFonts w:ascii="Times New Roman" w:hAnsi="Times New Roman"/>
                <w:i/>
                <w:iCs/>
                <w:szCs w:val="24"/>
              </w:rPr>
              <w:t>(# total respondents x $296)</w:t>
            </w:r>
          </w:p>
        </w:tc>
        <w:tc>
          <w:tcPr>
            <w:tcW w:w="1350" w:type="dxa"/>
            <w:tcBorders>
              <w:top w:val="single" w:sz="8" w:space="0" w:color="auto"/>
              <w:left w:val="single" w:sz="8" w:space="0" w:color="auto"/>
              <w:bottom w:val="single" w:sz="8" w:space="0" w:color="auto"/>
              <w:right w:val="single" w:sz="8" w:space="0" w:color="auto"/>
            </w:tcBorders>
          </w:tcPr>
          <w:p w:rsidR="00F120B6" w:rsidRPr="00FA40CC" w:rsidRDefault="00F120B6" w:rsidP="00F120B6">
            <w:pPr>
              <w:rPr>
                <w:rFonts w:ascii="Times New Roman" w:hAnsi="Times New Roman"/>
                <w:szCs w:val="24"/>
              </w:rPr>
            </w:pPr>
            <w:r w:rsidRPr="00FA40CC">
              <w:rPr>
                <w:rFonts w:ascii="Times New Roman" w:hAnsi="Times New Roman"/>
                <w:szCs w:val="24"/>
              </w:rPr>
              <w:t>$47,064</w:t>
            </w:r>
          </w:p>
        </w:tc>
        <w:tc>
          <w:tcPr>
            <w:tcW w:w="1350" w:type="dxa"/>
            <w:tcBorders>
              <w:top w:val="single" w:sz="8" w:space="0" w:color="auto"/>
              <w:left w:val="single" w:sz="8" w:space="0" w:color="auto"/>
              <w:bottom w:val="single" w:sz="8" w:space="0" w:color="auto"/>
              <w:right w:val="single" w:sz="8" w:space="0" w:color="auto"/>
            </w:tcBorders>
          </w:tcPr>
          <w:p w:rsidR="00F120B6" w:rsidRPr="00FA40CC" w:rsidRDefault="00F120B6" w:rsidP="00F120B6">
            <w:pPr>
              <w:rPr>
                <w:rFonts w:ascii="Times New Roman" w:hAnsi="Times New Roman"/>
                <w:szCs w:val="24"/>
              </w:rPr>
            </w:pPr>
            <w:r w:rsidRPr="00FA40CC">
              <w:rPr>
                <w:rFonts w:ascii="Times New Roman" w:hAnsi="Times New Roman"/>
                <w:szCs w:val="24"/>
              </w:rPr>
              <w:t>$19,536</w:t>
            </w:r>
          </w:p>
        </w:tc>
      </w:tr>
      <w:tr w:rsidR="00F120B6" w:rsidRPr="00FA40CC" w:rsidTr="00F506F8">
        <w:trPr>
          <w:trHeight w:val="313"/>
        </w:trPr>
        <w:tc>
          <w:tcPr>
            <w:tcW w:w="5235" w:type="dxa"/>
            <w:tcBorders>
              <w:top w:val="single" w:sz="8" w:space="0" w:color="auto"/>
              <w:left w:val="single" w:sz="8" w:space="0" w:color="auto"/>
              <w:bottom w:val="single" w:sz="8" w:space="0" w:color="auto"/>
              <w:right w:val="nil"/>
            </w:tcBorders>
          </w:tcPr>
          <w:p w:rsidR="00F120B6" w:rsidRPr="00FA40CC" w:rsidRDefault="00F120B6" w:rsidP="00F120B6">
            <w:pPr>
              <w:rPr>
                <w:rFonts w:ascii="Times New Roman" w:hAnsi="Times New Roman"/>
                <w:i/>
                <w:iCs/>
                <w:szCs w:val="24"/>
              </w:rPr>
            </w:pPr>
            <w:r w:rsidRPr="00FA40CC">
              <w:rPr>
                <w:rFonts w:ascii="Times New Roman" w:hAnsi="Times New Roman"/>
                <w:i/>
                <w:iCs/>
                <w:szCs w:val="24"/>
              </w:rPr>
              <w:t>Total estimated costs to all respondents</w:t>
            </w:r>
          </w:p>
        </w:tc>
        <w:tc>
          <w:tcPr>
            <w:tcW w:w="2700" w:type="dxa"/>
            <w:gridSpan w:val="2"/>
            <w:tcBorders>
              <w:top w:val="single" w:sz="8" w:space="0" w:color="auto"/>
              <w:left w:val="single" w:sz="8" w:space="0" w:color="auto"/>
              <w:bottom w:val="single" w:sz="8" w:space="0" w:color="auto"/>
              <w:right w:val="single" w:sz="8" w:space="0" w:color="auto"/>
            </w:tcBorders>
          </w:tcPr>
          <w:p w:rsidR="00F120B6" w:rsidRPr="00FA40CC" w:rsidRDefault="00F120B6" w:rsidP="00F120B6">
            <w:pPr>
              <w:jc w:val="center"/>
              <w:rPr>
                <w:rFonts w:ascii="Times New Roman" w:hAnsi="Times New Roman"/>
                <w:szCs w:val="24"/>
              </w:rPr>
            </w:pPr>
            <w:r w:rsidRPr="00FA40CC">
              <w:rPr>
                <w:rFonts w:ascii="Times New Roman" w:hAnsi="Times New Roman"/>
                <w:szCs w:val="24"/>
              </w:rPr>
              <w:t>$66,600</w:t>
            </w:r>
          </w:p>
        </w:tc>
      </w:tr>
    </w:tbl>
    <w:p w:rsidR="00BC1C70" w:rsidRPr="00FA40CC" w:rsidRDefault="00BC1C70" w:rsidP="00BC1C70">
      <w:pPr>
        <w:ind w:left="1440"/>
        <w:rPr>
          <w:rFonts w:ascii="Times New Roman" w:hAnsi="Times New Roman"/>
          <w:szCs w:val="24"/>
        </w:rPr>
      </w:pPr>
    </w:p>
    <w:p w:rsidR="00386054" w:rsidRPr="00FA40CC" w:rsidRDefault="00386054">
      <w:pPr>
        <w:tabs>
          <w:tab w:val="left" w:pos="-720"/>
        </w:tabs>
        <w:suppressAutoHyphens/>
        <w:rPr>
          <w:rFonts w:ascii="Times New Roman" w:hAnsi="Times New Roman"/>
          <w:szCs w:val="24"/>
        </w:rPr>
      </w:pPr>
    </w:p>
    <w:p w:rsidR="00386054" w:rsidRPr="00FA40CC" w:rsidRDefault="00386054">
      <w:pPr>
        <w:tabs>
          <w:tab w:val="left" w:pos="-720"/>
        </w:tabs>
        <w:suppressAutoHyphens/>
        <w:rPr>
          <w:rFonts w:ascii="Times New Roman" w:hAnsi="Times New Roman"/>
          <w:szCs w:val="24"/>
        </w:rPr>
      </w:pPr>
      <w:r w:rsidRPr="00FA40CC">
        <w:rPr>
          <w:rFonts w:ascii="Times New Roman" w:hAnsi="Times New Roman"/>
          <w:szCs w:val="24"/>
        </w:rPr>
        <w:t xml:space="preserve">13.  </w:t>
      </w:r>
      <w:r w:rsidRPr="00FA40CC">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FA40CC" w:rsidRDefault="00386054">
      <w:pPr>
        <w:tabs>
          <w:tab w:val="left" w:pos="-720"/>
        </w:tabs>
        <w:suppressAutoHyphens/>
        <w:rPr>
          <w:rFonts w:ascii="Times New Roman" w:hAnsi="Times New Roman"/>
          <w:szCs w:val="24"/>
        </w:rPr>
      </w:pPr>
    </w:p>
    <w:p w:rsidR="00386054" w:rsidRPr="00FA40CC" w:rsidRDefault="00386054" w:rsidP="003C29C2">
      <w:pPr>
        <w:numPr>
          <w:ilvl w:val="0"/>
          <w:numId w:val="5"/>
        </w:numPr>
        <w:tabs>
          <w:tab w:val="left" w:pos="-720"/>
          <w:tab w:val="left" w:pos="1247"/>
        </w:tabs>
        <w:suppressAutoHyphens/>
        <w:rPr>
          <w:rFonts w:ascii="Times New Roman" w:hAnsi="Times New Roman"/>
          <w:szCs w:val="24"/>
        </w:rPr>
      </w:pPr>
      <w:r w:rsidRPr="00FA40CC">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FA40CC" w:rsidRDefault="00386054">
      <w:pPr>
        <w:numPr>
          <w:ilvl w:val="12"/>
          <w:numId w:val="0"/>
        </w:numPr>
        <w:tabs>
          <w:tab w:val="left" w:pos="-720"/>
        </w:tabs>
        <w:suppressAutoHyphens/>
        <w:ind w:left="340"/>
        <w:rPr>
          <w:rFonts w:ascii="Times New Roman" w:hAnsi="Times New Roman"/>
          <w:szCs w:val="24"/>
        </w:rPr>
      </w:pPr>
    </w:p>
    <w:p w:rsidR="00386054" w:rsidRPr="00FA40CC" w:rsidRDefault="00386054" w:rsidP="003C29C2">
      <w:pPr>
        <w:numPr>
          <w:ilvl w:val="0"/>
          <w:numId w:val="5"/>
        </w:numPr>
        <w:tabs>
          <w:tab w:val="left" w:pos="-720"/>
          <w:tab w:val="left" w:pos="1247"/>
        </w:tabs>
        <w:suppressAutoHyphens/>
        <w:rPr>
          <w:rFonts w:ascii="Times New Roman" w:hAnsi="Times New Roman"/>
          <w:szCs w:val="24"/>
        </w:rPr>
      </w:pPr>
      <w:r w:rsidRPr="00FA40CC">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FA40CC" w:rsidRDefault="00386054" w:rsidP="003C29C2">
      <w:pPr>
        <w:tabs>
          <w:tab w:val="left" w:pos="-720"/>
          <w:tab w:val="left" w:pos="1247"/>
        </w:tabs>
        <w:suppressAutoHyphens/>
        <w:ind w:left="340"/>
        <w:rPr>
          <w:rFonts w:ascii="Times New Roman" w:hAnsi="Times New Roman"/>
          <w:szCs w:val="24"/>
        </w:rPr>
      </w:pPr>
    </w:p>
    <w:p w:rsidR="00386054" w:rsidRPr="00FA40CC" w:rsidRDefault="00386054" w:rsidP="003C29C2">
      <w:pPr>
        <w:numPr>
          <w:ilvl w:val="0"/>
          <w:numId w:val="5"/>
        </w:numPr>
        <w:tabs>
          <w:tab w:val="left" w:pos="-720"/>
          <w:tab w:val="left" w:pos="1247"/>
        </w:tabs>
        <w:suppressAutoHyphens/>
        <w:rPr>
          <w:rFonts w:ascii="Times New Roman" w:hAnsi="Times New Roman"/>
          <w:szCs w:val="24"/>
        </w:rPr>
      </w:pPr>
      <w:r w:rsidRPr="00FA40CC">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FA40CC">
        <w:rPr>
          <w:rFonts w:ascii="Times New Roman" w:hAnsi="Times New Roman"/>
          <w:szCs w:val="24"/>
        </w:rPr>
        <w:t>government</w:t>
      </w:r>
      <w:r w:rsidRPr="00FA40CC">
        <w:rPr>
          <w:rFonts w:ascii="Times New Roman" w:hAnsi="Times New Roman"/>
          <w:szCs w:val="24"/>
        </w:rPr>
        <w:t xml:space="preserve"> or (4) as part of customary and usual business or private practices.</w:t>
      </w:r>
      <w:r w:rsidR="001743A5" w:rsidRPr="00FA40CC">
        <w:rPr>
          <w:rFonts w:ascii="Times New Roman" w:hAnsi="Times New Roman"/>
          <w:szCs w:val="24"/>
        </w:rPr>
        <w:t xml:space="preserve"> Also, these estimates should not include the hourly costs (i.e., the monetization of the hours) captured above in Item 12</w:t>
      </w:r>
    </w:p>
    <w:p w:rsidR="00386054" w:rsidRPr="00FA40CC" w:rsidRDefault="00386054">
      <w:pPr>
        <w:tabs>
          <w:tab w:val="left" w:pos="-720"/>
        </w:tabs>
        <w:suppressAutoHyphens/>
        <w:rPr>
          <w:rFonts w:ascii="Times New Roman" w:hAnsi="Times New Roman"/>
          <w:szCs w:val="24"/>
        </w:rPr>
      </w:pPr>
    </w:p>
    <w:p w:rsidR="00386054" w:rsidRPr="00FA40CC" w:rsidRDefault="00386054">
      <w:pPr>
        <w:tabs>
          <w:tab w:val="left" w:pos="-720"/>
        </w:tabs>
        <w:suppressAutoHyphens/>
        <w:rPr>
          <w:rFonts w:ascii="Times New Roman" w:hAnsi="Times New Roman"/>
          <w:szCs w:val="24"/>
        </w:rPr>
      </w:pPr>
      <w:r w:rsidRPr="00FA40CC">
        <w:rPr>
          <w:rFonts w:ascii="Times New Roman" w:hAnsi="Times New Roman"/>
          <w:szCs w:val="24"/>
        </w:rPr>
        <w:tab/>
        <w:t>Total Annualized Capital/Startup Cost</w:t>
      </w:r>
      <w:r w:rsidRPr="00FA40CC">
        <w:rPr>
          <w:rFonts w:ascii="Times New Roman" w:hAnsi="Times New Roman"/>
          <w:szCs w:val="24"/>
        </w:rPr>
        <w:tab/>
        <w:t xml:space="preserve">: </w:t>
      </w:r>
      <w:bookmarkStart w:id="2" w:name="Startup"/>
      <w:r w:rsidR="007E77FA" w:rsidRPr="00FA40CC">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FA40CC">
        <w:rPr>
          <w:rFonts w:ascii="Times New Roman" w:hAnsi="Times New Roman"/>
          <w:szCs w:val="24"/>
        </w:rPr>
        <w:instrText xml:space="preserve"> FORMTEXT </w:instrText>
      </w:r>
      <w:r w:rsidR="007E77FA" w:rsidRPr="00FA40CC">
        <w:rPr>
          <w:rFonts w:ascii="Times New Roman" w:hAnsi="Times New Roman"/>
          <w:szCs w:val="24"/>
        </w:rPr>
      </w:r>
      <w:r w:rsidR="007E77FA" w:rsidRPr="00FA40CC">
        <w:rPr>
          <w:rFonts w:ascii="Times New Roman" w:hAnsi="Times New Roman"/>
          <w:szCs w:val="24"/>
        </w:rPr>
        <w:fldChar w:fldCharType="separate"/>
      </w:r>
      <w:r w:rsidRPr="00FA40CC">
        <w:rPr>
          <w:rFonts w:ascii="Times New Roman" w:hAnsi="Times New Roman"/>
          <w:noProof/>
          <w:szCs w:val="24"/>
        </w:rPr>
        <w:t> </w:t>
      </w:r>
      <w:r w:rsidRPr="00FA40CC">
        <w:rPr>
          <w:rFonts w:ascii="Times New Roman" w:hAnsi="Times New Roman"/>
          <w:noProof/>
          <w:szCs w:val="24"/>
        </w:rPr>
        <w:t> </w:t>
      </w:r>
      <w:r w:rsidRPr="00FA40CC">
        <w:rPr>
          <w:rFonts w:ascii="Times New Roman" w:hAnsi="Times New Roman"/>
          <w:noProof/>
          <w:szCs w:val="24"/>
        </w:rPr>
        <w:t> </w:t>
      </w:r>
      <w:r w:rsidRPr="00FA40CC">
        <w:rPr>
          <w:rFonts w:ascii="Times New Roman" w:hAnsi="Times New Roman"/>
          <w:noProof/>
          <w:szCs w:val="24"/>
        </w:rPr>
        <w:t> </w:t>
      </w:r>
      <w:r w:rsidRPr="00FA40CC">
        <w:rPr>
          <w:rFonts w:ascii="Times New Roman" w:hAnsi="Times New Roman"/>
          <w:noProof/>
          <w:szCs w:val="24"/>
        </w:rPr>
        <w:t> </w:t>
      </w:r>
      <w:r w:rsidR="007E77FA" w:rsidRPr="00FA40CC">
        <w:rPr>
          <w:rFonts w:ascii="Times New Roman" w:hAnsi="Times New Roman"/>
          <w:szCs w:val="24"/>
        </w:rPr>
        <w:fldChar w:fldCharType="end"/>
      </w:r>
      <w:bookmarkEnd w:id="2"/>
    </w:p>
    <w:p w:rsidR="00386054" w:rsidRPr="00FA40CC" w:rsidRDefault="00386054">
      <w:pPr>
        <w:tabs>
          <w:tab w:val="left" w:pos="-720"/>
        </w:tabs>
        <w:suppressAutoHyphens/>
        <w:rPr>
          <w:rFonts w:ascii="Times New Roman" w:hAnsi="Times New Roman"/>
          <w:szCs w:val="24"/>
        </w:rPr>
      </w:pPr>
      <w:r w:rsidRPr="00FA40CC">
        <w:rPr>
          <w:rFonts w:ascii="Times New Roman" w:hAnsi="Times New Roman"/>
          <w:szCs w:val="24"/>
        </w:rPr>
        <w:tab/>
        <w:t>Total Annual Costs (O&amp;M)</w:t>
      </w:r>
      <w:r w:rsidRPr="00FA40CC">
        <w:rPr>
          <w:rFonts w:ascii="Times New Roman" w:hAnsi="Times New Roman"/>
          <w:szCs w:val="24"/>
        </w:rPr>
        <w:tab/>
      </w:r>
      <w:r w:rsidRPr="00FA40CC">
        <w:rPr>
          <w:rFonts w:ascii="Times New Roman" w:hAnsi="Times New Roman"/>
          <w:szCs w:val="24"/>
        </w:rPr>
        <w:tab/>
        <w:t xml:space="preserve">: </w:t>
      </w:r>
      <w:bookmarkStart w:id="3" w:name="OM"/>
      <w:r w:rsidR="007E77FA" w:rsidRPr="00FA40CC">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FA40CC">
        <w:rPr>
          <w:rFonts w:ascii="Times New Roman" w:hAnsi="Times New Roman"/>
          <w:szCs w:val="24"/>
        </w:rPr>
        <w:instrText xml:space="preserve"> FORMTEXT </w:instrText>
      </w:r>
      <w:r w:rsidR="007E77FA" w:rsidRPr="00FA40CC">
        <w:rPr>
          <w:rFonts w:ascii="Times New Roman" w:hAnsi="Times New Roman"/>
          <w:szCs w:val="24"/>
        </w:rPr>
      </w:r>
      <w:r w:rsidR="007E77FA" w:rsidRPr="00FA40CC">
        <w:rPr>
          <w:rFonts w:ascii="Times New Roman" w:hAnsi="Times New Roman"/>
          <w:szCs w:val="24"/>
        </w:rPr>
        <w:fldChar w:fldCharType="separate"/>
      </w:r>
      <w:r w:rsidRPr="00FA40CC">
        <w:rPr>
          <w:rFonts w:ascii="Times New Roman" w:hAnsi="Times New Roman"/>
          <w:noProof/>
          <w:szCs w:val="24"/>
        </w:rPr>
        <w:t> </w:t>
      </w:r>
      <w:r w:rsidRPr="00FA40CC">
        <w:rPr>
          <w:rFonts w:ascii="Times New Roman" w:hAnsi="Times New Roman"/>
          <w:noProof/>
          <w:szCs w:val="24"/>
        </w:rPr>
        <w:t> </w:t>
      </w:r>
      <w:r w:rsidRPr="00FA40CC">
        <w:rPr>
          <w:rFonts w:ascii="Times New Roman" w:hAnsi="Times New Roman"/>
          <w:noProof/>
          <w:szCs w:val="24"/>
        </w:rPr>
        <w:t> </w:t>
      </w:r>
      <w:r w:rsidRPr="00FA40CC">
        <w:rPr>
          <w:rFonts w:ascii="Times New Roman" w:hAnsi="Times New Roman"/>
          <w:noProof/>
          <w:szCs w:val="24"/>
        </w:rPr>
        <w:t> </w:t>
      </w:r>
      <w:r w:rsidRPr="00FA40CC">
        <w:rPr>
          <w:rFonts w:ascii="Times New Roman" w:hAnsi="Times New Roman"/>
          <w:noProof/>
          <w:szCs w:val="24"/>
        </w:rPr>
        <w:t> </w:t>
      </w:r>
      <w:r w:rsidR="007E77FA" w:rsidRPr="00FA40CC">
        <w:rPr>
          <w:rFonts w:ascii="Times New Roman" w:hAnsi="Times New Roman"/>
          <w:szCs w:val="24"/>
        </w:rPr>
        <w:fldChar w:fldCharType="end"/>
      </w:r>
      <w:bookmarkEnd w:id="3"/>
    </w:p>
    <w:p w:rsidR="00386054" w:rsidRPr="00FA40CC" w:rsidRDefault="00386054">
      <w:pPr>
        <w:tabs>
          <w:tab w:val="left" w:pos="-720"/>
        </w:tabs>
        <w:suppressAutoHyphens/>
        <w:rPr>
          <w:rFonts w:ascii="Times New Roman" w:hAnsi="Times New Roman"/>
          <w:szCs w:val="24"/>
        </w:rPr>
      </w:pPr>
      <w:r w:rsidRPr="00FA40CC">
        <w:rPr>
          <w:rFonts w:ascii="Times New Roman" w:hAnsi="Times New Roman"/>
          <w:szCs w:val="24"/>
        </w:rPr>
        <w:lastRenderedPageBreak/>
        <w:tab/>
      </w:r>
      <w:r w:rsidRPr="00FA40CC">
        <w:rPr>
          <w:rFonts w:ascii="Times New Roman" w:hAnsi="Times New Roman"/>
          <w:szCs w:val="24"/>
        </w:rPr>
        <w:tab/>
      </w:r>
      <w:r w:rsidRPr="00FA40CC">
        <w:rPr>
          <w:rFonts w:ascii="Times New Roman" w:hAnsi="Times New Roman"/>
          <w:szCs w:val="24"/>
        </w:rPr>
        <w:tab/>
      </w:r>
      <w:r w:rsidRPr="00FA40CC">
        <w:rPr>
          <w:rFonts w:ascii="Times New Roman" w:hAnsi="Times New Roman"/>
          <w:szCs w:val="24"/>
        </w:rPr>
        <w:tab/>
      </w:r>
      <w:r w:rsidRPr="00FA40CC">
        <w:rPr>
          <w:rFonts w:ascii="Times New Roman" w:hAnsi="Times New Roman"/>
          <w:szCs w:val="24"/>
        </w:rPr>
        <w:tab/>
      </w:r>
      <w:r w:rsidRPr="00FA40CC">
        <w:rPr>
          <w:rFonts w:ascii="Times New Roman" w:hAnsi="Times New Roman"/>
          <w:szCs w:val="24"/>
        </w:rPr>
        <w:tab/>
      </w:r>
      <w:r w:rsidRPr="00FA40CC">
        <w:rPr>
          <w:rFonts w:ascii="Times New Roman" w:hAnsi="Times New Roman"/>
          <w:szCs w:val="24"/>
        </w:rPr>
        <w:tab/>
        <w:t xml:space="preserve"> ____________________</w:t>
      </w:r>
    </w:p>
    <w:p w:rsidR="00386054" w:rsidRPr="00FA40CC" w:rsidRDefault="00386054">
      <w:pPr>
        <w:tabs>
          <w:tab w:val="left" w:pos="-720"/>
        </w:tabs>
        <w:suppressAutoHyphens/>
        <w:rPr>
          <w:rFonts w:ascii="Times New Roman" w:hAnsi="Times New Roman"/>
          <w:szCs w:val="24"/>
        </w:rPr>
      </w:pPr>
      <w:r w:rsidRPr="00FA40CC">
        <w:rPr>
          <w:rFonts w:ascii="Times New Roman" w:hAnsi="Times New Roman"/>
          <w:szCs w:val="24"/>
        </w:rPr>
        <w:tab/>
        <w:t>Total Annualized Costs Requested</w:t>
      </w:r>
      <w:r w:rsidRPr="00FA40CC">
        <w:rPr>
          <w:rFonts w:ascii="Times New Roman" w:hAnsi="Times New Roman"/>
          <w:szCs w:val="24"/>
        </w:rPr>
        <w:tab/>
        <w:t xml:space="preserve">: </w:t>
      </w:r>
      <w:bookmarkStart w:id="4" w:name="Total_Cost"/>
      <w:r w:rsidR="007E77FA" w:rsidRPr="00FA40CC">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FA40CC">
        <w:rPr>
          <w:rFonts w:ascii="Times New Roman" w:hAnsi="Times New Roman"/>
          <w:szCs w:val="24"/>
        </w:rPr>
        <w:instrText xml:space="preserve"> FORMTEXT </w:instrText>
      </w:r>
      <w:r w:rsidR="007E77FA" w:rsidRPr="00FA40CC">
        <w:rPr>
          <w:rFonts w:ascii="Times New Roman" w:hAnsi="Times New Roman"/>
          <w:szCs w:val="24"/>
        </w:rPr>
      </w:r>
      <w:r w:rsidR="007E77FA" w:rsidRPr="00FA40CC">
        <w:rPr>
          <w:rFonts w:ascii="Times New Roman" w:hAnsi="Times New Roman"/>
          <w:szCs w:val="24"/>
        </w:rPr>
        <w:fldChar w:fldCharType="separate"/>
      </w:r>
      <w:r w:rsidRPr="00FA40CC">
        <w:rPr>
          <w:rFonts w:ascii="Times New Roman" w:hAnsi="Times New Roman"/>
          <w:noProof/>
          <w:szCs w:val="24"/>
        </w:rPr>
        <w:t> </w:t>
      </w:r>
      <w:r w:rsidRPr="00FA40CC">
        <w:rPr>
          <w:rFonts w:ascii="Times New Roman" w:hAnsi="Times New Roman"/>
          <w:noProof/>
          <w:szCs w:val="24"/>
        </w:rPr>
        <w:t> </w:t>
      </w:r>
      <w:r w:rsidRPr="00FA40CC">
        <w:rPr>
          <w:rFonts w:ascii="Times New Roman" w:hAnsi="Times New Roman"/>
          <w:noProof/>
          <w:szCs w:val="24"/>
        </w:rPr>
        <w:t> </w:t>
      </w:r>
      <w:r w:rsidRPr="00FA40CC">
        <w:rPr>
          <w:rFonts w:ascii="Times New Roman" w:hAnsi="Times New Roman"/>
          <w:noProof/>
          <w:szCs w:val="24"/>
        </w:rPr>
        <w:t> </w:t>
      </w:r>
      <w:r w:rsidRPr="00FA40CC">
        <w:rPr>
          <w:rFonts w:ascii="Times New Roman" w:hAnsi="Times New Roman"/>
          <w:noProof/>
          <w:szCs w:val="24"/>
        </w:rPr>
        <w:t> </w:t>
      </w:r>
      <w:r w:rsidR="007E77FA" w:rsidRPr="00FA40CC">
        <w:rPr>
          <w:rFonts w:ascii="Times New Roman" w:hAnsi="Times New Roman"/>
          <w:szCs w:val="24"/>
        </w:rPr>
        <w:fldChar w:fldCharType="end"/>
      </w:r>
      <w:bookmarkEnd w:id="4"/>
    </w:p>
    <w:p w:rsidR="00BC1C70" w:rsidRPr="00FA40CC" w:rsidRDefault="00BC1C70" w:rsidP="00BC1C70">
      <w:pPr>
        <w:pStyle w:val="BodyTextIndent"/>
        <w:widowControl/>
        <w:overflowPunct/>
        <w:adjustRightInd/>
        <w:spacing w:after="0"/>
        <w:rPr>
          <w:sz w:val="24"/>
          <w:szCs w:val="24"/>
        </w:rPr>
      </w:pPr>
    </w:p>
    <w:p w:rsidR="00BC1C70" w:rsidRPr="00FA40CC" w:rsidRDefault="00BC1C70" w:rsidP="00BC1C70">
      <w:pPr>
        <w:pStyle w:val="BodyTextIndent"/>
        <w:widowControl/>
        <w:overflowPunct/>
        <w:adjustRightInd/>
        <w:spacing w:after="0"/>
        <w:rPr>
          <w:sz w:val="24"/>
          <w:szCs w:val="24"/>
        </w:rPr>
      </w:pPr>
      <w:r w:rsidRPr="00FA40CC">
        <w:rPr>
          <w:sz w:val="24"/>
          <w:szCs w:val="24"/>
        </w:rPr>
        <w:t>There are no other costs to the respondent except those that would be customary and usual business practices.</w:t>
      </w:r>
    </w:p>
    <w:p w:rsidR="00386054" w:rsidRPr="00FA40CC" w:rsidRDefault="00386054">
      <w:pPr>
        <w:tabs>
          <w:tab w:val="left" w:pos="-720"/>
        </w:tabs>
        <w:suppressAutoHyphens/>
        <w:rPr>
          <w:rFonts w:ascii="Times New Roman" w:hAnsi="Times New Roman"/>
          <w:szCs w:val="24"/>
        </w:rPr>
      </w:pPr>
    </w:p>
    <w:p w:rsidR="00386054" w:rsidRPr="00FA40CC" w:rsidRDefault="00386054">
      <w:pPr>
        <w:tabs>
          <w:tab w:val="left" w:pos="-720"/>
        </w:tabs>
        <w:suppressAutoHyphens/>
        <w:rPr>
          <w:rFonts w:ascii="Times New Roman" w:hAnsi="Times New Roman"/>
          <w:szCs w:val="24"/>
        </w:rPr>
      </w:pPr>
      <w:r w:rsidRPr="00FA40CC">
        <w:rPr>
          <w:rFonts w:ascii="Times New Roman" w:hAnsi="Times New Roman"/>
          <w:szCs w:val="24"/>
        </w:rPr>
        <w:t xml:space="preserve">14. </w:t>
      </w:r>
      <w:r w:rsidRPr="00FA40CC">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6C187F" w:rsidRDefault="006C187F" w:rsidP="006C187F">
      <w:pPr>
        <w:tabs>
          <w:tab w:val="left" w:pos="-720"/>
        </w:tabs>
        <w:suppressAutoHyphens/>
        <w:rPr>
          <w:szCs w:val="24"/>
        </w:rPr>
      </w:pPr>
    </w:p>
    <w:p w:rsidR="00BC1C70" w:rsidRPr="00FA40CC" w:rsidRDefault="00BC1C70" w:rsidP="006C187F">
      <w:pPr>
        <w:tabs>
          <w:tab w:val="left" w:pos="-720"/>
        </w:tabs>
        <w:suppressAutoHyphens/>
        <w:jc w:val="center"/>
        <w:rPr>
          <w:rFonts w:ascii="Times New Roman" w:hAnsi="Times New Roman"/>
          <w:szCs w:val="24"/>
        </w:rPr>
      </w:pPr>
      <w:r w:rsidRPr="00FA40CC">
        <w:rPr>
          <w:rFonts w:ascii="Times New Roman" w:hAnsi="Times New Roman"/>
          <w:szCs w:val="24"/>
        </w:rPr>
        <w:t>Cost to Federal Government:</w:t>
      </w:r>
    </w:p>
    <w:tbl>
      <w:tblPr>
        <w:tblW w:w="0" w:type="auto"/>
        <w:tblInd w:w="540" w:type="dxa"/>
        <w:tblLayout w:type="fixed"/>
        <w:tblCellMar>
          <w:left w:w="180" w:type="dxa"/>
          <w:right w:w="180" w:type="dxa"/>
        </w:tblCellMar>
        <w:tblLook w:val="0000" w:firstRow="0" w:lastRow="0" w:firstColumn="0" w:lastColumn="0" w:noHBand="0" w:noVBand="0"/>
      </w:tblPr>
      <w:tblGrid>
        <w:gridCol w:w="7470"/>
        <w:gridCol w:w="1457"/>
      </w:tblGrid>
      <w:tr w:rsidR="00BC1C70" w:rsidRPr="00FA40CC" w:rsidTr="003E4C14">
        <w:trPr>
          <w:trHeight w:val="666"/>
        </w:trPr>
        <w:tc>
          <w:tcPr>
            <w:tcW w:w="7470" w:type="dxa"/>
            <w:tcBorders>
              <w:top w:val="single" w:sz="8" w:space="0" w:color="000000"/>
              <w:left w:val="single" w:sz="8" w:space="0" w:color="000000"/>
              <w:bottom w:val="single" w:sz="8" w:space="0" w:color="000000"/>
              <w:right w:val="nil"/>
            </w:tcBorders>
          </w:tcPr>
          <w:p w:rsidR="00BC1C70" w:rsidRPr="00FA40CC" w:rsidRDefault="00BC1C70" w:rsidP="003E4C14">
            <w:pPr>
              <w:rPr>
                <w:rFonts w:ascii="Times New Roman" w:hAnsi="Times New Roman"/>
                <w:szCs w:val="24"/>
              </w:rPr>
            </w:pPr>
            <w:r w:rsidRPr="00FA40CC">
              <w:rPr>
                <w:rFonts w:ascii="Times New Roman" w:hAnsi="Times New Roman"/>
                <w:szCs w:val="24"/>
              </w:rPr>
              <w:t>Securing OMB approval once every three years</w:t>
            </w:r>
          </w:p>
          <w:p w:rsidR="00BC1C70" w:rsidRPr="00FA40CC" w:rsidRDefault="00BC1C70" w:rsidP="003E4C14">
            <w:pPr>
              <w:rPr>
                <w:rFonts w:ascii="Times New Roman" w:hAnsi="Times New Roman"/>
                <w:szCs w:val="24"/>
              </w:rPr>
            </w:pPr>
            <w:r w:rsidRPr="00FA40CC">
              <w:rPr>
                <w:rFonts w:ascii="Times New Roman" w:hAnsi="Times New Roman"/>
                <w:szCs w:val="24"/>
              </w:rPr>
              <w:t>(Review 15 hrs. x $45/per hour = $675 x 50% overhead = $338)</w:t>
            </w:r>
          </w:p>
        </w:tc>
        <w:tc>
          <w:tcPr>
            <w:tcW w:w="1457" w:type="dxa"/>
            <w:tcBorders>
              <w:top w:val="single" w:sz="8" w:space="0" w:color="000000"/>
              <w:left w:val="single" w:sz="8" w:space="0" w:color="000000"/>
              <w:bottom w:val="single" w:sz="8" w:space="0" w:color="000000"/>
              <w:right w:val="single" w:sz="8" w:space="0" w:color="000000"/>
            </w:tcBorders>
          </w:tcPr>
          <w:p w:rsidR="00BC1C70" w:rsidRPr="00FA40CC" w:rsidRDefault="00BC1C70" w:rsidP="003E4C14">
            <w:pPr>
              <w:rPr>
                <w:rFonts w:ascii="Times New Roman" w:hAnsi="Times New Roman"/>
                <w:szCs w:val="24"/>
              </w:rPr>
            </w:pPr>
            <w:r w:rsidRPr="00FA40CC">
              <w:rPr>
                <w:rFonts w:ascii="Times New Roman" w:hAnsi="Times New Roman"/>
                <w:szCs w:val="24"/>
              </w:rPr>
              <w:t>$1,013</w:t>
            </w:r>
          </w:p>
        </w:tc>
      </w:tr>
      <w:tr w:rsidR="00BC1C70" w:rsidRPr="00FA40CC" w:rsidTr="003E4C14">
        <w:trPr>
          <w:trHeight w:val="666"/>
        </w:trPr>
        <w:tc>
          <w:tcPr>
            <w:tcW w:w="7470" w:type="dxa"/>
            <w:tcBorders>
              <w:top w:val="single" w:sz="8" w:space="0" w:color="000000"/>
              <w:left w:val="single" w:sz="8" w:space="0" w:color="000000"/>
              <w:bottom w:val="single" w:sz="8" w:space="0" w:color="000000"/>
              <w:right w:val="nil"/>
            </w:tcBorders>
          </w:tcPr>
          <w:p w:rsidR="00BC1C70" w:rsidRPr="00FA40CC" w:rsidRDefault="00BC1C70" w:rsidP="003E4C14">
            <w:pPr>
              <w:rPr>
                <w:rFonts w:ascii="Times New Roman" w:hAnsi="Times New Roman"/>
                <w:szCs w:val="24"/>
              </w:rPr>
            </w:pPr>
            <w:r w:rsidRPr="00FA40CC">
              <w:rPr>
                <w:rFonts w:ascii="Times New Roman" w:hAnsi="Times New Roman"/>
                <w:szCs w:val="24"/>
              </w:rPr>
              <w:t>Other Departmental staff to review and approve the request</w:t>
            </w:r>
          </w:p>
          <w:p w:rsidR="00BC1C70" w:rsidRPr="00FA40CC" w:rsidRDefault="00BC1C70" w:rsidP="003E4C14">
            <w:pPr>
              <w:rPr>
                <w:rFonts w:ascii="Times New Roman" w:hAnsi="Times New Roman"/>
                <w:szCs w:val="24"/>
              </w:rPr>
            </w:pPr>
            <w:r w:rsidRPr="00FA40CC">
              <w:rPr>
                <w:rFonts w:ascii="Times New Roman" w:hAnsi="Times New Roman"/>
                <w:szCs w:val="24"/>
              </w:rPr>
              <w:t>(Review 5 hrs. x $55/per hour = $275 x 50% overhead = $138</w:t>
            </w:r>
          </w:p>
        </w:tc>
        <w:tc>
          <w:tcPr>
            <w:tcW w:w="1457" w:type="dxa"/>
            <w:tcBorders>
              <w:top w:val="single" w:sz="8" w:space="0" w:color="000000"/>
              <w:left w:val="single" w:sz="8" w:space="0" w:color="000000"/>
              <w:bottom w:val="single" w:sz="8" w:space="0" w:color="000000"/>
              <w:right w:val="single" w:sz="8" w:space="0" w:color="000000"/>
            </w:tcBorders>
          </w:tcPr>
          <w:p w:rsidR="00BC1C70" w:rsidRPr="00FA40CC" w:rsidRDefault="00BC1C70" w:rsidP="003E4C14">
            <w:pPr>
              <w:rPr>
                <w:rFonts w:ascii="Times New Roman" w:hAnsi="Times New Roman"/>
                <w:szCs w:val="24"/>
              </w:rPr>
            </w:pPr>
            <w:r w:rsidRPr="00FA40CC">
              <w:rPr>
                <w:rFonts w:ascii="Times New Roman" w:hAnsi="Times New Roman"/>
                <w:szCs w:val="24"/>
              </w:rPr>
              <w:t>$413</w:t>
            </w:r>
          </w:p>
        </w:tc>
      </w:tr>
      <w:tr w:rsidR="00BC1C70" w:rsidRPr="00FA40CC" w:rsidTr="003E4C14">
        <w:trPr>
          <w:trHeight w:val="666"/>
        </w:trPr>
        <w:tc>
          <w:tcPr>
            <w:tcW w:w="7470" w:type="dxa"/>
            <w:tcBorders>
              <w:top w:val="single" w:sz="8" w:space="0" w:color="000000"/>
              <w:left w:val="single" w:sz="8" w:space="0" w:color="000000"/>
              <w:bottom w:val="single" w:sz="8" w:space="0" w:color="000000"/>
              <w:right w:val="nil"/>
            </w:tcBorders>
          </w:tcPr>
          <w:p w:rsidR="00BC1C70" w:rsidRPr="00FA40CC" w:rsidRDefault="00BC1C70" w:rsidP="003E4C14">
            <w:pPr>
              <w:rPr>
                <w:rFonts w:ascii="Times New Roman" w:hAnsi="Times New Roman"/>
                <w:szCs w:val="24"/>
              </w:rPr>
            </w:pPr>
            <w:r w:rsidRPr="00FA40CC">
              <w:rPr>
                <w:rFonts w:ascii="Times New Roman" w:hAnsi="Times New Roman"/>
                <w:szCs w:val="24"/>
              </w:rPr>
              <w:t>Estimated OMB review</w:t>
            </w:r>
          </w:p>
          <w:p w:rsidR="00BC1C70" w:rsidRPr="00FA40CC" w:rsidRDefault="00BC1C70" w:rsidP="003E4C14">
            <w:pPr>
              <w:rPr>
                <w:rFonts w:ascii="Times New Roman" w:hAnsi="Times New Roman"/>
                <w:szCs w:val="24"/>
              </w:rPr>
            </w:pPr>
            <w:r w:rsidRPr="00FA40CC">
              <w:rPr>
                <w:rFonts w:ascii="Times New Roman" w:hAnsi="Times New Roman"/>
                <w:szCs w:val="24"/>
              </w:rPr>
              <w:t>(Review 8 hrs. x $45/per hour = $360 x 50% overhead = $180)</w:t>
            </w:r>
          </w:p>
        </w:tc>
        <w:tc>
          <w:tcPr>
            <w:tcW w:w="1457" w:type="dxa"/>
            <w:tcBorders>
              <w:top w:val="single" w:sz="8" w:space="0" w:color="000000"/>
              <w:left w:val="single" w:sz="8" w:space="0" w:color="000000"/>
              <w:bottom w:val="single" w:sz="8" w:space="0" w:color="000000"/>
              <w:right w:val="single" w:sz="8" w:space="0" w:color="000000"/>
            </w:tcBorders>
          </w:tcPr>
          <w:p w:rsidR="00BC1C70" w:rsidRPr="00FA40CC" w:rsidRDefault="00BC1C70" w:rsidP="003E4C14">
            <w:pPr>
              <w:rPr>
                <w:rFonts w:ascii="Times New Roman" w:hAnsi="Times New Roman"/>
                <w:szCs w:val="24"/>
              </w:rPr>
            </w:pPr>
            <w:r w:rsidRPr="00FA40CC">
              <w:rPr>
                <w:rFonts w:ascii="Times New Roman" w:hAnsi="Times New Roman"/>
                <w:szCs w:val="24"/>
              </w:rPr>
              <w:t>$540</w:t>
            </w:r>
          </w:p>
        </w:tc>
      </w:tr>
      <w:tr w:rsidR="00BC1C70" w:rsidRPr="00FA40CC" w:rsidTr="003E4C14">
        <w:trPr>
          <w:trHeight w:val="383"/>
        </w:trPr>
        <w:tc>
          <w:tcPr>
            <w:tcW w:w="7470" w:type="dxa"/>
            <w:tcBorders>
              <w:top w:val="single" w:sz="8" w:space="0" w:color="000000"/>
              <w:left w:val="single" w:sz="8" w:space="0" w:color="000000"/>
              <w:bottom w:val="single" w:sz="8" w:space="0" w:color="000000"/>
              <w:right w:val="nil"/>
            </w:tcBorders>
          </w:tcPr>
          <w:p w:rsidR="00BC1C70" w:rsidRPr="00FA40CC" w:rsidRDefault="00BC1C70" w:rsidP="003E4C14">
            <w:pPr>
              <w:tabs>
                <w:tab w:val="left" w:pos="-720"/>
              </w:tabs>
              <w:suppressAutoHyphens/>
              <w:rPr>
                <w:rFonts w:ascii="Times New Roman" w:hAnsi="Times New Roman"/>
                <w:iCs/>
                <w:szCs w:val="24"/>
              </w:rPr>
            </w:pPr>
            <w:r w:rsidRPr="00FA40CC">
              <w:rPr>
                <w:rFonts w:ascii="Times New Roman" w:hAnsi="Times New Roman"/>
                <w:iCs/>
                <w:szCs w:val="24"/>
              </w:rPr>
              <w:t>Review of reports and analysis of data</w:t>
            </w:r>
          </w:p>
          <w:p w:rsidR="00BC1C70" w:rsidRPr="00FA40CC" w:rsidRDefault="00BC1C70" w:rsidP="003E4C14">
            <w:pPr>
              <w:tabs>
                <w:tab w:val="left" w:pos="-720"/>
              </w:tabs>
              <w:suppressAutoHyphens/>
              <w:rPr>
                <w:rFonts w:ascii="Times New Roman" w:hAnsi="Times New Roman"/>
                <w:szCs w:val="24"/>
              </w:rPr>
            </w:pPr>
            <w:r w:rsidRPr="00FA40CC">
              <w:rPr>
                <w:rFonts w:ascii="Times New Roman" w:hAnsi="Times New Roman"/>
                <w:iCs/>
                <w:szCs w:val="24"/>
              </w:rPr>
              <w:t>(Review 120 hrs. x $45/per hour = $5,400</w:t>
            </w:r>
          </w:p>
        </w:tc>
        <w:tc>
          <w:tcPr>
            <w:tcW w:w="1457" w:type="dxa"/>
            <w:tcBorders>
              <w:top w:val="single" w:sz="8" w:space="0" w:color="000000"/>
              <w:left w:val="single" w:sz="8" w:space="0" w:color="000000"/>
              <w:bottom w:val="single" w:sz="8" w:space="0" w:color="000000"/>
              <w:right w:val="single" w:sz="8" w:space="0" w:color="000000"/>
            </w:tcBorders>
          </w:tcPr>
          <w:p w:rsidR="00BC1C70" w:rsidRPr="00FA40CC" w:rsidRDefault="00BC1C70" w:rsidP="003E4C14">
            <w:pPr>
              <w:tabs>
                <w:tab w:val="left" w:pos="-720"/>
              </w:tabs>
              <w:suppressAutoHyphens/>
              <w:rPr>
                <w:rFonts w:ascii="Times New Roman" w:hAnsi="Times New Roman"/>
                <w:szCs w:val="24"/>
              </w:rPr>
            </w:pPr>
            <w:r w:rsidRPr="00FA40CC">
              <w:rPr>
                <w:rFonts w:ascii="Times New Roman" w:hAnsi="Times New Roman"/>
                <w:szCs w:val="24"/>
              </w:rPr>
              <w:t>$5,400</w:t>
            </w:r>
          </w:p>
        </w:tc>
      </w:tr>
      <w:tr w:rsidR="00BC1C70" w:rsidRPr="00FA40CC" w:rsidTr="003E4C14">
        <w:trPr>
          <w:trHeight w:val="383"/>
        </w:trPr>
        <w:tc>
          <w:tcPr>
            <w:tcW w:w="7470" w:type="dxa"/>
            <w:tcBorders>
              <w:top w:val="single" w:sz="8" w:space="0" w:color="000000"/>
              <w:left w:val="single" w:sz="8" w:space="0" w:color="000000"/>
              <w:bottom w:val="single" w:sz="8" w:space="0" w:color="000000"/>
              <w:right w:val="nil"/>
            </w:tcBorders>
          </w:tcPr>
          <w:p w:rsidR="00BC1C70" w:rsidRPr="00FA40CC" w:rsidRDefault="00BC1C70" w:rsidP="003E4C14">
            <w:pPr>
              <w:tabs>
                <w:tab w:val="left" w:pos="-720"/>
              </w:tabs>
              <w:suppressAutoHyphens/>
              <w:rPr>
                <w:rFonts w:ascii="Times New Roman" w:hAnsi="Times New Roman"/>
                <w:szCs w:val="24"/>
              </w:rPr>
            </w:pPr>
            <w:r w:rsidRPr="00FA40CC">
              <w:rPr>
                <w:rFonts w:ascii="Times New Roman" w:hAnsi="Times New Roman"/>
                <w:i/>
                <w:iCs/>
                <w:szCs w:val="24"/>
              </w:rPr>
              <w:t>Total estimate cost to government</w:t>
            </w:r>
            <w:r w:rsidR="005250D2">
              <w:rPr>
                <w:rFonts w:ascii="Times New Roman" w:hAnsi="Times New Roman"/>
                <w:i/>
                <w:iCs/>
                <w:szCs w:val="24"/>
              </w:rPr>
              <w:t xml:space="preserve"> every three years</w:t>
            </w:r>
          </w:p>
        </w:tc>
        <w:tc>
          <w:tcPr>
            <w:tcW w:w="1457" w:type="dxa"/>
            <w:tcBorders>
              <w:top w:val="single" w:sz="8" w:space="0" w:color="000000"/>
              <w:left w:val="single" w:sz="8" w:space="0" w:color="000000"/>
              <w:bottom w:val="single" w:sz="8" w:space="0" w:color="000000"/>
              <w:right w:val="single" w:sz="8" w:space="0" w:color="000000"/>
            </w:tcBorders>
          </w:tcPr>
          <w:p w:rsidR="00BC1C70" w:rsidRPr="00FA40CC" w:rsidRDefault="00BC1C70" w:rsidP="003E4C14">
            <w:pPr>
              <w:tabs>
                <w:tab w:val="left" w:pos="-720"/>
              </w:tabs>
              <w:suppressAutoHyphens/>
              <w:rPr>
                <w:rFonts w:ascii="Times New Roman" w:hAnsi="Times New Roman"/>
                <w:szCs w:val="24"/>
              </w:rPr>
            </w:pPr>
            <w:r w:rsidRPr="00FA40CC">
              <w:rPr>
                <w:rFonts w:ascii="Times New Roman" w:hAnsi="Times New Roman"/>
                <w:szCs w:val="24"/>
              </w:rPr>
              <w:t>$7,366</w:t>
            </w:r>
          </w:p>
        </w:tc>
      </w:tr>
    </w:tbl>
    <w:p w:rsidR="00386054" w:rsidRDefault="00386054">
      <w:pPr>
        <w:tabs>
          <w:tab w:val="left" w:pos="-720"/>
        </w:tabs>
        <w:suppressAutoHyphens/>
        <w:rPr>
          <w:rFonts w:ascii="Times New Roman" w:hAnsi="Times New Roman"/>
          <w:szCs w:val="24"/>
        </w:rPr>
      </w:pPr>
    </w:p>
    <w:p w:rsidR="007C7FCD" w:rsidRDefault="007C7FCD">
      <w:pPr>
        <w:tabs>
          <w:tab w:val="left" w:pos="-720"/>
        </w:tabs>
        <w:suppressAutoHyphens/>
        <w:rPr>
          <w:rFonts w:ascii="Times New Roman" w:hAnsi="Times New Roman"/>
          <w:szCs w:val="24"/>
        </w:rPr>
      </w:pPr>
      <w:r>
        <w:rPr>
          <w:rFonts w:ascii="Times New Roman" w:hAnsi="Times New Roman"/>
          <w:szCs w:val="24"/>
        </w:rPr>
        <w:t>Annual cost to the Federal Government is $2,455.</w:t>
      </w:r>
    </w:p>
    <w:p w:rsidR="007C7FCD" w:rsidRPr="00FA40CC" w:rsidRDefault="007C7FCD">
      <w:pPr>
        <w:tabs>
          <w:tab w:val="left" w:pos="-720"/>
        </w:tabs>
        <w:suppressAutoHyphens/>
        <w:rPr>
          <w:rFonts w:ascii="Times New Roman" w:hAnsi="Times New Roman"/>
          <w:szCs w:val="24"/>
        </w:rPr>
      </w:pPr>
    </w:p>
    <w:p w:rsidR="00386054" w:rsidRPr="00FA40CC" w:rsidRDefault="00386054">
      <w:pPr>
        <w:tabs>
          <w:tab w:val="left" w:pos="-720"/>
        </w:tabs>
        <w:suppressAutoHyphens/>
        <w:rPr>
          <w:rFonts w:ascii="Times New Roman" w:hAnsi="Times New Roman"/>
          <w:szCs w:val="24"/>
        </w:rPr>
      </w:pPr>
      <w:r w:rsidRPr="00FA40CC">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FA40CC">
        <w:rPr>
          <w:rFonts w:ascii="Times New Roman" w:hAnsi="Times New Roman"/>
          <w:szCs w:val="24"/>
        </w:rPr>
        <w:t xml:space="preserve">totals for </w:t>
      </w:r>
      <w:r w:rsidRPr="00FA40CC">
        <w:rPr>
          <w:rFonts w:ascii="Times New Roman" w:hAnsi="Times New Roman"/>
          <w:szCs w:val="24"/>
        </w:rPr>
        <w:t>changes in burden hours</w:t>
      </w:r>
      <w:r w:rsidR="002473CE" w:rsidRPr="00FA40CC">
        <w:rPr>
          <w:rFonts w:ascii="Times New Roman" w:hAnsi="Times New Roman"/>
          <w:szCs w:val="24"/>
        </w:rPr>
        <w:t>, responses</w:t>
      </w:r>
      <w:r w:rsidRPr="00FA40CC">
        <w:rPr>
          <w:rFonts w:ascii="Times New Roman" w:hAnsi="Times New Roman"/>
          <w:szCs w:val="24"/>
        </w:rPr>
        <w:t xml:space="preserve"> and cost</w:t>
      </w:r>
      <w:r w:rsidR="002473CE" w:rsidRPr="00FA40CC">
        <w:rPr>
          <w:rFonts w:ascii="Times New Roman" w:hAnsi="Times New Roman"/>
          <w:szCs w:val="24"/>
        </w:rPr>
        <w:t>s</w:t>
      </w:r>
      <w:r w:rsidRPr="00FA40CC">
        <w:rPr>
          <w:rFonts w:ascii="Times New Roman" w:hAnsi="Times New Roman"/>
          <w:szCs w:val="24"/>
        </w:rPr>
        <w:t xml:space="preserve"> </w:t>
      </w:r>
      <w:r w:rsidR="002473CE" w:rsidRPr="00FA40CC">
        <w:rPr>
          <w:rFonts w:ascii="Times New Roman" w:hAnsi="Times New Roman"/>
          <w:szCs w:val="24"/>
        </w:rPr>
        <w:t>(if applicable)</w:t>
      </w:r>
      <w:r w:rsidRPr="00FA40CC">
        <w:rPr>
          <w:rFonts w:ascii="Times New Roman" w:hAnsi="Times New Roman"/>
          <w:szCs w:val="24"/>
        </w:rPr>
        <w:t>.</w:t>
      </w:r>
    </w:p>
    <w:p w:rsidR="00BC1C70" w:rsidRDefault="00BC1C70" w:rsidP="00BC1C70">
      <w:pPr>
        <w:tabs>
          <w:tab w:val="left" w:pos="360"/>
        </w:tabs>
        <w:suppressAutoHyphens/>
        <w:ind w:left="360"/>
        <w:rPr>
          <w:rFonts w:ascii="Times New Roman" w:hAnsi="Times New Roman"/>
          <w:szCs w:val="24"/>
        </w:rPr>
      </w:pPr>
    </w:p>
    <w:p w:rsidR="00BC1C70" w:rsidRDefault="0016716A" w:rsidP="0020762E">
      <w:pPr>
        <w:pStyle w:val="PlainText"/>
        <w:rPr>
          <w:rFonts w:ascii="Times New Roman" w:hAnsi="Times New Roman"/>
          <w:szCs w:val="24"/>
        </w:rPr>
      </w:pPr>
      <w:r w:rsidRPr="0016716A">
        <w:rPr>
          <w:rFonts w:ascii="Times New Roman" w:hAnsi="Times New Roman" w:cs="Times New Roman"/>
          <w:sz w:val="24"/>
          <w:szCs w:val="24"/>
        </w:rPr>
        <w:t xml:space="preserve">The GEAR UP APR has a reduction in burden due to the elimination of survey questions in the Appendix, </w:t>
      </w:r>
      <w:r w:rsidR="0020762E">
        <w:rPr>
          <w:rFonts w:ascii="Times New Roman" w:hAnsi="Times New Roman" w:cs="Times New Roman"/>
          <w:sz w:val="24"/>
          <w:szCs w:val="24"/>
        </w:rPr>
        <w:t xml:space="preserve">and </w:t>
      </w:r>
      <w:r w:rsidRPr="0016716A">
        <w:rPr>
          <w:rFonts w:ascii="Times New Roman" w:hAnsi="Times New Roman" w:cs="Times New Roman"/>
          <w:sz w:val="24"/>
          <w:szCs w:val="24"/>
        </w:rPr>
        <w:t>a more streamlined submission process</w:t>
      </w:r>
      <w:r w:rsidR="0020762E">
        <w:rPr>
          <w:rFonts w:ascii="Times New Roman" w:hAnsi="Times New Roman" w:cs="Times New Roman"/>
          <w:sz w:val="24"/>
          <w:szCs w:val="24"/>
        </w:rPr>
        <w:t xml:space="preserve">. </w:t>
      </w:r>
    </w:p>
    <w:p w:rsidR="00386054" w:rsidRPr="00FA40CC" w:rsidRDefault="00386054">
      <w:pPr>
        <w:tabs>
          <w:tab w:val="left" w:pos="-720"/>
        </w:tabs>
        <w:suppressAutoHyphens/>
        <w:rPr>
          <w:rFonts w:ascii="Times New Roman" w:hAnsi="Times New Roman"/>
          <w:szCs w:val="24"/>
        </w:rPr>
      </w:pPr>
    </w:p>
    <w:p w:rsidR="00386054" w:rsidRPr="00FA40CC" w:rsidRDefault="00386054">
      <w:pPr>
        <w:tabs>
          <w:tab w:val="left" w:pos="-720"/>
        </w:tabs>
        <w:suppressAutoHyphens/>
        <w:rPr>
          <w:rFonts w:ascii="Times New Roman" w:hAnsi="Times New Roman"/>
          <w:szCs w:val="24"/>
        </w:rPr>
      </w:pPr>
      <w:r w:rsidRPr="00FA40CC">
        <w:rPr>
          <w:rFonts w:ascii="Times New Roman" w:hAnsi="Times New Roman"/>
          <w:szCs w:val="24"/>
        </w:rPr>
        <w:t xml:space="preserve">16. </w:t>
      </w:r>
      <w:r w:rsidRPr="00FA40CC">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C1C70" w:rsidRPr="00FA40CC" w:rsidRDefault="00BC1C70" w:rsidP="00BC1C70">
      <w:pPr>
        <w:tabs>
          <w:tab w:val="left" w:pos="-720"/>
        </w:tabs>
        <w:suppressAutoHyphens/>
        <w:ind w:left="1080"/>
        <w:rPr>
          <w:szCs w:val="24"/>
        </w:rPr>
      </w:pPr>
    </w:p>
    <w:p w:rsidR="00BC1C70" w:rsidRPr="00FA40CC" w:rsidRDefault="00BC1C70" w:rsidP="00BC1C70">
      <w:pPr>
        <w:ind w:left="360"/>
        <w:rPr>
          <w:rFonts w:ascii="Times New Roman" w:hAnsi="Times New Roman"/>
          <w:szCs w:val="24"/>
        </w:rPr>
      </w:pPr>
      <w:r w:rsidRPr="00FA40CC">
        <w:rPr>
          <w:rFonts w:ascii="Times New Roman" w:hAnsi="Times New Roman"/>
          <w:szCs w:val="24"/>
        </w:rPr>
        <w:lastRenderedPageBreak/>
        <w:t xml:space="preserve">The information collected from the performance reports will be analyzed to determine if each grantee is meeting the approved goals and objectives for the project.  Further, the information will be aggregated into a single program report and evaluated to determine if the program as a whole is meeting its purpose.  The aggregated data in the report will include demographic profiles of project participants, interim and final project outcomes (such as progress towards </w:t>
      </w:r>
      <w:r w:rsidR="003E3009">
        <w:rPr>
          <w:rFonts w:ascii="Times New Roman" w:hAnsi="Times New Roman"/>
          <w:szCs w:val="24"/>
        </w:rPr>
        <w:t>enrollment into post-secondary education)</w:t>
      </w:r>
      <w:r w:rsidRPr="00FA40CC">
        <w:rPr>
          <w:rFonts w:ascii="Times New Roman" w:hAnsi="Times New Roman"/>
          <w:szCs w:val="24"/>
        </w:rPr>
        <w:t xml:space="preserve">, and program profiles of types of services provided.  </w:t>
      </w:r>
    </w:p>
    <w:p w:rsidR="00BC1C70" w:rsidRPr="00FA40CC" w:rsidRDefault="00BC1C70" w:rsidP="00BC1C70">
      <w:pPr>
        <w:ind w:left="432" w:hanging="432"/>
        <w:rPr>
          <w:rFonts w:ascii="Times New Roman" w:hAnsi="Times New Roman"/>
          <w:szCs w:val="24"/>
        </w:rPr>
      </w:pPr>
    </w:p>
    <w:p w:rsidR="00BC1C70" w:rsidRPr="00FA40CC" w:rsidRDefault="00BC1C70" w:rsidP="00BC1C70">
      <w:pPr>
        <w:ind w:left="360"/>
        <w:rPr>
          <w:rFonts w:ascii="Times New Roman" w:hAnsi="Times New Roman"/>
          <w:szCs w:val="24"/>
        </w:rPr>
      </w:pPr>
      <w:r w:rsidRPr="00FA40CC">
        <w:rPr>
          <w:rFonts w:ascii="Times New Roman" w:hAnsi="Times New Roman"/>
          <w:szCs w:val="24"/>
        </w:rPr>
        <w:t xml:space="preserve">The data will be reported at the conclusion of the </w:t>
      </w:r>
      <w:r w:rsidR="003E3009">
        <w:rPr>
          <w:rFonts w:ascii="Times New Roman" w:hAnsi="Times New Roman"/>
          <w:szCs w:val="24"/>
        </w:rPr>
        <w:t>six-seven</w:t>
      </w:r>
      <w:r w:rsidRPr="00FA40CC">
        <w:rPr>
          <w:rFonts w:ascii="Times New Roman" w:hAnsi="Times New Roman"/>
          <w:szCs w:val="24"/>
        </w:rPr>
        <w:t xml:space="preserve">-year grant period.  Grants are scheduled to expire in the </w:t>
      </w:r>
      <w:r w:rsidR="003E3009">
        <w:rPr>
          <w:rFonts w:ascii="Times New Roman" w:hAnsi="Times New Roman"/>
          <w:szCs w:val="24"/>
        </w:rPr>
        <w:t>six or seventh</w:t>
      </w:r>
      <w:r w:rsidRPr="00FA40CC">
        <w:rPr>
          <w:rFonts w:ascii="Times New Roman" w:hAnsi="Times New Roman"/>
          <w:szCs w:val="24"/>
        </w:rPr>
        <w:t xml:space="preserve"> year of funding.  Final reports are then due to the program office 90 days after the expiration of the grant.  Program staff will analyze the data for reporting in January.  No complex analytical or statistical techniques will be used.</w:t>
      </w:r>
    </w:p>
    <w:p w:rsidR="00386054" w:rsidRPr="00FA40CC" w:rsidRDefault="00386054">
      <w:pPr>
        <w:tabs>
          <w:tab w:val="left" w:pos="-720"/>
        </w:tabs>
        <w:suppressAutoHyphens/>
        <w:rPr>
          <w:rFonts w:ascii="Times New Roman" w:hAnsi="Times New Roman"/>
          <w:szCs w:val="24"/>
        </w:rPr>
      </w:pPr>
    </w:p>
    <w:p w:rsidR="00386054" w:rsidRPr="00FA40CC" w:rsidRDefault="00386054">
      <w:pPr>
        <w:tabs>
          <w:tab w:val="left" w:pos="-720"/>
        </w:tabs>
        <w:suppressAutoHyphens/>
        <w:rPr>
          <w:rFonts w:ascii="Times New Roman" w:hAnsi="Times New Roman"/>
          <w:szCs w:val="24"/>
        </w:rPr>
      </w:pPr>
      <w:r w:rsidRPr="00FA40CC">
        <w:rPr>
          <w:rFonts w:ascii="Times New Roman" w:hAnsi="Times New Roman"/>
          <w:szCs w:val="24"/>
        </w:rPr>
        <w:t xml:space="preserve">17. </w:t>
      </w:r>
      <w:r w:rsidRPr="00FA40CC">
        <w:rPr>
          <w:rStyle w:val="a"/>
          <w:rFonts w:ascii="Times New Roman" w:hAnsi="Times New Roman"/>
          <w:szCs w:val="24"/>
        </w:rPr>
        <w:t>If seeking approval to not display the expiration date for OMB approval of the information collection, explain the reasons that display would be inappropriate.</w:t>
      </w:r>
    </w:p>
    <w:p w:rsidR="00BC1C70" w:rsidRPr="00FA40CC" w:rsidRDefault="00BC1C70" w:rsidP="00BC1C70">
      <w:pPr>
        <w:ind w:left="360"/>
        <w:rPr>
          <w:rFonts w:ascii="Times New Roman" w:hAnsi="Times New Roman"/>
          <w:szCs w:val="24"/>
        </w:rPr>
      </w:pPr>
      <w:r w:rsidRPr="00FA40CC">
        <w:rPr>
          <w:rFonts w:ascii="Times New Roman" w:hAnsi="Times New Roman"/>
          <w:szCs w:val="24"/>
        </w:rPr>
        <w:t xml:space="preserve">  </w:t>
      </w:r>
    </w:p>
    <w:p w:rsidR="00BC1C70" w:rsidRPr="00FA40CC" w:rsidRDefault="00BC1C70" w:rsidP="00BC1C70">
      <w:pPr>
        <w:ind w:left="360"/>
        <w:rPr>
          <w:rFonts w:ascii="Times New Roman" w:hAnsi="Times New Roman"/>
          <w:szCs w:val="24"/>
        </w:rPr>
      </w:pPr>
      <w:r w:rsidRPr="00FA40CC">
        <w:rPr>
          <w:rFonts w:ascii="Times New Roman" w:hAnsi="Times New Roman"/>
          <w:szCs w:val="24"/>
        </w:rPr>
        <w:t>The Department will display on the form the expiration date for the OMB approval</w:t>
      </w:r>
      <w:r w:rsidR="00983798">
        <w:rPr>
          <w:rFonts w:ascii="Times New Roman" w:hAnsi="Times New Roman"/>
          <w:szCs w:val="24"/>
        </w:rPr>
        <w:t>,</w:t>
      </w:r>
      <w:r w:rsidRPr="00FA40CC">
        <w:rPr>
          <w:rFonts w:ascii="Times New Roman" w:hAnsi="Times New Roman"/>
          <w:szCs w:val="24"/>
        </w:rPr>
        <w:t xml:space="preserve"> as required.</w:t>
      </w:r>
    </w:p>
    <w:p w:rsidR="00BC1C70" w:rsidRPr="00FA40CC" w:rsidRDefault="00BC1C70" w:rsidP="00BC1C70">
      <w:pPr>
        <w:ind w:left="720"/>
        <w:rPr>
          <w:szCs w:val="24"/>
        </w:rPr>
      </w:pPr>
    </w:p>
    <w:p w:rsidR="00386054" w:rsidRPr="00FA40CC" w:rsidRDefault="00386054">
      <w:pPr>
        <w:tabs>
          <w:tab w:val="left" w:pos="-720"/>
        </w:tabs>
        <w:suppressAutoHyphens/>
        <w:rPr>
          <w:rStyle w:val="a"/>
          <w:rFonts w:ascii="Times New Roman" w:hAnsi="Times New Roman"/>
          <w:szCs w:val="24"/>
        </w:rPr>
      </w:pPr>
      <w:r w:rsidRPr="00FA40CC">
        <w:rPr>
          <w:rFonts w:ascii="Times New Roman" w:hAnsi="Times New Roman"/>
          <w:szCs w:val="24"/>
        </w:rPr>
        <w:t xml:space="preserve">18. </w:t>
      </w:r>
      <w:r w:rsidRPr="00FA40CC">
        <w:rPr>
          <w:rStyle w:val="a"/>
          <w:rFonts w:ascii="Times New Roman" w:hAnsi="Times New Roman"/>
          <w:szCs w:val="24"/>
        </w:rPr>
        <w:t>Explain each exception to the certification statement identified in the Certification of Paperwork Reduction Act.</w:t>
      </w:r>
    </w:p>
    <w:p w:rsidR="00BC1C70" w:rsidRPr="00FA40CC" w:rsidRDefault="00BC1C70">
      <w:pPr>
        <w:tabs>
          <w:tab w:val="left" w:pos="-720"/>
        </w:tabs>
        <w:suppressAutoHyphens/>
        <w:rPr>
          <w:rStyle w:val="a"/>
          <w:rFonts w:ascii="Times New Roman" w:hAnsi="Times New Roman"/>
          <w:szCs w:val="24"/>
        </w:rPr>
      </w:pPr>
    </w:p>
    <w:p w:rsidR="00BC1C70" w:rsidRPr="00BC1C70" w:rsidRDefault="00BC1C70" w:rsidP="00BC1C70">
      <w:pPr>
        <w:ind w:firstLine="360"/>
        <w:rPr>
          <w:rFonts w:ascii="Times New Roman" w:hAnsi="Times New Roman"/>
          <w:szCs w:val="24"/>
        </w:rPr>
      </w:pPr>
      <w:r w:rsidRPr="00FA40CC">
        <w:rPr>
          <w:rFonts w:ascii="Times New Roman" w:hAnsi="Times New Roman"/>
          <w:szCs w:val="24"/>
        </w:rPr>
        <w:t>There are no exceptions to the certification statement.</w:t>
      </w:r>
    </w:p>
    <w:p w:rsidR="00BC1C70" w:rsidRPr="00BC1C70" w:rsidRDefault="00BC1C70" w:rsidP="00BC1C70">
      <w:pPr>
        <w:ind w:left="720"/>
        <w:rPr>
          <w:rFonts w:ascii="Times New Roman" w:hAnsi="Times New Roman"/>
          <w:szCs w:val="24"/>
        </w:rPr>
      </w:pPr>
    </w:p>
    <w:p w:rsidR="00BC1C70" w:rsidRPr="00BC1C70" w:rsidRDefault="00BC1C70">
      <w:pPr>
        <w:tabs>
          <w:tab w:val="left" w:pos="-720"/>
        </w:tabs>
        <w:suppressAutoHyphens/>
        <w:rPr>
          <w:rFonts w:ascii="Times New Roman" w:hAnsi="Times New Roman"/>
          <w:szCs w:val="24"/>
        </w:rPr>
      </w:pPr>
    </w:p>
    <w:sectPr w:rsidR="00BC1C70" w:rsidRPr="00BC1C70"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797" w:rsidRDefault="00217797">
      <w:pPr>
        <w:spacing w:line="20" w:lineRule="exact"/>
      </w:pPr>
    </w:p>
  </w:endnote>
  <w:endnote w:type="continuationSeparator" w:id="0">
    <w:p w:rsidR="00217797" w:rsidRDefault="00217797">
      <w:r>
        <w:t xml:space="preserve"> </w:t>
      </w:r>
    </w:p>
  </w:endnote>
  <w:endnote w:type="continuationNotice" w:id="1">
    <w:p w:rsidR="00217797" w:rsidRDefault="0021779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0C39B0">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Default="00386054">
                          <w:pPr>
                            <w:tabs>
                              <w:tab w:val="center" w:pos="4650"/>
                            </w:tabs>
                            <w:suppressAutoHyphens/>
                            <w:jc w:val="both"/>
                          </w:pPr>
                          <w:r>
                            <w:tab/>
                          </w:r>
                          <w:r w:rsidR="000A14CE">
                            <w:fldChar w:fldCharType="begin"/>
                          </w:r>
                          <w:r w:rsidR="000A14CE">
                            <w:instrText>page \* arabic</w:instrText>
                          </w:r>
                          <w:r w:rsidR="000A14CE">
                            <w:fldChar w:fldCharType="separate"/>
                          </w:r>
                          <w:r w:rsidR="0020762E">
                            <w:rPr>
                              <w:noProof/>
                            </w:rPr>
                            <w:t>9</w:t>
                          </w:r>
                          <w:r w:rsidR="000A14CE">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386054" w:rsidRDefault="00386054">
                    <w:pPr>
                      <w:tabs>
                        <w:tab w:val="center" w:pos="4650"/>
                      </w:tabs>
                      <w:suppressAutoHyphens/>
                      <w:jc w:val="both"/>
                    </w:pPr>
                    <w:r>
                      <w:tab/>
                    </w:r>
                    <w:r w:rsidR="000A14CE">
                      <w:fldChar w:fldCharType="begin"/>
                    </w:r>
                    <w:r w:rsidR="000A14CE">
                      <w:instrText>page \* arabic</w:instrText>
                    </w:r>
                    <w:r w:rsidR="000A14CE">
                      <w:fldChar w:fldCharType="separate"/>
                    </w:r>
                    <w:r w:rsidR="0020762E">
                      <w:rPr>
                        <w:noProof/>
                      </w:rPr>
                      <w:t>9</w:t>
                    </w:r>
                    <w:r w:rsidR="000A14CE">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797" w:rsidRDefault="00217797">
      <w:r>
        <w:separator/>
      </w:r>
    </w:p>
  </w:footnote>
  <w:footnote w:type="continuationSeparator" w:id="0">
    <w:p w:rsidR="00217797" w:rsidRDefault="00217797">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pStyle w:val="Header"/>
      <w:rPr>
        <w:rFonts w:ascii="Times New Roman" w:hAnsi="Times New Roman"/>
        <w:sz w:val="20"/>
      </w:rPr>
    </w:pPr>
    <w:r>
      <w:rPr>
        <w:rFonts w:ascii="Times New Roman" w:hAnsi="Times New Roman"/>
        <w:sz w:val="20"/>
      </w:rPr>
      <w:t>EDICS Tracking and OMB Number: (</w:t>
    </w:r>
    <w:r w:rsidR="009F149B">
      <w:rPr>
        <w:rFonts w:ascii="Times New Roman" w:hAnsi="Times New Roman"/>
        <w:sz w:val="20"/>
      </w:rPr>
      <w:t>04846</w:t>
    </w:r>
    <w:r>
      <w:rPr>
        <w:rFonts w:ascii="Times New Roman" w:hAnsi="Times New Roman"/>
        <w:sz w:val="20"/>
      </w:rPr>
      <w:t xml:space="preserve">) </w:t>
    </w:r>
    <w:r w:rsidR="009F149B">
      <w:rPr>
        <w:rFonts w:ascii="Times New Roman" w:hAnsi="Times New Roman"/>
        <w:sz w:val="20"/>
      </w:rPr>
      <w:t>1840.07</w:t>
    </w:r>
    <w:r w:rsidR="0016716A">
      <w:rPr>
        <w:rFonts w:ascii="Times New Roman" w:hAnsi="Times New Roman"/>
        <w:sz w:val="20"/>
      </w:rPr>
      <w:t>77</w:t>
    </w:r>
    <w:r>
      <w:rPr>
        <w:rFonts w:ascii="Times New Roman" w:hAnsi="Times New Roman"/>
        <w:sz w:val="20"/>
      </w:rPr>
      <w:t xml:space="preserve">                                        Revised: XX/XX/XXXX</w:t>
    </w:r>
  </w:p>
  <w:p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0C611AE7"/>
    <w:multiLevelType w:val="hybridMultilevel"/>
    <w:tmpl w:val="ACA6D2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38A2B26"/>
    <w:multiLevelType w:val="hybridMultilevel"/>
    <w:tmpl w:val="366A041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6">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7">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9">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1">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6"/>
  </w:num>
  <w:num w:numId="3">
    <w:abstractNumId w:val="5"/>
  </w:num>
  <w:num w:numId="4">
    <w:abstractNumId w:val="10"/>
  </w:num>
  <w:num w:numId="5">
    <w:abstractNumId w:val="1"/>
  </w:num>
  <w:num w:numId="6">
    <w:abstractNumId w:val="2"/>
  </w:num>
  <w:num w:numId="7">
    <w:abstractNumId w:val="8"/>
  </w:num>
  <w:num w:numId="8">
    <w:abstractNumId w:val="7"/>
  </w:num>
  <w:num w:numId="9">
    <w:abstractNumId w:val="9"/>
  </w:num>
  <w:num w:numId="10">
    <w:abstractNumId w:val="11"/>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22E44"/>
    <w:rsid w:val="00050CBE"/>
    <w:rsid w:val="000909E0"/>
    <w:rsid w:val="000A0FCA"/>
    <w:rsid w:val="000A14CE"/>
    <w:rsid w:val="000B14D8"/>
    <w:rsid w:val="000C39B0"/>
    <w:rsid w:val="000E592D"/>
    <w:rsid w:val="000F175B"/>
    <w:rsid w:val="00107939"/>
    <w:rsid w:val="001246F3"/>
    <w:rsid w:val="0014500F"/>
    <w:rsid w:val="00153F20"/>
    <w:rsid w:val="0016716A"/>
    <w:rsid w:val="001743A5"/>
    <w:rsid w:val="0018279C"/>
    <w:rsid w:val="001B340E"/>
    <w:rsid w:val="001D0B74"/>
    <w:rsid w:val="0020762E"/>
    <w:rsid w:val="00217797"/>
    <w:rsid w:val="00236C62"/>
    <w:rsid w:val="002473CE"/>
    <w:rsid w:val="002B0412"/>
    <w:rsid w:val="002B0A95"/>
    <w:rsid w:val="002E173A"/>
    <w:rsid w:val="00334712"/>
    <w:rsid w:val="00371CDD"/>
    <w:rsid w:val="00386054"/>
    <w:rsid w:val="0038737E"/>
    <w:rsid w:val="003B3696"/>
    <w:rsid w:val="003C0956"/>
    <w:rsid w:val="003C29C2"/>
    <w:rsid w:val="003C7F70"/>
    <w:rsid w:val="003E285A"/>
    <w:rsid w:val="003E3009"/>
    <w:rsid w:val="003F5AF0"/>
    <w:rsid w:val="004549E5"/>
    <w:rsid w:val="004809CB"/>
    <w:rsid w:val="004A2DBB"/>
    <w:rsid w:val="004B6E47"/>
    <w:rsid w:val="004C033D"/>
    <w:rsid w:val="004C5EE5"/>
    <w:rsid w:val="004E23D9"/>
    <w:rsid w:val="004F692A"/>
    <w:rsid w:val="00512598"/>
    <w:rsid w:val="005250D2"/>
    <w:rsid w:val="00526ACF"/>
    <w:rsid w:val="00527C0C"/>
    <w:rsid w:val="00542DBC"/>
    <w:rsid w:val="005567E2"/>
    <w:rsid w:val="00563CCF"/>
    <w:rsid w:val="00564021"/>
    <w:rsid w:val="005A1566"/>
    <w:rsid w:val="005A1DFC"/>
    <w:rsid w:val="005A4185"/>
    <w:rsid w:val="005D2E7B"/>
    <w:rsid w:val="005F28CB"/>
    <w:rsid w:val="0063484C"/>
    <w:rsid w:val="006446C1"/>
    <w:rsid w:val="00654305"/>
    <w:rsid w:val="006737C0"/>
    <w:rsid w:val="00677BC2"/>
    <w:rsid w:val="006A3B5C"/>
    <w:rsid w:val="006C01D0"/>
    <w:rsid w:val="006C187F"/>
    <w:rsid w:val="00725C6D"/>
    <w:rsid w:val="0074108C"/>
    <w:rsid w:val="007661D9"/>
    <w:rsid w:val="00781237"/>
    <w:rsid w:val="007979C8"/>
    <w:rsid w:val="007A5986"/>
    <w:rsid w:val="007B14E8"/>
    <w:rsid w:val="007C12B5"/>
    <w:rsid w:val="007C7FCD"/>
    <w:rsid w:val="007D3C12"/>
    <w:rsid w:val="007E77FA"/>
    <w:rsid w:val="0080031E"/>
    <w:rsid w:val="008011B6"/>
    <w:rsid w:val="008261A8"/>
    <w:rsid w:val="00861B35"/>
    <w:rsid w:val="008B1635"/>
    <w:rsid w:val="008C0FA8"/>
    <w:rsid w:val="008F3062"/>
    <w:rsid w:val="00921CB1"/>
    <w:rsid w:val="009544A3"/>
    <w:rsid w:val="00966A28"/>
    <w:rsid w:val="00983798"/>
    <w:rsid w:val="009949A8"/>
    <w:rsid w:val="009F149B"/>
    <w:rsid w:val="00A01331"/>
    <w:rsid w:val="00A41F2C"/>
    <w:rsid w:val="00A829FE"/>
    <w:rsid w:val="00A87940"/>
    <w:rsid w:val="00A94CCB"/>
    <w:rsid w:val="00AB0D7D"/>
    <w:rsid w:val="00AF74A4"/>
    <w:rsid w:val="00B23EC0"/>
    <w:rsid w:val="00B55B1E"/>
    <w:rsid w:val="00B85035"/>
    <w:rsid w:val="00BB4D85"/>
    <w:rsid w:val="00BC1C70"/>
    <w:rsid w:val="00BC244F"/>
    <w:rsid w:val="00BD1325"/>
    <w:rsid w:val="00BE5421"/>
    <w:rsid w:val="00C058A1"/>
    <w:rsid w:val="00C51297"/>
    <w:rsid w:val="00C61EFB"/>
    <w:rsid w:val="00C641E9"/>
    <w:rsid w:val="00C723C2"/>
    <w:rsid w:val="00C724C2"/>
    <w:rsid w:val="00CA4E43"/>
    <w:rsid w:val="00CB2643"/>
    <w:rsid w:val="00CD2B3F"/>
    <w:rsid w:val="00CE72AF"/>
    <w:rsid w:val="00D115BF"/>
    <w:rsid w:val="00D269C3"/>
    <w:rsid w:val="00D86885"/>
    <w:rsid w:val="00D935D6"/>
    <w:rsid w:val="00DA1734"/>
    <w:rsid w:val="00DE32AE"/>
    <w:rsid w:val="00E023B7"/>
    <w:rsid w:val="00E07290"/>
    <w:rsid w:val="00E70BCC"/>
    <w:rsid w:val="00EA3C1F"/>
    <w:rsid w:val="00EC2CC4"/>
    <w:rsid w:val="00EE45E8"/>
    <w:rsid w:val="00EF7FF5"/>
    <w:rsid w:val="00F120B6"/>
    <w:rsid w:val="00F313DF"/>
    <w:rsid w:val="00F33E4B"/>
    <w:rsid w:val="00F40E63"/>
    <w:rsid w:val="00F506F8"/>
    <w:rsid w:val="00F552ED"/>
    <w:rsid w:val="00FA4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semiHidden/>
    <w:rsid w:val="00BC1C70"/>
    <w:pPr>
      <w:ind w:left="432" w:hanging="432"/>
    </w:pPr>
    <w:rPr>
      <w:rFonts w:ascii="Times New Roman" w:hAnsi="Times New Roman"/>
      <w:szCs w:val="24"/>
    </w:rPr>
  </w:style>
  <w:style w:type="character" w:customStyle="1" w:styleId="BodyTextIndent2Char">
    <w:name w:val="Body Text Indent 2 Char"/>
    <w:basedOn w:val="DefaultParagraphFont"/>
    <w:link w:val="BodyTextIndent2"/>
    <w:semiHidden/>
    <w:rsid w:val="00BC1C70"/>
    <w:rPr>
      <w:sz w:val="24"/>
      <w:szCs w:val="24"/>
    </w:rPr>
  </w:style>
  <w:style w:type="paragraph" w:styleId="BodyTextIndent">
    <w:name w:val="Body Text Indent"/>
    <w:basedOn w:val="Normal"/>
    <w:link w:val="BodyTextIndentChar"/>
    <w:uiPriority w:val="99"/>
    <w:semiHidden/>
    <w:unhideWhenUsed/>
    <w:rsid w:val="00BC1C70"/>
    <w:pPr>
      <w:widowControl w:val="0"/>
      <w:overflowPunct w:val="0"/>
      <w:adjustRightInd w:val="0"/>
      <w:spacing w:after="120"/>
      <w:ind w:left="360"/>
    </w:pPr>
    <w:rPr>
      <w:rFonts w:ascii="Times New Roman" w:hAnsi="Times New Roman"/>
      <w:kern w:val="28"/>
      <w:sz w:val="20"/>
    </w:rPr>
  </w:style>
  <w:style w:type="character" w:customStyle="1" w:styleId="BodyTextIndentChar">
    <w:name w:val="Body Text Indent Char"/>
    <w:basedOn w:val="DefaultParagraphFont"/>
    <w:link w:val="BodyTextIndent"/>
    <w:uiPriority w:val="99"/>
    <w:semiHidden/>
    <w:rsid w:val="00BC1C70"/>
    <w:rPr>
      <w:kern w:val="28"/>
      <w:sz w:val="20"/>
      <w:szCs w:val="20"/>
    </w:rPr>
  </w:style>
  <w:style w:type="paragraph" w:styleId="ListParagraph">
    <w:name w:val="List Paragraph"/>
    <w:basedOn w:val="Normal"/>
    <w:uiPriority w:val="34"/>
    <w:qFormat/>
    <w:rsid w:val="009F149B"/>
    <w:pPr>
      <w:ind w:left="720"/>
      <w:contextualSpacing/>
    </w:pPr>
  </w:style>
  <w:style w:type="paragraph" w:styleId="PlainText">
    <w:name w:val="Plain Text"/>
    <w:basedOn w:val="Normal"/>
    <w:link w:val="PlainTextChar"/>
    <w:uiPriority w:val="99"/>
    <w:unhideWhenUsed/>
    <w:rsid w:val="0016716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6716A"/>
    <w:rPr>
      <w:rFonts w:ascii="Calibri" w:eastAsiaTheme="minorHAnsi" w:hAnsi="Calibri" w:cstheme="minorBid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semiHidden/>
    <w:rsid w:val="00BC1C70"/>
    <w:pPr>
      <w:ind w:left="432" w:hanging="432"/>
    </w:pPr>
    <w:rPr>
      <w:rFonts w:ascii="Times New Roman" w:hAnsi="Times New Roman"/>
      <w:szCs w:val="24"/>
    </w:rPr>
  </w:style>
  <w:style w:type="character" w:customStyle="1" w:styleId="BodyTextIndent2Char">
    <w:name w:val="Body Text Indent 2 Char"/>
    <w:basedOn w:val="DefaultParagraphFont"/>
    <w:link w:val="BodyTextIndent2"/>
    <w:semiHidden/>
    <w:rsid w:val="00BC1C70"/>
    <w:rPr>
      <w:sz w:val="24"/>
      <w:szCs w:val="24"/>
    </w:rPr>
  </w:style>
  <w:style w:type="paragraph" w:styleId="BodyTextIndent">
    <w:name w:val="Body Text Indent"/>
    <w:basedOn w:val="Normal"/>
    <w:link w:val="BodyTextIndentChar"/>
    <w:uiPriority w:val="99"/>
    <w:semiHidden/>
    <w:unhideWhenUsed/>
    <w:rsid w:val="00BC1C70"/>
    <w:pPr>
      <w:widowControl w:val="0"/>
      <w:overflowPunct w:val="0"/>
      <w:adjustRightInd w:val="0"/>
      <w:spacing w:after="120"/>
      <w:ind w:left="360"/>
    </w:pPr>
    <w:rPr>
      <w:rFonts w:ascii="Times New Roman" w:hAnsi="Times New Roman"/>
      <w:kern w:val="28"/>
      <w:sz w:val="20"/>
    </w:rPr>
  </w:style>
  <w:style w:type="character" w:customStyle="1" w:styleId="BodyTextIndentChar">
    <w:name w:val="Body Text Indent Char"/>
    <w:basedOn w:val="DefaultParagraphFont"/>
    <w:link w:val="BodyTextIndent"/>
    <w:uiPriority w:val="99"/>
    <w:semiHidden/>
    <w:rsid w:val="00BC1C70"/>
    <w:rPr>
      <w:kern w:val="28"/>
      <w:sz w:val="20"/>
      <w:szCs w:val="20"/>
    </w:rPr>
  </w:style>
  <w:style w:type="paragraph" w:styleId="ListParagraph">
    <w:name w:val="List Paragraph"/>
    <w:basedOn w:val="Normal"/>
    <w:uiPriority w:val="34"/>
    <w:qFormat/>
    <w:rsid w:val="009F149B"/>
    <w:pPr>
      <w:ind w:left="720"/>
      <w:contextualSpacing/>
    </w:pPr>
  </w:style>
  <w:style w:type="paragraph" w:styleId="PlainText">
    <w:name w:val="Plain Text"/>
    <w:basedOn w:val="Normal"/>
    <w:link w:val="PlainTextChar"/>
    <w:uiPriority w:val="99"/>
    <w:unhideWhenUsed/>
    <w:rsid w:val="0016716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6716A"/>
    <w:rPr>
      <w:rFonts w:ascii="Calibri" w:eastAsiaTheme="minorHAnsi" w:hAnsi="Calibri" w:cstheme="minorBid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418955">
      <w:bodyDiv w:val="1"/>
      <w:marLeft w:val="0"/>
      <w:marRight w:val="0"/>
      <w:marTop w:val="0"/>
      <w:marBottom w:val="0"/>
      <w:divBdr>
        <w:top w:val="none" w:sz="0" w:space="0" w:color="auto"/>
        <w:left w:val="none" w:sz="0" w:space="0" w:color="auto"/>
        <w:bottom w:val="none" w:sz="0" w:space="0" w:color="auto"/>
        <w:right w:val="none" w:sz="0" w:space="0" w:color="auto"/>
      </w:divBdr>
    </w:div>
    <w:div w:id="69207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C6172-D8CD-41BF-8014-9AEA5A92C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3421</Words>
  <Characters>19500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22876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Authorised User</cp:lastModifiedBy>
  <cp:revision>2</cp:revision>
  <cp:lastPrinted>2010-08-23T18:41:00Z</cp:lastPrinted>
  <dcterms:created xsi:type="dcterms:W3CDTF">2013-01-30T18:29:00Z</dcterms:created>
  <dcterms:modified xsi:type="dcterms:W3CDTF">2013-01-30T18:29:00Z</dcterms:modified>
</cp:coreProperties>
</file>