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pPr>
        <w:rPr>
          <w:spacing w:val="-4"/>
          <w:sz w:val="16"/>
        </w:rPr>
      </w:pPr>
      <w:r>
        <w:rPr>
          <w:spacing w:val="-4"/>
          <w:sz w:val="16"/>
        </w:rPr>
        <w:br w:type="column"/>
      </w:r>
    </w:p>
    <w:p w:rsidR="006C42B5" w:rsidRDefault="003739EE">
      <w:pPr>
        <w:rPr>
          <w:rFonts w:ascii="AvantGarde" w:hAnsi="AvantGarde"/>
          <w:b/>
          <w:bCs/>
          <w:sz w:val="50"/>
        </w:rPr>
      </w:pPr>
      <w:r w:rsidRPr="003739EE">
        <w:rPr>
          <w:rFonts w:ascii="AvantGarde" w:hAnsi="AvantGarde"/>
          <w:b/>
          <w:bCs/>
          <w:sz w:val="50"/>
        </w:rPr>
        <w:t xml:space="preserve">NPEFS 2011-2014: Common Core of Data (CCD) </w:t>
      </w:r>
    </w:p>
    <w:p w:rsidR="00B30C42" w:rsidRDefault="003739EE">
      <w:pPr>
        <w:rPr>
          <w:rFonts w:ascii="AvantGarde" w:hAnsi="AvantGarde"/>
          <w:b/>
          <w:bCs/>
          <w:sz w:val="50"/>
        </w:rPr>
      </w:pPr>
      <w:r w:rsidRPr="003739EE">
        <w:rPr>
          <w:rFonts w:ascii="AvantGarde" w:hAnsi="AvantGarde"/>
          <w:b/>
          <w:bCs/>
          <w:sz w:val="50"/>
        </w:rPr>
        <w:t>National Public Education Financial Survey</w:t>
      </w:r>
    </w:p>
    <w:p w:rsidR="00B30C42" w:rsidRDefault="00B30C42">
      <w:pPr>
        <w:pStyle w:val="H4"/>
        <w:keepNext w:val="0"/>
        <w:spacing w:before="0" w:after="0"/>
        <w:outlineLvl w:val="9"/>
        <w:rPr>
          <w:rFonts w:ascii="AvantGarde" w:hAnsi="AvantGarde"/>
          <w:bCs/>
          <w:szCs w:val="24"/>
        </w:rPr>
      </w:pPr>
    </w:p>
    <w:p w:rsidR="00B30C42" w:rsidRDefault="00B30C42"/>
    <w:p w:rsidR="00B30C42" w:rsidRDefault="00B30C42"/>
    <w:p w:rsidR="00EC35E7" w:rsidRDefault="006C42B5">
      <w:r w:rsidRPr="006C42B5">
        <w:rPr>
          <w:rFonts w:ascii="AvantGarde" w:hAnsi="AvantGarde"/>
          <w:b/>
          <w:bCs/>
          <w:sz w:val="48"/>
          <w:szCs w:val="48"/>
        </w:rPr>
        <w:t>Supporting Statement</w:t>
      </w:r>
      <w:r>
        <w:rPr>
          <w:rFonts w:ascii="AvantGarde" w:hAnsi="AvantGarde"/>
          <w:b/>
          <w:bCs/>
          <w:sz w:val="50"/>
        </w:rPr>
        <w:t xml:space="preserve"> Part A</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826174">
      <w:pPr>
        <w:suppressAutoHyphens/>
        <w:rPr>
          <w:rFonts w:ascii="AvantGarde" w:hAnsi="AvantGarde"/>
          <w:b/>
          <w:spacing w:val="-3"/>
        </w:rPr>
      </w:pPr>
      <w:r>
        <w:rPr>
          <w:rFonts w:ascii="AvantGarde" w:hAnsi="AvantGarde"/>
          <w:b/>
          <w:spacing w:val="-3"/>
        </w:rPr>
        <w:t>December</w:t>
      </w:r>
      <w:r w:rsidR="00AA1670">
        <w:rPr>
          <w:rFonts w:ascii="AvantGarde" w:hAnsi="AvantGarde"/>
          <w:b/>
          <w:spacing w:val="-3"/>
        </w:rPr>
        <w:t xml:space="preserve"> 2012</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6C42B5">
          <w:pgSz w:w="12240" w:h="15840"/>
          <w:pgMar w:top="1008" w:right="1008" w:bottom="1008" w:left="1008" w:header="720" w:footer="720" w:gutter="0"/>
          <w:paperSrc w:first="21" w:other="21"/>
          <w:cols w:num="2" w:space="720" w:equalWidth="0">
            <w:col w:w="4752" w:space="450"/>
            <w:col w:w="5022"/>
          </w:cols>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C747F1" w:rsidRDefault="00C747F1">
      <w:pPr>
        <w:pStyle w:val="Heading"/>
      </w:pPr>
    </w:p>
    <w:p w:rsidR="00C747F1" w:rsidRDefault="00C747F1">
      <w:pPr>
        <w:pStyle w:val="Heading"/>
      </w:pPr>
    </w:p>
    <w:p w:rsidR="00B30C42" w:rsidRDefault="00B30C42">
      <w:pPr>
        <w:pStyle w:val="Heading"/>
      </w:pPr>
      <w:r>
        <w:t>Contents</w:t>
      </w:r>
    </w:p>
    <w:p w:rsidR="00764F8E" w:rsidRDefault="00764F8E" w:rsidP="00EC35E7">
      <w:pPr>
        <w:pStyle w:val="TOC"/>
        <w:tabs>
          <w:tab w:val="clear" w:pos="9360"/>
          <w:tab w:val="right" w:leader="dot" w:pos="10170"/>
        </w:tabs>
        <w:rPr>
          <w:sz w:val="24"/>
        </w:rPr>
      </w:pPr>
    </w:p>
    <w:p w:rsidR="00B30C42" w:rsidRDefault="00B30C42" w:rsidP="00EC35E7">
      <w:pPr>
        <w:pStyle w:val="TOC"/>
        <w:tabs>
          <w:tab w:val="clear" w:pos="9360"/>
          <w:tab w:val="right" w:leader="dot" w:pos="10170"/>
        </w:tabs>
        <w:rPr>
          <w:sz w:val="24"/>
        </w:rPr>
      </w:pPr>
      <w:r w:rsidRPr="00E74186">
        <w:rPr>
          <w:sz w:val="24"/>
        </w:rPr>
        <w:t>Introduction</w:t>
      </w:r>
    </w:p>
    <w:p w:rsidR="005B42FE" w:rsidRPr="00E74186" w:rsidRDefault="005B42FE" w:rsidP="00EC35E7">
      <w:pPr>
        <w:pStyle w:val="TOC"/>
        <w:tabs>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A. Justification</w:t>
      </w:r>
    </w:p>
    <w:p w:rsidR="008674E1" w:rsidRDefault="008674E1" w:rsidP="00EC35E7">
      <w:pPr>
        <w:pStyle w:val="TOC"/>
        <w:tabs>
          <w:tab w:val="clear" w:pos="360"/>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B. Collections of Information Employing Statistical Methods</w:t>
      </w:r>
    </w:p>
    <w:p w:rsidR="00B30C42" w:rsidRPr="00E74186" w:rsidRDefault="00B30C42" w:rsidP="00EC35E7">
      <w:pPr>
        <w:pStyle w:val="TOC"/>
        <w:tabs>
          <w:tab w:val="clear" w:pos="360"/>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C. CCD National Public Education Finance Survey</w:t>
      </w:r>
    </w:p>
    <w:p w:rsidR="00B30C42" w:rsidRPr="00E74186" w:rsidRDefault="00B30C42" w:rsidP="00EC35E7">
      <w:pPr>
        <w:pStyle w:val="TOC"/>
        <w:tabs>
          <w:tab w:val="clear" w:pos="360"/>
          <w:tab w:val="clear" w:pos="9360"/>
          <w:tab w:val="right" w:leader="dot" w:pos="10170"/>
        </w:tabs>
        <w:rPr>
          <w:sz w:val="24"/>
        </w:rPr>
      </w:pPr>
      <w:r w:rsidRPr="00E74186">
        <w:rPr>
          <w:sz w:val="24"/>
        </w:rPr>
        <w:tab/>
      </w:r>
      <w:r w:rsidR="007E689B">
        <w:rPr>
          <w:sz w:val="24"/>
        </w:rPr>
        <w:t>C</w:t>
      </w:r>
      <w:r w:rsidRPr="00E74186">
        <w:rPr>
          <w:sz w:val="24"/>
        </w:rPr>
        <w:t>.1. Discussion of Items</w:t>
      </w:r>
    </w:p>
    <w:p w:rsidR="00B30C42" w:rsidRPr="00E74186" w:rsidRDefault="00B30C42" w:rsidP="00EC35E7">
      <w:pPr>
        <w:pStyle w:val="TOC"/>
        <w:tabs>
          <w:tab w:val="clear" w:pos="360"/>
          <w:tab w:val="clear" w:pos="9360"/>
          <w:tab w:val="right" w:leader="dot" w:pos="10170"/>
        </w:tabs>
        <w:rPr>
          <w:sz w:val="24"/>
        </w:rPr>
      </w:pPr>
      <w:r w:rsidRPr="00E74186">
        <w:rPr>
          <w:sz w:val="24"/>
        </w:rPr>
        <w:tab/>
      </w:r>
      <w:r w:rsidR="007E689B">
        <w:rPr>
          <w:sz w:val="24"/>
        </w:rPr>
        <w:t>C</w:t>
      </w:r>
      <w:r w:rsidRPr="00E74186">
        <w:rPr>
          <w:sz w:val="24"/>
        </w:rPr>
        <w:t>.2. Sample Tables</w:t>
      </w:r>
    </w:p>
    <w:p w:rsidR="007E689B" w:rsidRDefault="00B30C42" w:rsidP="00EC35E7">
      <w:pPr>
        <w:pStyle w:val="TOC"/>
        <w:tabs>
          <w:tab w:val="clear" w:pos="360"/>
          <w:tab w:val="clear" w:pos="9360"/>
          <w:tab w:val="right" w:leader="dot" w:pos="10170"/>
        </w:tabs>
        <w:rPr>
          <w:sz w:val="24"/>
        </w:rPr>
      </w:pPr>
      <w:r w:rsidRPr="00E74186">
        <w:rPr>
          <w:sz w:val="24"/>
        </w:rPr>
        <w:tab/>
      </w:r>
    </w:p>
    <w:p w:rsidR="007E689B" w:rsidRPr="00E74186" w:rsidRDefault="007E689B" w:rsidP="007E689B">
      <w:pPr>
        <w:pStyle w:val="TOC"/>
        <w:tabs>
          <w:tab w:val="clear" w:pos="360"/>
          <w:tab w:val="clear" w:pos="9360"/>
          <w:tab w:val="right" w:leader="dot" w:pos="10170"/>
        </w:tabs>
        <w:rPr>
          <w:sz w:val="24"/>
        </w:rPr>
      </w:pPr>
      <w:r w:rsidRPr="00E74186">
        <w:rPr>
          <w:sz w:val="24"/>
        </w:rPr>
        <w:t>Appendix A. Communication</w:t>
      </w:r>
      <w:r w:rsidR="00D03F0F">
        <w:rPr>
          <w:sz w:val="24"/>
        </w:rPr>
        <w:t xml:space="preserve"> Material</w:t>
      </w:r>
      <w:r w:rsidRPr="00E74186">
        <w:rPr>
          <w:sz w:val="24"/>
        </w:rPr>
        <w:t xml:space="preserve">s </w:t>
      </w:r>
    </w:p>
    <w:p w:rsidR="007E689B" w:rsidRDefault="007E689B" w:rsidP="00EC35E7">
      <w:pPr>
        <w:pStyle w:val="TOC"/>
        <w:tabs>
          <w:tab w:val="clear" w:pos="360"/>
          <w:tab w:val="clear" w:pos="9360"/>
          <w:tab w:val="right" w:leader="dot" w:pos="10170"/>
        </w:tabs>
        <w:rPr>
          <w:sz w:val="24"/>
        </w:rPr>
      </w:pPr>
    </w:p>
    <w:p w:rsidR="007E689B" w:rsidRDefault="007E689B" w:rsidP="00EC35E7">
      <w:pPr>
        <w:pStyle w:val="TOC"/>
        <w:tabs>
          <w:tab w:val="clear" w:pos="360"/>
          <w:tab w:val="clear" w:pos="9360"/>
          <w:tab w:val="right" w:leader="dot" w:pos="10170"/>
        </w:tabs>
        <w:rPr>
          <w:sz w:val="24"/>
        </w:rPr>
      </w:pPr>
      <w:r w:rsidRPr="00E74186">
        <w:rPr>
          <w:sz w:val="24"/>
        </w:rPr>
        <w:t xml:space="preserve">Appendix </w:t>
      </w:r>
      <w:r>
        <w:rPr>
          <w:sz w:val="24"/>
        </w:rPr>
        <w:t>B</w:t>
      </w:r>
      <w:r w:rsidRPr="00E74186">
        <w:rPr>
          <w:sz w:val="24"/>
        </w:rPr>
        <w:t xml:space="preserve">. </w:t>
      </w:r>
      <w:r>
        <w:rPr>
          <w:sz w:val="24"/>
        </w:rPr>
        <w:t>Survey Items</w:t>
      </w:r>
    </w:p>
    <w:p w:rsidR="00B30C42" w:rsidRPr="00E74186" w:rsidRDefault="007E689B" w:rsidP="00EC35E7">
      <w:pPr>
        <w:pStyle w:val="TOC"/>
        <w:tabs>
          <w:tab w:val="clear" w:pos="360"/>
          <w:tab w:val="clear" w:pos="9360"/>
          <w:tab w:val="right" w:leader="dot" w:pos="10170"/>
        </w:tabs>
        <w:rPr>
          <w:sz w:val="24"/>
        </w:rPr>
      </w:pPr>
      <w:r>
        <w:rPr>
          <w:sz w:val="24"/>
        </w:rPr>
        <w:tab/>
        <w:t>B</w:t>
      </w:r>
      <w:r w:rsidR="00B30C42" w:rsidRPr="00E74186">
        <w:rPr>
          <w:sz w:val="24"/>
        </w:rPr>
        <w:t>.3. Survey Form</w:t>
      </w:r>
    </w:p>
    <w:p w:rsidR="00B30C42" w:rsidRDefault="00B30C42" w:rsidP="00EC35E7">
      <w:pPr>
        <w:pStyle w:val="TOC"/>
        <w:tabs>
          <w:tab w:val="clear" w:pos="360"/>
          <w:tab w:val="clear" w:pos="9360"/>
          <w:tab w:val="right" w:leader="dot" w:pos="10170"/>
        </w:tabs>
        <w:rPr>
          <w:sz w:val="24"/>
        </w:rPr>
      </w:pPr>
      <w:r w:rsidRPr="00E74186">
        <w:rPr>
          <w:sz w:val="24"/>
        </w:rPr>
        <w:tab/>
      </w:r>
      <w:r w:rsidR="007E689B">
        <w:rPr>
          <w:sz w:val="24"/>
        </w:rPr>
        <w:t>B</w:t>
      </w:r>
      <w:r w:rsidRPr="00E74186">
        <w:rPr>
          <w:sz w:val="24"/>
        </w:rPr>
        <w:t>.4. Data Plan</w:t>
      </w:r>
    </w:p>
    <w:p w:rsidR="009E709B" w:rsidRDefault="009E709B" w:rsidP="00EC35E7">
      <w:pPr>
        <w:pStyle w:val="TOC"/>
        <w:tabs>
          <w:tab w:val="clear" w:pos="360"/>
          <w:tab w:val="clear" w:pos="9360"/>
          <w:tab w:val="right" w:leader="dot" w:pos="10170"/>
        </w:tabs>
        <w:rPr>
          <w:sz w:val="24"/>
        </w:rPr>
      </w:pPr>
    </w:p>
    <w:p w:rsidR="009E709B" w:rsidRPr="00E74186" w:rsidRDefault="009E709B" w:rsidP="00EC35E7">
      <w:pPr>
        <w:pStyle w:val="TOC"/>
        <w:tabs>
          <w:tab w:val="clear" w:pos="360"/>
          <w:tab w:val="clear" w:pos="9360"/>
          <w:tab w:val="right" w:leader="dot" w:pos="10170"/>
        </w:tabs>
        <w:rPr>
          <w:sz w:val="24"/>
        </w:rPr>
      </w:pPr>
      <w:r w:rsidRPr="009E709B">
        <w:rPr>
          <w:sz w:val="24"/>
        </w:rPr>
        <w:t>Appendix C</w:t>
      </w:r>
      <w:r>
        <w:rPr>
          <w:sz w:val="24"/>
        </w:rPr>
        <w:t>.</w:t>
      </w:r>
      <w:r w:rsidRPr="009E709B">
        <w:rPr>
          <w:sz w:val="24"/>
        </w:rPr>
        <w:t xml:space="preserve"> NPEFS FY</w:t>
      </w:r>
      <w:r w:rsidR="00827333">
        <w:rPr>
          <w:sz w:val="24"/>
        </w:rPr>
        <w:t>1</w:t>
      </w:r>
      <w:r w:rsidRPr="009E709B">
        <w:rPr>
          <w:sz w:val="24"/>
        </w:rPr>
        <w:t>0 Documentation</w:t>
      </w:r>
    </w:p>
    <w:p w:rsidR="005B42FE" w:rsidRDefault="005B42FE" w:rsidP="00EC35E7">
      <w:pPr>
        <w:pStyle w:val="TOC"/>
        <w:tabs>
          <w:tab w:val="clear" w:pos="360"/>
          <w:tab w:val="clear" w:pos="9360"/>
          <w:tab w:val="right" w:leader="dot" w:pos="10170"/>
        </w:tabs>
        <w:rPr>
          <w:sz w:val="24"/>
        </w:rPr>
      </w:pPr>
    </w:p>
    <w:p w:rsidR="00EC35E7" w:rsidRDefault="00EC35E7" w:rsidP="00EC35E7">
      <w:pPr>
        <w:pStyle w:val="Heading"/>
        <w:jc w:val="left"/>
      </w:pPr>
    </w:p>
    <w:p w:rsidR="00B30C42" w:rsidRPr="00BD41C6" w:rsidRDefault="00B30C42" w:rsidP="00BD41C6">
      <w:pPr>
        <w:autoSpaceDE w:val="0"/>
        <w:autoSpaceDN w:val="0"/>
        <w:adjustRightInd w:val="0"/>
        <w:jc w:val="center"/>
        <w:rPr>
          <w:b/>
        </w:rPr>
      </w:pPr>
      <w:r>
        <w:rPr>
          <w:bCs/>
        </w:rPr>
        <w:br w:type="page"/>
      </w:r>
      <w:r w:rsidR="00DE40FC" w:rsidRPr="00BD41C6">
        <w:rPr>
          <w:b/>
        </w:rPr>
        <w:lastRenderedPageBreak/>
        <w:t>PART A. JUSTIFICATION</w:t>
      </w:r>
    </w:p>
    <w:p w:rsidR="00B30C42" w:rsidRPr="00C747F1" w:rsidRDefault="00BD41C6">
      <w:pPr>
        <w:pStyle w:val="Heading1"/>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rsidR="00BD41C6" w:rsidRPr="00C747F1" w:rsidRDefault="00BD41C6" w:rsidP="00BD41C6">
      <w:pPr>
        <w:pStyle w:val="Heading"/>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C747F1" w:rsidRDefault="00B91E19" w:rsidP="00BD41C6">
      <w:pPr>
        <w:pStyle w:val="Heading5"/>
        <w:rPr>
          <w:rFonts w:ascii="Times New Roman" w:hAnsi="Times New Roman" w:cs="Times New Roman"/>
          <w:b w:val="0"/>
          <w:sz w:val="24"/>
          <w:szCs w:val="24"/>
        </w:rPr>
      </w:pPr>
      <w:r w:rsidRPr="00C747F1">
        <w:rPr>
          <w:rFonts w:ascii="Times New Roman" w:hAnsi="Times New Roman" w:cs="Times New Roman"/>
          <w:b w:val="0"/>
          <w:color w:val="000000"/>
          <w:sz w:val="24"/>
          <w:szCs w:val="24"/>
        </w:rPr>
        <w:t>The National Center for Education Statistics</w:t>
      </w:r>
      <w:r w:rsidR="0023084B" w:rsidRPr="00C747F1">
        <w:rPr>
          <w:rFonts w:ascii="Times New Roman" w:hAnsi="Times New Roman" w:cs="Times New Roman"/>
          <w:b w:val="0"/>
          <w:color w:val="000000"/>
          <w:sz w:val="24"/>
          <w:szCs w:val="24"/>
        </w:rPr>
        <w:t xml:space="preserve"> (NCES)</w:t>
      </w:r>
      <w:r w:rsidRPr="00C747F1">
        <w:rPr>
          <w:rFonts w:ascii="Times New Roman" w:hAnsi="Times New Roman" w:cs="Times New Roman"/>
          <w:b w:val="0"/>
          <w:color w:val="000000"/>
          <w:sz w:val="24"/>
          <w:szCs w:val="24"/>
        </w:rPr>
        <w:t xml:space="preserve"> requests</w:t>
      </w:r>
      <w:r w:rsidR="00BD41C6" w:rsidRPr="00C747F1">
        <w:rPr>
          <w:rFonts w:ascii="Times New Roman" w:hAnsi="Times New Roman" w:cs="Times New Roman"/>
          <w:b w:val="0"/>
          <w:color w:val="000000"/>
          <w:sz w:val="24"/>
          <w:szCs w:val="24"/>
        </w:rPr>
        <w:t xml:space="preserve"> approval of the </w:t>
      </w:r>
      <w:r w:rsidR="0006010D" w:rsidRPr="00C747F1">
        <w:rPr>
          <w:rFonts w:ascii="Times New Roman" w:hAnsi="Times New Roman" w:cs="Times New Roman"/>
          <w:b w:val="0"/>
          <w:color w:val="000000"/>
          <w:sz w:val="24"/>
          <w:szCs w:val="24"/>
        </w:rPr>
        <w:t xml:space="preserve">collection of </w:t>
      </w:r>
      <w:r w:rsidR="00BD41C6" w:rsidRPr="00C747F1">
        <w:rPr>
          <w:rFonts w:ascii="Times New Roman" w:hAnsi="Times New Roman" w:cs="Times New Roman"/>
          <w:b w:val="0"/>
          <w:color w:val="000000"/>
          <w:sz w:val="24"/>
          <w:szCs w:val="24"/>
        </w:rPr>
        <w:t xml:space="preserve">National Public Education Financial Survey (NPEFS) data covering </w:t>
      </w:r>
      <w:r w:rsidR="00EA70C0" w:rsidRPr="00C747F1">
        <w:rPr>
          <w:rFonts w:ascii="Times New Roman" w:hAnsi="Times New Roman" w:cs="Times New Roman"/>
          <w:b w:val="0"/>
          <w:color w:val="000000"/>
          <w:sz w:val="24"/>
          <w:szCs w:val="24"/>
        </w:rPr>
        <w:t xml:space="preserve">fiscal years 2012 through 2014 (corresponding to </w:t>
      </w:r>
      <w:r w:rsidR="00BD41C6" w:rsidRPr="00C747F1">
        <w:rPr>
          <w:rFonts w:ascii="Times New Roman" w:hAnsi="Times New Roman" w:cs="Times New Roman"/>
          <w:b w:val="0"/>
          <w:color w:val="000000"/>
          <w:sz w:val="24"/>
          <w:szCs w:val="24"/>
        </w:rPr>
        <w:t>school years 2011/12 through 2013/14</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 that would be carried out in 2013 through 2015</w:t>
      </w:r>
      <w:r w:rsidR="00BD41C6" w:rsidRPr="00C747F1">
        <w:rPr>
          <w:rFonts w:ascii="Times New Roman" w:hAnsi="Times New Roman" w:cs="Times New Roman"/>
          <w:b w:val="0"/>
          <w:color w:val="000000"/>
          <w:sz w:val="24"/>
          <w:szCs w:val="24"/>
        </w:rPr>
        <w:t xml:space="preserve">.  NPEFS is </w:t>
      </w:r>
      <w:r w:rsidR="00BD41C6" w:rsidRPr="00C747F1">
        <w:rPr>
          <w:rFonts w:ascii="Times New Roman" w:hAnsi="Times New Roman" w:cs="Times New Roman"/>
          <w:b w:val="0"/>
          <w:sz w:val="24"/>
          <w:szCs w:val="24"/>
        </w:rPr>
        <w:t>an annual collection of state-level finance data that ha</w:t>
      </w:r>
      <w:r w:rsidR="0006010D" w:rsidRPr="00C747F1">
        <w:rPr>
          <w:rFonts w:ascii="Times New Roman" w:hAnsi="Times New Roman" w:cs="Times New Roman"/>
          <w:b w:val="0"/>
          <w:sz w:val="24"/>
          <w:szCs w:val="24"/>
        </w:rPr>
        <w:t>ve</w:t>
      </w:r>
      <w:r w:rsidR="00BD41C6" w:rsidRPr="00C747F1">
        <w:rPr>
          <w:rFonts w:ascii="Times New Roman" w:hAnsi="Times New Roman" w:cs="Times New Roman"/>
          <w:b w:val="0"/>
          <w:sz w:val="24"/>
          <w:szCs w:val="24"/>
        </w:rPr>
        <w:t xml:space="preserve"> been </w:t>
      </w:r>
      <w:r w:rsidR="00EA70C0" w:rsidRPr="00C747F1">
        <w:rPr>
          <w:rFonts w:ascii="Times New Roman" w:hAnsi="Times New Roman" w:cs="Times New Roman"/>
          <w:b w:val="0"/>
          <w:sz w:val="24"/>
          <w:szCs w:val="24"/>
        </w:rPr>
        <w:t xml:space="preserve">a component </w:t>
      </w:r>
      <w:r w:rsidR="0023084B" w:rsidRPr="00C747F1">
        <w:rPr>
          <w:rFonts w:ascii="Times New Roman" w:hAnsi="Times New Roman" w:cs="Times New Roman"/>
          <w:b w:val="0"/>
          <w:sz w:val="24"/>
          <w:szCs w:val="24"/>
        </w:rPr>
        <w:t xml:space="preserve">of </w:t>
      </w:r>
      <w:r w:rsidR="00BD41C6" w:rsidRPr="00C747F1">
        <w:rPr>
          <w:rFonts w:ascii="Times New Roman" w:hAnsi="Times New Roman" w:cs="Times New Roman"/>
          <w:b w:val="0"/>
          <w:color w:val="000000"/>
          <w:sz w:val="24"/>
          <w:szCs w:val="24"/>
        </w:rPr>
        <w:t>NCES</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s</w:t>
      </w:r>
      <w:r w:rsidR="00BD41C6" w:rsidRPr="00C747F1">
        <w:rPr>
          <w:rFonts w:ascii="Times New Roman" w:hAnsi="Times New Roman" w:cs="Times New Roman"/>
          <w:b w:val="0"/>
          <w:color w:val="000000"/>
          <w:sz w:val="24"/>
          <w:szCs w:val="24"/>
        </w:rPr>
        <w:t xml:space="preserve"> </w:t>
      </w:r>
      <w:r w:rsidR="00BD41C6" w:rsidRPr="00C747F1">
        <w:rPr>
          <w:rFonts w:ascii="Times New Roman" w:hAnsi="Times New Roman" w:cs="Times New Roman"/>
          <w:b w:val="0"/>
          <w:sz w:val="24"/>
          <w:szCs w:val="24"/>
        </w:rPr>
        <w:t xml:space="preserve">Common Core of Data (CCD) since FY 1982 (covering school year 1981/82).  The U.S. Census Bureau, Governments Division, is the data collection agent for the National Center for Education Statistics (NCES) under interagency agreement.  With regards to this clearance request, </w:t>
      </w:r>
      <w:r w:rsidR="00BD41C6" w:rsidRPr="00C747F1">
        <w:rPr>
          <w:rFonts w:ascii="Times New Roman" w:hAnsi="Times New Roman" w:cs="Times New Roman"/>
          <w:b w:val="0"/>
          <w:color w:val="000000"/>
          <w:sz w:val="24"/>
          <w:szCs w:val="24"/>
        </w:rPr>
        <w:t xml:space="preserve">NCES has not added any new data items since the last NPEFS </w:t>
      </w:r>
      <w:r w:rsidR="00A211E3" w:rsidRPr="00C747F1">
        <w:rPr>
          <w:rFonts w:ascii="Times New Roman" w:hAnsi="Times New Roman" w:cs="Times New Roman"/>
          <w:b w:val="0"/>
          <w:color w:val="000000"/>
          <w:sz w:val="24"/>
          <w:szCs w:val="24"/>
        </w:rPr>
        <w:t>OMB clearance received i</w:t>
      </w:r>
      <w:r w:rsidR="00BD41C6" w:rsidRPr="00C747F1">
        <w:rPr>
          <w:rFonts w:ascii="Times New Roman" w:hAnsi="Times New Roman" w:cs="Times New Roman"/>
          <w:b w:val="0"/>
          <w:color w:val="000000"/>
          <w:sz w:val="24"/>
          <w:szCs w:val="24"/>
        </w:rPr>
        <w:t xml:space="preserve">n </w:t>
      </w:r>
      <w:r w:rsidR="00A211E3" w:rsidRPr="00C747F1">
        <w:rPr>
          <w:rFonts w:ascii="Times New Roman" w:hAnsi="Times New Roman" w:cs="Times New Roman"/>
          <w:b w:val="0"/>
          <w:color w:val="000000"/>
          <w:sz w:val="24"/>
          <w:szCs w:val="24"/>
        </w:rPr>
        <w:t xml:space="preserve">December 2009, and amended with change requests approved in December 2011 and </w:t>
      </w:r>
      <w:r w:rsidR="00BD41C6" w:rsidRPr="00C747F1">
        <w:rPr>
          <w:rFonts w:ascii="Times New Roman" w:hAnsi="Times New Roman" w:cs="Times New Roman"/>
          <w:b w:val="0"/>
          <w:color w:val="000000"/>
          <w:sz w:val="24"/>
          <w:szCs w:val="24"/>
        </w:rPr>
        <w:t>January 2012</w:t>
      </w:r>
      <w:r w:rsidR="00A211E3" w:rsidRPr="00C747F1">
        <w:rPr>
          <w:rFonts w:ascii="Times New Roman" w:hAnsi="Times New Roman" w:cs="Times New Roman"/>
          <w:b w:val="0"/>
          <w:color w:val="000000"/>
          <w:sz w:val="24"/>
          <w:szCs w:val="24"/>
        </w:rPr>
        <w:t xml:space="preserve"> (OMB# 1850-0067 v. 7-9)</w:t>
      </w:r>
      <w:r w:rsidR="00BD41C6" w:rsidRPr="00C747F1">
        <w:rPr>
          <w:rFonts w:ascii="Times New Roman" w:hAnsi="Times New Roman" w:cs="Times New Roman"/>
          <w:b w:val="0"/>
          <w:color w:val="000000"/>
          <w:sz w:val="24"/>
          <w:szCs w:val="24"/>
        </w:rPr>
        <w:t>.</w:t>
      </w:r>
      <w:r w:rsidR="00555C89" w:rsidRPr="00C747F1">
        <w:rPr>
          <w:rFonts w:ascii="Times New Roman" w:hAnsi="Times New Roman" w:cs="Times New Roman"/>
          <w:b w:val="0"/>
          <w:color w:val="000000"/>
          <w:sz w:val="24"/>
          <w:szCs w:val="24"/>
        </w:rPr>
        <w:t xml:space="preserve">  </w:t>
      </w:r>
      <w:r w:rsidR="00C53EB7" w:rsidRPr="00C747F1">
        <w:rPr>
          <w:rFonts w:ascii="Times New Roman" w:hAnsi="Times New Roman" w:cs="Times New Roman"/>
          <w:b w:val="0"/>
          <w:color w:val="000000"/>
          <w:sz w:val="24"/>
          <w:szCs w:val="24"/>
        </w:rPr>
        <w:t>NCES will continue to collect s</w:t>
      </w:r>
      <w:r w:rsidR="00C53EB7" w:rsidRPr="00C747F1">
        <w:rPr>
          <w:rFonts w:ascii="Times New Roman" w:hAnsi="Times New Roman" w:cs="Times New Roman"/>
          <w:b w:val="0"/>
          <w:sz w:val="24"/>
          <w:szCs w:val="24"/>
        </w:rPr>
        <w:t>even data items on NPEFS, pursuant to the American Recovery and Reinvestment Act (ARRA)</w:t>
      </w:r>
      <w:r w:rsidR="00C53EB7" w:rsidRPr="00C747F1">
        <w:rPr>
          <w:rStyle w:val="FootnoteReference"/>
          <w:rFonts w:ascii="Times New Roman" w:hAnsi="Times New Roman" w:cs="Times New Roman"/>
          <w:b w:val="0"/>
          <w:sz w:val="24"/>
          <w:szCs w:val="24"/>
          <w:vertAlign w:val="superscript"/>
        </w:rPr>
        <w:footnoteReference w:id="1"/>
      </w:r>
      <w:r w:rsidR="00C53EB7" w:rsidRPr="00C747F1">
        <w:rPr>
          <w:rFonts w:ascii="Times New Roman" w:hAnsi="Times New Roman" w:cs="Times New Roman"/>
          <w:b w:val="0"/>
          <w:sz w:val="24"/>
          <w:szCs w:val="24"/>
        </w:rPr>
        <w:t xml:space="preserve"> up and until FY14 if necessary.  </w:t>
      </w:r>
      <w:r w:rsidR="00880F36" w:rsidRPr="00C747F1">
        <w:rPr>
          <w:rFonts w:ascii="Times New Roman" w:hAnsi="Times New Roman" w:cs="Times New Roman"/>
          <w:b w:val="0"/>
          <w:sz w:val="24"/>
          <w:szCs w:val="24"/>
        </w:rPr>
        <w:t xml:space="preserve">The </w:t>
      </w:r>
      <w:r w:rsidR="00522082" w:rsidRPr="00C747F1">
        <w:rPr>
          <w:rFonts w:ascii="Times New Roman" w:hAnsi="Times New Roman" w:cs="Times New Roman"/>
          <w:b w:val="0"/>
          <w:sz w:val="24"/>
          <w:szCs w:val="24"/>
        </w:rPr>
        <w:t xml:space="preserve">ARRA </w:t>
      </w:r>
      <w:r w:rsidR="00880F36" w:rsidRPr="00C747F1">
        <w:rPr>
          <w:rFonts w:ascii="Times New Roman" w:hAnsi="Times New Roman" w:cs="Times New Roman"/>
          <w:b w:val="0"/>
          <w:sz w:val="24"/>
          <w:szCs w:val="24"/>
        </w:rPr>
        <w:t xml:space="preserve">data items will be completely removed from NPEFS </w:t>
      </w:r>
      <w:r w:rsidR="00D07536" w:rsidRPr="00C747F1">
        <w:rPr>
          <w:rFonts w:ascii="Times New Roman" w:hAnsi="Times New Roman" w:cs="Times New Roman"/>
          <w:b w:val="0"/>
          <w:sz w:val="24"/>
          <w:szCs w:val="24"/>
        </w:rPr>
        <w:t xml:space="preserve">when </w:t>
      </w:r>
      <w:r w:rsidR="00880F36" w:rsidRPr="00C747F1">
        <w:rPr>
          <w:rFonts w:ascii="Times New Roman" w:hAnsi="Times New Roman" w:cs="Times New Roman"/>
          <w:b w:val="0"/>
          <w:sz w:val="24"/>
          <w:szCs w:val="24"/>
        </w:rPr>
        <w:t>SEAs expend all Recovery Act funds, either through formula o</w:t>
      </w:r>
      <w:r w:rsidR="00D07536" w:rsidRPr="00C747F1">
        <w:rPr>
          <w:rFonts w:ascii="Times New Roman" w:hAnsi="Times New Roman" w:cs="Times New Roman"/>
          <w:b w:val="0"/>
          <w:sz w:val="24"/>
          <w:szCs w:val="24"/>
        </w:rPr>
        <w:t>r</w:t>
      </w:r>
      <w:r w:rsidR="00880F36" w:rsidRPr="00C747F1">
        <w:rPr>
          <w:rFonts w:ascii="Times New Roman" w:hAnsi="Times New Roman" w:cs="Times New Roman"/>
          <w:b w:val="0"/>
          <w:sz w:val="24"/>
          <w:szCs w:val="24"/>
        </w:rPr>
        <w:t xml:space="preserve"> competitive grant</w:t>
      </w:r>
      <w:r w:rsidR="0069335E" w:rsidRPr="00C747F1">
        <w:rPr>
          <w:rFonts w:ascii="Times New Roman" w:hAnsi="Times New Roman" w:cs="Times New Roman"/>
          <w:b w:val="0"/>
          <w:sz w:val="24"/>
          <w:szCs w:val="24"/>
        </w:rPr>
        <w:t>s</w:t>
      </w:r>
      <w:r w:rsidR="00880F36" w:rsidRPr="00C747F1">
        <w:rPr>
          <w:rFonts w:ascii="Times New Roman" w:hAnsi="Times New Roman" w:cs="Times New Roman"/>
          <w:b w:val="0"/>
          <w:sz w:val="24"/>
          <w:szCs w:val="24"/>
        </w:rPr>
        <w:t>.</w:t>
      </w:r>
      <w:r w:rsidR="0069335E" w:rsidRPr="00C747F1">
        <w:rPr>
          <w:rStyle w:val="FootnoteReference"/>
          <w:rFonts w:ascii="Times New Roman" w:hAnsi="Times New Roman" w:cs="Times New Roman"/>
          <w:b w:val="0"/>
          <w:sz w:val="24"/>
          <w:szCs w:val="24"/>
          <w:vertAlign w:val="superscript"/>
        </w:rPr>
        <w:footnoteReference w:id="2"/>
      </w:r>
      <w:r w:rsidR="00880F36" w:rsidRPr="00C747F1">
        <w:rPr>
          <w:rFonts w:ascii="Times New Roman" w:hAnsi="Times New Roman" w:cs="Times New Roman"/>
          <w:b w:val="0"/>
          <w:sz w:val="24"/>
          <w:szCs w:val="24"/>
        </w:rPr>
        <w:t xml:space="preserve">  </w:t>
      </w:r>
    </w:p>
    <w:p w:rsidR="00C747F1" w:rsidRDefault="00C747F1" w:rsidP="00BD41C6">
      <w:pPr>
        <w:pStyle w:val="Heading5"/>
        <w:rPr>
          <w:rFonts w:ascii="Times New Roman" w:hAnsi="Times New Roman" w:cs="Times New Roman"/>
          <w:b w:val="0"/>
          <w:sz w:val="24"/>
          <w:szCs w:val="24"/>
        </w:rPr>
      </w:pPr>
    </w:p>
    <w:p w:rsidR="00BD41C6" w:rsidRPr="00C747F1" w:rsidRDefault="00EA70C0" w:rsidP="00BD41C6">
      <w:pPr>
        <w:pStyle w:val="Heading5"/>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Overview of CCD Survey Components</w:t>
      </w:r>
    </w:p>
    <w:p w:rsidR="00BD41C6" w:rsidRDefault="00BD41C6" w:rsidP="00BD41C6">
      <w:pPr>
        <w:autoSpaceDE w:val="0"/>
        <w:autoSpaceDN w:val="0"/>
        <w:adjustRightInd w:val="0"/>
        <w:rPr>
          <w:color w:val="000000"/>
        </w:rPr>
      </w:pPr>
    </w:p>
    <w:p w:rsidR="00BD41C6" w:rsidRPr="00864F60" w:rsidRDefault="00567497" w:rsidP="00BD41C6">
      <w:pPr>
        <w:autoSpaceDE w:val="0"/>
        <w:autoSpaceDN w:val="0"/>
        <w:adjustRightInd w:val="0"/>
        <w:jc w:val="both"/>
        <w:rPr>
          <w:color w:val="000000"/>
        </w:rPr>
      </w:pPr>
      <w:r>
        <w:t>CCD</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BD41C6">
        <w:t xml:space="preserve">  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t xml:space="preserve"> and the supporting financial data on revenues and expenditures.</w:t>
      </w:r>
    </w:p>
    <w:p w:rsidR="00BD41C6" w:rsidRDefault="00BD41C6" w:rsidP="00BD41C6"/>
    <w:p w:rsidR="00BD41C6" w:rsidRDefault="00BD41C6" w:rsidP="00BD41C6">
      <w:pPr>
        <w:autoSpaceDE w:val="0"/>
        <w:autoSpaceDN w:val="0"/>
        <w:adjustRightInd w:val="0"/>
        <w:rPr>
          <w:color w:val="000000"/>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 xml:space="preserve">.  </w:t>
      </w:r>
      <w:r w:rsidR="002416AC">
        <w:rPr>
          <w:rFonts w:eastAsia="Calibri"/>
        </w:rPr>
        <w:t>There are three nonfiscal survey components</w:t>
      </w:r>
      <w:r w:rsidR="00567497">
        <w:rPr>
          <w:rFonts w:eastAsia="Calibri"/>
        </w:rPr>
        <w:t>, which are collected as part of the Department of Education’s EdFacts system:</w:t>
      </w:r>
      <w:r w:rsidRPr="00BD41C6">
        <w:rPr>
          <w:rFonts w:eastAsia="Calibri"/>
        </w:rPr>
        <w:t xml:space="preserve"> </w:t>
      </w:r>
    </w:p>
    <w:p w:rsidR="00BD41C6" w:rsidRPr="00BB33FC"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rsidR="00BD41C6" w:rsidRPr="00BB33FC"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 xml:space="preserve">and number of high school completers and dropouts from the previous year. </w:t>
      </w:r>
    </w:p>
    <w:p w:rsidR="00BD41C6"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w:t>
      </w:r>
      <w:r w:rsidR="00BB33FC">
        <w:rPr>
          <w:rFonts w:eastAsia="Calibri"/>
        </w:rPr>
        <w:lastRenderedPageBreak/>
        <w:t xml:space="preserve">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RDefault="00BB33FC" w:rsidP="00C747F1">
      <w:pPr>
        <w:autoSpaceDE w:val="0"/>
        <w:autoSpaceDN w:val="0"/>
        <w:adjustRightInd w:val="0"/>
        <w:rPr>
          <w:rFonts w:eastAsia="Calibri"/>
        </w:rPr>
      </w:pPr>
    </w:p>
    <w:p w:rsidR="00BB33FC" w:rsidRDefault="002416AC" w:rsidP="00C747F1">
      <w:pPr>
        <w:autoSpaceDE w:val="0"/>
        <w:autoSpaceDN w:val="0"/>
        <w:adjustRightInd w:val="0"/>
        <w:rPr>
          <w:rFonts w:eastAsia="Calibri"/>
        </w:rPr>
      </w:pPr>
      <w:r>
        <w:rPr>
          <w:rFonts w:eastAsia="Calibri"/>
        </w:rPr>
        <w:t>There are two fiscal survey components</w:t>
      </w:r>
      <w:r w:rsidR="001D7903">
        <w:rPr>
          <w:rFonts w:eastAsia="Calibri"/>
        </w:rPr>
        <w:t xml:space="preserve"> collected separately in cooperation with the U</w:t>
      </w:r>
      <w:r w:rsidR="001A4979">
        <w:rPr>
          <w:rFonts w:eastAsia="Calibri"/>
        </w:rPr>
        <w:t>.</w:t>
      </w:r>
      <w:r w:rsidR="001D7903">
        <w:rPr>
          <w:rFonts w:eastAsia="Calibri"/>
        </w:rPr>
        <w:t>S</w:t>
      </w:r>
      <w:r w:rsidR="001A4979">
        <w:rPr>
          <w:rFonts w:eastAsia="Calibri"/>
        </w:rPr>
        <w:t>.</w:t>
      </w:r>
      <w:r w:rsidR="001D7903">
        <w:rPr>
          <w:rFonts w:eastAsia="Calibri"/>
        </w:rPr>
        <w:t xml:space="preserve"> Census Bureau</w:t>
      </w:r>
      <w:r>
        <w:rPr>
          <w:rFonts w:eastAsia="Calibri"/>
        </w:rPr>
        <w:t>:</w:t>
      </w:r>
    </w:p>
    <w:p w:rsidR="002416AC" w:rsidRPr="00BB33FC" w:rsidRDefault="002416AC" w:rsidP="00C747F1">
      <w:pPr>
        <w:autoSpaceDE w:val="0"/>
        <w:autoSpaceDN w:val="0"/>
        <w:adjustRightInd w:val="0"/>
        <w:rPr>
          <w:rFonts w:eastAsia="Calibri"/>
        </w:rPr>
      </w:pP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source, </w:t>
      </w:r>
      <w:r w:rsidR="001D7903" w:rsidRPr="00A25B62">
        <w:rPr>
          <w:rFonts w:eastAsia="Calibri"/>
        </w:rPr>
        <w:t xml:space="preserve">and </w:t>
      </w:r>
      <w:r w:rsidRPr="00A25B62">
        <w:rPr>
          <w:rFonts w:eastAsia="Calibri"/>
        </w:rPr>
        <w:t>expenditures by function and subfunction.</w:t>
      </w:r>
      <w:r w:rsidR="001D7903" w:rsidRPr="00A25B62">
        <w:rPr>
          <w:rFonts w:eastAsia="Calibri"/>
        </w:rPr>
        <w:t xml:space="preserve">  This survey is co-sponsored by the U.S. Census Bureau and published by Census as the Survey of Local Governments: School Systems (OMB# 0607-0700).</w:t>
      </w:r>
    </w:p>
    <w:p w:rsidR="00D92BA4" w:rsidRDefault="00D92BA4" w:rsidP="00BD41C6">
      <w:pPr>
        <w:autoSpaceDE w:val="0"/>
        <w:autoSpaceDN w:val="0"/>
        <w:adjustRightInd w:val="0"/>
        <w:ind w:left="720" w:hanging="720"/>
        <w:rPr>
          <w:rFonts w:eastAsia="Calibri"/>
        </w:rPr>
      </w:pPr>
    </w:p>
    <w:p w:rsidR="00D92BA4" w:rsidRDefault="00D92BA4" w:rsidP="00BD41C6">
      <w:pPr>
        <w:autoSpaceDE w:val="0"/>
        <w:autoSpaceDN w:val="0"/>
        <w:adjustRightInd w:val="0"/>
        <w:ind w:left="720" w:hanging="720"/>
        <w:rPr>
          <w:rFonts w:eastAsia="Calibri"/>
        </w:rPr>
      </w:pPr>
      <w:r>
        <w:rPr>
          <w:rFonts w:eastAsia="Calibri"/>
        </w:rPr>
        <w:t>The sixth component is a continued research and development collection of teacher-level data:</w:t>
      </w:r>
    </w:p>
    <w:p w:rsidR="00D92BA4" w:rsidRDefault="00D92BA4" w:rsidP="00BD41C6">
      <w:pPr>
        <w:autoSpaceDE w:val="0"/>
        <w:autoSpaceDN w:val="0"/>
        <w:adjustRightInd w:val="0"/>
        <w:ind w:left="720" w:hanging="720"/>
        <w:rPr>
          <w:rFonts w:eastAsia="Calibri"/>
        </w:rPr>
      </w:pPr>
    </w:p>
    <w:p w:rsidR="00092FDA" w:rsidRDefault="00D92BA4" w:rsidP="00BD41C6">
      <w:pPr>
        <w:autoSpaceDE w:val="0"/>
        <w:autoSpaceDN w:val="0"/>
        <w:adjustRightInd w:val="0"/>
        <w:rPr>
          <w:bCs/>
        </w:rPr>
      </w:pPr>
      <w:r w:rsidRPr="00C747F1">
        <w:rPr>
          <w:rFonts w:eastAsia="Calibri"/>
          <w:i/>
          <w:u w:val="single"/>
        </w:rPr>
        <w:t>Teacher Compensation Survey (TCS</w:t>
      </w:r>
      <w:r w:rsidR="00C747F1">
        <w:rPr>
          <w:rFonts w:eastAsia="Calibri"/>
          <w:i/>
          <w:u w:val="single"/>
        </w:rPr>
        <w:t>)</w:t>
      </w:r>
      <w:r w:rsidR="003A51F6">
        <w:rPr>
          <w:rFonts w:eastAsia="Calibri"/>
        </w:rPr>
        <w:t>—</w:t>
      </w:r>
      <w:r w:rsidR="003A51F6">
        <w:rPr>
          <w:bCs/>
        </w:rPr>
        <w:t xml:space="preserve">provides </w:t>
      </w:r>
      <w:r w:rsidR="00717628" w:rsidRPr="00717628">
        <w:rPr>
          <w:bCs/>
        </w:rPr>
        <w:t>individual teacher-level data</w:t>
      </w:r>
      <w:r w:rsidR="003A51F6">
        <w:rPr>
          <w:bCs/>
        </w:rPr>
        <w:t xml:space="preserve"> on </w:t>
      </w:r>
      <w:r w:rsidR="00717628" w:rsidRPr="00717628">
        <w:rPr>
          <w:bCs/>
        </w:rPr>
        <w:t>total compensation, teacher status, and demographic data about individual teachers from multiple states.</w:t>
      </w:r>
      <w:r w:rsidR="00B07EC3">
        <w:rPr>
          <w:bCs/>
        </w:rPr>
        <w:t xml:space="preserve">  </w:t>
      </w:r>
      <w:r w:rsidR="00B07EC3">
        <w:t>The information collected from the administrative records includes base salary, total salary, benefits, highest level of education, years of teaching experience, gender, and race/ethnicity for each teacher.</w:t>
      </w:r>
      <w:r w:rsidR="003A51F6">
        <w:rPr>
          <w:bCs/>
        </w:rPr>
        <w:t xml:space="preserve">  </w:t>
      </w:r>
      <w:r w:rsidR="00717628" w:rsidRPr="00B71D31">
        <w:rPr>
          <w:bCs/>
        </w:rPr>
        <w:t xml:space="preserve">Approximately 1.6 million teachers are currently in the data set, representing 50% of teachers in the United States.  </w:t>
      </w:r>
    </w:p>
    <w:p w:rsidR="00092FDA" w:rsidRDefault="00092FDA" w:rsidP="00BD41C6">
      <w:pPr>
        <w:autoSpaceDE w:val="0"/>
        <w:autoSpaceDN w:val="0"/>
        <w:adjustRightInd w:val="0"/>
        <w:rPr>
          <w:bCs/>
        </w:rPr>
      </w:pPr>
    </w:p>
    <w:p w:rsidR="00BD41C6" w:rsidRDefault="00BD41C6" w:rsidP="00BD41C6">
      <w:pPr>
        <w:autoSpaceDE w:val="0"/>
        <w:autoSpaceDN w:val="0"/>
        <w:adjustRightInd w:val="0"/>
        <w:rPr>
          <w:color w:val="000000"/>
          <w:sz w:val="18"/>
          <w:szCs w:val="18"/>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  Appendix A is a compilation of all communication materials between NCES, the Census Bureau</w:t>
      </w:r>
      <w:r w:rsidR="00C70362">
        <w:rPr>
          <w:color w:val="000000"/>
        </w:rPr>
        <w:t>,</w:t>
      </w:r>
      <w:r w:rsidRPr="00AA1670">
        <w:rPr>
          <w:color w:val="000000"/>
        </w:rPr>
        <w:t xml:space="preserve"> and the respective </w:t>
      </w:r>
      <w:r w:rsidR="001D7903">
        <w:rPr>
          <w:color w:val="000000"/>
        </w:rPr>
        <w:t>SEAs</w:t>
      </w:r>
      <w:r w:rsidRPr="00AA1670">
        <w:rPr>
          <w:color w:val="000000"/>
        </w:rPr>
        <w:t>.</w:t>
      </w:r>
      <w:r>
        <w:rPr>
          <w:color w:val="000000"/>
          <w:sz w:val="22"/>
          <w:szCs w:val="22"/>
        </w:rPr>
        <w:t xml:space="preserve"> </w:t>
      </w:r>
    </w:p>
    <w:p w:rsidR="00BD41C6" w:rsidRPr="00BD41C6" w:rsidRDefault="00BD41C6" w:rsidP="00BD41C6">
      <w:pPr>
        <w:pStyle w:val="Heading"/>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B30C42" w:rsidRPr="00AA1670" w:rsidRDefault="00B30C42" w:rsidP="00DA007D">
      <w:pPr>
        <w:spacing w:before="240" w:after="240"/>
        <w:ind w:right="-86"/>
      </w:pPr>
      <w:r w:rsidRPr="00AA1670">
        <w:t>The NPEFS is the Nation’s only source of annual statistical information about total revenues and expenditures for public elementary and secondary education</w:t>
      </w:r>
      <w:r w:rsidR="00926529">
        <w:t xml:space="preserve"> at the state level</w:t>
      </w:r>
      <w:r w:rsidRPr="00AA1670">
        <w:t>.</w:t>
      </w:r>
      <w:r w:rsidR="00A00B5A">
        <w:t xml:space="preserve"> </w:t>
      </w:r>
      <w:r w:rsidRPr="00AA1670">
        <w:t xml:space="preserve"> </w:t>
      </w:r>
      <w:r w:rsidR="001A4979">
        <w:t>T</w:t>
      </w:r>
      <w:r w:rsidR="00DA007D" w:rsidRPr="00A40D7A">
        <w:t>he Education Sciences Reform Act of 2002</w:t>
      </w:r>
      <w:r w:rsidR="009C6FAA">
        <w:t xml:space="preserve"> (</w:t>
      </w:r>
      <w:r w:rsidR="00DA007D" w:rsidRPr="00A40D7A">
        <w:t>20 U.S.C.</w:t>
      </w:r>
      <w:r w:rsidR="009C6FAA">
        <w:t xml:space="preserve"> </w:t>
      </w:r>
      <w:r w:rsidR="009C6FAA" w:rsidRPr="00A40D7A">
        <w:t xml:space="preserve">section </w:t>
      </w:r>
      <w:r w:rsidR="00DA007D" w:rsidRPr="00A40D7A">
        <w:t>9543</w:t>
      </w:r>
      <w:r w:rsidR="000E2688">
        <w:t>)</w:t>
      </w:r>
      <w:r w:rsidR="001A4979">
        <w:t xml:space="preserve"> provides the legislative authority for NCES to collect this information</w:t>
      </w:r>
      <w:r w:rsidR="009C6FAA">
        <w:t xml:space="preserve">. </w:t>
      </w:r>
    </w:p>
    <w:p w:rsidR="00E0452D" w:rsidRPr="00BD41C6" w:rsidRDefault="00E0452D" w:rsidP="00E0452D">
      <w:pPr>
        <w:pStyle w:val="Heading"/>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Pr="00FF3382" w:rsidRDefault="00B30C42" w:rsidP="00FF3382">
      <w:pPr>
        <w:spacing w:after="240"/>
        <w:rPr>
          <w:rFonts w:ascii="Courier New" w:hAnsi="Courier New" w:cs="Courier New"/>
        </w:rPr>
      </w:pPr>
      <w:r w:rsidRPr="00AA1670">
        <w:t>Participation in the CCD is voluntary, but several Department of Education Programs require the use of its data. The use may be stipulated by guidance or reporting instr</w:t>
      </w:r>
      <w:r w:rsidR="00FF3382">
        <w:t>uctions rather than regulation.</w:t>
      </w:r>
    </w:p>
    <w:p w:rsidR="00B30C42" w:rsidRPr="00AA1670" w:rsidRDefault="0079018C" w:rsidP="0079018C">
      <w:pPr>
        <w:pStyle w:val="Heading"/>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7301B9" w:rsidRDefault="007301B9" w:rsidP="00A40D7A">
      <w:pPr>
        <w:rPr>
          <w:color w:val="000000"/>
        </w:rPr>
      </w:pPr>
      <w:r w:rsidRPr="001C03E7">
        <w:rPr>
          <w:color w:val="000000"/>
        </w:rPr>
        <w:t xml:space="preserve">NPEFS is an annual state level school finance data collection </w:t>
      </w:r>
      <w:r w:rsidR="00784AFB">
        <w:rPr>
          <w:color w:val="000000"/>
        </w:rPr>
        <w:t>starting in</w:t>
      </w:r>
      <w:r w:rsidRPr="001C03E7">
        <w:rPr>
          <w:color w:val="000000"/>
        </w:rPr>
        <w:t xml:space="preserve"> FY </w:t>
      </w:r>
      <w:r w:rsidR="00982B28">
        <w:rPr>
          <w:color w:val="000000"/>
        </w:rPr>
        <w:t>19</w:t>
      </w:r>
      <w:r w:rsidRPr="001C03E7">
        <w:rPr>
          <w:color w:val="000000"/>
        </w:rPr>
        <w:t>82</w:t>
      </w:r>
      <w:r w:rsidR="00784AFB">
        <w:rPr>
          <w:color w:val="000000"/>
        </w:rPr>
        <w:t>, which</w:t>
      </w:r>
      <w:r>
        <w:rPr>
          <w:color w:val="000000"/>
        </w:rPr>
        <w:t xml:space="preserve"> has existed in its current form since 1986.   There are f</w:t>
      </w:r>
      <w:r w:rsidRPr="001C03E7">
        <w:rPr>
          <w:color w:val="000000"/>
        </w:rPr>
        <w:t>ifty-six variables</w:t>
      </w:r>
      <w:r>
        <w:rPr>
          <w:color w:val="000000"/>
        </w:rPr>
        <w:t xml:space="preserve"> on the NPEFS survey, including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w:t>
      </w:r>
      <w:r w:rsidR="00A13150" w:rsidRPr="00C747F1">
        <w:rPr>
          <w:rStyle w:val="FootnoteReference"/>
          <w:color w:val="000000"/>
          <w:vertAlign w:val="superscript"/>
        </w:rPr>
        <w:footnoteReference w:id="3"/>
      </w:r>
      <w:r w:rsidRPr="00AA1670">
        <w:rPr>
          <w:color w:val="000000"/>
        </w:rPr>
        <w:t xml:space="preserve"> and object</w:t>
      </w:r>
      <w:r>
        <w:rPr>
          <w:color w:val="000000"/>
        </w:rPr>
        <w:t>,</w:t>
      </w:r>
      <w:r w:rsidR="00A13150" w:rsidRPr="00C747F1">
        <w:rPr>
          <w:rStyle w:val="FootnoteReference"/>
          <w:color w:val="000000"/>
          <w:vertAlign w:val="superscript"/>
        </w:rPr>
        <w:footnoteReference w:id="4"/>
      </w:r>
      <w:r>
        <w:rPr>
          <w:color w:val="000000"/>
        </w:rPr>
        <w:t xml:space="preserve"> </w:t>
      </w:r>
      <w:r w:rsidR="00260BF8">
        <w:rPr>
          <w:color w:val="000000"/>
        </w:rPr>
        <w:t>including</w:t>
      </w:r>
      <w:r>
        <w:rPr>
          <w:color w:val="000000"/>
        </w:rPr>
        <w:t xml:space="preserve"> by </w:t>
      </w:r>
      <w:r w:rsidRPr="00AA1670">
        <w:t xml:space="preserve">salaries, </w:t>
      </w:r>
      <w:r w:rsidRPr="00AA1670">
        <w:lastRenderedPageBreak/>
        <w:t>benefits, purchased services, and supplies</w:t>
      </w:r>
      <w:r w:rsidRPr="00AA1670">
        <w:rPr>
          <w:color w:val="000000"/>
        </w:rPr>
        <w:t>.</w:t>
      </w:r>
      <w:r>
        <w:rPr>
          <w:color w:val="000000"/>
        </w:rPr>
        <w:t xml:space="preserve">  </w:t>
      </w: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39203D">
        <w:t xml:space="preserve">  NPEFS serves as both a statistical and </w:t>
      </w:r>
      <w:r w:rsidR="000E2688">
        <w:t xml:space="preserve">an </w:t>
      </w:r>
      <w:r w:rsidR="0039203D">
        <w:t>administrative collection used for a number of federal program funding allocations.</w:t>
      </w:r>
    </w:p>
    <w:p w:rsidR="007301B9" w:rsidRDefault="007301B9" w:rsidP="00A40D7A">
      <w:pPr>
        <w:rPr>
          <w:color w:val="000000"/>
        </w:rPr>
      </w:pPr>
    </w:p>
    <w:p w:rsidR="00305BDF" w:rsidRPr="00C747F1" w:rsidRDefault="00305BDF" w:rsidP="00A40D7A">
      <w:pPr>
        <w:rPr>
          <w:i/>
          <w:u w:val="single"/>
        </w:rPr>
      </w:pPr>
      <w:r w:rsidRPr="00C747F1">
        <w:rPr>
          <w:i/>
          <w:u w:val="single"/>
        </w:rPr>
        <w:t>Statistical Uses</w:t>
      </w:r>
    </w:p>
    <w:p w:rsidR="00305BDF" w:rsidRDefault="00305BDF" w:rsidP="00A40D7A"/>
    <w:p w:rsidR="00A40D7A" w:rsidRDefault="00B30C42" w:rsidP="00A40D7A">
      <w:r w:rsidRPr="00AA1670">
        <w:t>As a general statistical collection</w:t>
      </w:r>
      <w:r w:rsidR="007301B9">
        <w:t xml:space="preserve"> </w:t>
      </w:r>
      <w:r w:rsidRPr="00AA1670">
        <w:t>the NPEFS is used for a range of purposes.</w:t>
      </w:r>
      <w:r w:rsidR="00A40D7A">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  Uses can be far-ranging from state and national comparisons to individual school le</w:t>
      </w:r>
      <w:r w:rsidR="00FC53B1">
        <w:t>vel management of resources</w:t>
      </w:r>
      <w:r w:rsidR="00A40D7A">
        <w:t>.</w:t>
      </w:r>
      <w:r w:rsidR="00177C3C">
        <w:t xml:space="preserve">  </w:t>
      </w:r>
      <w:r w:rsidR="00C83139">
        <w:t>The consumers of education finance data typically include five major groups: (1) oversight bodies such as school boards</w:t>
      </w:r>
      <w:r w:rsidR="00031727">
        <w:t>, state education agencies</w:t>
      </w:r>
      <w:r w:rsidR="00C83139">
        <w:t xml:space="preserve">, </w:t>
      </w:r>
      <w:r w:rsidR="00031727">
        <w:t xml:space="preserve">and </w:t>
      </w:r>
      <w:r w:rsidR="00C83139">
        <w:t>legislatures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177C3C" w:rsidRDefault="00177C3C" w:rsidP="00A40D7A"/>
    <w:p w:rsidR="00177C3C" w:rsidRPr="00AA1670" w:rsidRDefault="00177C3C" w:rsidP="00177C3C">
      <w:pPr>
        <w:autoSpaceDE w:val="0"/>
        <w:autoSpaceDN w:val="0"/>
        <w:adjustRightInd w:val="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t xml:space="preserve">, and for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 xml:space="preserve">.  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xml:space="preserve">; Build-a-Table (BAT) </w:t>
      </w:r>
      <w:r w:rsidR="004D0609">
        <w:t>t</w:t>
      </w:r>
      <w:r w:rsidRPr="00FB3F2B">
        <w:t xml:space="preserve">ool; Elementary-Secondary Information System; </w:t>
      </w:r>
      <w:r>
        <w:t xml:space="preserve">and </w:t>
      </w:r>
      <w:r w:rsidRPr="00FB3F2B">
        <w:t>School District Demographics System</w:t>
      </w:r>
      <w:r>
        <w:t xml:space="preserve">.  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r:id="rId11" w:history="1">
        <w:r w:rsidRPr="006A772C">
          <w:rPr>
            <w:rStyle w:val="Hyperlink"/>
          </w:rPr>
          <w:t>http://www.SchoolMatters.com</w:t>
        </w:r>
      </w:hyperlink>
      <w:r>
        <w:rPr>
          <w:color w:val="000000"/>
        </w:rPr>
        <w:t>.</w:t>
      </w:r>
    </w:p>
    <w:p w:rsidR="00177C3C" w:rsidRPr="00AA1670" w:rsidRDefault="00177C3C" w:rsidP="00177C3C">
      <w:pPr>
        <w:autoSpaceDE w:val="0"/>
        <w:autoSpaceDN w:val="0"/>
        <w:adjustRightInd w:val="0"/>
        <w:rPr>
          <w:b/>
          <w:bCs/>
          <w:color w:val="000000"/>
        </w:rPr>
      </w:pPr>
    </w:p>
    <w:p w:rsidR="00305BDF" w:rsidRPr="00305BDF" w:rsidRDefault="00305BDF" w:rsidP="00C801E5">
      <w:pPr>
        <w:autoSpaceDE w:val="0"/>
        <w:autoSpaceDN w:val="0"/>
        <w:adjustRightInd w:val="0"/>
        <w:rPr>
          <w:snapToGrid w:val="0"/>
        </w:rPr>
      </w:pPr>
      <w:r w:rsidRPr="00C747F1">
        <w:rPr>
          <w:i/>
          <w:snapToGrid w:val="0"/>
          <w:u w:val="single"/>
        </w:rPr>
        <w:t>Administrative Uses</w:t>
      </w:r>
    </w:p>
    <w:p w:rsidR="00305BDF" w:rsidRDefault="00305BDF" w:rsidP="00C801E5">
      <w:pPr>
        <w:autoSpaceDE w:val="0"/>
        <w:autoSpaceDN w:val="0"/>
        <w:adjustRightInd w:val="0"/>
        <w:rPr>
          <w:snapToGrid w:val="0"/>
        </w:rPr>
      </w:pPr>
    </w:p>
    <w:p w:rsidR="007301B9" w:rsidRDefault="003D548A" w:rsidP="00C801E5">
      <w:pPr>
        <w:autoSpaceDE w:val="0"/>
        <w:autoSpaceDN w:val="0"/>
        <w:adjustRightInd w:val="0"/>
      </w:pPr>
      <w:r>
        <w:rPr>
          <w:snapToGrid w:val="0"/>
        </w:rPr>
        <w:t>T</w:t>
      </w:r>
      <w:r w:rsidRPr="00AA1670">
        <w:rPr>
          <w:snapToGrid w:val="0"/>
        </w:rPr>
        <w:t xml:space="preserve">he Secretary </w:t>
      </w:r>
      <w:r>
        <w:rPr>
          <w:snapToGrid w:val="0"/>
        </w:rPr>
        <w:t xml:space="preserve">of Education </w:t>
      </w:r>
      <w:r w:rsidRPr="00AA1670">
        <w:rPr>
          <w:snapToGrid w:val="0"/>
        </w:rPr>
        <w:t xml:space="preserve">uses </w:t>
      </w:r>
      <w:r>
        <w:rPr>
          <w:snapToGrid w:val="0"/>
        </w:rPr>
        <w:t>NPEFS</w:t>
      </w:r>
      <w:r w:rsidRPr="00AA1670">
        <w:rPr>
          <w:snapToGrid w:val="0"/>
        </w:rPr>
        <w:t xml:space="preserve"> data directly in calculating allocations for certain formula grant programs, including, but not limited to</w:t>
      </w:r>
      <w:r w:rsidRPr="001B3EB8">
        <w:rPr>
          <w:snapToGrid w:val="0"/>
        </w:rPr>
        <w:t xml:space="preserve"> </w:t>
      </w:r>
      <w:r w:rsidRPr="00AA1670">
        <w:rPr>
          <w:snapToGrid w:val="0"/>
        </w:rPr>
        <w:t xml:space="preserve">Title I, Part A of the </w:t>
      </w:r>
      <w:r w:rsidRPr="00A40D7A">
        <w:t>Elementary and Secondary Education Act of 1965</w:t>
      </w:r>
      <w:r>
        <w:t xml:space="preserve"> (</w:t>
      </w:r>
      <w:r>
        <w:rPr>
          <w:snapToGrid w:val="0"/>
        </w:rPr>
        <w:t>ESEA)</w:t>
      </w:r>
      <w:r>
        <w:t xml:space="preserve">, </w:t>
      </w:r>
      <w:r>
        <w:rPr>
          <w:snapToGrid w:val="0"/>
        </w:rPr>
        <w:t xml:space="preserve">Impact Aid, </w:t>
      </w:r>
      <w:r w:rsidRPr="001B3EB8">
        <w:rPr>
          <w:snapToGrid w:val="0"/>
        </w:rPr>
        <w:t>and Indian Education programs</w:t>
      </w:r>
      <w:r>
        <w:rPr>
          <w:snapToGrid w:val="0"/>
        </w:rPr>
        <w:t>.</w:t>
      </w:r>
      <w:r w:rsidR="003C1B31" w:rsidRPr="00C747F1">
        <w:rPr>
          <w:rStyle w:val="FootnoteReference"/>
          <w:snapToGrid w:val="0"/>
          <w:vertAlign w:val="superscript"/>
        </w:rPr>
        <w:footnoteReference w:id="5"/>
      </w:r>
      <w:r>
        <w:rPr>
          <w:snapToGrid w:val="0"/>
        </w:rPr>
        <w:t xml:space="preserve">  </w:t>
      </w:r>
      <w:r w:rsidR="00C801E5">
        <w:t xml:space="preserve">Based on the </w:t>
      </w:r>
      <w:r w:rsidR="00C801E5" w:rsidRPr="00A40D7A">
        <w:t xml:space="preserve">attendance, revenue, and expenditure data </w:t>
      </w:r>
      <w:r w:rsidR="00C801E5">
        <w:t>collected from SEAs</w:t>
      </w:r>
      <w:r w:rsidR="00965125">
        <w:t>,</w:t>
      </w:r>
      <w:r w:rsidR="00C801E5">
        <w:t xml:space="preserve"> </w:t>
      </w:r>
      <w:r w:rsidR="00C801E5" w:rsidRPr="00A40D7A">
        <w:t xml:space="preserve">NCES determines a State’s “average per-pupil expenditure” (SPPE) for elementary and secondary education, as defined </w:t>
      </w:r>
      <w:r w:rsidR="00C801E5">
        <w:t>by</w:t>
      </w:r>
      <w:r w:rsidR="00C801E5" w:rsidRPr="00A40D7A">
        <w:t xml:space="preserve"> the </w:t>
      </w:r>
      <w:r>
        <w:t>ESEA</w:t>
      </w:r>
      <w:r w:rsidR="00177C3C">
        <w:t xml:space="preserve"> </w:t>
      </w:r>
      <w:r w:rsidR="00C801E5" w:rsidRPr="00A40D7A">
        <w:t xml:space="preserve">section 9101(2) </w:t>
      </w:r>
      <w:r w:rsidR="00C801E5">
        <w:t xml:space="preserve">and </w:t>
      </w:r>
      <w:r w:rsidR="00C801E5" w:rsidRPr="00A40D7A">
        <w:t xml:space="preserve">as amended </w:t>
      </w:r>
      <w:r w:rsidR="00C801E5">
        <w:t xml:space="preserve">by </w:t>
      </w:r>
      <w:r w:rsidR="00C801E5" w:rsidRPr="00A40D7A">
        <w:t xml:space="preserve">20 U.S.C. </w:t>
      </w:r>
      <w:r w:rsidR="00C801E5">
        <w:t xml:space="preserve">section </w:t>
      </w:r>
      <w:r w:rsidR="00C801E5" w:rsidRPr="00A40D7A">
        <w:t>7801(2).</w:t>
      </w:r>
      <w:r w:rsidR="00C801E5">
        <w:t xml:space="preserve">  </w:t>
      </w:r>
      <w:r w:rsidR="00C801E5">
        <w:rPr>
          <w:snapToGrid w:val="0"/>
        </w:rPr>
        <w:t>Furthermore, o</w:t>
      </w:r>
      <w:r w:rsidR="00C801E5" w:rsidRPr="00AA1670">
        <w:t>ther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w:t>
      </w:r>
      <w:r w:rsidR="00C801E5">
        <w:t>e Title I Part A allocations.</w:t>
      </w:r>
    </w:p>
    <w:p w:rsidR="007301B9" w:rsidRDefault="007301B9" w:rsidP="00C801E5">
      <w:pPr>
        <w:autoSpaceDE w:val="0"/>
        <w:autoSpaceDN w:val="0"/>
        <w:adjustRightInd w:val="0"/>
      </w:pPr>
    </w:p>
    <w:p w:rsidR="00B30C42" w:rsidRPr="001A61A2" w:rsidRDefault="001A61A2">
      <w:pPr>
        <w:autoSpaceDE w:val="0"/>
        <w:autoSpaceDN w:val="0"/>
        <w:adjustRightInd w:val="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B30C42" w:rsidRPr="00AA1670" w:rsidRDefault="00B30C42">
      <w:pPr>
        <w:autoSpaceDE w:val="0"/>
        <w:autoSpaceDN w:val="0"/>
        <w:adjustRightInd w:val="0"/>
        <w:rPr>
          <w:color w:val="000000"/>
        </w:rPr>
      </w:pPr>
    </w:p>
    <w:p w:rsidR="0027334A" w:rsidRPr="009B0D43" w:rsidRDefault="0027334A" w:rsidP="0027334A">
      <w:pPr>
        <w:rPr>
          <w:rStyle w:val="Strong"/>
        </w:rPr>
      </w:pPr>
      <w:r w:rsidRPr="00AA1670">
        <w:rPr>
          <w:color w:val="000000"/>
        </w:rPr>
        <w:t xml:space="preserve">The NPEFS data are collected </w:t>
      </w:r>
      <w:r w:rsidR="001A4979" w:rsidRPr="00AA1670">
        <w:rPr>
          <w:color w:val="000000"/>
        </w:rPr>
        <w:t xml:space="preserve">from </w:t>
      </w:r>
      <w:r w:rsidR="00D92BA4">
        <w:rPr>
          <w:color w:val="000000"/>
        </w:rPr>
        <w:t>SEAs</w:t>
      </w:r>
      <w:r w:rsidR="001A4979">
        <w:rPr>
          <w:color w:val="000000"/>
        </w:rPr>
        <w:t xml:space="preserve"> </w:t>
      </w:r>
      <w:r w:rsidR="00E62197" w:rsidRPr="009B0D43">
        <w:t>using a web application</w:t>
      </w:r>
      <w:r w:rsidR="001A4979">
        <w:t xml:space="preserve"> developed </w:t>
      </w:r>
      <w:r w:rsidR="005802D2">
        <w:t xml:space="preserve">and maintained </w:t>
      </w:r>
      <w:r w:rsidR="001A4979">
        <w:t xml:space="preserve">by the Census Bureau </w:t>
      </w:r>
      <w:r w:rsidR="00A00638">
        <w:t>and</w:t>
      </w:r>
      <w:r w:rsidR="001A4979">
        <w:t xml:space="preserve"> located on NCES servers.</w:t>
      </w:r>
      <w:r w:rsidR="00E62197" w:rsidRPr="00AA1670">
        <w:rPr>
          <w:color w:val="000000"/>
        </w:rPr>
        <w:t xml:space="preserve"> </w:t>
      </w:r>
      <w:r w:rsidR="00A00638">
        <w:rPr>
          <w:color w:val="000000"/>
        </w:rPr>
        <w:t xml:space="preserve"> </w:t>
      </w:r>
      <w:r w:rsidR="00B71D31">
        <w:rPr>
          <w:color w:val="000000"/>
        </w:rPr>
        <w:t xml:space="preserve">NCES collects data annually from SEAs through ED Form 2447.  </w:t>
      </w:r>
      <w:r w:rsidRPr="009B0D43">
        <w:t>Th</w:t>
      </w:r>
      <w:r w:rsidR="00E62197">
        <w:t>e</w:t>
      </w:r>
      <w:r w:rsidRPr="009B0D43">
        <w:t xml:space="preserve"> web application allows NPEFS respondents to submit/edit survey data, complete the fiscal data plan, and upload or download any files necessary for data submission.  </w:t>
      </w:r>
      <w:r>
        <w:t xml:space="preserve">The NPEFS </w:t>
      </w:r>
      <w:r w:rsidRPr="009B0D43">
        <w:t xml:space="preserve">website </w:t>
      </w:r>
      <w:r w:rsidR="00E62197">
        <w:rPr>
          <w:color w:val="000000"/>
        </w:rPr>
        <w:t xml:space="preserve">utilizes </w:t>
      </w:r>
      <w:r w:rsidR="00E62197">
        <w:rPr>
          <w:color w:val="000000"/>
        </w:rPr>
        <w:lastRenderedPageBreak/>
        <w:t xml:space="preserve">the </w:t>
      </w:r>
      <w:r w:rsidR="00E62197" w:rsidRPr="009B0D43">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 xml:space="preserve">.  </w:t>
      </w:r>
      <w:r w:rsidR="00AE6522">
        <w:t>T</w:t>
      </w:r>
      <w:r w:rsidRPr="009B0D43">
        <w:t xml:space="preserve">he authorized state official may electronically confirm submission with the state's NPEFS </w:t>
      </w:r>
      <w:r w:rsidRPr="00B7640E">
        <w:rPr>
          <w:rStyle w:val="Strong"/>
          <w:b w:val="0"/>
        </w:rPr>
        <w:t>digital confirmation password.</w:t>
      </w:r>
      <w:r>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 This option is not used by more than one or two states in any year.</w:t>
      </w:r>
      <w:r w:rsidRPr="009B0D43">
        <w:rPr>
          <w:rStyle w:val="Strong"/>
        </w:rPr>
        <w:t xml:space="preserve"> </w:t>
      </w:r>
      <w:r w:rsidR="00A00638">
        <w:rPr>
          <w:rStyle w:val="Strong"/>
        </w:rPr>
        <w:t xml:space="preserve"> </w:t>
      </w:r>
      <w:r w:rsidR="00045078">
        <w:rPr>
          <w:color w:val="000000"/>
        </w:rPr>
        <w:t>The web application produces an Excel spreadsheet dataset that c</w:t>
      </w:r>
      <w:r w:rsidR="00045078" w:rsidRPr="00AA1670">
        <w:rPr>
          <w:color w:val="000000"/>
        </w:rPr>
        <w:t>onsist</w:t>
      </w:r>
      <w:r w:rsidR="00045078">
        <w:rPr>
          <w:color w:val="000000"/>
        </w:rPr>
        <w:t>s</w:t>
      </w:r>
      <w:r w:rsidR="00045078" w:rsidRPr="00AA1670">
        <w:rPr>
          <w:color w:val="000000"/>
        </w:rPr>
        <w:t xml:space="preserve"> of a single record </w:t>
      </w:r>
      <w:r w:rsidR="00045078">
        <w:rPr>
          <w:color w:val="000000"/>
        </w:rPr>
        <w:t>per</w:t>
      </w:r>
      <w:r w:rsidR="00045078" w:rsidRPr="00AA1670">
        <w:rPr>
          <w:color w:val="000000"/>
        </w:rPr>
        <w:t xml:space="preserve"> state</w:t>
      </w:r>
      <w:r w:rsidR="00045078">
        <w:rPr>
          <w:color w:val="000000"/>
        </w:rPr>
        <w:t xml:space="preserve"> that can be used to review NPEFS data externally or produce a publishable data file</w:t>
      </w:r>
      <w:r w:rsidR="00045078" w:rsidRPr="00AA1670">
        <w:rPr>
          <w:color w:val="000000"/>
        </w:rPr>
        <w:t>.</w:t>
      </w:r>
    </w:p>
    <w:p w:rsidR="00B30C42" w:rsidRPr="00AA1670" w:rsidRDefault="00B30C42">
      <w:pPr>
        <w:autoSpaceDE w:val="0"/>
        <w:autoSpaceDN w:val="0"/>
        <w:adjustRightInd w:val="0"/>
        <w:rPr>
          <w:b/>
          <w:bCs/>
          <w:color w:val="000000"/>
        </w:rPr>
      </w:pPr>
    </w:p>
    <w:p w:rsidR="00B30C42" w:rsidRPr="00AA1670" w:rsidRDefault="008678A4">
      <w:pPr>
        <w:autoSpaceDE w:val="0"/>
        <w:autoSpaceDN w:val="0"/>
        <w:adjustRightInd w:val="0"/>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B30C42" w:rsidRPr="00AA1670" w:rsidRDefault="00B30C42">
      <w:pPr>
        <w:autoSpaceDE w:val="0"/>
        <w:autoSpaceDN w:val="0"/>
        <w:adjustRightInd w:val="0"/>
        <w:rPr>
          <w:color w:val="000000"/>
        </w:rPr>
      </w:pPr>
    </w:p>
    <w:p w:rsidR="00575C2C" w:rsidRPr="00575C2C" w:rsidRDefault="00575C2C" w:rsidP="00575C2C">
      <w:pPr>
        <w:autoSpaceDE w:val="0"/>
        <w:autoSpaceDN w:val="0"/>
        <w:adjustRightInd w:val="0"/>
        <w:rPr>
          <w:snapToGrid w:val="0"/>
        </w:rPr>
      </w:pPr>
      <w:r w:rsidRPr="00575C2C">
        <w:rPr>
          <w:snapToGrid w:val="0"/>
        </w:rPr>
        <w:t>NPEFS (OMB# 1850-0067) is an annual collection of state-level finance data that has been included in the NCES Common Core of Data (CCD) since FY 1982.  The survey most closely resembling NPEFS is the</w:t>
      </w:r>
      <w:r w:rsidR="00FE7B35" w:rsidRP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the Census Bureau</w:t>
      </w:r>
      <w:r w:rsidR="00A00638">
        <w:rPr>
          <w:snapToGrid w:val="0"/>
        </w:rPr>
        <w:t xml:space="preserve"> </w:t>
      </w:r>
      <w:r w:rsidR="00FE7B35">
        <w:rPr>
          <w:snapToGrid w:val="0"/>
        </w:rPr>
        <w:t>(</w:t>
      </w:r>
      <w:r w:rsidR="00A00638">
        <w:rPr>
          <w:snapToGrid w:val="0"/>
        </w:rPr>
        <w:t>n</w:t>
      </w:r>
      <w:r w:rsidR="00FE7B35">
        <w:rPr>
          <w:snapToGrid w:val="0"/>
        </w:rPr>
        <w:t>ote that NCES refers to F-33 as the</w:t>
      </w:r>
      <w:r w:rsidR="00FE7B35" w:rsidRPr="00FE7B35">
        <w:rPr>
          <w:snapToGrid w:val="0"/>
        </w:rPr>
        <w:t xml:space="preserve"> Local Education Agency Financial Survey</w:t>
      </w:r>
      <w:r w:rsidR="00FE7B35">
        <w:rPr>
          <w:snapToGrid w:val="0"/>
        </w:rPr>
        <w:t>).  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00892B41" w:rsidRPr="00575C2C">
        <w:rPr>
          <w:snapToGrid w:val="0"/>
        </w:rPr>
        <w:t>program</w:t>
      </w:r>
      <w:r w:rsidR="00A00638">
        <w:rPr>
          <w:snapToGrid w:val="0"/>
        </w:rPr>
        <w:t>,</w:t>
      </w:r>
      <w:r w:rsidRPr="00575C2C">
        <w:rPr>
          <w:snapToGrid w:val="0"/>
        </w:rPr>
        <w:t xml:space="preserve"> and expenditures by function with breakouts of salaries and benefits by function and information on debt. </w:t>
      </w:r>
    </w:p>
    <w:p w:rsidR="00575C2C" w:rsidRPr="00575C2C" w:rsidRDefault="00575C2C" w:rsidP="00575C2C">
      <w:pPr>
        <w:autoSpaceDE w:val="0"/>
        <w:autoSpaceDN w:val="0"/>
        <w:adjustRightInd w:val="0"/>
        <w:rPr>
          <w:snapToGrid w:val="0"/>
        </w:rPr>
      </w:pPr>
    </w:p>
    <w:p w:rsidR="000C51C7" w:rsidRPr="000C51C7" w:rsidRDefault="000C51C7" w:rsidP="000C51C7">
      <w:r w:rsidRPr="000C51C7">
        <w:rPr>
          <w:color w:val="000000"/>
        </w:rPr>
        <w:t xml:space="preserve">Prior to FY 1987, Census and NCES each conducted separate collections of LEA finance data.  </w:t>
      </w:r>
      <w:r w:rsidR="002B779D">
        <w:rPr>
          <w:color w:val="000000"/>
        </w:rPr>
        <w:t>B</w:t>
      </w:r>
      <w:r w:rsidR="002B779D" w:rsidRPr="000C51C7">
        <w:rPr>
          <w:color w:val="000000"/>
        </w:rPr>
        <w:t>eginning with the FY 1987 survey year</w:t>
      </w:r>
      <w:r w:rsidR="002B779D">
        <w:rPr>
          <w:color w:val="000000"/>
        </w:rPr>
        <w:t>,</w:t>
      </w:r>
      <w:r w:rsidR="002B779D" w:rsidRPr="000C51C7">
        <w:rPr>
          <w:color w:val="000000"/>
        </w:rPr>
        <w:t xml:space="preserve"> </w:t>
      </w:r>
      <w:r w:rsidRPr="000C51C7">
        <w:rPr>
          <w:color w:val="000000"/>
        </w:rPr>
        <w:t xml:space="preserve">NCES and Census consolidated the LEA finance collections into the F-33.  </w:t>
      </w:r>
      <w:r w:rsidR="002B779D">
        <w:rPr>
          <w:color w:val="000000"/>
        </w:rPr>
        <w:t>B</w:t>
      </w:r>
      <w:r w:rsidR="002B779D" w:rsidRPr="000C51C7">
        <w:rPr>
          <w:color w:val="000000"/>
        </w:rPr>
        <w:t>eginning with the FY 1992 survey year</w:t>
      </w:r>
      <w:r w:rsidR="002B779D">
        <w:rPr>
          <w:color w:val="000000"/>
        </w:rPr>
        <w:t>,</w:t>
      </w:r>
      <w:r w:rsidR="002B779D" w:rsidRPr="000C51C7">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  The F-33 was originally a sample survey in non-census years, but in the FY 1995 survey year, the F-33 was changed to an annual universe collection of LEA finance data.  The F-33 collects data from regular school districts, independent charter school districts, as well as a substantial number of administrative and operating LEAs that are unlike typical school districts (e.g., education service agencies that provide specialized education services for regular school districts).</w:t>
      </w:r>
    </w:p>
    <w:p w:rsidR="003505A6" w:rsidRPr="003505A6" w:rsidRDefault="000C51C7" w:rsidP="003505A6">
      <w:pPr>
        <w:autoSpaceDE w:val="0"/>
        <w:autoSpaceDN w:val="0"/>
        <w:adjustRightInd w:val="0"/>
        <w:rPr>
          <w:snapToGrid w:val="0"/>
        </w:rPr>
      </w:pPr>
      <w:r>
        <w:rPr>
          <w:rFonts w:ascii="Verdana" w:hAnsi="Verdana"/>
          <w:sz w:val="20"/>
          <w:szCs w:val="20"/>
        </w:rPr>
        <w:br/>
      </w:r>
      <w:r w:rsidR="00AD7F9D">
        <w:rPr>
          <w:snapToGrid w:val="0"/>
        </w:rPr>
        <w:t>Most recently, i</w:t>
      </w:r>
      <w:r w:rsidR="00570FD4">
        <w:rPr>
          <w:snapToGrid w:val="0"/>
        </w:rPr>
        <w:t>n 2012, at the request of a few state fiscal coordinators, NCES</w:t>
      </w:r>
      <w:r w:rsidR="00AD7F9D">
        <w:rPr>
          <w:snapToGrid w:val="0"/>
        </w:rPr>
        <w:t xml:space="preserve"> and Census</w:t>
      </w:r>
      <w:r w:rsidR="00570FD4">
        <w:rPr>
          <w:snapToGrid w:val="0"/>
        </w:rPr>
        <w:t xml:space="preserve"> </w:t>
      </w:r>
      <w:r w:rsidR="00AD7F9D">
        <w:rPr>
          <w:snapToGrid w:val="0"/>
        </w:rPr>
        <w:t>re-evaluated the feasibility of consolidating the NPEFS and the F-33 programs.</w:t>
      </w:r>
      <w:r w:rsidR="003505A6">
        <w:rPr>
          <w:snapToGrid w:val="0"/>
        </w:rPr>
        <w:t xml:space="preserve">  </w:t>
      </w:r>
      <w:r w:rsidR="003505A6" w:rsidRPr="003505A6">
        <w:rPr>
          <w:snapToGrid w:val="0"/>
        </w:rPr>
        <w:t>As a result, several substantial differences were identified between the needs and the scope of the two survey collections:</w:t>
      </w:r>
    </w:p>
    <w:p w:rsidR="003505A6" w:rsidRDefault="003505A6" w:rsidP="00575C2C">
      <w:pPr>
        <w:autoSpaceDE w:val="0"/>
        <w:autoSpaceDN w:val="0"/>
        <w:adjustRightInd w:val="0"/>
        <w:rPr>
          <w:snapToGrid w:val="0"/>
        </w:rPr>
      </w:pPr>
    </w:p>
    <w:p w:rsidR="003505A6"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 xml:space="preserve">he reporting deadlines are substantially different; </w:t>
      </w:r>
    </w:p>
    <w:p w:rsidR="003505A6" w:rsidRDefault="003505A6" w:rsidP="00C747F1">
      <w:pPr>
        <w:pStyle w:val="ListParagraph"/>
        <w:numPr>
          <w:ilvl w:val="0"/>
          <w:numId w:val="17"/>
        </w:numPr>
        <w:autoSpaceDE w:val="0"/>
        <w:autoSpaceDN w:val="0"/>
        <w:adjustRightInd w:val="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 xml:space="preserve">items collected at the state level can currently be collected at the LEA level; </w:t>
      </w:r>
    </w:p>
    <w:p w:rsidR="003505A6" w:rsidRDefault="003505A6" w:rsidP="00C747F1">
      <w:pPr>
        <w:pStyle w:val="ListParagraph"/>
        <w:numPr>
          <w:ilvl w:val="0"/>
          <w:numId w:val="17"/>
        </w:numPr>
        <w:autoSpaceDE w:val="0"/>
        <w:autoSpaceDN w:val="0"/>
        <w:adjustRightInd w:val="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 </w:t>
      </w:r>
    </w:p>
    <w:p w:rsidR="003505A6"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he timing of editing processes and procedures by SEAs vary greatly between the state level versus</w:t>
      </w:r>
      <w:r w:rsidR="00085BDD">
        <w:rPr>
          <w:snapToGrid w:val="0"/>
        </w:rPr>
        <w:t xml:space="preserve"> the</w:t>
      </w:r>
      <w:r w:rsidRPr="003505A6">
        <w:rPr>
          <w:snapToGrid w:val="0"/>
        </w:rPr>
        <w:t xml:space="preserve"> LEA level data.  </w:t>
      </w:r>
    </w:p>
    <w:p w:rsidR="003505A6" w:rsidRPr="00724F93" w:rsidRDefault="003505A6" w:rsidP="003505A6">
      <w:pPr>
        <w:autoSpaceDE w:val="0"/>
        <w:autoSpaceDN w:val="0"/>
        <w:adjustRightInd w:val="0"/>
        <w:ind w:left="360"/>
        <w:rPr>
          <w:snapToGrid w:val="0"/>
        </w:rPr>
      </w:pPr>
    </w:p>
    <w:p w:rsidR="00724F93" w:rsidRPr="00C747F1" w:rsidRDefault="00A901E0" w:rsidP="00A901E0">
      <w:pPr>
        <w:autoSpaceDE w:val="0"/>
        <w:autoSpaceDN w:val="0"/>
        <w:adjustRightInd w:val="0"/>
        <w:rPr>
          <w:i/>
          <w:snapToGrid w:val="0"/>
          <w:u w:val="single"/>
        </w:rPr>
      </w:pPr>
      <w:r w:rsidRPr="00C747F1">
        <w:rPr>
          <w:i/>
          <w:snapToGrid w:val="0"/>
          <w:u w:val="single"/>
        </w:rPr>
        <w:t>The reporting deadlines are substantially different</w:t>
      </w:r>
    </w:p>
    <w:p w:rsidR="00142976" w:rsidRDefault="00142976" w:rsidP="00A901E0">
      <w:pPr>
        <w:autoSpaceDE w:val="0"/>
        <w:autoSpaceDN w:val="0"/>
        <w:adjustRightInd w:val="0"/>
        <w:rPr>
          <w:snapToGrid w:val="0"/>
        </w:rPr>
      </w:pPr>
    </w:p>
    <w:p w:rsidR="00A901E0" w:rsidRDefault="007726AB" w:rsidP="00A901E0">
      <w:pPr>
        <w:autoSpaceDE w:val="0"/>
        <w:autoSpaceDN w:val="0"/>
        <w:adjustRightInd w:val="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6"/>
      </w:r>
      <w:r>
        <w:t xml:space="preserve">, States must submit </w:t>
      </w:r>
      <w:r>
        <w:rPr>
          <w:snapToGrid w:val="0"/>
        </w:rPr>
        <w:t>current year and revised prior year state-level</w:t>
      </w:r>
      <w:r>
        <w:t xml:space="preserve"> data by August 15 of each year.</w:t>
      </w:r>
      <w:r w:rsidR="00B31612">
        <w:rPr>
          <w:snapToGrid w:val="0"/>
        </w:rPr>
        <w:t xml:space="preserve"> </w:t>
      </w:r>
      <w:r w:rsidR="00C326D9">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A901E0" w:rsidRDefault="00A901E0" w:rsidP="00A901E0">
      <w:pPr>
        <w:autoSpaceDE w:val="0"/>
        <w:autoSpaceDN w:val="0"/>
        <w:adjustRightInd w:val="0"/>
        <w:rPr>
          <w:snapToGrid w:val="0"/>
        </w:rPr>
      </w:pPr>
    </w:p>
    <w:p w:rsidR="00724F93" w:rsidRPr="00C747F1" w:rsidRDefault="00724F93" w:rsidP="00A901E0">
      <w:pPr>
        <w:autoSpaceDE w:val="0"/>
        <w:autoSpaceDN w:val="0"/>
        <w:adjustRightInd w:val="0"/>
        <w:rPr>
          <w:i/>
          <w:snapToGrid w:val="0"/>
          <w:u w:val="single"/>
        </w:rPr>
      </w:pPr>
      <w:r w:rsidRPr="00C747F1">
        <w:rPr>
          <w:i/>
          <w:snapToGrid w:val="0"/>
          <w:u w:val="single"/>
        </w:rPr>
        <w:lastRenderedPageBreak/>
        <w:t>Not all of the data items collected at the state level can currently be collected at the LEA level</w:t>
      </w:r>
    </w:p>
    <w:p w:rsidR="00724F93" w:rsidRPr="00142976" w:rsidRDefault="00724F93" w:rsidP="00A901E0">
      <w:pPr>
        <w:autoSpaceDE w:val="0"/>
        <w:autoSpaceDN w:val="0"/>
        <w:adjustRightInd w:val="0"/>
        <w:rPr>
          <w:snapToGrid w:val="0"/>
        </w:rPr>
      </w:pPr>
    </w:p>
    <w:p w:rsidR="00341843" w:rsidRDefault="00724F93" w:rsidP="00341843">
      <w:pPr>
        <w:autoSpaceDE w:val="0"/>
        <w:autoSpaceDN w:val="0"/>
        <w:adjustRightInd w:val="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deaf and blind); schools for students with exceptional talent in mathematics, science, or the performing arts; or education programs for incarcerated youth (e.g., schools run by the Bureau of Prisons within juvenile corrections).  </w:t>
      </w:r>
      <w:r w:rsidR="00341843">
        <w:rPr>
          <w:snapToGrid w:val="0"/>
        </w:rPr>
        <w:t>T</w:t>
      </w:r>
      <w:r w:rsidR="00341843" w:rsidRPr="00575C2C">
        <w:rPr>
          <w:snapToGrid w:val="0"/>
        </w:rPr>
        <w:t>he LEA level data cannot be summed to provide the state-level data because NPEFS includes expenditures for state-operated agencies, which are out-of-scope for F-33.</w:t>
      </w:r>
      <w:r w:rsidR="00341843">
        <w:rPr>
          <w:snapToGrid w:val="0"/>
        </w:rPr>
        <w:t xml:space="preserve">  Furthermore, </w:t>
      </w:r>
      <w:r w:rsidR="00341843" w:rsidRPr="00575C2C">
        <w:rPr>
          <w:snapToGrid w:val="0"/>
        </w:rPr>
        <w:t xml:space="preserve">  </w:t>
      </w:r>
    </w:p>
    <w:p w:rsidR="00305BC4" w:rsidRDefault="00724F93" w:rsidP="00305BC4">
      <w:pPr>
        <w:autoSpaceDE w:val="0"/>
        <w:autoSpaceDN w:val="0"/>
        <w:adjustRightInd w:val="0"/>
        <w:rPr>
          <w:snapToGrid w:val="0"/>
        </w:rPr>
      </w:pPr>
      <w:r w:rsidRPr="003505A6">
        <w:rPr>
          <w:snapToGrid w:val="0"/>
        </w:rPr>
        <w:t>NPEFS requires an exhaustive accounting of state revenues and expenditures for public K–12 education that the F-33 cannot provide.</w:t>
      </w:r>
      <w:r w:rsidR="00305BC4">
        <w:rPr>
          <w:snapToGrid w:val="0"/>
        </w:rPr>
        <w:t xml:space="preserve">  </w:t>
      </w:r>
    </w:p>
    <w:p w:rsidR="00570FD4" w:rsidRDefault="00570FD4" w:rsidP="00C747F1">
      <w:pPr>
        <w:pStyle w:val="ListParagraph"/>
        <w:autoSpaceDE w:val="0"/>
        <w:autoSpaceDN w:val="0"/>
        <w:adjustRightInd w:val="0"/>
        <w:rPr>
          <w:snapToGrid w:val="0"/>
        </w:rPr>
      </w:pPr>
    </w:p>
    <w:p w:rsidR="00724F93" w:rsidRDefault="004E5AD1" w:rsidP="00C747F1">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00085BDD" w:rsidRPr="00C747F1">
        <w:rPr>
          <w:i/>
          <w:snapToGrid w:val="0"/>
          <w:u w:val="single"/>
        </w:rPr>
        <w:t xml:space="preserve">between surveys </w:t>
      </w:r>
      <w:r w:rsidRPr="00C747F1">
        <w:rPr>
          <w:i/>
          <w:snapToGrid w:val="0"/>
          <w:u w:val="single"/>
        </w:rPr>
        <w:t>due to their uses and sources</w:t>
      </w:r>
    </w:p>
    <w:p w:rsidR="00724F93" w:rsidRDefault="00724F93" w:rsidP="00724F93"/>
    <w:p w:rsidR="00570FD4" w:rsidRPr="00724F93" w:rsidRDefault="004E5AD1" w:rsidP="00724F93">
      <w:pPr>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  NPEFS classifies tax revenue as state or local based on how the SEA classifies the tax revenue, while the F-33 classifies tax revenue based on the level of government that imposed, collected, and distributed the tax.</w:t>
      </w:r>
    </w:p>
    <w:p w:rsidR="00570FD4" w:rsidRDefault="00570FD4" w:rsidP="00C747F1">
      <w:pPr>
        <w:pStyle w:val="ListParagraph"/>
        <w:rPr>
          <w:snapToGrid w:val="0"/>
        </w:rPr>
      </w:pPr>
    </w:p>
    <w:p w:rsidR="00724F93" w:rsidRPr="00C747F1" w:rsidRDefault="00724F93" w:rsidP="00F05855">
      <w:pPr>
        <w:autoSpaceDE w:val="0"/>
        <w:autoSpaceDN w:val="0"/>
        <w:adjustRightInd w:val="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724F93" w:rsidRPr="00724F93" w:rsidRDefault="00724F93" w:rsidP="00724F93">
      <w:pPr>
        <w:autoSpaceDE w:val="0"/>
        <w:autoSpaceDN w:val="0"/>
        <w:adjustRightInd w:val="0"/>
        <w:ind w:left="360"/>
        <w:rPr>
          <w:snapToGrid w:val="0"/>
        </w:rPr>
      </w:pPr>
    </w:p>
    <w:p w:rsidR="003B0ACC" w:rsidRPr="00C747F1" w:rsidRDefault="00570FD4" w:rsidP="00C326D9">
      <w:pPr>
        <w:numPr>
          <w:ilvl w:val="0"/>
          <w:numId w:val="16"/>
        </w:numPr>
        <w:autoSpaceDE w:val="0"/>
        <w:autoSpaceDN w:val="0"/>
        <w:adjustRightInd w:val="0"/>
        <w:ind w:hanging="450"/>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 xml:space="preserve">.  </w:t>
      </w:r>
      <w:r>
        <w:t xml:space="preserve"> 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3B0ACC" w:rsidRDefault="003B0ACC" w:rsidP="00C747F1">
      <w:pPr>
        <w:autoSpaceDE w:val="0"/>
        <w:autoSpaceDN w:val="0"/>
        <w:adjustRightInd w:val="0"/>
        <w:ind w:left="720"/>
      </w:pPr>
    </w:p>
    <w:p w:rsidR="00570FD4" w:rsidRDefault="00575C2C" w:rsidP="00C747F1">
      <w:pPr>
        <w:numPr>
          <w:ilvl w:val="0"/>
          <w:numId w:val="16"/>
        </w:numPr>
        <w:autoSpaceDE w:val="0"/>
        <w:autoSpaceDN w:val="0"/>
        <w:adjustRightInd w:val="0"/>
        <w:ind w:hanging="450"/>
      </w:pPr>
      <w:r>
        <w:t>As recently as June 14, 2012, during an interactive webinar</w:t>
      </w:r>
      <w:r w:rsidR="00586937">
        <w:t xml:space="preserve"> briefing</w:t>
      </w:r>
      <w:r>
        <w:t xml:space="preserve">, the majority of state fiscal coordinators indicated that accelerating the reporting deadlines for LEA finance data would significantly and unnecessarily increase the burden and cost to the SEAs, and that </w:t>
      </w:r>
      <w:r w:rsidRPr="00DB0A8D">
        <w:t xml:space="preserve">it is more efficient and effective </w:t>
      </w:r>
      <w:r>
        <w:t xml:space="preserve">for them </w:t>
      </w:r>
      <w:r w:rsidRPr="00DB0A8D">
        <w:t xml:space="preserve">to </w:t>
      </w:r>
      <w:r>
        <w:t xml:space="preserve">submit data separately to </w:t>
      </w:r>
      <w:r w:rsidRPr="00DB0A8D">
        <w:t>NP</w:t>
      </w:r>
      <w:r w:rsidRPr="000B0219">
        <w:t xml:space="preserve">EFS </w:t>
      </w:r>
      <w:r w:rsidRPr="00DB0A8D">
        <w:t>and F-33</w:t>
      </w:r>
      <w:r>
        <w:t>.</w:t>
      </w:r>
      <w:r w:rsidR="00F008C2" w:rsidRPr="00F008C2">
        <w:t xml:space="preserve"> </w:t>
      </w:r>
      <w:r w:rsidR="00F008C2">
        <w:t xml:space="preserve"> </w:t>
      </w:r>
    </w:p>
    <w:p w:rsidR="00724F93" w:rsidRDefault="00724F93" w:rsidP="00570FD4">
      <w:pPr>
        <w:autoSpaceDE w:val="0"/>
        <w:autoSpaceDN w:val="0"/>
        <w:adjustRightInd w:val="0"/>
      </w:pPr>
    </w:p>
    <w:p w:rsidR="00B30C42" w:rsidRDefault="00C53EB7" w:rsidP="00570FD4">
      <w:pPr>
        <w:autoSpaceDE w:val="0"/>
        <w:autoSpaceDN w:val="0"/>
        <w:adjustRightInd w:val="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B714FF" w:rsidRDefault="00B714FF" w:rsidP="00570FD4">
      <w:pPr>
        <w:autoSpaceDE w:val="0"/>
        <w:autoSpaceDN w:val="0"/>
        <w:adjustRightInd w:val="0"/>
      </w:pPr>
    </w:p>
    <w:p w:rsidR="00B714FF" w:rsidRDefault="0044086F" w:rsidP="00B714FF">
      <w:pPr>
        <w:autoSpaceDE w:val="0"/>
        <w:autoSpaceDN w:val="0"/>
        <w:adjustRightInd w:val="0"/>
        <w:rPr>
          <w:snapToGrid w:val="0"/>
        </w:rPr>
      </w:pPr>
      <w:r>
        <w:rPr>
          <w:snapToGrid w:val="0"/>
        </w:rPr>
        <w:t>Despite the continued need for separate collections, t</w:t>
      </w:r>
      <w:r w:rsidR="00B714FF">
        <w:rPr>
          <w:snapToGrid w:val="0"/>
        </w:rPr>
        <w:t xml:space="preserve">he F-33 and the NPEFS collections are inter-related and complementary.  By working together, NCES and Census have found ways to create efficiency in use of resources between both surveys.  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  NCES uses the F-33 to provide consistency checks between the data reported for each survey</w:t>
      </w:r>
      <w:r>
        <w:rPr>
          <w:snapToGrid w:val="0"/>
        </w:rPr>
        <w:t>.  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B714FF" w:rsidRPr="00AA1670" w:rsidRDefault="00B714FF" w:rsidP="00570FD4">
      <w:pPr>
        <w:autoSpaceDE w:val="0"/>
        <w:autoSpaceDN w:val="0"/>
        <w:adjustRightInd w:val="0"/>
      </w:pPr>
    </w:p>
    <w:p w:rsidR="00B30C42" w:rsidRPr="008678A4" w:rsidRDefault="008678A4">
      <w:pPr>
        <w:autoSpaceDE w:val="0"/>
        <w:autoSpaceDN w:val="0"/>
        <w:adjustRightInd w:val="0"/>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30C42">
      <w:pPr>
        <w:autoSpaceDE w:val="0"/>
        <w:autoSpaceDN w:val="0"/>
        <w:adjustRightInd w:val="0"/>
        <w:rPr>
          <w:b/>
          <w:bCs/>
          <w:color w:val="000000"/>
        </w:rPr>
      </w:pPr>
    </w:p>
    <w:p w:rsidR="00B30C42" w:rsidRPr="00AA1670" w:rsidRDefault="00B423F8">
      <w:pPr>
        <w:autoSpaceDE w:val="0"/>
        <w:autoSpaceDN w:val="0"/>
        <w:adjustRightInd w:val="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Pr>
          <w:color w:val="000000"/>
        </w:rPr>
        <w:t xml:space="preserve">  </w:t>
      </w:r>
      <w:r w:rsidR="00B30C42" w:rsidRPr="00AA1670">
        <w:rPr>
          <w:color w:val="000000"/>
        </w:rPr>
        <w:t xml:space="preserve">NPEFS </w:t>
      </w:r>
      <w:r>
        <w:rPr>
          <w:color w:val="000000"/>
        </w:rPr>
        <w:t xml:space="preserve">data comes from state’s administrative records and </w:t>
      </w:r>
      <w:r w:rsidR="00B30C42" w:rsidRPr="00AA1670">
        <w:rPr>
          <w:color w:val="000000"/>
        </w:rPr>
        <w:t xml:space="preserve">NCES </w:t>
      </w:r>
      <w:r>
        <w:rPr>
          <w:color w:val="000000"/>
        </w:rPr>
        <w:t>works with LEAs on an ongoing basis to assure that burden associated with NPEFS data submission is kept at minimum.</w:t>
      </w:r>
    </w:p>
    <w:p w:rsidR="00B30C42" w:rsidRPr="00AA1670" w:rsidRDefault="00B30C42">
      <w:pPr>
        <w:autoSpaceDE w:val="0"/>
        <w:autoSpaceDN w:val="0"/>
        <w:adjustRightInd w:val="0"/>
        <w:rPr>
          <w:b/>
          <w:bCs/>
          <w:color w:val="000000"/>
        </w:rPr>
      </w:pPr>
    </w:p>
    <w:p w:rsidR="00C747F1" w:rsidRDefault="00C747F1">
      <w:pPr>
        <w:rPr>
          <w:b/>
          <w:bCs/>
          <w:color w:val="000000"/>
        </w:rPr>
      </w:pPr>
      <w:r>
        <w:rPr>
          <w:b/>
          <w:bCs/>
          <w:color w:val="000000"/>
        </w:rPr>
        <w:br w:type="page"/>
      </w:r>
    </w:p>
    <w:p w:rsidR="00B30C42" w:rsidRPr="008678A4" w:rsidRDefault="008678A4" w:rsidP="00C326D9">
      <w:pPr>
        <w:autoSpaceDE w:val="0"/>
        <w:autoSpaceDN w:val="0"/>
        <w:adjustRightInd w:val="0"/>
        <w:rPr>
          <w:b/>
          <w:bCs/>
          <w:color w:val="000000"/>
        </w:rPr>
      </w:pPr>
      <w:r w:rsidRPr="008678A4">
        <w:rPr>
          <w:b/>
          <w:bCs/>
          <w:color w:val="000000"/>
        </w:rPr>
        <w:lastRenderedPageBreak/>
        <w:t>A6.</w:t>
      </w:r>
      <w:r w:rsidRPr="008678A4">
        <w:rPr>
          <w:b/>
          <w:bCs/>
          <w:color w:val="000000"/>
        </w:rPr>
        <w:tab/>
      </w:r>
      <w:r w:rsidRPr="008678A4">
        <w:rPr>
          <w:b/>
          <w:bCs/>
        </w:rPr>
        <w:t>Consequences of Less Frequent Collection</w:t>
      </w:r>
    </w:p>
    <w:p w:rsidR="00B30C42" w:rsidRPr="00AA1670" w:rsidRDefault="00B30C42">
      <w:pPr>
        <w:autoSpaceDE w:val="0"/>
        <w:autoSpaceDN w:val="0"/>
        <w:adjustRightInd w:val="0"/>
        <w:rPr>
          <w:b/>
          <w:bCs/>
          <w:color w:val="000000"/>
        </w:rPr>
      </w:pPr>
    </w:p>
    <w:p w:rsidR="00B30C42" w:rsidRDefault="00B30C42" w:rsidP="009F3CCE">
      <w:pPr>
        <w:autoSpaceDE w:val="0"/>
        <w:autoSpaceDN w:val="0"/>
        <w:adjustRightInd w:val="0"/>
        <w:rPr>
          <w:color w:val="000000"/>
        </w:rPr>
      </w:pPr>
      <w:r w:rsidRPr="00AA1670">
        <w:rPr>
          <w:color w:val="000000"/>
          <w:u w:val="single"/>
        </w:rPr>
        <w:t>Consequences if not collected</w:t>
      </w:r>
      <w:r w:rsidR="009F3CCE">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an efficient and fair </w:t>
      </w:r>
      <w:r w:rsidR="00B423F8">
        <w:t xml:space="preserve">federal </w:t>
      </w:r>
      <w:r w:rsidR="008A3342" w:rsidRPr="0031795A">
        <w:t>allocation process</w:t>
      </w:r>
      <w:r w:rsidR="00B25F5E">
        <w:t xml:space="preserve"> and to </w:t>
      </w:r>
      <w:r w:rsidR="0063610A">
        <w:t>the ability to make publically available</w:t>
      </w:r>
      <w:r w:rsidR="00B25F5E">
        <w:t xml:space="preserve"> current and comparable finance data </w:t>
      </w:r>
      <w:r w:rsidR="0063610A">
        <w:t>for all states and territories</w:t>
      </w:r>
      <w:r w:rsidR="008A3342" w:rsidRPr="0031795A">
        <w:t>.  The annual collection of NPEFS data help</w:t>
      </w:r>
      <w:r w:rsidR="00B423F8">
        <w:t>s</w:t>
      </w:r>
      <w:r w:rsidR="008A3342" w:rsidRPr="0031795A">
        <w:t xml:space="preserve"> ensure timely distribution of Federal education funds based on the </w:t>
      </w:r>
      <w:r w:rsidR="00D7138B">
        <w:t>most current and</w:t>
      </w:r>
      <w:r w:rsidR="008A3342" w:rsidRPr="0031795A">
        <w:t xml:space="preserve"> accurate data available.</w:t>
      </w:r>
      <w:r w:rsidR="00995C80">
        <w:t xml:space="preserve">  </w:t>
      </w:r>
      <w:r w:rsidR="00B423F8">
        <w:t>If NPEFS was not collected on its current schedule, t</w:t>
      </w:r>
      <w:r w:rsidR="00995C80" w:rsidRPr="00AA1670">
        <w:rPr>
          <w:color w:val="000000"/>
        </w:rPr>
        <w:t>he D</w:t>
      </w:r>
      <w:r w:rsidR="009F3CCE">
        <w:rPr>
          <w:color w:val="000000"/>
        </w:rPr>
        <w:t xml:space="preserve">epartment of Education would not have access to current </w:t>
      </w:r>
      <w:r w:rsidR="00B423F8">
        <w:rPr>
          <w:color w:val="000000"/>
        </w:rPr>
        <w:t>and</w:t>
      </w:r>
      <w:r w:rsidR="00995C80" w:rsidRPr="00AA1670">
        <w:rPr>
          <w:color w:val="000000"/>
        </w:rPr>
        <w:t xml:space="preserve"> comparable state per-pupil</w:t>
      </w:r>
      <w:r w:rsidR="00995C80">
        <w:rPr>
          <w:color w:val="000000"/>
        </w:rPr>
        <w:t xml:space="preserve"> </w:t>
      </w:r>
      <w:r w:rsidR="00995C80" w:rsidRPr="00AA1670">
        <w:rPr>
          <w:color w:val="000000"/>
        </w:rPr>
        <w:t>expenditure data for use in determining program allocations</w:t>
      </w:r>
      <w:r w:rsidR="009F3CCE">
        <w:rPr>
          <w:color w:val="000000"/>
        </w:rPr>
        <w:t xml:space="preserve">, and thus would not have the needed basis for </w:t>
      </w:r>
      <w:r w:rsidR="0031795A" w:rsidRPr="0031795A">
        <w:t xml:space="preserve">calculating allocations for </w:t>
      </w:r>
      <w:r w:rsidR="009F3CCE">
        <w:t>various</w:t>
      </w:r>
      <w:r w:rsidR="0031795A" w:rsidRPr="0031795A">
        <w:t xml:space="preserve"> formula grant programs, </w:t>
      </w:r>
      <w:r w:rsidR="009F3CCE">
        <w:t>such as</w:t>
      </w:r>
      <w:r w:rsidR="0031795A" w:rsidRPr="0031795A">
        <w:t xml:space="preserve"> the Title I, Part A of the ESEA; Impact Aid; and Indian Education programs</w:t>
      </w:r>
      <w:r w:rsidR="009F3CCE">
        <w:t>, the</w:t>
      </w:r>
      <w:r w:rsidR="0031795A" w:rsidRPr="0031795A">
        <w:t xml:space="preserve"> Education for Homeless Children and Youth program under Title VII of the McKinney-Vento Homeless Assistance Act, </w:t>
      </w:r>
      <w:r w:rsidR="009F3CCE">
        <w:t>or</w:t>
      </w:r>
      <w:r w:rsidR="0031795A" w:rsidRPr="0031795A">
        <w:t xml:space="preserve"> the Teacher Quality State Grants program</w:t>
      </w:r>
      <w:r w:rsidR="009F3CCE">
        <w:t xml:space="preserve"> (Title II, Part A of the ESEA)</w:t>
      </w:r>
      <w:r w:rsidR="0031795A" w:rsidRPr="0031795A">
        <w:t>.</w:t>
      </w:r>
      <w:r w:rsidR="009F3CCE">
        <w:t xml:space="preserve">  </w:t>
      </w:r>
      <w:r w:rsidRPr="00AA1670">
        <w:rPr>
          <w:color w:val="000000"/>
        </w:rPr>
        <w:t>The Department of Education would no longer have an official indicator of the level of effort (measured in dollars) that state and local governments are making to provide public education.</w:t>
      </w:r>
    </w:p>
    <w:p w:rsidR="00D7138B" w:rsidRPr="00AA1670" w:rsidRDefault="00D7138B" w:rsidP="009F3CCE">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B30C42" w:rsidRPr="00AA1670" w:rsidRDefault="00B30C42">
      <w:pPr>
        <w:autoSpaceDE w:val="0"/>
        <w:autoSpaceDN w:val="0"/>
        <w:adjustRightInd w:val="0"/>
        <w:ind w:left="720"/>
        <w:rPr>
          <w:color w:val="000000"/>
        </w:rPr>
      </w:pPr>
    </w:p>
    <w:p w:rsidR="00B30C42" w:rsidRPr="00AA1670" w:rsidRDefault="00B30C42" w:rsidP="001547C4">
      <w:pPr>
        <w:autoSpaceDE w:val="0"/>
        <w:autoSpaceDN w:val="0"/>
        <w:adjustRightInd w:val="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 xml:space="preserve">collect the information annually or more often for the states’ own purposes. </w:t>
      </w:r>
      <w:r w:rsidR="00D05609">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1547C4">
        <w:rPr>
          <w:color w:val="000000"/>
        </w:rPr>
        <w:t xml:space="preserve">  Additionally, legislators, policymakers, and the public would not have access to current and comparable fiscal information pertaining to K-12 education</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pPr>
        <w:pStyle w:val="BodyText3"/>
        <w:rPr>
          <w:sz w:val="24"/>
        </w:rPr>
      </w:pPr>
      <w:r w:rsidRPr="008678A4">
        <w:rPr>
          <w:sz w:val="24"/>
        </w:rPr>
        <w:t>A</w:t>
      </w:r>
      <w:r w:rsidR="00B30C42" w:rsidRPr="008678A4">
        <w:rPr>
          <w:sz w:val="24"/>
        </w:rPr>
        <w:t>7.</w:t>
      </w:r>
      <w:r w:rsidRPr="008678A4">
        <w:rPr>
          <w:sz w:val="24"/>
        </w:rPr>
        <w:tab/>
      </w:r>
      <w:r w:rsidRPr="00360AF0">
        <w:rPr>
          <w:sz w:val="24"/>
        </w:rPr>
        <w:t>Special Circumstances</w:t>
      </w:r>
    </w:p>
    <w:p w:rsidR="00B30C42" w:rsidRPr="00AA1670" w:rsidRDefault="00B30C42">
      <w:pPr>
        <w:autoSpaceDE w:val="0"/>
        <w:autoSpaceDN w:val="0"/>
        <w:adjustRightInd w:val="0"/>
        <w:rPr>
          <w:color w:val="000000"/>
        </w:rPr>
      </w:pPr>
    </w:p>
    <w:p w:rsidR="00B30C42" w:rsidRPr="00AA1670" w:rsidRDefault="00360AF0">
      <w:pPr>
        <w:autoSpaceDE w:val="0"/>
        <w:autoSpaceDN w:val="0"/>
        <w:adjustRightInd w:val="0"/>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the NPEFS survey </w:t>
      </w:r>
      <w:r>
        <w:rPr>
          <w:color w:val="000000"/>
        </w:rPr>
        <w:t>are anticipated</w:t>
      </w:r>
      <w:r w:rsidR="00B30C42" w:rsidRPr="00AA1670">
        <w:rPr>
          <w:color w:val="000000"/>
        </w:rPr>
        <w:t>.</w:t>
      </w:r>
    </w:p>
    <w:p w:rsidR="00B30C42" w:rsidRPr="00AA1670" w:rsidRDefault="00B30C42">
      <w:pPr>
        <w:autoSpaceDE w:val="0"/>
        <w:autoSpaceDN w:val="0"/>
        <w:adjustRightInd w:val="0"/>
        <w:rPr>
          <w:b/>
          <w:bCs/>
          <w:color w:val="000000"/>
        </w:rPr>
      </w:pPr>
    </w:p>
    <w:p w:rsidR="00B30C42" w:rsidRPr="008678A4" w:rsidRDefault="00B30C42" w:rsidP="008678A4">
      <w:pPr>
        <w:pStyle w:val="BodyText3"/>
        <w:rPr>
          <w:sz w:val="24"/>
        </w:rPr>
      </w:pPr>
      <w:r w:rsidRPr="008678A4">
        <w:rPr>
          <w:sz w:val="24"/>
        </w:rPr>
        <w:t>A8.</w:t>
      </w:r>
      <w:r w:rsidR="008678A4" w:rsidRPr="008678A4">
        <w:rPr>
          <w:sz w:val="24"/>
        </w:rPr>
        <w:tab/>
        <w:t>Consultations Outside the Agency</w:t>
      </w:r>
    </w:p>
    <w:p w:rsidR="00B30C42" w:rsidRPr="00AA1670" w:rsidRDefault="00B30C42">
      <w:pPr>
        <w:autoSpaceDE w:val="0"/>
        <w:autoSpaceDN w:val="0"/>
        <w:adjustRightInd w:val="0"/>
        <w:rPr>
          <w:b/>
          <w:bCs/>
          <w:color w:val="000000"/>
        </w:rPr>
      </w:pPr>
    </w:p>
    <w:p w:rsidR="00E61845" w:rsidRDefault="00E61845" w:rsidP="00E61845">
      <w:pPr>
        <w:autoSpaceDE w:val="0"/>
        <w:autoSpaceDN w:val="0"/>
        <w:adjustRightInd w:val="0"/>
        <w:rPr>
          <w:color w:val="000000"/>
        </w:rPr>
      </w:pPr>
      <w:r w:rsidRPr="00AA1670">
        <w:rPr>
          <w:color w:val="000000"/>
        </w:rPr>
        <w:t>Each state’s Chief State School Officer appoints a staff person to serve as the state’s Fiscal CCD Coordinator.  There is ongoing communication with these individuals about data content, availability, publication, etc.</w:t>
      </w:r>
      <w:r>
        <w:rPr>
          <w:color w:val="000000"/>
        </w:rPr>
        <w:t xml:space="preserve"> (</w:t>
      </w:r>
      <w:hyperlink r:id="rId12" w:history="1">
        <w:r w:rsidRPr="009260ED">
          <w:rPr>
            <w:rStyle w:val="Hyperlink"/>
          </w:rPr>
          <w:t>http://nces.ed.gov/ccd/corner.asp</w:t>
        </w:r>
      </w:hyperlink>
      <w:r>
        <w:rPr>
          <w:color w:val="000000"/>
        </w:rPr>
        <w:t>)</w:t>
      </w:r>
      <w:r w:rsidRPr="00AA1670">
        <w:rPr>
          <w:color w:val="000000"/>
        </w:rPr>
        <w:t>.</w:t>
      </w:r>
    </w:p>
    <w:p w:rsidR="00E61845" w:rsidRPr="00AA1670" w:rsidRDefault="00E61845" w:rsidP="00E61845">
      <w:pPr>
        <w:autoSpaceDE w:val="0"/>
        <w:autoSpaceDN w:val="0"/>
        <w:adjustRightInd w:val="0"/>
        <w:rPr>
          <w:color w:val="000000"/>
        </w:rPr>
      </w:pPr>
    </w:p>
    <w:p w:rsidR="0021271B" w:rsidRDefault="00E61845" w:rsidP="0021271B">
      <w:pPr>
        <w:spacing w:after="240"/>
      </w:pPr>
      <w:r>
        <w:rPr>
          <w:color w:val="000000"/>
        </w:rPr>
        <w:t>Also, t</w:t>
      </w:r>
      <w:r w:rsidR="0031795A" w:rsidRPr="0021271B">
        <w:rPr>
          <w:color w:val="000000"/>
        </w:rPr>
        <w:t xml:space="preserve">he most recent Federal </w:t>
      </w:r>
      <w:r>
        <w:rPr>
          <w:color w:val="000000"/>
        </w:rPr>
        <w:t xml:space="preserve">Register </w:t>
      </w:r>
      <w:r w:rsidR="0031795A" w:rsidRPr="0021271B">
        <w:rPr>
          <w:color w:val="000000"/>
        </w:rPr>
        <w:t xml:space="preserve">Notice on the </w:t>
      </w:r>
      <w:r w:rsidR="0021271B" w:rsidRPr="0021271B">
        <w:t xml:space="preserve">Submission of </w:t>
      </w:r>
      <w:r>
        <w:t xml:space="preserve">NPEFS </w:t>
      </w:r>
      <w:r w:rsidR="0021271B" w:rsidRPr="0021271B">
        <w:t>Data by State Educational Agencies</w:t>
      </w:r>
      <w:r>
        <w:t xml:space="preserve">, including </w:t>
      </w:r>
      <w:r w:rsidR="0021271B" w:rsidRPr="0021271B">
        <w:t>submission dates for State revenue and expenditure reports for FY 2011, revisions to those reports, and revisions to prior fiscal year reports</w:t>
      </w:r>
      <w:r>
        <w:t>,</w:t>
      </w:r>
      <w:r w:rsidR="0021271B" w:rsidRPr="0021271B">
        <w:t xml:space="preserve"> was published on January 10, 2012, Volume 77, No. 6, </w:t>
      </w:r>
      <w:r w:rsidR="00C53EB7" w:rsidRPr="0021271B">
        <w:t>pp.</w:t>
      </w:r>
      <w:r w:rsidR="0021271B" w:rsidRPr="0021271B">
        <w:t xml:space="preserve"> 1472-73.</w:t>
      </w:r>
    </w:p>
    <w:p w:rsidR="00B30C42" w:rsidRPr="008678A4" w:rsidRDefault="008678A4" w:rsidP="008678A4">
      <w:pPr>
        <w:pStyle w:val="BodyText3"/>
        <w:rPr>
          <w:sz w:val="24"/>
        </w:rPr>
      </w:pPr>
      <w:r w:rsidRPr="008678A4">
        <w:rPr>
          <w:sz w:val="24"/>
        </w:rPr>
        <w:t>A</w:t>
      </w:r>
      <w:r w:rsidR="00B30C42" w:rsidRPr="008678A4">
        <w:rPr>
          <w:sz w:val="24"/>
        </w:rPr>
        <w:t>9.</w:t>
      </w:r>
      <w:r w:rsidRPr="008678A4">
        <w:rPr>
          <w:sz w:val="24"/>
        </w:rPr>
        <w:tab/>
        <w:t>Provision of Payments or Gifts to Respondents</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No payments or gifts are offered</w:t>
      </w:r>
      <w:r w:rsidR="00E61845">
        <w:rPr>
          <w:color w:val="000000"/>
        </w:rPr>
        <w:t xml:space="preserve"> to respondents</w:t>
      </w:r>
      <w:r w:rsidRPr="00AA1670">
        <w:rPr>
          <w:color w:val="000000"/>
        </w:rPr>
        <w:t>.</w:t>
      </w:r>
    </w:p>
    <w:p w:rsidR="00B30C42" w:rsidRPr="00AA1670" w:rsidRDefault="00B30C42">
      <w:pPr>
        <w:autoSpaceDE w:val="0"/>
        <w:autoSpaceDN w:val="0"/>
        <w:adjustRightInd w:val="0"/>
        <w:rPr>
          <w:b/>
          <w:bCs/>
          <w:color w:val="000000"/>
        </w:rPr>
      </w:pPr>
    </w:p>
    <w:p w:rsidR="00C326D9" w:rsidRDefault="00C326D9">
      <w:pPr>
        <w:rPr>
          <w:b/>
          <w:bCs/>
          <w:color w:val="000000"/>
        </w:rPr>
      </w:pPr>
      <w:r>
        <w:br w:type="page"/>
      </w:r>
    </w:p>
    <w:p w:rsidR="00B30C42" w:rsidRPr="008678A4" w:rsidRDefault="008678A4" w:rsidP="008678A4">
      <w:pPr>
        <w:pStyle w:val="BodyText3"/>
        <w:rPr>
          <w:sz w:val="24"/>
        </w:rPr>
      </w:pPr>
      <w:r w:rsidRPr="008678A4">
        <w:rPr>
          <w:sz w:val="24"/>
        </w:rPr>
        <w:t>A</w:t>
      </w:r>
      <w:r w:rsidR="00B30C42" w:rsidRPr="008678A4">
        <w:rPr>
          <w:sz w:val="24"/>
        </w:rPr>
        <w:t>10.</w:t>
      </w:r>
      <w:r w:rsidRPr="008678A4">
        <w:rPr>
          <w:sz w:val="24"/>
        </w:rPr>
        <w:tab/>
        <w:t>Assurance of Confidentiality</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 xml:space="preserve">No such assurances are needed or offered to the state education agencies. The NPEFS data are public record in the states that report them.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B30C42" w:rsidRPr="00AA1670" w:rsidRDefault="00B30C42">
      <w:pPr>
        <w:autoSpaceDE w:val="0"/>
        <w:autoSpaceDN w:val="0"/>
        <w:adjustRightInd w:val="0"/>
        <w:rPr>
          <w:color w:val="000000"/>
        </w:rPr>
      </w:pPr>
    </w:p>
    <w:p w:rsidR="00B30C42" w:rsidRPr="008678A4" w:rsidRDefault="008678A4" w:rsidP="008678A4">
      <w:pPr>
        <w:pStyle w:val="BodyText3"/>
        <w:rPr>
          <w:sz w:val="24"/>
        </w:rPr>
      </w:pPr>
      <w:r w:rsidRPr="008678A4">
        <w:rPr>
          <w:sz w:val="24"/>
        </w:rPr>
        <w:t>A11.</w:t>
      </w:r>
      <w:r w:rsidRPr="008678A4">
        <w:rPr>
          <w:sz w:val="24"/>
        </w:rPr>
        <w:tab/>
        <w:t>Need for the Use of Sensitive Questions</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 xml:space="preserve">. </w:t>
      </w:r>
    </w:p>
    <w:p w:rsidR="00B30C42" w:rsidRPr="00AA1670" w:rsidRDefault="00B30C42">
      <w:pPr>
        <w:autoSpaceDE w:val="0"/>
        <w:autoSpaceDN w:val="0"/>
        <w:adjustRightInd w:val="0"/>
        <w:rPr>
          <w:b/>
          <w:bCs/>
          <w:color w:val="000000"/>
        </w:rPr>
      </w:pPr>
    </w:p>
    <w:p w:rsidR="00B30C42" w:rsidRPr="008678A4" w:rsidRDefault="008678A4" w:rsidP="008678A4">
      <w:pPr>
        <w:pStyle w:val="BodyText3"/>
        <w:rPr>
          <w:sz w:val="24"/>
        </w:rPr>
      </w:pPr>
      <w:r w:rsidRPr="008678A4">
        <w:rPr>
          <w:sz w:val="24"/>
        </w:rPr>
        <w:t>A</w:t>
      </w:r>
      <w:r w:rsidR="00B30C42" w:rsidRPr="008678A4">
        <w:rPr>
          <w:sz w:val="24"/>
        </w:rPr>
        <w:t>12.</w:t>
      </w:r>
      <w:r w:rsidRPr="008678A4">
        <w:rPr>
          <w:sz w:val="24"/>
        </w:rPr>
        <w:tab/>
        <w:t>Estimates of Hour Burden</w:t>
      </w:r>
    </w:p>
    <w:p w:rsidR="00B30C42" w:rsidRPr="00AA1670" w:rsidRDefault="00B30C42">
      <w:pPr>
        <w:autoSpaceDE w:val="0"/>
        <w:autoSpaceDN w:val="0"/>
        <w:adjustRightInd w:val="0"/>
        <w:rPr>
          <w:bCs/>
          <w:color w:val="000000"/>
        </w:rPr>
      </w:pPr>
    </w:p>
    <w:p w:rsidR="00B30C42" w:rsidRPr="00AA1670" w:rsidRDefault="00B30C42">
      <w:pPr>
        <w:pStyle w:val="BodyText"/>
        <w:tabs>
          <w:tab w:val="left" w:pos="720"/>
        </w:tabs>
        <w:rPr>
          <w:rFonts w:ascii="Times New Roman" w:hAnsi="Times New Roman" w:cs="Times New Roman"/>
          <w:b w:val="0"/>
          <w:bCs/>
          <w:sz w:val="24"/>
          <w:szCs w:val="24"/>
        </w:rPr>
      </w:pPr>
      <w:r w:rsidRPr="00AA1670">
        <w:rPr>
          <w:rFonts w:ascii="Times New Roman" w:hAnsi="Times New Roman" w:cs="Times New Roman"/>
          <w:b w:val="0"/>
          <w:bCs/>
          <w:sz w:val="24"/>
          <w:szCs w:val="24"/>
        </w:rPr>
        <w:t xml:space="preserve">The information reported on the NPEFS survey has already been collected by the reporting agencies for the state’s own uses. The added burden for the NPEFS is limited to the state education agency’s effort taken in extracting data from files, transferring them to NCES, and responding to edit reports.  </w:t>
      </w:r>
      <w:r w:rsidR="006B50A9">
        <w:rPr>
          <w:rFonts w:ascii="Times New Roman" w:hAnsi="Times New Roman" w:cs="Times New Roman"/>
          <w:b w:val="0"/>
          <w:bCs/>
          <w:sz w:val="24"/>
          <w:szCs w:val="24"/>
        </w:rPr>
        <w:t xml:space="preserve">The total estimated burden time for </w:t>
      </w:r>
      <w:r w:rsidR="005E5E5C">
        <w:rPr>
          <w:rFonts w:ascii="Times New Roman" w:hAnsi="Times New Roman" w:cs="Times New Roman"/>
          <w:b w:val="0"/>
          <w:bCs/>
          <w:sz w:val="24"/>
          <w:szCs w:val="24"/>
        </w:rPr>
        <w:t>all</w:t>
      </w:r>
      <w:r w:rsidR="006B50A9">
        <w:rPr>
          <w:rFonts w:ascii="Times New Roman" w:hAnsi="Times New Roman" w:cs="Times New Roman"/>
          <w:b w:val="0"/>
          <w:bCs/>
          <w:sz w:val="24"/>
          <w:szCs w:val="24"/>
        </w:rPr>
        <w:t xml:space="preserve"> 56 participating SEAs is </w:t>
      </w:r>
      <w:r w:rsidR="006B50A9" w:rsidRPr="006B50A9">
        <w:rPr>
          <w:rFonts w:ascii="Times New Roman" w:hAnsi="Times New Roman" w:cs="Times New Roman"/>
          <w:b w:val="0"/>
          <w:bCs/>
          <w:sz w:val="24"/>
          <w:szCs w:val="24"/>
        </w:rPr>
        <w:t xml:space="preserve">5,264 </w:t>
      </w:r>
      <w:r w:rsidR="006B50A9">
        <w:rPr>
          <w:rFonts w:ascii="Times New Roman" w:hAnsi="Times New Roman" w:cs="Times New Roman"/>
          <w:b w:val="0"/>
          <w:bCs/>
          <w:sz w:val="24"/>
          <w:szCs w:val="24"/>
        </w:rPr>
        <w:t xml:space="preserve">hours </w:t>
      </w:r>
      <w:r w:rsidR="006B50A9" w:rsidRPr="006B50A9">
        <w:rPr>
          <w:rFonts w:ascii="Times New Roman" w:hAnsi="Times New Roman" w:cs="Times New Roman"/>
          <w:b w:val="0"/>
          <w:bCs/>
          <w:sz w:val="24"/>
          <w:szCs w:val="24"/>
        </w:rPr>
        <w:t>a year</w:t>
      </w:r>
      <w:r w:rsidR="005E5E5C">
        <w:rPr>
          <w:rFonts w:ascii="Times New Roman" w:hAnsi="Times New Roman" w:cs="Times New Roman"/>
          <w:b w:val="0"/>
          <w:bCs/>
          <w:sz w:val="24"/>
          <w:szCs w:val="24"/>
        </w:rPr>
        <w:t>.</w:t>
      </w:r>
      <w:r w:rsidR="00883453">
        <w:rPr>
          <w:rFonts w:ascii="Times New Roman" w:hAnsi="Times New Roman" w:cs="Times New Roman"/>
          <w:b w:val="0"/>
          <w:bCs/>
          <w:sz w:val="24"/>
          <w:szCs w:val="24"/>
        </w:rPr>
        <w:t xml:space="preserve">  </w:t>
      </w:r>
    </w:p>
    <w:p w:rsidR="00B30C42" w:rsidRPr="00AA1670" w:rsidRDefault="00B30C42">
      <w:pPr>
        <w:autoSpaceDE w:val="0"/>
        <w:autoSpaceDN w:val="0"/>
        <w:adjustRightInd w:val="0"/>
        <w:rPr>
          <w:bCs/>
          <w:color w:val="000000"/>
        </w:rPr>
      </w:pPr>
    </w:p>
    <w:p w:rsidR="0008195C" w:rsidRDefault="00B30C42" w:rsidP="0008195C">
      <w:r w:rsidRPr="0008195C">
        <w:rPr>
          <w:color w:val="000000"/>
        </w:rPr>
        <w:t>The 20</w:t>
      </w:r>
      <w:r w:rsidR="001C68E8" w:rsidRPr="0008195C">
        <w:rPr>
          <w:color w:val="000000"/>
        </w:rPr>
        <w:t xml:space="preserve">11-12 </w:t>
      </w:r>
      <w:r w:rsidRPr="0008195C">
        <w:rPr>
          <w:color w:val="000000"/>
        </w:rPr>
        <w:t xml:space="preserve">costs </w:t>
      </w:r>
      <w:r w:rsidR="005E3109" w:rsidRPr="0008195C">
        <w:rPr>
          <w:color w:val="000000"/>
        </w:rPr>
        <w:t xml:space="preserve">associated with reporting NPEFS data </w:t>
      </w:r>
      <w:r w:rsidRPr="0008195C">
        <w:rPr>
          <w:color w:val="000000"/>
        </w:rPr>
        <w:t>were derived from information about the actual cost of employing an SEA staff to work with NCES testing programs</w:t>
      </w:r>
      <w:r w:rsidR="004A79B9" w:rsidRPr="0008195C">
        <w:rPr>
          <w:color w:val="000000"/>
        </w:rPr>
        <w:t xml:space="preserve">.  </w:t>
      </w:r>
      <w:r w:rsidR="0008195C">
        <w:t xml:space="preserve">The estimated number of hours per respondent for the various forms was arrived at through consultation with </w:t>
      </w:r>
      <w:r w:rsidR="00AB034B">
        <w:t>the SEA</w:t>
      </w:r>
      <w:r w:rsidR="0008195C">
        <w:t xml:space="preserve"> respondents. </w:t>
      </w:r>
    </w:p>
    <w:p w:rsidR="004A79B9" w:rsidRPr="00AA1670" w:rsidRDefault="004A79B9" w:rsidP="004A79B9">
      <w:pPr>
        <w:pStyle w:val="BodyText"/>
        <w:tabs>
          <w:tab w:val="left" w:pos="720"/>
        </w:tabs>
        <w:rPr>
          <w:rFonts w:ascii="Times New Roman" w:hAnsi="Times New Roman" w:cs="Times New Roman"/>
          <w:b w:val="0"/>
          <w:bCs/>
          <w:sz w:val="24"/>
          <w:szCs w:val="24"/>
        </w:rPr>
      </w:pPr>
      <w:r>
        <w:rPr>
          <w:rFonts w:ascii="Times New Roman" w:hAnsi="Times New Roman" w:cs="Times New Roman"/>
          <w:b w:val="0"/>
          <w:bCs/>
          <w:sz w:val="24"/>
          <w:szCs w:val="24"/>
        </w:rPr>
        <w:t xml:space="preserve">The </w:t>
      </w:r>
      <w:r w:rsidR="0008195C">
        <w:rPr>
          <w:rFonts w:ascii="Times New Roman" w:hAnsi="Times New Roman" w:cs="Times New Roman"/>
          <w:b w:val="0"/>
          <w:bCs/>
          <w:sz w:val="24"/>
          <w:szCs w:val="24"/>
        </w:rPr>
        <w:t xml:space="preserve">estimated hours per respondent </w:t>
      </w:r>
      <w:r>
        <w:rPr>
          <w:rFonts w:ascii="Times New Roman" w:hAnsi="Times New Roman" w:cs="Times New Roman"/>
          <w:b w:val="0"/>
          <w:bCs/>
          <w:sz w:val="24"/>
          <w:szCs w:val="24"/>
        </w:rPr>
        <w:t>for technicians and managers set forth below were calculated based on information directly provided by state fiscal coordinators who work on the NPEFS data collection.</w:t>
      </w:r>
    </w:p>
    <w:p w:rsidR="005E3109" w:rsidRPr="005E3109" w:rsidRDefault="00C53EB7" w:rsidP="005E3109">
      <w:pPr>
        <w:autoSpaceDE w:val="0"/>
        <w:autoSpaceDN w:val="0"/>
        <w:adjustRightInd w:val="0"/>
        <w:rPr>
          <w:color w:val="000000"/>
        </w:rPr>
      </w:pPr>
      <w:r>
        <w:rPr>
          <w:color w:val="000000"/>
        </w:rPr>
        <w:t xml:space="preserve">The salaries for technicians and managers from SEAs to collect and submit NPEFS data are based on the Occupation and Employment Statistics at the U.S. Department of Labor, Bureau of Labor Statistics (BLS).  </w:t>
      </w:r>
      <w:r w:rsidR="00B30C42" w:rsidRPr="00AA1670">
        <w:rPr>
          <w:color w:val="000000"/>
        </w:rPr>
        <w:t xml:space="preserve">Across </w:t>
      </w:r>
      <w:r w:rsidR="00385C5C">
        <w:rPr>
          <w:color w:val="000000"/>
        </w:rPr>
        <w:t xml:space="preserve">the 50 states and the District of Columbia, </w:t>
      </w:r>
      <w:r w:rsidR="00B30C42" w:rsidRPr="00AA1670">
        <w:rPr>
          <w:color w:val="000000"/>
        </w:rPr>
        <w:t>the average hourly rate for technical staff reporting NPEFS data is estimated to be $</w:t>
      </w:r>
      <w:r w:rsidR="00385C5C">
        <w:rPr>
          <w:color w:val="000000"/>
        </w:rPr>
        <w:t>26.</w:t>
      </w:r>
      <w:r w:rsidR="00251820">
        <w:rPr>
          <w:color w:val="000000"/>
        </w:rPr>
        <w:t>9</w:t>
      </w:r>
      <w:r w:rsidR="00385C5C">
        <w:rPr>
          <w:color w:val="000000"/>
        </w:rPr>
        <w:t>3</w:t>
      </w:r>
      <w:r w:rsidR="00CF194C">
        <w:rPr>
          <w:color w:val="000000"/>
        </w:rPr>
        <w:t xml:space="preserve"> per hour</w:t>
      </w:r>
      <w:r w:rsidR="00B30C42" w:rsidRPr="00AA1670">
        <w:rPr>
          <w:color w:val="000000"/>
        </w:rPr>
        <w:t>.</w:t>
      </w:r>
      <w:r w:rsidR="00385C5C" w:rsidRPr="00CF194C">
        <w:rPr>
          <w:rStyle w:val="FootnoteReference"/>
          <w:color w:val="000000"/>
          <w:vertAlign w:val="superscript"/>
        </w:rPr>
        <w:footnoteReference w:id="7"/>
      </w:r>
      <w:r w:rsidR="00B30C42" w:rsidRPr="00AA1670">
        <w:rPr>
          <w:color w:val="000000"/>
        </w:rPr>
        <w:t xml:space="preserve"> </w:t>
      </w:r>
      <w:r w:rsidR="005E3109">
        <w:rPr>
          <w:color w:val="000000"/>
        </w:rPr>
        <w:t xml:space="preserve">The estimate assumes </w:t>
      </w:r>
      <w:r w:rsidR="00B30C42" w:rsidRPr="00AA1670">
        <w:rPr>
          <w:color w:val="000000"/>
        </w:rPr>
        <w:t xml:space="preserve">that 20 percent of the time spent </w:t>
      </w:r>
      <w:r w:rsidR="005E3109">
        <w:rPr>
          <w:color w:val="000000"/>
        </w:rPr>
        <w:t>on</w:t>
      </w:r>
      <w:r w:rsidR="00B30C42" w:rsidRPr="00AA1670">
        <w:rPr>
          <w:color w:val="000000"/>
        </w:rPr>
        <w:t xml:space="preserve"> the NPEFS collections is </w:t>
      </w:r>
      <w:r w:rsidR="005E3109">
        <w:rPr>
          <w:color w:val="000000"/>
        </w:rPr>
        <w:t>provided</w:t>
      </w:r>
      <w:r w:rsidR="00B30C42" w:rsidRPr="00AA1670">
        <w:rPr>
          <w:color w:val="000000"/>
        </w:rPr>
        <w:t xml:space="preserve"> by managers, paid </w:t>
      </w:r>
      <w:r w:rsidR="005E3109">
        <w:rPr>
          <w:color w:val="000000"/>
        </w:rPr>
        <w:t xml:space="preserve">at </w:t>
      </w:r>
      <w:r w:rsidR="00B30C42" w:rsidRPr="00AA1670">
        <w:rPr>
          <w:color w:val="000000"/>
        </w:rPr>
        <w:t xml:space="preserve">the </w:t>
      </w:r>
      <w:r w:rsidR="00251820">
        <w:rPr>
          <w:color w:val="000000"/>
        </w:rPr>
        <w:t xml:space="preserve">higher </w:t>
      </w:r>
      <w:r w:rsidR="00B30C42" w:rsidRPr="00AA1670">
        <w:rPr>
          <w:color w:val="000000"/>
        </w:rPr>
        <w:t>rate of technicians, or $</w:t>
      </w:r>
      <w:r w:rsidR="00385C5C">
        <w:rPr>
          <w:color w:val="000000"/>
        </w:rPr>
        <w:t>41</w:t>
      </w:r>
      <w:r w:rsidR="00DF5FDA" w:rsidRPr="00AA1670">
        <w:rPr>
          <w:color w:val="000000"/>
        </w:rPr>
        <w:t>.</w:t>
      </w:r>
      <w:r w:rsidR="00385C5C">
        <w:rPr>
          <w:color w:val="000000"/>
        </w:rPr>
        <w:t xml:space="preserve">48 </w:t>
      </w:r>
      <w:r w:rsidR="00B30C42" w:rsidRPr="00AA1670">
        <w:rPr>
          <w:color w:val="000000"/>
        </w:rPr>
        <w:t>per hour.</w:t>
      </w:r>
      <w:r w:rsidR="00CF194C" w:rsidRPr="00B478C5">
        <w:rPr>
          <w:rStyle w:val="FootnoteReference"/>
          <w:color w:val="000000"/>
          <w:vertAlign w:val="superscript"/>
        </w:rPr>
        <w:footnoteReference w:id="8"/>
      </w:r>
      <w:r w:rsidR="005E5E5C">
        <w:rPr>
          <w:color w:val="000000"/>
        </w:rPr>
        <w:t xml:space="preserve">  </w:t>
      </w:r>
      <w:r w:rsidR="005E5E5C" w:rsidRPr="00AA1670">
        <w:t>The total estimated cost to all state respondents is $</w:t>
      </w:r>
      <w:r w:rsidR="005E5E5C">
        <w:t>15</w:t>
      </w:r>
      <w:r w:rsidR="00BC199F">
        <w:t>7</w:t>
      </w:r>
      <w:r w:rsidR="005E5E5C" w:rsidRPr="00AA1670">
        <w:t>,</w:t>
      </w:r>
      <w:r w:rsidR="00BC199F">
        <w:t>241</w:t>
      </w:r>
      <w:r w:rsidR="005E5E5C" w:rsidRPr="00AA1670">
        <w:t>.</w:t>
      </w:r>
    </w:p>
    <w:p w:rsidR="000E719E" w:rsidRDefault="000E719E">
      <w:pPr>
        <w:rPr>
          <w:snapToGrid w:val="0"/>
          <w:sz w:val="22"/>
        </w:rPr>
      </w:pPr>
    </w:p>
    <w:p w:rsidR="00CD3633" w:rsidRPr="00C747F1" w:rsidRDefault="00CD3633" w:rsidP="00C747F1">
      <w:pPr>
        <w:pStyle w:val="Text"/>
        <w:rPr>
          <w:sz w:val="24"/>
        </w:rPr>
      </w:pPr>
      <w:r w:rsidRPr="00C747F1">
        <w:rPr>
          <w:sz w:val="24"/>
        </w:rPr>
        <w:t xml:space="preserve">Table </w:t>
      </w:r>
      <w:r w:rsidR="006606DF" w:rsidRPr="00C747F1">
        <w:rPr>
          <w:sz w:val="24"/>
        </w:rPr>
        <w:t>1</w:t>
      </w:r>
      <w:r w:rsidRPr="00C747F1">
        <w:rPr>
          <w:sz w:val="24"/>
        </w:rPr>
        <w:t xml:space="preserve">. </w:t>
      </w:r>
      <w:r w:rsidR="00632DBD" w:rsidRPr="00C747F1">
        <w:rPr>
          <w:sz w:val="24"/>
        </w:rPr>
        <w:t xml:space="preserve">NPEFS </w:t>
      </w:r>
      <w:r w:rsidRPr="00C747F1">
        <w:rPr>
          <w:sz w:val="24"/>
        </w:rPr>
        <w:t xml:space="preserve">Estimated Respondent </w:t>
      </w:r>
      <w:r w:rsidR="00632DBD" w:rsidRPr="00C747F1">
        <w:rPr>
          <w:sz w:val="24"/>
        </w:rPr>
        <w:t xml:space="preserve">Burden Hours and </w:t>
      </w:r>
      <w:r w:rsidRPr="00C747F1">
        <w:rPr>
          <w:sz w:val="24"/>
        </w:rPr>
        <w:t>Cost</w:t>
      </w:r>
    </w:p>
    <w:tbl>
      <w:tblPr>
        <w:tblW w:w="10440" w:type="dxa"/>
        <w:tblInd w:w="100" w:type="dxa"/>
        <w:tblLayout w:type="fixed"/>
        <w:tblCellMar>
          <w:left w:w="100" w:type="dxa"/>
          <w:right w:w="100" w:type="dxa"/>
        </w:tblCellMar>
        <w:tblLook w:val="0000" w:firstRow="0" w:lastRow="0" w:firstColumn="0" w:lastColumn="0" w:noHBand="0" w:noVBand="0"/>
      </w:tblPr>
      <w:tblGrid>
        <w:gridCol w:w="1980"/>
        <w:gridCol w:w="1800"/>
        <w:gridCol w:w="1260"/>
        <w:gridCol w:w="1710"/>
        <w:gridCol w:w="2070"/>
        <w:gridCol w:w="1620"/>
      </w:tblGrid>
      <w:tr w:rsidR="00632DBD" w:rsidTr="00C747F1">
        <w:trPr>
          <w:cantSplit/>
          <w:trHeight w:val="896"/>
        </w:trPr>
        <w:tc>
          <w:tcPr>
            <w:tcW w:w="1980" w:type="dxa"/>
            <w:tcBorders>
              <w:top w:val="single" w:sz="6" w:space="0" w:color="000000"/>
              <w:left w:val="single" w:sz="6" w:space="0" w:color="000000"/>
            </w:tcBorders>
            <w:shd w:val="clear" w:color="auto" w:fill="auto"/>
          </w:tcPr>
          <w:p w:rsidR="00632DBD" w:rsidRDefault="00632DBD" w:rsidP="00632DBD">
            <w:pPr>
              <w:snapToGrid w:val="0"/>
              <w:spacing w:before="100" w:after="55"/>
            </w:pPr>
            <w:r>
              <w:t xml:space="preserve">Submission Method </w:t>
            </w:r>
          </w:p>
        </w:tc>
        <w:tc>
          <w:tcPr>
            <w:tcW w:w="1800" w:type="dxa"/>
            <w:tcBorders>
              <w:top w:val="single" w:sz="6" w:space="0" w:color="000000"/>
              <w:left w:val="single" w:sz="6" w:space="0" w:color="000000"/>
            </w:tcBorders>
            <w:vAlign w:val="center"/>
          </w:tcPr>
          <w:p w:rsidR="00632DBD" w:rsidRDefault="00632DBD" w:rsidP="0008195C">
            <w:pPr>
              <w:snapToGrid w:val="0"/>
              <w:spacing w:before="100" w:after="55"/>
            </w:pPr>
            <w:r w:rsidRPr="00653E46">
              <w:rPr>
                <w:bCs/>
              </w:rPr>
              <w:t>Number of Respondents</w:t>
            </w:r>
          </w:p>
        </w:tc>
        <w:tc>
          <w:tcPr>
            <w:tcW w:w="1260" w:type="dxa"/>
            <w:tcBorders>
              <w:top w:val="single" w:sz="6" w:space="0" w:color="000000"/>
              <w:left w:val="single" w:sz="6" w:space="0" w:color="000000"/>
              <w:right w:val="single" w:sz="6" w:space="0" w:color="000000"/>
            </w:tcBorders>
          </w:tcPr>
          <w:p w:rsidR="00632DBD" w:rsidRDefault="00632DBD" w:rsidP="0008195C">
            <w:pPr>
              <w:snapToGrid w:val="0"/>
              <w:spacing w:before="100" w:after="55"/>
            </w:pPr>
            <w:r>
              <w:t>Estimated hours</w:t>
            </w:r>
            <w:r w:rsidR="000E719E">
              <w:t xml:space="preserve"> per </w:t>
            </w:r>
            <w:r>
              <w:t>respondent</w:t>
            </w:r>
          </w:p>
        </w:tc>
        <w:tc>
          <w:tcPr>
            <w:tcW w:w="1710" w:type="dxa"/>
            <w:tcBorders>
              <w:top w:val="single" w:sz="6" w:space="0" w:color="000000"/>
              <w:left w:val="single" w:sz="6" w:space="0" w:color="000000"/>
            </w:tcBorders>
            <w:shd w:val="clear" w:color="auto" w:fill="auto"/>
          </w:tcPr>
          <w:p w:rsidR="00632DBD" w:rsidRDefault="00632DBD" w:rsidP="0008195C">
            <w:pPr>
              <w:snapToGrid w:val="0"/>
              <w:spacing w:before="100" w:after="55"/>
            </w:pPr>
            <w:r>
              <w:t>Estimated Total Respondent Burden Hours</w:t>
            </w:r>
          </w:p>
        </w:tc>
        <w:tc>
          <w:tcPr>
            <w:tcW w:w="2070" w:type="dxa"/>
            <w:tcBorders>
              <w:top w:val="single" w:sz="6" w:space="0" w:color="000000"/>
              <w:left w:val="single" w:sz="6" w:space="0" w:color="000000"/>
            </w:tcBorders>
            <w:shd w:val="clear" w:color="auto" w:fill="auto"/>
          </w:tcPr>
          <w:p w:rsidR="00632DBD" w:rsidRDefault="00632DBD" w:rsidP="0008195C">
            <w:pPr>
              <w:snapToGrid w:val="0"/>
              <w:spacing w:before="100" w:after="55"/>
            </w:pPr>
            <w:r>
              <w:t>Estimated Cost Per Burden Hour *</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08195C">
            <w:pPr>
              <w:snapToGrid w:val="0"/>
              <w:spacing w:before="100" w:after="55"/>
            </w:pPr>
            <w:r>
              <w:t>Estimated Total Respondent Cost</w:t>
            </w:r>
          </w:p>
        </w:tc>
      </w:tr>
      <w:tr w:rsidR="00632DBD" w:rsidTr="00C747F1">
        <w:trPr>
          <w:cantSplit/>
          <w:trHeight w:val="723"/>
        </w:trPr>
        <w:tc>
          <w:tcPr>
            <w:tcW w:w="1980" w:type="dxa"/>
            <w:tcBorders>
              <w:top w:val="single" w:sz="6" w:space="0" w:color="000000"/>
              <w:left w:val="single" w:sz="6" w:space="0" w:color="000000"/>
            </w:tcBorders>
            <w:shd w:val="clear" w:color="auto" w:fill="auto"/>
          </w:tcPr>
          <w:p w:rsidR="006606DF" w:rsidRDefault="00F05F4F" w:rsidP="00CD3633">
            <w:pPr>
              <w:snapToGrid w:val="0"/>
              <w:spacing w:before="100" w:after="55"/>
            </w:pPr>
            <w:r>
              <w:t>Interactive on-line survey form</w:t>
            </w:r>
          </w:p>
        </w:tc>
        <w:tc>
          <w:tcPr>
            <w:tcW w:w="1800" w:type="dxa"/>
            <w:tcBorders>
              <w:top w:val="single" w:sz="6" w:space="0" w:color="000000"/>
              <w:left w:val="single" w:sz="6" w:space="0" w:color="000000"/>
            </w:tcBorders>
            <w:vAlign w:val="center"/>
          </w:tcPr>
          <w:p w:rsidR="00632DBD" w:rsidRDefault="00632DBD" w:rsidP="00CD3633">
            <w:pPr>
              <w:snapToGrid w:val="0"/>
              <w:spacing w:before="100" w:after="55"/>
              <w:jc w:val="right"/>
            </w:pPr>
            <w:r w:rsidRPr="00AA1670">
              <w:t>56</w:t>
            </w:r>
          </w:p>
        </w:tc>
        <w:tc>
          <w:tcPr>
            <w:tcW w:w="1260" w:type="dxa"/>
            <w:tcBorders>
              <w:top w:val="single" w:sz="6" w:space="0" w:color="000000"/>
              <w:left w:val="single" w:sz="6" w:space="0" w:color="000000"/>
              <w:right w:val="single" w:sz="6" w:space="0" w:color="000000"/>
            </w:tcBorders>
          </w:tcPr>
          <w:p w:rsidR="00632DBD" w:rsidRDefault="00632DBD" w:rsidP="00CD3633">
            <w:pPr>
              <w:snapToGrid w:val="0"/>
              <w:spacing w:before="100" w:after="55"/>
              <w:jc w:val="right"/>
            </w:pPr>
            <w:r>
              <w:t>75</w:t>
            </w:r>
          </w:p>
        </w:tc>
        <w:tc>
          <w:tcPr>
            <w:tcW w:w="1710" w:type="dxa"/>
            <w:tcBorders>
              <w:top w:val="single" w:sz="6" w:space="0" w:color="000000"/>
              <w:left w:val="single" w:sz="6" w:space="0" w:color="000000"/>
            </w:tcBorders>
            <w:shd w:val="clear" w:color="auto" w:fill="auto"/>
          </w:tcPr>
          <w:p w:rsidR="00632DBD" w:rsidRDefault="00632DBD" w:rsidP="00CD3633">
            <w:pPr>
              <w:snapToGrid w:val="0"/>
              <w:spacing w:before="100" w:after="55"/>
              <w:jc w:val="right"/>
            </w:pPr>
            <w:r>
              <w:t>4,200</w:t>
            </w:r>
          </w:p>
        </w:tc>
        <w:tc>
          <w:tcPr>
            <w:tcW w:w="2070" w:type="dxa"/>
            <w:tcBorders>
              <w:top w:val="single" w:sz="6" w:space="0" w:color="000000"/>
              <w:left w:val="single" w:sz="6" w:space="0" w:color="000000"/>
            </w:tcBorders>
            <w:shd w:val="clear" w:color="auto" w:fill="auto"/>
          </w:tcPr>
          <w:p w:rsidR="00632DBD" w:rsidRDefault="00632DBD" w:rsidP="00CD3633">
            <w:pPr>
              <w:snapToGrid w:val="0"/>
              <w:spacing w:before="100" w:after="55"/>
              <w:jc w:val="right"/>
            </w:pPr>
            <w:r>
              <w:t>$26.93</w:t>
            </w:r>
          </w:p>
          <w:p w:rsidR="00632DBD" w:rsidRDefault="006606DF" w:rsidP="00CD3633">
            <w:pPr>
              <w:snapToGrid w:val="0"/>
              <w:spacing w:before="100" w:after="55"/>
              <w:jc w:val="right"/>
            </w:pPr>
            <w:r>
              <w:t>(</w:t>
            </w:r>
            <w:r w:rsidR="00632DBD">
              <w:t>Technician</w:t>
            </w:r>
            <w:r>
              <w:t>)</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251820">
            <w:pPr>
              <w:snapToGrid w:val="0"/>
              <w:spacing w:before="100" w:after="55"/>
              <w:jc w:val="right"/>
            </w:pPr>
            <w:r w:rsidRPr="00AA1670">
              <w:t>$1</w:t>
            </w:r>
            <w:r w:rsidR="00251820">
              <w:t>13</w:t>
            </w:r>
            <w:r w:rsidRPr="00AA1670">
              <w:t>,</w:t>
            </w:r>
            <w:r w:rsidR="00251820">
              <w:t>106</w:t>
            </w:r>
          </w:p>
        </w:tc>
      </w:tr>
      <w:tr w:rsidR="00632DBD" w:rsidTr="00C747F1">
        <w:trPr>
          <w:cantSplit/>
        </w:trPr>
        <w:tc>
          <w:tcPr>
            <w:tcW w:w="1980" w:type="dxa"/>
            <w:tcBorders>
              <w:top w:val="single" w:sz="6" w:space="0" w:color="000000"/>
              <w:left w:val="single" w:sz="6" w:space="0" w:color="000000"/>
            </w:tcBorders>
            <w:shd w:val="clear" w:color="auto" w:fill="auto"/>
          </w:tcPr>
          <w:p w:rsidR="00632DBD" w:rsidRDefault="00F05F4F" w:rsidP="00CD3633">
            <w:pPr>
              <w:snapToGrid w:val="0"/>
              <w:spacing w:before="100" w:after="55"/>
            </w:pPr>
            <w:r>
              <w:t xml:space="preserve">Interactive </w:t>
            </w:r>
            <w:r w:rsidR="001D36AA">
              <w:t xml:space="preserve">on-line </w:t>
            </w:r>
            <w:r>
              <w:t>survey form</w:t>
            </w:r>
          </w:p>
        </w:tc>
        <w:tc>
          <w:tcPr>
            <w:tcW w:w="1800" w:type="dxa"/>
            <w:tcBorders>
              <w:top w:val="single" w:sz="6" w:space="0" w:color="000000"/>
              <w:left w:val="single" w:sz="6" w:space="0" w:color="000000"/>
            </w:tcBorders>
            <w:vAlign w:val="center"/>
          </w:tcPr>
          <w:p w:rsidR="00632DBD" w:rsidRDefault="00632DBD" w:rsidP="0008195C">
            <w:pPr>
              <w:snapToGrid w:val="0"/>
              <w:spacing w:before="100" w:after="55"/>
              <w:jc w:val="right"/>
            </w:pPr>
            <w:r w:rsidRPr="00AA1670">
              <w:t>56</w:t>
            </w:r>
          </w:p>
        </w:tc>
        <w:tc>
          <w:tcPr>
            <w:tcW w:w="1260" w:type="dxa"/>
            <w:tcBorders>
              <w:top w:val="single" w:sz="6" w:space="0" w:color="000000"/>
              <w:left w:val="single" w:sz="6" w:space="0" w:color="000000"/>
              <w:right w:val="single" w:sz="6" w:space="0" w:color="000000"/>
            </w:tcBorders>
          </w:tcPr>
          <w:p w:rsidR="00632DBD" w:rsidRDefault="00632DBD" w:rsidP="0008195C">
            <w:pPr>
              <w:snapToGrid w:val="0"/>
              <w:spacing w:before="100" w:after="55"/>
              <w:jc w:val="right"/>
            </w:pPr>
            <w:r>
              <w:t>19</w:t>
            </w:r>
          </w:p>
        </w:tc>
        <w:tc>
          <w:tcPr>
            <w:tcW w:w="1710" w:type="dxa"/>
            <w:tcBorders>
              <w:top w:val="single" w:sz="6" w:space="0" w:color="000000"/>
              <w:left w:val="single" w:sz="6" w:space="0" w:color="000000"/>
            </w:tcBorders>
            <w:shd w:val="clear" w:color="auto" w:fill="auto"/>
          </w:tcPr>
          <w:p w:rsidR="00632DBD" w:rsidRDefault="00632DBD" w:rsidP="0008195C">
            <w:pPr>
              <w:snapToGrid w:val="0"/>
              <w:spacing w:before="100" w:after="55"/>
              <w:jc w:val="right"/>
            </w:pPr>
            <w:r>
              <w:t>1</w:t>
            </w:r>
            <w:r w:rsidR="0006245E">
              <w:t>,</w:t>
            </w:r>
            <w:r>
              <w:t>064</w:t>
            </w:r>
          </w:p>
        </w:tc>
        <w:tc>
          <w:tcPr>
            <w:tcW w:w="2070" w:type="dxa"/>
            <w:tcBorders>
              <w:top w:val="single" w:sz="6" w:space="0" w:color="000000"/>
              <w:left w:val="single" w:sz="6" w:space="0" w:color="000000"/>
            </w:tcBorders>
            <w:shd w:val="clear" w:color="auto" w:fill="auto"/>
          </w:tcPr>
          <w:p w:rsidR="00632DBD" w:rsidRDefault="00632DBD" w:rsidP="00CD3633">
            <w:pPr>
              <w:snapToGrid w:val="0"/>
              <w:spacing w:before="100" w:after="55"/>
              <w:jc w:val="right"/>
            </w:pPr>
            <w:r>
              <w:t>$41.48</w:t>
            </w:r>
          </w:p>
          <w:p w:rsidR="00632DBD" w:rsidRDefault="006606DF" w:rsidP="00632DBD">
            <w:pPr>
              <w:snapToGrid w:val="0"/>
              <w:spacing w:before="100" w:after="55"/>
              <w:jc w:val="right"/>
            </w:pPr>
            <w:r>
              <w:t>(</w:t>
            </w:r>
            <w:r w:rsidR="00632DBD">
              <w:t>Manager</w:t>
            </w:r>
            <w:r>
              <w:t>)</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08195C">
            <w:pPr>
              <w:snapToGrid w:val="0"/>
              <w:spacing w:before="100" w:after="55"/>
              <w:jc w:val="right"/>
            </w:pPr>
            <w:r w:rsidRPr="00AA1670">
              <w:t xml:space="preserve">$ </w:t>
            </w:r>
            <w:r>
              <w:t>44</w:t>
            </w:r>
            <w:r w:rsidRPr="00AA1670">
              <w:t>,</w:t>
            </w:r>
            <w:r>
              <w:t>135</w:t>
            </w:r>
          </w:p>
        </w:tc>
      </w:tr>
      <w:tr w:rsidR="00632DBD" w:rsidRPr="00C747F1" w:rsidTr="00C747F1">
        <w:trPr>
          <w:cantSplit/>
        </w:trPr>
        <w:tc>
          <w:tcPr>
            <w:tcW w:w="1980" w:type="dxa"/>
            <w:tcBorders>
              <w:top w:val="single" w:sz="6" w:space="0" w:color="000000"/>
              <w:left w:val="single" w:sz="6" w:space="0" w:color="000000"/>
              <w:bottom w:val="single" w:sz="6" w:space="0" w:color="000000"/>
            </w:tcBorders>
            <w:shd w:val="clear" w:color="auto" w:fill="auto"/>
          </w:tcPr>
          <w:p w:rsidR="00632DBD" w:rsidRPr="00C747F1" w:rsidRDefault="006606DF" w:rsidP="00CD3633">
            <w:pPr>
              <w:snapToGrid w:val="0"/>
              <w:spacing w:before="100" w:after="55"/>
              <w:rPr>
                <w:b/>
              </w:rPr>
            </w:pPr>
            <w:r w:rsidRPr="00C747F1">
              <w:rPr>
                <w:b/>
              </w:rPr>
              <w:t>Total</w:t>
            </w:r>
          </w:p>
        </w:tc>
        <w:tc>
          <w:tcPr>
            <w:tcW w:w="1800" w:type="dxa"/>
            <w:tcBorders>
              <w:top w:val="single" w:sz="6" w:space="0" w:color="000000"/>
              <w:left w:val="single" w:sz="6" w:space="0" w:color="000000"/>
              <w:bottom w:val="single" w:sz="6" w:space="0" w:color="000000"/>
            </w:tcBorders>
            <w:vAlign w:val="center"/>
          </w:tcPr>
          <w:p w:rsidR="00632DBD" w:rsidRPr="00C747F1" w:rsidRDefault="00632DBD" w:rsidP="0008195C">
            <w:pPr>
              <w:snapToGrid w:val="0"/>
              <w:spacing w:before="100" w:after="55"/>
              <w:jc w:val="right"/>
              <w:rPr>
                <w:b/>
              </w:rPr>
            </w:pPr>
            <w:r w:rsidRPr="00C747F1">
              <w:rPr>
                <w:b/>
              </w:rPr>
              <w:t>56</w:t>
            </w:r>
          </w:p>
        </w:tc>
        <w:tc>
          <w:tcPr>
            <w:tcW w:w="1260" w:type="dxa"/>
            <w:tcBorders>
              <w:top w:val="single" w:sz="6" w:space="0" w:color="000000"/>
              <w:left w:val="single" w:sz="6" w:space="0" w:color="000000"/>
              <w:bottom w:val="single" w:sz="6" w:space="0" w:color="000000"/>
              <w:right w:val="single" w:sz="6" w:space="0" w:color="000000"/>
            </w:tcBorders>
          </w:tcPr>
          <w:p w:rsidR="00632DBD" w:rsidRPr="00C747F1" w:rsidRDefault="00632DBD" w:rsidP="0008195C">
            <w:pPr>
              <w:snapToGrid w:val="0"/>
              <w:spacing w:before="100" w:after="55"/>
              <w:jc w:val="right"/>
              <w:rPr>
                <w:b/>
              </w:rPr>
            </w:pPr>
          </w:p>
        </w:tc>
        <w:tc>
          <w:tcPr>
            <w:tcW w:w="1710" w:type="dxa"/>
            <w:tcBorders>
              <w:top w:val="single" w:sz="6" w:space="0" w:color="000000"/>
              <w:left w:val="single" w:sz="6" w:space="0" w:color="000000"/>
              <w:bottom w:val="single" w:sz="6" w:space="0" w:color="000000"/>
            </w:tcBorders>
            <w:shd w:val="clear" w:color="auto" w:fill="auto"/>
          </w:tcPr>
          <w:p w:rsidR="00632DBD" w:rsidRPr="00C747F1" w:rsidRDefault="006606DF" w:rsidP="0008195C">
            <w:pPr>
              <w:snapToGrid w:val="0"/>
              <w:spacing w:before="100" w:after="55"/>
              <w:jc w:val="right"/>
              <w:rPr>
                <w:b/>
              </w:rPr>
            </w:pPr>
            <w:r w:rsidRPr="00C747F1">
              <w:rPr>
                <w:b/>
              </w:rPr>
              <w:t>5</w:t>
            </w:r>
            <w:r w:rsidR="0006245E" w:rsidRPr="00C747F1">
              <w:rPr>
                <w:b/>
              </w:rPr>
              <w:t>,</w:t>
            </w:r>
            <w:r w:rsidRPr="00C747F1">
              <w:rPr>
                <w:b/>
              </w:rPr>
              <w:t>264</w:t>
            </w:r>
          </w:p>
        </w:tc>
        <w:tc>
          <w:tcPr>
            <w:tcW w:w="2070" w:type="dxa"/>
            <w:tcBorders>
              <w:top w:val="single" w:sz="6" w:space="0" w:color="000000"/>
              <w:left w:val="single" w:sz="6" w:space="0" w:color="000000"/>
              <w:bottom w:val="single" w:sz="6" w:space="0" w:color="000000"/>
            </w:tcBorders>
            <w:shd w:val="clear" w:color="auto" w:fill="auto"/>
          </w:tcPr>
          <w:p w:rsidR="00632DBD" w:rsidRPr="00C747F1" w:rsidRDefault="00632DBD" w:rsidP="00CD3633">
            <w:pPr>
              <w:snapToGrid w:val="0"/>
              <w:spacing w:before="100" w:after="55"/>
              <w:jc w:val="right"/>
              <w:rPr>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32DBD" w:rsidRPr="00C747F1" w:rsidRDefault="006606DF" w:rsidP="00BC199F">
            <w:pPr>
              <w:snapToGrid w:val="0"/>
              <w:spacing w:before="100" w:after="55"/>
              <w:jc w:val="right"/>
              <w:rPr>
                <w:b/>
              </w:rPr>
            </w:pPr>
            <w:r w:rsidRPr="00C747F1">
              <w:rPr>
                <w:b/>
              </w:rPr>
              <w:t>$15</w:t>
            </w:r>
            <w:r w:rsidR="00251820" w:rsidRPr="00C747F1">
              <w:rPr>
                <w:b/>
              </w:rPr>
              <w:t>7</w:t>
            </w:r>
            <w:r w:rsidRPr="00C747F1">
              <w:rPr>
                <w:b/>
              </w:rPr>
              <w:t>,</w:t>
            </w:r>
            <w:r w:rsidR="00BC199F" w:rsidRPr="00C747F1">
              <w:rPr>
                <w:b/>
              </w:rPr>
              <w:t>2</w:t>
            </w:r>
            <w:r w:rsidRPr="00C747F1">
              <w:rPr>
                <w:b/>
              </w:rPr>
              <w:t>4</w:t>
            </w:r>
            <w:r w:rsidR="00BC199F" w:rsidRPr="00C747F1">
              <w:rPr>
                <w:b/>
              </w:rPr>
              <w:t>1</w:t>
            </w:r>
          </w:p>
        </w:tc>
      </w:tr>
    </w:tbl>
    <w:p w:rsidR="0006245E" w:rsidRDefault="0006245E" w:rsidP="00C747F1">
      <w:pPr>
        <w:tabs>
          <w:tab w:val="left" w:pos="0"/>
          <w:tab w:val="left" w:pos="720"/>
          <w:tab w:val="left" w:pos="1440"/>
        </w:tabs>
        <w:suppressAutoHyphens/>
      </w:pPr>
    </w:p>
    <w:p w:rsidR="00F060A6" w:rsidRPr="00C747F1" w:rsidRDefault="00C53EB7" w:rsidP="00C747F1">
      <w:pPr>
        <w:pStyle w:val="Text"/>
        <w:rPr>
          <w:sz w:val="24"/>
        </w:rPr>
      </w:pPr>
      <w:r w:rsidRPr="00C747F1">
        <w:rPr>
          <w:sz w:val="24"/>
        </w:rPr>
        <w:t>As previously mentioned, NPEFS leverages the work of state fiscal coordinators on the Annual Survey of School System Finances (F-33</w:t>
      </w:r>
      <w:r>
        <w:rPr>
          <w:sz w:val="24"/>
        </w:rPr>
        <w:t xml:space="preserve">; </w:t>
      </w:r>
      <w:r w:rsidRPr="00C747F1">
        <w:rPr>
          <w:sz w:val="24"/>
        </w:rPr>
        <w:t>OMB</w:t>
      </w:r>
      <w:r>
        <w:rPr>
          <w:sz w:val="24"/>
        </w:rPr>
        <w:t>#</w:t>
      </w:r>
      <w:r w:rsidRPr="00C747F1">
        <w:rPr>
          <w:sz w:val="24"/>
        </w:rPr>
        <w:t xml:space="preserve"> 0607-0700</w:t>
      </w:r>
      <w:r>
        <w:rPr>
          <w:sz w:val="24"/>
        </w:rPr>
        <w:t>)</w:t>
      </w:r>
      <w:r w:rsidRPr="00D80F90">
        <w:rPr>
          <w:sz w:val="24"/>
          <w:vertAlign w:val="superscript"/>
        </w:rPr>
        <w:footnoteReference w:id="9"/>
      </w:r>
      <w:r w:rsidRPr="00C747F1">
        <w:rPr>
          <w:sz w:val="24"/>
        </w:rPr>
        <w:t xml:space="preserve">, which is an annual collection of school district finance data by the US Census Bureau.  </w:t>
      </w:r>
      <w:r w:rsidR="005B3F43" w:rsidRPr="00C747F1">
        <w:rPr>
          <w:sz w:val="24"/>
        </w:rPr>
        <w:t xml:space="preserve">Respondents </w:t>
      </w:r>
      <w:r w:rsidR="00266047" w:rsidRPr="00C747F1">
        <w:rPr>
          <w:sz w:val="24"/>
        </w:rPr>
        <w:t xml:space="preserve">often </w:t>
      </w:r>
      <w:r w:rsidR="005B3F43" w:rsidRPr="00C747F1">
        <w:rPr>
          <w:sz w:val="24"/>
        </w:rPr>
        <w:t xml:space="preserve">use data </w:t>
      </w:r>
      <w:r w:rsidR="0062224B" w:rsidRPr="00C747F1">
        <w:rPr>
          <w:sz w:val="24"/>
        </w:rPr>
        <w:t xml:space="preserve">from </w:t>
      </w:r>
      <w:r w:rsidR="005B3F43" w:rsidRPr="00C747F1">
        <w:rPr>
          <w:sz w:val="24"/>
        </w:rPr>
        <w:t xml:space="preserve">the </w:t>
      </w:r>
      <w:r w:rsidR="001D36AA" w:rsidRPr="00C747F1">
        <w:rPr>
          <w:sz w:val="24"/>
        </w:rPr>
        <w:t xml:space="preserve">Annual Survey of School System Finances </w:t>
      </w:r>
      <w:r w:rsidR="005B3F43" w:rsidRPr="00C747F1">
        <w:rPr>
          <w:sz w:val="24"/>
        </w:rPr>
        <w:t>to cross check and edit NPEFS data</w:t>
      </w:r>
      <w:r w:rsidR="001D36AA" w:rsidRPr="00C747F1">
        <w:rPr>
          <w:sz w:val="24"/>
        </w:rPr>
        <w:t xml:space="preserve"> as </w:t>
      </w:r>
      <w:r w:rsidR="00266047" w:rsidRPr="00C747F1">
        <w:rPr>
          <w:sz w:val="24"/>
        </w:rPr>
        <w:t>some of t</w:t>
      </w:r>
      <w:r w:rsidR="001D36AA" w:rsidRPr="00C747F1">
        <w:rPr>
          <w:sz w:val="24"/>
        </w:rPr>
        <w:t xml:space="preserve">he same data items are reported on </w:t>
      </w:r>
      <w:r w:rsidR="00266047" w:rsidRPr="00C747F1">
        <w:rPr>
          <w:sz w:val="24"/>
        </w:rPr>
        <w:t xml:space="preserve">the district level for F-33 and on the state level for NPEFS.  Respondents cannot cross check all data items between NPEFS and the F-33 surveys because there are significant differences between the two collections.  </w:t>
      </w:r>
      <w:r w:rsidR="00BF74A4" w:rsidRPr="00C747F1">
        <w:rPr>
          <w:sz w:val="24"/>
        </w:rPr>
        <w:t xml:space="preserve">In order to enhance efficiency, NCES and Census provided </w:t>
      </w:r>
      <w:r w:rsidR="00F060A6" w:rsidRPr="00C747F1">
        <w:rPr>
          <w:sz w:val="24"/>
        </w:rPr>
        <w:t xml:space="preserve">account numbers in </w:t>
      </w:r>
      <w:r w:rsidR="00BF74A4" w:rsidRPr="00C747F1">
        <w:rPr>
          <w:sz w:val="24"/>
        </w:rPr>
        <w:t xml:space="preserve">the </w:t>
      </w:r>
      <w:r w:rsidR="00F060A6" w:rsidRPr="00C747F1">
        <w:rPr>
          <w:sz w:val="24"/>
        </w:rPr>
        <w:t>NCES financial accounting handbook beside the revenue and expenditure items on the Form F-33.</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00B30C42" w:rsidRPr="00AA1670" w:rsidRDefault="00B30C42" w:rsidP="00C747F1">
      <w:r w:rsidRPr="00AA1670">
        <w:t xml:space="preserve">There are no additional recordkeeping costs to the responding state education agencies. </w:t>
      </w:r>
      <w:r w:rsidR="00C53EB7" w:rsidRPr="00AA1670">
        <w:t xml:space="preserve">All </w:t>
      </w:r>
      <w:r w:rsidR="00C53EB7">
        <w:t>NPEFS data are extracted</w:t>
      </w:r>
      <w:r w:rsidR="00C53EB7" w:rsidRPr="00AA1670">
        <w:t xml:space="preserve"> from administrative record systems already collected by the state for its own purposes and </w:t>
      </w:r>
      <w:r w:rsidR="00C53EB7">
        <w:t>are</w:t>
      </w:r>
      <w:r w:rsidR="00C53EB7" w:rsidRPr="00AA1670">
        <w:t xml:space="preserve"> </w:t>
      </w:r>
      <w:r w:rsidR="00C53EB7">
        <w:t>of the type and scope normally included in government records</w:t>
      </w:r>
      <w:r w:rsidR="00C53EB7" w:rsidRPr="00AA1670">
        <w:t>.</w:t>
      </w:r>
      <w:r w:rsidR="00C53EB7">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RDefault="00B30C42">
      <w:pPr>
        <w:pStyle w:val="Heading1"/>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B30C42" w:rsidRPr="00AA1670" w:rsidRDefault="00B30C42">
      <w:pPr>
        <w:pStyle w:val="Text"/>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00456960" w:rsidRPr="00AA167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30C42" w:rsidRPr="00AA1670" w:rsidRDefault="00B30C42">
      <w:pPr>
        <w:pStyle w:val="Text"/>
        <w:jc w:val="center"/>
        <w:rPr>
          <w:color w:val="000000"/>
          <w:sz w:val="24"/>
        </w:rPr>
      </w:pPr>
      <w:r w:rsidRPr="00AA1670">
        <w:rPr>
          <w:b/>
          <w:bCs/>
          <w:color w:val="000000"/>
          <w:sz w:val="24"/>
        </w:rPr>
        <w:t>Estimated Annual Cost of CCD to Federal Government</w:t>
      </w:r>
      <w:r w:rsidR="00F370F3">
        <w:rPr>
          <w:b/>
          <w:bCs/>
          <w:color w:val="000000"/>
          <w:sz w:val="24"/>
        </w:rPr>
        <w:t xml:space="preserve"> for Fiscal Year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240"/>
      </w:tblGrid>
      <w:tr w:rsidR="00B30C42" w:rsidRPr="00AA1670" w:rsidTr="00C747F1">
        <w:trPr>
          <w:jc w:val="center"/>
        </w:trPr>
        <w:tc>
          <w:tcPr>
            <w:tcW w:w="2394" w:type="dxa"/>
          </w:tcPr>
          <w:p w:rsidR="00B30C42" w:rsidRPr="00AA1670" w:rsidRDefault="00B30C42">
            <w:pPr>
              <w:rPr>
                <w:b/>
                <w:bCs/>
              </w:rPr>
            </w:pPr>
            <w:r w:rsidRPr="00AA1670">
              <w:br w:type="page"/>
            </w:r>
            <w:r w:rsidRPr="00AA1670">
              <w:br w:type="page"/>
            </w:r>
            <w:r w:rsidRPr="00AA1670">
              <w:rPr>
                <w:b/>
                <w:bCs/>
              </w:rPr>
              <w:t>Cost Type</w:t>
            </w:r>
          </w:p>
        </w:tc>
        <w:tc>
          <w:tcPr>
            <w:tcW w:w="3240" w:type="dxa"/>
          </w:tcPr>
          <w:p w:rsidR="00B30C42" w:rsidRPr="00AA1670" w:rsidRDefault="00F370F3" w:rsidP="001C68E8">
            <w:pPr>
              <w:jc w:val="right"/>
              <w:rPr>
                <w:b/>
                <w:bCs/>
              </w:rPr>
            </w:pPr>
            <w:r>
              <w:rPr>
                <w:b/>
                <w:bCs/>
              </w:rPr>
              <w:t xml:space="preserve">Collection of </w:t>
            </w:r>
            <w:r w:rsidR="00B30C42" w:rsidRPr="00AA1670">
              <w:rPr>
                <w:b/>
                <w:bCs/>
              </w:rPr>
              <w:t>20</w:t>
            </w:r>
            <w:r w:rsidR="001C68E8">
              <w:rPr>
                <w:b/>
                <w:bCs/>
              </w:rPr>
              <w:t>11-12</w:t>
            </w:r>
            <w:r>
              <w:rPr>
                <w:b/>
                <w:bCs/>
              </w:rPr>
              <w:t xml:space="preserve"> Data</w:t>
            </w:r>
          </w:p>
        </w:tc>
      </w:tr>
      <w:tr w:rsidR="00B30C42" w:rsidRPr="00AA1670" w:rsidTr="00C747F1">
        <w:trPr>
          <w:jc w:val="center"/>
        </w:trPr>
        <w:tc>
          <w:tcPr>
            <w:tcW w:w="2394" w:type="dxa"/>
          </w:tcPr>
          <w:p w:rsidR="00B30C42" w:rsidRPr="00AA1670" w:rsidRDefault="00534201">
            <w:r>
              <w:t>NCES</w:t>
            </w:r>
            <w:r w:rsidR="00B30C42" w:rsidRPr="00AA1670">
              <w:t xml:space="preserve"> Staff</w:t>
            </w:r>
          </w:p>
        </w:tc>
        <w:tc>
          <w:tcPr>
            <w:tcW w:w="3240" w:type="dxa"/>
          </w:tcPr>
          <w:p w:rsidR="00B30C42" w:rsidRPr="00995C80" w:rsidRDefault="00B30C42" w:rsidP="00A85E3D">
            <w:pPr>
              <w:jc w:val="right"/>
            </w:pPr>
            <w:r w:rsidRPr="00995C80">
              <w:t xml:space="preserve"> $1</w:t>
            </w:r>
            <w:r w:rsidR="00A85E3D">
              <w:t>2</w:t>
            </w:r>
            <w:r w:rsidR="00B84146" w:rsidRPr="00995C80">
              <w:t>1,</w:t>
            </w:r>
            <w:r w:rsidR="00A85E3D">
              <w:t>665</w:t>
            </w:r>
          </w:p>
        </w:tc>
      </w:tr>
      <w:tr w:rsidR="00B30C42" w:rsidRPr="00AA1670" w:rsidTr="00C747F1">
        <w:trPr>
          <w:jc w:val="center"/>
        </w:trPr>
        <w:tc>
          <w:tcPr>
            <w:tcW w:w="2394" w:type="dxa"/>
          </w:tcPr>
          <w:p w:rsidR="00B30C42" w:rsidRPr="00AA1670" w:rsidRDefault="00B30C42">
            <w:r w:rsidRPr="00AA1670">
              <w:t>Census (IAD)</w:t>
            </w:r>
            <w:r w:rsidR="00456960">
              <w:t xml:space="preserve"> Total</w:t>
            </w:r>
          </w:p>
        </w:tc>
        <w:tc>
          <w:tcPr>
            <w:tcW w:w="3240" w:type="dxa"/>
          </w:tcPr>
          <w:p w:rsidR="00B30C42" w:rsidRPr="00995C80" w:rsidRDefault="00B84146" w:rsidP="00A85E3D">
            <w:pPr>
              <w:jc w:val="right"/>
            </w:pPr>
            <w:r w:rsidRPr="00995C80">
              <w:t xml:space="preserve"> $</w:t>
            </w:r>
            <w:r w:rsidR="00A85E3D">
              <w:t>1,080,345</w:t>
            </w:r>
          </w:p>
        </w:tc>
      </w:tr>
      <w:tr w:rsidR="00B30C42" w:rsidRPr="00AA1670" w:rsidTr="00C747F1">
        <w:trPr>
          <w:jc w:val="center"/>
        </w:trPr>
        <w:tc>
          <w:tcPr>
            <w:tcW w:w="2394" w:type="dxa"/>
          </w:tcPr>
          <w:p w:rsidR="00B30C42" w:rsidRPr="00AA1670" w:rsidRDefault="00B30C42">
            <w:r w:rsidRPr="00AA1670">
              <w:t>Contracted Staff</w:t>
            </w:r>
          </w:p>
        </w:tc>
        <w:tc>
          <w:tcPr>
            <w:tcW w:w="3240" w:type="dxa"/>
          </w:tcPr>
          <w:p w:rsidR="00B30C42" w:rsidRPr="00995C80" w:rsidRDefault="00B84146" w:rsidP="00A85E3D">
            <w:pPr>
              <w:jc w:val="right"/>
            </w:pPr>
            <w:r w:rsidRPr="00995C80">
              <w:t xml:space="preserve"> $1</w:t>
            </w:r>
            <w:r w:rsidR="00A85E3D">
              <w:t>17</w:t>
            </w:r>
            <w:r w:rsidRPr="00995C80">
              <w:t>,</w:t>
            </w:r>
            <w:r w:rsidR="00A85E3D">
              <w:t>18</w:t>
            </w:r>
            <w:r w:rsidRPr="00995C80">
              <w:t>0</w:t>
            </w:r>
          </w:p>
        </w:tc>
      </w:tr>
      <w:tr w:rsidR="00B30C42" w:rsidRPr="00AA1670" w:rsidTr="00C747F1">
        <w:trPr>
          <w:jc w:val="center"/>
        </w:trPr>
        <w:tc>
          <w:tcPr>
            <w:tcW w:w="2394" w:type="dxa"/>
          </w:tcPr>
          <w:p w:rsidR="00B30C42" w:rsidRPr="00AA1670" w:rsidRDefault="00456960" w:rsidP="00456960">
            <w:pPr>
              <w:pStyle w:val="FootnoteText"/>
              <w:rPr>
                <w:sz w:val="24"/>
                <w:szCs w:val="24"/>
              </w:rPr>
            </w:pPr>
            <w:r>
              <w:rPr>
                <w:sz w:val="24"/>
                <w:szCs w:val="24"/>
              </w:rPr>
              <w:t xml:space="preserve">SEA Staff </w:t>
            </w:r>
            <w:r w:rsidR="00B30C42" w:rsidRPr="00AA1670">
              <w:rPr>
                <w:sz w:val="24"/>
                <w:szCs w:val="24"/>
              </w:rPr>
              <w:t>Training</w:t>
            </w:r>
          </w:p>
        </w:tc>
        <w:tc>
          <w:tcPr>
            <w:tcW w:w="3240" w:type="dxa"/>
          </w:tcPr>
          <w:p w:rsidR="00A85E3D" w:rsidRPr="00995C80" w:rsidRDefault="00B30C42" w:rsidP="00A85E3D">
            <w:pPr>
              <w:jc w:val="right"/>
            </w:pPr>
            <w:r w:rsidRPr="00995C80">
              <w:t xml:space="preserve"> $</w:t>
            </w:r>
            <w:r w:rsidR="00A85E3D">
              <w:t>127</w:t>
            </w:r>
            <w:r w:rsidRPr="00995C80">
              <w:t>,</w:t>
            </w:r>
            <w:r w:rsidR="00A85E3D">
              <w:t>313</w:t>
            </w:r>
          </w:p>
        </w:tc>
      </w:tr>
      <w:tr w:rsidR="00B30C42" w:rsidRPr="00534201" w:rsidTr="00C747F1">
        <w:trPr>
          <w:jc w:val="center"/>
        </w:trPr>
        <w:tc>
          <w:tcPr>
            <w:tcW w:w="2394" w:type="dxa"/>
          </w:tcPr>
          <w:p w:rsidR="00B30C42" w:rsidRPr="00C747F1" w:rsidRDefault="00B30C42">
            <w:pPr>
              <w:pStyle w:val="FootnoteText"/>
              <w:ind w:left="180"/>
              <w:rPr>
                <w:bCs/>
                <w:sz w:val="24"/>
                <w:szCs w:val="24"/>
              </w:rPr>
            </w:pPr>
            <w:r w:rsidRPr="00C747F1">
              <w:rPr>
                <w:sz w:val="24"/>
                <w:szCs w:val="24"/>
              </w:rPr>
              <w:t xml:space="preserve">Total </w:t>
            </w:r>
          </w:p>
        </w:tc>
        <w:tc>
          <w:tcPr>
            <w:tcW w:w="3240" w:type="dxa"/>
          </w:tcPr>
          <w:p w:rsidR="00B30C42" w:rsidRPr="00C747F1" w:rsidRDefault="00B30C42" w:rsidP="00A85E3D">
            <w:pPr>
              <w:jc w:val="right"/>
            </w:pPr>
            <w:r w:rsidRPr="00C747F1">
              <w:t xml:space="preserve"> $1,</w:t>
            </w:r>
            <w:r w:rsidR="00A85E3D" w:rsidRPr="00C747F1">
              <w:t>446</w:t>
            </w:r>
            <w:r w:rsidRPr="00C747F1">
              <w:t>,</w:t>
            </w:r>
            <w:r w:rsidR="00A85E3D" w:rsidRPr="00C747F1">
              <w:t>503</w:t>
            </w:r>
          </w:p>
        </w:tc>
      </w:tr>
    </w:tbl>
    <w:p w:rsidR="005B42FE" w:rsidRDefault="005B42FE" w:rsidP="005B42FE">
      <w:pPr>
        <w:pStyle w:val="Text"/>
        <w:spacing w:after="0"/>
        <w:rPr>
          <w:sz w:val="24"/>
          <w:u w:val="single"/>
        </w:rPr>
      </w:pPr>
    </w:p>
    <w:p w:rsidR="000475DE" w:rsidRPr="00676637" w:rsidRDefault="00B30C42" w:rsidP="00C747F1">
      <w:pPr>
        <w:spacing w:after="240"/>
      </w:pPr>
      <w:r w:rsidRPr="00AA1670">
        <w:rPr>
          <w:u w:val="single"/>
        </w:rPr>
        <w:t>Cost</w:t>
      </w:r>
      <w:r w:rsidR="005D1930" w:rsidRPr="00AA1670">
        <w:rPr>
          <w:u w:val="single"/>
        </w:rPr>
        <w:t>:</w:t>
      </w:r>
      <w:r w:rsidRPr="00AA1670">
        <w:t xml:space="preserve"> Department of Education staff assigned to </w:t>
      </w:r>
      <w:r w:rsidR="00A85E3D">
        <w:t>N</w:t>
      </w:r>
      <w:r w:rsidRPr="00AA1670">
        <w:t>PEFS include one</w:t>
      </w:r>
      <w:r w:rsidR="00A85E3D">
        <w:t>-half of one</w:t>
      </w:r>
      <w:r w:rsidRPr="00AA1670">
        <w:t xml:space="preserve"> FTE </w:t>
      </w:r>
      <w:r w:rsidR="00691A23">
        <w:t>(</w:t>
      </w:r>
      <w:r w:rsidRPr="00AA1670">
        <w:t>GS14</w:t>
      </w:r>
      <w:r w:rsidR="00691A23">
        <w:t>)</w:t>
      </w:r>
      <w:r w:rsidRPr="00AA1670">
        <w:t xml:space="preserve"> staff</w:t>
      </w:r>
      <w:r w:rsidR="00456960">
        <w:t xml:space="preserve"> and o</w:t>
      </w:r>
      <w:r w:rsidRPr="00AA1670">
        <w:t>ne-</w:t>
      </w:r>
      <w:r w:rsidR="00B478C5">
        <w:t>tenth (</w:t>
      </w:r>
      <w:r w:rsidRPr="00AA1670">
        <w:t>FTE</w:t>
      </w:r>
      <w:r w:rsidR="00B478C5">
        <w:t>)</w:t>
      </w:r>
      <w:r w:rsidRPr="00AA1670">
        <w:t xml:space="preserve"> of </w:t>
      </w:r>
      <w:r w:rsidR="00456960">
        <w:t>one</w:t>
      </w:r>
      <w:r w:rsidRPr="00AA1670">
        <w:t xml:space="preserve"> program manager’s </w:t>
      </w:r>
      <w:r w:rsidR="00691A23">
        <w:t>(</w:t>
      </w:r>
      <w:r w:rsidR="00691A23" w:rsidRPr="00AA1670">
        <w:t>GS15</w:t>
      </w:r>
      <w:r w:rsidR="00691A23">
        <w:t xml:space="preserve">) </w:t>
      </w:r>
      <w:r w:rsidRPr="00AA1670">
        <w:t>ti</w:t>
      </w:r>
      <w:r w:rsidR="00456960">
        <w:t>me</w:t>
      </w:r>
      <w:r w:rsidRPr="00AA1670">
        <w:t>.</w:t>
      </w:r>
      <w:r w:rsidR="000475DE" w:rsidRPr="00676637">
        <w:t xml:space="preserve"> </w:t>
      </w:r>
    </w:p>
    <w:p w:rsidR="00B30C42" w:rsidRPr="00AA1670" w:rsidRDefault="00456960">
      <w:pPr>
        <w:pStyle w:val="Text"/>
        <w:rPr>
          <w:sz w:val="24"/>
        </w:rPr>
      </w:pPr>
      <w:r>
        <w:rPr>
          <w:sz w:val="24"/>
        </w:rPr>
        <w:t>Contracted staff consists of o</w:t>
      </w:r>
      <w:r w:rsidR="00B30C42" w:rsidRPr="00AA1670">
        <w:rPr>
          <w:sz w:val="24"/>
        </w:rPr>
        <w:t xml:space="preserve">ne full-time research assistant employed through the </w:t>
      </w:r>
      <w:r w:rsidR="000475DE">
        <w:rPr>
          <w:sz w:val="24"/>
        </w:rPr>
        <w:t xml:space="preserve">American Institutes for Research.  </w:t>
      </w:r>
      <w:r w:rsidR="00B30C42" w:rsidRPr="00AA1670">
        <w:rPr>
          <w:sz w:val="24"/>
        </w:rPr>
        <w:t>.</w:t>
      </w:r>
    </w:p>
    <w:p w:rsidR="001B22D2" w:rsidRDefault="00B30C42">
      <w:pPr>
        <w:pStyle w:val="Text"/>
        <w:rPr>
          <w:sz w:val="24"/>
        </w:rPr>
      </w:pPr>
      <w:r w:rsidRPr="00AA1670">
        <w:rPr>
          <w:sz w:val="24"/>
        </w:rPr>
        <w:t>Costs reported for the Bureau of the Census include staffing and other charges. The cos</w:t>
      </w:r>
      <w:r w:rsidR="00A325E5">
        <w:rPr>
          <w:sz w:val="24"/>
        </w:rPr>
        <w:t xml:space="preserve">t was estimated by assuming a 5% </w:t>
      </w:r>
      <w:r w:rsidRPr="00AA1670">
        <w:rPr>
          <w:sz w:val="24"/>
        </w:rPr>
        <w:t>increase from 20</w:t>
      </w:r>
      <w:r w:rsidR="001E1700">
        <w:rPr>
          <w:sz w:val="24"/>
        </w:rPr>
        <w:t>10-11</w:t>
      </w:r>
      <w:r w:rsidR="00A325E5">
        <w:rPr>
          <w:sz w:val="24"/>
        </w:rPr>
        <w:t xml:space="preserve"> and </w:t>
      </w:r>
      <w:r w:rsidRPr="00AA1670">
        <w:rPr>
          <w:sz w:val="24"/>
        </w:rPr>
        <w:t>includes the full cost of salary, benefits, overhead, and fee</w:t>
      </w:r>
      <w:r w:rsidR="00456960">
        <w:rPr>
          <w:sz w:val="24"/>
        </w:rPr>
        <w:t>s</w:t>
      </w:r>
      <w:r w:rsidRPr="00AA1670">
        <w:rPr>
          <w:sz w:val="24"/>
        </w:rPr>
        <w:t>.</w:t>
      </w:r>
    </w:p>
    <w:tbl>
      <w:tblPr>
        <w:tblStyle w:val="TableGrid"/>
        <w:tblW w:w="0" w:type="auto"/>
        <w:tblLook w:val="04A0" w:firstRow="1" w:lastRow="0" w:firstColumn="1" w:lastColumn="0" w:noHBand="0" w:noVBand="1"/>
      </w:tblPr>
      <w:tblGrid>
        <w:gridCol w:w="1638"/>
        <w:gridCol w:w="2934"/>
        <w:gridCol w:w="2934"/>
        <w:gridCol w:w="2934"/>
      </w:tblGrid>
      <w:tr w:rsidR="001B22D2" w:rsidTr="00F05F4F">
        <w:trPr>
          <w:cantSplit/>
        </w:trPr>
        <w:tc>
          <w:tcPr>
            <w:tcW w:w="10440" w:type="dxa"/>
            <w:gridSpan w:val="4"/>
          </w:tcPr>
          <w:p w:rsidR="001B22D2" w:rsidRDefault="001B22D2" w:rsidP="00C747F1">
            <w:pPr>
              <w:pStyle w:val="Text"/>
              <w:spacing w:after="0"/>
              <w:rPr>
                <w:sz w:val="24"/>
              </w:rPr>
            </w:pPr>
            <w:r>
              <w:rPr>
                <w:sz w:val="24"/>
              </w:rPr>
              <w:t>Census FTE for the 2012 – 2013 Contract Period (June 2012 – April 2013)</w:t>
            </w:r>
          </w:p>
        </w:tc>
      </w:tr>
      <w:tr w:rsidR="001B22D2" w:rsidTr="00C747F1">
        <w:trPr>
          <w:cantSplit/>
        </w:trPr>
        <w:tc>
          <w:tcPr>
            <w:tcW w:w="1638" w:type="dxa"/>
          </w:tcPr>
          <w:p w:rsidR="001B22D2" w:rsidRDefault="001B22D2" w:rsidP="00C747F1">
            <w:pPr>
              <w:pStyle w:val="Text"/>
              <w:spacing w:after="0"/>
              <w:rPr>
                <w:sz w:val="24"/>
              </w:rPr>
            </w:pPr>
            <w:r>
              <w:rPr>
                <w:sz w:val="24"/>
              </w:rPr>
              <w:t>Survey</w:t>
            </w:r>
          </w:p>
        </w:tc>
        <w:tc>
          <w:tcPr>
            <w:tcW w:w="2934" w:type="dxa"/>
          </w:tcPr>
          <w:p w:rsidR="001B22D2" w:rsidRDefault="001B22D2" w:rsidP="00C747F1">
            <w:pPr>
              <w:pStyle w:val="Text"/>
              <w:spacing w:after="0"/>
              <w:rPr>
                <w:sz w:val="24"/>
              </w:rPr>
            </w:pPr>
            <w:r>
              <w:rPr>
                <w:sz w:val="24"/>
              </w:rPr>
              <w:t>Survey Analyst</w:t>
            </w:r>
          </w:p>
        </w:tc>
        <w:tc>
          <w:tcPr>
            <w:tcW w:w="2934" w:type="dxa"/>
          </w:tcPr>
          <w:p w:rsidR="001B22D2" w:rsidRDefault="001B22D2" w:rsidP="00C747F1">
            <w:pPr>
              <w:pStyle w:val="Text"/>
              <w:spacing w:after="0"/>
              <w:rPr>
                <w:sz w:val="24"/>
              </w:rPr>
            </w:pPr>
            <w:r>
              <w:rPr>
                <w:sz w:val="24"/>
              </w:rPr>
              <w:t>IT Programmers</w:t>
            </w:r>
          </w:p>
        </w:tc>
        <w:tc>
          <w:tcPr>
            <w:tcW w:w="2934" w:type="dxa"/>
          </w:tcPr>
          <w:p w:rsidR="001B22D2" w:rsidRDefault="001B22D2" w:rsidP="00C747F1">
            <w:pPr>
              <w:pStyle w:val="Text"/>
              <w:spacing w:after="0"/>
              <w:rPr>
                <w:sz w:val="24"/>
              </w:rPr>
            </w:pPr>
            <w:r>
              <w:rPr>
                <w:sz w:val="24"/>
              </w:rPr>
              <w:t>Math</w:t>
            </w:r>
            <w:r w:rsidR="000E719E">
              <w:rPr>
                <w:sz w:val="24"/>
              </w:rPr>
              <w:t>e</w:t>
            </w:r>
            <w:r>
              <w:rPr>
                <w:sz w:val="24"/>
              </w:rPr>
              <w:t>matical Statisticians</w:t>
            </w:r>
          </w:p>
        </w:tc>
      </w:tr>
      <w:tr w:rsidR="001B22D2" w:rsidTr="00C747F1">
        <w:trPr>
          <w:cantSplit/>
        </w:trPr>
        <w:tc>
          <w:tcPr>
            <w:tcW w:w="1638" w:type="dxa"/>
          </w:tcPr>
          <w:p w:rsidR="001B22D2" w:rsidRDefault="001B22D2" w:rsidP="00C747F1">
            <w:pPr>
              <w:pStyle w:val="Text"/>
              <w:spacing w:after="0"/>
              <w:rPr>
                <w:sz w:val="24"/>
              </w:rPr>
            </w:pPr>
            <w:r>
              <w:rPr>
                <w:sz w:val="24"/>
              </w:rPr>
              <w:t>NPEFS</w:t>
            </w:r>
          </w:p>
        </w:tc>
        <w:tc>
          <w:tcPr>
            <w:tcW w:w="2934" w:type="dxa"/>
          </w:tcPr>
          <w:p w:rsidR="001B22D2" w:rsidRDefault="001B22D2" w:rsidP="00C747F1">
            <w:pPr>
              <w:pStyle w:val="Text"/>
              <w:spacing w:after="0"/>
              <w:rPr>
                <w:sz w:val="24"/>
              </w:rPr>
            </w:pPr>
            <w:r>
              <w:rPr>
                <w:sz w:val="24"/>
              </w:rPr>
              <w:t>4.50</w:t>
            </w:r>
          </w:p>
        </w:tc>
        <w:tc>
          <w:tcPr>
            <w:tcW w:w="2934" w:type="dxa"/>
          </w:tcPr>
          <w:p w:rsidR="001B22D2" w:rsidRDefault="001B22D2" w:rsidP="00C747F1">
            <w:pPr>
              <w:pStyle w:val="Text"/>
              <w:spacing w:after="0"/>
              <w:rPr>
                <w:sz w:val="24"/>
              </w:rPr>
            </w:pPr>
            <w:r>
              <w:rPr>
                <w:sz w:val="24"/>
              </w:rPr>
              <w:t>1.4</w:t>
            </w:r>
          </w:p>
        </w:tc>
        <w:tc>
          <w:tcPr>
            <w:tcW w:w="2934" w:type="dxa"/>
          </w:tcPr>
          <w:p w:rsidR="001B22D2" w:rsidRDefault="001B22D2" w:rsidP="00C747F1">
            <w:pPr>
              <w:pStyle w:val="Text"/>
              <w:spacing w:after="0"/>
              <w:rPr>
                <w:sz w:val="24"/>
              </w:rPr>
            </w:pPr>
            <w:r>
              <w:rPr>
                <w:sz w:val="24"/>
              </w:rPr>
              <w:t>.45</w:t>
            </w:r>
          </w:p>
        </w:tc>
      </w:tr>
    </w:tbl>
    <w:p w:rsidR="00B30C42" w:rsidRPr="00AA1670" w:rsidRDefault="00B30C42">
      <w:pPr>
        <w:pStyle w:val="Text"/>
        <w:rPr>
          <w:sz w:val="24"/>
        </w:rPr>
      </w:pPr>
      <w:r w:rsidRPr="00AA1670">
        <w:rPr>
          <w:sz w:val="24"/>
        </w:rPr>
        <w:t xml:space="preserve">  </w:t>
      </w:r>
    </w:p>
    <w:p w:rsidR="00B30C42" w:rsidRPr="00AA1670" w:rsidRDefault="00C53EB7">
      <w:pPr>
        <w:pStyle w:val="Text"/>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10 new fiscal coordinators each year.  </w:t>
      </w:r>
      <w:r w:rsidRPr="00AA1670">
        <w:rPr>
          <w:sz w:val="24"/>
        </w:rPr>
        <w:t xml:space="preserve">   </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74586F">
      <w:pPr>
        <w:pStyle w:val="Text"/>
        <w:rPr>
          <w:sz w:val="24"/>
        </w:rPr>
      </w:pPr>
      <w:r w:rsidRPr="0074586F">
        <w:rPr>
          <w:sz w:val="24"/>
        </w:rPr>
        <w:t>No change in respondent burden associated with this submission is expected</w:t>
      </w:r>
      <w:r>
        <w:rPr>
          <w:sz w:val="24"/>
        </w:rPr>
        <w:t>.</w:t>
      </w:r>
      <w:r w:rsidR="002F5A4C">
        <w:rPr>
          <w:sz w:val="24"/>
        </w:rPr>
        <w:t xml:space="preserve">  However, this submission   is a reinstatement after expiration, so it appears that the respondent burden is a 100% increase.</w:t>
      </w:r>
      <w:bookmarkStart w:id="0" w:name="_GoBack"/>
      <w:bookmarkEnd w:id="0"/>
    </w:p>
    <w:p w:rsidR="00B30C42" w:rsidRPr="00AA1670" w:rsidRDefault="008678A4">
      <w:pPr>
        <w:pStyle w:val="Heading1"/>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5B42FE" w:rsidRDefault="005B42FE">
      <w:pPr>
        <w:pStyle w:val="Text"/>
        <w:rPr>
          <w:sz w:val="24"/>
          <w:u w:val="single"/>
        </w:rPr>
      </w:pPr>
      <w:r>
        <w:rPr>
          <w:sz w:val="24"/>
          <w:u w:val="single"/>
        </w:rPr>
        <w:t xml:space="preserve">NPEFS </w:t>
      </w:r>
      <w:r w:rsidR="00B30C42" w:rsidRPr="00AA1670">
        <w:rPr>
          <w:sz w:val="24"/>
          <w:u w:val="single"/>
        </w:rPr>
        <w:t>Products</w:t>
      </w:r>
      <w:r>
        <w:rPr>
          <w:sz w:val="24"/>
          <w:u w:val="single"/>
        </w:rPr>
        <w:t>:</w:t>
      </w:r>
    </w:p>
    <w:p w:rsidR="005B42FE" w:rsidRPr="00AA1670" w:rsidRDefault="005B42FE" w:rsidP="005B42FE">
      <w:pPr>
        <w:pStyle w:val="Text"/>
        <w:numPr>
          <w:ilvl w:val="0"/>
          <w:numId w:val="11"/>
        </w:numPr>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RDefault="00E90358" w:rsidP="005B42FE">
      <w:pPr>
        <w:pStyle w:val="Text"/>
        <w:numPr>
          <w:ilvl w:val="0"/>
          <w:numId w:val="11"/>
        </w:numPr>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RDefault="005B42FE" w:rsidP="005B42FE">
      <w:pPr>
        <w:pStyle w:val="Text"/>
        <w:numPr>
          <w:ilvl w:val="0"/>
          <w:numId w:val="11"/>
        </w:numPr>
        <w:rPr>
          <w:sz w:val="24"/>
        </w:rPr>
      </w:pPr>
      <w:r>
        <w:rPr>
          <w:sz w:val="24"/>
        </w:rPr>
        <w:t xml:space="preserve">Supporting Statement Part </w:t>
      </w:r>
      <w:r w:rsidR="00B30C42" w:rsidRPr="00AA1670">
        <w:rPr>
          <w:sz w:val="24"/>
        </w:rPr>
        <w:t xml:space="preserve">C </w:t>
      </w:r>
      <w:r>
        <w:rPr>
          <w:sz w:val="24"/>
        </w:rPr>
        <w:t>includes</w:t>
      </w:r>
      <w:r w:rsidR="00B30C42" w:rsidRPr="00AA1670">
        <w:rPr>
          <w:sz w:val="24"/>
        </w:rPr>
        <w:t xml:space="preserve"> tables that illustrate how the CCD data are typically presented as simple cross-tabulations.</w:t>
      </w:r>
    </w:p>
    <w:p w:rsidR="00B30C42" w:rsidRPr="00AA1670" w:rsidRDefault="00B30C42" w:rsidP="005B42FE">
      <w:pPr>
        <w:pStyle w:val="Text"/>
        <w:numPr>
          <w:ilvl w:val="0"/>
          <w:numId w:val="11"/>
        </w:numPr>
        <w:rPr>
          <w:sz w:val="24"/>
        </w:rPr>
      </w:pPr>
      <w:r w:rsidRPr="00AA1670">
        <w:rPr>
          <w:sz w:val="24"/>
        </w:rPr>
        <w:t xml:space="preserve">Complex analytical techniques are not used with the NPEFS. </w:t>
      </w:r>
    </w:p>
    <w:p w:rsidR="00B30C42" w:rsidRPr="00AA1670" w:rsidRDefault="00B30C42">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262"/>
      </w:tblGrid>
      <w:tr w:rsidR="00995C80" w:rsidTr="005B42FE">
        <w:trPr>
          <w:jc w:val="center"/>
        </w:trPr>
        <w:tc>
          <w:tcPr>
            <w:tcW w:w="1043" w:type="pct"/>
            <w:vAlign w:val="center"/>
          </w:tcPr>
          <w:p w:rsidR="00995C80" w:rsidRPr="004E7F8D" w:rsidRDefault="00995C80" w:rsidP="005B42FE"/>
        </w:tc>
        <w:tc>
          <w:tcPr>
            <w:tcW w:w="3957" w:type="pct"/>
            <w:vAlign w:val="center"/>
          </w:tcPr>
          <w:p w:rsidR="00995C80" w:rsidRPr="004E7F8D" w:rsidRDefault="00995C80" w:rsidP="005B42FE">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trPr>
          <w:jc w:val="center"/>
        </w:trPr>
        <w:tc>
          <w:tcPr>
            <w:tcW w:w="1043" w:type="pct"/>
            <w:vAlign w:val="center"/>
          </w:tcPr>
          <w:p w:rsidR="001E1700" w:rsidRPr="004E7F8D" w:rsidRDefault="001E1700" w:rsidP="005B42FE">
            <w:r w:rsidRPr="004E7F8D">
              <w:t xml:space="preserve">Late January </w:t>
            </w:r>
          </w:p>
        </w:tc>
        <w:tc>
          <w:tcPr>
            <w:tcW w:w="3957" w:type="pct"/>
            <w:vAlign w:val="center"/>
          </w:tcPr>
          <w:p w:rsidR="001E1700" w:rsidRPr="004E7F8D" w:rsidRDefault="001E1700" w:rsidP="005B42FE">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RDefault="001E1700" w:rsidP="005B42FE">
            <w:r w:rsidRPr="004E7F8D">
              <w:t>SEAs can begin to su</w:t>
            </w:r>
            <w:r w:rsidR="00994B90">
              <w:t>bmit accurate and complete data</w:t>
            </w:r>
          </w:p>
        </w:tc>
      </w:tr>
      <w:tr w:rsidR="001E1700" w:rsidTr="005B42FE">
        <w:trPr>
          <w:jc w:val="center"/>
        </w:trPr>
        <w:tc>
          <w:tcPr>
            <w:tcW w:w="1043" w:type="pct"/>
            <w:vAlign w:val="center"/>
          </w:tcPr>
          <w:p w:rsidR="001E1700" w:rsidRPr="004E7F8D" w:rsidRDefault="001E1700" w:rsidP="005B42FE">
            <w:r w:rsidRPr="004E7F8D">
              <w:br w:type="page"/>
              <w:t>March 15</w:t>
            </w:r>
          </w:p>
        </w:tc>
        <w:tc>
          <w:tcPr>
            <w:tcW w:w="3957" w:type="pct"/>
            <w:vAlign w:val="center"/>
          </w:tcPr>
          <w:p w:rsidR="001E1700" w:rsidRPr="004E7F8D" w:rsidRDefault="001E1700" w:rsidP="005B42FE">
            <w:r w:rsidRPr="004E7F8D">
              <w:t>SEAs are urged to have finished submit</w:t>
            </w:r>
            <w:r w:rsidR="00994B90">
              <w:t>ting accurate and complete data</w:t>
            </w:r>
          </w:p>
        </w:tc>
      </w:tr>
      <w:tr w:rsidR="004E7F8D" w:rsidTr="005B42FE">
        <w:trPr>
          <w:jc w:val="center"/>
        </w:trPr>
        <w:tc>
          <w:tcPr>
            <w:tcW w:w="1043" w:type="pct"/>
            <w:vAlign w:val="center"/>
          </w:tcPr>
          <w:p w:rsidR="004E7F8D" w:rsidRPr="004E7F8D" w:rsidRDefault="004E7F8D" w:rsidP="005B42FE">
            <w:r>
              <w:t>April/May</w:t>
            </w:r>
          </w:p>
        </w:tc>
        <w:tc>
          <w:tcPr>
            <w:tcW w:w="3957" w:type="pct"/>
            <w:vAlign w:val="center"/>
          </w:tcPr>
          <w:p w:rsidR="004E7F8D" w:rsidRPr="004E7F8D" w:rsidRDefault="004E7F8D" w:rsidP="003641F1">
            <w:r w:rsidRPr="00AA1670">
              <w:t>Trai</w:t>
            </w:r>
            <w:r w:rsidR="00994B90">
              <w:t xml:space="preserve">ning for new </w:t>
            </w:r>
            <w:r w:rsidR="003641F1">
              <w:t>state fiscal c</w:t>
            </w:r>
            <w:r w:rsidR="00994B90">
              <w:t>oordinators</w:t>
            </w:r>
          </w:p>
        </w:tc>
      </w:tr>
      <w:tr w:rsidR="00F1295C" w:rsidTr="005B42FE">
        <w:trPr>
          <w:jc w:val="center"/>
        </w:trPr>
        <w:tc>
          <w:tcPr>
            <w:tcW w:w="1043" w:type="pct"/>
            <w:vAlign w:val="center"/>
          </w:tcPr>
          <w:p w:rsidR="00F1295C" w:rsidRDefault="00F1295C" w:rsidP="005B42FE">
            <w:r>
              <w:t>July</w:t>
            </w:r>
          </w:p>
        </w:tc>
        <w:tc>
          <w:tcPr>
            <w:tcW w:w="3957" w:type="pct"/>
            <w:vAlign w:val="center"/>
          </w:tcPr>
          <w:p w:rsidR="00F1295C" w:rsidRPr="00AA1670" w:rsidRDefault="00F1295C" w:rsidP="003641F1">
            <w:r w:rsidRPr="00AA1670">
              <w:t>Trai</w:t>
            </w:r>
            <w:r w:rsidR="00994B90">
              <w:t xml:space="preserve">ning for all </w:t>
            </w:r>
            <w:r w:rsidR="003641F1">
              <w:t>state fiscal c</w:t>
            </w:r>
            <w:r w:rsidR="00994B90">
              <w:t>oordinators</w:t>
            </w:r>
          </w:p>
        </w:tc>
      </w:tr>
      <w:tr w:rsidR="00F1295C" w:rsidTr="005B42FE">
        <w:trPr>
          <w:jc w:val="center"/>
        </w:trPr>
        <w:tc>
          <w:tcPr>
            <w:tcW w:w="1043" w:type="pct"/>
            <w:vAlign w:val="center"/>
          </w:tcPr>
          <w:p w:rsidR="00F1295C" w:rsidRPr="004E7F8D" w:rsidRDefault="00F1295C" w:rsidP="005B42FE">
            <w:r w:rsidRPr="004E7F8D">
              <w:t>August 15</w:t>
            </w:r>
          </w:p>
        </w:tc>
        <w:tc>
          <w:tcPr>
            <w:tcW w:w="3957" w:type="pct"/>
            <w:vAlign w:val="center"/>
          </w:tcPr>
          <w:p w:rsidR="00F1295C" w:rsidRPr="004E7F8D" w:rsidRDefault="00994B90" w:rsidP="005B42FE">
            <w:r>
              <w:t>Mandatory final submission date</w:t>
            </w:r>
          </w:p>
        </w:tc>
      </w:tr>
      <w:tr w:rsidR="00F1295C" w:rsidTr="005B42FE">
        <w:trPr>
          <w:jc w:val="center"/>
        </w:trPr>
        <w:tc>
          <w:tcPr>
            <w:tcW w:w="1043" w:type="pct"/>
            <w:vAlign w:val="center"/>
          </w:tcPr>
          <w:p w:rsidR="00F1295C" w:rsidRPr="004E7F8D" w:rsidRDefault="00F1295C" w:rsidP="005B42FE">
            <w:r w:rsidRPr="004E7F8D">
              <w:t>September (</w:t>
            </w:r>
            <w:r>
              <w:t xml:space="preserve">Tuesday following </w:t>
            </w:r>
            <w:r w:rsidRPr="004E7F8D">
              <w:t>Labor</w:t>
            </w:r>
            <w:r>
              <w:t xml:space="preserve"> day)</w:t>
            </w:r>
            <w:r w:rsidRPr="004E7F8D">
              <w:t xml:space="preserve">  </w:t>
            </w:r>
          </w:p>
        </w:tc>
        <w:tc>
          <w:tcPr>
            <w:tcW w:w="3957" w:type="pct"/>
            <w:vAlign w:val="center"/>
          </w:tcPr>
          <w:p w:rsidR="00F1295C" w:rsidRPr="004E7F8D" w:rsidRDefault="00F1295C" w:rsidP="005B42FE">
            <w:r w:rsidRPr="004E7F8D">
              <w:t>Response by SEA’s to requests for clarification, reconciliation</w:t>
            </w:r>
            <w:r w:rsidR="00994B90">
              <w:t>,</w:t>
            </w:r>
            <w:r w:rsidRPr="004E7F8D">
              <w:t xml:space="preserve"> or other inquiries </w:t>
            </w:r>
            <w:r w:rsidR="00994B90">
              <w:t>from</w:t>
            </w:r>
            <w:r w:rsidRPr="004E7F8D">
              <w:t xml:space="preserve"> NCES or the Census Bureau.  All data issues to be resolved.</w:t>
            </w:r>
          </w:p>
          <w:p w:rsidR="00F1295C" w:rsidRPr="004E7F8D" w:rsidRDefault="00F1295C" w:rsidP="005B42FE">
            <w:r w:rsidRPr="004E7F8D">
              <w:t xml:space="preserve">Close NPEFS file on Tuesday following Labor Day. No files are accepted for program funding purposes after close-out.    </w:t>
            </w:r>
          </w:p>
        </w:tc>
      </w:tr>
      <w:tr w:rsidR="002068AF" w:rsidTr="005B42FE">
        <w:trPr>
          <w:jc w:val="center"/>
        </w:trPr>
        <w:tc>
          <w:tcPr>
            <w:tcW w:w="1043" w:type="pct"/>
            <w:vAlign w:val="center"/>
          </w:tcPr>
          <w:p w:rsidR="002068AF" w:rsidRPr="004E7F8D" w:rsidRDefault="002068AF" w:rsidP="005B42FE">
            <w:r>
              <w:t>December</w:t>
            </w:r>
          </w:p>
        </w:tc>
        <w:tc>
          <w:tcPr>
            <w:tcW w:w="3957" w:type="pct"/>
            <w:vAlign w:val="center"/>
          </w:tcPr>
          <w:p w:rsidR="002068AF" w:rsidRPr="004E7F8D" w:rsidRDefault="002068AF" w:rsidP="005B42FE">
            <w:r w:rsidRPr="00AA1670">
              <w:t>Preliminary files available for i</w:t>
            </w:r>
            <w:r w:rsidR="00994B90">
              <w:t>nternal use but not publication</w:t>
            </w:r>
          </w:p>
        </w:tc>
      </w:tr>
      <w:tr w:rsidR="002068AF" w:rsidTr="005B42FE">
        <w:trPr>
          <w:jc w:val="center"/>
        </w:trPr>
        <w:tc>
          <w:tcPr>
            <w:tcW w:w="1043" w:type="pct"/>
            <w:vAlign w:val="center"/>
          </w:tcPr>
          <w:p w:rsidR="002068AF" w:rsidRDefault="002068AF" w:rsidP="005B42FE">
            <w:r>
              <w:t>February</w:t>
            </w:r>
          </w:p>
        </w:tc>
        <w:tc>
          <w:tcPr>
            <w:tcW w:w="3957" w:type="pct"/>
            <w:vAlign w:val="center"/>
          </w:tcPr>
          <w:p w:rsidR="002068AF" w:rsidRPr="00AA1670" w:rsidRDefault="002068AF" w:rsidP="005B42FE">
            <w:r w:rsidRPr="00AA1670">
              <w:t>Final per-pupil expenditure data available</w:t>
            </w:r>
          </w:p>
        </w:tc>
      </w:tr>
      <w:tr w:rsidR="002068AF" w:rsidTr="005B42FE">
        <w:trPr>
          <w:jc w:val="center"/>
        </w:trPr>
        <w:tc>
          <w:tcPr>
            <w:tcW w:w="1043" w:type="pct"/>
            <w:vAlign w:val="center"/>
          </w:tcPr>
          <w:p w:rsidR="002068AF" w:rsidRPr="004E7F8D" w:rsidRDefault="002068AF" w:rsidP="005B42FE">
            <w:r>
              <w:t>March/April</w:t>
            </w:r>
          </w:p>
        </w:tc>
        <w:tc>
          <w:tcPr>
            <w:tcW w:w="3957" w:type="pct"/>
            <w:vAlign w:val="center"/>
          </w:tcPr>
          <w:p w:rsidR="002068AF" w:rsidRPr="004E7F8D" w:rsidRDefault="002068AF" w:rsidP="005B42FE">
            <w:r w:rsidRPr="00AA1670">
              <w:t>NCES review of files, fi</w:t>
            </w:r>
            <w:r w:rsidR="00994B90">
              <w:t>le documentation, and short reports</w:t>
            </w:r>
          </w:p>
        </w:tc>
      </w:tr>
      <w:tr w:rsidR="00F1295C" w:rsidTr="005B42FE">
        <w:trPr>
          <w:jc w:val="center"/>
        </w:trPr>
        <w:tc>
          <w:tcPr>
            <w:tcW w:w="1043" w:type="pct"/>
            <w:vAlign w:val="center"/>
          </w:tcPr>
          <w:p w:rsidR="00F1295C" w:rsidRPr="004E7F8D" w:rsidRDefault="00F1295C" w:rsidP="005B42FE">
            <w:r>
              <w:t>June/July</w:t>
            </w:r>
          </w:p>
        </w:tc>
        <w:tc>
          <w:tcPr>
            <w:tcW w:w="3957" w:type="pct"/>
            <w:vAlign w:val="center"/>
          </w:tcPr>
          <w:p w:rsidR="00F1295C" w:rsidRPr="004E7F8D" w:rsidRDefault="00F1295C" w:rsidP="00994B90">
            <w:r w:rsidRPr="004E7F8D">
              <w:t>Files become public</w:t>
            </w:r>
            <w:r w:rsidR="00994B90">
              <w:t xml:space="preserve"> and</w:t>
            </w:r>
            <w:r w:rsidRPr="004E7F8D">
              <w:t xml:space="preserve"> NCES web database updated</w:t>
            </w:r>
          </w:p>
        </w:tc>
      </w:tr>
    </w:tbl>
    <w:p w:rsidR="003641F1" w:rsidRDefault="003641F1">
      <w:pPr>
        <w:pStyle w:val="Heading1"/>
        <w:rPr>
          <w:rFonts w:ascii="Times New Roman" w:hAnsi="Times New Roman"/>
          <w:sz w:val="24"/>
          <w:szCs w:val="24"/>
        </w:rPr>
      </w:pPr>
    </w:p>
    <w:p w:rsidR="00B30C42" w:rsidRPr="00AA1670" w:rsidRDefault="008678A4">
      <w:pPr>
        <w:pStyle w:val="Heading1"/>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pPr>
        <w:pStyle w:val="Text"/>
        <w:rPr>
          <w:sz w:val="24"/>
        </w:rPr>
      </w:pPr>
      <w:r w:rsidRPr="00AA1670">
        <w:rPr>
          <w:sz w:val="24"/>
        </w:rPr>
        <w:t>NCES displays the OMB expiration date on the instruction manual sent to the state Fiscal CCD Coordinators and on the data collection web site.</w:t>
      </w:r>
    </w:p>
    <w:p w:rsidR="00B30C42" w:rsidRPr="00AA1670" w:rsidRDefault="00B30C42">
      <w:pPr>
        <w:pStyle w:val="Heading1"/>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Pr="00AA1670" w:rsidRDefault="00B30C42">
      <w:pPr>
        <w:pStyle w:val="Text"/>
        <w:rPr>
          <w:sz w:val="24"/>
        </w:rPr>
      </w:pPr>
      <w:r w:rsidRPr="00AA1670">
        <w:rPr>
          <w:sz w:val="24"/>
        </w:rPr>
        <w:t>There are no exceptions to the items in that certification.</w:t>
      </w:r>
    </w:p>
    <w:sectPr w:rsidR="00B30C42" w:rsidRPr="00AA1670" w:rsidSect="00C747F1">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11" w:rsidRDefault="00421711">
      <w:r>
        <w:separator/>
      </w:r>
    </w:p>
  </w:endnote>
  <w:endnote w:type="continuationSeparator" w:id="0">
    <w:p w:rsidR="00421711" w:rsidRDefault="004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2F5A4C">
      <w:rPr>
        <w:rStyle w:val="PageNumber"/>
        <w:rFonts w:ascii="Arial" w:hAnsi="Arial" w:cs="Arial"/>
        <w:noProof/>
        <w:sz w:val="18"/>
      </w:rPr>
      <w:t>11</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11" w:rsidRDefault="00421711">
      <w:r>
        <w:separator/>
      </w:r>
    </w:p>
  </w:footnote>
  <w:footnote w:type="continuationSeparator" w:id="0">
    <w:p w:rsidR="00421711" w:rsidRDefault="00421711">
      <w:r>
        <w:continuationSeparator/>
      </w:r>
    </w:p>
  </w:footnote>
  <w:footnote w:id="1">
    <w:p w:rsidR="00C53EB7" w:rsidRPr="00C747F1" w:rsidRDefault="00C53EB7" w:rsidP="00880F36">
      <w:pPr>
        <w:autoSpaceDE w:val="0"/>
        <w:autoSpaceDN w:val="0"/>
        <w:adjustRightInd w:val="0"/>
        <w:rPr>
          <w:color w:val="000000"/>
          <w:sz w:val="20"/>
          <w:szCs w:val="20"/>
        </w:rPr>
      </w:pPr>
      <w:r w:rsidRPr="00C747F1">
        <w:rPr>
          <w:rStyle w:val="FootnoteReference"/>
          <w:vertAlign w:val="superscript"/>
        </w:rPr>
        <w:footnoteRef/>
      </w:r>
      <w:r w:rsidRPr="00C747F1">
        <w:rPr>
          <w:vertAlign w:val="superscript"/>
        </w:rPr>
        <w:t xml:space="preserve"> </w:t>
      </w:r>
      <w:r>
        <w:rPr>
          <w:vertAlign w:val="superscript"/>
        </w:rPr>
        <w:t xml:space="preserve">  </w:t>
      </w:r>
      <w:r w:rsidRPr="00C747F1">
        <w:rPr>
          <w:sz w:val="20"/>
          <w:szCs w:val="20"/>
        </w:rPr>
        <w:t>As a result of the ARRA, NCES added seven data items to NPEFS in order to collect and analyze data pertaining to Title I, Impact Aid, and other ED funds.</w:t>
      </w:r>
    </w:p>
    <w:p w:rsidR="00C53EB7" w:rsidRPr="00C747F1" w:rsidRDefault="00C53EB7">
      <w:pPr>
        <w:pStyle w:val="FootnoteText"/>
        <w:rPr>
          <w:sz w:val="20"/>
        </w:rPr>
      </w:pPr>
    </w:p>
  </w:footnote>
  <w:footnote w:id="2">
    <w:p w:rsidR="0023084B" w:rsidRDefault="0023084B">
      <w:pPr>
        <w:pStyle w:val="FootnoteText"/>
      </w:pPr>
      <w:r w:rsidRPr="00C747F1">
        <w:rPr>
          <w:rStyle w:val="FootnoteReference"/>
          <w:vertAlign w:val="superscript"/>
        </w:rPr>
        <w:footnoteRef/>
      </w:r>
      <w:r w:rsidRPr="00C747F1">
        <w:rPr>
          <w:vertAlign w:val="superscript"/>
        </w:rPr>
        <w:t xml:space="preserve">  </w:t>
      </w:r>
      <w:r w:rsidRPr="00C747F1">
        <w:rPr>
          <w:sz w:val="20"/>
        </w:rPr>
        <w:t xml:space="preserve">The Education Department General Administrative Regulations (EDGAR) allows grantees to carry over 1 additional year any Federal Education funds that were not obligated in the period for which </w:t>
      </w:r>
      <w:r w:rsidR="008376CE">
        <w:rPr>
          <w:sz w:val="20"/>
        </w:rPr>
        <w:t xml:space="preserve">they </w:t>
      </w:r>
      <w:r w:rsidRPr="00C747F1">
        <w:rPr>
          <w:sz w:val="20"/>
        </w:rPr>
        <w:t>were appropriated.  For grants that are forward-funded, grantees can have up to 27 months to obligate appropriated funds beginning as early as July1of the federal fiscal year.</w:t>
      </w:r>
    </w:p>
  </w:footnote>
  <w:footnote w:id="3">
    <w:p w:rsidR="0023084B" w:rsidRPr="00C747F1" w:rsidRDefault="0023084B" w:rsidP="00A13150">
      <w:pPr>
        <w:pStyle w:val="NORM"/>
        <w:rPr>
          <w:sz w:val="20"/>
        </w:rPr>
      </w:pPr>
      <w:r w:rsidRPr="00C747F1">
        <w:rPr>
          <w:rStyle w:val="FootnoteReference"/>
          <w:vertAlign w:val="superscript"/>
        </w:rPr>
        <w:footnoteRef/>
      </w:r>
      <w:r w:rsidRPr="00C747F1">
        <w:rPr>
          <w:vertAlign w:val="superscript"/>
        </w:rPr>
        <w:t xml:space="preserve"> </w:t>
      </w:r>
      <w:r w:rsidRPr="00C747F1">
        <w:rPr>
          <w:sz w:val="20"/>
        </w:rPr>
        <w:t>The function describes the activity for which a service or material object is acquired.  The functions of a school district are classified into five broad areas: Instruction, Support Services, Operation of Non-Instructional Services, Facilities Acquisition and Construction, and Debt Service.  Functions are further classified into sub-functions.</w:t>
      </w:r>
    </w:p>
    <w:p w:rsidR="0023084B" w:rsidRPr="00C747F1" w:rsidRDefault="0023084B">
      <w:pPr>
        <w:pStyle w:val="FootnoteText"/>
        <w:rPr>
          <w:sz w:val="20"/>
        </w:rPr>
      </w:pPr>
    </w:p>
  </w:footnote>
  <w:footnote w:id="4">
    <w:p w:rsidR="0023084B" w:rsidRDefault="0023084B" w:rsidP="00A13150">
      <w:pPr>
        <w:pStyle w:val="NORM"/>
        <w:spacing w:line="228" w:lineRule="auto"/>
      </w:pPr>
      <w:r w:rsidRPr="00C747F1">
        <w:rPr>
          <w:rStyle w:val="FootnoteReference"/>
          <w:vertAlign w:val="superscript"/>
        </w:rPr>
        <w:footnoteRef/>
      </w:r>
      <w:r w:rsidRPr="00C747F1">
        <w:rPr>
          <w:vertAlign w:val="superscript"/>
        </w:rPr>
        <w:t xml:space="preserve"> </w:t>
      </w:r>
      <w:r w:rsidRPr="00C747F1">
        <w:rPr>
          <w:sz w:val="20"/>
        </w:rPr>
        <w:t>The object classification is used to describe the service or commodity obtained as the result of a specific expenditure.  Major object categories include: Personal Services—salaries, Personal Services—employee benefits, Purchased Services, Supplies; Property; Debt Service and Miscellaneous; and other items.  These categories can be further classified by sub-object.</w:t>
      </w:r>
      <w:r>
        <w:t xml:space="preserve">  </w:t>
      </w:r>
    </w:p>
    <w:p w:rsidR="0023084B" w:rsidRDefault="0023084B">
      <w:pPr>
        <w:pStyle w:val="FootnoteText"/>
      </w:pPr>
    </w:p>
  </w:footnote>
  <w:footnote w:id="5">
    <w:p w:rsidR="0023084B" w:rsidRPr="00C326D9" w:rsidRDefault="0023084B">
      <w:pPr>
        <w:pStyle w:val="FootnoteText"/>
        <w:rPr>
          <w:sz w:val="20"/>
        </w:rPr>
      </w:pPr>
      <w:r w:rsidRPr="00C747F1">
        <w:rPr>
          <w:rStyle w:val="FootnoteReference"/>
          <w:snapToGrid/>
          <w:sz w:val="24"/>
          <w:vertAlign w:val="superscript"/>
        </w:rPr>
        <w:footnoteRef/>
      </w:r>
      <w:r>
        <w:t xml:space="preserve"> </w:t>
      </w:r>
      <w:r w:rsidR="008625CD" w:rsidRPr="00C326D9">
        <w:rPr>
          <w:sz w:val="20"/>
        </w:rPr>
        <w:t xml:space="preserve">Department of Education, Submission of Data by State Educational Agencies; Submission Dates for State Revenue and Expenditure Reports for Fiscal Year” (FY 2011, Revisions to Those Reports and Revisions to Prior Fiscal Year Reports 77 Federal Register 6 (10 January 2012) </w:t>
      </w:r>
      <w:r w:rsidR="00C326D9" w:rsidRPr="00C326D9">
        <w:rPr>
          <w:sz w:val="20"/>
        </w:rPr>
        <w:t>pp.</w:t>
      </w:r>
      <w:r w:rsidR="008625CD" w:rsidRPr="00C326D9">
        <w:rPr>
          <w:sz w:val="20"/>
        </w:rPr>
        <w:t xml:space="preserve"> 1472-1473).  </w:t>
      </w:r>
      <w:r w:rsidRPr="00C326D9">
        <w:rPr>
          <w:snapToGrid/>
          <w:sz w:val="20"/>
        </w:rPr>
        <w:t>The Department of Education allocated 14.3 billion to States in FY12 under the Title I program.</w:t>
      </w:r>
      <w:r w:rsidRPr="00C326D9">
        <w:rPr>
          <w:sz w:val="20"/>
        </w:rPr>
        <w:t xml:space="preserve"> </w:t>
      </w:r>
    </w:p>
  </w:footnote>
  <w:footnote w:id="6">
    <w:p w:rsidR="007726AB" w:rsidRPr="00C747F1" w:rsidRDefault="007726AB" w:rsidP="007726AB">
      <w:pPr>
        <w:pStyle w:val="FootnoteText"/>
        <w:rPr>
          <w:sz w:val="20"/>
        </w:rPr>
      </w:pPr>
      <w:r w:rsidRPr="00C747F1">
        <w:rPr>
          <w:rStyle w:val="FootnoteReference"/>
          <w:sz w:val="20"/>
          <w:vertAlign w:val="superscript"/>
        </w:rPr>
        <w:footnoteRef/>
      </w:r>
      <w:r w:rsidRPr="00C747F1">
        <w:rPr>
          <w:sz w:val="20"/>
        </w:rPr>
        <w:t xml:space="preserve"> Department of Education, Submission of Data by State Educational Agencies; Submission Dates for State Revenue and Expenditure Reports for Fiscal Year” (FY 2011, Revisions to Those Reports and Revisions to Prior Fiscal Year Reports 77 Federal Register 6 (10 January 2012) pp. 1472-1473).</w:t>
      </w:r>
    </w:p>
  </w:footnote>
  <w:footnote w:id="7">
    <w:p w:rsidR="0023084B" w:rsidRDefault="0023084B" w:rsidP="00CF194C">
      <w:r w:rsidRPr="00CF194C">
        <w:rPr>
          <w:rStyle w:val="FootnoteReference"/>
          <w:vertAlign w:val="superscript"/>
        </w:rPr>
        <w:footnoteRef/>
      </w:r>
      <w:r w:rsidRPr="00CF194C">
        <w:rPr>
          <w:vertAlign w:val="superscript"/>
        </w:rPr>
        <w:t xml:space="preserve"> </w:t>
      </w:r>
      <w:r w:rsidRPr="00CF194C">
        <w:rPr>
          <w:sz w:val="20"/>
          <w:szCs w:val="20"/>
        </w:rPr>
        <w:t xml:space="preserve">The mean salary for accountants and auditors (13-2011) working in State government is </w:t>
      </w:r>
      <w:r>
        <w:rPr>
          <w:sz w:val="20"/>
          <w:szCs w:val="20"/>
        </w:rPr>
        <w:t>$</w:t>
      </w:r>
      <w:r w:rsidRPr="00CF194C">
        <w:rPr>
          <w:sz w:val="20"/>
          <w:szCs w:val="20"/>
        </w:rPr>
        <w:t xml:space="preserve">26.93 per hour.  The </w:t>
      </w:r>
      <w:r w:rsidRPr="00CF194C">
        <w:rPr>
          <w:color w:val="000000"/>
          <w:sz w:val="20"/>
          <w:szCs w:val="20"/>
        </w:rPr>
        <w:t>Occupation and Employment Statistics at the U.S. Department of Labor, Bureau of Labor Statistics (BLS)</w:t>
      </w:r>
      <w:r w:rsidRPr="00CF194C">
        <w:rPr>
          <w:sz w:val="20"/>
          <w:szCs w:val="20"/>
        </w:rPr>
        <w:t xml:space="preserve"> were accessed on June 21, 2012 </w:t>
      </w:r>
      <w:hyperlink r:id="rId1" w:anchor="13-0000" w:history="1">
        <w:r w:rsidRPr="00CF194C">
          <w:rPr>
            <w:rStyle w:val="Hyperlink"/>
            <w:sz w:val="20"/>
            <w:szCs w:val="20"/>
          </w:rPr>
          <w:t>http://bls.gov/oes/current/naics4_999200.htm#13-0000</w:t>
        </w:r>
      </w:hyperlink>
      <w:r>
        <w:rPr>
          <w:sz w:val="20"/>
          <w:szCs w:val="20"/>
        </w:rPr>
        <w:t>.</w:t>
      </w:r>
    </w:p>
    <w:p w:rsidR="0023084B" w:rsidRDefault="0023084B">
      <w:pPr>
        <w:pStyle w:val="FootnoteText"/>
      </w:pPr>
      <w:r>
        <w:t xml:space="preserve"> </w:t>
      </w:r>
    </w:p>
  </w:footnote>
  <w:footnote w:id="8">
    <w:p w:rsidR="0023084B" w:rsidRDefault="0023084B" w:rsidP="00C326D9">
      <w:r w:rsidRPr="00B478C5">
        <w:rPr>
          <w:rStyle w:val="FootnoteReference"/>
          <w:vertAlign w:val="superscript"/>
        </w:rPr>
        <w:footnoteRef/>
      </w:r>
      <w:r w:rsidRPr="00B478C5">
        <w:rPr>
          <w:vertAlign w:val="superscript"/>
        </w:rPr>
        <w:t xml:space="preserve"> </w:t>
      </w:r>
      <w:r w:rsidRPr="00B478C5">
        <w:rPr>
          <w:sz w:val="20"/>
          <w:szCs w:val="20"/>
        </w:rPr>
        <w:t xml:space="preserve">The mean salary for financial managers (13-3031) working in State government is </w:t>
      </w:r>
      <w:r>
        <w:rPr>
          <w:sz w:val="20"/>
          <w:szCs w:val="20"/>
        </w:rPr>
        <w:t>$</w:t>
      </w:r>
      <w:r w:rsidRPr="00B478C5">
        <w:rPr>
          <w:sz w:val="20"/>
          <w:szCs w:val="20"/>
        </w:rPr>
        <w:t xml:space="preserve">41.48 per hour.  The </w:t>
      </w:r>
      <w:r w:rsidRPr="00B478C5">
        <w:rPr>
          <w:color w:val="000000"/>
          <w:sz w:val="20"/>
          <w:szCs w:val="20"/>
        </w:rPr>
        <w:t>Occupation and Employment Statistics at the U.S. Department of Labor, Bureau of Labor Statistics (BLS)</w:t>
      </w:r>
      <w:r w:rsidRPr="00B478C5">
        <w:rPr>
          <w:sz w:val="20"/>
          <w:szCs w:val="20"/>
        </w:rPr>
        <w:t xml:space="preserve"> were accessed on June 21, 2012 </w:t>
      </w:r>
      <w:hyperlink r:id="rId2" w:anchor="13-0000" w:history="1">
        <w:r w:rsidRPr="00B478C5">
          <w:rPr>
            <w:rStyle w:val="Hyperlink"/>
            <w:sz w:val="20"/>
            <w:szCs w:val="20"/>
          </w:rPr>
          <w:t>http://bls.gov/oes/current/naics4_999200.htm#13-0000</w:t>
        </w:r>
      </w:hyperlink>
      <w:r>
        <w:rPr>
          <w:sz w:val="20"/>
          <w:szCs w:val="20"/>
        </w:rPr>
        <w:t>.</w:t>
      </w:r>
    </w:p>
  </w:footnote>
  <w:footnote w:id="9">
    <w:p w:rsidR="00C53EB7" w:rsidRPr="00653E46" w:rsidRDefault="00C53EB7" w:rsidP="00BA14F1">
      <w:pPr>
        <w:tabs>
          <w:tab w:val="left" w:pos="720"/>
          <w:tab w:val="left" w:pos="1440"/>
        </w:tabs>
        <w:suppressAutoHyphens/>
        <w:rPr>
          <w:b/>
          <w:sz w:val="20"/>
          <w:szCs w:val="20"/>
        </w:rPr>
      </w:pPr>
      <w:r w:rsidRPr="00D80F90">
        <w:rPr>
          <w:rStyle w:val="FootnoteReference"/>
          <w:vertAlign w:val="superscript"/>
        </w:rPr>
        <w:footnoteRef/>
      </w:r>
      <w:r w:rsidRPr="00653E46">
        <w:rPr>
          <w:sz w:val="20"/>
          <w:szCs w:val="20"/>
        </w:rPr>
        <w:t xml:space="preserve"> The Annual Survey of School System Finances</w:t>
      </w:r>
      <w:r w:rsidRPr="00BF74A4">
        <w:rPr>
          <w:sz w:val="20"/>
          <w:szCs w:val="20"/>
        </w:rPr>
        <w:t xml:space="preserve"> </w:t>
      </w:r>
      <w:r w:rsidRPr="00653E46">
        <w:rPr>
          <w:sz w:val="20"/>
          <w:szCs w:val="20"/>
        </w:rPr>
        <w:t>data are collected from the universe of school districts using uniform definitions and concepts of revenue, expenditure, debt, and assets</w:t>
      </w:r>
      <w:r w:rsidRPr="00653E46">
        <w:rPr>
          <w:b/>
          <w:sz w:val="20"/>
          <w:szCs w:val="20"/>
        </w:rPr>
        <w:t xml:space="preserve">.  </w:t>
      </w:r>
    </w:p>
    <w:p w:rsidR="00C53EB7" w:rsidRDefault="00C53EB7" w:rsidP="00BA1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pPr>
      <w:spacing w:line="19" w:lineRule="exac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763D6"/>
    <w:multiLevelType w:val="hybridMultilevel"/>
    <w:tmpl w:val="5F44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9">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3"/>
  </w:num>
  <w:num w:numId="5">
    <w:abstractNumId w:val="7"/>
  </w:num>
  <w:num w:numId="6">
    <w:abstractNumId w:val="8"/>
  </w:num>
  <w:num w:numId="7">
    <w:abstractNumId w:val="15"/>
  </w:num>
  <w:num w:numId="8">
    <w:abstractNumId w:val="14"/>
  </w:num>
  <w:num w:numId="9">
    <w:abstractNumId w:val="10"/>
  </w:num>
  <w:num w:numId="10">
    <w:abstractNumId w:val="13"/>
  </w:num>
  <w:num w:numId="11">
    <w:abstractNumId w:val="5"/>
  </w:num>
  <w:num w:numId="12">
    <w:abstractNumId w:val="17"/>
  </w:num>
  <w:num w:numId="13">
    <w:abstractNumId w:val="0"/>
  </w:num>
  <w:num w:numId="14">
    <w:abstractNumId w:val="1"/>
  </w:num>
  <w:num w:numId="15">
    <w:abstractNumId w:val="2"/>
  </w:num>
  <w:num w:numId="16">
    <w:abstractNumId w:val="11"/>
  </w:num>
  <w:num w:numId="17">
    <w:abstractNumId w:val="6"/>
  </w:num>
  <w:num w:numId="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125CB"/>
    <w:rsid w:val="0002144C"/>
    <w:rsid w:val="00022542"/>
    <w:rsid w:val="00025C4A"/>
    <w:rsid w:val="00031727"/>
    <w:rsid w:val="00034496"/>
    <w:rsid w:val="00043C1B"/>
    <w:rsid w:val="00045078"/>
    <w:rsid w:val="000475DE"/>
    <w:rsid w:val="0005030C"/>
    <w:rsid w:val="0006010D"/>
    <w:rsid w:val="0006245E"/>
    <w:rsid w:val="00075C96"/>
    <w:rsid w:val="0008195C"/>
    <w:rsid w:val="00083393"/>
    <w:rsid w:val="00085BDD"/>
    <w:rsid w:val="00092FDA"/>
    <w:rsid w:val="000A3ADD"/>
    <w:rsid w:val="000C51C7"/>
    <w:rsid w:val="000D5A62"/>
    <w:rsid w:val="000E2688"/>
    <w:rsid w:val="000E719E"/>
    <w:rsid w:val="000F3757"/>
    <w:rsid w:val="000F4E30"/>
    <w:rsid w:val="000F55B7"/>
    <w:rsid w:val="000F7556"/>
    <w:rsid w:val="00100FBD"/>
    <w:rsid w:val="001029F1"/>
    <w:rsid w:val="00111108"/>
    <w:rsid w:val="0011189D"/>
    <w:rsid w:val="00121F35"/>
    <w:rsid w:val="00142976"/>
    <w:rsid w:val="001547C4"/>
    <w:rsid w:val="00177C3C"/>
    <w:rsid w:val="00184ABE"/>
    <w:rsid w:val="00187ED5"/>
    <w:rsid w:val="0019701A"/>
    <w:rsid w:val="001A0F98"/>
    <w:rsid w:val="001A130F"/>
    <w:rsid w:val="001A4979"/>
    <w:rsid w:val="001A61A2"/>
    <w:rsid w:val="001B1A7F"/>
    <w:rsid w:val="001B22D2"/>
    <w:rsid w:val="001B3EB8"/>
    <w:rsid w:val="001C03E7"/>
    <w:rsid w:val="001C3F24"/>
    <w:rsid w:val="001C68E8"/>
    <w:rsid w:val="001D36AA"/>
    <w:rsid w:val="001D7903"/>
    <w:rsid w:val="001E1700"/>
    <w:rsid w:val="001E2810"/>
    <w:rsid w:val="001F738F"/>
    <w:rsid w:val="002068AF"/>
    <w:rsid w:val="0021271B"/>
    <w:rsid w:val="00213A2F"/>
    <w:rsid w:val="00221293"/>
    <w:rsid w:val="00222D6E"/>
    <w:rsid w:val="00223C01"/>
    <w:rsid w:val="0023084B"/>
    <w:rsid w:val="002344D7"/>
    <w:rsid w:val="00237D3E"/>
    <w:rsid w:val="002416AC"/>
    <w:rsid w:val="00251820"/>
    <w:rsid w:val="00260BF8"/>
    <w:rsid w:val="002621EE"/>
    <w:rsid w:val="00263A4F"/>
    <w:rsid w:val="00266047"/>
    <w:rsid w:val="00270397"/>
    <w:rsid w:val="0027334A"/>
    <w:rsid w:val="002735E0"/>
    <w:rsid w:val="00284F44"/>
    <w:rsid w:val="00287E1F"/>
    <w:rsid w:val="00292492"/>
    <w:rsid w:val="00294548"/>
    <w:rsid w:val="00294985"/>
    <w:rsid w:val="002A1AC4"/>
    <w:rsid w:val="002A76B3"/>
    <w:rsid w:val="002B779D"/>
    <w:rsid w:val="002C078C"/>
    <w:rsid w:val="002D3DA7"/>
    <w:rsid w:val="002E10BA"/>
    <w:rsid w:val="002E1D42"/>
    <w:rsid w:val="002F3489"/>
    <w:rsid w:val="002F3F12"/>
    <w:rsid w:val="002F5A4C"/>
    <w:rsid w:val="00305BC4"/>
    <w:rsid w:val="00305BDF"/>
    <w:rsid w:val="003062AF"/>
    <w:rsid w:val="003068F5"/>
    <w:rsid w:val="0031795A"/>
    <w:rsid w:val="00332E78"/>
    <w:rsid w:val="00341628"/>
    <w:rsid w:val="00341843"/>
    <w:rsid w:val="003434E0"/>
    <w:rsid w:val="00344B45"/>
    <w:rsid w:val="003505A6"/>
    <w:rsid w:val="00357E70"/>
    <w:rsid w:val="00360AF0"/>
    <w:rsid w:val="003641F1"/>
    <w:rsid w:val="003739EE"/>
    <w:rsid w:val="00381D6B"/>
    <w:rsid w:val="00385C5C"/>
    <w:rsid w:val="00390ACF"/>
    <w:rsid w:val="0039203D"/>
    <w:rsid w:val="003A0972"/>
    <w:rsid w:val="003A0B71"/>
    <w:rsid w:val="003A51F6"/>
    <w:rsid w:val="003B0ACC"/>
    <w:rsid w:val="003C153D"/>
    <w:rsid w:val="003C1B31"/>
    <w:rsid w:val="003D548A"/>
    <w:rsid w:val="003D60DA"/>
    <w:rsid w:val="003E7880"/>
    <w:rsid w:val="003F3F6F"/>
    <w:rsid w:val="004113E0"/>
    <w:rsid w:val="00421711"/>
    <w:rsid w:val="0044086F"/>
    <w:rsid w:val="004439C9"/>
    <w:rsid w:val="00445501"/>
    <w:rsid w:val="00456960"/>
    <w:rsid w:val="004725BA"/>
    <w:rsid w:val="004725BB"/>
    <w:rsid w:val="00486CF7"/>
    <w:rsid w:val="00494ACE"/>
    <w:rsid w:val="004A046E"/>
    <w:rsid w:val="004A32D1"/>
    <w:rsid w:val="004A4168"/>
    <w:rsid w:val="004A71DF"/>
    <w:rsid w:val="004A79B9"/>
    <w:rsid w:val="004B3FAF"/>
    <w:rsid w:val="004C20AE"/>
    <w:rsid w:val="004C494F"/>
    <w:rsid w:val="004C5F89"/>
    <w:rsid w:val="004D0609"/>
    <w:rsid w:val="004D250D"/>
    <w:rsid w:val="004D5C43"/>
    <w:rsid w:val="004E1D71"/>
    <w:rsid w:val="004E2014"/>
    <w:rsid w:val="004E5AD1"/>
    <w:rsid w:val="004E5B53"/>
    <w:rsid w:val="004E7F8D"/>
    <w:rsid w:val="004F5534"/>
    <w:rsid w:val="00505507"/>
    <w:rsid w:val="00510013"/>
    <w:rsid w:val="00510541"/>
    <w:rsid w:val="005132FD"/>
    <w:rsid w:val="00522082"/>
    <w:rsid w:val="00524CF6"/>
    <w:rsid w:val="005252F7"/>
    <w:rsid w:val="00534201"/>
    <w:rsid w:val="005428B1"/>
    <w:rsid w:val="00552975"/>
    <w:rsid w:val="00555C89"/>
    <w:rsid w:val="005574F1"/>
    <w:rsid w:val="00567497"/>
    <w:rsid w:val="00570FD4"/>
    <w:rsid w:val="00575C2C"/>
    <w:rsid w:val="005802D2"/>
    <w:rsid w:val="005867F2"/>
    <w:rsid w:val="00586937"/>
    <w:rsid w:val="0058748F"/>
    <w:rsid w:val="00597317"/>
    <w:rsid w:val="005B3F43"/>
    <w:rsid w:val="005B42FE"/>
    <w:rsid w:val="005B655F"/>
    <w:rsid w:val="005C4A97"/>
    <w:rsid w:val="005D1930"/>
    <w:rsid w:val="005D3F34"/>
    <w:rsid w:val="005D7520"/>
    <w:rsid w:val="005E3109"/>
    <w:rsid w:val="005E4965"/>
    <w:rsid w:val="005E5E5C"/>
    <w:rsid w:val="005E67D3"/>
    <w:rsid w:val="005E76F2"/>
    <w:rsid w:val="00601F1A"/>
    <w:rsid w:val="0062224B"/>
    <w:rsid w:val="0062465C"/>
    <w:rsid w:val="00632DBD"/>
    <w:rsid w:val="0063610A"/>
    <w:rsid w:val="00654D86"/>
    <w:rsid w:val="006606DF"/>
    <w:rsid w:val="0066482C"/>
    <w:rsid w:val="00665FA8"/>
    <w:rsid w:val="006757B2"/>
    <w:rsid w:val="006820FC"/>
    <w:rsid w:val="00686CCF"/>
    <w:rsid w:val="00691A23"/>
    <w:rsid w:val="00692858"/>
    <w:rsid w:val="0069335E"/>
    <w:rsid w:val="0069424A"/>
    <w:rsid w:val="006A772C"/>
    <w:rsid w:val="006B50A9"/>
    <w:rsid w:val="006C42B5"/>
    <w:rsid w:val="006D2040"/>
    <w:rsid w:val="006D49A3"/>
    <w:rsid w:val="006E50F4"/>
    <w:rsid w:val="00702685"/>
    <w:rsid w:val="007159B6"/>
    <w:rsid w:val="00717628"/>
    <w:rsid w:val="00724F93"/>
    <w:rsid w:val="00726663"/>
    <w:rsid w:val="007301B9"/>
    <w:rsid w:val="0074586F"/>
    <w:rsid w:val="0075447F"/>
    <w:rsid w:val="00761F9B"/>
    <w:rsid w:val="00764F8E"/>
    <w:rsid w:val="00770F55"/>
    <w:rsid w:val="007726AB"/>
    <w:rsid w:val="00783888"/>
    <w:rsid w:val="00784AFB"/>
    <w:rsid w:val="0079018C"/>
    <w:rsid w:val="007979A4"/>
    <w:rsid w:val="00797D6D"/>
    <w:rsid w:val="007C04CE"/>
    <w:rsid w:val="007E4D40"/>
    <w:rsid w:val="007E689B"/>
    <w:rsid w:val="00802946"/>
    <w:rsid w:val="008129D1"/>
    <w:rsid w:val="00826174"/>
    <w:rsid w:val="00827333"/>
    <w:rsid w:val="008320A3"/>
    <w:rsid w:val="00834455"/>
    <w:rsid w:val="008376CE"/>
    <w:rsid w:val="0085354F"/>
    <w:rsid w:val="008625CD"/>
    <w:rsid w:val="008674E1"/>
    <w:rsid w:val="008678A4"/>
    <w:rsid w:val="00880F36"/>
    <w:rsid w:val="0088175F"/>
    <w:rsid w:val="00883453"/>
    <w:rsid w:val="00890037"/>
    <w:rsid w:val="00892B41"/>
    <w:rsid w:val="00897498"/>
    <w:rsid w:val="00897C34"/>
    <w:rsid w:val="008A3342"/>
    <w:rsid w:val="008B4844"/>
    <w:rsid w:val="008C32E3"/>
    <w:rsid w:val="008D2BFB"/>
    <w:rsid w:val="008D3B55"/>
    <w:rsid w:val="008F12B7"/>
    <w:rsid w:val="008F1494"/>
    <w:rsid w:val="0091545D"/>
    <w:rsid w:val="00926529"/>
    <w:rsid w:val="009509DE"/>
    <w:rsid w:val="00953B38"/>
    <w:rsid w:val="009549C4"/>
    <w:rsid w:val="00965125"/>
    <w:rsid w:val="0097748E"/>
    <w:rsid w:val="00980B5B"/>
    <w:rsid w:val="00981CFD"/>
    <w:rsid w:val="009828A3"/>
    <w:rsid w:val="00982B28"/>
    <w:rsid w:val="00994B90"/>
    <w:rsid w:val="00995C80"/>
    <w:rsid w:val="0099687E"/>
    <w:rsid w:val="009A0B89"/>
    <w:rsid w:val="009B4BD9"/>
    <w:rsid w:val="009B5CF5"/>
    <w:rsid w:val="009C0058"/>
    <w:rsid w:val="009C2015"/>
    <w:rsid w:val="009C410B"/>
    <w:rsid w:val="009C6FAA"/>
    <w:rsid w:val="009D0819"/>
    <w:rsid w:val="009D1A85"/>
    <w:rsid w:val="009E709B"/>
    <w:rsid w:val="009F3CCE"/>
    <w:rsid w:val="009F68A5"/>
    <w:rsid w:val="00A00638"/>
    <w:rsid w:val="00A00B5A"/>
    <w:rsid w:val="00A13150"/>
    <w:rsid w:val="00A17096"/>
    <w:rsid w:val="00A211E3"/>
    <w:rsid w:val="00A2377C"/>
    <w:rsid w:val="00A25B62"/>
    <w:rsid w:val="00A27848"/>
    <w:rsid w:val="00A325E5"/>
    <w:rsid w:val="00A40D7A"/>
    <w:rsid w:val="00A53BE1"/>
    <w:rsid w:val="00A71DF4"/>
    <w:rsid w:val="00A76939"/>
    <w:rsid w:val="00A8385D"/>
    <w:rsid w:val="00A85E3D"/>
    <w:rsid w:val="00A901E0"/>
    <w:rsid w:val="00A96835"/>
    <w:rsid w:val="00AA1647"/>
    <w:rsid w:val="00AA1670"/>
    <w:rsid w:val="00AA2AEC"/>
    <w:rsid w:val="00AA3222"/>
    <w:rsid w:val="00AB034B"/>
    <w:rsid w:val="00AB167C"/>
    <w:rsid w:val="00AB701D"/>
    <w:rsid w:val="00AD4123"/>
    <w:rsid w:val="00AD7F9D"/>
    <w:rsid w:val="00AE6522"/>
    <w:rsid w:val="00AF4B9F"/>
    <w:rsid w:val="00B07EC3"/>
    <w:rsid w:val="00B13FE7"/>
    <w:rsid w:val="00B25F5E"/>
    <w:rsid w:val="00B30C42"/>
    <w:rsid w:val="00B31612"/>
    <w:rsid w:val="00B33C96"/>
    <w:rsid w:val="00B40F59"/>
    <w:rsid w:val="00B423F8"/>
    <w:rsid w:val="00B44461"/>
    <w:rsid w:val="00B478C5"/>
    <w:rsid w:val="00B511CD"/>
    <w:rsid w:val="00B51DE1"/>
    <w:rsid w:val="00B55BCB"/>
    <w:rsid w:val="00B564D8"/>
    <w:rsid w:val="00B6651B"/>
    <w:rsid w:val="00B714FF"/>
    <w:rsid w:val="00B71D31"/>
    <w:rsid w:val="00B726B4"/>
    <w:rsid w:val="00B7735A"/>
    <w:rsid w:val="00B822AC"/>
    <w:rsid w:val="00B84146"/>
    <w:rsid w:val="00B866FA"/>
    <w:rsid w:val="00B91E19"/>
    <w:rsid w:val="00B94718"/>
    <w:rsid w:val="00B96923"/>
    <w:rsid w:val="00BA14F1"/>
    <w:rsid w:val="00BA3724"/>
    <w:rsid w:val="00BA58D3"/>
    <w:rsid w:val="00BA7D0B"/>
    <w:rsid w:val="00BB33FC"/>
    <w:rsid w:val="00BC1705"/>
    <w:rsid w:val="00BC199F"/>
    <w:rsid w:val="00BC52CB"/>
    <w:rsid w:val="00BD41C6"/>
    <w:rsid w:val="00BE2B5A"/>
    <w:rsid w:val="00BE6CDE"/>
    <w:rsid w:val="00BF74A4"/>
    <w:rsid w:val="00C20F78"/>
    <w:rsid w:val="00C326D9"/>
    <w:rsid w:val="00C43AA4"/>
    <w:rsid w:val="00C477CA"/>
    <w:rsid w:val="00C51EA4"/>
    <w:rsid w:val="00C53EB7"/>
    <w:rsid w:val="00C70362"/>
    <w:rsid w:val="00C747F1"/>
    <w:rsid w:val="00C801E5"/>
    <w:rsid w:val="00C83139"/>
    <w:rsid w:val="00C8770E"/>
    <w:rsid w:val="00CA015C"/>
    <w:rsid w:val="00CB57AA"/>
    <w:rsid w:val="00CC14E4"/>
    <w:rsid w:val="00CC451C"/>
    <w:rsid w:val="00CD2ABC"/>
    <w:rsid w:val="00CD33E3"/>
    <w:rsid w:val="00CD35BC"/>
    <w:rsid w:val="00CD3633"/>
    <w:rsid w:val="00CD5E39"/>
    <w:rsid w:val="00CD7123"/>
    <w:rsid w:val="00CE0F9C"/>
    <w:rsid w:val="00CF194C"/>
    <w:rsid w:val="00D03F0F"/>
    <w:rsid w:val="00D05609"/>
    <w:rsid w:val="00D07536"/>
    <w:rsid w:val="00D07B3B"/>
    <w:rsid w:val="00D22BB3"/>
    <w:rsid w:val="00D23713"/>
    <w:rsid w:val="00D33AE7"/>
    <w:rsid w:val="00D41239"/>
    <w:rsid w:val="00D41C1B"/>
    <w:rsid w:val="00D7138B"/>
    <w:rsid w:val="00D714C7"/>
    <w:rsid w:val="00D73C6C"/>
    <w:rsid w:val="00D80984"/>
    <w:rsid w:val="00D92BA4"/>
    <w:rsid w:val="00D95FEE"/>
    <w:rsid w:val="00D96EAB"/>
    <w:rsid w:val="00DA007D"/>
    <w:rsid w:val="00DA1090"/>
    <w:rsid w:val="00DA3A3F"/>
    <w:rsid w:val="00DB0FFA"/>
    <w:rsid w:val="00DC7F7B"/>
    <w:rsid w:val="00DD4F75"/>
    <w:rsid w:val="00DE40FC"/>
    <w:rsid w:val="00DE4995"/>
    <w:rsid w:val="00DF058D"/>
    <w:rsid w:val="00DF0F64"/>
    <w:rsid w:val="00DF591C"/>
    <w:rsid w:val="00DF5FA8"/>
    <w:rsid w:val="00DF5FDA"/>
    <w:rsid w:val="00E03C7F"/>
    <w:rsid w:val="00E0452D"/>
    <w:rsid w:val="00E22476"/>
    <w:rsid w:val="00E33A6A"/>
    <w:rsid w:val="00E41D5D"/>
    <w:rsid w:val="00E53604"/>
    <w:rsid w:val="00E56F1B"/>
    <w:rsid w:val="00E61845"/>
    <w:rsid w:val="00E62197"/>
    <w:rsid w:val="00E719EE"/>
    <w:rsid w:val="00E74186"/>
    <w:rsid w:val="00E90358"/>
    <w:rsid w:val="00E96A51"/>
    <w:rsid w:val="00EA70C0"/>
    <w:rsid w:val="00EB50F4"/>
    <w:rsid w:val="00EC35E7"/>
    <w:rsid w:val="00ED109D"/>
    <w:rsid w:val="00ED5CFE"/>
    <w:rsid w:val="00EF780C"/>
    <w:rsid w:val="00F008C2"/>
    <w:rsid w:val="00F04B56"/>
    <w:rsid w:val="00F05855"/>
    <w:rsid w:val="00F05F4F"/>
    <w:rsid w:val="00F060A6"/>
    <w:rsid w:val="00F1295C"/>
    <w:rsid w:val="00F147F5"/>
    <w:rsid w:val="00F15288"/>
    <w:rsid w:val="00F20EB4"/>
    <w:rsid w:val="00F23713"/>
    <w:rsid w:val="00F33ED8"/>
    <w:rsid w:val="00F370F3"/>
    <w:rsid w:val="00F5136F"/>
    <w:rsid w:val="00F5138A"/>
    <w:rsid w:val="00F52949"/>
    <w:rsid w:val="00F57812"/>
    <w:rsid w:val="00F70E33"/>
    <w:rsid w:val="00FA20DF"/>
    <w:rsid w:val="00FA2405"/>
    <w:rsid w:val="00FB3F2B"/>
    <w:rsid w:val="00FB6351"/>
    <w:rsid w:val="00FB78B7"/>
    <w:rsid w:val="00FC53B1"/>
    <w:rsid w:val="00FC6F0B"/>
    <w:rsid w:val="00FD7D4E"/>
    <w:rsid w:val="00FE7113"/>
    <w:rsid w:val="00FE7B35"/>
    <w:rsid w:val="00FF30D5"/>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9B4BD9"/>
    <w:pPr>
      <w:widowControl w:val="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semiHidden/>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basedOn w:val="Normal"/>
    <w:semiHidden/>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9B4BD9"/>
    <w:pPr>
      <w:widowControl w:val="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semiHidden/>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basedOn w:val="Normal"/>
    <w:semiHidden/>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ccd/corner.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Matt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4_999200.htm" TargetMode="External"/><Relationship Id="rId1" Type="http://schemas.openxmlformats.org/officeDocument/2006/relationships/hyperlink" Target="http://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B28E-B7B2-4E77-95A6-2B0051A2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kashka.kubzdela</cp:lastModifiedBy>
  <cp:revision>8</cp:revision>
  <cp:lastPrinted>2012-12-11T22:30:00Z</cp:lastPrinted>
  <dcterms:created xsi:type="dcterms:W3CDTF">2012-12-18T13:42:00Z</dcterms:created>
  <dcterms:modified xsi:type="dcterms:W3CDTF">2013-01-09T17:18:00Z</dcterms:modified>
</cp:coreProperties>
</file>