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F3" w:rsidRPr="00AD14BF" w:rsidRDefault="005023F3" w:rsidP="007A4672">
      <w:pPr>
        <w:widowControl w:val="0"/>
        <w:spacing w:after="0" w:line="240" w:lineRule="auto"/>
        <w:jc w:val="center"/>
        <w:rPr>
          <w:i/>
          <w:smallCaps/>
          <w:sz w:val="40"/>
          <w:szCs w:val="40"/>
        </w:rPr>
      </w:pPr>
      <w:r w:rsidRPr="00AD14BF">
        <w:rPr>
          <w:i/>
          <w:smallCaps/>
          <w:sz w:val="40"/>
          <w:szCs w:val="40"/>
        </w:rPr>
        <w:t xml:space="preserve">National </w:t>
      </w:r>
      <w:r>
        <w:rPr>
          <w:i/>
          <w:smallCaps/>
          <w:sz w:val="40"/>
          <w:szCs w:val="40"/>
        </w:rPr>
        <w:t xml:space="preserve">Center for </w:t>
      </w:r>
      <w:r w:rsidRPr="00AD14BF">
        <w:rPr>
          <w:i/>
          <w:smallCaps/>
          <w:sz w:val="40"/>
          <w:szCs w:val="40"/>
        </w:rPr>
        <w:t xml:space="preserve">Education </w:t>
      </w:r>
      <w:r>
        <w:rPr>
          <w:i/>
          <w:smallCaps/>
          <w:sz w:val="40"/>
          <w:szCs w:val="40"/>
        </w:rPr>
        <w:t>Statistics</w:t>
      </w:r>
    </w:p>
    <w:p w:rsidR="001C578D" w:rsidRDefault="005023F3">
      <w:pPr>
        <w:spacing w:after="0" w:line="240" w:lineRule="auto"/>
        <w:jc w:val="center"/>
        <w:rPr>
          <w:b/>
          <w:i/>
          <w:sz w:val="36"/>
          <w:szCs w:val="36"/>
        </w:rPr>
      </w:pPr>
      <w:r w:rsidRPr="00AD14BF">
        <w:rPr>
          <w:i/>
          <w:smallCaps/>
          <w:sz w:val="40"/>
          <w:szCs w:val="40"/>
        </w:rPr>
        <w:t>National Assessment of Educational Progress</w:t>
      </w:r>
    </w:p>
    <w:p w:rsidR="001C578D" w:rsidRDefault="001C578D">
      <w:pPr>
        <w:spacing w:after="0" w:line="240" w:lineRule="auto"/>
        <w:jc w:val="center"/>
        <w:rPr>
          <w:b/>
          <w:i/>
        </w:rPr>
      </w:pPr>
    </w:p>
    <w:p w:rsidR="001C578D" w:rsidRDefault="001C578D">
      <w:pPr>
        <w:spacing w:after="0" w:line="240" w:lineRule="auto"/>
        <w:jc w:val="center"/>
        <w:rPr>
          <w:b/>
          <w:i/>
        </w:rPr>
      </w:pPr>
    </w:p>
    <w:p w:rsidR="001C578D" w:rsidRDefault="001C578D">
      <w:pPr>
        <w:spacing w:after="0" w:line="240" w:lineRule="auto"/>
        <w:jc w:val="center"/>
        <w:rPr>
          <w:i/>
        </w:rPr>
      </w:pPr>
    </w:p>
    <w:p w:rsidR="001C578D" w:rsidRDefault="001C578D">
      <w:pPr>
        <w:spacing w:after="0" w:line="240" w:lineRule="auto"/>
        <w:jc w:val="center"/>
        <w:rPr>
          <w:i/>
        </w:rPr>
      </w:pPr>
    </w:p>
    <w:p w:rsidR="001C578D" w:rsidRDefault="001C578D">
      <w:pPr>
        <w:spacing w:after="0" w:line="240" w:lineRule="auto"/>
        <w:jc w:val="center"/>
        <w:rPr>
          <w:b/>
          <w:i/>
          <w:sz w:val="36"/>
        </w:rPr>
      </w:pPr>
    </w:p>
    <w:p w:rsidR="001C578D" w:rsidRDefault="00BD446D">
      <w:pPr>
        <w:spacing w:after="0" w:line="240" w:lineRule="auto"/>
        <w:jc w:val="center"/>
        <w:rPr>
          <w:i/>
          <w:sz w:val="40"/>
          <w:szCs w:val="40"/>
        </w:rPr>
      </w:pPr>
      <w:r w:rsidRPr="00BD446D">
        <w:rPr>
          <w:i/>
          <w:sz w:val="40"/>
          <w:szCs w:val="40"/>
        </w:rPr>
        <w:t>SUPPORTING STATEMENT PART B</w:t>
      </w:r>
      <w:bookmarkStart w:id="0" w:name="_GoBack"/>
      <w:bookmarkEnd w:id="0"/>
    </w:p>
    <w:p w:rsidR="001C578D" w:rsidRDefault="001C578D">
      <w:pPr>
        <w:spacing w:after="0" w:line="240" w:lineRule="auto"/>
        <w:jc w:val="center"/>
        <w:rPr>
          <w:b/>
          <w:i/>
          <w:sz w:val="36"/>
        </w:rPr>
      </w:pPr>
    </w:p>
    <w:p w:rsidR="001C578D" w:rsidRDefault="001C578D">
      <w:pPr>
        <w:spacing w:after="0" w:line="240" w:lineRule="auto"/>
        <w:jc w:val="center"/>
        <w:rPr>
          <w:i/>
        </w:rPr>
      </w:pPr>
    </w:p>
    <w:p w:rsidR="001C578D" w:rsidRDefault="005023F3">
      <w:pPr>
        <w:widowControl w:val="0"/>
        <w:spacing w:after="0" w:line="240" w:lineRule="auto"/>
        <w:jc w:val="center"/>
        <w:rPr>
          <w:i/>
          <w:sz w:val="36"/>
          <w:szCs w:val="36"/>
        </w:rPr>
      </w:pPr>
      <w:r>
        <w:rPr>
          <w:i/>
          <w:sz w:val="36"/>
          <w:szCs w:val="36"/>
        </w:rPr>
        <w:t xml:space="preserve">Request for System Clearance for </w:t>
      </w:r>
    </w:p>
    <w:p w:rsidR="001C578D" w:rsidRDefault="005023F3">
      <w:pPr>
        <w:widowControl w:val="0"/>
        <w:spacing w:after="0" w:line="240" w:lineRule="auto"/>
        <w:jc w:val="center"/>
        <w:rPr>
          <w:i/>
          <w:sz w:val="36"/>
          <w:szCs w:val="36"/>
        </w:rPr>
      </w:pPr>
      <w:r>
        <w:rPr>
          <w:i/>
          <w:sz w:val="36"/>
          <w:szCs w:val="36"/>
        </w:rPr>
        <w:t xml:space="preserve">NAEP Assessments </w:t>
      </w:r>
      <w:r w:rsidR="00A86130">
        <w:rPr>
          <w:i/>
          <w:sz w:val="36"/>
          <w:szCs w:val="36"/>
        </w:rPr>
        <w:t>f</w:t>
      </w:r>
      <w:r>
        <w:rPr>
          <w:i/>
          <w:sz w:val="36"/>
          <w:szCs w:val="36"/>
        </w:rPr>
        <w:t xml:space="preserve">or 2014-2016 </w:t>
      </w:r>
    </w:p>
    <w:p w:rsidR="001C578D" w:rsidRDefault="001C578D">
      <w:pPr>
        <w:widowControl w:val="0"/>
        <w:spacing w:after="0" w:line="240" w:lineRule="auto"/>
        <w:jc w:val="center"/>
        <w:rPr>
          <w:i/>
          <w:sz w:val="36"/>
          <w:szCs w:val="36"/>
        </w:rPr>
      </w:pPr>
    </w:p>
    <w:p w:rsidR="001C578D" w:rsidRDefault="005023F3">
      <w:pPr>
        <w:widowControl w:val="0"/>
        <w:spacing w:after="0" w:line="240" w:lineRule="auto"/>
        <w:jc w:val="center"/>
        <w:rPr>
          <w:i/>
          <w:sz w:val="32"/>
          <w:szCs w:val="32"/>
        </w:rPr>
      </w:pPr>
      <w:r>
        <w:rPr>
          <w:i/>
          <w:sz w:val="32"/>
          <w:szCs w:val="32"/>
        </w:rPr>
        <w:t xml:space="preserve">OMB# 1850-0790 </w:t>
      </w:r>
      <w:r w:rsidR="00A662F2">
        <w:rPr>
          <w:i/>
          <w:sz w:val="32"/>
          <w:szCs w:val="32"/>
        </w:rPr>
        <w:t>v.36</w:t>
      </w:r>
    </w:p>
    <w:p w:rsidR="001C578D" w:rsidRDefault="001C578D">
      <w:pPr>
        <w:spacing w:after="0" w:line="240" w:lineRule="auto"/>
        <w:jc w:val="center"/>
        <w:rPr>
          <w:b/>
          <w:bCs/>
          <w:i/>
          <w:sz w:val="32"/>
        </w:rPr>
      </w:pPr>
    </w:p>
    <w:p w:rsidR="001C578D" w:rsidRDefault="001C578D">
      <w:pPr>
        <w:spacing w:after="0" w:line="240" w:lineRule="auto"/>
        <w:jc w:val="center"/>
        <w:rPr>
          <w:i/>
        </w:rPr>
      </w:pPr>
    </w:p>
    <w:p w:rsidR="001C578D" w:rsidRDefault="001C578D">
      <w:pPr>
        <w:spacing w:after="0" w:line="240" w:lineRule="auto"/>
        <w:jc w:val="center"/>
        <w:rPr>
          <w:b/>
          <w:i/>
          <w:sz w:val="30"/>
        </w:rPr>
      </w:pPr>
    </w:p>
    <w:p w:rsidR="001C578D" w:rsidRDefault="001C578D">
      <w:pPr>
        <w:spacing w:after="0" w:line="240" w:lineRule="auto"/>
        <w:jc w:val="center"/>
        <w:rPr>
          <w:b/>
          <w:i/>
          <w:sz w:val="30"/>
        </w:rPr>
      </w:pPr>
    </w:p>
    <w:p w:rsidR="001C578D" w:rsidRDefault="001C578D">
      <w:pPr>
        <w:spacing w:after="0" w:line="240" w:lineRule="auto"/>
        <w:jc w:val="center"/>
        <w:rPr>
          <w:b/>
          <w:i/>
        </w:rPr>
      </w:pPr>
    </w:p>
    <w:p w:rsidR="006347CB" w:rsidRDefault="006347CB" w:rsidP="007A4672">
      <w:pPr>
        <w:spacing w:after="0" w:line="240" w:lineRule="auto"/>
        <w:jc w:val="center"/>
        <w:rPr>
          <w:i/>
        </w:rPr>
      </w:pPr>
    </w:p>
    <w:p w:rsidR="001C578D" w:rsidRDefault="001C578D">
      <w:pPr>
        <w:pStyle w:val="Title"/>
        <w:tabs>
          <w:tab w:val="left" w:pos="2430"/>
        </w:tabs>
        <w:spacing w:after="0" w:line="240" w:lineRule="auto"/>
        <w:jc w:val="left"/>
        <w:rPr>
          <w:rFonts w:ascii="Times New Roman" w:hAnsi="Times New Roman"/>
        </w:rPr>
      </w:pPr>
    </w:p>
    <w:p w:rsidR="001C578D" w:rsidRDefault="009F57FA">
      <w:pPr>
        <w:pStyle w:val="Title"/>
        <w:tabs>
          <w:tab w:val="left" w:pos="2430"/>
        </w:tabs>
        <w:spacing w:after="0" w:line="240" w:lineRule="auto"/>
        <w:rPr>
          <w:rFonts w:ascii="Times New Roman" w:hAnsi="Times New Roman"/>
        </w:rPr>
      </w:pPr>
      <w:r>
        <w:rPr>
          <w:noProof/>
        </w:rPr>
        <w:drawing>
          <wp:inline distT="0" distB="0" distL="0" distR="0">
            <wp:extent cx="1343413" cy="1517904"/>
            <wp:effectExtent l="19050" t="0" r="9137"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43413" cy="1517904"/>
                    </a:xfrm>
                    <a:prstGeom prst="rect">
                      <a:avLst/>
                    </a:prstGeom>
                    <a:noFill/>
                    <a:ln w="9525">
                      <a:noFill/>
                      <a:miter lim="800000"/>
                      <a:headEnd/>
                      <a:tailEnd/>
                    </a:ln>
                  </pic:spPr>
                </pic:pic>
              </a:graphicData>
            </a:graphic>
          </wp:inline>
        </w:drawing>
      </w:r>
    </w:p>
    <w:p w:rsidR="001C578D" w:rsidRDefault="001C578D">
      <w:pPr>
        <w:pStyle w:val="Title"/>
        <w:tabs>
          <w:tab w:val="left" w:pos="2430"/>
        </w:tabs>
        <w:spacing w:after="0" w:line="240" w:lineRule="auto"/>
        <w:jc w:val="left"/>
        <w:rPr>
          <w:rFonts w:ascii="Times New Roman" w:hAnsi="Times New Roman"/>
        </w:rPr>
      </w:pPr>
    </w:p>
    <w:p w:rsidR="001C578D" w:rsidRDefault="001C578D">
      <w:pPr>
        <w:pStyle w:val="Title"/>
        <w:tabs>
          <w:tab w:val="left" w:pos="2430"/>
        </w:tabs>
        <w:spacing w:after="0" w:line="240" w:lineRule="auto"/>
        <w:jc w:val="left"/>
        <w:rPr>
          <w:rFonts w:ascii="Times New Roman" w:hAnsi="Times New Roman"/>
        </w:rPr>
      </w:pPr>
    </w:p>
    <w:p w:rsidR="001C578D" w:rsidRDefault="001C578D">
      <w:pPr>
        <w:tabs>
          <w:tab w:val="left" w:pos="-720"/>
        </w:tabs>
        <w:suppressAutoHyphens/>
        <w:spacing w:after="0" w:line="240" w:lineRule="auto"/>
        <w:jc w:val="both"/>
        <w:rPr>
          <w:spacing w:val="-2"/>
        </w:rPr>
      </w:pPr>
    </w:p>
    <w:p w:rsidR="00A662F2" w:rsidRDefault="00A662F2">
      <w:pPr>
        <w:spacing w:after="200" w:line="276" w:lineRule="auto"/>
        <w:rPr>
          <w:szCs w:val="22"/>
        </w:rPr>
      </w:pPr>
    </w:p>
    <w:p w:rsidR="00A662F2" w:rsidRDefault="00A662F2">
      <w:pPr>
        <w:spacing w:after="200" w:line="276" w:lineRule="auto"/>
        <w:rPr>
          <w:szCs w:val="22"/>
        </w:rPr>
      </w:pPr>
    </w:p>
    <w:p w:rsidR="008D7905" w:rsidRDefault="00A662F2" w:rsidP="000C2B81">
      <w:pPr>
        <w:spacing w:after="0" w:line="240" w:lineRule="auto"/>
        <w:rPr>
          <w:szCs w:val="22"/>
        </w:rPr>
      </w:pPr>
      <w:r>
        <w:rPr>
          <w:szCs w:val="22"/>
        </w:rPr>
        <w:t>November</w:t>
      </w:r>
      <w:r w:rsidR="00357351" w:rsidRPr="00357351">
        <w:rPr>
          <w:szCs w:val="22"/>
        </w:rPr>
        <w:t xml:space="preserve"> </w:t>
      </w:r>
      <w:r>
        <w:rPr>
          <w:szCs w:val="22"/>
        </w:rPr>
        <w:t>1</w:t>
      </w:r>
      <w:r w:rsidR="00357351" w:rsidRPr="00357351">
        <w:rPr>
          <w:szCs w:val="22"/>
        </w:rPr>
        <w:t>, 2012</w:t>
      </w:r>
    </w:p>
    <w:p w:rsidR="006347CB" w:rsidRDefault="00D34318">
      <w:pPr>
        <w:spacing w:after="200" w:line="276" w:lineRule="auto"/>
        <w:rPr>
          <w:b/>
          <w:sz w:val="28"/>
          <w:szCs w:val="28"/>
        </w:rPr>
      </w:pPr>
      <w:r>
        <w:rPr>
          <w:szCs w:val="22"/>
        </w:rPr>
        <w:t>(</w:t>
      </w:r>
      <w:proofErr w:type="gramStart"/>
      <w:r>
        <w:rPr>
          <w:szCs w:val="22"/>
        </w:rPr>
        <w:t>r</w:t>
      </w:r>
      <w:r w:rsidR="00860B6A">
        <w:rPr>
          <w:szCs w:val="22"/>
        </w:rPr>
        <w:t>evised</w:t>
      </w:r>
      <w:proofErr w:type="gramEnd"/>
      <w:r w:rsidR="00860B6A">
        <w:rPr>
          <w:szCs w:val="22"/>
        </w:rPr>
        <w:t xml:space="preserve"> 1-17-13)</w:t>
      </w:r>
      <w:r w:rsidR="006347CB">
        <w:rPr>
          <w:b/>
          <w:szCs w:val="22"/>
        </w:rPr>
        <w:br w:type="page"/>
      </w:r>
      <w:r w:rsidR="006347CB" w:rsidRPr="00152B15">
        <w:rPr>
          <w:b/>
          <w:sz w:val="28"/>
          <w:szCs w:val="28"/>
        </w:rPr>
        <w:lastRenderedPageBreak/>
        <w:t>Table of Contents</w:t>
      </w:r>
    </w:p>
    <w:p w:rsidR="001C578D" w:rsidRDefault="00BD446D">
      <w:pPr>
        <w:pStyle w:val="TOC1"/>
        <w:tabs>
          <w:tab w:val="left" w:pos="547"/>
        </w:tabs>
        <w:spacing w:after="60" w:line="240" w:lineRule="auto"/>
        <w:rPr>
          <w:rFonts w:eastAsiaTheme="minorEastAsia"/>
          <w:b w:val="0"/>
          <w:sz w:val="24"/>
          <w:szCs w:val="24"/>
        </w:rPr>
      </w:pPr>
      <w:r w:rsidRPr="00C149EA">
        <w:rPr>
          <w:b w:val="0"/>
          <w:sz w:val="24"/>
          <w:szCs w:val="24"/>
        </w:rPr>
        <w:t>B.</w:t>
      </w:r>
      <w:r w:rsidRPr="00BD446D">
        <w:rPr>
          <w:rFonts w:eastAsiaTheme="minorEastAsia"/>
          <w:b w:val="0"/>
          <w:sz w:val="24"/>
          <w:szCs w:val="24"/>
        </w:rPr>
        <w:tab/>
      </w:r>
      <w:r w:rsidRPr="00C149EA">
        <w:rPr>
          <w:b w:val="0"/>
          <w:sz w:val="24"/>
          <w:szCs w:val="24"/>
        </w:rPr>
        <w:t>COLLECTIONS OF INFORMATION EMPLOYING STATISTICAL METHODS</w:t>
      </w:r>
      <w:r w:rsidRPr="00BD446D">
        <w:rPr>
          <w:b w:val="0"/>
          <w:webHidden/>
          <w:sz w:val="24"/>
          <w:szCs w:val="24"/>
        </w:rPr>
        <w:tab/>
      </w:r>
      <w:r w:rsidR="001641E1">
        <w:rPr>
          <w:b w:val="0"/>
          <w:webHidden/>
          <w:sz w:val="24"/>
          <w:szCs w:val="24"/>
        </w:rPr>
        <w:t>1</w:t>
      </w:r>
    </w:p>
    <w:p w:rsidR="001C578D" w:rsidRDefault="00BD446D">
      <w:pPr>
        <w:pStyle w:val="TOC2"/>
        <w:tabs>
          <w:tab w:val="left" w:pos="547"/>
          <w:tab w:val="left" w:pos="600"/>
        </w:tabs>
        <w:spacing w:after="60" w:line="240" w:lineRule="auto"/>
        <w:rPr>
          <w:rFonts w:eastAsiaTheme="minorEastAsia"/>
          <w:b w:val="0"/>
          <w:sz w:val="24"/>
          <w:szCs w:val="24"/>
        </w:rPr>
      </w:pPr>
      <w:r w:rsidRPr="00C149EA">
        <w:rPr>
          <w:b w:val="0"/>
          <w:sz w:val="24"/>
          <w:szCs w:val="24"/>
        </w:rPr>
        <w:t>1.</w:t>
      </w:r>
      <w:r w:rsidRPr="00BD446D">
        <w:rPr>
          <w:rFonts w:eastAsiaTheme="minorEastAsia"/>
          <w:b w:val="0"/>
          <w:sz w:val="24"/>
          <w:szCs w:val="24"/>
        </w:rPr>
        <w:tab/>
      </w:r>
      <w:r w:rsidR="00E12D4D">
        <w:rPr>
          <w:rFonts w:eastAsiaTheme="minorEastAsia"/>
          <w:b w:val="0"/>
          <w:sz w:val="24"/>
          <w:szCs w:val="24"/>
        </w:rPr>
        <w:tab/>
      </w:r>
      <w:r w:rsidR="00E12D4D">
        <w:rPr>
          <w:rFonts w:eastAsiaTheme="minorEastAsia"/>
          <w:b w:val="0"/>
          <w:sz w:val="24"/>
          <w:szCs w:val="24"/>
        </w:rPr>
        <w:tab/>
      </w:r>
      <w:r w:rsidRPr="00C149EA">
        <w:rPr>
          <w:b w:val="0"/>
          <w:sz w:val="24"/>
          <w:szCs w:val="24"/>
        </w:rPr>
        <w:t>Potential respondent universe</w:t>
      </w:r>
      <w:r w:rsidRPr="00BD446D">
        <w:rPr>
          <w:b w:val="0"/>
          <w:webHidden/>
          <w:sz w:val="24"/>
          <w:szCs w:val="24"/>
        </w:rPr>
        <w:tab/>
      </w:r>
      <w:r w:rsidR="001641E1">
        <w:rPr>
          <w:b w:val="0"/>
          <w:webHidden/>
          <w:sz w:val="24"/>
          <w:szCs w:val="24"/>
        </w:rPr>
        <w:t>1</w:t>
      </w:r>
    </w:p>
    <w:p w:rsidR="001C578D" w:rsidRDefault="00BD446D">
      <w:pPr>
        <w:pStyle w:val="TOC2"/>
        <w:tabs>
          <w:tab w:val="left" w:pos="547"/>
          <w:tab w:val="left" w:pos="600"/>
        </w:tabs>
        <w:spacing w:after="60" w:line="240" w:lineRule="auto"/>
        <w:rPr>
          <w:rFonts w:eastAsiaTheme="minorEastAsia"/>
          <w:b w:val="0"/>
          <w:sz w:val="24"/>
          <w:szCs w:val="24"/>
        </w:rPr>
      </w:pPr>
      <w:r w:rsidRPr="00C149EA">
        <w:rPr>
          <w:b w:val="0"/>
          <w:sz w:val="24"/>
          <w:szCs w:val="24"/>
        </w:rPr>
        <w:t>2.</w:t>
      </w:r>
      <w:r w:rsidRPr="00BD446D">
        <w:rPr>
          <w:rFonts w:eastAsiaTheme="minorEastAsia"/>
          <w:b w:val="0"/>
          <w:sz w:val="24"/>
          <w:szCs w:val="24"/>
        </w:rPr>
        <w:tab/>
      </w:r>
      <w:r w:rsidR="00E12D4D">
        <w:rPr>
          <w:rFonts w:eastAsiaTheme="minorEastAsia"/>
          <w:b w:val="0"/>
          <w:sz w:val="24"/>
          <w:szCs w:val="24"/>
        </w:rPr>
        <w:tab/>
      </w:r>
      <w:r w:rsidR="00E12D4D">
        <w:rPr>
          <w:rFonts w:eastAsiaTheme="minorEastAsia"/>
          <w:b w:val="0"/>
          <w:sz w:val="24"/>
          <w:szCs w:val="24"/>
        </w:rPr>
        <w:tab/>
      </w:r>
      <w:r w:rsidRPr="00C149EA">
        <w:rPr>
          <w:b w:val="0"/>
          <w:sz w:val="24"/>
          <w:szCs w:val="24"/>
        </w:rPr>
        <w:t>Procedures for collection of information</w:t>
      </w:r>
      <w:r w:rsidRPr="00BD446D">
        <w:rPr>
          <w:b w:val="0"/>
          <w:webHidden/>
          <w:sz w:val="24"/>
          <w:szCs w:val="24"/>
        </w:rPr>
        <w:tab/>
      </w:r>
      <w:r w:rsidR="001641E1">
        <w:rPr>
          <w:b w:val="0"/>
          <w:webHidden/>
          <w:sz w:val="24"/>
          <w:szCs w:val="24"/>
        </w:rPr>
        <w:t>1</w:t>
      </w:r>
    </w:p>
    <w:p w:rsidR="001C578D" w:rsidRDefault="00BD446D">
      <w:pPr>
        <w:pStyle w:val="TOC2"/>
        <w:tabs>
          <w:tab w:val="left" w:pos="547"/>
          <w:tab w:val="left" w:pos="600"/>
        </w:tabs>
        <w:spacing w:after="60" w:line="240" w:lineRule="auto"/>
        <w:rPr>
          <w:rFonts w:eastAsiaTheme="minorEastAsia"/>
          <w:b w:val="0"/>
          <w:sz w:val="24"/>
          <w:szCs w:val="24"/>
        </w:rPr>
      </w:pPr>
      <w:r w:rsidRPr="00C149EA">
        <w:rPr>
          <w:b w:val="0"/>
          <w:sz w:val="24"/>
          <w:szCs w:val="24"/>
        </w:rPr>
        <w:t>3.</w:t>
      </w:r>
      <w:r w:rsidRPr="00BD446D">
        <w:rPr>
          <w:rFonts w:eastAsiaTheme="minorEastAsia"/>
          <w:b w:val="0"/>
          <w:sz w:val="24"/>
          <w:szCs w:val="24"/>
        </w:rPr>
        <w:tab/>
      </w:r>
      <w:r w:rsidR="00E12D4D">
        <w:rPr>
          <w:rFonts w:eastAsiaTheme="minorEastAsia"/>
          <w:b w:val="0"/>
          <w:sz w:val="24"/>
          <w:szCs w:val="24"/>
        </w:rPr>
        <w:tab/>
      </w:r>
      <w:r w:rsidR="00E12D4D">
        <w:rPr>
          <w:rFonts w:eastAsiaTheme="minorEastAsia"/>
          <w:b w:val="0"/>
          <w:sz w:val="24"/>
          <w:szCs w:val="24"/>
        </w:rPr>
        <w:tab/>
      </w:r>
      <w:r w:rsidRPr="00C149EA">
        <w:rPr>
          <w:b w:val="0"/>
          <w:sz w:val="24"/>
          <w:szCs w:val="24"/>
        </w:rPr>
        <w:t>Methods to maximize response rates and deal with issues of nonresponse</w:t>
      </w:r>
      <w:r w:rsidRPr="00BD446D">
        <w:rPr>
          <w:b w:val="0"/>
          <w:webHidden/>
          <w:sz w:val="24"/>
          <w:szCs w:val="24"/>
        </w:rPr>
        <w:tab/>
      </w:r>
      <w:r w:rsidR="009F7838">
        <w:rPr>
          <w:b w:val="0"/>
          <w:webHidden/>
          <w:sz w:val="24"/>
          <w:szCs w:val="24"/>
        </w:rPr>
        <w:t>4</w:t>
      </w:r>
    </w:p>
    <w:p w:rsidR="001C578D" w:rsidRDefault="00BD446D">
      <w:pPr>
        <w:pStyle w:val="TOC2"/>
        <w:tabs>
          <w:tab w:val="left" w:pos="547"/>
          <w:tab w:val="left" w:pos="600"/>
        </w:tabs>
        <w:spacing w:after="60" w:line="240" w:lineRule="auto"/>
        <w:rPr>
          <w:rFonts w:eastAsiaTheme="minorEastAsia"/>
          <w:b w:val="0"/>
          <w:sz w:val="24"/>
          <w:szCs w:val="24"/>
        </w:rPr>
      </w:pPr>
      <w:r w:rsidRPr="00C149EA">
        <w:rPr>
          <w:b w:val="0"/>
          <w:sz w:val="24"/>
          <w:szCs w:val="24"/>
        </w:rPr>
        <w:t>4.</w:t>
      </w:r>
      <w:r w:rsidRPr="00BD446D">
        <w:rPr>
          <w:rFonts w:eastAsiaTheme="minorEastAsia"/>
          <w:b w:val="0"/>
          <w:sz w:val="24"/>
          <w:szCs w:val="24"/>
        </w:rPr>
        <w:tab/>
      </w:r>
      <w:r w:rsidR="00E12D4D">
        <w:rPr>
          <w:rFonts w:eastAsiaTheme="minorEastAsia"/>
          <w:b w:val="0"/>
          <w:sz w:val="24"/>
          <w:szCs w:val="24"/>
        </w:rPr>
        <w:tab/>
      </w:r>
      <w:r w:rsidR="00E12D4D">
        <w:rPr>
          <w:rFonts w:eastAsiaTheme="minorEastAsia"/>
          <w:b w:val="0"/>
          <w:sz w:val="24"/>
          <w:szCs w:val="24"/>
        </w:rPr>
        <w:tab/>
      </w:r>
      <w:r w:rsidRPr="00C149EA">
        <w:rPr>
          <w:b w:val="0"/>
          <w:sz w:val="24"/>
          <w:szCs w:val="24"/>
        </w:rPr>
        <w:t>Tests of procedures or methods to be undertaken</w:t>
      </w:r>
      <w:r w:rsidRPr="00BD446D">
        <w:rPr>
          <w:b w:val="0"/>
          <w:webHidden/>
          <w:sz w:val="24"/>
          <w:szCs w:val="24"/>
        </w:rPr>
        <w:tab/>
      </w:r>
      <w:r w:rsidR="009F7838">
        <w:rPr>
          <w:b w:val="0"/>
          <w:webHidden/>
          <w:sz w:val="24"/>
          <w:szCs w:val="24"/>
        </w:rPr>
        <w:t>5</w:t>
      </w:r>
    </w:p>
    <w:p w:rsidR="001C578D" w:rsidRDefault="00BD446D">
      <w:pPr>
        <w:pStyle w:val="TOC2"/>
        <w:tabs>
          <w:tab w:val="left" w:pos="547"/>
          <w:tab w:val="left" w:pos="600"/>
        </w:tabs>
        <w:spacing w:after="60" w:line="240" w:lineRule="auto"/>
        <w:rPr>
          <w:rFonts w:eastAsiaTheme="minorEastAsia"/>
          <w:b w:val="0"/>
          <w:sz w:val="24"/>
          <w:szCs w:val="24"/>
        </w:rPr>
      </w:pPr>
      <w:r w:rsidRPr="00C149EA">
        <w:rPr>
          <w:b w:val="0"/>
          <w:sz w:val="24"/>
          <w:szCs w:val="24"/>
        </w:rPr>
        <w:t>5.</w:t>
      </w:r>
      <w:r w:rsidRPr="00BD446D">
        <w:rPr>
          <w:rFonts w:eastAsiaTheme="minorEastAsia"/>
          <w:b w:val="0"/>
          <w:sz w:val="24"/>
          <w:szCs w:val="24"/>
        </w:rPr>
        <w:tab/>
      </w:r>
      <w:r w:rsidR="00E12D4D">
        <w:rPr>
          <w:rFonts w:eastAsiaTheme="minorEastAsia"/>
          <w:b w:val="0"/>
          <w:sz w:val="24"/>
          <w:szCs w:val="24"/>
        </w:rPr>
        <w:tab/>
      </w:r>
      <w:r w:rsidR="00E12D4D">
        <w:rPr>
          <w:rFonts w:eastAsiaTheme="minorEastAsia"/>
          <w:b w:val="0"/>
          <w:sz w:val="24"/>
          <w:szCs w:val="24"/>
        </w:rPr>
        <w:tab/>
      </w:r>
      <w:r w:rsidRPr="00C149EA">
        <w:rPr>
          <w:b w:val="0"/>
          <w:sz w:val="24"/>
          <w:szCs w:val="24"/>
        </w:rPr>
        <w:t>Consultants on statistical aspects of the design</w:t>
      </w:r>
      <w:r w:rsidRPr="00BD446D">
        <w:rPr>
          <w:b w:val="0"/>
          <w:webHidden/>
          <w:sz w:val="24"/>
          <w:szCs w:val="24"/>
        </w:rPr>
        <w:tab/>
      </w:r>
      <w:r w:rsidR="009F7838">
        <w:rPr>
          <w:b w:val="0"/>
          <w:webHidden/>
          <w:sz w:val="24"/>
          <w:szCs w:val="24"/>
        </w:rPr>
        <w:t>5</w:t>
      </w:r>
    </w:p>
    <w:p w:rsidR="001C578D" w:rsidRDefault="001C578D">
      <w:pPr>
        <w:pStyle w:val="TOC1"/>
        <w:spacing w:after="60" w:line="240" w:lineRule="auto"/>
        <w:rPr>
          <w:b w:val="0"/>
          <w:sz w:val="24"/>
          <w:szCs w:val="24"/>
        </w:rPr>
      </w:pPr>
    </w:p>
    <w:p w:rsidR="001C578D" w:rsidRDefault="001C578D">
      <w:pPr>
        <w:pStyle w:val="TOC1"/>
        <w:spacing w:after="60" w:line="240" w:lineRule="auto"/>
        <w:rPr>
          <w:b w:val="0"/>
          <w:sz w:val="24"/>
          <w:szCs w:val="24"/>
        </w:rPr>
      </w:pPr>
    </w:p>
    <w:p w:rsidR="001C578D" w:rsidRDefault="00BD446D">
      <w:pPr>
        <w:pStyle w:val="TOC2"/>
        <w:spacing w:after="60" w:line="240" w:lineRule="auto"/>
        <w:rPr>
          <w:b w:val="0"/>
          <w:sz w:val="24"/>
          <w:szCs w:val="24"/>
        </w:rPr>
      </w:pPr>
      <w:bookmarkStart w:id="1" w:name="_Toc243983027"/>
      <w:bookmarkStart w:id="2" w:name="_Toc244056277"/>
      <w:bookmarkStart w:id="3" w:name="_Toc244080196"/>
      <w:r w:rsidRPr="00BD446D">
        <w:rPr>
          <w:b w:val="0"/>
          <w:sz w:val="24"/>
          <w:szCs w:val="24"/>
        </w:rPr>
        <w:t>Appendix A  Statute Authorizing NAEP</w:t>
      </w:r>
      <w:r w:rsidRPr="00BD446D">
        <w:rPr>
          <w:b w:val="0"/>
          <w:webHidden/>
          <w:sz w:val="24"/>
          <w:szCs w:val="24"/>
        </w:rPr>
        <w:tab/>
        <w:t>A-1</w:t>
      </w:r>
    </w:p>
    <w:p w:rsidR="001C578D" w:rsidRDefault="001C578D">
      <w:pPr>
        <w:pStyle w:val="TOC1"/>
        <w:spacing w:after="60" w:line="240" w:lineRule="auto"/>
        <w:rPr>
          <w:b w:val="0"/>
          <w:sz w:val="24"/>
          <w:szCs w:val="24"/>
        </w:rPr>
      </w:pPr>
    </w:p>
    <w:p w:rsidR="001C578D" w:rsidRDefault="00BD446D">
      <w:pPr>
        <w:pStyle w:val="TOC1"/>
        <w:keepNext/>
        <w:spacing w:after="60" w:line="240" w:lineRule="auto"/>
        <w:rPr>
          <w:b w:val="0"/>
          <w:sz w:val="24"/>
          <w:szCs w:val="24"/>
        </w:rPr>
      </w:pPr>
      <w:r w:rsidRPr="00BD446D">
        <w:rPr>
          <w:b w:val="0"/>
          <w:sz w:val="24"/>
          <w:szCs w:val="24"/>
        </w:rPr>
        <w:t xml:space="preserve">Appendix B  </w:t>
      </w:r>
      <w:r w:rsidR="00855EEF">
        <w:rPr>
          <w:b w:val="0"/>
          <w:sz w:val="24"/>
          <w:szCs w:val="24"/>
        </w:rPr>
        <w:t>External Consultants</w:t>
      </w:r>
    </w:p>
    <w:p w:rsidR="001C578D" w:rsidRDefault="00BD446D">
      <w:pPr>
        <w:pStyle w:val="TOC2"/>
        <w:keepNext/>
        <w:spacing w:after="60" w:line="240" w:lineRule="auto"/>
        <w:rPr>
          <w:b w:val="0"/>
          <w:sz w:val="24"/>
          <w:szCs w:val="24"/>
        </w:rPr>
      </w:pPr>
      <w:r w:rsidRPr="00BD446D">
        <w:rPr>
          <w:b w:val="0"/>
          <w:sz w:val="24"/>
          <w:szCs w:val="24"/>
        </w:rPr>
        <w:tab/>
        <w:t xml:space="preserve">NAEP Design and Analysis Committee </w:t>
      </w:r>
      <w:r w:rsidRPr="00BD446D">
        <w:rPr>
          <w:b w:val="0"/>
          <w:sz w:val="24"/>
          <w:szCs w:val="24"/>
        </w:rPr>
        <w:tab/>
        <w:t>B-1</w:t>
      </w:r>
    </w:p>
    <w:p w:rsidR="001C578D" w:rsidRDefault="00BD446D">
      <w:pPr>
        <w:pStyle w:val="TOC2"/>
        <w:keepNext/>
        <w:spacing w:after="60" w:line="240" w:lineRule="auto"/>
        <w:rPr>
          <w:b w:val="0"/>
          <w:sz w:val="24"/>
          <w:szCs w:val="24"/>
        </w:rPr>
      </w:pPr>
      <w:r w:rsidRPr="00BD446D">
        <w:rPr>
          <w:b w:val="0"/>
          <w:sz w:val="24"/>
          <w:szCs w:val="24"/>
        </w:rPr>
        <w:tab/>
        <w:t>NAEP Validity Studies Panel</w:t>
      </w:r>
      <w:r w:rsidRPr="00BD446D">
        <w:rPr>
          <w:b w:val="0"/>
          <w:webHidden/>
          <w:sz w:val="24"/>
          <w:szCs w:val="24"/>
        </w:rPr>
        <w:tab/>
      </w:r>
      <w:r w:rsidRPr="00BD446D">
        <w:rPr>
          <w:rStyle w:val="Hyperlink"/>
          <w:b w:val="0"/>
          <w:color w:val="auto"/>
          <w:sz w:val="24"/>
          <w:szCs w:val="24"/>
          <w:u w:val="none"/>
        </w:rPr>
        <w:t>B-</w:t>
      </w:r>
      <w:r>
        <w:rPr>
          <w:rStyle w:val="Hyperlink"/>
          <w:b w:val="0"/>
          <w:color w:val="auto"/>
          <w:sz w:val="24"/>
          <w:szCs w:val="24"/>
          <w:u w:val="none"/>
        </w:rPr>
        <w:t>2</w:t>
      </w:r>
    </w:p>
    <w:p w:rsidR="001C578D" w:rsidRDefault="00BD446D">
      <w:pPr>
        <w:pStyle w:val="TOC2"/>
        <w:keepNext/>
        <w:spacing w:after="60" w:line="240" w:lineRule="auto"/>
        <w:rPr>
          <w:b w:val="0"/>
          <w:sz w:val="24"/>
          <w:szCs w:val="24"/>
        </w:rPr>
      </w:pPr>
      <w:r w:rsidRPr="00BD446D">
        <w:rPr>
          <w:b w:val="0"/>
          <w:sz w:val="24"/>
          <w:szCs w:val="24"/>
        </w:rPr>
        <w:tab/>
        <w:t>NAEP Quality Assurance Technical Panel</w:t>
      </w:r>
      <w:r w:rsidRPr="00BD446D">
        <w:rPr>
          <w:b w:val="0"/>
          <w:sz w:val="24"/>
          <w:szCs w:val="24"/>
        </w:rPr>
        <w:tab/>
        <w:t>B-3</w:t>
      </w:r>
    </w:p>
    <w:p w:rsidR="001C578D" w:rsidRDefault="00BD446D">
      <w:pPr>
        <w:pStyle w:val="TOC2"/>
        <w:keepNext/>
        <w:spacing w:after="60" w:line="240" w:lineRule="auto"/>
        <w:rPr>
          <w:b w:val="0"/>
          <w:sz w:val="24"/>
          <w:szCs w:val="24"/>
        </w:rPr>
      </w:pPr>
      <w:r w:rsidRPr="00BD446D">
        <w:rPr>
          <w:b w:val="0"/>
          <w:sz w:val="24"/>
          <w:szCs w:val="24"/>
        </w:rPr>
        <w:tab/>
        <w:t>NAEP Socio-Economic Status Panel</w:t>
      </w:r>
      <w:r w:rsidRPr="00BD446D">
        <w:rPr>
          <w:b w:val="0"/>
          <w:sz w:val="24"/>
          <w:szCs w:val="24"/>
        </w:rPr>
        <w:tab/>
        <w:t>B-4</w:t>
      </w:r>
    </w:p>
    <w:p w:rsidR="001C578D" w:rsidRDefault="00BD446D">
      <w:pPr>
        <w:pStyle w:val="TOC2"/>
        <w:keepNext/>
        <w:spacing w:after="60" w:line="240" w:lineRule="auto"/>
        <w:rPr>
          <w:rStyle w:val="Hyperlink"/>
          <w:b w:val="0"/>
          <w:sz w:val="24"/>
          <w:szCs w:val="24"/>
        </w:rPr>
      </w:pPr>
      <w:r w:rsidRPr="00BD446D">
        <w:rPr>
          <w:b w:val="0"/>
          <w:sz w:val="24"/>
          <w:szCs w:val="24"/>
        </w:rPr>
        <w:tab/>
        <w:t>NAEP National Indian Education Study Technical Review Panel</w:t>
      </w:r>
      <w:r w:rsidRPr="00BD446D">
        <w:rPr>
          <w:b w:val="0"/>
          <w:webHidden/>
          <w:sz w:val="24"/>
          <w:szCs w:val="24"/>
        </w:rPr>
        <w:tab/>
        <w:t>B-</w:t>
      </w:r>
      <w:r w:rsidRPr="00BD446D">
        <w:rPr>
          <w:b w:val="0"/>
          <w:sz w:val="24"/>
          <w:szCs w:val="24"/>
        </w:rPr>
        <w:t>5</w:t>
      </w:r>
    </w:p>
    <w:p w:rsidR="001C578D" w:rsidRDefault="00BD446D">
      <w:pPr>
        <w:pStyle w:val="TOC2"/>
        <w:keepNext/>
        <w:spacing w:after="60" w:line="240" w:lineRule="auto"/>
        <w:rPr>
          <w:b w:val="0"/>
          <w:sz w:val="24"/>
          <w:szCs w:val="24"/>
        </w:rPr>
      </w:pPr>
      <w:r w:rsidRPr="00BD446D">
        <w:rPr>
          <w:b w:val="0"/>
          <w:sz w:val="24"/>
          <w:szCs w:val="24"/>
        </w:rPr>
        <w:tab/>
        <w:t>NAEP Civics Standing Committee</w:t>
      </w:r>
      <w:r w:rsidRPr="00BD446D">
        <w:rPr>
          <w:b w:val="0"/>
          <w:webHidden/>
          <w:sz w:val="24"/>
          <w:szCs w:val="24"/>
        </w:rPr>
        <w:tab/>
        <w:t>B-</w:t>
      </w:r>
      <w:r w:rsidRPr="00BD446D">
        <w:rPr>
          <w:b w:val="0"/>
          <w:sz w:val="24"/>
          <w:szCs w:val="24"/>
        </w:rPr>
        <w:t>6</w:t>
      </w:r>
    </w:p>
    <w:p w:rsidR="001C578D" w:rsidRDefault="00BD446D">
      <w:pPr>
        <w:pStyle w:val="TOC2"/>
        <w:keepNext/>
        <w:spacing w:after="60" w:line="240" w:lineRule="auto"/>
        <w:ind w:left="374"/>
        <w:rPr>
          <w:b w:val="0"/>
          <w:sz w:val="24"/>
          <w:szCs w:val="24"/>
        </w:rPr>
      </w:pPr>
      <w:r w:rsidRPr="00BD446D">
        <w:rPr>
          <w:b w:val="0"/>
          <w:sz w:val="24"/>
          <w:szCs w:val="24"/>
        </w:rPr>
        <w:t>NAEP Economics Standing Committee</w:t>
      </w:r>
      <w:r w:rsidRPr="00BD446D">
        <w:rPr>
          <w:b w:val="0"/>
          <w:webHidden/>
          <w:sz w:val="24"/>
          <w:szCs w:val="24"/>
        </w:rPr>
        <w:t xml:space="preserve"> </w:t>
      </w:r>
      <w:r w:rsidRPr="00BD446D">
        <w:rPr>
          <w:b w:val="0"/>
          <w:webHidden/>
          <w:sz w:val="24"/>
          <w:szCs w:val="24"/>
        </w:rPr>
        <w:tab/>
        <w:t>B-</w:t>
      </w:r>
      <w:r w:rsidRPr="00BD446D">
        <w:rPr>
          <w:b w:val="0"/>
          <w:sz w:val="24"/>
          <w:szCs w:val="24"/>
        </w:rPr>
        <w:t>7</w:t>
      </w:r>
    </w:p>
    <w:p w:rsidR="001C578D" w:rsidRDefault="00BD446D">
      <w:pPr>
        <w:pStyle w:val="TOC2"/>
        <w:keepNext/>
        <w:spacing w:after="60" w:line="240" w:lineRule="auto"/>
        <w:ind w:left="374"/>
        <w:rPr>
          <w:b w:val="0"/>
          <w:sz w:val="24"/>
          <w:szCs w:val="24"/>
        </w:rPr>
      </w:pPr>
      <w:r w:rsidRPr="00BD446D">
        <w:rPr>
          <w:b w:val="0"/>
          <w:sz w:val="24"/>
          <w:szCs w:val="24"/>
        </w:rPr>
        <w:t>NAEP Geography Standing Committee</w:t>
      </w:r>
      <w:r w:rsidRPr="00BD446D">
        <w:rPr>
          <w:b w:val="0"/>
          <w:webHidden/>
          <w:sz w:val="24"/>
          <w:szCs w:val="24"/>
        </w:rPr>
        <w:t xml:space="preserve"> </w:t>
      </w:r>
      <w:r w:rsidRPr="00BD446D">
        <w:rPr>
          <w:b w:val="0"/>
          <w:webHidden/>
          <w:sz w:val="24"/>
          <w:szCs w:val="24"/>
        </w:rPr>
        <w:tab/>
        <w:t>B-</w:t>
      </w:r>
      <w:r w:rsidRPr="00BD446D">
        <w:rPr>
          <w:b w:val="0"/>
          <w:sz w:val="24"/>
          <w:szCs w:val="24"/>
        </w:rPr>
        <w:t>8</w:t>
      </w:r>
    </w:p>
    <w:p w:rsidR="001C578D" w:rsidRDefault="00BD446D">
      <w:pPr>
        <w:pStyle w:val="TOC2"/>
        <w:keepNext/>
        <w:spacing w:after="60" w:line="240" w:lineRule="auto"/>
        <w:ind w:left="374"/>
        <w:rPr>
          <w:b w:val="0"/>
          <w:sz w:val="24"/>
          <w:szCs w:val="24"/>
        </w:rPr>
      </w:pPr>
      <w:r w:rsidRPr="00BD446D">
        <w:rPr>
          <w:b w:val="0"/>
          <w:sz w:val="24"/>
          <w:szCs w:val="24"/>
        </w:rPr>
        <w:t>NAEP Mathematics Standing Committee</w:t>
      </w:r>
      <w:r w:rsidRPr="00BD446D">
        <w:rPr>
          <w:b w:val="0"/>
          <w:webHidden/>
          <w:sz w:val="24"/>
          <w:szCs w:val="24"/>
        </w:rPr>
        <w:t xml:space="preserve"> </w:t>
      </w:r>
      <w:r w:rsidRPr="00BD446D">
        <w:rPr>
          <w:b w:val="0"/>
          <w:webHidden/>
          <w:sz w:val="24"/>
          <w:szCs w:val="24"/>
        </w:rPr>
        <w:tab/>
        <w:t>B-</w:t>
      </w:r>
      <w:r w:rsidRPr="00BD446D">
        <w:rPr>
          <w:b w:val="0"/>
          <w:sz w:val="24"/>
          <w:szCs w:val="24"/>
        </w:rPr>
        <w:t>9</w:t>
      </w:r>
    </w:p>
    <w:p w:rsidR="001C578D" w:rsidRDefault="00BD446D">
      <w:pPr>
        <w:pStyle w:val="TOC2"/>
        <w:keepNext/>
        <w:spacing w:after="60" w:line="240" w:lineRule="auto"/>
        <w:ind w:left="374"/>
        <w:rPr>
          <w:b w:val="0"/>
          <w:sz w:val="24"/>
          <w:szCs w:val="24"/>
        </w:rPr>
      </w:pPr>
      <w:r w:rsidRPr="00BD446D">
        <w:rPr>
          <w:b w:val="0"/>
          <w:sz w:val="24"/>
          <w:szCs w:val="24"/>
        </w:rPr>
        <w:t>NAEP Reading Standing Committee</w:t>
      </w:r>
      <w:r w:rsidRPr="00BD446D">
        <w:rPr>
          <w:b w:val="0"/>
          <w:webHidden/>
          <w:sz w:val="24"/>
          <w:szCs w:val="24"/>
        </w:rPr>
        <w:t xml:space="preserve"> </w:t>
      </w:r>
      <w:r w:rsidRPr="00BD446D">
        <w:rPr>
          <w:b w:val="0"/>
          <w:webHidden/>
          <w:sz w:val="24"/>
          <w:szCs w:val="24"/>
        </w:rPr>
        <w:tab/>
        <w:t>B-</w:t>
      </w:r>
      <w:r w:rsidRPr="00BD446D">
        <w:rPr>
          <w:b w:val="0"/>
          <w:sz w:val="24"/>
          <w:szCs w:val="24"/>
        </w:rPr>
        <w:t>10</w:t>
      </w:r>
    </w:p>
    <w:p w:rsidR="001C578D" w:rsidRDefault="00BD446D">
      <w:pPr>
        <w:pStyle w:val="TOC2"/>
        <w:keepNext/>
        <w:spacing w:after="60" w:line="240" w:lineRule="auto"/>
        <w:ind w:left="374"/>
        <w:rPr>
          <w:b w:val="0"/>
          <w:sz w:val="24"/>
          <w:szCs w:val="24"/>
        </w:rPr>
      </w:pPr>
      <w:r w:rsidRPr="00BD446D">
        <w:rPr>
          <w:b w:val="0"/>
          <w:sz w:val="24"/>
          <w:szCs w:val="24"/>
        </w:rPr>
        <w:t>NAEP Science Standing Committee</w:t>
      </w:r>
      <w:r w:rsidRPr="00BD446D">
        <w:rPr>
          <w:b w:val="0"/>
          <w:webHidden/>
          <w:sz w:val="24"/>
          <w:szCs w:val="24"/>
        </w:rPr>
        <w:t xml:space="preserve"> </w:t>
      </w:r>
      <w:r w:rsidRPr="00BD446D">
        <w:rPr>
          <w:b w:val="0"/>
          <w:webHidden/>
          <w:sz w:val="24"/>
          <w:szCs w:val="24"/>
        </w:rPr>
        <w:tab/>
        <w:t>B-</w:t>
      </w:r>
      <w:r w:rsidRPr="00BD446D">
        <w:rPr>
          <w:b w:val="0"/>
          <w:sz w:val="24"/>
          <w:szCs w:val="24"/>
        </w:rPr>
        <w:t>11</w:t>
      </w:r>
    </w:p>
    <w:p w:rsidR="001C578D" w:rsidRDefault="00BD446D">
      <w:pPr>
        <w:pStyle w:val="TOC2"/>
        <w:keepNext/>
        <w:spacing w:after="60" w:line="240" w:lineRule="auto"/>
        <w:ind w:left="374"/>
        <w:rPr>
          <w:b w:val="0"/>
          <w:sz w:val="24"/>
          <w:szCs w:val="24"/>
        </w:rPr>
      </w:pPr>
      <w:r w:rsidRPr="00BD446D">
        <w:rPr>
          <w:b w:val="0"/>
          <w:sz w:val="24"/>
          <w:szCs w:val="24"/>
        </w:rPr>
        <w:t>NAEP Technology and Engineering Literacy Standing Committee</w:t>
      </w:r>
      <w:r w:rsidRPr="00BD446D">
        <w:rPr>
          <w:b w:val="0"/>
          <w:webHidden/>
          <w:sz w:val="24"/>
          <w:szCs w:val="24"/>
        </w:rPr>
        <w:t xml:space="preserve"> </w:t>
      </w:r>
      <w:r w:rsidRPr="00BD446D">
        <w:rPr>
          <w:b w:val="0"/>
          <w:webHidden/>
          <w:sz w:val="24"/>
          <w:szCs w:val="24"/>
        </w:rPr>
        <w:tab/>
        <w:t>B-</w:t>
      </w:r>
      <w:r w:rsidRPr="00BD446D">
        <w:rPr>
          <w:b w:val="0"/>
          <w:sz w:val="24"/>
          <w:szCs w:val="24"/>
        </w:rPr>
        <w:t>12</w:t>
      </w:r>
    </w:p>
    <w:p w:rsidR="001C578D" w:rsidRDefault="00BD446D">
      <w:pPr>
        <w:pStyle w:val="TOC2"/>
        <w:keepNext/>
        <w:spacing w:after="60" w:line="240" w:lineRule="auto"/>
        <w:ind w:left="374"/>
        <w:rPr>
          <w:b w:val="0"/>
          <w:sz w:val="24"/>
          <w:szCs w:val="24"/>
        </w:rPr>
      </w:pPr>
      <w:r w:rsidRPr="00BD446D">
        <w:rPr>
          <w:b w:val="0"/>
          <w:sz w:val="24"/>
          <w:szCs w:val="24"/>
        </w:rPr>
        <w:t>NAEP U.S. History Standing Committee</w:t>
      </w:r>
      <w:r w:rsidRPr="00BD446D">
        <w:rPr>
          <w:b w:val="0"/>
          <w:webHidden/>
          <w:sz w:val="24"/>
          <w:szCs w:val="24"/>
        </w:rPr>
        <w:t xml:space="preserve"> </w:t>
      </w:r>
      <w:r w:rsidRPr="00BD446D">
        <w:rPr>
          <w:b w:val="0"/>
          <w:webHidden/>
          <w:sz w:val="24"/>
          <w:szCs w:val="24"/>
        </w:rPr>
        <w:tab/>
        <w:t>B-</w:t>
      </w:r>
      <w:r w:rsidRPr="00BD446D">
        <w:rPr>
          <w:b w:val="0"/>
          <w:sz w:val="24"/>
          <w:szCs w:val="24"/>
        </w:rPr>
        <w:t xml:space="preserve">13 </w:t>
      </w:r>
    </w:p>
    <w:p w:rsidR="001C578D" w:rsidRDefault="00BD446D">
      <w:pPr>
        <w:pStyle w:val="TOC2"/>
        <w:spacing w:after="60" w:line="240" w:lineRule="auto"/>
        <w:ind w:left="374"/>
        <w:rPr>
          <w:b w:val="0"/>
          <w:sz w:val="24"/>
          <w:szCs w:val="24"/>
        </w:rPr>
      </w:pPr>
      <w:r w:rsidRPr="00BD446D">
        <w:rPr>
          <w:b w:val="0"/>
          <w:sz w:val="24"/>
          <w:szCs w:val="24"/>
        </w:rPr>
        <w:t>NAEP Writing Standing Committee</w:t>
      </w:r>
      <w:r w:rsidRPr="00BD446D">
        <w:rPr>
          <w:b w:val="0"/>
          <w:webHidden/>
          <w:sz w:val="24"/>
          <w:szCs w:val="24"/>
        </w:rPr>
        <w:tab/>
        <w:t>B-</w:t>
      </w:r>
      <w:r w:rsidRPr="00BD446D">
        <w:rPr>
          <w:b w:val="0"/>
          <w:sz w:val="24"/>
          <w:szCs w:val="24"/>
        </w:rPr>
        <w:t>14</w:t>
      </w:r>
    </w:p>
    <w:p w:rsidR="001C578D" w:rsidRDefault="001C578D">
      <w:pPr>
        <w:spacing w:after="60" w:line="240" w:lineRule="auto"/>
        <w:rPr>
          <w:szCs w:val="24"/>
        </w:rPr>
      </w:pPr>
    </w:p>
    <w:p w:rsidR="008D7905" w:rsidRDefault="00BD446D" w:rsidP="000C2B81">
      <w:pPr>
        <w:pStyle w:val="TOC1"/>
        <w:spacing w:after="60"/>
        <w:rPr>
          <w:b w:val="0"/>
          <w:webHidden/>
          <w:sz w:val="24"/>
          <w:szCs w:val="24"/>
        </w:rPr>
      </w:pPr>
      <w:r w:rsidRPr="00BD446D">
        <w:rPr>
          <w:b w:val="0"/>
          <w:sz w:val="24"/>
          <w:szCs w:val="24"/>
        </w:rPr>
        <w:t>Appendix C  Example of Sample Design Document (2013 Assessment)</w:t>
      </w:r>
      <w:r w:rsidRPr="00BD446D">
        <w:rPr>
          <w:b w:val="0"/>
          <w:webHidden/>
          <w:sz w:val="24"/>
          <w:szCs w:val="24"/>
        </w:rPr>
        <w:tab/>
        <w:t>C-1</w:t>
      </w:r>
    </w:p>
    <w:p w:rsidR="008D7905" w:rsidRPr="000C2B81" w:rsidRDefault="00B309DB" w:rsidP="000C2B81">
      <w:pPr>
        <w:pStyle w:val="TOC1"/>
        <w:spacing w:after="60"/>
        <w:rPr>
          <w:b w:val="0"/>
          <w:webHidden/>
          <w:sz w:val="24"/>
          <w:szCs w:val="24"/>
        </w:rPr>
      </w:pPr>
      <w:r w:rsidRPr="000C2B81">
        <w:rPr>
          <w:b w:val="0"/>
          <w:sz w:val="24"/>
          <w:szCs w:val="24"/>
        </w:rPr>
        <w:t>Appendix D  Sample Parental Notification</w:t>
      </w:r>
      <w:r w:rsidR="0057373B">
        <w:rPr>
          <w:b w:val="0"/>
          <w:sz w:val="24"/>
          <w:szCs w:val="24"/>
        </w:rPr>
        <w:t xml:space="preserve"> Letter</w:t>
      </w:r>
      <w:r w:rsidRPr="000C2B81">
        <w:rPr>
          <w:b w:val="0"/>
          <w:webHidden/>
          <w:sz w:val="24"/>
          <w:szCs w:val="24"/>
        </w:rPr>
        <w:tab/>
        <w:t>D-1</w:t>
      </w:r>
    </w:p>
    <w:p w:rsidR="008D7905" w:rsidRDefault="00B309DB" w:rsidP="000C2B81">
      <w:pPr>
        <w:pStyle w:val="TOC1"/>
        <w:spacing w:after="60"/>
      </w:pPr>
      <w:r w:rsidRPr="000C2B81">
        <w:rPr>
          <w:b w:val="0"/>
          <w:sz w:val="24"/>
          <w:szCs w:val="24"/>
        </w:rPr>
        <w:t>Appendix E   Sample School Coordinator Responsibilities Brochure</w:t>
      </w:r>
      <w:r w:rsidRPr="000C2B81">
        <w:rPr>
          <w:b w:val="0"/>
          <w:webHidden/>
          <w:sz w:val="24"/>
          <w:szCs w:val="24"/>
        </w:rPr>
        <w:tab/>
        <w:t>E-1</w:t>
      </w:r>
    </w:p>
    <w:p w:rsidR="001C578D" w:rsidRDefault="001C578D" w:rsidP="00C3087C">
      <w:pPr>
        <w:spacing w:after="60" w:line="240" w:lineRule="auto"/>
        <w:rPr>
          <w:szCs w:val="24"/>
        </w:rPr>
        <w:sectPr w:rsidR="001C578D" w:rsidSect="00C8701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fmt="lowerRoman" w:start="1"/>
          <w:cols w:space="720"/>
          <w:titlePg/>
          <w:docGrid w:linePitch="272"/>
        </w:sectPr>
      </w:pPr>
    </w:p>
    <w:p w:rsidR="006347CB" w:rsidRPr="007E0A4F" w:rsidRDefault="006347CB" w:rsidP="008B60D2">
      <w:pPr>
        <w:pStyle w:val="Heading1"/>
        <w:spacing w:before="0" w:after="0"/>
        <w:ind w:left="720" w:hanging="720"/>
        <w:rPr>
          <w:rFonts w:ascii="Times New Roman" w:hAnsi="Times New Roman"/>
        </w:rPr>
      </w:pPr>
      <w:bookmarkStart w:id="4" w:name="_Toc337737166"/>
      <w:r w:rsidRPr="007E0A4F">
        <w:rPr>
          <w:rFonts w:ascii="Times New Roman" w:hAnsi="Times New Roman"/>
        </w:rPr>
        <w:lastRenderedPageBreak/>
        <w:t>B.</w:t>
      </w:r>
      <w:r w:rsidRPr="007E0A4F">
        <w:rPr>
          <w:rFonts w:ascii="Times New Roman" w:hAnsi="Times New Roman"/>
        </w:rPr>
        <w:tab/>
        <w:t>COLLECTIONS</w:t>
      </w:r>
      <w:r>
        <w:rPr>
          <w:rFonts w:ascii="Times New Roman" w:hAnsi="Times New Roman"/>
        </w:rPr>
        <w:t xml:space="preserve"> </w:t>
      </w:r>
      <w:r w:rsidRPr="007E0A4F">
        <w:rPr>
          <w:rFonts w:ascii="Times New Roman" w:hAnsi="Times New Roman"/>
        </w:rPr>
        <w:t>OF INFORMATION EMPLOYING STATISTICAL</w:t>
      </w:r>
      <w:r>
        <w:rPr>
          <w:rFonts w:ascii="Times New Roman" w:hAnsi="Times New Roman"/>
        </w:rPr>
        <w:t xml:space="preserve"> </w:t>
      </w:r>
      <w:r w:rsidRPr="007E0A4F">
        <w:rPr>
          <w:rFonts w:ascii="Times New Roman" w:hAnsi="Times New Roman"/>
        </w:rPr>
        <w:t>METHODS</w:t>
      </w:r>
      <w:bookmarkEnd w:id="1"/>
      <w:bookmarkEnd w:id="2"/>
      <w:bookmarkEnd w:id="3"/>
      <w:bookmarkEnd w:id="4"/>
    </w:p>
    <w:p w:rsidR="001C578D" w:rsidRDefault="00BD446D">
      <w:pPr>
        <w:pStyle w:val="Heading2"/>
      </w:pPr>
      <w:bookmarkStart w:id="5" w:name="_Toc337737167"/>
      <w:bookmarkStart w:id="6" w:name="_Toc337737168"/>
      <w:bookmarkStart w:id="7" w:name="_Toc151204585"/>
      <w:bookmarkStart w:id="8" w:name="_Toc243983028"/>
      <w:bookmarkStart w:id="9" w:name="_Toc244056278"/>
      <w:bookmarkStart w:id="10" w:name="_Toc244080197"/>
      <w:bookmarkEnd w:id="5"/>
      <w:r w:rsidRPr="00BD446D">
        <w:t>Potential respondent universe</w:t>
      </w:r>
      <w:bookmarkEnd w:id="6"/>
      <w:bookmarkEnd w:id="7"/>
      <w:bookmarkEnd w:id="8"/>
      <w:bookmarkEnd w:id="9"/>
      <w:bookmarkEnd w:id="10"/>
    </w:p>
    <w:p w:rsidR="001C578D" w:rsidRDefault="006347CB">
      <w:r>
        <w:t xml:space="preserve">The possible universe of student respondents </w:t>
      </w:r>
      <w:r w:rsidR="003B26AB">
        <w:t xml:space="preserve">for main NAEP </w:t>
      </w:r>
      <w:r>
        <w:t xml:space="preserve">is estimated to be 12 million </w:t>
      </w:r>
      <w:r w:rsidR="007577B9">
        <w:t>at grades 4, 8, 12,</w:t>
      </w:r>
      <w:r>
        <w:t xml:space="preserve"> attending approximately 154,000 public and private elementary and secondary schools. NAEP test booklets are administered in selected public and private schools to a sample of </w:t>
      </w:r>
      <w:r w:rsidR="007577B9">
        <w:t>fourth-, eighth-, and twelfth-grade</w:t>
      </w:r>
      <w:r w:rsidR="002656EE">
        <w:t xml:space="preserve"> students</w:t>
      </w:r>
      <w:r>
        <w:t>.</w:t>
      </w:r>
    </w:p>
    <w:p w:rsidR="001C578D" w:rsidRDefault="007B61C7">
      <w:pPr>
        <w:spacing w:after="120"/>
      </w:pPr>
      <w:r>
        <w:t>Respondents</w:t>
      </w:r>
      <w:r w:rsidDel="007B61C7">
        <w:t xml:space="preserve"> </w:t>
      </w:r>
      <w:r w:rsidR="006347CB">
        <w:t>are selected according to student sampling procedures with these possible exclusions:</w:t>
      </w:r>
    </w:p>
    <w:p w:rsidR="001C578D" w:rsidRDefault="00BD446D">
      <w:pPr>
        <w:pStyle w:val="BodyText2"/>
        <w:numPr>
          <w:ilvl w:val="0"/>
          <w:numId w:val="9"/>
        </w:numPr>
        <w:spacing w:after="120"/>
        <w:ind w:left="720"/>
        <w:rPr>
          <w:szCs w:val="24"/>
        </w:rPr>
      </w:pPr>
      <w:r w:rsidRPr="00BD446D">
        <w:rPr>
          <w:szCs w:val="24"/>
        </w:rPr>
        <w:t xml:space="preserve">The student is identified as an English language learner (ELL), </w:t>
      </w:r>
      <w:r w:rsidR="00A955EA">
        <w:rPr>
          <w:szCs w:val="24"/>
        </w:rPr>
        <w:t>but</w:t>
      </w:r>
      <w:r w:rsidR="00A955EA" w:rsidRPr="00BD446D">
        <w:rPr>
          <w:szCs w:val="24"/>
        </w:rPr>
        <w:t xml:space="preserve"> </w:t>
      </w:r>
      <w:r w:rsidRPr="00BD446D">
        <w:rPr>
          <w:szCs w:val="24"/>
        </w:rPr>
        <w:t>is prevented from participation in NAEP, even with accommodations allowed in NAEP.</w:t>
      </w:r>
    </w:p>
    <w:p w:rsidR="001C578D" w:rsidRDefault="00BD446D">
      <w:pPr>
        <w:pStyle w:val="BodyText2"/>
        <w:numPr>
          <w:ilvl w:val="0"/>
          <w:numId w:val="9"/>
        </w:numPr>
        <w:ind w:left="720"/>
        <w:rPr>
          <w:szCs w:val="24"/>
        </w:rPr>
      </w:pPr>
      <w:r w:rsidRPr="00BD446D">
        <w:rPr>
          <w:szCs w:val="24"/>
        </w:rPr>
        <w:t xml:space="preserve">The student is identified as having a disability which prevents participation in NAEP, even with accommodations as allowed in NAEP, and has an Individualized Education Plan (IEP) or equivalent classification, such as </w:t>
      </w:r>
      <w:r w:rsidR="003B26AB">
        <w:rPr>
          <w:szCs w:val="24"/>
        </w:rPr>
        <w:t>a Section</w:t>
      </w:r>
      <w:r w:rsidRPr="00BD446D">
        <w:rPr>
          <w:szCs w:val="24"/>
        </w:rPr>
        <w:t xml:space="preserve"> 504 plan. </w:t>
      </w:r>
    </w:p>
    <w:p w:rsidR="001C578D" w:rsidRDefault="006347CB">
      <w:r>
        <w:t>NAEP relies upon the professional judgment of school administrators as to how students or schools should be classified.</w:t>
      </w:r>
    </w:p>
    <w:p w:rsidR="001C578D" w:rsidRDefault="00BD446D">
      <w:pPr>
        <w:pStyle w:val="Heading2"/>
      </w:pPr>
      <w:bookmarkStart w:id="11" w:name="_Toc337737169"/>
      <w:bookmarkStart w:id="12" w:name="_Toc337737170"/>
      <w:bookmarkStart w:id="13" w:name="_Toc151204586"/>
      <w:bookmarkStart w:id="14" w:name="_Toc243983029"/>
      <w:bookmarkStart w:id="15" w:name="_Toc244056279"/>
      <w:bookmarkStart w:id="16" w:name="_Toc244080198"/>
      <w:bookmarkEnd w:id="11"/>
      <w:r w:rsidRPr="00BD446D">
        <w:t>Procedures for collection of information</w:t>
      </w:r>
      <w:bookmarkEnd w:id="12"/>
      <w:bookmarkEnd w:id="13"/>
      <w:bookmarkEnd w:id="14"/>
      <w:bookmarkEnd w:id="15"/>
      <w:bookmarkEnd w:id="16"/>
    </w:p>
    <w:p w:rsidR="001C578D" w:rsidRDefault="00BD446D">
      <w:pPr>
        <w:spacing w:after="120"/>
        <w:ind w:left="720" w:hanging="720"/>
        <w:rPr>
          <w:b/>
          <w:bCs/>
          <w:color w:val="3366FF"/>
        </w:rPr>
      </w:pPr>
      <w:r w:rsidRPr="00BD446D">
        <w:rPr>
          <w:u w:val="single"/>
        </w:rPr>
        <w:t>Sampling</w:t>
      </w:r>
      <w:r w:rsidRPr="00BD446D">
        <w:t xml:space="preserve">  </w:t>
      </w:r>
    </w:p>
    <w:p w:rsidR="001C578D" w:rsidRDefault="006347CB" w:rsidP="00D912D8">
      <w:r>
        <w:t xml:space="preserve">The sampling information in this system clearance package is an overview of the sampling techniques and criteria used by the current sampling contractor for the sampling in NAEP assessments. Each specific assessment will involve different selected samples based on the </w:t>
      </w:r>
      <w:r w:rsidR="003B26AB">
        <w:t xml:space="preserve">number of students </w:t>
      </w:r>
      <w:r>
        <w:t xml:space="preserve">and subjects in that particular assessment. Planned sample sizes are based on the need to obtain representative samples on which to report achievement information. </w:t>
      </w:r>
    </w:p>
    <w:p w:rsidR="00860B6A" w:rsidRDefault="00860B6A" w:rsidP="009761BC">
      <w:r>
        <w:t>T</w:t>
      </w:r>
      <w:r w:rsidRPr="00EF6AC3">
        <w:t>o</w:t>
      </w:r>
      <w:r>
        <w:t xml:space="preserve"> assess</w:t>
      </w:r>
      <w:r w:rsidRPr="00EF6AC3">
        <w:t xml:space="preserve"> a representative sample of students, the process begins by </w:t>
      </w:r>
      <w:r>
        <w:t>identifying</w:t>
      </w:r>
      <w:r w:rsidRPr="00EF6AC3">
        <w:t xml:space="preserve"> </w:t>
      </w:r>
      <w:r>
        <w:t xml:space="preserve">a sample of </w:t>
      </w:r>
      <w:r w:rsidRPr="00EF6AC3">
        <w:t>schools</w:t>
      </w:r>
      <w:r>
        <w:t xml:space="preserve"> with student populations that</w:t>
      </w:r>
      <w:r w:rsidRPr="00EF6AC3">
        <w:t xml:space="preserve"> reflect the </w:t>
      </w:r>
      <w:r>
        <w:t xml:space="preserve">varying demographics </w:t>
      </w:r>
      <w:r w:rsidRPr="00EF6AC3">
        <w:t xml:space="preserve">of </w:t>
      </w:r>
      <w:r>
        <w:t>a specific jurisdiction, be it the</w:t>
      </w:r>
      <w:r w:rsidRPr="00EF6AC3">
        <w:t xml:space="preserve"> nation</w:t>
      </w:r>
      <w:r>
        <w:t xml:space="preserve">, a state, or a district. Within each selected school, students are chosen at random to participate and each has the same chance of being chosen, regardless of socio-economic status, disability, status as an English </w:t>
      </w:r>
      <w:r>
        <w:lastRenderedPageBreak/>
        <w:t>language learner, or any other factors. Selecting schools that are representative helps ensure that the student sample is representative.</w:t>
      </w:r>
    </w:p>
    <w:p w:rsidR="00860B6A" w:rsidRPr="00F81931" w:rsidRDefault="00860B6A" w:rsidP="00860B6A">
      <w:pPr>
        <w:spacing w:after="0"/>
      </w:pPr>
      <w:r w:rsidRPr="00F81931">
        <w:t xml:space="preserve">The following steps </w:t>
      </w:r>
      <w:r>
        <w:t>are used to select a sample of public schools and students in a year when NAEP reports state-level results.</w:t>
      </w:r>
    </w:p>
    <w:p w:rsidR="00860B6A" w:rsidRPr="00403410" w:rsidRDefault="00860B6A" w:rsidP="00403410">
      <w:pPr>
        <w:numPr>
          <w:ilvl w:val="0"/>
          <w:numId w:val="11"/>
        </w:numPr>
        <w:spacing w:after="200"/>
        <w:rPr>
          <w:bCs/>
        </w:rPr>
      </w:pPr>
      <w:r w:rsidRPr="00D912D8">
        <w:rPr>
          <w:b/>
          <w:bCs/>
        </w:rPr>
        <w:t>Generate a sampling frame.</w:t>
      </w:r>
      <w:r w:rsidRPr="00403410">
        <w:rPr>
          <w:b/>
          <w:bCs/>
        </w:rPr>
        <w:br/>
      </w:r>
      <w:r w:rsidRPr="00D912D8">
        <w:rPr>
          <w:bCs/>
        </w:rPr>
        <w:t xml:space="preserve"> </w:t>
      </w:r>
      <w:r w:rsidR="00D912D8" w:rsidRPr="00D912D8">
        <w:rPr>
          <w:bCs/>
        </w:rPr>
        <w:t>For sampling frames, NAEP uses the most current versions of the NCES Common Core of Data (</w:t>
      </w:r>
      <w:r w:rsidR="00D912D8" w:rsidRPr="000C2B81">
        <w:rPr>
          <w:bCs/>
        </w:rPr>
        <w:t>CCD; public schools) and Private School Universe Survey (PSS; private schools) files. In addition, to address the fact that the CCD file necessarily does not include the most recent changes to schools by the time of the assessment, NAEP also conducts a survey of NAEP State Coordinators to check for additional schools in a sa</w:t>
      </w:r>
      <w:r w:rsidR="00D912D8" w:rsidRPr="009761BC">
        <w:rPr>
          <w:bCs/>
        </w:rPr>
        <w:t>mple of public school districts.</w:t>
      </w:r>
      <w:r w:rsidRPr="00403410">
        <w:rPr>
          <w:bCs/>
        </w:rPr>
        <w:t xml:space="preserve">  </w:t>
      </w:r>
    </w:p>
    <w:p w:rsidR="00860B6A" w:rsidRPr="00E556FF" w:rsidRDefault="00860B6A" w:rsidP="00040EF1">
      <w:pPr>
        <w:numPr>
          <w:ilvl w:val="0"/>
          <w:numId w:val="11"/>
        </w:numPr>
        <w:spacing w:after="20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t>racial/ethnic composition within those locations</w:t>
      </w:r>
      <w:r w:rsidRPr="008F2875">
        <w:t xml:space="preserve">. </w:t>
      </w:r>
      <w:r>
        <w:t xml:space="preserve">This step takes into account the distribution of schools and students across rural, suburban, and urban areas in each state, and the diversity of the student population at each school. This ensures that NAEP assesses students in schools that represent </w:t>
      </w:r>
      <w:r w:rsidRPr="00E556FF">
        <w:t xml:space="preserve">different </w:t>
      </w:r>
      <w:r>
        <w:t xml:space="preserve">demographic </w:t>
      </w:r>
      <w:r w:rsidRPr="00E556FF">
        <w:t>groups</w:t>
      </w:r>
      <w:r>
        <w:t>.</w:t>
      </w:r>
    </w:p>
    <w:p w:rsidR="00860B6A" w:rsidRPr="00040EF1" w:rsidRDefault="00860B6A" w:rsidP="00040EF1">
      <w:pPr>
        <w:numPr>
          <w:ilvl w:val="0"/>
          <w:numId w:val="11"/>
        </w:numPr>
        <w:spacing w:after="20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 level results on state achievement tests</w:t>
      </w:r>
      <w:r>
        <w:t xml:space="preserve">. In a few cases where recent achievement data are not available, schools are sorted by the median household income for the area where the school is located. </w:t>
      </w:r>
    </w:p>
    <w:p w:rsidR="00860B6A" w:rsidRPr="00F241E3" w:rsidRDefault="00860B6A" w:rsidP="00040EF1">
      <w:pPr>
        <w:numPr>
          <w:ilvl w:val="0"/>
          <w:numId w:val="11"/>
        </w:numPr>
        <w:spacing w:after="200"/>
        <w:rPr>
          <w:b/>
        </w:rPr>
      </w:pPr>
      <w:r w:rsidRPr="00F241E3">
        <w:rPr>
          <w:b/>
        </w:rPr>
        <w:t>Assign a probability of selection to all schools</w:t>
      </w:r>
      <w:r>
        <w:rPr>
          <w:b/>
        </w:rPr>
        <w:t>.</w:t>
      </w:r>
      <w:r>
        <w:t xml:space="preserve"> </w:t>
      </w:r>
      <w:r>
        <w:br/>
      </w:r>
      <w:r w:rsidRPr="0045719F">
        <w:t xml:space="preserve">All schools on the list are assigned a probability of being selected for participation. A school’s probability is based on the size of its enrollment in relation to the size of the </w:t>
      </w:r>
      <w:r>
        <w:t>state</w:t>
      </w:r>
      <w:r w:rsidRPr="0045719F">
        <w:t xml:space="preserve">’s student population at the selected grade-level. Larger schools have a greater probability of selection as they represent a larger proportion of the </w:t>
      </w:r>
      <w:r>
        <w:t>state’</w:t>
      </w:r>
      <w:r w:rsidRPr="0045719F">
        <w:t>s student population</w:t>
      </w:r>
      <w:r>
        <w:t>. This step ensures that students from schools of different sizes are appropriately represented in the sample.</w:t>
      </w:r>
    </w:p>
    <w:p w:rsidR="00860B6A" w:rsidRPr="004879AB" w:rsidRDefault="00860B6A" w:rsidP="00040EF1">
      <w:pPr>
        <w:numPr>
          <w:ilvl w:val="0"/>
          <w:numId w:val="11"/>
        </w:numPr>
        <w:spacing w:after="200"/>
      </w:pPr>
      <w:r w:rsidRPr="00F241E3">
        <w:rPr>
          <w:b/>
        </w:rPr>
        <w:t>Select the school sample</w:t>
      </w:r>
      <w:r>
        <w:rPr>
          <w:b/>
        </w:rPr>
        <w:t>.</w:t>
      </w:r>
      <w:r w:rsidRPr="00F241E3">
        <w:rPr>
          <w:b/>
        </w:rPr>
        <w:br/>
      </w:r>
      <w:r>
        <w:t xml:space="preserve">After schools are assigned a probability of selection and grouped on an ordered list based on the characteristics that are referred to in previous steps, the sample is selected using systematic </w:t>
      </w:r>
      <w:r>
        <w:lastRenderedPageBreak/>
        <w:t>sampling. For example, every third school would be selected for the sample, but starting with the second school on the ordered list.</w:t>
      </w:r>
    </w:p>
    <w:p w:rsidR="00860B6A" w:rsidRDefault="00860B6A" w:rsidP="00040EF1">
      <w:pPr>
        <w:numPr>
          <w:ilvl w:val="0"/>
          <w:numId w:val="11"/>
        </w:numPr>
        <w:spacing w:after="200"/>
      </w:pPr>
      <w:r>
        <w:rPr>
          <w:b/>
        </w:rPr>
        <w:t xml:space="preserve">Confirm school eligibility. </w:t>
      </w:r>
      <w:r>
        <w:b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assessed by NAEP is no longer in the school. </w:t>
      </w:r>
    </w:p>
    <w:p w:rsidR="00860B6A" w:rsidRDefault="00860B6A" w:rsidP="00040EF1">
      <w:pPr>
        <w:numPr>
          <w:ilvl w:val="0"/>
          <w:numId w:val="11"/>
        </w:numPr>
        <w:spacing w:after="200"/>
      </w:pPr>
      <w:r>
        <w:rPr>
          <w:b/>
        </w:rPr>
        <w:t xml:space="preserve">Randomly select students to participate in NAEP. </w:t>
      </w:r>
      <w:r>
        <w:rPr>
          <w:b/>
        </w:rPr>
        <w:br/>
      </w:r>
      <w:r>
        <w:t>School principals are notified that their schools have been chosen to participate in NAEP. Within each sampled school, students are randomly selected with equal probability from a complete list of students at the grade to be assessed.</w:t>
      </w:r>
    </w:p>
    <w:p w:rsidR="00860B6A" w:rsidRDefault="009F7838" w:rsidP="00860B6A">
      <w:r>
        <w:t xml:space="preserve">NAEP </w:t>
      </w:r>
      <w:r w:rsidR="00860B6A">
        <w:t xml:space="preserve">yearly sample design plans are not available until the </w:t>
      </w:r>
      <w:r w:rsidR="007910F5">
        <w:t>spring</w:t>
      </w:r>
      <w:r w:rsidR="00A250E7">
        <w:t xml:space="preserve"> </w:t>
      </w:r>
      <w:r w:rsidR="00860B6A">
        <w:t>of the year preceding the assessment</w:t>
      </w:r>
      <w:r w:rsidR="00D34318">
        <w:t xml:space="preserve">s. For this </w:t>
      </w:r>
      <w:r>
        <w:t xml:space="preserve">system clearance </w:t>
      </w:r>
      <w:r w:rsidR="00D34318">
        <w:t>submittal</w:t>
      </w:r>
      <w:r w:rsidR="00A250E7">
        <w:t>,</w:t>
      </w:r>
      <w:r w:rsidR="00D34318">
        <w:t xml:space="preserve"> we have included the 2013 sample design memorandum (refer to appendix C) which details the specific sampling procedures for the 2013 assessments. </w:t>
      </w:r>
      <w:r w:rsidR="00A250E7">
        <w:t xml:space="preserve">Subsequent clearance packages submitted for the specific assessment years will </w:t>
      </w:r>
      <w:r w:rsidR="00D34318">
        <w:t xml:space="preserve">include each year’s sample design specifics for 2014-2016 when the yearly </w:t>
      </w:r>
      <w:r w:rsidR="00040EF1">
        <w:t xml:space="preserve">Wave I and II clearance packages </w:t>
      </w:r>
      <w:r w:rsidR="00D34318">
        <w:t xml:space="preserve">are submitted. </w:t>
      </w:r>
    </w:p>
    <w:p w:rsidR="00317DA7" w:rsidRDefault="009022CA" w:rsidP="00D67650">
      <w:pPr>
        <w:spacing w:after="120"/>
        <w:rPr>
          <w:u w:val="single"/>
        </w:rPr>
      </w:pPr>
      <w:r w:rsidRPr="009022CA">
        <w:rPr>
          <w:u w:val="single"/>
        </w:rPr>
        <w:t>Design Features</w:t>
      </w:r>
    </w:p>
    <w:p w:rsidR="001C578D" w:rsidRDefault="006347CB">
      <w:r>
        <w:t>As in the past, NAEP samples are based on multistage designs. The state assessment designs consist of stratified samples of public schools</w:t>
      </w:r>
      <w:r w:rsidR="00B352CA">
        <w:t xml:space="preserve">, </w:t>
      </w:r>
      <w:r>
        <w:t xml:space="preserve">where the stratification is derived from type of location (urban/suburban/large town/small town/rural), proportion minority enrollment, school level achievement on statewide testing programs, and a measure of household income in the zip code area of the school. The second stage of sampling is the selection of the students from within each selected school. This is an equal probability systematic sample from among all students in the appropriate grade. </w:t>
      </w:r>
    </w:p>
    <w:p w:rsidR="001C578D" w:rsidRDefault="006347CB" w:rsidP="00D912D8">
      <w:r>
        <w:t xml:space="preserve">For the national samples, a three-stage design is used. The first stage is the selection of primary sampling units (PSUs), which are individual counties or groups of contiguous counties. The second stage is the selection of schools within PSUs, and the third stage is the selection of students within schools. </w:t>
      </w:r>
    </w:p>
    <w:p w:rsidR="001C578D" w:rsidRDefault="006347CB">
      <w:pPr>
        <w:spacing w:after="120"/>
      </w:pPr>
      <w:r>
        <w:t>The following are characteristic features of NAEP sampling designs:</w:t>
      </w:r>
    </w:p>
    <w:p w:rsidR="001C578D" w:rsidRDefault="00BD446D">
      <w:pPr>
        <w:pStyle w:val="P1-StandPara"/>
        <w:numPr>
          <w:ilvl w:val="0"/>
          <w:numId w:val="10"/>
        </w:numPr>
        <w:spacing w:after="120" w:line="360" w:lineRule="auto"/>
        <w:ind w:left="720"/>
        <w:jc w:val="left"/>
        <w:rPr>
          <w:sz w:val="24"/>
          <w:szCs w:val="24"/>
        </w:rPr>
      </w:pPr>
      <w:r w:rsidRPr="00BD446D">
        <w:rPr>
          <w:sz w:val="24"/>
          <w:szCs w:val="24"/>
        </w:rPr>
        <w:t xml:space="preserve">for state-level assessments, approximately equal sample sizes (2,500–3,000 assessed students) </w:t>
      </w:r>
      <w:r w:rsidR="003B26AB">
        <w:rPr>
          <w:sz w:val="24"/>
          <w:szCs w:val="24"/>
        </w:rPr>
        <w:t>from</w:t>
      </w:r>
      <w:r w:rsidR="003B26AB" w:rsidRPr="00BD446D">
        <w:rPr>
          <w:sz w:val="24"/>
          <w:szCs w:val="24"/>
        </w:rPr>
        <w:t xml:space="preserve"> </w:t>
      </w:r>
      <w:r w:rsidRPr="00BD446D">
        <w:rPr>
          <w:sz w:val="24"/>
          <w:szCs w:val="24"/>
        </w:rPr>
        <w:t xml:space="preserve">each </w:t>
      </w:r>
      <w:r w:rsidR="00D67650">
        <w:rPr>
          <w:sz w:val="24"/>
          <w:szCs w:val="24"/>
        </w:rPr>
        <w:t xml:space="preserve">participating </w:t>
      </w:r>
      <w:r w:rsidRPr="00BD446D">
        <w:rPr>
          <w:sz w:val="24"/>
          <w:szCs w:val="24"/>
        </w:rPr>
        <w:t>state’s public schools, for e</w:t>
      </w:r>
      <w:r w:rsidR="00D67650">
        <w:rPr>
          <w:sz w:val="24"/>
          <w:szCs w:val="24"/>
        </w:rPr>
        <w:t>ach subject</w:t>
      </w:r>
      <w:r w:rsidR="00F94A18">
        <w:rPr>
          <w:sz w:val="24"/>
          <w:szCs w:val="24"/>
        </w:rPr>
        <w:t>;</w:t>
      </w:r>
    </w:p>
    <w:p w:rsidR="00965F99" w:rsidRDefault="00965F99">
      <w:pPr>
        <w:pStyle w:val="P1-StandPara"/>
        <w:numPr>
          <w:ilvl w:val="0"/>
          <w:numId w:val="10"/>
        </w:numPr>
        <w:spacing w:after="120" w:line="360" w:lineRule="auto"/>
        <w:ind w:left="720"/>
        <w:jc w:val="left"/>
        <w:rPr>
          <w:sz w:val="24"/>
          <w:szCs w:val="24"/>
        </w:rPr>
      </w:pPr>
      <w:r>
        <w:rPr>
          <w:sz w:val="24"/>
          <w:szCs w:val="24"/>
        </w:rPr>
        <w:lastRenderedPageBreak/>
        <w:t xml:space="preserve">for district-level assessments, </w:t>
      </w:r>
      <w:r w:rsidRPr="00BD446D">
        <w:rPr>
          <w:sz w:val="24"/>
          <w:szCs w:val="24"/>
        </w:rPr>
        <w:t xml:space="preserve">sample sizes </w:t>
      </w:r>
      <w:r>
        <w:rPr>
          <w:sz w:val="24"/>
          <w:szCs w:val="24"/>
        </w:rPr>
        <w:t>of approximately 1,000</w:t>
      </w:r>
      <w:r w:rsidRPr="00BD446D">
        <w:rPr>
          <w:sz w:val="24"/>
          <w:szCs w:val="24"/>
        </w:rPr>
        <w:t>–</w:t>
      </w:r>
      <w:r>
        <w:rPr>
          <w:sz w:val="24"/>
          <w:szCs w:val="24"/>
        </w:rPr>
        <w:t>2,500</w:t>
      </w:r>
      <w:r w:rsidRPr="00BD446D">
        <w:rPr>
          <w:sz w:val="24"/>
          <w:szCs w:val="24"/>
        </w:rPr>
        <w:t xml:space="preserve"> </w:t>
      </w:r>
      <w:r>
        <w:rPr>
          <w:sz w:val="24"/>
          <w:szCs w:val="24"/>
        </w:rPr>
        <w:t>from</w:t>
      </w:r>
      <w:r w:rsidRPr="00BD446D">
        <w:rPr>
          <w:sz w:val="24"/>
          <w:szCs w:val="24"/>
        </w:rPr>
        <w:t xml:space="preserve"> each </w:t>
      </w:r>
      <w:r>
        <w:rPr>
          <w:sz w:val="24"/>
          <w:szCs w:val="24"/>
        </w:rPr>
        <w:t>participating district</w:t>
      </w:r>
      <w:r w:rsidRPr="00BD446D">
        <w:rPr>
          <w:sz w:val="24"/>
          <w:szCs w:val="24"/>
        </w:rPr>
        <w:t>’s public schools, for each subject</w:t>
      </w:r>
      <w:r>
        <w:rPr>
          <w:sz w:val="24"/>
          <w:szCs w:val="24"/>
        </w:rPr>
        <w:t>;</w:t>
      </w:r>
    </w:p>
    <w:p w:rsidR="001C578D" w:rsidRDefault="00BD446D">
      <w:pPr>
        <w:pStyle w:val="P1-StandPara"/>
        <w:numPr>
          <w:ilvl w:val="0"/>
          <w:numId w:val="10"/>
        </w:numPr>
        <w:spacing w:after="120" w:line="360" w:lineRule="auto"/>
        <w:ind w:left="720"/>
        <w:jc w:val="left"/>
        <w:rPr>
          <w:sz w:val="24"/>
          <w:szCs w:val="24"/>
        </w:rPr>
      </w:pPr>
      <w:r w:rsidRPr="00BD446D">
        <w:rPr>
          <w:sz w:val="24"/>
          <w:szCs w:val="24"/>
        </w:rPr>
        <w:t>sample sizes of approximately 6,000–12,000 for national-only operational subjects, depending on the size of the item pool;</w:t>
      </w:r>
    </w:p>
    <w:p w:rsidR="001C578D" w:rsidRDefault="00BD446D">
      <w:pPr>
        <w:pStyle w:val="P1-StandPara"/>
        <w:numPr>
          <w:ilvl w:val="0"/>
          <w:numId w:val="10"/>
        </w:numPr>
        <w:spacing w:after="120" w:line="360" w:lineRule="auto"/>
        <w:ind w:left="720"/>
        <w:jc w:val="left"/>
        <w:rPr>
          <w:sz w:val="24"/>
          <w:szCs w:val="24"/>
        </w:rPr>
      </w:pPr>
      <w:r w:rsidRPr="00BD446D">
        <w:rPr>
          <w:sz w:val="24"/>
          <w:szCs w:val="24"/>
        </w:rPr>
        <w:t>in each school, some students to be assessed in each subject;</w:t>
      </w:r>
    </w:p>
    <w:p w:rsidR="001C578D" w:rsidRDefault="00BD446D">
      <w:pPr>
        <w:pStyle w:val="P1-StandPara"/>
        <w:numPr>
          <w:ilvl w:val="0"/>
          <w:numId w:val="10"/>
        </w:numPr>
        <w:spacing w:after="120" w:line="360" w:lineRule="auto"/>
        <w:ind w:left="720"/>
        <w:jc w:val="left"/>
        <w:rPr>
          <w:sz w:val="24"/>
          <w:szCs w:val="24"/>
        </w:rPr>
      </w:pPr>
      <w:r w:rsidRPr="00BD446D">
        <w:rPr>
          <w:sz w:val="24"/>
          <w:szCs w:val="24"/>
        </w:rPr>
        <w:t>lists of schools obtained from the NCES CCD and PSS files;</w:t>
      </w:r>
    </w:p>
    <w:p w:rsidR="001C578D" w:rsidRDefault="00BD446D">
      <w:pPr>
        <w:pStyle w:val="P1-StandPara"/>
        <w:numPr>
          <w:ilvl w:val="0"/>
          <w:numId w:val="10"/>
        </w:numPr>
        <w:spacing w:after="120" w:line="360" w:lineRule="auto"/>
        <w:ind w:left="720"/>
        <w:jc w:val="left"/>
        <w:rPr>
          <w:sz w:val="24"/>
          <w:szCs w:val="24"/>
        </w:rPr>
      </w:pPr>
      <w:r w:rsidRPr="00BD446D">
        <w:rPr>
          <w:sz w:val="24"/>
          <w:szCs w:val="24"/>
        </w:rPr>
        <w:t>schools grouped into strata;</w:t>
      </w:r>
    </w:p>
    <w:p w:rsidR="001C578D" w:rsidRDefault="00BD446D">
      <w:pPr>
        <w:pStyle w:val="P1-StandPara"/>
        <w:numPr>
          <w:ilvl w:val="0"/>
          <w:numId w:val="10"/>
        </w:numPr>
        <w:spacing w:after="120" w:line="360" w:lineRule="auto"/>
        <w:ind w:left="720"/>
        <w:jc w:val="left"/>
        <w:rPr>
          <w:sz w:val="24"/>
          <w:szCs w:val="24"/>
        </w:rPr>
      </w:pPr>
      <w:r w:rsidRPr="00BD446D">
        <w:rPr>
          <w:sz w:val="24"/>
          <w:szCs w:val="24"/>
        </w:rPr>
        <w:t>schools assigned a measure of size;</w:t>
      </w:r>
    </w:p>
    <w:p w:rsidR="001C578D" w:rsidRDefault="00BD446D">
      <w:pPr>
        <w:pStyle w:val="P1-StandPara"/>
        <w:numPr>
          <w:ilvl w:val="0"/>
          <w:numId w:val="10"/>
        </w:numPr>
        <w:spacing w:after="120" w:line="360" w:lineRule="auto"/>
        <w:ind w:left="720"/>
        <w:jc w:val="left"/>
        <w:rPr>
          <w:sz w:val="24"/>
          <w:szCs w:val="24"/>
        </w:rPr>
      </w:pPr>
      <w:r w:rsidRPr="00BD446D">
        <w:rPr>
          <w:sz w:val="24"/>
          <w:szCs w:val="24"/>
        </w:rPr>
        <w:t>sample selected with probability proportional to the measure of size; and</w:t>
      </w:r>
    </w:p>
    <w:p w:rsidR="001C578D" w:rsidRDefault="00BD446D">
      <w:pPr>
        <w:pStyle w:val="P1-StandPara"/>
        <w:numPr>
          <w:ilvl w:val="0"/>
          <w:numId w:val="10"/>
        </w:numPr>
        <w:spacing w:line="360" w:lineRule="auto"/>
        <w:ind w:left="720"/>
        <w:jc w:val="left"/>
        <w:rPr>
          <w:sz w:val="24"/>
          <w:szCs w:val="24"/>
        </w:rPr>
      </w:pPr>
      <w:proofErr w:type="gramStart"/>
      <w:r w:rsidRPr="00BD446D">
        <w:rPr>
          <w:sz w:val="24"/>
          <w:szCs w:val="24"/>
        </w:rPr>
        <w:t>school</w:t>
      </w:r>
      <w:proofErr w:type="gramEnd"/>
      <w:r w:rsidRPr="00BD446D">
        <w:rPr>
          <w:sz w:val="24"/>
          <w:szCs w:val="24"/>
        </w:rPr>
        <w:t xml:space="preserve"> stratification based on characteristics such as: type of location, enrollment  by race/ethnicity, and school achievement</w:t>
      </w:r>
      <w:r w:rsidR="002B761C">
        <w:rPr>
          <w:sz w:val="24"/>
          <w:szCs w:val="24"/>
        </w:rPr>
        <w:t>.</w:t>
      </w:r>
      <w:r w:rsidR="002B761C" w:rsidRPr="00BD446D">
        <w:rPr>
          <w:sz w:val="24"/>
          <w:szCs w:val="24"/>
        </w:rPr>
        <w:t xml:space="preserve"> </w:t>
      </w:r>
    </w:p>
    <w:p w:rsidR="001C578D" w:rsidRDefault="006347CB">
      <w:r>
        <w:t xml:space="preserve">Refer to </w:t>
      </w:r>
      <w:r w:rsidR="00754997">
        <w:t>a</w:t>
      </w:r>
      <w:r w:rsidR="00754997" w:rsidRPr="00A66F54">
        <w:rPr>
          <w:bCs/>
        </w:rPr>
        <w:t xml:space="preserve">ppendix </w:t>
      </w:r>
      <w:r w:rsidRPr="00A66F54">
        <w:rPr>
          <w:bCs/>
        </w:rPr>
        <w:t>C</w:t>
      </w:r>
      <w:r>
        <w:t xml:space="preserve"> for an example of the sampling procedures </w:t>
      </w:r>
      <w:r w:rsidR="00CA1623">
        <w:t xml:space="preserve">performed for </w:t>
      </w:r>
      <w:r>
        <w:t xml:space="preserve">the </w:t>
      </w:r>
      <w:r w:rsidR="004A2E31">
        <w:t xml:space="preserve">2013 </w:t>
      </w:r>
      <w:r>
        <w:t>assessment.</w:t>
      </w:r>
    </w:p>
    <w:p w:rsidR="001C578D" w:rsidRDefault="00BD446D">
      <w:pPr>
        <w:pStyle w:val="Heading2"/>
      </w:pPr>
      <w:bookmarkStart w:id="17" w:name="_Toc337737171"/>
      <w:bookmarkStart w:id="18" w:name="_Toc337737172"/>
      <w:bookmarkStart w:id="19" w:name="_Toc337737173"/>
      <w:bookmarkStart w:id="20" w:name="_Toc151204587"/>
      <w:bookmarkStart w:id="21" w:name="_Toc243983030"/>
      <w:bookmarkStart w:id="22" w:name="_Toc244056280"/>
      <w:bookmarkStart w:id="23" w:name="_Toc244080199"/>
      <w:bookmarkEnd w:id="17"/>
      <w:bookmarkEnd w:id="18"/>
      <w:r w:rsidRPr="00BD446D">
        <w:t>Methods to maximize response rates and deal with issues of nonresponse</w:t>
      </w:r>
      <w:bookmarkEnd w:id="19"/>
      <w:bookmarkEnd w:id="20"/>
      <w:bookmarkEnd w:id="21"/>
      <w:bookmarkEnd w:id="22"/>
      <w:bookmarkEnd w:id="23"/>
      <w:r w:rsidRPr="00BD446D">
        <w:t xml:space="preserve"> </w:t>
      </w:r>
    </w:p>
    <w:p w:rsidR="001C578D" w:rsidRDefault="00BD446D">
      <w:pPr>
        <w:rPr>
          <w:szCs w:val="24"/>
        </w:rPr>
      </w:pPr>
      <w:r w:rsidRPr="00BD446D">
        <w:rPr>
          <w:szCs w:val="24"/>
        </w:rPr>
        <w:t xml:space="preserve">NAEP attempts to minimize nonresponse of both students and schools. Chief state school officers and Local Education Agency (LEA) superintendents are provided with lists of schools in the sample in their jurisdiction and their cooperation is requested. For the assessments, schools within each state will be selected and the chief state school officer and the </w:t>
      </w:r>
      <w:r w:rsidR="002B761C">
        <w:rPr>
          <w:szCs w:val="24"/>
        </w:rPr>
        <w:t xml:space="preserve">NAEP </w:t>
      </w:r>
      <w:r w:rsidRPr="00BD446D">
        <w:rPr>
          <w:szCs w:val="24"/>
        </w:rPr>
        <w:t xml:space="preserve">state coordinator will be asked to solicit their cooperation. NCES will provide letters to states and districts in support of the operational and </w:t>
      </w:r>
      <w:r w:rsidR="002B761C">
        <w:rPr>
          <w:szCs w:val="24"/>
        </w:rPr>
        <w:t>pilot</w:t>
      </w:r>
      <w:r w:rsidR="002B761C" w:rsidRPr="00BD446D">
        <w:rPr>
          <w:szCs w:val="24"/>
        </w:rPr>
        <w:t xml:space="preserve"> </w:t>
      </w:r>
      <w:r w:rsidRPr="00BD446D">
        <w:rPr>
          <w:szCs w:val="24"/>
        </w:rPr>
        <w:t xml:space="preserve">tests. Since states and school districts receiving Title I funds are required to participate in the NAEP reading and mathematics assessments (grades 4 and 8) under the National Assessment of Educational Progress Act, NAEP response rates have improved for these assessments.  </w:t>
      </w:r>
    </w:p>
    <w:p w:rsidR="00BD446D" w:rsidRPr="00BD446D" w:rsidRDefault="00BD446D">
      <w:pPr>
        <w:rPr>
          <w:szCs w:val="24"/>
        </w:rPr>
      </w:pPr>
      <w:r w:rsidRPr="00BD446D">
        <w:rPr>
          <w:szCs w:val="24"/>
        </w:rPr>
        <w:t xml:space="preserve">Not all of the students in the sample will respond. Some will be unavailable during the sample time period because of absenteeism or other reasons. If a student decides not to </w:t>
      </w:r>
      <w:r w:rsidR="001641E1">
        <w:rPr>
          <w:szCs w:val="24"/>
        </w:rPr>
        <w:t>participate</w:t>
      </w:r>
      <w:r w:rsidRPr="00BD446D">
        <w:rPr>
          <w:szCs w:val="24"/>
        </w:rPr>
        <w:t xml:space="preserve">, the action will be recorded, but no steps will be taken to obtain </w:t>
      </w:r>
      <w:r w:rsidR="001641E1">
        <w:rPr>
          <w:szCs w:val="24"/>
        </w:rPr>
        <w:t>participation</w:t>
      </w:r>
      <w:r w:rsidRPr="00BD446D">
        <w:rPr>
          <w:szCs w:val="24"/>
        </w:rPr>
        <w:t>. Response rates</w:t>
      </w:r>
      <w:r w:rsidR="00BE32A2">
        <w:rPr>
          <w:szCs w:val="24"/>
        </w:rPr>
        <w:t>, in percentages,</w:t>
      </w:r>
      <w:r w:rsidRPr="00BD446D">
        <w:rPr>
          <w:szCs w:val="24"/>
        </w:rPr>
        <w:t xml:space="preserve"> from a recent NAEP assessment are shown below:</w:t>
      </w:r>
    </w:p>
    <w:tbl>
      <w:tblPr>
        <w:tblW w:w="6348" w:type="dxa"/>
        <w:tblInd w:w="96" w:type="dxa"/>
        <w:tblLook w:val="04A0" w:firstRow="1" w:lastRow="0" w:firstColumn="1" w:lastColumn="0" w:noHBand="0" w:noVBand="1"/>
      </w:tblPr>
      <w:tblGrid>
        <w:gridCol w:w="2460"/>
        <w:gridCol w:w="1296"/>
        <w:gridCol w:w="1296"/>
        <w:gridCol w:w="1296"/>
      </w:tblGrid>
      <w:tr w:rsidR="00507D5A" w:rsidRPr="00507D5A" w:rsidTr="002927B6">
        <w:trPr>
          <w:trHeight w:val="360"/>
        </w:trPr>
        <w:tc>
          <w:tcPr>
            <w:tcW w:w="2460" w:type="dxa"/>
            <w:tcBorders>
              <w:top w:val="single" w:sz="4" w:space="0" w:color="auto"/>
              <w:left w:val="single" w:sz="4" w:space="0" w:color="auto"/>
              <w:bottom w:val="single" w:sz="4" w:space="0" w:color="auto"/>
              <w:right w:val="nil"/>
            </w:tcBorders>
            <w:shd w:val="clear" w:color="auto" w:fill="auto"/>
            <w:noWrap/>
            <w:vAlign w:val="bottom"/>
            <w:hideMark/>
          </w:tcPr>
          <w:p w:rsidR="009022CA" w:rsidRDefault="00BD446D" w:rsidP="009022CA">
            <w:pPr>
              <w:keepNext/>
              <w:spacing w:after="0" w:line="240" w:lineRule="auto"/>
              <w:rPr>
                <w:color w:val="000000"/>
                <w:sz w:val="22"/>
                <w:szCs w:val="22"/>
              </w:rPr>
            </w:pPr>
            <w:r w:rsidRPr="00BD446D">
              <w:rPr>
                <w:color w:val="000000"/>
                <w:sz w:val="22"/>
                <w:szCs w:val="22"/>
              </w:rPr>
              <w:lastRenderedPageBreak/>
              <w:t> </w:t>
            </w:r>
          </w:p>
        </w:tc>
        <w:tc>
          <w:tcPr>
            <w:tcW w:w="1296" w:type="dxa"/>
            <w:tcBorders>
              <w:top w:val="single" w:sz="4" w:space="0" w:color="auto"/>
              <w:left w:val="nil"/>
              <w:bottom w:val="single" w:sz="4" w:space="0" w:color="auto"/>
              <w:right w:val="nil"/>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Grade 4</w:t>
            </w:r>
          </w:p>
        </w:tc>
        <w:tc>
          <w:tcPr>
            <w:tcW w:w="1296" w:type="dxa"/>
            <w:tcBorders>
              <w:top w:val="single" w:sz="4" w:space="0" w:color="auto"/>
              <w:left w:val="nil"/>
              <w:bottom w:val="single" w:sz="4" w:space="0" w:color="auto"/>
              <w:right w:val="nil"/>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Grade 8</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Grade 12</w:t>
            </w:r>
          </w:p>
        </w:tc>
      </w:tr>
      <w:tr w:rsidR="00507D5A" w:rsidRPr="00507D5A" w:rsidTr="002927B6">
        <w:trPr>
          <w:trHeight w:val="360"/>
        </w:trPr>
        <w:tc>
          <w:tcPr>
            <w:tcW w:w="2460" w:type="dxa"/>
            <w:tcBorders>
              <w:top w:val="single" w:sz="4" w:space="0" w:color="auto"/>
              <w:left w:val="single" w:sz="4" w:space="0" w:color="auto"/>
              <w:bottom w:val="nil"/>
              <w:right w:val="nil"/>
            </w:tcBorders>
            <w:shd w:val="clear" w:color="auto" w:fill="auto"/>
            <w:noWrap/>
            <w:vAlign w:val="bottom"/>
            <w:hideMark/>
          </w:tcPr>
          <w:p w:rsidR="009022CA" w:rsidRDefault="00BD446D" w:rsidP="009022CA">
            <w:pPr>
              <w:keepNext/>
              <w:spacing w:after="0" w:line="240" w:lineRule="auto"/>
              <w:rPr>
                <w:color w:val="000000"/>
                <w:sz w:val="22"/>
                <w:szCs w:val="22"/>
              </w:rPr>
            </w:pPr>
            <w:r w:rsidRPr="00BD446D">
              <w:rPr>
                <w:color w:val="000000"/>
                <w:sz w:val="22"/>
                <w:szCs w:val="22"/>
              </w:rPr>
              <w:t>Student Response Rates</w:t>
            </w:r>
          </w:p>
        </w:tc>
        <w:tc>
          <w:tcPr>
            <w:tcW w:w="1296" w:type="dxa"/>
            <w:tcBorders>
              <w:top w:val="nil"/>
              <w:left w:val="nil"/>
              <w:bottom w:val="nil"/>
              <w:right w:val="nil"/>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94</w:t>
            </w:r>
          </w:p>
        </w:tc>
        <w:tc>
          <w:tcPr>
            <w:tcW w:w="1296" w:type="dxa"/>
            <w:tcBorders>
              <w:top w:val="nil"/>
              <w:left w:val="nil"/>
              <w:bottom w:val="nil"/>
              <w:right w:val="nil"/>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93</w:t>
            </w:r>
          </w:p>
        </w:tc>
        <w:tc>
          <w:tcPr>
            <w:tcW w:w="1296" w:type="dxa"/>
            <w:tcBorders>
              <w:top w:val="nil"/>
              <w:left w:val="nil"/>
              <w:bottom w:val="nil"/>
              <w:right w:val="single" w:sz="4" w:space="0" w:color="auto"/>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87</w:t>
            </w:r>
          </w:p>
        </w:tc>
      </w:tr>
      <w:tr w:rsidR="00507D5A" w:rsidRPr="00507D5A" w:rsidTr="00507D5A">
        <w:trPr>
          <w:trHeight w:val="360"/>
        </w:trPr>
        <w:tc>
          <w:tcPr>
            <w:tcW w:w="2460" w:type="dxa"/>
            <w:tcBorders>
              <w:top w:val="nil"/>
              <w:left w:val="single" w:sz="4" w:space="0" w:color="auto"/>
              <w:bottom w:val="nil"/>
              <w:right w:val="nil"/>
            </w:tcBorders>
            <w:shd w:val="clear" w:color="auto" w:fill="auto"/>
            <w:noWrap/>
            <w:vAlign w:val="bottom"/>
            <w:hideMark/>
          </w:tcPr>
          <w:p w:rsidR="009022CA" w:rsidRDefault="00BD446D" w:rsidP="009022CA">
            <w:pPr>
              <w:keepNext/>
              <w:spacing w:after="0" w:line="240" w:lineRule="auto"/>
              <w:rPr>
                <w:color w:val="000000"/>
                <w:sz w:val="22"/>
                <w:szCs w:val="22"/>
              </w:rPr>
            </w:pPr>
            <w:r w:rsidRPr="00BD446D">
              <w:rPr>
                <w:color w:val="000000"/>
                <w:sz w:val="22"/>
                <w:szCs w:val="22"/>
              </w:rPr>
              <w:t>School Response Rates</w:t>
            </w:r>
          </w:p>
        </w:tc>
        <w:tc>
          <w:tcPr>
            <w:tcW w:w="1296" w:type="dxa"/>
            <w:tcBorders>
              <w:top w:val="nil"/>
              <w:left w:val="nil"/>
              <w:bottom w:val="nil"/>
              <w:right w:val="nil"/>
            </w:tcBorders>
            <w:shd w:val="clear" w:color="auto" w:fill="auto"/>
            <w:noWrap/>
            <w:vAlign w:val="bottom"/>
            <w:hideMark/>
          </w:tcPr>
          <w:p w:rsidR="009022CA" w:rsidRDefault="009022CA" w:rsidP="009022CA">
            <w:pPr>
              <w:keepNext/>
              <w:spacing w:after="0" w:line="240" w:lineRule="auto"/>
              <w:jc w:val="center"/>
              <w:rPr>
                <w:color w:val="000000"/>
                <w:sz w:val="22"/>
                <w:szCs w:val="22"/>
              </w:rPr>
            </w:pPr>
          </w:p>
        </w:tc>
        <w:tc>
          <w:tcPr>
            <w:tcW w:w="1296" w:type="dxa"/>
            <w:tcBorders>
              <w:top w:val="nil"/>
              <w:left w:val="nil"/>
              <w:bottom w:val="nil"/>
              <w:right w:val="nil"/>
            </w:tcBorders>
            <w:shd w:val="clear" w:color="auto" w:fill="auto"/>
            <w:noWrap/>
            <w:vAlign w:val="bottom"/>
            <w:hideMark/>
          </w:tcPr>
          <w:p w:rsidR="009022CA" w:rsidRDefault="009022CA" w:rsidP="009022CA">
            <w:pPr>
              <w:keepNext/>
              <w:spacing w:after="0" w:line="240" w:lineRule="auto"/>
              <w:jc w:val="center"/>
              <w:rPr>
                <w:color w:val="000000"/>
                <w:sz w:val="22"/>
                <w:szCs w:val="22"/>
              </w:rPr>
            </w:pPr>
          </w:p>
        </w:tc>
        <w:tc>
          <w:tcPr>
            <w:tcW w:w="1296" w:type="dxa"/>
            <w:tcBorders>
              <w:top w:val="nil"/>
              <w:left w:val="nil"/>
              <w:bottom w:val="nil"/>
              <w:right w:val="single" w:sz="4" w:space="0" w:color="auto"/>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 </w:t>
            </w:r>
          </w:p>
        </w:tc>
      </w:tr>
      <w:tr w:rsidR="00507D5A" w:rsidRPr="00507D5A" w:rsidTr="00507D5A">
        <w:trPr>
          <w:trHeight w:val="360"/>
        </w:trPr>
        <w:tc>
          <w:tcPr>
            <w:tcW w:w="2460" w:type="dxa"/>
            <w:tcBorders>
              <w:top w:val="nil"/>
              <w:left w:val="single" w:sz="4" w:space="0" w:color="auto"/>
              <w:bottom w:val="nil"/>
              <w:right w:val="nil"/>
            </w:tcBorders>
            <w:shd w:val="clear" w:color="auto" w:fill="auto"/>
            <w:noWrap/>
            <w:vAlign w:val="bottom"/>
            <w:hideMark/>
          </w:tcPr>
          <w:p w:rsidR="009022CA" w:rsidRDefault="00BD446D" w:rsidP="009022CA">
            <w:pPr>
              <w:keepNext/>
              <w:spacing w:after="0" w:line="240" w:lineRule="auto"/>
              <w:ind w:firstLineChars="200" w:firstLine="440"/>
              <w:rPr>
                <w:color w:val="000000"/>
                <w:sz w:val="22"/>
                <w:szCs w:val="22"/>
              </w:rPr>
            </w:pPr>
            <w:r w:rsidRPr="00BD446D">
              <w:rPr>
                <w:color w:val="000000"/>
                <w:sz w:val="22"/>
                <w:szCs w:val="22"/>
              </w:rPr>
              <w:t>Public Schools</w:t>
            </w:r>
          </w:p>
        </w:tc>
        <w:tc>
          <w:tcPr>
            <w:tcW w:w="1296" w:type="dxa"/>
            <w:tcBorders>
              <w:top w:val="nil"/>
              <w:left w:val="nil"/>
              <w:bottom w:val="nil"/>
              <w:right w:val="nil"/>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100</w:t>
            </w:r>
          </w:p>
        </w:tc>
        <w:tc>
          <w:tcPr>
            <w:tcW w:w="1296" w:type="dxa"/>
            <w:tcBorders>
              <w:top w:val="nil"/>
              <w:left w:val="nil"/>
              <w:bottom w:val="nil"/>
              <w:right w:val="nil"/>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100</w:t>
            </w:r>
          </w:p>
        </w:tc>
        <w:tc>
          <w:tcPr>
            <w:tcW w:w="1296" w:type="dxa"/>
            <w:tcBorders>
              <w:top w:val="nil"/>
              <w:left w:val="nil"/>
              <w:bottom w:val="nil"/>
              <w:right w:val="single" w:sz="4" w:space="0" w:color="auto"/>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96</w:t>
            </w:r>
          </w:p>
        </w:tc>
      </w:tr>
      <w:tr w:rsidR="00507D5A" w:rsidRPr="00507D5A" w:rsidTr="00507D5A">
        <w:trPr>
          <w:trHeight w:val="360"/>
        </w:trPr>
        <w:tc>
          <w:tcPr>
            <w:tcW w:w="2460" w:type="dxa"/>
            <w:tcBorders>
              <w:top w:val="nil"/>
              <w:left w:val="single" w:sz="4" w:space="0" w:color="auto"/>
              <w:bottom w:val="single" w:sz="4" w:space="0" w:color="auto"/>
              <w:right w:val="nil"/>
            </w:tcBorders>
            <w:shd w:val="clear" w:color="auto" w:fill="auto"/>
            <w:noWrap/>
            <w:vAlign w:val="bottom"/>
            <w:hideMark/>
          </w:tcPr>
          <w:p w:rsidR="009022CA" w:rsidRDefault="00BD446D" w:rsidP="009022CA">
            <w:pPr>
              <w:keepNext/>
              <w:spacing w:after="0" w:line="240" w:lineRule="auto"/>
              <w:ind w:firstLineChars="200" w:firstLine="440"/>
              <w:rPr>
                <w:color w:val="000000"/>
                <w:sz w:val="22"/>
                <w:szCs w:val="22"/>
              </w:rPr>
            </w:pPr>
            <w:r w:rsidRPr="00BD446D">
              <w:rPr>
                <w:color w:val="000000"/>
                <w:sz w:val="22"/>
                <w:szCs w:val="22"/>
              </w:rPr>
              <w:t>Private Schools</w:t>
            </w:r>
          </w:p>
        </w:tc>
        <w:tc>
          <w:tcPr>
            <w:tcW w:w="1296" w:type="dxa"/>
            <w:tcBorders>
              <w:top w:val="nil"/>
              <w:left w:val="nil"/>
              <w:bottom w:val="single" w:sz="4" w:space="0" w:color="auto"/>
              <w:right w:val="nil"/>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74</w:t>
            </w:r>
          </w:p>
        </w:tc>
        <w:tc>
          <w:tcPr>
            <w:tcW w:w="1296" w:type="dxa"/>
            <w:tcBorders>
              <w:top w:val="nil"/>
              <w:left w:val="nil"/>
              <w:bottom w:val="single" w:sz="4" w:space="0" w:color="auto"/>
              <w:right w:val="nil"/>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74</w:t>
            </w:r>
          </w:p>
        </w:tc>
        <w:tc>
          <w:tcPr>
            <w:tcW w:w="1296" w:type="dxa"/>
            <w:tcBorders>
              <w:top w:val="nil"/>
              <w:left w:val="nil"/>
              <w:bottom w:val="single" w:sz="4" w:space="0" w:color="auto"/>
              <w:right w:val="single" w:sz="4" w:space="0" w:color="auto"/>
            </w:tcBorders>
            <w:shd w:val="clear" w:color="auto" w:fill="auto"/>
            <w:noWrap/>
            <w:vAlign w:val="bottom"/>
            <w:hideMark/>
          </w:tcPr>
          <w:p w:rsidR="009022CA" w:rsidRDefault="00BD446D" w:rsidP="009022CA">
            <w:pPr>
              <w:keepNext/>
              <w:spacing w:after="0" w:line="240" w:lineRule="auto"/>
              <w:jc w:val="center"/>
              <w:rPr>
                <w:color w:val="000000"/>
                <w:sz w:val="22"/>
                <w:szCs w:val="22"/>
              </w:rPr>
            </w:pPr>
            <w:r w:rsidRPr="00BD446D">
              <w:rPr>
                <w:color w:val="000000"/>
                <w:sz w:val="22"/>
                <w:szCs w:val="22"/>
              </w:rPr>
              <w:t>67</w:t>
            </w:r>
          </w:p>
        </w:tc>
      </w:tr>
    </w:tbl>
    <w:p w:rsidR="00BD446D" w:rsidRDefault="00507D5A" w:rsidP="00BD446D">
      <w:pPr>
        <w:spacing w:line="240" w:lineRule="auto"/>
        <w:rPr>
          <w:sz w:val="22"/>
        </w:rPr>
      </w:pPr>
      <w:r>
        <w:rPr>
          <w:sz w:val="22"/>
        </w:rPr>
        <w:t>Note: The public school response rates for grades 4 and 8 rounded to 100, but were actually slightly lower (i.e., 99.8</w:t>
      </w:r>
      <w:r w:rsidR="005C55F0">
        <w:rPr>
          <w:sz w:val="22"/>
        </w:rPr>
        <w:t xml:space="preserve"> </w:t>
      </w:r>
      <w:r w:rsidR="00FC7E37">
        <w:rPr>
          <w:sz w:val="22"/>
        </w:rPr>
        <w:t>percent</w:t>
      </w:r>
      <w:r>
        <w:rPr>
          <w:sz w:val="22"/>
        </w:rPr>
        <w:t>).</w:t>
      </w:r>
    </w:p>
    <w:p w:rsidR="001C578D" w:rsidRDefault="00BD446D">
      <w:pPr>
        <w:pStyle w:val="Heading2"/>
      </w:pPr>
      <w:bookmarkStart w:id="24" w:name="_Toc337737174"/>
      <w:bookmarkStart w:id="25" w:name="_Toc337737175"/>
      <w:bookmarkStart w:id="26" w:name="_Toc337737176"/>
      <w:bookmarkStart w:id="27" w:name="_Toc337737177"/>
      <w:bookmarkStart w:id="28" w:name="_Toc337737178"/>
      <w:bookmarkStart w:id="29" w:name="_Toc151204588"/>
      <w:bookmarkStart w:id="30" w:name="_Toc243983031"/>
      <w:bookmarkStart w:id="31" w:name="_Toc244056281"/>
      <w:bookmarkStart w:id="32" w:name="_Toc244080200"/>
      <w:bookmarkEnd w:id="24"/>
      <w:bookmarkEnd w:id="25"/>
      <w:bookmarkEnd w:id="26"/>
      <w:bookmarkEnd w:id="27"/>
      <w:r w:rsidRPr="00BD446D">
        <w:t>Tests of procedures or methods to be undertaken</w:t>
      </w:r>
      <w:bookmarkEnd w:id="28"/>
      <w:bookmarkEnd w:id="29"/>
      <w:bookmarkEnd w:id="30"/>
      <w:bookmarkEnd w:id="31"/>
      <w:bookmarkEnd w:id="32"/>
    </w:p>
    <w:p w:rsidR="001C578D" w:rsidRDefault="006347CB">
      <w:r>
        <w:t xml:space="preserve">The </w:t>
      </w:r>
      <w:r w:rsidR="00C335EA">
        <w:t>2014</w:t>
      </w:r>
      <w:r w:rsidR="00D86A28">
        <w:t>–</w:t>
      </w:r>
      <w:r w:rsidR="00C335EA">
        <w:t xml:space="preserve">2016 </w:t>
      </w:r>
      <w:r>
        <w:t>administration procedures will be similar to those of previous NAEP assessments.</w:t>
      </w:r>
      <w:r w:rsidR="00507D5A">
        <w:t xml:space="preserve">  If the final design </w:t>
      </w:r>
      <w:r w:rsidR="0055547A">
        <w:t xml:space="preserve">for an assessment </w:t>
      </w:r>
      <w:r w:rsidR="00507D5A">
        <w:t xml:space="preserve">requires new </w:t>
      </w:r>
      <w:r w:rsidR="0055547A">
        <w:t>procedures</w:t>
      </w:r>
      <w:r w:rsidR="00507D5A">
        <w:t xml:space="preserve"> o</w:t>
      </w:r>
      <w:r w:rsidR="0055547A">
        <w:t>r</w:t>
      </w:r>
      <w:r w:rsidR="00507D5A">
        <w:t xml:space="preserve"> methods, they will be tested in a special study or a pilot test </w:t>
      </w:r>
      <w:r w:rsidR="0055547A">
        <w:t>prior to the operational assessment.</w:t>
      </w:r>
    </w:p>
    <w:p w:rsidR="001C578D" w:rsidRDefault="00BD446D">
      <w:pPr>
        <w:pStyle w:val="Heading2"/>
      </w:pPr>
      <w:bookmarkStart w:id="33" w:name="_Toc337737179"/>
      <w:bookmarkStart w:id="34" w:name="_Toc337737180"/>
      <w:bookmarkStart w:id="35" w:name="_Toc337737181"/>
      <w:bookmarkStart w:id="36" w:name="_Toc151204589"/>
      <w:bookmarkStart w:id="37" w:name="_Toc243983032"/>
      <w:bookmarkStart w:id="38" w:name="_Toc244056282"/>
      <w:bookmarkStart w:id="39" w:name="_Toc244080201"/>
      <w:bookmarkEnd w:id="33"/>
      <w:bookmarkEnd w:id="34"/>
      <w:r w:rsidRPr="00BD446D">
        <w:t>Consultants on statistical aspects of the design</w:t>
      </w:r>
      <w:bookmarkEnd w:id="35"/>
      <w:bookmarkEnd w:id="36"/>
      <w:bookmarkEnd w:id="37"/>
      <w:bookmarkEnd w:id="38"/>
      <w:bookmarkEnd w:id="39"/>
    </w:p>
    <w:p w:rsidR="001C578D" w:rsidRDefault="006347CB">
      <w:pPr>
        <w:spacing w:after="120"/>
        <w:rPr>
          <w:szCs w:val="24"/>
        </w:rPr>
      </w:pPr>
      <w:r>
        <w:t xml:space="preserve"> ETS, Fulcrum, Westat, and NCES staffs have collaborated on the statistical aspects of the </w:t>
      </w:r>
      <w:r w:rsidRPr="005C55F0">
        <w:rPr>
          <w:szCs w:val="24"/>
        </w:rPr>
        <w:t>design. The primary persons responsible are</w:t>
      </w:r>
      <w:r w:rsidR="00BD446D" w:rsidRPr="00BD446D">
        <w:rPr>
          <w:szCs w:val="24"/>
        </w:rPr>
        <w:t xml:space="preserve"> the following:</w:t>
      </w:r>
    </w:p>
    <w:p w:rsidR="00040EF1" w:rsidRDefault="00040EF1">
      <w:pPr>
        <w:pStyle w:val="Heading6"/>
        <w:spacing w:after="0" w:line="240" w:lineRule="auto"/>
        <w:ind w:left="0"/>
        <w:rPr>
          <w:szCs w:val="24"/>
        </w:rPr>
        <w:sectPr w:rsidR="00040EF1" w:rsidSect="00A662F2">
          <w:footerReference w:type="even" r:id="rId19"/>
          <w:footerReference w:type="default" r:id="rId20"/>
          <w:footerReference w:type="first" r:id="rId21"/>
          <w:pgSz w:w="12240" w:h="15840" w:code="1"/>
          <w:pgMar w:top="1008" w:right="1008" w:bottom="1008" w:left="1008" w:header="432" w:footer="432" w:gutter="0"/>
          <w:pgNumType w:start="1"/>
          <w:cols w:space="720"/>
          <w:docGrid w:linePitch="360"/>
        </w:sectPr>
      </w:pPr>
    </w:p>
    <w:p w:rsidR="001C578D" w:rsidRDefault="00BD446D">
      <w:pPr>
        <w:pStyle w:val="Heading6"/>
        <w:spacing w:after="0" w:line="240" w:lineRule="auto"/>
        <w:ind w:left="0"/>
        <w:rPr>
          <w:szCs w:val="24"/>
        </w:rPr>
      </w:pPr>
      <w:r w:rsidRPr="00BD446D">
        <w:rPr>
          <w:szCs w:val="24"/>
        </w:rPr>
        <w:t>Jay Campbell</w:t>
      </w:r>
    </w:p>
    <w:p w:rsidR="001C578D" w:rsidRDefault="00BD446D">
      <w:pPr>
        <w:spacing w:after="0" w:line="240" w:lineRule="auto"/>
        <w:rPr>
          <w:szCs w:val="24"/>
        </w:rPr>
      </w:pPr>
      <w:r w:rsidRPr="00BD446D">
        <w:rPr>
          <w:szCs w:val="24"/>
        </w:rPr>
        <w:tab/>
      </w:r>
      <w:r w:rsidR="00073660">
        <w:rPr>
          <w:szCs w:val="24"/>
        </w:rPr>
        <w:t xml:space="preserve">NAEP </w:t>
      </w:r>
      <w:r w:rsidRPr="00BD446D">
        <w:rPr>
          <w:szCs w:val="24"/>
        </w:rPr>
        <w:t>Executive Director, ETS</w:t>
      </w:r>
    </w:p>
    <w:p w:rsidR="001C578D" w:rsidRDefault="001C578D">
      <w:pPr>
        <w:spacing w:after="0" w:line="240" w:lineRule="auto"/>
        <w:rPr>
          <w:szCs w:val="24"/>
        </w:rPr>
      </w:pPr>
    </w:p>
    <w:p w:rsidR="001C578D" w:rsidRDefault="00BD446D">
      <w:pPr>
        <w:spacing w:after="0" w:line="240" w:lineRule="auto"/>
        <w:ind w:firstLine="720"/>
        <w:rPr>
          <w:szCs w:val="24"/>
        </w:rPr>
      </w:pPr>
      <w:r w:rsidRPr="00BD446D">
        <w:rPr>
          <w:szCs w:val="24"/>
        </w:rPr>
        <w:t>Peggy Carr</w:t>
      </w:r>
    </w:p>
    <w:p w:rsidR="001C578D" w:rsidRDefault="00BD446D">
      <w:pPr>
        <w:spacing w:after="0" w:line="240" w:lineRule="auto"/>
        <w:rPr>
          <w:szCs w:val="24"/>
        </w:rPr>
      </w:pPr>
      <w:r w:rsidRPr="00BD446D">
        <w:rPr>
          <w:szCs w:val="24"/>
        </w:rPr>
        <w:tab/>
        <w:t>Associate Commissioner, NCES</w:t>
      </w:r>
    </w:p>
    <w:p w:rsidR="001C578D" w:rsidRDefault="001C578D">
      <w:pPr>
        <w:spacing w:after="0" w:line="240" w:lineRule="auto"/>
        <w:rPr>
          <w:szCs w:val="24"/>
        </w:rPr>
      </w:pPr>
    </w:p>
    <w:p w:rsidR="001C578D" w:rsidRDefault="00BD446D">
      <w:pPr>
        <w:spacing w:after="0" w:line="240" w:lineRule="auto"/>
        <w:ind w:firstLine="720"/>
        <w:rPr>
          <w:szCs w:val="24"/>
        </w:rPr>
      </w:pPr>
      <w:r w:rsidRPr="00BD446D">
        <w:rPr>
          <w:szCs w:val="24"/>
        </w:rPr>
        <w:t>Patricia Etienne</w:t>
      </w:r>
    </w:p>
    <w:p w:rsidR="001C578D" w:rsidRDefault="00BD446D" w:rsidP="00821CDA">
      <w:pPr>
        <w:spacing w:after="0" w:line="240" w:lineRule="auto"/>
        <w:ind w:left="720"/>
        <w:rPr>
          <w:szCs w:val="24"/>
        </w:rPr>
      </w:pPr>
      <w:r w:rsidRPr="00BD446D">
        <w:rPr>
          <w:szCs w:val="24"/>
        </w:rPr>
        <w:t>Program Director, Design, Analysis, and Reporting and Assessment Coordination, NCES</w:t>
      </w:r>
    </w:p>
    <w:p w:rsidR="001C578D" w:rsidRDefault="001C578D">
      <w:pPr>
        <w:spacing w:after="0" w:line="240" w:lineRule="auto"/>
        <w:ind w:firstLine="720"/>
        <w:rPr>
          <w:szCs w:val="24"/>
        </w:rPr>
      </w:pPr>
    </w:p>
    <w:p w:rsidR="001C578D" w:rsidRDefault="00BD446D">
      <w:pPr>
        <w:spacing w:after="0" w:line="240" w:lineRule="auto"/>
        <w:ind w:firstLine="720"/>
        <w:rPr>
          <w:szCs w:val="24"/>
        </w:rPr>
      </w:pPr>
      <w:r w:rsidRPr="00BD446D">
        <w:rPr>
          <w:szCs w:val="24"/>
        </w:rPr>
        <w:t>Scott Ferguson</w:t>
      </w:r>
    </w:p>
    <w:p w:rsidR="001C578D" w:rsidRDefault="00BD446D">
      <w:pPr>
        <w:spacing w:after="0" w:line="240" w:lineRule="auto"/>
        <w:rPr>
          <w:szCs w:val="24"/>
        </w:rPr>
      </w:pPr>
      <w:r w:rsidRPr="00BD446D">
        <w:rPr>
          <w:szCs w:val="24"/>
        </w:rPr>
        <w:tab/>
        <w:t>NAEP Project Director, Fulcrum</w:t>
      </w:r>
    </w:p>
    <w:p w:rsidR="001C578D" w:rsidRDefault="001C578D">
      <w:pPr>
        <w:spacing w:after="0" w:line="240" w:lineRule="auto"/>
        <w:ind w:firstLine="720"/>
        <w:rPr>
          <w:szCs w:val="24"/>
        </w:rPr>
      </w:pPr>
    </w:p>
    <w:p w:rsidR="001C578D" w:rsidRDefault="00BD446D">
      <w:pPr>
        <w:spacing w:after="0" w:line="240" w:lineRule="auto"/>
        <w:ind w:firstLine="720"/>
        <w:rPr>
          <w:szCs w:val="24"/>
        </w:rPr>
      </w:pPr>
      <w:r w:rsidRPr="00BD446D">
        <w:rPr>
          <w:szCs w:val="24"/>
        </w:rPr>
        <w:t>Arnold Goldstein</w:t>
      </w:r>
    </w:p>
    <w:p w:rsidR="001C578D" w:rsidRDefault="00BD446D" w:rsidP="00821CDA">
      <w:pPr>
        <w:spacing w:after="0" w:line="240" w:lineRule="auto"/>
        <w:ind w:left="720"/>
        <w:rPr>
          <w:szCs w:val="24"/>
        </w:rPr>
      </w:pPr>
      <w:r w:rsidRPr="00BD446D">
        <w:rPr>
          <w:szCs w:val="24"/>
        </w:rPr>
        <w:t>Statistician, Assessment Reporting and Dissemination, NCES</w:t>
      </w:r>
    </w:p>
    <w:p w:rsidR="001C578D" w:rsidRDefault="001C578D">
      <w:pPr>
        <w:spacing w:after="0" w:line="240" w:lineRule="auto"/>
        <w:rPr>
          <w:szCs w:val="24"/>
        </w:rPr>
      </w:pPr>
    </w:p>
    <w:p w:rsidR="001C578D" w:rsidRDefault="00BD446D">
      <w:pPr>
        <w:spacing w:after="0" w:line="240" w:lineRule="auto"/>
        <w:ind w:firstLine="720"/>
        <w:rPr>
          <w:szCs w:val="24"/>
        </w:rPr>
      </w:pPr>
      <w:r w:rsidRPr="00BD446D">
        <w:rPr>
          <w:szCs w:val="24"/>
        </w:rPr>
        <w:t>Andrew Kolstad</w:t>
      </w:r>
    </w:p>
    <w:p w:rsidR="001C578D" w:rsidRDefault="00BD446D">
      <w:pPr>
        <w:spacing w:after="0" w:line="240" w:lineRule="auto"/>
        <w:ind w:firstLine="720"/>
        <w:rPr>
          <w:szCs w:val="24"/>
        </w:rPr>
      </w:pPr>
      <w:r w:rsidRPr="00BD446D">
        <w:rPr>
          <w:szCs w:val="24"/>
        </w:rPr>
        <w:t>Senior Technical Advisor, NCES</w:t>
      </w:r>
    </w:p>
    <w:p w:rsidR="001C578D" w:rsidRDefault="001C578D">
      <w:pPr>
        <w:spacing w:after="0" w:line="240" w:lineRule="auto"/>
        <w:ind w:firstLine="720"/>
        <w:rPr>
          <w:szCs w:val="24"/>
        </w:rPr>
      </w:pPr>
    </w:p>
    <w:p w:rsidR="001C578D" w:rsidRDefault="00BD446D">
      <w:pPr>
        <w:spacing w:after="0" w:line="240" w:lineRule="auto"/>
        <w:ind w:firstLine="720"/>
        <w:rPr>
          <w:szCs w:val="24"/>
        </w:rPr>
      </w:pPr>
      <w:r w:rsidRPr="00BD446D">
        <w:rPr>
          <w:szCs w:val="24"/>
        </w:rPr>
        <w:t>Andreas Oranje</w:t>
      </w:r>
    </w:p>
    <w:p w:rsidR="001C578D" w:rsidRDefault="00BD446D">
      <w:pPr>
        <w:spacing w:after="0" w:line="240" w:lineRule="auto"/>
        <w:rPr>
          <w:szCs w:val="24"/>
        </w:rPr>
      </w:pPr>
      <w:r w:rsidRPr="00BD446D">
        <w:rPr>
          <w:szCs w:val="24"/>
        </w:rPr>
        <w:tab/>
      </w:r>
      <w:r w:rsidR="001641E1">
        <w:rPr>
          <w:szCs w:val="24"/>
        </w:rPr>
        <w:t xml:space="preserve">NAEP </w:t>
      </w:r>
      <w:r w:rsidRPr="00BD446D">
        <w:rPr>
          <w:szCs w:val="24"/>
        </w:rPr>
        <w:t>Psychometric Director, ETS</w:t>
      </w:r>
    </w:p>
    <w:p w:rsidR="001C578D" w:rsidRDefault="00BD446D">
      <w:pPr>
        <w:spacing w:after="0" w:line="240" w:lineRule="auto"/>
        <w:rPr>
          <w:szCs w:val="24"/>
        </w:rPr>
      </w:pPr>
      <w:r w:rsidRPr="00BD446D">
        <w:rPr>
          <w:szCs w:val="24"/>
        </w:rPr>
        <w:tab/>
      </w:r>
      <w:r w:rsidRPr="00BD446D">
        <w:rPr>
          <w:szCs w:val="24"/>
        </w:rPr>
        <w:tab/>
      </w:r>
    </w:p>
    <w:p w:rsidR="001C578D" w:rsidRDefault="00BD446D">
      <w:pPr>
        <w:spacing w:after="0" w:line="240" w:lineRule="auto"/>
        <w:ind w:firstLine="720"/>
        <w:rPr>
          <w:szCs w:val="24"/>
        </w:rPr>
      </w:pPr>
      <w:r w:rsidRPr="00BD446D">
        <w:rPr>
          <w:szCs w:val="24"/>
        </w:rPr>
        <w:t>Keith F. Rust</w:t>
      </w:r>
    </w:p>
    <w:p w:rsidR="001C578D" w:rsidRDefault="00BD446D">
      <w:pPr>
        <w:spacing w:after="0" w:line="240" w:lineRule="auto"/>
        <w:rPr>
          <w:szCs w:val="24"/>
        </w:rPr>
      </w:pPr>
      <w:r w:rsidRPr="00BD446D">
        <w:rPr>
          <w:szCs w:val="24"/>
        </w:rPr>
        <w:tab/>
        <w:t>Vice-President, Westat</w:t>
      </w:r>
    </w:p>
    <w:p w:rsidR="001C578D" w:rsidRDefault="001C578D">
      <w:pPr>
        <w:spacing w:after="0" w:line="240" w:lineRule="auto"/>
        <w:rPr>
          <w:szCs w:val="24"/>
        </w:rPr>
      </w:pPr>
    </w:p>
    <w:p w:rsidR="001C578D" w:rsidRDefault="00BD446D">
      <w:pPr>
        <w:spacing w:after="0" w:line="240" w:lineRule="auto"/>
        <w:ind w:firstLine="720"/>
        <w:rPr>
          <w:szCs w:val="24"/>
        </w:rPr>
      </w:pPr>
      <w:r w:rsidRPr="00BD446D">
        <w:rPr>
          <w:szCs w:val="24"/>
        </w:rPr>
        <w:lastRenderedPageBreak/>
        <w:t>Holly Spurlock</w:t>
      </w:r>
    </w:p>
    <w:p w:rsidR="001C578D" w:rsidRDefault="00BD446D" w:rsidP="00821CDA">
      <w:pPr>
        <w:spacing w:after="0" w:line="240" w:lineRule="auto"/>
        <w:ind w:left="720"/>
        <w:rPr>
          <w:szCs w:val="24"/>
        </w:rPr>
      </w:pPr>
      <w:r w:rsidRPr="00BD446D">
        <w:rPr>
          <w:szCs w:val="24"/>
        </w:rPr>
        <w:t>Program Director, Assessment Operations, NCES</w:t>
      </w:r>
    </w:p>
    <w:p w:rsidR="001C578D" w:rsidRDefault="001C578D">
      <w:pPr>
        <w:spacing w:after="0" w:line="240" w:lineRule="auto"/>
        <w:ind w:firstLine="720"/>
        <w:rPr>
          <w:szCs w:val="24"/>
        </w:rPr>
      </w:pPr>
    </w:p>
    <w:p w:rsidR="001C578D" w:rsidRDefault="00BD446D">
      <w:pPr>
        <w:spacing w:after="0" w:line="240" w:lineRule="auto"/>
        <w:ind w:firstLine="720"/>
        <w:rPr>
          <w:szCs w:val="24"/>
        </w:rPr>
      </w:pPr>
      <w:r w:rsidRPr="00BD446D">
        <w:rPr>
          <w:szCs w:val="24"/>
        </w:rPr>
        <w:t>Dianne Walsh</w:t>
      </w:r>
    </w:p>
    <w:p w:rsidR="001C578D" w:rsidRDefault="00BD446D">
      <w:pPr>
        <w:spacing w:after="0" w:line="240" w:lineRule="auto"/>
        <w:rPr>
          <w:szCs w:val="24"/>
        </w:rPr>
      </w:pPr>
      <w:r w:rsidRPr="00BD446D">
        <w:rPr>
          <w:szCs w:val="24"/>
        </w:rPr>
        <w:tab/>
        <w:t>Vice-President, Westat</w:t>
      </w:r>
    </w:p>
    <w:p w:rsidR="00040EF1" w:rsidRDefault="00040EF1" w:rsidP="00DC1BD6">
      <w:pPr>
        <w:rPr>
          <w:sz w:val="22"/>
          <w:szCs w:val="22"/>
        </w:rPr>
        <w:sectPr w:rsidR="00040EF1" w:rsidSect="00040EF1">
          <w:type w:val="continuous"/>
          <w:pgSz w:w="12240" w:h="15840" w:code="1"/>
          <w:pgMar w:top="1008" w:right="1008" w:bottom="1008" w:left="1008" w:header="432" w:footer="432" w:gutter="0"/>
          <w:pgNumType w:start="1"/>
          <w:cols w:num="2" w:space="720"/>
          <w:docGrid w:linePitch="360"/>
        </w:sectPr>
      </w:pPr>
    </w:p>
    <w:p w:rsidR="006347CB" w:rsidRDefault="006347CB" w:rsidP="00DC1BD6">
      <w:pPr>
        <w:rPr>
          <w:sz w:val="22"/>
          <w:szCs w:val="22"/>
        </w:rPr>
      </w:pPr>
    </w:p>
    <w:p w:rsidR="001C578D" w:rsidRDefault="006347CB">
      <w:r>
        <w:t xml:space="preserve">In addition, the NAEP Design and Analysis Committee and the NAEP Validity Studies panel members (see </w:t>
      </w:r>
      <w:r w:rsidR="008317B9">
        <w:t xml:space="preserve">appendix </w:t>
      </w:r>
      <w:r>
        <w:t xml:space="preserve">B) have also contributed to NAEP designs on an on-going basis. </w:t>
      </w:r>
    </w:p>
    <w:sectPr w:rsidR="001C578D" w:rsidSect="00040EF1">
      <w:type w:val="continuous"/>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EF1" w:rsidRDefault="00040EF1" w:rsidP="008B60D2">
      <w:r>
        <w:separator/>
      </w:r>
    </w:p>
  </w:endnote>
  <w:endnote w:type="continuationSeparator" w:id="0">
    <w:p w:rsidR="00040EF1" w:rsidRDefault="00040EF1"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1" w:rsidRDefault="00040E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1" w:rsidRDefault="00040EF1">
    <w:pPr>
      <w:pStyle w:val="Footer"/>
    </w:pPr>
    <w: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1" w:rsidRDefault="00040E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1" w:rsidRDefault="00040E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0EF1" w:rsidRDefault="00040EF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1" w:rsidRDefault="00040EF1">
    <w:pPr>
      <w:pStyle w:val="Footer"/>
      <w:tabs>
        <w:tab w:val="clear" w:pos="8640"/>
        <w:tab w:val="right" w:pos="8820"/>
      </w:tabs>
      <w:spacing w:after="0" w:line="240" w:lineRule="auto"/>
    </w:pPr>
    <w:r w:rsidRPr="00BD446D">
      <w:rPr>
        <w:rStyle w:val="PageNumber"/>
        <w:i/>
        <w:sz w:val="20"/>
      </w:rPr>
      <w:t>NAEP 2014-2016 System Clearance: Supporting Statement Part B</w:t>
    </w:r>
    <w:r w:rsidRPr="00BD446D">
      <w:rPr>
        <w:rStyle w:val="PageNumber"/>
        <w:i/>
        <w:sz w:val="20"/>
      </w:rPr>
      <w:tab/>
    </w:r>
    <w:r w:rsidRPr="004C56E6">
      <w:rPr>
        <w:rStyle w:val="PageNumber"/>
        <w:i/>
        <w:sz w:val="20"/>
      </w:rPr>
      <w:t>page-</w:t>
    </w:r>
    <w:r w:rsidRPr="004C56E6">
      <w:rPr>
        <w:rStyle w:val="PageNumber"/>
        <w:i/>
        <w:sz w:val="20"/>
      </w:rPr>
      <w:fldChar w:fldCharType="begin"/>
    </w:r>
    <w:r w:rsidRPr="004C56E6">
      <w:rPr>
        <w:rStyle w:val="PageNumber"/>
        <w:i/>
        <w:sz w:val="20"/>
      </w:rPr>
      <w:instrText xml:space="preserve"> PAGE   \* MERGEFORMAT </w:instrText>
    </w:r>
    <w:r w:rsidRPr="004C56E6">
      <w:rPr>
        <w:rStyle w:val="PageNumber"/>
        <w:i/>
        <w:sz w:val="20"/>
      </w:rPr>
      <w:fldChar w:fldCharType="separate"/>
    </w:r>
    <w:r w:rsidR="00821CDA" w:rsidRPr="00821CDA">
      <w:rPr>
        <w:rStyle w:val="PageNumber"/>
        <w:bCs/>
        <w:i/>
        <w:noProof/>
        <w:sz w:val="20"/>
      </w:rPr>
      <w:t>1</w:t>
    </w:r>
    <w:r w:rsidRPr="004C56E6">
      <w:rPr>
        <w:rStyle w:val="PageNumber"/>
        <w:i/>
        <w:sz w:val="20"/>
      </w:rP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1" w:rsidRDefault="00040EF1">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EF1" w:rsidRDefault="00040EF1" w:rsidP="008B60D2">
      <w:r>
        <w:separator/>
      </w:r>
    </w:p>
  </w:footnote>
  <w:footnote w:type="continuationSeparator" w:id="0">
    <w:p w:rsidR="00040EF1" w:rsidRDefault="00040EF1" w:rsidP="008B6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1" w:rsidRDefault="00040E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1" w:rsidRDefault="00040E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1" w:rsidRDefault="00040E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784C98"/>
    <w:multiLevelType w:val="hybridMultilevel"/>
    <w:tmpl w:val="3BD61110"/>
    <w:lvl w:ilvl="0" w:tplc="0902F6D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4">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33393C"/>
    <w:multiLevelType w:val="hybridMultilevel"/>
    <w:tmpl w:val="D2FCA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10">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5"/>
  </w:num>
  <w:num w:numId="3">
    <w:abstractNumId w:val="6"/>
  </w:num>
  <w:num w:numId="4">
    <w:abstractNumId w:val="0"/>
  </w:num>
  <w:num w:numId="5">
    <w:abstractNumId w:val="8"/>
  </w:num>
  <w:num w:numId="6">
    <w:abstractNumId w:val="3"/>
  </w:num>
  <w:num w:numId="7">
    <w:abstractNumId w:val="4"/>
  </w:num>
  <w:num w:numId="8">
    <w:abstractNumId w:val="2"/>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60D2"/>
    <w:rsid w:val="000149AB"/>
    <w:rsid w:val="00015191"/>
    <w:rsid w:val="00040EF1"/>
    <w:rsid w:val="00045131"/>
    <w:rsid w:val="000451DD"/>
    <w:rsid w:val="000538C1"/>
    <w:rsid w:val="00073660"/>
    <w:rsid w:val="000758CA"/>
    <w:rsid w:val="00082E24"/>
    <w:rsid w:val="00094749"/>
    <w:rsid w:val="00095517"/>
    <w:rsid w:val="00096106"/>
    <w:rsid w:val="000A1550"/>
    <w:rsid w:val="000C2B81"/>
    <w:rsid w:val="00102814"/>
    <w:rsid w:val="00124217"/>
    <w:rsid w:val="00152B15"/>
    <w:rsid w:val="001641E1"/>
    <w:rsid w:val="001658D9"/>
    <w:rsid w:val="00194294"/>
    <w:rsid w:val="001C16B8"/>
    <w:rsid w:val="001C578D"/>
    <w:rsid w:val="001E3CAB"/>
    <w:rsid w:val="001E66B0"/>
    <w:rsid w:val="0021368F"/>
    <w:rsid w:val="00227A4A"/>
    <w:rsid w:val="002409D7"/>
    <w:rsid w:val="00245592"/>
    <w:rsid w:val="0025116D"/>
    <w:rsid w:val="002656EE"/>
    <w:rsid w:val="002927B6"/>
    <w:rsid w:val="002A7DFD"/>
    <w:rsid w:val="002B761C"/>
    <w:rsid w:val="002C184E"/>
    <w:rsid w:val="002C37AB"/>
    <w:rsid w:val="002D5707"/>
    <w:rsid w:val="002E4189"/>
    <w:rsid w:val="00317B25"/>
    <w:rsid w:val="00317DA7"/>
    <w:rsid w:val="003275F9"/>
    <w:rsid w:val="00340DBD"/>
    <w:rsid w:val="003477F9"/>
    <w:rsid w:val="00356772"/>
    <w:rsid w:val="00357351"/>
    <w:rsid w:val="00365514"/>
    <w:rsid w:val="003668F8"/>
    <w:rsid w:val="00380E99"/>
    <w:rsid w:val="003958D6"/>
    <w:rsid w:val="003B26AB"/>
    <w:rsid w:val="003E3237"/>
    <w:rsid w:val="003F72E3"/>
    <w:rsid w:val="003F7B53"/>
    <w:rsid w:val="00403410"/>
    <w:rsid w:val="0042705B"/>
    <w:rsid w:val="0045341D"/>
    <w:rsid w:val="004654EC"/>
    <w:rsid w:val="00485771"/>
    <w:rsid w:val="00490584"/>
    <w:rsid w:val="00490DCA"/>
    <w:rsid w:val="004976B2"/>
    <w:rsid w:val="004A06DD"/>
    <w:rsid w:val="004A2E31"/>
    <w:rsid w:val="004B2E67"/>
    <w:rsid w:val="004C4AA1"/>
    <w:rsid w:val="004C56E6"/>
    <w:rsid w:val="004E0A4F"/>
    <w:rsid w:val="005023F3"/>
    <w:rsid w:val="00507D5A"/>
    <w:rsid w:val="00514F7D"/>
    <w:rsid w:val="00542ABB"/>
    <w:rsid w:val="0055547A"/>
    <w:rsid w:val="005560B2"/>
    <w:rsid w:val="00562414"/>
    <w:rsid w:val="0056324D"/>
    <w:rsid w:val="0057373B"/>
    <w:rsid w:val="005847E6"/>
    <w:rsid w:val="005867BA"/>
    <w:rsid w:val="00593012"/>
    <w:rsid w:val="005A2886"/>
    <w:rsid w:val="005C1B18"/>
    <w:rsid w:val="005C55F0"/>
    <w:rsid w:val="005E1DC9"/>
    <w:rsid w:val="005E3262"/>
    <w:rsid w:val="005F0A52"/>
    <w:rsid w:val="005F7575"/>
    <w:rsid w:val="00602D62"/>
    <w:rsid w:val="00604417"/>
    <w:rsid w:val="006347CB"/>
    <w:rsid w:val="00642A3D"/>
    <w:rsid w:val="0064411E"/>
    <w:rsid w:val="006507AE"/>
    <w:rsid w:val="00661149"/>
    <w:rsid w:val="00674C9C"/>
    <w:rsid w:val="006772D7"/>
    <w:rsid w:val="00682124"/>
    <w:rsid w:val="006858EF"/>
    <w:rsid w:val="00687D4D"/>
    <w:rsid w:val="006B0625"/>
    <w:rsid w:val="006E29BA"/>
    <w:rsid w:val="006E6E7D"/>
    <w:rsid w:val="006F402A"/>
    <w:rsid w:val="00716E0E"/>
    <w:rsid w:val="007276A0"/>
    <w:rsid w:val="00740772"/>
    <w:rsid w:val="00754997"/>
    <w:rsid w:val="007577B9"/>
    <w:rsid w:val="00770AF5"/>
    <w:rsid w:val="00783964"/>
    <w:rsid w:val="007910F5"/>
    <w:rsid w:val="007A19A2"/>
    <w:rsid w:val="007A234D"/>
    <w:rsid w:val="007A4672"/>
    <w:rsid w:val="007B61C7"/>
    <w:rsid w:val="007D578C"/>
    <w:rsid w:val="007E0A4F"/>
    <w:rsid w:val="007E4B3F"/>
    <w:rsid w:val="007F6A01"/>
    <w:rsid w:val="00810B06"/>
    <w:rsid w:val="00821CDA"/>
    <w:rsid w:val="008317B9"/>
    <w:rsid w:val="008474E5"/>
    <w:rsid w:val="00851A54"/>
    <w:rsid w:val="00855D3F"/>
    <w:rsid w:val="00855EEF"/>
    <w:rsid w:val="00860B6A"/>
    <w:rsid w:val="00863CF9"/>
    <w:rsid w:val="00866A2E"/>
    <w:rsid w:val="0089576B"/>
    <w:rsid w:val="008A2D6D"/>
    <w:rsid w:val="008B60D2"/>
    <w:rsid w:val="008D0C8F"/>
    <w:rsid w:val="008D5A1A"/>
    <w:rsid w:val="008D7905"/>
    <w:rsid w:val="008E55F4"/>
    <w:rsid w:val="008E6FC2"/>
    <w:rsid w:val="009022CA"/>
    <w:rsid w:val="00904794"/>
    <w:rsid w:val="00906290"/>
    <w:rsid w:val="009176DE"/>
    <w:rsid w:val="009254FD"/>
    <w:rsid w:val="00933E11"/>
    <w:rsid w:val="0094549A"/>
    <w:rsid w:val="00965F99"/>
    <w:rsid w:val="009761BC"/>
    <w:rsid w:val="00976E5C"/>
    <w:rsid w:val="009905D8"/>
    <w:rsid w:val="00991F34"/>
    <w:rsid w:val="009A56F8"/>
    <w:rsid w:val="009B05DE"/>
    <w:rsid w:val="009E7704"/>
    <w:rsid w:val="009F57FA"/>
    <w:rsid w:val="009F7838"/>
    <w:rsid w:val="00A05DD4"/>
    <w:rsid w:val="00A23E61"/>
    <w:rsid w:val="00A250E7"/>
    <w:rsid w:val="00A3318E"/>
    <w:rsid w:val="00A50906"/>
    <w:rsid w:val="00A64A0F"/>
    <w:rsid w:val="00A662F2"/>
    <w:rsid w:val="00A66F54"/>
    <w:rsid w:val="00A703BC"/>
    <w:rsid w:val="00A86130"/>
    <w:rsid w:val="00A955EA"/>
    <w:rsid w:val="00AC34AB"/>
    <w:rsid w:val="00AD067F"/>
    <w:rsid w:val="00AE1F0E"/>
    <w:rsid w:val="00AF10BF"/>
    <w:rsid w:val="00B15CD1"/>
    <w:rsid w:val="00B276AC"/>
    <w:rsid w:val="00B309DB"/>
    <w:rsid w:val="00B320C8"/>
    <w:rsid w:val="00B352CA"/>
    <w:rsid w:val="00B37871"/>
    <w:rsid w:val="00B5064D"/>
    <w:rsid w:val="00B54CAC"/>
    <w:rsid w:val="00B63AF6"/>
    <w:rsid w:val="00B7228F"/>
    <w:rsid w:val="00B80063"/>
    <w:rsid w:val="00BC09E1"/>
    <w:rsid w:val="00BD446D"/>
    <w:rsid w:val="00BE32A2"/>
    <w:rsid w:val="00BE59D7"/>
    <w:rsid w:val="00BF2F10"/>
    <w:rsid w:val="00C03029"/>
    <w:rsid w:val="00C149EA"/>
    <w:rsid w:val="00C20F39"/>
    <w:rsid w:val="00C24935"/>
    <w:rsid w:val="00C3087C"/>
    <w:rsid w:val="00C335EA"/>
    <w:rsid w:val="00C341CF"/>
    <w:rsid w:val="00C36C2D"/>
    <w:rsid w:val="00C4490C"/>
    <w:rsid w:val="00C8349D"/>
    <w:rsid w:val="00C8701A"/>
    <w:rsid w:val="00CA1623"/>
    <w:rsid w:val="00CA2033"/>
    <w:rsid w:val="00CB2158"/>
    <w:rsid w:val="00CF62EC"/>
    <w:rsid w:val="00D049D9"/>
    <w:rsid w:val="00D135EC"/>
    <w:rsid w:val="00D31703"/>
    <w:rsid w:val="00D34318"/>
    <w:rsid w:val="00D37904"/>
    <w:rsid w:val="00D67650"/>
    <w:rsid w:val="00D734F2"/>
    <w:rsid w:val="00D73CE6"/>
    <w:rsid w:val="00D86A28"/>
    <w:rsid w:val="00D912D8"/>
    <w:rsid w:val="00DB09A6"/>
    <w:rsid w:val="00DC1BD6"/>
    <w:rsid w:val="00DC2BE7"/>
    <w:rsid w:val="00DC4D59"/>
    <w:rsid w:val="00DC5AEB"/>
    <w:rsid w:val="00DE130E"/>
    <w:rsid w:val="00DE3A5D"/>
    <w:rsid w:val="00DF0AD8"/>
    <w:rsid w:val="00DF5722"/>
    <w:rsid w:val="00E05C5C"/>
    <w:rsid w:val="00E12D4D"/>
    <w:rsid w:val="00E25DB2"/>
    <w:rsid w:val="00E45BB9"/>
    <w:rsid w:val="00E464E0"/>
    <w:rsid w:val="00E66D21"/>
    <w:rsid w:val="00E87128"/>
    <w:rsid w:val="00EA60FE"/>
    <w:rsid w:val="00EA6A3E"/>
    <w:rsid w:val="00EB724B"/>
    <w:rsid w:val="00EC06BC"/>
    <w:rsid w:val="00ED4445"/>
    <w:rsid w:val="00EE4CA7"/>
    <w:rsid w:val="00F030B7"/>
    <w:rsid w:val="00F22AF2"/>
    <w:rsid w:val="00F23AA2"/>
    <w:rsid w:val="00F26744"/>
    <w:rsid w:val="00F40513"/>
    <w:rsid w:val="00F430E2"/>
    <w:rsid w:val="00F52D01"/>
    <w:rsid w:val="00F716B4"/>
    <w:rsid w:val="00F8476B"/>
    <w:rsid w:val="00F91827"/>
    <w:rsid w:val="00F94A18"/>
    <w:rsid w:val="00FA271C"/>
    <w:rsid w:val="00FC7DE2"/>
    <w:rsid w:val="00FC7E37"/>
    <w:rsid w:val="00FE1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49AB"/>
    <w:pPr>
      <w:spacing w:after="360" w:line="360" w:lineRule="auto"/>
    </w:pPr>
    <w:rPr>
      <w:rFonts w:ascii="Times New Roman" w:eastAsia="Times New Roman" w:hAnsi="Times New Roman"/>
      <w:sz w:val="24"/>
    </w:rPr>
  </w:style>
  <w:style w:type="paragraph" w:styleId="Heading1">
    <w:name w:val="heading 1"/>
    <w:aliases w:val="H1-Sec.Head"/>
    <w:basedOn w:val="Normal"/>
    <w:next w:val="Normal"/>
    <w:link w:val="Heading1Char"/>
    <w:uiPriority w:val="99"/>
    <w:qFormat/>
    <w:rsid w:val="008B60D2"/>
    <w:pPr>
      <w:keepNext/>
      <w:spacing w:before="240" w:after="60"/>
      <w:outlineLvl w:val="0"/>
    </w:pPr>
    <w:rPr>
      <w:rFonts w:ascii="Arial" w:hAnsi="Arial"/>
      <w:b/>
      <w:kern w:val="28"/>
      <w:sz w:val="28"/>
    </w:rPr>
  </w:style>
  <w:style w:type="paragraph" w:styleId="Heading2">
    <w:name w:val="heading 2"/>
    <w:aliases w:val="H2-Sec. Head"/>
    <w:basedOn w:val="Normal"/>
    <w:next w:val="Normal"/>
    <w:link w:val="Heading2Char"/>
    <w:uiPriority w:val="99"/>
    <w:qFormat/>
    <w:rsid w:val="000149AB"/>
    <w:pPr>
      <w:keepNext/>
      <w:numPr>
        <w:numId w:val="8"/>
      </w:numPr>
      <w:spacing w:before="480" w:after="240"/>
      <w:ind w:left="360"/>
      <w:outlineLvl w:val="1"/>
    </w:pPr>
    <w:rPr>
      <w:b/>
      <w:sz w:val="26"/>
    </w:rPr>
  </w:style>
  <w:style w:type="paragraph" w:styleId="Heading6">
    <w:name w:val="heading 6"/>
    <w:basedOn w:val="Normal"/>
    <w:next w:val="Normal"/>
    <w:link w:val="Heading6Char"/>
    <w:uiPriority w:val="99"/>
    <w:qFormat/>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8B60D2"/>
    <w:rPr>
      <w:rFonts w:ascii="Arial" w:hAnsi="Arial" w:cs="Times New Roman"/>
      <w:b/>
      <w:kern w:val="28"/>
      <w:sz w:val="20"/>
      <w:szCs w:val="20"/>
    </w:rPr>
  </w:style>
  <w:style w:type="character" w:customStyle="1" w:styleId="Heading2Char">
    <w:name w:val="Heading 2 Char"/>
    <w:aliases w:val="H2-Sec. Head Char"/>
    <w:basedOn w:val="DefaultParagraphFont"/>
    <w:link w:val="Heading2"/>
    <w:uiPriority w:val="99"/>
    <w:locked/>
    <w:rsid w:val="000149AB"/>
    <w:rPr>
      <w:rFonts w:ascii="Times New Roman" w:eastAsia="Times New Roman" w:hAnsi="Times New Roman"/>
      <w:b/>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Normal"/>
    <w:uiPriority w:val="99"/>
    <w:qFormat/>
    <w:rsid w:val="008B60D2"/>
    <w:pPr>
      <w:ind w:left="720"/>
      <w:contextualSpacing/>
    </w:p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qFormat/>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9176DE"/>
    <w:pPr>
      <w:tabs>
        <w:tab w:val="left" w:pos="600"/>
        <w:tab w:val="right" w:leader="dot" w:pos="9350"/>
      </w:tabs>
      <w:ind w:left="540" w:hanging="540"/>
    </w:pPr>
    <w:rPr>
      <w:b/>
      <w:noProof/>
      <w:sz w:val="22"/>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uiPriority w:val="99"/>
    <w:semiHidden/>
    <w:rsid w:val="00562414"/>
    <w:rPr>
      <w:rFonts w:cs="Times New Roman"/>
      <w:sz w:val="16"/>
      <w:szCs w:val="16"/>
    </w:rPr>
  </w:style>
  <w:style w:type="paragraph" w:styleId="CommentText">
    <w:name w:val="annotation text"/>
    <w:basedOn w:val="Normal"/>
    <w:link w:val="CommentTextChar"/>
    <w:uiPriority w:val="99"/>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99"/>
    <w:semiHidden/>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0287">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30B32A72-DCEE-461F-86A4-AF4C7D22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284FE-82BB-43D8-824D-24B6C660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1770</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System Clearance Part B</vt:lpstr>
    </vt:vector>
  </TitlesOfParts>
  <Company>ETS</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dc:title>
  <dc:creator>joconnell</dc:creator>
  <cp:lastModifiedBy>Authorised User</cp:lastModifiedBy>
  <cp:revision>16</cp:revision>
  <cp:lastPrinted>2012-10-11T21:43:00Z</cp:lastPrinted>
  <dcterms:created xsi:type="dcterms:W3CDTF">2012-10-24T17:33:00Z</dcterms:created>
  <dcterms:modified xsi:type="dcterms:W3CDTF">2013-01-22T18:21:00Z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