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B6" w:rsidRDefault="004E67D3" w:rsidP="00CE0398">
      <w:r>
        <w:rPr>
          <w:noProof/>
        </w:rPr>
        <w:drawing>
          <wp:inline distT="0" distB="0" distL="0" distR="0">
            <wp:extent cx="4114800" cy="1347421"/>
            <wp:effectExtent l="19050" t="0" r="0" b="0"/>
            <wp:docPr id="1" name="Picture 0" descr="CBECS_Logo_4c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ECS_Logo_4c_horiz.jpg"/>
                    <pic:cNvPicPr/>
                  </pic:nvPicPr>
                  <pic:blipFill>
                    <a:blip r:embed="rId6" cstate="print"/>
                    <a:stretch>
                      <a:fillRect/>
                    </a:stretch>
                  </pic:blipFill>
                  <pic:spPr>
                    <a:xfrm>
                      <a:off x="0" y="0"/>
                      <a:ext cx="4122618" cy="1349981"/>
                    </a:xfrm>
                    <a:prstGeom prst="rect">
                      <a:avLst/>
                    </a:prstGeom>
                  </pic:spPr>
                </pic:pic>
              </a:graphicData>
            </a:graphic>
          </wp:inline>
        </w:drawing>
      </w:r>
    </w:p>
    <w:p w:rsidR="00FF62E5" w:rsidRDefault="00EE225A">
      <w:r>
        <w:br/>
      </w:r>
      <w:r w:rsidR="005979B6" w:rsidRPr="005C2D53">
        <w:t>The following organizations recognize that the Commercial Buildings Energy Consumption Survey (CBECS) provides critically important information to support programs that promote energy efficiency in commercial buildings in the U.S. These organizations strongly encourage participation in the 2012 CBECS.</w:t>
      </w:r>
    </w:p>
    <w:p w:rsidR="0052213C" w:rsidRDefault="0052213C" w:rsidP="0052213C">
      <w:pPr>
        <w:spacing w:after="0" w:line="240" w:lineRule="auto"/>
        <w:sectPr w:rsidR="0052213C" w:rsidSect="0052213C">
          <w:pgSz w:w="12240" w:h="15840"/>
          <w:pgMar w:top="720" w:right="1152" w:bottom="1152" w:left="1152" w:header="720" w:footer="720" w:gutter="0"/>
          <w:cols w:space="720"/>
          <w:docGrid w:linePitch="360"/>
        </w:sectPr>
      </w:pPr>
    </w:p>
    <w:p w:rsidR="00F80BCC" w:rsidRPr="00BC37C6" w:rsidRDefault="00F80BCC" w:rsidP="00BC37C6">
      <w:pPr>
        <w:tabs>
          <w:tab w:val="left" w:pos="540"/>
        </w:tabs>
        <w:spacing w:after="80" w:line="240" w:lineRule="auto"/>
        <w:ind w:left="450" w:hanging="270"/>
        <w:rPr>
          <w:i/>
        </w:rPr>
      </w:pPr>
      <w:r w:rsidRPr="00BC37C6">
        <w:rPr>
          <w:i/>
        </w:rPr>
        <w:lastRenderedPageBreak/>
        <w:t>A.I.D. Development Group</w:t>
      </w:r>
    </w:p>
    <w:p w:rsidR="00F80BCC" w:rsidRPr="00BC37C6" w:rsidRDefault="00F80BCC" w:rsidP="00BC37C6">
      <w:pPr>
        <w:tabs>
          <w:tab w:val="left" w:pos="540"/>
        </w:tabs>
        <w:spacing w:after="80" w:line="240" w:lineRule="auto"/>
        <w:ind w:left="450" w:hanging="270"/>
        <w:rPr>
          <w:i/>
        </w:rPr>
      </w:pPr>
      <w:r w:rsidRPr="00BC37C6">
        <w:rPr>
          <w:i/>
        </w:rPr>
        <w:t>American Council for an Energy-Efficient</w:t>
      </w:r>
      <w:r w:rsidR="00BC37C6" w:rsidRPr="00BC37C6">
        <w:rPr>
          <w:i/>
        </w:rPr>
        <w:t xml:space="preserve"> </w:t>
      </w:r>
      <w:r w:rsidRPr="00BC37C6">
        <w:rPr>
          <w:i/>
        </w:rPr>
        <w:t>Economy (ACEEE)</w:t>
      </w:r>
    </w:p>
    <w:p w:rsidR="00F80BCC" w:rsidRPr="00BC37C6" w:rsidRDefault="00F80BCC" w:rsidP="00BC37C6">
      <w:pPr>
        <w:tabs>
          <w:tab w:val="left" w:pos="540"/>
        </w:tabs>
        <w:spacing w:after="80" w:line="240" w:lineRule="auto"/>
        <w:ind w:left="450" w:hanging="270"/>
        <w:rPr>
          <w:i/>
        </w:rPr>
      </w:pPr>
      <w:r w:rsidRPr="00BC37C6">
        <w:rPr>
          <w:i/>
        </w:rPr>
        <w:t>American Hotel &amp; Lodging Association</w:t>
      </w:r>
    </w:p>
    <w:p w:rsidR="00F80BCC" w:rsidRPr="00BC37C6" w:rsidRDefault="00F80BCC" w:rsidP="00BC37C6">
      <w:pPr>
        <w:tabs>
          <w:tab w:val="left" w:pos="540"/>
        </w:tabs>
        <w:spacing w:after="80" w:line="240" w:lineRule="auto"/>
        <w:ind w:left="450" w:hanging="270"/>
        <w:rPr>
          <w:i/>
        </w:rPr>
      </w:pPr>
      <w:r w:rsidRPr="00BC37C6">
        <w:rPr>
          <w:i/>
        </w:rPr>
        <w:t>American Society of Civil Engineers (ASCE)</w:t>
      </w:r>
    </w:p>
    <w:p w:rsidR="00F80BCC" w:rsidRPr="00BC37C6" w:rsidRDefault="00F80BCC" w:rsidP="00BC37C6">
      <w:pPr>
        <w:tabs>
          <w:tab w:val="left" w:pos="540"/>
        </w:tabs>
        <w:spacing w:after="80" w:line="240" w:lineRule="auto"/>
        <w:ind w:left="450" w:hanging="270"/>
        <w:rPr>
          <w:i/>
        </w:rPr>
      </w:pPr>
      <w:r w:rsidRPr="00BC37C6">
        <w:rPr>
          <w:i/>
        </w:rPr>
        <w:t xml:space="preserve">American Society of Interior Designers (ASID) </w:t>
      </w:r>
    </w:p>
    <w:p w:rsidR="00F80BCC" w:rsidRPr="00BC37C6" w:rsidRDefault="00F80BCC" w:rsidP="00BC37C6">
      <w:pPr>
        <w:tabs>
          <w:tab w:val="left" w:pos="540"/>
        </w:tabs>
        <w:spacing w:after="80" w:line="240" w:lineRule="auto"/>
        <w:ind w:left="450" w:hanging="270"/>
        <w:rPr>
          <w:i/>
        </w:rPr>
      </w:pPr>
      <w:r w:rsidRPr="00BC37C6">
        <w:rPr>
          <w:i/>
        </w:rPr>
        <w:t>APPA, "Leadership in Educational Facilities"</w:t>
      </w:r>
    </w:p>
    <w:p w:rsidR="00F80BCC" w:rsidRPr="00BC37C6" w:rsidRDefault="00F80BCC" w:rsidP="00BC37C6">
      <w:pPr>
        <w:tabs>
          <w:tab w:val="left" w:pos="540"/>
        </w:tabs>
        <w:spacing w:after="80" w:line="240" w:lineRule="auto"/>
        <w:ind w:left="450" w:hanging="270"/>
        <w:rPr>
          <w:i/>
        </w:rPr>
      </w:pPr>
      <w:r w:rsidRPr="00BC37C6">
        <w:rPr>
          <w:i/>
        </w:rPr>
        <w:t>Architecture 2030</w:t>
      </w:r>
    </w:p>
    <w:p w:rsidR="00F80BCC" w:rsidRPr="00BC37C6" w:rsidRDefault="00F80BCC" w:rsidP="00BC37C6">
      <w:pPr>
        <w:tabs>
          <w:tab w:val="left" w:pos="540"/>
        </w:tabs>
        <w:spacing w:after="80" w:line="240" w:lineRule="auto"/>
        <w:ind w:left="450" w:hanging="270"/>
        <w:rPr>
          <w:i/>
        </w:rPr>
      </w:pPr>
      <w:r w:rsidRPr="00BC37C6">
        <w:rPr>
          <w:i/>
        </w:rPr>
        <w:t>ASHRAE</w:t>
      </w:r>
    </w:p>
    <w:p w:rsidR="00F80BCC" w:rsidRPr="00BC37C6" w:rsidRDefault="00F80BCC" w:rsidP="00BC37C6">
      <w:pPr>
        <w:tabs>
          <w:tab w:val="left" w:pos="540"/>
        </w:tabs>
        <w:spacing w:after="80" w:line="240" w:lineRule="auto"/>
        <w:ind w:left="450" w:hanging="270"/>
        <w:rPr>
          <w:i/>
        </w:rPr>
      </w:pPr>
      <w:r w:rsidRPr="00BC37C6">
        <w:rPr>
          <w:i/>
        </w:rPr>
        <w:t>Boston Properties</w:t>
      </w:r>
    </w:p>
    <w:p w:rsidR="00F80BCC" w:rsidRPr="00BC37C6" w:rsidRDefault="00F80BCC" w:rsidP="00BC37C6">
      <w:pPr>
        <w:tabs>
          <w:tab w:val="left" w:pos="540"/>
        </w:tabs>
        <w:spacing w:after="80" w:line="240" w:lineRule="auto"/>
        <w:ind w:left="450" w:hanging="270"/>
        <w:rPr>
          <w:i/>
        </w:rPr>
      </w:pPr>
      <w:r w:rsidRPr="00BC37C6">
        <w:rPr>
          <w:i/>
        </w:rPr>
        <w:t>Brandywine Realty Trust</w:t>
      </w:r>
    </w:p>
    <w:p w:rsidR="00F80BCC" w:rsidRPr="00BC37C6" w:rsidRDefault="00F80BCC" w:rsidP="00BC37C6">
      <w:pPr>
        <w:tabs>
          <w:tab w:val="left" w:pos="540"/>
        </w:tabs>
        <w:spacing w:after="80" w:line="240" w:lineRule="auto"/>
        <w:ind w:left="450" w:hanging="270"/>
        <w:rPr>
          <w:i/>
        </w:rPr>
      </w:pPr>
      <w:r w:rsidRPr="00BC37C6">
        <w:rPr>
          <w:i/>
        </w:rPr>
        <w:t>Building Owners and Managers Association (BOMA) International</w:t>
      </w:r>
    </w:p>
    <w:p w:rsidR="00F80BCC" w:rsidRPr="00BC37C6" w:rsidRDefault="00F80BCC" w:rsidP="00BC37C6">
      <w:pPr>
        <w:tabs>
          <w:tab w:val="left" w:pos="540"/>
        </w:tabs>
        <w:spacing w:after="80" w:line="240" w:lineRule="auto"/>
        <w:ind w:left="450" w:hanging="270"/>
        <w:rPr>
          <w:i/>
        </w:rPr>
      </w:pPr>
      <w:proofErr w:type="spellStart"/>
      <w:r w:rsidRPr="00BC37C6">
        <w:rPr>
          <w:i/>
        </w:rPr>
        <w:t>CannonDesign</w:t>
      </w:r>
      <w:proofErr w:type="spellEnd"/>
    </w:p>
    <w:p w:rsidR="00F80BCC" w:rsidRPr="00BC37C6" w:rsidRDefault="00F80BCC" w:rsidP="00BC37C6">
      <w:pPr>
        <w:tabs>
          <w:tab w:val="left" w:pos="540"/>
        </w:tabs>
        <w:spacing w:after="80" w:line="240" w:lineRule="auto"/>
        <w:ind w:left="450" w:hanging="270"/>
        <w:rPr>
          <w:i/>
        </w:rPr>
      </w:pPr>
      <w:r w:rsidRPr="00BC37C6">
        <w:rPr>
          <w:i/>
        </w:rPr>
        <w:t>Cassidy Turley</w:t>
      </w:r>
    </w:p>
    <w:p w:rsidR="00F80BCC" w:rsidRPr="00BC37C6" w:rsidRDefault="00F80BCC" w:rsidP="00BC37C6">
      <w:pPr>
        <w:tabs>
          <w:tab w:val="left" w:pos="540"/>
        </w:tabs>
        <w:spacing w:after="80" w:line="240" w:lineRule="auto"/>
        <w:ind w:left="450" w:hanging="270"/>
        <w:rPr>
          <w:i/>
        </w:rPr>
      </w:pPr>
      <w:r w:rsidRPr="00BC37C6">
        <w:rPr>
          <w:i/>
        </w:rPr>
        <w:t xml:space="preserve">Center for Environmental Innovation in Roofing </w:t>
      </w:r>
    </w:p>
    <w:p w:rsidR="00F80BCC" w:rsidRPr="00BC37C6" w:rsidRDefault="00F80BCC" w:rsidP="00BC37C6">
      <w:pPr>
        <w:tabs>
          <w:tab w:val="left" w:pos="540"/>
        </w:tabs>
        <w:spacing w:after="80" w:line="240" w:lineRule="auto"/>
        <w:ind w:left="450" w:hanging="270"/>
        <w:rPr>
          <w:i/>
        </w:rPr>
      </w:pPr>
      <w:r w:rsidRPr="00BC37C6">
        <w:rPr>
          <w:i/>
        </w:rPr>
        <w:t>Center for Small Business and the Environment</w:t>
      </w:r>
    </w:p>
    <w:p w:rsidR="00F80BCC" w:rsidRPr="00BC37C6" w:rsidRDefault="00F80BCC" w:rsidP="00BC37C6">
      <w:pPr>
        <w:tabs>
          <w:tab w:val="left" w:pos="540"/>
        </w:tabs>
        <w:spacing w:after="80" w:line="240" w:lineRule="auto"/>
        <w:ind w:left="450" w:hanging="270"/>
        <w:rPr>
          <w:i/>
        </w:rPr>
      </w:pPr>
      <w:r w:rsidRPr="00BC37C6">
        <w:rPr>
          <w:i/>
        </w:rPr>
        <w:t>Cushman &amp; Wakefield</w:t>
      </w:r>
    </w:p>
    <w:p w:rsidR="00F80BCC" w:rsidRPr="00BC37C6" w:rsidRDefault="00F80BCC" w:rsidP="00BC37C6">
      <w:pPr>
        <w:tabs>
          <w:tab w:val="left" w:pos="540"/>
        </w:tabs>
        <w:spacing w:after="80" w:line="240" w:lineRule="auto"/>
        <w:ind w:left="450" w:hanging="270"/>
        <w:rPr>
          <w:i/>
        </w:rPr>
      </w:pPr>
      <w:r w:rsidRPr="00BC37C6">
        <w:rPr>
          <w:i/>
        </w:rPr>
        <w:t xml:space="preserve">Duke Realty     </w:t>
      </w:r>
    </w:p>
    <w:p w:rsidR="00F80BCC" w:rsidRPr="00BC37C6" w:rsidRDefault="00F80BCC" w:rsidP="00BC37C6">
      <w:pPr>
        <w:tabs>
          <w:tab w:val="left" w:pos="540"/>
        </w:tabs>
        <w:spacing w:after="80" w:line="240" w:lineRule="auto"/>
        <w:ind w:left="450" w:hanging="270"/>
        <w:rPr>
          <w:i/>
        </w:rPr>
      </w:pPr>
      <w:r w:rsidRPr="00BC37C6">
        <w:rPr>
          <w:i/>
        </w:rPr>
        <w:t>Energy Design Service Systems</w:t>
      </w:r>
    </w:p>
    <w:p w:rsidR="00F80BCC" w:rsidRPr="00BC37C6" w:rsidRDefault="00F80BCC" w:rsidP="00BC37C6">
      <w:pPr>
        <w:tabs>
          <w:tab w:val="left" w:pos="540"/>
        </w:tabs>
        <w:spacing w:after="80" w:line="240" w:lineRule="auto"/>
        <w:ind w:left="450" w:hanging="270"/>
        <w:rPr>
          <w:i/>
        </w:rPr>
      </w:pPr>
      <w:r w:rsidRPr="00BC37C6">
        <w:rPr>
          <w:i/>
        </w:rPr>
        <w:t>Forest City Enterprises</w:t>
      </w:r>
    </w:p>
    <w:p w:rsidR="00F80BCC" w:rsidRPr="00BC37C6" w:rsidRDefault="00F80BCC" w:rsidP="00BC37C6">
      <w:pPr>
        <w:tabs>
          <w:tab w:val="left" w:pos="540"/>
        </w:tabs>
        <w:spacing w:after="80" w:line="240" w:lineRule="auto"/>
        <w:ind w:left="450" w:hanging="270"/>
        <w:rPr>
          <w:i/>
        </w:rPr>
      </w:pPr>
      <w:r w:rsidRPr="00BC37C6">
        <w:rPr>
          <w:i/>
        </w:rPr>
        <w:t>Green Building Initiative (GBI)</w:t>
      </w:r>
    </w:p>
    <w:p w:rsidR="00F80BCC" w:rsidRPr="00BC37C6" w:rsidRDefault="00F80BCC" w:rsidP="00BC37C6">
      <w:pPr>
        <w:tabs>
          <w:tab w:val="left" w:pos="540"/>
        </w:tabs>
        <w:spacing w:after="80" w:line="240" w:lineRule="auto"/>
        <w:ind w:left="450" w:hanging="270"/>
        <w:rPr>
          <w:i/>
        </w:rPr>
      </w:pPr>
      <w:proofErr w:type="spellStart"/>
      <w:r w:rsidRPr="00BC37C6">
        <w:rPr>
          <w:i/>
        </w:rPr>
        <w:t>Grundfos</w:t>
      </w:r>
      <w:proofErr w:type="spellEnd"/>
    </w:p>
    <w:p w:rsidR="00F80BCC" w:rsidRPr="00BC37C6" w:rsidRDefault="00F80BCC" w:rsidP="00BC37C6">
      <w:pPr>
        <w:tabs>
          <w:tab w:val="left" w:pos="540"/>
        </w:tabs>
        <w:spacing w:after="80" w:line="240" w:lineRule="auto"/>
        <w:ind w:left="450" w:hanging="270"/>
        <w:rPr>
          <w:i/>
        </w:rPr>
      </w:pPr>
      <w:r w:rsidRPr="00BC37C6">
        <w:rPr>
          <w:i/>
        </w:rPr>
        <w:t>Illuminating Engineering Society of North America</w:t>
      </w:r>
    </w:p>
    <w:p w:rsidR="00F80BCC" w:rsidRPr="00BC37C6" w:rsidRDefault="00F80BCC" w:rsidP="00BC37C6">
      <w:pPr>
        <w:tabs>
          <w:tab w:val="left" w:pos="540"/>
        </w:tabs>
        <w:spacing w:after="80" w:line="240" w:lineRule="auto"/>
        <w:ind w:left="450" w:hanging="270"/>
        <w:rPr>
          <w:i/>
        </w:rPr>
      </w:pPr>
      <w:r w:rsidRPr="00BC37C6">
        <w:rPr>
          <w:i/>
        </w:rPr>
        <w:t>Institute for Market Transformation (IMT)</w:t>
      </w:r>
    </w:p>
    <w:p w:rsidR="00F80BCC" w:rsidRPr="00BC37C6" w:rsidRDefault="00F80BCC" w:rsidP="00BC37C6">
      <w:pPr>
        <w:tabs>
          <w:tab w:val="left" w:pos="540"/>
        </w:tabs>
        <w:spacing w:after="80" w:line="240" w:lineRule="auto"/>
        <w:ind w:left="450" w:hanging="270"/>
        <w:rPr>
          <w:i/>
        </w:rPr>
      </w:pPr>
      <w:r w:rsidRPr="00BC37C6">
        <w:rPr>
          <w:i/>
        </w:rPr>
        <w:t>International Association of Lighting Designers (IALD)</w:t>
      </w:r>
    </w:p>
    <w:p w:rsidR="00F80BCC" w:rsidRPr="00BC37C6" w:rsidRDefault="00F80BCC" w:rsidP="00BC37C6">
      <w:pPr>
        <w:tabs>
          <w:tab w:val="left" w:pos="540"/>
        </w:tabs>
        <w:spacing w:after="80" w:line="240" w:lineRule="auto"/>
        <w:ind w:left="450" w:hanging="270"/>
        <w:rPr>
          <w:i/>
        </w:rPr>
      </w:pPr>
      <w:r w:rsidRPr="00BC37C6">
        <w:rPr>
          <w:i/>
        </w:rPr>
        <w:t>International Council of Shopping Centers</w:t>
      </w:r>
    </w:p>
    <w:p w:rsidR="00F80BCC" w:rsidRPr="00BC37C6" w:rsidRDefault="00F80BCC" w:rsidP="00BC37C6">
      <w:pPr>
        <w:tabs>
          <w:tab w:val="left" w:pos="540"/>
        </w:tabs>
        <w:spacing w:after="80" w:line="240" w:lineRule="auto"/>
        <w:ind w:left="450" w:hanging="270"/>
        <w:rPr>
          <w:i/>
        </w:rPr>
      </w:pPr>
      <w:proofErr w:type="spellStart"/>
      <w:r w:rsidRPr="00BC37C6">
        <w:rPr>
          <w:i/>
        </w:rPr>
        <w:t>LonMark</w:t>
      </w:r>
      <w:proofErr w:type="spellEnd"/>
      <w:r w:rsidRPr="00BC37C6">
        <w:rPr>
          <w:i/>
        </w:rPr>
        <w:t xml:space="preserve"> International</w:t>
      </w:r>
    </w:p>
    <w:p w:rsidR="00F80BCC" w:rsidRPr="00BC37C6" w:rsidRDefault="00F80BCC" w:rsidP="00BC37C6">
      <w:pPr>
        <w:tabs>
          <w:tab w:val="left" w:pos="540"/>
        </w:tabs>
        <w:spacing w:after="80" w:line="240" w:lineRule="auto"/>
        <w:ind w:left="450" w:hanging="270"/>
        <w:rPr>
          <w:i/>
        </w:rPr>
      </w:pPr>
      <w:r w:rsidRPr="00BC37C6">
        <w:rPr>
          <w:i/>
        </w:rPr>
        <w:lastRenderedPageBreak/>
        <w:t>Lord Green Strategies</w:t>
      </w:r>
    </w:p>
    <w:p w:rsidR="00F80BCC" w:rsidRPr="00BC37C6" w:rsidRDefault="00F80BCC" w:rsidP="00BC37C6">
      <w:pPr>
        <w:tabs>
          <w:tab w:val="left" w:pos="540"/>
        </w:tabs>
        <w:spacing w:after="80" w:line="240" w:lineRule="auto"/>
        <w:ind w:left="450" w:hanging="270"/>
        <w:rPr>
          <w:i/>
        </w:rPr>
      </w:pPr>
      <w:r w:rsidRPr="00BC37C6">
        <w:rPr>
          <w:i/>
        </w:rPr>
        <w:t>Malachite LLC</w:t>
      </w:r>
    </w:p>
    <w:p w:rsidR="00F80BCC" w:rsidRPr="00BC37C6" w:rsidRDefault="00F80BCC" w:rsidP="00BC37C6">
      <w:pPr>
        <w:tabs>
          <w:tab w:val="left" w:pos="540"/>
        </w:tabs>
        <w:spacing w:after="80" w:line="240" w:lineRule="auto"/>
        <w:ind w:left="450" w:hanging="270"/>
        <w:rPr>
          <w:i/>
        </w:rPr>
      </w:pPr>
      <w:r w:rsidRPr="00BC37C6">
        <w:rPr>
          <w:i/>
        </w:rPr>
        <w:t xml:space="preserve">National Association of Electrical Distributors </w:t>
      </w:r>
    </w:p>
    <w:p w:rsidR="00F80BCC" w:rsidRPr="00BC37C6" w:rsidRDefault="00F80BCC" w:rsidP="00BC37C6">
      <w:pPr>
        <w:tabs>
          <w:tab w:val="left" w:pos="540"/>
        </w:tabs>
        <w:spacing w:after="80" w:line="240" w:lineRule="auto"/>
        <w:ind w:left="450" w:hanging="270"/>
        <w:rPr>
          <w:i/>
        </w:rPr>
      </w:pPr>
      <w:r w:rsidRPr="00BC37C6">
        <w:rPr>
          <w:i/>
        </w:rPr>
        <w:t>National Association of Real Estate Investment Trusts</w:t>
      </w:r>
    </w:p>
    <w:p w:rsidR="00F80BCC" w:rsidRPr="00BC37C6" w:rsidRDefault="00F80BCC" w:rsidP="00BC37C6">
      <w:pPr>
        <w:tabs>
          <w:tab w:val="left" w:pos="540"/>
        </w:tabs>
        <w:spacing w:after="80" w:line="240" w:lineRule="auto"/>
        <w:ind w:left="450" w:hanging="270"/>
        <w:rPr>
          <w:i/>
        </w:rPr>
      </w:pPr>
      <w:r w:rsidRPr="00BC37C6">
        <w:rPr>
          <w:i/>
        </w:rPr>
        <w:t>National Environmental Balancing Bureau (NEBB)</w:t>
      </w:r>
    </w:p>
    <w:p w:rsidR="00F80BCC" w:rsidRPr="00BC37C6" w:rsidRDefault="00F80BCC" w:rsidP="00BC37C6">
      <w:pPr>
        <w:tabs>
          <w:tab w:val="left" w:pos="540"/>
        </w:tabs>
        <w:spacing w:after="80" w:line="240" w:lineRule="auto"/>
        <w:ind w:left="450" w:hanging="270"/>
        <w:rPr>
          <w:i/>
        </w:rPr>
      </w:pPr>
      <w:r w:rsidRPr="00BC37C6">
        <w:rPr>
          <w:i/>
        </w:rPr>
        <w:t>National Fenestration Rating Council (NFRC)</w:t>
      </w:r>
    </w:p>
    <w:p w:rsidR="00F80BCC" w:rsidRPr="00BC37C6" w:rsidRDefault="00F80BCC" w:rsidP="00BC37C6">
      <w:pPr>
        <w:tabs>
          <w:tab w:val="left" w:pos="540"/>
        </w:tabs>
        <w:spacing w:after="80" w:line="240" w:lineRule="auto"/>
        <w:ind w:left="450" w:hanging="270"/>
        <w:rPr>
          <w:i/>
        </w:rPr>
      </w:pPr>
      <w:r w:rsidRPr="00BC37C6">
        <w:rPr>
          <w:i/>
        </w:rPr>
        <w:t>National Fire Protection Association</w:t>
      </w:r>
    </w:p>
    <w:p w:rsidR="00F80BCC" w:rsidRPr="00BC37C6" w:rsidRDefault="00F80BCC" w:rsidP="00BC37C6">
      <w:pPr>
        <w:tabs>
          <w:tab w:val="left" w:pos="540"/>
        </w:tabs>
        <w:spacing w:after="80" w:line="240" w:lineRule="auto"/>
        <w:ind w:left="450" w:hanging="270"/>
        <w:rPr>
          <w:i/>
        </w:rPr>
      </w:pPr>
      <w:r w:rsidRPr="00BC37C6">
        <w:rPr>
          <w:i/>
        </w:rPr>
        <w:t>National Institute of Building Sciences (NIBS)</w:t>
      </w:r>
    </w:p>
    <w:p w:rsidR="00F80BCC" w:rsidRPr="00BC37C6" w:rsidRDefault="00F80BCC" w:rsidP="00BC37C6">
      <w:pPr>
        <w:tabs>
          <w:tab w:val="left" w:pos="540"/>
        </w:tabs>
        <w:spacing w:after="80" w:line="240" w:lineRule="auto"/>
        <w:ind w:left="450" w:hanging="270"/>
        <w:rPr>
          <w:i/>
        </w:rPr>
      </w:pPr>
      <w:r w:rsidRPr="00BC37C6">
        <w:rPr>
          <w:i/>
        </w:rPr>
        <w:t>National Insulation Association (NIA)</w:t>
      </w:r>
    </w:p>
    <w:p w:rsidR="00F80BCC" w:rsidRPr="00BC37C6" w:rsidRDefault="00F80BCC" w:rsidP="00BC37C6">
      <w:pPr>
        <w:tabs>
          <w:tab w:val="left" w:pos="540"/>
        </w:tabs>
        <w:spacing w:after="80" w:line="240" w:lineRule="auto"/>
        <w:ind w:left="450" w:hanging="270"/>
        <w:rPr>
          <w:i/>
        </w:rPr>
      </w:pPr>
      <w:proofErr w:type="spellStart"/>
      <w:r w:rsidRPr="00BC37C6">
        <w:rPr>
          <w:i/>
        </w:rPr>
        <w:t>Servidyne</w:t>
      </w:r>
      <w:proofErr w:type="spellEnd"/>
    </w:p>
    <w:p w:rsidR="00F80BCC" w:rsidRPr="00BC37C6" w:rsidRDefault="00F80BCC" w:rsidP="00BC37C6">
      <w:pPr>
        <w:tabs>
          <w:tab w:val="left" w:pos="540"/>
        </w:tabs>
        <w:spacing w:after="80" w:line="240" w:lineRule="auto"/>
        <w:ind w:left="450" w:hanging="270"/>
        <w:rPr>
          <w:i/>
        </w:rPr>
      </w:pPr>
      <w:r w:rsidRPr="00BC37C6">
        <w:rPr>
          <w:i/>
        </w:rPr>
        <w:t>Sheet Metal and Air Conditioning Contractors National Association, Inc (SMACNA, Inc)</w:t>
      </w:r>
    </w:p>
    <w:p w:rsidR="00F80BCC" w:rsidRPr="00BC37C6" w:rsidRDefault="00F80BCC" w:rsidP="00BC37C6">
      <w:pPr>
        <w:tabs>
          <w:tab w:val="left" w:pos="540"/>
        </w:tabs>
        <w:spacing w:after="80" w:line="240" w:lineRule="auto"/>
        <w:ind w:left="450" w:hanging="270"/>
        <w:rPr>
          <w:i/>
        </w:rPr>
      </w:pPr>
      <w:r w:rsidRPr="00BC37C6">
        <w:rPr>
          <w:i/>
        </w:rPr>
        <w:t>Siemens</w:t>
      </w:r>
    </w:p>
    <w:p w:rsidR="00F80BCC" w:rsidRPr="00BC37C6" w:rsidRDefault="00F80BCC" w:rsidP="00BC37C6">
      <w:pPr>
        <w:tabs>
          <w:tab w:val="left" w:pos="540"/>
        </w:tabs>
        <w:spacing w:after="80" w:line="240" w:lineRule="auto"/>
        <w:ind w:left="450" w:hanging="270"/>
        <w:rPr>
          <w:i/>
        </w:rPr>
      </w:pPr>
      <w:r w:rsidRPr="00BC37C6">
        <w:rPr>
          <w:i/>
        </w:rPr>
        <w:t>Spray Polyurethane Foam Alliance (SPFA)</w:t>
      </w:r>
    </w:p>
    <w:p w:rsidR="00F80BCC" w:rsidRPr="00BC37C6" w:rsidRDefault="00F80BCC" w:rsidP="00BC37C6">
      <w:pPr>
        <w:tabs>
          <w:tab w:val="left" w:pos="540"/>
        </w:tabs>
        <w:spacing w:after="80" w:line="240" w:lineRule="auto"/>
        <w:ind w:left="450" w:hanging="270"/>
        <w:rPr>
          <w:i/>
        </w:rPr>
      </w:pPr>
      <w:r w:rsidRPr="00BC37C6">
        <w:rPr>
          <w:i/>
        </w:rPr>
        <w:t>SUN DAY Campaign</w:t>
      </w:r>
    </w:p>
    <w:p w:rsidR="00F80BCC" w:rsidRPr="00BC37C6" w:rsidRDefault="00F80BCC" w:rsidP="00BC37C6">
      <w:pPr>
        <w:tabs>
          <w:tab w:val="left" w:pos="540"/>
        </w:tabs>
        <w:spacing w:after="80" w:line="240" w:lineRule="auto"/>
        <w:ind w:left="450" w:hanging="270"/>
        <w:rPr>
          <w:i/>
        </w:rPr>
      </w:pPr>
      <w:r w:rsidRPr="00BC37C6">
        <w:rPr>
          <w:i/>
        </w:rPr>
        <w:t>The American Institute of Architects (AIA)</w:t>
      </w:r>
    </w:p>
    <w:p w:rsidR="00F80BCC" w:rsidRPr="00BC37C6" w:rsidRDefault="00F80BCC" w:rsidP="00BC37C6">
      <w:pPr>
        <w:tabs>
          <w:tab w:val="left" w:pos="540"/>
        </w:tabs>
        <w:spacing w:after="80" w:line="240" w:lineRule="auto"/>
        <w:ind w:left="450" w:hanging="270"/>
        <w:rPr>
          <w:i/>
        </w:rPr>
      </w:pPr>
      <w:r w:rsidRPr="00BC37C6">
        <w:rPr>
          <w:i/>
        </w:rPr>
        <w:t>The International Association of Plumbing and Mechanical Officials (IAPMO)</w:t>
      </w:r>
    </w:p>
    <w:p w:rsidR="00F80BCC" w:rsidRPr="00BC37C6" w:rsidRDefault="00F80BCC" w:rsidP="00BC37C6">
      <w:pPr>
        <w:tabs>
          <w:tab w:val="left" w:pos="540"/>
        </w:tabs>
        <w:spacing w:after="80" w:line="240" w:lineRule="auto"/>
        <w:ind w:left="450" w:hanging="270"/>
        <w:rPr>
          <w:i/>
        </w:rPr>
      </w:pPr>
      <w:r w:rsidRPr="00BC37C6">
        <w:rPr>
          <w:i/>
        </w:rPr>
        <w:t>The Real Estate Roundtable</w:t>
      </w:r>
    </w:p>
    <w:p w:rsidR="00F80BCC" w:rsidRPr="00BC37C6" w:rsidRDefault="00F80BCC" w:rsidP="00BC37C6">
      <w:pPr>
        <w:tabs>
          <w:tab w:val="left" w:pos="540"/>
        </w:tabs>
        <w:spacing w:after="80" w:line="240" w:lineRule="auto"/>
        <w:ind w:left="450" w:hanging="270"/>
        <w:rPr>
          <w:i/>
        </w:rPr>
      </w:pPr>
      <w:r w:rsidRPr="00BC37C6">
        <w:rPr>
          <w:i/>
        </w:rPr>
        <w:t>Thomas Properties Group, Inc.</w:t>
      </w:r>
    </w:p>
    <w:p w:rsidR="00F80BCC" w:rsidRPr="00BC37C6" w:rsidRDefault="00F80BCC" w:rsidP="00BC37C6">
      <w:pPr>
        <w:tabs>
          <w:tab w:val="left" w:pos="540"/>
        </w:tabs>
        <w:spacing w:after="80" w:line="240" w:lineRule="auto"/>
        <w:ind w:left="450" w:hanging="270"/>
        <w:rPr>
          <w:i/>
        </w:rPr>
      </w:pPr>
      <w:proofErr w:type="spellStart"/>
      <w:r w:rsidRPr="00BC37C6">
        <w:rPr>
          <w:i/>
        </w:rPr>
        <w:t>Transwestern</w:t>
      </w:r>
      <w:proofErr w:type="spellEnd"/>
    </w:p>
    <w:p w:rsidR="00F80BCC" w:rsidRPr="00BC37C6" w:rsidRDefault="00F80BCC" w:rsidP="00BC37C6">
      <w:pPr>
        <w:tabs>
          <w:tab w:val="left" w:pos="540"/>
        </w:tabs>
        <w:spacing w:after="80" w:line="240" w:lineRule="auto"/>
        <w:ind w:left="450" w:hanging="270"/>
        <w:rPr>
          <w:i/>
        </w:rPr>
      </w:pPr>
      <w:r w:rsidRPr="00BC37C6">
        <w:rPr>
          <w:i/>
        </w:rPr>
        <w:t>U.S. Green Building Council</w:t>
      </w:r>
    </w:p>
    <w:p w:rsidR="00F80BCC" w:rsidRPr="00BC37C6" w:rsidRDefault="00F80BCC" w:rsidP="00BC37C6">
      <w:pPr>
        <w:tabs>
          <w:tab w:val="left" w:pos="540"/>
        </w:tabs>
        <w:spacing w:after="80" w:line="240" w:lineRule="auto"/>
        <w:ind w:left="450" w:hanging="270"/>
        <w:rPr>
          <w:i/>
        </w:rPr>
      </w:pPr>
      <w:r w:rsidRPr="00BC37C6">
        <w:rPr>
          <w:i/>
        </w:rPr>
        <w:t>U.S. Environmental Protection Agency ENERGY STAR Program</w:t>
      </w:r>
    </w:p>
    <w:p w:rsidR="00F80BCC" w:rsidRPr="00BC37C6" w:rsidRDefault="00F80BCC" w:rsidP="00BC37C6">
      <w:pPr>
        <w:tabs>
          <w:tab w:val="left" w:pos="540"/>
        </w:tabs>
        <w:spacing w:after="80" w:line="240" w:lineRule="auto"/>
        <w:ind w:left="450" w:hanging="270"/>
        <w:rPr>
          <w:i/>
        </w:rPr>
      </w:pPr>
      <w:r w:rsidRPr="00BC37C6">
        <w:rPr>
          <w:i/>
        </w:rPr>
        <w:t>U.S. Environmental Protection Agency WaterSense Program</w:t>
      </w:r>
    </w:p>
    <w:p w:rsidR="00F80BCC" w:rsidRPr="00BC37C6" w:rsidRDefault="00F80BCC" w:rsidP="00BC37C6">
      <w:pPr>
        <w:tabs>
          <w:tab w:val="left" w:pos="540"/>
        </w:tabs>
        <w:spacing w:after="80" w:line="240" w:lineRule="auto"/>
        <w:ind w:left="450" w:hanging="270"/>
        <w:rPr>
          <w:i/>
        </w:rPr>
      </w:pPr>
      <w:r w:rsidRPr="00BC37C6">
        <w:rPr>
          <w:i/>
        </w:rPr>
        <w:t>USAA Real Estate Company</w:t>
      </w:r>
    </w:p>
    <w:p w:rsidR="004E67D3" w:rsidRPr="00BC37C6" w:rsidRDefault="00F80BCC" w:rsidP="00BC37C6">
      <w:pPr>
        <w:tabs>
          <w:tab w:val="left" w:pos="540"/>
        </w:tabs>
        <w:spacing w:after="80" w:line="240" w:lineRule="auto"/>
        <w:ind w:left="450" w:hanging="270"/>
        <w:rPr>
          <w:i/>
        </w:rPr>
      </w:pPr>
      <w:proofErr w:type="spellStart"/>
      <w:r w:rsidRPr="00BC37C6">
        <w:rPr>
          <w:i/>
        </w:rPr>
        <w:t>Vornado</w:t>
      </w:r>
      <w:proofErr w:type="spellEnd"/>
      <w:r w:rsidRPr="00BC37C6">
        <w:rPr>
          <w:i/>
        </w:rPr>
        <w:t xml:space="preserve"> Realty Trust</w:t>
      </w:r>
    </w:p>
    <w:sectPr w:rsidR="004E67D3" w:rsidRPr="00BC37C6" w:rsidSect="0052213C">
      <w:type w:val="continuous"/>
      <w:pgSz w:w="12240" w:h="15840"/>
      <w:pgMar w:top="720" w:right="1152" w:bottom="1152" w:left="1152"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80704"/>
    <w:multiLevelType w:val="hybridMultilevel"/>
    <w:tmpl w:val="BA4C704E"/>
    <w:lvl w:ilvl="0" w:tplc="0ABC3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D105EB"/>
    <w:multiLevelType w:val="hybridMultilevel"/>
    <w:tmpl w:val="78C236C4"/>
    <w:lvl w:ilvl="0" w:tplc="EEB4FF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79B6"/>
    <w:rsid w:val="00020F88"/>
    <w:rsid w:val="00290336"/>
    <w:rsid w:val="004A188C"/>
    <w:rsid w:val="004E67D3"/>
    <w:rsid w:val="0052213C"/>
    <w:rsid w:val="005979B6"/>
    <w:rsid w:val="005C2D53"/>
    <w:rsid w:val="0089710C"/>
    <w:rsid w:val="00982788"/>
    <w:rsid w:val="00A40BCE"/>
    <w:rsid w:val="00A80CE5"/>
    <w:rsid w:val="00BC37C6"/>
    <w:rsid w:val="00C95ED5"/>
    <w:rsid w:val="00CD0FC2"/>
    <w:rsid w:val="00CE0398"/>
    <w:rsid w:val="00EC51B6"/>
    <w:rsid w:val="00EE179E"/>
    <w:rsid w:val="00EE225A"/>
    <w:rsid w:val="00F80BCC"/>
    <w:rsid w:val="00F90BD5"/>
    <w:rsid w:val="00FF62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7D3"/>
    <w:rPr>
      <w:rFonts w:ascii="Tahoma" w:hAnsi="Tahoma" w:cs="Tahoma"/>
      <w:sz w:val="16"/>
      <w:szCs w:val="16"/>
    </w:rPr>
  </w:style>
  <w:style w:type="paragraph" w:styleId="ListParagraph">
    <w:name w:val="List Paragraph"/>
    <w:basedOn w:val="Normal"/>
    <w:uiPriority w:val="34"/>
    <w:qFormat/>
    <w:rsid w:val="00EC51B6"/>
    <w:pPr>
      <w:ind w:left="720"/>
      <w:contextualSpacing/>
    </w:pPr>
  </w:style>
</w:styles>
</file>

<file path=word/webSettings.xml><?xml version="1.0" encoding="utf-8"?>
<w:webSettings xmlns:r="http://schemas.openxmlformats.org/officeDocument/2006/relationships" xmlns:w="http://schemas.openxmlformats.org/wordprocessingml/2006/main">
  <w:divs>
    <w:div w:id="8209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481A91-D689-44AF-B4A8-04E6359D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Michaels</dc:creator>
  <cp:keywords/>
  <dc:description/>
  <cp:lastModifiedBy>Joelle Michaels</cp:lastModifiedBy>
  <cp:revision>2</cp:revision>
  <cp:lastPrinted>2013-01-24T21:15:00Z</cp:lastPrinted>
  <dcterms:created xsi:type="dcterms:W3CDTF">2013-01-24T21:25:00Z</dcterms:created>
  <dcterms:modified xsi:type="dcterms:W3CDTF">2013-01-24T21:25:00Z</dcterms:modified>
</cp:coreProperties>
</file>