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96" w:rsidRPr="004E3340" w:rsidRDefault="00CB5B96" w:rsidP="00605D51">
      <w:pPr>
        <w:pStyle w:val="DocumentTitle"/>
        <w:rPr>
          <w:b/>
        </w:rPr>
      </w:pPr>
      <w:r w:rsidRPr="004E3340">
        <w:rPr>
          <w:b/>
        </w:rPr>
        <w:t>SUPPORTING STATEMENT</w:t>
      </w:r>
    </w:p>
    <w:p w:rsidR="00CB5B96" w:rsidRPr="004E3340" w:rsidRDefault="00CB5B96" w:rsidP="00605D51">
      <w:pPr>
        <w:pStyle w:val="DocumentTitle"/>
        <w:rPr>
          <w:b/>
        </w:rPr>
      </w:pPr>
      <w:r w:rsidRPr="004E3340">
        <w:rPr>
          <w:b/>
        </w:rPr>
        <w:t>ENVIRONMENTAL PROTECTION AGENCY</w:t>
      </w:r>
    </w:p>
    <w:p w:rsidR="00601CF5" w:rsidRPr="00B54DC3" w:rsidRDefault="004E3340" w:rsidP="00605D51">
      <w:pPr>
        <w:pStyle w:val="DocumentTitle"/>
      </w:pPr>
      <w:bookmarkStart w:id="0" w:name="skip_nav"/>
      <w:r>
        <w:rPr>
          <w:b/>
          <w:bCs/>
        </w:rPr>
        <w:t>NSPS for Petroleum Refineries for which Construction, Reconstruction, or Modification Commenced after May 14, 2007(40 CFR part 60, subpart Ja) (Final Rule)</w:t>
      </w:r>
      <w:bookmarkEnd w:id="0"/>
    </w:p>
    <w:p w:rsidR="00915A5D" w:rsidRPr="00B54DC3" w:rsidRDefault="00915A5D" w:rsidP="00605D51"/>
    <w:p w:rsidR="00601CF5" w:rsidRPr="00B54DC3" w:rsidRDefault="00601CF5" w:rsidP="00ED692A">
      <w:pPr>
        <w:pStyle w:val="SectionHeading"/>
      </w:pPr>
      <w:r w:rsidRPr="00B54DC3">
        <w:t>1.</w:t>
      </w:r>
      <w:r w:rsidR="00E95A7F">
        <w:t xml:space="preserve"> </w:t>
      </w:r>
      <w:r w:rsidRPr="00B54DC3">
        <w:t xml:space="preserve">Identification of the Information Collection </w:t>
      </w:r>
    </w:p>
    <w:p w:rsidR="00601CF5" w:rsidRPr="00B54DC3" w:rsidRDefault="00601CF5" w:rsidP="00ED692A">
      <w:pPr>
        <w:pStyle w:val="SectionSubheading"/>
      </w:pPr>
      <w:r w:rsidRPr="00B54DC3">
        <w:t>1(a)</w:t>
      </w:r>
      <w:r w:rsidR="00E95A7F">
        <w:t xml:space="preserve"> </w:t>
      </w:r>
      <w:r w:rsidRPr="00B54DC3">
        <w:t xml:space="preserve">Title of the Information collection </w:t>
      </w:r>
    </w:p>
    <w:p w:rsidR="00601CF5" w:rsidRPr="00B54DC3" w:rsidRDefault="004E3340" w:rsidP="00ED692A">
      <w:pPr>
        <w:pStyle w:val="BodyFirstline05After12pt"/>
        <w:sectPr w:rsidR="00601CF5" w:rsidRPr="00B54DC3" w:rsidSect="00915A5D">
          <w:footerReference w:type="default" r:id="rId7"/>
          <w:type w:val="continuous"/>
          <w:pgSz w:w="12240" w:h="15840"/>
          <w:pgMar w:top="1440" w:right="1440" w:bottom="1440" w:left="1440" w:header="720" w:footer="720" w:gutter="0"/>
          <w:cols w:space="720"/>
          <w:noEndnote/>
        </w:sectPr>
      </w:pPr>
      <w:r w:rsidRPr="004E3340">
        <w:t>NSPS for Petroleum Refineries for which Construction, Reconstruction, or Modification Commenced after May 14, 2007(40 CFR p</w:t>
      </w:r>
      <w:r>
        <w:t>art 60, subpart Ja)</w:t>
      </w:r>
      <w:r w:rsidR="00560189" w:rsidRPr="00B54DC3">
        <w:t>.</w:t>
      </w:r>
      <w:r w:rsidR="00E95A7F">
        <w:t xml:space="preserve"> </w:t>
      </w:r>
      <w:r w:rsidR="00560189" w:rsidRPr="00B54DC3">
        <w:t>This</w:t>
      </w:r>
      <w:r w:rsidR="0045569A" w:rsidRPr="00B54DC3">
        <w:t xml:space="preserve"> </w:t>
      </w:r>
      <w:r w:rsidR="00560189" w:rsidRPr="00B54DC3">
        <w:t xml:space="preserve">is a </w:t>
      </w:r>
      <w:r w:rsidR="0073289F" w:rsidRPr="00B54DC3">
        <w:t>revision of an existing</w:t>
      </w:r>
      <w:r w:rsidR="00560189" w:rsidRPr="00B54DC3">
        <w:t xml:space="preserve"> information collection request (ICR)</w:t>
      </w:r>
      <w:r w:rsidR="0073289F" w:rsidRPr="00B54DC3">
        <w:t>; the OMB Control Number is 2060-0602</w:t>
      </w:r>
      <w:r w:rsidR="00560189" w:rsidRPr="00B54DC3">
        <w:t xml:space="preserve"> and the EPA tracking number is </w:t>
      </w:r>
      <w:r w:rsidR="001E004A" w:rsidRPr="00B54DC3">
        <w:t>2263.0</w:t>
      </w:r>
      <w:r>
        <w:t>4</w:t>
      </w:r>
      <w:r w:rsidR="00560189" w:rsidRPr="00B54DC3">
        <w:t>.</w:t>
      </w:r>
    </w:p>
    <w:p w:rsidR="00601CF5" w:rsidRPr="00B54DC3" w:rsidRDefault="00601CF5" w:rsidP="00ED692A">
      <w:pPr>
        <w:pStyle w:val="SectionSubheading"/>
      </w:pPr>
      <w:r w:rsidRPr="00B54DC3">
        <w:lastRenderedPageBreak/>
        <w:t>1(b)</w:t>
      </w:r>
      <w:r w:rsidR="00E95A7F">
        <w:t xml:space="preserve"> </w:t>
      </w:r>
      <w:r w:rsidRPr="00B54DC3">
        <w:t xml:space="preserve">Short Characterization/Abstract </w:t>
      </w:r>
    </w:p>
    <w:p w:rsidR="00601CF5" w:rsidRPr="00B54DC3" w:rsidRDefault="00A17975" w:rsidP="00C47585">
      <w:pPr>
        <w:pStyle w:val="BodyFirstline05After12pt"/>
      </w:pPr>
      <w:r w:rsidRPr="00B54DC3">
        <w:t xml:space="preserve">The EPA is </w:t>
      </w:r>
      <w:r w:rsidR="0073289F" w:rsidRPr="00B54DC3">
        <w:t>revising</w:t>
      </w:r>
      <w:r w:rsidR="00B4178C">
        <w:t xml:space="preserve"> </w:t>
      </w:r>
      <w:r w:rsidRPr="00B54DC3">
        <w:t xml:space="preserve">40 CFR </w:t>
      </w:r>
      <w:r w:rsidR="00660282" w:rsidRPr="00B54DC3">
        <w:t>part 60</w:t>
      </w:r>
      <w:r w:rsidRPr="00B54DC3">
        <w:t xml:space="preserve">, </w:t>
      </w:r>
      <w:r w:rsidR="00660282" w:rsidRPr="00B54DC3">
        <w:t>subpart Ja</w:t>
      </w:r>
      <w:r w:rsidRPr="00B54DC3">
        <w:t xml:space="preserve"> </w:t>
      </w:r>
      <w:r w:rsidR="0073289F" w:rsidRPr="00B54DC3">
        <w:t>as it</w:t>
      </w:r>
      <w:r w:rsidRPr="00B54DC3">
        <w:t xml:space="preserve"> appl</w:t>
      </w:r>
      <w:r w:rsidR="0073289F" w:rsidRPr="00B54DC3">
        <w:t>ies</w:t>
      </w:r>
      <w:r w:rsidRPr="00B54DC3">
        <w:t xml:space="preserve"> to </w:t>
      </w:r>
      <w:r w:rsidR="0073289F" w:rsidRPr="00B54DC3">
        <w:t>process heaters</w:t>
      </w:r>
      <w:r w:rsidRPr="00B54DC3">
        <w:t xml:space="preserve"> that are constructed, reconstructed, or modified after </w:t>
      </w:r>
      <w:r w:rsidR="0073289F" w:rsidRPr="00B54DC3">
        <w:t>May 14, 2007 and flares that are constructed, reconstructed, or modified after June 24, 2008</w:t>
      </w:r>
      <w:r w:rsidRPr="00B54DC3">
        <w:t>.</w:t>
      </w:r>
      <w:r w:rsidR="00E95A7F">
        <w:t xml:space="preserve"> </w:t>
      </w:r>
      <w:r w:rsidR="00560189" w:rsidRPr="00B54DC3">
        <w:t>Emissions limitations</w:t>
      </w:r>
      <w:r w:rsidR="00251C34">
        <w:t xml:space="preserve">, which include </w:t>
      </w:r>
      <w:r w:rsidR="00251C34" w:rsidRPr="00B54DC3">
        <w:t>hydrogen sulfide (H</w:t>
      </w:r>
      <w:r w:rsidR="00251C34" w:rsidRPr="00B54DC3">
        <w:rPr>
          <w:rStyle w:val="Subscript"/>
        </w:rPr>
        <w:t>2</w:t>
      </w:r>
      <w:r w:rsidR="00251C34" w:rsidRPr="00B54DC3">
        <w:t>S)</w:t>
      </w:r>
      <w:r w:rsidR="00251C34">
        <w:t xml:space="preserve"> concentration limits,</w:t>
      </w:r>
      <w:r w:rsidR="00560189" w:rsidRPr="00B54DC3">
        <w:t xml:space="preserve"> </w:t>
      </w:r>
      <w:r w:rsidR="00B02B3D">
        <w:t>will</w:t>
      </w:r>
      <w:r w:rsidR="00560189" w:rsidRPr="00B54DC3">
        <w:t xml:space="preserve"> be used to control emissions of nitrogen oxides (NO</w:t>
      </w:r>
      <w:r w:rsidR="00380180">
        <w:rPr>
          <w:rStyle w:val="Subscript"/>
        </w:rPr>
        <w:t>X</w:t>
      </w:r>
      <w:r w:rsidR="00560189" w:rsidRPr="00B54DC3">
        <w:t xml:space="preserve">) </w:t>
      </w:r>
      <w:r w:rsidR="0073289F" w:rsidRPr="00B54DC3">
        <w:t xml:space="preserve">and </w:t>
      </w:r>
      <w:r w:rsidR="00080C2D">
        <w:t>sulfur dioxide (SO</w:t>
      </w:r>
      <w:r w:rsidR="00080C2D" w:rsidRPr="00CB1B50">
        <w:rPr>
          <w:rStyle w:val="Subscript"/>
        </w:rPr>
        <w:t>2</w:t>
      </w:r>
      <w:r w:rsidR="00080C2D">
        <w:t>)</w:t>
      </w:r>
      <w:r w:rsidR="00560189" w:rsidRPr="00B54DC3">
        <w:t>.</w:t>
      </w:r>
      <w:r w:rsidR="00E95A7F">
        <w:t xml:space="preserve"> </w:t>
      </w:r>
      <w:r w:rsidR="00C47585">
        <w:t>Other</w:t>
      </w:r>
      <w:r w:rsidR="00B22272" w:rsidRPr="00B54DC3">
        <w:t xml:space="preserve"> standards </w:t>
      </w:r>
      <w:r w:rsidR="00B02B3D">
        <w:t>will</w:t>
      </w:r>
      <w:r w:rsidR="00B22272" w:rsidRPr="00B54DC3">
        <w:t xml:space="preserve"> apply to </w:t>
      </w:r>
      <w:r w:rsidR="004820C8" w:rsidRPr="00B54DC3">
        <w:t>flaring of fuel gases</w:t>
      </w:r>
      <w:r w:rsidR="00251C34">
        <w:t>, which will reduce emission</w:t>
      </w:r>
      <w:r w:rsidR="00311A67">
        <w:t>s</w:t>
      </w:r>
      <w:r w:rsidR="00251C34">
        <w:t xml:space="preserve"> of NO</w:t>
      </w:r>
      <w:r w:rsidR="00251C34" w:rsidRPr="00CB1B50">
        <w:rPr>
          <w:rStyle w:val="Subscript"/>
        </w:rPr>
        <w:t>X</w:t>
      </w:r>
      <w:r w:rsidR="00251C34">
        <w:t>, SO</w:t>
      </w:r>
      <w:r w:rsidR="00251C34" w:rsidRPr="00CB1B50">
        <w:rPr>
          <w:rStyle w:val="Subscript"/>
        </w:rPr>
        <w:t>2</w:t>
      </w:r>
      <w:r w:rsidR="00251C34">
        <w:t>, carbon monoxide (CO), and volatile organic compounds (VOC)</w:t>
      </w:r>
      <w:r w:rsidR="00B22272" w:rsidRPr="00B54DC3">
        <w:t>.</w:t>
      </w:r>
      <w:r w:rsidR="00E95A7F">
        <w:t xml:space="preserve"> </w:t>
      </w:r>
      <w:r w:rsidR="00251C34">
        <w:t>These standards will require p</w:t>
      </w:r>
      <w:r w:rsidR="000F04A7" w:rsidRPr="00B54DC3">
        <w:t xml:space="preserve">lants </w:t>
      </w:r>
      <w:r w:rsidR="00251C34">
        <w:t>t</w:t>
      </w:r>
      <w:r w:rsidR="000F04A7" w:rsidRPr="00B54DC3">
        <w:t>o conduct an analysis of any exceedance or discharge of SO</w:t>
      </w:r>
      <w:r w:rsidR="000F04A7" w:rsidRPr="00B54DC3">
        <w:rPr>
          <w:rStyle w:val="Subscript"/>
        </w:rPr>
        <w:t>2</w:t>
      </w:r>
      <w:r w:rsidR="000F04A7" w:rsidRPr="00B54DC3">
        <w:t xml:space="preserve"> emissions that exceeds 500 pounds </w:t>
      </w:r>
      <w:r w:rsidR="0073289F" w:rsidRPr="00B54DC3">
        <w:t>in 24 hours or a discharge to a flare exceeding 500,000 standard cubic feet in 24 hours above the baseline flow to the flare</w:t>
      </w:r>
      <w:r w:rsidR="000F04A7" w:rsidRPr="00B54DC3">
        <w:t>.</w:t>
      </w:r>
      <w:r w:rsidR="00E95A7F">
        <w:t xml:space="preserve"> </w:t>
      </w:r>
      <w:r w:rsidR="00950CB4">
        <w:t xml:space="preserve">Plants will be required to </w:t>
      </w:r>
      <w:r w:rsidR="00950CB4" w:rsidRPr="00B54DC3">
        <w:t>monitor the sulfur content and the flow to an affected flare</w:t>
      </w:r>
      <w:r w:rsidR="00950CB4">
        <w:t xml:space="preserve"> to determine if they exceed these thresholds.</w:t>
      </w:r>
      <w:r w:rsidR="00E95A7F">
        <w:t xml:space="preserve"> </w:t>
      </w:r>
      <w:r w:rsidR="00B22272" w:rsidRPr="00B54DC3">
        <w:t xml:space="preserve">Plants </w:t>
      </w:r>
      <w:r w:rsidR="00B02B3D">
        <w:t>will</w:t>
      </w:r>
      <w:r w:rsidR="00B22272" w:rsidRPr="00B54DC3">
        <w:t xml:space="preserve"> </w:t>
      </w:r>
      <w:r w:rsidR="00251C34">
        <w:t xml:space="preserve">also </w:t>
      </w:r>
      <w:r w:rsidR="00B22272" w:rsidRPr="00B54DC3">
        <w:t xml:space="preserve">be required </w:t>
      </w:r>
      <w:r w:rsidR="004820C8" w:rsidRPr="00B54DC3">
        <w:t xml:space="preserve">to prepare </w:t>
      </w:r>
      <w:r w:rsidR="00B22272" w:rsidRPr="00B54DC3">
        <w:t xml:space="preserve">written plans to </w:t>
      </w:r>
      <w:r w:rsidR="000F04A7" w:rsidRPr="00B54DC3">
        <w:t xml:space="preserve">describe </w:t>
      </w:r>
      <w:r w:rsidR="0073289F" w:rsidRPr="00B54DC3">
        <w:t>the flare</w:t>
      </w:r>
      <w:r w:rsidR="00950CB4">
        <w:t>,</w:t>
      </w:r>
      <w:r w:rsidR="0073289F" w:rsidRPr="00B54DC3">
        <w:t xml:space="preserve"> </w:t>
      </w:r>
      <w:r w:rsidR="00950CB4">
        <w:t xml:space="preserve">identify the </w:t>
      </w:r>
      <w:r w:rsidR="0073289F" w:rsidRPr="00B54DC3">
        <w:t>process units connected</w:t>
      </w:r>
      <w:r w:rsidR="00950CB4">
        <w:t xml:space="preserve"> to the flare</w:t>
      </w:r>
      <w:r w:rsidR="0073289F" w:rsidRPr="00B54DC3">
        <w:t xml:space="preserve">, and </w:t>
      </w:r>
      <w:r w:rsidR="00950CB4">
        <w:t xml:space="preserve">describe </w:t>
      </w:r>
      <w:r w:rsidR="000F04A7" w:rsidRPr="00B54DC3">
        <w:t xml:space="preserve">methods to </w:t>
      </w:r>
      <w:r w:rsidR="00B22272" w:rsidRPr="00B54DC3">
        <w:t xml:space="preserve">minimize emissions from </w:t>
      </w:r>
      <w:r w:rsidR="000F04A7" w:rsidRPr="00B54DC3">
        <w:t xml:space="preserve">planned </w:t>
      </w:r>
      <w:r w:rsidR="00B22272" w:rsidRPr="00B54DC3">
        <w:t>startup</w:t>
      </w:r>
      <w:r w:rsidR="004820C8" w:rsidRPr="00B54DC3">
        <w:t xml:space="preserve"> and shutdown of process units</w:t>
      </w:r>
      <w:r w:rsidR="000F04A7" w:rsidRPr="00B54DC3">
        <w:t>.</w:t>
      </w:r>
    </w:p>
    <w:p w:rsidR="004820C8" w:rsidRPr="00B54DC3" w:rsidRDefault="00B22272" w:rsidP="00950CB4">
      <w:pPr>
        <w:pStyle w:val="BodyFirstline05After12pt"/>
      </w:pPr>
      <w:r w:rsidRPr="00B54DC3">
        <w:t xml:space="preserve">Plants </w:t>
      </w:r>
      <w:r w:rsidR="00B02B3D">
        <w:t>will</w:t>
      </w:r>
      <w:r w:rsidRPr="00B54DC3">
        <w:t xml:space="preserve"> be required to use continuous monitoring systems (CMS) or continuous emissions monitoring systems (CEMS), depending on the type</w:t>
      </w:r>
      <w:r w:rsidR="00950CB4">
        <w:t xml:space="preserve"> and size</w:t>
      </w:r>
      <w:r w:rsidRPr="00B54DC3">
        <w:t xml:space="preserve"> of unit, pollutant, and control device.</w:t>
      </w:r>
      <w:r w:rsidR="00E95A7F">
        <w:t xml:space="preserve"> </w:t>
      </w:r>
      <w:r w:rsidR="0073289F" w:rsidRPr="00B54DC3">
        <w:t>Alternative monitoring options</w:t>
      </w:r>
      <w:r w:rsidRPr="00B54DC3">
        <w:t xml:space="preserve"> are included for </w:t>
      </w:r>
      <w:r w:rsidR="0073289F" w:rsidRPr="00B54DC3">
        <w:t xml:space="preserve">small process heaters and </w:t>
      </w:r>
      <w:r w:rsidR="00950CB4">
        <w:t>fuel gases with intrinsically low</w:t>
      </w:r>
      <w:r w:rsidRPr="00B54DC3">
        <w:t xml:space="preserve"> H</w:t>
      </w:r>
      <w:r w:rsidRPr="00B54DC3">
        <w:rPr>
          <w:rStyle w:val="Subscript"/>
        </w:rPr>
        <w:t>2</w:t>
      </w:r>
      <w:r w:rsidR="00660282" w:rsidRPr="00B54DC3">
        <w:t>S</w:t>
      </w:r>
      <w:r w:rsidR="00950CB4">
        <w:t xml:space="preserve"> concentrations</w:t>
      </w:r>
      <w:r w:rsidRPr="00B54DC3">
        <w:t>.</w:t>
      </w:r>
      <w:r w:rsidR="00E95A7F">
        <w:t xml:space="preserve"> </w:t>
      </w:r>
      <w:r w:rsidR="00601CF5" w:rsidRPr="00B54DC3">
        <w:t xml:space="preserve">In general, all NSPS </w:t>
      </w:r>
      <w:r w:rsidR="004820C8" w:rsidRPr="00B54DC3">
        <w:t>recordkeeping and</w:t>
      </w:r>
      <w:r w:rsidR="00950CB4">
        <w:t xml:space="preserve"> reporting</w:t>
      </w:r>
      <w:r w:rsidR="004820C8" w:rsidRPr="00B54DC3">
        <w:t xml:space="preserve"> </w:t>
      </w:r>
      <w:r w:rsidR="00601CF5" w:rsidRPr="00B54DC3">
        <w:t>require</w:t>
      </w:r>
      <w:r w:rsidR="004820C8" w:rsidRPr="00B54DC3">
        <w:t xml:space="preserve">ments for </w:t>
      </w:r>
      <w:r w:rsidR="00601CF5" w:rsidRPr="00B54DC3">
        <w:t xml:space="preserve">initial </w:t>
      </w:r>
      <w:r w:rsidR="004820C8" w:rsidRPr="00B54DC3">
        <w:t>notifications, performance test reports</w:t>
      </w:r>
      <w:r w:rsidR="00601CF5" w:rsidRPr="00B54DC3">
        <w:t xml:space="preserve">, </w:t>
      </w:r>
      <w:r w:rsidR="004820C8" w:rsidRPr="00B54DC3">
        <w:t xml:space="preserve">reports of performance evaluations, and </w:t>
      </w:r>
      <w:r w:rsidR="00601CF5" w:rsidRPr="00B54DC3">
        <w:t>periodic reports</w:t>
      </w:r>
      <w:r w:rsidR="004820C8" w:rsidRPr="00B54DC3">
        <w:t xml:space="preserve"> of excess emissions </w:t>
      </w:r>
      <w:r w:rsidR="00B02B3D">
        <w:t>will</w:t>
      </w:r>
      <w:r w:rsidR="004820C8" w:rsidRPr="00B54DC3">
        <w:t xml:space="preserve"> apply</w:t>
      </w:r>
      <w:r w:rsidR="00601CF5" w:rsidRPr="00B54DC3">
        <w:t>.</w:t>
      </w:r>
      <w:r w:rsidR="00E95A7F">
        <w:t xml:space="preserve"> </w:t>
      </w:r>
      <w:r w:rsidR="004820C8" w:rsidRPr="00B54DC3">
        <w:t xml:space="preserve">Records of certain information listed in the rule </w:t>
      </w:r>
      <w:r w:rsidR="00B02B3D">
        <w:t>will</w:t>
      </w:r>
      <w:r w:rsidR="004820C8" w:rsidRPr="00B54DC3">
        <w:t xml:space="preserve"> also be required to demonstrate conformance w</w:t>
      </w:r>
      <w:r w:rsidR="000F04A7" w:rsidRPr="00B54DC3">
        <w:t>ith specific rule requirements.</w:t>
      </w:r>
    </w:p>
    <w:p w:rsidR="00B62215" w:rsidRPr="00B54DC3" w:rsidRDefault="00B62215" w:rsidP="00DE6E1B">
      <w:pPr>
        <w:pStyle w:val="BodyFirstline05After12pt"/>
      </w:pPr>
      <w:r w:rsidRPr="00B54DC3">
        <w:t xml:space="preserve">The </w:t>
      </w:r>
      <w:r w:rsidR="004E3340">
        <w:t>proposed rule</w:t>
      </w:r>
      <w:r w:rsidRPr="00B54DC3">
        <w:t xml:space="preserve"> ICR for this subpart (2263.02) included estimates of the </w:t>
      </w:r>
      <w:r w:rsidR="00DE6E1B">
        <w:t xml:space="preserve">monitoring, </w:t>
      </w:r>
      <w:r w:rsidRPr="00B54DC3">
        <w:t>recordkeeping</w:t>
      </w:r>
      <w:r w:rsidR="00DE6E1B">
        <w:t>,</w:t>
      </w:r>
      <w:r w:rsidRPr="00B54DC3">
        <w:t xml:space="preserve"> and reporting burden for affected sources at </w:t>
      </w:r>
      <w:r w:rsidR="00D76239" w:rsidRPr="00B54DC3">
        <w:t>18</w:t>
      </w:r>
      <w:r w:rsidRPr="00B54DC3">
        <w:t xml:space="preserve"> plants, including process units and flares.</w:t>
      </w:r>
      <w:r w:rsidR="00E95A7F">
        <w:t xml:space="preserve"> </w:t>
      </w:r>
      <w:r w:rsidRPr="00B54DC3">
        <w:t xml:space="preserve">This ICR estimates burden for </w:t>
      </w:r>
      <w:r w:rsidR="00DE6E1B">
        <w:t>382</w:t>
      </w:r>
      <w:r w:rsidR="0025229C" w:rsidRPr="00B54DC3">
        <w:t xml:space="preserve"> additional </w:t>
      </w:r>
      <w:r w:rsidRPr="00B54DC3">
        <w:t xml:space="preserve">flares expected to become affected facilities </w:t>
      </w:r>
      <w:r w:rsidR="00342CA2">
        <w:t xml:space="preserve">at </w:t>
      </w:r>
      <w:r w:rsidR="00DE6E1B">
        <w:t>132</w:t>
      </w:r>
      <w:r w:rsidR="00342CA2">
        <w:t xml:space="preserve"> additional refineries </w:t>
      </w:r>
      <w:r w:rsidRPr="00B54DC3">
        <w:t xml:space="preserve">over the </w:t>
      </w:r>
      <w:r w:rsidR="00DE6E1B">
        <w:t>first</w:t>
      </w:r>
      <w:r w:rsidR="00DE6E1B" w:rsidRPr="00B54DC3">
        <w:t xml:space="preserve"> </w:t>
      </w:r>
      <w:r w:rsidRPr="00B54DC3">
        <w:t>three years</w:t>
      </w:r>
      <w:r w:rsidR="00997DF3">
        <w:t xml:space="preserve"> (for a total of 400 affected flares at 150 refineries </w:t>
      </w:r>
      <w:r w:rsidR="00997DF3" w:rsidRPr="00B54DC3">
        <w:t xml:space="preserve">over the </w:t>
      </w:r>
      <w:r w:rsidR="00997DF3">
        <w:t>first</w:t>
      </w:r>
      <w:r w:rsidR="00997DF3" w:rsidRPr="00B54DC3">
        <w:t xml:space="preserve"> three years</w:t>
      </w:r>
      <w:r w:rsidR="00997DF3">
        <w:t>)</w:t>
      </w:r>
      <w:r w:rsidRPr="00B54DC3">
        <w:t>.</w:t>
      </w:r>
    </w:p>
    <w:p w:rsidR="00601CF5" w:rsidRPr="00B54DC3" w:rsidRDefault="00601CF5" w:rsidP="00ED692A">
      <w:pPr>
        <w:pStyle w:val="SectionHeading"/>
      </w:pPr>
      <w:r w:rsidRPr="00B54DC3">
        <w:lastRenderedPageBreak/>
        <w:t>2.</w:t>
      </w:r>
      <w:r w:rsidR="00E95A7F">
        <w:t xml:space="preserve"> </w:t>
      </w:r>
      <w:r w:rsidRPr="00B54DC3">
        <w:t xml:space="preserve">Need for and Use of the Collection </w:t>
      </w:r>
    </w:p>
    <w:p w:rsidR="00601CF5" w:rsidRPr="00B54DC3" w:rsidRDefault="00601CF5" w:rsidP="00ED692A">
      <w:pPr>
        <w:pStyle w:val="SectionSubheading"/>
      </w:pPr>
      <w:r w:rsidRPr="00B54DC3">
        <w:t>2(a)</w:t>
      </w:r>
      <w:r w:rsidR="00E95A7F">
        <w:t xml:space="preserve"> </w:t>
      </w:r>
      <w:r w:rsidRPr="00B54DC3">
        <w:t xml:space="preserve">Need/Authority for the Collection </w:t>
      </w:r>
    </w:p>
    <w:p w:rsidR="00601CF5" w:rsidRPr="00B54DC3" w:rsidRDefault="00601CF5" w:rsidP="00ED692A">
      <w:pPr>
        <w:pStyle w:val="BodyFirstline05After12pt"/>
      </w:pPr>
      <w:r w:rsidRPr="00B54DC3">
        <w:t>The EPA is charged under Section 111 of the Clean Air Act (CAA), as amended, to establish standards of performance for new s</w:t>
      </w:r>
      <w:r w:rsidR="00F05F6B" w:rsidRPr="00B54DC3">
        <w:t>tationary sources that reflect:</w:t>
      </w:r>
    </w:p>
    <w:p w:rsidR="00601CF5" w:rsidRPr="00B54DC3" w:rsidRDefault="00B938D8" w:rsidP="00605D51">
      <w:pPr>
        <w:pStyle w:val="QuoteOffset"/>
      </w:pPr>
      <w:r w:rsidRPr="00B54DC3">
        <w:t>“</w:t>
      </w:r>
      <w:r w:rsidR="00601CF5" w:rsidRPr="00B54DC3">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54DC3">
        <w:t>”</w:t>
      </w:r>
      <w:r w:rsidR="00E95A7F">
        <w:t xml:space="preserve"> </w:t>
      </w:r>
      <w:r w:rsidR="00F05F6B" w:rsidRPr="00B54DC3">
        <w:t>Section 111(a)(l).</w:t>
      </w:r>
    </w:p>
    <w:p w:rsidR="00601CF5" w:rsidRPr="00B54DC3" w:rsidRDefault="00601CF5" w:rsidP="00605D51">
      <w:pPr>
        <w:pStyle w:val="BodyFirstline05After12pt"/>
      </w:pPr>
      <w:r w:rsidRPr="00B54DC3">
        <w:t>The Agency refers to this charge as selecting the best demonstrated technology.</w:t>
      </w:r>
      <w:r w:rsidR="00E95A7F">
        <w:t xml:space="preserve"> </w:t>
      </w:r>
      <w:r w:rsidRPr="00B54DC3">
        <w:t xml:space="preserve">Section 111 also requires that the Administrator review and, if appropriate, revise such standards every </w:t>
      </w:r>
      <w:r w:rsidR="001637E8" w:rsidRPr="00B54DC3">
        <w:t>eight</w:t>
      </w:r>
      <w:r w:rsidRPr="00B54DC3">
        <w:t xml:space="preserve"> years.</w:t>
      </w:r>
      <w:r w:rsidR="00E95A7F">
        <w:t xml:space="preserve"> </w:t>
      </w:r>
      <w:r w:rsidRPr="00B54DC3">
        <w:t>In the Administrator</w:t>
      </w:r>
      <w:r w:rsidR="00B938D8" w:rsidRPr="00B54DC3">
        <w:t>’</w:t>
      </w:r>
      <w:r w:rsidRPr="00B54DC3">
        <w:t>s judgment, part</w:t>
      </w:r>
      <w:r w:rsidR="00175663" w:rsidRPr="00B54DC3">
        <w:t xml:space="preserve">iculate matter, carbon monoxide, nitrogen oxides, </w:t>
      </w:r>
      <w:r w:rsidRPr="00B54DC3">
        <w:t>and sulfur oxides emissions from petroleum refineries cause or contribute to air pollution that may reasonably be anticipated to endanger public health or welfare.</w:t>
      </w:r>
      <w:r w:rsidR="00E95A7F">
        <w:t xml:space="preserve"> </w:t>
      </w:r>
      <w:r w:rsidRPr="00B54DC3">
        <w:t>Therefore, NSPS were promulgated for this source categor</w:t>
      </w:r>
      <w:r w:rsidR="00F05F6B" w:rsidRPr="00B54DC3">
        <w:t xml:space="preserve">y at 40 CFR </w:t>
      </w:r>
      <w:r w:rsidR="00660282" w:rsidRPr="00B54DC3">
        <w:t>part 60</w:t>
      </w:r>
      <w:r w:rsidR="00F05F6B" w:rsidRPr="00B54DC3">
        <w:t xml:space="preserve">, </w:t>
      </w:r>
      <w:r w:rsidR="00660282" w:rsidRPr="00B54DC3">
        <w:t>s</w:t>
      </w:r>
      <w:r w:rsidR="00F05F6B" w:rsidRPr="00B54DC3">
        <w:t>ubpart J</w:t>
      </w:r>
      <w:r w:rsidR="00833A12" w:rsidRPr="00B54DC3">
        <w:t xml:space="preserve"> and 40 CFR part 60, subpart Ja</w:t>
      </w:r>
      <w:r w:rsidR="00A17975" w:rsidRPr="00B54DC3">
        <w:t xml:space="preserve">, and </w:t>
      </w:r>
      <w:r w:rsidR="00833A12" w:rsidRPr="00B54DC3">
        <w:t>those</w:t>
      </w:r>
      <w:r w:rsidR="00A17975" w:rsidRPr="00B54DC3">
        <w:t xml:space="preserve"> standards are being </w:t>
      </w:r>
      <w:r w:rsidR="00833A12" w:rsidRPr="00B54DC3">
        <w:t>revised</w:t>
      </w:r>
      <w:r w:rsidR="00F05F6B" w:rsidRPr="00B54DC3">
        <w:t>.</w:t>
      </w:r>
    </w:p>
    <w:p w:rsidR="00601CF5" w:rsidRPr="00B54DC3" w:rsidRDefault="00601CF5" w:rsidP="00ED692A">
      <w:pPr>
        <w:pStyle w:val="SectionSubheading"/>
      </w:pPr>
      <w:r w:rsidRPr="00B54DC3">
        <w:t>2(b)</w:t>
      </w:r>
      <w:r w:rsidR="00E95A7F">
        <w:t xml:space="preserve"> </w:t>
      </w:r>
      <w:r w:rsidRPr="00B54DC3">
        <w:t xml:space="preserve">Practical Utility/Users of the Data </w:t>
      </w:r>
    </w:p>
    <w:p w:rsidR="00601CF5" w:rsidRPr="00B54DC3" w:rsidRDefault="00601CF5" w:rsidP="00B4178C">
      <w:pPr>
        <w:pStyle w:val="BodyFirstline05After12pt"/>
      </w:pPr>
      <w:r w:rsidRPr="00B54DC3">
        <w:t>The required notifications are used to inform the Agency or delegated authority when a source becomes subject to the standard.</w:t>
      </w:r>
      <w:r w:rsidR="00E95A7F">
        <w:t xml:space="preserve"> </w:t>
      </w:r>
      <w:r w:rsidRPr="00B54DC3">
        <w:t>The reviewing authority may then inspect the source to check if the pollution control devices are properly installed and operated and that the standard is being met</w:t>
      </w:r>
      <w:r w:rsidR="00B938D8" w:rsidRPr="00B54DC3">
        <w:t>.</w:t>
      </w:r>
      <w:r w:rsidR="00E95A7F">
        <w:t xml:space="preserve"> </w:t>
      </w:r>
      <w:r w:rsidRPr="00B54DC3">
        <w:t>Performance test reports are needed as these are the Agency</w:t>
      </w:r>
      <w:r w:rsidR="00B938D8" w:rsidRPr="00B54DC3">
        <w:t>’</w:t>
      </w:r>
      <w:r w:rsidRPr="00B54DC3">
        <w:t>s record of a source</w:t>
      </w:r>
      <w:r w:rsidR="00B938D8" w:rsidRPr="00B54DC3">
        <w:t>’</w:t>
      </w:r>
      <w:r w:rsidRPr="00B54DC3">
        <w:t>s initial capability to comply with the emission standard, and/or note the operating conditions (</w:t>
      </w:r>
      <w:r w:rsidR="0080393C" w:rsidRPr="00CB1B50">
        <w:rPr>
          <w:rStyle w:val="Italic"/>
        </w:rPr>
        <w:t>e.g.</w:t>
      </w:r>
      <w:r w:rsidR="0080393C">
        <w:t xml:space="preserve">, </w:t>
      </w:r>
      <w:r w:rsidR="00B4178C" w:rsidRPr="00A12E00">
        <w:t>maximum hydrogen sulfide levels in the fuel gas</w:t>
      </w:r>
      <w:r w:rsidRPr="00B54DC3">
        <w:t>) under which compliance was achieved.</w:t>
      </w:r>
      <w:r w:rsidR="00E95A7F">
        <w:t xml:space="preserve"> </w:t>
      </w:r>
      <w:r w:rsidRPr="00B54DC3">
        <w:t>The semiannual reports are used for problem identification, as a check on source operation and maintenance, and</w:t>
      </w:r>
      <w:r w:rsidR="000F04A7" w:rsidRPr="00B54DC3">
        <w:t xml:space="preserve"> for compliance determinations.</w:t>
      </w:r>
    </w:p>
    <w:p w:rsidR="00601CF5" w:rsidRPr="00B54DC3" w:rsidRDefault="00997DF3" w:rsidP="00ED692A">
      <w:pPr>
        <w:pStyle w:val="BodyFirstline05After12pt"/>
      </w:pPr>
      <w:r>
        <w:t xml:space="preserve">The </w:t>
      </w:r>
      <w:r w:rsidR="00601CF5" w:rsidRPr="00B54DC3">
        <w:t>EPA reduced the reporting frequency for this information from quarterly to semiannually.</w:t>
      </w:r>
      <w:r w:rsidR="00E95A7F">
        <w:t xml:space="preserve"> </w:t>
      </w:r>
      <w:r w:rsidR="00601CF5" w:rsidRPr="00B54DC3">
        <w:t>The information generated by the monitoring, recordkeeping and reporting requirements described in this ICR is used by the Agency to ensure that facilities affected by the NSPS continue to operate the control equipment and achieve compliance with the standards</w:t>
      </w:r>
      <w:r w:rsidR="00B938D8" w:rsidRPr="00B54DC3">
        <w:t>.</w:t>
      </w:r>
      <w:r w:rsidR="00E95A7F">
        <w:t xml:space="preserve"> </w:t>
      </w:r>
      <w:r w:rsidR="00601CF5" w:rsidRPr="00B54DC3">
        <w:t xml:space="preserve">Adequate monitoring, recordkeeping, and reporting </w:t>
      </w:r>
      <w:r w:rsidR="00A17975" w:rsidRPr="00B54DC3">
        <w:t>are</w:t>
      </w:r>
      <w:r w:rsidR="00601CF5" w:rsidRPr="00B54DC3">
        <w:t xml:space="preserve"> necessary to ensure compliance with the applicable regulations, as required by the Clean Air Act.</w:t>
      </w:r>
      <w:r w:rsidR="00E95A7F">
        <w:t xml:space="preserve"> </w:t>
      </w:r>
      <w:r w:rsidR="00601CF5" w:rsidRPr="00B54DC3">
        <w:t xml:space="preserve">The information collected from recordkeeping and reporting requirements is also used for targeting inspections. </w:t>
      </w:r>
    </w:p>
    <w:p w:rsidR="00601CF5" w:rsidRPr="00B54DC3" w:rsidRDefault="00601CF5" w:rsidP="00ED692A">
      <w:pPr>
        <w:pStyle w:val="SectionHeading"/>
      </w:pPr>
      <w:r w:rsidRPr="00B54DC3">
        <w:t>3.</w:t>
      </w:r>
      <w:r w:rsidR="00E95A7F">
        <w:t xml:space="preserve"> </w:t>
      </w:r>
      <w:r w:rsidRPr="00B54DC3">
        <w:t xml:space="preserve">Nonduplication, Consultations, and Other Collection Criteria </w:t>
      </w:r>
    </w:p>
    <w:p w:rsidR="00601CF5" w:rsidRPr="00B54DC3" w:rsidRDefault="00601CF5" w:rsidP="00B91D7F">
      <w:pPr>
        <w:pStyle w:val="BodyFirstline05After12pt"/>
      </w:pPr>
      <w:r w:rsidRPr="00B54DC3">
        <w:t xml:space="preserve">The recordkeeping and reporting requested is required </w:t>
      </w:r>
      <w:r w:rsidR="00457B03">
        <w:t>fo</w:t>
      </w:r>
      <w:r w:rsidR="00311A67">
        <w:t xml:space="preserve">r sources subject to </w:t>
      </w:r>
      <w:r w:rsidRPr="00B54DC3">
        <w:t xml:space="preserve">40 CFR </w:t>
      </w:r>
      <w:r w:rsidR="00660282" w:rsidRPr="00B54DC3">
        <w:t>part 60</w:t>
      </w:r>
      <w:r w:rsidRPr="00B54DC3">
        <w:t xml:space="preserve">, </w:t>
      </w:r>
      <w:r w:rsidR="00660282" w:rsidRPr="00B54DC3">
        <w:t>subpart Ja</w:t>
      </w:r>
      <w:r w:rsidRPr="00B54DC3">
        <w:t>.</w:t>
      </w:r>
      <w:r w:rsidR="00E95A7F">
        <w:t xml:space="preserve"> </w:t>
      </w:r>
      <w:r w:rsidR="00175663" w:rsidRPr="00B54DC3">
        <w:t xml:space="preserve">Existing refineries </w:t>
      </w:r>
      <w:r w:rsidR="0080393C">
        <w:t xml:space="preserve">that are </w:t>
      </w:r>
      <w:r w:rsidR="00175663" w:rsidRPr="00B54DC3">
        <w:t xml:space="preserve">major sources of hazardous air pollutants are subject to </w:t>
      </w:r>
      <w:r w:rsidR="00175663" w:rsidRPr="00B91D7F">
        <w:t xml:space="preserve">maximum </w:t>
      </w:r>
      <w:r w:rsidR="00AF6562" w:rsidRPr="00B91D7F">
        <w:t xml:space="preserve">achievable </w:t>
      </w:r>
      <w:r w:rsidR="00175663" w:rsidRPr="00B91D7F">
        <w:t>control</w:t>
      </w:r>
      <w:r w:rsidR="00175663" w:rsidRPr="00B54DC3">
        <w:t xml:space="preserve"> technology (MACT) standards under 40 CFR part 63</w:t>
      </w:r>
      <w:r w:rsidR="00E27D3D" w:rsidRPr="00B54DC3">
        <w:t xml:space="preserve"> </w:t>
      </w:r>
      <w:r w:rsidR="0080393C">
        <w:t xml:space="preserve">subparts CC and UUU </w:t>
      </w:r>
      <w:r w:rsidR="00E27D3D" w:rsidRPr="00B54DC3">
        <w:t>for the control of hazardous air pollutants.</w:t>
      </w:r>
      <w:r w:rsidR="00E95A7F">
        <w:t xml:space="preserve"> </w:t>
      </w:r>
      <w:r w:rsidR="0080393C">
        <w:t xml:space="preserve">Many refineries will also have </w:t>
      </w:r>
      <w:r w:rsidR="000551F1">
        <w:t xml:space="preserve">existing </w:t>
      </w:r>
      <w:r w:rsidR="0080393C">
        <w:t xml:space="preserve">sources that </w:t>
      </w:r>
      <w:r w:rsidR="0080393C" w:rsidRPr="00B54DC3">
        <w:t xml:space="preserve">are subject to the </w:t>
      </w:r>
      <w:r w:rsidR="00F65C3E">
        <w:t xml:space="preserve">emission limitations and associated monitoring, </w:t>
      </w:r>
      <w:r w:rsidR="0080393C" w:rsidRPr="00B54DC3">
        <w:t>recordkeeping</w:t>
      </w:r>
      <w:r w:rsidR="00F65C3E">
        <w:t>,</w:t>
      </w:r>
      <w:r w:rsidR="0080393C" w:rsidRPr="00B54DC3">
        <w:t xml:space="preserve"> and reporting requirements</w:t>
      </w:r>
      <w:r w:rsidR="00F65C3E">
        <w:t xml:space="preserve"> for criteria pollutants</w:t>
      </w:r>
      <w:r w:rsidR="0080393C" w:rsidRPr="00B54DC3">
        <w:t xml:space="preserve"> in 40 CFR part 60, subpart J</w:t>
      </w:r>
      <w:r w:rsidR="0080393C">
        <w:t>.</w:t>
      </w:r>
    </w:p>
    <w:p w:rsidR="00601CF5" w:rsidRPr="00B54DC3" w:rsidRDefault="00601CF5" w:rsidP="00ED692A">
      <w:pPr>
        <w:pStyle w:val="SectionSubheading"/>
      </w:pPr>
      <w:r w:rsidRPr="00B54DC3">
        <w:lastRenderedPageBreak/>
        <w:t>3(a)</w:t>
      </w:r>
      <w:r w:rsidR="00E95A7F">
        <w:t xml:space="preserve"> </w:t>
      </w:r>
      <w:r w:rsidRPr="00B54DC3">
        <w:t>Nonduplication</w:t>
      </w:r>
    </w:p>
    <w:p w:rsidR="00601CF5" w:rsidRPr="00B54DC3" w:rsidRDefault="00601CF5" w:rsidP="00165531">
      <w:pPr>
        <w:pStyle w:val="BodyFirstline05After12pt"/>
      </w:pPr>
      <w:r w:rsidRPr="00B54DC3">
        <w:t>If the subject standards have not been delegated, the information is sent directly to the appropriate EPA Regional Office</w:t>
      </w:r>
      <w:r w:rsidR="00B938D8" w:rsidRPr="00B54DC3">
        <w:t>.</w:t>
      </w:r>
      <w:r w:rsidR="00E95A7F">
        <w:t xml:space="preserve"> </w:t>
      </w:r>
      <w:r w:rsidRPr="00B54DC3">
        <w:t>Otherwise, the information is sent directly to the delegated State or local agency.</w:t>
      </w:r>
      <w:r w:rsidR="00E95A7F">
        <w:t xml:space="preserve"> </w:t>
      </w:r>
      <w:r w:rsidR="00165531">
        <w:t>T</w:t>
      </w:r>
      <w:r w:rsidR="00F76588">
        <w:t xml:space="preserve">he flare management plan </w:t>
      </w:r>
      <w:r w:rsidR="00165531">
        <w:t xml:space="preserve">that is </w:t>
      </w:r>
      <w:r w:rsidR="00F76588">
        <w:t>sent to EPA’s Office of Air Quality Planning and Standards</w:t>
      </w:r>
      <w:r w:rsidR="00165531">
        <w:t xml:space="preserve"> (OAQPS) is an exact copy of the</w:t>
      </w:r>
      <w:r w:rsidR="00165531" w:rsidRPr="00165531">
        <w:t xml:space="preserve"> </w:t>
      </w:r>
      <w:r w:rsidR="00165531">
        <w:t xml:space="preserve">flare management plan sent to the </w:t>
      </w:r>
      <w:r w:rsidR="00165531" w:rsidRPr="00B54DC3">
        <w:t>EPA Regional Office</w:t>
      </w:r>
      <w:r w:rsidR="00165531">
        <w:t xml:space="preserve"> or </w:t>
      </w:r>
      <w:r w:rsidR="00165531" w:rsidRPr="00B54DC3">
        <w:t>State or local agency</w:t>
      </w:r>
      <w:r w:rsidR="00165531">
        <w:t>.</w:t>
      </w:r>
      <w:r w:rsidR="00E95A7F">
        <w:t xml:space="preserve"> </w:t>
      </w:r>
      <w:r w:rsidRPr="00B54DC3">
        <w:t>If a State or local agency has adopted their own similar standards to implement the Federal standards, a copy of the report submitted to the State or local agency can be sent to the Administrator in lieu of the report required by the Federal standards.</w:t>
      </w:r>
      <w:r w:rsidR="00E95A7F">
        <w:t xml:space="preserve"> </w:t>
      </w:r>
      <w:r w:rsidRPr="00B54DC3">
        <w:t>Th</w:t>
      </w:r>
      <w:r w:rsidR="000F04A7" w:rsidRPr="00B54DC3">
        <w:t>erefore, no duplication exists.</w:t>
      </w:r>
    </w:p>
    <w:p w:rsidR="00601CF5" w:rsidRPr="00B54DC3" w:rsidRDefault="00601CF5" w:rsidP="00ED692A">
      <w:pPr>
        <w:pStyle w:val="SectionSubheading"/>
      </w:pPr>
      <w:r w:rsidRPr="00B54DC3">
        <w:t>3(b)</w:t>
      </w:r>
      <w:r w:rsidR="00E95A7F">
        <w:t xml:space="preserve"> </w:t>
      </w:r>
      <w:r w:rsidRPr="00B54DC3">
        <w:t xml:space="preserve">Public Notice Required Prior to ICR Submission to OMB </w:t>
      </w:r>
    </w:p>
    <w:p w:rsidR="00E27D3D" w:rsidRPr="00B54DC3" w:rsidRDefault="004E3340" w:rsidP="00ED692A">
      <w:pPr>
        <w:pStyle w:val="BodyFirstline05After12pt"/>
      </w:pPr>
      <w:r>
        <w:t>Public notice was provided via the preamble to the proposed and final rules.</w:t>
      </w:r>
    </w:p>
    <w:p w:rsidR="00601CF5" w:rsidRPr="00B54DC3" w:rsidRDefault="00601CF5" w:rsidP="00ED692A">
      <w:pPr>
        <w:pStyle w:val="SectionSubheading"/>
      </w:pPr>
      <w:r w:rsidRPr="00B54DC3">
        <w:t>3(c)</w:t>
      </w:r>
      <w:r w:rsidR="00E95A7F">
        <w:t xml:space="preserve"> </w:t>
      </w:r>
      <w:r w:rsidRPr="00B54DC3">
        <w:t>Consultations</w:t>
      </w:r>
    </w:p>
    <w:p w:rsidR="004A4742" w:rsidRPr="00B54DC3" w:rsidRDefault="004A4742" w:rsidP="00311A67">
      <w:pPr>
        <w:pStyle w:val="BodyFirstline05After12pt"/>
      </w:pPr>
      <w:r w:rsidRPr="00B54DC3">
        <w:t>The EPA provide</w:t>
      </w:r>
      <w:r w:rsidR="00660282" w:rsidRPr="00B54DC3">
        <w:t>d</w:t>
      </w:r>
      <w:r w:rsidRPr="00B54DC3">
        <w:t xml:space="preserve"> a </w:t>
      </w:r>
      <w:r w:rsidR="00311A67">
        <w:t>45</w:t>
      </w:r>
      <w:r w:rsidRPr="00B54DC3">
        <w:t xml:space="preserve">-day public comment period after proposal of the </w:t>
      </w:r>
      <w:r w:rsidR="00833A12" w:rsidRPr="00B54DC3">
        <w:t>amendments to</w:t>
      </w:r>
      <w:r w:rsidRPr="00B54DC3">
        <w:t xml:space="preserve"> NSPS </w:t>
      </w:r>
      <w:r w:rsidR="00660282" w:rsidRPr="00B54DC3">
        <w:t>subpart Ja</w:t>
      </w:r>
      <w:r w:rsidRPr="00B54DC3">
        <w:t>.</w:t>
      </w:r>
      <w:r w:rsidR="00E95A7F">
        <w:t xml:space="preserve"> </w:t>
      </w:r>
      <w:r w:rsidRPr="00B54DC3">
        <w:t>All affected parties w</w:t>
      </w:r>
      <w:r w:rsidR="00660282" w:rsidRPr="00B54DC3">
        <w:t>ere</w:t>
      </w:r>
      <w:r w:rsidRPr="00B54DC3">
        <w:t xml:space="preserve"> given the opportunity to comment on the proposed </w:t>
      </w:r>
      <w:r w:rsidR="00660282" w:rsidRPr="00B54DC3">
        <w:t>standards</w:t>
      </w:r>
      <w:r w:rsidRPr="00B54DC3">
        <w:t xml:space="preserve"> during this period.</w:t>
      </w:r>
      <w:r w:rsidR="00E95A7F">
        <w:t xml:space="preserve"> </w:t>
      </w:r>
      <w:r w:rsidRPr="00B54DC3">
        <w:t>The EPA consider</w:t>
      </w:r>
      <w:r w:rsidR="00660282" w:rsidRPr="00B54DC3">
        <w:t>ed</w:t>
      </w:r>
      <w:r w:rsidRPr="00B54DC3">
        <w:t xml:space="preserve"> all of the comments received and incorporate</w:t>
      </w:r>
      <w:r w:rsidR="00660282" w:rsidRPr="00B54DC3">
        <w:t>d</w:t>
      </w:r>
      <w:r w:rsidRPr="00B54DC3">
        <w:t xml:space="preserve"> </w:t>
      </w:r>
      <w:r w:rsidR="00660282" w:rsidRPr="00B54DC3">
        <w:t xml:space="preserve">many of </w:t>
      </w:r>
      <w:r w:rsidRPr="00B54DC3">
        <w:t xml:space="preserve">them in developing the final </w:t>
      </w:r>
      <w:r w:rsidR="00660282" w:rsidRPr="00B54DC3">
        <w:t>standards</w:t>
      </w:r>
      <w:r w:rsidRPr="00B54DC3">
        <w:t>.</w:t>
      </w:r>
    </w:p>
    <w:p w:rsidR="00601CF5" w:rsidRPr="00B54DC3" w:rsidRDefault="004A4742" w:rsidP="00C47585">
      <w:pPr>
        <w:pStyle w:val="BodyFirstline05After12pt"/>
      </w:pPr>
      <w:r w:rsidRPr="00B54DC3">
        <w:t xml:space="preserve">During development of the proposed </w:t>
      </w:r>
      <w:r w:rsidR="00660282" w:rsidRPr="00B54DC3">
        <w:t>and promulgated standards</w:t>
      </w:r>
      <w:r w:rsidRPr="00B54DC3">
        <w:t xml:space="preserve">, </w:t>
      </w:r>
      <w:r w:rsidR="00997DF3">
        <w:t xml:space="preserve">the </w:t>
      </w:r>
      <w:r w:rsidRPr="00B54DC3">
        <w:t>EPA held meetings and conference calls with representatives of petroleum refining companies and their trade associations (National Petro</w:t>
      </w:r>
      <w:r w:rsidR="0080393C">
        <w:t>chemicals and</w:t>
      </w:r>
      <w:r w:rsidRPr="00B54DC3">
        <w:t xml:space="preserve"> Refiners Association and American Petroleum Institute)</w:t>
      </w:r>
      <w:r w:rsidR="00557967">
        <w:t>.</w:t>
      </w:r>
      <w:r w:rsidR="00E95A7F">
        <w:t xml:space="preserve"> </w:t>
      </w:r>
      <w:r w:rsidR="00557967">
        <w:t>While these meetings were generally focused on the standards</w:t>
      </w:r>
      <w:r w:rsidR="00C47585">
        <w:t xml:space="preserve"> for process heaters and flares</w:t>
      </w:r>
      <w:r w:rsidR="00557967">
        <w:t>, alternative monitoring,</w:t>
      </w:r>
      <w:r w:rsidR="00833A12" w:rsidRPr="00B54DC3">
        <w:t xml:space="preserve"> </w:t>
      </w:r>
      <w:r w:rsidRPr="00B54DC3">
        <w:t>recordkeeping</w:t>
      </w:r>
      <w:r w:rsidR="00557967">
        <w:t>,</w:t>
      </w:r>
      <w:r w:rsidRPr="00B54DC3">
        <w:t xml:space="preserve"> and reporting requirements </w:t>
      </w:r>
      <w:r w:rsidR="00557967">
        <w:t xml:space="preserve">for certain types of flares </w:t>
      </w:r>
      <w:r w:rsidRPr="00B54DC3">
        <w:t>were discussed</w:t>
      </w:r>
      <w:r w:rsidR="00F65C3E">
        <w:t>, and an alternative water seal monitoring approach was developed that reduces the burden estimates associated with monitoring certain types of flares.</w:t>
      </w:r>
      <w:r w:rsidR="00E95A7F">
        <w:t xml:space="preserve"> </w:t>
      </w:r>
      <w:r w:rsidR="00F65C3E">
        <w:t xml:space="preserve">Meeting minutes and supporting documentation of the issues discussed during these meeting are included in the docket </w:t>
      </w:r>
      <w:r w:rsidR="000551F1">
        <w:t>for this rulemaking (EPA-HQ-OAR-2007-0011)</w:t>
      </w:r>
      <w:r w:rsidR="00F65C3E">
        <w:t>.</w:t>
      </w:r>
    </w:p>
    <w:p w:rsidR="00601CF5" w:rsidRPr="00B54DC3" w:rsidRDefault="00601CF5" w:rsidP="00ED692A">
      <w:pPr>
        <w:pStyle w:val="SectionSubheading"/>
      </w:pPr>
      <w:r w:rsidRPr="00B54DC3">
        <w:t>3(d)</w:t>
      </w:r>
      <w:r w:rsidR="00E95A7F">
        <w:t xml:space="preserve"> </w:t>
      </w:r>
      <w:r w:rsidRPr="00B54DC3">
        <w:t>Effects of Less Frequent Collection</w:t>
      </w:r>
    </w:p>
    <w:p w:rsidR="00601CF5" w:rsidRPr="00B54DC3" w:rsidRDefault="00601CF5" w:rsidP="00ED692A">
      <w:pPr>
        <w:pStyle w:val="BodyFirstline05After12pt"/>
      </w:pPr>
      <w:r w:rsidRPr="00B54DC3">
        <w:t>Less frequent information collection would decrease the margin of assurance that facilities are continuing to meet the standards</w:t>
      </w:r>
      <w:r w:rsidR="00B938D8" w:rsidRPr="00B54DC3">
        <w:t>.</w:t>
      </w:r>
      <w:r w:rsidR="00E95A7F">
        <w:t xml:space="preserve"> </w:t>
      </w:r>
      <w:r w:rsidRPr="00B54DC3">
        <w:t>Requirements for information gathering and recordkeeping are useful techniques to ensure that good operation and maintenance practices are applied and emission limitations are met</w:t>
      </w:r>
      <w:r w:rsidR="00B938D8" w:rsidRPr="00B54DC3">
        <w:t>.</w:t>
      </w:r>
      <w:r w:rsidR="00E95A7F">
        <w:t xml:space="preserve"> </w:t>
      </w:r>
      <w:r w:rsidRPr="00B54DC3">
        <w:t xml:space="preserve">If the information required by these standards was collected less frequently, the likelihood of detecting poor operation and maintenance of control equipment and noncompliance would decrease. </w:t>
      </w:r>
    </w:p>
    <w:p w:rsidR="00601CF5" w:rsidRPr="00B54DC3" w:rsidRDefault="00601CF5" w:rsidP="00ED692A">
      <w:pPr>
        <w:pStyle w:val="SectionSubheading"/>
      </w:pPr>
      <w:r w:rsidRPr="00B54DC3">
        <w:t>3(e)</w:t>
      </w:r>
      <w:r w:rsidR="00E95A7F">
        <w:t xml:space="preserve"> </w:t>
      </w:r>
      <w:r w:rsidR="00B938D8" w:rsidRPr="00B54DC3">
        <w:t>General Guidelines</w:t>
      </w:r>
    </w:p>
    <w:p w:rsidR="00601CF5" w:rsidRPr="00B54DC3" w:rsidRDefault="00601CF5" w:rsidP="00311A67">
      <w:pPr>
        <w:pStyle w:val="BodyFirstline05After12pt"/>
      </w:pPr>
      <w:r w:rsidRPr="00B54DC3">
        <w:t>None of the reporting or recordkeeping requirements</w:t>
      </w:r>
      <w:r w:rsidR="004A4742" w:rsidRPr="00B54DC3">
        <w:t xml:space="preserve"> contained in 40 CFR </w:t>
      </w:r>
      <w:r w:rsidR="00660282" w:rsidRPr="00B54DC3">
        <w:t>part 60</w:t>
      </w:r>
      <w:r w:rsidR="004A4742" w:rsidRPr="00B54DC3">
        <w:t xml:space="preserve">, </w:t>
      </w:r>
      <w:r w:rsidR="00660282" w:rsidRPr="00B54DC3">
        <w:t>subpart Ja</w:t>
      </w:r>
      <w:r w:rsidR="004A4742" w:rsidRPr="00B54DC3">
        <w:t xml:space="preserve"> or otherwise pertinent to this request</w:t>
      </w:r>
      <w:r w:rsidR="00B938D8" w:rsidRPr="00B54DC3">
        <w:t xml:space="preserve"> violate any of the regulations </w:t>
      </w:r>
      <w:r w:rsidRPr="00B54DC3">
        <w:t xml:space="preserve">established by OMB at 5 CFR 1320.6. </w:t>
      </w:r>
    </w:p>
    <w:p w:rsidR="00601CF5" w:rsidRPr="00B54DC3" w:rsidRDefault="00601CF5" w:rsidP="00ED692A">
      <w:pPr>
        <w:pStyle w:val="SectionSubheading"/>
      </w:pPr>
      <w:r w:rsidRPr="00B54DC3">
        <w:lastRenderedPageBreak/>
        <w:t>3(f)</w:t>
      </w:r>
      <w:r w:rsidR="00E95A7F">
        <w:t xml:space="preserve"> </w:t>
      </w:r>
      <w:r w:rsidRPr="00B54DC3">
        <w:t xml:space="preserve">Confidentiality </w:t>
      </w:r>
    </w:p>
    <w:p w:rsidR="00601CF5" w:rsidRPr="00B54DC3" w:rsidRDefault="00601CF5" w:rsidP="00ED692A">
      <w:pPr>
        <w:pStyle w:val="BodyFirstline05After12pt"/>
      </w:pPr>
      <w:r w:rsidRPr="00B54DC3">
        <w:t>The required information consists of emissions data and other information that have been determined not to be private</w:t>
      </w:r>
      <w:r w:rsidR="00B938D8" w:rsidRPr="00B54DC3">
        <w:t>.</w:t>
      </w:r>
      <w:r w:rsidR="00E95A7F">
        <w:t xml:space="preserve"> </w:t>
      </w:r>
      <w:r w:rsidRPr="00B54DC3">
        <w:t xml:space="preserve">However, any information submitted to the Agency for which a claim of confidentiality is made will be safeguarded according to the Agency policies set forth in Title 40, Chapter 1, Part 2, Subpart B </w:t>
      </w:r>
      <w:r w:rsidR="00B938D8" w:rsidRPr="00B54DC3">
        <w:t>–</w:t>
      </w:r>
      <w:r w:rsidRPr="00B54DC3">
        <w:t xml:space="preserve"> Confidentiality of Business Information (see 40 CFR Part 2; 41 FR 36902, September 1, 1976; amended by 43 FR 40000, September 8, 1978; 43 FR 42251, September 20, 1978; 44 FR 17674, March 23, 1979). </w:t>
      </w:r>
    </w:p>
    <w:p w:rsidR="00601CF5" w:rsidRPr="00B54DC3" w:rsidRDefault="00601CF5" w:rsidP="00ED692A">
      <w:pPr>
        <w:pStyle w:val="SectionSubheading"/>
      </w:pPr>
      <w:r w:rsidRPr="00B54DC3">
        <w:t>3(g)</w:t>
      </w:r>
      <w:r w:rsidR="00E95A7F">
        <w:t xml:space="preserve"> </w:t>
      </w:r>
      <w:r w:rsidRPr="00B54DC3">
        <w:t xml:space="preserve">Sensitive Questions </w:t>
      </w:r>
    </w:p>
    <w:p w:rsidR="00601CF5" w:rsidRPr="00B54DC3" w:rsidRDefault="00601CF5" w:rsidP="00ED692A">
      <w:pPr>
        <w:pStyle w:val="BodyFirstline05After12pt"/>
      </w:pPr>
      <w:r w:rsidRPr="00B54DC3">
        <w:t xml:space="preserve">None of the reporting or recordkeeping requirements </w:t>
      </w:r>
      <w:r w:rsidR="004A4742" w:rsidRPr="00B54DC3">
        <w:t xml:space="preserve">contained in 40 CFR </w:t>
      </w:r>
      <w:r w:rsidR="00660282" w:rsidRPr="00B54DC3">
        <w:t>part 60</w:t>
      </w:r>
      <w:r w:rsidR="004A4742" w:rsidRPr="00B54DC3">
        <w:t xml:space="preserve">, </w:t>
      </w:r>
      <w:r w:rsidR="00660282" w:rsidRPr="00B54DC3">
        <w:t>subpart Ja</w:t>
      </w:r>
      <w:r w:rsidR="004A4742" w:rsidRPr="00B54DC3">
        <w:t xml:space="preserve"> or otherwise pertinent to this request </w:t>
      </w:r>
      <w:r w:rsidRPr="00B54DC3">
        <w:t xml:space="preserve">contain sensitive questions. </w:t>
      </w:r>
    </w:p>
    <w:p w:rsidR="00601CF5" w:rsidRPr="00B54DC3" w:rsidRDefault="00601CF5" w:rsidP="00ED692A">
      <w:pPr>
        <w:pStyle w:val="SectionHeading"/>
      </w:pPr>
      <w:r w:rsidRPr="00B54DC3">
        <w:t>4.</w:t>
      </w:r>
      <w:r w:rsidR="00E95A7F">
        <w:t xml:space="preserve"> </w:t>
      </w:r>
      <w:r w:rsidRPr="00B54DC3">
        <w:t xml:space="preserve">The Respondents and the Information Requested </w:t>
      </w:r>
    </w:p>
    <w:p w:rsidR="00601CF5" w:rsidRPr="00B54DC3" w:rsidRDefault="00601CF5" w:rsidP="00ED692A">
      <w:pPr>
        <w:pStyle w:val="SectionSubheading"/>
      </w:pPr>
      <w:r w:rsidRPr="00B54DC3">
        <w:t>4(a)</w:t>
      </w:r>
      <w:r w:rsidR="00E95A7F">
        <w:t xml:space="preserve"> </w:t>
      </w:r>
      <w:r w:rsidRPr="00B54DC3">
        <w:t xml:space="preserve">Respondents/SIC Codes </w:t>
      </w:r>
    </w:p>
    <w:p w:rsidR="00601CF5" w:rsidRPr="00B54DC3" w:rsidRDefault="00601CF5" w:rsidP="00B4178C">
      <w:pPr>
        <w:pStyle w:val="BodyFirstline05After12pt"/>
      </w:pPr>
      <w:r w:rsidRPr="00B54DC3">
        <w:t xml:space="preserve">The respondents of the recordkeeping and reporting requirements </w:t>
      </w:r>
      <w:r w:rsidR="00B4178C">
        <w:t xml:space="preserve">in this ICR </w:t>
      </w:r>
      <w:r w:rsidRPr="00B54DC3">
        <w:t xml:space="preserve">are </w:t>
      </w:r>
      <w:r w:rsidR="00A95D68" w:rsidRPr="00B54DC3">
        <w:t xml:space="preserve">affected </w:t>
      </w:r>
      <w:r w:rsidR="00833A12" w:rsidRPr="00B54DC3">
        <w:t>flares at petroleum refineries which commence construction, modification, or reconstruction after June 24, 2008</w:t>
      </w:r>
      <w:r w:rsidRPr="00B54DC3">
        <w:t>.</w:t>
      </w:r>
      <w:r w:rsidR="00E95A7F">
        <w:t xml:space="preserve"> </w:t>
      </w:r>
      <w:r w:rsidRPr="00B54DC3">
        <w:t>The SIC code for the respondents affected by the standards is SIC (U.S. Standard Industrial Classification) 2911 which corresponds to the NAICS (North American Industry Classification System) 3</w:t>
      </w:r>
      <w:r w:rsidR="00A95D68" w:rsidRPr="00B54DC3">
        <w:t>24110 for petroleum refineries.</w:t>
      </w:r>
    </w:p>
    <w:p w:rsidR="00601CF5" w:rsidRPr="00B54DC3" w:rsidRDefault="00601CF5" w:rsidP="00ED692A">
      <w:pPr>
        <w:pStyle w:val="SectionSubheading"/>
      </w:pPr>
      <w:r w:rsidRPr="00B54DC3">
        <w:t>4(b)</w:t>
      </w:r>
      <w:r w:rsidR="00E95A7F">
        <w:t xml:space="preserve"> </w:t>
      </w:r>
      <w:r w:rsidR="004A4742" w:rsidRPr="00B54DC3">
        <w:t>Information Requested</w:t>
      </w:r>
      <w:r w:rsidRPr="00B54DC3">
        <w:t xml:space="preserve"> </w:t>
      </w:r>
    </w:p>
    <w:p w:rsidR="00601CF5" w:rsidRPr="00B54DC3" w:rsidRDefault="00601CF5" w:rsidP="00ED692A">
      <w:pPr>
        <w:pStyle w:val="SectionLevel3Heading"/>
      </w:pPr>
      <w:r w:rsidRPr="00B54DC3">
        <w:t>(i)</w:t>
      </w:r>
      <w:r w:rsidR="00E95A7F">
        <w:t xml:space="preserve"> </w:t>
      </w:r>
      <w:r w:rsidRPr="00B54DC3">
        <w:rPr>
          <w:rStyle w:val="Underline"/>
        </w:rPr>
        <w:t>Data Items</w:t>
      </w:r>
    </w:p>
    <w:p w:rsidR="00601CF5" w:rsidRPr="00B54DC3" w:rsidRDefault="00601CF5" w:rsidP="00ED692A">
      <w:pPr>
        <w:pStyle w:val="BodyFirstline05After12pt"/>
      </w:pPr>
      <w:r w:rsidRPr="00B54DC3">
        <w:t xml:space="preserve">All data in this ICR that are recorded and/or reported are required by the </w:t>
      </w:r>
      <w:r w:rsidR="00003F65" w:rsidRPr="00B54DC3">
        <w:t xml:space="preserve">Standards of Performance for Petroleum Refineries </w:t>
      </w:r>
      <w:r w:rsidRPr="00B54DC3">
        <w:t xml:space="preserve">(40 CFR </w:t>
      </w:r>
      <w:r w:rsidR="00660282" w:rsidRPr="00B54DC3">
        <w:t>part 60</w:t>
      </w:r>
      <w:r w:rsidRPr="00B54DC3">
        <w:t xml:space="preserve">, </w:t>
      </w:r>
      <w:r w:rsidR="00660282" w:rsidRPr="00B54DC3">
        <w:t>subpart Ja</w:t>
      </w:r>
      <w:r w:rsidRPr="00B54DC3">
        <w:t xml:space="preserve">). </w:t>
      </w:r>
    </w:p>
    <w:p w:rsidR="00601CF5" w:rsidRPr="00B54DC3" w:rsidRDefault="00B4178C" w:rsidP="00B4178C">
      <w:pPr>
        <w:pStyle w:val="BodyFirstline05After12pt"/>
      </w:pPr>
      <w:r w:rsidRPr="00A12E00">
        <w:t xml:space="preserve">A source </w:t>
      </w:r>
      <w:r>
        <w:t xml:space="preserve">responding to this ICR </w:t>
      </w:r>
      <w:r w:rsidRPr="00A12E00">
        <w:t>must make the following reports</w:t>
      </w:r>
      <w:r w:rsidR="00601CF5" w:rsidRPr="00B54DC3">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000"/>
      </w:tblPr>
      <w:tblGrid>
        <w:gridCol w:w="6955"/>
        <w:gridCol w:w="2405"/>
      </w:tblGrid>
      <w:tr w:rsidR="0019244C" w:rsidRPr="00B54DC3" w:rsidTr="00311A67">
        <w:trPr>
          <w:cantSplit/>
        </w:trPr>
        <w:tc>
          <w:tcPr>
            <w:tcW w:w="9360" w:type="dxa"/>
            <w:gridSpan w:val="2"/>
          </w:tcPr>
          <w:p w:rsidR="0019244C" w:rsidRPr="00B54DC3" w:rsidRDefault="0019244C" w:rsidP="00605D51">
            <w:pPr>
              <w:pStyle w:val="Table11ptColumnHeading"/>
              <w:rPr>
                <w:rStyle w:val="Bold"/>
              </w:rPr>
            </w:pPr>
            <w:r w:rsidRPr="00B54DC3">
              <w:rPr>
                <w:rStyle w:val="Bold"/>
              </w:rPr>
              <w:lastRenderedPageBreak/>
              <w:t>Reports for 40 CFR Part 60, Subpart J</w:t>
            </w:r>
            <w:r w:rsidR="00003F65" w:rsidRPr="00B54DC3">
              <w:rPr>
                <w:rStyle w:val="Bold"/>
              </w:rPr>
              <w:t>a</w:t>
            </w:r>
          </w:p>
        </w:tc>
      </w:tr>
      <w:tr w:rsidR="008704ED" w:rsidRPr="00B54DC3" w:rsidTr="00C74842">
        <w:trPr>
          <w:cantSplit/>
        </w:trPr>
        <w:tc>
          <w:tcPr>
            <w:tcW w:w="6955" w:type="dxa"/>
          </w:tcPr>
          <w:p w:rsidR="008704ED" w:rsidRPr="00A12E00" w:rsidRDefault="008704ED" w:rsidP="009B284D">
            <w:pPr>
              <w:keepNext/>
            </w:pPr>
            <w:r w:rsidRPr="00A12E00">
              <w:t>Initial notifications</w:t>
            </w:r>
            <w:r>
              <w:t>:</w:t>
            </w:r>
          </w:p>
        </w:tc>
        <w:tc>
          <w:tcPr>
            <w:tcW w:w="2405" w:type="dxa"/>
          </w:tcPr>
          <w:p w:rsidR="008704ED" w:rsidRPr="00A12E00" w:rsidRDefault="008704ED" w:rsidP="009B284D">
            <w:pPr>
              <w:keepNext/>
            </w:pPr>
            <w:r w:rsidRPr="00A12E00">
              <w:t>60.7</w:t>
            </w:r>
            <w:r>
              <w:t>(a)</w:t>
            </w:r>
          </w:p>
        </w:tc>
      </w:tr>
      <w:tr w:rsidR="00B4178C" w:rsidRPr="00B54DC3" w:rsidTr="00C74842">
        <w:trPr>
          <w:cantSplit/>
        </w:trPr>
        <w:tc>
          <w:tcPr>
            <w:tcW w:w="6955" w:type="dxa"/>
          </w:tcPr>
          <w:p w:rsidR="00B4178C" w:rsidRPr="00A12E00" w:rsidRDefault="00B91D7F" w:rsidP="009B284D">
            <w:pPr>
              <w:pStyle w:val="TableTextIndent025"/>
            </w:pPr>
            <w:r>
              <w:t>Construction/reconstruction</w:t>
            </w:r>
          </w:p>
        </w:tc>
        <w:tc>
          <w:tcPr>
            <w:tcW w:w="2405" w:type="dxa"/>
          </w:tcPr>
          <w:p w:rsidR="00B4178C" w:rsidRPr="00A12E00" w:rsidRDefault="00B4178C" w:rsidP="009B284D">
            <w:pPr>
              <w:keepNext/>
            </w:pPr>
            <w:r w:rsidRPr="00A12E00">
              <w:t xml:space="preserve">60.7(a)(1) </w:t>
            </w:r>
          </w:p>
        </w:tc>
      </w:tr>
      <w:tr w:rsidR="00B4178C" w:rsidRPr="00B54DC3" w:rsidTr="00C74842">
        <w:trPr>
          <w:cantSplit/>
        </w:trPr>
        <w:tc>
          <w:tcPr>
            <w:tcW w:w="6955" w:type="dxa"/>
          </w:tcPr>
          <w:p w:rsidR="00B4178C" w:rsidRPr="00A12E00" w:rsidRDefault="00B4178C" w:rsidP="009B284D">
            <w:pPr>
              <w:pStyle w:val="TableTextIndent025"/>
            </w:pPr>
            <w:r w:rsidRPr="00A12E00">
              <w:t>Actua</w:t>
            </w:r>
            <w:r w:rsidR="00B91D7F">
              <w:t>l Start-up</w:t>
            </w:r>
          </w:p>
        </w:tc>
        <w:tc>
          <w:tcPr>
            <w:tcW w:w="2405" w:type="dxa"/>
          </w:tcPr>
          <w:p w:rsidR="00B4178C" w:rsidRPr="00A12E00" w:rsidRDefault="00B4178C" w:rsidP="009B284D">
            <w:pPr>
              <w:keepNext/>
            </w:pPr>
            <w:r w:rsidRPr="00A12E00">
              <w:t xml:space="preserve">60.7(a)(3) </w:t>
            </w:r>
          </w:p>
        </w:tc>
      </w:tr>
      <w:tr w:rsidR="00C74842" w:rsidRPr="00B54DC3" w:rsidTr="00C74842">
        <w:trPr>
          <w:cantSplit/>
        </w:trPr>
        <w:tc>
          <w:tcPr>
            <w:tcW w:w="6955" w:type="dxa"/>
          </w:tcPr>
          <w:p w:rsidR="00C74842" w:rsidRPr="00A12E00" w:rsidRDefault="00C74842" w:rsidP="009B284D">
            <w:pPr>
              <w:pStyle w:val="TableTextIndent025"/>
            </w:pPr>
            <w:r w:rsidRPr="00A12E00">
              <w:t>Physical or Operational Change</w:t>
            </w:r>
          </w:p>
        </w:tc>
        <w:tc>
          <w:tcPr>
            <w:tcW w:w="2405" w:type="dxa"/>
          </w:tcPr>
          <w:p w:rsidR="00C74842" w:rsidRPr="00A12E00" w:rsidRDefault="00C74842" w:rsidP="009B284D">
            <w:pPr>
              <w:keepNext/>
            </w:pPr>
            <w:r w:rsidRPr="00A12E00">
              <w:t xml:space="preserve">60.7(a)(4) </w:t>
            </w:r>
          </w:p>
        </w:tc>
      </w:tr>
      <w:tr w:rsidR="00C74842" w:rsidRPr="00B54DC3" w:rsidTr="00C74842">
        <w:trPr>
          <w:cantSplit/>
        </w:trPr>
        <w:tc>
          <w:tcPr>
            <w:tcW w:w="6955" w:type="dxa"/>
          </w:tcPr>
          <w:p w:rsidR="00C74842" w:rsidRPr="00A12E00" w:rsidRDefault="00C74842" w:rsidP="009B284D">
            <w:pPr>
              <w:pStyle w:val="TableTextIndent025"/>
            </w:pPr>
            <w:r w:rsidRPr="00A12E00">
              <w:t>Demonstration of con</w:t>
            </w:r>
            <w:r w:rsidR="00B91D7F">
              <w:t>tinuous monitoring system (CMS)</w:t>
            </w:r>
          </w:p>
        </w:tc>
        <w:tc>
          <w:tcPr>
            <w:tcW w:w="2405" w:type="dxa"/>
          </w:tcPr>
          <w:p w:rsidR="00C74842" w:rsidRPr="00A12E00" w:rsidRDefault="00C74842" w:rsidP="009B284D">
            <w:pPr>
              <w:keepNext/>
            </w:pPr>
            <w:r w:rsidRPr="00A12E00">
              <w:t xml:space="preserve">60.7(a)(5) </w:t>
            </w:r>
          </w:p>
        </w:tc>
      </w:tr>
      <w:tr w:rsidR="00C74842" w:rsidRPr="00B54DC3" w:rsidTr="00C74842">
        <w:trPr>
          <w:cantSplit/>
        </w:trPr>
        <w:tc>
          <w:tcPr>
            <w:tcW w:w="6955" w:type="dxa"/>
          </w:tcPr>
          <w:p w:rsidR="00C74842" w:rsidRPr="00B54DC3" w:rsidRDefault="00C74842" w:rsidP="009B284D">
            <w:pPr>
              <w:keepNext/>
            </w:pPr>
            <w:r w:rsidRPr="00B54DC3">
              <w:t>Excess emissions report</w:t>
            </w:r>
          </w:p>
        </w:tc>
        <w:tc>
          <w:tcPr>
            <w:tcW w:w="2405" w:type="dxa"/>
          </w:tcPr>
          <w:p w:rsidR="00C74842" w:rsidRPr="00B54DC3" w:rsidRDefault="00C74842" w:rsidP="009B284D">
            <w:pPr>
              <w:keepNext/>
            </w:pPr>
            <w:r w:rsidRPr="00B54DC3">
              <w:t xml:space="preserve">60.7(c), 60.108a(f) </w:t>
            </w:r>
          </w:p>
        </w:tc>
      </w:tr>
      <w:tr w:rsidR="00C74842" w:rsidRPr="00B54DC3" w:rsidTr="00C74842">
        <w:trPr>
          <w:cantSplit/>
        </w:trPr>
        <w:tc>
          <w:tcPr>
            <w:tcW w:w="6955" w:type="dxa"/>
          </w:tcPr>
          <w:p w:rsidR="00C74842" w:rsidRPr="00A12E00" w:rsidRDefault="00C74842" w:rsidP="009B284D">
            <w:pPr>
              <w:keepNext/>
            </w:pPr>
            <w:r w:rsidRPr="00A12E00">
              <w:t>I</w:t>
            </w:r>
            <w:r w:rsidR="00B91D7F">
              <w:t>nitial performance test results</w:t>
            </w:r>
          </w:p>
        </w:tc>
        <w:tc>
          <w:tcPr>
            <w:tcW w:w="2405" w:type="dxa"/>
          </w:tcPr>
          <w:p w:rsidR="00C74842" w:rsidRPr="00A12E00" w:rsidRDefault="00C74842" w:rsidP="009B284D">
            <w:pPr>
              <w:keepNext/>
            </w:pPr>
            <w:r w:rsidRPr="00A12E00">
              <w:t xml:space="preserve">60.8(a) </w:t>
            </w:r>
          </w:p>
        </w:tc>
      </w:tr>
      <w:tr w:rsidR="00C74842" w:rsidRPr="00B54DC3" w:rsidTr="00C74842">
        <w:trPr>
          <w:cantSplit/>
        </w:trPr>
        <w:tc>
          <w:tcPr>
            <w:tcW w:w="6955" w:type="dxa"/>
          </w:tcPr>
          <w:p w:rsidR="00C74842" w:rsidRPr="00A12E00" w:rsidRDefault="00C74842" w:rsidP="00C74842">
            <w:pPr>
              <w:keepNext/>
            </w:pPr>
            <w:r w:rsidRPr="00A12E00">
              <w:t>Notification of initial perform</w:t>
            </w:r>
            <w:r w:rsidR="00B91D7F">
              <w:t>ance test</w:t>
            </w:r>
          </w:p>
        </w:tc>
        <w:tc>
          <w:tcPr>
            <w:tcW w:w="2405" w:type="dxa"/>
          </w:tcPr>
          <w:p w:rsidR="00C74842" w:rsidRPr="00A12E00" w:rsidRDefault="00C74842" w:rsidP="00C74842">
            <w:pPr>
              <w:keepNext/>
            </w:pPr>
            <w:r w:rsidRPr="00A12E00">
              <w:t xml:space="preserve">60.8(d) </w:t>
            </w:r>
          </w:p>
        </w:tc>
      </w:tr>
      <w:tr w:rsidR="00C74842" w:rsidRPr="00B54DC3" w:rsidTr="00C74842">
        <w:trPr>
          <w:cantSplit/>
        </w:trPr>
        <w:tc>
          <w:tcPr>
            <w:tcW w:w="6955" w:type="dxa"/>
          </w:tcPr>
          <w:p w:rsidR="00C74842" w:rsidRPr="00A12E00" w:rsidRDefault="00C74842" w:rsidP="00C74842">
            <w:pPr>
              <w:keepNext/>
            </w:pPr>
            <w:r w:rsidRPr="00A12E00">
              <w:t>No</w:t>
            </w:r>
            <w:r w:rsidR="00B91D7F">
              <w:t>tification of Compliance status</w:t>
            </w:r>
          </w:p>
        </w:tc>
        <w:tc>
          <w:tcPr>
            <w:tcW w:w="2405" w:type="dxa"/>
          </w:tcPr>
          <w:p w:rsidR="00C74842" w:rsidRPr="00A12E00" w:rsidRDefault="00C74842" w:rsidP="00C74842">
            <w:pPr>
              <w:keepNext/>
            </w:pPr>
            <w:r w:rsidRPr="00A12E00">
              <w:t xml:space="preserve">60.11(a),(b),(c) </w:t>
            </w:r>
          </w:p>
        </w:tc>
      </w:tr>
      <w:tr w:rsidR="00C74842" w:rsidRPr="00B54DC3" w:rsidTr="00C74842">
        <w:trPr>
          <w:cantSplit/>
        </w:trPr>
        <w:tc>
          <w:tcPr>
            <w:tcW w:w="6955" w:type="dxa"/>
          </w:tcPr>
          <w:p w:rsidR="00C74842" w:rsidRPr="00B54DC3" w:rsidRDefault="00C74842" w:rsidP="00C74842">
            <w:r w:rsidRPr="00B54DC3">
              <w:t>Written flare management plans/root cause analyses/corrective action analyses</w:t>
            </w:r>
          </w:p>
        </w:tc>
        <w:tc>
          <w:tcPr>
            <w:tcW w:w="2405" w:type="dxa"/>
          </w:tcPr>
          <w:p w:rsidR="00C74842" w:rsidRPr="00B54DC3" w:rsidRDefault="00C74842" w:rsidP="00C47585">
            <w:r w:rsidRPr="00B54DC3">
              <w:t>60.103a(a)-(</w:t>
            </w:r>
            <w:r w:rsidR="00C47585">
              <w:t>e</w:t>
            </w:r>
            <w:r w:rsidRPr="00B54DC3">
              <w:t>), 60.108a(d)</w:t>
            </w:r>
          </w:p>
        </w:tc>
      </w:tr>
    </w:tbl>
    <w:p w:rsidR="00601CF5" w:rsidRPr="00B54DC3" w:rsidRDefault="00601CF5" w:rsidP="00605D51"/>
    <w:p w:rsidR="00601CF5" w:rsidRPr="00B54DC3" w:rsidRDefault="00C74842" w:rsidP="00C74842">
      <w:pPr>
        <w:pStyle w:val="BodyFirstline05After12pt"/>
      </w:pPr>
      <w:r w:rsidRPr="00A12E00">
        <w:t xml:space="preserve">A source </w:t>
      </w:r>
      <w:r>
        <w:t xml:space="preserve">responding to this ICR </w:t>
      </w:r>
      <w:r w:rsidRPr="00A12E00">
        <w:t xml:space="preserve">must </w:t>
      </w:r>
      <w:r>
        <w:t>keep</w:t>
      </w:r>
      <w:r w:rsidRPr="00B54DC3">
        <w:t xml:space="preserve"> </w:t>
      </w:r>
      <w:r w:rsidR="00833A12" w:rsidRPr="00B54DC3">
        <w:t xml:space="preserve">the </w:t>
      </w:r>
      <w:r w:rsidR="00601CF5" w:rsidRPr="00B54DC3">
        <w:t xml:space="preserve">following records: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000"/>
      </w:tblPr>
      <w:tblGrid>
        <w:gridCol w:w="7225"/>
        <w:gridCol w:w="2135"/>
      </w:tblGrid>
      <w:tr w:rsidR="0019244C" w:rsidRPr="00B54DC3" w:rsidTr="00311A67">
        <w:trPr>
          <w:cantSplit/>
        </w:trPr>
        <w:tc>
          <w:tcPr>
            <w:tcW w:w="9360" w:type="dxa"/>
            <w:gridSpan w:val="2"/>
            <w:vAlign w:val="center"/>
          </w:tcPr>
          <w:p w:rsidR="0019244C" w:rsidRPr="00B54DC3" w:rsidRDefault="0019244C" w:rsidP="00605D51">
            <w:pPr>
              <w:pStyle w:val="Table11ptColumnHeading"/>
              <w:rPr>
                <w:rStyle w:val="Bold"/>
              </w:rPr>
            </w:pPr>
            <w:r w:rsidRPr="00B54DC3">
              <w:rPr>
                <w:rStyle w:val="Bold"/>
              </w:rPr>
              <w:t>Recordkeeping for 40 CFR Part 60, Subpart J</w:t>
            </w:r>
            <w:r w:rsidR="00003F65" w:rsidRPr="00B54DC3">
              <w:rPr>
                <w:rStyle w:val="Bold"/>
              </w:rPr>
              <w:t>a</w:t>
            </w:r>
          </w:p>
        </w:tc>
      </w:tr>
      <w:tr w:rsidR="00C74842" w:rsidRPr="00A12E00" w:rsidTr="00C74842">
        <w:trPr>
          <w:cantSplit/>
        </w:trPr>
        <w:tc>
          <w:tcPr>
            <w:tcW w:w="7225" w:type="dxa"/>
            <w:tcBorders>
              <w:top w:val="single" w:sz="4" w:space="0" w:color="000000"/>
              <w:left w:val="single" w:sz="4" w:space="0" w:color="000000"/>
              <w:bottom w:val="single" w:sz="4" w:space="0" w:color="000000"/>
              <w:right w:val="single" w:sz="4" w:space="0" w:color="000000"/>
            </w:tcBorders>
          </w:tcPr>
          <w:p w:rsidR="00C74842" w:rsidRPr="00B91D7F" w:rsidRDefault="00C74842" w:rsidP="00B91D7F">
            <w:r w:rsidRPr="00B91D7F">
              <w:t xml:space="preserve">Start-ups, shutdowns, malfunctions, periods where the continuous monitoring system is inoperative </w:t>
            </w:r>
          </w:p>
        </w:tc>
        <w:tc>
          <w:tcPr>
            <w:tcW w:w="2135" w:type="dxa"/>
            <w:tcBorders>
              <w:top w:val="single" w:sz="4" w:space="0" w:color="000000"/>
              <w:left w:val="single" w:sz="4" w:space="0" w:color="000000"/>
              <w:bottom w:val="single" w:sz="4" w:space="0" w:color="000000"/>
              <w:right w:val="single" w:sz="4" w:space="0" w:color="000000"/>
            </w:tcBorders>
          </w:tcPr>
          <w:p w:rsidR="00C74842" w:rsidRPr="00A12E00" w:rsidRDefault="00C74842" w:rsidP="00C74842">
            <w:r w:rsidRPr="00A12E00">
              <w:t xml:space="preserve">60.7(b) </w:t>
            </w:r>
          </w:p>
        </w:tc>
      </w:tr>
      <w:tr w:rsidR="00C74842" w:rsidRPr="00A12E00" w:rsidTr="00C74842">
        <w:trPr>
          <w:cantSplit/>
        </w:trPr>
        <w:tc>
          <w:tcPr>
            <w:tcW w:w="7225" w:type="dxa"/>
            <w:tcBorders>
              <w:top w:val="single" w:sz="4" w:space="0" w:color="000000"/>
              <w:left w:val="single" w:sz="4" w:space="0" w:color="000000"/>
              <w:bottom w:val="single" w:sz="4" w:space="0" w:color="000000"/>
              <w:right w:val="single" w:sz="4" w:space="0" w:color="000000"/>
            </w:tcBorders>
          </w:tcPr>
          <w:p w:rsidR="00C74842" w:rsidRPr="00B91D7F" w:rsidRDefault="00C74842" w:rsidP="00B91D7F">
            <w:r w:rsidRPr="00B91D7F">
              <w:t xml:space="preserve">All reports and notifications </w:t>
            </w:r>
          </w:p>
        </w:tc>
        <w:tc>
          <w:tcPr>
            <w:tcW w:w="2135" w:type="dxa"/>
            <w:tcBorders>
              <w:top w:val="single" w:sz="4" w:space="0" w:color="000000"/>
              <w:left w:val="single" w:sz="4" w:space="0" w:color="000000"/>
              <w:bottom w:val="single" w:sz="4" w:space="0" w:color="000000"/>
              <w:right w:val="single" w:sz="4" w:space="0" w:color="000000"/>
            </w:tcBorders>
          </w:tcPr>
          <w:p w:rsidR="00C74842" w:rsidRPr="00A12E00" w:rsidRDefault="00C74842" w:rsidP="00C74842">
            <w:r w:rsidRPr="00A12E00">
              <w:t xml:space="preserve">60.7 </w:t>
            </w:r>
          </w:p>
        </w:tc>
      </w:tr>
      <w:tr w:rsidR="00C74842" w:rsidRPr="00A12E00" w:rsidTr="00C74842">
        <w:trPr>
          <w:cantSplit/>
        </w:trPr>
        <w:tc>
          <w:tcPr>
            <w:tcW w:w="7225" w:type="dxa"/>
            <w:tcBorders>
              <w:top w:val="single" w:sz="4" w:space="0" w:color="000000"/>
              <w:left w:val="single" w:sz="4" w:space="0" w:color="000000"/>
              <w:bottom w:val="single" w:sz="4" w:space="0" w:color="000000"/>
              <w:right w:val="single" w:sz="4" w:space="0" w:color="000000"/>
            </w:tcBorders>
          </w:tcPr>
          <w:p w:rsidR="00C74842" w:rsidRPr="00B91D7F" w:rsidRDefault="00C74842" w:rsidP="00B91D7F">
            <w:r w:rsidRPr="00B91D7F">
              <w:t xml:space="preserve">Emission test methods and other data needed to determine emissions </w:t>
            </w:r>
          </w:p>
        </w:tc>
        <w:tc>
          <w:tcPr>
            <w:tcW w:w="2135" w:type="dxa"/>
            <w:tcBorders>
              <w:top w:val="single" w:sz="4" w:space="0" w:color="000000"/>
              <w:left w:val="single" w:sz="4" w:space="0" w:color="000000"/>
              <w:bottom w:val="single" w:sz="4" w:space="0" w:color="000000"/>
              <w:right w:val="single" w:sz="4" w:space="0" w:color="000000"/>
            </w:tcBorders>
          </w:tcPr>
          <w:p w:rsidR="00C74842" w:rsidRPr="00A12E00" w:rsidRDefault="00C74842" w:rsidP="00C74842">
            <w:r w:rsidRPr="00A12E00">
              <w:t>60.104a</w:t>
            </w:r>
          </w:p>
        </w:tc>
      </w:tr>
      <w:tr w:rsidR="00C74842" w:rsidRPr="00A12E00" w:rsidTr="00C74842">
        <w:trPr>
          <w:cantSplit/>
        </w:trPr>
        <w:tc>
          <w:tcPr>
            <w:tcW w:w="7225" w:type="dxa"/>
            <w:tcBorders>
              <w:top w:val="single" w:sz="4" w:space="0" w:color="000000"/>
              <w:left w:val="single" w:sz="4" w:space="0" w:color="000000"/>
              <w:bottom w:val="single" w:sz="4" w:space="0" w:color="000000"/>
              <w:right w:val="single" w:sz="4" w:space="0" w:color="000000"/>
            </w:tcBorders>
          </w:tcPr>
          <w:p w:rsidR="00C74842" w:rsidRPr="00B91D7F" w:rsidRDefault="00C74842" w:rsidP="00B91D7F">
            <w:r w:rsidRPr="00B91D7F">
              <w:t>Written plans, information to document conformance with operation and maintenance requirements, monitoring exemptions, discharges to flare gas system, results of root cause analyses and corrective action analyses</w:t>
            </w:r>
          </w:p>
        </w:tc>
        <w:tc>
          <w:tcPr>
            <w:tcW w:w="2135" w:type="dxa"/>
            <w:tcBorders>
              <w:top w:val="single" w:sz="4" w:space="0" w:color="000000"/>
              <w:left w:val="single" w:sz="4" w:space="0" w:color="000000"/>
              <w:bottom w:val="single" w:sz="4" w:space="0" w:color="000000"/>
              <w:right w:val="single" w:sz="4" w:space="0" w:color="000000"/>
            </w:tcBorders>
          </w:tcPr>
          <w:p w:rsidR="00C74842" w:rsidRPr="00B54DC3" w:rsidRDefault="00C74842" w:rsidP="00C74842">
            <w:r w:rsidRPr="00B54DC3">
              <w:t>60.108a</w:t>
            </w:r>
          </w:p>
        </w:tc>
      </w:tr>
    </w:tbl>
    <w:p w:rsidR="00601CF5" w:rsidRPr="00B54DC3" w:rsidRDefault="00601CF5" w:rsidP="00605D51"/>
    <w:p w:rsidR="00601CF5" w:rsidRPr="00B54DC3" w:rsidRDefault="00601CF5" w:rsidP="00ED692A">
      <w:pPr>
        <w:pStyle w:val="SectionLevel3Heading"/>
      </w:pPr>
      <w:r w:rsidRPr="00B54DC3">
        <w:t xml:space="preserve">(ii) </w:t>
      </w:r>
      <w:r w:rsidRPr="00B54DC3">
        <w:rPr>
          <w:rStyle w:val="Underline"/>
        </w:rPr>
        <w:t>Respondent Activities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tblPr>
      <w:tblGrid>
        <w:gridCol w:w="9360"/>
      </w:tblGrid>
      <w:tr w:rsidR="0019244C" w:rsidRPr="00B54DC3" w:rsidTr="00C74842">
        <w:trPr>
          <w:cantSplit/>
          <w:tblHeader/>
        </w:trPr>
        <w:tc>
          <w:tcPr>
            <w:tcW w:w="9360" w:type="dxa"/>
            <w:tcBorders>
              <w:top w:val="single" w:sz="4" w:space="0" w:color="auto"/>
              <w:left w:val="single" w:sz="4" w:space="0" w:color="auto"/>
              <w:bottom w:val="single" w:sz="4" w:space="0" w:color="auto"/>
              <w:right w:val="single" w:sz="4" w:space="0" w:color="auto"/>
            </w:tcBorders>
          </w:tcPr>
          <w:p w:rsidR="0019244C" w:rsidRPr="00B91D7F" w:rsidRDefault="00047853" w:rsidP="00F76588">
            <w:pPr>
              <w:pStyle w:val="Table11ptColumnHeading"/>
              <w:rPr>
                <w:rStyle w:val="Bold"/>
              </w:rPr>
            </w:pPr>
            <w:r w:rsidRPr="00B91D7F">
              <w:rPr>
                <w:rStyle w:val="Bold"/>
              </w:rPr>
              <w:t>Respondent Activities</w:t>
            </w:r>
          </w:p>
        </w:tc>
      </w:tr>
      <w:tr w:rsidR="0019244C"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19244C" w:rsidRPr="00B91D7F" w:rsidRDefault="00047853" w:rsidP="00B91D7F">
            <w:r w:rsidRPr="00B91D7F">
              <w:t>Read instructions.</w:t>
            </w:r>
          </w:p>
        </w:tc>
      </w:tr>
      <w:tr w:rsidR="0019244C"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19244C" w:rsidRPr="00B91D7F" w:rsidRDefault="00047853" w:rsidP="00B91D7F">
            <w:r w:rsidRPr="00B91D7F">
              <w:t>Gather relevant information.</w:t>
            </w:r>
          </w:p>
        </w:tc>
      </w:tr>
      <w:tr w:rsidR="0019244C"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19244C" w:rsidRPr="00B91D7F" w:rsidRDefault="00047853" w:rsidP="00B91D7F">
            <w:r w:rsidRPr="00B91D7F">
              <w:t>Perform initial performance test, Reference Method 1-6, 8-11, 15.</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91D7F" w:rsidRDefault="00047853" w:rsidP="00B91D7F">
            <w:r w:rsidRPr="00B91D7F">
              <w:t>Write the notifications and reports listed above.</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91D7F" w:rsidRDefault="00047853" w:rsidP="00B91D7F">
            <w:r w:rsidRPr="00B91D7F">
              <w:t>Enter information required to be recorded above.</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91D7F" w:rsidRDefault="00047853" w:rsidP="00B91D7F">
            <w:r w:rsidRPr="00B91D7F">
              <w:t>Submit the required reports developing, acquiring, installing, and utilizing technology and systems for the purpose of collecting, validating, and verifying information.</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lastRenderedPageBreak/>
              <w:t>Develop, acquire, install, and utilize technology and systems for the purpose of processing and maintaining information.</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Develop, acquire, install, and utilize technology and systems for the purpose of disclosing and providing information.</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Adjust the existing ways to comply with any previously applicable instructions and requirements.</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Train personnel to be able to respond to a collection of information.</w:t>
            </w:r>
          </w:p>
        </w:tc>
      </w:tr>
      <w:tr w:rsidR="00047853" w:rsidRPr="00B54DC3" w:rsidTr="00311A67">
        <w:trPr>
          <w:cantSplit/>
        </w:trPr>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Transmit, or otherwise disclose the information.</w:t>
            </w:r>
          </w:p>
        </w:tc>
      </w:tr>
    </w:tbl>
    <w:p w:rsidR="00047853" w:rsidRPr="00B54DC3" w:rsidRDefault="00047853" w:rsidP="00047853"/>
    <w:p w:rsidR="00601CF5" w:rsidRPr="00B54DC3" w:rsidRDefault="00601CF5" w:rsidP="00342CA2">
      <w:pPr>
        <w:pStyle w:val="BodyFirstline05After12pt"/>
      </w:pPr>
      <w:r w:rsidRPr="00B54DC3">
        <w:t xml:space="preserve">Continuous </w:t>
      </w:r>
      <w:r w:rsidR="003F6B08" w:rsidRPr="00B54DC3">
        <w:t>m</w:t>
      </w:r>
      <w:r w:rsidRPr="00B54DC3">
        <w:t xml:space="preserve">onitoring </w:t>
      </w:r>
      <w:r w:rsidR="003F6B08" w:rsidRPr="00B54DC3">
        <w:t>s</w:t>
      </w:r>
      <w:r w:rsidRPr="00B54DC3">
        <w:t>ystem (CMS) information collection is automated and may be submitted electronically.</w:t>
      </w:r>
      <w:r w:rsidR="00E95A7F">
        <w:t xml:space="preserve"> </w:t>
      </w:r>
      <w:r w:rsidRPr="00B54DC3">
        <w:t>In any event, hard copy reports from the C</w:t>
      </w:r>
      <w:r w:rsidR="003F6B08" w:rsidRPr="00B54DC3">
        <w:t>E</w:t>
      </w:r>
      <w:r w:rsidRPr="00B54DC3">
        <w:t>MS information may easily be generated from a computer.</w:t>
      </w:r>
      <w:r w:rsidR="00E95A7F">
        <w:t xml:space="preserve"> </w:t>
      </w:r>
      <w:r w:rsidRPr="00B54DC3">
        <w:t>It is estimated that 70</w:t>
      </w:r>
      <w:r w:rsidR="00342CA2">
        <w:t xml:space="preserve"> percent</w:t>
      </w:r>
      <w:r w:rsidRPr="00B54DC3">
        <w:t xml:space="preserve"> of the responses to this ICR can be collected electronically. </w:t>
      </w:r>
    </w:p>
    <w:p w:rsidR="00601CF5" w:rsidRPr="00B54DC3" w:rsidRDefault="00601CF5" w:rsidP="00311A67">
      <w:pPr>
        <w:pStyle w:val="SectionHeading"/>
      </w:pPr>
      <w:r w:rsidRPr="00B54DC3">
        <w:t>5.</w:t>
      </w:r>
      <w:r w:rsidR="00E95A7F">
        <w:t xml:space="preserve"> </w:t>
      </w:r>
      <w:r w:rsidRPr="00B54DC3">
        <w:t xml:space="preserve">The Information Collected </w:t>
      </w:r>
      <w:r w:rsidR="00311A67">
        <w:t>–</w:t>
      </w:r>
      <w:r w:rsidRPr="00B54DC3">
        <w:t xml:space="preserve"> Agency</w:t>
      </w:r>
      <w:r w:rsidR="00311A67">
        <w:t xml:space="preserve"> </w:t>
      </w:r>
      <w:r w:rsidRPr="00B54DC3">
        <w:t xml:space="preserve">Activities, Collection Methodology, and Information Management </w:t>
      </w:r>
    </w:p>
    <w:p w:rsidR="00601CF5" w:rsidRPr="00B54DC3" w:rsidRDefault="00601CF5" w:rsidP="00ED692A">
      <w:pPr>
        <w:pStyle w:val="SectionSubheading"/>
      </w:pPr>
      <w:r w:rsidRPr="00B54DC3">
        <w:t>5(a)</w:t>
      </w:r>
      <w:r w:rsidR="00E95A7F">
        <w:t xml:space="preserve"> </w:t>
      </w:r>
      <w:r w:rsidRPr="00B54DC3">
        <w:t xml:space="preserve">Agency Activities </w:t>
      </w:r>
    </w:p>
    <w:p w:rsidR="00601CF5" w:rsidRPr="00B54DC3" w:rsidRDefault="00997DF3" w:rsidP="00ED692A">
      <w:pPr>
        <w:pStyle w:val="BodyFirstline05After12pt"/>
      </w:pPr>
      <w:r>
        <w:t xml:space="preserve">The </w:t>
      </w:r>
      <w:r w:rsidR="00601CF5" w:rsidRPr="00B54DC3">
        <w:t xml:space="preserve">EPA conducts the following activities in connection with the acquisition, analysis, storage, and distribution of the required information.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tblPr>
      <w:tblGrid>
        <w:gridCol w:w="9360"/>
      </w:tblGrid>
      <w:tr w:rsidR="00047853" w:rsidRPr="00B54DC3" w:rsidTr="00212D7F">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pPr>
              <w:pStyle w:val="Table11ptColumnHeading"/>
              <w:rPr>
                <w:rStyle w:val="Bold"/>
              </w:rPr>
            </w:pPr>
            <w:r w:rsidRPr="00B54DC3">
              <w:rPr>
                <w:rStyle w:val="Bold"/>
              </w:rPr>
              <w:t>Agency Activities</w:t>
            </w:r>
          </w:p>
        </w:tc>
      </w:tr>
      <w:tr w:rsidR="00047853" w:rsidRPr="00B54DC3" w:rsidTr="00212D7F">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Observe initial performance tests and repeat performance tests if necessary.</w:t>
            </w:r>
            <w:r w:rsidR="00605D51" w:rsidRPr="00B54DC3">
              <w:tab/>
            </w:r>
          </w:p>
        </w:tc>
      </w:tr>
      <w:tr w:rsidR="00047853" w:rsidRPr="00B54DC3" w:rsidTr="00212D7F">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Conduct on-site inspections as necessary.</w:t>
            </w:r>
          </w:p>
        </w:tc>
      </w:tr>
      <w:tr w:rsidR="00047853" w:rsidRPr="00B54DC3" w:rsidTr="00212D7F">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 xml:space="preserve">Review notifications and reports, including performance test reports, excess emissions reports, </w:t>
            </w:r>
            <w:r w:rsidR="00D5448F" w:rsidRPr="00B54DC3">
              <w:t xml:space="preserve">flare management plans, and requests for site-specific process heater emissions limits </w:t>
            </w:r>
            <w:r w:rsidRPr="00B54DC3">
              <w:t>required to be submitted by industry.</w:t>
            </w:r>
          </w:p>
        </w:tc>
      </w:tr>
      <w:tr w:rsidR="00047853" w:rsidRPr="00B54DC3" w:rsidTr="00212D7F">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Audit facility records.</w:t>
            </w:r>
          </w:p>
        </w:tc>
      </w:tr>
      <w:tr w:rsidR="00047853" w:rsidRPr="00B54DC3" w:rsidTr="00212D7F">
        <w:tc>
          <w:tcPr>
            <w:tcW w:w="9360" w:type="dxa"/>
            <w:tcBorders>
              <w:top w:val="single" w:sz="4" w:space="0" w:color="auto"/>
              <w:left w:val="single" w:sz="4" w:space="0" w:color="auto"/>
              <w:bottom w:val="single" w:sz="4" w:space="0" w:color="auto"/>
              <w:right w:val="single" w:sz="4" w:space="0" w:color="auto"/>
            </w:tcBorders>
          </w:tcPr>
          <w:p w:rsidR="00047853" w:rsidRPr="00B54DC3" w:rsidRDefault="00047853" w:rsidP="00605D51">
            <w:r w:rsidRPr="00B54DC3">
              <w:t>Input, analyze, and maintain data in the AIRS (Aerometric Information Retrieval System) Facility Subsystem (AFS) database.</w:t>
            </w:r>
          </w:p>
        </w:tc>
      </w:tr>
    </w:tbl>
    <w:p w:rsidR="00601CF5" w:rsidRPr="00B54DC3" w:rsidRDefault="00601CF5" w:rsidP="00605D51"/>
    <w:p w:rsidR="00601CF5" w:rsidRPr="00B54DC3" w:rsidRDefault="00601CF5" w:rsidP="00ED692A">
      <w:pPr>
        <w:pStyle w:val="SectionSubheading"/>
      </w:pPr>
      <w:r w:rsidRPr="00B54DC3">
        <w:t>5(b)</w:t>
      </w:r>
      <w:r w:rsidR="00E95A7F">
        <w:t xml:space="preserve"> </w:t>
      </w:r>
      <w:r w:rsidRPr="00B54DC3">
        <w:t>Collection Methodology and Management</w:t>
      </w:r>
    </w:p>
    <w:p w:rsidR="00601CF5" w:rsidRPr="00B54DC3" w:rsidRDefault="00601CF5" w:rsidP="004E54EB">
      <w:pPr>
        <w:pStyle w:val="BodyFirstline05After12pt"/>
      </w:pPr>
      <w:r w:rsidRPr="00B54DC3">
        <w:t>Following notification of startup, the reviewing authority might inspect the source to check if the pollution control devices are properly installed and operated.</w:t>
      </w:r>
      <w:r w:rsidR="00E95A7F">
        <w:t xml:space="preserve"> </w:t>
      </w:r>
      <w:r w:rsidRPr="00B54DC3">
        <w:t>Performance test reports are used by the Agency to discern a source</w:t>
      </w:r>
      <w:r w:rsidR="00B938D8" w:rsidRPr="00B54DC3">
        <w:t>’</w:t>
      </w:r>
      <w:r w:rsidRPr="00B54DC3">
        <w:t>s initial capability to comply with the emission standard</w:t>
      </w:r>
      <w:r w:rsidR="00B938D8" w:rsidRPr="00B54DC3">
        <w:t>.</w:t>
      </w:r>
      <w:r w:rsidR="00E95A7F">
        <w:t xml:space="preserve"> </w:t>
      </w:r>
      <w:r w:rsidRPr="00B54DC3">
        <w:t xml:space="preserve">Data obtained during periodic visits by Agency personnel from records maintained by the respondents are tabulated and published for internal Agency use in compliance </w:t>
      </w:r>
      <w:r w:rsidRPr="00B54DC3">
        <w:lastRenderedPageBreak/>
        <w:t>and enforcement programs.</w:t>
      </w:r>
      <w:r w:rsidR="00E95A7F">
        <w:t xml:space="preserve"> </w:t>
      </w:r>
      <w:r w:rsidRPr="00B54DC3">
        <w:t xml:space="preserve">The </w:t>
      </w:r>
      <w:r w:rsidR="00311A67">
        <w:t>semi</w:t>
      </w:r>
      <w:r w:rsidR="004E54EB">
        <w:t>annual</w:t>
      </w:r>
      <w:r w:rsidR="004E54EB" w:rsidRPr="00B54DC3">
        <w:t xml:space="preserve"> </w:t>
      </w:r>
      <w:r w:rsidRPr="00B54DC3">
        <w:t xml:space="preserve">reports are used for problem identification, as a check on source operation and maintenance, and for compliance determinations. </w:t>
      </w:r>
    </w:p>
    <w:p w:rsidR="00601CF5" w:rsidRPr="00B54DC3" w:rsidRDefault="00601CF5" w:rsidP="00ED692A">
      <w:pPr>
        <w:pStyle w:val="BodyFirstline05After12pt"/>
      </w:pPr>
      <w:r w:rsidRPr="00B54DC3">
        <w:t>Information contained in the reports is entered into AFS</w:t>
      </w:r>
      <w:r w:rsidR="00031A08" w:rsidRPr="00B54DC3">
        <w:t>,</w:t>
      </w:r>
      <w:r w:rsidRPr="00B54DC3">
        <w:t xml:space="preserve"> which is operated and maintained by EPA</w:t>
      </w:r>
      <w:r w:rsidR="00B938D8" w:rsidRPr="00B54DC3">
        <w:t>’</w:t>
      </w:r>
      <w:r w:rsidRPr="00B54DC3">
        <w:t>s Office of Air Quality Planning and Standards.</w:t>
      </w:r>
      <w:r w:rsidR="00E95A7F">
        <w:t xml:space="preserve"> </w:t>
      </w:r>
      <w:r w:rsidRPr="00B54DC3">
        <w:t>AFS is EPA</w:t>
      </w:r>
      <w:r w:rsidR="00B938D8" w:rsidRPr="00B54DC3">
        <w:t>’</w:t>
      </w:r>
      <w:r w:rsidRPr="00B54DC3">
        <w:t>s database for the collection, maintenance, and retrieval of compliance and annual emission inventory data for over 100,000 industrial and government-owned facilities.</w:t>
      </w:r>
      <w:r w:rsidR="00E95A7F">
        <w:t xml:space="preserve"> </w:t>
      </w:r>
      <w:r w:rsidR="00997DF3">
        <w:t xml:space="preserve">The </w:t>
      </w:r>
      <w:r w:rsidRPr="00B54DC3">
        <w:t>EPA uses AFS for tracking air pollution compliance and enforcement by State and local regulatory agencies</w:t>
      </w:r>
      <w:r w:rsidR="00B938D8" w:rsidRPr="00B54DC3">
        <w:t>, EPA</w:t>
      </w:r>
      <w:r w:rsidRPr="00B54DC3">
        <w:t xml:space="preserve"> Regional Offices and EPA Headquarters</w:t>
      </w:r>
      <w:r w:rsidR="00B938D8" w:rsidRPr="00B54DC3">
        <w:t>.</w:t>
      </w:r>
      <w:r w:rsidR="00E95A7F">
        <w:t xml:space="preserve"> </w:t>
      </w:r>
      <w:r w:rsidR="00997DF3">
        <w:t xml:space="preserve">The </w:t>
      </w:r>
      <w:r w:rsidRPr="00B54DC3">
        <w:t>EPA and its delegated Authorities can edit, store, retrieve and analyze the data.</w:t>
      </w:r>
    </w:p>
    <w:p w:rsidR="00601CF5" w:rsidRPr="00B54DC3" w:rsidRDefault="00601CF5" w:rsidP="00ED692A">
      <w:pPr>
        <w:pStyle w:val="BodyFirstline05After12pt"/>
      </w:pPr>
      <w:r w:rsidRPr="00B54DC3">
        <w:t>The records required by this NSPS must be retained by the o</w:t>
      </w:r>
      <w:r w:rsidR="00047853" w:rsidRPr="00B54DC3">
        <w:t>wner or operator for two years.</w:t>
      </w:r>
    </w:p>
    <w:p w:rsidR="00601CF5" w:rsidRPr="00B54DC3" w:rsidRDefault="00601CF5" w:rsidP="00ED692A">
      <w:pPr>
        <w:pStyle w:val="SectionSubheading"/>
      </w:pPr>
      <w:r w:rsidRPr="00B54DC3">
        <w:t>5(c)</w:t>
      </w:r>
      <w:r w:rsidR="00E95A7F">
        <w:t xml:space="preserve"> </w:t>
      </w:r>
      <w:r w:rsidRPr="00B54DC3">
        <w:t xml:space="preserve">Small Entity Flexibility </w:t>
      </w:r>
    </w:p>
    <w:p w:rsidR="00601CF5" w:rsidRPr="00B54DC3" w:rsidRDefault="00601CF5" w:rsidP="00997DF3">
      <w:pPr>
        <w:pStyle w:val="BodyFirstline05After12pt"/>
      </w:pPr>
      <w:r w:rsidRPr="00B54DC3">
        <w:t>A majority of the affected facilities are large entities (</w:t>
      </w:r>
      <w:r w:rsidR="00311A67" w:rsidRPr="00311A67">
        <w:rPr>
          <w:rStyle w:val="Italic"/>
        </w:rPr>
        <w:t>i.e.</w:t>
      </w:r>
      <w:r w:rsidRPr="00B54DC3">
        <w:t>, large businesses).</w:t>
      </w:r>
      <w:r w:rsidR="00E95A7F">
        <w:t xml:space="preserve"> </w:t>
      </w:r>
      <w:r w:rsidRPr="00B54DC3">
        <w:t>However, the impact on small entities (</w:t>
      </w:r>
      <w:r w:rsidRPr="00311A67">
        <w:rPr>
          <w:rStyle w:val="Italic"/>
        </w:rPr>
        <w:t>i.e.</w:t>
      </w:r>
      <w:r w:rsidRPr="00B54DC3">
        <w:t>, small businesses) was taken into consideration during the development of the regulation</w:t>
      </w:r>
      <w:r w:rsidR="00B938D8" w:rsidRPr="00B54DC3">
        <w:t>.</w:t>
      </w:r>
      <w:r w:rsidR="00E95A7F">
        <w:t xml:space="preserve"> </w:t>
      </w:r>
      <w:r w:rsidRPr="00B54DC3">
        <w:t xml:space="preserve">The recordkeeping and reporting requirements were selected within the context of </w:t>
      </w:r>
      <w:r w:rsidR="00660282" w:rsidRPr="00B54DC3">
        <w:t>subpart Ja</w:t>
      </w:r>
      <w:r w:rsidRPr="00B54DC3">
        <w:t xml:space="preserve"> and the specific process equipment and pollutants</w:t>
      </w:r>
      <w:r w:rsidR="00B938D8" w:rsidRPr="00B54DC3">
        <w:t>.</w:t>
      </w:r>
      <w:r w:rsidR="00E95A7F">
        <w:t xml:space="preserve"> </w:t>
      </w:r>
      <w:r w:rsidRPr="00B54DC3">
        <w:t>Due to technical considerations involving the process operations and the types of control equipment employed, the recordkeeping and reporting requirements are the same for both small and large entities</w:t>
      </w:r>
      <w:r w:rsidR="00B938D8" w:rsidRPr="00B54DC3">
        <w:t>.</w:t>
      </w:r>
      <w:r w:rsidR="00E95A7F">
        <w:t xml:space="preserve"> </w:t>
      </w:r>
      <w:r w:rsidRPr="00B54DC3">
        <w:t xml:space="preserve">The </w:t>
      </w:r>
      <w:r w:rsidR="00997DF3">
        <w:t>EPA</w:t>
      </w:r>
      <w:r w:rsidRPr="00B54DC3">
        <w:t xml:space="preserve"> considers these requirements the minimum needed to ensure compliance and, therefore, cannot reduce them further for small entities.</w:t>
      </w:r>
      <w:r w:rsidR="00E95A7F">
        <w:t xml:space="preserve"> </w:t>
      </w:r>
      <w:r w:rsidRPr="00B54DC3">
        <w:t xml:space="preserve">To the extent that larger businesses can use economies of scale to reduce their burden, the overall burden will be reduced. </w:t>
      </w:r>
    </w:p>
    <w:p w:rsidR="00601CF5" w:rsidRPr="00B54DC3" w:rsidRDefault="00601CF5" w:rsidP="00ED692A">
      <w:pPr>
        <w:pStyle w:val="SectionSubheading"/>
      </w:pPr>
      <w:r w:rsidRPr="00B54DC3">
        <w:t>5(d)</w:t>
      </w:r>
      <w:r w:rsidR="00E95A7F">
        <w:t xml:space="preserve"> </w:t>
      </w:r>
      <w:r w:rsidRPr="00B54DC3">
        <w:t xml:space="preserve">Collection Schedule </w:t>
      </w:r>
    </w:p>
    <w:p w:rsidR="00601CF5" w:rsidRPr="00B54DC3" w:rsidRDefault="00601CF5" w:rsidP="00311A67">
      <w:pPr>
        <w:pStyle w:val="BodyFirstline05After12pt"/>
      </w:pPr>
      <w:r w:rsidRPr="00B54DC3">
        <w:t xml:space="preserve">The specific frequency for each information collection </w:t>
      </w:r>
      <w:r w:rsidR="00047853" w:rsidRPr="00B54DC3">
        <w:t xml:space="preserve">activity within this request is </w:t>
      </w:r>
      <w:r w:rsidRPr="00B54DC3">
        <w:t xml:space="preserve">shown on Table 2: Industry Burden from Recordkeeping and Reporting </w:t>
      </w:r>
      <w:r w:rsidR="00311A67">
        <w:t>–</w:t>
      </w:r>
      <w:r w:rsidRPr="00B54DC3">
        <w:t xml:space="preserve"> NSPS</w:t>
      </w:r>
      <w:r w:rsidR="00311A67">
        <w:t xml:space="preserve"> </w:t>
      </w:r>
      <w:r w:rsidRPr="00B54DC3">
        <w:t>Subpart J</w:t>
      </w:r>
      <w:r w:rsidR="00003F65" w:rsidRPr="00B54DC3">
        <w:t>a</w:t>
      </w:r>
      <w:r w:rsidRPr="00B54DC3">
        <w:t xml:space="preserve">. </w:t>
      </w:r>
    </w:p>
    <w:p w:rsidR="00601CF5" w:rsidRPr="00B54DC3" w:rsidRDefault="00601CF5" w:rsidP="00ED692A">
      <w:pPr>
        <w:pStyle w:val="SectionHeading"/>
      </w:pPr>
      <w:r w:rsidRPr="00B54DC3">
        <w:t>6.</w:t>
      </w:r>
      <w:r w:rsidR="00E95A7F">
        <w:t xml:space="preserve"> </w:t>
      </w:r>
      <w:r w:rsidRPr="00B54DC3">
        <w:t xml:space="preserve">Estimating the Burden and Cost of the Collection </w:t>
      </w:r>
    </w:p>
    <w:p w:rsidR="00601CF5" w:rsidRPr="00B54DC3" w:rsidRDefault="00601CF5" w:rsidP="00311A67">
      <w:pPr>
        <w:pStyle w:val="BodyFirstline05After12pt"/>
      </w:pPr>
      <w:r w:rsidRPr="00B54DC3">
        <w:t xml:space="preserve">Table 2 documents the computation of individual burdens for the recordkeeping and reporting requirements applicable to the industry for the </w:t>
      </w:r>
      <w:r w:rsidR="00311A67">
        <w:t>s</w:t>
      </w:r>
      <w:r w:rsidRPr="00B54DC3">
        <w:t>ubpart included in this ICR.</w:t>
      </w:r>
      <w:r w:rsidR="00E95A7F">
        <w:t xml:space="preserve"> </w:t>
      </w:r>
      <w:r w:rsidRPr="00B54DC3">
        <w:t>The individual burdens are expressed under standardized headings believed to be consistent with the concept of burden under the Paperwork Reduction Act.</w:t>
      </w:r>
      <w:r w:rsidR="00E95A7F">
        <w:t xml:space="preserve"> </w:t>
      </w:r>
      <w:r w:rsidRPr="00B54DC3">
        <w:t>Where appropriate, specific tasks and major assumptions have been identified</w:t>
      </w:r>
      <w:r w:rsidR="00B938D8" w:rsidRPr="00B54DC3">
        <w:t>.</w:t>
      </w:r>
      <w:r w:rsidR="00E95A7F">
        <w:t xml:space="preserve"> </w:t>
      </w:r>
      <w:r w:rsidRPr="00B54DC3">
        <w:t xml:space="preserve">Responses to this information collection are mandatory. </w:t>
      </w:r>
    </w:p>
    <w:p w:rsidR="00601CF5" w:rsidRPr="00B54DC3" w:rsidRDefault="00601CF5" w:rsidP="00ED692A">
      <w:pPr>
        <w:pStyle w:val="BodyFirstline05After12pt"/>
      </w:pPr>
      <w:r w:rsidRPr="00B54DC3">
        <w:t xml:space="preserve">The Agency may not conduct or sponsor, and a person is not required to respond to, a collection of information unless it displays a currently valid OMB control number. </w:t>
      </w:r>
    </w:p>
    <w:p w:rsidR="00601CF5" w:rsidRPr="00B54DC3" w:rsidRDefault="00601CF5" w:rsidP="00ED692A">
      <w:pPr>
        <w:pStyle w:val="SectionSubheading"/>
      </w:pPr>
      <w:r w:rsidRPr="00B54DC3">
        <w:t>6(a)</w:t>
      </w:r>
      <w:r w:rsidR="00E95A7F">
        <w:t xml:space="preserve"> </w:t>
      </w:r>
      <w:r w:rsidRPr="00B54DC3">
        <w:t>Estimating Respondent Burden</w:t>
      </w:r>
    </w:p>
    <w:p w:rsidR="003F4C14" w:rsidRPr="00B54DC3" w:rsidRDefault="00601CF5" w:rsidP="00DE6E1B">
      <w:pPr>
        <w:pStyle w:val="BodyFirstline05After12pt"/>
      </w:pPr>
      <w:r w:rsidRPr="00B54DC3">
        <w:t xml:space="preserve">The average annual burden to industry over the next three years from these recordkeeping and reporting requirements is estimated to be </w:t>
      </w:r>
      <w:r w:rsidR="00DE6E1B">
        <w:t>54,572</w:t>
      </w:r>
      <w:r w:rsidRPr="00B54DC3">
        <w:t xml:space="preserve"> (Total Labor Hours from Table 2)</w:t>
      </w:r>
      <w:r w:rsidR="00B938D8" w:rsidRPr="00B54DC3">
        <w:t>.</w:t>
      </w:r>
      <w:r w:rsidR="00E95A7F">
        <w:t xml:space="preserve"> </w:t>
      </w:r>
      <w:r w:rsidRPr="00B54DC3">
        <w:t xml:space="preserve">These hours are based on Agency studies and background documents from the development of the </w:t>
      </w:r>
      <w:r w:rsidRPr="00B54DC3">
        <w:lastRenderedPageBreak/>
        <w:t xml:space="preserve">standards, Agency knowledge and experience with the NSPS program, the previously approved ICR, and any comments received. </w:t>
      </w:r>
    </w:p>
    <w:p w:rsidR="00601CF5" w:rsidRPr="00B54DC3" w:rsidRDefault="00601CF5" w:rsidP="00ED692A">
      <w:pPr>
        <w:pStyle w:val="SectionSubheading"/>
      </w:pPr>
      <w:r w:rsidRPr="00B54DC3">
        <w:t>6(b)</w:t>
      </w:r>
      <w:r w:rsidR="00E95A7F">
        <w:t xml:space="preserve"> </w:t>
      </w:r>
      <w:r w:rsidRPr="00B54DC3">
        <w:t xml:space="preserve">Estimating Respondent Costs </w:t>
      </w:r>
    </w:p>
    <w:p w:rsidR="00601CF5" w:rsidRPr="00B54DC3" w:rsidRDefault="00601CF5" w:rsidP="000C6CCE">
      <w:pPr>
        <w:pStyle w:val="SectionLevel3Heading"/>
      </w:pPr>
      <w:r w:rsidRPr="00B54DC3">
        <w:t>(i)</w:t>
      </w:r>
      <w:r w:rsidR="00E95A7F">
        <w:t xml:space="preserve"> </w:t>
      </w:r>
      <w:r w:rsidRPr="00B54DC3">
        <w:rPr>
          <w:rStyle w:val="Underline"/>
        </w:rPr>
        <w:t>Estimating Labor Costs</w:t>
      </w:r>
      <w:r w:rsidRPr="00B54DC3">
        <w:t xml:space="preserve"> </w:t>
      </w:r>
    </w:p>
    <w:p w:rsidR="00110383" w:rsidRPr="00B54DC3" w:rsidRDefault="00601CF5" w:rsidP="00342CA2">
      <w:pPr>
        <w:pStyle w:val="BodyFirstline05After12pt"/>
      </w:pPr>
      <w:r w:rsidRPr="00B54DC3">
        <w:t>This ICR uses a Technical Labor Rate of $</w:t>
      </w:r>
      <w:r w:rsidR="00031A08" w:rsidRPr="00B54DC3">
        <w:t>90</w:t>
      </w:r>
      <w:r w:rsidRPr="00B54DC3">
        <w:t>.</w:t>
      </w:r>
      <w:r w:rsidR="00031A08" w:rsidRPr="00B54DC3">
        <w:t>12</w:t>
      </w:r>
      <w:r w:rsidRPr="00B54DC3">
        <w:t xml:space="preserve"> (</w:t>
      </w:r>
      <w:r w:rsidR="00A111F7" w:rsidRPr="00B54DC3">
        <w:t xml:space="preserve">composite rate of </w:t>
      </w:r>
      <w:r w:rsidRPr="00B54DC3">
        <w:t>$</w:t>
      </w:r>
      <w:r w:rsidR="00114899" w:rsidRPr="00B54DC3">
        <w:t>4</w:t>
      </w:r>
      <w:r w:rsidR="00031A08" w:rsidRPr="00B54DC3">
        <w:t>2</w:t>
      </w:r>
      <w:r w:rsidRPr="00B54DC3">
        <w:t>.</w:t>
      </w:r>
      <w:r w:rsidR="00A111F7" w:rsidRPr="00B54DC3">
        <w:t>9</w:t>
      </w:r>
      <w:r w:rsidR="00031A08" w:rsidRPr="00B54DC3">
        <w:t>2</w:t>
      </w:r>
      <w:r w:rsidRPr="00B54DC3">
        <w:t xml:space="preserve"> + 110% overhead) per hour</w:t>
      </w:r>
      <w:r w:rsidR="00B938D8" w:rsidRPr="00B54DC3">
        <w:t>.</w:t>
      </w:r>
      <w:r w:rsidR="00E95A7F">
        <w:t xml:space="preserve"> </w:t>
      </w:r>
      <w:r w:rsidR="00110383" w:rsidRPr="00B54DC3">
        <w:t xml:space="preserve">This rate is from the United States Department of Labor, Bureau of Labor Statistics, </w:t>
      </w:r>
      <w:r w:rsidR="00110383" w:rsidRPr="00B54DC3">
        <w:rPr>
          <w:rStyle w:val="Italic"/>
        </w:rPr>
        <w:t>Occupational Employment Statistics: May 200</w:t>
      </w:r>
      <w:r w:rsidR="00031A08" w:rsidRPr="00B54DC3">
        <w:rPr>
          <w:rStyle w:val="Italic"/>
        </w:rPr>
        <w:t>6</w:t>
      </w:r>
      <w:r w:rsidR="00110383" w:rsidRPr="00B54DC3">
        <w:rPr>
          <w:rStyle w:val="Italic"/>
        </w:rPr>
        <w:t xml:space="preserve"> Employment and Wage Estimates</w:t>
      </w:r>
      <w:r w:rsidR="00110383" w:rsidRPr="00B54DC3">
        <w:t>.</w:t>
      </w:r>
      <w:r w:rsidR="00E95A7F">
        <w:t xml:space="preserve"> </w:t>
      </w:r>
      <w:r w:rsidR="00110383" w:rsidRPr="00B54DC3">
        <w:t xml:space="preserve">The rate is </w:t>
      </w:r>
      <w:r w:rsidR="00A111F7" w:rsidRPr="00B54DC3">
        <w:t xml:space="preserve">a weighted average of </w:t>
      </w:r>
      <w:r w:rsidR="00110383" w:rsidRPr="00B54DC3">
        <w:t>the mean wage rate</w:t>
      </w:r>
      <w:r w:rsidR="00A111F7" w:rsidRPr="00B54DC3">
        <w:t>s</w:t>
      </w:r>
      <w:r w:rsidR="00110383" w:rsidRPr="00B54DC3">
        <w:t xml:space="preserve"> for </w:t>
      </w:r>
      <w:r w:rsidR="00A111F7" w:rsidRPr="00B54DC3">
        <w:t xml:space="preserve">Standard </w:t>
      </w:r>
      <w:r w:rsidR="008A0BE0" w:rsidRPr="00B54DC3">
        <w:t>Occupational Classification</w:t>
      </w:r>
      <w:r w:rsidR="00A111F7" w:rsidRPr="00B54DC3">
        <w:t xml:space="preserve"> (SOC) Codes for Environmental Engineers (SOC 17-2081, $3</w:t>
      </w:r>
      <w:r w:rsidR="00031A08" w:rsidRPr="00B54DC3">
        <w:t>8</w:t>
      </w:r>
      <w:r w:rsidR="00A111F7" w:rsidRPr="00B54DC3">
        <w:t>.</w:t>
      </w:r>
      <w:r w:rsidR="00031A08" w:rsidRPr="00B54DC3">
        <w:t>29</w:t>
      </w:r>
      <w:r w:rsidR="00A111F7" w:rsidRPr="00B54DC3">
        <w:t xml:space="preserve"> per hour, 89 percent of composite), General and Operations Managers (SOC 11-1021, $5</w:t>
      </w:r>
      <w:r w:rsidR="00031A08" w:rsidRPr="00B54DC3">
        <w:t>7</w:t>
      </w:r>
      <w:r w:rsidR="00A111F7" w:rsidRPr="00B54DC3">
        <w:t>.</w:t>
      </w:r>
      <w:r w:rsidR="00031A08" w:rsidRPr="00B54DC3">
        <w:t>58</w:t>
      </w:r>
      <w:r w:rsidR="00A111F7" w:rsidRPr="00B54DC3">
        <w:t xml:space="preserve"> per hour, 7 percent of composite), and Office and</w:t>
      </w:r>
      <w:r w:rsidR="008A0BE0" w:rsidRPr="00B54DC3">
        <w:t xml:space="preserve"> Administrative Support Occupations</w:t>
      </w:r>
      <w:r w:rsidR="00A111F7" w:rsidRPr="00B54DC3">
        <w:t xml:space="preserve"> (SOC </w:t>
      </w:r>
      <w:r w:rsidR="008A0BE0" w:rsidRPr="00B54DC3">
        <w:t>43</w:t>
      </w:r>
      <w:r w:rsidR="00A111F7" w:rsidRPr="00B54DC3">
        <w:t>-</w:t>
      </w:r>
      <w:r w:rsidR="008A0BE0" w:rsidRPr="00B54DC3">
        <w:t>0000</w:t>
      </w:r>
      <w:r w:rsidR="00A111F7" w:rsidRPr="00B54DC3">
        <w:t>, $</w:t>
      </w:r>
      <w:r w:rsidR="008A0BE0" w:rsidRPr="00B54DC3">
        <w:t>17</w:t>
      </w:r>
      <w:r w:rsidR="00A111F7" w:rsidRPr="00B54DC3">
        <w:t>.</w:t>
      </w:r>
      <w:r w:rsidR="00031A08" w:rsidRPr="00B54DC3">
        <w:t>46</w:t>
      </w:r>
      <w:r w:rsidR="00A111F7" w:rsidRPr="00B54DC3">
        <w:t xml:space="preserve"> per hour, </w:t>
      </w:r>
      <w:r w:rsidR="008A0BE0" w:rsidRPr="00B54DC3">
        <w:t>4</w:t>
      </w:r>
      <w:r w:rsidR="00A111F7" w:rsidRPr="00B54DC3">
        <w:t xml:space="preserve"> percent of composite) </w:t>
      </w:r>
      <w:r w:rsidR="008A0BE0" w:rsidRPr="00B54DC3">
        <w:t xml:space="preserve">for </w:t>
      </w:r>
      <w:r w:rsidR="00110383" w:rsidRPr="00B54DC3">
        <w:t>NAICS 324 (Petroleum and Coal Products Manufacturing)</w:t>
      </w:r>
      <w:r w:rsidR="00114899" w:rsidRPr="00B54DC3">
        <w:t>.</w:t>
      </w:r>
      <w:r w:rsidR="00E95A7F">
        <w:t xml:space="preserve"> </w:t>
      </w:r>
      <w:r w:rsidR="00114899" w:rsidRPr="00B54DC3">
        <w:t xml:space="preserve">The </w:t>
      </w:r>
      <w:r w:rsidR="008A0BE0" w:rsidRPr="00B54DC3">
        <w:t xml:space="preserve">composite </w:t>
      </w:r>
      <w:r w:rsidR="00114899" w:rsidRPr="00B54DC3">
        <w:t>wage rate has been increased by 110</w:t>
      </w:r>
      <w:r w:rsidR="00342CA2">
        <w:t xml:space="preserve"> percent</w:t>
      </w:r>
      <w:r w:rsidR="00114899" w:rsidRPr="00B54DC3">
        <w:t xml:space="preserve"> to account for the benefit packages available to those employed by private industry.</w:t>
      </w:r>
    </w:p>
    <w:p w:rsidR="00601CF5" w:rsidRPr="00B54DC3" w:rsidRDefault="00601CF5" w:rsidP="000C6CCE">
      <w:pPr>
        <w:pStyle w:val="SectionLevel3Heading"/>
      </w:pPr>
      <w:r w:rsidRPr="00B54DC3">
        <w:t>(ii)</w:t>
      </w:r>
      <w:r w:rsidR="00E95A7F">
        <w:t xml:space="preserve"> </w:t>
      </w:r>
      <w:r w:rsidRPr="00B54DC3">
        <w:rPr>
          <w:rStyle w:val="Underline"/>
        </w:rPr>
        <w:t>Estimating Capital and Operations and Maintenance Costs</w:t>
      </w:r>
      <w:r w:rsidRPr="00B54DC3">
        <w:t xml:space="preserve"> </w:t>
      </w:r>
    </w:p>
    <w:p w:rsidR="00601CF5" w:rsidRPr="00B54DC3" w:rsidRDefault="00601CF5" w:rsidP="00ED692A">
      <w:pPr>
        <w:pStyle w:val="BodyFirstline05After12pt"/>
      </w:pPr>
      <w:r w:rsidRPr="00B54DC3">
        <w:t xml:space="preserve">The type of industry costs associated with the information collection activity in the regulations are labor and </w:t>
      </w:r>
      <w:r w:rsidR="00D5448F" w:rsidRPr="00B54DC3">
        <w:t>c</w:t>
      </w:r>
      <w:r w:rsidRPr="00B54DC3">
        <w:t xml:space="preserve">ontinuous </w:t>
      </w:r>
      <w:r w:rsidR="00D5448F" w:rsidRPr="00B54DC3">
        <w:t>m</w:t>
      </w:r>
      <w:r w:rsidRPr="00B54DC3">
        <w:t>onitoring</w:t>
      </w:r>
      <w:r w:rsidR="00B938D8" w:rsidRPr="00B54DC3">
        <w:t>.</w:t>
      </w:r>
      <w:r w:rsidR="00E95A7F">
        <w:t xml:space="preserve"> </w:t>
      </w:r>
      <w:r w:rsidRPr="00B54DC3">
        <w:t>The capital/startup costs are one</w:t>
      </w:r>
      <w:r w:rsidR="00AC5FF6" w:rsidRPr="00B54DC3">
        <w:t>-</w:t>
      </w:r>
      <w:r w:rsidRPr="00B54DC3">
        <w:t>time costs when a facility becomes subject to the standards.</w:t>
      </w:r>
      <w:r w:rsidR="00E95A7F">
        <w:t xml:space="preserve"> </w:t>
      </w:r>
      <w:r w:rsidRPr="00B54DC3">
        <w:t>The annual operation and maintenance costs are the ongoing costs to maintain the monitor and other costs such as photocopying and postage.</w:t>
      </w:r>
      <w:r w:rsidR="00E95A7F">
        <w:t xml:space="preserve"> </w:t>
      </w:r>
      <w:r w:rsidR="00AC5FF6" w:rsidRPr="00B54DC3">
        <w:t xml:space="preserve">The </w:t>
      </w:r>
      <w:r w:rsidR="00A2708C" w:rsidRPr="00B54DC3">
        <w:t xml:space="preserve">capital </w:t>
      </w:r>
      <w:r w:rsidR="00AC5FF6" w:rsidRPr="00B54DC3">
        <w:t>costs</w:t>
      </w:r>
      <w:r w:rsidR="003F6B08" w:rsidRPr="00B54DC3">
        <w:t xml:space="preserve"> and the operation and maintenance costs</w:t>
      </w:r>
      <w:r w:rsidR="00AC5FF6" w:rsidRPr="00B54DC3">
        <w:t xml:space="preserve"> </w:t>
      </w:r>
      <w:r w:rsidR="00A2708C" w:rsidRPr="00B54DC3">
        <w:t xml:space="preserve">for this ICR are </w:t>
      </w:r>
      <w:r w:rsidR="00ED692A" w:rsidRPr="00B54DC3">
        <w:t xml:space="preserve">only </w:t>
      </w:r>
      <w:r w:rsidR="00A2708C" w:rsidRPr="00B54DC3">
        <w:t xml:space="preserve">the </w:t>
      </w:r>
      <w:r w:rsidR="00ED692A" w:rsidRPr="00B54DC3">
        <w:t xml:space="preserve">additional </w:t>
      </w:r>
      <w:r w:rsidR="00A2708C" w:rsidRPr="00B54DC3">
        <w:t xml:space="preserve">costs </w:t>
      </w:r>
      <w:r w:rsidR="003F6B08" w:rsidRPr="00B54DC3">
        <w:t xml:space="preserve">associated with the </w:t>
      </w:r>
      <w:r w:rsidR="00AC5FF6" w:rsidRPr="00B54DC3">
        <w:t xml:space="preserve">required </w:t>
      </w:r>
      <w:r w:rsidR="003F6B08" w:rsidRPr="00B54DC3">
        <w:t>CMS</w:t>
      </w:r>
      <w:r w:rsidR="00ED692A" w:rsidRPr="00B54DC3">
        <w:t xml:space="preserve"> for affected flares; the CEMS costs for other affected facilities, including process heaters, were included in the previously approved ICR for this subpart</w:t>
      </w:r>
      <w:r w:rsidR="003F6B08" w:rsidRPr="00B54DC3">
        <w:t>.</w:t>
      </w:r>
    </w:p>
    <w:p w:rsidR="00601CF5" w:rsidRPr="00B54DC3" w:rsidRDefault="00601CF5" w:rsidP="000C6CCE">
      <w:pPr>
        <w:pStyle w:val="SectionLevel3Heading"/>
      </w:pPr>
      <w:r w:rsidRPr="00B54DC3">
        <w:t>(iii)</w:t>
      </w:r>
      <w:r w:rsidR="00E95A7F">
        <w:t xml:space="preserve"> </w:t>
      </w:r>
      <w:r w:rsidRPr="00B54DC3">
        <w:rPr>
          <w:rStyle w:val="Underline"/>
        </w:rPr>
        <w:t>Capital/Start-up vs. Operating and Maintenance (O&amp;M) Costs</w:t>
      </w:r>
    </w:p>
    <w:p w:rsidR="002C5F2B" w:rsidRPr="00B54DC3" w:rsidRDefault="003F6B08" w:rsidP="00C61621">
      <w:pPr>
        <w:pStyle w:val="BodyFirstline05After12pt"/>
      </w:pPr>
      <w:r w:rsidRPr="00B54DC3">
        <w:t>T</w:t>
      </w:r>
      <w:r w:rsidR="00AC5FF6" w:rsidRPr="00B54DC3">
        <w:t xml:space="preserve">he </w:t>
      </w:r>
      <w:r w:rsidRPr="00B54DC3">
        <w:t xml:space="preserve">capital </w:t>
      </w:r>
      <w:r w:rsidR="00AC5FF6" w:rsidRPr="00B54DC3">
        <w:t>costs of the</w:t>
      </w:r>
      <w:r w:rsidR="00D5448F" w:rsidRPr="00B54DC3">
        <w:t xml:space="preserve"> additional</w:t>
      </w:r>
      <w:r w:rsidR="00AC5FF6" w:rsidRPr="00B54DC3">
        <w:t xml:space="preserve"> required </w:t>
      </w:r>
      <w:r w:rsidRPr="00B54DC3">
        <w:t>CMS</w:t>
      </w:r>
      <w:r w:rsidR="00AC5FF6" w:rsidRPr="00B54DC3">
        <w:t xml:space="preserve"> </w:t>
      </w:r>
      <w:r w:rsidR="00C47585">
        <w:t xml:space="preserve">for sulfur content and flow rate </w:t>
      </w:r>
      <w:r w:rsidR="00AC5FF6" w:rsidRPr="00B54DC3">
        <w:t>are</w:t>
      </w:r>
      <w:r w:rsidRPr="00B54DC3">
        <w:t xml:space="preserve"> estimated to be $</w:t>
      </w:r>
      <w:r w:rsidR="002C5F2B" w:rsidRPr="00B54DC3">
        <w:t>30</w:t>
      </w:r>
      <w:r w:rsidRPr="00B54DC3">
        <w:t xml:space="preserve">0,000 per </w:t>
      </w:r>
      <w:r w:rsidR="00C47585">
        <w:t>flare</w:t>
      </w:r>
      <w:r w:rsidRPr="00B54DC3">
        <w:t xml:space="preserve"> ($</w:t>
      </w:r>
      <w:r w:rsidR="002C5F2B" w:rsidRPr="00B54DC3">
        <w:t>4</w:t>
      </w:r>
      <w:r w:rsidR="00311A67">
        <w:t>3</w:t>
      </w:r>
      <w:r w:rsidRPr="00B54DC3">
        <w:t>,000 annualized capital cost).</w:t>
      </w:r>
      <w:r w:rsidR="00E95A7F">
        <w:t xml:space="preserve"> </w:t>
      </w:r>
      <w:r w:rsidR="00C61621">
        <w:t>Only 70 percent of the total affected flares are expected to be required to install CMS; the other 30 percent are expected to use the monitoring alternative for emergency flares and flares with flare gas recovery systems. This assumption results in an estimate of</w:t>
      </w:r>
      <w:r w:rsidR="00106D16" w:rsidRPr="00B54DC3">
        <w:t xml:space="preserve"> </w:t>
      </w:r>
      <w:r w:rsidR="00DE6E1B">
        <w:t>262</w:t>
      </w:r>
      <w:r w:rsidR="00106D16" w:rsidRPr="00B54DC3">
        <w:t xml:space="preserve"> </w:t>
      </w:r>
      <w:r w:rsidR="0025229C" w:rsidRPr="00B54DC3">
        <w:t xml:space="preserve">additional </w:t>
      </w:r>
      <w:r w:rsidR="00C47585">
        <w:t>flares</w:t>
      </w:r>
      <w:r w:rsidR="00C47585" w:rsidRPr="00B54DC3">
        <w:t xml:space="preserve"> </w:t>
      </w:r>
      <w:r w:rsidR="00C61621" w:rsidRPr="00B54DC3">
        <w:t xml:space="preserve">subject to </w:t>
      </w:r>
      <w:r w:rsidR="00C61621">
        <w:t xml:space="preserve">the monitoring requirements of </w:t>
      </w:r>
      <w:r w:rsidR="00C61621" w:rsidRPr="00B54DC3">
        <w:t xml:space="preserve">subpart Ja </w:t>
      </w:r>
      <w:r w:rsidR="00106D16" w:rsidRPr="00B54DC3">
        <w:t xml:space="preserve">over </w:t>
      </w:r>
      <w:r w:rsidR="00B02B3D">
        <w:t>three</w:t>
      </w:r>
      <w:r w:rsidR="00106D16" w:rsidRPr="00B54DC3">
        <w:t xml:space="preserve"> years</w:t>
      </w:r>
      <w:r w:rsidR="00C61621">
        <w:t>, or 87.3</w:t>
      </w:r>
      <w:r w:rsidR="00C61621" w:rsidRPr="00B54DC3">
        <w:t xml:space="preserve"> additional </w:t>
      </w:r>
      <w:r w:rsidR="00C61621">
        <w:t>flares</w:t>
      </w:r>
      <w:r w:rsidR="00C61621" w:rsidRPr="00B54DC3">
        <w:t xml:space="preserve"> per year</w:t>
      </w:r>
      <w:r w:rsidR="00106D16" w:rsidRPr="00B54DC3">
        <w:t>.</w:t>
      </w:r>
      <w:r w:rsidR="00E95A7F">
        <w:t xml:space="preserve"> </w:t>
      </w:r>
      <w:r w:rsidR="00C47585">
        <w:t>The</w:t>
      </w:r>
      <w:r w:rsidR="00106D16" w:rsidRPr="00B54DC3">
        <w:t xml:space="preserve"> total annualized capital cost </w:t>
      </w:r>
      <w:r w:rsidR="00C47585">
        <w:t xml:space="preserve">for CMS for </w:t>
      </w:r>
      <w:r w:rsidR="00DE6E1B">
        <w:t>262</w:t>
      </w:r>
      <w:r w:rsidR="00C47585">
        <w:t xml:space="preserve"> flares is</w:t>
      </w:r>
      <w:r w:rsidR="00106D16" w:rsidRPr="00B54DC3">
        <w:t xml:space="preserve"> $</w:t>
      </w:r>
      <w:r w:rsidR="00DE6E1B">
        <w:t>11,266</w:t>
      </w:r>
      <w:r w:rsidR="00106D16" w:rsidRPr="00B54DC3">
        <w:t>,000 per year.</w:t>
      </w:r>
      <w:r w:rsidR="00E95A7F">
        <w:t xml:space="preserve"> </w:t>
      </w:r>
      <w:r w:rsidR="00AC5FF6" w:rsidRPr="00B54DC3">
        <w:t>There are no other capital costs associated with this information collection.</w:t>
      </w:r>
      <w:r w:rsidR="00E95A7F">
        <w:t xml:space="preserve"> </w:t>
      </w:r>
    </w:p>
    <w:p w:rsidR="002C5F2B" w:rsidRPr="00B54DC3" w:rsidRDefault="00601CF5" w:rsidP="008069E8">
      <w:pPr>
        <w:pStyle w:val="BodyFirstline05After12pt"/>
      </w:pPr>
      <w:r w:rsidRPr="00B54DC3">
        <w:t>The total operation and maintenance (O&amp;M) costs for this ICR are $</w:t>
      </w:r>
      <w:r w:rsidR="008069E8">
        <w:t>8,750</w:t>
      </w:r>
      <w:r w:rsidR="002C5F2B" w:rsidRPr="00B54DC3">
        <w:t>,000</w:t>
      </w:r>
      <w:r w:rsidRPr="00B54DC3">
        <w:t>.</w:t>
      </w:r>
      <w:r w:rsidR="00E95A7F">
        <w:t xml:space="preserve"> </w:t>
      </w:r>
      <w:r w:rsidRPr="00B54DC3">
        <w:t xml:space="preserve">This is based on </w:t>
      </w:r>
      <w:r w:rsidR="00015B20" w:rsidRPr="00B54DC3">
        <w:t xml:space="preserve">an </w:t>
      </w:r>
      <w:r w:rsidR="00106D16" w:rsidRPr="00B54DC3">
        <w:t>annual operating cost of $</w:t>
      </w:r>
      <w:r w:rsidR="002C5F2B" w:rsidRPr="00B54DC3">
        <w:t>50,000</w:t>
      </w:r>
      <w:r w:rsidR="00106D16" w:rsidRPr="00B54DC3">
        <w:t xml:space="preserve"> per year per </w:t>
      </w:r>
      <w:r w:rsidR="00C47585">
        <w:t>flare</w:t>
      </w:r>
      <w:r w:rsidR="00106D16" w:rsidRPr="00B54DC3">
        <w:t>.</w:t>
      </w:r>
      <w:r w:rsidR="00E95A7F">
        <w:t xml:space="preserve"> </w:t>
      </w:r>
      <w:r w:rsidR="00106D16" w:rsidRPr="00B54DC3">
        <w:t xml:space="preserve">The total number of affected </w:t>
      </w:r>
      <w:r w:rsidR="0044589C">
        <w:t>flares</w:t>
      </w:r>
      <w:r w:rsidR="00106D16" w:rsidRPr="00B54DC3">
        <w:t xml:space="preserve"> in the second year, </w:t>
      </w:r>
      <w:r w:rsidR="00DE6E1B">
        <w:t>17</w:t>
      </w:r>
      <w:r w:rsidR="008069E8">
        <w:t>5</w:t>
      </w:r>
      <w:r w:rsidR="00106D16" w:rsidRPr="00B54DC3">
        <w:t xml:space="preserve">, was used as an approximation for the average number of </w:t>
      </w:r>
      <w:r w:rsidR="00015B20" w:rsidRPr="00B54DC3">
        <w:t xml:space="preserve">affected </w:t>
      </w:r>
      <w:r w:rsidR="0044589C">
        <w:t>flares</w:t>
      </w:r>
      <w:r w:rsidR="00015B20" w:rsidRPr="00B54DC3">
        <w:t xml:space="preserve"> </w:t>
      </w:r>
      <w:r w:rsidR="00106D16" w:rsidRPr="00B54DC3">
        <w:t>over three years.</w:t>
      </w:r>
      <w:r w:rsidR="00E95A7F">
        <w:t xml:space="preserve"> </w:t>
      </w:r>
    </w:p>
    <w:p w:rsidR="00B1329F" w:rsidRPr="00B54DC3" w:rsidRDefault="00601CF5" w:rsidP="008069E8">
      <w:pPr>
        <w:pStyle w:val="BodyFirstline05After12pt"/>
      </w:pPr>
      <w:r w:rsidRPr="00B54DC3">
        <w:t>The total respondent non-labor costs have been calculated as the addition of the capital/startup costs, and the annual operation and maintenance costs.</w:t>
      </w:r>
      <w:r w:rsidR="00E95A7F">
        <w:t xml:space="preserve"> </w:t>
      </w:r>
      <w:r w:rsidRPr="00B54DC3">
        <w:t xml:space="preserve">The average annual cost </w:t>
      </w:r>
      <w:r w:rsidRPr="00B54DC3">
        <w:lastRenderedPageBreak/>
        <w:t>for capital/startup, and operation and maintenance costs to industry over the next three years of the ICR is estimated to be $</w:t>
      </w:r>
      <w:r w:rsidR="008069E8">
        <w:t>20,016</w:t>
      </w:r>
      <w:r w:rsidR="00B1329F" w:rsidRPr="00B54DC3">
        <w:t>,000</w:t>
      </w:r>
      <w:r w:rsidR="00B938D8" w:rsidRPr="00B54DC3">
        <w:t>.</w:t>
      </w:r>
      <w:r w:rsidR="00E95A7F">
        <w:t xml:space="preserve"> </w:t>
      </w:r>
    </w:p>
    <w:p w:rsidR="00601CF5" w:rsidRPr="00B54DC3" w:rsidRDefault="00601CF5" w:rsidP="00ED692A">
      <w:pPr>
        <w:pStyle w:val="SectionSubheading"/>
      </w:pPr>
      <w:r w:rsidRPr="00B54DC3">
        <w:t>6(c)</w:t>
      </w:r>
      <w:r w:rsidR="00E95A7F">
        <w:t xml:space="preserve"> </w:t>
      </w:r>
      <w:r w:rsidRPr="00B54DC3">
        <w:t xml:space="preserve">Estimating Agency Burden and Cost </w:t>
      </w:r>
    </w:p>
    <w:p w:rsidR="00015B20" w:rsidRPr="00B54DC3" w:rsidRDefault="00601CF5" w:rsidP="00ED692A">
      <w:pPr>
        <w:pStyle w:val="BodyFirstline05After12pt"/>
      </w:pPr>
      <w:r w:rsidRPr="00B54DC3">
        <w:t>The only costs to the Agency are those costs associate</w:t>
      </w:r>
      <w:r w:rsidR="00DC64B8" w:rsidRPr="00B54DC3">
        <w:t xml:space="preserve">d with analysis of the reported </w:t>
      </w:r>
      <w:r w:rsidRPr="00B54DC3">
        <w:t>information</w:t>
      </w:r>
      <w:r w:rsidR="00B938D8" w:rsidRPr="00B54DC3">
        <w:t>.</w:t>
      </w:r>
      <w:r w:rsidR="00E95A7F">
        <w:t xml:space="preserve"> </w:t>
      </w:r>
      <w:r w:rsidRPr="00B54DC3">
        <w:t>Publication and distribution of the information are part of the AFS program</w:t>
      </w:r>
      <w:r w:rsidR="00B938D8" w:rsidRPr="00B54DC3">
        <w:t>.</w:t>
      </w:r>
      <w:r w:rsidR="00E95A7F">
        <w:t xml:space="preserve"> </w:t>
      </w:r>
      <w:r w:rsidRPr="00B54DC3">
        <w:t>Examination of records to be maintained by the respondents will occur as part of the periodic inspection of sources, which is part of EPA</w:t>
      </w:r>
      <w:r w:rsidR="00B938D8" w:rsidRPr="00B54DC3">
        <w:t>’</w:t>
      </w:r>
      <w:r w:rsidRPr="00B54DC3">
        <w:t xml:space="preserve">s overall compliance and enforcement program. </w:t>
      </w:r>
    </w:p>
    <w:p w:rsidR="00601CF5" w:rsidRPr="00B54DC3" w:rsidRDefault="00601CF5" w:rsidP="0031085E">
      <w:pPr>
        <w:pStyle w:val="BodyFirstline05After12pt"/>
      </w:pPr>
      <w:r w:rsidRPr="00B54DC3">
        <w:t>The average annual Agency cost during the 3 years of th</w:t>
      </w:r>
      <w:r w:rsidR="00311A67">
        <w:t>is</w:t>
      </w:r>
      <w:r w:rsidRPr="00B54DC3">
        <w:t xml:space="preserve"> ICR is </w:t>
      </w:r>
      <w:r w:rsidR="00457B03" w:rsidRPr="00B54DC3">
        <w:t>estimated to be $</w:t>
      </w:r>
      <w:r w:rsidR="0031085E">
        <w:t>84</w:t>
      </w:r>
      <w:r w:rsidR="008069E8">
        <w:t>,</w:t>
      </w:r>
      <w:r w:rsidR="0031085E">
        <w:t>508</w:t>
      </w:r>
      <w:r w:rsidR="00457B03" w:rsidRPr="00B54DC3">
        <w:t xml:space="preserve"> </w:t>
      </w:r>
      <w:r w:rsidR="00311A67" w:rsidRPr="00B54DC3">
        <w:t>(see Table 1: Average Annual EPA Resource Requirements Resulting From NSPS Subpart Ja)</w:t>
      </w:r>
      <w:r w:rsidR="00311A67">
        <w:t>.</w:t>
      </w:r>
      <w:r w:rsidR="00E95A7F">
        <w:t xml:space="preserve"> </w:t>
      </w:r>
      <w:r w:rsidRPr="00B54DC3">
        <w:t>This cost is based on the average hourly labor rate at a GS-12, Step 1 ($2</w:t>
      </w:r>
      <w:r w:rsidR="00E272B9" w:rsidRPr="00B54DC3">
        <w:t>6</w:t>
      </w:r>
      <w:r w:rsidRPr="00B54DC3">
        <w:t>.</w:t>
      </w:r>
      <w:r w:rsidR="00E272B9" w:rsidRPr="00B54DC3">
        <w:t>53</w:t>
      </w:r>
      <w:r w:rsidRPr="00B54DC3">
        <w:t>),</w:t>
      </w:r>
      <w:r w:rsidR="00E95A7F">
        <w:t xml:space="preserve"> </w:t>
      </w:r>
      <w:r w:rsidRPr="00B54DC3">
        <w:t>times a 1.6 benefits multiplication factor to account for government overhead expenses for a total of $</w:t>
      </w:r>
      <w:r w:rsidR="00E272B9" w:rsidRPr="00B54DC3">
        <w:t>42</w:t>
      </w:r>
      <w:r w:rsidRPr="00B54DC3">
        <w:t>.</w:t>
      </w:r>
      <w:r w:rsidR="00E272B9" w:rsidRPr="00B54DC3">
        <w:t>45</w:t>
      </w:r>
      <w:r w:rsidR="00B938D8" w:rsidRPr="00B54DC3">
        <w:t>.</w:t>
      </w:r>
      <w:r w:rsidR="00E95A7F">
        <w:t xml:space="preserve"> </w:t>
      </w:r>
      <w:r w:rsidRPr="00B54DC3">
        <w:t>These rates are from OPM</w:t>
      </w:r>
      <w:r w:rsidR="00B938D8" w:rsidRPr="00B54DC3">
        <w:t>’</w:t>
      </w:r>
      <w:r w:rsidRPr="00B54DC3">
        <w:t xml:space="preserve">s </w:t>
      </w:r>
      <w:r w:rsidR="00B938D8" w:rsidRPr="00B54DC3">
        <w:t>“</w:t>
      </w:r>
      <w:r w:rsidRPr="00B54DC3">
        <w:t>200</w:t>
      </w:r>
      <w:r w:rsidR="00E272B9" w:rsidRPr="00B54DC3">
        <w:t>6</w:t>
      </w:r>
      <w:r w:rsidRPr="00B54DC3">
        <w:t xml:space="preserve"> General Schedule</w:t>
      </w:r>
      <w:r w:rsidR="00B938D8" w:rsidRPr="00B54DC3">
        <w:t>”</w:t>
      </w:r>
      <w:r w:rsidRPr="00B54DC3">
        <w:t xml:space="preserve"> which excludes locality rates of pay</w:t>
      </w:r>
      <w:r w:rsidR="00B938D8" w:rsidRPr="00B54DC3">
        <w:t>.</w:t>
      </w:r>
      <w:r w:rsidR="00E95A7F">
        <w:t xml:space="preserve"> </w:t>
      </w:r>
      <w:r w:rsidRPr="00B54DC3">
        <w:t>Details upon which this estimate is based appear in Table 1.</w:t>
      </w:r>
    </w:p>
    <w:p w:rsidR="00601CF5" w:rsidRPr="00B54DC3" w:rsidRDefault="00601CF5" w:rsidP="00ED692A">
      <w:pPr>
        <w:pStyle w:val="SectionSubheading"/>
      </w:pPr>
      <w:r w:rsidRPr="00B54DC3">
        <w:t xml:space="preserve">6(d) Estimating the Respondent Universe and Total Burden and Costs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465"/>
        <w:gridCol w:w="1354"/>
        <w:gridCol w:w="1354"/>
        <w:gridCol w:w="1354"/>
        <w:gridCol w:w="1354"/>
        <w:gridCol w:w="1354"/>
        <w:gridCol w:w="1355"/>
      </w:tblGrid>
      <w:tr w:rsidR="00E20186" w:rsidRPr="00B54DC3" w:rsidTr="00E20186">
        <w:trPr>
          <w:cantSplit/>
          <w:tblHeader/>
        </w:trPr>
        <w:tc>
          <w:tcPr>
            <w:tcW w:w="9590" w:type="dxa"/>
            <w:gridSpan w:val="7"/>
          </w:tcPr>
          <w:p w:rsidR="00E20186" w:rsidRPr="00B54DC3" w:rsidRDefault="00E20186" w:rsidP="006D3A7D">
            <w:pPr>
              <w:pStyle w:val="TableTextCenter11pt"/>
              <w:rPr>
                <w:rStyle w:val="Bold"/>
              </w:rPr>
            </w:pPr>
            <w:r w:rsidRPr="00B54DC3">
              <w:rPr>
                <w:rStyle w:val="Bold"/>
              </w:rPr>
              <w:t>Respondent Universe</w:t>
            </w:r>
          </w:p>
        </w:tc>
      </w:tr>
      <w:tr w:rsidR="00E20186" w:rsidRPr="00B54DC3" w:rsidTr="00E20186">
        <w:trPr>
          <w:cantSplit/>
          <w:tblHeader/>
        </w:trPr>
        <w:tc>
          <w:tcPr>
            <w:tcW w:w="1465" w:type="dxa"/>
            <w:vAlign w:val="bottom"/>
          </w:tcPr>
          <w:p w:rsidR="00E20186" w:rsidRPr="00B54DC3" w:rsidRDefault="00E20186" w:rsidP="00E20186">
            <w:pPr>
              <w:pStyle w:val="Table11ptColumnHeading"/>
            </w:pPr>
            <w:r w:rsidRPr="00B54DC3">
              <w:t>Regulation Citation</w:t>
            </w:r>
          </w:p>
        </w:tc>
        <w:tc>
          <w:tcPr>
            <w:tcW w:w="1354" w:type="dxa"/>
            <w:vAlign w:val="bottom"/>
          </w:tcPr>
          <w:p w:rsidR="00E20186" w:rsidRPr="00B54DC3" w:rsidRDefault="00E20186" w:rsidP="00E20186">
            <w:pPr>
              <w:pStyle w:val="Table11ptColumnHeading"/>
            </w:pPr>
            <w:r w:rsidRPr="00B54DC3">
              <w:t>(A) No. of New Sources/ Year</w:t>
            </w:r>
          </w:p>
        </w:tc>
        <w:tc>
          <w:tcPr>
            <w:tcW w:w="1354" w:type="dxa"/>
            <w:vAlign w:val="bottom"/>
          </w:tcPr>
          <w:p w:rsidR="00E20186" w:rsidRPr="00B54DC3" w:rsidRDefault="00E20186" w:rsidP="00E20186">
            <w:pPr>
              <w:pStyle w:val="Table11ptColumnHeading"/>
            </w:pPr>
            <w:r w:rsidRPr="00B54DC3">
              <w:t>(B) No. of Initial Reports for New Sources</w:t>
            </w:r>
            <w:r w:rsidRPr="00C61621">
              <w:rPr>
                <w:rStyle w:val="Superscript"/>
              </w:rPr>
              <w:t>a</w:t>
            </w:r>
          </w:p>
        </w:tc>
        <w:tc>
          <w:tcPr>
            <w:tcW w:w="1354" w:type="dxa"/>
            <w:vAlign w:val="bottom"/>
          </w:tcPr>
          <w:p w:rsidR="00E20186" w:rsidRPr="00B54DC3" w:rsidRDefault="00E20186" w:rsidP="00E20186">
            <w:pPr>
              <w:pStyle w:val="Table11ptColumnHeading"/>
            </w:pPr>
            <w:r>
              <w:t>(C) No. of Annual Reports for New Sources</w:t>
            </w:r>
          </w:p>
        </w:tc>
        <w:tc>
          <w:tcPr>
            <w:tcW w:w="1354" w:type="dxa"/>
            <w:vAlign w:val="bottom"/>
          </w:tcPr>
          <w:p w:rsidR="00E20186" w:rsidRPr="00B54DC3" w:rsidRDefault="00E20186" w:rsidP="00E20186">
            <w:pPr>
              <w:pStyle w:val="Table11ptColumnHeading"/>
            </w:pPr>
            <w:r w:rsidRPr="00B54DC3">
              <w:t>(</w:t>
            </w:r>
            <w:r>
              <w:t>D</w:t>
            </w:r>
            <w:r w:rsidRPr="00B54DC3">
              <w:t>) No. of Existing Sources</w:t>
            </w:r>
          </w:p>
        </w:tc>
        <w:tc>
          <w:tcPr>
            <w:tcW w:w="1354" w:type="dxa"/>
            <w:vAlign w:val="bottom"/>
          </w:tcPr>
          <w:p w:rsidR="00E20186" w:rsidRPr="00B54DC3" w:rsidRDefault="00E20186" w:rsidP="00E20186">
            <w:pPr>
              <w:pStyle w:val="Table11ptColumnHeading"/>
            </w:pPr>
            <w:r w:rsidRPr="00B54DC3">
              <w:t>(</w:t>
            </w:r>
            <w:r>
              <w:t>E</w:t>
            </w:r>
            <w:r w:rsidRPr="00B54DC3">
              <w:t>) No. of Reports for Existing Sources</w:t>
            </w:r>
          </w:p>
        </w:tc>
        <w:tc>
          <w:tcPr>
            <w:tcW w:w="1355" w:type="dxa"/>
            <w:vAlign w:val="bottom"/>
          </w:tcPr>
          <w:p w:rsidR="00E20186" w:rsidRPr="00B54DC3" w:rsidRDefault="00E20186" w:rsidP="00330CCA">
            <w:pPr>
              <w:pStyle w:val="Table11ptColumnHeading"/>
            </w:pPr>
            <w:r w:rsidRPr="00B54DC3">
              <w:t>(</w:t>
            </w:r>
            <w:r>
              <w:t>F</w:t>
            </w:r>
            <w:r w:rsidRPr="00B54DC3">
              <w:t>) Total Annual Responses (A</w:t>
            </w:r>
            <w:r w:rsidR="00330CCA">
              <w:t>×</w:t>
            </w:r>
            <w:r>
              <w:t>(</w:t>
            </w:r>
            <w:r w:rsidRPr="00B54DC3">
              <w:t>B</w:t>
            </w:r>
            <w:r>
              <w:t>+C</w:t>
            </w:r>
            <w:r w:rsidRPr="00B54DC3">
              <w:t>)</w:t>
            </w:r>
            <w:r>
              <w:t xml:space="preserve">) </w:t>
            </w:r>
            <w:r w:rsidRPr="00B54DC3">
              <w:t>+</w:t>
            </w:r>
            <w:r>
              <w:t xml:space="preserve"> </w:t>
            </w:r>
            <w:r w:rsidRPr="00B54DC3">
              <w:t>(</w:t>
            </w:r>
            <w:r w:rsidR="00330CCA">
              <w:t>D×E</w:t>
            </w:r>
            <w:r w:rsidRPr="00B54DC3">
              <w:t>)</w:t>
            </w:r>
          </w:p>
        </w:tc>
      </w:tr>
      <w:tr w:rsidR="00E20186" w:rsidRPr="00B54DC3" w:rsidTr="00E20186">
        <w:trPr>
          <w:cantSplit/>
        </w:trPr>
        <w:tc>
          <w:tcPr>
            <w:tcW w:w="1465" w:type="dxa"/>
          </w:tcPr>
          <w:p w:rsidR="00E20186" w:rsidRPr="00B54DC3" w:rsidRDefault="00E20186" w:rsidP="006D3A7D">
            <w:pPr>
              <w:pStyle w:val="TableText11pt"/>
            </w:pPr>
            <w:r w:rsidRPr="00B54DC3">
              <w:t>First year after proposal</w:t>
            </w:r>
          </w:p>
        </w:tc>
        <w:tc>
          <w:tcPr>
            <w:tcW w:w="1354" w:type="dxa"/>
          </w:tcPr>
          <w:p w:rsidR="00E20186" w:rsidRPr="006D3A7D" w:rsidRDefault="00E20186" w:rsidP="006D3A7D">
            <w:pPr>
              <w:pStyle w:val="TableTextCenter11pt"/>
            </w:pPr>
            <w:r w:rsidRPr="006D3A7D">
              <w:t>44</w:t>
            </w:r>
          </w:p>
        </w:tc>
        <w:tc>
          <w:tcPr>
            <w:tcW w:w="1354" w:type="dxa"/>
          </w:tcPr>
          <w:p w:rsidR="00E20186" w:rsidRPr="006D3A7D" w:rsidRDefault="00E20186" w:rsidP="006D3A7D">
            <w:pPr>
              <w:pStyle w:val="TableTextCenter11pt"/>
            </w:pPr>
            <w:r w:rsidRPr="006D3A7D">
              <w:t>10.7</w:t>
            </w:r>
          </w:p>
        </w:tc>
        <w:tc>
          <w:tcPr>
            <w:tcW w:w="1354" w:type="dxa"/>
          </w:tcPr>
          <w:p w:rsidR="00E20186" w:rsidRPr="006D3A7D" w:rsidRDefault="00E20186" w:rsidP="006D3A7D">
            <w:pPr>
              <w:pStyle w:val="TableTextCenter11pt"/>
            </w:pPr>
            <w:r>
              <w:t>2</w:t>
            </w:r>
          </w:p>
        </w:tc>
        <w:tc>
          <w:tcPr>
            <w:tcW w:w="1354" w:type="dxa"/>
          </w:tcPr>
          <w:p w:rsidR="00E20186" w:rsidRPr="006D3A7D" w:rsidRDefault="00E20186" w:rsidP="006D3A7D">
            <w:pPr>
              <w:pStyle w:val="TableTextCenter11pt"/>
            </w:pPr>
            <w:r w:rsidRPr="006D3A7D">
              <w:t>0</w:t>
            </w:r>
          </w:p>
        </w:tc>
        <w:tc>
          <w:tcPr>
            <w:tcW w:w="1354" w:type="dxa"/>
          </w:tcPr>
          <w:p w:rsidR="00E20186" w:rsidRPr="006D3A7D" w:rsidRDefault="00E20186" w:rsidP="006D3A7D">
            <w:pPr>
              <w:pStyle w:val="TableTextCenter11pt"/>
            </w:pPr>
            <w:r w:rsidRPr="006D3A7D">
              <w:t>2</w:t>
            </w:r>
          </w:p>
        </w:tc>
        <w:tc>
          <w:tcPr>
            <w:tcW w:w="1355" w:type="dxa"/>
          </w:tcPr>
          <w:p w:rsidR="00E20186" w:rsidRPr="006D3A7D" w:rsidRDefault="00E20186" w:rsidP="00E20186">
            <w:pPr>
              <w:pStyle w:val="TableTextCenter11pt"/>
            </w:pPr>
            <w:r>
              <w:t>557</w:t>
            </w:r>
          </w:p>
        </w:tc>
      </w:tr>
      <w:tr w:rsidR="00E20186" w:rsidRPr="00B54DC3" w:rsidTr="00E20186">
        <w:trPr>
          <w:cantSplit/>
        </w:trPr>
        <w:tc>
          <w:tcPr>
            <w:tcW w:w="1465" w:type="dxa"/>
          </w:tcPr>
          <w:p w:rsidR="00E20186" w:rsidRPr="00B54DC3" w:rsidRDefault="00E20186" w:rsidP="006D3A7D">
            <w:pPr>
              <w:pStyle w:val="TableText11pt"/>
            </w:pPr>
            <w:r w:rsidRPr="00B54DC3">
              <w:t>Second year after proposal</w:t>
            </w:r>
          </w:p>
        </w:tc>
        <w:tc>
          <w:tcPr>
            <w:tcW w:w="1354" w:type="dxa"/>
          </w:tcPr>
          <w:p w:rsidR="00E20186" w:rsidRPr="006D3A7D" w:rsidRDefault="00E20186" w:rsidP="006D3A7D">
            <w:pPr>
              <w:pStyle w:val="TableTextCenter11pt"/>
            </w:pPr>
            <w:r w:rsidRPr="006D3A7D">
              <w:t>44</w:t>
            </w:r>
          </w:p>
        </w:tc>
        <w:tc>
          <w:tcPr>
            <w:tcW w:w="1354" w:type="dxa"/>
          </w:tcPr>
          <w:p w:rsidR="00E20186" w:rsidRPr="006D3A7D" w:rsidRDefault="00E20186" w:rsidP="006D3A7D">
            <w:pPr>
              <w:pStyle w:val="TableTextCenter11pt"/>
            </w:pPr>
            <w:r w:rsidRPr="006D3A7D">
              <w:t>10.7</w:t>
            </w:r>
          </w:p>
        </w:tc>
        <w:tc>
          <w:tcPr>
            <w:tcW w:w="1354" w:type="dxa"/>
          </w:tcPr>
          <w:p w:rsidR="00E20186" w:rsidRPr="006D3A7D" w:rsidRDefault="00E20186" w:rsidP="006D3A7D">
            <w:pPr>
              <w:pStyle w:val="TableTextCenter11pt"/>
            </w:pPr>
            <w:r>
              <w:t>2</w:t>
            </w:r>
          </w:p>
        </w:tc>
        <w:tc>
          <w:tcPr>
            <w:tcW w:w="1354" w:type="dxa"/>
          </w:tcPr>
          <w:p w:rsidR="00E20186" w:rsidRPr="006D3A7D" w:rsidRDefault="00E20186" w:rsidP="006D3A7D">
            <w:pPr>
              <w:pStyle w:val="TableTextCenter11pt"/>
            </w:pPr>
            <w:r w:rsidRPr="006D3A7D">
              <w:t>44</w:t>
            </w:r>
          </w:p>
        </w:tc>
        <w:tc>
          <w:tcPr>
            <w:tcW w:w="1354" w:type="dxa"/>
          </w:tcPr>
          <w:p w:rsidR="00E20186" w:rsidRPr="006D3A7D" w:rsidRDefault="00E20186" w:rsidP="006D3A7D">
            <w:pPr>
              <w:pStyle w:val="TableTextCenter11pt"/>
            </w:pPr>
            <w:r w:rsidRPr="006D3A7D">
              <w:t>2</w:t>
            </w:r>
          </w:p>
        </w:tc>
        <w:tc>
          <w:tcPr>
            <w:tcW w:w="1355" w:type="dxa"/>
          </w:tcPr>
          <w:p w:rsidR="00E20186" w:rsidRPr="006D3A7D" w:rsidRDefault="00E20186" w:rsidP="00E20186">
            <w:pPr>
              <w:pStyle w:val="TableTextCenter11pt"/>
            </w:pPr>
            <w:r>
              <w:t>645</w:t>
            </w:r>
          </w:p>
        </w:tc>
      </w:tr>
      <w:tr w:rsidR="00E20186" w:rsidRPr="00B54DC3" w:rsidTr="00E20186">
        <w:trPr>
          <w:cantSplit/>
        </w:trPr>
        <w:tc>
          <w:tcPr>
            <w:tcW w:w="1465" w:type="dxa"/>
          </w:tcPr>
          <w:p w:rsidR="00E20186" w:rsidRPr="00B54DC3" w:rsidRDefault="00E20186" w:rsidP="006D3A7D">
            <w:pPr>
              <w:pStyle w:val="TableText11pt"/>
            </w:pPr>
            <w:r w:rsidRPr="00B54DC3">
              <w:t>Third year after proposal</w:t>
            </w:r>
          </w:p>
        </w:tc>
        <w:tc>
          <w:tcPr>
            <w:tcW w:w="1354" w:type="dxa"/>
          </w:tcPr>
          <w:p w:rsidR="00E20186" w:rsidRPr="006D3A7D" w:rsidRDefault="00E20186" w:rsidP="006D3A7D">
            <w:pPr>
              <w:pStyle w:val="TableTextCenter11pt"/>
            </w:pPr>
            <w:r w:rsidRPr="006D3A7D">
              <w:t>44</w:t>
            </w:r>
          </w:p>
        </w:tc>
        <w:tc>
          <w:tcPr>
            <w:tcW w:w="1354" w:type="dxa"/>
          </w:tcPr>
          <w:p w:rsidR="00E20186" w:rsidRPr="006D3A7D" w:rsidRDefault="00E20186" w:rsidP="006D3A7D">
            <w:pPr>
              <w:pStyle w:val="TableTextCenter11pt"/>
            </w:pPr>
            <w:r w:rsidRPr="006D3A7D">
              <w:t>10.7</w:t>
            </w:r>
          </w:p>
        </w:tc>
        <w:tc>
          <w:tcPr>
            <w:tcW w:w="1354" w:type="dxa"/>
          </w:tcPr>
          <w:p w:rsidR="00E20186" w:rsidRPr="006D3A7D" w:rsidRDefault="00E20186" w:rsidP="006D3A7D">
            <w:pPr>
              <w:pStyle w:val="TableTextCenter11pt"/>
            </w:pPr>
            <w:r>
              <w:t>2</w:t>
            </w:r>
          </w:p>
        </w:tc>
        <w:tc>
          <w:tcPr>
            <w:tcW w:w="1354" w:type="dxa"/>
          </w:tcPr>
          <w:p w:rsidR="00E20186" w:rsidRPr="006D3A7D" w:rsidRDefault="00E20186" w:rsidP="006D3A7D">
            <w:pPr>
              <w:pStyle w:val="TableTextCenter11pt"/>
            </w:pPr>
            <w:r w:rsidRPr="006D3A7D">
              <w:t>88</w:t>
            </w:r>
          </w:p>
        </w:tc>
        <w:tc>
          <w:tcPr>
            <w:tcW w:w="1354" w:type="dxa"/>
          </w:tcPr>
          <w:p w:rsidR="00E20186" w:rsidRPr="006D3A7D" w:rsidRDefault="00E20186" w:rsidP="006D3A7D">
            <w:pPr>
              <w:pStyle w:val="TableTextCenter11pt"/>
            </w:pPr>
            <w:r w:rsidRPr="006D3A7D">
              <w:t>2</w:t>
            </w:r>
          </w:p>
        </w:tc>
        <w:tc>
          <w:tcPr>
            <w:tcW w:w="1355" w:type="dxa"/>
          </w:tcPr>
          <w:p w:rsidR="00E20186" w:rsidRPr="006D3A7D" w:rsidRDefault="00E20186" w:rsidP="00E20186">
            <w:pPr>
              <w:pStyle w:val="TableTextCenter11pt"/>
            </w:pPr>
            <w:r>
              <w:t>733</w:t>
            </w:r>
          </w:p>
        </w:tc>
      </w:tr>
    </w:tbl>
    <w:p w:rsidR="00601CF5" w:rsidRPr="00B54DC3" w:rsidRDefault="00C61621" w:rsidP="00C61621">
      <w:pPr>
        <w:pStyle w:val="TableFootnote"/>
      </w:pPr>
      <w:r w:rsidRPr="002E1E84">
        <w:rPr>
          <w:rStyle w:val="Superscript"/>
        </w:rPr>
        <w:t>a</w:t>
      </w:r>
      <w:r>
        <w:t xml:space="preserve"> Initial report</w:t>
      </w:r>
      <w:r w:rsidR="002A0CCC">
        <w:t>s are those listed in Section 3</w:t>
      </w:r>
      <w:r>
        <w:t>E of Table 2.</w:t>
      </w:r>
    </w:p>
    <w:p w:rsidR="00DC64B8" w:rsidRPr="00B54DC3" w:rsidRDefault="00DC64B8" w:rsidP="00ED692A"/>
    <w:p w:rsidR="007A45DF" w:rsidRPr="00B54DC3" w:rsidRDefault="00523E1A" w:rsidP="00E20186">
      <w:pPr>
        <w:pStyle w:val="BodyFirstline05After12pt"/>
      </w:pPr>
      <w:r w:rsidRPr="00B54DC3">
        <w:t xml:space="preserve">Assuming that </w:t>
      </w:r>
      <w:r w:rsidR="007359F1">
        <w:t>44</w:t>
      </w:r>
      <w:r w:rsidRPr="00B54DC3">
        <w:t xml:space="preserve"> plants become subject each year, t</w:t>
      </w:r>
      <w:r w:rsidR="007A45DF" w:rsidRPr="00B54DC3">
        <w:t xml:space="preserve">he number of total respondents in the second year is </w:t>
      </w:r>
      <w:r w:rsidR="007359F1">
        <w:t>88</w:t>
      </w:r>
      <w:r w:rsidR="007A45DF" w:rsidRPr="00B54DC3">
        <w:t>.</w:t>
      </w:r>
      <w:r w:rsidR="00E95A7F">
        <w:t xml:space="preserve"> </w:t>
      </w:r>
      <w:r w:rsidR="007A45DF" w:rsidRPr="00B54DC3">
        <w:t xml:space="preserve">This number is the sum of Column A and Column </w:t>
      </w:r>
      <w:r w:rsidR="00E20186">
        <w:t>D</w:t>
      </w:r>
      <w:r w:rsidR="007A45DF" w:rsidRPr="00B54DC3">
        <w:t xml:space="preserve"> of the second row in the Respondent Universe table above.</w:t>
      </w:r>
      <w:r w:rsidR="00E95A7F">
        <w:t xml:space="preserve"> </w:t>
      </w:r>
      <w:r w:rsidR="007A45DF" w:rsidRPr="00B54DC3">
        <w:t>The number represents the number of existing sources</w:t>
      </w:r>
      <w:r w:rsidR="00CF4CA5" w:rsidRPr="00B54DC3">
        <w:t xml:space="preserve"> (</w:t>
      </w:r>
      <w:r w:rsidR="00CF4CA5" w:rsidRPr="00C61621">
        <w:rPr>
          <w:rStyle w:val="Italic"/>
        </w:rPr>
        <w:t>i.e.</w:t>
      </w:r>
      <w:r w:rsidR="00CF4CA5" w:rsidRPr="00B54DC3">
        <w:t>, refineries)</w:t>
      </w:r>
      <w:r w:rsidR="007A45DF" w:rsidRPr="00B54DC3">
        <w:t xml:space="preserve"> plus the number of new sources averaged over the three-year period.</w:t>
      </w:r>
      <w:r w:rsidR="00E95A7F">
        <w:t xml:space="preserve"> </w:t>
      </w:r>
    </w:p>
    <w:p w:rsidR="008069E8" w:rsidRPr="00B54DC3" w:rsidRDefault="007A45DF" w:rsidP="00E20186">
      <w:pPr>
        <w:pStyle w:val="BodyFirstline05After12pt"/>
      </w:pPr>
      <w:r w:rsidRPr="00B54DC3">
        <w:t xml:space="preserve">The number of Total Annual Responses in the second year is </w:t>
      </w:r>
      <w:r w:rsidR="00E20186">
        <w:t>645</w:t>
      </w:r>
      <w:r w:rsidRPr="00B54DC3">
        <w:t>.</w:t>
      </w:r>
      <w:r w:rsidR="00E95A7F">
        <w:t xml:space="preserve"> </w:t>
      </w:r>
      <w:r w:rsidRPr="00B54DC3">
        <w:t xml:space="preserve">This is the number in Column </w:t>
      </w:r>
      <w:r w:rsidR="00E20186">
        <w:t>F</w:t>
      </w:r>
      <w:r w:rsidR="00E20186" w:rsidRPr="00B54DC3">
        <w:t xml:space="preserve"> </w:t>
      </w:r>
      <w:r w:rsidRPr="00B54DC3">
        <w:t>of the second row in the Respondent Universe table.</w:t>
      </w:r>
      <w:r w:rsidR="00E95A7F">
        <w:t xml:space="preserve"> </w:t>
      </w:r>
      <w:r w:rsidRPr="00B54DC3">
        <w:t>The total annual labor costs are $</w:t>
      </w:r>
      <w:r w:rsidR="008069E8" w:rsidRPr="008069E8">
        <w:t>4,918,110</w:t>
      </w:r>
      <w:r w:rsidRPr="00B54DC3">
        <w:t>.</w:t>
      </w:r>
      <w:r w:rsidR="00E95A7F">
        <w:t xml:space="preserve"> </w:t>
      </w:r>
      <w:r w:rsidRPr="00B54DC3">
        <w:t xml:space="preserve">The number of burden hours </w:t>
      </w:r>
      <w:r w:rsidR="004E3340">
        <w:t>on which this estimate is based is</w:t>
      </w:r>
      <w:r w:rsidRPr="00B54DC3">
        <w:t xml:space="preserve"> </w:t>
      </w:r>
      <w:r w:rsidR="008069E8" w:rsidRPr="008069E8">
        <w:t>54,572</w:t>
      </w:r>
      <w:r w:rsidR="004E3340">
        <w:t xml:space="preserve">.  </w:t>
      </w:r>
      <w:r w:rsidRPr="00B54DC3">
        <w:t xml:space="preserve">Details upon which this estimate is based appear in Table 2: Annual burden of reporting and recordkeeping requirements as a result of NSPS </w:t>
      </w:r>
      <w:r w:rsidR="00660282" w:rsidRPr="00B54DC3">
        <w:t>subpart Ja</w:t>
      </w:r>
      <w:r w:rsidRPr="00B54DC3">
        <w:t>.</w:t>
      </w:r>
    </w:p>
    <w:p w:rsidR="002C5F2B" w:rsidRPr="00B54DC3" w:rsidRDefault="00601CF5" w:rsidP="008069E8">
      <w:pPr>
        <w:pStyle w:val="BodyFirstline05After12pt"/>
      </w:pPr>
      <w:r w:rsidRPr="00B54DC3">
        <w:t>The total annual</w:t>
      </w:r>
      <w:r w:rsidR="00E20186">
        <w:t>ized</w:t>
      </w:r>
      <w:r w:rsidRPr="00B54DC3">
        <w:t xml:space="preserve"> capital and </w:t>
      </w:r>
      <w:r w:rsidR="00E20186" w:rsidRPr="00B54DC3">
        <w:t xml:space="preserve">annual </w:t>
      </w:r>
      <w:r w:rsidRPr="00B54DC3">
        <w:t>O&amp;M costs to the regulated entity are</w:t>
      </w:r>
      <w:r w:rsidR="00523E1A" w:rsidRPr="00B54DC3">
        <w:t xml:space="preserve"> $</w:t>
      </w:r>
      <w:r w:rsidR="008069E8">
        <w:t>20,016</w:t>
      </w:r>
      <w:r w:rsidR="00B1329F" w:rsidRPr="00B54DC3">
        <w:t>,000</w:t>
      </w:r>
      <w:r w:rsidRPr="00B54DC3">
        <w:t>.</w:t>
      </w:r>
      <w:r w:rsidR="00E95A7F">
        <w:t xml:space="preserve"> </w:t>
      </w:r>
      <w:r w:rsidRPr="00B54DC3">
        <w:t xml:space="preserve">These costs are detailed in section 6(b)(iii), Capital/Start-up vs. Operating and Maintenance (O&amp;M) Costs. </w:t>
      </w:r>
    </w:p>
    <w:p w:rsidR="00601CF5" w:rsidRPr="00B54DC3" w:rsidRDefault="00601CF5" w:rsidP="00ED692A">
      <w:pPr>
        <w:pStyle w:val="SectionSubheading"/>
      </w:pPr>
      <w:r w:rsidRPr="00B54DC3">
        <w:lastRenderedPageBreak/>
        <w:t>6(e)</w:t>
      </w:r>
      <w:r w:rsidR="00E95A7F">
        <w:t xml:space="preserve"> </w:t>
      </w:r>
      <w:r w:rsidRPr="00B54DC3">
        <w:t xml:space="preserve">Bottom Line Burden Hours And Cost Tables </w:t>
      </w:r>
    </w:p>
    <w:p w:rsidR="00601CF5" w:rsidRPr="00B54DC3" w:rsidRDefault="00601CF5" w:rsidP="00ED692A">
      <w:pPr>
        <w:pStyle w:val="BodyFirstline05After12pt"/>
      </w:pPr>
      <w:r w:rsidRPr="00B54DC3">
        <w:t xml:space="preserve">The bottom line burden hours and cost tables for both the Agency and the respondents are attached. </w:t>
      </w:r>
    </w:p>
    <w:p w:rsidR="00601CF5" w:rsidRPr="00B54DC3" w:rsidRDefault="00601CF5" w:rsidP="00ED692A">
      <w:pPr>
        <w:pStyle w:val="SectionSubheading"/>
      </w:pPr>
      <w:r w:rsidRPr="00B54DC3">
        <w:t>6(f)</w:t>
      </w:r>
      <w:r w:rsidR="00E95A7F">
        <w:t xml:space="preserve"> </w:t>
      </w:r>
      <w:r w:rsidRPr="00B54DC3">
        <w:t xml:space="preserve">Reasons for Change in Burden </w:t>
      </w:r>
    </w:p>
    <w:p w:rsidR="00311A67" w:rsidRPr="00A12E00" w:rsidRDefault="00311A67" w:rsidP="000540CB">
      <w:pPr>
        <w:pStyle w:val="BodyFirstline05After12pt"/>
      </w:pPr>
      <w:r>
        <w:t xml:space="preserve">As previously noted, </w:t>
      </w:r>
      <w:r w:rsidR="00E20186">
        <w:t xml:space="preserve">the </w:t>
      </w:r>
      <w:r>
        <w:t>EPA originally estimated that 18 plants (including 18 flares) would become subject to 40 CFR part 60, subpart Ja.</w:t>
      </w:r>
      <w:r w:rsidR="00E95A7F">
        <w:t xml:space="preserve"> </w:t>
      </w:r>
      <w:r>
        <w:t xml:space="preserve">However, </w:t>
      </w:r>
      <w:r w:rsidR="00E95A7F">
        <w:t xml:space="preserve">the </w:t>
      </w:r>
      <w:r>
        <w:t xml:space="preserve">EPA now estimates that a total of </w:t>
      </w:r>
      <w:r w:rsidR="000540CB">
        <w:t>400</w:t>
      </w:r>
      <w:r>
        <w:t xml:space="preserve"> flares </w:t>
      </w:r>
      <w:r w:rsidR="00DE6E1B">
        <w:t xml:space="preserve">at </w:t>
      </w:r>
      <w:r w:rsidR="000540CB">
        <w:t>150</w:t>
      </w:r>
      <w:r w:rsidR="00DE6E1B">
        <w:t xml:space="preserve"> refineries </w:t>
      </w:r>
      <w:r>
        <w:t>will become subject to 40 CFR part 60, subpart Ja</w:t>
      </w:r>
      <w:r w:rsidRPr="00A12E00">
        <w:t xml:space="preserve"> </w:t>
      </w:r>
      <w:r>
        <w:t>over the first three years.</w:t>
      </w:r>
      <w:r w:rsidR="00E95A7F">
        <w:t xml:space="preserve"> </w:t>
      </w:r>
      <w:r w:rsidRPr="00A12E00">
        <w:t xml:space="preserve">The burden presented in this ICR is for recordkeeping and reporting requirements associated with </w:t>
      </w:r>
      <w:r>
        <w:t xml:space="preserve">the additional </w:t>
      </w:r>
      <w:r w:rsidR="000540CB">
        <w:t>382</w:t>
      </w:r>
      <w:r>
        <w:t xml:space="preserve"> flares </w:t>
      </w:r>
      <w:r w:rsidR="00DE6E1B">
        <w:t xml:space="preserve">at </w:t>
      </w:r>
      <w:r w:rsidR="000540CB">
        <w:t>13</w:t>
      </w:r>
      <w:r w:rsidR="00DE6E1B">
        <w:t xml:space="preserve">2 </w:t>
      </w:r>
      <w:r w:rsidR="000540CB">
        <w:t xml:space="preserve">additional </w:t>
      </w:r>
      <w:r w:rsidR="00DE6E1B">
        <w:t xml:space="preserve">refineries </w:t>
      </w:r>
      <w:r>
        <w:t xml:space="preserve">that </w:t>
      </w:r>
      <w:r w:rsidR="00E95A7F">
        <w:t xml:space="preserve">the </w:t>
      </w:r>
      <w:r>
        <w:t>EPA projects will become subject to</w:t>
      </w:r>
      <w:r w:rsidRPr="00A12E00">
        <w:t xml:space="preserve"> 40 CFR part 60, subpart Ja.</w:t>
      </w:r>
      <w:r w:rsidR="00E95A7F">
        <w:t xml:space="preserve"> </w:t>
      </w:r>
      <w:r w:rsidRPr="00A12E00">
        <w:t>This burden has not been estimated in a previous ICR.</w:t>
      </w:r>
    </w:p>
    <w:p w:rsidR="00601CF5" w:rsidRPr="00B54DC3" w:rsidRDefault="00601CF5" w:rsidP="00ED692A">
      <w:pPr>
        <w:pStyle w:val="SectionSubheading"/>
      </w:pPr>
      <w:r w:rsidRPr="00B54DC3">
        <w:t>6(g)</w:t>
      </w:r>
      <w:r w:rsidR="00E95A7F">
        <w:t xml:space="preserve"> </w:t>
      </w:r>
      <w:r w:rsidRPr="00B54DC3">
        <w:t xml:space="preserve">Burden Statement </w:t>
      </w:r>
    </w:p>
    <w:p w:rsidR="00601CF5" w:rsidRPr="00B54DC3" w:rsidRDefault="00601CF5" w:rsidP="00605D51">
      <w:pPr>
        <w:pStyle w:val="BodyFirstline05After12pt"/>
      </w:pPr>
      <w:r w:rsidRPr="00B54DC3">
        <w:t>Burden means the total time, effort, or financial resources expended by persons to generate, maintain, retain, or disclose or provide information to or for a Federal agency.</w:t>
      </w:r>
      <w:r w:rsidR="00E95A7F">
        <w:t xml:space="preserve"> </w:t>
      </w:r>
      <w:r w:rsidRPr="00B54DC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00E95A7F">
        <w:t xml:space="preserve"> </w:t>
      </w:r>
      <w:r w:rsidRPr="00B54DC3">
        <w:t>The OMB control numbers for EPA</w:t>
      </w:r>
      <w:r w:rsidR="00B938D8" w:rsidRPr="00B54DC3">
        <w:t>’</w:t>
      </w:r>
      <w:r w:rsidRPr="00B54DC3">
        <w:t xml:space="preserve">s regulations are listed in 40 CFR Part 9 and 48 CFR Chapter 15. </w:t>
      </w:r>
    </w:p>
    <w:p w:rsidR="00B13B1F" w:rsidRPr="00B13B1F" w:rsidRDefault="00B13B1F" w:rsidP="00ED692A">
      <w:pPr>
        <w:pStyle w:val="SectionHeading"/>
        <w:rPr>
          <w:b w:val="0"/>
        </w:rPr>
      </w:pPr>
      <w:r w:rsidRPr="00B13B1F">
        <w:rPr>
          <w:b w:val="0"/>
        </w:rPr>
        <w:lastRenderedPageBreak/>
        <w:t>To comment on the Agency's need for this information, the accuracy of the provided burden estimates, and any suggested methods for minimizing respondent burden, including the use of automated collection techniques, EPA has established a public docket for t</w:t>
      </w:r>
      <w:r>
        <w:rPr>
          <w:b w:val="0"/>
        </w:rPr>
        <w:t xml:space="preserve">his ICR under Docket ID Number </w:t>
      </w:r>
      <w:r w:rsidRPr="00B13B1F">
        <w:rPr>
          <w:b w:val="0"/>
        </w:rPr>
        <w:t xml:space="preserve">EPA-HQ-OAR-2007-0011, which is available for online viewing at www.regulations.gov, or in person viewing at the </w:t>
      </w:r>
      <w:r>
        <w:rPr>
          <w:b w:val="0"/>
        </w:rPr>
        <w:t>Air Docket</w:t>
      </w:r>
      <w:r w:rsidRPr="00B13B1F">
        <w:rPr>
          <w:b w:val="0"/>
        </w:rPr>
        <w:t xml:space="preserve"> in the EPA Docket Center (EPA/DC), EPA West, Room </w:t>
      </w:r>
      <w:r>
        <w:rPr>
          <w:b w:val="0"/>
        </w:rPr>
        <w:t>3334</w:t>
      </w:r>
      <w:r w:rsidRPr="00B13B1F">
        <w:rPr>
          <w:b w:val="0"/>
        </w:rPr>
        <w:t>, 1301 Constitution Avenue, NW, Washington, D.C.  The EPA Docket Center Public Reading Room is open from 8:30 a.m. to 4:30 p.m., Monday through Friday, excluding legal holidays.  The telephone number for the Reading Room is (202) 566-1744, and the telephone number for the [insert the appropriate docket name] is (202) 566-</w:t>
      </w:r>
      <w:r>
        <w:rPr>
          <w:b w:val="0"/>
        </w:rPr>
        <w:t>1742</w:t>
      </w:r>
      <w:r w:rsidRPr="00B13B1F">
        <w:rPr>
          <w:b w:val="0"/>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w:t>
      </w:r>
      <w:r>
        <w:rPr>
          <w:b w:val="0"/>
        </w:rPr>
        <w:t xml:space="preserve"> </w:t>
      </w:r>
      <w:r w:rsidRPr="00B13B1F">
        <w:rPr>
          <w:b w:val="0"/>
        </w:rPr>
        <w:t xml:space="preserve">503, Attention: Desk Officer for EPA.  Please include the EPA Docket ID Number EPA-HQ-OAR-2007-0011and OMB Control Number </w:t>
      </w:r>
      <w:r>
        <w:rPr>
          <w:b w:val="0"/>
        </w:rPr>
        <w:t>2060-0602</w:t>
      </w:r>
      <w:r w:rsidRPr="00B13B1F">
        <w:rPr>
          <w:b w:val="0"/>
        </w:rPr>
        <w:t xml:space="preserve"> in any correspondence.</w:t>
      </w:r>
    </w:p>
    <w:p w:rsidR="00601CF5" w:rsidRPr="00B54DC3" w:rsidRDefault="00601CF5" w:rsidP="00ED692A">
      <w:pPr>
        <w:pStyle w:val="SectionHeading"/>
      </w:pPr>
      <w:r w:rsidRPr="00B54DC3">
        <w:t xml:space="preserve">Part B of the Supporting Statement </w:t>
      </w:r>
    </w:p>
    <w:p w:rsidR="00F05F6B" w:rsidRPr="00B54DC3" w:rsidRDefault="00601CF5" w:rsidP="00ED692A">
      <w:pPr>
        <w:pStyle w:val="BodyFirstline05After12pt"/>
        <w:sectPr w:rsidR="00F05F6B" w:rsidRPr="00B54DC3" w:rsidSect="00915A5D">
          <w:type w:val="continuous"/>
          <w:pgSz w:w="12240" w:h="15840"/>
          <w:pgMar w:top="1440" w:right="1440" w:bottom="1440" w:left="1440" w:header="720" w:footer="720" w:gutter="0"/>
          <w:cols w:space="720"/>
          <w:noEndnote/>
        </w:sectPr>
      </w:pPr>
      <w:r w:rsidRPr="00B54DC3">
        <w:t>This part is not applicable because no statistical methods were used in collecting this information</w:t>
      </w:r>
      <w:r w:rsidR="00DC64B8" w:rsidRPr="00B54DC3">
        <w:t>.</w:t>
      </w:r>
      <w:r w:rsidR="00F05F6B" w:rsidRPr="00B54DC3">
        <w:br/>
      </w:r>
    </w:p>
    <w:p w:rsidR="00DC64B8" w:rsidRPr="00B54DC3" w:rsidRDefault="00601CF5" w:rsidP="0068083D">
      <w:pPr>
        <w:pStyle w:val="TableTitle"/>
      </w:pPr>
      <w:r w:rsidRPr="00B54DC3">
        <w:lastRenderedPageBreak/>
        <w:t xml:space="preserve">TABLE 1: AVERAGE ANNUAL EPA RESOURCE REQUIREMENTS </w:t>
      </w:r>
      <w:r w:rsidR="00852D65">
        <w:t xml:space="preserve">FOR ADDITIONAL AFFECTED FLARES SUBJECT TO </w:t>
      </w:r>
      <w:r w:rsidRPr="00B54DC3">
        <w:t>NSPS SUBPART J</w:t>
      </w:r>
      <w:r w:rsidR="00003F65" w:rsidRPr="00B54DC3">
        <w:t>a</w:t>
      </w: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5" w:type="dxa"/>
          <w:right w:w="115" w:type="dxa"/>
        </w:tblCellMar>
        <w:tblLook w:val="01E0"/>
      </w:tblPr>
      <w:tblGrid>
        <w:gridCol w:w="4320"/>
        <w:gridCol w:w="1728"/>
        <w:gridCol w:w="1728"/>
        <w:gridCol w:w="1728"/>
        <w:gridCol w:w="1728"/>
        <w:gridCol w:w="1728"/>
      </w:tblGrid>
      <w:tr w:rsidR="000B24D6" w:rsidRPr="00B54DC3" w:rsidTr="006D3A7D">
        <w:trPr>
          <w:cantSplit/>
          <w:tblHeader/>
        </w:trPr>
        <w:tc>
          <w:tcPr>
            <w:tcW w:w="4320" w:type="dxa"/>
            <w:vAlign w:val="bottom"/>
          </w:tcPr>
          <w:p w:rsidR="00DC64B8" w:rsidRPr="00B54DC3" w:rsidRDefault="00DC64B8" w:rsidP="000540CB">
            <w:pPr>
              <w:pStyle w:val="Table11ptColumnHeading"/>
            </w:pPr>
            <w:r w:rsidRPr="00B54DC3">
              <w:t>Activity</w:t>
            </w:r>
          </w:p>
        </w:tc>
        <w:tc>
          <w:tcPr>
            <w:tcW w:w="1728" w:type="dxa"/>
            <w:vAlign w:val="bottom"/>
          </w:tcPr>
          <w:p w:rsidR="00064E33" w:rsidRPr="00B54DC3" w:rsidRDefault="00DC64B8" w:rsidP="00064E33">
            <w:pPr>
              <w:pStyle w:val="Table11ptColumnHeading"/>
            </w:pPr>
            <w:r w:rsidRPr="00B54DC3">
              <w:t>EPA hours/ Occurrence</w:t>
            </w:r>
            <w:r w:rsidR="00064E33">
              <w:br/>
            </w:r>
            <w:r w:rsidR="00064E33" w:rsidRPr="00B54DC3">
              <w:t>(A)</w:t>
            </w:r>
          </w:p>
        </w:tc>
        <w:tc>
          <w:tcPr>
            <w:tcW w:w="1728" w:type="dxa"/>
            <w:vAlign w:val="bottom"/>
          </w:tcPr>
          <w:p w:rsidR="00DC64B8" w:rsidRPr="00B54DC3" w:rsidRDefault="00DC64B8" w:rsidP="00064E33">
            <w:pPr>
              <w:pStyle w:val="Table11ptColumnHeading"/>
            </w:pPr>
            <w:r w:rsidRPr="00B54DC3">
              <w:t>Occurrences/ plant/year</w:t>
            </w:r>
            <w:r w:rsidR="00064E33">
              <w:br/>
            </w:r>
            <w:r w:rsidR="00064E33" w:rsidRPr="00B54DC3">
              <w:t>(B)</w:t>
            </w:r>
            <w:r w:rsidR="00064E33" w:rsidRPr="000540CB">
              <w:rPr>
                <w:rStyle w:val="Superscript"/>
              </w:rPr>
              <w:t>a</w:t>
            </w:r>
          </w:p>
        </w:tc>
        <w:tc>
          <w:tcPr>
            <w:tcW w:w="1728" w:type="dxa"/>
            <w:vAlign w:val="bottom"/>
          </w:tcPr>
          <w:p w:rsidR="00DC64B8" w:rsidRPr="00B54DC3" w:rsidRDefault="00DC64B8" w:rsidP="00330CCA">
            <w:pPr>
              <w:pStyle w:val="Table11ptColumnHeading"/>
            </w:pPr>
            <w:r w:rsidRPr="00B54DC3">
              <w:t>EPA hours/ plant</w:t>
            </w:r>
            <w:r w:rsidR="00311A67">
              <w:t>/</w:t>
            </w:r>
            <w:r w:rsidRPr="00B54DC3">
              <w:t>year</w:t>
            </w:r>
            <w:r w:rsidR="00064E33">
              <w:br/>
            </w:r>
            <w:r w:rsidR="00064E33" w:rsidRPr="00B54DC3">
              <w:t>(C</w:t>
            </w:r>
            <w:r w:rsidR="00064E33">
              <w:t xml:space="preserve"> = </w:t>
            </w:r>
            <w:r w:rsidR="00064E33" w:rsidRPr="00B54DC3">
              <w:t xml:space="preserve">A </w:t>
            </w:r>
            <w:r w:rsidR="00330CCA">
              <w:t>×</w:t>
            </w:r>
            <w:r w:rsidR="00064E33" w:rsidRPr="00B54DC3">
              <w:t xml:space="preserve"> B)</w:t>
            </w:r>
          </w:p>
        </w:tc>
        <w:tc>
          <w:tcPr>
            <w:tcW w:w="1728" w:type="dxa"/>
            <w:vAlign w:val="bottom"/>
          </w:tcPr>
          <w:p w:rsidR="00DC64B8" w:rsidRPr="00B54DC3" w:rsidRDefault="00311A67" w:rsidP="002E1E84">
            <w:pPr>
              <w:pStyle w:val="Table11ptColumnHeading"/>
            </w:pPr>
            <w:r>
              <w:t>Plants/</w:t>
            </w:r>
            <w:r w:rsidR="00DC64B8" w:rsidRPr="00B54DC3">
              <w:t>year</w:t>
            </w:r>
            <w:r w:rsidR="0031085E">
              <w:rPr>
                <w:rStyle w:val="Superscript"/>
              </w:rPr>
              <w:br/>
            </w:r>
            <w:r w:rsidR="0031085E" w:rsidRPr="00B54DC3">
              <w:t>(D)</w:t>
            </w:r>
          </w:p>
        </w:tc>
        <w:tc>
          <w:tcPr>
            <w:tcW w:w="1728" w:type="dxa"/>
            <w:vAlign w:val="bottom"/>
          </w:tcPr>
          <w:p w:rsidR="00DC64B8" w:rsidRPr="00B54DC3" w:rsidRDefault="00DC64B8" w:rsidP="00330CCA">
            <w:pPr>
              <w:pStyle w:val="Table11ptColumnHeading"/>
            </w:pPr>
            <w:r w:rsidRPr="00B54DC3">
              <w:t>EPA hours/ year</w:t>
            </w:r>
            <w:r w:rsidR="00330CCA">
              <w:br/>
            </w:r>
            <w:r w:rsidR="00330CCA" w:rsidRPr="00B54DC3">
              <w:t>(</w:t>
            </w:r>
            <w:r w:rsidR="00330CCA">
              <w:t>E = C</w:t>
            </w:r>
            <w:r w:rsidR="00330CCA" w:rsidRPr="00B54DC3">
              <w:t xml:space="preserve"> </w:t>
            </w:r>
            <w:r w:rsidR="00330CCA">
              <w:t>×</w:t>
            </w:r>
            <w:r w:rsidR="00330CCA" w:rsidRPr="00B54DC3">
              <w:t xml:space="preserve"> </w:t>
            </w:r>
            <w:r w:rsidR="00330CCA">
              <w:t>D</w:t>
            </w:r>
            <w:r w:rsidR="00330CCA" w:rsidRPr="00B54DC3">
              <w:t>)</w:t>
            </w:r>
          </w:p>
        </w:tc>
      </w:tr>
      <w:tr w:rsidR="000540CB" w:rsidRPr="00B54DC3" w:rsidTr="006D3A7D">
        <w:trPr>
          <w:cantSplit/>
        </w:trPr>
        <w:tc>
          <w:tcPr>
            <w:tcW w:w="4320" w:type="dxa"/>
          </w:tcPr>
          <w:p w:rsidR="000540CB" w:rsidRPr="00B54DC3" w:rsidRDefault="000540CB" w:rsidP="000540CB">
            <w:pPr>
              <w:pStyle w:val="TableText11pt"/>
            </w:pPr>
            <w:r w:rsidRPr="00B54DC3">
              <w:rPr>
                <w:rStyle w:val="Underline"/>
              </w:rPr>
              <w:t>New Plants</w:t>
            </w:r>
            <w:r w:rsidRPr="000540CB">
              <w:t>:</w:t>
            </w:r>
          </w:p>
          <w:p w:rsidR="000540CB" w:rsidRPr="00B54DC3" w:rsidRDefault="000540CB" w:rsidP="000C6CCE">
            <w:pPr>
              <w:pStyle w:val="TableTextIndent025"/>
            </w:pPr>
            <w:r w:rsidRPr="00B54DC3">
              <w:t>Report Review</w:t>
            </w:r>
          </w:p>
          <w:p w:rsidR="000540CB" w:rsidRPr="00B54DC3" w:rsidRDefault="000540CB" w:rsidP="000C6CCE">
            <w:pPr>
              <w:pStyle w:val="TableTextIndent05"/>
              <w:rPr>
                <w:color w:val="000000"/>
              </w:rPr>
            </w:pPr>
            <w:r w:rsidRPr="00A12E00">
              <w:t>Notification of construction</w:t>
            </w:r>
            <w:r>
              <w:t>, reconstruction, or modification</w:t>
            </w:r>
          </w:p>
        </w:tc>
        <w:tc>
          <w:tcPr>
            <w:tcW w:w="1728" w:type="dxa"/>
            <w:vAlign w:val="bottom"/>
          </w:tcPr>
          <w:p w:rsidR="000540CB" w:rsidRPr="00B54DC3" w:rsidRDefault="000540CB" w:rsidP="00B1329F">
            <w:pPr>
              <w:pStyle w:val="TableTextCenter11pt"/>
            </w:pPr>
            <w:r w:rsidRPr="00B54DC3">
              <w:t>2</w:t>
            </w:r>
          </w:p>
        </w:tc>
        <w:tc>
          <w:tcPr>
            <w:tcW w:w="1728" w:type="dxa"/>
            <w:vAlign w:val="bottom"/>
          </w:tcPr>
          <w:p w:rsidR="000540CB" w:rsidRPr="00B54DC3" w:rsidRDefault="000540CB" w:rsidP="00B1329F">
            <w:pPr>
              <w:pStyle w:val="TableTextCenter11pt"/>
            </w:pPr>
            <w:r w:rsidRPr="000540CB">
              <w:t>2.89</w:t>
            </w:r>
          </w:p>
        </w:tc>
        <w:tc>
          <w:tcPr>
            <w:tcW w:w="1728" w:type="dxa"/>
            <w:vAlign w:val="bottom"/>
          </w:tcPr>
          <w:p w:rsidR="000540CB" w:rsidRPr="00B54DC3" w:rsidRDefault="000540CB" w:rsidP="00B1329F">
            <w:pPr>
              <w:pStyle w:val="TableTextCenter11pt"/>
            </w:pPr>
            <w:r w:rsidRPr="000540CB">
              <w:t>5.79</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0540CB" w:rsidP="0061011A">
            <w:pPr>
              <w:pStyle w:val="TableTextCenter11pt"/>
            </w:pPr>
            <w:r w:rsidRPr="000540CB">
              <w:t>254.67</w:t>
            </w:r>
          </w:p>
        </w:tc>
      </w:tr>
      <w:tr w:rsidR="000540CB" w:rsidRPr="00B54DC3" w:rsidTr="006D3A7D">
        <w:trPr>
          <w:cantSplit/>
        </w:trPr>
        <w:tc>
          <w:tcPr>
            <w:tcW w:w="4320" w:type="dxa"/>
          </w:tcPr>
          <w:p w:rsidR="000540CB" w:rsidRPr="00B54DC3" w:rsidRDefault="000540CB" w:rsidP="000C6CCE">
            <w:pPr>
              <w:pStyle w:val="TableTextIndent05"/>
              <w:rPr>
                <w:u w:val="single"/>
              </w:rPr>
            </w:pPr>
            <w:r w:rsidRPr="00B54DC3">
              <w:t>Notification of anticipated startup</w:t>
            </w:r>
          </w:p>
        </w:tc>
        <w:tc>
          <w:tcPr>
            <w:tcW w:w="1728" w:type="dxa"/>
            <w:vAlign w:val="bottom"/>
          </w:tcPr>
          <w:p w:rsidR="000540CB" w:rsidRPr="00B54DC3" w:rsidRDefault="000540CB" w:rsidP="00B1329F">
            <w:pPr>
              <w:pStyle w:val="TableTextCenter11pt"/>
            </w:pPr>
            <w:r w:rsidRPr="00B54DC3">
              <w:t>0.5</w:t>
            </w:r>
          </w:p>
        </w:tc>
        <w:tc>
          <w:tcPr>
            <w:tcW w:w="1728" w:type="dxa"/>
            <w:vAlign w:val="bottom"/>
          </w:tcPr>
          <w:p w:rsidR="000540CB" w:rsidRPr="00B54DC3" w:rsidRDefault="000540CB" w:rsidP="00B1329F">
            <w:pPr>
              <w:pStyle w:val="TableTextCenter11pt"/>
            </w:pPr>
            <w:r w:rsidRPr="000540CB">
              <w:t>2.89</w:t>
            </w:r>
          </w:p>
        </w:tc>
        <w:tc>
          <w:tcPr>
            <w:tcW w:w="1728" w:type="dxa"/>
            <w:vAlign w:val="bottom"/>
          </w:tcPr>
          <w:p w:rsidR="000540CB" w:rsidRPr="00B54DC3" w:rsidRDefault="000540CB" w:rsidP="00B1329F">
            <w:pPr>
              <w:pStyle w:val="TableTextCenter11pt"/>
            </w:pPr>
            <w:r w:rsidRPr="000540CB">
              <w:t>1.45</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0540CB" w:rsidP="0061011A">
            <w:pPr>
              <w:pStyle w:val="TableTextCenter11pt"/>
            </w:pPr>
            <w:r w:rsidRPr="000540CB">
              <w:t>63.67</w:t>
            </w:r>
          </w:p>
        </w:tc>
      </w:tr>
      <w:tr w:rsidR="000540CB" w:rsidRPr="00B54DC3" w:rsidTr="006D3A7D">
        <w:trPr>
          <w:cantSplit/>
        </w:trPr>
        <w:tc>
          <w:tcPr>
            <w:tcW w:w="4320" w:type="dxa"/>
          </w:tcPr>
          <w:p w:rsidR="000540CB" w:rsidRPr="00B54DC3" w:rsidRDefault="000540CB" w:rsidP="000C6CCE">
            <w:pPr>
              <w:pStyle w:val="TableTextIndent05"/>
              <w:rPr>
                <w:u w:val="single"/>
              </w:rPr>
            </w:pPr>
            <w:r w:rsidRPr="00B54DC3">
              <w:t>Notification of actual startup</w:t>
            </w:r>
          </w:p>
        </w:tc>
        <w:tc>
          <w:tcPr>
            <w:tcW w:w="1728" w:type="dxa"/>
            <w:vAlign w:val="bottom"/>
          </w:tcPr>
          <w:p w:rsidR="000540CB" w:rsidRPr="00B54DC3" w:rsidRDefault="000540CB" w:rsidP="00B1329F">
            <w:pPr>
              <w:pStyle w:val="TableTextCenter11pt"/>
            </w:pPr>
            <w:r w:rsidRPr="00B54DC3">
              <w:t>0.5</w:t>
            </w:r>
          </w:p>
        </w:tc>
        <w:tc>
          <w:tcPr>
            <w:tcW w:w="1728" w:type="dxa"/>
            <w:vAlign w:val="bottom"/>
          </w:tcPr>
          <w:p w:rsidR="000540CB" w:rsidRPr="00B54DC3" w:rsidRDefault="000540CB" w:rsidP="00B1329F">
            <w:pPr>
              <w:pStyle w:val="TableTextCenter11pt"/>
            </w:pPr>
            <w:r w:rsidRPr="000540CB">
              <w:t>2.89</w:t>
            </w:r>
          </w:p>
        </w:tc>
        <w:tc>
          <w:tcPr>
            <w:tcW w:w="1728" w:type="dxa"/>
            <w:vAlign w:val="bottom"/>
          </w:tcPr>
          <w:p w:rsidR="000540CB" w:rsidRPr="00B54DC3" w:rsidRDefault="000540CB" w:rsidP="00B1329F">
            <w:pPr>
              <w:pStyle w:val="TableTextCenter11pt"/>
            </w:pPr>
            <w:r w:rsidRPr="000540CB">
              <w:t>1.45</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0540CB" w:rsidP="0061011A">
            <w:pPr>
              <w:pStyle w:val="TableTextCenter11pt"/>
            </w:pPr>
            <w:r w:rsidRPr="000540CB">
              <w:t>63.67</w:t>
            </w:r>
          </w:p>
        </w:tc>
      </w:tr>
      <w:tr w:rsidR="000540CB" w:rsidRPr="00B54DC3" w:rsidTr="006D3A7D">
        <w:trPr>
          <w:cantSplit/>
        </w:trPr>
        <w:tc>
          <w:tcPr>
            <w:tcW w:w="4320" w:type="dxa"/>
          </w:tcPr>
          <w:p w:rsidR="000540CB" w:rsidRPr="00B54DC3" w:rsidRDefault="000540CB" w:rsidP="00B1329F">
            <w:pPr>
              <w:pStyle w:val="TableTextIndent05"/>
              <w:rPr>
                <w:u w:val="single"/>
              </w:rPr>
            </w:pPr>
            <w:r w:rsidRPr="00B54DC3">
              <w:t>Notification of accuracy test</w:t>
            </w:r>
          </w:p>
        </w:tc>
        <w:tc>
          <w:tcPr>
            <w:tcW w:w="1728" w:type="dxa"/>
            <w:vAlign w:val="bottom"/>
          </w:tcPr>
          <w:p w:rsidR="000540CB" w:rsidRPr="00B54DC3" w:rsidRDefault="000540CB" w:rsidP="00B1329F">
            <w:pPr>
              <w:pStyle w:val="TableTextCenter11pt"/>
            </w:pPr>
            <w:r w:rsidRPr="00B54DC3">
              <w:t>0.5</w:t>
            </w:r>
          </w:p>
        </w:tc>
        <w:tc>
          <w:tcPr>
            <w:tcW w:w="1728" w:type="dxa"/>
            <w:vAlign w:val="bottom"/>
          </w:tcPr>
          <w:p w:rsidR="000540CB" w:rsidRPr="00B54DC3" w:rsidRDefault="000540CB" w:rsidP="00B1329F">
            <w:pPr>
              <w:pStyle w:val="TableTextCenter11pt"/>
            </w:pPr>
            <w:r w:rsidRPr="000540CB">
              <w:t>1.98</w:t>
            </w:r>
          </w:p>
        </w:tc>
        <w:tc>
          <w:tcPr>
            <w:tcW w:w="1728" w:type="dxa"/>
            <w:vAlign w:val="bottom"/>
          </w:tcPr>
          <w:p w:rsidR="000540CB" w:rsidRPr="00B54DC3" w:rsidRDefault="000540CB" w:rsidP="00B1329F">
            <w:pPr>
              <w:pStyle w:val="TableTextCenter11pt"/>
            </w:pPr>
            <w:r w:rsidRPr="000540CB">
              <w:t>0.99</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0540CB" w:rsidP="0061011A">
            <w:pPr>
              <w:pStyle w:val="TableTextCenter11pt"/>
            </w:pPr>
            <w:r w:rsidRPr="000540CB">
              <w:t>43.67</w:t>
            </w:r>
          </w:p>
        </w:tc>
      </w:tr>
      <w:tr w:rsidR="000540CB" w:rsidRPr="00B54DC3" w:rsidTr="006D3A7D">
        <w:trPr>
          <w:cantSplit/>
        </w:trPr>
        <w:tc>
          <w:tcPr>
            <w:tcW w:w="4320" w:type="dxa"/>
          </w:tcPr>
          <w:p w:rsidR="000540CB" w:rsidRPr="00B54DC3" w:rsidRDefault="000540CB" w:rsidP="006778C1">
            <w:pPr>
              <w:pStyle w:val="TableTextIndent05Last"/>
            </w:pPr>
            <w:r w:rsidRPr="006778C1">
              <w:t>Flare management</w:t>
            </w:r>
            <w:r w:rsidRPr="00B54DC3">
              <w:t xml:space="preserve"> plans</w:t>
            </w:r>
            <w:r w:rsidR="0031085E">
              <w:rPr>
                <w:rStyle w:val="Superscript"/>
              </w:rPr>
              <w:t>b</w:t>
            </w:r>
          </w:p>
        </w:tc>
        <w:tc>
          <w:tcPr>
            <w:tcW w:w="1728" w:type="dxa"/>
            <w:vAlign w:val="bottom"/>
          </w:tcPr>
          <w:p w:rsidR="000540CB" w:rsidRPr="00B54DC3" w:rsidRDefault="000540CB" w:rsidP="00311A67">
            <w:pPr>
              <w:pStyle w:val="TableTextCenter11pt"/>
            </w:pPr>
            <w:r w:rsidRPr="00B54DC3">
              <w:t>1</w:t>
            </w:r>
          </w:p>
        </w:tc>
        <w:tc>
          <w:tcPr>
            <w:tcW w:w="1728" w:type="dxa"/>
            <w:vAlign w:val="bottom"/>
          </w:tcPr>
          <w:p w:rsidR="000540CB" w:rsidRPr="00B54DC3" w:rsidRDefault="000540CB" w:rsidP="00B1329F">
            <w:pPr>
              <w:pStyle w:val="TableTextCenter11pt"/>
            </w:pPr>
            <w:r w:rsidRPr="000540CB">
              <w:t>2.89</w:t>
            </w:r>
          </w:p>
        </w:tc>
        <w:tc>
          <w:tcPr>
            <w:tcW w:w="1728" w:type="dxa"/>
            <w:vAlign w:val="bottom"/>
          </w:tcPr>
          <w:p w:rsidR="000540CB" w:rsidRPr="00B54DC3" w:rsidRDefault="000540CB" w:rsidP="00B1329F">
            <w:pPr>
              <w:pStyle w:val="TableTextCenter11pt"/>
            </w:pPr>
            <w:r w:rsidRPr="000540CB">
              <w:t>2.89</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0540CB" w:rsidP="0061011A">
            <w:pPr>
              <w:pStyle w:val="TableTextCenter11pt"/>
            </w:pPr>
            <w:r w:rsidRPr="000540CB">
              <w:t>127.33</w:t>
            </w:r>
          </w:p>
        </w:tc>
      </w:tr>
      <w:tr w:rsidR="000540CB" w:rsidRPr="00B54DC3" w:rsidTr="006D3A7D">
        <w:trPr>
          <w:cantSplit/>
        </w:trPr>
        <w:tc>
          <w:tcPr>
            <w:tcW w:w="4320" w:type="dxa"/>
          </w:tcPr>
          <w:p w:rsidR="000540CB" w:rsidRPr="00B54DC3" w:rsidRDefault="000540CB" w:rsidP="00B1329F">
            <w:pPr>
              <w:pStyle w:val="TableTextIndent025"/>
              <w:rPr>
                <w:u w:val="single"/>
              </w:rPr>
            </w:pPr>
            <w:r w:rsidRPr="00B54DC3">
              <w:t>Review test results</w:t>
            </w:r>
          </w:p>
        </w:tc>
        <w:tc>
          <w:tcPr>
            <w:tcW w:w="1728" w:type="dxa"/>
            <w:vAlign w:val="bottom"/>
          </w:tcPr>
          <w:p w:rsidR="000540CB" w:rsidRPr="00B54DC3" w:rsidRDefault="000540CB" w:rsidP="00B1329F">
            <w:pPr>
              <w:pStyle w:val="TableTextCenter11pt"/>
            </w:pPr>
            <w:r w:rsidRPr="00B54DC3">
              <w:t>8</w:t>
            </w:r>
          </w:p>
        </w:tc>
        <w:tc>
          <w:tcPr>
            <w:tcW w:w="1728" w:type="dxa"/>
            <w:vAlign w:val="bottom"/>
          </w:tcPr>
          <w:p w:rsidR="000540CB" w:rsidRPr="00B54DC3" w:rsidRDefault="000540CB" w:rsidP="00B1329F">
            <w:pPr>
              <w:pStyle w:val="TableTextCenter11pt"/>
            </w:pPr>
            <w:r w:rsidRPr="000540CB">
              <w:t>1.98</w:t>
            </w:r>
          </w:p>
        </w:tc>
        <w:tc>
          <w:tcPr>
            <w:tcW w:w="1728" w:type="dxa"/>
            <w:vAlign w:val="bottom"/>
          </w:tcPr>
          <w:p w:rsidR="000540CB" w:rsidRPr="00B54DC3" w:rsidRDefault="000540CB" w:rsidP="00B1329F">
            <w:pPr>
              <w:pStyle w:val="TableTextCenter11pt"/>
            </w:pPr>
            <w:r w:rsidRPr="000540CB">
              <w:t>15.88</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0540CB" w:rsidP="0061011A">
            <w:pPr>
              <w:pStyle w:val="TableTextCenter11pt"/>
            </w:pPr>
            <w:r w:rsidRPr="000540CB">
              <w:t>698.67</w:t>
            </w:r>
          </w:p>
        </w:tc>
      </w:tr>
      <w:tr w:rsidR="000540CB" w:rsidRPr="00B54DC3" w:rsidTr="006D3A7D">
        <w:trPr>
          <w:cantSplit/>
        </w:trPr>
        <w:tc>
          <w:tcPr>
            <w:tcW w:w="4320" w:type="dxa"/>
          </w:tcPr>
          <w:p w:rsidR="000540CB" w:rsidRPr="00B54DC3" w:rsidRDefault="000540CB" w:rsidP="00C74842">
            <w:pPr>
              <w:pStyle w:val="TableTextIndent025"/>
              <w:rPr>
                <w:rStyle w:val="Underline"/>
              </w:rPr>
            </w:pPr>
            <w:r w:rsidRPr="00B54DC3">
              <w:t>Emission Reports</w:t>
            </w:r>
          </w:p>
        </w:tc>
        <w:tc>
          <w:tcPr>
            <w:tcW w:w="1728" w:type="dxa"/>
            <w:vAlign w:val="bottom"/>
          </w:tcPr>
          <w:p w:rsidR="000540CB" w:rsidRPr="00B54DC3" w:rsidRDefault="000540CB" w:rsidP="00C74842">
            <w:pPr>
              <w:pStyle w:val="TableTextCenter11pt"/>
            </w:pPr>
            <w:r w:rsidRPr="00B54DC3">
              <w:t>4.2</w:t>
            </w:r>
          </w:p>
        </w:tc>
        <w:tc>
          <w:tcPr>
            <w:tcW w:w="1728" w:type="dxa"/>
            <w:vAlign w:val="bottom"/>
          </w:tcPr>
          <w:p w:rsidR="000540CB" w:rsidRPr="00B54DC3" w:rsidRDefault="000540CB" w:rsidP="00C74842">
            <w:pPr>
              <w:pStyle w:val="TableTextCenter11pt"/>
            </w:pPr>
            <w:r w:rsidRPr="00B54DC3">
              <w:t>2</w:t>
            </w:r>
          </w:p>
        </w:tc>
        <w:tc>
          <w:tcPr>
            <w:tcW w:w="1728" w:type="dxa"/>
            <w:vAlign w:val="bottom"/>
          </w:tcPr>
          <w:p w:rsidR="000540CB" w:rsidRPr="00B54DC3" w:rsidRDefault="000540CB" w:rsidP="00C74842">
            <w:pPr>
              <w:pStyle w:val="TableTextCenter11pt"/>
            </w:pPr>
            <w:r w:rsidRPr="00B54DC3">
              <w:t>8.4</w:t>
            </w:r>
          </w:p>
        </w:tc>
        <w:tc>
          <w:tcPr>
            <w:tcW w:w="1728" w:type="dxa"/>
            <w:vAlign w:val="bottom"/>
          </w:tcPr>
          <w:p w:rsidR="000540CB" w:rsidRPr="0061011A" w:rsidRDefault="000540CB" w:rsidP="0061011A">
            <w:pPr>
              <w:pStyle w:val="TableTextCenter11pt"/>
            </w:pPr>
            <w:r w:rsidRPr="000540CB">
              <w:t>44</w:t>
            </w:r>
          </w:p>
        </w:tc>
        <w:tc>
          <w:tcPr>
            <w:tcW w:w="1728" w:type="dxa"/>
            <w:vAlign w:val="bottom"/>
          </w:tcPr>
          <w:p w:rsidR="000540CB" w:rsidRPr="00B54DC3" w:rsidRDefault="0031085E" w:rsidP="0031085E">
            <w:pPr>
              <w:pStyle w:val="TableTextCenter11pt"/>
            </w:pPr>
            <w:r>
              <w:t>369.6</w:t>
            </w:r>
          </w:p>
        </w:tc>
      </w:tr>
      <w:tr w:rsidR="00C74842" w:rsidRPr="00B54DC3" w:rsidTr="006D3A7D">
        <w:trPr>
          <w:cantSplit/>
        </w:trPr>
        <w:tc>
          <w:tcPr>
            <w:tcW w:w="4320" w:type="dxa"/>
          </w:tcPr>
          <w:p w:rsidR="00C74842" w:rsidRPr="00B54DC3" w:rsidRDefault="00C74842" w:rsidP="006D3A7D">
            <w:pPr>
              <w:pStyle w:val="TableText11pt"/>
            </w:pPr>
            <w:r w:rsidRPr="00B54DC3">
              <w:rPr>
                <w:rStyle w:val="Underline"/>
              </w:rPr>
              <w:t>Existing Plants</w:t>
            </w:r>
            <w:r w:rsidRPr="00B54DC3">
              <w:t>:</w:t>
            </w:r>
          </w:p>
          <w:p w:rsidR="00C74842" w:rsidRPr="00B54DC3" w:rsidRDefault="00C74842" w:rsidP="000C6CCE">
            <w:pPr>
              <w:pStyle w:val="TableTextIndent025"/>
            </w:pPr>
            <w:r w:rsidRPr="00B54DC3">
              <w:t>Emission Reports</w:t>
            </w:r>
          </w:p>
        </w:tc>
        <w:tc>
          <w:tcPr>
            <w:tcW w:w="1728" w:type="dxa"/>
            <w:vAlign w:val="bottom"/>
          </w:tcPr>
          <w:p w:rsidR="00C74842" w:rsidRPr="00B54DC3" w:rsidRDefault="00C74842" w:rsidP="00B1329F">
            <w:pPr>
              <w:pStyle w:val="TableTextCenter11pt"/>
            </w:pPr>
            <w:r w:rsidRPr="00B54DC3">
              <w:t>4.2</w:t>
            </w:r>
          </w:p>
        </w:tc>
        <w:tc>
          <w:tcPr>
            <w:tcW w:w="1728" w:type="dxa"/>
            <w:vAlign w:val="bottom"/>
          </w:tcPr>
          <w:p w:rsidR="00C74842" w:rsidRPr="00B54DC3" w:rsidRDefault="00C74842" w:rsidP="00B1329F">
            <w:pPr>
              <w:pStyle w:val="TableTextCenter11pt"/>
            </w:pPr>
            <w:r w:rsidRPr="00B54DC3">
              <w:t>2</w:t>
            </w:r>
          </w:p>
        </w:tc>
        <w:tc>
          <w:tcPr>
            <w:tcW w:w="1728" w:type="dxa"/>
            <w:vAlign w:val="bottom"/>
          </w:tcPr>
          <w:p w:rsidR="00C74842" w:rsidRPr="00B54DC3" w:rsidRDefault="00C74842" w:rsidP="00B1329F">
            <w:pPr>
              <w:pStyle w:val="TableTextCenter11pt"/>
            </w:pPr>
            <w:r w:rsidRPr="00B54DC3">
              <w:t>8.4</w:t>
            </w:r>
          </w:p>
        </w:tc>
        <w:tc>
          <w:tcPr>
            <w:tcW w:w="1728" w:type="dxa"/>
            <w:vAlign w:val="bottom"/>
          </w:tcPr>
          <w:p w:rsidR="00C74842" w:rsidRPr="00B54DC3" w:rsidRDefault="000540CB" w:rsidP="0061011A">
            <w:pPr>
              <w:pStyle w:val="TableTextCenter11pt"/>
            </w:pPr>
            <w:r w:rsidRPr="000540CB">
              <w:t>44</w:t>
            </w:r>
          </w:p>
        </w:tc>
        <w:tc>
          <w:tcPr>
            <w:tcW w:w="1728" w:type="dxa"/>
            <w:vAlign w:val="bottom"/>
          </w:tcPr>
          <w:p w:rsidR="00C74842" w:rsidRPr="00B54DC3" w:rsidRDefault="0031085E" w:rsidP="0031085E">
            <w:pPr>
              <w:pStyle w:val="TableTextCenter11pt"/>
            </w:pPr>
            <w:r>
              <w:t>369.6</w:t>
            </w:r>
          </w:p>
        </w:tc>
      </w:tr>
      <w:tr w:rsidR="00C74842" w:rsidRPr="00B54DC3" w:rsidTr="006D3A7D">
        <w:trPr>
          <w:cantSplit/>
        </w:trPr>
        <w:tc>
          <w:tcPr>
            <w:tcW w:w="4320" w:type="dxa"/>
          </w:tcPr>
          <w:p w:rsidR="00C74842" w:rsidRPr="00B54DC3" w:rsidRDefault="00C74842" w:rsidP="006D3A7D">
            <w:pPr>
              <w:pStyle w:val="TableText11pt"/>
            </w:pPr>
            <w:r w:rsidRPr="00B54DC3">
              <w:t>TOTAL ANNUAL HOURS</w:t>
            </w:r>
          </w:p>
        </w:tc>
        <w:tc>
          <w:tcPr>
            <w:tcW w:w="1728" w:type="dxa"/>
          </w:tcPr>
          <w:p w:rsidR="00C74842" w:rsidRPr="0068083D" w:rsidRDefault="00C74842" w:rsidP="0068083D">
            <w:pPr>
              <w:pStyle w:val="TableTextCenter11pt"/>
            </w:pPr>
          </w:p>
        </w:tc>
        <w:tc>
          <w:tcPr>
            <w:tcW w:w="1728" w:type="dxa"/>
          </w:tcPr>
          <w:p w:rsidR="00C74842" w:rsidRPr="0068083D" w:rsidRDefault="00C74842" w:rsidP="0068083D">
            <w:pPr>
              <w:pStyle w:val="TableTextCenter11pt"/>
            </w:pPr>
          </w:p>
        </w:tc>
        <w:tc>
          <w:tcPr>
            <w:tcW w:w="1728" w:type="dxa"/>
          </w:tcPr>
          <w:p w:rsidR="00C74842" w:rsidRPr="0068083D" w:rsidRDefault="00C74842" w:rsidP="0068083D">
            <w:pPr>
              <w:pStyle w:val="TableTextCenter11pt"/>
            </w:pPr>
          </w:p>
        </w:tc>
        <w:tc>
          <w:tcPr>
            <w:tcW w:w="1728" w:type="dxa"/>
          </w:tcPr>
          <w:p w:rsidR="00C74842" w:rsidRPr="0068083D" w:rsidRDefault="00C74842" w:rsidP="0068083D">
            <w:pPr>
              <w:pStyle w:val="TableTextCenter11pt"/>
            </w:pPr>
          </w:p>
        </w:tc>
        <w:tc>
          <w:tcPr>
            <w:tcW w:w="1728" w:type="dxa"/>
          </w:tcPr>
          <w:p w:rsidR="00C74842" w:rsidRPr="00B54DC3" w:rsidRDefault="0031085E" w:rsidP="0031085E">
            <w:pPr>
              <w:pStyle w:val="TableTextCenter11pt"/>
            </w:pPr>
            <w:r>
              <w:t>1,99</w:t>
            </w:r>
            <w:r w:rsidR="000540CB">
              <w:t>1</w:t>
            </w:r>
          </w:p>
        </w:tc>
      </w:tr>
    </w:tbl>
    <w:p w:rsidR="000540CB" w:rsidRPr="0068083D" w:rsidRDefault="000540CB" w:rsidP="0068083D">
      <w:pPr>
        <w:pStyle w:val="10pt"/>
      </w:pPr>
    </w:p>
    <w:p w:rsidR="000B24D6" w:rsidRPr="00B54DC3" w:rsidRDefault="00601CF5" w:rsidP="000B24D6">
      <w:r w:rsidRPr="00B54DC3">
        <w:rPr>
          <w:rStyle w:val="Underline"/>
        </w:rPr>
        <w:t>Salary</w:t>
      </w:r>
      <w:r w:rsidRPr="00B54DC3">
        <w:t>:</w:t>
      </w:r>
      <w:r w:rsidR="0031085E">
        <w:rPr>
          <w:rStyle w:val="Superscript"/>
        </w:rPr>
        <w:t>c</w:t>
      </w:r>
    </w:p>
    <w:p w:rsidR="00601CF5" w:rsidRDefault="00601CF5" w:rsidP="0031085E">
      <w:r w:rsidRPr="00B54DC3">
        <w:t>(</w:t>
      </w:r>
      <w:r w:rsidR="0031085E">
        <w:t>1,991</w:t>
      </w:r>
      <w:r w:rsidRPr="00B54DC3">
        <w:t xml:space="preserve"> hours/year </w:t>
      </w:r>
      <w:r w:rsidR="003311C0" w:rsidRPr="00B54DC3">
        <w:t>×</w:t>
      </w:r>
      <w:r w:rsidRPr="00B54DC3">
        <w:t xml:space="preserve"> $</w:t>
      </w:r>
      <w:r w:rsidR="00147D28" w:rsidRPr="00B54DC3">
        <w:t>42</w:t>
      </w:r>
      <w:r w:rsidRPr="00B54DC3">
        <w:t>.</w:t>
      </w:r>
      <w:r w:rsidR="00147D28" w:rsidRPr="00B54DC3">
        <w:t>45</w:t>
      </w:r>
      <w:r w:rsidRPr="00B54DC3">
        <w:t>/hour) = $</w:t>
      </w:r>
      <w:r w:rsidR="0031085E">
        <w:t>84,508</w:t>
      </w:r>
      <w:r w:rsidRPr="00B54DC3">
        <w:t xml:space="preserve">/year </w:t>
      </w:r>
    </w:p>
    <w:p w:rsidR="000B24D6" w:rsidRPr="0068083D" w:rsidRDefault="000B24D6" w:rsidP="0068083D">
      <w:pPr>
        <w:pStyle w:val="10pt"/>
      </w:pPr>
    </w:p>
    <w:p w:rsidR="00601CF5" w:rsidRPr="00B54DC3" w:rsidRDefault="00601CF5" w:rsidP="0031085E">
      <w:r w:rsidRPr="00B54DC3">
        <w:t xml:space="preserve">TOTAL ANNUAL COST = </w:t>
      </w:r>
      <w:r w:rsidRPr="000540CB">
        <w:rPr>
          <w:rStyle w:val="Underline"/>
        </w:rPr>
        <w:t>$</w:t>
      </w:r>
      <w:r w:rsidR="0031085E">
        <w:rPr>
          <w:rStyle w:val="Underline"/>
        </w:rPr>
        <w:t>84,508</w:t>
      </w:r>
    </w:p>
    <w:p w:rsidR="00601CF5" w:rsidRPr="00B54DC3" w:rsidRDefault="00601CF5" w:rsidP="00F76588">
      <w:pPr>
        <w:pStyle w:val="Dividingline"/>
      </w:pPr>
    </w:p>
    <w:p w:rsidR="00601CF5" w:rsidRPr="0068083D" w:rsidRDefault="00601CF5" w:rsidP="0068083D">
      <w:pPr>
        <w:pStyle w:val="8pt"/>
      </w:pPr>
    </w:p>
    <w:p w:rsidR="000540CB" w:rsidRDefault="00601CF5" w:rsidP="00CA6954">
      <w:pPr>
        <w:pStyle w:val="TableFootnote"/>
      </w:pPr>
      <w:r w:rsidRPr="00B54DC3">
        <w:rPr>
          <w:rStyle w:val="Superscript"/>
        </w:rPr>
        <w:t>a</w:t>
      </w:r>
      <w:r w:rsidRPr="00B54DC3">
        <w:t xml:space="preserve"> </w:t>
      </w:r>
      <w:r w:rsidR="000540CB">
        <w:t>Assume 2.89 flares per refinery</w:t>
      </w:r>
      <w:r w:rsidR="00CA6954">
        <w:t xml:space="preserve"> (382 flares at 132 refineries)</w:t>
      </w:r>
      <w:r w:rsidR="000540CB">
        <w:t xml:space="preserve">, 1.98 </w:t>
      </w:r>
      <w:r w:rsidR="00CA6954">
        <w:t xml:space="preserve">of which (262 flares at 132 refineries) </w:t>
      </w:r>
      <w:r w:rsidR="000540CB">
        <w:t>would be required to install monitors for sulfur content and flow rate.</w:t>
      </w:r>
      <w:r w:rsidR="0080452E">
        <w:t xml:space="preserve"> Assume each refinery submits two emission reports per year, regardless of the number of affected flares.</w:t>
      </w:r>
    </w:p>
    <w:p w:rsidR="00232CA1" w:rsidRPr="00B54DC3" w:rsidRDefault="00232CA1" w:rsidP="0068083D">
      <w:pPr>
        <w:pStyle w:val="TableFootnote"/>
      </w:pPr>
      <w:r w:rsidRPr="00B54DC3">
        <w:rPr>
          <w:rStyle w:val="Superscript"/>
        </w:rPr>
        <w:t>b</w:t>
      </w:r>
      <w:r w:rsidRPr="00B54DC3">
        <w:t xml:space="preserve"> </w:t>
      </w:r>
      <w:r w:rsidR="003311C0" w:rsidRPr="00B54DC3">
        <w:t>Some plans will need more review than others, depending on complexity of flare connections and baseline calculations; a</w:t>
      </w:r>
      <w:r w:rsidRPr="00B54DC3">
        <w:t xml:space="preserve">ssume </w:t>
      </w:r>
      <w:r w:rsidR="003311C0" w:rsidRPr="00B54DC3">
        <w:t>1 hour is the average amount of time spent per plan.</w:t>
      </w:r>
    </w:p>
    <w:p w:rsidR="00601CF5" w:rsidRPr="00B54DC3" w:rsidRDefault="0031085E" w:rsidP="0031085E">
      <w:pPr>
        <w:pStyle w:val="TableFootnote"/>
      </w:pPr>
      <w:r>
        <w:rPr>
          <w:rStyle w:val="Superscript"/>
        </w:rPr>
        <w:t>c</w:t>
      </w:r>
      <w:r w:rsidR="00601CF5" w:rsidRPr="00B54DC3">
        <w:t xml:space="preserve"> Estimate an hourly wage of $2</w:t>
      </w:r>
      <w:r w:rsidR="00147D28" w:rsidRPr="00B54DC3">
        <w:t>6</w:t>
      </w:r>
      <w:r w:rsidR="00601CF5" w:rsidRPr="00B54DC3">
        <w:t>.</w:t>
      </w:r>
      <w:r w:rsidR="00147D28" w:rsidRPr="00B54DC3">
        <w:t>53</w:t>
      </w:r>
      <w:r w:rsidR="00601CF5" w:rsidRPr="00B54DC3">
        <w:t xml:space="preserve"> plus 60</w:t>
      </w:r>
      <w:r w:rsidR="00342CA2">
        <w:t xml:space="preserve"> percent</w:t>
      </w:r>
      <w:r w:rsidR="00601CF5" w:rsidRPr="00B54DC3">
        <w:t xml:space="preserve"> overhead expense which equals $</w:t>
      </w:r>
      <w:r w:rsidR="00147D28" w:rsidRPr="00B54DC3">
        <w:t>42</w:t>
      </w:r>
      <w:r w:rsidR="00601CF5" w:rsidRPr="00B54DC3">
        <w:t>.</w:t>
      </w:r>
      <w:r w:rsidR="00147D28" w:rsidRPr="00B54DC3">
        <w:t>45</w:t>
      </w:r>
      <w:r w:rsidR="00601CF5" w:rsidRPr="00B54DC3">
        <w:t>.</w:t>
      </w:r>
    </w:p>
    <w:p w:rsidR="00601CF5" w:rsidRPr="00B54DC3" w:rsidRDefault="00F05F6B" w:rsidP="00C74842">
      <w:pPr>
        <w:pStyle w:val="TableTitle"/>
      </w:pPr>
      <w:r w:rsidRPr="00B54DC3">
        <w:br w:type="page"/>
      </w:r>
      <w:r w:rsidR="00601CF5" w:rsidRPr="00B54DC3">
        <w:lastRenderedPageBreak/>
        <w:t>TABLE 2: INDUSTRY BURDEN FROM RECORDKEEPING</w:t>
      </w:r>
      <w:r w:rsidR="00754CEB" w:rsidRPr="00B54DC3">
        <w:t xml:space="preserve"> AND REPORTING </w:t>
      </w:r>
      <w:r w:rsidR="00C74842">
        <w:t>FOR ADDITIONAL AFFECTED FLARES –</w:t>
      </w:r>
      <w:r w:rsidR="00754CEB" w:rsidRPr="00B54DC3">
        <w:t xml:space="preserve"> NSPS</w:t>
      </w:r>
      <w:r w:rsidR="00C74842">
        <w:t xml:space="preserve"> </w:t>
      </w:r>
      <w:r w:rsidR="00754CEB" w:rsidRPr="00B54DC3">
        <w:t>SUBPART J</w:t>
      </w:r>
      <w:r w:rsidR="00601CF5" w:rsidRPr="00B54DC3">
        <w:t>a</w:t>
      </w:r>
      <w:r w:rsidR="00365A9E" w:rsidRPr="00B54DC3">
        <w:rPr>
          <w:rStyle w:val="Superscript"/>
        </w:rPr>
        <w:t>a</w:t>
      </w:r>
    </w:p>
    <w:tbl>
      <w:tblPr>
        <w:tblW w:w="129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1E0"/>
      </w:tblPr>
      <w:tblGrid>
        <w:gridCol w:w="3332"/>
        <w:gridCol w:w="1604"/>
        <w:gridCol w:w="1605"/>
        <w:gridCol w:w="1605"/>
        <w:gridCol w:w="1604"/>
        <w:gridCol w:w="1605"/>
        <w:gridCol w:w="1605"/>
      </w:tblGrid>
      <w:tr w:rsidR="00FC6CFB" w:rsidRPr="00B54DC3" w:rsidTr="006D3A7D">
        <w:trPr>
          <w:tblHeader/>
        </w:trPr>
        <w:tc>
          <w:tcPr>
            <w:tcW w:w="3332" w:type="dxa"/>
          </w:tcPr>
          <w:p w:rsidR="00601CF5" w:rsidRPr="00B54DC3" w:rsidRDefault="00601CF5" w:rsidP="006778C1">
            <w:pPr>
              <w:pStyle w:val="Table10ptColumnHeading"/>
            </w:pPr>
          </w:p>
        </w:tc>
        <w:tc>
          <w:tcPr>
            <w:tcW w:w="1604" w:type="dxa"/>
          </w:tcPr>
          <w:p w:rsidR="00601CF5" w:rsidRPr="006778C1" w:rsidRDefault="00601CF5" w:rsidP="006778C1">
            <w:pPr>
              <w:pStyle w:val="Table10ptColumnHeading"/>
            </w:pPr>
            <w:r w:rsidRPr="006778C1">
              <w:t>Hours per</w:t>
            </w:r>
            <w:r w:rsidR="006A08DE" w:rsidRPr="006778C1">
              <w:t xml:space="preserve"> </w:t>
            </w:r>
            <w:r w:rsidRPr="006778C1">
              <w:t>Occurrence</w:t>
            </w:r>
          </w:p>
          <w:p w:rsidR="00601CF5" w:rsidRPr="006778C1" w:rsidRDefault="00601CF5" w:rsidP="006778C1">
            <w:pPr>
              <w:pStyle w:val="Table10ptColumnHeading"/>
            </w:pPr>
            <w:r w:rsidRPr="006778C1">
              <w:t>(A)</w:t>
            </w:r>
          </w:p>
        </w:tc>
        <w:tc>
          <w:tcPr>
            <w:tcW w:w="1605" w:type="dxa"/>
          </w:tcPr>
          <w:p w:rsidR="00601CF5" w:rsidRPr="00B54DC3" w:rsidRDefault="00601CF5" w:rsidP="006778C1">
            <w:pPr>
              <w:pStyle w:val="Table10ptColumnHeading"/>
            </w:pPr>
            <w:r w:rsidRPr="00B54DC3">
              <w:t>Occurrences/</w:t>
            </w:r>
            <w:r w:rsidR="00FC6CFB">
              <w:t xml:space="preserve"> </w:t>
            </w:r>
            <w:r w:rsidRPr="00B54DC3">
              <w:t>respondent/</w:t>
            </w:r>
            <w:r w:rsidR="00FC6CFB">
              <w:t xml:space="preserve"> </w:t>
            </w:r>
            <w:r w:rsidRPr="00B54DC3">
              <w:t>year</w:t>
            </w:r>
          </w:p>
          <w:p w:rsidR="00601CF5" w:rsidRPr="00B54DC3" w:rsidRDefault="00601CF5" w:rsidP="006778C1">
            <w:pPr>
              <w:pStyle w:val="Table10ptColumnHeading"/>
            </w:pPr>
            <w:r w:rsidRPr="00B54DC3">
              <w:t>(B)</w:t>
            </w:r>
            <w:r w:rsidR="00CA6954" w:rsidRPr="00CA6954">
              <w:rPr>
                <w:rStyle w:val="Superscript"/>
              </w:rPr>
              <w:t>b</w:t>
            </w:r>
          </w:p>
        </w:tc>
        <w:tc>
          <w:tcPr>
            <w:tcW w:w="1605" w:type="dxa"/>
          </w:tcPr>
          <w:p w:rsidR="00601CF5" w:rsidRPr="00B54DC3" w:rsidRDefault="00601CF5" w:rsidP="006778C1">
            <w:pPr>
              <w:pStyle w:val="Table10ptColumnHeading"/>
            </w:pPr>
            <w:r w:rsidRPr="00B54DC3">
              <w:t>Hours/</w:t>
            </w:r>
            <w:r w:rsidR="00A20C72" w:rsidRPr="00B54DC3">
              <w:t xml:space="preserve"> </w:t>
            </w:r>
            <w:r w:rsidRPr="00B54DC3">
              <w:t>respondent/</w:t>
            </w:r>
            <w:r w:rsidR="00A20C72" w:rsidRPr="00B54DC3">
              <w:t xml:space="preserve"> </w:t>
            </w:r>
            <w:r w:rsidRPr="00B54DC3">
              <w:t>year</w:t>
            </w:r>
          </w:p>
          <w:p w:rsidR="00601CF5" w:rsidRPr="00B54DC3" w:rsidRDefault="00601CF5" w:rsidP="00330CCA">
            <w:pPr>
              <w:pStyle w:val="Table10ptColumnHeading"/>
            </w:pPr>
            <w:r w:rsidRPr="00B54DC3">
              <w:t xml:space="preserve">(C = A </w:t>
            </w:r>
            <w:r w:rsidR="00330CCA">
              <w:t>×</w:t>
            </w:r>
            <w:r w:rsidRPr="00B54DC3">
              <w:t xml:space="preserve"> B)</w:t>
            </w:r>
          </w:p>
        </w:tc>
        <w:tc>
          <w:tcPr>
            <w:tcW w:w="1604" w:type="dxa"/>
          </w:tcPr>
          <w:p w:rsidR="00601CF5" w:rsidRPr="00B54DC3" w:rsidRDefault="00601CF5" w:rsidP="006778C1">
            <w:pPr>
              <w:pStyle w:val="Table10ptColumnHeading"/>
            </w:pPr>
            <w:r w:rsidRPr="00B54DC3">
              <w:t>Responses</w:t>
            </w:r>
            <w:r w:rsidR="00A20C72" w:rsidRPr="00B54DC3">
              <w:t xml:space="preserve"> </w:t>
            </w:r>
            <w:r w:rsidRPr="00B54DC3">
              <w:t>per year</w:t>
            </w:r>
          </w:p>
          <w:p w:rsidR="00601CF5" w:rsidRPr="00B54DC3" w:rsidRDefault="00601CF5" w:rsidP="006778C1">
            <w:pPr>
              <w:pStyle w:val="Table10ptColumnHeading"/>
            </w:pPr>
            <w:r w:rsidRPr="00B54DC3">
              <w:t>(D)</w:t>
            </w:r>
          </w:p>
        </w:tc>
        <w:tc>
          <w:tcPr>
            <w:tcW w:w="1605" w:type="dxa"/>
          </w:tcPr>
          <w:p w:rsidR="00601CF5" w:rsidRPr="00B54DC3" w:rsidRDefault="00601CF5" w:rsidP="006778C1">
            <w:pPr>
              <w:pStyle w:val="Table10ptColumnHeading"/>
            </w:pPr>
            <w:r w:rsidRPr="00B54DC3">
              <w:t>Total Labor</w:t>
            </w:r>
            <w:r w:rsidR="00A20C72" w:rsidRPr="00B54DC3">
              <w:t xml:space="preserve"> </w:t>
            </w:r>
            <w:r w:rsidRPr="00B54DC3">
              <w:t>Hours</w:t>
            </w:r>
            <w:r w:rsidR="00A20C72" w:rsidRPr="00B54DC3">
              <w:t xml:space="preserve"> </w:t>
            </w:r>
            <w:r w:rsidRPr="00B54DC3">
              <w:t>per year</w:t>
            </w:r>
          </w:p>
          <w:p w:rsidR="00601CF5" w:rsidRPr="00B54DC3" w:rsidRDefault="00601CF5" w:rsidP="00330CCA">
            <w:pPr>
              <w:pStyle w:val="Table10ptColumnHeading"/>
            </w:pPr>
            <w:r w:rsidRPr="00B54DC3">
              <w:t xml:space="preserve">(E = C </w:t>
            </w:r>
            <w:r w:rsidR="00330CCA">
              <w:t>×</w:t>
            </w:r>
            <w:r w:rsidRPr="00B54DC3">
              <w:t xml:space="preserve"> D)</w:t>
            </w:r>
          </w:p>
        </w:tc>
        <w:tc>
          <w:tcPr>
            <w:tcW w:w="1605" w:type="dxa"/>
          </w:tcPr>
          <w:p w:rsidR="00601CF5" w:rsidRPr="00B54DC3" w:rsidRDefault="006A08DE" w:rsidP="006778C1">
            <w:pPr>
              <w:pStyle w:val="Table10ptColumnHeading"/>
            </w:pPr>
            <w:r>
              <w:br/>
            </w:r>
            <w:r w:rsidR="00601CF5" w:rsidRPr="00B54DC3">
              <w:t>Cost</w:t>
            </w:r>
            <w:r w:rsidR="00754CEB" w:rsidRPr="00B54DC3">
              <w:t xml:space="preserve"> </w:t>
            </w:r>
            <w:r w:rsidR="00601CF5" w:rsidRPr="00B54DC3">
              <w:t>per</w:t>
            </w:r>
            <w:r w:rsidR="00754CEB" w:rsidRPr="00B54DC3">
              <w:t xml:space="preserve"> </w:t>
            </w:r>
            <w:r w:rsidR="00601CF5" w:rsidRPr="00B54DC3">
              <w:t>year</w:t>
            </w:r>
            <w:r w:rsidR="00CA6954">
              <w:rPr>
                <w:rStyle w:val="Superscript"/>
              </w:rPr>
              <w:t>c</w:t>
            </w:r>
          </w:p>
          <w:p w:rsidR="00601CF5" w:rsidRPr="00B54DC3" w:rsidRDefault="00601CF5" w:rsidP="006778C1">
            <w:pPr>
              <w:pStyle w:val="Table10ptColumnHeading"/>
            </w:pPr>
            <w:r w:rsidRPr="00B54DC3">
              <w:t>(F)</w:t>
            </w:r>
          </w:p>
        </w:tc>
      </w:tr>
      <w:tr w:rsidR="00E616C1" w:rsidRPr="00B54DC3" w:rsidTr="006D3A7D">
        <w:tc>
          <w:tcPr>
            <w:tcW w:w="3332" w:type="dxa"/>
            <w:vAlign w:val="center"/>
          </w:tcPr>
          <w:p w:rsidR="00E616C1" w:rsidRPr="006D3A7D" w:rsidRDefault="00E616C1" w:rsidP="006D3A7D">
            <w:pPr>
              <w:pStyle w:val="TableText10pt"/>
            </w:pPr>
            <w:r w:rsidRPr="006D3A7D">
              <w:t>1.</w:t>
            </w:r>
            <w:r w:rsidR="00E95A7F">
              <w:t xml:space="preserve"> </w:t>
            </w:r>
            <w:r w:rsidRPr="006D3A7D">
              <w:t>APPLICATIONS</w:t>
            </w:r>
          </w:p>
        </w:tc>
        <w:tc>
          <w:tcPr>
            <w:tcW w:w="9628" w:type="dxa"/>
            <w:gridSpan w:val="6"/>
          </w:tcPr>
          <w:p w:rsidR="00E616C1" w:rsidRPr="00B54DC3" w:rsidRDefault="00E616C1" w:rsidP="0068083D">
            <w:pPr>
              <w:pStyle w:val="TableTextCenter10pt"/>
            </w:pPr>
            <w:r w:rsidRPr="00B54DC3">
              <w:t>_____________________________________Not Applicable_____________________________________</w:t>
            </w:r>
          </w:p>
        </w:tc>
      </w:tr>
      <w:tr w:rsidR="00E616C1" w:rsidRPr="00B54DC3" w:rsidTr="006D3A7D">
        <w:tc>
          <w:tcPr>
            <w:tcW w:w="3332" w:type="dxa"/>
            <w:vAlign w:val="center"/>
          </w:tcPr>
          <w:p w:rsidR="00E616C1" w:rsidRPr="006D3A7D" w:rsidRDefault="00E616C1" w:rsidP="006D3A7D">
            <w:pPr>
              <w:pStyle w:val="TableText10pt"/>
            </w:pPr>
            <w:r w:rsidRPr="006D3A7D">
              <w:t>2.</w:t>
            </w:r>
            <w:r w:rsidR="00E95A7F">
              <w:t xml:space="preserve"> </w:t>
            </w:r>
            <w:r w:rsidRPr="006D3A7D">
              <w:t>SURVEY AND STUDIES</w:t>
            </w:r>
          </w:p>
        </w:tc>
        <w:tc>
          <w:tcPr>
            <w:tcW w:w="9628" w:type="dxa"/>
            <w:gridSpan w:val="6"/>
          </w:tcPr>
          <w:p w:rsidR="00E616C1" w:rsidRPr="00B54DC3" w:rsidRDefault="00E616C1" w:rsidP="0068083D">
            <w:pPr>
              <w:pStyle w:val="TableTextCenter10pt"/>
              <w:rPr>
                <w:rFonts w:ascii="Times New" w:hAnsi="Times New" w:cs="Times New"/>
                <w:color w:val="000000"/>
                <w:szCs w:val="20"/>
              </w:rPr>
            </w:pPr>
          </w:p>
        </w:tc>
      </w:tr>
      <w:tr w:rsidR="006D3A7D" w:rsidRPr="00B54DC3" w:rsidTr="006D3A7D">
        <w:tc>
          <w:tcPr>
            <w:tcW w:w="3332" w:type="dxa"/>
            <w:vAlign w:val="center"/>
          </w:tcPr>
          <w:p w:rsidR="006D3A7D" w:rsidRPr="00A12E00" w:rsidRDefault="006D3A7D" w:rsidP="0061011A">
            <w:pPr>
              <w:pStyle w:val="TableTextIndent0110pt"/>
            </w:pPr>
            <w:r>
              <w:t xml:space="preserve">A. </w:t>
            </w:r>
            <w:r w:rsidRPr="00841D91">
              <w:rPr>
                <w:rStyle w:val="Underline"/>
              </w:rPr>
              <w:t>Flare Management Plan</w:t>
            </w:r>
          </w:p>
        </w:tc>
        <w:tc>
          <w:tcPr>
            <w:tcW w:w="1604" w:type="dxa"/>
            <w:vAlign w:val="center"/>
          </w:tcPr>
          <w:p w:rsidR="006D3A7D" w:rsidRPr="00B54DC3" w:rsidRDefault="006D3A7D" w:rsidP="00AC0581">
            <w:pPr>
              <w:pStyle w:val="TableTextCenter10pt"/>
            </w:pPr>
            <w:r w:rsidRPr="00B54DC3">
              <w:t>160</w:t>
            </w:r>
          </w:p>
        </w:tc>
        <w:tc>
          <w:tcPr>
            <w:tcW w:w="1605" w:type="dxa"/>
            <w:vAlign w:val="center"/>
          </w:tcPr>
          <w:p w:rsidR="006D3A7D" w:rsidRPr="00AC0581" w:rsidRDefault="006D3A7D" w:rsidP="00AC0581">
            <w:pPr>
              <w:pStyle w:val="TableTextCenter10pt"/>
            </w:pPr>
            <w:r w:rsidRPr="006D3A7D">
              <w:t>2.89</w:t>
            </w:r>
          </w:p>
        </w:tc>
        <w:tc>
          <w:tcPr>
            <w:tcW w:w="1605" w:type="dxa"/>
            <w:vAlign w:val="center"/>
          </w:tcPr>
          <w:p w:rsidR="006D3A7D" w:rsidRPr="00AC0581" w:rsidRDefault="006D3A7D" w:rsidP="00AC0581">
            <w:pPr>
              <w:pStyle w:val="TableTextCenter10pt"/>
            </w:pPr>
            <w:r w:rsidRPr="006D3A7D">
              <w:t>463.03</w:t>
            </w:r>
          </w:p>
        </w:tc>
        <w:tc>
          <w:tcPr>
            <w:tcW w:w="1604" w:type="dxa"/>
            <w:vAlign w:val="center"/>
          </w:tcPr>
          <w:p w:rsidR="006D3A7D" w:rsidRPr="00B54DC3" w:rsidRDefault="006D3A7D" w:rsidP="00AC0581">
            <w:pPr>
              <w:pStyle w:val="TableTextCenter10pt"/>
            </w:pPr>
            <w:r w:rsidRPr="006D3A7D">
              <w:t>44</w:t>
            </w:r>
          </w:p>
        </w:tc>
        <w:tc>
          <w:tcPr>
            <w:tcW w:w="1605" w:type="dxa"/>
            <w:vAlign w:val="center"/>
          </w:tcPr>
          <w:p w:rsidR="006D3A7D" w:rsidRPr="00AC0581" w:rsidRDefault="006D3A7D" w:rsidP="00AC0581">
            <w:pPr>
              <w:pStyle w:val="TableTextCenter10pt"/>
            </w:pPr>
            <w:r w:rsidRPr="006D3A7D">
              <w:t>20,373.33</w:t>
            </w:r>
          </w:p>
        </w:tc>
        <w:tc>
          <w:tcPr>
            <w:tcW w:w="1605" w:type="dxa"/>
            <w:vAlign w:val="center"/>
          </w:tcPr>
          <w:p w:rsidR="006D3A7D" w:rsidRPr="00AC0581" w:rsidRDefault="006D3A7D" w:rsidP="00AC0581">
            <w:pPr>
              <w:pStyle w:val="TableTextCenter10pt"/>
            </w:pPr>
            <w:r w:rsidRPr="006D3A7D">
              <w:t>$1,836,075.36</w:t>
            </w:r>
          </w:p>
        </w:tc>
      </w:tr>
      <w:tr w:rsidR="006D3A7D" w:rsidRPr="00B54DC3" w:rsidTr="006D3A7D">
        <w:tc>
          <w:tcPr>
            <w:tcW w:w="3332" w:type="dxa"/>
            <w:vAlign w:val="center"/>
          </w:tcPr>
          <w:p w:rsidR="006D3A7D" w:rsidRPr="00A12E00" w:rsidRDefault="006D3A7D" w:rsidP="0061011A">
            <w:pPr>
              <w:pStyle w:val="TableTextIndent0110pt"/>
            </w:pPr>
            <w:r>
              <w:t xml:space="preserve">B. </w:t>
            </w:r>
            <w:r w:rsidRPr="00841D91">
              <w:rPr>
                <w:rStyle w:val="Underline"/>
              </w:rPr>
              <w:t>Root Cause Analysis (flow)</w:t>
            </w:r>
          </w:p>
        </w:tc>
        <w:tc>
          <w:tcPr>
            <w:tcW w:w="1604" w:type="dxa"/>
            <w:vAlign w:val="center"/>
          </w:tcPr>
          <w:p w:rsidR="006D3A7D" w:rsidRPr="00B54DC3" w:rsidRDefault="006D3A7D" w:rsidP="00AC0581">
            <w:pPr>
              <w:pStyle w:val="TableTextCenter10pt"/>
            </w:pPr>
            <w:r w:rsidRPr="00B54DC3">
              <w:t>45</w:t>
            </w:r>
          </w:p>
        </w:tc>
        <w:tc>
          <w:tcPr>
            <w:tcW w:w="1605" w:type="dxa"/>
            <w:vAlign w:val="center"/>
          </w:tcPr>
          <w:p w:rsidR="006D3A7D" w:rsidRPr="00B54DC3" w:rsidRDefault="006D3A7D" w:rsidP="00AC0581">
            <w:pPr>
              <w:pStyle w:val="TableTextCenter10pt"/>
            </w:pPr>
            <w:r w:rsidRPr="00B54DC3">
              <w:t>4</w:t>
            </w:r>
          </w:p>
        </w:tc>
        <w:tc>
          <w:tcPr>
            <w:tcW w:w="1605" w:type="dxa"/>
            <w:vAlign w:val="center"/>
          </w:tcPr>
          <w:p w:rsidR="006D3A7D" w:rsidRPr="00B54DC3" w:rsidRDefault="006D3A7D" w:rsidP="00AC0581">
            <w:pPr>
              <w:pStyle w:val="TableTextCenter10pt"/>
            </w:pPr>
            <w:r w:rsidRPr="00B54DC3">
              <w:t>180</w:t>
            </w:r>
          </w:p>
        </w:tc>
        <w:tc>
          <w:tcPr>
            <w:tcW w:w="1604" w:type="dxa"/>
            <w:vAlign w:val="center"/>
          </w:tcPr>
          <w:p w:rsidR="006D3A7D" w:rsidRPr="00B54DC3" w:rsidRDefault="006D3A7D" w:rsidP="00AC0581">
            <w:pPr>
              <w:pStyle w:val="TableTextCenter10pt"/>
            </w:pPr>
            <w:r w:rsidRPr="006D3A7D">
              <w:t>88</w:t>
            </w:r>
          </w:p>
        </w:tc>
        <w:tc>
          <w:tcPr>
            <w:tcW w:w="1605" w:type="dxa"/>
            <w:vAlign w:val="center"/>
          </w:tcPr>
          <w:p w:rsidR="006D3A7D" w:rsidRPr="00B54DC3" w:rsidRDefault="006D3A7D" w:rsidP="00AC0581">
            <w:pPr>
              <w:pStyle w:val="TableTextCenter10pt"/>
            </w:pPr>
            <w:r w:rsidRPr="006D3A7D">
              <w:t>15,840</w:t>
            </w:r>
          </w:p>
        </w:tc>
        <w:tc>
          <w:tcPr>
            <w:tcW w:w="1605" w:type="dxa"/>
            <w:vAlign w:val="center"/>
          </w:tcPr>
          <w:p w:rsidR="006D3A7D" w:rsidRPr="00B54DC3" w:rsidRDefault="006D3A7D" w:rsidP="00AC0581">
            <w:pPr>
              <w:pStyle w:val="TableTextCenter10pt"/>
            </w:pPr>
            <w:r w:rsidRPr="006D3A7D">
              <w:t>$1,427,524.56</w:t>
            </w:r>
          </w:p>
        </w:tc>
      </w:tr>
      <w:tr w:rsidR="006D3A7D" w:rsidRPr="00B54DC3" w:rsidTr="006D3A7D">
        <w:tc>
          <w:tcPr>
            <w:tcW w:w="3332" w:type="dxa"/>
            <w:vAlign w:val="center"/>
          </w:tcPr>
          <w:p w:rsidR="006D3A7D" w:rsidRPr="00A12E00" w:rsidRDefault="006D3A7D" w:rsidP="006778C1">
            <w:pPr>
              <w:pStyle w:val="TableTextIndent0110ptLast"/>
            </w:pPr>
            <w:r w:rsidRPr="006778C1">
              <w:t>C</w:t>
            </w:r>
            <w:r>
              <w:t xml:space="preserve">. </w:t>
            </w:r>
            <w:r w:rsidRPr="00841D91">
              <w:rPr>
                <w:rStyle w:val="Underline"/>
              </w:rPr>
              <w:t>Root Cause Analysis (sulfur)</w:t>
            </w:r>
          </w:p>
        </w:tc>
        <w:tc>
          <w:tcPr>
            <w:tcW w:w="1604" w:type="dxa"/>
            <w:vAlign w:val="center"/>
          </w:tcPr>
          <w:p w:rsidR="006D3A7D" w:rsidRPr="00B54DC3" w:rsidRDefault="006D3A7D" w:rsidP="00AC0581">
            <w:pPr>
              <w:pStyle w:val="TableTextCenter10pt"/>
            </w:pPr>
            <w:r w:rsidRPr="00B54DC3">
              <w:t>24</w:t>
            </w:r>
          </w:p>
        </w:tc>
        <w:tc>
          <w:tcPr>
            <w:tcW w:w="1605" w:type="dxa"/>
            <w:vAlign w:val="center"/>
          </w:tcPr>
          <w:p w:rsidR="006D3A7D" w:rsidRPr="00B54DC3" w:rsidRDefault="006D3A7D" w:rsidP="00AC0581">
            <w:pPr>
              <w:pStyle w:val="TableTextCenter10pt"/>
            </w:pPr>
            <w:r w:rsidRPr="00B54DC3">
              <w:t>3</w:t>
            </w:r>
          </w:p>
        </w:tc>
        <w:tc>
          <w:tcPr>
            <w:tcW w:w="1605" w:type="dxa"/>
            <w:vAlign w:val="center"/>
          </w:tcPr>
          <w:p w:rsidR="006D3A7D" w:rsidRPr="00B54DC3" w:rsidRDefault="006D3A7D" w:rsidP="00AC0581">
            <w:pPr>
              <w:pStyle w:val="TableTextCenter10pt"/>
            </w:pPr>
            <w:r w:rsidRPr="00B54DC3">
              <w:t>72</w:t>
            </w:r>
          </w:p>
        </w:tc>
        <w:tc>
          <w:tcPr>
            <w:tcW w:w="1604" w:type="dxa"/>
            <w:vAlign w:val="center"/>
          </w:tcPr>
          <w:p w:rsidR="006D3A7D" w:rsidRPr="00B54DC3" w:rsidRDefault="006D3A7D" w:rsidP="00AC0581">
            <w:pPr>
              <w:pStyle w:val="TableTextCenter10pt"/>
            </w:pPr>
            <w:r w:rsidRPr="006D3A7D">
              <w:t>88</w:t>
            </w:r>
          </w:p>
        </w:tc>
        <w:tc>
          <w:tcPr>
            <w:tcW w:w="1605" w:type="dxa"/>
            <w:vAlign w:val="center"/>
          </w:tcPr>
          <w:p w:rsidR="006D3A7D" w:rsidRPr="00B54DC3" w:rsidRDefault="006D3A7D" w:rsidP="00AC0581">
            <w:pPr>
              <w:pStyle w:val="TableTextCenter10pt"/>
            </w:pPr>
            <w:r w:rsidRPr="006D3A7D">
              <w:t>6,336</w:t>
            </w:r>
          </w:p>
        </w:tc>
        <w:tc>
          <w:tcPr>
            <w:tcW w:w="1605" w:type="dxa"/>
            <w:vAlign w:val="center"/>
          </w:tcPr>
          <w:p w:rsidR="006D3A7D" w:rsidRPr="00B54DC3" w:rsidRDefault="006D3A7D" w:rsidP="00AC0581">
            <w:pPr>
              <w:pStyle w:val="TableTextCenter10pt"/>
            </w:pPr>
            <w:r w:rsidRPr="006D3A7D">
              <w:t>$571,009.82</w:t>
            </w:r>
          </w:p>
        </w:tc>
      </w:tr>
      <w:tr w:rsidR="00FC6CFB" w:rsidRPr="00B54DC3" w:rsidTr="006D3A7D">
        <w:tc>
          <w:tcPr>
            <w:tcW w:w="3332" w:type="dxa"/>
            <w:vAlign w:val="center"/>
          </w:tcPr>
          <w:p w:rsidR="003311C0" w:rsidRPr="00B54DC3" w:rsidRDefault="003311C0" w:rsidP="006D3A7D">
            <w:pPr>
              <w:pStyle w:val="TableText10pt"/>
            </w:pPr>
            <w:r w:rsidRPr="00B54DC3">
              <w:t>3.</w:t>
            </w:r>
            <w:r w:rsidR="00E95A7F">
              <w:t xml:space="preserve"> </w:t>
            </w:r>
            <w:r w:rsidRPr="00B54DC3">
              <w:t>REPORTING REQUIREMENTS</w:t>
            </w:r>
          </w:p>
        </w:tc>
        <w:tc>
          <w:tcPr>
            <w:tcW w:w="1604"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c>
          <w:tcPr>
            <w:tcW w:w="1604"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r>
      <w:tr w:rsidR="006D3A7D" w:rsidRPr="00B54DC3" w:rsidTr="006D3A7D">
        <w:tc>
          <w:tcPr>
            <w:tcW w:w="3332" w:type="dxa"/>
            <w:vAlign w:val="center"/>
          </w:tcPr>
          <w:p w:rsidR="006D3A7D" w:rsidRPr="00B54DC3" w:rsidRDefault="006D3A7D" w:rsidP="0061011A">
            <w:pPr>
              <w:pStyle w:val="TableTextIndent0110pt"/>
              <w:rPr>
                <w:vertAlign w:val="superscript"/>
              </w:rPr>
            </w:pPr>
            <w:r w:rsidRPr="00B54DC3">
              <w:t xml:space="preserve">A. </w:t>
            </w:r>
            <w:r w:rsidRPr="00B54DC3">
              <w:rPr>
                <w:rStyle w:val="Underline"/>
              </w:rPr>
              <w:t>Read Instructions</w:t>
            </w:r>
          </w:p>
        </w:tc>
        <w:tc>
          <w:tcPr>
            <w:tcW w:w="1604" w:type="dxa"/>
            <w:vAlign w:val="center"/>
          </w:tcPr>
          <w:p w:rsidR="006D3A7D" w:rsidRPr="00B54DC3" w:rsidRDefault="006D3A7D" w:rsidP="00AC0581">
            <w:pPr>
              <w:pStyle w:val="TableTextCenter10pt"/>
            </w:pPr>
            <w:r w:rsidRPr="00B54DC3">
              <w:t>1</w:t>
            </w:r>
          </w:p>
        </w:tc>
        <w:tc>
          <w:tcPr>
            <w:tcW w:w="1605" w:type="dxa"/>
            <w:vAlign w:val="center"/>
          </w:tcPr>
          <w:p w:rsidR="006D3A7D" w:rsidRPr="00B54DC3" w:rsidRDefault="006D3A7D" w:rsidP="00AC0581">
            <w:pPr>
              <w:pStyle w:val="TableTextCenter10pt"/>
            </w:pPr>
            <w:r w:rsidRPr="00B54DC3">
              <w:t>1</w:t>
            </w:r>
          </w:p>
        </w:tc>
        <w:tc>
          <w:tcPr>
            <w:tcW w:w="1605" w:type="dxa"/>
            <w:vAlign w:val="center"/>
          </w:tcPr>
          <w:p w:rsidR="006D3A7D" w:rsidRPr="00B54DC3" w:rsidRDefault="006D3A7D" w:rsidP="00AC0581">
            <w:pPr>
              <w:pStyle w:val="TableTextCenter10pt"/>
            </w:pPr>
            <w:r w:rsidRPr="00B54DC3">
              <w:t>1</w:t>
            </w:r>
          </w:p>
        </w:tc>
        <w:tc>
          <w:tcPr>
            <w:tcW w:w="1604" w:type="dxa"/>
            <w:vAlign w:val="center"/>
          </w:tcPr>
          <w:p w:rsidR="006D3A7D" w:rsidRPr="00B54DC3" w:rsidRDefault="006D3A7D" w:rsidP="00AC0581">
            <w:pPr>
              <w:pStyle w:val="TableTextCenter10pt"/>
            </w:pPr>
            <w:r w:rsidRPr="006D3A7D">
              <w:t>44</w:t>
            </w:r>
          </w:p>
        </w:tc>
        <w:tc>
          <w:tcPr>
            <w:tcW w:w="1605" w:type="dxa"/>
            <w:vAlign w:val="center"/>
          </w:tcPr>
          <w:p w:rsidR="006D3A7D" w:rsidRPr="00B54DC3" w:rsidRDefault="006D3A7D" w:rsidP="00AC0581">
            <w:pPr>
              <w:pStyle w:val="TableTextCenter10pt"/>
            </w:pPr>
            <w:r w:rsidRPr="006D3A7D">
              <w:t>44</w:t>
            </w:r>
          </w:p>
        </w:tc>
        <w:tc>
          <w:tcPr>
            <w:tcW w:w="1605" w:type="dxa"/>
            <w:vAlign w:val="center"/>
          </w:tcPr>
          <w:p w:rsidR="006D3A7D" w:rsidRPr="00B54DC3" w:rsidRDefault="006D3A7D" w:rsidP="00AC0581">
            <w:pPr>
              <w:pStyle w:val="TableTextCenter10pt"/>
            </w:pPr>
            <w:r w:rsidRPr="006D3A7D">
              <w:t>$3,965.35</w:t>
            </w:r>
          </w:p>
        </w:tc>
      </w:tr>
      <w:tr w:rsidR="00FC6CFB" w:rsidRPr="00B54DC3" w:rsidTr="006D3A7D">
        <w:tc>
          <w:tcPr>
            <w:tcW w:w="3332" w:type="dxa"/>
            <w:vAlign w:val="center"/>
          </w:tcPr>
          <w:p w:rsidR="003311C0" w:rsidRPr="00B54DC3" w:rsidRDefault="003311C0" w:rsidP="0061011A">
            <w:pPr>
              <w:pStyle w:val="TableTextIndent0110pt"/>
            </w:pPr>
            <w:r w:rsidRPr="00B54DC3">
              <w:t xml:space="preserve">B. </w:t>
            </w:r>
            <w:r w:rsidRPr="00311A67">
              <w:rPr>
                <w:rStyle w:val="Underline"/>
              </w:rPr>
              <w:t>Required Activities</w:t>
            </w:r>
            <w:r w:rsidRPr="00B54DC3">
              <w:t xml:space="preserve"> </w:t>
            </w:r>
          </w:p>
        </w:tc>
        <w:tc>
          <w:tcPr>
            <w:tcW w:w="1604"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c>
          <w:tcPr>
            <w:tcW w:w="1604"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c>
          <w:tcPr>
            <w:tcW w:w="1605" w:type="dxa"/>
            <w:vAlign w:val="center"/>
          </w:tcPr>
          <w:p w:rsidR="003311C0" w:rsidRPr="00B54DC3" w:rsidRDefault="003311C0" w:rsidP="00AC0581">
            <w:pPr>
              <w:pStyle w:val="TableTextCenter10pt"/>
            </w:pPr>
          </w:p>
        </w:tc>
      </w:tr>
      <w:tr w:rsidR="006D3A7D" w:rsidRPr="00B54DC3" w:rsidTr="006D3A7D">
        <w:tc>
          <w:tcPr>
            <w:tcW w:w="3332" w:type="dxa"/>
            <w:vAlign w:val="center"/>
          </w:tcPr>
          <w:p w:rsidR="006D3A7D" w:rsidRPr="00A12E00" w:rsidRDefault="006D3A7D" w:rsidP="0061011A">
            <w:pPr>
              <w:pStyle w:val="TableTextIndent0310pt"/>
            </w:pPr>
            <w:r w:rsidRPr="00A12E00">
              <w:t>Initial Relative Accuracy Test</w:t>
            </w:r>
            <w:r w:rsidR="00CA6954">
              <w:rPr>
                <w:rStyle w:val="Superscript"/>
              </w:rPr>
              <w:t>d</w:t>
            </w:r>
          </w:p>
        </w:tc>
        <w:tc>
          <w:tcPr>
            <w:tcW w:w="1604" w:type="dxa"/>
            <w:vAlign w:val="center"/>
          </w:tcPr>
          <w:p w:rsidR="006D3A7D" w:rsidRPr="00B54DC3" w:rsidRDefault="006D3A7D" w:rsidP="00AC0581">
            <w:pPr>
              <w:pStyle w:val="TableTextCenter10pt"/>
            </w:pPr>
            <w:r w:rsidRPr="00B54DC3">
              <w:t>24</w:t>
            </w:r>
          </w:p>
        </w:tc>
        <w:tc>
          <w:tcPr>
            <w:tcW w:w="1605" w:type="dxa"/>
            <w:vAlign w:val="center"/>
          </w:tcPr>
          <w:p w:rsidR="006D3A7D" w:rsidRPr="00AC0581" w:rsidRDefault="006D3A7D" w:rsidP="00AC0581">
            <w:pPr>
              <w:pStyle w:val="TableTextCenter10pt"/>
            </w:pPr>
            <w:r w:rsidRPr="006D3A7D">
              <w:t>3.97</w:t>
            </w:r>
          </w:p>
        </w:tc>
        <w:tc>
          <w:tcPr>
            <w:tcW w:w="1605" w:type="dxa"/>
            <w:vAlign w:val="center"/>
          </w:tcPr>
          <w:p w:rsidR="006D3A7D" w:rsidRPr="00B54DC3" w:rsidRDefault="006D3A7D" w:rsidP="00AC0581">
            <w:pPr>
              <w:pStyle w:val="TableTextCenter10pt"/>
            </w:pPr>
            <w:r w:rsidRPr="006D3A7D">
              <w:t>95.27</w:t>
            </w:r>
          </w:p>
        </w:tc>
        <w:tc>
          <w:tcPr>
            <w:tcW w:w="1604" w:type="dxa"/>
            <w:vAlign w:val="center"/>
          </w:tcPr>
          <w:p w:rsidR="006D3A7D" w:rsidRPr="00B54DC3" w:rsidRDefault="006D3A7D" w:rsidP="00AC0581">
            <w:pPr>
              <w:pStyle w:val="TableTextCenter10pt"/>
            </w:pPr>
            <w:r w:rsidRPr="006D3A7D">
              <w:t>44</w:t>
            </w:r>
          </w:p>
        </w:tc>
        <w:tc>
          <w:tcPr>
            <w:tcW w:w="1605" w:type="dxa"/>
            <w:vAlign w:val="center"/>
          </w:tcPr>
          <w:p w:rsidR="006D3A7D" w:rsidRPr="00A12E00" w:rsidRDefault="006D3A7D" w:rsidP="00AC0581">
            <w:pPr>
              <w:pStyle w:val="TableTextCenter10pt"/>
            </w:pPr>
            <w:r w:rsidRPr="006D3A7D">
              <w:t>209.6</w:t>
            </w:r>
            <w:r w:rsidR="00CA6954">
              <w:rPr>
                <w:rStyle w:val="Superscript"/>
              </w:rPr>
              <w:t>e</w:t>
            </w:r>
          </w:p>
        </w:tc>
        <w:tc>
          <w:tcPr>
            <w:tcW w:w="1605" w:type="dxa"/>
            <w:vAlign w:val="center"/>
          </w:tcPr>
          <w:p w:rsidR="006D3A7D" w:rsidRPr="00AC0581" w:rsidRDefault="006D3A7D" w:rsidP="00AC0581">
            <w:pPr>
              <w:pStyle w:val="TableTextCenter10pt"/>
            </w:pPr>
            <w:r w:rsidRPr="006D3A7D">
              <w:t>$18,889.47</w:t>
            </w:r>
          </w:p>
        </w:tc>
      </w:tr>
      <w:tr w:rsidR="006D3A7D" w:rsidRPr="00B54DC3" w:rsidTr="006D3A7D">
        <w:tc>
          <w:tcPr>
            <w:tcW w:w="3332" w:type="dxa"/>
            <w:vAlign w:val="center"/>
          </w:tcPr>
          <w:p w:rsidR="006D3A7D" w:rsidRPr="00A12E00" w:rsidRDefault="006D3A7D" w:rsidP="006778C1">
            <w:pPr>
              <w:pStyle w:val="TableTextIndent0310ptLast"/>
            </w:pPr>
            <w:r w:rsidRPr="006778C1">
              <w:t>CMS</w:t>
            </w:r>
            <w:r w:rsidRPr="00A12E00">
              <w:t xml:space="preserve"> Audits (RAA or CGA)</w:t>
            </w:r>
            <w:r w:rsidR="00CA6954">
              <w:rPr>
                <w:rStyle w:val="Superscript"/>
              </w:rPr>
              <w:t>d</w:t>
            </w:r>
          </w:p>
        </w:tc>
        <w:tc>
          <w:tcPr>
            <w:tcW w:w="1604" w:type="dxa"/>
            <w:vAlign w:val="center"/>
          </w:tcPr>
          <w:p w:rsidR="006D3A7D" w:rsidRPr="00B54DC3" w:rsidRDefault="006D3A7D" w:rsidP="00AC0581">
            <w:pPr>
              <w:pStyle w:val="TableTextCenter10pt"/>
            </w:pPr>
            <w:r w:rsidRPr="00B54DC3">
              <w:t>36</w:t>
            </w:r>
          </w:p>
        </w:tc>
        <w:tc>
          <w:tcPr>
            <w:tcW w:w="1605" w:type="dxa"/>
            <w:vAlign w:val="center"/>
          </w:tcPr>
          <w:p w:rsidR="006D3A7D" w:rsidRPr="00B54DC3" w:rsidRDefault="006D3A7D" w:rsidP="00AC0581">
            <w:pPr>
              <w:pStyle w:val="TableTextCenter10pt"/>
            </w:pPr>
            <w:r w:rsidRPr="006D3A7D">
              <w:t>3.97</w:t>
            </w:r>
          </w:p>
        </w:tc>
        <w:tc>
          <w:tcPr>
            <w:tcW w:w="1605" w:type="dxa"/>
            <w:vAlign w:val="center"/>
          </w:tcPr>
          <w:p w:rsidR="006D3A7D" w:rsidRPr="00B54DC3" w:rsidRDefault="006D3A7D" w:rsidP="00AC0581">
            <w:pPr>
              <w:pStyle w:val="TableTextCenter10pt"/>
            </w:pPr>
            <w:r w:rsidRPr="006D3A7D">
              <w:t>142.91</w:t>
            </w:r>
          </w:p>
        </w:tc>
        <w:tc>
          <w:tcPr>
            <w:tcW w:w="1604" w:type="dxa"/>
            <w:vAlign w:val="center"/>
          </w:tcPr>
          <w:p w:rsidR="006D3A7D" w:rsidRPr="00B54DC3" w:rsidRDefault="006D3A7D" w:rsidP="00AC0581">
            <w:pPr>
              <w:pStyle w:val="TableTextCenter10pt"/>
            </w:pPr>
            <w:r w:rsidRPr="006D3A7D">
              <w:t>44</w:t>
            </w:r>
          </w:p>
        </w:tc>
        <w:tc>
          <w:tcPr>
            <w:tcW w:w="1605" w:type="dxa"/>
            <w:vAlign w:val="center"/>
          </w:tcPr>
          <w:p w:rsidR="006D3A7D" w:rsidRPr="00A12E00" w:rsidRDefault="006D3A7D" w:rsidP="00AC0581">
            <w:pPr>
              <w:pStyle w:val="TableTextCenter10pt"/>
            </w:pPr>
            <w:r w:rsidRPr="006D3A7D">
              <w:t>314.4</w:t>
            </w:r>
            <w:r w:rsidR="00CA6954">
              <w:rPr>
                <w:rStyle w:val="Superscript"/>
              </w:rPr>
              <w:t>e</w:t>
            </w:r>
          </w:p>
        </w:tc>
        <w:tc>
          <w:tcPr>
            <w:tcW w:w="1605" w:type="dxa"/>
            <w:vAlign w:val="center"/>
          </w:tcPr>
          <w:p w:rsidR="006D3A7D" w:rsidRPr="00AC0581" w:rsidRDefault="006D3A7D" w:rsidP="00AC0581">
            <w:pPr>
              <w:pStyle w:val="TableTextCenter10pt"/>
            </w:pPr>
            <w:r w:rsidRPr="006D3A7D">
              <w:t>$28,334.20</w:t>
            </w:r>
          </w:p>
        </w:tc>
      </w:tr>
      <w:tr w:rsidR="00FC6CFB" w:rsidRPr="00B54DC3" w:rsidTr="006D3A7D">
        <w:tc>
          <w:tcPr>
            <w:tcW w:w="3332" w:type="dxa"/>
            <w:vAlign w:val="center"/>
          </w:tcPr>
          <w:p w:rsidR="00311A67" w:rsidRPr="00B54DC3" w:rsidRDefault="00311A67" w:rsidP="0061011A">
            <w:pPr>
              <w:pStyle w:val="TableTextIndent0110pt"/>
            </w:pPr>
            <w:r w:rsidRPr="00B54DC3">
              <w:t xml:space="preserve">C. </w:t>
            </w:r>
            <w:r w:rsidRPr="00B54DC3">
              <w:rPr>
                <w:rStyle w:val="Underline"/>
              </w:rPr>
              <w:t>Create Information</w:t>
            </w:r>
          </w:p>
        </w:tc>
        <w:tc>
          <w:tcPr>
            <w:tcW w:w="1604" w:type="dxa"/>
            <w:vAlign w:val="center"/>
          </w:tcPr>
          <w:p w:rsidR="00311A67" w:rsidRPr="00B54DC3" w:rsidRDefault="00311A67" w:rsidP="00AC0581">
            <w:pPr>
              <w:pStyle w:val="TableTextCenter10pt"/>
            </w:pPr>
            <w:r w:rsidRPr="00B54DC3">
              <w:t>Included in 3B</w:t>
            </w:r>
          </w:p>
        </w:tc>
        <w:tc>
          <w:tcPr>
            <w:tcW w:w="1605" w:type="dxa"/>
            <w:vAlign w:val="center"/>
          </w:tcPr>
          <w:p w:rsidR="00311A67" w:rsidRPr="00B54DC3" w:rsidRDefault="00311A67" w:rsidP="00AC0581">
            <w:pPr>
              <w:pStyle w:val="TableTextCenter10pt"/>
            </w:pPr>
          </w:p>
        </w:tc>
        <w:tc>
          <w:tcPr>
            <w:tcW w:w="1605" w:type="dxa"/>
            <w:vAlign w:val="center"/>
          </w:tcPr>
          <w:p w:rsidR="00311A67" w:rsidRPr="00B54DC3" w:rsidRDefault="00311A67" w:rsidP="00AC0581">
            <w:pPr>
              <w:pStyle w:val="TableTextCenter10pt"/>
            </w:pPr>
          </w:p>
        </w:tc>
        <w:tc>
          <w:tcPr>
            <w:tcW w:w="1604" w:type="dxa"/>
            <w:vAlign w:val="center"/>
          </w:tcPr>
          <w:p w:rsidR="00311A67" w:rsidRPr="00B54DC3" w:rsidRDefault="00311A67" w:rsidP="00AC0581">
            <w:pPr>
              <w:pStyle w:val="TableTextCenter10pt"/>
            </w:pPr>
          </w:p>
        </w:tc>
        <w:tc>
          <w:tcPr>
            <w:tcW w:w="1605" w:type="dxa"/>
            <w:vAlign w:val="center"/>
          </w:tcPr>
          <w:p w:rsidR="00311A67" w:rsidRPr="00B54DC3" w:rsidRDefault="00311A67" w:rsidP="00AC0581">
            <w:pPr>
              <w:pStyle w:val="TableTextCenter10pt"/>
            </w:pPr>
          </w:p>
        </w:tc>
        <w:tc>
          <w:tcPr>
            <w:tcW w:w="1605" w:type="dxa"/>
            <w:vAlign w:val="center"/>
          </w:tcPr>
          <w:p w:rsidR="00311A67" w:rsidRPr="00B54DC3" w:rsidRDefault="00311A67" w:rsidP="00AC0581">
            <w:pPr>
              <w:pStyle w:val="TableTextCenter10pt"/>
            </w:pPr>
          </w:p>
        </w:tc>
      </w:tr>
      <w:tr w:rsidR="00FC6CFB" w:rsidRPr="00B54DC3" w:rsidTr="006D3A7D">
        <w:tc>
          <w:tcPr>
            <w:tcW w:w="3332" w:type="dxa"/>
            <w:vAlign w:val="center"/>
          </w:tcPr>
          <w:p w:rsidR="00311A67" w:rsidRPr="00B54DC3" w:rsidRDefault="00311A67" w:rsidP="0061011A">
            <w:pPr>
              <w:pStyle w:val="TableTextIndent0110pt"/>
            </w:pPr>
            <w:r w:rsidRPr="00B54DC3">
              <w:t xml:space="preserve">D. </w:t>
            </w:r>
            <w:r w:rsidRPr="00B54DC3">
              <w:rPr>
                <w:rStyle w:val="Underline"/>
              </w:rPr>
              <w:t>Gather Existing Information</w:t>
            </w:r>
          </w:p>
        </w:tc>
        <w:tc>
          <w:tcPr>
            <w:tcW w:w="1604" w:type="dxa"/>
            <w:vAlign w:val="center"/>
          </w:tcPr>
          <w:p w:rsidR="00311A67" w:rsidRPr="00B54DC3" w:rsidRDefault="00311A67" w:rsidP="00AC0581">
            <w:pPr>
              <w:pStyle w:val="TableTextCenter10pt"/>
            </w:pPr>
            <w:r w:rsidRPr="00B54DC3">
              <w:t>Included in 3E</w:t>
            </w:r>
          </w:p>
        </w:tc>
        <w:tc>
          <w:tcPr>
            <w:tcW w:w="1605" w:type="dxa"/>
            <w:vAlign w:val="center"/>
          </w:tcPr>
          <w:p w:rsidR="00311A67" w:rsidRPr="00B54DC3" w:rsidRDefault="00311A67" w:rsidP="00AC0581">
            <w:pPr>
              <w:pStyle w:val="TableTextCenter10pt"/>
            </w:pPr>
          </w:p>
        </w:tc>
        <w:tc>
          <w:tcPr>
            <w:tcW w:w="1605" w:type="dxa"/>
            <w:vAlign w:val="center"/>
          </w:tcPr>
          <w:p w:rsidR="00311A67" w:rsidRPr="00B54DC3" w:rsidRDefault="00311A67" w:rsidP="00AC0581">
            <w:pPr>
              <w:pStyle w:val="TableTextCenter10pt"/>
            </w:pPr>
          </w:p>
        </w:tc>
        <w:tc>
          <w:tcPr>
            <w:tcW w:w="1604" w:type="dxa"/>
            <w:vAlign w:val="center"/>
          </w:tcPr>
          <w:p w:rsidR="00311A67" w:rsidRPr="00B54DC3" w:rsidRDefault="00311A67" w:rsidP="00AC0581">
            <w:pPr>
              <w:pStyle w:val="TableTextCenter10pt"/>
            </w:pPr>
          </w:p>
        </w:tc>
        <w:tc>
          <w:tcPr>
            <w:tcW w:w="1605" w:type="dxa"/>
            <w:vAlign w:val="center"/>
          </w:tcPr>
          <w:p w:rsidR="00311A67" w:rsidRPr="00B54DC3" w:rsidRDefault="00311A67" w:rsidP="00AC0581">
            <w:pPr>
              <w:pStyle w:val="TableTextCenter10pt"/>
            </w:pPr>
          </w:p>
        </w:tc>
        <w:tc>
          <w:tcPr>
            <w:tcW w:w="1605" w:type="dxa"/>
            <w:vAlign w:val="center"/>
          </w:tcPr>
          <w:p w:rsidR="00311A67" w:rsidRPr="00B54DC3" w:rsidRDefault="00311A67" w:rsidP="00AC0581">
            <w:pPr>
              <w:pStyle w:val="TableTextCenter10pt"/>
            </w:pPr>
          </w:p>
        </w:tc>
      </w:tr>
      <w:tr w:rsidR="00FC6CFB" w:rsidRPr="00B54DC3" w:rsidTr="006D3A7D">
        <w:tc>
          <w:tcPr>
            <w:tcW w:w="3332" w:type="dxa"/>
            <w:vAlign w:val="center"/>
          </w:tcPr>
          <w:p w:rsidR="00311A67" w:rsidRPr="00B54DC3" w:rsidRDefault="00311A67" w:rsidP="006778C1">
            <w:pPr>
              <w:pStyle w:val="TableTextIndent0110pt"/>
            </w:pPr>
            <w:r w:rsidRPr="00B54DC3">
              <w:t xml:space="preserve">E. </w:t>
            </w:r>
            <w:r w:rsidRPr="00B54DC3">
              <w:rPr>
                <w:rStyle w:val="Underline"/>
              </w:rPr>
              <w:t>Write Report</w:t>
            </w: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r>
      <w:tr w:rsidR="000204E8" w:rsidRPr="00B54DC3" w:rsidTr="006D3A7D">
        <w:tc>
          <w:tcPr>
            <w:tcW w:w="3332" w:type="dxa"/>
            <w:vAlign w:val="center"/>
          </w:tcPr>
          <w:p w:rsidR="000204E8" w:rsidRPr="00B54DC3" w:rsidRDefault="000204E8" w:rsidP="0061011A">
            <w:pPr>
              <w:pStyle w:val="TableTextIndent0310pt"/>
            </w:pPr>
            <w:r w:rsidRPr="00B54DC3">
              <w:t>Notification of construction, reconstruction, or modification</w:t>
            </w:r>
          </w:p>
        </w:tc>
        <w:tc>
          <w:tcPr>
            <w:tcW w:w="1604" w:type="dxa"/>
            <w:vAlign w:val="center"/>
          </w:tcPr>
          <w:p w:rsidR="000204E8" w:rsidRPr="00B54DC3" w:rsidRDefault="000204E8" w:rsidP="0061011A">
            <w:pPr>
              <w:pStyle w:val="TableTextCenter10pt"/>
            </w:pPr>
            <w:r w:rsidRPr="00B54DC3">
              <w:t>2</w:t>
            </w:r>
          </w:p>
        </w:tc>
        <w:tc>
          <w:tcPr>
            <w:tcW w:w="1605" w:type="dxa"/>
            <w:vAlign w:val="center"/>
          </w:tcPr>
          <w:p w:rsidR="000204E8" w:rsidRPr="00FC6CFB" w:rsidRDefault="000204E8" w:rsidP="00FC6CFB">
            <w:pPr>
              <w:pStyle w:val="TableTextCenter10pt"/>
            </w:pPr>
            <w:r w:rsidRPr="006D3A7D">
              <w:t>2.89</w:t>
            </w:r>
          </w:p>
        </w:tc>
        <w:tc>
          <w:tcPr>
            <w:tcW w:w="1605" w:type="dxa"/>
            <w:vAlign w:val="center"/>
          </w:tcPr>
          <w:p w:rsidR="000204E8" w:rsidRPr="00FC6CFB" w:rsidRDefault="000204E8" w:rsidP="00FC6CFB">
            <w:pPr>
              <w:pStyle w:val="TableTextCenter10pt"/>
            </w:pPr>
            <w:r w:rsidRPr="006D3A7D">
              <w:t>5.79</w:t>
            </w:r>
          </w:p>
        </w:tc>
        <w:tc>
          <w:tcPr>
            <w:tcW w:w="1604" w:type="dxa"/>
            <w:vAlign w:val="center"/>
          </w:tcPr>
          <w:p w:rsidR="000204E8" w:rsidRPr="00B54DC3" w:rsidRDefault="000204E8" w:rsidP="0061011A">
            <w:pPr>
              <w:pStyle w:val="TableTextCenter10pt"/>
            </w:pPr>
            <w:r w:rsidRPr="006D3A7D">
              <w:t>44</w:t>
            </w:r>
          </w:p>
        </w:tc>
        <w:tc>
          <w:tcPr>
            <w:tcW w:w="1605" w:type="dxa"/>
            <w:vAlign w:val="center"/>
          </w:tcPr>
          <w:p w:rsidR="000204E8" w:rsidRPr="00FC6CFB" w:rsidRDefault="000204E8" w:rsidP="00FC6CFB">
            <w:pPr>
              <w:pStyle w:val="TableTextCenter10pt"/>
            </w:pPr>
            <w:r w:rsidRPr="006D3A7D">
              <w:t>254.67</w:t>
            </w:r>
          </w:p>
        </w:tc>
        <w:tc>
          <w:tcPr>
            <w:tcW w:w="1605" w:type="dxa"/>
            <w:vAlign w:val="center"/>
          </w:tcPr>
          <w:p w:rsidR="000204E8" w:rsidRPr="00FC6CFB" w:rsidRDefault="000204E8" w:rsidP="00FC6CFB">
            <w:pPr>
              <w:pStyle w:val="TableTextCenter10pt"/>
            </w:pPr>
            <w:r w:rsidRPr="006D3A7D">
              <w:t>$22,950.94</w:t>
            </w:r>
          </w:p>
        </w:tc>
      </w:tr>
      <w:tr w:rsidR="000204E8" w:rsidRPr="00B54DC3" w:rsidTr="006D3A7D">
        <w:tc>
          <w:tcPr>
            <w:tcW w:w="3332" w:type="dxa"/>
            <w:vAlign w:val="center"/>
          </w:tcPr>
          <w:p w:rsidR="000204E8" w:rsidRPr="00B54DC3" w:rsidRDefault="000204E8" w:rsidP="0061011A">
            <w:pPr>
              <w:pStyle w:val="TableTextIndent0310pt"/>
            </w:pPr>
            <w:r w:rsidRPr="00B54DC3">
              <w:t>Notification of anticipated startup</w:t>
            </w:r>
          </w:p>
        </w:tc>
        <w:tc>
          <w:tcPr>
            <w:tcW w:w="1604" w:type="dxa"/>
            <w:vAlign w:val="center"/>
          </w:tcPr>
          <w:p w:rsidR="000204E8" w:rsidRPr="00B54DC3" w:rsidRDefault="000204E8" w:rsidP="0061011A">
            <w:pPr>
              <w:pStyle w:val="TableTextCenter10pt"/>
            </w:pPr>
            <w:r w:rsidRPr="00B54DC3">
              <w:t>2</w:t>
            </w:r>
          </w:p>
        </w:tc>
        <w:tc>
          <w:tcPr>
            <w:tcW w:w="1605" w:type="dxa"/>
            <w:vAlign w:val="center"/>
          </w:tcPr>
          <w:p w:rsidR="000204E8" w:rsidRPr="00FC6CFB" w:rsidRDefault="000204E8" w:rsidP="00FC6CFB">
            <w:pPr>
              <w:pStyle w:val="TableTextCenter10pt"/>
            </w:pPr>
            <w:r w:rsidRPr="006D3A7D">
              <w:t>2.89</w:t>
            </w:r>
          </w:p>
        </w:tc>
        <w:tc>
          <w:tcPr>
            <w:tcW w:w="1605" w:type="dxa"/>
            <w:vAlign w:val="center"/>
          </w:tcPr>
          <w:p w:rsidR="000204E8" w:rsidRPr="00FC6CFB" w:rsidRDefault="000204E8" w:rsidP="00FC6CFB">
            <w:pPr>
              <w:pStyle w:val="TableTextCenter10pt"/>
            </w:pPr>
            <w:r w:rsidRPr="006D3A7D">
              <w:t>5.79</w:t>
            </w:r>
          </w:p>
        </w:tc>
        <w:tc>
          <w:tcPr>
            <w:tcW w:w="1604" w:type="dxa"/>
            <w:vAlign w:val="center"/>
          </w:tcPr>
          <w:p w:rsidR="000204E8" w:rsidRPr="00B54DC3" w:rsidRDefault="000204E8" w:rsidP="0061011A">
            <w:pPr>
              <w:pStyle w:val="TableTextCenter10pt"/>
            </w:pPr>
            <w:r w:rsidRPr="006D3A7D">
              <w:t>44</w:t>
            </w:r>
          </w:p>
        </w:tc>
        <w:tc>
          <w:tcPr>
            <w:tcW w:w="1605" w:type="dxa"/>
            <w:vAlign w:val="center"/>
          </w:tcPr>
          <w:p w:rsidR="000204E8" w:rsidRPr="00FC6CFB" w:rsidRDefault="000204E8" w:rsidP="00FC6CFB">
            <w:pPr>
              <w:pStyle w:val="TableTextCenter10pt"/>
            </w:pPr>
            <w:r w:rsidRPr="006D3A7D">
              <w:t>254.67</w:t>
            </w:r>
          </w:p>
        </w:tc>
        <w:tc>
          <w:tcPr>
            <w:tcW w:w="1605" w:type="dxa"/>
            <w:vAlign w:val="center"/>
          </w:tcPr>
          <w:p w:rsidR="000204E8" w:rsidRPr="00FC6CFB" w:rsidRDefault="000204E8" w:rsidP="00FC6CFB">
            <w:pPr>
              <w:pStyle w:val="TableTextCenter10pt"/>
            </w:pPr>
            <w:r w:rsidRPr="006D3A7D">
              <w:t>$22,950.94</w:t>
            </w:r>
          </w:p>
        </w:tc>
      </w:tr>
      <w:tr w:rsidR="000204E8" w:rsidRPr="00B54DC3" w:rsidTr="006D3A7D">
        <w:tc>
          <w:tcPr>
            <w:tcW w:w="3332" w:type="dxa"/>
            <w:vAlign w:val="center"/>
          </w:tcPr>
          <w:p w:rsidR="000204E8" w:rsidRPr="00B54DC3" w:rsidRDefault="000204E8" w:rsidP="0061011A">
            <w:pPr>
              <w:pStyle w:val="TableTextIndent0310pt"/>
            </w:pPr>
            <w:r w:rsidRPr="00B54DC3">
              <w:t>Notification of actual startup</w:t>
            </w:r>
          </w:p>
        </w:tc>
        <w:tc>
          <w:tcPr>
            <w:tcW w:w="1604" w:type="dxa"/>
            <w:vAlign w:val="center"/>
          </w:tcPr>
          <w:p w:rsidR="000204E8" w:rsidRPr="00B54DC3" w:rsidRDefault="000204E8" w:rsidP="0061011A">
            <w:pPr>
              <w:pStyle w:val="TableTextCenter10pt"/>
            </w:pPr>
            <w:r w:rsidRPr="00B54DC3">
              <w:t>2</w:t>
            </w:r>
          </w:p>
        </w:tc>
        <w:tc>
          <w:tcPr>
            <w:tcW w:w="1605" w:type="dxa"/>
            <w:vAlign w:val="center"/>
          </w:tcPr>
          <w:p w:rsidR="000204E8" w:rsidRPr="00FC6CFB" w:rsidRDefault="000204E8" w:rsidP="00FC6CFB">
            <w:pPr>
              <w:pStyle w:val="TableTextCenter10pt"/>
            </w:pPr>
            <w:r w:rsidRPr="006D3A7D">
              <w:t>2.89</w:t>
            </w:r>
          </w:p>
        </w:tc>
        <w:tc>
          <w:tcPr>
            <w:tcW w:w="1605" w:type="dxa"/>
            <w:vAlign w:val="center"/>
          </w:tcPr>
          <w:p w:rsidR="000204E8" w:rsidRPr="00FC6CFB" w:rsidRDefault="000204E8" w:rsidP="00FC6CFB">
            <w:pPr>
              <w:pStyle w:val="TableTextCenter10pt"/>
            </w:pPr>
            <w:r w:rsidRPr="006D3A7D">
              <w:t>5.79</w:t>
            </w:r>
          </w:p>
        </w:tc>
        <w:tc>
          <w:tcPr>
            <w:tcW w:w="1604" w:type="dxa"/>
            <w:vAlign w:val="center"/>
          </w:tcPr>
          <w:p w:rsidR="000204E8" w:rsidRPr="00B54DC3" w:rsidRDefault="000204E8" w:rsidP="0061011A">
            <w:pPr>
              <w:pStyle w:val="TableTextCenter10pt"/>
            </w:pPr>
            <w:r w:rsidRPr="006D3A7D">
              <w:t>44</w:t>
            </w:r>
          </w:p>
        </w:tc>
        <w:tc>
          <w:tcPr>
            <w:tcW w:w="1605" w:type="dxa"/>
            <w:vAlign w:val="center"/>
          </w:tcPr>
          <w:p w:rsidR="000204E8" w:rsidRPr="00FC6CFB" w:rsidRDefault="000204E8" w:rsidP="00FC6CFB">
            <w:pPr>
              <w:pStyle w:val="TableTextCenter10pt"/>
            </w:pPr>
            <w:r w:rsidRPr="006D3A7D">
              <w:t>254.67</w:t>
            </w:r>
          </w:p>
        </w:tc>
        <w:tc>
          <w:tcPr>
            <w:tcW w:w="1605" w:type="dxa"/>
            <w:vAlign w:val="center"/>
          </w:tcPr>
          <w:p w:rsidR="000204E8" w:rsidRPr="00FC6CFB" w:rsidRDefault="000204E8" w:rsidP="00FC6CFB">
            <w:pPr>
              <w:pStyle w:val="TableTextCenter10pt"/>
            </w:pPr>
            <w:r w:rsidRPr="006D3A7D">
              <w:t>$22,950.94</w:t>
            </w:r>
          </w:p>
        </w:tc>
      </w:tr>
      <w:tr w:rsidR="000204E8" w:rsidRPr="00B54DC3" w:rsidTr="006D3A7D">
        <w:tc>
          <w:tcPr>
            <w:tcW w:w="3332" w:type="dxa"/>
            <w:vAlign w:val="center"/>
          </w:tcPr>
          <w:p w:rsidR="000204E8" w:rsidRPr="00B54DC3" w:rsidRDefault="000204E8" w:rsidP="0061011A">
            <w:pPr>
              <w:pStyle w:val="TableTextIndent0310pt"/>
            </w:pPr>
            <w:r w:rsidRPr="00B54DC3">
              <w:t>Notification of initial performance test</w:t>
            </w:r>
          </w:p>
        </w:tc>
        <w:tc>
          <w:tcPr>
            <w:tcW w:w="1604" w:type="dxa"/>
            <w:vAlign w:val="center"/>
          </w:tcPr>
          <w:p w:rsidR="000204E8" w:rsidRPr="00B54DC3" w:rsidRDefault="000204E8" w:rsidP="0061011A">
            <w:pPr>
              <w:pStyle w:val="TableTextCenter10pt"/>
            </w:pPr>
            <w:r w:rsidRPr="00B54DC3">
              <w:t>2</w:t>
            </w:r>
          </w:p>
        </w:tc>
        <w:tc>
          <w:tcPr>
            <w:tcW w:w="1605" w:type="dxa"/>
            <w:vAlign w:val="center"/>
          </w:tcPr>
          <w:p w:rsidR="000204E8" w:rsidRPr="00FC6CFB" w:rsidRDefault="000204E8" w:rsidP="00FC6CFB">
            <w:pPr>
              <w:pStyle w:val="TableTextCenter10pt"/>
            </w:pPr>
            <w:r w:rsidRPr="006D3A7D">
              <w:t>1.98</w:t>
            </w:r>
          </w:p>
        </w:tc>
        <w:tc>
          <w:tcPr>
            <w:tcW w:w="1605" w:type="dxa"/>
            <w:vAlign w:val="center"/>
          </w:tcPr>
          <w:p w:rsidR="000204E8" w:rsidRPr="00FC6CFB" w:rsidRDefault="000204E8" w:rsidP="00FC6CFB">
            <w:pPr>
              <w:pStyle w:val="TableTextCenter10pt"/>
            </w:pPr>
            <w:r w:rsidRPr="006D3A7D">
              <w:t>3.97</w:t>
            </w:r>
          </w:p>
        </w:tc>
        <w:tc>
          <w:tcPr>
            <w:tcW w:w="1604" w:type="dxa"/>
            <w:vAlign w:val="center"/>
          </w:tcPr>
          <w:p w:rsidR="000204E8" w:rsidRPr="00B54DC3" w:rsidRDefault="000204E8" w:rsidP="0061011A">
            <w:pPr>
              <w:pStyle w:val="TableTextCenter10pt"/>
            </w:pPr>
            <w:r w:rsidRPr="006D3A7D">
              <w:t>44</w:t>
            </w:r>
          </w:p>
        </w:tc>
        <w:tc>
          <w:tcPr>
            <w:tcW w:w="1605" w:type="dxa"/>
            <w:vAlign w:val="center"/>
          </w:tcPr>
          <w:p w:rsidR="000204E8" w:rsidRPr="00FC6CFB" w:rsidRDefault="000204E8" w:rsidP="00FC6CFB">
            <w:pPr>
              <w:pStyle w:val="TableTextCenter10pt"/>
            </w:pPr>
            <w:r w:rsidRPr="006D3A7D">
              <w:t>174.67</w:t>
            </w:r>
          </w:p>
        </w:tc>
        <w:tc>
          <w:tcPr>
            <w:tcW w:w="1605" w:type="dxa"/>
            <w:vAlign w:val="center"/>
          </w:tcPr>
          <w:p w:rsidR="000204E8" w:rsidRPr="00FC6CFB" w:rsidRDefault="000204E8" w:rsidP="00FC6CFB">
            <w:pPr>
              <w:pStyle w:val="TableTextCenter10pt"/>
            </w:pPr>
            <w:r w:rsidRPr="006D3A7D">
              <w:t>$15,741.22</w:t>
            </w:r>
          </w:p>
        </w:tc>
      </w:tr>
      <w:tr w:rsidR="00FC6CFB" w:rsidRPr="00B54DC3" w:rsidTr="006D3A7D">
        <w:tc>
          <w:tcPr>
            <w:tcW w:w="3332" w:type="dxa"/>
            <w:vAlign w:val="center"/>
          </w:tcPr>
          <w:p w:rsidR="00311A67" w:rsidRPr="00B54DC3" w:rsidRDefault="00311A67" w:rsidP="0061011A">
            <w:pPr>
              <w:pStyle w:val="TableTextIndent0310pt"/>
            </w:pPr>
            <w:r w:rsidRPr="00B54DC3">
              <w:t>Report of performance test</w:t>
            </w:r>
          </w:p>
        </w:tc>
        <w:tc>
          <w:tcPr>
            <w:tcW w:w="1604" w:type="dxa"/>
            <w:vAlign w:val="center"/>
          </w:tcPr>
          <w:p w:rsidR="00311A67" w:rsidRPr="00B54DC3" w:rsidRDefault="00311A67" w:rsidP="0061011A">
            <w:pPr>
              <w:pStyle w:val="TableTextCenter10pt"/>
            </w:pPr>
            <w:r w:rsidRPr="00B54DC3">
              <w:t>Included in 3B</w:t>
            </w: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r>
      <w:tr w:rsidR="000204E8" w:rsidRPr="00B54DC3" w:rsidTr="006D3A7D">
        <w:tc>
          <w:tcPr>
            <w:tcW w:w="3332" w:type="dxa"/>
            <w:vAlign w:val="center"/>
          </w:tcPr>
          <w:p w:rsidR="000204E8" w:rsidRPr="00B54DC3" w:rsidRDefault="000204E8" w:rsidP="006778C1">
            <w:pPr>
              <w:pStyle w:val="TableTextIndent0310ptLast"/>
            </w:pPr>
            <w:r w:rsidRPr="00B54DC3">
              <w:t>Semiannual Emission Reports</w:t>
            </w:r>
          </w:p>
        </w:tc>
        <w:tc>
          <w:tcPr>
            <w:tcW w:w="1604" w:type="dxa"/>
            <w:vAlign w:val="center"/>
          </w:tcPr>
          <w:p w:rsidR="000204E8" w:rsidRPr="00B54DC3" w:rsidRDefault="000204E8" w:rsidP="0061011A">
            <w:pPr>
              <w:pStyle w:val="TableTextCenter10pt"/>
            </w:pPr>
            <w:r w:rsidRPr="006D3A7D">
              <w:t>16</w:t>
            </w:r>
          </w:p>
        </w:tc>
        <w:tc>
          <w:tcPr>
            <w:tcW w:w="1605" w:type="dxa"/>
            <w:vAlign w:val="center"/>
          </w:tcPr>
          <w:p w:rsidR="000204E8" w:rsidRPr="00B54DC3" w:rsidRDefault="000204E8" w:rsidP="0061011A">
            <w:pPr>
              <w:pStyle w:val="TableTextCenter10pt"/>
            </w:pPr>
            <w:r w:rsidRPr="00B54DC3">
              <w:t>2</w:t>
            </w:r>
          </w:p>
        </w:tc>
        <w:tc>
          <w:tcPr>
            <w:tcW w:w="1605" w:type="dxa"/>
            <w:vAlign w:val="center"/>
          </w:tcPr>
          <w:p w:rsidR="000204E8" w:rsidRPr="00B54DC3" w:rsidRDefault="000204E8" w:rsidP="0061011A">
            <w:pPr>
              <w:pStyle w:val="TableTextCenter10pt"/>
            </w:pPr>
            <w:r w:rsidRPr="006D3A7D">
              <w:t>32</w:t>
            </w:r>
          </w:p>
        </w:tc>
        <w:tc>
          <w:tcPr>
            <w:tcW w:w="1604" w:type="dxa"/>
            <w:vAlign w:val="center"/>
          </w:tcPr>
          <w:p w:rsidR="000204E8" w:rsidRPr="00B54DC3" w:rsidRDefault="000204E8" w:rsidP="0061011A">
            <w:pPr>
              <w:pStyle w:val="TableTextCenter10pt"/>
            </w:pPr>
            <w:r w:rsidRPr="006D3A7D">
              <w:t>88</w:t>
            </w:r>
          </w:p>
        </w:tc>
        <w:tc>
          <w:tcPr>
            <w:tcW w:w="1605" w:type="dxa"/>
            <w:vAlign w:val="center"/>
          </w:tcPr>
          <w:p w:rsidR="000204E8" w:rsidRPr="00B54DC3" w:rsidRDefault="000204E8" w:rsidP="00FC6CFB">
            <w:pPr>
              <w:pStyle w:val="TableTextCenter10pt"/>
            </w:pPr>
            <w:r w:rsidRPr="006D3A7D">
              <w:t>2,816</w:t>
            </w:r>
          </w:p>
        </w:tc>
        <w:tc>
          <w:tcPr>
            <w:tcW w:w="1605" w:type="dxa"/>
            <w:vAlign w:val="center"/>
          </w:tcPr>
          <w:p w:rsidR="000204E8" w:rsidRPr="00FC6CFB" w:rsidRDefault="000204E8" w:rsidP="00FC6CFB">
            <w:pPr>
              <w:pStyle w:val="TableTextCenter10pt"/>
            </w:pPr>
            <w:r w:rsidRPr="006D3A7D">
              <w:t>$253,782.14</w:t>
            </w:r>
          </w:p>
        </w:tc>
      </w:tr>
      <w:tr w:rsidR="00FC6CFB" w:rsidRPr="00B54DC3" w:rsidTr="006D3A7D">
        <w:trPr>
          <w:cantSplit/>
        </w:trPr>
        <w:tc>
          <w:tcPr>
            <w:tcW w:w="3332" w:type="dxa"/>
            <w:vAlign w:val="center"/>
          </w:tcPr>
          <w:p w:rsidR="00311A67" w:rsidRPr="00B54DC3" w:rsidRDefault="00311A67" w:rsidP="006778C1">
            <w:pPr>
              <w:pStyle w:val="TableText10pt"/>
            </w:pPr>
            <w:r w:rsidRPr="00B54DC3">
              <w:lastRenderedPageBreak/>
              <w:t>4.</w:t>
            </w:r>
            <w:r w:rsidR="00E95A7F">
              <w:t xml:space="preserve"> </w:t>
            </w:r>
            <w:r w:rsidRPr="00B54DC3">
              <w:t>RECORDKEEPING REQUIREMENTS</w:t>
            </w:r>
          </w:p>
        </w:tc>
        <w:tc>
          <w:tcPr>
            <w:tcW w:w="1604" w:type="dxa"/>
            <w:vAlign w:val="center"/>
          </w:tcPr>
          <w:p w:rsidR="00311A67" w:rsidRPr="00B54DC3" w:rsidRDefault="00311A67" w:rsidP="006778C1">
            <w:pPr>
              <w:pStyle w:val="TableTextCenter10pt"/>
            </w:pPr>
          </w:p>
        </w:tc>
        <w:tc>
          <w:tcPr>
            <w:tcW w:w="1605" w:type="dxa"/>
            <w:vAlign w:val="center"/>
          </w:tcPr>
          <w:p w:rsidR="00311A67" w:rsidRPr="00B54DC3" w:rsidRDefault="00311A67" w:rsidP="006778C1">
            <w:pPr>
              <w:pStyle w:val="TableTextCenter10pt"/>
            </w:pPr>
          </w:p>
        </w:tc>
        <w:tc>
          <w:tcPr>
            <w:tcW w:w="1605" w:type="dxa"/>
            <w:vAlign w:val="center"/>
          </w:tcPr>
          <w:p w:rsidR="00311A67" w:rsidRPr="00B54DC3" w:rsidRDefault="00311A67" w:rsidP="006778C1">
            <w:pPr>
              <w:pStyle w:val="TableTextCenter10pt"/>
            </w:pPr>
          </w:p>
        </w:tc>
        <w:tc>
          <w:tcPr>
            <w:tcW w:w="1604" w:type="dxa"/>
            <w:vAlign w:val="center"/>
          </w:tcPr>
          <w:p w:rsidR="00311A67" w:rsidRPr="00B54DC3" w:rsidRDefault="00311A67" w:rsidP="006778C1">
            <w:pPr>
              <w:pStyle w:val="TableTextCenter10pt"/>
            </w:pPr>
          </w:p>
        </w:tc>
        <w:tc>
          <w:tcPr>
            <w:tcW w:w="1605" w:type="dxa"/>
            <w:vAlign w:val="center"/>
          </w:tcPr>
          <w:p w:rsidR="00311A67" w:rsidRPr="00B54DC3" w:rsidRDefault="00311A67" w:rsidP="006778C1">
            <w:pPr>
              <w:pStyle w:val="TableTextCenter10pt"/>
            </w:pPr>
          </w:p>
        </w:tc>
        <w:tc>
          <w:tcPr>
            <w:tcW w:w="1605" w:type="dxa"/>
            <w:vAlign w:val="center"/>
          </w:tcPr>
          <w:p w:rsidR="00311A67" w:rsidRPr="00B54DC3" w:rsidRDefault="00311A67" w:rsidP="006778C1">
            <w:pPr>
              <w:pStyle w:val="TableTextCenter10pt"/>
            </w:pPr>
          </w:p>
        </w:tc>
      </w:tr>
      <w:tr w:rsidR="00FC6CFB" w:rsidRPr="00B54DC3" w:rsidTr="006D3A7D">
        <w:tc>
          <w:tcPr>
            <w:tcW w:w="3332" w:type="dxa"/>
            <w:vAlign w:val="center"/>
          </w:tcPr>
          <w:p w:rsidR="00311A67" w:rsidRPr="00B54DC3" w:rsidRDefault="00311A67" w:rsidP="00605D51">
            <w:pPr>
              <w:pStyle w:val="TableTextIndent0110pt"/>
            </w:pPr>
            <w:r w:rsidRPr="00B54DC3">
              <w:t xml:space="preserve">A. </w:t>
            </w:r>
            <w:r w:rsidRPr="00B54DC3">
              <w:rPr>
                <w:rStyle w:val="Underline"/>
              </w:rPr>
              <w:t>Read Instructions</w:t>
            </w:r>
          </w:p>
        </w:tc>
        <w:tc>
          <w:tcPr>
            <w:tcW w:w="1604" w:type="dxa"/>
            <w:vAlign w:val="center"/>
          </w:tcPr>
          <w:p w:rsidR="00311A67" w:rsidRPr="00B54DC3" w:rsidRDefault="00311A67" w:rsidP="0061011A">
            <w:pPr>
              <w:pStyle w:val="TableTextCenter10pt"/>
            </w:pPr>
            <w:r w:rsidRPr="00B54DC3">
              <w:t>Included in 3A</w:t>
            </w: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r>
      <w:tr w:rsidR="00FC6CFB" w:rsidRPr="00B54DC3" w:rsidTr="006D3A7D">
        <w:tc>
          <w:tcPr>
            <w:tcW w:w="3332" w:type="dxa"/>
            <w:vAlign w:val="center"/>
          </w:tcPr>
          <w:p w:rsidR="00311A67" w:rsidRPr="00B54DC3" w:rsidRDefault="00311A67" w:rsidP="00605D51">
            <w:pPr>
              <w:pStyle w:val="TableTextIndent0110pt"/>
            </w:pPr>
            <w:r w:rsidRPr="00B54DC3">
              <w:t xml:space="preserve">B. </w:t>
            </w:r>
            <w:r w:rsidRPr="00B54DC3">
              <w:rPr>
                <w:rStyle w:val="Underline"/>
              </w:rPr>
              <w:t>Plan Activities</w:t>
            </w:r>
          </w:p>
        </w:tc>
        <w:tc>
          <w:tcPr>
            <w:tcW w:w="1604" w:type="dxa"/>
            <w:vAlign w:val="center"/>
          </w:tcPr>
          <w:p w:rsidR="00311A67" w:rsidRPr="00B54DC3" w:rsidRDefault="00311A67" w:rsidP="0061011A">
            <w:pPr>
              <w:pStyle w:val="TableTextCenter10pt"/>
            </w:pPr>
            <w:r w:rsidRPr="00B54DC3">
              <w:t>Included in 3B</w:t>
            </w: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r>
      <w:tr w:rsidR="00FC6CFB" w:rsidRPr="00B54DC3" w:rsidTr="006D3A7D">
        <w:tc>
          <w:tcPr>
            <w:tcW w:w="3332" w:type="dxa"/>
            <w:vAlign w:val="center"/>
          </w:tcPr>
          <w:p w:rsidR="00311A67" w:rsidRPr="00B54DC3" w:rsidRDefault="00311A67" w:rsidP="00605D51">
            <w:pPr>
              <w:pStyle w:val="TableTextIndent0110pt"/>
            </w:pPr>
            <w:r w:rsidRPr="00B54DC3">
              <w:t xml:space="preserve">C. </w:t>
            </w:r>
            <w:r w:rsidRPr="00B54DC3">
              <w:rPr>
                <w:rStyle w:val="Underline"/>
              </w:rPr>
              <w:t>Implement Activities</w:t>
            </w:r>
          </w:p>
        </w:tc>
        <w:tc>
          <w:tcPr>
            <w:tcW w:w="1604" w:type="dxa"/>
            <w:vAlign w:val="center"/>
          </w:tcPr>
          <w:p w:rsidR="00311A67" w:rsidRPr="00B54DC3" w:rsidRDefault="00311A67" w:rsidP="0061011A">
            <w:pPr>
              <w:pStyle w:val="TableTextCenter10pt"/>
            </w:pPr>
            <w:r w:rsidRPr="00B54DC3">
              <w:t>Included in 3B</w:t>
            </w: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r>
      <w:tr w:rsidR="00311A67" w:rsidRPr="00B54DC3" w:rsidTr="006D3A7D">
        <w:tc>
          <w:tcPr>
            <w:tcW w:w="3332" w:type="dxa"/>
            <w:vAlign w:val="center"/>
          </w:tcPr>
          <w:p w:rsidR="00311A67" w:rsidRPr="00B54DC3" w:rsidRDefault="00311A67" w:rsidP="00605D51">
            <w:pPr>
              <w:pStyle w:val="TableTextIndent0110pt"/>
            </w:pPr>
            <w:r w:rsidRPr="00B54DC3">
              <w:t xml:space="preserve">D. </w:t>
            </w:r>
            <w:r w:rsidRPr="00B54DC3">
              <w:rPr>
                <w:rStyle w:val="Underline"/>
              </w:rPr>
              <w:t>Develop Record System</w:t>
            </w:r>
          </w:p>
        </w:tc>
        <w:tc>
          <w:tcPr>
            <w:tcW w:w="9628" w:type="dxa"/>
            <w:gridSpan w:val="6"/>
            <w:vAlign w:val="center"/>
          </w:tcPr>
          <w:p w:rsidR="00311A67" w:rsidRPr="00B54DC3" w:rsidRDefault="00311A67" w:rsidP="0061011A">
            <w:pPr>
              <w:pStyle w:val="TableTextCenter10pt"/>
            </w:pPr>
            <w:r w:rsidRPr="00B54DC3">
              <w:t>_____________________________________Not Applicable_____________________________________</w:t>
            </w:r>
          </w:p>
        </w:tc>
      </w:tr>
      <w:tr w:rsidR="00FC6CFB" w:rsidRPr="00B54DC3" w:rsidTr="006D3A7D">
        <w:tc>
          <w:tcPr>
            <w:tcW w:w="3332" w:type="dxa"/>
            <w:vAlign w:val="center"/>
          </w:tcPr>
          <w:p w:rsidR="00311A67" w:rsidRPr="00B54DC3" w:rsidRDefault="00311A67" w:rsidP="00605D51">
            <w:pPr>
              <w:pStyle w:val="TableTextIndent0110pt"/>
            </w:pPr>
            <w:r w:rsidRPr="00B54DC3">
              <w:t xml:space="preserve">E. </w:t>
            </w:r>
            <w:r w:rsidRPr="00B54DC3">
              <w:rPr>
                <w:rStyle w:val="Underline"/>
              </w:rPr>
              <w:t>Time to Enter Information</w:t>
            </w: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r>
      <w:tr w:rsidR="000204E8" w:rsidRPr="00B54DC3" w:rsidTr="006D3A7D">
        <w:tc>
          <w:tcPr>
            <w:tcW w:w="3332" w:type="dxa"/>
            <w:vAlign w:val="center"/>
          </w:tcPr>
          <w:p w:rsidR="000204E8" w:rsidRPr="00B54DC3" w:rsidRDefault="000204E8" w:rsidP="00605D51">
            <w:pPr>
              <w:pStyle w:val="TableTextIndent0310pt"/>
            </w:pPr>
            <w:r w:rsidRPr="00B54DC3">
              <w:t>Records of operating parameters</w:t>
            </w:r>
          </w:p>
        </w:tc>
        <w:tc>
          <w:tcPr>
            <w:tcW w:w="1604" w:type="dxa"/>
            <w:vAlign w:val="center"/>
          </w:tcPr>
          <w:p w:rsidR="000204E8" w:rsidRPr="00B54DC3" w:rsidRDefault="000204E8" w:rsidP="0061011A">
            <w:pPr>
              <w:pStyle w:val="TableTextCenter10pt"/>
            </w:pPr>
            <w:r w:rsidRPr="00B54DC3">
              <w:t>0.25</w:t>
            </w:r>
          </w:p>
        </w:tc>
        <w:tc>
          <w:tcPr>
            <w:tcW w:w="1605" w:type="dxa"/>
            <w:vAlign w:val="center"/>
          </w:tcPr>
          <w:p w:rsidR="000204E8" w:rsidRPr="00B54DC3" w:rsidRDefault="000204E8" w:rsidP="0061011A">
            <w:pPr>
              <w:pStyle w:val="TableTextCenter10pt"/>
            </w:pPr>
            <w:r w:rsidRPr="00B54DC3">
              <w:t>350</w:t>
            </w:r>
            <w:r w:rsidR="00CA6954">
              <w:rPr>
                <w:rStyle w:val="Superscript"/>
              </w:rPr>
              <w:t>f</w:t>
            </w:r>
          </w:p>
        </w:tc>
        <w:tc>
          <w:tcPr>
            <w:tcW w:w="1605" w:type="dxa"/>
            <w:vAlign w:val="center"/>
          </w:tcPr>
          <w:p w:rsidR="000204E8" w:rsidRPr="00B54DC3" w:rsidRDefault="000204E8" w:rsidP="0061011A">
            <w:pPr>
              <w:pStyle w:val="TableTextCenter10pt"/>
            </w:pPr>
            <w:r w:rsidRPr="00B54DC3">
              <w:t>87.5</w:t>
            </w:r>
          </w:p>
        </w:tc>
        <w:tc>
          <w:tcPr>
            <w:tcW w:w="1604" w:type="dxa"/>
            <w:vAlign w:val="center"/>
          </w:tcPr>
          <w:p w:rsidR="000204E8" w:rsidRPr="00B54DC3" w:rsidRDefault="000204E8" w:rsidP="0061011A">
            <w:pPr>
              <w:pStyle w:val="TableTextCenter10pt"/>
            </w:pPr>
            <w:r w:rsidRPr="006D3A7D">
              <w:t>88</w:t>
            </w:r>
          </w:p>
        </w:tc>
        <w:tc>
          <w:tcPr>
            <w:tcW w:w="1605" w:type="dxa"/>
            <w:vAlign w:val="center"/>
          </w:tcPr>
          <w:p w:rsidR="000204E8" w:rsidRPr="00B54DC3" w:rsidRDefault="000204E8" w:rsidP="0061011A">
            <w:pPr>
              <w:pStyle w:val="TableTextCenter10pt"/>
            </w:pPr>
            <w:r w:rsidRPr="006D3A7D">
              <w:t>7,700</w:t>
            </w:r>
          </w:p>
        </w:tc>
        <w:tc>
          <w:tcPr>
            <w:tcW w:w="1605" w:type="dxa"/>
            <w:vAlign w:val="center"/>
          </w:tcPr>
          <w:p w:rsidR="000204E8" w:rsidRPr="00B54DC3" w:rsidRDefault="000204E8" w:rsidP="0061011A">
            <w:pPr>
              <w:pStyle w:val="TableTextCenter10pt"/>
            </w:pPr>
            <w:r w:rsidRPr="006D3A7D">
              <w:t>$693,935.55</w:t>
            </w:r>
          </w:p>
        </w:tc>
      </w:tr>
      <w:tr w:rsidR="00311A67" w:rsidRPr="00B54DC3" w:rsidTr="006D3A7D">
        <w:tc>
          <w:tcPr>
            <w:tcW w:w="3332" w:type="dxa"/>
          </w:tcPr>
          <w:p w:rsidR="00311A67" w:rsidRPr="00A12E00" w:rsidRDefault="00311A67" w:rsidP="00947192">
            <w:pPr>
              <w:pStyle w:val="TableTextIndent0110pt"/>
            </w:pPr>
            <w:r w:rsidRPr="00A12E00">
              <w:t xml:space="preserve">F. </w:t>
            </w:r>
            <w:r w:rsidRPr="00841D91">
              <w:rPr>
                <w:rStyle w:val="Underline"/>
              </w:rPr>
              <w:t>Train Personnel</w:t>
            </w:r>
            <w:r w:rsidRPr="00A12E00">
              <w:t xml:space="preserve"> </w:t>
            </w:r>
          </w:p>
        </w:tc>
        <w:tc>
          <w:tcPr>
            <w:tcW w:w="9628" w:type="dxa"/>
            <w:gridSpan w:val="6"/>
            <w:vAlign w:val="center"/>
          </w:tcPr>
          <w:p w:rsidR="00311A67" w:rsidRPr="00B54DC3" w:rsidRDefault="00311A67" w:rsidP="0061011A">
            <w:pPr>
              <w:pStyle w:val="TableTextCenter10pt"/>
            </w:pPr>
            <w:r w:rsidRPr="00B54DC3">
              <w:t>_____________________________________Not Applicable_____________________________________</w:t>
            </w:r>
          </w:p>
        </w:tc>
      </w:tr>
      <w:tr w:rsidR="00311A67" w:rsidRPr="00B54DC3" w:rsidTr="006D3A7D">
        <w:tc>
          <w:tcPr>
            <w:tcW w:w="3332" w:type="dxa"/>
          </w:tcPr>
          <w:p w:rsidR="00311A67" w:rsidRPr="00A12E00" w:rsidRDefault="00311A67" w:rsidP="006778C1">
            <w:pPr>
              <w:pStyle w:val="TableTextIndent0110ptLast"/>
            </w:pPr>
            <w:r w:rsidRPr="00A12E00">
              <w:t xml:space="preserve">G. </w:t>
            </w:r>
            <w:r w:rsidRPr="00841D91">
              <w:rPr>
                <w:rStyle w:val="Underline"/>
              </w:rPr>
              <w:t>Audits</w:t>
            </w:r>
            <w:r w:rsidRPr="00A12E00">
              <w:t xml:space="preserve"> </w:t>
            </w:r>
          </w:p>
        </w:tc>
        <w:tc>
          <w:tcPr>
            <w:tcW w:w="9628" w:type="dxa"/>
            <w:gridSpan w:val="6"/>
            <w:vAlign w:val="center"/>
          </w:tcPr>
          <w:p w:rsidR="00311A67" w:rsidRPr="00B54DC3" w:rsidRDefault="00311A67" w:rsidP="0061011A">
            <w:pPr>
              <w:pStyle w:val="TableTextCenter10pt"/>
            </w:pPr>
            <w:r w:rsidRPr="00B54DC3">
              <w:t>_____________________________________Not Applicable_____________________________________</w:t>
            </w:r>
          </w:p>
        </w:tc>
      </w:tr>
      <w:tr w:rsidR="000204E8" w:rsidRPr="00B54DC3" w:rsidTr="006D3A7D">
        <w:tc>
          <w:tcPr>
            <w:tcW w:w="3332" w:type="dxa"/>
          </w:tcPr>
          <w:p w:rsidR="000204E8" w:rsidRPr="00B54DC3" w:rsidRDefault="000204E8" w:rsidP="006D3A7D">
            <w:pPr>
              <w:pStyle w:val="TableText10pt"/>
            </w:pPr>
            <w:r w:rsidRPr="00B54DC3">
              <w:t>5.</w:t>
            </w:r>
            <w:r w:rsidR="00E95A7F">
              <w:t xml:space="preserve"> </w:t>
            </w:r>
            <w:r w:rsidRPr="00B54DC3">
              <w:t>TOTAL ANNUAL BURDEN</w:t>
            </w:r>
          </w:p>
        </w:tc>
        <w:tc>
          <w:tcPr>
            <w:tcW w:w="1604"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4" w:type="dxa"/>
            <w:vAlign w:val="center"/>
          </w:tcPr>
          <w:p w:rsidR="000204E8" w:rsidRPr="00B54DC3" w:rsidRDefault="000204E8" w:rsidP="0061011A">
            <w:pPr>
              <w:pStyle w:val="TableTextCenter10pt"/>
            </w:pPr>
          </w:p>
        </w:tc>
        <w:tc>
          <w:tcPr>
            <w:tcW w:w="1605" w:type="dxa"/>
            <w:vAlign w:val="center"/>
          </w:tcPr>
          <w:p w:rsidR="000204E8" w:rsidRPr="00FC6CFB" w:rsidRDefault="000204E8" w:rsidP="00FC6CFB">
            <w:pPr>
              <w:pStyle w:val="TableTextCenter10pt"/>
            </w:pPr>
            <w:r w:rsidRPr="006D3A7D">
              <w:t>54,572</w:t>
            </w:r>
          </w:p>
        </w:tc>
        <w:tc>
          <w:tcPr>
            <w:tcW w:w="1605" w:type="dxa"/>
            <w:vAlign w:val="center"/>
          </w:tcPr>
          <w:p w:rsidR="000204E8" w:rsidRPr="00FC6CFB" w:rsidRDefault="000204E8" w:rsidP="00FC6CFB">
            <w:pPr>
              <w:pStyle w:val="TableTextCenter10pt"/>
            </w:pPr>
            <w:r w:rsidRPr="006D3A7D">
              <w:t>$4,918,110.50</w:t>
            </w:r>
          </w:p>
        </w:tc>
      </w:tr>
      <w:tr w:rsidR="00FC6CFB" w:rsidRPr="00B54DC3" w:rsidTr="006D3A7D">
        <w:trPr>
          <w:trHeight w:val="185"/>
        </w:trPr>
        <w:tc>
          <w:tcPr>
            <w:tcW w:w="3332" w:type="dxa"/>
          </w:tcPr>
          <w:p w:rsidR="00311A67" w:rsidRPr="00B54DC3" w:rsidRDefault="00311A67" w:rsidP="006D3A7D">
            <w:pPr>
              <w:pStyle w:val="TableText10pt"/>
            </w:pPr>
            <w:r w:rsidRPr="00B54DC3">
              <w:t>6.</w:t>
            </w:r>
            <w:r w:rsidR="00E95A7F">
              <w:t xml:space="preserve"> </w:t>
            </w:r>
            <w:r w:rsidRPr="00B54DC3">
              <w:t>CAPITAL/O&amp;M COSTS</w:t>
            </w:r>
          </w:p>
        </w:tc>
        <w:tc>
          <w:tcPr>
            <w:tcW w:w="1604"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5" w:type="dxa"/>
            <w:vAlign w:val="center"/>
          </w:tcPr>
          <w:p w:rsidR="00311A67" w:rsidRPr="00B54DC3" w:rsidRDefault="00311A67" w:rsidP="0061011A">
            <w:pPr>
              <w:pStyle w:val="TableTextCenter10pt"/>
            </w:pPr>
          </w:p>
        </w:tc>
        <w:tc>
          <w:tcPr>
            <w:tcW w:w="1604" w:type="dxa"/>
            <w:vAlign w:val="center"/>
          </w:tcPr>
          <w:p w:rsidR="00311A67" w:rsidRPr="00B54DC3" w:rsidRDefault="00311A67" w:rsidP="0061011A">
            <w:pPr>
              <w:pStyle w:val="TableTextCenter10pt"/>
            </w:pPr>
          </w:p>
        </w:tc>
        <w:tc>
          <w:tcPr>
            <w:tcW w:w="1605" w:type="dxa"/>
            <w:vAlign w:val="center"/>
          </w:tcPr>
          <w:p w:rsidR="00311A67" w:rsidRPr="00FC6CFB" w:rsidRDefault="00311A67" w:rsidP="00FC6CFB">
            <w:pPr>
              <w:pStyle w:val="TableTextCenter10pt"/>
            </w:pPr>
          </w:p>
        </w:tc>
        <w:tc>
          <w:tcPr>
            <w:tcW w:w="1605" w:type="dxa"/>
            <w:vAlign w:val="center"/>
          </w:tcPr>
          <w:p w:rsidR="00311A67" w:rsidRPr="00FC6CFB" w:rsidRDefault="00311A67" w:rsidP="00FC6CFB">
            <w:pPr>
              <w:pStyle w:val="TableTextCenter10pt"/>
            </w:pPr>
          </w:p>
        </w:tc>
      </w:tr>
      <w:tr w:rsidR="000204E8" w:rsidRPr="00B54DC3" w:rsidTr="006D3A7D">
        <w:trPr>
          <w:trHeight w:val="185"/>
        </w:trPr>
        <w:tc>
          <w:tcPr>
            <w:tcW w:w="3332" w:type="dxa"/>
            <w:vAlign w:val="center"/>
          </w:tcPr>
          <w:p w:rsidR="000204E8" w:rsidRPr="00B54DC3" w:rsidRDefault="000204E8" w:rsidP="00605D51">
            <w:pPr>
              <w:pStyle w:val="TableTextIndent0310pt"/>
            </w:pPr>
            <w:r w:rsidRPr="00B54DC3">
              <w:t xml:space="preserve">Annualized </w:t>
            </w:r>
            <w:r w:rsidR="00492373">
              <w:t xml:space="preserve">Total </w:t>
            </w:r>
            <w:r w:rsidRPr="00B54DC3">
              <w:t>Capital Cost</w:t>
            </w:r>
          </w:p>
        </w:tc>
        <w:tc>
          <w:tcPr>
            <w:tcW w:w="1604"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4" w:type="dxa"/>
            <w:vAlign w:val="center"/>
          </w:tcPr>
          <w:p w:rsidR="000204E8" w:rsidRPr="00B54DC3" w:rsidRDefault="000204E8" w:rsidP="0061011A">
            <w:pPr>
              <w:pStyle w:val="TableTextCenter10pt"/>
            </w:pPr>
          </w:p>
        </w:tc>
        <w:tc>
          <w:tcPr>
            <w:tcW w:w="1605" w:type="dxa"/>
            <w:vAlign w:val="center"/>
          </w:tcPr>
          <w:p w:rsidR="000204E8" w:rsidRPr="00FC6CFB" w:rsidRDefault="000204E8" w:rsidP="00FC6CFB">
            <w:pPr>
              <w:pStyle w:val="TableTextCenter10pt"/>
            </w:pPr>
          </w:p>
        </w:tc>
        <w:tc>
          <w:tcPr>
            <w:tcW w:w="1605" w:type="dxa"/>
            <w:vAlign w:val="center"/>
          </w:tcPr>
          <w:p w:rsidR="000204E8" w:rsidRPr="00FC6CFB" w:rsidRDefault="000204E8" w:rsidP="00FC6CFB">
            <w:pPr>
              <w:pStyle w:val="TableTextCenter10pt"/>
            </w:pPr>
            <w:r w:rsidRPr="006D3A7D">
              <w:t>$11,266,000</w:t>
            </w:r>
          </w:p>
        </w:tc>
      </w:tr>
      <w:tr w:rsidR="000204E8" w:rsidRPr="00B54DC3" w:rsidTr="006D3A7D">
        <w:trPr>
          <w:trHeight w:val="185"/>
        </w:trPr>
        <w:tc>
          <w:tcPr>
            <w:tcW w:w="3332" w:type="dxa"/>
            <w:vAlign w:val="center"/>
          </w:tcPr>
          <w:p w:rsidR="000204E8" w:rsidRPr="00B54DC3" w:rsidRDefault="000204E8" w:rsidP="00605D51">
            <w:pPr>
              <w:pStyle w:val="TableTextIndent0310pt"/>
            </w:pPr>
            <w:r w:rsidRPr="00B54DC3">
              <w:t>Annual O&amp;M Cost</w:t>
            </w:r>
          </w:p>
        </w:tc>
        <w:tc>
          <w:tcPr>
            <w:tcW w:w="1604"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4" w:type="dxa"/>
            <w:vAlign w:val="center"/>
          </w:tcPr>
          <w:p w:rsidR="000204E8" w:rsidRPr="00B54DC3" w:rsidRDefault="000204E8" w:rsidP="0061011A">
            <w:pPr>
              <w:pStyle w:val="TableTextCenter10pt"/>
            </w:pPr>
          </w:p>
        </w:tc>
        <w:tc>
          <w:tcPr>
            <w:tcW w:w="1605" w:type="dxa"/>
            <w:vAlign w:val="center"/>
          </w:tcPr>
          <w:p w:rsidR="000204E8" w:rsidRPr="00FC6CFB" w:rsidRDefault="000204E8" w:rsidP="00FC6CFB">
            <w:pPr>
              <w:pStyle w:val="TableTextCenter10pt"/>
            </w:pPr>
          </w:p>
        </w:tc>
        <w:tc>
          <w:tcPr>
            <w:tcW w:w="1605" w:type="dxa"/>
            <w:vAlign w:val="center"/>
          </w:tcPr>
          <w:p w:rsidR="000204E8" w:rsidRPr="00FC6CFB" w:rsidRDefault="000204E8" w:rsidP="00FC6CFB">
            <w:pPr>
              <w:pStyle w:val="TableTextCenter10pt"/>
            </w:pPr>
            <w:r w:rsidRPr="006D3A7D">
              <w:t>$8,750,000</w:t>
            </w:r>
          </w:p>
        </w:tc>
      </w:tr>
      <w:tr w:rsidR="000204E8" w:rsidRPr="00B54DC3" w:rsidTr="006D3A7D">
        <w:tc>
          <w:tcPr>
            <w:tcW w:w="3332" w:type="dxa"/>
            <w:vAlign w:val="center"/>
          </w:tcPr>
          <w:p w:rsidR="000204E8" w:rsidRPr="00B54DC3" w:rsidRDefault="000204E8" w:rsidP="00605D51">
            <w:pPr>
              <w:pStyle w:val="TableTextIndent0310pt"/>
            </w:pPr>
            <w:r w:rsidRPr="00B54DC3">
              <w:t>Total Annual</w:t>
            </w:r>
            <w:r w:rsidR="00492373">
              <w:t>ized</w:t>
            </w:r>
            <w:r w:rsidRPr="00B54DC3">
              <w:t xml:space="preserve"> Capital and </w:t>
            </w:r>
            <w:r w:rsidR="00492373">
              <w:t xml:space="preserve">Annual </w:t>
            </w:r>
            <w:r w:rsidRPr="00B54DC3">
              <w:t>O&amp;M Cost</w:t>
            </w:r>
          </w:p>
        </w:tc>
        <w:tc>
          <w:tcPr>
            <w:tcW w:w="1604"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5" w:type="dxa"/>
            <w:vAlign w:val="center"/>
          </w:tcPr>
          <w:p w:rsidR="000204E8" w:rsidRPr="00B54DC3" w:rsidRDefault="000204E8" w:rsidP="0061011A">
            <w:pPr>
              <w:pStyle w:val="TableTextCenter10pt"/>
            </w:pPr>
          </w:p>
        </w:tc>
        <w:tc>
          <w:tcPr>
            <w:tcW w:w="1604" w:type="dxa"/>
            <w:vAlign w:val="center"/>
          </w:tcPr>
          <w:p w:rsidR="000204E8" w:rsidRPr="00B54DC3" w:rsidRDefault="000204E8" w:rsidP="0061011A">
            <w:pPr>
              <w:pStyle w:val="TableTextCenter10pt"/>
            </w:pPr>
          </w:p>
        </w:tc>
        <w:tc>
          <w:tcPr>
            <w:tcW w:w="1605" w:type="dxa"/>
            <w:vAlign w:val="center"/>
          </w:tcPr>
          <w:p w:rsidR="000204E8" w:rsidRPr="00FC6CFB" w:rsidRDefault="000204E8" w:rsidP="00FC6CFB">
            <w:pPr>
              <w:pStyle w:val="TableTextCenter10pt"/>
            </w:pPr>
          </w:p>
        </w:tc>
        <w:tc>
          <w:tcPr>
            <w:tcW w:w="1605" w:type="dxa"/>
            <w:vAlign w:val="center"/>
          </w:tcPr>
          <w:p w:rsidR="000204E8" w:rsidRPr="00FC6CFB" w:rsidRDefault="000204E8" w:rsidP="00FC6CFB">
            <w:pPr>
              <w:pStyle w:val="TableTextCenter10pt"/>
            </w:pPr>
            <w:r w:rsidRPr="006D3A7D">
              <w:t>$20,016,000</w:t>
            </w:r>
          </w:p>
        </w:tc>
      </w:tr>
    </w:tbl>
    <w:p w:rsidR="00365A9E" w:rsidRPr="00B54DC3" w:rsidRDefault="00365A9E" w:rsidP="00CA6954">
      <w:pPr>
        <w:pStyle w:val="TableFootnote"/>
      </w:pPr>
      <w:r w:rsidRPr="0068083D">
        <w:rPr>
          <w:rStyle w:val="Superscript"/>
        </w:rPr>
        <w:t>a</w:t>
      </w:r>
      <w:r w:rsidR="00E95A7F">
        <w:t xml:space="preserve"> </w:t>
      </w:r>
      <w:r w:rsidRPr="0068083D">
        <w:t>Assum</w:t>
      </w:r>
      <w:r w:rsidR="00164E13" w:rsidRPr="0068083D">
        <w:t>e</w:t>
      </w:r>
      <w:r w:rsidRPr="0068083D">
        <w:t xml:space="preserve"> that there are approximately </w:t>
      </w:r>
      <w:r w:rsidR="000204E8" w:rsidRPr="0068083D">
        <w:t>132</w:t>
      </w:r>
      <w:r w:rsidRPr="0068083D">
        <w:t xml:space="preserve"> plants (respondents) which become subject over a 3-year period.</w:t>
      </w:r>
      <w:r w:rsidR="00E95A7F">
        <w:t xml:space="preserve"> </w:t>
      </w:r>
      <w:r w:rsidRPr="0068083D">
        <w:t xml:space="preserve">The number of new sources per year equals </w:t>
      </w:r>
      <w:r w:rsidR="000204E8" w:rsidRPr="0068083D">
        <w:t>44</w:t>
      </w:r>
      <w:r w:rsidRPr="0068083D">
        <w:t>.</w:t>
      </w:r>
      <w:r w:rsidR="00E95A7F">
        <w:t xml:space="preserve"> </w:t>
      </w:r>
      <w:r w:rsidR="00164E13" w:rsidRPr="0068083D">
        <w:t>In</w:t>
      </w:r>
      <w:r w:rsidR="00164E13" w:rsidRPr="00B54DC3">
        <w:t xml:space="preserve"> the second year, assume the number of existing sources (</w:t>
      </w:r>
      <w:r w:rsidR="00164E13" w:rsidRPr="00C61621">
        <w:rPr>
          <w:rStyle w:val="Italic"/>
        </w:rPr>
        <w:t>i.e.</w:t>
      </w:r>
      <w:r w:rsidR="00164E13" w:rsidRPr="00B54DC3">
        <w:t xml:space="preserve">, sources becoming subject to the rule in the first year) is </w:t>
      </w:r>
      <w:r w:rsidR="000204E8">
        <w:t>44</w:t>
      </w:r>
      <w:r w:rsidR="00164E13" w:rsidRPr="00B54DC3">
        <w:t xml:space="preserve"> and the number of new sources is </w:t>
      </w:r>
      <w:r w:rsidR="000204E8">
        <w:t>44</w:t>
      </w:r>
      <w:r w:rsidR="00164E13" w:rsidRPr="00B54DC3">
        <w:t>.</w:t>
      </w:r>
      <w:r w:rsidR="00E95A7F">
        <w:t xml:space="preserve"> </w:t>
      </w:r>
      <w:r w:rsidR="00FC6CFB">
        <w:t xml:space="preserve">Also assume there are approximately </w:t>
      </w:r>
      <w:r w:rsidR="00CA6954">
        <w:t xml:space="preserve">2.89 flares per refinery (382 flares at 132 refineries), 1.98 of which (262 flares at 132 refineries) </w:t>
      </w:r>
      <w:r w:rsidR="00FC6CFB">
        <w:t>would require sulfur content and flow rate monitors.</w:t>
      </w:r>
    </w:p>
    <w:p w:rsidR="00CA6954" w:rsidRDefault="00365A9E" w:rsidP="0068083D">
      <w:pPr>
        <w:pStyle w:val="TableFootnote"/>
      </w:pPr>
      <w:r w:rsidRPr="00B54DC3">
        <w:rPr>
          <w:rStyle w:val="Superscript"/>
        </w:rPr>
        <w:t>b</w:t>
      </w:r>
      <w:r w:rsidR="00E95A7F">
        <w:t xml:space="preserve"> </w:t>
      </w:r>
      <w:r w:rsidR="00CA6954">
        <w:t>Occurrences per respondent per year is calculated as the number of occurrences per flare per year multiplied by the number of flares per respondent (refinery).</w:t>
      </w:r>
    </w:p>
    <w:p w:rsidR="00365A9E" w:rsidRPr="00B54DC3" w:rsidRDefault="00CA6954" w:rsidP="00CA6954">
      <w:pPr>
        <w:pStyle w:val="TableFootnote"/>
      </w:pPr>
      <w:r w:rsidRPr="00CA6954">
        <w:rPr>
          <w:rStyle w:val="Superscript"/>
        </w:rPr>
        <w:t>c</w:t>
      </w:r>
      <w:r>
        <w:t xml:space="preserve"> </w:t>
      </w:r>
      <w:r w:rsidR="00365A9E" w:rsidRPr="00B54DC3">
        <w:t>Assume an hourly wage of $</w:t>
      </w:r>
      <w:r w:rsidR="00114899" w:rsidRPr="00B54DC3">
        <w:t>4</w:t>
      </w:r>
      <w:r w:rsidR="00896725" w:rsidRPr="00B54DC3">
        <w:t>2</w:t>
      </w:r>
      <w:r w:rsidR="00365A9E" w:rsidRPr="00B54DC3">
        <w:t>.</w:t>
      </w:r>
      <w:r w:rsidR="00896725" w:rsidRPr="00B54DC3">
        <w:t>9</w:t>
      </w:r>
      <w:r w:rsidR="00114899" w:rsidRPr="00B54DC3">
        <w:t>2</w:t>
      </w:r>
      <w:r w:rsidR="00365A9E" w:rsidRPr="00B54DC3">
        <w:t xml:space="preserve"> plus 110 percent overhead costs which equals $</w:t>
      </w:r>
      <w:r w:rsidR="00896725" w:rsidRPr="00B54DC3">
        <w:t>90</w:t>
      </w:r>
      <w:r w:rsidR="00365A9E" w:rsidRPr="00B54DC3">
        <w:t>.</w:t>
      </w:r>
      <w:r w:rsidR="00896725" w:rsidRPr="00B54DC3">
        <w:t>12</w:t>
      </w:r>
      <w:r w:rsidR="00365A9E" w:rsidRPr="00B54DC3">
        <w:t>.</w:t>
      </w:r>
      <w:r w:rsidR="00E95A7F">
        <w:t xml:space="preserve"> </w:t>
      </w:r>
      <w:r w:rsidR="00365A9E" w:rsidRPr="00B54DC3">
        <w:t>This amount was multiplied by the hours per year in Column E.</w:t>
      </w:r>
    </w:p>
    <w:p w:rsidR="00164E13" w:rsidRPr="00B54DC3" w:rsidRDefault="00CA6954" w:rsidP="00CA6954">
      <w:pPr>
        <w:pStyle w:val="TableFootnote"/>
      </w:pPr>
      <w:r>
        <w:rPr>
          <w:rStyle w:val="Superscript"/>
        </w:rPr>
        <w:t>d</w:t>
      </w:r>
      <w:r w:rsidR="00164E13" w:rsidRPr="00B54DC3">
        <w:t xml:space="preserve"> Assume that there are </w:t>
      </w:r>
      <w:r w:rsidR="003F4C14" w:rsidRPr="00B54DC3">
        <w:t>two monitors needed for each flare, one to monitor sulfur content and one to monitor flow rate</w:t>
      </w:r>
      <w:r w:rsidR="00896725" w:rsidRPr="00B54DC3">
        <w:t>.</w:t>
      </w:r>
    </w:p>
    <w:p w:rsidR="00164E13" w:rsidRPr="00B54DC3" w:rsidRDefault="00CA6954" w:rsidP="002A0CCC">
      <w:pPr>
        <w:pStyle w:val="TableFootnote"/>
      </w:pPr>
      <w:r>
        <w:rPr>
          <w:rStyle w:val="Superscript"/>
        </w:rPr>
        <w:t>e</w:t>
      </w:r>
      <w:r w:rsidR="00164E13" w:rsidRPr="00B54DC3">
        <w:t xml:space="preserve"> </w:t>
      </w:r>
      <w:r w:rsidR="00896725" w:rsidRPr="00B54DC3">
        <w:t>Person-hours and annual cost are estimate</w:t>
      </w:r>
      <w:r w:rsidR="00311A67">
        <w:t>d to be 5</w:t>
      </w:r>
      <w:r w:rsidR="00342CA2">
        <w:t xml:space="preserve"> percent</w:t>
      </w:r>
      <w:r w:rsidR="00311A67">
        <w:t xml:space="preserve"> of the time that a C</w:t>
      </w:r>
      <w:r w:rsidR="00896725" w:rsidRPr="00B54DC3">
        <w:t>MS is in operation</w:t>
      </w:r>
      <w:r w:rsidR="00E95A7F">
        <w:t xml:space="preserve"> </w:t>
      </w:r>
      <w:r w:rsidR="00896725" w:rsidRPr="00B54DC3">
        <w:t>(E= .05C</w:t>
      </w:r>
      <w:r w:rsidR="002A0CCC">
        <w:t>×</w:t>
      </w:r>
      <w:r w:rsidR="00896725" w:rsidRPr="00B54DC3">
        <w:t>D)</w:t>
      </w:r>
      <w:r w:rsidR="00E95A7F">
        <w:t>.</w:t>
      </w:r>
    </w:p>
    <w:p w:rsidR="0068083D" w:rsidRDefault="00CA6954" w:rsidP="00CA6954">
      <w:pPr>
        <w:pStyle w:val="TableFootnote"/>
      </w:pPr>
      <w:r>
        <w:rPr>
          <w:rStyle w:val="Superscript"/>
        </w:rPr>
        <w:t>f</w:t>
      </w:r>
      <w:r w:rsidR="00164E13" w:rsidRPr="00B54DC3">
        <w:t xml:space="preserve"> </w:t>
      </w:r>
      <w:r w:rsidR="00896725" w:rsidRPr="00B54DC3">
        <w:t>Assume operation 350 days per year as specified in the NSPS review document.</w:t>
      </w:r>
    </w:p>
    <w:p w:rsidR="00601CF5" w:rsidRPr="00B54DC3" w:rsidRDefault="00601CF5" w:rsidP="0068083D"/>
    <w:sectPr w:rsidR="00601CF5" w:rsidRPr="00B54DC3" w:rsidSect="00F05F6B">
      <w:pgSz w:w="15840" w:h="12240" w:orient="landscape"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E5" w:rsidRDefault="008150E5">
      <w:r>
        <w:separator/>
      </w:r>
    </w:p>
  </w:endnote>
  <w:endnote w:type="continuationSeparator" w:id="0">
    <w:p w:rsidR="008150E5" w:rsidRDefault="008150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54" w:rsidRDefault="0058085F" w:rsidP="00915A5D">
    <w:pPr>
      <w:pStyle w:val="Footer"/>
      <w:jc w:val="center"/>
    </w:pPr>
    <w:r>
      <w:rPr>
        <w:rStyle w:val="PageNumber"/>
      </w:rPr>
      <w:fldChar w:fldCharType="begin"/>
    </w:r>
    <w:r w:rsidR="00CA6954">
      <w:rPr>
        <w:rStyle w:val="PageNumber"/>
      </w:rPr>
      <w:instrText xml:space="preserve"> PAGE </w:instrText>
    </w:r>
    <w:r>
      <w:rPr>
        <w:rStyle w:val="PageNumber"/>
      </w:rPr>
      <w:fldChar w:fldCharType="separate"/>
    </w:r>
    <w:r w:rsidR="00734333">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E5" w:rsidRDefault="008150E5">
      <w:r>
        <w:separator/>
      </w:r>
    </w:p>
  </w:footnote>
  <w:footnote w:type="continuationSeparator" w:id="0">
    <w:p w:rsidR="008150E5" w:rsidRDefault="00815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9792B7"/>
    <w:multiLevelType w:val="hybridMultilevel"/>
    <w:tmpl w:val="CC0C1B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5308D362"/>
    <w:lvl w:ilvl="0">
      <w:start w:val="1"/>
      <w:numFmt w:val="decimal"/>
      <w:lvlText w:val="%1."/>
      <w:lvlJc w:val="left"/>
      <w:pPr>
        <w:tabs>
          <w:tab w:val="num" w:pos="1800"/>
        </w:tabs>
        <w:ind w:left="1800" w:hanging="360"/>
      </w:pPr>
    </w:lvl>
  </w:abstractNum>
  <w:abstractNum w:abstractNumId="2">
    <w:nsid w:val="FFFFFF7D"/>
    <w:multiLevelType w:val="singleLevel"/>
    <w:tmpl w:val="82162CA0"/>
    <w:lvl w:ilvl="0">
      <w:start w:val="1"/>
      <w:numFmt w:val="decimal"/>
      <w:lvlText w:val="%1."/>
      <w:lvlJc w:val="left"/>
      <w:pPr>
        <w:tabs>
          <w:tab w:val="num" w:pos="1440"/>
        </w:tabs>
        <w:ind w:left="1440" w:hanging="360"/>
      </w:pPr>
    </w:lvl>
  </w:abstractNum>
  <w:abstractNum w:abstractNumId="3">
    <w:nsid w:val="FFFFFF7E"/>
    <w:multiLevelType w:val="singleLevel"/>
    <w:tmpl w:val="B1D60BC8"/>
    <w:lvl w:ilvl="0">
      <w:start w:val="1"/>
      <w:numFmt w:val="decimal"/>
      <w:lvlText w:val="%1."/>
      <w:lvlJc w:val="left"/>
      <w:pPr>
        <w:tabs>
          <w:tab w:val="num" w:pos="1080"/>
        </w:tabs>
        <w:ind w:left="1080" w:hanging="360"/>
      </w:pPr>
    </w:lvl>
  </w:abstractNum>
  <w:abstractNum w:abstractNumId="4">
    <w:nsid w:val="FFFFFF7F"/>
    <w:multiLevelType w:val="singleLevel"/>
    <w:tmpl w:val="DD8CCBF2"/>
    <w:lvl w:ilvl="0">
      <w:start w:val="1"/>
      <w:numFmt w:val="decimal"/>
      <w:lvlText w:val="%1."/>
      <w:lvlJc w:val="left"/>
      <w:pPr>
        <w:tabs>
          <w:tab w:val="num" w:pos="720"/>
        </w:tabs>
        <w:ind w:left="720" w:hanging="360"/>
      </w:pPr>
    </w:lvl>
  </w:abstractNum>
  <w:abstractNum w:abstractNumId="5">
    <w:nsid w:val="FFFFFF80"/>
    <w:multiLevelType w:val="singleLevel"/>
    <w:tmpl w:val="40AA386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11A415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F729A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C185E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5CC9B86"/>
    <w:lvl w:ilvl="0">
      <w:start w:val="1"/>
      <w:numFmt w:val="decimal"/>
      <w:lvlText w:val="%1."/>
      <w:lvlJc w:val="left"/>
      <w:pPr>
        <w:tabs>
          <w:tab w:val="num" w:pos="360"/>
        </w:tabs>
        <w:ind w:left="360" w:hanging="360"/>
      </w:pPr>
    </w:lvl>
  </w:abstractNum>
  <w:abstractNum w:abstractNumId="10">
    <w:nsid w:val="FFFFFF89"/>
    <w:multiLevelType w:val="singleLevel"/>
    <w:tmpl w:val="E8FA3EB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1F08"/>
  <w:stylePaneSortMethod w:val="000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15A1"/>
    <w:rsid w:val="00003F65"/>
    <w:rsid w:val="00015B20"/>
    <w:rsid w:val="000204E8"/>
    <w:rsid w:val="00023D3C"/>
    <w:rsid w:val="00025897"/>
    <w:rsid w:val="00031A08"/>
    <w:rsid w:val="00037872"/>
    <w:rsid w:val="00047853"/>
    <w:rsid w:val="000540CB"/>
    <w:rsid w:val="000551F1"/>
    <w:rsid w:val="00064E33"/>
    <w:rsid w:val="00073B16"/>
    <w:rsid w:val="00080C2D"/>
    <w:rsid w:val="0008720A"/>
    <w:rsid w:val="000A183D"/>
    <w:rsid w:val="000B24D6"/>
    <w:rsid w:val="000C6CCE"/>
    <w:rsid w:val="000F04A7"/>
    <w:rsid w:val="001049DE"/>
    <w:rsid w:val="00106D16"/>
    <w:rsid w:val="00110383"/>
    <w:rsid w:val="00114899"/>
    <w:rsid w:val="00147D28"/>
    <w:rsid w:val="001637E8"/>
    <w:rsid w:val="00164E13"/>
    <w:rsid w:val="00165531"/>
    <w:rsid w:val="00175663"/>
    <w:rsid w:val="0019244C"/>
    <w:rsid w:val="001A0EFA"/>
    <w:rsid w:val="001E004A"/>
    <w:rsid w:val="001F6F08"/>
    <w:rsid w:val="002048E7"/>
    <w:rsid w:val="00212D7F"/>
    <w:rsid w:val="00232CA1"/>
    <w:rsid w:val="00241F13"/>
    <w:rsid w:val="00250BE4"/>
    <w:rsid w:val="00251C34"/>
    <w:rsid w:val="0025229C"/>
    <w:rsid w:val="00274757"/>
    <w:rsid w:val="002A0CCC"/>
    <w:rsid w:val="002C5F2B"/>
    <w:rsid w:val="002D6062"/>
    <w:rsid w:val="002E1E84"/>
    <w:rsid w:val="002F3D33"/>
    <w:rsid w:val="0030302D"/>
    <w:rsid w:val="00306903"/>
    <w:rsid w:val="0031085E"/>
    <w:rsid w:val="00311A67"/>
    <w:rsid w:val="00330CCA"/>
    <w:rsid w:val="003311C0"/>
    <w:rsid w:val="00340CC5"/>
    <w:rsid w:val="00342CA2"/>
    <w:rsid w:val="003438C5"/>
    <w:rsid w:val="00365A9E"/>
    <w:rsid w:val="00380180"/>
    <w:rsid w:val="0038490B"/>
    <w:rsid w:val="003C211F"/>
    <w:rsid w:val="003D542E"/>
    <w:rsid w:val="003F2DE8"/>
    <w:rsid w:val="003F4C14"/>
    <w:rsid w:val="003F6B08"/>
    <w:rsid w:val="004069D0"/>
    <w:rsid w:val="0044589C"/>
    <w:rsid w:val="00446BDC"/>
    <w:rsid w:val="0045569A"/>
    <w:rsid w:val="00457B03"/>
    <w:rsid w:val="004820C8"/>
    <w:rsid w:val="00486672"/>
    <w:rsid w:val="00491487"/>
    <w:rsid w:val="00492373"/>
    <w:rsid w:val="004A4742"/>
    <w:rsid w:val="004E3340"/>
    <w:rsid w:val="004E42B7"/>
    <w:rsid w:val="004E54EB"/>
    <w:rsid w:val="00523E1A"/>
    <w:rsid w:val="00547DED"/>
    <w:rsid w:val="00557967"/>
    <w:rsid w:val="00560189"/>
    <w:rsid w:val="0058085F"/>
    <w:rsid w:val="005A2A26"/>
    <w:rsid w:val="005C0DBC"/>
    <w:rsid w:val="005F5D82"/>
    <w:rsid w:val="00601CF5"/>
    <w:rsid w:val="00605D51"/>
    <w:rsid w:val="0061011A"/>
    <w:rsid w:val="00643F56"/>
    <w:rsid w:val="00660282"/>
    <w:rsid w:val="0067307A"/>
    <w:rsid w:val="00675590"/>
    <w:rsid w:val="0067619B"/>
    <w:rsid w:val="006778C1"/>
    <w:rsid w:val="0068083D"/>
    <w:rsid w:val="006A08DE"/>
    <w:rsid w:val="006C64E7"/>
    <w:rsid w:val="006D065E"/>
    <w:rsid w:val="006D3A7D"/>
    <w:rsid w:val="007016B6"/>
    <w:rsid w:val="00714829"/>
    <w:rsid w:val="00726588"/>
    <w:rsid w:val="0073289F"/>
    <w:rsid w:val="00734333"/>
    <w:rsid w:val="007359F1"/>
    <w:rsid w:val="0074590B"/>
    <w:rsid w:val="00754CEB"/>
    <w:rsid w:val="007A45DF"/>
    <w:rsid w:val="007C1396"/>
    <w:rsid w:val="0080393C"/>
    <w:rsid w:val="0080452E"/>
    <w:rsid w:val="008069E8"/>
    <w:rsid w:val="008150E5"/>
    <w:rsid w:val="00833A12"/>
    <w:rsid w:val="00833F65"/>
    <w:rsid w:val="00852D65"/>
    <w:rsid w:val="00864C9D"/>
    <w:rsid w:val="008704ED"/>
    <w:rsid w:val="00896725"/>
    <w:rsid w:val="008A0BE0"/>
    <w:rsid w:val="00915A5D"/>
    <w:rsid w:val="00930A87"/>
    <w:rsid w:val="00934999"/>
    <w:rsid w:val="009422AA"/>
    <w:rsid w:val="00946949"/>
    <w:rsid w:val="00947192"/>
    <w:rsid w:val="00950CB4"/>
    <w:rsid w:val="0099249C"/>
    <w:rsid w:val="00993264"/>
    <w:rsid w:val="00997DF3"/>
    <w:rsid w:val="009B284D"/>
    <w:rsid w:val="009C2372"/>
    <w:rsid w:val="009C5941"/>
    <w:rsid w:val="00A103E6"/>
    <w:rsid w:val="00A111F7"/>
    <w:rsid w:val="00A17975"/>
    <w:rsid w:val="00A20C72"/>
    <w:rsid w:val="00A2708C"/>
    <w:rsid w:val="00A40533"/>
    <w:rsid w:val="00A47894"/>
    <w:rsid w:val="00A8505E"/>
    <w:rsid w:val="00A8596E"/>
    <w:rsid w:val="00A95D68"/>
    <w:rsid w:val="00AC0581"/>
    <w:rsid w:val="00AC5FF6"/>
    <w:rsid w:val="00AF6562"/>
    <w:rsid w:val="00B02B3D"/>
    <w:rsid w:val="00B1329F"/>
    <w:rsid w:val="00B13B1F"/>
    <w:rsid w:val="00B22272"/>
    <w:rsid w:val="00B4178C"/>
    <w:rsid w:val="00B54DC3"/>
    <w:rsid w:val="00B62215"/>
    <w:rsid w:val="00B85E31"/>
    <w:rsid w:val="00B91D7F"/>
    <w:rsid w:val="00B938D8"/>
    <w:rsid w:val="00BA0A72"/>
    <w:rsid w:val="00BB3181"/>
    <w:rsid w:val="00BD31F8"/>
    <w:rsid w:val="00C252E4"/>
    <w:rsid w:val="00C47585"/>
    <w:rsid w:val="00C5108E"/>
    <w:rsid w:val="00C61621"/>
    <w:rsid w:val="00C74842"/>
    <w:rsid w:val="00CA6954"/>
    <w:rsid w:val="00CB1B50"/>
    <w:rsid w:val="00CB1EF8"/>
    <w:rsid w:val="00CB5B96"/>
    <w:rsid w:val="00CC43D9"/>
    <w:rsid w:val="00CE6DFF"/>
    <w:rsid w:val="00CF4CA5"/>
    <w:rsid w:val="00D115A1"/>
    <w:rsid w:val="00D5448F"/>
    <w:rsid w:val="00D76239"/>
    <w:rsid w:val="00D961BC"/>
    <w:rsid w:val="00DC3782"/>
    <w:rsid w:val="00DC64B8"/>
    <w:rsid w:val="00DC6960"/>
    <w:rsid w:val="00DD6BFE"/>
    <w:rsid w:val="00DE6E1B"/>
    <w:rsid w:val="00E20186"/>
    <w:rsid w:val="00E272B9"/>
    <w:rsid w:val="00E27D3D"/>
    <w:rsid w:val="00E443E7"/>
    <w:rsid w:val="00E616C1"/>
    <w:rsid w:val="00E70F42"/>
    <w:rsid w:val="00E845B5"/>
    <w:rsid w:val="00E95A7F"/>
    <w:rsid w:val="00ED692A"/>
    <w:rsid w:val="00EE65B8"/>
    <w:rsid w:val="00F05F6B"/>
    <w:rsid w:val="00F243FB"/>
    <w:rsid w:val="00F51F1B"/>
    <w:rsid w:val="00F55D7D"/>
    <w:rsid w:val="00F603D4"/>
    <w:rsid w:val="00F65C3E"/>
    <w:rsid w:val="00F76588"/>
    <w:rsid w:val="00F8481F"/>
    <w:rsid w:val="00FC6C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9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85F"/>
    <w:pPr>
      <w:widowControl w:val="0"/>
      <w:autoSpaceDE w:val="0"/>
      <w:autoSpaceDN w:val="0"/>
      <w:adjustRightInd w:val="0"/>
    </w:pPr>
    <w:rPr>
      <w:rFonts w:ascii="Times New" w:hAnsi="Times New" w:cs="Times New"/>
      <w:color w:val="000000"/>
      <w:sz w:val="24"/>
      <w:szCs w:val="24"/>
    </w:rPr>
  </w:style>
  <w:style w:type="paragraph" w:customStyle="1" w:styleId="CM1">
    <w:name w:val="CM1"/>
    <w:basedOn w:val="Default"/>
    <w:next w:val="Default"/>
    <w:rsid w:val="0058085F"/>
    <w:pPr>
      <w:spacing w:line="283" w:lineRule="atLeast"/>
    </w:pPr>
    <w:rPr>
      <w:color w:val="auto"/>
    </w:rPr>
  </w:style>
  <w:style w:type="paragraph" w:customStyle="1" w:styleId="CM18">
    <w:name w:val="CM18"/>
    <w:basedOn w:val="Default"/>
    <w:next w:val="Default"/>
    <w:rsid w:val="0058085F"/>
    <w:pPr>
      <w:spacing w:after="573"/>
    </w:pPr>
    <w:rPr>
      <w:color w:val="auto"/>
    </w:rPr>
  </w:style>
  <w:style w:type="paragraph" w:customStyle="1" w:styleId="CM2">
    <w:name w:val="CM2"/>
    <w:basedOn w:val="Default"/>
    <w:next w:val="Default"/>
    <w:rsid w:val="0058085F"/>
    <w:pPr>
      <w:spacing w:line="283" w:lineRule="atLeast"/>
    </w:pPr>
    <w:rPr>
      <w:color w:val="auto"/>
    </w:rPr>
  </w:style>
  <w:style w:type="paragraph" w:customStyle="1" w:styleId="CM19">
    <w:name w:val="CM19"/>
    <w:basedOn w:val="Default"/>
    <w:next w:val="Default"/>
    <w:rsid w:val="0058085F"/>
    <w:pPr>
      <w:spacing w:after="278"/>
    </w:pPr>
    <w:rPr>
      <w:color w:val="auto"/>
    </w:rPr>
  </w:style>
  <w:style w:type="paragraph" w:customStyle="1" w:styleId="CM3">
    <w:name w:val="CM3"/>
    <w:basedOn w:val="Default"/>
    <w:next w:val="Default"/>
    <w:rsid w:val="0058085F"/>
    <w:pPr>
      <w:spacing w:line="283" w:lineRule="atLeast"/>
    </w:pPr>
    <w:rPr>
      <w:color w:val="auto"/>
    </w:rPr>
  </w:style>
  <w:style w:type="paragraph" w:customStyle="1" w:styleId="CM4">
    <w:name w:val="CM4"/>
    <w:basedOn w:val="Default"/>
    <w:next w:val="Default"/>
    <w:rsid w:val="0058085F"/>
    <w:pPr>
      <w:spacing w:line="283" w:lineRule="atLeast"/>
    </w:pPr>
    <w:rPr>
      <w:color w:val="auto"/>
    </w:rPr>
  </w:style>
  <w:style w:type="paragraph" w:customStyle="1" w:styleId="CM5">
    <w:name w:val="CM5"/>
    <w:basedOn w:val="Default"/>
    <w:next w:val="Default"/>
    <w:rsid w:val="0058085F"/>
    <w:pPr>
      <w:spacing w:line="283" w:lineRule="atLeast"/>
    </w:pPr>
    <w:rPr>
      <w:color w:val="auto"/>
    </w:rPr>
  </w:style>
  <w:style w:type="paragraph" w:customStyle="1" w:styleId="CM6">
    <w:name w:val="CM6"/>
    <w:basedOn w:val="Default"/>
    <w:next w:val="Default"/>
    <w:rsid w:val="0058085F"/>
    <w:pPr>
      <w:spacing w:line="283" w:lineRule="atLeast"/>
    </w:pPr>
    <w:rPr>
      <w:color w:val="auto"/>
    </w:rPr>
  </w:style>
  <w:style w:type="paragraph" w:customStyle="1" w:styleId="CM7">
    <w:name w:val="CM7"/>
    <w:basedOn w:val="Default"/>
    <w:next w:val="Default"/>
    <w:rsid w:val="0058085F"/>
    <w:rPr>
      <w:color w:val="auto"/>
    </w:rPr>
  </w:style>
  <w:style w:type="paragraph" w:customStyle="1" w:styleId="CM8">
    <w:name w:val="CM8"/>
    <w:basedOn w:val="Default"/>
    <w:next w:val="Default"/>
    <w:rsid w:val="0058085F"/>
    <w:pPr>
      <w:spacing w:line="283" w:lineRule="atLeast"/>
    </w:pPr>
    <w:rPr>
      <w:color w:val="auto"/>
    </w:rPr>
  </w:style>
  <w:style w:type="paragraph" w:customStyle="1" w:styleId="CM9">
    <w:name w:val="CM9"/>
    <w:basedOn w:val="Default"/>
    <w:next w:val="Default"/>
    <w:rsid w:val="0058085F"/>
    <w:pPr>
      <w:spacing w:line="283" w:lineRule="atLeast"/>
    </w:pPr>
    <w:rPr>
      <w:color w:val="auto"/>
    </w:rPr>
  </w:style>
  <w:style w:type="paragraph" w:customStyle="1" w:styleId="CM10">
    <w:name w:val="CM10"/>
    <w:basedOn w:val="Default"/>
    <w:next w:val="Default"/>
    <w:rsid w:val="0058085F"/>
    <w:pPr>
      <w:spacing w:line="283" w:lineRule="atLeast"/>
    </w:pPr>
    <w:rPr>
      <w:color w:val="auto"/>
    </w:rPr>
  </w:style>
  <w:style w:type="paragraph" w:customStyle="1" w:styleId="CM11">
    <w:name w:val="CM11"/>
    <w:basedOn w:val="Default"/>
    <w:next w:val="Default"/>
    <w:rsid w:val="0058085F"/>
    <w:pPr>
      <w:spacing w:line="283" w:lineRule="atLeast"/>
    </w:pPr>
    <w:rPr>
      <w:color w:val="auto"/>
    </w:rPr>
  </w:style>
  <w:style w:type="paragraph" w:customStyle="1" w:styleId="CM12">
    <w:name w:val="CM12"/>
    <w:basedOn w:val="Default"/>
    <w:next w:val="Default"/>
    <w:rsid w:val="0058085F"/>
    <w:pPr>
      <w:spacing w:line="283" w:lineRule="atLeast"/>
    </w:pPr>
    <w:rPr>
      <w:color w:val="auto"/>
    </w:rPr>
  </w:style>
  <w:style w:type="paragraph" w:customStyle="1" w:styleId="CM13">
    <w:name w:val="CM13"/>
    <w:basedOn w:val="Default"/>
    <w:next w:val="Default"/>
    <w:rsid w:val="0058085F"/>
    <w:rPr>
      <w:color w:val="auto"/>
    </w:rPr>
  </w:style>
  <w:style w:type="paragraph" w:customStyle="1" w:styleId="CM22">
    <w:name w:val="CM22"/>
    <w:basedOn w:val="Default"/>
    <w:next w:val="Default"/>
    <w:rsid w:val="0058085F"/>
    <w:pPr>
      <w:spacing w:after="403"/>
    </w:pPr>
    <w:rPr>
      <w:color w:val="auto"/>
    </w:rPr>
  </w:style>
  <w:style w:type="paragraph" w:customStyle="1" w:styleId="CM14">
    <w:name w:val="CM14"/>
    <w:basedOn w:val="Default"/>
    <w:next w:val="Default"/>
    <w:rsid w:val="0058085F"/>
    <w:pPr>
      <w:spacing w:line="283" w:lineRule="atLeast"/>
    </w:pPr>
    <w:rPr>
      <w:color w:val="auto"/>
    </w:rPr>
  </w:style>
  <w:style w:type="paragraph" w:customStyle="1" w:styleId="CM15">
    <w:name w:val="CM15"/>
    <w:basedOn w:val="Default"/>
    <w:next w:val="Default"/>
    <w:rsid w:val="0058085F"/>
    <w:pPr>
      <w:spacing w:line="243" w:lineRule="atLeast"/>
    </w:pPr>
    <w:rPr>
      <w:color w:val="auto"/>
    </w:rPr>
  </w:style>
  <w:style w:type="paragraph" w:customStyle="1" w:styleId="CM17">
    <w:name w:val="CM17"/>
    <w:basedOn w:val="Default"/>
    <w:next w:val="Default"/>
    <w:rsid w:val="0058085F"/>
    <w:pPr>
      <w:spacing w:line="243" w:lineRule="atLeast"/>
    </w:pPr>
    <w:rPr>
      <w:color w:val="auto"/>
    </w:rPr>
  </w:style>
  <w:style w:type="paragraph" w:customStyle="1" w:styleId="CM20">
    <w:name w:val="CM20"/>
    <w:basedOn w:val="Default"/>
    <w:next w:val="Default"/>
    <w:rsid w:val="0058085F"/>
    <w:pPr>
      <w:spacing w:after="470"/>
    </w:pPr>
    <w:rPr>
      <w:color w:val="auto"/>
    </w:rPr>
  </w:style>
  <w:style w:type="paragraph" w:styleId="Header">
    <w:name w:val="header"/>
    <w:basedOn w:val="Normal"/>
    <w:rsid w:val="00915A5D"/>
    <w:pPr>
      <w:tabs>
        <w:tab w:val="center" w:pos="4320"/>
        <w:tab w:val="right" w:pos="8640"/>
      </w:tabs>
    </w:pPr>
  </w:style>
  <w:style w:type="paragraph" w:styleId="Footer">
    <w:name w:val="footer"/>
    <w:basedOn w:val="Normal"/>
    <w:rsid w:val="00915A5D"/>
    <w:pPr>
      <w:tabs>
        <w:tab w:val="center" w:pos="4320"/>
        <w:tab w:val="right" w:pos="8640"/>
      </w:tabs>
    </w:pPr>
  </w:style>
  <w:style w:type="character" w:styleId="PageNumber">
    <w:name w:val="page number"/>
    <w:basedOn w:val="DefaultParagraphFont"/>
    <w:rsid w:val="00915A5D"/>
  </w:style>
  <w:style w:type="table" w:styleId="TableGrid">
    <w:name w:val="Table Grid"/>
    <w:basedOn w:val="TableNormal"/>
    <w:rsid w:val="00192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110383"/>
    <w:rPr>
      <w:sz w:val="20"/>
      <w:szCs w:val="20"/>
    </w:rPr>
  </w:style>
  <w:style w:type="character" w:styleId="EndnoteReference">
    <w:name w:val="endnote reference"/>
    <w:basedOn w:val="DefaultParagraphFont"/>
    <w:semiHidden/>
    <w:rsid w:val="00110383"/>
    <w:rPr>
      <w:vertAlign w:val="superscript"/>
    </w:rPr>
  </w:style>
  <w:style w:type="character" w:customStyle="1" w:styleId="banner-usdol1">
    <w:name w:val="banner-usdol1"/>
    <w:basedOn w:val="DefaultParagraphFont"/>
    <w:rsid w:val="00110383"/>
    <w:rPr>
      <w:rFonts w:ascii="Verdana" w:hAnsi="Verdana" w:hint="default"/>
      <w:b/>
      <w:bCs/>
      <w:color w:val="003399"/>
      <w:sz w:val="32"/>
      <w:szCs w:val="32"/>
    </w:rPr>
  </w:style>
  <w:style w:type="character" w:customStyle="1" w:styleId="banner-agency1">
    <w:name w:val="banner-agency1"/>
    <w:basedOn w:val="DefaultParagraphFont"/>
    <w:rsid w:val="00110383"/>
    <w:rPr>
      <w:rFonts w:ascii="Verdana" w:hAnsi="Verdana" w:hint="default"/>
      <w:b/>
      <w:bCs/>
      <w:color w:val="003399"/>
      <w:sz w:val="24"/>
      <w:szCs w:val="24"/>
    </w:rPr>
  </w:style>
  <w:style w:type="character" w:customStyle="1" w:styleId="banner-tagline1">
    <w:name w:val="banner-tagline1"/>
    <w:basedOn w:val="DefaultParagraphFont"/>
    <w:rsid w:val="00110383"/>
    <w:rPr>
      <w:rFonts w:ascii="Verdana" w:hAnsi="Verdana" w:hint="default"/>
      <w:i/>
      <w:iCs/>
      <w:color w:val="003399"/>
      <w:sz w:val="20"/>
      <w:szCs w:val="20"/>
    </w:rPr>
  </w:style>
  <w:style w:type="character" w:styleId="Hyperlink">
    <w:name w:val="Hyperlink"/>
    <w:basedOn w:val="DefaultParagraphFont"/>
    <w:rsid w:val="00110383"/>
    <w:rPr>
      <w:color w:val="0000FF"/>
      <w:u w:val="single"/>
    </w:rPr>
  </w:style>
  <w:style w:type="character" w:styleId="CommentReference">
    <w:name w:val="annotation reference"/>
    <w:basedOn w:val="DefaultParagraphFont"/>
    <w:semiHidden/>
    <w:rsid w:val="00660282"/>
    <w:rPr>
      <w:sz w:val="16"/>
      <w:szCs w:val="16"/>
    </w:rPr>
  </w:style>
  <w:style w:type="paragraph" w:styleId="CommentText">
    <w:name w:val="annotation text"/>
    <w:basedOn w:val="Normal"/>
    <w:semiHidden/>
    <w:rsid w:val="00660282"/>
    <w:rPr>
      <w:sz w:val="20"/>
      <w:szCs w:val="20"/>
    </w:rPr>
  </w:style>
  <w:style w:type="paragraph" w:styleId="CommentSubject">
    <w:name w:val="annotation subject"/>
    <w:basedOn w:val="CommentText"/>
    <w:next w:val="CommentText"/>
    <w:semiHidden/>
    <w:rsid w:val="00660282"/>
    <w:rPr>
      <w:b/>
      <w:bCs/>
    </w:rPr>
  </w:style>
  <w:style w:type="paragraph" w:styleId="BalloonText">
    <w:name w:val="Balloon Text"/>
    <w:basedOn w:val="Normal"/>
    <w:semiHidden/>
    <w:rsid w:val="00660282"/>
    <w:rPr>
      <w:rFonts w:ascii="Tahoma" w:hAnsi="Tahoma" w:cs="Tahoma"/>
      <w:sz w:val="16"/>
      <w:szCs w:val="16"/>
    </w:rPr>
  </w:style>
  <w:style w:type="paragraph" w:customStyle="1" w:styleId="BodyFirstline05After12pt">
    <w:name w:val="Body First line:  0.5&quot; After:  12 pt"/>
    <w:basedOn w:val="Normal"/>
    <w:rsid w:val="00ED692A"/>
    <w:pPr>
      <w:spacing w:after="240"/>
      <w:ind w:firstLine="720"/>
    </w:pPr>
  </w:style>
  <w:style w:type="character" w:customStyle="1" w:styleId="Italic">
    <w:name w:val="Italic"/>
    <w:basedOn w:val="DefaultParagraphFont"/>
    <w:rsid w:val="00ED692A"/>
    <w:rPr>
      <w:i/>
    </w:rPr>
  </w:style>
  <w:style w:type="character" w:customStyle="1" w:styleId="Subscript">
    <w:name w:val="Subscript"/>
    <w:basedOn w:val="DefaultParagraphFont"/>
    <w:rsid w:val="00ED692A"/>
    <w:rPr>
      <w:vertAlign w:val="subscript"/>
    </w:rPr>
  </w:style>
  <w:style w:type="paragraph" w:customStyle="1" w:styleId="SectionSubheading">
    <w:name w:val="Section Subheading"/>
    <w:basedOn w:val="Normal"/>
    <w:rsid w:val="00ED692A"/>
    <w:pPr>
      <w:keepNext/>
      <w:spacing w:after="240"/>
      <w:ind w:firstLine="720"/>
    </w:pPr>
    <w:rPr>
      <w:b/>
    </w:rPr>
  </w:style>
  <w:style w:type="character" w:customStyle="1" w:styleId="Superscript">
    <w:name w:val="Superscript"/>
    <w:basedOn w:val="DefaultParagraphFont"/>
    <w:rsid w:val="00ED692A"/>
    <w:rPr>
      <w:vertAlign w:val="superscript"/>
    </w:rPr>
  </w:style>
  <w:style w:type="paragraph" w:customStyle="1" w:styleId="SectionHeading">
    <w:name w:val="Section Heading"/>
    <w:basedOn w:val="Normal"/>
    <w:rsid w:val="00ED692A"/>
    <w:pPr>
      <w:keepNext/>
      <w:spacing w:after="240"/>
    </w:pPr>
    <w:rPr>
      <w:b/>
    </w:rPr>
  </w:style>
  <w:style w:type="paragraph" w:customStyle="1" w:styleId="SectionLevel3Heading">
    <w:name w:val="Section Level 3 Heading"/>
    <w:basedOn w:val="Normal"/>
    <w:rsid w:val="000C6CCE"/>
    <w:pPr>
      <w:keepNext/>
      <w:spacing w:after="240"/>
      <w:ind w:left="1440"/>
    </w:pPr>
  </w:style>
  <w:style w:type="character" w:customStyle="1" w:styleId="Underline">
    <w:name w:val="Underline"/>
    <w:basedOn w:val="DefaultParagraphFont"/>
    <w:rsid w:val="00ED692A"/>
    <w:rPr>
      <w:u w:val="single"/>
    </w:rPr>
  </w:style>
  <w:style w:type="paragraph" w:customStyle="1" w:styleId="TableTitle">
    <w:name w:val="Table Title"/>
    <w:basedOn w:val="Normal"/>
    <w:rsid w:val="000C6CCE"/>
    <w:pPr>
      <w:keepNext/>
      <w:spacing w:after="240"/>
      <w:jc w:val="center"/>
    </w:pPr>
    <w:rPr>
      <w:b/>
    </w:rPr>
  </w:style>
  <w:style w:type="paragraph" w:customStyle="1" w:styleId="Table11ptColumnHeading">
    <w:name w:val="Table 11 pt Column Heading"/>
    <w:basedOn w:val="Normal"/>
    <w:rsid w:val="006D3A7D"/>
    <w:pPr>
      <w:keepNext/>
      <w:spacing w:before="40" w:after="40"/>
      <w:jc w:val="center"/>
    </w:pPr>
    <w:rPr>
      <w:sz w:val="22"/>
    </w:rPr>
  </w:style>
  <w:style w:type="paragraph" w:customStyle="1" w:styleId="TableTextCenter11pt">
    <w:name w:val="Table Text Center 11 pt"/>
    <w:basedOn w:val="TableText11pt"/>
    <w:rsid w:val="006D3A7D"/>
    <w:pPr>
      <w:jc w:val="center"/>
    </w:pPr>
  </w:style>
  <w:style w:type="paragraph" w:customStyle="1" w:styleId="TableTextIndent025">
    <w:name w:val="Table Text Indent 0.25"/>
    <w:basedOn w:val="TableText11pt"/>
    <w:rsid w:val="000540CB"/>
    <w:pPr>
      <w:ind w:left="360"/>
    </w:pPr>
  </w:style>
  <w:style w:type="paragraph" w:customStyle="1" w:styleId="TableTextIndent05">
    <w:name w:val="Table Text Indent 0.5"/>
    <w:basedOn w:val="TableTextIndent025"/>
    <w:rsid w:val="000C6CCE"/>
    <w:pPr>
      <w:ind w:left="720"/>
    </w:pPr>
  </w:style>
  <w:style w:type="paragraph" w:customStyle="1" w:styleId="10ptFootnoteandTable">
    <w:name w:val="10 pt Footnote and Table"/>
    <w:basedOn w:val="Normal"/>
    <w:rsid w:val="000C6CCE"/>
    <w:rPr>
      <w:sz w:val="20"/>
    </w:rPr>
  </w:style>
  <w:style w:type="paragraph" w:customStyle="1" w:styleId="TableTextCenter10pt">
    <w:name w:val="Table Text Center 10 pt"/>
    <w:basedOn w:val="TableTextCenter11pt"/>
    <w:rsid w:val="00993264"/>
    <w:rPr>
      <w:sz w:val="20"/>
    </w:rPr>
  </w:style>
  <w:style w:type="paragraph" w:customStyle="1" w:styleId="TableTextIndent0310pt">
    <w:name w:val="Table Text Indent 0.3 10 pt"/>
    <w:basedOn w:val="TableText10pt"/>
    <w:rsid w:val="00605D51"/>
    <w:pPr>
      <w:ind w:left="720" w:hanging="288"/>
    </w:pPr>
  </w:style>
  <w:style w:type="paragraph" w:customStyle="1" w:styleId="TableTextIndent0110pt">
    <w:name w:val="Table Text Indent 0.1 10 pt"/>
    <w:basedOn w:val="TableText10pt"/>
    <w:rsid w:val="006D3A7D"/>
    <w:pPr>
      <w:autoSpaceDE w:val="0"/>
      <w:autoSpaceDN w:val="0"/>
      <w:adjustRightInd w:val="0"/>
      <w:ind w:left="144"/>
    </w:pPr>
  </w:style>
  <w:style w:type="paragraph" w:customStyle="1" w:styleId="QuoteOffset">
    <w:name w:val="Quote Offset"/>
    <w:basedOn w:val="Normal"/>
    <w:rsid w:val="00605D51"/>
    <w:pPr>
      <w:spacing w:after="240"/>
      <w:ind w:left="1440" w:right="1166"/>
      <w:jc w:val="both"/>
    </w:pPr>
  </w:style>
  <w:style w:type="character" w:customStyle="1" w:styleId="Bold">
    <w:name w:val="Bold"/>
    <w:basedOn w:val="DefaultParagraphFont"/>
    <w:rsid w:val="00605D51"/>
    <w:rPr>
      <w:b/>
    </w:rPr>
  </w:style>
  <w:style w:type="paragraph" w:customStyle="1" w:styleId="DocumentTitle">
    <w:name w:val="Document Title"/>
    <w:basedOn w:val="Normal"/>
    <w:rsid w:val="00605D51"/>
    <w:pPr>
      <w:jc w:val="center"/>
    </w:pPr>
  </w:style>
  <w:style w:type="paragraph" w:styleId="Revision">
    <w:name w:val="Revision"/>
    <w:hidden/>
    <w:uiPriority w:val="99"/>
    <w:semiHidden/>
    <w:rsid w:val="003311C0"/>
    <w:rPr>
      <w:sz w:val="24"/>
      <w:szCs w:val="24"/>
    </w:rPr>
  </w:style>
  <w:style w:type="paragraph" w:customStyle="1" w:styleId="TableIndent">
    <w:name w:val="Table Indent"/>
    <w:basedOn w:val="Normal"/>
    <w:rsid w:val="00B91D7F"/>
    <w:pPr>
      <w:ind w:left="360"/>
    </w:pPr>
  </w:style>
  <w:style w:type="paragraph" w:customStyle="1" w:styleId="Dividingline">
    <w:name w:val="Dividing line"/>
    <w:basedOn w:val="Normal"/>
    <w:rsid w:val="0068083D"/>
    <w:pPr>
      <w:pBdr>
        <w:bottom w:val="single" w:sz="6" w:space="1" w:color="auto"/>
      </w:pBdr>
    </w:pPr>
    <w:rPr>
      <w:sz w:val="16"/>
    </w:rPr>
  </w:style>
  <w:style w:type="paragraph" w:customStyle="1" w:styleId="TableText11pt">
    <w:name w:val="Table Text 11 pt"/>
    <w:basedOn w:val="Normal"/>
    <w:rsid w:val="006778C1"/>
    <w:pPr>
      <w:keepNext/>
      <w:spacing w:before="40" w:after="40"/>
    </w:pPr>
    <w:rPr>
      <w:sz w:val="22"/>
    </w:rPr>
  </w:style>
  <w:style w:type="paragraph" w:customStyle="1" w:styleId="TableText10pt">
    <w:name w:val="Table Text 10 pt"/>
    <w:basedOn w:val="TableText11pt"/>
    <w:rsid w:val="006778C1"/>
    <w:rPr>
      <w:sz w:val="20"/>
      <w:szCs w:val="20"/>
    </w:rPr>
  </w:style>
  <w:style w:type="paragraph" w:customStyle="1" w:styleId="TableFootnote">
    <w:name w:val="Table Footnote"/>
    <w:basedOn w:val="Normal"/>
    <w:rsid w:val="0068083D"/>
    <w:pPr>
      <w:spacing w:before="40"/>
      <w:ind w:left="187" w:hanging="187"/>
    </w:pPr>
    <w:rPr>
      <w:sz w:val="20"/>
      <w:szCs w:val="20"/>
    </w:rPr>
  </w:style>
  <w:style w:type="paragraph" w:customStyle="1" w:styleId="8pt">
    <w:name w:val="8 pt"/>
    <w:basedOn w:val="Normal"/>
    <w:rsid w:val="0068083D"/>
    <w:rPr>
      <w:sz w:val="16"/>
    </w:rPr>
  </w:style>
  <w:style w:type="paragraph" w:customStyle="1" w:styleId="10pt">
    <w:name w:val="10 pt"/>
    <w:basedOn w:val="Normal"/>
    <w:rsid w:val="0068083D"/>
    <w:rPr>
      <w:sz w:val="20"/>
    </w:rPr>
  </w:style>
  <w:style w:type="paragraph" w:customStyle="1" w:styleId="Table10ptColumnHeading">
    <w:name w:val="Table 10 pt Column Heading"/>
    <w:basedOn w:val="Table11ptColumnHeading"/>
    <w:rsid w:val="006778C1"/>
    <w:rPr>
      <w:sz w:val="20"/>
    </w:rPr>
  </w:style>
  <w:style w:type="paragraph" w:customStyle="1" w:styleId="TableTextIndent0310ptLast">
    <w:name w:val="Table Text Indent 0.3 10 pt Last"/>
    <w:basedOn w:val="TableTextIndent0310pt"/>
    <w:rsid w:val="006778C1"/>
    <w:pPr>
      <w:keepNext w:val="0"/>
    </w:pPr>
  </w:style>
  <w:style w:type="paragraph" w:customStyle="1" w:styleId="TableTextIndent05Last">
    <w:name w:val="Table Text Indent 0.5 Last"/>
    <w:basedOn w:val="TableTextIndent05"/>
    <w:rsid w:val="006778C1"/>
    <w:pPr>
      <w:keepNext w:val="0"/>
    </w:pPr>
  </w:style>
  <w:style w:type="paragraph" w:customStyle="1" w:styleId="TableTextIndent0110ptLast">
    <w:name w:val="Table Text Indent 0.1 10 pt Last"/>
    <w:basedOn w:val="TableTextIndent0110pt"/>
    <w:rsid w:val="006778C1"/>
    <w:pPr>
      <w:keepNext w:val="0"/>
    </w:pPr>
  </w:style>
</w:styles>
</file>

<file path=word/webSettings.xml><?xml version="1.0" encoding="utf-8"?>
<w:webSettings xmlns:r="http://schemas.openxmlformats.org/officeDocument/2006/relationships" xmlns:w="http://schemas.openxmlformats.org/wordprocessingml/2006/main">
  <w:divs>
    <w:div w:id="19936221">
      <w:bodyDiv w:val="1"/>
      <w:marLeft w:val="0"/>
      <w:marRight w:val="0"/>
      <w:marTop w:val="0"/>
      <w:marBottom w:val="0"/>
      <w:divBdr>
        <w:top w:val="none" w:sz="0" w:space="0" w:color="auto"/>
        <w:left w:val="none" w:sz="0" w:space="0" w:color="auto"/>
        <w:bottom w:val="none" w:sz="0" w:space="0" w:color="auto"/>
        <w:right w:val="none" w:sz="0" w:space="0" w:color="auto"/>
      </w:divBdr>
    </w:div>
    <w:div w:id="102893596">
      <w:bodyDiv w:val="1"/>
      <w:marLeft w:val="0"/>
      <w:marRight w:val="0"/>
      <w:marTop w:val="0"/>
      <w:marBottom w:val="0"/>
      <w:divBdr>
        <w:top w:val="none" w:sz="0" w:space="0" w:color="auto"/>
        <w:left w:val="none" w:sz="0" w:space="0" w:color="auto"/>
        <w:bottom w:val="none" w:sz="0" w:space="0" w:color="auto"/>
        <w:right w:val="none" w:sz="0" w:space="0" w:color="auto"/>
      </w:divBdr>
    </w:div>
    <w:div w:id="145900793">
      <w:bodyDiv w:val="1"/>
      <w:marLeft w:val="0"/>
      <w:marRight w:val="0"/>
      <w:marTop w:val="0"/>
      <w:marBottom w:val="0"/>
      <w:divBdr>
        <w:top w:val="none" w:sz="0" w:space="0" w:color="auto"/>
        <w:left w:val="none" w:sz="0" w:space="0" w:color="auto"/>
        <w:bottom w:val="none" w:sz="0" w:space="0" w:color="auto"/>
        <w:right w:val="none" w:sz="0" w:space="0" w:color="auto"/>
      </w:divBdr>
    </w:div>
    <w:div w:id="152450256">
      <w:bodyDiv w:val="1"/>
      <w:marLeft w:val="0"/>
      <w:marRight w:val="0"/>
      <w:marTop w:val="0"/>
      <w:marBottom w:val="0"/>
      <w:divBdr>
        <w:top w:val="none" w:sz="0" w:space="0" w:color="auto"/>
        <w:left w:val="none" w:sz="0" w:space="0" w:color="auto"/>
        <w:bottom w:val="none" w:sz="0" w:space="0" w:color="auto"/>
        <w:right w:val="none" w:sz="0" w:space="0" w:color="auto"/>
      </w:divBdr>
    </w:div>
    <w:div w:id="208032615">
      <w:bodyDiv w:val="1"/>
      <w:marLeft w:val="0"/>
      <w:marRight w:val="0"/>
      <w:marTop w:val="0"/>
      <w:marBottom w:val="0"/>
      <w:divBdr>
        <w:top w:val="none" w:sz="0" w:space="0" w:color="auto"/>
        <w:left w:val="none" w:sz="0" w:space="0" w:color="auto"/>
        <w:bottom w:val="none" w:sz="0" w:space="0" w:color="auto"/>
        <w:right w:val="none" w:sz="0" w:space="0" w:color="auto"/>
      </w:divBdr>
    </w:div>
    <w:div w:id="222060693">
      <w:bodyDiv w:val="1"/>
      <w:marLeft w:val="0"/>
      <w:marRight w:val="0"/>
      <w:marTop w:val="0"/>
      <w:marBottom w:val="0"/>
      <w:divBdr>
        <w:top w:val="none" w:sz="0" w:space="0" w:color="auto"/>
        <w:left w:val="none" w:sz="0" w:space="0" w:color="auto"/>
        <w:bottom w:val="none" w:sz="0" w:space="0" w:color="auto"/>
        <w:right w:val="none" w:sz="0" w:space="0" w:color="auto"/>
      </w:divBdr>
    </w:div>
    <w:div w:id="223755998">
      <w:bodyDiv w:val="1"/>
      <w:marLeft w:val="0"/>
      <w:marRight w:val="0"/>
      <w:marTop w:val="0"/>
      <w:marBottom w:val="0"/>
      <w:divBdr>
        <w:top w:val="none" w:sz="0" w:space="0" w:color="auto"/>
        <w:left w:val="none" w:sz="0" w:space="0" w:color="auto"/>
        <w:bottom w:val="none" w:sz="0" w:space="0" w:color="auto"/>
        <w:right w:val="none" w:sz="0" w:space="0" w:color="auto"/>
      </w:divBdr>
    </w:div>
    <w:div w:id="227501692">
      <w:bodyDiv w:val="1"/>
      <w:marLeft w:val="0"/>
      <w:marRight w:val="0"/>
      <w:marTop w:val="0"/>
      <w:marBottom w:val="0"/>
      <w:divBdr>
        <w:top w:val="none" w:sz="0" w:space="0" w:color="auto"/>
        <w:left w:val="none" w:sz="0" w:space="0" w:color="auto"/>
        <w:bottom w:val="none" w:sz="0" w:space="0" w:color="auto"/>
        <w:right w:val="none" w:sz="0" w:space="0" w:color="auto"/>
      </w:divBdr>
    </w:div>
    <w:div w:id="231045926">
      <w:bodyDiv w:val="1"/>
      <w:marLeft w:val="0"/>
      <w:marRight w:val="0"/>
      <w:marTop w:val="0"/>
      <w:marBottom w:val="0"/>
      <w:divBdr>
        <w:top w:val="none" w:sz="0" w:space="0" w:color="auto"/>
        <w:left w:val="none" w:sz="0" w:space="0" w:color="auto"/>
        <w:bottom w:val="none" w:sz="0" w:space="0" w:color="auto"/>
        <w:right w:val="none" w:sz="0" w:space="0" w:color="auto"/>
      </w:divBdr>
    </w:div>
    <w:div w:id="281423971">
      <w:bodyDiv w:val="1"/>
      <w:marLeft w:val="0"/>
      <w:marRight w:val="0"/>
      <w:marTop w:val="0"/>
      <w:marBottom w:val="0"/>
      <w:divBdr>
        <w:top w:val="none" w:sz="0" w:space="0" w:color="auto"/>
        <w:left w:val="none" w:sz="0" w:space="0" w:color="auto"/>
        <w:bottom w:val="none" w:sz="0" w:space="0" w:color="auto"/>
        <w:right w:val="none" w:sz="0" w:space="0" w:color="auto"/>
      </w:divBdr>
    </w:div>
    <w:div w:id="336615906">
      <w:bodyDiv w:val="1"/>
      <w:marLeft w:val="0"/>
      <w:marRight w:val="0"/>
      <w:marTop w:val="0"/>
      <w:marBottom w:val="0"/>
      <w:divBdr>
        <w:top w:val="none" w:sz="0" w:space="0" w:color="auto"/>
        <w:left w:val="none" w:sz="0" w:space="0" w:color="auto"/>
        <w:bottom w:val="none" w:sz="0" w:space="0" w:color="auto"/>
        <w:right w:val="none" w:sz="0" w:space="0" w:color="auto"/>
      </w:divBdr>
    </w:div>
    <w:div w:id="371661552">
      <w:bodyDiv w:val="1"/>
      <w:marLeft w:val="0"/>
      <w:marRight w:val="0"/>
      <w:marTop w:val="0"/>
      <w:marBottom w:val="0"/>
      <w:divBdr>
        <w:top w:val="none" w:sz="0" w:space="0" w:color="auto"/>
        <w:left w:val="none" w:sz="0" w:space="0" w:color="auto"/>
        <w:bottom w:val="none" w:sz="0" w:space="0" w:color="auto"/>
        <w:right w:val="none" w:sz="0" w:space="0" w:color="auto"/>
      </w:divBdr>
    </w:div>
    <w:div w:id="374279005">
      <w:bodyDiv w:val="1"/>
      <w:marLeft w:val="0"/>
      <w:marRight w:val="0"/>
      <w:marTop w:val="0"/>
      <w:marBottom w:val="0"/>
      <w:divBdr>
        <w:top w:val="none" w:sz="0" w:space="0" w:color="auto"/>
        <w:left w:val="none" w:sz="0" w:space="0" w:color="auto"/>
        <w:bottom w:val="none" w:sz="0" w:space="0" w:color="auto"/>
        <w:right w:val="none" w:sz="0" w:space="0" w:color="auto"/>
      </w:divBdr>
    </w:div>
    <w:div w:id="385034419">
      <w:bodyDiv w:val="1"/>
      <w:marLeft w:val="0"/>
      <w:marRight w:val="0"/>
      <w:marTop w:val="0"/>
      <w:marBottom w:val="0"/>
      <w:divBdr>
        <w:top w:val="none" w:sz="0" w:space="0" w:color="auto"/>
        <w:left w:val="none" w:sz="0" w:space="0" w:color="auto"/>
        <w:bottom w:val="none" w:sz="0" w:space="0" w:color="auto"/>
        <w:right w:val="none" w:sz="0" w:space="0" w:color="auto"/>
      </w:divBdr>
    </w:div>
    <w:div w:id="388960031">
      <w:bodyDiv w:val="1"/>
      <w:marLeft w:val="0"/>
      <w:marRight w:val="0"/>
      <w:marTop w:val="0"/>
      <w:marBottom w:val="0"/>
      <w:divBdr>
        <w:top w:val="none" w:sz="0" w:space="0" w:color="auto"/>
        <w:left w:val="none" w:sz="0" w:space="0" w:color="auto"/>
        <w:bottom w:val="none" w:sz="0" w:space="0" w:color="auto"/>
        <w:right w:val="none" w:sz="0" w:space="0" w:color="auto"/>
      </w:divBdr>
    </w:div>
    <w:div w:id="443622739">
      <w:bodyDiv w:val="1"/>
      <w:marLeft w:val="0"/>
      <w:marRight w:val="0"/>
      <w:marTop w:val="0"/>
      <w:marBottom w:val="0"/>
      <w:divBdr>
        <w:top w:val="none" w:sz="0" w:space="0" w:color="auto"/>
        <w:left w:val="none" w:sz="0" w:space="0" w:color="auto"/>
        <w:bottom w:val="none" w:sz="0" w:space="0" w:color="auto"/>
        <w:right w:val="none" w:sz="0" w:space="0" w:color="auto"/>
      </w:divBdr>
    </w:div>
    <w:div w:id="460418061">
      <w:bodyDiv w:val="1"/>
      <w:marLeft w:val="0"/>
      <w:marRight w:val="0"/>
      <w:marTop w:val="0"/>
      <w:marBottom w:val="0"/>
      <w:divBdr>
        <w:top w:val="none" w:sz="0" w:space="0" w:color="auto"/>
        <w:left w:val="none" w:sz="0" w:space="0" w:color="auto"/>
        <w:bottom w:val="none" w:sz="0" w:space="0" w:color="auto"/>
        <w:right w:val="none" w:sz="0" w:space="0" w:color="auto"/>
      </w:divBdr>
    </w:div>
    <w:div w:id="565918335">
      <w:bodyDiv w:val="1"/>
      <w:marLeft w:val="0"/>
      <w:marRight w:val="0"/>
      <w:marTop w:val="0"/>
      <w:marBottom w:val="0"/>
      <w:divBdr>
        <w:top w:val="none" w:sz="0" w:space="0" w:color="auto"/>
        <w:left w:val="none" w:sz="0" w:space="0" w:color="auto"/>
        <w:bottom w:val="none" w:sz="0" w:space="0" w:color="auto"/>
        <w:right w:val="none" w:sz="0" w:space="0" w:color="auto"/>
      </w:divBdr>
    </w:div>
    <w:div w:id="603004460">
      <w:bodyDiv w:val="1"/>
      <w:marLeft w:val="0"/>
      <w:marRight w:val="0"/>
      <w:marTop w:val="0"/>
      <w:marBottom w:val="0"/>
      <w:divBdr>
        <w:top w:val="none" w:sz="0" w:space="0" w:color="auto"/>
        <w:left w:val="none" w:sz="0" w:space="0" w:color="auto"/>
        <w:bottom w:val="none" w:sz="0" w:space="0" w:color="auto"/>
        <w:right w:val="none" w:sz="0" w:space="0" w:color="auto"/>
      </w:divBdr>
    </w:div>
    <w:div w:id="747456499">
      <w:bodyDiv w:val="1"/>
      <w:marLeft w:val="0"/>
      <w:marRight w:val="0"/>
      <w:marTop w:val="0"/>
      <w:marBottom w:val="0"/>
      <w:divBdr>
        <w:top w:val="none" w:sz="0" w:space="0" w:color="auto"/>
        <w:left w:val="none" w:sz="0" w:space="0" w:color="auto"/>
        <w:bottom w:val="none" w:sz="0" w:space="0" w:color="auto"/>
        <w:right w:val="none" w:sz="0" w:space="0" w:color="auto"/>
      </w:divBdr>
    </w:div>
    <w:div w:id="756177374">
      <w:bodyDiv w:val="1"/>
      <w:marLeft w:val="0"/>
      <w:marRight w:val="0"/>
      <w:marTop w:val="0"/>
      <w:marBottom w:val="0"/>
      <w:divBdr>
        <w:top w:val="none" w:sz="0" w:space="0" w:color="auto"/>
        <w:left w:val="none" w:sz="0" w:space="0" w:color="auto"/>
        <w:bottom w:val="none" w:sz="0" w:space="0" w:color="auto"/>
        <w:right w:val="none" w:sz="0" w:space="0" w:color="auto"/>
      </w:divBdr>
    </w:div>
    <w:div w:id="761610044">
      <w:bodyDiv w:val="1"/>
      <w:marLeft w:val="0"/>
      <w:marRight w:val="0"/>
      <w:marTop w:val="0"/>
      <w:marBottom w:val="0"/>
      <w:divBdr>
        <w:top w:val="none" w:sz="0" w:space="0" w:color="auto"/>
        <w:left w:val="none" w:sz="0" w:space="0" w:color="auto"/>
        <w:bottom w:val="none" w:sz="0" w:space="0" w:color="auto"/>
        <w:right w:val="none" w:sz="0" w:space="0" w:color="auto"/>
      </w:divBdr>
    </w:div>
    <w:div w:id="823620847">
      <w:bodyDiv w:val="1"/>
      <w:marLeft w:val="0"/>
      <w:marRight w:val="0"/>
      <w:marTop w:val="0"/>
      <w:marBottom w:val="0"/>
      <w:divBdr>
        <w:top w:val="none" w:sz="0" w:space="0" w:color="auto"/>
        <w:left w:val="none" w:sz="0" w:space="0" w:color="auto"/>
        <w:bottom w:val="none" w:sz="0" w:space="0" w:color="auto"/>
        <w:right w:val="none" w:sz="0" w:space="0" w:color="auto"/>
      </w:divBdr>
    </w:div>
    <w:div w:id="843742407">
      <w:bodyDiv w:val="1"/>
      <w:marLeft w:val="0"/>
      <w:marRight w:val="0"/>
      <w:marTop w:val="0"/>
      <w:marBottom w:val="0"/>
      <w:divBdr>
        <w:top w:val="none" w:sz="0" w:space="0" w:color="auto"/>
        <w:left w:val="none" w:sz="0" w:space="0" w:color="auto"/>
        <w:bottom w:val="none" w:sz="0" w:space="0" w:color="auto"/>
        <w:right w:val="none" w:sz="0" w:space="0" w:color="auto"/>
      </w:divBdr>
    </w:div>
    <w:div w:id="854073314">
      <w:bodyDiv w:val="1"/>
      <w:marLeft w:val="0"/>
      <w:marRight w:val="0"/>
      <w:marTop w:val="0"/>
      <w:marBottom w:val="0"/>
      <w:divBdr>
        <w:top w:val="none" w:sz="0" w:space="0" w:color="auto"/>
        <w:left w:val="none" w:sz="0" w:space="0" w:color="auto"/>
        <w:bottom w:val="none" w:sz="0" w:space="0" w:color="auto"/>
        <w:right w:val="none" w:sz="0" w:space="0" w:color="auto"/>
      </w:divBdr>
    </w:div>
    <w:div w:id="892081786">
      <w:bodyDiv w:val="1"/>
      <w:marLeft w:val="0"/>
      <w:marRight w:val="0"/>
      <w:marTop w:val="0"/>
      <w:marBottom w:val="0"/>
      <w:divBdr>
        <w:top w:val="none" w:sz="0" w:space="0" w:color="auto"/>
        <w:left w:val="none" w:sz="0" w:space="0" w:color="auto"/>
        <w:bottom w:val="none" w:sz="0" w:space="0" w:color="auto"/>
        <w:right w:val="none" w:sz="0" w:space="0" w:color="auto"/>
      </w:divBdr>
    </w:div>
    <w:div w:id="955284484">
      <w:bodyDiv w:val="1"/>
      <w:marLeft w:val="0"/>
      <w:marRight w:val="0"/>
      <w:marTop w:val="0"/>
      <w:marBottom w:val="0"/>
      <w:divBdr>
        <w:top w:val="none" w:sz="0" w:space="0" w:color="auto"/>
        <w:left w:val="none" w:sz="0" w:space="0" w:color="auto"/>
        <w:bottom w:val="none" w:sz="0" w:space="0" w:color="auto"/>
        <w:right w:val="none" w:sz="0" w:space="0" w:color="auto"/>
      </w:divBdr>
    </w:div>
    <w:div w:id="961620696">
      <w:bodyDiv w:val="1"/>
      <w:marLeft w:val="0"/>
      <w:marRight w:val="0"/>
      <w:marTop w:val="0"/>
      <w:marBottom w:val="0"/>
      <w:divBdr>
        <w:top w:val="none" w:sz="0" w:space="0" w:color="auto"/>
        <w:left w:val="none" w:sz="0" w:space="0" w:color="auto"/>
        <w:bottom w:val="none" w:sz="0" w:space="0" w:color="auto"/>
        <w:right w:val="none" w:sz="0" w:space="0" w:color="auto"/>
      </w:divBdr>
    </w:div>
    <w:div w:id="990523728">
      <w:bodyDiv w:val="1"/>
      <w:marLeft w:val="0"/>
      <w:marRight w:val="0"/>
      <w:marTop w:val="0"/>
      <w:marBottom w:val="0"/>
      <w:divBdr>
        <w:top w:val="none" w:sz="0" w:space="0" w:color="auto"/>
        <w:left w:val="none" w:sz="0" w:space="0" w:color="auto"/>
        <w:bottom w:val="none" w:sz="0" w:space="0" w:color="auto"/>
        <w:right w:val="none" w:sz="0" w:space="0" w:color="auto"/>
      </w:divBdr>
    </w:div>
    <w:div w:id="1000043620">
      <w:bodyDiv w:val="1"/>
      <w:marLeft w:val="0"/>
      <w:marRight w:val="0"/>
      <w:marTop w:val="0"/>
      <w:marBottom w:val="0"/>
      <w:divBdr>
        <w:top w:val="none" w:sz="0" w:space="0" w:color="auto"/>
        <w:left w:val="none" w:sz="0" w:space="0" w:color="auto"/>
        <w:bottom w:val="none" w:sz="0" w:space="0" w:color="auto"/>
        <w:right w:val="none" w:sz="0" w:space="0" w:color="auto"/>
      </w:divBdr>
    </w:div>
    <w:div w:id="1033963581">
      <w:bodyDiv w:val="1"/>
      <w:marLeft w:val="0"/>
      <w:marRight w:val="0"/>
      <w:marTop w:val="0"/>
      <w:marBottom w:val="0"/>
      <w:divBdr>
        <w:top w:val="none" w:sz="0" w:space="0" w:color="auto"/>
        <w:left w:val="none" w:sz="0" w:space="0" w:color="auto"/>
        <w:bottom w:val="none" w:sz="0" w:space="0" w:color="auto"/>
        <w:right w:val="none" w:sz="0" w:space="0" w:color="auto"/>
      </w:divBdr>
    </w:div>
    <w:div w:id="1076584489">
      <w:bodyDiv w:val="1"/>
      <w:marLeft w:val="0"/>
      <w:marRight w:val="0"/>
      <w:marTop w:val="0"/>
      <w:marBottom w:val="0"/>
      <w:divBdr>
        <w:top w:val="none" w:sz="0" w:space="0" w:color="auto"/>
        <w:left w:val="none" w:sz="0" w:space="0" w:color="auto"/>
        <w:bottom w:val="none" w:sz="0" w:space="0" w:color="auto"/>
        <w:right w:val="none" w:sz="0" w:space="0" w:color="auto"/>
      </w:divBdr>
    </w:div>
    <w:div w:id="1077753681">
      <w:bodyDiv w:val="1"/>
      <w:marLeft w:val="0"/>
      <w:marRight w:val="0"/>
      <w:marTop w:val="0"/>
      <w:marBottom w:val="0"/>
      <w:divBdr>
        <w:top w:val="none" w:sz="0" w:space="0" w:color="auto"/>
        <w:left w:val="none" w:sz="0" w:space="0" w:color="auto"/>
        <w:bottom w:val="none" w:sz="0" w:space="0" w:color="auto"/>
        <w:right w:val="none" w:sz="0" w:space="0" w:color="auto"/>
      </w:divBdr>
    </w:div>
    <w:div w:id="1177233043">
      <w:bodyDiv w:val="1"/>
      <w:marLeft w:val="0"/>
      <w:marRight w:val="0"/>
      <w:marTop w:val="0"/>
      <w:marBottom w:val="0"/>
      <w:divBdr>
        <w:top w:val="none" w:sz="0" w:space="0" w:color="auto"/>
        <w:left w:val="none" w:sz="0" w:space="0" w:color="auto"/>
        <w:bottom w:val="none" w:sz="0" w:space="0" w:color="auto"/>
        <w:right w:val="none" w:sz="0" w:space="0" w:color="auto"/>
      </w:divBdr>
    </w:div>
    <w:div w:id="1210992255">
      <w:bodyDiv w:val="1"/>
      <w:marLeft w:val="0"/>
      <w:marRight w:val="0"/>
      <w:marTop w:val="0"/>
      <w:marBottom w:val="0"/>
      <w:divBdr>
        <w:top w:val="none" w:sz="0" w:space="0" w:color="auto"/>
        <w:left w:val="none" w:sz="0" w:space="0" w:color="auto"/>
        <w:bottom w:val="none" w:sz="0" w:space="0" w:color="auto"/>
        <w:right w:val="none" w:sz="0" w:space="0" w:color="auto"/>
      </w:divBdr>
    </w:div>
    <w:div w:id="1221863363">
      <w:bodyDiv w:val="1"/>
      <w:marLeft w:val="0"/>
      <w:marRight w:val="0"/>
      <w:marTop w:val="0"/>
      <w:marBottom w:val="0"/>
      <w:divBdr>
        <w:top w:val="none" w:sz="0" w:space="0" w:color="auto"/>
        <w:left w:val="none" w:sz="0" w:space="0" w:color="auto"/>
        <w:bottom w:val="none" w:sz="0" w:space="0" w:color="auto"/>
        <w:right w:val="none" w:sz="0" w:space="0" w:color="auto"/>
      </w:divBdr>
    </w:div>
    <w:div w:id="1282805495">
      <w:bodyDiv w:val="1"/>
      <w:marLeft w:val="0"/>
      <w:marRight w:val="0"/>
      <w:marTop w:val="0"/>
      <w:marBottom w:val="0"/>
      <w:divBdr>
        <w:top w:val="none" w:sz="0" w:space="0" w:color="auto"/>
        <w:left w:val="none" w:sz="0" w:space="0" w:color="auto"/>
        <w:bottom w:val="none" w:sz="0" w:space="0" w:color="auto"/>
        <w:right w:val="none" w:sz="0" w:space="0" w:color="auto"/>
      </w:divBdr>
    </w:div>
    <w:div w:id="1283343408">
      <w:bodyDiv w:val="1"/>
      <w:marLeft w:val="0"/>
      <w:marRight w:val="0"/>
      <w:marTop w:val="0"/>
      <w:marBottom w:val="0"/>
      <w:divBdr>
        <w:top w:val="none" w:sz="0" w:space="0" w:color="auto"/>
        <w:left w:val="none" w:sz="0" w:space="0" w:color="auto"/>
        <w:bottom w:val="none" w:sz="0" w:space="0" w:color="auto"/>
        <w:right w:val="none" w:sz="0" w:space="0" w:color="auto"/>
      </w:divBdr>
    </w:div>
    <w:div w:id="1368068804">
      <w:bodyDiv w:val="1"/>
      <w:marLeft w:val="0"/>
      <w:marRight w:val="0"/>
      <w:marTop w:val="0"/>
      <w:marBottom w:val="0"/>
      <w:divBdr>
        <w:top w:val="none" w:sz="0" w:space="0" w:color="auto"/>
        <w:left w:val="none" w:sz="0" w:space="0" w:color="auto"/>
        <w:bottom w:val="none" w:sz="0" w:space="0" w:color="auto"/>
        <w:right w:val="none" w:sz="0" w:space="0" w:color="auto"/>
      </w:divBdr>
    </w:div>
    <w:div w:id="1374231777">
      <w:bodyDiv w:val="1"/>
      <w:marLeft w:val="0"/>
      <w:marRight w:val="0"/>
      <w:marTop w:val="0"/>
      <w:marBottom w:val="0"/>
      <w:divBdr>
        <w:top w:val="none" w:sz="0" w:space="0" w:color="auto"/>
        <w:left w:val="none" w:sz="0" w:space="0" w:color="auto"/>
        <w:bottom w:val="none" w:sz="0" w:space="0" w:color="auto"/>
        <w:right w:val="none" w:sz="0" w:space="0" w:color="auto"/>
      </w:divBdr>
    </w:div>
    <w:div w:id="1484391478">
      <w:bodyDiv w:val="1"/>
      <w:marLeft w:val="0"/>
      <w:marRight w:val="0"/>
      <w:marTop w:val="0"/>
      <w:marBottom w:val="0"/>
      <w:divBdr>
        <w:top w:val="none" w:sz="0" w:space="0" w:color="auto"/>
        <w:left w:val="none" w:sz="0" w:space="0" w:color="auto"/>
        <w:bottom w:val="none" w:sz="0" w:space="0" w:color="auto"/>
        <w:right w:val="none" w:sz="0" w:space="0" w:color="auto"/>
      </w:divBdr>
    </w:div>
    <w:div w:id="1498688934">
      <w:bodyDiv w:val="1"/>
      <w:marLeft w:val="0"/>
      <w:marRight w:val="0"/>
      <w:marTop w:val="0"/>
      <w:marBottom w:val="0"/>
      <w:divBdr>
        <w:top w:val="none" w:sz="0" w:space="0" w:color="auto"/>
        <w:left w:val="none" w:sz="0" w:space="0" w:color="auto"/>
        <w:bottom w:val="none" w:sz="0" w:space="0" w:color="auto"/>
        <w:right w:val="none" w:sz="0" w:space="0" w:color="auto"/>
      </w:divBdr>
    </w:div>
    <w:div w:id="1529829491">
      <w:bodyDiv w:val="1"/>
      <w:marLeft w:val="0"/>
      <w:marRight w:val="0"/>
      <w:marTop w:val="0"/>
      <w:marBottom w:val="0"/>
      <w:divBdr>
        <w:top w:val="none" w:sz="0" w:space="0" w:color="auto"/>
        <w:left w:val="none" w:sz="0" w:space="0" w:color="auto"/>
        <w:bottom w:val="none" w:sz="0" w:space="0" w:color="auto"/>
        <w:right w:val="none" w:sz="0" w:space="0" w:color="auto"/>
      </w:divBdr>
    </w:div>
    <w:div w:id="1713532801">
      <w:bodyDiv w:val="1"/>
      <w:marLeft w:val="0"/>
      <w:marRight w:val="0"/>
      <w:marTop w:val="0"/>
      <w:marBottom w:val="0"/>
      <w:divBdr>
        <w:top w:val="none" w:sz="0" w:space="0" w:color="auto"/>
        <w:left w:val="none" w:sz="0" w:space="0" w:color="auto"/>
        <w:bottom w:val="none" w:sz="0" w:space="0" w:color="auto"/>
        <w:right w:val="none" w:sz="0" w:space="0" w:color="auto"/>
      </w:divBdr>
    </w:div>
    <w:div w:id="1763378321">
      <w:bodyDiv w:val="1"/>
      <w:marLeft w:val="0"/>
      <w:marRight w:val="0"/>
      <w:marTop w:val="0"/>
      <w:marBottom w:val="0"/>
      <w:divBdr>
        <w:top w:val="none" w:sz="0" w:space="0" w:color="auto"/>
        <w:left w:val="none" w:sz="0" w:space="0" w:color="auto"/>
        <w:bottom w:val="none" w:sz="0" w:space="0" w:color="auto"/>
        <w:right w:val="none" w:sz="0" w:space="0" w:color="auto"/>
      </w:divBdr>
    </w:div>
    <w:div w:id="1824008929">
      <w:bodyDiv w:val="1"/>
      <w:marLeft w:val="0"/>
      <w:marRight w:val="0"/>
      <w:marTop w:val="0"/>
      <w:marBottom w:val="0"/>
      <w:divBdr>
        <w:top w:val="none" w:sz="0" w:space="0" w:color="auto"/>
        <w:left w:val="none" w:sz="0" w:space="0" w:color="auto"/>
        <w:bottom w:val="none" w:sz="0" w:space="0" w:color="auto"/>
        <w:right w:val="none" w:sz="0" w:space="0" w:color="auto"/>
      </w:divBdr>
    </w:div>
    <w:div w:id="1948542254">
      <w:bodyDiv w:val="1"/>
      <w:marLeft w:val="0"/>
      <w:marRight w:val="0"/>
      <w:marTop w:val="0"/>
      <w:marBottom w:val="0"/>
      <w:divBdr>
        <w:top w:val="none" w:sz="0" w:space="0" w:color="auto"/>
        <w:left w:val="none" w:sz="0" w:space="0" w:color="auto"/>
        <w:bottom w:val="none" w:sz="0" w:space="0" w:color="auto"/>
        <w:right w:val="none" w:sz="0" w:space="0" w:color="auto"/>
      </w:divBdr>
    </w:div>
    <w:div w:id="1952735700">
      <w:bodyDiv w:val="1"/>
      <w:marLeft w:val="0"/>
      <w:marRight w:val="0"/>
      <w:marTop w:val="0"/>
      <w:marBottom w:val="0"/>
      <w:divBdr>
        <w:top w:val="none" w:sz="0" w:space="0" w:color="auto"/>
        <w:left w:val="none" w:sz="0" w:space="0" w:color="auto"/>
        <w:bottom w:val="none" w:sz="0" w:space="0" w:color="auto"/>
        <w:right w:val="none" w:sz="0" w:space="0" w:color="auto"/>
      </w:divBdr>
    </w:div>
    <w:div w:id="1963685195">
      <w:bodyDiv w:val="1"/>
      <w:marLeft w:val="0"/>
      <w:marRight w:val="0"/>
      <w:marTop w:val="0"/>
      <w:marBottom w:val="0"/>
      <w:divBdr>
        <w:top w:val="none" w:sz="0" w:space="0" w:color="auto"/>
        <w:left w:val="none" w:sz="0" w:space="0" w:color="auto"/>
        <w:bottom w:val="none" w:sz="0" w:space="0" w:color="auto"/>
        <w:right w:val="none" w:sz="0" w:space="0" w:color="auto"/>
      </w:divBdr>
    </w:div>
    <w:div w:id="1977561273">
      <w:bodyDiv w:val="1"/>
      <w:marLeft w:val="0"/>
      <w:marRight w:val="0"/>
      <w:marTop w:val="0"/>
      <w:marBottom w:val="0"/>
      <w:divBdr>
        <w:top w:val="none" w:sz="0" w:space="0" w:color="auto"/>
        <w:left w:val="none" w:sz="0" w:space="0" w:color="auto"/>
        <w:bottom w:val="none" w:sz="0" w:space="0" w:color="auto"/>
        <w:right w:val="none" w:sz="0" w:space="0" w:color="auto"/>
      </w:divBdr>
    </w:div>
    <w:div w:id="2004120878">
      <w:bodyDiv w:val="1"/>
      <w:marLeft w:val="0"/>
      <w:marRight w:val="0"/>
      <w:marTop w:val="0"/>
      <w:marBottom w:val="0"/>
      <w:divBdr>
        <w:top w:val="none" w:sz="0" w:space="0" w:color="auto"/>
        <w:left w:val="none" w:sz="0" w:space="0" w:color="auto"/>
        <w:bottom w:val="none" w:sz="0" w:space="0" w:color="auto"/>
        <w:right w:val="none" w:sz="0" w:space="0" w:color="auto"/>
      </w:divBdr>
    </w:div>
    <w:div w:id="2068609259">
      <w:bodyDiv w:val="1"/>
      <w:marLeft w:val="0"/>
      <w:marRight w:val="0"/>
      <w:marTop w:val="0"/>
      <w:marBottom w:val="0"/>
      <w:divBdr>
        <w:top w:val="none" w:sz="0" w:space="0" w:color="auto"/>
        <w:left w:val="none" w:sz="0" w:space="0" w:color="auto"/>
        <w:bottom w:val="none" w:sz="0" w:space="0" w:color="auto"/>
        <w:right w:val="none" w:sz="0" w:space="0" w:color="auto"/>
      </w:divBdr>
    </w:div>
    <w:div w:id="2079592791">
      <w:bodyDiv w:val="1"/>
      <w:marLeft w:val="0"/>
      <w:marRight w:val="0"/>
      <w:marTop w:val="0"/>
      <w:marBottom w:val="0"/>
      <w:divBdr>
        <w:top w:val="none" w:sz="0" w:space="0" w:color="auto"/>
        <w:left w:val="none" w:sz="0" w:space="0" w:color="auto"/>
        <w:bottom w:val="none" w:sz="0" w:space="0" w:color="auto"/>
        <w:right w:val="none" w:sz="0" w:space="0" w:color="auto"/>
      </w:divBdr>
    </w:div>
    <w:div w:id="2088333839">
      <w:bodyDiv w:val="1"/>
      <w:marLeft w:val="0"/>
      <w:marRight w:val="0"/>
      <w:marTop w:val="0"/>
      <w:marBottom w:val="0"/>
      <w:divBdr>
        <w:top w:val="none" w:sz="0" w:space="0" w:color="auto"/>
        <w:left w:val="none" w:sz="0" w:space="0" w:color="auto"/>
        <w:bottom w:val="none" w:sz="0" w:space="0" w:color="auto"/>
        <w:right w:val="none" w:sz="0" w:space="0" w:color="auto"/>
      </w:divBdr>
    </w:div>
    <w:div w:id="21334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RTI International</Company>
  <LinksUpToDate>false</LinksUpToDate>
  <CharactersWithSpaces>30359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subject/>
  <dc:creator>Kristin Parrish</dc:creator>
  <cp:keywords/>
  <dc:description/>
  <cp:lastModifiedBy>Courtney Kerwin</cp:lastModifiedBy>
  <cp:revision>3</cp:revision>
  <cp:lastPrinted>2010-03-15T13:52:00Z</cp:lastPrinted>
  <dcterms:created xsi:type="dcterms:W3CDTF">2012-09-11T15:28:00Z</dcterms:created>
  <dcterms:modified xsi:type="dcterms:W3CDTF">2012-09-11T15:29:00Z</dcterms:modified>
</cp:coreProperties>
</file>