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Pr="00613EDB" w:rsidRDefault="00CA4CD6" w:rsidP="00A7661C">
      <w:pPr>
        <w:tabs>
          <w:tab w:val="center" w:pos="4680"/>
        </w:tabs>
        <w:jc w:val="center"/>
        <w:rPr>
          <w:b/>
          <w:bCs/>
        </w:rPr>
      </w:pPr>
      <w:r w:rsidRPr="00613EDB">
        <w:rPr>
          <w:b/>
          <w:bCs/>
        </w:rPr>
        <w:t>SUPPORTING STATEMENT</w:t>
      </w:r>
    </w:p>
    <w:p w:rsidR="00CA4CD6" w:rsidRPr="00613EDB" w:rsidRDefault="00CA4CD6">
      <w:pPr>
        <w:tabs>
          <w:tab w:val="center" w:pos="4680"/>
        </w:tabs>
      </w:pPr>
      <w:r w:rsidRPr="00613EDB">
        <w:rPr>
          <w:b/>
          <w:bCs/>
        </w:rPr>
        <w:tab/>
        <w:t>ENVIRONMENTAL PROTECTION AGENCY</w:t>
      </w:r>
    </w:p>
    <w:p w:rsidR="00CA4CD6" w:rsidRPr="00613EDB" w:rsidRDefault="00CA4CD6">
      <w:pPr>
        <w:tabs>
          <w:tab w:val="center" w:pos="4680"/>
        </w:tabs>
      </w:pPr>
      <w:r w:rsidRPr="00613EDB">
        <w:tab/>
      </w:r>
    </w:p>
    <w:p w:rsidR="00CA4CD6" w:rsidRPr="00613EDB" w:rsidRDefault="002B29A5" w:rsidP="00613EDB">
      <w:r w:rsidRPr="00613EDB">
        <w:rPr>
          <w:b/>
        </w:rPr>
        <w:t xml:space="preserve">NESHAP for </w:t>
      </w:r>
      <w:r w:rsidR="00CC686E">
        <w:rPr>
          <w:b/>
        </w:rPr>
        <w:t xml:space="preserve">Area Sources: </w:t>
      </w:r>
      <w:r w:rsidR="00613EDB" w:rsidRPr="00613EDB">
        <w:rPr>
          <w:b/>
        </w:rPr>
        <w:t xml:space="preserve">Asphalt Processing and Asphalt Roofing Manufacturing </w:t>
      </w:r>
      <w:r w:rsidRPr="00613EDB">
        <w:rPr>
          <w:b/>
        </w:rPr>
        <w:t xml:space="preserve">(40 CFR Part 63, Subpart </w:t>
      </w:r>
      <w:r w:rsidR="00613EDB" w:rsidRPr="00613EDB">
        <w:rPr>
          <w:b/>
        </w:rPr>
        <w:t xml:space="preserve">AAAAAAA) </w:t>
      </w:r>
      <w:r w:rsidRPr="00613EDB">
        <w:rPr>
          <w:b/>
        </w:rPr>
        <w:t>(Renewal</w:t>
      </w:r>
      <w:r w:rsidR="00613EDB" w:rsidRPr="00613EDB">
        <w:t>)</w:t>
      </w:r>
    </w:p>
    <w:p w:rsidR="00CA4CD6" w:rsidRPr="00613EDB" w:rsidRDefault="00CA4CD6"/>
    <w:p w:rsidR="00CA4CD6" w:rsidRPr="0092116D" w:rsidRDefault="00CA4CD6">
      <w:pPr>
        <w:rPr>
          <w:b/>
          <w:bCs/>
        </w:rPr>
      </w:pPr>
      <w:r w:rsidRPr="00613EDB">
        <w:rPr>
          <w:b/>
          <w:bCs/>
        </w:rPr>
        <w:t xml:space="preserve">1.  Identification of the </w:t>
      </w:r>
      <w:r w:rsidRPr="0092116D">
        <w:rPr>
          <w:b/>
          <w:bCs/>
        </w:rPr>
        <w:t>Information Collection</w:t>
      </w:r>
    </w:p>
    <w:p w:rsidR="00CA4CD6" w:rsidRPr="0092116D" w:rsidRDefault="00CA4CD6">
      <w:pPr>
        <w:rPr>
          <w:b/>
          <w:bCs/>
        </w:rPr>
      </w:pPr>
    </w:p>
    <w:p w:rsidR="00CA4CD6" w:rsidRPr="0092116D" w:rsidRDefault="00CA4CD6">
      <w:pPr>
        <w:ind w:firstLine="720"/>
        <w:rPr>
          <w:b/>
          <w:bCs/>
        </w:rPr>
      </w:pPr>
      <w:r w:rsidRPr="0092116D">
        <w:rPr>
          <w:b/>
          <w:bCs/>
        </w:rPr>
        <w:t>1(a</w:t>
      </w:r>
      <w:proofErr w:type="gramStart"/>
      <w:r w:rsidRPr="0092116D">
        <w:rPr>
          <w:b/>
          <w:bCs/>
        </w:rPr>
        <w:t>)  Title</w:t>
      </w:r>
      <w:proofErr w:type="gramEnd"/>
      <w:r w:rsidRPr="0092116D">
        <w:rPr>
          <w:b/>
          <w:bCs/>
        </w:rPr>
        <w:t xml:space="preserve"> of the Information Collection</w:t>
      </w:r>
    </w:p>
    <w:p w:rsidR="00CA4CD6" w:rsidRPr="0092116D" w:rsidRDefault="00CA4CD6">
      <w:pPr>
        <w:rPr>
          <w:b/>
          <w:bCs/>
        </w:rPr>
      </w:pPr>
    </w:p>
    <w:p w:rsidR="00CA4CD6" w:rsidRPr="0092116D" w:rsidRDefault="0092116D" w:rsidP="002B29A5">
      <w:pPr>
        <w:rPr>
          <w:bCs/>
        </w:rPr>
      </w:pPr>
      <w:r w:rsidRPr="0092116D">
        <w:rPr>
          <w:bCs/>
        </w:rPr>
        <w:t xml:space="preserve">NESHAP for </w:t>
      </w:r>
      <w:r w:rsidR="00CC686E">
        <w:rPr>
          <w:bCs/>
        </w:rPr>
        <w:t xml:space="preserve">Area Sources: </w:t>
      </w:r>
      <w:r w:rsidRPr="0092116D">
        <w:rPr>
          <w:bCs/>
        </w:rPr>
        <w:t xml:space="preserve">Asphalt Processing and Asphalt Roofing Manufacturing (40 CFR Part 63, Subpart AAAAAAA) </w:t>
      </w:r>
      <w:r w:rsidR="002B29A5" w:rsidRPr="0092116D">
        <w:rPr>
          <w:bCs/>
        </w:rPr>
        <w:t>(Renewal), EPA ICR Number</w:t>
      </w:r>
      <w:r w:rsidRPr="0092116D">
        <w:rPr>
          <w:bCs/>
        </w:rPr>
        <w:t xml:space="preserve"> 2352.03</w:t>
      </w:r>
      <w:r w:rsidR="002B29A5" w:rsidRPr="0092116D">
        <w:rPr>
          <w:bCs/>
        </w:rPr>
        <w:t xml:space="preserve">, </w:t>
      </w:r>
      <w:r w:rsidR="006A5FA6">
        <w:rPr>
          <w:bCs/>
        </w:rPr>
        <w:t>OMB Control Number 2060-0634</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CA4CD6">
      <w:pPr>
        <w:ind w:firstLine="720"/>
        <w:rPr>
          <w:color w:val="000000"/>
        </w:rPr>
      </w:pPr>
      <w:r w:rsidRPr="00E578DD">
        <w:t>The</w:t>
      </w:r>
      <w:r w:rsidR="00E578DD" w:rsidRPr="00E578DD">
        <w:t xml:space="preserve"> National Emission Standards for Hazardous Air Pollutants (NESHAP) </w:t>
      </w:r>
      <w:r w:rsidRPr="00E578DD">
        <w:t xml:space="preserve">for </w:t>
      </w:r>
      <w:r w:rsidR="00CC62DB" w:rsidRPr="00CC62DB">
        <w:t>Area Sources: Asphalt Processing and Asphalt Roofing Manufacturing</w:t>
      </w:r>
      <w:r w:rsidR="00CC62DB" w:rsidRPr="00613EDB">
        <w:rPr>
          <w:b/>
        </w:rPr>
        <w:t xml:space="preserve"> </w:t>
      </w:r>
      <w:r w:rsidR="00AF118E">
        <w:t>(</w:t>
      </w:r>
      <w:r w:rsidR="00936F82" w:rsidRPr="00936F82">
        <w:t>40 CFR part 63, subpart AAAAAAA</w:t>
      </w:r>
      <w:r w:rsidR="00AF118E">
        <w:t>)</w:t>
      </w:r>
      <w:r w:rsidR="00936F82" w:rsidRPr="00936F82">
        <w:t xml:space="preserve"> </w:t>
      </w:r>
      <w:r w:rsidRPr="00E578DD">
        <w:t>were proposed on</w:t>
      </w:r>
      <w:r w:rsidR="00D747CE">
        <w:t xml:space="preserve"> July 9, 2009</w:t>
      </w:r>
      <w:r w:rsidRPr="00E578DD">
        <w:t xml:space="preserve">, and promulgated on </w:t>
      </w:r>
      <w:r w:rsidR="00E578DD">
        <w:t>December 2, 2009</w:t>
      </w:r>
      <w:r w:rsidRPr="00E578DD">
        <w:t>.  These regulations apply to existing facilities and new facilities that</w:t>
      </w:r>
      <w:r w:rsidR="00D747CE">
        <w:t xml:space="preserve"> </w:t>
      </w:r>
      <w:r w:rsidR="001E512C">
        <w:t>are area source</w:t>
      </w:r>
      <w:r w:rsidR="006A5FA6">
        <w:t>s</w:t>
      </w:r>
      <w:r w:rsidR="001E512C">
        <w:t xml:space="preserve"> and that </w:t>
      </w:r>
      <w:r w:rsidR="00D747CE">
        <w:t>process asphalt or manufacture asphalt roofing products</w:t>
      </w:r>
      <w:r>
        <w:rPr>
          <w:color w:val="000000"/>
        </w:rPr>
        <w:t xml:space="preserve">.  New facilities include those that commenced construction, modification or reconstruction after the date of proposal.  This information is being collected to assure compliance with 40 CFR </w:t>
      </w:r>
      <w:proofErr w:type="gramStart"/>
      <w:r>
        <w:rPr>
          <w:color w:val="000000"/>
        </w:rPr>
        <w:t>part</w:t>
      </w:r>
      <w:proofErr w:type="gramEnd"/>
      <w:r>
        <w:rPr>
          <w:color w:val="000000"/>
        </w:rPr>
        <w:t xml:space="preserve"> </w:t>
      </w:r>
      <w:r w:rsidR="00E578DD">
        <w:rPr>
          <w:color w:val="000000"/>
        </w:rPr>
        <w:t>63</w:t>
      </w:r>
      <w:r>
        <w:rPr>
          <w:color w:val="000000"/>
        </w:rPr>
        <w:t>, subpart</w:t>
      </w:r>
      <w:r w:rsidR="00E578DD" w:rsidRPr="00E578DD">
        <w:rPr>
          <w:color w:val="000000"/>
        </w:rPr>
        <w:t xml:space="preserve"> AAAAAAA</w:t>
      </w:r>
      <w:r>
        <w:rPr>
          <w:color w:val="000000"/>
        </w:rPr>
        <w:t>.</w:t>
      </w:r>
    </w:p>
    <w:p w:rsidR="00CA4CD6" w:rsidRDefault="00CA4CD6">
      <w:pPr>
        <w:rPr>
          <w:color w:val="000000"/>
        </w:rPr>
      </w:pPr>
    </w:p>
    <w:p w:rsidR="00CA4CD6" w:rsidRDefault="00CA4CD6">
      <w:pPr>
        <w:ind w:firstLine="720"/>
        <w:rPr>
          <w:color w:val="000000"/>
        </w:rPr>
      </w:pPr>
      <w:r>
        <w:rPr>
          <w:color w:val="000000"/>
        </w:rPr>
        <w:t xml:space="preserve">In </w:t>
      </w:r>
      <w:r w:rsidRPr="00A7459B">
        <w:t>general, all</w:t>
      </w:r>
      <w:r w:rsidR="00A7459B" w:rsidRPr="00A7459B">
        <w:t xml:space="preserve"> </w:t>
      </w:r>
      <w:r w:rsidRPr="00A7459B">
        <w:t>NESHAP standards require initial notifications, performance tests, and periodic reports by the owners/operato</w:t>
      </w:r>
      <w:r w:rsidR="006A5FA6">
        <w:t xml:space="preserve">rs of the affected facilities.  </w:t>
      </w:r>
      <w:r w:rsidRPr="00A7459B">
        <w:t>They are also required to maintain records of</w:t>
      </w:r>
      <w:r>
        <w:rPr>
          <w:color w:val="000000"/>
        </w:rPr>
        <w:t xml:space="preserve"> the occurrence and duration of any startup, shutdown, or malfunction in the operation of an affected facility, or any period during which the monitoring system is inoperative.  These notifications, reports, and records are ess</w:t>
      </w:r>
      <w:r w:rsidRPr="00A7459B">
        <w:t>ential in determining compliance, and are required of all affected facilities subject to NESHAP.</w:t>
      </w:r>
    </w:p>
    <w:p w:rsidR="00CA4CD6" w:rsidRPr="00F22177" w:rsidRDefault="00CA4CD6"/>
    <w:p w:rsidR="00CA4CD6" w:rsidRPr="00F22177" w:rsidRDefault="00CA4CD6">
      <w:pPr>
        <w:pBdr>
          <w:top w:val="single" w:sz="6" w:space="0" w:color="FFFFFF"/>
          <w:left w:val="single" w:sz="6" w:space="0" w:color="FFFFFF"/>
          <w:bottom w:val="single" w:sz="6" w:space="0" w:color="FFFFFF"/>
          <w:right w:val="single" w:sz="6" w:space="0" w:color="FFFFFF"/>
        </w:pBdr>
        <w:ind w:firstLine="720"/>
      </w:pPr>
      <w:r w:rsidRPr="00F22177">
        <w:t xml:space="preserve">Any owner/operator subject to the provisions of this part shall maintain a file of these measurements, and retain the file for at least </w:t>
      </w:r>
      <w:r w:rsidR="00451494" w:rsidRPr="00F22177">
        <w:t xml:space="preserve">five </w:t>
      </w:r>
      <w:r w:rsidRPr="00F22177">
        <w:t xml:space="preserve">years following the date of such measurements, maintenance reports, and records.  All reports are sent to the delegated state or local authority.  </w:t>
      </w:r>
      <w:r w:rsidR="00371295">
        <w:t xml:space="preserve"> </w:t>
      </w:r>
      <w:r w:rsidRPr="00F22177">
        <w:t>In the event that there is no such delegated authority, the reports are sent directly to the U</w:t>
      </w:r>
      <w:r w:rsidR="00371295">
        <w:t>.</w:t>
      </w:r>
      <w:r w:rsidRPr="00F22177">
        <w:t xml:space="preserve"> S</w:t>
      </w:r>
      <w:r w:rsidR="00371295">
        <w:t>.</w:t>
      </w:r>
      <w:r w:rsidRPr="00F22177">
        <w:t xml:space="preserve"> Environmental Protection Agency (EPA) regional office.</w:t>
      </w:r>
    </w:p>
    <w:p w:rsidR="00CA4CD6" w:rsidRPr="00F22177" w:rsidRDefault="00CA4CD6">
      <w:pPr>
        <w:pBdr>
          <w:top w:val="single" w:sz="6" w:space="0" w:color="FFFFFF"/>
          <w:left w:val="single" w:sz="6" w:space="0" w:color="FFFFFF"/>
          <w:bottom w:val="single" w:sz="6" w:space="0" w:color="FFFFFF"/>
          <w:right w:val="single" w:sz="6" w:space="0" w:color="FFFFFF"/>
        </w:pBdr>
      </w:pPr>
    </w:p>
    <w:p w:rsidR="00CA4CD6" w:rsidRPr="00F22177" w:rsidRDefault="00E10DA7">
      <w:pPr>
        <w:pBdr>
          <w:top w:val="single" w:sz="6" w:space="0" w:color="FFFFFF"/>
          <w:left w:val="single" w:sz="6" w:space="0" w:color="FFFFFF"/>
          <w:bottom w:val="single" w:sz="6" w:space="0" w:color="FFFFFF"/>
          <w:right w:val="single" w:sz="6" w:space="0" w:color="FFFFFF"/>
        </w:pBdr>
        <w:ind w:firstLine="720"/>
      </w:pPr>
      <w:r w:rsidRPr="00F22177">
        <w:t>Over the next three years, an average of</w:t>
      </w:r>
      <w:r w:rsidR="00F22177" w:rsidRPr="00F22177">
        <w:t xml:space="preserve"> 75</w:t>
      </w:r>
      <w:r w:rsidR="00F22177">
        <w:t xml:space="preserve"> </w:t>
      </w:r>
      <w:r w:rsidR="00CA4CD6" w:rsidRPr="00F22177">
        <w:t xml:space="preserve">respondents </w:t>
      </w:r>
      <w:r w:rsidRPr="00F22177">
        <w:t>per year will be subject to the standard</w:t>
      </w:r>
      <w:r w:rsidR="00CA4CD6" w:rsidRPr="00F22177">
        <w:t xml:space="preserve">, and </w:t>
      </w:r>
      <w:r w:rsidR="00F22177" w:rsidRPr="00F22177">
        <w:t xml:space="preserve">no </w:t>
      </w:r>
      <w:r w:rsidRPr="00F22177">
        <w:t xml:space="preserve">additional </w:t>
      </w:r>
      <w:r w:rsidR="00CA4CD6" w:rsidRPr="00F22177">
        <w:t xml:space="preserve">respondents </w:t>
      </w:r>
      <w:r w:rsidRPr="00F22177">
        <w:t xml:space="preserve">per year </w:t>
      </w:r>
      <w:r w:rsidR="00CA4CD6" w:rsidRPr="00F22177">
        <w:t xml:space="preserve">will become subject to the </w:t>
      </w:r>
      <w:r w:rsidRPr="00F22177">
        <w:t xml:space="preserve">standard.  </w:t>
      </w:r>
    </w:p>
    <w:p w:rsidR="00CA4CD6" w:rsidRPr="00F22177" w:rsidRDefault="00CA4CD6">
      <w:pPr>
        <w:pBdr>
          <w:top w:val="single" w:sz="6" w:space="0" w:color="FFFFFF"/>
          <w:left w:val="single" w:sz="6" w:space="0" w:color="FFFFFF"/>
          <w:bottom w:val="single" w:sz="6" w:space="0" w:color="FFFFFF"/>
          <w:right w:val="single" w:sz="6" w:space="0" w:color="FFFFFF"/>
        </w:pBdr>
      </w:pPr>
    </w:p>
    <w:p w:rsidR="00CA4CD6" w:rsidRPr="00F22177" w:rsidRDefault="00F91748">
      <w:pPr>
        <w:pBdr>
          <w:top w:val="single" w:sz="6" w:space="0" w:color="FFFFFF"/>
          <w:left w:val="single" w:sz="6" w:space="0" w:color="FFFFFF"/>
          <w:bottom w:val="single" w:sz="6" w:space="0" w:color="FFFFFF"/>
          <w:right w:val="single" w:sz="6" w:space="0" w:color="FFFFFF"/>
        </w:pBdr>
        <w:ind w:firstLine="720"/>
      </w:pPr>
      <w:r>
        <w:t>The Office of Management and Budget (</w:t>
      </w:r>
      <w:r w:rsidR="00CA4CD6" w:rsidRPr="00F22177">
        <w:t>OMB</w:t>
      </w:r>
      <w:r>
        <w:t>)</w:t>
      </w:r>
      <w:r w:rsidR="00CA4CD6" w:rsidRPr="00F22177">
        <w:t xml:space="preserve"> approved the currently active ICR without any Terms of Clearance.</w:t>
      </w:r>
    </w:p>
    <w:p w:rsidR="009D6567" w:rsidRPr="00F22177" w:rsidRDefault="009D6567">
      <w:pPr>
        <w:pBdr>
          <w:top w:val="single" w:sz="6" w:space="0" w:color="FFFFFF"/>
          <w:left w:val="single" w:sz="6" w:space="0" w:color="FFFFFF"/>
          <w:bottom w:val="single" w:sz="6" w:space="0" w:color="FFFFFF"/>
          <w:right w:val="single" w:sz="6" w:space="0" w:color="FFFFFF"/>
        </w:pBdr>
        <w:ind w:firstLine="720"/>
      </w:pPr>
    </w:p>
    <w:p w:rsidR="00CA4CD6" w:rsidRPr="00A7459B" w:rsidRDefault="009D6567" w:rsidP="002B29A5">
      <w:r w:rsidRPr="00F22177">
        <w:tab/>
      </w:r>
      <w:r w:rsidR="002B29A5" w:rsidRPr="00F22177">
        <w:t>The burden</w:t>
      </w:r>
      <w:r w:rsidR="004A4B25" w:rsidRPr="00F22177">
        <w:t xml:space="preserve"> to the “Affected Public” may be found </w:t>
      </w:r>
      <w:r w:rsidR="006A5FA6">
        <w:t xml:space="preserve">below </w:t>
      </w:r>
      <w:r w:rsidR="004A4B25" w:rsidRPr="00F22177">
        <w:t xml:space="preserve">in </w:t>
      </w:r>
      <w:r w:rsidR="004A4B25" w:rsidRPr="00A7459B">
        <w:t>Table 1</w:t>
      </w:r>
      <w:r w:rsidR="002B29A5" w:rsidRPr="00A7459B">
        <w:t>: Annual Respondent Burden and Cost –</w:t>
      </w:r>
      <w:r w:rsidR="00A7459B" w:rsidRPr="00A7459B">
        <w:t xml:space="preserve"> NESHAP for </w:t>
      </w:r>
      <w:r w:rsidR="00CC686E">
        <w:rPr>
          <w:bCs/>
        </w:rPr>
        <w:t xml:space="preserve">Area Sources: </w:t>
      </w:r>
      <w:r w:rsidR="00A7459B" w:rsidRPr="00A7459B">
        <w:t>Asphalt Processing and Asphalt Roofing Manufacturing (40 CFR Part 63, Subpart AAAAAAA) (Renewal)</w:t>
      </w:r>
      <w:r w:rsidR="004A4B25" w:rsidRPr="00A7459B">
        <w:t xml:space="preserve">.  </w:t>
      </w:r>
      <w:r w:rsidR="00F91748">
        <w:t>T</w:t>
      </w:r>
      <w:r w:rsidRPr="00A7459B">
        <w:t xml:space="preserve">he </w:t>
      </w:r>
      <w:r w:rsidR="004A4B25" w:rsidRPr="00A7459B">
        <w:t xml:space="preserve">burden to the </w:t>
      </w:r>
      <w:r w:rsidRPr="00A7459B">
        <w:t xml:space="preserve">“Federal Government” is attributed entirely to work performed by </w:t>
      </w:r>
      <w:r w:rsidR="00371295">
        <w:t>either F</w:t>
      </w:r>
      <w:r w:rsidRPr="00A7459B">
        <w:t>ederal employees</w:t>
      </w:r>
      <w:r w:rsidR="004A4B25" w:rsidRPr="00A7459B">
        <w:t xml:space="preserve"> or </w:t>
      </w:r>
      <w:r w:rsidR="004A4B25" w:rsidRPr="00A7459B">
        <w:lastRenderedPageBreak/>
        <w:t>government contractor</w:t>
      </w:r>
      <w:r w:rsidR="00EF113F" w:rsidRPr="00A7459B">
        <w:t>s</w:t>
      </w:r>
      <w:r w:rsidR="00F91748">
        <w:t xml:space="preserve">, and may be found </w:t>
      </w:r>
      <w:r w:rsidR="00B24CDE">
        <w:t xml:space="preserve">below </w:t>
      </w:r>
      <w:r w:rsidR="00F91748">
        <w:t xml:space="preserve">in </w:t>
      </w:r>
      <w:r w:rsidR="004A4B25" w:rsidRPr="00A7459B">
        <w:t xml:space="preserve">Table 2: </w:t>
      </w:r>
      <w:r w:rsidR="002B29A5" w:rsidRPr="00A7459B">
        <w:t xml:space="preserve">Average Annual EPA Burden </w:t>
      </w:r>
      <w:r w:rsidR="00371295">
        <w:t xml:space="preserve">   </w:t>
      </w:r>
      <w:r w:rsidR="002B29A5" w:rsidRPr="00A7459B">
        <w:t>and Cost –</w:t>
      </w:r>
      <w:r w:rsidR="00A7459B">
        <w:t xml:space="preserve"> </w:t>
      </w:r>
      <w:r w:rsidR="00A7459B" w:rsidRPr="00A7459B">
        <w:t xml:space="preserve">NESHAP for </w:t>
      </w:r>
      <w:r w:rsidR="00CC686E">
        <w:rPr>
          <w:bCs/>
        </w:rPr>
        <w:t xml:space="preserve">Area Sources: </w:t>
      </w:r>
      <w:r w:rsidR="00A7459B" w:rsidRPr="00A7459B">
        <w:t>Asphalt Processing and Asphalt Roofing Manufacturing (40 CFR Part 63, Subpart AAAAAAA) (Renewal)</w:t>
      </w:r>
      <w:r w:rsidR="002B29A5" w:rsidRPr="00A7459B">
        <w:t xml:space="preserve">. </w:t>
      </w:r>
    </w:p>
    <w:p w:rsidR="002B29A5" w:rsidRPr="00A7459B" w:rsidRDefault="002B29A5" w:rsidP="002B29A5"/>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Pr="00A06BE1" w:rsidRDefault="00CA4CD6">
      <w:pPr>
        <w:pBdr>
          <w:top w:val="single" w:sz="6" w:space="0" w:color="FFFFFF"/>
          <w:left w:val="single" w:sz="6" w:space="0" w:color="FFFFFF"/>
          <w:bottom w:val="single" w:sz="6" w:space="0" w:color="FFFFFF"/>
          <w:right w:val="single" w:sz="6" w:space="0" w:color="FFFFFF"/>
        </w:pBdr>
      </w:pPr>
    </w:p>
    <w:p w:rsidR="00CA4CD6" w:rsidRPr="00A06BE1" w:rsidRDefault="00CA4CD6">
      <w:pPr>
        <w:pBdr>
          <w:top w:val="single" w:sz="6" w:space="0" w:color="FFFFFF"/>
          <w:left w:val="single" w:sz="6" w:space="0" w:color="FFFFFF"/>
          <w:bottom w:val="single" w:sz="6" w:space="0" w:color="FFFFFF"/>
          <w:right w:val="single" w:sz="6" w:space="0" w:color="FFFFFF"/>
        </w:pBdr>
        <w:ind w:firstLine="720"/>
        <w:rPr>
          <w:b/>
          <w:bCs/>
        </w:rPr>
      </w:pPr>
      <w:r w:rsidRPr="00A06BE1">
        <w:rPr>
          <w:b/>
          <w:bCs/>
        </w:rPr>
        <w:t>2(a</w:t>
      </w:r>
      <w:proofErr w:type="gramStart"/>
      <w:r w:rsidRPr="00A06BE1">
        <w:rPr>
          <w:b/>
          <w:bCs/>
        </w:rPr>
        <w:t>)  Need</w:t>
      </w:r>
      <w:proofErr w:type="gramEnd"/>
      <w:r w:rsidRPr="00A06BE1">
        <w:rPr>
          <w:b/>
          <w:bCs/>
        </w:rPr>
        <w:t>/Authority for the Collection</w:t>
      </w:r>
    </w:p>
    <w:p w:rsidR="00CA4CD6" w:rsidRPr="00A06BE1" w:rsidRDefault="00CA4CD6">
      <w:pPr>
        <w:pBdr>
          <w:top w:val="single" w:sz="6" w:space="0" w:color="FFFFFF"/>
          <w:left w:val="single" w:sz="6" w:space="0" w:color="FFFFFF"/>
          <w:bottom w:val="single" w:sz="6" w:space="0" w:color="FFFFFF"/>
          <w:right w:val="single" w:sz="6" w:space="0" w:color="FFFFFF"/>
        </w:pBdr>
      </w:pPr>
    </w:p>
    <w:p w:rsidR="00CA4CD6" w:rsidRPr="00A06BE1" w:rsidRDefault="00CA4CD6">
      <w:pPr>
        <w:pBdr>
          <w:top w:val="single" w:sz="6" w:space="0" w:color="FFFFFF"/>
          <w:left w:val="single" w:sz="6" w:space="0" w:color="FFFFFF"/>
          <w:bottom w:val="single" w:sz="6" w:space="0" w:color="FFFFFF"/>
          <w:right w:val="single" w:sz="6" w:space="0" w:color="FFFFFF"/>
        </w:pBdr>
        <w:ind w:firstLine="720"/>
      </w:pPr>
      <w:r w:rsidRPr="00A06BE1">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A06BE1" w:rsidRPr="00A06BE1">
        <w:t xml:space="preserve">  </w:t>
      </w:r>
      <w:r w:rsidRPr="00A06BE1">
        <w:t xml:space="preserve">In addition, section 114(a) states that the Administrator may require any owner/operator subject to any requirement of this Act to: </w:t>
      </w:r>
    </w:p>
    <w:p w:rsidR="00CA4CD6" w:rsidRPr="00A06BE1" w:rsidRDefault="00CA4CD6">
      <w:pPr>
        <w:pBdr>
          <w:top w:val="single" w:sz="6" w:space="0" w:color="FFFFFF"/>
          <w:left w:val="single" w:sz="6" w:space="0" w:color="FFFFFF"/>
          <w:bottom w:val="single" w:sz="6" w:space="0" w:color="FFFFFF"/>
          <w:right w:val="single" w:sz="6" w:space="0" w:color="FFFFFF"/>
        </w:pBdr>
      </w:pPr>
    </w:p>
    <w:p w:rsidR="00CA4CD6" w:rsidRPr="00A06BE1" w:rsidRDefault="00CA4CD6">
      <w:pPr>
        <w:pBdr>
          <w:top w:val="single" w:sz="6" w:space="0" w:color="FFFFFF"/>
          <w:left w:val="single" w:sz="6" w:space="0" w:color="FFFFFF"/>
          <w:bottom w:val="single" w:sz="6" w:space="0" w:color="FFFFFF"/>
          <w:right w:val="single" w:sz="6" w:space="0" w:color="FFFFFF"/>
        </w:pBdr>
        <w:ind w:left="1440" w:right="1440"/>
      </w:pPr>
      <w:r w:rsidRPr="00A06BE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A06BE1" w:rsidRDefault="00CA4CD6">
      <w:pPr>
        <w:pBdr>
          <w:top w:val="single" w:sz="6" w:space="0" w:color="FFFFFF"/>
          <w:left w:val="single" w:sz="6" w:space="0" w:color="FFFFFF"/>
          <w:bottom w:val="single" w:sz="6" w:space="0" w:color="FFFFFF"/>
          <w:right w:val="single" w:sz="6" w:space="0" w:color="FFFFFF"/>
        </w:pBdr>
      </w:pPr>
    </w:p>
    <w:p w:rsidR="00CA4CD6" w:rsidRPr="00A06BE1" w:rsidRDefault="00CA4CD6">
      <w:pPr>
        <w:pBdr>
          <w:top w:val="single" w:sz="6" w:space="0" w:color="FFFFFF"/>
          <w:left w:val="single" w:sz="6" w:space="0" w:color="FFFFFF"/>
          <w:bottom w:val="single" w:sz="6" w:space="0" w:color="FFFFFF"/>
          <w:right w:val="single" w:sz="6" w:space="0" w:color="FFFFFF"/>
        </w:pBdr>
        <w:ind w:firstLine="720"/>
      </w:pPr>
      <w:r w:rsidRPr="00A06BE1">
        <w:t xml:space="preserve">In the Administrator's judgment, </w:t>
      </w:r>
      <w:r w:rsidR="005A291F">
        <w:t>hazardous air pollutants</w:t>
      </w:r>
      <w:r w:rsidR="00A06BE1" w:rsidRPr="00A06BE1">
        <w:t xml:space="preserve"> </w:t>
      </w:r>
      <w:r w:rsidR="00F91748">
        <w:t xml:space="preserve">(HAP) </w:t>
      </w:r>
      <w:r w:rsidRPr="00A06BE1">
        <w:t>emissions</w:t>
      </w:r>
      <w:r>
        <w:rPr>
          <w:color w:val="000000"/>
        </w:rPr>
        <w:t xml:space="preserve"> from </w:t>
      </w:r>
      <w:r w:rsidR="00A06BE1" w:rsidRPr="00A06BE1">
        <w:rPr>
          <w:color w:val="000000"/>
        </w:rPr>
        <w:t xml:space="preserve">asphalt </w:t>
      </w:r>
      <w:r w:rsidR="00A06BE1">
        <w:rPr>
          <w:color w:val="000000"/>
        </w:rPr>
        <w:t xml:space="preserve">processing or from </w:t>
      </w:r>
      <w:r w:rsidR="00A06BE1" w:rsidRPr="00A06BE1">
        <w:rPr>
          <w:color w:val="000000"/>
        </w:rPr>
        <w:t>asphalt roofing products</w:t>
      </w:r>
      <w:r w:rsidR="00A06BE1">
        <w:rPr>
          <w:color w:val="000000"/>
        </w:rPr>
        <w:t xml:space="preserve"> manufacturing </w:t>
      </w:r>
      <w:r>
        <w:rPr>
          <w:color w:val="000000"/>
        </w:rPr>
        <w:t xml:space="preserve">cause or </w:t>
      </w:r>
      <w:r w:rsidRPr="00A06BE1">
        <w:t xml:space="preserve">contribute to air pollution that may reasonably be anticipated to endanger public health or welfare.  Therefore, the </w:t>
      </w:r>
      <w:r w:rsidR="00A06BE1" w:rsidRPr="00A06BE1">
        <w:t xml:space="preserve">NESHAP </w:t>
      </w:r>
      <w:r w:rsidRPr="00A06BE1">
        <w:t xml:space="preserve">were promulgated for this source category at 40 CFR </w:t>
      </w:r>
      <w:proofErr w:type="gramStart"/>
      <w:r w:rsidRPr="00A06BE1">
        <w:t>part</w:t>
      </w:r>
      <w:proofErr w:type="gramEnd"/>
      <w:r w:rsidRPr="00A06BE1">
        <w:t xml:space="preserve"> 63</w:t>
      </w:r>
      <w:r w:rsidR="00A06BE1" w:rsidRPr="00A06BE1">
        <w:t xml:space="preserve">, </w:t>
      </w:r>
      <w:r w:rsidRPr="00A06BE1">
        <w:t xml:space="preserve">subpart </w:t>
      </w:r>
      <w:r w:rsidR="00A06BE1" w:rsidRPr="00A06BE1">
        <w:t>AAAAAAA.</w:t>
      </w:r>
    </w:p>
    <w:p w:rsidR="00CA4CD6" w:rsidRPr="00A06BE1" w:rsidRDefault="00CA4CD6">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r w:rsidR="00371295">
        <w:rPr>
          <w:color w:val="000000"/>
        </w:rPr>
        <w:t xml:space="preserve">       </w:t>
      </w:r>
      <w:proofErr w:type="gramStart"/>
      <w:r>
        <w:rPr>
          <w:color w:val="000000"/>
        </w:rPr>
        <w:t xml:space="preserve">with </w:t>
      </w:r>
      <w:r w:rsidR="00371295">
        <w:rPr>
          <w:color w:val="000000"/>
        </w:rPr>
        <w:t xml:space="preserve"> </w:t>
      </w:r>
      <w:r>
        <w:rPr>
          <w:color w:val="000000"/>
        </w:rPr>
        <w:t>the</w:t>
      </w:r>
      <w:proofErr w:type="gramEnd"/>
      <w:r>
        <w:rPr>
          <w:color w:val="000000"/>
        </w:rPr>
        <w:t xml:space="preserve"> applicable regulations which where promulgated in accordance with the Clean </w:t>
      </w:r>
      <w:r w:rsidR="00371295">
        <w:rPr>
          <w:color w:val="000000"/>
        </w:rPr>
        <w:t xml:space="preserve">          </w:t>
      </w:r>
      <w:r>
        <w:rPr>
          <w:color w:val="000000"/>
        </w:rPr>
        <w:t xml:space="preserve">Air Act.  The collected information is also used for targeting inspections and as evidence </w:t>
      </w:r>
      <w:r w:rsidR="00371295">
        <w:rPr>
          <w:color w:val="000000"/>
        </w:rPr>
        <w:t xml:space="preserve">          </w:t>
      </w:r>
      <w:r>
        <w:rPr>
          <w:color w:val="000000"/>
        </w:rPr>
        <w:t>in legal proceedings.</w:t>
      </w:r>
    </w:p>
    <w:p w:rsidR="00CA4CD6" w:rsidRPr="005A291F" w:rsidRDefault="00CA4CD6">
      <w:pPr>
        <w:pBdr>
          <w:top w:val="single" w:sz="6" w:space="0" w:color="FFFFFF"/>
          <w:left w:val="single" w:sz="6" w:space="0" w:color="FFFFFF"/>
          <w:bottom w:val="single" w:sz="6" w:space="0" w:color="FFFFFF"/>
          <w:right w:val="single" w:sz="6" w:space="0" w:color="FFFFFF"/>
        </w:pBdr>
      </w:pPr>
    </w:p>
    <w:p w:rsidR="00CA4CD6" w:rsidRPr="005A291F" w:rsidRDefault="00CA4CD6">
      <w:pPr>
        <w:pBdr>
          <w:top w:val="single" w:sz="6" w:space="0" w:color="FFFFFF"/>
          <w:left w:val="single" w:sz="6" w:space="0" w:color="FFFFFF"/>
          <w:bottom w:val="single" w:sz="6" w:space="0" w:color="FFFFFF"/>
          <w:right w:val="single" w:sz="6" w:space="0" w:color="FFFFFF"/>
        </w:pBdr>
        <w:ind w:firstLine="720"/>
      </w:pPr>
      <w:r w:rsidRPr="005A291F">
        <w:t>Performance tests are required in order to determine an affected facility</w:t>
      </w:r>
      <w:r w:rsidR="005A291F" w:rsidRPr="005A291F">
        <w:t>’</w:t>
      </w:r>
      <w:r w:rsidRPr="005A291F">
        <w:t>s initial capability to comply with the emission standard. Continuous emission monitors are used to ensure compliance with the standard at all times.</w:t>
      </w:r>
    </w:p>
    <w:p w:rsidR="00CA4CD6" w:rsidRPr="005A291F" w:rsidRDefault="00CA4CD6">
      <w:pPr>
        <w:pBdr>
          <w:top w:val="single" w:sz="6" w:space="0" w:color="FFFFFF"/>
          <w:left w:val="single" w:sz="6" w:space="0" w:color="FFFFFF"/>
          <w:bottom w:val="single" w:sz="6" w:space="0" w:color="FFFFFF"/>
          <w:right w:val="single" w:sz="6" w:space="0" w:color="FFFFFF"/>
        </w:pBdr>
      </w:pPr>
    </w:p>
    <w:p w:rsidR="005A291F" w:rsidRPr="005A291F" w:rsidRDefault="00CA4CD6">
      <w:pPr>
        <w:pBdr>
          <w:top w:val="single" w:sz="6" w:space="0" w:color="FFFFFF"/>
          <w:left w:val="single" w:sz="6" w:space="0" w:color="FFFFFF"/>
          <w:bottom w:val="single" w:sz="6" w:space="0" w:color="FFFFFF"/>
          <w:right w:val="single" w:sz="6" w:space="0" w:color="FFFFFF"/>
        </w:pBdr>
        <w:ind w:firstLine="720"/>
      </w:pPr>
      <w:r w:rsidRPr="005A291F">
        <w:t>The notifications required in the standard are used to inform the</w:t>
      </w:r>
      <w:r>
        <w:rPr>
          <w:color w:val="000000"/>
        </w:rPr>
        <w:t xml:space="preserve"> Agency or delegated authority when a source becomes subject to the requirements of the regulations.  </w:t>
      </w:r>
      <w:r w:rsidR="005A291F" w:rsidRPr="005A291F">
        <w:rPr>
          <w:color w:val="000000"/>
        </w:rPr>
        <w:t xml:space="preserve">The information </w:t>
      </w:r>
      <w:r w:rsidR="005A291F" w:rsidRPr="005A291F">
        <w:rPr>
          <w:color w:val="000000"/>
        </w:rPr>
        <w:lastRenderedPageBreak/>
        <w:t xml:space="preserve">obtained under the testing, monitoring, recordkeeping, and reporting will be used by </w:t>
      </w:r>
      <w:r w:rsidR="005A291F">
        <w:rPr>
          <w:color w:val="000000"/>
        </w:rPr>
        <w:t xml:space="preserve">EPA </w:t>
      </w:r>
      <w:r w:rsidR="005A291F" w:rsidRPr="005A291F">
        <w:rPr>
          <w:color w:val="000000"/>
        </w:rPr>
        <w:t xml:space="preserve">to:  </w:t>
      </w:r>
      <w:r w:rsidR="00371295">
        <w:rPr>
          <w:color w:val="000000"/>
        </w:rPr>
        <w:t xml:space="preserve"> </w:t>
      </w:r>
      <w:r w:rsidR="005A291F" w:rsidRPr="005A291F">
        <w:rPr>
          <w:color w:val="000000"/>
        </w:rPr>
        <w:t>(1) identify existing and new HAP emission points subject to the NESHAP; (2) ensure that GACT is being properly applied; and (3) ensure that add-on control devices are being properly operated and maintained on a continuous basis to reduce HAP emissions from blowing stills, saturators, wet loopers</w:t>
      </w:r>
      <w:r w:rsidR="005A291F" w:rsidRPr="005A291F">
        <w:t>, coating mixers, and coaters.</w:t>
      </w:r>
      <w:r w:rsidR="005A291F" w:rsidRPr="005A291F" w:rsidDel="005A291F">
        <w:t xml:space="preserve"> </w:t>
      </w:r>
    </w:p>
    <w:p w:rsidR="00CA4CD6" w:rsidRPr="005A291F" w:rsidRDefault="00CA4CD6">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5A291F">
        <w:t>The required semiannual reports are used to determine periods of excess emissions, identify problems</w:t>
      </w:r>
      <w:r>
        <w:rPr>
          <w:color w:val="000000"/>
        </w:rPr>
        <w:t xml:space="preserve">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B24CDE">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w:t>
      </w:r>
      <w:r w:rsidR="00DA50D5">
        <w:rPr>
          <w:color w:val="000000"/>
        </w:rPr>
        <w:t xml:space="preserve">quired under 40 CFR part 63, subpart </w:t>
      </w:r>
      <w:r w:rsidR="00DA50D5" w:rsidRPr="00DA50D5">
        <w:rPr>
          <w:color w:val="000000"/>
        </w:rPr>
        <w:t>AAAAAAA</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B24CDE">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w:t>
      </w:r>
      <w:r w:rsidR="00371295">
        <w:rPr>
          <w:color w:val="000000"/>
        </w:rPr>
        <w:t xml:space="preserve"> </w:t>
      </w:r>
      <w:r>
        <w:rPr>
          <w:color w:val="000000"/>
        </w:rPr>
        <w:t xml:space="preserve"> duplication </w:t>
      </w:r>
      <w:r w:rsidR="00371295">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E14B23" w:rsidRDefault="00CA4CD6">
      <w:pPr>
        <w:pBdr>
          <w:top w:val="single" w:sz="6" w:space="0" w:color="FFFFFF"/>
          <w:left w:val="single" w:sz="6" w:space="0" w:color="FFFFFF"/>
          <w:bottom w:val="single" w:sz="6" w:space="0" w:color="FFFFFF"/>
          <w:right w:val="single" w:sz="6" w:space="0" w:color="FFFFFF"/>
        </w:pBdr>
        <w:ind w:firstLine="720"/>
      </w:pPr>
      <w:r>
        <w:rPr>
          <w:b/>
          <w:bCs/>
          <w:color w:val="000000"/>
        </w:rPr>
        <w:t>3(b</w:t>
      </w:r>
      <w:proofErr w:type="gramStart"/>
      <w:r>
        <w:rPr>
          <w:b/>
          <w:bCs/>
          <w:color w:val="000000"/>
        </w:rPr>
        <w:t>)  Public</w:t>
      </w:r>
      <w:proofErr w:type="gramEnd"/>
      <w:r>
        <w:rPr>
          <w:b/>
          <w:bCs/>
          <w:color w:val="000000"/>
        </w:rPr>
        <w:t xml:space="preserve"> Notice Required </w:t>
      </w:r>
      <w:r w:rsidRPr="00E14B23">
        <w:rPr>
          <w:b/>
          <w:bCs/>
        </w:rPr>
        <w:t>Prior to ICR Submission to OMB</w:t>
      </w:r>
    </w:p>
    <w:p w:rsidR="00CA4CD6" w:rsidRPr="00E14B23" w:rsidRDefault="00CA4CD6">
      <w:pPr>
        <w:pBdr>
          <w:top w:val="single" w:sz="6" w:space="0" w:color="FFFFFF"/>
          <w:left w:val="single" w:sz="6" w:space="0" w:color="FFFFFF"/>
          <w:bottom w:val="single" w:sz="6" w:space="0" w:color="FFFFFF"/>
          <w:right w:val="single" w:sz="6" w:space="0" w:color="FFFFFF"/>
        </w:pBdr>
      </w:pPr>
    </w:p>
    <w:p w:rsidR="00CA4CD6" w:rsidRPr="00E14B23" w:rsidRDefault="00CA4CD6">
      <w:pPr>
        <w:pBdr>
          <w:top w:val="single" w:sz="6" w:space="0" w:color="FFFFFF"/>
          <w:left w:val="single" w:sz="6" w:space="0" w:color="FFFFFF"/>
          <w:bottom w:val="single" w:sz="6" w:space="0" w:color="FFFFFF"/>
          <w:right w:val="single" w:sz="6" w:space="0" w:color="FFFFFF"/>
        </w:pBdr>
        <w:ind w:firstLine="720"/>
      </w:pPr>
      <w:r w:rsidRPr="00E14B23">
        <w:t xml:space="preserve">An announcement of a public comment period for the renewal of this ICR was published in the </w:t>
      </w:r>
      <w:r w:rsidRPr="00E14B23">
        <w:rPr>
          <w:u w:val="single"/>
        </w:rPr>
        <w:t>Federal Register</w:t>
      </w:r>
      <w:r w:rsidRPr="00E14B23">
        <w:t xml:space="preserve"> (</w:t>
      </w:r>
      <w:r w:rsidR="00E14B23" w:rsidRPr="00E14B23">
        <w:t>77</w:t>
      </w:r>
      <w:r w:rsidRPr="00E14B23">
        <w:t xml:space="preserve"> </w:t>
      </w:r>
      <w:r w:rsidRPr="00E14B23">
        <w:rPr>
          <w:u w:val="single"/>
        </w:rPr>
        <w:t>FR</w:t>
      </w:r>
      <w:r w:rsidRPr="00E14B23">
        <w:t xml:space="preserve"> </w:t>
      </w:r>
      <w:r w:rsidR="00E14B23" w:rsidRPr="00E14B23">
        <w:t>47631</w:t>
      </w:r>
      <w:r w:rsidRPr="00E14B23">
        <w:t xml:space="preserve">) on </w:t>
      </w:r>
      <w:r w:rsidR="00E14B23" w:rsidRPr="00E14B23">
        <w:t>August 9, 2012</w:t>
      </w:r>
      <w:r w:rsidRPr="00E14B23">
        <w:t xml:space="preserve">.  No comments were received on the burden published in the </w:t>
      </w:r>
      <w:r w:rsidRPr="00E14B23">
        <w:rPr>
          <w:u w:val="single"/>
        </w:rPr>
        <w:t>Federal Register</w:t>
      </w:r>
      <w:r w:rsidRPr="00E14B23">
        <w:t xml:space="preserve">. </w:t>
      </w:r>
    </w:p>
    <w:p w:rsidR="00CA4CD6" w:rsidRPr="002A4FA7" w:rsidRDefault="00CA4CD6">
      <w:pPr>
        <w:pBdr>
          <w:top w:val="single" w:sz="6" w:space="0" w:color="FFFFFF"/>
          <w:left w:val="single" w:sz="6" w:space="0" w:color="FFFFFF"/>
          <w:bottom w:val="single" w:sz="6" w:space="0" w:color="FFFFFF"/>
          <w:right w:val="single" w:sz="6" w:space="0" w:color="FFFFFF"/>
        </w:pBdr>
      </w:pPr>
    </w:p>
    <w:p w:rsidR="00123889" w:rsidRPr="002A4FA7" w:rsidRDefault="00123889" w:rsidP="00123889">
      <w:pPr>
        <w:pBdr>
          <w:top w:val="single" w:sz="6" w:space="0" w:color="FFFFFF"/>
          <w:left w:val="single" w:sz="6" w:space="0" w:color="FFFFFF"/>
          <w:bottom w:val="single" w:sz="6" w:space="0" w:color="FFFFFF"/>
          <w:right w:val="single" w:sz="6" w:space="0" w:color="FFFFFF"/>
        </w:pBdr>
        <w:ind w:firstLine="720"/>
      </w:pPr>
      <w:r w:rsidRPr="002A4FA7">
        <w:rPr>
          <w:b/>
          <w:bCs/>
        </w:rPr>
        <w:t>3(c</w:t>
      </w:r>
      <w:proofErr w:type="gramStart"/>
      <w:r w:rsidRPr="002A4FA7">
        <w:rPr>
          <w:b/>
          <w:bCs/>
        </w:rPr>
        <w:t>)  Consultations</w:t>
      </w:r>
      <w:proofErr w:type="gramEnd"/>
    </w:p>
    <w:p w:rsidR="00E53137" w:rsidRPr="002A4FA7" w:rsidRDefault="00E53137" w:rsidP="00D92F66">
      <w:pPr>
        <w:spacing w:line="244" w:lineRule="exact"/>
      </w:pPr>
    </w:p>
    <w:p w:rsidR="002A4FA7" w:rsidRPr="002A4FA7" w:rsidRDefault="002A4FA7" w:rsidP="002A4FA7">
      <w:pPr>
        <w:widowControl/>
        <w:ind w:firstLine="720"/>
      </w:pPr>
      <w:r w:rsidRPr="002A4FA7">
        <w:t xml:space="preserve">The Agency’s industry experts have been consulted, and the Agency’s internal data sources and projections of industry growth over the next three years have been considered.  </w:t>
      </w:r>
      <w:r w:rsidR="00371295">
        <w:t xml:space="preserve">   </w:t>
      </w:r>
      <w:r w:rsidRPr="002A4FA7">
        <w:t xml:space="preserve">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w:t>
      </w:r>
    </w:p>
    <w:p w:rsidR="002A4FA7" w:rsidRPr="002A4FA7" w:rsidRDefault="002A4FA7" w:rsidP="002A4FA7">
      <w:pPr>
        <w:widowControl/>
        <w:ind w:firstLine="720"/>
      </w:pPr>
    </w:p>
    <w:p w:rsidR="002A4FA7" w:rsidRPr="002A4FA7" w:rsidRDefault="002A4FA7" w:rsidP="002A4FA7">
      <w:pPr>
        <w:widowControl/>
        <w:ind w:firstLine="720"/>
      </w:pPr>
      <w:r w:rsidRPr="002A4FA7">
        <w:t xml:space="preserve">Consultations with industry representatives (i.e., respondents) </w:t>
      </w:r>
      <w:r w:rsidRPr="00A12FBF">
        <w:t xml:space="preserve">were conducted to determine if there is any way for EPA to reduce the recordkeeping and reporting burden or improve the language in the standard to make it easier to comply.  In developing this ICR, </w:t>
      </w:r>
      <w:r w:rsidR="00371295">
        <w:t xml:space="preserve">    </w:t>
      </w:r>
      <w:r w:rsidRPr="00A12FBF">
        <w:t>EPA contacted</w:t>
      </w:r>
      <w:r w:rsidR="00B24CDE">
        <w:t>: 1)</w:t>
      </w:r>
      <w:r w:rsidRPr="00A12FBF">
        <w:t xml:space="preserve"> the Asphalt Roofing Manufacturers Association</w:t>
      </w:r>
      <w:r w:rsidR="00B24CDE">
        <w:t>,</w:t>
      </w:r>
      <w:r w:rsidRPr="00A12FBF">
        <w:t xml:space="preserve"> at </w:t>
      </w:r>
      <w:r w:rsidR="00A12FBF" w:rsidRPr="00A12FBF">
        <w:t>(202) 591-2450</w:t>
      </w:r>
      <w:r w:rsidR="00B24CDE">
        <w:t>;</w:t>
      </w:r>
      <w:r w:rsidR="00A12FBF" w:rsidRPr="00A12FBF">
        <w:t xml:space="preserve"> </w:t>
      </w:r>
      <w:r w:rsidRPr="00A12FBF">
        <w:t>an</w:t>
      </w:r>
      <w:r w:rsidR="00D415DE">
        <w:t xml:space="preserve">d </w:t>
      </w:r>
      <w:r w:rsidR="00371295">
        <w:t xml:space="preserve">      </w:t>
      </w:r>
      <w:r w:rsidR="00B24CDE">
        <w:t xml:space="preserve">2) </w:t>
      </w:r>
      <w:r w:rsidR="00D415DE">
        <w:t xml:space="preserve">the Asphalt Institute at </w:t>
      </w:r>
      <w:r w:rsidR="00F91748">
        <w:t>(</w:t>
      </w:r>
      <w:r w:rsidR="00D415DE" w:rsidRPr="00D415DE">
        <w:t>859</w:t>
      </w:r>
      <w:r w:rsidR="00F91748">
        <w:t>)</w:t>
      </w:r>
      <w:r w:rsidR="00F91748" w:rsidRPr="00D415DE" w:rsidDel="00F91748">
        <w:t xml:space="preserve"> </w:t>
      </w:r>
      <w:r w:rsidR="00D415DE" w:rsidRPr="00D415DE">
        <w:t>288-4960</w:t>
      </w:r>
      <w:r w:rsidR="00D415DE">
        <w:t>.</w:t>
      </w:r>
    </w:p>
    <w:p w:rsidR="002A4FA7" w:rsidRPr="002A4FA7" w:rsidRDefault="002A4FA7" w:rsidP="002A4FA7">
      <w:pPr>
        <w:widowControl/>
        <w:ind w:firstLine="720"/>
      </w:pPr>
      <w:r w:rsidRPr="002A4FA7">
        <w:lastRenderedPageBreak/>
        <w:t xml:space="preserve">It is our policy to respond after a thorough review of comments received since the </w:t>
      </w:r>
      <w:r w:rsidR="00371295">
        <w:t xml:space="preserve">       </w:t>
      </w:r>
      <w:r w:rsidRPr="002A4FA7">
        <w:t xml:space="preserve">last ICR renewal as well as those submitted in response to the first </w:t>
      </w:r>
      <w:r w:rsidRPr="00F91748">
        <w:rPr>
          <w:u w:val="single"/>
        </w:rPr>
        <w:t>Federal Register</w:t>
      </w:r>
      <w:r w:rsidRPr="002A4FA7">
        <w:t xml:space="preserve"> notice.</w:t>
      </w:r>
    </w:p>
    <w:p w:rsidR="00123889" w:rsidRPr="002A4FA7" w:rsidRDefault="00123889">
      <w:pPr>
        <w:pBdr>
          <w:top w:val="single" w:sz="6" w:space="0" w:color="FFFFFF"/>
          <w:left w:val="single" w:sz="6" w:space="0" w:color="FFFFFF"/>
          <w:bottom w:val="single" w:sz="6" w:space="0" w:color="FFFFFF"/>
          <w:right w:val="single" w:sz="6" w:space="0" w:color="FFFFFF"/>
        </w:pBdr>
      </w:pPr>
    </w:p>
    <w:p w:rsidR="00CA4CD6" w:rsidRPr="002A4FA7" w:rsidRDefault="00CA4CD6">
      <w:pPr>
        <w:pBdr>
          <w:top w:val="single" w:sz="6" w:space="0" w:color="FFFFFF"/>
          <w:left w:val="single" w:sz="6" w:space="0" w:color="FFFFFF"/>
          <w:bottom w:val="single" w:sz="6" w:space="0" w:color="FFFFFF"/>
          <w:right w:val="single" w:sz="6" w:space="0" w:color="FFFFFF"/>
        </w:pBdr>
        <w:ind w:firstLine="720"/>
      </w:pPr>
      <w:r w:rsidRPr="002A4FA7">
        <w:rPr>
          <w:b/>
          <w:bCs/>
        </w:rPr>
        <w:t>3(d</w:t>
      </w:r>
      <w:proofErr w:type="gramStart"/>
      <w:r w:rsidRPr="002A4FA7">
        <w:rPr>
          <w:b/>
          <w:bCs/>
        </w:rPr>
        <w:t>)  Effects</w:t>
      </w:r>
      <w:proofErr w:type="gramEnd"/>
      <w:r w:rsidRPr="002A4FA7">
        <w:rPr>
          <w:b/>
          <w:bCs/>
        </w:rPr>
        <w:t xml:space="preserve"> of Less Frequent Collection</w:t>
      </w:r>
    </w:p>
    <w:p w:rsidR="00CA4CD6" w:rsidRPr="002A4FA7"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371295">
        <w:rPr>
          <w:color w:val="000000"/>
        </w:rPr>
        <w:t xml:space="preserve">  </w:t>
      </w:r>
      <w:r>
        <w:rPr>
          <w:color w:val="000000"/>
        </w:rPr>
        <w:t xml:space="preserve">are applied and emission limitations are met.  If the information required by these standards </w:t>
      </w:r>
      <w:r w:rsidR="00371295">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proofErr w:type="gramStart"/>
      <w:r w:rsidR="002C1F95">
        <w:rPr>
          <w:color w:val="000000"/>
        </w:rPr>
        <w:t xml:space="preserve">and </w:t>
      </w:r>
      <w:r w:rsidR="00371295">
        <w:rPr>
          <w:color w:val="000000"/>
        </w:rPr>
        <w:t xml:space="preserve"> </w:t>
      </w:r>
      <w:r w:rsidR="002C1F95">
        <w:rPr>
          <w:color w:val="000000"/>
        </w:rPr>
        <w:t>the</w:t>
      </w:r>
      <w:proofErr w:type="gramEnd"/>
      <w:r w:rsidR="002C1F95">
        <w:rPr>
          <w:color w:val="000000"/>
        </w:rPr>
        <w:t xml:space="preserv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51494"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w:t>
      </w:r>
      <w:r w:rsidR="00CA4CD6" w:rsidRPr="00451494">
        <w:t>1320, section 1320.5.</w:t>
      </w:r>
    </w:p>
    <w:p w:rsidR="00451494" w:rsidRPr="00451494" w:rsidRDefault="00451494" w:rsidP="00451494">
      <w:pPr>
        <w:pBdr>
          <w:top w:val="single" w:sz="6" w:space="0" w:color="FFFFFF"/>
          <w:left w:val="single" w:sz="6" w:space="0" w:color="FFFFFF"/>
          <w:bottom w:val="single" w:sz="6" w:space="0" w:color="FFFFFF"/>
          <w:right w:val="single" w:sz="6" w:space="0" w:color="FFFFFF"/>
        </w:pBdr>
      </w:pPr>
    </w:p>
    <w:p w:rsidR="00451494" w:rsidRPr="00451494" w:rsidRDefault="00451494" w:rsidP="00451494">
      <w:pPr>
        <w:pBdr>
          <w:top w:val="single" w:sz="6" w:space="0" w:color="FFFFFF"/>
          <w:left w:val="single" w:sz="6" w:space="0" w:color="FFFFFF"/>
          <w:bottom w:val="single" w:sz="6" w:space="0" w:color="FFFFFF"/>
          <w:right w:val="single" w:sz="6" w:space="0" w:color="FFFFFF"/>
        </w:pBdr>
        <w:ind w:firstLine="720"/>
      </w:pPr>
      <w:r w:rsidRPr="00451494">
        <w:t>These standards require the respondents to maintain all records, including reports and notifications for at least five years.  This is consistent with the General Provisions as applied to the standards.  EPA believes that the five</w:t>
      </w:r>
      <w:r w:rsidR="00A02360">
        <w:t>-</w:t>
      </w:r>
      <w:r w:rsidRPr="00451494">
        <w:t>year records retention requirement is consistent the Part 70 permit program and the five</w:t>
      </w:r>
      <w:r w:rsidR="007159A4">
        <w:t>-</w:t>
      </w:r>
      <w:r w:rsidRPr="00451494">
        <w:t>year statute of limitations on which the permit program is based.  The retention of records for five</w:t>
      </w:r>
      <w:r w:rsidR="00A02360">
        <w:t xml:space="preserve"> </w:t>
      </w:r>
      <w:r w:rsidRPr="00451494">
        <w:t xml:space="preserve">years allows EPA to establish the compliance </w:t>
      </w:r>
      <w:proofErr w:type="gramStart"/>
      <w:r w:rsidRPr="00451494">
        <w:t xml:space="preserve">history </w:t>
      </w:r>
      <w:r w:rsidR="00A02360">
        <w:t xml:space="preserve"> </w:t>
      </w:r>
      <w:r w:rsidRPr="00451494">
        <w:t>of</w:t>
      </w:r>
      <w:proofErr w:type="gramEnd"/>
      <w:r w:rsidRPr="00451494">
        <w:t xml:space="preserve">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Pr="00451494" w:rsidRDefault="00CA4CD6">
      <w:pPr>
        <w:pBdr>
          <w:top w:val="single" w:sz="6" w:space="0" w:color="FFFFFF"/>
          <w:left w:val="single" w:sz="6" w:space="0" w:color="FFFFFF"/>
          <w:bottom w:val="single" w:sz="6" w:space="0" w:color="FFFFFF"/>
          <w:right w:val="single" w:sz="6" w:space="0" w:color="FFFFFF"/>
        </w:pBdr>
      </w:pPr>
    </w:p>
    <w:p w:rsidR="00CA4CD6" w:rsidRPr="00451494" w:rsidRDefault="00CA4CD6">
      <w:pPr>
        <w:pBdr>
          <w:top w:val="single" w:sz="6" w:space="0" w:color="FFFFFF"/>
          <w:left w:val="single" w:sz="6" w:space="0" w:color="FFFFFF"/>
          <w:bottom w:val="single" w:sz="6" w:space="0" w:color="FFFFFF"/>
          <w:right w:val="single" w:sz="6" w:space="0" w:color="FFFFFF"/>
        </w:pBdr>
        <w:ind w:firstLine="720"/>
      </w:pPr>
      <w:r w:rsidRPr="00451494">
        <w:rPr>
          <w:b/>
          <w:bCs/>
        </w:rPr>
        <w:t>3(f</w:t>
      </w:r>
      <w:proofErr w:type="gramStart"/>
      <w:r w:rsidRPr="00451494">
        <w:rPr>
          <w:b/>
          <w:bCs/>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0D4550">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A02360" w:rsidRDefault="00A02360">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3622E" w:rsidRDefault="00CA4CD6" w:rsidP="00A97691">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w:t>
      </w:r>
      <w:r w:rsidRPr="0023622E">
        <w:t>reporting requirements are</w:t>
      </w:r>
      <w:r w:rsidR="00A97691" w:rsidRPr="0023622E">
        <w:t xml:space="preserve"> owners or operators </w:t>
      </w:r>
      <w:r w:rsidR="00D33026">
        <w:lastRenderedPageBreak/>
        <w:t xml:space="preserve">of HAP </w:t>
      </w:r>
      <w:r w:rsidR="00A97691" w:rsidRPr="0023622E">
        <w:t xml:space="preserve">emitting area sources in the asphalt processing and asphalt roofing manufacturing </w:t>
      </w:r>
      <w:r w:rsidR="00F91748">
        <w:t>industry</w:t>
      </w:r>
      <w:r w:rsidR="00A97691" w:rsidRPr="0023622E">
        <w:t>.  The United States Standard Industrial Classification (SIC) codes and associated North American Industry Classification System (NAICS) codes for the respondents affected by the standards are listed in the following table.</w:t>
      </w:r>
    </w:p>
    <w:p w:rsidR="00A97691" w:rsidRPr="0023622E" w:rsidRDefault="00A97691" w:rsidP="00A97691">
      <w:pPr>
        <w:pBdr>
          <w:top w:val="single" w:sz="6" w:space="0" w:color="FFFFFF"/>
          <w:left w:val="single" w:sz="6" w:space="0" w:color="FFFFFF"/>
          <w:bottom w:val="single" w:sz="6" w:space="0" w:color="FFFFFF"/>
          <w:right w:val="single" w:sz="6" w:space="0" w:color="FFFFFF"/>
        </w:pBdr>
        <w:ind w:firstLine="720"/>
      </w:pPr>
    </w:p>
    <w:tbl>
      <w:tblPr>
        <w:tblW w:w="0" w:type="auto"/>
        <w:tblInd w:w="112" w:type="dxa"/>
        <w:tblLayout w:type="fixed"/>
        <w:tblCellMar>
          <w:left w:w="112" w:type="dxa"/>
          <w:right w:w="112" w:type="dxa"/>
        </w:tblCellMar>
        <w:tblLook w:val="0000"/>
      </w:tblPr>
      <w:tblGrid>
        <w:gridCol w:w="5580"/>
        <w:gridCol w:w="1980"/>
        <w:gridCol w:w="1800"/>
      </w:tblGrid>
      <w:tr w:rsidR="00CA4CD6" w:rsidRPr="0023622E" w:rsidTr="00D33026">
        <w:tc>
          <w:tcPr>
            <w:tcW w:w="5580" w:type="dxa"/>
            <w:tcBorders>
              <w:top w:val="single" w:sz="7" w:space="0" w:color="000000"/>
              <w:left w:val="single" w:sz="7" w:space="0" w:color="000000"/>
              <w:bottom w:val="single" w:sz="6" w:space="0" w:color="FFFFFF"/>
              <w:right w:val="single" w:sz="6" w:space="0" w:color="FFFFFF"/>
            </w:tcBorders>
            <w:vAlign w:val="center"/>
          </w:tcPr>
          <w:p w:rsidR="00CA4CD6" w:rsidRPr="0023622E" w:rsidRDefault="00CA4CD6" w:rsidP="00F91748">
            <w:pPr>
              <w:spacing w:line="120" w:lineRule="exact"/>
              <w:jc w:val="center"/>
            </w:pPr>
          </w:p>
          <w:p w:rsidR="00CA4CD6" w:rsidRPr="0023622E" w:rsidRDefault="00F91748" w:rsidP="00F91748">
            <w:pPr>
              <w:pBdr>
                <w:top w:val="single" w:sz="6" w:space="0" w:color="FFFFFF"/>
                <w:left w:val="single" w:sz="6" w:space="0" w:color="FFFFFF"/>
                <w:bottom w:val="single" w:sz="6" w:space="0" w:color="FFFFFF"/>
                <w:right w:val="single" w:sz="6" w:space="0" w:color="FFFFFF"/>
              </w:pBdr>
              <w:spacing w:after="54"/>
              <w:jc w:val="center"/>
              <w:rPr>
                <w:b/>
                <w:bCs/>
              </w:rPr>
            </w:pPr>
            <w:r>
              <w:rPr>
                <w:b/>
                <w:bCs/>
              </w:rPr>
              <w:t xml:space="preserve">Standard </w:t>
            </w:r>
            <w:r w:rsidR="00A97691" w:rsidRPr="0023622E">
              <w:rPr>
                <w:b/>
                <w:bCs/>
              </w:rPr>
              <w:t>(40 CFR Part 63, Subpart AAAAAAA)</w:t>
            </w:r>
          </w:p>
        </w:tc>
        <w:tc>
          <w:tcPr>
            <w:tcW w:w="1980" w:type="dxa"/>
            <w:tcBorders>
              <w:top w:val="single" w:sz="7" w:space="0" w:color="000000"/>
              <w:left w:val="single" w:sz="7" w:space="0" w:color="000000"/>
              <w:bottom w:val="single" w:sz="6" w:space="0" w:color="FFFFFF"/>
              <w:right w:val="single" w:sz="6" w:space="0" w:color="FFFFFF"/>
            </w:tcBorders>
            <w:vAlign w:val="center"/>
          </w:tcPr>
          <w:p w:rsidR="00CA4CD6" w:rsidRPr="0023622E" w:rsidRDefault="00CA4CD6" w:rsidP="00F91748">
            <w:pPr>
              <w:spacing w:line="120" w:lineRule="exact"/>
              <w:jc w:val="center"/>
              <w:rPr>
                <w:b/>
                <w:bCs/>
              </w:rPr>
            </w:pPr>
          </w:p>
          <w:p w:rsidR="00CA4CD6" w:rsidRPr="0023622E" w:rsidRDefault="00CA4CD6" w:rsidP="00F91748">
            <w:pPr>
              <w:pBdr>
                <w:top w:val="single" w:sz="6" w:space="0" w:color="FFFFFF"/>
                <w:left w:val="single" w:sz="6" w:space="0" w:color="FFFFFF"/>
                <w:bottom w:val="single" w:sz="6" w:space="0" w:color="FFFFFF"/>
                <w:right w:val="single" w:sz="6" w:space="0" w:color="FFFFFF"/>
              </w:pBdr>
              <w:spacing w:after="54"/>
              <w:jc w:val="center"/>
              <w:rPr>
                <w:b/>
                <w:bCs/>
              </w:rPr>
            </w:pPr>
            <w:r w:rsidRPr="0023622E">
              <w:rPr>
                <w:b/>
                <w:bCs/>
              </w:rPr>
              <w:t>SIC Codes</w:t>
            </w:r>
          </w:p>
        </w:tc>
        <w:tc>
          <w:tcPr>
            <w:tcW w:w="1800" w:type="dxa"/>
            <w:tcBorders>
              <w:top w:val="single" w:sz="7" w:space="0" w:color="000000"/>
              <w:left w:val="single" w:sz="7" w:space="0" w:color="000000"/>
              <w:bottom w:val="single" w:sz="6" w:space="0" w:color="FFFFFF"/>
              <w:right w:val="single" w:sz="7" w:space="0" w:color="000000"/>
            </w:tcBorders>
            <w:vAlign w:val="center"/>
          </w:tcPr>
          <w:p w:rsidR="00CA4CD6" w:rsidRPr="0023622E" w:rsidRDefault="00CA4CD6" w:rsidP="00F91748">
            <w:pPr>
              <w:spacing w:line="120" w:lineRule="exact"/>
              <w:jc w:val="center"/>
              <w:rPr>
                <w:b/>
                <w:bCs/>
              </w:rPr>
            </w:pPr>
          </w:p>
          <w:p w:rsidR="00CA4CD6" w:rsidRPr="0023622E" w:rsidRDefault="00CA4CD6" w:rsidP="00F91748">
            <w:pPr>
              <w:pBdr>
                <w:top w:val="single" w:sz="6" w:space="0" w:color="FFFFFF"/>
                <w:left w:val="single" w:sz="6" w:space="0" w:color="FFFFFF"/>
                <w:bottom w:val="single" w:sz="6" w:space="0" w:color="FFFFFF"/>
                <w:right w:val="single" w:sz="6" w:space="0" w:color="FFFFFF"/>
              </w:pBdr>
              <w:spacing w:after="54"/>
              <w:jc w:val="center"/>
              <w:rPr>
                <w:b/>
                <w:bCs/>
              </w:rPr>
            </w:pPr>
            <w:r w:rsidRPr="0023622E">
              <w:rPr>
                <w:b/>
                <w:bCs/>
              </w:rPr>
              <w:t>NAICS Codes</w:t>
            </w:r>
          </w:p>
        </w:tc>
      </w:tr>
      <w:tr w:rsidR="00CA4CD6" w:rsidRPr="0023622E" w:rsidTr="00D33026">
        <w:tc>
          <w:tcPr>
            <w:tcW w:w="5580" w:type="dxa"/>
            <w:tcBorders>
              <w:top w:val="single" w:sz="7" w:space="0" w:color="000000"/>
              <w:left w:val="single" w:sz="7" w:space="0" w:color="000000"/>
              <w:bottom w:val="single" w:sz="6" w:space="0" w:color="FFFFFF"/>
              <w:right w:val="single" w:sz="6" w:space="0" w:color="FFFFFF"/>
            </w:tcBorders>
          </w:tcPr>
          <w:p w:rsidR="00CA4CD6" w:rsidRPr="0023622E" w:rsidRDefault="00CA4CD6">
            <w:pPr>
              <w:spacing w:line="120" w:lineRule="exact"/>
            </w:pPr>
          </w:p>
          <w:p w:rsidR="00CA4CD6" w:rsidRPr="0023622E" w:rsidRDefault="006D27FD">
            <w:pPr>
              <w:pBdr>
                <w:top w:val="single" w:sz="6" w:space="0" w:color="FFFFFF"/>
                <w:left w:val="single" w:sz="6" w:space="0" w:color="FFFFFF"/>
                <w:bottom w:val="single" w:sz="6" w:space="0" w:color="FFFFFF"/>
                <w:right w:val="single" w:sz="6" w:space="0" w:color="FFFFFF"/>
              </w:pBdr>
              <w:spacing w:after="54"/>
            </w:pPr>
            <w:r w:rsidRPr="0023622E">
              <w:t>Asphalt Shingle and Coating Materials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rsidR="00CA4CD6" w:rsidRPr="0023622E" w:rsidRDefault="00CA4CD6" w:rsidP="00F91748">
            <w:pPr>
              <w:spacing w:line="120" w:lineRule="exact"/>
              <w:jc w:val="center"/>
            </w:pPr>
          </w:p>
          <w:p w:rsidR="00CA4CD6" w:rsidRPr="0023622E" w:rsidRDefault="0023622E" w:rsidP="00F91748">
            <w:pPr>
              <w:pBdr>
                <w:top w:val="single" w:sz="6" w:space="0" w:color="FFFFFF"/>
                <w:left w:val="single" w:sz="6" w:space="0" w:color="FFFFFF"/>
                <w:bottom w:val="single" w:sz="6" w:space="0" w:color="FFFFFF"/>
                <w:right w:val="single" w:sz="6" w:space="0" w:color="FFFFFF"/>
              </w:pBdr>
              <w:spacing w:after="54"/>
              <w:jc w:val="center"/>
            </w:pPr>
            <w:r w:rsidRPr="0023622E">
              <w:t>2952</w:t>
            </w:r>
          </w:p>
        </w:tc>
        <w:tc>
          <w:tcPr>
            <w:tcW w:w="1800" w:type="dxa"/>
            <w:tcBorders>
              <w:top w:val="single" w:sz="7" w:space="0" w:color="000000"/>
              <w:left w:val="single" w:sz="7" w:space="0" w:color="000000"/>
              <w:bottom w:val="single" w:sz="6" w:space="0" w:color="FFFFFF"/>
              <w:right w:val="single" w:sz="7" w:space="0" w:color="000000"/>
            </w:tcBorders>
            <w:vAlign w:val="center"/>
          </w:tcPr>
          <w:p w:rsidR="00CA4CD6" w:rsidRPr="0023622E" w:rsidRDefault="00CA4CD6" w:rsidP="00F91748">
            <w:pPr>
              <w:spacing w:line="120" w:lineRule="exact"/>
              <w:jc w:val="center"/>
            </w:pPr>
          </w:p>
          <w:p w:rsidR="00CA4CD6" w:rsidRPr="0023622E" w:rsidRDefault="00A97691" w:rsidP="00F91748">
            <w:pPr>
              <w:pBdr>
                <w:top w:val="single" w:sz="6" w:space="0" w:color="FFFFFF"/>
                <w:left w:val="single" w:sz="6" w:space="0" w:color="FFFFFF"/>
                <w:bottom w:val="single" w:sz="6" w:space="0" w:color="FFFFFF"/>
                <w:right w:val="single" w:sz="6" w:space="0" w:color="FFFFFF"/>
              </w:pBdr>
              <w:spacing w:after="54"/>
              <w:jc w:val="center"/>
            </w:pPr>
            <w:r w:rsidRPr="0023622E">
              <w:t>324122</w:t>
            </w:r>
          </w:p>
        </w:tc>
      </w:tr>
      <w:tr w:rsidR="00CA4CD6" w:rsidRPr="0023622E" w:rsidTr="00D33026">
        <w:tc>
          <w:tcPr>
            <w:tcW w:w="5580" w:type="dxa"/>
            <w:tcBorders>
              <w:top w:val="single" w:sz="7" w:space="0" w:color="000000"/>
              <w:left w:val="single" w:sz="7" w:space="0" w:color="000000"/>
              <w:bottom w:val="single" w:sz="7" w:space="0" w:color="000000"/>
              <w:right w:val="single" w:sz="6" w:space="0" w:color="FFFFFF"/>
            </w:tcBorders>
          </w:tcPr>
          <w:p w:rsidR="00CA4CD6" w:rsidRPr="0023622E" w:rsidRDefault="00CA4CD6">
            <w:pPr>
              <w:spacing w:line="120" w:lineRule="exact"/>
            </w:pPr>
          </w:p>
          <w:p w:rsidR="00CA4CD6" w:rsidRPr="0023622E" w:rsidRDefault="006D27FD">
            <w:pPr>
              <w:pBdr>
                <w:top w:val="single" w:sz="6" w:space="0" w:color="FFFFFF"/>
                <w:left w:val="single" w:sz="6" w:space="0" w:color="FFFFFF"/>
                <w:bottom w:val="single" w:sz="6" w:space="0" w:color="FFFFFF"/>
                <w:right w:val="single" w:sz="6" w:space="0" w:color="FFFFFF"/>
              </w:pBdr>
              <w:spacing w:after="73"/>
            </w:pPr>
            <w:r w:rsidRPr="0023622E">
              <w:t>Petroleum Refineries</w:t>
            </w:r>
          </w:p>
        </w:tc>
        <w:tc>
          <w:tcPr>
            <w:tcW w:w="1980" w:type="dxa"/>
            <w:tcBorders>
              <w:top w:val="single" w:sz="7" w:space="0" w:color="000000"/>
              <w:left w:val="single" w:sz="7" w:space="0" w:color="000000"/>
              <w:bottom w:val="single" w:sz="7" w:space="0" w:color="000000"/>
              <w:right w:val="single" w:sz="6" w:space="0" w:color="FFFFFF"/>
            </w:tcBorders>
            <w:vAlign w:val="center"/>
          </w:tcPr>
          <w:p w:rsidR="00CA4CD6" w:rsidRPr="0023622E" w:rsidRDefault="00CA4CD6" w:rsidP="00F91748">
            <w:pPr>
              <w:spacing w:line="120" w:lineRule="exact"/>
              <w:jc w:val="center"/>
            </w:pPr>
          </w:p>
          <w:p w:rsidR="00CA4CD6" w:rsidRPr="0023622E" w:rsidRDefault="0023622E" w:rsidP="00F91748">
            <w:pPr>
              <w:pBdr>
                <w:top w:val="single" w:sz="6" w:space="0" w:color="FFFFFF"/>
                <w:left w:val="single" w:sz="6" w:space="0" w:color="FFFFFF"/>
                <w:bottom w:val="single" w:sz="6" w:space="0" w:color="FFFFFF"/>
                <w:right w:val="single" w:sz="6" w:space="0" w:color="FFFFFF"/>
              </w:pBdr>
              <w:spacing w:after="73"/>
              <w:jc w:val="center"/>
            </w:pPr>
            <w:r w:rsidRPr="0023622E">
              <w:t>2911</w:t>
            </w:r>
          </w:p>
        </w:tc>
        <w:tc>
          <w:tcPr>
            <w:tcW w:w="1800" w:type="dxa"/>
            <w:tcBorders>
              <w:top w:val="single" w:sz="7" w:space="0" w:color="000000"/>
              <w:left w:val="single" w:sz="7" w:space="0" w:color="000000"/>
              <w:bottom w:val="single" w:sz="7" w:space="0" w:color="000000"/>
              <w:right w:val="single" w:sz="7" w:space="0" w:color="000000"/>
            </w:tcBorders>
            <w:vAlign w:val="center"/>
          </w:tcPr>
          <w:p w:rsidR="00CA4CD6" w:rsidRPr="0023622E" w:rsidRDefault="00CA4CD6" w:rsidP="00F91748">
            <w:pPr>
              <w:spacing w:line="120" w:lineRule="exact"/>
              <w:jc w:val="center"/>
            </w:pPr>
          </w:p>
          <w:p w:rsidR="00CA4CD6" w:rsidRPr="0023622E" w:rsidRDefault="00A97691" w:rsidP="00F91748">
            <w:pPr>
              <w:pBdr>
                <w:top w:val="single" w:sz="6" w:space="0" w:color="FFFFFF"/>
                <w:left w:val="single" w:sz="6" w:space="0" w:color="FFFFFF"/>
                <w:bottom w:val="single" w:sz="6" w:space="0" w:color="FFFFFF"/>
                <w:right w:val="single" w:sz="6" w:space="0" w:color="FFFFFF"/>
              </w:pBdr>
              <w:spacing w:after="73"/>
              <w:jc w:val="center"/>
            </w:pPr>
            <w:r w:rsidRPr="0023622E">
              <w:t>324110</w:t>
            </w:r>
          </w:p>
        </w:tc>
      </w:tr>
    </w:tbl>
    <w:p w:rsidR="00CA4CD6" w:rsidRPr="0023622E" w:rsidRDefault="00CA4CD6">
      <w:pPr>
        <w:pBdr>
          <w:top w:val="single" w:sz="6" w:space="0" w:color="FFFFFF"/>
          <w:left w:val="single" w:sz="6" w:space="0" w:color="FFFFFF"/>
          <w:bottom w:val="single" w:sz="6" w:space="0" w:color="FFFFFF"/>
          <w:right w:val="single" w:sz="6" w:space="0" w:color="FFFFFF"/>
        </w:pBdr>
      </w:pPr>
      <w:r w:rsidRPr="0023622E">
        <w:t xml:space="preserve">  </w:t>
      </w:r>
    </w:p>
    <w:p w:rsidR="00CA4CD6" w:rsidRPr="003F2B2B" w:rsidRDefault="00CA4CD6">
      <w:pPr>
        <w:pBdr>
          <w:top w:val="single" w:sz="6" w:space="0" w:color="FFFFFF"/>
          <w:left w:val="single" w:sz="6" w:space="0" w:color="FFFFFF"/>
          <w:bottom w:val="single" w:sz="6" w:space="0" w:color="FFFFFF"/>
          <w:right w:val="single" w:sz="6" w:space="0" w:color="FFFFFF"/>
        </w:pBdr>
        <w:ind w:firstLine="720"/>
      </w:pPr>
      <w:r w:rsidRPr="0023622E">
        <w:rPr>
          <w:b/>
          <w:bCs/>
        </w:rPr>
        <w:t>4(b</w:t>
      </w:r>
      <w:proofErr w:type="gramStart"/>
      <w:r w:rsidRPr="0023622E">
        <w:rPr>
          <w:b/>
          <w:bCs/>
        </w:rPr>
        <w:t xml:space="preserve">)  </w:t>
      </w:r>
      <w:r w:rsidRPr="003F2B2B">
        <w:rPr>
          <w:b/>
          <w:bCs/>
        </w:rPr>
        <w:t>Information</w:t>
      </w:r>
      <w:proofErr w:type="gramEnd"/>
      <w:r w:rsidRPr="003F2B2B">
        <w:rPr>
          <w:b/>
          <w:bCs/>
        </w:rPr>
        <w:t xml:space="preserve"> Requested</w:t>
      </w:r>
    </w:p>
    <w:p w:rsidR="00CA4CD6" w:rsidRPr="003F2B2B" w:rsidRDefault="00CA4CD6">
      <w:pPr>
        <w:pBdr>
          <w:top w:val="single" w:sz="6" w:space="0" w:color="FFFFFF"/>
          <w:left w:val="single" w:sz="6" w:space="0" w:color="FFFFFF"/>
          <w:bottom w:val="single" w:sz="6" w:space="0" w:color="FFFFFF"/>
          <w:right w:val="single" w:sz="6" w:space="0" w:color="FFFFFF"/>
        </w:pBdr>
      </w:pPr>
    </w:p>
    <w:p w:rsidR="00CA4CD6" w:rsidRPr="003F2B2B" w:rsidRDefault="00CA4CD6">
      <w:pPr>
        <w:pBdr>
          <w:top w:val="single" w:sz="6" w:space="0" w:color="FFFFFF"/>
          <w:left w:val="single" w:sz="6" w:space="0" w:color="FFFFFF"/>
          <w:bottom w:val="single" w:sz="6" w:space="0" w:color="FFFFFF"/>
          <w:right w:val="single" w:sz="6" w:space="0" w:color="FFFFFF"/>
        </w:pBdr>
        <w:ind w:firstLine="1440"/>
      </w:pPr>
      <w:r w:rsidRPr="003F2B2B">
        <w:rPr>
          <w:b/>
          <w:bCs/>
        </w:rPr>
        <w:t>(</w:t>
      </w:r>
      <w:proofErr w:type="spellStart"/>
      <w:r w:rsidRPr="003F2B2B">
        <w:rPr>
          <w:b/>
          <w:bCs/>
        </w:rPr>
        <w:t>i</w:t>
      </w:r>
      <w:proofErr w:type="spellEnd"/>
      <w:r w:rsidRPr="003F2B2B">
        <w:rPr>
          <w:b/>
          <w:bCs/>
        </w:rPr>
        <w:t>)  Data Items</w:t>
      </w:r>
    </w:p>
    <w:p w:rsidR="00CA4CD6" w:rsidRPr="003F2B2B" w:rsidRDefault="00CA4CD6">
      <w:pPr>
        <w:pBdr>
          <w:top w:val="single" w:sz="6" w:space="0" w:color="FFFFFF"/>
          <w:left w:val="single" w:sz="6" w:space="0" w:color="FFFFFF"/>
          <w:bottom w:val="single" w:sz="6" w:space="0" w:color="FFFFFF"/>
          <w:right w:val="single" w:sz="6" w:space="0" w:color="FFFFFF"/>
        </w:pBdr>
      </w:pPr>
    </w:p>
    <w:p w:rsidR="00CA4CD6" w:rsidRPr="003F2B2B" w:rsidRDefault="00817E8B">
      <w:pPr>
        <w:pBdr>
          <w:top w:val="single" w:sz="6" w:space="0" w:color="FFFFFF"/>
          <w:left w:val="single" w:sz="6" w:space="0" w:color="FFFFFF"/>
          <w:bottom w:val="single" w:sz="6" w:space="0" w:color="FFFFFF"/>
          <w:right w:val="single" w:sz="6" w:space="0" w:color="FFFFFF"/>
        </w:pBdr>
        <w:ind w:firstLine="720"/>
      </w:pPr>
      <w:r w:rsidRPr="003F2B2B">
        <w:t>I</w:t>
      </w:r>
      <w:r w:rsidR="00CA4CD6" w:rsidRPr="003F2B2B">
        <w:t>n this ICR</w:t>
      </w:r>
      <w:r w:rsidRPr="003F2B2B">
        <w:t>, all the data</w:t>
      </w:r>
      <w:r w:rsidR="00CA4CD6" w:rsidRPr="003F2B2B">
        <w:t xml:space="preserve"> </w:t>
      </w:r>
      <w:r w:rsidRPr="003F2B2B">
        <w:t xml:space="preserve">that is </w:t>
      </w:r>
      <w:r w:rsidR="00CA4CD6" w:rsidRPr="003F2B2B">
        <w:t xml:space="preserve">recorded or reported </w:t>
      </w:r>
      <w:r w:rsidRPr="003F2B2B">
        <w:t>is</w:t>
      </w:r>
      <w:r w:rsidR="00CA4CD6" w:rsidRPr="003F2B2B">
        <w:t xml:space="preserve"> required by</w:t>
      </w:r>
      <w:r w:rsidR="003F2B2B" w:rsidRPr="003F2B2B">
        <w:t xml:space="preserve"> </w:t>
      </w:r>
      <w:r w:rsidR="00F91748">
        <w:t xml:space="preserve">the </w:t>
      </w:r>
      <w:r w:rsidR="003F2B2B" w:rsidRPr="003F2B2B">
        <w:t xml:space="preserve">NESHAP for </w:t>
      </w:r>
      <w:r w:rsidR="00CC686E">
        <w:rPr>
          <w:bCs/>
        </w:rPr>
        <w:t xml:space="preserve">Area Sources: </w:t>
      </w:r>
      <w:r w:rsidR="003F2B2B" w:rsidRPr="003F2B2B">
        <w:t xml:space="preserve">Asphalt Processing and Asphalt Roofing Manufacturing </w:t>
      </w:r>
      <w:r w:rsidR="00CA4CD6" w:rsidRPr="003F2B2B">
        <w:t xml:space="preserve">(40 CFR </w:t>
      </w:r>
      <w:r w:rsidR="00F91748">
        <w:t>P</w:t>
      </w:r>
      <w:r w:rsidR="00F91748" w:rsidRPr="003F2B2B">
        <w:t xml:space="preserve">art </w:t>
      </w:r>
      <w:r w:rsidR="003F2B2B" w:rsidRPr="003F2B2B">
        <w:t>63</w:t>
      </w:r>
      <w:r w:rsidR="00CA4CD6" w:rsidRPr="003F2B2B">
        <w:t xml:space="preserve">, </w:t>
      </w:r>
      <w:r w:rsidR="00F91748">
        <w:t>S</w:t>
      </w:r>
      <w:r w:rsidR="00F91748" w:rsidRPr="003F2B2B">
        <w:t xml:space="preserve">ubpart </w:t>
      </w:r>
      <w:r w:rsidR="003F2B2B" w:rsidRPr="003F2B2B">
        <w:t>AAAAAAA</w:t>
      </w:r>
      <w:r w:rsidR="00CA4CD6" w:rsidRPr="003F2B2B">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D388E" w:rsidRDefault="00CA4CD6" w:rsidP="00B973D3">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4E293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31310D" w:rsidTr="00AB1299">
        <w:trPr>
          <w:jc w:val="center"/>
        </w:trPr>
        <w:tc>
          <w:tcPr>
            <w:tcW w:w="7020" w:type="dxa"/>
            <w:tcBorders>
              <w:top w:val="single" w:sz="7" w:space="0" w:color="000000"/>
              <w:left w:val="single" w:sz="7" w:space="0" w:color="000000"/>
              <w:bottom w:val="single" w:sz="7" w:space="0" w:color="000000"/>
              <w:right w:val="single" w:sz="7" w:space="0" w:color="000000"/>
            </w:tcBorders>
          </w:tcPr>
          <w:p w:rsidR="0031310D" w:rsidRPr="0031310D" w:rsidRDefault="0031310D" w:rsidP="007410B5">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Initial notification</w:t>
            </w:r>
          </w:p>
        </w:tc>
        <w:tc>
          <w:tcPr>
            <w:tcW w:w="2340" w:type="dxa"/>
            <w:tcBorders>
              <w:top w:val="single" w:sz="7" w:space="0" w:color="000000"/>
              <w:left w:val="single" w:sz="7" w:space="0" w:color="000000"/>
              <w:bottom w:val="single" w:sz="7" w:space="0" w:color="000000"/>
              <w:right w:val="single" w:sz="7" w:space="0" w:color="000000"/>
            </w:tcBorders>
          </w:tcPr>
          <w:p w:rsidR="0031310D" w:rsidRPr="0031310D" w:rsidRDefault="0031310D" w:rsidP="006D388E">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63.9(b)(2), 63.9(b)(4), 63.9(b)</w:t>
            </w:r>
            <w:r w:rsidRPr="0031310D">
              <w:t>(5)</w:t>
            </w:r>
          </w:p>
        </w:tc>
      </w:tr>
      <w:tr w:rsidR="0031310D" w:rsidTr="00AB1299">
        <w:trPr>
          <w:jc w:val="center"/>
        </w:trPr>
        <w:tc>
          <w:tcPr>
            <w:tcW w:w="7020" w:type="dxa"/>
            <w:tcBorders>
              <w:top w:val="single" w:sz="7" w:space="0" w:color="000000"/>
              <w:left w:val="single" w:sz="7" w:space="0" w:color="000000"/>
              <w:bottom w:val="single" w:sz="7" w:space="0" w:color="000000"/>
              <w:right w:val="single" w:sz="7" w:space="0" w:color="000000"/>
            </w:tcBorders>
          </w:tcPr>
          <w:p w:rsidR="0031310D" w:rsidRPr="0031310D" w:rsidRDefault="0031310D" w:rsidP="00AB1299">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Notification of compliance test</w:t>
            </w:r>
          </w:p>
        </w:tc>
        <w:tc>
          <w:tcPr>
            <w:tcW w:w="2340" w:type="dxa"/>
            <w:tcBorders>
              <w:top w:val="single" w:sz="7" w:space="0" w:color="000000"/>
              <w:left w:val="single" w:sz="7" w:space="0" w:color="000000"/>
              <w:bottom w:val="single" w:sz="7" w:space="0" w:color="000000"/>
              <w:right w:val="single" w:sz="7" w:space="0" w:color="000000"/>
            </w:tcBorders>
          </w:tcPr>
          <w:p w:rsidR="0031310D" w:rsidRPr="0031310D" w:rsidRDefault="0031310D" w:rsidP="008645D1">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63.11564(a)(4)</w:t>
            </w:r>
          </w:p>
        </w:tc>
      </w:tr>
      <w:tr w:rsidR="0031310D" w:rsidTr="00AB1299">
        <w:trPr>
          <w:jc w:val="center"/>
        </w:trPr>
        <w:tc>
          <w:tcPr>
            <w:tcW w:w="7020" w:type="dxa"/>
            <w:tcBorders>
              <w:top w:val="single" w:sz="7" w:space="0" w:color="000000"/>
              <w:left w:val="single" w:sz="7" w:space="0" w:color="000000"/>
              <w:bottom w:val="single" w:sz="7" w:space="0" w:color="000000"/>
              <w:right w:val="single" w:sz="7" w:space="0" w:color="000000"/>
            </w:tcBorders>
          </w:tcPr>
          <w:p w:rsidR="0031310D" w:rsidRPr="0031310D" w:rsidRDefault="0031310D" w:rsidP="00AB1299">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 xml:space="preserve">Notification of </w:t>
            </w:r>
            <w:r w:rsidR="00EC7381">
              <w:rPr>
                <w:color w:val="000000"/>
              </w:rPr>
              <w:t xml:space="preserve">initial </w:t>
            </w:r>
            <w:r w:rsidRPr="0031310D">
              <w:rPr>
                <w:color w:val="000000"/>
              </w:rPr>
              <w:t>performance test</w:t>
            </w:r>
          </w:p>
        </w:tc>
        <w:tc>
          <w:tcPr>
            <w:tcW w:w="2340" w:type="dxa"/>
            <w:tcBorders>
              <w:top w:val="single" w:sz="7" w:space="0" w:color="000000"/>
              <w:left w:val="single" w:sz="7" w:space="0" w:color="000000"/>
              <w:bottom w:val="single" w:sz="7" w:space="0" w:color="000000"/>
              <w:right w:val="single" w:sz="7" w:space="0" w:color="000000"/>
            </w:tcBorders>
          </w:tcPr>
          <w:p w:rsidR="0031310D" w:rsidRPr="0031310D" w:rsidRDefault="0031310D" w:rsidP="00B973D3">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63.7(b)</w:t>
            </w:r>
            <w:r w:rsidR="00EC7381">
              <w:rPr>
                <w:color w:val="000000"/>
              </w:rPr>
              <w:t>(1)</w:t>
            </w:r>
            <w:r w:rsidRPr="0031310D">
              <w:rPr>
                <w:color w:val="000000"/>
              </w:rPr>
              <w:t>, 63.9(b), 63.9(e)</w:t>
            </w:r>
            <w:r w:rsidR="005277FC">
              <w:rPr>
                <w:color w:val="000000"/>
              </w:rPr>
              <w:t>, 63.10(d)(2)</w:t>
            </w:r>
          </w:p>
        </w:tc>
      </w:tr>
      <w:tr w:rsidR="0031310D" w:rsidTr="00AB1299">
        <w:trPr>
          <w:jc w:val="center"/>
        </w:trPr>
        <w:tc>
          <w:tcPr>
            <w:tcW w:w="7020" w:type="dxa"/>
            <w:tcBorders>
              <w:top w:val="single" w:sz="7" w:space="0" w:color="000000"/>
              <w:left w:val="single" w:sz="7" w:space="0" w:color="000000"/>
              <w:bottom w:val="single" w:sz="7" w:space="0" w:color="000000"/>
              <w:right w:val="single" w:sz="7" w:space="0" w:color="000000"/>
            </w:tcBorders>
          </w:tcPr>
          <w:p w:rsidR="0031310D" w:rsidRPr="0031310D" w:rsidRDefault="0031310D" w:rsidP="00AB1299">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Notification of performance evaluation</w:t>
            </w:r>
          </w:p>
        </w:tc>
        <w:tc>
          <w:tcPr>
            <w:tcW w:w="2340" w:type="dxa"/>
            <w:tcBorders>
              <w:top w:val="single" w:sz="7" w:space="0" w:color="000000"/>
              <w:left w:val="single" w:sz="7" w:space="0" w:color="000000"/>
              <w:bottom w:val="single" w:sz="7" w:space="0" w:color="000000"/>
              <w:right w:val="single" w:sz="7" w:space="0" w:color="000000"/>
            </w:tcBorders>
          </w:tcPr>
          <w:p w:rsidR="0031310D" w:rsidRPr="0031310D" w:rsidRDefault="0031310D" w:rsidP="00B973D3">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63.8(e)(2), 63.9(g)(1)</w:t>
            </w:r>
          </w:p>
        </w:tc>
      </w:tr>
      <w:tr w:rsidR="0031310D" w:rsidTr="00AB1299">
        <w:trPr>
          <w:jc w:val="center"/>
        </w:trPr>
        <w:tc>
          <w:tcPr>
            <w:tcW w:w="7020" w:type="dxa"/>
            <w:tcBorders>
              <w:top w:val="single" w:sz="7" w:space="0" w:color="000000"/>
              <w:left w:val="single" w:sz="7" w:space="0" w:color="000000"/>
              <w:bottom w:val="single" w:sz="7" w:space="0" w:color="000000"/>
              <w:right w:val="single" w:sz="7" w:space="0" w:color="000000"/>
            </w:tcBorders>
          </w:tcPr>
          <w:p w:rsidR="0031310D" w:rsidRPr="0031310D" w:rsidRDefault="0031310D" w:rsidP="00AB1299">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31310D" w:rsidRPr="0031310D" w:rsidRDefault="0031310D" w:rsidP="0031310D">
            <w:pPr>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63.9(h), 63.11564(a)(5)</w:t>
            </w:r>
          </w:p>
        </w:tc>
      </w:tr>
    </w:tbl>
    <w:p w:rsidR="004E2933" w:rsidRDefault="004E2933" w:rsidP="004E2933">
      <w:pPr>
        <w:pBdr>
          <w:top w:val="single" w:sz="6" w:space="0" w:color="FFFFFF"/>
          <w:left w:val="single" w:sz="6" w:space="0" w:color="FFFFFF"/>
          <w:bottom w:val="single" w:sz="6" w:space="0" w:color="FFFFFF"/>
          <w:right w:val="single" w:sz="6" w:space="0" w:color="FFFFFF"/>
        </w:pBdr>
        <w:rPr>
          <w:color w:val="000000"/>
        </w:rPr>
      </w:pPr>
    </w:p>
    <w:p w:rsidR="004E2933" w:rsidRDefault="004E2933" w:rsidP="004E2933">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tbl>
      <w:tblPr>
        <w:tblW w:w="0" w:type="auto"/>
        <w:jc w:val="center"/>
        <w:tblLayout w:type="fixed"/>
        <w:tblCellMar>
          <w:left w:w="120" w:type="dxa"/>
          <w:right w:w="120" w:type="dxa"/>
        </w:tblCellMar>
        <w:tblLook w:val="0000"/>
      </w:tblPr>
      <w:tblGrid>
        <w:gridCol w:w="7020"/>
        <w:gridCol w:w="2340"/>
      </w:tblGrid>
      <w:tr w:rsidR="004E2933" w:rsidTr="00AB129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E2933" w:rsidRDefault="004E2933" w:rsidP="00AB1299">
            <w:pPr>
              <w:keepNext/>
              <w:spacing w:line="120" w:lineRule="exact"/>
              <w:rPr>
                <w:color w:val="000000"/>
              </w:rPr>
            </w:pPr>
          </w:p>
          <w:p w:rsidR="004E2933" w:rsidRPr="006E4A6E" w:rsidRDefault="004E2933" w:rsidP="00AB1299">
            <w:pPr>
              <w:keepNext/>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31310D" w:rsidTr="00AB1299">
        <w:trPr>
          <w:jc w:val="center"/>
        </w:trPr>
        <w:tc>
          <w:tcPr>
            <w:tcW w:w="7020" w:type="dxa"/>
            <w:tcBorders>
              <w:top w:val="single" w:sz="7" w:space="0" w:color="000000"/>
              <w:left w:val="single" w:sz="7" w:space="0" w:color="000000"/>
              <w:bottom w:val="single" w:sz="7" w:space="0" w:color="000000"/>
              <w:right w:val="single" w:sz="7" w:space="0" w:color="000000"/>
            </w:tcBorders>
          </w:tcPr>
          <w:p w:rsidR="0031310D" w:rsidRPr="0031310D" w:rsidRDefault="0031310D" w:rsidP="00101CEF">
            <w:pPr>
              <w:keepNext/>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Semiannual compliance reports</w:t>
            </w:r>
          </w:p>
        </w:tc>
        <w:tc>
          <w:tcPr>
            <w:tcW w:w="2340" w:type="dxa"/>
            <w:tcBorders>
              <w:top w:val="single" w:sz="7" w:space="0" w:color="000000"/>
              <w:left w:val="single" w:sz="7" w:space="0" w:color="000000"/>
              <w:bottom w:val="single" w:sz="7" w:space="0" w:color="000000"/>
              <w:right w:val="single" w:sz="7" w:space="0" w:color="000000"/>
            </w:tcBorders>
          </w:tcPr>
          <w:p w:rsidR="0031310D" w:rsidRPr="0031310D" w:rsidRDefault="0031310D"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31310D">
              <w:rPr>
                <w:color w:val="000000"/>
              </w:rPr>
              <w:t>63.11564(b)</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31310D">
      <w:pPr>
        <w:keepNext/>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keep the following records:</w:t>
      </w:r>
    </w:p>
    <w:p w:rsidR="00CA4CD6" w:rsidRDefault="00CA4CD6" w:rsidP="0031310D">
      <w:pPr>
        <w:keepNext/>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101CE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rsidP="0031310D">
            <w:pPr>
              <w:keepNext/>
              <w:spacing w:line="120" w:lineRule="exact"/>
              <w:rPr>
                <w:color w:val="000000"/>
              </w:rPr>
            </w:pPr>
          </w:p>
          <w:p w:rsidR="00CA4CD6" w:rsidRPr="006E4A6E" w:rsidRDefault="00CA4CD6" w:rsidP="0031310D">
            <w:pPr>
              <w:keepNext/>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70214A" w:rsidTr="00D33026">
        <w:trPr>
          <w:jc w:val="center"/>
        </w:trPr>
        <w:tc>
          <w:tcPr>
            <w:tcW w:w="7020" w:type="dxa"/>
            <w:tcBorders>
              <w:top w:val="single" w:sz="7" w:space="0" w:color="000000"/>
              <w:left w:val="single" w:sz="7" w:space="0" w:color="000000"/>
              <w:bottom w:val="single" w:sz="7" w:space="0" w:color="000000"/>
              <w:right w:val="single" w:sz="7" w:space="0" w:color="000000"/>
            </w:tcBorders>
          </w:tcPr>
          <w:p w:rsidR="0070214A" w:rsidRPr="0070214A" w:rsidRDefault="0070214A" w:rsidP="0031310D">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Records of submitted reports, notifications, and plans</w:t>
            </w:r>
          </w:p>
        </w:tc>
        <w:tc>
          <w:tcPr>
            <w:tcW w:w="2340" w:type="dxa"/>
            <w:tcBorders>
              <w:top w:val="single" w:sz="7" w:space="0" w:color="000000"/>
              <w:left w:val="single" w:sz="7" w:space="0" w:color="000000"/>
              <w:bottom w:val="single" w:sz="7" w:space="0" w:color="000000"/>
              <w:right w:val="single" w:sz="7" w:space="0" w:color="000000"/>
            </w:tcBorders>
          </w:tcPr>
          <w:p w:rsidR="0070214A" w:rsidRPr="0070214A" w:rsidRDefault="0070214A"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63.11564(c)(1), 63.11564(c)(8), 63.11564(c)(9),</w:t>
            </w:r>
          </w:p>
          <w:p w:rsidR="0070214A" w:rsidRPr="0070214A" w:rsidRDefault="0070214A"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63.10(b)(2)(xiv),</w:t>
            </w:r>
          </w:p>
          <w:p w:rsidR="0070214A" w:rsidRPr="0070214A" w:rsidRDefault="0070214A" w:rsidP="0031310D">
            <w:pPr>
              <w:keepNext/>
              <w:pBdr>
                <w:top w:val="single" w:sz="6" w:space="0" w:color="FFFFFF"/>
                <w:left w:val="single" w:sz="6" w:space="0" w:color="FFFFFF"/>
                <w:bottom w:val="single" w:sz="6" w:space="0" w:color="FFFFFF"/>
                <w:right w:val="single" w:sz="6" w:space="0" w:color="FFFFFF"/>
              </w:pBdr>
              <w:spacing w:after="58"/>
              <w:rPr>
                <w:color w:val="000000"/>
              </w:rPr>
            </w:pPr>
          </w:p>
        </w:tc>
      </w:tr>
      <w:tr w:rsidR="0070214A" w:rsidTr="00D33026">
        <w:trPr>
          <w:jc w:val="center"/>
        </w:trPr>
        <w:tc>
          <w:tcPr>
            <w:tcW w:w="7020" w:type="dxa"/>
            <w:tcBorders>
              <w:top w:val="single" w:sz="7" w:space="0" w:color="000000"/>
              <w:left w:val="single" w:sz="7" w:space="0" w:color="000000"/>
              <w:bottom w:val="single" w:sz="7" w:space="0" w:color="000000"/>
              <w:right w:val="single" w:sz="7" w:space="0" w:color="000000"/>
            </w:tcBorders>
          </w:tcPr>
          <w:p w:rsidR="0070214A" w:rsidRPr="0070214A" w:rsidRDefault="0070214A" w:rsidP="0031310D">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Records of emission tests used to demonstrate compliance or for performance evaluations</w:t>
            </w:r>
          </w:p>
        </w:tc>
        <w:tc>
          <w:tcPr>
            <w:tcW w:w="2340" w:type="dxa"/>
            <w:tcBorders>
              <w:top w:val="single" w:sz="7" w:space="0" w:color="000000"/>
              <w:left w:val="single" w:sz="7" w:space="0" w:color="000000"/>
              <w:bottom w:val="single" w:sz="7" w:space="0" w:color="000000"/>
              <w:right w:val="single" w:sz="7" w:space="0" w:color="000000"/>
            </w:tcBorders>
          </w:tcPr>
          <w:p w:rsidR="0070214A" w:rsidRPr="0070214A" w:rsidRDefault="0070214A"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63.7(g),</w:t>
            </w:r>
          </w:p>
          <w:p w:rsidR="0070214A" w:rsidRPr="0070214A" w:rsidRDefault="0070214A"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63.11564(c)(2), 63.11564(c)(3), 63.11564(c)(6),</w:t>
            </w:r>
          </w:p>
          <w:p w:rsidR="0070214A" w:rsidRPr="0070214A" w:rsidRDefault="0070214A"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63.10(b)(2)(vii)-(xii) 63.11564(c)(10),</w:t>
            </w:r>
          </w:p>
          <w:p w:rsidR="0070214A" w:rsidRPr="0070214A" w:rsidRDefault="0070214A" w:rsidP="0031310D">
            <w:pPr>
              <w:keepNext/>
              <w:pBdr>
                <w:top w:val="single" w:sz="6" w:space="0" w:color="FFFFFF"/>
                <w:left w:val="single" w:sz="6" w:space="0" w:color="FFFFFF"/>
                <w:bottom w:val="single" w:sz="6" w:space="0" w:color="FFFFFF"/>
                <w:right w:val="single" w:sz="6" w:space="0" w:color="FFFFFF"/>
              </w:pBdr>
              <w:spacing w:after="58"/>
              <w:rPr>
                <w:color w:val="000000"/>
              </w:rPr>
            </w:pPr>
          </w:p>
        </w:tc>
      </w:tr>
      <w:tr w:rsidR="0070214A" w:rsidTr="00D33026">
        <w:trPr>
          <w:jc w:val="center"/>
        </w:trPr>
        <w:tc>
          <w:tcPr>
            <w:tcW w:w="7020" w:type="dxa"/>
            <w:tcBorders>
              <w:top w:val="single" w:sz="7" w:space="0" w:color="000000"/>
              <w:left w:val="single" w:sz="7" w:space="0" w:color="000000"/>
              <w:bottom w:val="single" w:sz="7" w:space="0" w:color="000000"/>
              <w:right w:val="single" w:sz="7" w:space="0" w:color="000000"/>
            </w:tcBorders>
          </w:tcPr>
          <w:p w:rsidR="0070214A" w:rsidRPr="0070214A" w:rsidRDefault="0070214A" w:rsidP="0031310D">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Records of continuous parameter monitoring system (CPMS) operating parameters and values</w:t>
            </w:r>
          </w:p>
        </w:tc>
        <w:tc>
          <w:tcPr>
            <w:tcW w:w="2340" w:type="dxa"/>
            <w:tcBorders>
              <w:top w:val="single" w:sz="7" w:space="0" w:color="000000"/>
              <w:left w:val="single" w:sz="7" w:space="0" w:color="000000"/>
              <w:bottom w:val="single" w:sz="7" w:space="0" w:color="000000"/>
              <w:right w:val="single" w:sz="7" w:space="0" w:color="000000"/>
            </w:tcBorders>
          </w:tcPr>
          <w:p w:rsidR="0070214A" w:rsidRPr="0070214A" w:rsidRDefault="0070214A" w:rsidP="00AB1299">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63.11564(c)(4), 63.11564(c)(5), 63.11564(c)(7),</w:t>
            </w:r>
          </w:p>
          <w:p w:rsidR="0070214A" w:rsidRPr="0070214A" w:rsidRDefault="0070214A" w:rsidP="0031310D">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63.10(c)(1)-(14)</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6D388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5C4C60">
              <w:rPr>
                <w:color w:val="000000"/>
              </w:rPr>
              <w:t xml:space="preserve">a </w:t>
            </w:r>
            <w:r>
              <w:rPr>
                <w:color w:val="000000"/>
              </w:rPr>
              <w:t>C</w:t>
            </w:r>
            <w:r w:rsidR="005C4C60">
              <w:rPr>
                <w:color w:val="000000"/>
              </w:rPr>
              <w:t>P</w:t>
            </w:r>
            <w:r>
              <w:rPr>
                <w:color w:val="000000"/>
              </w:rPr>
              <w:t>MS for opacity</w:t>
            </w:r>
            <w:r w:rsidR="006D388E">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946C69">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CEF" w:rsidP="00101CEF">
      <w:pPr>
        <w:pBdr>
          <w:top w:val="single" w:sz="6" w:space="0" w:color="FFFFFF"/>
          <w:left w:val="single" w:sz="6" w:space="0" w:color="FFFFFF"/>
          <w:bottom w:val="single" w:sz="6" w:space="0" w:color="FFFFFF"/>
          <w:right w:val="single" w:sz="6" w:space="0" w:color="FFFFFF"/>
        </w:pBdr>
        <w:ind w:firstLine="720"/>
        <w:rPr>
          <w:color w:val="000000"/>
        </w:rPr>
      </w:pPr>
      <w:r w:rsidRPr="00101CEF">
        <w:rPr>
          <w:color w:val="000000"/>
        </w:rPr>
        <w:t>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r>
        <w:rPr>
          <w:color w:val="000000"/>
        </w:rPr>
        <w:t xml:space="preserve"> </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Pr="008E5B15" w:rsidRDefault="00CA4CD6">
      <w:pPr>
        <w:pBdr>
          <w:top w:val="single" w:sz="6" w:space="0" w:color="FFFFFF"/>
          <w:left w:val="single" w:sz="6" w:space="0" w:color="FFFFFF"/>
          <w:bottom w:val="single" w:sz="6" w:space="0" w:color="FFFFFF"/>
          <w:right w:val="single" w:sz="6" w:space="0" w:color="FFFFFF"/>
        </w:pBdr>
        <w:rPr>
          <w:b/>
          <w:bCs/>
        </w:rPr>
      </w:pPr>
      <w:r>
        <w:rPr>
          <w:b/>
          <w:bCs/>
          <w:color w:val="000000"/>
        </w:rPr>
        <w:t xml:space="preserve">5.  The Information Collected:  </w:t>
      </w:r>
      <w:r w:rsidRPr="008E5B15">
        <w:rPr>
          <w:b/>
          <w:bCs/>
        </w:rPr>
        <w:t>Agency Activities, Collection Methodology, and Information Management</w:t>
      </w:r>
    </w:p>
    <w:p w:rsidR="00CA4CD6" w:rsidRPr="008E5B15" w:rsidRDefault="00CA4CD6">
      <w:pPr>
        <w:pBdr>
          <w:top w:val="single" w:sz="6" w:space="0" w:color="FFFFFF"/>
          <w:left w:val="single" w:sz="6" w:space="0" w:color="FFFFFF"/>
          <w:bottom w:val="single" w:sz="6" w:space="0" w:color="FFFFFF"/>
          <w:right w:val="single" w:sz="6" w:space="0" w:color="FFFFFF"/>
        </w:pBdr>
        <w:rPr>
          <w:b/>
          <w:bCs/>
        </w:rPr>
      </w:pPr>
    </w:p>
    <w:p w:rsidR="00CA4CD6" w:rsidRPr="008E5B15" w:rsidRDefault="00CA4CD6">
      <w:pPr>
        <w:pBdr>
          <w:top w:val="single" w:sz="6" w:space="0" w:color="FFFFFF"/>
          <w:left w:val="single" w:sz="6" w:space="0" w:color="FFFFFF"/>
          <w:bottom w:val="single" w:sz="6" w:space="0" w:color="FFFFFF"/>
          <w:right w:val="single" w:sz="6" w:space="0" w:color="FFFFFF"/>
        </w:pBdr>
        <w:ind w:firstLine="720"/>
      </w:pPr>
      <w:r w:rsidRPr="008E5B15">
        <w:rPr>
          <w:b/>
          <w:bCs/>
        </w:rPr>
        <w:t>5(a</w:t>
      </w:r>
      <w:proofErr w:type="gramStart"/>
      <w:r w:rsidRPr="008E5B15">
        <w:rPr>
          <w:b/>
          <w:bCs/>
        </w:rPr>
        <w:t>)  Agency</w:t>
      </w:r>
      <w:proofErr w:type="gramEnd"/>
      <w:r w:rsidRPr="008E5B15">
        <w:rPr>
          <w:b/>
          <w:bCs/>
        </w:rPr>
        <w:t xml:space="preserve"> Activities</w:t>
      </w:r>
    </w:p>
    <w:p w:rsidR="00CA4CD6" w:rsidRPr="008E5B15"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E5B15">
        <w:t>EPA conducts the following activities</w:t>
      </w:r>
      <w:r>
        <w:rPr>
          <w:color w:val="000000"/>
        </w:rPr>
        <w:t xml:space="preserve">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rsidTr="00D33026">
        <w:trPr>
          <w:trHeight w:val="613"/>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270AE6" w:rsidRDefault="00CA4CD6">
      <w:pPr>
        <w:pBdr>
          <w:top w:val="single" w:sz="6" w:space="0" w:color="FFFFFF"/>
          <w:left w:val="single" w:sz="6" w:space="0" w:color="FFFFFF"/>
          <w:bottom w:val="single" w:sz="6" w:space="0" w:color="FFFFFF"/>
          <w:right w:val="single" w:sz="6" w:space="0" w:color="FFFFFF"/>
        </w:pBdr>
        <w:ind w:firstLine="720"/>
      </w:pPr>
      <w:r>
        <w:rPr>
          <w:b/>
          <w:bCs/>
          <w:color w:val="000000"/>
        </w:rPr>
        <w:t>5(b</w:t>
      </w:r>
      <w:proofErr w:type="gramStart"/>
      <w:r>
        <w:rPr>
          <w:b/>
          <w:bCs/>
          <w:color w:val="000000"/>
        </w:rPr>
        <w:t xml:space="preserve">)  </w:t>
      </w:r>
      <w:r w:rsidRPr="00270AE6">
        <w:rPr>
          <w:b/>
          <w:bCs/>
        </w:rPr>
        <w:t>Collection</w:t>
      </w:r>
      <w:proofErr w:type="gramEnd"/>
      <w:r w:rsidRPr="00270AE6">
        <w:rPr>
          <w:b/>
          <w:bCs/>
        </w:rPr>
        <w:t xml:space="preserve"> Methodology and Management</w:t>
      </w:r>
    </w:p>
    <w:p w:rsidR="00CA4CD6" w:rsidRPr="00270AE6"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70AE6">
        <w:t xml:space="preserve">Following notification of startup, the reviewing authority </w:t>
      </w:r>
      <w:r w:rsidR="002B29A7" w:rsidRPr="00270AE6">
        <w:t xml:space="preserve">could </w:t>
      </w:r>
      <w:r w:rsidRPr="00270AE6">
        <w:t>inspect the source to determine whether the pollution control devices are properly installed and operated.</w:t>
      </w:r>
      <w:r w:rsidR="008E5B15" w:rsidRPr="00270AE6">
        <w:t xml:space="preserve">  </w:t>
      </w:r>
      <w:r w:rsidRPr="00270AE6">
        <w:lastRenderedPageBreak/>
        <w:t>Performance test reports are used by the Agency to discern a source</w:t>
      </w:r>
      <w:r w:rsidR="004C701D" w:rsidRPr="00270AE6">
        <w:t>’</w:t>
      </w:r>
      <w:r w:rsidRPr="00270AE6">
        <w:t xml:space="preserve">s initial capability </w:t>
      </w:r>
      <w:proofErr w:type="gramStart"/>
      <w:r w:rsidRPr="00270AE6">
        <w:t xml:space="preserve">to </w:t>
      </w:r>
      <w:r w:rsidR="00A02360">
        <w:t xml:space="preserve"> </w:t>
      </w:r>
      <w:r w:rsidRPr="00270AE6">
        <w:t>comply</w:t>
      </w:r>
      <w:proofErr w:type="gramEnd"/>
      <w:r w:rsidRPr="00270AE6">
        <w:t xml:space="preserve"> with the emission standard</w:t>
      </w:r>
      <w:r w:rsidR="008E5B15" w:rsidRPr="00270AE6">
        <w:t xml:space="preserve"> and </w:t>
      </w:r>
      <w:r w:rsidRPr="00270AE6">
        <w:t>note the operating conditions under which compliance was achieved.</w:t>
      </w:r>
      <w:r w:rsidR="008E5B15" w:rsidRPr="00270AE6">
        <w:t xml:space="preserve">  </w:t>
      </w:r>
      <w:r w:rsidRPr="00270AE6">
        <w:t>Data and records maintained by</w:t>
      </w:r>
      <w:r>
        <w:rPr>
          <w:color w:val="000000"/>
        </w:rPr>
        <w:t xml:space="preserve"> the respondents are tabulated and published for use in compliance and enforcement programs.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70AE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Pr="00270AE6" w:rsidRDefault="00CA4CD6">
      <w:pPr>
        <w:pBdr>
          <w:top w:val="single" w:sz="6" w:space="0" w:color="FFFFFF"/>
          <w:left w:val="single" w:sz="6" w:space="0" w:color="FFFFFF"/>
          <w:bottom w:val="single" w:sz="6" w:space="0" w:color="FFFFFF"/>
          <w:right w:val="single" w:sz="6" w:space="0" w:color="FFFFFF"/>
        </w:pBdr>
      </w:pPr>
    </w:p>
    <w:p w:rsidR="00CA4CD6" w:rsidRPr="00270AE6" w:rsidRDefault="00CA4CD6">
      <w:pPr>
        <w:pBdr>
          <w:top w:val="single" w:sz="6" w:space="0" w:color="FFFFFF"/>
          <w:left w:val="single" w:sz="6" w:space="0" w:color="FFFFFF"/>
          <w:bottom w:val="single" w:sz="6" w:space="0" w:color="FFFFFF"/>
          <w:right w:val="single" w:sz="6" w:space="0" w:color="FFFFFF"/>
        </w:pBdr>
        <w:ind w:firstLine="720"/>
      </w:pPr>
      <w:r w:rsidRPr="00270AE6">
        <w:t xml:space="preserve"> The records required by this regulation must be retained by the owner/operator for </w:t>
      </w:r>
      <w:r w:rsidR="00270AE6" w:rsidRPr="00270AE6">
        <w:t xml:space="preserve">five </w:t>
      </w:r>
      <w:r w:rsidRPr="00270AE6">
        <w:t>years.</w:t>
      </w:r>
    </w:p>
    <w:p w:rsidR="00CA4CD6" w:rsidRPr="00270AE6" w:rsidRDefault="00CA4CD6">
      <w:pPr>
        <w:pBdr>
          <w:top w:val="single" w:sz="6" w:space="0" w:color="FFFFFF"/>
          <w:left w:val="single" w:sz="6" w:space="0" w:color="FFFFFF"/>
          <w:bottom w:val="single" w:sz="6" w:space="0" w:color="FFFFFF"/>
          <w:right w:val="single" w:sz="6" w:space="0" w:color="FFFFFF"/>
        </w:pBdr>
      </w:pPr>
    </w:p>
    <w:p w:rsidR="00CA4CD6" w:rsidRPr="00270AE6" w:rsidRDefault="00CA4CD6">
      <w:pPr>
        <w:pBdr>
          <w:top w:val="single" w:sz="6" w:space="0" w:color="FFFFFF"/>
          <w:left w:val="single" w:sz="6" w:space="0" w:color="FFFFFF"/>
          <w:bottom w:val="single" w:sz="6" w:space="0" w:color="FFFFFF"/>
          <w:right w:val="single" w:sz="6" w:space="0" w:color="FFFFFF"/>
        </w:pBdr>
        <w:ind w:firstLine="720"/>
      </w:pPr>
      <w:r w:rsidRPr="00270AE6">
        <w:rPr>
          <w:b/>
          <w:bCs/>
        </w:rPr>
        <w:t>5(c</w:t>
      </w:r>
      <w:proofErr w:type="gramStart"/>
      <w:r w:rsidRPr="00270AE6">
        <w:rPr>
          <w:b/>
          <w:bCs/>
        </w:rPr>
        <w:t>)  Small</w:t>
      </w:r>
      <w:proofErr w:type="gramEnd"/>
      <w:r w:rsidRPr="00270AE6">
        <w:rPr>
          <w:b/>
          <w:bCs/>
        </w:rPr>
        <w:t xml:space="preserve"> Entity Flexibility</w:t>
      </w:r>
    </w:p>
    <w:p w:rsidR="00CA4CD6" w:rsidRPr="00270AE6" w:rsidRDefault="00CA4CD6" w:rsidP="006E4A6E">
      <w:pPr>
        <w:pBdr>
          <w:top w:val="single" w:sz="6" w:space="0" w:color="FFFFFF"/>
          <w:left w:val="single" w:sz="6" w:space="0" w:color="FFFFFF"/>
          <w:bottom w:val="single" w:sz="6" w:space="0" w:color="FFFFFF"/>
          <w:right w:val="single" w:sz="6" w:space="0" w:color="FFFFFF"/>
        </w:pBdr>
      </w:pPr>
    </w:p>
    <w:p w:rsidR="00815EAE" w:rsidRDefault="00815EAE" w:rsidP="00815EAE">
      <w:pPr>
        <w:pBdr>
          <w:top w:val="single" w:sz="6" w:space="0" w:color="FFFFFF"/>
          <w:left w:val="single" w:sz="6" w:space="0" w:color="FFFFFF"/>
          <w:bottom w:val="single" w:sz="6" w:space="0" w:color="FFFFFF"/>
          <w:right w:val="single" w:sz="6" w:space="0" w:color="FFFFFF"/>
        </w:pBdr>
        <w:ind w:firstLine="720"/>
        <w:rPr>
          <w:color w:val="000000"/>
        </w:rPr>
      </w:pPr>
      <w:r w:rsidRPr="00270AE6">
        <w:rPr>
          <w:color w:val="000000"/>
        </w:rPr>
        <w:t xml:space="preserve">Approximately 47 percent of the area source facilities that would be covered by the standards are considered to be </w:t>
      </w:r>
      <w:r>
        <w:rPr>
          <w:color w:val="000000"/>
        </w:rPr>
        <w:t xml:space="preserve">small entities (i.e., </w:t>
      </w:r>
      <w:r w:rsidRPr="00270AE6">
        <w:rPr>
          <w:color w:val="000000"/>
        </w:rPr>
        <w:t>small businesses</w:t>
      </w:r>
      <w:r>
        <w:rPr>
          <w:color w:val="000000"/>
        </w:rPr>
        <w:t>)</w:t>
      </w:r>
      <w:r w:rsidRPr="00270AE6">
        <w:rPr>
          <w:color w:val="000000"/>
        </w:rPr>
        <w:t>.</w:t>
      </w:r>
      <w:r>
        <w:rPr>
          <w:color w:val="000000"/>
        </w:rPr>
        <w:t xml:space="preserve">  </w:t>
      </w:r>
      <w:r w:rsidRPr="00270AE6">
        <w:rPr>
          <w:color w:val="000000"/>
        </w:rPr>
        <w:t xml:space="preserve">Due to the high percentage of companies that are small businesses, it is likely that some small businesses will be affected by this NESHAP.  </w:t>
      </w:r>
      <w:r w:rsidR="006D2A8A">
        <w:rPr>
          <w:color w:val="000000"/>
        </w:rPr>
        <w:t xml:space="preserve">However, the impact on small entities was taken into consideration during the development of the regulation.  </w:t>
      </w:r>
      <w:r>
        <w:rPr>
          <w:color w:val="000000"/>
        </w:rPr>
        <w:t>W</w:t>
      </w:r>
      <w:r w:rsidRPr="00270AE6">
        <w:rPr>
          <w:color w:val="000000"/>
        </w:rPr>
        <w:t xml:space="preserve">e have limited the testing, monitoring, recordkeeping, and reporting requirements for all facilities, including those owned by small businesses, to the minimum necessary to ensure compliance.  </w:t>
      </w:r>
      <w:r>
        <w:rPr>
          <w:color w:val="000000"/>
        </w:rPr>
        <w:t>Additionally, i</w:t>
      </w:r>
      <w:r w:rsidRPr="00270AE6">
        <w:rPr>
          <w:color w:val="000000"/>
        </w:rPr>
        <w:t xml:space="preserve">t is estimated that no companies will incur compliance costs in excess of 1 percent of sales.  </w:t>
      </w:r>
      <w:r>
        <w:rPr>
          <w:color w:val="000000"/>
        </w:rPr>
        <w:t xml:space="preserve">Therefore, the </w:t>
      </w:r>
      <w:r w:rsidRPr="00270AE6">
        <w:rPr>
          <w:color w:val="000000"/>
        </w:rPr>
        <w:t xml:space="preserve">final NESHAP will not have a significant impact on small businesses.  </w:t>
      </w:r>
    </w:p>
    <w:p w:rsidR="00815EAE" w:rsidRDefault="00815EAE" w:rsidP="006D2A8A">
      <w:pPr>
        <w:pBdr>
          <w:top w:val="single" w:sz="6" w:space="0" w:color="FFFFFF"/>
          <w:left w:val="single" w:sz="6" w:space="0" w:color="FFFFFF"/>
          <w:bottom w:val="single" w:sz="6" w:space="0" w:color="FFFFFF"/>
          <w:right w:val="single" w:sz="6" w:space="0" w:color="FFFFFF"/>
        </w:pBdr>
        <w:ind w:firstLine="720"/>
        <w:rPr>
          <w:color w:val="000000"/>
        </w:rPr>
      </w:pPr>
    </w:p>
    <w:p w:rsidR="006D2A8A" w:rsidRDefault="006D2A8A" w:rsidP="006D2A8A">
      <w:pPr>
        <w:pBdr>
          <w:top w:val="single" w:sz="6" w:space="0" w:color="FFFFFF"/>
          <w:left w:val="single" w:sz="6" w:space="0" w:color="FFFFFF"/>
          <w:bottom w:val="single" w:sz="6" w:space="0" w:color="FFFFFF"/>
          <w:right w:val="single" w:sz="6" w:space="0" w:color="FFFFFF"/>
        </w:pBdr>
        <w:ind w:firstLine="720"/>
        <w:rPr>
          <w:color w:val="000000"/>
        </w:rPr>
      </w:pPr>
      <w:r>
        <w:rPr>
          <w:color w:val="000000"/>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270AE6" w:rsidRDefault="00270AE6" w:rsidP="00270AE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E226B0">
        <w:rPr>
          <w:color w:val="000000"/>
        </w:rPr>
        <w:t xml:space="preserve">below </w:t>
      </w:r>
      <w:r>
        <w:rPr>
          <w:color w:val="000000"/>
        </w:rPr>
        <w:t xml:space="preserve">in </w:t>
      </w:r>
      <w:r w:rsidR="00710713">
        <w:rPr>
          <w:color w:val="000000"/>
        </w:rPr>
        <w:t xml:space="preserve">Table </w:t>
      </w:r>
      <w:r>
        <w:rPr>
          <w:color w:val="000000"/>
        </w:rPr>
        <w:t>1:</w:t>
      </w:r>
      <w:r w:rsidR="00EC7381">
        <w:rPr>
          <w:color w:val="000000"/>
        </w:rPr>
        <w:t xml:space="preserve"> </w:t>
      </w:r>
      <w:r w:rsidR="00A02360">
        <w:rPr>
          <w:color w:val="000000"/>
        </w:rPr>
        <w:t xml:space="preserve">Annual Respondent Burden and Cost - </w:t>
      </w:r>
      <w:r w:rsidR="00EC7381" w:rsidRPr="00EC7381">
        <w:rPr>
          <w:color w:val="000000"/>
        </w:rPr>
        <w:t xml:space="preserve">NESHAP for </w:t>
      </w:r>
      <w:r w:rsidR="00CC686E">
        <w:rPr>
          <w:bCs/>
        </w:rPr>
        <w:t xml:space="preserve">Area Sources: </w:t>
      </w:r>
      <w:r w:rsidR="00EC7381" w:rsidRPr="00EC7381">
        <w:rPr>
          <w:color w:val="000000"/>
        </w:rPr>
        <w:t>Asphalt Processing and Asphalt Roofing Manufacturing (40 CFR Part 63, Subpart AAAAAAA) (Renewal)</w:t>
      </w:r>
      <w:r w:rsidR="00EC7381">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EC7381">
        <w:rPr>
          <w:color w:val="000000"/>
        </w:rPr>
        <w:t xml:space="preserve"> </w:t>
      </w:r>
      <w:r>
        <w:rPr>
          <w:color w:val="000000"/>
        </w:rPr>
        <w:t xml:space="preserve">the subpart included in this ICR.  The </w:t>
      </w:r>
      <w:r>
        <w:rPr>
          <w:color w:val="000000"/>
        </w:rPr>
        <w:lastRenderedPageBreak/>
        <w:t>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Pr="000B6822" w:rsidRDefault="00CA4CD6" w:rsidP="004C701D">
      <w:pPr>
        <w:pBdr>
          <w:top w:val="single" w:sz="6" w:space="1" w:color="FFFFFF"/>
          <w:left w:val="single" w:sz="6" w:space="0" w:color="FFFFFF"/>
          <w:bottom w:val="single" w:sz="6" w:space="0" w:color="FFFFFF"/>
          <w:right w:val="single" w:sz="6" w:space="0" w:color="FFFFFF"/>
        </w:pBdr>
        <w:ind w:firstLine="720"/>
      </w:pPr>
      <w:r>
        <w:rPr>
          <w:color w:val="000000"/>
        </w:rPr>
        <w:t>The average annual burden to industry over the next three years from these recordkeeping and reporting requirement</w:t>
      </w:r>
      <w:r w:rsidR="004C701D">
        <w:rPr>
          <w:color w:val="000000"/>
        </w:rPr>
        <w:t>s is estimated to be</w:t>
      </w:r>
      <w:r w:rsidR="00025D9E">
        <w:rPr>
          <w:color w:val="000000"/>
        </w:rPr>
        <w:t xml:space="preserve"> </w:t>
      </w:r>
      <w:r w:rsidR="00025D9E" w:rsidRPr="00025D9E">
        <w:rPr>
          <w:color w:val="000000"/>
        </w:rPr>
        <w:t>2,846</w:t>
      </w:r>
      <w:r w:rsidR="00025D9E">
        <w:rPr>
          <w:color w:val="000000"/>
        </w:rPr>
        <w:t xml:space="preserve"> </w:t>
      </w:r>
      <w:r w:rsidR="004C701D">
        <w:rPr>
          <w:color w:val="000000"/>
        </w:rPr>
        <w:t>(</w:t>
      </w:r>
      <w:r>
        <w:rPr>
          <w:color w:val="000000"/>
        </w:rPr>
        <w:t>Total Labor Hours from Table 1</w:t>
      </w:r>
      <w:r w:rsidR="004F1D31">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w:t>
      </w:r>
      <w:r w:rsidR="004C701D" w:rsidRPr="000B6822">
        <w:t xml:space="preserve">from the development of the </w:t>
      </w:r>
      <w:r w:rsidRPr="000B6822">
        <w:t>regulation, Agency knowledge and experience with the NESHAP</w:t>
      </w:r>
      <w:r w:rsidR="000B6822">
        <w:t xml:space="preserve"> </w:t>
      </w:r>
      <w:r w:rsidRPr="000B6822">
        <w:t>program, the previously approved ICR, and any comments received.</w:t>
      </w:r>
    </w:p>
    <w:p w:rsidR="00CA4CD6" w:rsidRPr="000B6822" w:rsidRDefault="00CA4CD6" w:rsidP="004C701D">
      <w:pPr>
        <w:pBdr>
          <w:top w:val="single" w:sz="6" w:space="1" w:color="FFFFFF"/>
          <w:left w:val="single" w:sz="6" w:space="0" w:color="FFFFFF"/>
          <w:bottom w:val="single" w:sz="6" w:space="0" w:color="FFFFFF"/>
          <w:right w:val="single" w:sz="6" w:space="0" w:color="FFFFFF"/>
        </w:pBdr>
      </w:pPr>
    </w:p>
    <w:p w:rsidR="002712EB" w:rsidRPr="000B6822"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0B6822">
        <w:rPr>
          <w:b/>
          <w:bCs/>
        </w:rPr>
        <w:t>6(b</w:t>
      </w:r>
      <w:proofErr w:type="gramStart"/>
      <w:r w:rsidRPr="000B6822">
        <w:rPr>
          <w:b/>
          <w:bCs/>
        </w:rPr>
        <w:t>)  Estimating</w:t>
      </w:r>
      <w:proofErr w:type="gramEnd"/>
      <w:r w:rsidRPr="000B6822">
        <w:rPr>
          <w:b/>
          <w:bCs/>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5277FC" w:rsidRDefault="005277F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type of industry costs associated with the information collection activities in the subject standard are both labor costs which are addressed elsewhere in this ICR and the costs associated with continuous monitoring.  The capital/startup costs are </w:t>
      </w:r>
      <w:proofErr w:type="spellStart"/>
      <w:r>
        <w:rPr>
          <w:color w:val="000000"/>
        </w:rPr>
        <w:t>one time</w:t>
      </w:r>
      <w:proofErr w:type="spellEnd"/>
      <w:r>
        <w:rPr>
          <w:color w:val="000000"/>
        </w:rPr>
        <w:t xml:space="preserve"> costs when a facility becomes subject to the regulation.  The annual operation and maintenance costs are the ongoing costs to maintain the monitor(s) and other costs su</w:t>
      </w:r>
      <w:r w:rsidR="005277FC">
        <w:rPr>
          <w:color w:val="000000"/>
        </w:rPr>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277FC">
      <w:pPr>
        <w:keepNext/>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lastRenderedPageBreak/>
        <w:t>(iii)  Capital/Startup vs. Operation and Maintenance (O&amp;M) Costs</w:t>
      </w:r>
    </w:p>
    <w:p w:rsidR="00CA4CD6" w:rsidRDefault="00CA4CD6" w:rsidP="005277FC">
      <w:pPr>
        <w:keepNext/>
        <w:pBdr>
          <w:top w:val="single" w:sz="6" w:space="0" w:color="FFFFFF"/>
          <w:left w:val="single" w:sz="6" w:space="0" w:color="FFFFFF"/>
          <w:bottom w:val="single" w:sz="6" w:space="0" w:color="FFFFFF"/>
          <w:right w:val="single" w:sz="6" w:space="0" w:color="FFFFFF"/>
        </w:pBdr>
        <w:rPr>
          <w:color w:val="000000"/>
        </w:rPr>
      </w:pPr>
    </w:p>
    <w:tbl>
      <w:tblPr>
        <w:tblW w:w="0" w:type="auto"/>
        <w:tblInd w:w="-159" w:type="dxa"/>
        <w:tblLayout w:type="fixed"/>
        <w:tblCellMar>
          <w:left w:w="111" w:type="dxa"/>
          <w:right w:w="111" w:type="dxa"/>
        </w:tblCellMar>
        <w:tblLook w:val="0000"/>
      </w:tblPr>
      <w:tblGrid>
        <w:gridCol w:w="1530"/>
        <w:gridCol w:w="1440"/>
        <w:gridCol w:w="1260"/>
        <w:gridCol w:w="1440"/>
        <w:gridCol w:w="1350"/>
        <w:gridCol w:w="1260"/>
        <w:gridCol w:w="1260"/>
      </w:tblGrid>
      <w:tr w:rsidR="00A73600" w:rsidTr="00594772">
        <w:trPr>
          <w:tblHeader/>
        </w:trPr>
        <w:tc>
          <w:tcPr>
            <w:tcW w:w="9540" w:type="dxa"/>
            <w:gridSpan w:val="7"/>
            <w:tcBorders>
              <w:top w:val="single" w:sz="7" w:space="0" w:color="000000"/>
              <w:left w:val="single" w:sz="7" w:space="0" w:color="000000"/>
              <w:bottom w:val="single" w:sz="6" w:space="0" w:color="FFFFFF"/>
              <w:right w:val="single" w:sz="7" w:space="0" w:color="000000"/>
            </w:tcBorders>
          </w:tcPr>
          <w:p w:rsidR="00CA4CD6" w:rsidRDefault="00CA4CD6" w:rsidP="005277FC">
            <w:pPr>
              <w:keepNext/>
              <w:spacing w:line="120" w:lineRule="exact"/>
              <w:rPr>
                <w:color w:val="000000"/>
              </w:rPr>
            </w:pP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594772">
        <w:tc>
          <w:tcPr>
            <w:tcW w:w="1530" w:type="dxa"/>
            <w:tcBorders>
              <w:top w:val="single" w:sz="7" w:space="0" w:color="000000"/>
              <w:left w:val="single" w:sz="7" w:space="0" w:color="000000"/>
              <w:bottom w:val="single" w:sz="6" w:space="0" w:color="FFFFFF"/>
              <w:right w:val="single" w:sz="6" w:space="0" w:color="FFFFFF"/>
            </w:tcBorders>
          </w:tcPr>
          <w:p w:rsidR="00CA4CD6" w:rsidRDefault="00CA4CD6" w:rsidP="005277FC">
            <w:pPr>
              <w:keepNext/>
              <w:spacing w:line="120" w:lineRule="exact"/>
              <w:rPr>
                <w:b/>
                <w:bCs/>
                <w:color w:val="00000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5277FC">
            <w:pPr>
              <w:keepNext/>
              <w:spacing w:line="120" w:lineRule="exact"/>
              <w:rPr>
                <w:color w:val="000000"/>
                <w:sz w:val="20"/>
                <w:szCs w:val="2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5277FC">
            <w:pPr>
              <w:keepNext/>
              <w:spacing w:line="120" w:lineRule="exact"/>
              <w:rPr>
                <w:color w:val="000000"/>
                <w:sz w:val="20"/>
                <w:szCs w:val="2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5277FC">
            <w:pPr>
              <w:keepNext/>
              <w:spacing w:line="120" w:lineRule="exact"/>
              <w:rPr>
                <w:color w:val="000000"/>
                <w:sz w:val="20"/>
                <w:szCs w:val="2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5277FC">
            <w:pPr>
              <w:keepNext/>
              <w:spacing w:line="120" w:lineRule="exact"/>
              <w:rPr>
                <w:color w:val="000000"/>
                <w:sz w:val="20"/>
                <w:szCs w:val="2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5277FC">
            <w:pPr>
              <w:keepNext/>
              <w:spacing w:line="120" w:lineRule="exact"/>
              <w:rPr>
                <w:color w:val="000000"/>
                <w:sz w:val="20"/>
                <w:szCs w:val="2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260" w:type="dxa"/>
            <w:tcBorders>
              <w:top w:val="single" w:sz="7" w:space="0" w:color="000000"/>
              <w:left w:val="single" w:sz="7" w:space="0" w:color="000000"/>
              <w:bottom w:val="single" w:sz="6" w:space="0" w:color="FFFFFF"/>
              <w:right w:val="single" w:sz="7" w:space="0" w:color="000000"/>
            </w:tcBorders>
          </w:tcPr>
          <w:p w:rsidR="00CA4CD6" w:rsidRDefault="00CA4CD6" w:rsidP="005277FC">
            <w:pPr>
              <w:keepNext/>
              <w:spacing w:line="120" w:lineRule="exact"/>
              <w:rPr>
                <w:color w:val="000000"/>
                <w:sz w:val="20"/>
                <w:szCs w:val="20"/>
              </w:rPr>
            </w:pPr>
          </w:p>
          <w:p w:rsidR="00CA4CD6" w:rsidRDefault="00CA4CD6" w:rsidP="005277FC">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5277FC">
            <w:pPr>
              <w:keepNext/>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rsidP="005277FC">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Tr="00594772">
        <w:tc>
          <w:tcPr>
            <w:tcW w:w="1530" w:type="dxa"/>
            <w:tcBorders>
              <w:top w:val="single" w:sz="7" w:space="0" w:color="000000"/>
              <w:left w:val="single" w:sz="7" w:space="0" w:color="000000"/>
              <w:bottom w:val="single" w:sz="7" w:space="0" w:color="000000"/>
              <w:right w:val="single" w:sz="6" w:space="0" w:color="FFFFFF"/>
            </w:tcBorders>
            <w:vAlign w:val="center"/>
          </w:tcPr>
          <w:p w:rsidR="00CA4CD6" w:rsidRDefault="007409A2" w:rsidP="00594772">
            <w:pPr>
              <w:keepNext/>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Pressure drop monitoring systems</w:t>
            </w:r>
            <w:r w:rsidR="00594772">
              <w:rPr>
                <w:color w:val="000000"/>
                <w:sz w:val="20"/>
                <w:szCs w:val="20"/>
              </w:rPr>
              <w:t xml:space="preserve"> </w:t>
            </w:r>
            <w:r w:rsidR="00594772" w:rsidRPr="00594772">
              <w:rPr>
                <w:color w:val="000000"/>
                <w:sz w:val="20"/>
                <w:szCs w:val="20"/>
                <w:vertAlign w:val="superscript"/>
              </w:rPr>
              <w:t>a</w:t>
            </w:r>
          </w:p>
        </w:tc>
        <w:tc>
          <w:tcPr>
            <w:tcW w:w="1440" w:type="dxa"/>
            <w:tcBorders>
              <w:top w:val="single" w:sz="7" w:space="0" w:color="000000"/>
              <w:left w:val="single" w:sz="7" w:space="0" w:color="000000"/>
              <w:bottom w:val="single" w:sz="7" w:space="0" w:color="000000"/>
              <w:right w:val="single" w:sz="6" w:space="0" w:color="FFFFFF"/>
            </w:tcBorders>
            <w:vAlign w:val="center"/>
          </w:tcPr>
          <w:p w:rsidR="00CA4CD6" w:rsidRPr="00594772" w:rsidRDefault="007409A2" w:rsidP="00594772">
            <w:pPr>
              <w:keepNext/>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w:t>
            </w:r>
            <w:r w:rsidR="00815EAE">
              <w:rPr>
                <w:color w:val="000000"/>
                <w:sz w:val="20"/>
                <w:szCs w:val="20"/>
              </w:rPr>
              <w:t>144</w:t>
            </w:r>
          </w:p>
        </w:tc>
        <w:tc>
          <w:tcPr>
            <w:tcW w:w="1260" w:type="dxa"/>
            <w:tcBorders>
              <w:top w:val="single" w:sz="7" w:space="0" w:color="000000"/>
              <w:left w:val="single" w:sz="7" w:space="0" w:color="000000"/>
              <w:bottom w:val="single" w:sz="7" w:space="0" w:color="000000"/>
              <w:right w:val="single" w:sz="6" w:space="0" w:color="FFFFFF"/>
            </w:tcBorders>
            <w:vAlign w:val="center"/>
          </w:tcPr>
          <w:p w:rsidR="00CA4CD6" w:rsidRDefault="005738E6" w:rsidP="0059477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CA4CD6" w:rsidRDefault="00C40B4D" w:rsidP="0059477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CA4CD6" w:rsidRDefault="00594772" w:rsidP="0059477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rsidR="00CA4CD6" w:rsidRDefault="00594772" w:rsidP="0059477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7" w:space="0" w:color="000000"/>
            </w:tcBorders>
            <w:vAlign w:val="center"/>
          </w:tcPr>
          <w:p w:rsidR="00CA4CD6" w:rsidRPr="00C40B4D" w:rsidRDefault="00594772" w:rsidP="0059477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r>
      <w:tr w:rsidR="00594772" w:rsidTr="00594772">
        <w:tc>
          <w:tcPr>
            <w:tcW w:w="1530" w:type="dxa"/>
            <w:tcBorders>
              <w:top w:val="single" w:sz="7" w:space="0" w:color="000000"/>
              <w:left w:val="single" w:sz="7" w:space="0" w:color="000000"/>
              <w:bottom w:val="single" w:sz="7" w:space="0" w:color="000000"/>
              <w:right w:val="single" w:sz="6" w:space="0" w:color="FFFFFF"/>
            </w:tcBorders>
            <w:vAlign w:val="center"/>
          </w:tcPr>
          <w:p w:rsidR="00594772" w:rsidRDefault="00120E9B" w:rsidP="00594772">
            <w:pPr>
              <w:keepNext/>
              <w:rPr>
                <w:color w:val="000000"/>
                <w:sz w:val="20"/>
                <w:szCs w:val="20"/>
              </w:rPr>
            </w:pPr>
            <w:r>
              <w:rPr>
                <w:color w:val="000000"/>
                <w:sz w:val="20"/>
                <w:szCs w:val="20"/>
              </w:rPr>
              <w:t>P</w:t>
            </w:r>
            <w:r w:rsidR="00594772">
              <w:rPr>
                <w:color w:val="000000"/>
                <w:sz w:val="20"/>
                <w:szCs w:val="20"/>
              </w:rPr>
              <w:t xml:space="preserve">erformance test </w:t>
            </w:r>
            <w:r w:rsidR="00594772" w:rsidRPr="00120E9B">
              <w:rPr>
                <w:color w:val="000000"/>
                <w:sz w:val="20"/>
                <w:szCs w:val="20"/>
                <w:vertAlign w:val="superscript"/>
              </w:rPr>
              <w:t>b</w:t>
            </w:r>
          </w:p>
        </w:tc>
        <w:tc>
          <w:tcPr>
            <w:tcW w:w="144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$6,000</w:t>
            </w:r>
          </w:p>
        </w:tc>
        <w:tc>
          <w:tcPr>
            <w:tcW w:w="126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7" w:space="0" w:color="000000"/>
            </w:tcBorders>
            <w:vAlign w:val="center"/>
          </w:tcPr>
          <w:p w:rsidR="00594772" w:rsidRDefault="00594772" w:rsidP="00594772">
            <w:pPr>
              <w:keepNext/>
              <w:jc w:val="center"/>
              <w:rPr>
                <w:color w:val="000000"/>
                <w:sz w:val="20"/>
                <w:szCs w:val="20"/>
              </w:rPr>
            </w:pPr>
            <w:r>
              <w:rPr>
                <w:color w:val="000000"/>
                <w:sz w:val="20"/>
                <w:szCs w:val="20"/>
              </w:rPr>
              <w:t>$0</w:t>
            </w:r>
          </w:p>
        </w:tc>
      </w:tr>
      <w:tr w:rsidR="00594772" w:rsidTr="00594772">
        <w:tc>
          <w:tcPr>
            <w:tcW w:w="153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rPr>
                <w:color w:val="000000"/>
                <w:sz w:val="20"/>
                <w:szCs w:val="20"/>
              </w:rPr>
            </w:pPr>
            <w:r>
              <w:rPr>
                <w:color w:val="000000"/>
                <w:sz w:val="20"/>
                <w:szCs w:val="20"/>
              </w:rPr>
              <w:t>Photocopying and postage</w:t>
            </w:r>
            <w:r w:rsidR="00120E9B">
              <w:rPr>
                <w:color w:val="000000"/>
                <w:sz w:val="20"/>
                <w:szCs w:val="20"/>
              </w:rPr>
              <w:t xml:space="preserve"> </w:t>
            </w:r>
            <w:r w:rsidR="00120E9B" w:rsidRPr="00120E9B">
              <w:rPr>
                <w:color w:val="000000"/>
                <w:sz w:val="20"/>
                <w:szCs w:val="20"/>
                <w:vertAlign w:val="superscript"/>
              </w:rPr>
              <w:t>c</w:t>
            </w:r>
          </w:p>
        </w:tc>
        <w:tc>
          <w:tcPr>
            <w:tcW w:w="144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$15</w:t>
            </w:r>
          </w:p>
        </w:tc>
        <w:tc>
          <w:tcPr>
            <w:tcW w:w="1260" w:type="dxa"/>
            <w:tcBorders>
              <w:top w:val="single" w:sz="7" w:space="0" w:color="000000"/>
              <w:left w:val="single" w:sz="7" w:space="0" w:color="000000"/>
              <w:bottom w:val="single" w:sz="7" w:space="0" w:color="000000"/>
              <w:right w:val="single" w:sz="6" w:space="0" w:color="FFFFFF"/>
            </w:tcBorders>
            <w:vAlign w:val="center"/>
          </w:tcPr>
          <w:p w:rsidR="00594772" w:rsidRDefault="00594772" w:rsidP="00594772">
            <w:pPr>
              <w:keepNext/>
              <w:jc w:val="center"/>
              <w:rPr>
                <w:color w:val="000000"/>
                <w:sz w:val="20"/>
                <w:szCs w:val="20"/>
              </w:rPr>
            </w:pPr>
            <w:r>
              <w:rPr>
                <w:color w:val="000000"/>
                <w:sz w:val="20"/>
                <w:szCs w:val="20"/>
              </w:rPr>
              <w:t>75</w:t>
            </w:r>
          </w:p>
        </w:tc>
        <w:tc>
          <w:tcPr>
            <w:tcW w:w="1260" w:type="dxa"/>
            <w:tcBorders>
              <w:top w:val="single" w:sz="7" w:space="0" w:color="000000"/>
              <w:left w:val="single" w:sz="7" w:space="0" w:color="000000"/>
              <w:bottom w:val="single" w:sz="7" w:space="0" w:color="000000"/>
              <w:right w:val="single" w:sz="7" w:space="0" w:color="000000"/>
            </w:tcBorders>
            <w:vAlign w:val="center"/>
          </w:tcPr>
          <w:p w:rsidR="00594772" w:rsidRDefault="00594772" w:rsidP="00594772">
            <w:pPr>
              <w:keepNext/>
              <w:jc w:val="center"/>
              <w:rPr>
                <w:color w:val="000000"/>
                <w:sz w:val="20"/>
                <w:szCs w:val="20"/>
              </w:rPr>
            </w:pPr>
            <w:r>
              <w:rPr>
                <w:color w:val="000000"/>
                <w:sz w:val="20"/>
                <w:szCs w:val="20"/>
              </w:rPr>
              <w:t>$1,125</w:t>
            </w:r>
          </w:p>
        </w:tc>
      </w:tr>
      <w:tr w:rsidR="00594772" w:rsidRPr="00594772" w:rsidTr="00594772">
        <w:trPr>
          <w:trHeight w:val="298"/>
        </w:trPr>
        <w:tc>
          <w:tcPr>
            <w:tcW w:w="1530" w:type="dxa"/>
            <w:tcBorders>
              <w:top w:val="single" w:sz="7" w:space="0" w:color="000000"/>
              <w:left w:val="single" w:sz="7" w:space="0" w:color="000000"/>
              <w:bottom w:val="single" w:sz="7" w:space="0" w:color="000000"/>
              <w:right w:val="single" w:sz="6" w:space="0" w:color="FFFFFF"/>
            </w:tcBorders>
            <w:vAlign w:val="center"/>
          </w:tcPr>
          <w:p w:rsidR="00594772" w:rsidRPr="00594772" w:rsidRDefault="00594772" w:rsidP="00594772">
            <w:pPr>
              <w:keepNext/>
              <w:rPr>
                <w:b/>
                <w:color w:val="000000"/>
                <w:sz w:val="20"/>
                <w:szCs w:val="20"/>
              </w:rPr>
            </w:pPr>
            <w:r w:rsidRPr="00594772">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594772" w:rsidRPr="00594772" w:rsidRDefault="00594772" w:rsidP="00594772">
            <w:pPr>
              <w:keepNext/>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594772" w:rsidRPr="00594772" w:rsidRDefault="00594772" w:rsidP="00594772">
            <w:pPr>
              <w:keepNext/>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594772" w:rsidRPr="00594772" w:rsidRDefault="00594772" w:rsidP="00594772">
            <w:pPr>
              <w:keepNext/>
              <w:jc w:val="center"/>
              <w:rPr>
                <w:b/>
                <w:color w:val="000000"/>
                <w:sz w:val="20"/>
                <w:szCs w:val="20"/>
              </w:rPr>
            </w:pPr>
            <w:r w:rsidRPr="00594772">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594772" w:rsidRPr="00594772" w:rsidRDefault="00594772" w:rsidP="00594772">
            <w:pPr>
              <w:keepNext/>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594772" w:rsidRPr="00594772" w:rsidRDefault="00594772" w:rsidP="00594772">
            <w:pPr>
              <w:keepNext/>
              <w:jc w:val="center"/>
              <w:rPr>
                <w:b/>
                <w:color w:val="000000"/>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594772" w:rsidRPr="00594772" w:rsidRDefault="00594772" w:rsidP="00594772">
            <w:pPr>
              <w:keepNext/>
              <w:jc w:val="center"/>
              <w:rPr>
                <w:b/>
                <w:color w:val="000000"/>
                <w:sz w:val="20"/>
                <w:szCs w:val="20"/>
              </w:rPr>
            </w:pPr>
            <w:r w:rsidRPr="00594772">
              <w:rPr>
                <w:b/>
                <w:color w:val="000000"/>
                <w:sz w:val="20"/>
                <w:szCs w:val="20"/>
              </w:rPr>
              <w:t>$1,125</w:t>
            </w:r>
          </w:p>
        </w:tc>
      </w:tr>
    </w:tbl>
    <w:p w:rsidR="00594772" w:rsidRPr="00120E9B" w:rsidRDefault="00120E9B">
      <w:pPr>
        <w:pBdr>
          <w:top w:val="single" w:sz="6" w:space="0" w:color="FFFFFF"/>
          <w:left w:val="single" w:sz="6" w:space="0" w:color="FFFFFF"/>
          <w:bottom w:val="single" w:sz="6" w:space="0" w:color="FFFFFF"/>
          <w:right w:val="single" w:sz="6" w:space="0" w:color="FFFFFF"/>
        </w:pBdr>
        <w:rPr>
          <w:color w:val="000000"/>
          <w:sz w:val="20"/>
          <w:szCs w:val="20"/>
        </w:rPr>
      </w:pPr>
      <w:r w:rsidRPr="00120E9B">
        <w:rPr>
          <w:color w:val="000000"/>
          <w:sz w:val="20"/>
          <w:szCs w:val="20"/>
        </w:rPr>
        <w:t xml:space="preserve">a - </w:t>
      </w:r>
      <w:r w:rsidR="00594772" w:rsidRPr="00120E9B">
        <w:rPr>
          <w:color w:val="000000"/>
          <w:sz w:val="20"/>
          <w:szCs w:val="20"/>
        </w:rPr>
        <w:t xml:space="preserve">The capital cost associated with pressure drop monitoring systems were estimated based on equipment vendor costs annualized over a 10-year period using an interest rate of 7 percent to obtain a capital recovery cost of 0.1424. </w:t>
      </w:r>
      <w:r w:rsidR="00CA4CD6" w:rsidRPr="00120E9B">
        <w:rPr>
          <w:color w:val="000000"/>
          <w:sz w:val="20"/>
          <w:szCs w:val="20"/>
        </w:rPr>
        <w:t xml:space="preserve"> </w:t>
      </w:r>
    </w:p>
    <w:p w:rsidR="00594772" w:rsidRPr="00120E9B" w:rsidRDefault="00120E9B">
      <w:pPr>
        <w:pBdr>
          <w:top w:val="single" w:sz="6" w:space="0" w:color="FFFFFF"/>
          <w:left w:val="single" w:sz="6" w:space="0" w:color="FFFFFF"/>
          <w:bottom w:val="single" w:sz="6" w:space="0" w:color="FFFFFF"/>
          <w:right w:val="single" w:sz="6" w:space="0" w:color="FFFFFF"/>
        </w:pBdr>
        <w:rPr>
          <w:color w:val="000000"/>
          <w:sz w:val="20"/>
          <w:szCs w:val="20"/>
        </w:rPr>
      </w:pPr>
      <w:r w:rsidRPr="00120E9B">
        <w:rPr>
          <w:color w:val="000000"/>
          <w:sz w:val="20"/>
          <w:szCs w:val="20"/>
        </w:rPr>
        <w:t xml:space="preserve">b - </w:t>
      </w:r>
      <w:r w:rsidR="00594772" w:rsidRPr="00120E9B">
        <w:rPr>
          <w:color w:val="000000"/>
          <w:sz w:val="20"/>
          <w:szCs w:val="20"/>
        </w:rPr>
        <w:t xml:space="preserve">Assumes initial performance tests are conducted by an emissions testing contractor at a cost of $6,000 per piece of process equipment or PM control device. </w:t>
      </w:r>
    </w:p>
    <w:p w:rsidR="00594772" w:rsidRPr="00120E9B" w:rsidRDefault="00120E9B">
      <w:pPr>
        <w:pBdr>
          <w:top w:val="single" w:sz="6" w:space="0" w:color="FFFFFF"/>
          <w:left w:val="single" w:sz="6" w:space="0" w:color="FFFFFF"/>
          <w:bottom w:val="single" w:sz="6" w:space="0" w:color="FFFFFF"/>
          <w:right w:val="single" w:sz="6" w:space="0" w:color="FFFFFF"/>
        </w:pBdr>
        <w:rPr>
          <w:color w:val="000000"/>
          <w:sz w:val="20"/>
          <w:szCs w:val="20"/>
        </w:rPr>
      </w:pPr>
      <w:r w:rsidRPr="00120E9B">
        <w:rPr>
          <w:color w:val="000000"/>
          <w:sz w:val="20"/>
          <w:szCs w:val="20"/>
        </w:rPr>
        <w:t xml:space="preserve">c - </w:t>
      </w:r>
      <w:r w:rsidR="00594772" w:rsidRPr="00120E9B">
        <w:rPr>
          <w:color w:val="000000"/>
          <w:sz w:val="20"/>
          <w:szCs w:val="20"/>
        </w:rPr>
        <w:t>Costs for photocopying and mailing semi-annual reports (assumed to be $7.50 per report)</w:t>
      </w: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C40B4D">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120E9B">
        <w:rPr>
          <w:color w:val="000000"/>
        </w:rPr>
        <w:t>1,125</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w:t>
      </w:r>
      <w:r w:rsidRPr="00C40B4D">
        <w:t>of the ICR is estimated to be $</w:t>
      </w:r>
      <w:r w:rsidR="00120E9B">
        <w:t>1,125</w:t>
      </w:r>
      <w:r w:rsidRPr="00C40B4D">
        <w:t xml:space="preserve">. </w:t>
      </w:r>
      <w:r w:rsidR="001C5991" w:rsidRPr="00C40B4D">
        <w:t xml:space="preserve">  These are </w:t>
      </w:r>
      <w:r w:rsidR="00A02360">
        <w:t xml:space="preserve">the </w:t>
      </w:r>
      <w:r w:rsidR="001C5991" w:rsidRPr="00C40B4D">
        <w:t>recordkeeping costs</w:t>
      </w:r>
      <w:r w:rsidR="00C40B4D" w:rsidRPr="00C40B4D">
        <w:t xml:space="preserve">.  </w:t>
      </w:r>
    </w:p>
    <w:p w:rsidR="00C40B4D" w:rsidRDefault="00C40B4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 xml:space="preserve">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025D9E" w:rsidRPr="00025D9E">
        <w:rPr>
          <w:color w:val="000000"/>
        </w:rPr>
        <w:t>7,877</w:t>
      </w:r>
      <w:r w:rsidR="00025D9E">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lastRenderedPageBreak/>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E4BF2"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9E4BF2">
        <w:rPr>
          <w:color w:val="000000"/>
        </w:rPr>
        <w:t>2</w:t>
      </w:r>
      <w:r>
        <w:rPr>
          <w:color w:val="000000"/>
        </w:rPr>
        <w:t xml:space="preserve"> </w:t>
      </w:r>
      <w:r w:rsidRPr="009E4BF2">
        <w:t>General Schedule</w:t>
      </w:r>
      <w:r w:rsidR="007A458D" w:rsidRPr="009E4BF2">
        <w:t>,</w:t>
      </w:r>
      <w:r w:rsidRPr="009E4BF2">
        <w:t xml:space="preserve"> which excludes locality</w:t>
      </w:r>
      <w:r w:rsidR="002013E1">
        <w:t>,</w:t>
      </w:r>
      <w:r w:rsidRPr="009E4BF2">
        <w:t xml:space="preserve"> rates of pay.</w:t>
      </w:r>
      <w:r w:rsidR="00E77D5E" w:rsidRPr="009E4BF2">
        <w:t xml:space="preserve">  The rates have been increased by 60</w:t>
      </w:r>
      <w:r w:rsidR="00D2273E" w:rsidRPr="009E4BF2">
        <w:t xml:space="preserve"> percent</w:t>
      </w:r>
      <w:r w:rsidR="00E77D5E" w:rsidRPr="009E4BF2">
        <w:t xml:space="preserve"> to account for the benefit packages available to government employees.  </w:t>
      </w:r>
      <w:r w:rsidRPr="009E4BF2">
        <w:t xml:space="preserve">Details upon which this estimate is based appear </w:t>
      </w:r>
      <w:r w:rsidR="007A458D" w:rsidRPr="009E4BF2">
        <w:t xml:space="preserve">below in </w:t>
      </w:r>
      <w:r w:rsidRPr="009E4BF2">
        <w:t xml:space="preserve">Table 2: </w:t>
      </w:r>
      <w:r w:rsidR="00144F35" w:rsidRPr="009E4BF2">
        <w:t>Average Annual EPA Burden and Cost</w:t>
      </w:r>
      <w:r w:rsidR="009E4BF2" w:rsidRPr="009E4BF2">
        <w:t xml:space="preserve"> – NESHAP </w:t>
      </w:r>
      <w:r w:rsidR="00120E9B">
        <w:t xml:space="preserve">for Area Sources: </w:t>
      </w:r>
      <w:r w:rsidR="009E4BF2" w:rsidRPr="009E4BF2">
        <w:t>Asphalt Processing and Asphalt Roofing Manufacturing (40 CFR Part 63, Subpart AAAAAAA) (Renewal)</w:t>
      </w:r>
      <w:r w:rsidR="009E4BF2" w:rsidRPr="009E4BF2" w:rsidDel="009E4BF2">
        <w:t xml:space="preserve"> </w:t>
      </w:r>
    </w:p>
    <w:p w:rsidR="00CA4CD6" w:rsidRPr="009E4BF2" w:rsidRDefault="00CA4CD6">
      <w:pPr>
        <w:pBdr>
          <w:top w:val="single" w:sz="6" w:space="0" w:color="FFFFFF"/>
          <w:left w:val="single" w:sz="6" w:space="0" w:color="FFFFFF"/>
          <w:bottom w:val="single" w:sz="6" w:space="0" w:color="FFFFFF"/>
          <w:right w:val="single" w:sz="6" w:space="0" w:color="FFFFFF"/>
        </w:pBdr>
      </w:pPr>
    </w:p>
    <w:p w:rsidR="00CA4CD6" w:rsidRPr="009E4BF2" w:rsidRDefault="00CA4CD6">
      <w:pPr>
        <w:pBdr>
          <w:top w:val="single" w:sz="6" w:space="0" w:color="FFFFFF"/>
          <w:left w:val="single" w:sz="6" w:space="0" w:color="FFFFFF"/>
          <w:bottom w:val="single" w:sz="6" w:space="0" w:color="FFFFFF"/>
          <w:right w:val="single" w:sz="6" w:space="0" w:color="FFFFFF"/>
        </w:pBdr>
        <w:ind w:firstLine="720"/>
        <w:rPr>
          <w:b/>
          <w:bCs/>
        </w:rPr>
      </w:pPr>
      <w:r w:rsidRPr="009E4BF2">
        <w:rPr>
          <w:b/>
          <w:bCs/>
        </w:rPr>
        <w:t>6(d</w:t>
      </w:r>
      <w:proofErr w:type="gramStart"/>
      <w:r w:rsidRPr="009E4BF2">
        <w:rPr>
          <w:b/>
          <w:bCs/>
        </w:rPr>
        <w:t>)  Estimating</w:t>
      </w:r>
      <w:proofErr w:type="gramEnd"/>
      <w:r w:rsidRPr="009E4BF2">
        <w:rPr>
          <w:b/>
          <w:bCs/>
        </w:rPr>
        <w:t xml:space="preserve"> the Respondent Universe and Total Burden and Costs</w:t>
      </w:r>
    </w:p>
    <w:p w:rsidR="00CA4CD6" w:rsidRPr="009E4BF2" w:rsidRDefault="00CA4CD6">
      <w:pPr>
        <w:pBdr>
          <w:top w:val="single" w:sz="6" w:space="0" w:color="FFFFFF"/>
          <w:left w:val="single" w:sz="6" w:space="0" w:color="FFFFFF"/>
          <w:bottom w:val="single" w:sz="6" w:space="0" w:color="FFFFFF"/>
          <w:right w:val="single" w:sz="6" w:space="0" w:color="FFFFFF"/>
        </w:pBdr>
        <w:rPr>
          <w:b/>
          <w:bCs/>
        </w:rPr>
      </w:pPr>
    </w:p>
    <w:p w:rsidR="00CA4CD6" w:rsidRPr="009E4BF2" w:rsidRDefault="00CA4CD6">
      <w:pPr>
        <w:pBdr>
          <w:top w:val="single" w:sz="6" w:space="0" w:color="FFFFFF"/>
          <w:left w:val="single" w:sz="6" w:space="0" w:color="FFFFFF"/>
          <w:bottom w:val="single" w:sz="6" w:space="0" w:color="FFFFFF"/>
          <w:right w:val="single" w:sz="6" w:space="0" w:color="FFFFFF"/>
        </w:pBdr>
        <w:ind w:firstLine="720"/>
      </w:pPr>
      <w:r w:rsidRPr="009E4BF2">
        <w:t xml:space="preserve">Based on our research for this ICR, on average over the next three years, approximately </w:t>
      </w:r>
      <w:r w:rsidR="009E4BF2" w:rsidRPr="009E4BF2">
        <w:t xml:space="preserve">75 </w:t>
      </w:r>
      <w:r w:rsidRPr="009E4BF2">
        <w:t>existing respondents will be subject to the standard</w:t>
      </w:r>
      <w:r w:rsidR="00383376">
        <w:t>s</w:t>
      </w:r>
      <w:r w:rsidRPr="009E4BF2">
        <w:t>.  It is estimated tha</w:t>
      </w:r>
      <w:r w:rsidR="009E4BF2" w:rsidRPr="009E4BF2">
        <w:t xml:space="preserve">t no additional </w:t>
      </w:r>
      <w:r w:rsidRPr="009E4BF2">
        <w:t xml:space="preserve">respondents per year will become subject.  The overall average number of respondents, </w:t>
      </w:r>
      <w:proofErr w:type="gramStart"/>
      <w:r w:rsidRPr="009E4BF2">
        <w:t xml:space="preserve">as </w:t>
      </w:r>
      <w:r w:rsidR="00383376">
        <w:t xml:space="preserve"> </w:t>
      </w:r>
      <w:r w:rsidRPr="009E4BF2">
        <w:t>shown</w:t>
      </w:r>
      <w:proofErr w:type="gramEnd"/>
      <w:r w:rsidRPr="009E4BF2">
        <w:t xml:space="preserve"> in the table below</w:t>
      </w:r>
      <w:r w:rsidR="0029115A">
        <w:t>,</w:t>
      </w:r>
      <w:r w:rsidRPr="009E4BF2">
        <w:t xml:space="preserve"> is</w:t>
      </w:r>
      <w:r w:rsidR="009E4BF2" w:rsidRPr="009E4BF2">
        <w:t xml:space="preserve"> 75 per</w:t>
      </w:r>
      <w:r w:rsidRPr="009E4BF2">
        <w:t xml:space="preserve"> year.</w:t>
      </w:r>
    </w:p>
    <w:p w:rsidR="00CA4CD6" w:rsidRPr="009E4BF2"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E4BF2">
        <w:t>The number of respondents is calculated using</w:t>
      </w:r>
      <w:r>
        <w:rPr>
          <w:color w:val="000000"/>
        </w:rPr>
        <w:t xml:space="preserve">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156241">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156241">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7" w:space="0" w:color="000000"/>
              <w:left w:val="single" w:sz="7" w:space="0" w:color="000000"/>
              <w:bottom w:val="single" w:sz="8" w:space="0" w:color="000000"/>
              <w:right w:val="nil"/>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nil"/>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156241">
        <w:tc>
          <w:tcPr>
            <w:tcW w:w="900" w:type="dxa"/>
            <w:tcBorders>
              <w:top w:val="single" w:sz="8" w:space="0" w:color="000000"/>
              <w:left w:val="single" w:sz="8" w:space="0" w:color="000000"/>
              <w:bottom w:val="single" w:sz="6" w:space="0" w:color="000000"/>
              <w:right w:val="single" w:sz="6" w:space="0" w:color="000000"/>
            </w:tcBorders>
          </w:tcPr>
          <w:p w:rsidR="00156241" w:rsidRDefault="00156241">
            <w:pPr>
              <w:spacing w:line="120" w:lineRule="exact"/>
              <w:rPr>
                <w:color w:val="000000"/>
                <w:sz w:val="20"/>
                <w:szCs w:val="20"/>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c>
          <w:tcPr>
            <w:tcW w:w="2070" w:type="dxa"/>
            <w:tcBorders>
              <w:top w:val="single" w:sz="8"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r>
      <w:tr w:rsidR="00156241">
        <w:tc>
          <w:tcPr>
            <w:tcW w:w="900" w:type="dxa"/>
            <w:tcBorders>
              <w:top w:val="single" w:sz="6" w:space="0" w:color="000000"/>
              <w:left w:val="single" w:sz="8" w:space="0" w:color="000000"/>
              <w:bottom w:val="single" w:sz="6" w:space="0" w:color="000000"/>
              <w:right w:val="single" w:sz="6" w:space="0" w:color="000000"/>
            </w:tcBorders>
          </w:tcPr>
          <w:p w:rsidR="00156241" w:rsidRDefault="00156241">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c>
          <w:tcPr>
            <w:tcW w:w="2070"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r>
      <w:tr w:rsidR="00156241">
        <w:tc>
          <w:tcPr>
            <w:tcW w:w="900" w:type="dxa"/>
            <w:tcBorders>
              <w:top w:val="single" w:sz="6" w:space="0" w:color="000000"/>
              <w:left w:val="single" w:sz="8" w:space="0" w:color="000000"/>
              <w:bottom w:val="single" w:sz="6" w:space="0" w:color="000000"/>
              <w:right w:val="single" w:sz="6" w:space="0" w:color="000000"/>
            </w:tcBorders>
          </w:tcPr>
          <w:p w:rsidR="00156241" w:rsidRDefault="00156241">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75</w:t>
            </w:r>
          </w:p>
        </w:tc>
        <w:tc>
          <w:tcPr>
            <w:tcW w:w="2070"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156241" w:rsidRPr="00156241" w:rsidRDefault="00156241" w:rsidP="00AB1299">
            <w:pPr>
              <w:spacing w:line="120" w:lineRule="exact"/>
              <w:rPr>
                <w:sz w:val="18"/>
                <w:szCs w:val="18"/>
              </w:rPr>
            </w:pPr>
          </w:p>
          <w:p w:rsidR="00156241" w:rsidRPr="00156241" w:rsidRDefault="00156241">
            <w:pPr>
              <w:pBdr>
                <w:top w:val="single" w:sz="6" w:space="0" w:color="FFFFFF"/>
                <w:left w:val="single" w:sz="6" w:space="0" w:color="FFFFFF"/>
                <w:bottom w:val="single" w:sz="6" w:space="0" w:color="FFFFFF"/>
                <w:right w:val="single" w:sz="6" w:space="0" w:color="FFFFFF"/>
              </w:pBdr>
              <w:spacing w:after="72"/>
              <w:jc w:val="center"/>
              <w:rPr>
                <w:sz w:val="18"/>
                <w:szCs w:val="18"/>
              </w:rPr>
            </w:pPr>
            <w:r w:rsidRPr="00156241">
              <w:rPr>
                <w:sz w:val="18"/>
                <w:szCs w:val="18"/>
              </w:rPr>
              <w:t>75</w:t>
            </w:r>
          </w:p>
        </w:tc>
      </w:tr>
      <w:tr w:rsidR="00156241">
        <w:tc>
          <w:tcPr>
            <w:tcW w:w="900" w:type="dxa"/>
            <w:tcBorders>
              <w:top w:val="single" w:sz="6" w:space="0" w:color="000000"/>
              <w:left w:val="single" w:sz="8" w:space="0" w:color="000000"/>
              <w:bottom w:val="single" w:sz="8" w:space="0" w:color="000000"/>
              <w:right w:val="single" w:sz="6" w:space="0" w:color="000000"/>
            </w:tcBorders>
          </w:tcPr>
          <w:p w:rsidR="00156241" w:rsidRDefault="00156241">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2070" w:type="dxa"/>
            <w:tcBorders>
              <w:top w:val="single" w:sz="6" w:space="0" w:color="000000"/>
              <w:left w:val="single" w:sz="6" w:space="0" w:color="000000"/>
              <w:bottom w:val="single" w:sz="8"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tcPr>
          <w:p w:rsidR="00156241" w:rsidRDefault="00156241" w:rsidP="00AB1299">
            <w:pPr>
              <w:spacing w:line="120" w:lineRule="exact"/>
              <w:rPr>
                <w:color w:val="000000"/>
                <w:sz w:val="18"/>
                <w:szCs w:val="18"/>
              </w:rPr>
            </w:pPr>
          </w:p>
          <w:p w:rsidR="00156241" w:rsidRDefault="0015624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tcPr>
          <w:p w:rsidR="00156241" w:rsidRPr="00156241" w:rsidRDefault="00156241" w:rsidP="00AB1299">
            <w:pPr>
              <w:spacing w:line="120" w:lineRule="exact"/>
              <w:rPr>
                <w:sz w:val="18"/>
                <w:szCs w:val="18"/>
              </w:rPr>
            </w:pPr>
          </w:p>
          <w:p w:rsidR="00156241" w:rsidRPr="00156241" w:rsidRDefault="00156241">
            <w:pPr>
              <w:pBdr>
                <w:top w:val="single" w:sz="6" w:space="0" w:color="FFFFFF"/>
                <w:left w:val="single" w:sz="6" w:space="0" w:color="FFFFFF"/>
                <w:bottom w:val="single" w:sz="6" w:space="0" w:color="FFFFFF"/>
                <w:right w:val="single" w:sz="6" w:space="0" w:color="FFFFFF"/>
              </w:pBdr>
              <w:spacing w:after="72"/>
              <w:jc w:val="center"/>
              <w:rPr>
                <w:sz w:val="18"/>
                <w:szCs w:val="18"/>
              </w:rPr>
            </w:pPr>
            <w:r w:rsidRPr="00156241">
              <w:rPr>
                <w:sz w:val="18"/>
                <w:szCs w:val="18"/>
              </w:rPr>
              <w:t>75</w:t>
            </w:r>
          </w:p>
        </w:tc>
      </w:tr>
    </w:tbl>
    <w:p w:rsidR="00CA4CD6" w:rsidRPr="00156241"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 xml:space="preserve">New respondent </w:t>
      </w:r>
      <w:r w:rsidRPr="00156241">
        <w:rPr>
          <w:sz w:val="20"/>
          <w:szCs w:val="20"/>
        </w:rPr>
        <w:t>include sources with constructed, reconstructed and modified affected facilities.</w:t>
      </w:r>
      <w:r w:rsidR="00156241" w:rsidRPr="00156241">
        <w:rPr>
          <w:sz w:val="20"/>
          <w:szCs w:val="20"/>
        </w:rPr>
        <w:t xml:space="preserve">  </w:t>
      </w:r>
      <w:r w:rsidRPr="00156241">
        <w:rPr>
          <w:sz w:val="20"/>
          <w:szCs w:val="20"/>
        </w:rPr>
        <w:t>In this standard existing respondent</w:t>
      </w:r>
      <w:r w:rsidR="00156241" w:rsidRPr="00156241">
        <w:rPr>
          <w:sz w:val="20"/>
          <w:szCs w:val="20"/>
        </w:rPr>
        <w:t>s submit initial notifications.</w:t>
      </w:r>
    </w:p>
    <w:p w:rsidR="00CA4CD6" w:rsidRPr="00156241" w:rsidRDefault="00CA4CD6">
      <w:pPr>
        <w:pBdr>
          <w:top w:val="single" w:sz="6" w:space="0" w:color="FFFFFF"/>
          <w:left w:val="single" w:sz="6" w:space="0" w:color="FFFFFF"/>
          <w:bottom w:val="single" w:sz="6" w:space="0" w:color="FFFFFF"/>
          <w:right w:val="single" w:sz="6" w:space="0" w:color="FFFFFF"/>
        </w:pBdr>
        <w:ind w:firstLine="5760"/>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sidRPr="00156241">
        <w:t>C</w:t>
      </w:r>
      <w:r w:rsidR="00CA4CD6" w:rsidRPr="00156241">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w:t>
      </w:r>
      <w:r w:rsidR="00CA4CD6" w:rsidRPr="00156241">
        <w:t>own above, the average Number of Respondents over the three year period of this ICR is</w:t>
      </w:r>
      <w:r w:rsidR="00156241" w:rsidRPr="00156241">
        <w:t xml:space="preserve"> 75</w:t>
      </w:r>
      <w:r w:rsidR="00156241">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ind w:firstLine="720"/>
      </w:pPr>
      <w:r w:rsidRPr="000B7E0A">
        <w:lastRenderedPageBreak/>
        <w:t xml:space="preserve">The total number of annual responses per year is calculated using the following table: </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RPr="000B7E0A" w:rsidTr="00156241">
        <w:trPr>
          <w:tblHeader/>
        </w:trPr>
        <w:tc>
          <w:tcPr>
            <w:tcW w:w="9180" w:type="dxa"/>
            <w:gridSpan w:val="5"/>
          </w:tcPr>
          <w:p w:rsidR="00CA4CD6" w:rsidRPr="000B7E0A" w:rsidRDefault="00CA4CD6" w:rsidP="000B7E0A">
            <w:pPr>
              <w:keepNext/>
              <w:spacing w:line="120" w:lineRule="exact"/>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0B7E0A">
              <w:rPr>
                <w:b/>
                <w:bCs/>
              </w:rPr>
              <w:t>Total Annual Responses</w:t>
            </w:r>
          </w:p>
        </w:tc>
      </w:tr>
      <w:tr w:rsidR="00CA4CD6" w:rsidRPr="000B7E0A">
        <w:tc>
          <w:tcPr>
            <w:tcW w:w="2700" w:type="dxa"/>
          </w:tcPr>
          <w:p w:rsidR="00CA4CD6" w:rsidRPr="000B7E0A" w:rsidRDefault="00CA4CD6" w:rsidP="000B7E0A">
            <w:pPr>
              <w:keepNext/>
              <w:spacing w:line="120" w:lineRule="exact"/>
              <w:rPr>
                <w:b/>
                <w:bCs/>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(A)</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Information Collection Activity</w:t>
            </w:r>
          </w:p>
        </w:tc>
        <w:tc>
          <w:tcPr>
            <w:tcW w:w="126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(B)</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 xml:space="preserve">Number of Respondents  </w:t>
            </w:r>
          </w:p>
        </w:tc>
        <w:tc>
          <w:tcPr>
            <w:tcW w:w="126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(C)</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Number of Responses</w:t>
            </w:r>
          </w:p>
        </w:tc>
        <w:tc>
          <w:tcPr>
            <w:tcW w:w="189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(D)</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rPr>
                <w:sz w:val="18"/>
                <w:szCs w:val="18"/>
              </w:rPr>
            </w:pPr>
            <w:r w:rsidRPr="000B7E0A">
              <w:rPr>
                <w:sz w:val="18"/>
                <w:szCs w:val="18"/>
              </w:rPr>
              <w:t>Number of Existing Respondents That Keep Records But Do Not Submit Reports</w:t>
            </w:r>
          </w:p>
        </w:tc>
        <w:tc>
          <w:tcPr>
            <w:tcW w:w="207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(E)</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 xml:space="preserve">Total Annual  Responses </w:t>
            </w: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E=(</w:t>
            </w:r>
            <w:proofErr w:type="spellStart"/>
            <w:r w:rsidRPr="000B7E0A">
              <w:rPr>
                <w:sz w:val="18"/>
                <w:szCs w:val="18"/>
              </w:rPr>
              <w:t>BxC</w:t>
            </w:r>
            <w:proofErr w:type="spellEnd"/>
            <w:r w:rsidRPr="000B7E0A">
              <w:rPr>
                <w:sz w:val="18"/>
                <w:szCs w:val="18"/>
              </w:rPr>
              <w:t>)+D</w:t>
            </w:r>
          </w:p>
        </w:tc>
      </w:tr>
      <w:tr w:rsidR="00CA4CD6" w:rsidRPr="000B7E0A">
        <w:tc>
          <w:tcPr>
            <w:tcW w:w="2700" w:type="dxa"/>
          </w:tcPr>
          <w:p w:rsidR="00CA4CD6" w:rsidRPr="000B7E0A" w:rsidRDefault="00CA4CD6" w:rsidP="000B7E0A">
            <w:pPr>
              <w:keepNext/>
              <w:spacing w:line="120" w:lineRule="exact"/>
              <w:rPr>
                <w:sz w:val="18"/>
                <w:szCs w:val="18"/>
              </w:rPr>
            </w:pPr>
          </w:p>
          <w:p w:rsidR="00CA4CD6" w:rsidRPr="000B7E0A" w:rsidRDefault="000B7E0A"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Semiannual compliance report</w:t>
            </w:r>
          </w:p>
        </w:tc>
        <w:tc>
          <w:tcPr>
            <w:tcW w:w="1260" w:type="dxa"/>
          </w:tcPr>
          <w:p w:rsidR="00CA4CD6" w:rsidRPr="000B7E0A" w:rsidRDefault="00CA4CD6" w:rsidP="000B7E0A">
            <w:pPr>
              <w:keepNext/>
              <w:spacing w:line="120" w:lineRule="exact"/>
              <w:rPr>
                <w:sz w:val="18"/>
                <w:szCs w:val="18"/>
              </w:rPr>
            </w:pPr>
          </w:p>
          <w:p w:rsidR="00CA4CD6" w:rsidRPr="000B7E0A" w:rsidRDefault="000B7E0A"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75</w:t>
            </w:r>
          </w:p>
        </w:tc>
        <w:tc>
          <w:tcPr>
            <w:tcW w:w="1260" w:type="dxa"/>
          </w:tcPr>
          <w:p w:rsidR="00CA4CD6" w:rsidRPr="000B7E0A" w:rsidRDefault="00CA4CD6" w:rsidP="000B7E0A">
            <w:pPr>
              <w:keepNext/>
              <w:spacing w:line="120" w:lineRule="exact"/>
              <w:rPr>
                <w:sz w:val="18"/>
                <w:szCs w:val="18"/>
              </w:rPr>
            </w:pPr>
          </w:p>
          <w:p w:rsidR="00CA4CD6" w:rsidRPr="000B7E0A" w:rsidRDefault="000B7E0A"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p>
        </w:tc>
        <w:tc>
          <w:tcPr>
            <w:tcW w:w="1890" w:type="dxa"/>
          </w:tcPr>
          <w:p w:rsidR="00CA4CD6" w:rsidRPr="000B7E0A" w:rsidRDefault="00CA4CD6" w:rsidP="000B7E0A">
            <w:pPr>
              <w:keepNext/>
              <w:spacing w:line="120" w:lineRule="exact"/>
              <w:rPr>
                <w:sz w:val="18"/>
                <w:szCs w:val="18"/>
              </w:rPr>
            </w:pPr>
          </w:p>
          <w:p w:rsidR="00CA4CD6" w:rsidRPr="000B7E0A" w:rsidRDefault="000B7E0A"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CA4CD6" w:rsidRPr="000B7E0A" w:rsidRDefault="00CA4CD6" w:rsidP="000B7E0A">
            <w:pPr>
              <w:keepNext/>
              <w:spacing w:line="120" w:lineRule="exact"/>
              <w:rPr>
                <w:sz w:val="18"/>
                <w:szCs w:val="18"/>
              </w:rPr>
            </w:pPr>
          </w:p>
          <w:p w:rsidR="00CA4CD6" w:rsidRPr="000B7E0A" w:rsidRDefault="000B7E0A"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150</w:t>
            </w:r>
          </w:p>
        </w:tc>
      </w:tr>
      <w:tr w:rsidR="00CA4CD6" w:rsidRPr="000B7E0A">
        <w:tc>
          <w:tcPr>
            <w:tcW w:w="270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0B7E0A" w:rsidRDefault="00CA4CD6" w:rsidP="000B7E0A">
            <w:pPr>
              <w:keepNext/>
              <w:spacing w:line="120" w:lineRule="exact"/>
              <w:rPr>
                <w:sz w:val="18"/>
                <w:szCs w:val="18"/>
              </w:rPr>
            </w:pPr>
          </w:p>
          <w:p w:rsidR="00CA4CD6" w:rsidRPr="000B7E0A" w:rsidRDefault="00CA4CD6"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Total</w:t>
            </w:r>
          </w:p>
        </w:tc>
        <w:tc>
          <w:tcPr>
            <w:tcW w:w="2070" w:type="dxa"/>
          </w:tcPr>
          <w:p w:rsidR="00CA4CD6" w:rsidRPr="000B7E0A" w:rsidRDefault="00CA4CD6" w:rsidP="000B7E0A">
            <w:pPr>
              <w:keepNext/>
              <w:spacing w:line="120" w:lineRule="exact"/>
              <w:rPr>
                <w:sz w:val="18"/>
                <w:szCs w:val="18"/>
              </w:rPr>
            </w:pPr>
          </w:p>
          <w:p w:rsidR="00CA4CD6" w:rsidRPr="000B7E0A" w:rsidRDefault="000B7E0A" w:rsidP="000B7E0A">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150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B7E0A" w:rsidRDefault="00CA4CD6" w:rsidP="000B7E0A">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w:t>
      </w:r>
      <w:r w:rsidRPr="000B7E0A">
        <w:t>Annual Responses is</w:t>
      </w:r>
      <w:r w:rsidR="000B7E0A" w:rsidRPr="000B7E0A">
        <w:t xml:space="preserve"> 150.</w:t>
      </w:r>
      <w:r w:rsidRPr="000B7E0A">
        <w:t xml:space="preserve"> </w:t>
      </w:r>
    </w:p>
    <w:p w:rsidR="00CA4CD6" w:rsidRPr="000B7E0A" w:rsidRDefault="00CA4CD6">
      <w:pPr>
        <w:pBdr>
          <w:top w:val="single" w:sz="6" w:space="0" w:color="FFFFFF"/>
          <w:left w:val="single" w:sz="6" w:space="0" w:color="FFFFFF"/>
          <w:bottom w:val="single" w:sz="6" w:space="0" w:color="FFFFFF"/>
          <w:right w:val="single" w:sz="6" w:space="0" w:color="FFFFFF"/>
        </w:pBdr>
      </w:pPr>
    </w:p>
    <w:p w:rsidR="00CA4CD6" w:rsidRPr="00DC2C87" w:rsidRDefault="00CA4CD6" w:rsidP="00DC2C87">
      <w:pPr>
        <w:pBdr>
          <w:top w:val="single" w:sz="6" w:space="0" w:color="FFFFFF"/>
          <w:left w:val="single" w:sz="6" w:space="0" w:color="FFFFFF"/>
          <w:bottom w:val="single" w:sz="6" w:space="0" w:color="FFFFFF"/>
          <w:right w:val="single" w:sz="6" w:space="0" w:color="FFFFFF"/>
        </w:pBdr>
        <w:ind w:firstLine="720"/>
      </w:pPr>
      <w:r w:rsidRPr="000B7E0A">
        <w:t>The total annual labor costs</w:t>
      </w:r>
      <w:r>
        <w:rPr>
          <w:color w:val="000000"/>
        </w:rPr>
        <w:t xml:space="preserve"> are</w:t>
      </w:r>
      <w:r w:rsidR="00481FF3">
        <w:rPr>
          <w:color w:val="000000"/>
        </w:rPr>
        <w:t xml:space="preserve"> $</w:t>
      </w:r>
      <w:r w:rsidR="00025D9E" w:rsidRPr="00025D9E">
        <w:rPr>
          <w:color w:val="000000"/>
        </w:rPr>
        <w:t>275,599</w:t>
      </w:r>
      <w:r>
        <w:rPr>
          <w:color w:val="000000"/>
        </w:rPr>
        <w:t>.</w:t>
      </w:r>
      <w:r w:rsidR="00507EC5">
        <w:rPr>
          <w:color w:val="000000"/>
        </w:rPr>
        <w:t xml:space="preserve">  </w:t>
      </w:r>
      <w:r>
        <w:rPr>
          <w:color w:val="000000"/>
        </w:rPr>
        <w:t xml:space="preserve">Details </w:t>
      </w:r>
      <w:r w:rsidRPr="00DC2C87">
        <w:t xml:space="preserve">regarding these estimates may be found </w:t>
      </w:r>
      <w:r w:rsidR="007A458D" w:rsidRPr="00DC2C87">
        <w:t xml:space="preserve">below </w:t>
      </w:r>
      <w:r w:rsidRPr="00DC2C87">
        <w:t>in Table 1</w:t>
      </w:r>
      <w:r w:rsidR="00025D9E">
        <w:t>:</w:t>
      </w:r>
      <w:r w:rsidRPr="00DC2C87">
        <w:t xml:space="preserve">  Annual Respondent Burden and Cost</w:t>
      </w:r>
      <w:r w:rsidR="00DC2C87" w:rsidRPr="00DC2C87">
        <w:t xml:space="preserve"> – NESHAP </w:t>
      </w:r>
      <w:r w:rsidR="00120E9B">
        <w:t xml:space="preserve">for Area Sources: </w:t>
      </w:r>
      <w:r w:rsidR="00DC2C87" w:rsidRPr="00DC2C87">
        <w:t>Asphalt Processing and Asphalt Roofing Manufacturing (40 CFR Part 63, Subpart AAAAAAA) (Renewal)</w:t>
      </w:r>
      <w:r w:rsidRPr="00DC2C87">
        <w:t>.</w:t>
      </w:r>
      <w:r w:rsidR="00DC2C87" w:rsidRPr="00DC2C87" w:rsidDel="00DC2C87">
        <w:t xml:space="preserve"> </w:t>
      </w:r>
    </w:p>
    <w:p w:rsidR="00CA4CD6" w:rsidRPr="00DC2C87" w:rsidRDefault="00CA4CD6">
      <w:pPr>
        <w:pBdr>
          <w:top w:val="single" w:sz="6" w:space="0" w:color="FFFFFF"/>
          <w:left w:val="single" w:sz="6" w:space="0" w:color="FFFFFF"/>
          <w:bottom w:val="single" w:sz="6" w:space="0" w:color="FFFFFF"/>
          <w:right w:val="single" w:sz="6" w:space="0" w:color="FFFFFF"/>
        </w:pBdr>
      </w:pPr>
    </w:p>
    <w:p w:rsidR="00CA4CD6" w:rsidRPr="00DC2C87" w:rsidRDefault="00CA4CD6">
      <w:pPr>
        <w:pBdr>
          <w:top w:val="single" w:sz="6" w:space="0" w:color="FFFFFF"/>
          <w:left w:val="single" w:sz="6" w:space="0" w:color="FFFFFF"/>
          <w:bottom w:val="single" w:sz="6" w:space="0" w:color="FFFFFF"/>
          <w:right w:val="single" w:sz="6" w:space="0" w:color="FFFFFF"/>
        </w:pBdr>
        <w:ind w:firstLine="720"/>
      </w:pPr>
      <w:r w:rsidRPr="00DC2C87">
        <w:rPr>
          <w:b/>
          <w:bCs/>
        </w:rPr>
        <w:t>6(e</w:t>
      </w:r>
      <w:proofErr w:type="gramStart"/>
      <w:r w:rsidRPr="00DC2C87">
        <w:rPr>
          <w:b/>
          <w:bCs/>
        </w:rPr>
        <w:t>)  Bottom</w:t>
      </w:r>
      <w:proofErr w:type="gramEnd"/>
      <w:r w:rsidRPr="00DC2C87">
        <w:rPr>
          <w:b/>
          <w:bCs/>
        </w:rPr>
        <w:t xml:space="preserve"> Line Burden Hours and Cost Tables</w:t>
      </w:r>
    </w:p>
    <w:p w:rsidR="00CA4CD6" w:rsidRPr="00DC2C87" w:rsidRDefault="00CA4CD6">
      <w:pPr>
        <w:pBdr>
          <w:top w:val="single" w:sz="6" w:space="0" w:color="FFFFFF"/>
          <w:left w:val="single" w:sz="6" w:space="0" w:color="FFFFFF"/>
          <w:bottom w:val="single" w:sz="6" w:space="0" w:color="FFFFFF"/>
          <w:right w:val="single" w:sz="6" w:space="0" w:color="FFFFFF"/>
        </w:pBdr>
      </w:pPr>
    </w:p>
    <w:p w:rsidR="00CA4CD6" w:rsidRPr="00DC2C87" w:rsidRDefault="00CA4CD6">
      <w:pPr>
        <w:pBdr>
          <w:top w:val="single" w:sz="6" w:space="0" w:color="FFFFFF"/>
          <w:left w:val="single" w:sz="6" w:space="0" w:color="FFFFFF"/>
          <w:bottom w:val="single" w:sz="6" w:space="0" w:color="FFFFFF"/>
          <w:right w:val="single" w:sz="6" w:space="0" w:color="FFFFFF"/>
        </w:pBdr>
        <w:ind w:firstLine="720"/>
      </w:pPr>
      <w:r w:rsidRPr="00DC2C87">
        <w:t>The detailed bottom line burden hours and cost calculations for</w:t>
      </w:r>
      <w:r>
        <w:rPr>
          <w:color w:val="000000"/>
        </w:rPr>
        <w:t xml:space="preserve"> </w:t>
      </w:r>
      <w:r w:rsidRPr="00DC2C87">
        <w:t xml:space="preserve">the respondents and the Agency are shown in Tables 1 and 2, respectively, and summarized below.  </w:t>
      </w:r>
    </w:p>
    <w:p w:rsidR="00CA4CD6" w:rsidRPr="00DC2C87" w:rsidRDefault="00CA4CD6">
      <w:pPr>
        <w:pBdr>
          <w:top w:val="single" w:sz="6" w:space="0" w:color="FFFFFF"/>
          <w:left w:val="single" w:sz="6" w:space="0" w:color="FFFFFF"/>
          <w:bottom w:val="single" w:sz="6" w:space="0" w:color="FFFFFF"/>
          <w:right w:val="single" w:sz="6" w:space="0" w:color="FFFFFF"/>
        </w:pBdr>
      </w:pPr>
    </w:p>
    <w:p w:rsidR="00CA4CD6" w:rsidRPr="00DC2C87" w:rsidRDefault="00CA4CD6">
      <w:pPr>
        <w:pBdr>
          <w:top w:val="single" w:sz="6" w:space="0" w:color="FFFFFF"/>
          <w:left w:val="single" w:sz="6" w:space="0" w:color="FFFFFF"/>
          <w:bottom w:val="single" w:sz="6" w:space="0" w:color="FFFFFF"/>
          <w:right w:val="single" w:sz="6" w:space="0" w:color="FFFFFF"/>
        </w:pBdr>
        <w:ind w:firstLine="1440"/>
      </w:pPr>
      <w:r w:rsidRPr="00DC2C87">
        <w:rPr>
          <w:b/>
          <w:bCs/>
        </w:rPr>
        <w:t>(</w:t>
      </w:r>
      <w:proofErr w:type="spellStart"/>
      <w:r w:rsidRPr="00DC2C87">
        <w:rPr>
          <w:b/>
          <w:bCs/>
        </w:rPr>
        <w:t>i</w:t>
      </w:r>
      <w:proofErr w:type="spellEnd"/>
      <w:r w:rsidRPr="00DC2C87">
        <w:rPr>
          <w:b/>
          <w:bCs/>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20E9B">
        <w:rPr>
          <w:color w:val="000000"/>
        </w:rPr>
        <w:t>2,846</w:t>
      </w:r>
      <w:r w:rsidR="002013E1">
        <w:rPr>
          <w:color w:val="000000"/>
        </w:rPr>
        <w:t xml:space="preserve"> at a cost of $272,599</w:t>
      </w:r>
      <w:r>
        <w:rPr>
          <w:color w:val="000000"/>
        </w:rPr>
        <w:t>.</w:t>
      </w:r>
      <w:r w:rsidR="00507EC5">
        <w:rPr>
          <w:color w:val="000000"/>
        </w:rPr>
        <w:t xml:space="preserve">  </w:t>
      </w:r>
      <w:r>
        <w:rPr>
          <w:color w:val="000000"/>
        </w:rPr>
        <w:t xml:space="preserve">Details regarding these estimates may be found </w:t>
      </w:r>
      <w:r w:rsidR="002013E1">
        <w:rPr>
          <w:color w:val="000000"/>
        </w:rPr>
        <w:t xml:space="preserve">below </w:t>
      </w:r>
      <w:r>
        <w:rPr>
          <w:color w:val="000000"/>
        </w:rPr>
        <w:t>in Table 1</w:t>
      </w:r>
      <w:r w:rsidR="00025D9E">
        <w:rPr>
          <w:color w:val="000000"/>
        </w:rPr>
        <w:t>:</w:t>
      </w:r>
      <w:r>
        <w:rPr>
          <w:color w:val="000000"/>
        </w:rPr>
        <w:t xml:space="preserve">  Annual Respondent Burden and Cost</w:t>
      </w:r>
      <w:r w:rsidR="00DC2C87">
        <w:rPr>
          <w:color w:val="000000"/>
        </w:rPr>
        <w:t xml:space="preserve"> – </w:t>
      </w:r>
      <w:r w:rsidR="00DC2C87" w:rsidRPr="00DC2C87">
        <w:rPr>
          <w:color w:val="000000"/>
        </w:rPr>
        <w:t xml:space="preserve">NESHAP </w:t>
      </w:r>
      <w:r w:rsidR="00120E9B">
        <w:rPr>
          <w:color w:val="000000"/>
        </w:rPr>
        <w:t xml:space="preserve">for Area Sources: </w:t>
      </w:r>
      <w:r w:rsidR="00DC2C87" w:rsidRPr="00DC2C87">
        <w:rPr>
          <w:color w:val="000000"/>
        </w:rPr>
        <w:t xml:space="preserve">Asphalt Processing and Asphalt Roofing Manufacturing (40 CFR Part 63, Subpart AAAAAAA) </w:t>
      </w:r>
      <w:r>
        <w:rPr>
          <w:color w:val="000000"/>
        </w:rPr>
        <w:t>(</w:t>
      </w:r>
      <w:r w:rsidR="00144F35">
        <w:rPr>
          <w:color w:val="000000"/>
        </w:rPr>
        <w:t>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20E9B">
        <w:rPr>
          <w:color w:val="000000"/>
        </w:rPr>
        <w:t>19</w:t>
      </w:r>
      <w:r w:rsidR="00481FF3">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BF08DE" w:rsidRPr="00BF08DE">
        <w:rPr>
          <w:color w:val="000000"/>
        </w:rPr>
        <w:t>$</w:t>
      </w:r>
      <w:r w:rsidR="00120E9B">
        <w:rPr>
          <w:color w:val="000000"/>
        </w:rPr>
        <w:t>1,125</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Pr="00481FF3" w:rsidRDefault="00CA4CD6">
      <w:pPr>
        <w:pBdr>
          <w:top w:val="single" w:sz="6" w:space="0" w:color="FFFFFF"/>
          <w:left w:val="single" w:sz="6" w:space="0" w:color="FFFFFF"/>
          <w:bottom w:val="single" w:sz="6" w:space="0" w:color="FFFFFF"/>
          <w:right w:val="single" w:sz="6" w:space="0" w:color="FFFFFF"/>
        </w:pBdr>
        <w:ind w:firstLine="2160"/>
      </w:pPr>
    </w:p>
    <w:p w:rsidR="00CA4CD6" w:rsidRPr="00481FF3" w:rsidRDefault="00CA4CD6">
      <w:pPr>
        <w:pBdr>
          <w:top w:val="single" w:sz="6" w:space="0" w:color="FFFFFF"/>
          <w:left w:val="single" w:sz="6" w:space="0" w:color="FFFFFF"/>
          <w:bottom w:val="single" w:sz="6" w:space="0" w:color="FFFFFF"/>
          <w:right w:val="single" w:sz="6" w:space="0" w:color="FFFFFF"/>
        </w:pBdr>
        <w:ind w:firstLine="1440"/>
      </w:pPr>
      <w:r w:rsidRPr="00481FF3">
        <w:rPr>
          <w:b/>
          <w:bCs/>
        </w:rPr>
        <w:t>(ii) The Agency Tally</w:t>
      </w:r>
    </w:p>
    <w:p w:rsidR="00CA4CD6" w:rsidRPr="00481FF3" w:rsidRDefault="00CA4CD6">
      <w:pPr>
        <w:pBdr>
          <w:top w:val="single" w:sz="6" w:space="0" w:color="FFFFFF"/>
          <w:left w:val="single" w:sz="6" w:space="0" w:color="FFFFFF"/>
          <w:bottom w:val="single" w:sz="6" w:space="0" w:color="FFFFFF"/>
          <w:right w:val="single" w:sz="6" w:space="0" w:color="FFFFFF"/>
        </w:pBdr>
      </w:pPr>
    </w:p>
    <w:p w:rsidR="00CA4CD6" w:rsidRPr="00481FF3" w:rsidRDefault="00CA4CD6" w:rsidP="00481FF3">
      <w:pPr>
        <w:pBdr>
          <w:top w:val="single" w:sz="6" w:space="0" w:color="FFFFFF"/>
          <w:left w:val="single" w:sz="6" w:space="0" w:color="FFFFFF"/>
          <w:bottom w:val="single" w:sz="6" w:space="0" w:color="FFFFFF"/>
          <w:right w:val="single" w:sz="6" w:space="0" w:color="FFFFFF"/>
        </w:pBdr>
        <w:ind w:firstLine="720"/>
      </w:pPr>
      <w:r w:rsidRPr="00481FF3">
        <w:t xml:space="preserve">The average annual Agency burden and cost over next three years is estimated to be </w:t>
      </w:r>
      <w:r w:rsidR="00481FF3" w:rsidRPr="00481FF3">
        <w:t xml:space="preserve">175 </w:t>
      </w:r>
      <w:r w:rsidRPr="00481FF3">
        <w:t>labor hours at a cost of</w:t>
      </w:r>
      <w:r w:rsidR="00481FF3" w:rsidRPr="00481FF3">
        <w:t xml:space="preserve"> $7,877</w:t>
      </w:r>
      <w:r w:rsidR="00144F35" w:rsidRPr="00481FF3">
        <w:t xml:space="preserve">.  See </w:t>
      </w:r>
      <w:r w:rsidR="0029115A">
        <w:t xml:space="preserve">below </w:t>
      </w:r>
      <w:r w:rsidR="00144F35" w:rsidRPr="00481FF3">
        <w:t xml:space="preserve">Table 2: Average </w:t>
      </w:r>
      <w:r w:rsidRPr="00481FF3">
        <w:t xml:space="preserve">Annual </w:t>
      </w:r>
      <w:r w:rsidR="00144F35" w:rsidRPr="00481FF3">
        <w:t xml:space="preserve">EPA </w:t>
      </w:r>
      <w:r w:rsidRPr="00481FF3">
        <w:t>Burden and Cost</w:t>
      </w:r>
      <w:r w:rsidR="00DC2C87" w:rsidRPr="00481FF3">
        <w:t xml:space="preserve"> – NESHAP </w:t>
      </w:r>
      <w:r w:rsidR="00120E9B">
        <w:t xml:space="preserve">for Area Sources: </w:t>
      </w:r>
      <w:r w:rsidR="00DC2C87" w:rsidRPr="00481FF3">
        <w:t>Asphalt Processing and Asphalt Roofing Manufacturing (40 CFR Part 63, Subpart AAAAAAA) (Renewal).</w:t>
      </w:r>
    </w:p>
    <w:p w:rsidR="00CA4CD6" w:rsidRPr="0037366B" w:rsidRDefault="00CA4CD6" w:rsidP="00481FF3">
      <w:pPr>
        <w:keepNext/>
        <w:pBdr>
          <w:top w:val="single" w:sz="6" w:space="0" w:color="FFFFFF"/>
          <w:left w:val="single" w:sz="6" w:space="0" w:color="FFFFFF"/>
          <w:bottom w:val="single" w:sz="6" w:space="0" w:color="FFFFFF"/>
          <w:right w:val="single" w:sz="6" w:space="0" w:color="FFFFFF"/>
        </w:pBdr>
        <w:ind w:firstLine="720"/>
      </w:pPr>
      <w:r>
        <w:rPr>
          <w:b/>
          <w:bCs/>
          <w:color w:val="000000"/>
        </w:rPr>
        <w:lastRenderedPageBreak/>
        <w:t>6(f</w:t>
      </w:r>
      <w:proofErr w:type="gramStart"/>
      <w:r>
        <w:rPr>
          <w:b/>
          <w:bCs/>
          <w:color w:val="000000"/>
        </w:rPr>
        <w:t>)  Reasons</w:t>
      </w:r>
      <w:proofErr w:type="gramEnd"/>
      <w:r>
        <w:rPr>
          <w:b/>
          <w:bCs/>
          <w:color w:val="000000"/>
        </w:rPr>
        <w:t xml:space="preserve"> for Cha</w:t>
      </w:r>
      <w:r w:rsidRPr="00154089">
        <w:rPr>
          <w:b/>
          <w:bCs/>
        </w:rPr>
        <w:t>nge in B</w:t>
      </w:r>
      <w:r w:rsidRPr="0037366B">
        <w:rPr>
          <w:b/>
          <w:bCs/>
        </w:rPr>
        <w:t>urden</w:t>
      </w:r>
    </w:p>
    <w:p w:rsidR="00154089" w:rsidRPr="0037366B" w:rsidRDefault="00154089" w:rsidP="00481FF3">
      <w:pPr>
        <w:keepNext/>
        <w:pBdr>
          <w:top w:val="single" w:sz="6" w:space="0" w:color="FFFFFF"/>
          <w:left w:val="single" w:sz="6" w:space="0" w:color="FFFFFF"/>
          <w:bottom w:val="single" w:sz="6" w:space="0" w:color="FFFFFF"/>
          <w:right w:val="single" w:sz="6" w:space="0" w:color="FFFFFF"/>
        </w:pBdr>
      </w:pPr>
    </w:p>
    <w:p w:rsidR="004C7E46" w:rsidRPr="0037366B" w:rsidRDefault="0007609C" w:rsidP="00481FF3">
      <w:pPr>
        <w:keepNext/>
        <w:pBdr>
          <w:top w:val="single" w:sz="6" w:space="0" w:color="FFFFFF"/>
          <w:left w:val="single" w:sz="6" w:space="0" w:color="FFFFFF"/>
          <w:bottom w:val="single" w:sz="6" w:space="0" w:color="FFFFFF"/>
          <w:right w:val="single" w:sz="6" w:space="0" w:color="FFFFFF"/>
        </w:pBdr>
        <w:ind w:firstLine="720"/>
      </w:pPr>
      <w:r>
        <w:t xml:space="preserve">There is an adjustment increase in labor costs for the respondents </w:t>
      </w:r>
      <w:r w:rsidR="00154089" w:rsidRPr="0037366B">
        <w:t>from the most recently approved ICR.</w:t>
      </w:r>
      <w:r>
        <w:t xml:space="preserve">  This increase is not due to any program changes.  The adjustment increase reflects a change in labor rates from the Bureau of Labor Statistics as this ICR uses updated labor rates for calculating all burden costs. </w:t>
      </w:r>
    </w:p>
    <w:p w:rsidR="004C7E46" w:rsidRPr="0037366B" w:rsidRDefault="004C7E46" w:rsidP="004C7E46">
      <w:pPr>
        <w:pBdr>
          <w:top w:val="single" w:sz="6" w:space="0" w:color="FFFFFF"/>
          <w:left w:val="single" w:sz="6" w:space="0" w:color="FFFFFF"/>
          <w:bottom w:val="single" w:sz="6" w:space="0" w:color="FFFFFF"/>
          <w:right w:val="single" w:sz="6" w:space="0" w:color="FFFFFF"/>
        </w:pBdr>
        <w:ind w:firstLine="720"/>
      </w:pPr>
    </w:p>
    <w:p w:rsidR="00ED4A65" w:rsidRPr="0037366B" w:rsidRDefault="0007609C" w:rsidP="00ED4A65">
      <w:pPr>
        <w:ind w:firstLine="720"/>
      </w:pPr>
      <w:r>
        <w:t>However, there is an overall decrease in labor hours, capital/startup costs, O&amp;M costs, and</w:t>
      </w:r>
      <w:r w:rsidR="00521947">
        <w:t xml:space="preserve"> Agency</w:t>
      </w:r>
      <w:r>
        <w:t xml:space="preserve"> costs </w:t>
      </w:r>
      <w:r w:rsidR="004C7E46" w:rsidRPr="0037366B">
        <w:t xml:space="preserve">as currently identified in the OMB Inventory of Approved Burdens.  The </w:t>
      </w:r>
      <w:r>
        <w:t xml:space="preserve">decrease in </w:t>
      </w:r>
      <w:r w:rsidR="004C7E46" w:rsidRPr="0037366B">
        <w:t xml:space="preserve">burden and cost estimates occurred because the standard has been in effect for more than three years and the requirements are different during initial compliance as compared to on-going compliance.  The previous ICR reflected those burdens and costs associated with the initial activities for subject facilities.  This includes purchasing monitoring equipment, conducting performance tests and establishing recordkeeping systems.  This ICR, by in large, reflects the on-going burden and costs for existing facilities.  Activities for existing source include continuously monitoring of pollutants and the submission of semiannual reports.  </w:t>
      </w:r>
    </w:p>
    <w:p w:rsidR="00CD2069" w:rsidRPr="0037366B" w:rsidRDefault="00CD2069" w:rsidP="00ED4A65">
      <w:pPr>
        <w:ind w:firstLine="720"/>
      </w:pPr>
    </w:p>
    <w:p w:rsidR="00CA4CD6" w:rsidRPr="0037366B" w:rsidRDefault="00CA4CD6">
      <w:pPr>
        <w:pBdr>
          <w:top w:val="single" w:sz="6" w:space="0" w:color="FFFFFF"/>
          <w:left w:val="single" w:sz="6" w:space="0" w:color="FFFFFF"/>
          <w:bottom w:val="single" w:sz="6" w:space="0" w:color="FFFFFF"/>
          <w:right w:val="single" w:sz="6" w:space="0" w:color="FFFFFF"/>
        </w:pBdr>
        <w:ind w:firstLine="720"/>
      </w:pPr>
      <w:r w:rsidRPr="0037366B">
        <w:rPr>
          <w:b/>
          <w:bCs/>
        </w:rPr>
        <w:t>6(g</w:t>
      </w:r>
      <w:proofErr w:type="gramStart"/>
      <w:r w:rsidRPr="0037366B">
        <w:rPr>
          <w:b/>
          <w:bCs/>
        </w:rPr>
        <w:t>)  Burden</w:t>
      </w:r>
      <w:proofErr w:type="gramEnd"/>
      <w:r w:rsidRPr="0037366B">
        <w:rPr>
          <w:b/>
          <w:bCs/>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07609C">
        <w:rPr>
          <w:color w:val="000000"/>
        </w:rPr>
        <w:t>19</w:t>
      </w:r>
      <w:r w:rsidR="00481FF3">
        <w:rPr>
          <w:color w:val="FF0000"/>
        </w:rPr>
        <w:t xml:space="preserve">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Pr="00067073" w:rsidRDefault="00FB0650" w:rsidP="00354C15">
      <w:r w:rsidRPr="00354C15">
        <w:tab/>
      </w:r>
      <w:r w:rsidR="00CA4CD6" w:rsidRPr="00354C15">
        <w:t xml:space="preserve">To comment on the Agency's need for this information, the accuracy of the provided burden estimates, and any suggested methods for </w:t>
      </w:r>
      <w:r w:rsidR="00CA4CD6" w:rsidRPr="00067073">
        <w:t>minimizing respondent burden, including the use of automated collection techniques, EPA has established a public docket for this ICR under Docket ID Number</w:t>
      </w:r>
      <w:r w:rsidR="00067073">
        <w:t xml:space="preserve"> </w:t>
      </w:r>
      <w:r w:rsidR="00067073" w:rsidRPr="00067073">
        <w:t>EPA-HQ-OECA-2012-0496.</w:t>
      </w:r>
      <w:r w:rsidR="00354C15" w:rsidRPr="00067073">
        <w:t xml:space="preserve">  </w:t>
      </w:r>
      <w:r w:rsidR="00354C15" w:rsidRPr="00354C15">
        <w:t xml:space="preserve">An electronic version of the public docket is available at </w:t>
      </w:r>
      <w:r w:rsidR="00354C15" w:rsidRPr="00FC13C3">
        <w:rPr>
          <w:u w:val="single"/>
        </w:rPr>
        <w:t>http://www.regulations.gov</w:t>
      </w:r>
      <w:r w:rsidR="00354C15" w:rsidRPr="00354C15">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xml:space="preserve">, </w:t>
      </w:r>
      <w:r w:rsidR="00354C15" w:rsidRPr="00067073">
        <w:rPr>
          <w:rStyle w:val="1"/>
        </w:rPr>
        <w:t xml:space="preserve">select “search,” then key in the docket ID number identified in this document.  The documents are also </w:t>
      </w:r>
      <w:r w:rsidR="00CA4CD6" w:rsidRPr="00067073">
        <w:t xml:space="preserve">available for public viewing at the Enforcement and Compliance Docket and Information Center in the EPA Docket Center (EPA/DC), </w:t>
      </w:r>
      <w:r w:rsidR="00D95819" w:rsidRPr="00067073">
        <w:t>EPA West, Room 3334</w:t>
      </w:r>
      <w:r w:rsidR="00CA4CD6" w:rsidRPr="00067073">
        <w:t xml:space="preserve">, 1301 Constitution Ave., NW, Washington, DC.  The EPA Docket Center Public </w:t>
      </w:r>
      <w:r w:rsidR="00CA4CD6" w:rsidRPr="00067073">
        <w:lastRenderedPageBreak/>
        <w:t xml:space="preserve">Reading Room is open from 8:30 a.m. to 4:30 p.m., Monday through Friday, excluding legal holidays.  The telephone number for the Reading Room is (202) 566-1744, and the telephone number </w:t>
      </w:r>
      <w:r w:rsidR="00354C15" w:rsidRPr="00067073">
        <w:t>for the docket center i</w:t>
      </w:r>
      <w:r w:rsidR="00CA4CD6" w:rsidRPr="00067073">
        <w:t>s (202) 566-</w:t>
      </w:r>
      <w:r w:rsidR="00850ACF" w:rsidRPr="00067073">
        <w:t>1</w:t>
      </w:r>
      <w:r w:rsidR="00FC13C3">
        <w:t>752</w:t>
      </w:r>
      <w:r w:rsidR="00354C15" w:rsidRPr="00067073">
        <w:t xml:space="preserve">.  </w:t>
      </w:r>
      <w:r w:rsidR="00CA4CD6" w:rsidRPr="00067073">
        <w:t xml:space="preserve">Also, you can send comments to the Office of Information and Regulatory Affairs, Office of Management and Budget, 725 17th Street, NW, Washington, DC 20503, Attention: Desk Officer for EPA.  Please include the EPA Docket ID Number </w:t>
      </w:r>
      <w:r w:rsidR="00067073" w:rsidRPr="00067073">
        <w:t xml:space="preserve">EPA-HQ-OECA-2012-0496 </w:t>
      </w:r>
      <w:r w:rsidR="00CA4CD6" w:rsidRPr="00067073">
        <w:t>and OMB Control Number</w:t>
      </w:r>
      <w:r w:rsidR="00067073" w:rsidRPr="00067073">
        <w:t xml:space="preserve"> 2060-0634 </w:t>
      </w:r>
      <w:r w:rsidR="00CA4CD6" w:rsidRPr="00067073">
        <w:t xml:space="preserve">in any correspondence. </w:t>
      </w:r>
    </w:p>
    <w:p w:rsidR="00F340DF" w:rsidRPr="00067073" w:rsidRDefault="00F340DF" w:rsidP="00F340DF">
      <w:pPr>
        <w:rPr>
          <w:rStyle w:val="1"/>
          <w:rFonts w:ascii="WP TypographicSymbols" w:hAnsi="WP TypographicSymbols" w:cs="WP TypographicSymbols"/>
        </w:rPr>
      </w:pPr>
    </w:p>
    <w:p w:rsidR="00F340DF" w:rsidRPr="00067073" w:rsidRDefault="00CA4CD6" w:rsidP="00F340DF">
      <w:pPr>
        <w:rPr>
          <w:b/>
          <w:bCs/>
        </w:rPr>
      </w:pPr>
      <w:r w:rsidRPr="00067073">
        <w:rPr>
          <w:b/>
          <w:bCs/>
        </w:rPr>
        <w:t>Part B of the Supporting Statement</w:t>
      </w:r>
    </w:p>
    <w:p w:rsidR="00F340DF" w:rsidRPr="00067073" w:rsidRDefault="00F340DF" w:rsidP="00F340DF">
      <w:pPr>
        <w:rPr>
          <w:b/>
          <w:bCs/>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221B7C" w:rsidRDefault="00144F35" w:rsidP="00394C61">
      <w:pPr>
        <w:jc w:val="center"/>
        <w:rPr>
          <w:b/>
          <w:bCs/>
          <w:color w:val="000000"/>
        </w:rPr>
      </w:pPr>
      <w:r w:rsidRPr="00C4183F">
        <w:rPr>
          <w:b/>
          <w:bCs/>
          <w:color w:val="000000"/>
        </w:rPr>
        <w:lastRenderedPageBreak/>
        <w:t>Table 1: Annual Respondent Burden and Cost</w:t>
      </w:r>
      <w:r>
        <w:rPr>
          <w:b/>
          <w:bCs/>
          <w:color w:val="000000"/>
        </w:rPr>
        <w:t xml:space="preserve"> –</w:t>
      </w:r>
      <w:r w:rsidR="00067073">
        <w:rPr>
          <w:b/>
          <w:bCs/>
          <w:color w:val="000000"/>
        </w:rPr>
        <w:t xml:space="preserve"> </w:t>
      </w:r>
      <w:r w:rsidR="00067073" w:rsidRPr="00067073">
        <w:rPr>
          <w:b/>
          <w:bCs/>
          <w:color w:val="000000"/>
        </w:rPr>
        <w:t xml:space="preserve">NESHAP </w:t>
      </w:r>
      <w:r w:rsidR="00CC686E">
        <w:rPr>
          <w:b/>
          <w:bCs/>
          <w:color w:val="000000"/>
        </w:rPr>
        <w:t xml:space="preserve">for Area Sources: </w:t>
      </w:r>
      <w:r w:rsidR="00067073" w:rsidRPr="00067073">
        <w:rPr>
          <w:b/>
          <w:bCs/>
          <w:color w:val="000000"/>
        </w:rPr>
        <w:t>Asphalt Processing and Asphalt Roofing</w:t>
      </w:r>
    </w:p>
    <w:p w:rsidR="00144F35" w:rsidRDefault="00221B7C" w:rsidP="00221B7C">
      <w:pPr>
        <w:rPr>
          <w:b/>
          <w:bCs/>
          <w:color w:val="000000"/>
        </w:rPr>
      </w:pPr>
      <w:r>
        <w:rPr>
          <w:b/>
          <w:bCs/>
          <w:color w:val="000000"/>
        </w:rPr>
        <w:t xml:space="preserve">        </w:t>
      </w:r>
      <w:r w:rsidR="00067073" w:rsidRPr="00067073">
        <w:rPr>
          <w:b/>
          <w:bCs/>
          <w:color w:val="000000"/>
        </w:rPr>
        <w:t xml:space="preserve"> Manufacturing (40 CFR Part 63, Subpart AAAAAAA)</w:t>
      </w:r>
      <w:r w:rsidR="00067073">
        <w:rPr>
          <w:b/>
          <w:bCs/>
          <w:color w:val="000000"/>
        </w:rPr>
        <w:t xml:space="preserve"> (Renewal)</w:t>
      </w:r>
    </w:p>
    <w:p w:rsidR="00A7661C" w:rsidRPr="00067073" w:rsidRDefault="00A7661C" w:rsidP="00A7661C"/>
    <w:tbl>
      <w:tblPr>
        <w:tblW w:w="13639" w:type="dxa"/>
        <w:jc w:val="center"/>
        <w:tblLook w:val="04A0"/>
      </w:tblPr>
      <w:tblGrid>
        <w:gridCol w:w="3982"/>
        <w:gridCol w:w="1066"/>
        <w:gridCol w:w="1389"/>
        <w:gridCol w:w="1118"/>
        <w:gridCol w:w="1197"/>
        <w:gridCol w:w="1092"/>
        <w:gridCol w:w="1277"/>
        <w:gridCol w:w="1302"/>
        <w:gridCol w:w="1216"/>
      </w:tblGrid>
      <w:tr w:rsidR="00BB260B" w:rsidRPr="0004492F" w:rsidTr="0084771C">
        <w:trPr>
          <w:trHeight w:val="300"/>
          <w:tblHeader/>
          <w:jc w:val="center"/>
        </w:trPr>
        <w:tc>
          <w:tcPr>
            <w:tcW w:w="39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92F" w:rsidRPr="0004492F" w:rsidRDefault="0004492F" w:rsidP="0004492F">
            <w:pPr>
              <w:widowControl/>
              <w:autoSpaceDE/>
              <w:autoSpaceDN/>
              <w:adjustRightInd/>
              <w:jc w:val="center"/>
              <w:rPr>
                <w:b/>
                <w:bCs/>
                <w:color w:val="000000"/>
                <w:sz w:val="18"/>
                <w:szCs w:val="18"/>
              </w:rPr>
            </w:pPr>
            <w:r w:rsidRPr="0004492F">
              <w:rPr>
                <w:b/>
                <w:bCs/>
                <w:color w:val="000000"/>
                <w:sz w:val="18"/>
                <w:szCs w:val="18"/>
              </w:rPr>
              <w:t>Burden Item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B</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C</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D</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E</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F</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G</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H</w:t>
            </w:r>
          </w:p>
        </w:tc>
      </w:tr>
      <w:tr w:rsidR="00BB260B" w:rsidRPr="0004492F" w:rsidTr="0084771C">
        <w:trPr>
          <w:trHeight w:val="735"/>
          <w:tblHeader/>
          <w:jc w:val="center"/>
        </w:trPr>
        <w:tc>
          <w:tcPr>
            <w:tcW w:w="3982" w:type="dxa"/>
            <w:vMerge/>
            <w:tcBorders>
              <w:top w:val="single" w:sz="4" w:space="0" w:color="auto"/>
              <w:left w:val="single" w:sz="4" w:space="0" w:color="auto"/>
              <w:bottom w:val="single" w:sz="4" w:space="0" w:color="auto"/>
              <w:right w:val="single" w:sz="4" w:space="0" w:color="auto"/>
            </w:tcBorders>
            <w:vAlign w:val="center"/>
            <w:hideMark/>
          </w:tcPr>
          <w:p w:rsidR="0004492F" w:rsidRPr="0004492F" w:rsidRDefault="0004492F" w:rsidP="0004492F">
            <w:pPr>
              <w:widowControl/>
              <w:autoSpaceDE/>
              <w:autoSpaceDN/>
              <w:adjustRightInd/>
              <w:rPr>
                <w:b/>
                <w:bCs/>
                <w:color w:val="00000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 xml:space="preserve">Hours </w:t>
            </w:r>
            <w:r w:rsidRPr="0004492F">
              <w:rPr>
                <w:b/>
                <w:bCs/>
                <w:sz w:val="18"/>
                <w:szCs w:val="18"/>
              </w:rPr>
              <w:br/>
              <w:t>per occurrence</w:t>
            </w:r>
          </w:p>
        </w:tc>
        <w:tc>
          <w:tcPr>
            <w:tcW w:w="1389" w:type="dxa"/>
            <w:tcBorders>
              <w:top w:val="nil"/>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No. of occurrences</w:t>
            </w:r>
            <w:r w:rsidRPr="0004492F">
              <w:rPr>
                <w:b/>
                <w:bCs/>
                <w:sz w:val="18"/>
                <w:szCs w:val="18"/>
              </w:rPr>
              <w:br/>
              <w:t>per respondent</w:t>
            </w:r>
            <w:r w:rsidRPr="0004492F">
              <w:rPr>
                <w:b/>
                <w:bCs/>
                <w:sz w:val="18"/>
                <w:szCs w:val="18"/>
              </w:rPr>
              <w:br/>
              <w:t>per year</w:t>
            </w:r>
          </w:p>
        </w:tc>
        <w:tc>
          <w:tcPr>
            <w:tcW w:w="1118" w:type="dxa"/>
            <w:tcBorders>
              <w:top w:val="nil"/>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Hours</w:t>
            </w:r>
            <w:r w:rsidRPr="0004492F">
              <w:rPr>
                <w:b/>
                <w:bCs/>
                <w:sz w:val="18"/>
                <w:szCs w:val="18"/>
              </w:rPr>
              <w:br/>
              <w:t>per respondent</w:t>
            </w:r>
            <w:r w:rsidRPr="0004492F">
              <w:rPr>
                <w:b/>
                <w:bCs/>
                <w:sz w:val="18"/>
                <w:szCs w:val="18"/>
              </w:rPr>
              <w:br/>
              <w:t>per year</w:t>
            </w:r>
          </w:p>
        </w:tc>
        <w:tc>
          <w:tcPr>
            <w:tcW w:w="1197" w:type="dxa"/>
            <w:tcBorders>
              <w:top w:val="nil"/>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Respondents</w:t>
            </w:r>
            <w:r w:rsidRPr="0004492F">
              <w:rPr>
                <w:b/>
                <w:bCs/>
                <w:sz w:val="18"/>
                <w:szCs w:val="18"/>
              </w:rPr>
              <w:br/>
              <w:t xml:space="preserve">per </w:t>
            </w:r>
            <w:proofErr w:type="spellStart"/>
            <w:r w:rsidRPr="0004492F">
              <w:rPr>
                <w:b/>
                <w:bCs/>
                <w:sz w:val="18"/>
                <w:szCs w:val="18"/>
              </w:rPr>
              <w:t>year</w:t>
            </w:r>
            <w:r w:rsidRPr="0004492F">
              <w:rPr>
                <w:b/>
                <w:bCs/>
                <w:sz w:val="18"/>
                <w:szCs w:val="18"/>
                <w:vertAlign w:val="superscript"/>
              </w:rPr>
              <w:t>a</w:t>
            </w:r>
            <w:proofErr w:type="spellEnd"/>
          </w:p>
        </w:tc>
        <w:tc>
          <w:tcPr>
            <w:tcW w:w="1092" w:type="dxa"/>
            <w:tcBorders>
              <w:top w:val="nil"/>
              <w:left w:val="nil"/>
              <w:bottom w:val="single" w:sz="4" w:space="0" w:color="auto"/>
              <w:right w:val="single" w:sz="4" w:space="0" w:color="auto"/>
            </w:tcBorders>
            <w:shd w:val="clear" w:color="auto" w:fill="auto"/>
            <w:vAlign w:val="center"/>
            <w:hideMark/>
          </w:tcPr>
          <w:p w:rsidR="00BB260B" w:rsidRDefault="0004492F" w:rsidP="0084771C">
            <w:pPr>
              <w:widowControl/>
              <w:autoSpaceDE/>
              <w:autoSpaceDN/>
              <w:adjustRightInd/>
              <w:jc w:val="center"/>
              <w:rPr>
                <w:b/>
                <w:bCs/>
                <w:sz w:val="18"/>
                <w:szCs w:val="18"/>
              </w:rPr>
            </w:pPr>
            <w:r w:rsidRPr="0004492F">
              <w:rPr>
                <w:b/>
                <w:bCs/>
                <w:sz w:val="18"/>
                <w:szCs w:val="18"/>
              </w:rPr>
              <w:t>Technical hours</w:t>
            </w:r>
          </w:p>
          <w:p w:rsidR="0004492F" w:rsidRPr="0004492F" w:rsidRDefault="0004492F" w:rsidP="0084771C">
            <w:pPr>
              <w:widowControl/>
              <w:autoSpaceDE/>
              <w:autoSpaceDN/>
              <w:adjustRightInd/>
              <w:jc w:val="center"/>
              <w:rPr>
                <w:b/>
                <w:bCs/>
                <w:sz w:val="18"/>
                <w:szCs w:val="18"/>
              </w:rPr>
            </w:pPr>
            <w:r w:rsidRPr="0004492F">
              <w:rPr>
                <w:b/>
                <w:bCs/>
                <w:sz w:val="18"/>
                <w:szCs w:val="18"/>
              </w:rPr>
              <w:t>per year</w:t>
            </w:r>
          </w:p>
        </w:tc>
        <w:tc>
          <w:tcPr>
            <w:tcW w:w="1277" w:type="dxa"/>
            <w:tcBorders>
              <w:top w:val="nil"/>
              <w:left w:val="nil"/>
              <w:bottom w:val="single" w:sz="4" w:space="0" w:color="auto"/>
              <w:right w:val="single" w:sz="4" w:space="0" w:color="auto"/>
            </w:tcBorders>
            <w:shd w:val="clear" w:color="auto" w:fill="auto"/>
            <w:vAlign w:val="center"/>
            <w:hideMark/>
          </w:tcPr>
          <w:p w:rsidR="00BB260B" w:rsidRDefault="0004492F" w:rsidP="0084771C">
            <w:pPr>
              <w:widowControl/>
              <w:autoSpaceDE/>
              <w:autoSpaceDN/>
              <w:adjustRightInd/>
              <w:jc w:val="center"/>
              <w:rPr>
                <w:b/>
                <w:bCs/>
                <w:sz w:val="18"/>
                <w:szCs w:val="18"/>
              </w:rPr>
            </w:pPr>
            <w:r w:rsidRPr="0004492F">
              <w:rPr>
                <w:b/>
                <w:bCs/>
                <w:sz w:val="18"/>
                <w:szCs w:val="18"/>
              </w:rPr>
              <w:t>Management hours</w:t>
            </w:r>
          </w:p>
          <w:p w:rsidR="0004492F" w:rsidRPr="0004492F" w:rsidRDefault="0004492F" w:rsidP="0084771C">
            <w:pPr>
              <w:widowControl/>
              <w:autoSpaceDE/>
              <w:autoSpaceDN/>
              <w:adjustRightInd/>
              <w:jc w:val="center"/>
              <w:rPr>
                <w:b/>
                <w:bCs/>
                <w:sz w:val="18"/>
                <w:szCs w:val="18"/>
              </w:rPr>
            </w:pPr>
            <w:r w:rsidRPr="0004492F">
              <w:rPr>
                <w:b/>
                <w:bCs/>
                <w:sz w:val="18"/>
                <w:szCs w:val="18"/>
              </w:rPr>
              <w:t>per year</w:t>
            </w:r>
          </w:p>
        </w:tc>
        <w:tc>
          <w:tcPr>
            <w:tcW w:w="1302" w:type="dxa"/>
            <w:tcBorders>
              <w:top w:val="nil"/>
              <w:left w:val="nil"/>
              <w:bottom w:val="single" w:sz="4" w:space="0" w:color="auto"/>
              <w:right w:val="single" w:sz="4" w:space="0" w:color="auto"/>
            </w:tcBorders>
            <w:shd w:val="clear" w:color="auto" w:fill="auto"/>
            <w:vAlign w:val="center"/>
            <w:hideMark/>
          </w:tcPr>
          <w:p w:rsidR="00BB260B" w:rsidRDefault="0004492F" w:rsidP="0084771C">
            <w:pPr>
              <w:widowControl/>
              <w:autoSpaceDE/>
              <w:autoSpaceDN/>
              <w:adjustRightInd/>
              <w:jc w:val="center"/>
              <w:rPr>
                <w:b/>
                <w:bCs/>
                <w:sz w:val="18"/>
                <w:szCs w:val="18"/>
              </w:rPr>
            </w:pPr>
            <w:r w:rsidRPr="0004492F">
              <w:rPr>
                <w:b/>
                <w:bCs/>
                <w:sz w:val="18"/>
                <w:szCs w:val="18"/>
              </w:rPr>
              <w:t>Clerical</w:t>
            </w:r>
          </w:p>
          <w:p w:rsidR="0004492F" w:rsidRPr="0004492F" w:rsidRDefault="0004492F" w:rsidP="0084771C">
            <w:pPr>
              <w:widowControl/>
              <w:autoSpaceDE/>
              <w:autoSpaceDN/>
              <w:adjustRightInd/>
              <w:jc w:val="center"/>
              <w:rPr>
                <w:b/>
                <w:bCs/>
                <w:sz w:val="18"/>
                <w:szCs w:val="18"/>
              </w:rPr>
            </w:pPr>
            <w:r w:rsidRPr="0004492F">
              <w:rPr>
                <w:b/>
                <w:bCs/>
                <w:sz w:val="18"/>
                <w:szCs w:val="18"/>
              </w:rPr>
              <w:t>hours per year</w:t>
            </w:r>
          </w:p>
        </w:tc>
        <w:tc>
          <w:tcPr>
            <w:tcW w:w="1216" w:type="dxa"/>
            <w:tcBorders>
              <w:top w:val="nil"/>
              <w:left w:val="nil"/>
              <w:bottom w:val="single" w:sz="4" w:space="0" w:color="auto"/>
              <w:right w:val="single" w:sz="4" w:space="0" w:color="auto"/>
            </w:tcBorders>
            <w:shd w:val="clear" w:color="auto" w:fill="auto"/>
            <w:vAlign w:val="center"/>
            <w:hideMark/>
          </w:tcPr>
          <w:p w:rsidR="0004492F" w:rsidRPr="0004492F" w:rsidRDefault="0004492F" w:rsidP="0084771C">
            <w:pPr>
              <w:widowControl/>
              <w:autoSpaceDE/>
              <w:autoSpaceDN/>
              <w:adjustRightInd/>
              <w:jc w:val="center"/>
              <w:rPr>
                <w:b/>
                <w:bCs/>
                <w:sz w:val="18"/>
                <w:szCs w:val="18"/>
              </w:rPr>
            </w:pPr>
            <w:r w:rsidRPr="0004492F">
              <w:rPr>
                <w:b/>
                <w:bCs/>
                <w:sz w:val="18"/>
                <w:szCs w:val="18"/>
              </w:rPr>
              <w:t>Total costs per year ($)</w:t>
            </w:r>
            <w:r w:rsidRPr="0004492F">
              <w:rPr>
                <w:b/>
                <w:bCs/>
                <w:sz w:val="18"/>
                <w:szCs w:val="18"/>
                <w:vertAlign w:val="superscript"/>
              </w:rPr>
              <w:t>b</w:t>
            </w:r>
          </w:p>
        </w:tc>
      </w:tr>
      <w:tr w:rsidR="00BB260B" w:rsidRPr="0004492F" w:rsidTr="00CC686E">
        <w:trPr>
          <w:trHeight w:val="300"/>
          <w:tblHeader/>
          <w:jc w:val="center"/>
        </w:trPr>
        <w:tc>
          <w:tcPr>
            <w:tcW w:w="3982" w:type="dxa"/>
            <w:vMerge/>
            <w:tcBorders>
              <w:top w:val="single" w:sz="4" w:space="0" w:color="auto"/>
              <w:left w:val="single" w:sz="4" w:space="0" w:color="auto"/>
              <w:bottom w:val="single" w:sz="4" w:space="0" w:color="auto"/>
              <w:right w:val="single" w:sz="4" w:space="0" w:color="auto"/>
            </w:tcBorders>
            <w:vAlign w:val="center"/>
            <w:hideMark/>
          </w:tcPr>
          <w:p w:rsidR="0004492F" w:rsidRPr="0004492F" w:rsidRDefault="0004492F" w:rsidP="0004492F">
            <w:pPr>
              <w:widowControl/>
              <w:autoSpaceDE/>
              <w:autoSpaceDN/>
              <w:adjustRightInd/>
              <w:rPr>
                <w:b/>
                <w:bCs/>
                <w:color w:val="000000"/>
                <w:sz w:val="18"/>
                <w:szCs w:val="18"/>
              </w:rPr>
            </w:pPr>
          </w:p>
        </w:tc>
        <w:tc>
          <w:tcPr>
            <w:tcW w:w="106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color w:val="000000"/>
                <w:sz w:val="22"/>
                <w:szCs w:val="22"/>
              </w:rPr>
            </w:pPr>
            <w:r w:rsidRPr="0004492F">
              <w:rPr>
                <w:color w:val="000000"/>
                <w:sz w:val="22"/>
                <w:szCs w:val="22"/>
              </w:rPr>
              <w:t> </w:t>
            </w:r>
          </w:p>
        </w:tc>
        <w:tc>
          <w:tcPr>
            <w:tcW w:w="1389"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color w:val="000000"/>
                <w:sz w:val="22"/>
                <w:szCs w:val="22"/>
              </w:rPr>
            </w:pPr>
            <w:r w:rsidRPr="0004492F">
              <w:rPr>
                <w:color w:val="000000"/>
                <w:sz w:val="22"/>
                <w:szCs w:val="22"/>
              </w:rPr>
              <w:t> </w:t>
            </w:r>
          </w:p>
        </w:tc>
        <w:tc>
          <w:tcPr>
            <w:tcW w:w="1118"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b/>
                <w:bCs/>
                <w:color w:val="000000"/>
                <w:sz w:val="18"/>
                <w:szCs w:val="18"/>
              </w:rPr>
            </w:pPr>
            <w:r w:rsidRPr="0004492F">
              <w:rPr>
                <w:b/>
                <w:bCs/>
                <w:color w:val="000000"/>
                <w:sz w:val="18"/>
                <w:szCs w:val="18"/>
              </w:rPr>
              <w:t>(C = A x B)</w:t>
            </w:r>
          </w:p>
        </w:tc>
        <w:tc>
          <w:tcPr>
            <w:tcW w:w="119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color w:val="000000"/>
                <w:sz w:val="22"/>
                <w:szCs w:val="22"/>
              </w:rPr>
            </w:pPr>
            <w:r w:rsidRPr="0004492F">
              <w:rPr>
                <w:color w:val="000000"/>
                <w:sz w:val="22"/>
                <w:szCs w:val="22"/>
              </w:rPr>
              <w:t> </w:t>
            </w:r>
          </w:p>
        </w:tc>
        <w:tc>
          <w:tcPr>
            <w:tcW w:w="109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b/>
                <w:bCs/>
                <w:color w:val="000000"/>
                <w:sz w:val="18"/>
                <w:szCs w:val="18"/>
              </w:rPr>
            </w:pPr>
            <w:r w:rsidRPr="0004492F">
              <w:rPr>
                <w:b/>
                <w:bCs/>
                <w:color w:val="000000"/>
                <w:sz w:val="18"/>
                <w:szCs w:val="18"/>
              </w:rPr>
              <w:t>(E = C x D)</w:t>
            </w:r>
          </w:p>
        </w:tc>
        <w:tc>
          <w:tcPr>
            <w:tcW w:w="127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b/>
                <w:bCs/>
                <w:color w:val="000000"/>
                <w:sz w:val="18"/>
                <w:szCs w:val="18"/>
              </w:rPr>
            </w:pPr>
            <w:r w:rsidRPr="0004492F">
              <w:rPr>
                <w:b/>
                <w:bCs/>
                <w:color w:val="000000"/>
                <w:sz w:val="18"/>
                <w:szCs w:val="18"/>
              </w:rPr>
              <w:t>(F = E x 0.05)</w:t>
            </w:r>
          </w:p>
        </w:tc>
        <w:tc>
          <w:tcPr>
            <w:tcW w:w="130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b/>
                <w:bCs/>
                <w:color w:val="000000"/>
                <w:sz w:val="18"/>
                <w:szCs w:val="18"/>
              </w:rPr>
            </w:pPr>
            <w:r w:rsidRPr="0004492F">
              <w:rPr>
                <w:b/>
                <w:bCs/>
                <w:color w:val="000000"/>
                <w:sz w:val="18"/>
                <w:szCs w:val="18"/>
              </w:rPr>
              <w:t>(G = E x 0.10)</w:t>
            </w:r>
          </w:p>
        </w:tc>
        <w:tc>
          <w:tcPr>
            <w:tcW w:w="121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color w:val="000000"/>
                <w:sz w:val="22"/>
                <w:szCs w:val="22"/>
              </w:rPr>
            </w:pPr>
            <w:r w:rsidRPr="0004492F">
              <w:rPr>
                <w:color w:val="000000"/>
                <w:sz w:val="22"/>
                <w:szCs w:val="22"/>
              </w:rPr>
              <w:t> </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hideMark/>
          </w:tcPr>
          <w:p w:rsidR="00CC686E" w:rsidRPr="0004492F" w:rsidRDefault="00CC686E" w:rsidP="00BB260B">
            <w:pPr>
              <w:widowControl/>
              <w:autoSpaceDE/>
              <w:autoSpaceDN/>
              <w:adjustRightInd/>
              <w:ind w:left="187" w:hanging="187"/>
              <w:rPr>
                <w:sz w:val="20"/>
                <w:szCs w:val="20"/>
              </w:rPr>
            </w:pPr>
            <w:r w:rsidRPr="0004492F">
              <w:rPr>
                <w:sz w:val="20"/>
                <w:szCs w:val="20"/>
              </w:rPr>
              <w:t>1. Acquire and install recordkeeping technology and systems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hideMark/>
          </w:tcPr>
          <w:p w:rsidR="00CC686E" w:rsidRPr="0004492F" w:rsidRDefault="00CC686E" w:rsidP="00BB260B">
            <w:pPr>
              <w:widowControl/>
              <w:autoSpaceDE/>
              <w:autoSpaceDN/>
              <w:adjustRightInd/>
              <w:ind w:left="187" w:hanging="187"/>
              <w:rPr>
                <w:sz w:val="20"/>
                <w:szCs w:val="20"/>
              </w:rPr>
            </w:pPr>
            <w:r w:rsidRPr="0004492F">
              <w:rPr>
                <w:sz w:val="20"/>
                <w:szCs w:val="20"/>
              </w:rPr>
              <w:t>2. Read and understand rule requirements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2</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2</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hideMark/>
          </w:tcPr>
          <w:p w:rsidR="00CC686E" w:rsidRPr="0004492F" w:rsidRDefault="00CC686E" w:rsidP="00BB260B">
            <w:pPr>
              <w:widowControl/>
              <w:autoSpaceDE/>
              <w:autoSpaceDN/>
              <w:adjustRightInd/>
              <w:ind w:left="187" w:hanging="187"/>
              <w:rPr>
                <w:sz w:val="20"/>
                <w:szCs w:val="20"/>
              </w:rPr>
            </w:pPr>
            <w:r w:rsidRPr="0004492F">
              <w:rPr>
                <w:sz w:val="20"/>
                <w:szCs w:val="20"/>
              </w:rPr>
              <w:t>3. Required activities</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 </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A. Initial performance tests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8</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8</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B. Engineering calculations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8</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8</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C. Continuous parameter monitoring</w:t>
            </w:r>
            <w:r w:rsidR="00A303ED">
              <w:rPr>
                <w:sz w:val="20"/>
                <w:szCs w:val="20"/>
              </w:rPr>
              <w:t xml:space="preserve"> </w:t>
            </w:r>
            <w:r w:rsidRPr="0004492F">
              <w:rPr>
                <w:sz w:val="20"/>
                <w:szCs w:val="20"/>
                <w:vertAlign w:val="superscript"/>
              </w:rPr>
              <w:t>d</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rPr>
                <w:sz w:val="20"/>
                <w:szCs w:val="20"/>
              </w:rPr>
            </w:pPr>
            <w:r w:rsidRPr="0004492F">
              <w:rPr>
                <w:sz w:val="20"/>
                <w:szCs w:val="20"/>
              </w:rPr>
              <w:t>4. Reporting requirements</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 </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hideMark/>
          </w:tcPr>
          <w:p w:rsidR="00CC686E" w:rsidRPr="0004492F" w:rsidRDefault="00CC686E" w:rsidP="00BB260B">
            <w:pPr>
              <w:widowControl/>
              <w:autoSpaceDE/>
              <w:autoSpaceDN/>
              <w:adjustRightInd/>
              <w:ind w:leftChars="76" w:left="364" w:hangingChars="91" w:hanging="182"/>
              <w:rPr>
                <w:sz w:val="20"/>
                <w:szCs w:val="20"/>
              </w:rPr>
            </w:pPr>
            <w:r w:rsidRPr="0004492F">
              <w:rPr>
                <w:sz w:val="20"/>
                <w:szCs w:val="20"/>
              </w:rPr>
              <w:t>A. Initial notification that existing facilities are subject to the standard</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N/A</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 </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 xml:space="preserve">B. Notifications for new area sources </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 </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4E51BE">
            <w:pPr>
              <w:widowControl/>
              <w:autoSpaceDE/>
              <w:autoSpaceDN/>
              <w:adjustRightInd/>
              <w:ind w:leftChars="129" w:left="636" w:hangingChars="163" w:hanging="326"/>
              <w:rPr>
                <w:sz w:val="20"/>
                <w:szCs w:val="20"/>
              </w:rPr>
            </w:pPr>
            <w:r w:rsidRPr="0004492F">
              <w:rPr>
                <w:sz w:val="20"/>
                <w:szCs w:val="20"/>
              </w:rPr>
              <w:t>(1) Notification of intent to construct/</w:t>
            </w:r>
            <w:r w:rsidR="00A303ED">
              <w:rPr>
                <w:sz w:val="20"/>
                <w:szCs w:val="20"/>
              </w:rPr>
              <w:t xml:space="preserve">reconstruct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BB260B">
            <w:pPr>
              <w:widowControl/>
              <w:autoSpaceDE/>
              <w:autoSpaceDN/>
              <w:adjustRightInd/>
              <w:ind w:leftChars="129" w:left="636" w:hangingChars="163" w:hanging="326"/>
              <w:rPr>
                <w:sz w:val="20"/>
                <w:szCs w:val="20"/>
              </w:rPr>
            </w:pPr>
            <w:r w:rsidRPr="0004492F">
              <w:rPr>
                <w:sz w:val="20"/>
                <w:szCs w:val="20"/>
              </w:rPr>
              <w:t>(2) Notification of commencement of construction/reconstruction</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200" w:firstLine="400"/>
              <w:rPr>
                <w:sz w:val="20"/>
                <w:szCs w:val="20"/>
              </w:rPr>
            </w:pPr>
            <w:r w:rsidRPr="0004492F">
              <w:rPr>
                <w:sz w:val="20"/>
                <w:szCs w:val="20"/>
              </w:rPr>
              <w:t>(3) Notification of startup</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C. Request for compliance extension</w:t>
            </w:r>
            <w:r w:rsidR="00A303ED">
              <w:rPr>
                <w:sz w:val="20"/>
                <w:szCs w:val="20"/>
              </w:rPr>
              <w:t xml:space="preserve"> </w:t>
            </w:r>
            <w:r w:rsidRPr="0004492F">
              <w:rPr>
                <w:sz w:val="20"/>
                <w:szCs w:val="20"/>
                <w:vertAlign w:val="superscript"/>
              </w:rPr>
              <w:t>e</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D. Notification of initial performance tests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2</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2</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E. Notification of compliance status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2</w:t>
            </w:r>
          </w:p>
        </w:tc>
        <w:tc>
          <w:tcPr>
            <w:tcW w:w="1389"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2</w:t>
            </w:r>
          </w:p>
        </w:tc>
        <w:tc>
          <w:tcPr>
            <w:tcW w:w="119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center"/>
              <w:rPr>
                <w:sz w:val="20"/>
                <w:szCs w:val="20"/>
              </w:rPr>
            </w:pPr>
            <w:r w:rsidRPr="00394C61">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394C61" w:rsidRDefault="00CC686E">
            <w:pPr>
              <w:jc w:val="right"/>
              <w:rPr>
                <w:sz w:val="20"/>
                <w:szCs w:val="20"/>
              </w:rPr>
            </w:pPr>
            <w:r w:rsidRPr="00394C61">
              <w:rPr>
                <w:sz w:val="20"/>
                <w:szCs w:val="20"/>
              </w:rPr>
              <w:t>$0</w:t>
            </w:r>
          </w:p>
        </w:tc>
      </w:tr>
      <w:tr w:rsidR="00BB260B"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04492F" w:rsidRPr="0004492F" w:rsidRDefault="0004492F" w:rsidP="00BB260B">
            <w:pPr>
              <w:widowControl/>
              <w:autoSpaceDE/>
              <w:autoSpaceDN/>
              <w:adjustRightInd/>
              <w:ind w:leftChars="76" w:left="364" w:hangingChars="91" w:hanging="182"/>
              <w:rPr>
                <w:sz w:val="20"/>
                <w:szCs w:val="20"/>
              </w:rPr>
            </w:pPr>
            <w:r w:rsidRPr="0004492F">
              <w:rPr>
                <w:sz w:val="20"/>
                <w:szCs w:val="20"/>
              </w:rPr>
              <w:t>F. Gather information for semi-annual reports</w:t>
            </w:r>
          </w:p>
        </w:tc>
        <w:tc>
          <w:tcPr>
            <w:tcW w:w="106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2</w:t>
            </w:r>
          </w:p>
        </w:tc>
        <w:tc>
          <w:tcPr>
            <w:tcW w:w="1118"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8</w:t>
            </w:r>
          </w:p>
        </w:tc>
        <w:tc>
          <w:tcPr>
            <w:tcW w:w="119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75</w:t>
            </w:r>
          </w:p>
        </w:tc>
        <w:tc>
          <w:tcPr>
            <w:tcW w:w="109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600</w:t>
            </w:r>
          </w:p>
        </w:tc>
        <w:tc>
          <w:tcPr>
            <w:tcW w:w="127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30</w:t>
            </w:r>
          </w:p>
        </w:tc>
        <w:tc>
          <w:tcPr>
            <w:tcW w:w="130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60</w:t>
            </w:r>
          </w:p>
        </w:tc>
        <w:tc>
          <w:tcPr>
            <w:tcW w:w="1216" w:type="dxa"/>
            <w:tcBorders>
              <w:top w:val="nil"/>
              <w:left w:val="nil"/>
              <w:bottom w:val="single" w:sz="4" w:space="0" w:color="auto"/>
              <w:right w:val="single" w:sz="4" w:space="0" w:color="auto"/>
            </w:tcBorders>
            <w:shd w:val="clear" w:color="auto" w:fill="auto"/>
            <w:vAlign w:val="bottom"/>
            <w:hideMark/>
          </w:tcPr>
          <w:p w:rsidR="0004492F" w:rsidRPr="0004492F" w:rsidRDefault="00CC686E" w:rsidP="0004492F">
            <w:pPr>
              <w:widowControl/>
              <w:autoSpaceDE/>
              <w:autoSpaceDN/>
              <w:adjustRightInd/>
              <w:jc w:val="right"/>
              <w:rPr>
                <w:sz w:val="20"/>
                <w:szCs w:val="20"/>
              </w:rPr>
            </w:pPr>
            <w:r>
              <w:rPr>
                <w:sz w:val="20"/>
                <w:szCs w:val="20"/>
              </w:rPr>
              <w:t>$</w:t>
            </w:r>
            <w:r w:rsidR="0004492F" w:rsidRPr="0004492F">
              <w:rPr>
                <w:sz w:val="20"/>
                <w:szCs w:val="20"/>
              </w:rPr>
              <w:t>66,811.8</w:t>
            </w:r>
            <w:r>
              <w:rPr>
                <w:sz w:val="20"/>
                <w:szCs w:val="20"/>
              </w:rPr>
              <w:t>0</w:t>
            </w:r>
          </w:p>
        </w:tc>
      </w:tr>
      <w:tr w:rsidR="00BB260B"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04492F" w:rsidRPr="0004492F" w:rsidRDefault="0004492F" w:rsidP="0004492F">
            <w:pPr>
              <w:widowControl/>
              <w:autoSpaceDE/>
              <w:autoSpaceDN/>
              <w:adjustRightInd/>
              <w:ind w:firstLineChars="100" w:firstLine="200"/>
              <w:rPr>
                <w:sz w:val="20"/>
                <w:szCs w:val="20"/>
              </w:rPr>
            </w:pPr>
            <w:r w:rsidRPr="0004492F">
              <w:rPr>
                <w:sz w:val="20"/>
                <w:szCs w:val="20"/>
              </w:rPr>
              <w:t>G. Semiannual compliance reports</w:t>
            </w:r>
          </w:p>
        </w:tc>
        <w:tc>
          <w:tcPr>
            <w:tcW w:w="106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2</w:t>
            </w:r>
          </w:p>
        </w:tc>
        <w:tc>
          <w:tcPr>
            <w:tcW w:w="1118"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8</w:t>
            </w:r>
          </w:p>
        </w:tc>
        <w:tc>
          <w:tcPr>
            <w:tcW w:w="119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75</w:t>
            </w:r>
          </w:p>
        </w:tc>
        <w:tc>
          <w:tcPr>
            <w:tcW w:w="109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600</w:t>
            </w:r>
          </w:p>
        </w:tc>
        <w:tc>
          <w:tcPr>
            <w:tcW w:w="127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30</w:t>
            </w:r>
          </w:p>
        </w:tc>
        <w:tc>
          <w:tcPr>
            <w:tcW w:w="130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60</w:t>
            </w:r>
          </w:p>
        </w:tc>
        <w:tc>
          <w:tcPr>
            <w:tcW w:w="1216" w:type="dxa"/>
            <w:tcBorders>
              <w:top w:val="nil"/>
              <w:left w:val="nil"/>
              <w:bottom w:val="single" w:sz="4" w:space="0" w:color="auto"/>
              <w:right w:val="single" w:sz="4" w:space="0" w:color="auto"/>
            </w:tcBorders>
            <w:shd w:val="clear" w:color="auto" w:fill="auto"/>
            <w:vAlign w:val="bottom"/>
            <w:hideMark/>
          </w:tcPr>
          <w:p w:rsidR="0004492F" w:rsidRPr="0004492F" w:rsidRDefault="00CC686E" w:rsidP="0004492F">
            <w:pPr>
              <w:widowControl/>
              <w:autoSpaceDE/>
              <w:autoSpaceDN/>
              <w:adjustRightInd/>
              <w:jc w:val="right"/>
              <w:rPr>
                <w:sz w:val="20"/>
                <w:szCs w:val="20"/>
              </w:rPr>
            </w:pPr>
            <w:r>
              <w:rPr>
                <w:sz w:val="20"/>
                <w:szCs w:val="20"/>
              </w:rPr>
              <w:t>$</w:t>
            </w:r>
            <w:r w:rsidR="0004492F" w:rsidRPr="0004492F">
              <w:rPr>
                <w:sz w:val="20"/>
                <w:szCs w:val="20"/>
              </w:rPr>
              <w:t>66,811.8</w:t>
            </w:r>
            <w:r>
              <w:rPr>
                <w:sz w:val="20"/>
                <w:szCs w:val="20"/>
              </w:rPr>
              <w:t>0</w:t>
            </w:r>
          </w:p>
        </w:tc>
      </w:tr>
      <w:tr w:rsidR="00BB260B"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04492F" w:rsidRPr="00A303ED" w:rsidRDefault="00A303ED" w:rsidP="00A303ED">
            <w:pPr>
              <w:widowControl/>
              <w:autoSpaceDE/>
              <w:autoSpaceDN/>
              <w:adjustRightInd/>
              <w:rPr>
                <w:b/>
                <w:sz w:val="20"/>
                <w:szCs w:val="20"/>
              </w:rPr>
            </w:pPr>
            <w:r w:rsidRPr="00A303ED">
              <w:rPr>
                <w:b/>
                <w:sz w:val="20"/>
                <w:szCs w:val="20"/>
              </w:rPr>
              <w:t xml:space="preserve">Subtotal for </w:t>
            </w:r>
            <w:r w:rsidR="0004492F" w:rsidRPr="00A303ED">
              <w:rPr>
                <w:b/>
                <w:sz w:val="20"/>
                <w:szCs w:val="20"/>
              </w:rPr>
              <w:t xml:space="preserve">Reporting </w:t>
            </w:r>
            <w:r w:rsidRPr="00A303ED">
              <w:rPr>
                <w:b/>
                <w:sz w:val="20"/>
                <w:szCs w:val="20"/>
              </w:rPr>
              <w:t>Requirements</w:t>
            </w:r>
          </w:p>
        </w:tc>
        <w:tc>
          <w:tcPr>
            <w:tcW w:w="1066"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3671" w:type="dxa"/>
            <w:gridSpan w:val="3"/>
            <w:tcBorders>
              <w:top w:val="single" w:sz="4" w:space="0" w:color="auto"/>
              <w:left w:val="nil"/>
              <w:bottom w:val="single" w:sz="4" w:space="0" w:color="auto"/>
              <w:right w:val="single" w:sz="4" w:space="0" w:color="000000"/>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1,380</w:t>
            </w:r>
          </w:p>
        </w:tc>
        <w:tc>
          <w:tcPr>
            <w:tcW w:w="121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right"/>
              <w:rPr>
                <w:sz w:val="20"/>
                <w:szCs w:val="20"/>
              </w:rPr>
            </w:pPr>
          </w:p>
        </w:tc>
      </w:tr>
      <w:tr w:rsidR="00BB260B"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04492F" w:rsidRPr="0004492F" w:rsidRDefault="0004492F" w:rsidP="0004492F">
            <w:pPr>
              <w:widowControl/>
              <w:autoSpaceDE/>
              <w:autoSpaceDN/>
              <w:adjustRightInd/>
              <w:rPr>
                <w:sz w:val="20"/>
                <w:szCs w:val="20"/>
              </w:rPr>
            </w:pPr>
            <w:r w:rsidRPr="0004492F">
              <w:rPr>
                <w:sz w:val="20"/>
                <w:szCs w:val="20"/>
              </w:rPr>
              <w:lastRenderedPageBreak/>
              <w:t>5. Recordkeeping requirements</w:t>
            </w:r>
          </w:p>
        </w:tc>
        <w:tc>
          <w:tcPr>
            <w:tcW w:w="106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right"/>
              <w:rPr>
                <w:sz w:val="20"/>
                <w:szCs w:val="20"/>
              </w:rPr>
            </w:pPr>
            <w:r w:rsidRPr="0004492F">
              <w:rPr>
                <w:sz w:val="20"/>
                <w:szCs w:val="20"/>
              </w:rPr>
              <w:t> </w:t>
            </w:r>
          </w:p>
        </w:tc>
      </w:tr>
      <w:tr w:rsidR="00CC686E" w:rsidRPr="0004492F" w:rsidTr="00CC686E">
        <w:trPr>
          <w:trHeight w:val="315"/>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A. Plan activities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right"/>
              <w:rPr>
                <w:sz w:val="20"/>
                <w:szCs w:val="20"/>
              </w:rPr>
            </w:pPr>
            <w:r w:rsidRPr="00CC686E">
              <w:rPr>
                <w:sz w:val="20"/>
                <w:szCs w:val="20"/>
              </w:rPr>
              <w:t>$0</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B. Implement activities</w:t>
            </w:r>
          </w:p>
        </w:tc>
        <w:tc>
          <w:tcPr>
            <w:tcW w:w="106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right"/>
              <w:rPr>
                <w:sz w:val="20"/>
                <w:szCs w:val="20"/>
              </w:rPr>
            </w:pPr>
            <w:r w:rsidRPr="00CC686E">
              <w:rPr>
                <w:sz w:val="20"/>
                <w:szCs w:val="20"/>
              </w:rPr>
              <w:t> </w:t>
            </w:r>
          </w:p>
        </w:tc>
      </w:tr>
      <w:tr w:rsidR="00CC686E" w:rsidRPr="0004492F" w:rsidTr="00CC686E">
        <w:trPr>
          <w:trHeight w:val="330"/>
          <w:jc w:val="center"/>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C686E" w:rsidRPr="0004492F" w:rsidRDefault="00CC686E" w:rsidP="0004492F">
            <w:pPr>
              <w:widowControl/>
              <w:autoSpaceDE/>
              <w:autoSpaceDN/>
              <w:adjustRightInd/>
              <w:ind w:firstLineChars="200" w:firstLine="400"/>
              <w:rPr>
                <w:sz w:val="20"/>
                <w:szCs w:val="20"/>
              </w:rPr>
            </w:pPr>
            <w:r w:rsidRPr="0004492F">
              <w:rPr>
                <w:sz w:val="20"/>
                <w:szCs w:val="20"/>
              </w:rPr>
              <w:t>(1) Record performance tests</w:t>
            </w:r>
            <w:r w:rsidR="00A303ED">
              <w:rPr>
                <w:sz w:val="20"/>
                <w:szCs w:val="20"/>
              </w:rPr>
              <w:t xml:space="preserve"> </w:t>
            </w:r>
            <w:r w:rsidRPr="0004492F">
              <w:rPr>
                <w:sz w:val="20"/>
                <w:szCs w:val="20"/>
                <w:vertAlign w:val="superscript"/>
              </w:rPr>
              <w:t>c</w:t>
            </w:r>
          </w:p>
        </w:tc>
        <w:tc>
          <w:tcPr>
            <w:tcW w:w="106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389"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19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09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27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30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w:t>
            </w:r>
          </w:p>
        </w:tc>
        <w:tc>
          <w:tcPr>
            <w:tcW w:w="121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right"/>
              <w:rPr>
                <w:sz w:val="20"/>
                <w:szCs w:val="20"/>
              </w:rPr>
            </w:pPr>
            <w:r w:rsidRPr="00CC686E">
              <w:rPr>
                <w:sz w:val="20"/>
                <w:szCs w:val="20"/>
              </w:rPr>
              <w:t>$0</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C686E" w:rsidRPr="0004492F" w:rsidRDefault="00CC686E" w:rsidP="0004492F">
            <w:pPr>
              <w:widowControl/>
              <w:autoSpaceDE/>
              <w:autoSpaceDN/>
              <w:adjustRightInd/>
              <w:ind w:firstLineChars="200" w:firstLine="400"/>
              <w:rPr>
                <w:sz w:val="20"/>
                <w:szCs w:val="20"/>
              </w:rPr>
            </w:pPr>
            <w:r w:rsidRPr="0004492F">
              <w:rPr>
                <w:sz w:val="20"/>
                <w:szCs w:val="20"/>
              </w:rPr>
              <w:t>(2) Record malfunctions</w:t>
            </w:r>
          </w:p>
        </w:tc>
        <w:tc>
          <w:tcPr>
            <w:tcW w:w="106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0.50</w:t>
            </w:r>
          </w:p>
        </w:tc>
        <w:tc>
          <w:tcPr>
            <w:tcW w:w="1389"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2</w:t>
            </w:r>
          </w:p>
        </w:tc>
        <w:tc>
          <w:tcPr>
            <w:tcW w:w="1118"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19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75</w:t>
            </w:r>
          </w:p>
        </w:tc>
        <w:tc>
          <w:tcPr>
            <w:tcW w:w="109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75</w:t>
            </w:r>
          </w:p>
        </w:tc>
        <w:tc>
          <w:tcPr>
            <w:tcW w:w="127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3.75</w:t>
            </w:r>
          </w:p>
        </w:tc>
        <w:tc>
          <w:tcPr>
            <w:tcW w:w="130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7.5</w:t>
            </w:r>
          </w:p>
        </w:tc>
        <w:tc>
          <w:tcPr>
            <w:tcW w:w="121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right"/>
              <w:rPr>
                <w:sz w:val="20"/>
                <w:szCs w:val="20"/>
              </w:rPr>
            </w:pPr>
            <w:r w:rsidRPr="00CC686E">
              <w:rPr>
                <w:sz w:val="20"/>
                <w:szCs w:val="20"/>
              </w:rPr>
              <w:t>$8,351.48</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C686E" w:rsidRPr="0004492F" w:rsidRDefault="00CC686E" w:rsidP="00BB260B">
            <w:pPr>
              <w:widowControl/>
              <w:autoSpaceDE/>
              <w:autoSpaceDN/>
              <w:adjustRightInd/>
              <w:ind w:leftChars="167" w:left="727" w:hangingChars="163" w:hanging="326"/>
              <w:rPr>
                <w:sz w:val="20"/>
                <w:szCs w:val="20"/>
              </w:rPr>
            </w:pPr>
            <w:r w:rsidRPr="0004492F">
              <w:rPr>
                <w:sz w:val="20"/>
                <w:szCs w:val="20"/>
              </w:rPr>
              <w:t>(3) Continuous parameter monitoring calibration and maintenance</w:t>
            </w:r>
          </w:p>
        </w:tc>
        <w:tc>
          <w:tcPr>
            <w:tcW w:w="106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389"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12</w:t>
            </w:r>
          </w:p>
        </w:tc>
        <w:tc>
          <w:tcPr>
            <w:tcW w:w="1118"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12</w:t>
            </w:r>
          </w:p>
        </w:tc>
        <w:tc>
          <w:tcPr>
            <w:tcW w:w="119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75</w:t>
            </w:r>
          </w:p>
        </w:tc>
        <w:tc>
          <w:tcPr>
            <w:tcW w:w="109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900</w:t>
            </w:r>
          </w:p>
        </w:tc>
        <w:tc>
          <w:tcPr>
            <w:tcW w:w="127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45</w:t>
            </w:r>
          </w:p>
        </w:tc>
        <w:tc>
          <w:tcPr>
            <w:tcW w:w="130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90</w:t>
            </w:r>
          </w:p>
        </w:tc>
        <w:tc>
          <w:tcPr>
            <w:tcW w:w="121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right"/>
              <w:rPr>
                <w:sz w:val="20"/>
                <w:szCs w:val="20"/>
              </w:rPr>
            </w:pPr>
            <w:r w:rsidRPr="00CC686E">
              <w:rPr>
                <w:sz w:val="20"/>
                <w:szCs w:val="20"/>
              </w:rPr>
              <w:t>$100,217.70</w:t>
            </w:r>
          </w:p>
        </w:tc>
      </w:tr>
      <w:tr w:rsidR="00CC686E"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CC686E" w:rsidRPr="0004492F" w:rsidRDefault="00CC686E" w:rsidP="0004492F">
            <w:pPr>
              <w:widowControl/>
              <w:autoSpaceDE/>
              <w:autoSpaceDN/>
              <w:adjustRightInd/>
              <w:ind w:firstLineChars="100" w:firstLine="200"/>
              <w:rPr>
                <w:sz w:val="20"/>
                <w:szCs w:val="20"/>
              </w:rPr>
            </w:pPr>
            <w:r w:rsidRPr="0004492F">
              <w:rPr>
                <w:sz w:val="20"/>
                <w:szCs w:val="20"/>
              </w:rPr>
              <w:t>C. Store, file, and maintain records</w:t>
            </w:r>
          </w:p>
        </w:tc>
        <w:tc>
          <w:tcPr>
            <w:tcW w:w="106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4</w:t>
            </w:r>
          </w:p>
        </w:tc>
        <w:tc>
          <w:tcPr>
            <w:tcW w:w="1389"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w:t>
            </w:r>
          </w:p>
        </w:tc>
        <w:tc>
          <w:tcPr>
            <w:tcW w:w="1118"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4</w:t>
            </w:r>
          </w:p>
        </w:tc>
        <w:tc>
          <w:tcPr>
            <w:tcW w:w="119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75</w:t>
            </w:r>
          </w:p>
        </w:tc>
        <w:tc>
          <w:tcPr>
            <w:tcW w:w="109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300</w:t>
            </w:r>
          </w:p>
        </w:tc>
        <w:tc>
          <w:tcPr>
            <w:tcW w:w="1277"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15</w:t>
            </w:r>
          </w:p>
        </w:tc>
        <w:tc>
          <w:tcPr>
            <w:tcW w:w="1302"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center"/>
              <w:rPr>
                <w:sz w:val="20"/>
                <w:szCs w:val="20"/>
              </w:rPr>
            </w:pPr>
            <w:r w:rsidRPr="00CC686E">
              <w:rPr>
                <w:sz w:val="20"/>
                <w:szCs w:val="20"/>
              </w:rPr>
              <w:t>30</w:t>
            </w:r>
          </w:p>
        </w:tc>
        <w:tc>
          <w:tcPr>
            <w:tcW w:w="1216" w:type="dxa"/>
            <w:tcBorders>
              <w:top w:val="nil"/>
              <w:left w:val="nil"/>
              <w:bottom w:val="single" w:sz="4" w:space="0" w:color="auto"/>
              <w:right w:val="single" w:sz="4" w:space="0" w:color="auto"/>
            </w:tcBorders>
            <w:shd w:val="clear" w:color="auto" w:fill="auto"/>
            <w:vAlign w:val="bottom"/>
            <w:hideMark/>
          </w:tcPr>
          <w:p w:rsidR="00CC686E" w:rsidRPr="00CC686E" w:rsidRDefault="00CC686E">
            <w:pPr>
              <w:jc w:val="right"/>
              <w:rPr>
                <w:sz w:val="20"/>
                <w:szCs w:val="20"/>
              </w:rPr>
            </w:pPr>
            <w:r w:rsidRPr="00CC686E">
              <w:rPr>
                <w:sz w:val="20"/>
                <w:szCs w:val="20"/>
              </w:rPr>
              <w:t>$33,405.90</w:t>
            </w:r>
          </w:p>
        </w:tc>
      </w:tr>
      <w:tr w:rsidR="00BB260B" w:rsidRPr="0004492F" w:rsidTr="00CC686E">
        <w:trPr>
          <w:trHeight w:val="300"/>
          <w:jc w:val="center"/>
        </w:trPr>
        <w:tc>
          <w:tcPr>
            <w:tcW w:w="3982" w:type="dxa"/>
            <w:tcBorders>
              <w:top w:val="nil"/>
              <w:left w:val="single" w:sz="4" w:space="0" w:color="auto"/>
              <w:bottom w:val="single" w:sz="4" w:space="0" w:color="auto"/>
              <w:right w:val="single" w:sz="4" w:space="0" w:color="auto"/>
            </w:tcBorders>
            <w:shd w:val="clear" w:color="auto" w:fill="auto"/>
            <w:noWrap/>
            <w:hideMark/>
          </w:tcPr>
          <w:p w:rsidR="0004492F" w:rsidRPr="00A303ED" w:rsidRDefault="00A303ED" w:rsidP="00A303ED">
            <w:pPr>
              <w:widowControl/>
              <w:autoSpaceDE/>
              <w:autoSpaceDN/>
              <w:adjustRightInd/>
              <w:rPr>
                <w:b/>
                <w:sz w:val="20"/>
                <w:szCs w:val="20"/>
              </w:rPr>
            </w:pPr>
            <w:r w:rsidRPr="00A303ED">
              <w:rPr>
                <w:b/>
                <w:sz w:val="20"/>
                <w:szCs w:val="20"/>
              </w:rPr>
              <w:t xml:space="preserve">Subtotal for </w:t>
            </w:r>
            <w:r w:rsidR="0004492F" w:rsidRPr="00A303ED">
              <w:rPr>
                <w:b/>
                <w:sz w:val="20"/>
                <w:szCs w:val="20"/>
              </w:rPr>
              <w:t xml:space="preserve">Recordkeeping </w:t>
            </w:r>
            <w:r w:rsidRPr="00A303ED">
              <w:rPr>
                <w:b/>
                <w:sz w:val="20"/>
                <w:szCs w:val="20"/>
              </w:rPr>
              <w:t>Requirements</w:t>
            </w:r>
          </w:p>
        </w:tc>
        <w:tc>
          <w:tcPr>
            <w:tcW w:w="1066"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1118"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 </w:t>
            </w:r>
          </w:p>
        </w:tc>
        <w:tc>
          <w:tcPr>
            <w:tcW w:w="3671" w:type="dxa"/>
            <w:gridSpan w:val="3"/>
            <w:tcBorders>
              <w:top w:val="single" w:sz="4" w:space="0" w:color="auto"/>
              <w:left w:val="nil"/>
              <w:bottom w:val="single" w:sz="4" w:space="0" w:color="auto"/>
              <w:right w:val="single" w:sz="4" w:space="0" w:color="000000"/>
            </w:tcBorders>
            <w:shd w:val="clear" w:color="auto" w:fill="auto"/>
            <w:vAlign w:val="bottom"/>
            <w:hideMark/>
          </w:tcPr>
          <w:p w:rsidR="0004492F" w:rsidRPr="00A303ED" w:rsidRDefault="0004492F" w:rsidP="0004492F">
            <w:pPr>
              <w:widowControl/>
              <w:autoSpaceDE/>
              <w:autoSpaceDN/>
              <w:adjustRightInd/>
              <w:jc w:val="center"/>
              <w:rPr>
                <w:b/>
                <w:sz w:val="20"/>
                <w:szCs w:val="20"/>
              </w:rPr>
            </w:pPr>
            <w:r w:rsidRPr="00A303ED">
              <w:rPr>
                <w:b/>
                <w:sz w:val="20"/>
                <w:szCs w:val="20"/>
              </w:rPr>
              <w:t>1,466</w:t>
            </w:r>
          </w:p>
        </w:tc>
        <w:tc>
          <w:tcPr>
            <w:tcW w:w="1216"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right"/>
              <w:rPr>
                <w:sz w:val="20"/>
                <w:szCs w:val="20"/>
              </w:rPr>
            </w:pPr>
          </w:p>
        </w:tc>
      </w:tr>
      <w:tr w:rsidR="00BB260B" w:rsidRPr="0004492F" w:rsidTr="00CC686E">
        <w:trPr>
          <w:trHeight w:val="300"/>
          <w:jc w:val="center"/>
        </w:trPr>
        <w:tc>
          <w:tcPr>
            <w:tcW w:w="3982" w:type="dxa"/>
            <w:tcBorders>
              <w:top w:val="nil"/>
              <w:left w:val="single" w:sz="4" w:space="0" w:color="auto"/>
              <w:bottom w:val="single" w:sz="4" w:space="0" w:color="auto"/>
              <w:right w:val="nil"/>
            </w:tcBorders>
            <w:shd w:val="clear" w:color="auto" w:fill="auto"/>
            <w:noWrap/>
            <w:hideMark/>
          </w:tcPr>
          <w:p w:rsidR="0004492F" w:rsidRPr="0004492F" w:rsidRDefault="0004492F" w:rsidP="0004492F">
            <w:pPr>
              <w:widowControl/>
              <w:autoSpaceDE/>
              <w:autoSpaceDN/>
              <w:adjustRightInd/>
              <w:rPr>
                <w:b/>
                <w:bCs/>
                <w:sz w:val="20"/>
                <w:szCs w:val="20"/>
              </w:rPr>
            </w:pPr>
            <w:r w:rsidRPr="0004492F">
              <w:rPr>
                <w:b/>
                <w:bCs/>
                <w:sz w:val="20"/>
                <w:szCs w:val="20"/>
              </w:rPr>
              <w:t>TOTAL ANNUAL BURDEN</w:t>
            </w:r>
            <w:r w:rsidR="00A303ED">
              <w:rPr>
                <w:b/>
                <w:bCs/>
                <w:sz w:val="20"/>
                <w:szCs w:val="20"/>
              </w:rPr>
              <w:t xml:space="preserve"> (rounded)</w:t>
            </w:r>
          </w:p>
        </w:tc>
        <w:tc>
          <w:tcPr>
            <w:tcW w:w="1066" w:type="dxa"/>
            <w:tcBorders>
              <w:top w:val="nil"/>
              <w:left w:val="nil"/>
              <w:bottom w:val="single" w:sz="4" w:space="0" w:color="auto"/>
              <w:right w:val="nil"/>
            </w:tcBorders>
            <w:shd w:val="clear" w:color="auto" w:fill="auto"/>
            <w:noWrap/>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389" w:type="dxa"/>
            <w:tcBorders>
              <w:top w:val="nil"/>
              <w:left w:val="nil"/>
              <w:bottom w:val="single" w:sz="4" w:space="0" w:color="auto"/>
              <w:right w:val="nil"/>
            </w:tcBorders>
            <w:shd w:val="clear" w:color="auto" w:fill="auto"/>
            <w:noWrap/>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118" w:type="dxa"/>
            <w:tcBorders>
              <w:top w:val="nil"/>
              <w:left w:val="nil"/>
              <w:bottom w:val="single" w:sz="4" w:space="0" w:color="auto"/>
              <w:right w:val="nil"/>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1197" w:type="dxa"/>
            <w:tcBorders>
              <w:top w:val="nil"/>
              <w:left w:val="nil"/>
              <w:bottom w:val="single" w:sz="4" w:space="0" w:color="auto"/>
              <w:right w:val="single" w:sz="4" w:space="0" w:color="auto"/>
            </w:tcBorders>
            <w:shd w:val="clear" w:color="auto" w:fill="auto"/>
            <w:vAlign w:val="bottom"/>
            <w:hideMark/>
          </w:tcPr>
          <w:p w:rsidR="0004492F" w:rsidRPr="0004492F" w:rsidRDefault="0004492F" w:rsidP="0004492F">
            <w:pPr>
              <w:widowControl/>
              <w:autoSpaceDE/>
              <w:autoSpaceDN/>
              <w:adjustRightInd/>
              <w:jc w:val="center"/>
              <w:rPr>
                <w:sz w:val="20"/>
                <w:szCs w:val="20"/>
              </w:rPr>
            </w:pPr>
            <w:r w:rsidRPr="0004492F">
              <w:rPr>
                <w:sz w:val="20"/>
                <w:szCs w:val="20"/>
              </w:rPr>
              <w:t> </w:t>
            </w:r>
          </w:p>
        </w:tc>
        <w:tc>
          <w:tcPr>
            <w:tcW w:w="36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492F" w:rsidRPr="00CC686E" w:rsidRDefault="0004492F" w:rsidP="0004492F">
            <w:pPr>
              <w:widowControl/>
              <w:autoSpaceDE/>
              <w:autoSpaceDN/>
              <w:adjustRightInd/>
              <w:jc w:val="center"/>
              <w:rPr>
                <w:b/>
                <w:sz w:val="20"/>
                <w:szCs w:val="20"/>
              </w:rPr>
            </w:pPr>
            <w:r w:rsidRPr="00CC686E">
              <w:rPr>
                <w:b/>
                <w:sz w:val="20"/>
                <w:szCs w:val="20"/>
              </w:rPr>
              <w:t>2,846</w:t>
            </w:r>
          </w:p>
        </w:tc>
        <w:tc>
          <w:tcPr>
            <w:tcW w:w="1216" w:type="dxa"/>
            <w:tcBorders>
              <w:top w:val="nil"/>
              <w:left w:val="single" w:sz="4" w:space="0" w:color="auto"/>
              <w:bottom w:val="single" w:sz="4" w:space="0" w:color="auto"/>
              <w:right w:val="single" w:sz="4" w:space="0" w:color="auto"/>
            </w:tcBorders>
            <w:shd w:val="clear" w:color="auto" w:fill="auto"/>
            <w:vAlign w:val="bottom"/>
            <w:hideMark/>
          </w:tcPr>
          <w:p w:rsidR="0004492F" w:rsidRPr="00CC686E" w:rsidRDefault="00CC686E" w:rsidP="0004492F">
            <w:pPr>
              <w:widowControl/>
              <w:autoSpaceDE/>
              <w:autoSpaceDN/>
              <w:adjustRightInd/>
              <w:jc w:val="right"/>
              <w:rPr>
                <w:b/>
                <w:sz w:val="20"/>
                <w:szCs w:val="20"/>
              </w:rPr>
            </w:pPr>
            <w:r w:rsidRPr="00CC686E">
              <w:rPr>
                <w:b/>
                <w:sz w:val="20"/>
                <w:szCs w:val="20"/>
              </w:rPr>
              <w:t>$</w:t>
            </w:r>
            <w:r w:rsidR="0004492F" w:rsidRPr="00CC686E">
              <w:rPr>
                <w:b/>
                <w:sz w:val="20"/>
                <w:szCs w:val="20"/>
              </w:rPr>
              <w:t>275,599</w:t>
            </w:r>
          </w:p>
        </w:tc>
      </w:tr>
    </w:tbl>
    <w:p w:rsidR="0082561F" w:rsidRDefault="0082561F" w:rsidP="0082561F"/>
    <w:p w:rsidR="0082561F" w:rsidRPr="00851FE4" w:rsidRDefault="00851FE4" w:rsidP="0082561F">
      <w:pPr>
        <w:rPr>
          <w:b/>
          <w:sz w:val="20"/>
          <w:szCs w:val="20"/>
        </w:rPr>
      </w:pPr>
      <w:r w:rsidRPr="00851FE4">
        <w:rPr>
          <w:b/>
          <w:sz w:val="20"/>
          <w:szCs w:val="20"/>
        </w:rPr>
        <w:t>Assumptions:</w:t>
      </w:r>
    </w:p>
    <w:p w:rsidR="0082561F" w:rsidRPr="0082561F" w:rsidRDefault="0082561F" w:rsidP="0082561F">
      <w:pPr>
        <w:ind w:left="270" w:hanging="270"/>
        <w:rPr>
          <w:sz w:val="20"/>
          <w:szCs w:val="20"/>
        </w:rPr>
      </w:pPr>
      <w:proofErr w:type="gramStart"/>
      <w:r w:rsidRPr="00851FE4">
        <w:rPr>
          <w:sz w:val="20"/>
          <w:szCs w:val="20"/>
          <w:vertAlign w:val="superscript"/>
        </w:rPr>
        <w:t>a.</w:t>
      </w:r>
      <w:r w:rsidRPr="0082561F">
        <w:rPr>
          <w:sz w:val="20"/>
          <w:szCs w:val="20"/>
        </w:rPr>
        <w:t xml:space="preserve">  We</w:t>
      </w:r>
      <w:proofErr w:type="gramEnd"/>
      <w:r w:rsidRPr="0082561F">
        <w:rPr>
          <w:sz w:val="20"/>
          <w:szCs w:val="20"/>
        </w:rPr>
        <w:t xml:space="preserve"> have assumed that there are 75 existing sources that are subject to the rule, and that no new major sources per year will become subject over the 3 year-period of this ICR.</w:t>
      </w:r>
    </w:p>
    <w:p w:rsidR="0082561F" w:rsidRPr="0082561F" w:rsidRDefault="0082561F" w:rsidP="0082561F">
      <w:pPr>
        <w:ind w:left="270" w:hanging="270"/>
        <w:rPr>
          <w:sz w:val="20"/>
          <w:szCs w:val="20"/>
        </w:rPr>
      </w:pPr>
      <w:proofErr w:type="gramStart"/>
      <w:r w:rsidRPr="00851FE4">
        <w:rPr>
          <w:sz w:val="20"/>
          <w:szCs w:val="20"/>
          <w:vertAlign w:val="superscript"/>
        </w:rPr>
        <w:t>b.</w:t>
      </w:r>
      <w:r w:rsidRPr="0082561F">
        <w:rPr>
          <w:sz w:val="20"/>
          <w:szCs w:val="20"/>
        </w:rPr>
        <w:t xml:space="preserve">  This</w:t>
      </w:r>
      <w:proofErr w:type="gramEnd"/>
      <w:r w:rsidRPr="0082561F">
        <w:rPr>
          <w:sz w:val="20"/>
          <w:szCs w:val="20"/>
        </w:rPr>
        <w:t xml:space="preserve"> ICR uses the following labor rates: Technical $100.23 ($47.73 + 110%); Managerial $121.44 ($57.83+ 110%); and Clerical $50.51 ($24.05 + 110%).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rsidR="0082561F" w:rsidRPr="0082561F" w:rsidRDefault="0082561F" w:rsidP="0082561F">
      <w:pPr>
        <w:ind w:left="270" w:hanging="270"/>
        <w:rPr>
          <w:sz w:val="20"/>
          <w:szCs w:val="20"/>
        </w:rPr>
      </w:pPr>
      <w:proofErr w:type="gramStart"/>
      <w:r w:rsidRPr="00851FE4">
        <w:rPr>
          <w:sz w:val="20"/>
          <w:szCs w:val="20"/>
          <w:vertAlign w:val="superscript"/>
        </w:rPr>
        <w:t>c.</w:t>
      </w:r>
      <w:r w:rsidRPr="0082561F">
        <w:rPr>
          <w:sz w:val="20"/>
          <w:szCs w:val="20"/>
        </w:rPr>
        <w:t xml:space="preserve">  This</w:t>
      </w:r>
      <w:proofErr w:type="gramEnd"/>
      <w:r w:rsidRPr="0082561F">
        <w:rPr>
          <w:sz w:val="20"/>
          <w:szCs w:val="20"/>
        </w:rPr>
        <w:t xml:space="preserve"> burden item is a one-time activity that applies to new facilities only.  No new facilities are expected over the three-year period of this ICR.</w:t>
      </w:r>
    </w:p>
    <w:p w:rsidR="0082561F" w:rsidRPr="0082561F" w:rsidRDefault="0082561F" w:rsidP="0082561F">
      <w:pPr>
        <w:ind w:left="270" w:hanging="270"/>
        <w:rPr>
          <w:sz w:val="20"/>
          <w:szCs w:val="20"/>
        </w:rPr>
      </w:pPr>
      <w:proofErr w:type="gramStart"/>
      <w:r w:rsidRPr="00851FE4">
        <w:rPr>
          <w:sz w:val="20"/>
          <w:szCs w:val="20"/>
          <w:vertAlign w:val="superscript"/>
        </w:rPr>
        <w:t xml:space="preserve">d. </w:t>
      </w:r>
      <w:r w:rsidRPr="0082561F">
        <w:rPr>
          <w:sz w:val="20"/>
          <w:szCs w:val="20"/>
        </w:rPr>
        <w:t xml:space="preserve"> There</w:t>
      </w:r>
      <w:proofErr w:type="gramEnd"/>
      <w:r w:rsidRPr="0082561F">
        <w:rPr>
          <w:sz w:val="20"/>
          <w:szCs w:val="20"/>
        </w:rPr>
        <w:t xml:space="preserve"> is no additional burden for monitoring equipment because add-on control devices are not expected to be needed to demonstrate compliance with emission limits and facilities are already equipped with equipment to monitor process and existing control device parameters.</w:t>
      </w:r>
    </w:p>
    <w:p w:rsidR="00144F35" w:rsidRPr="00067073" w:rsidRDefault="0082561F" w:rsidP="006418D3">
      <w:pPr>
        <w:ind w:left="270" w:hanging="270"/>
      </w:pPr>
      <w:proofErr w:type="gramStart"/>
      <w:r w:rsidRPr="00851FE4">
        <w:rPr>
          <w:sz w:val="20"/>
          <w:szCs w:val="20"/>
          <w:vertAlign w:val="superscript"/>
        </w:rPr>
        <w:t>e</w:t>
      </w:r>
      <w:r w:rsidRPr="0082561F">
        <w:rPr>
          <w:sz w:val="20"/>
          <w:szCs w:val="20"/>
        </w:rPr>
        <w:t>.  We</w:t>
      </w:r>
      <w:proofErr w:type="gramEnd"/>
      <w:r w:rsidRPr="0082561F">
        <w:rPr>
          <w:sz w:val="20"/>
          <w:szCs w:val="20"/>
        </w:rPr>
        <w:t xml:space="preserve"> have assumed that compliance extensions will not be necessary during the three-year period of this ICR.</w:t>
      </w:r>
      <w:r w:rsidR="00144F35" w:rsidRPr="0082561F">
        <w:rPr>
          <w:sz w:val="20"/>
          <w:szCs w:val="20"/>
        </w:rPr>
        <w:br w:type="page"/>
      </w:r>
      <w:r w:rsidR="00144F35" w:rsidRPr="0082561F">
        <w:rPr>
          <w:b/>
        </w:rPr>
        <w:lastRenderedPageBreak/>
        <w:t xml:space="preserve">Table 2: Average Annual EPA Burden and Cost – </w:t>
      </w:r>
      <w:r w:rsidR="00067073" w:rsidRPr="0082561F">
        <w:rPr>
          <w:b/>
        </w:rPr>
        <w:t xml:space="preserve">NESHAP </w:t>
      </w:r>
      <w:r w:rsidR="00CC686E">
        <w:rPr>
          <w:b/>
        </w:rPr>
        <w:t xml:space="preserve">for Area Sources: </w:t>
      </w:r>
      <w:r w:rsidR="00067073" w:rsidRPr="0082561F">
        <w:rPr>
          <w:b/>
        </w:rPr>
        <w:t>Asphalt Processing and Asphalt Roofing Manufacturing (40 CFR Part 63, Subpart AAAAAAA) (Renewal)</w:t>
      </w:r>
    </w:p>
    <w:p w:rsidR="00144F35" w:rsidRPr="00067073" w:rsidRDefault="00144F35" w:rsidP="00F340DF">
      <w:pPr>
        <w:rPr>
          <w:b/>
          <w:bCs/>
        </w:rPr>
      </w:pPr>
    </w:p>
    <w:tbl>
      <w:tblPr>
        <w:tblW w:w="13797" w:type="dxa"/>
        <w:jc w:val="center"/>
        <w:tblLayout w:type="fixed"/>
        <w:tblLook w:val="04A0"/>
      </w:tblPr>
      <w:tblGrid>
        <w:gridCol w:w="4077"/>
        <w:gridCol w:w="1170"/>
        <w:gridCol w:w="1260"/>
        <w:gridCol w:w="1260"/>
        <w:gridCol w:w="810"/>
        <w:gridCol w:w="1260"/>
        <w:gridCol w:w="1440"/>
        <w:gridCol w:w="1440"/>
        <w:gridCol w:w="1080"/>
      </w:tblGrid>
      <w:tr w:rsidR="0082561F" w:rsidRPr="0082561F" w:rsidTr="00AB1299">
        <w:trPr>
          <w:trHeight w:val="300"/>
          <w:tblHeader/>
          <w:jc w:val="center"/>
        </w:trPr>
        <w:tc>
          <w:tcPr>
            <w:tcW w:w="40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A</w:t>
            </w:r>
          </w:p>
        </w:tc>
        <w:tc>
          <w:tcPr>
            <w:tcW w:w="126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B</w:t>
            </w:r>
          </w:p>
        </w:tc>
        <w:tc>
          <w:tcPr>
            <w:tcW w:w="126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C</w:t>
            </w:r>
          </w:p>
        </w:tc>
        <w:tc>
          <w:tcPr>
            <w:tcW w:w="81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D</w:t>
            </w:r>
          </w:p>
        </w:tc>
        <w:tc>
          <w:tcPr>
            <w:tcW w:w="126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E</w:t>
            </w:r>
          </w:p>
        </w:tc>
        <w:tc>
          <w:tcPr>
            <w:tcW w:w="144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F</w:t>
            </w:r>
          </w:p>
        </w:tc>
        <w:tc>
          <w:tcPr>
            <w:tcW w:w="144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G</w:t>
            </w:r>
          </w:p>
        </w:tc>
        <w:tc>
          <w:tcPr>
            <w:tcW w:w="1080" w:type="dxa"/>
            <w:tcBorders>
              <w:top w:val="single" w:sz="4" w:space="0" w:color="auto"/>
              <w:left w:val="nil"/>
              <w:bottom w:val="single" w:sz="4" w:space="0" w:color="auto"/>
              <w:right w:val="single" w:sz="4" w:space="0" w:color="auto"/>
            </w:tcBorders>
            <w:shd w:val="clear" w:color="auto" w:fill="auto"/>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H</w:t>
            </w:r>
          </w:p>
        </w:tc>
      </w:tr>
      <w:tr w:rsidR="0082561F" w:rsidRPr="0082561F" w:rsidTr="005E7518">
        <w:trPr>
          <w:trHeight w:val="755"/>
          <w:tblHeade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82561F" w:rsidRPr="0082561F" w:rsidRDefault="0082561F" w:rsidP="0082561F">
            <w:pPr>
              <w:widowControl/>
              <w:autoSpaceDE/>
              <w:autoSpaceDN/>
              <w:adjustRightInd/>
              <w:rPr>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DF65AC">
            <w:pPr>
              <w:widowControl/>
              <w:autoSpaceDE/>
              <w:autoSpaceDN/>
              <w:adjustRightInd/>
              <w:jc w:val="center"/>
              <w:rPr>
                <w:b/>
                <w:bCs/>
                <w:color w:val="000000"/>
                <w:sz w:val="20"/>
                <w:szCs w:val="20"/>
              </w:rPr>
            </w:pPr>
            <w:r w:rsidRPr="0082561F">
              <w:rPr>
                <w:b/>
                <w:bCs/>
                <w:color w:val="000000"/>
                <w:sz w:val="20"/>
                <w:szCs w:val="20"/>
              </w:rPr>
              <w:t xml:space="preserve">EPA </w:t>
            </w:r>
            <w:r w:rsidR="00DF65AC">
              <w:rPr>
                <w:b/>
                <w:bCs/>
                <w:color w:val="000000"/>
                <w:sz w:val="20"/>
                <w:szCs w:val="20"/>
              </w:rPr>
              <w:t>h</w:t>
            </w:r>
            <w:r w:rsidRPr="0082561F">
              <w:rPr>
                <w:b/>
                <w:bCs/>
                <w:color w:val="000000"/>
                <w:sz w:val="20"/>
                <w:szCs w:val="20"/>
              </w:rPr>
              <w:t xml:space="preserve">ours per </w:t>
            </w:r>
            <w:r w:rsidR="00DF65AC">
              <w:rPr>
                <w:b/>
                <w:bCs/>
                <w:color w:val="000000"/>
                <w:sz w:val="20"/>
                <w:szCs w:val="20"/>
              </w:rPr>
              <w:t>o</w:t>
            </w:r>
            <w:r w:rsidRPr="0082561F">
              <w:rPr>
                <w:b/>
                <w:bCs/>
                <w:color w:val="000000"/>
                <w:sz w:val="20"/>
                <w:szCs w:val="20"/>
              </w:rPr>
              <w:t>ccurrence</w:t>
            </w:r>
          </w:p>
        </w:tc>
        <w:tc>
          <w:tcPr>
            <w:tcW w:w="126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No. of occurrences</w:t>
            </w:r>
            <w:r w:rsidRPr="0082561F">
              <w:rPr>
                <w:b/>
                <w:bCs/>
                <w:color w:val="000000"/>
                <w:sz w:val="20"/>
                <w:szCs w:val="20"/>
              </w:rPr>
              <w:br/>
              <w:t>per plant</w:t>
            </w:r>
            <w:r w:rsidRPr="0082561F">
              <w:rPr>
                <w:b/>
                <w:bCs/>
                <w:color w:val="000000"/>
                <w:sz w:val="20"/>
                <w:szCs w:val="20"/>
              </w:rPr>
              <w:br/>
              <w:t>per year</w:t>
            </w:r>
          </w:p>
        </w:tc>
        <w:tc>
          <w:tcPr>
            <w:tcW w:w="126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EPA hours</w:t>
            </w:r>
            <w:r w:rsidRPr="0082561F">
              <w:rPr>
                <w:b/>
                <w:bCs/>
                <w:color w:val="000000"/>
                <w:sz w:val="20"/>
                <w:szCs w:val="20"/>
              </w:rPr>
              <w:br/>
              <w:t>per plant</w:t>
            </w:r>
            <w:r w:rsidRPr="0082561F">
              <w:rPr>
                <w:b/>
                <w:bCs/>
                <w:color w:val="000000"/>
                <w:sz w:val="20"/>
                <w:szCs w:val="20"/>
              </w:rPr>
              <w:br/>
              <w:t>per year</w:t>
            </w:r>
          </w:p>
        </w:tc>
        <w:tc>
          <w:tcPr>
            <w:tcW w:w="81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Plants</w:t>
            </w:r>
            <w:r w:rsidRPr="0082561F">
              <w:rPr>
                <w:b/>
                <w:bCs/>
                <w:color w:val="000000"/>
                <w:sz w:val="20"/>
                <w:szCs w:val="20"/>
              </w:rPr>
              <w:br/>
              <w:t>per year</w:t>
            </w:r>
            <w:r w:rsidR="00CC686E">
              <w:rPr>
                <w:b/>
                <w:bCs/>
                <w:color w:val="000000"/>
                <w:sz w:val="20"/>
                <w:szCs w:val="20"/>
              </w:rPr>
              <w:t xml:space="preserve"> </w:t>
            </w:r>
            <w:r w:rsidRPr="0082561F">
              <w:rPr>
                <w:b/>
                <w:bCs/>
                <w:color w:val="000000"/>
                <w:sz w:val="20"/>
                <w:szCs w:val="20"/>
                <w:vertAlign w:val="superscript"/>
              </w:rPr>
              <w:t>a</w:t>
            </w:r>
          </w:p>
        </w:tc>
        <w:tc>
          <w:tcPr>
            <w:tcW w:w="126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EPA</w:t>
            </w:r>
            <w:r w:rsidRPr="0082561F">
              <w:rPr>
                <w:b/>
                <w:bCs/>
                <w:color w:val="000000"/>
                <w:sz w:val="20"/>
                <w:szCs w:val="20"/>
              </w:rPr>
              <w:br/>
              <w:t>technical hours</w:t>
            </w:r>
            <w:r w:rsidRPr="0082561F">
              <w:rPr>
                <w:b/>
                <w:bCs/>
                <w:color w:val="000000"/>
                <w:sz w:val="20"/>
                <w:szCs w:val="20"/>
              </w:rPr>
              <w:br/>
              <w:t>per year</w:t>
            </w:r>
          </w:p>
        </w:tc>
        <w:tc>
          <w:tcPr>
            <w:tcW w:w="144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EPA</w:t>
            </w:r>
            <w:r w:rsidRPr="0082561F">
              <w:rPr>
                <w:b/>
                <w:bCs/>
                <w:color w:val="000000"/>
                <w:sz w:val="20"/>
                <w:szCs w:val="20"/>
              </w:rPr>
              <w:br/>
              <w:t>managerial hours</w:t>
            </w:r>
            <w:r w:rsidRPr="0082561F">
              <w:rPr>
                <w:b/>
                <w:bCs/>
                <w:color w:val="000000"/>
                <w:sz w:val="20"/>
                <w:szCs w:val="20"/>
              </w:rPr>
              <w:br/>
              <w:t>per year</w:t>
            </w:r>
          </w:p>
        </w:tc>
        <w:tc>
          <w:tcPr>
            <w:tcW w:w="144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EPA</w:t>
            </w:r>
            <w:r w:rsidRPr="0082561F">
              <w:rPr>
                <w:b/>
                <w:bCs/>
                <w:color w:val="000000"/>
                <w:sz w:val="20"/>
                <w:szCs w:val="20"/>
              </w:rPr>
              <w:br/>
              <w:t>clerical hours</w:t>
            </w:r>
            <w:r w:rsidRPr="0082561F">
              <w:rPr>
                <w:b/>
                <w:bCs/>
                <w:color w:val="000000"/>
                <w:sz w:val="20"/>
                <w:szCs w:val="20"/>
              </w:rPr>
              <w:br/>
              <w:t>per year</w:t>
            </w:r>
          </w:p>
        </w:tc>
        <w:tc>
          <w:tcPr>
            <w:tcW w:w="108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Total cost</w:t>
            </w:r>
            <w:r w:rsidRPr="0082561F">
              <w:rPr>
                <w:b/>
                <w:bCs/>
                <w:color w:val="000000"/>
                <w:sz w:val="20"/>
                <w:szCs w:val="20"/>
              </w:rPr>
              <w:br/>
              <w:t>per year</w:t>
            </w:r>
            <w:r w:rsidR="00CC686E">
              <w:rPr>
                <w:b/>
                <w:bCs/>
                <w:color w:val="000000"/>
                <w:sz w:val="20"/>
                <w:szCs w:val="20"/>
              </w:rPr>
              <w:t xml:space="preserve"> </w:t>
            </w:r>
            <w:r w:rsidRPr="0082561F">
              <w:rPr>
                <w:b/>
                <w:bCs/>
                <w:color w:val="000000"/>
                <w:sz w:val="20"/>
                <w:szCs w:val="20"/>
                <w:vertAlign w:val="superscript"/>
              </w:rPr>
              <w:t>b</w:t>
            </w:r>
            <w:r w:rsidRPr="0082561F">
              <w:rPr>
                <w:b/>
                <w:bCs/>
                <w:color w:val="000000"/>
                <w:sz w:val="20"/>
                <w:szCs w:val="20"/>
                <w:vertAlign w:val="superscript"/>
              </w:rPr>
              <w:br/>
            </w:r>
            <w:r w:rsidRPr="0082561F">
              <w:rPr>
                <w:b/>
                <w:bCs/>
                <w:color w:val="000000"/>
                <w:sz w:val="20"/>
                <w:szCs w:val="20"/>
              </w:rPr>
              <w:t>($)</w:t>
            </w:r>
          </w:p>
        </w:tc>
      </w:tr>
      <w:tr w:rsidR="0082561F" w:rsidRPr="0082561F" w:rsidTr="00AB1299">
        <w:trPr>
          <w:trHeight w:val="300"/>
          <w:tblHeader/>
          <w:jc w:val="center"/>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82561F" w:rsidRPr="0082561F" w:rsidRDefault="0082561F" w:rsidP="0082561F">
            <w:pPr>
              <w:widowControl/>
              <w:autoSpaceDE/>
              <w:autoSpaceDN/>
              <w:adjustRightInd/>
              <w:rPr>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color w:val="000000"/>
                <w:sz w:val="20"/>
                <w:szCs w:val="20"/>
              </w:rPr>
            </w:pPr>
            <w:r w:rsidRPr="0082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color w:val="000000"/>
                <w:sz w:val="20"/>
                <w:szCs w:val="20"/>
              </w:rPr>
            </w:pPr>
            <w:r w:rsidRPr="0082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(C = A x B)</w:t>
            </w:r>
          </w:p>
        </w:tc>
        <w:tc>
          <w:tcPr>
            <w:tcW w:w="81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color w:val="000000"/>
                <w:sz w:val="20"/>
                <w:szCs w:val="20"/>
              </w:rPr>
            </w:pPr>
            <w:r w:rsidRPr="0082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(E = C x D)</w:t>
            </w:r>
          </w:p>
        </w:tc>
        <w:tc>
          <w:tcPr>
            <w:tcW w:w="144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(F = E x 0.05)</w:t>
            </w:r>
          </w:p>
        </w:tc>
        <w:tc>
          <w:tcPr>
            <w:tcW w:w="144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b/>
                <w:bCs/>
                <w:color w:val="000000"/>
                <w:sz w:val="20"/>
                <w:szCs w:val="20"/>
              </w:rPr>
            </w:pPr>
            <w:r w:rsidRPr="0082561F">
              <w:rPr>
                <w:b/>
                <w:bCs/>
                <w:color w:val="000000"/>
                <w:sz w:val="20"/>
                <w:szCs w:val="20"/>
              </w:rPr>
              <w:t>(G = E x 0.10)</w:t>
            </w:r>
          </w:p>
        </w:tc>
        <w:tc>
          <w:tcPr>
            <w:tcW w:w="1080" w:type="dxa"/>
            <w:tcBorders>
              <w:top w:val="nil"/>
              <w:left w:val="nil"/>
              <w:bottom w:val="single" w:sz="4" w:space="0" w:color="auto"/>
              <w:right w:val="single" w:sz="4" w:space="0" w:color="auto"/>
            </w:tcBorders>
            <w:shd w:val="clear" w:color="auto" w:fill="auto"/>
            <w:vAlign w:val="bottom"/>
            <w:hideMark/>
          </w:tcPr>
          <w:p w:rsidR="0082561F" w:rsidRPr="0082561F" w:rsidRDefault="0082561F" w:rsidP="0082561F">
            <w:pPr>
              <w:widowControl/>
              <w:autoSpaceDE/>
              <w:autoSpaceDN/>
              <w:adjustRightInd/>
              <w:jc w:val="center"/>
              <w:rPr>
                <w:color w:val="000000"/>
                <w:sz w:val="20"/>
                <w:szCs w:val="20"/>
              </w:rPr>
            </w:pPr>
            <w:r w:rsidRPr="0082561F">
              <w:rPr>
                <w:color w:val="000000"/>
                <w:sz w:val="20"/>
                <w:szCs w:val="20"/>
              </w:rPr>
              <w:t> </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rPr>
                <w:color w:val="000000"/>
                <w:sz w:val="20"/>
                <w:szCs w:val="20"/>
              </w:rPr>
            </w:pPr>
            <w:r w:rsidRPr="0082561F">
              <w:rPr>
                <w:color w:val="000000"/>
                <w:sz w:val="20"/>
                <w:szCs w:val="20"/>
              </w:rPr>
              <w:t>1. Read and understand rule requirements</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rPr>
                <w:color w:val="000000"/>
                <w:sz w:val="20"/>
                <w:szCs w:val="20"/>
              </w:rPr>
            </w:pPr>
            <w:r w:rsidRPr="0082561F">
              <w:rPr>
                <w:color w:val="000000"/>
                <w:sz w:val="20"/>
                <w:szCs w:val="20"/>
              </w:rPr>
              <w:t>2. Required activities</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rPr>
                <w:color w:val="000000"/>
                <w:sz w:val="20"/>
                <w:szCs w:val="20"/>
              </w:rPr>
            </w:pPr>
            <w:r>
              <w:rPr>
                <w:color w:val="000000"/>
                <w:sz w:val="20"/>
                <w:szCs w:val="20"/>
              </w:rPr>
              <w:t> </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ind w:firstLineChars="100" w:firstLine="200"/>
              <w:rPr>
                <w:color w:val="000000"/>
                <w:sz w:val="20"/>
                <w:szCs w:val="20"/>
              </w:rPr>
            </w:pPr>
            <w:r w:rsidRPr="0082561F">
              <w:rPr>
                <w:color w:val="000000"/>
                <w:sz w:val="20"/>
                <w:szCs w:val="20"/>
              </w:rPr>
              <w:t>A. Observe initial performance tests</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8</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82" w:left="443" w:hangingChars="123" w:hanging="246"/>
              <w:rPr>
                <w:color w:val="000000"/>
                <w:sz w:val="20"/>
                <w:szCs w:val="20"/>
              </w:rPr>
            </w:pPr>
            <w:r w:rsidRPr="0082561F">
              <w:rPr>
                <w:color w:val="000000"/>
                <w:sz w:val="20"/>
                <w:szCs w:val="20"/>
              </w:rPr>
              <w:t>B. Review initial performance test reports, engineering calculations, and operating parameters</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4</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82" w:left="443" w:hangingChars="123" w:hanging="246"/>
              <w:rPr>
                <w:color w:val="000000"/>
                <w:sz w:val="20"/>
                <w:szCs w:val="20"/>
              </w:rPr>
            </w:pPr>
            <w:r w:rsidRPr="0082561F">
              <w:rPr>
                <w:color w:val="000000"/>
                <w:sz w:val="20"/>
                <w:szCs w:val="20"/>
              </w:rPr>
              <w:t>C. Enter and update information into agency recordkeeping system</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rPr>
                <w:color w:val="000000"/>
                <w:sz w:val="20"/>
                <w:szCs w:val="20"/>
              </w:rPr>
            </w:pPr>
            <w:r w:rsidRPr="0082561F">
              <w:rPr>
                <w:color w:val="000000"/>
                <w:sz w:val="20"/>
                <w:szCs w:val="20"/>
              </w:rPr>
              <w:t>3. Excess emissions - enforcement activities</w:t>
            </w:r>
            <w:r w:rsidR="009A7B9F">
              <w:rPr>
                <w:color w:val="000000"/>
                <w:sz w:val="20"/>
                <w:szCs w:val="20"/>
              </w:rPr>
              <w:t xml:space="preserve"> </w:t>
            </w:r>
            <w:r w:rsidRPr="0082561F">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rPr>
                <w:color w:val="000000"/>
                <w:sz w:val="20"/>
                <w:szCs w:val="20"/>
              </w:rPr>
            </w:pPr>
            <w:r>
              <w:rPr>
                <w:color w:val="000000"/>
                <w:sz w:val="20"/>
                <w:szCs w:val="20"/>
              </w:rPr>
              <w:t> </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rPr>
                <w:color w:val="000000"/>
                <w:sz w:val="20"/>
                <w:szCs w:val="20"/>
              </w:rPr>
            </w:pPr>
            <w:r w:rsidRPr="0082561F">
              <w:rPr>
                <w:color w:val="000000"/>
                <w:sz w:val="20"/>
                <w:szCs w:val="20"/>
              </w:rPr>
              <w:t>4. Notification requirements</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rPr>
                <w:color w:val="000000"/>
                <w:sz w:val="20"/>
                <w:szCs w:val="20"/>
              </w:rPr>
            </w:pPr>
            <w:r>
              <w:rPr>
                <w:color w:val="000000"/>
                <w:sz w:val="20"/>
                <w:szCs w:val="20"/>
              </w:rPr>
              <w:t> </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73" w:left="445" w:hangingChars="135" w:hanging="270"/>
              <w:rPr>
                <w:color w:val="000000"/>
                <w:sz w:val="20"/>
                <w:szCs w:val="20"/>
              </w:rPr>
            </w:pPr>
            <w:r w:rsidRPr="0082561F">
              <w:rPr>
                <w:color w:val="000000"/>
                <w:sz w:val="20"/>
                <w:szCs w:val="20"/>
              </w:rPr>
              <w:t>A. Review initial notification that existing facilities are subject to the standard</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ind w:firstLineChars="100" w:firstLine="200"/>
              <w:rPr>
                <w:color w:val="000000"/>
                <w:sz w:val="20"/>
                <w:szCs w:val="20"/>
              </w:rPr>
            </w:pPr>
            <w:r w:rsidRPr="0082561F">
              <w:rPr>
                <w:color w:val="000000"/>
                <w:sz w:val="20"/>
                <w:szCs w:val="20"/>
              </w:rPr>
              <w:t xml:space="preserve">B. Notifications for new area sources </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rPr>
                <w:color w:val="000000"/>
                <w:sz w:val="20"/>
                <w:szCs w:val="20"/>
              </w:rPr>
            </w:pPr>
            <w:r>
              <w:rPr>
                <w:color w:val="000000"/>
                <w:sz w:val="20"/>
                <w:szCs w:val="20"/>
              </w:rPr>
              <w:t> </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165" w:left="712" w:hangingChars="158" w:hanging="316"/>
              <w:rPr>
                <w:color w:val="000000"/>
                <w:sz w:val="20"/>
                <w:szCs w:val="20"/>
              </w:rPr>
            </w:pPr>
            <w:r w:rsidRPr="0082561F">
              <w:rPr>
                <w:color w:val="000000"/>
                <w:sz w:val="20"/>
                <w:szCs w:val="20"/>
              </w:rPr>
              <w:t>(1) Review notification of intent to construct/reconstruct</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4</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165" w:left="712" w:hangingChars="158" w:hanging="316"/>
              <w:rPr>
                <w:color w:val="000000"/>
                <w:sz w:val="20"/>
                <w:szCs w:val="20"/>
              </w:rPr>
            </w:pPr>
            <w:r w:rsidRPr="0082561F">
              <w:rPr>
                <w:color w:val="000000"/>
                <w:sz w:val="20"/>
                <w:szCs w:val="20"/>
              </w:rPr>
              <w:t>(2) Review notification of commencement of construction/reconstruction</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165" w:left="712" w:hangingChars="158" w:hanging="316"/>
              <w:rPr>
                <w:color w:val="000000"/>
                <w:sz w:val="20"/>
                <w:szCs w:val="20"/>
              </w:rPr>
            </w:pPr>
            <w:r w:rsidRPr="0082561F">
              <w:rPr>
                <w:color w:val="000000"/>
                <w:sz w:val="20"/>
                <w:szCs w:val="20"/>
              </w:rPr>
              <w:t>(3) Review notification of startup</w:t>
            </w:r>
            <w:r w:rsidR="007C4EC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ind w:firstLineChars="100" w:firstLine="200"/>
              <w:rPr>
                <w:color w:val="000000"/>
                <w:sz w:val="20"/>
                <w:szCs w:val="20"/>
              </w:rPr>
            </w:pPr>
            <w:r w:rsidRPr="0082561F">
              <w:rPr>
                <w:color w:val="000000"/>
                <w:sz w:val="20"/>
                <w:szCs w:val="20"/>
              </w:rPr>
              <w:t>C. Review request for compliance extension</w:t>
            </w:r>
            <w:r w:rsidR="009A7B9F">
              <w:rPr>
                <w:color w:val="000000"/>
                <w:sz w:val="20"/>
                <w:szCs w:val="20"/>
              </w:rPr>
              <w:t xml:space="preserve"> </w:t>
            </w:r>
            <w:r w:rsidRPr="0082561F">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2</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5E7518">
            <w:pPr>
              <w:widowControl/>
              <w:autoSpaceDE/>
              <w:autoSpaceDN/>
              <w:adjustRightInd/>
              <w:ind w:leftChars="83" w:left="445" w:hangingChars="123" w:hanging="246"/>
              <w:rPr>
                <w:color w:val="000000"/>
                <w:sz w:val="20"/>
                <w:szCs w:val="20"/>
              </w:rPr>
            </w:pPr>
            <w:r w:rsidRPr="0082561F">
              <w:rPr>
                <w:color w:val="000000"/>
                <w:sz w:val="20"/>
                <w:szCs w:val="20"/>
              </w:rPr>
              <w:t>D. Review notification of initial performance tests</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CC686E"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82561F">
            <w:pPr>
              <w:widowControl/>
              <w:autoSpaceDE/>
              <w:autoSpaceDN/>
              <w:adjustRightInd/>
              <w:ind w:firstLineChars="100" w:firstLine="200"/>
              <w:rPr>
                <w:color w:val="000000"/>
                <w:sz w:val="20"/>
                <w:szCs w:val="20"/>
              </w:rPr>
            </w:pPr>
            <w:r w:rsidRPr="0082561F">
              <w:rPr>
                <w:color w:val="000000"/>
                <w:sz w:val="20"/>
                <w:szCs w:val="20"/>
              </w:rPr>
              <w:t>E. Review notification of compliance status</w:t>
            </w:r>
            <w:r w:rsidR="009A7B9F">
              <w:rPr>
                <w:color w:val="000000"/>
                <w:sz w:val="20"/>
                <w:szCs w:val="20"/>
              </w:rPr>
              <w:t xml:space="preserve"> </w:t>
            </w:r>
            <w:r w:rsidRPr="0082561F">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4</w:t>
            </w: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CC686E" w:rsidRPr="00CC686E" w:rsidRDefault="00CC686E">
            <w:pPr>
              <w:jc w:val="center"/>
              <w:rPr>
                <w:sz w:val="20"/>
                <w:szCs w:val="20"/>
              </w:rPr>
            </w:pPr>
            <w:r w:rsidRPr="00CC686E">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Default="00CC686E">
            <w:pPr>
              <w:jc w:val="right"/>
              <w:rPr>
                <w:color w:val="000000"/>
                <w:sz w:val="20"/>
                <w:szCs w:val="20"/>
              </w:rPr>
            </w:pPr>
            <w:r>
              <w:rPr>
                <w:color w:val="000000"/>
                <w:sz w:val="20"/>
                <w:szCs w:val="20"/>
              </w:rPr>
              <w:t>$0</w:t>
            </w:r>
          </w:p>
        </w:tc>
      </w:tr>
      <w:tr w:rsidR="0082561F" w:rsidRPr="0082561F" w:rsidTr="005E7518">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82561F" w:rsidRPr="0082561F" w:rsidRDefault="0082561F" w:rsidP="005E7518">
            <w:pPr>
              <w:widowControl/>
              <w:autoSpaceDE/>
              <w:autoSpaceDN/>
              <w:adjustRightInd/>
              <w:rPr>
                <w:color w:val="000000"/>
                <w:sz w:val="20"/>
                <w:szCs w:val="20"/>
              </w:rPr>
            </w:pPr>
            <w:r w:rsidRPr="0082561F">
              <w:rPr>
                <w:color w:val="000000"/>
                <w:sz w:val="20"/>
                <w:szCs w:val="20"/>
              </w:rPr>
              <w:t xml:space="preserve">5. </w:t>
            </w:r>
            <w:r w:rsidR="005E7518">
              <w:rPr>
                <w:color w:val="000000"/>
                <w:sz w:val="20"/>
                <w:szCs w:val="20"/>
              </w:rPr>
              <w:t>R</w:t>
            </w:r>
            <w:r w:rsidRPr="0082561F">
              <w:rPr>
                <w:color w:val="000000"/>
                <w:sz w:val="20"/>
                <w:szCs w:val="20"/>
              </w:rPr>
              <w:t>eview semiannual compliance reports</w:t>
            </w:r>
            <w:r w:rsidR="009A7B9F">
              <w:rPr>
                <w:color w:val="000000"/>
                <w:sz w:val="20"/>
                <w:szCs w:val="20"/>
              </w:rPr>
              <w:t xml:space="preserve"> </w:t>
            </w:r>
            <w:r w:rsidRPr="0082561F">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19</w:t>
            </w:r>
          </w:p>
        </w:tc>
        <w:tc>
          <w:tcPr>
            <w:tcW w:w="126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152</w:t>
            </w:r>
          </w:p>
        </w:tc>
        <w:tc>
          <w:tcPr>
            <w:tcW w:w="144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7.6</w:t>
            </w:r>
          </w:p>
        </w:tc>
        <w:tc>
          <w:tcPr>
            <w:tcW w:w="1440" w:type="dxa"/>
            <w:tcBorders>
              <w:top w:val="nil"/>
              <w:left w:val="nil"/>
              <w:bottom w:val="single" w:sz="4" w:space="0" w:color="auto"/>
              <w:right w:val="single" w:sz="4" w:space="0" w:color="auto"/>
            </w:tcBorders>
            <w:shd w:val="clear" w:color="auto" w:fill="auto"/>
            <w:noWrap/>
            <w:vAlign w:val="bottom"/>
            <w:hideMark/>
          </w:tcPr>
          <w:p w:rsidR="0082561F" w:rsidRPr="0082561F" w:rsidRDefault="0082561F" w:rsidP="00CC686E">
            <w:pPr>
              <w:widowControl/>
              <w:autoSpaceDE/>
              <w:autoSpaceDN/>
              <w:adjustRightInd/>
              <w:jc w:val="center"/>
              <w:rPr>
                <w:color w:val="000000"/>
                <w:sz w:val="20"/>
                <w:szCs w:val="20"/>
              </w:rPr>
            </w:pPr>
            <w:r w:rsidRPr="0082561F">
              <w:rPr>
                <w:color w:val="000000"/>
                <w:sz w:val="20"/>
                <w:szCs w:val="20"/>
              </w:rPr>
              <w:t>15.2</w:t>
            </w:r>
          </w:p>
        </w:tc>
        <w:tc>
          <w:tcPr>
            <w:tcW w:w="1080" w:type="dxa"/>
            <w:tcBorders>
              <w:top w:val="nil"/>
              <w:left w:val="nil"/>
              <w:bottom w:val="single" w:sz="4" w:space="0" w:color="auto"/>
              <w:right w:val="single" w:sz="4" w:space="0" w:color="auto"/>
            </w:tcBorders>
            <w:shd w:val="clear" w:color="auto" w:fill="auto"/>
            <w:noWrap/>
            <w:vAlign w:val="bottom"/>
            <w:hideMark/>
          </w:tcPr>
          <w:p w:rsidR="0082561F" w:rsidRPr="0082561F" w:rsidRDefault="00CC686E" w:rsidP="0082561F">
            <w:pPr>
              <w:widowControl/>
              <w:autoSpaceDE/>
              <w:autoSpaceDN/>
              <w:adjustRightInd/>
              <w:jc w:val="right"/>
              <w:rPr>
                <w:color w:val="000000"/>
                <w:sz w:val="20"/>
                <w:szCs w:val="20"/>
              </w:rPr>
            </w:pPr>
            <w:r>
              <w:rPr>
                <w:color w:val="000000"/>
                <w:sz w:val="20"/>
                <w:szCs w:val="20"/>
              </w:rPr>
              <w:t>$</w:t>
            </w:r>
            <w:r w:rsidR="0082561F" w:rsidRPr="0082561F">
              <w:rPr>
                <w:color w:val="000000"/>
                <w:sz w:val="20"/>
                <w:szCs w:val="20"/>
              </w:rPr>
              <w:t>7,877.32</w:t>
            </w:r>
          </w:p>
        </w:tc>
      </w:tr>
      <w:tr w:rsidR="00CC686E" w:rsidRPr="0082561F" w:rsidTr="00CC686E">
        <w:trPr>
          <w:trHeight w:val="288"/>
          <w:jc w:val="center"/>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CC686E" w:rsidRPr="0082561F" w:rsidRDefault="00CC686E" w:rsidP="00CC686E">
            <w:pPr>
              <w:widowControl/>
              <w:autoSpaceDE/>
              <w:autoSpaceDN/>
              <w:adjustRightInd/>
              <w:rPr>
                <w:color w:val="000000"/>
                <w:sz w:val="20"/>
                <w:szCs w:val="20"/>
              </w:rPr>
            </w:pPr>
            <w:r w:rsidRPr="0082561F">
              <w:rPr>
                <w:b/>
                <w:bCs/>
                <w:color w:val="000000"/>
                <w:sz w:val="20"/>
                <w:szCs w:val="20"/>
              </w:rPr>
              <w:t>TOTAL ANNUAL BURDEN</w:t>
            </w:r>
            <w:r w:rsidR="007C4ECF">
              <w:rPr>
                <w:b/>
                <w:bCs/>
                <w:color w:val="000000"/>
                <w:sz w:val="20"/>
                <w:szCs w:val="20"/>
              </w:rPr>
              <w:t xml:space="preserve"> (rounded)</w:t>
            </w:r>
          </w:p>
        </w:tc>
        <w:tc>
          <w:tcPr>
            <w:tcW w:w="1170" w:type="dxa"/>
            <w:tcBorders>
              <w:top w:val="nil"/>
              <w:left w:val="nil"/>
              <w:bottom w:val="single" w:sz="4" w:space="0" w:color="auto"/>
              <w:right w:val="single" w:sz="4" w:space="0" w:color="auto"/>
            </w:tcBorders>
            <w:shd w:val="clear" w:color="auto" w:fill="auto"/>
            <w:noWrap/>
            <w:vAlign w:val="bottom"/>
            <w:hideMark/>
          </w:tcPr>
          <w:p w:rsidR="00CC686E" w:rsidRPr="0082561F" w:rsidRDefault="00CC686E" w:rsidP="00CC686E">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82561F" w:rsidRDefault="00CC686E" w:rsidP="00CC686E">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CC686E" w:rsidRPr="0082561F" w:rsidRDefault="00CC686E" w:rsidP="00CC686E">
            <w:pPr>
              <w:widowControl/>
              <w:autoSpaceDE/>
              <w:autoSpaceDN/>
              <w:adjustRightInd/>
              <w:jc w:val="center"/>
              <w:rPr>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rsidR="00CC686E" w:rsidRPr="0082561F" w:rsidRDefault="00CC686E" w:rsidP="00CC686E">
            <w:pPr>
              <w:widowControl/>
              <w:autoSpaceDE/>
              <w:autoSpaceDN/>
              <w:adjustRightInd/>
              <w:jc w:val="center"/>
              <w:rPr>
                <w:color w:val="000000"/>
                <w:sz w:val="20"/>
                <w:szCs w:val="20"/>
              </w:rPr>
            </w:pPr>
          </w:p>
        </w:tc>
        <w:tc>
          <w:tcPr>
            <w:tcW w:w="4140" w:type="dxa"/>
            <w:gridSpan w:val="3"/>
            <w:tcBorders>
              <w:top w:val="nil"/>
              <w:left w:val="nil"/>
              <w:bottom w:val="single" w:sz="4" w:space="0" w:color="auto"/>
              <w:right w:val="single" w:sz="4" w:space="0" w:color="auto"/>
            </w:tcBorders>
            <w:shd w:val="clear" w:color="auto" w:fill="auto"/>
            <w:noWrap/>
            <w:vAlign w:val="bottom"/>
            <w:hideMark/>
          </w:tcPr>
          <w:p w:rsidR="00CC686E" w:rsidRPr="00CC686E" w:rsidRDefault="00CC686E" w:rsidP="00CC686E">
            <w:pPr>
              <w:widowControl/>
              <w:autoSpaceDE/>
              <w:autoSpaceDN/>
              <w:adjustRightInd/>
              <w:jc w:val="center"/>
              <w:rPr>
                <w:b/>
                <w:color w:val="000000"/>
                <w:sz w:val="20"/>
                <w:szCs w:val="20"/>
              </w:rPr>
            </w:pPr>
            <w:r w:rsidRPr="00CC686E">
              <w:rPr>
                <w:b/>
                <w:color w:val="000000"/>
                <w:sz w:val="20"/>
                <w:szCs w:val="20"/>
              </w:rPr>
              <w:t>175</w:t>
            </w:r>
          </w:p>
        </w:tc>
        <w:tc>
          <w:tcPr>
            <w:tcW w:w="1080" w:type="dxa"/>
            <w:tcBorders>
              <w:top w:val="nil"/>
              <w:left w:val="nil"/>
              <w:bottom w:val="single" w:sz="4" w:space="0" w:color="auto"/>
              <w:right w:val="single" w:sz="4" w:space="0" w:color="auto"/>
            </w:tcBorders>
            <w:shd w:val="clear" w:color="auto" w:fill="auto"/>
            <w:noWrap/>
            <w:vAlign w:val="bottom"/>
            <w:hideMark/>
          </w:tcPr>
          <w:p w:rsidR="00CC686E" w:rsidRPr="008B4D1F" w:rsidRDefault="00CC686E" w:rsidP="00CC686E">
            <w:pPr>
              <w:widowControl/>
              <w:autoSpaceDE/>
              <w:autoSpaceDN/>
              <w:adjustRightInd/>
              <w:jc w:val="right"/>
              <w:rPr>
                <w:b/>
                <w:color w:val="000000"/>
                <w:sz w:val="20"/>
                <w:szCs w:val="20"/>
              </w:rPr>
            </w:pPr>
            <w:r w:rsidRPr="008B4D1F">
              <w:rPr>
                <w:b/>
                <w:color w:val="000000"/>
                <w:sz w:val="20"/>
                <w:szCs w:val="20"/>
              </w:rPr>
              <w:t>$7,877</w:t>
            </w:r>
          </w:p>
        </w:tc>
      </w:tr>
    </w:tbl>
    <w:p w:rsidR="005E7518" w:rsidRPr="007C4ECF" w:rsidRDefault="007C4ECF" w:rsidP="005E7518">
      <w:pPr>
        <w:rPr>
          <w:b/>
          <w:sz w:val="20"/>
          <w:szCs w:val="20"/>
        </w:rPr>
      </w:pPr>
      <w:r w:rsidRPr="007C4ECF">
        <w:rPr>
          <w:b/>
          <w:sz w:val="20"/>
          <w:szCs w:val="20"/>
        </w:rPr>
        <w:lastRenderedPageBreak/>
        <w:t>Assumptions:</w:t>
      </w:r>
    </w:p>
    <w:p w:rsidR="005E7518" w:rsidRPr="005E7518" w:rsidRDefault="005E7518" w:rsidP="005E7518">
      <w:pPr>
        <w:ind w:left="270" w:hanging="270"/>
        <w:rPr>
          <w:sz w:val="20"/>
          <w:szCs w:val="20"/>
        </w:rPr>
      </w:pPr>
      <w:proofErr w:type="gramStart"/>
      <w:r w:rsidRPr="007C4ECF">
        <w:rPr>
          <w:sz w:val="20"/>
          <w:szCs w:val="20"/>
          <w:vertAlign w:val="superscript"/>
        </w:rPr>
        <w:t>a.</w:t>
      </w:r>
      <w:r w:rsidRPr="005E7518">
        <w:rPr>
          <w:sz w:val="20"/>
          <w:szCs w:val="20"/>
        </w:rPr>
        <w:t xml:space="preserve">  We</w:t>
      </w:r>
      <w:proofErr w:type="gramEnd"/>
      <w:r w:rsidRPr="005E7518">
        <w:rPr>
          <w:sz w:val="20"/>
          <w:szCs w:val="20"/>
        </w:rPr>
        <w:t xml:space="preserve"> have assumed that there are 75 existing sources that are subject to the rule, and that no new major sources per year will become subject over the 3 year-period of this ICR.</w:t>
      </w:r>
    </w:p>
    <w:p w:rsidR="005E7518" w:rsidRPr="005E7518" w:rsidRDefault="005E7518" w:rsidP="005E7518">
      <w:pPr>
        <w:ind w:left="270" w:hanging="270"/>
        <w:rPr>
          <w:sz w:val="20"/>
          <w:szCs w:val="20"/>
        </w:rPr>
      </w:pPr>
      <w:proofErr w:type="gramStart"/>
      <w:r w:rsidRPr="007C4ECF">
        <w:rPr>
          <w:sz w:val="20"/>
          <w:szCs w:val="20"/>
          <w:vertAlign w:val="superscript"/>
        </w:rPr>
        <w:t>b.</w:t>
      </w:r>
      <w:r w:rsidRPr="005E7518">
        <w:rPr>
          <w:sz w:val="20"/>
          <w:szCs w:val="20"/>
        </w:rPr>
        <w:t xml:space="preserve">  This</w:t>
      </w:r>
      <w:proofErr w:type="gramEnd"/>
      <w:r w:rsidRPr="005E7518">
        <w:rPr>
          <w:sz w:val="20"/>
          <w:szCs w:val="20"/>
        </w:rPr>
        <w:t xml:space="preserve"> cost is based on the average hourly labor rate as follows: Technical $46.21 (GS-12, Step 1, $28.88 + 60%); Managerial $62.27 (GS-13, Step 5, $38.92 + 60%); and Clerical $25.01 (GS-6, Step 3, $15.63 + 60%).  This ICR assumes that Managerial hours are 5 percent of Technical hours, and Clerical hours are 10 percent of Technical hours.  These rates are from the OPM, 2012 General Schedule, which excludes </w:t>
      </w:r>
      <w:proofErr w:type="gramStart"/>
      <w:r w:rsidRPr="005E7518">
        <w:rPr>
          <w:sz w:val="20"/>
          <w:szCs w:val="20"/>
        </w:rPr>
        <w:t>locality</w:t>
      </w:r>
      <w:proofErr w:type="gramEnd"/>
      <w:r w:rsidRPr="005E7518">
        <w:rPr>
          <w:sz w:val="20"/>
          <w:szCs w:val="20"/>
        </w:rPr>
        <w:t xml:space="preserve"> rates of pay.  The rates have been increased by 60 percent to account for the benefit packages available to government employees.</w:t>
      </w:r>
    </w:p>
    <w:p w:rsidR="005E7518" w:rsidRPr="005E7518" w:rsidRDefault="005E7518" w:rsidP="005E7518">
      <w:pPr>
        <w:ind w:left="270" w:hanging="270"/>
        <w:rPr>
          <w:sz w:val="20"/>
          <w:szCs w:val="20"/>
        </w:rPr>
      </w:pPr>
      <w:proofErr w:type="gramStart"/>
      <w:r w:rsidRPr="007C4ECF">
        <w:rPr>
          <w:sz w:val="20"/>
          <w:szCs w:val="20"/>
          <w:vertAlign w:val="superscript"/>
        </w:rPr>
        <w:t>c.</w:t>
      </w:r>
      <w:r w:rsidRPr="005E7518">
        <w:rPr>
          <w:sz w:val="20"/>
          <w:szCs w:val="20"/>
        </w:rPr>
        <w:t xml:space="preserve">  This</w:t>
      </w:r>
      <w:proofErr w:type="gramEnd"/>
      <w:r w:rsidRPr="005E7518">
        <w:rPr>
          <w:sz w:val="20"/>
          <w:szCs w:val="20"/>
        </w:rPr>
        <w:t xml:space="preserve"> burden item is a one-time activity that applies to new facilities only.  No new facilities are expected over the three-year period of this ICR.</w:t>
      </w:r>
    </w:p>
    <w:p w:rsidR="005E7518" w:rsidRPr="005E7518" w:rsidRDefault="005E7518" w:rsidP="005E7518">
      <w:pPr>
        <w:ind w:left="270" w:hanging="270"/>
        <w:rPr>
          <w:sz w:val="20"/>
          <w:szCs w:val="20"/>
        </w:rPr>
      </w:pPr>
      <w:proofErr w:type="gramStart"/>
      <w:r w:rsidRPr="007C4ECF">
        <w:rPr>
          <w:sz w:val="20"/>
          <w:szCs w:val="20"/>
          <w:vertAlign w:val="superscript"/>
        </w:rPr>
        <w:t>d.</w:t>
      </w:r>
      <w:r w:rsidRPr="005E7518">
        <w:rPr>
          <w:sz w:val="20"/>
          <w:szCs w:val="20"/>
        </w:rPr>
        <w:t xml:space="preserve">  We</w:t>
      </w:r>
      <w:proofErr w:type="gramEnd"/>
      <w:r w:rsidRPr="005E7518">
        <w:rPr>
          <w:sz w:val="20"/>
          <w:szCs w:val="20"/>
        </w:rPr>
        <w:t xml:space="preserve"> have assumed that no enforc</w:t>
      </w:r>
      <w:r w:rsidR="006418D3">
        <w:rPr>
          <w:sz w:val="20"/>
          <w:szCs w:val="20"/>
        </w:rPr>
        <w:t>e</w:t>
      </w:r>
      <w:r w:rsidRPr="005E7518">
        <w:rPr>
          <w:sz w:val="20"/>
          <w:szCs w:val="20"/>
        </w:rPr>
        <w:t>ment activities will be conducted over the three-year period of this ICR.</w:t>
      </w:r>
    </w:p>
    <w:p w:rsidR="005E7518" w:rsidRPr="005E7518" w:rsidRDefault="005E7518" w:rsidP="005E7518">
      <w:pPr>
        <w:ind w:left="270" w:hanging="270"/>
        <w:rPr>
          <w:sz w:val="20"/>
          <w:szCs w:val="20"/>
        </w:rPr>
      </w:pPr>
      <w:proofErr w:type="gramStart"/>
      <w:r w:rsidRPr="007C4ECF">
        <w:rPr>
          <w:sz w:val="20"/>
          <w:szCs w:val="20"/>
          <w:vertAlign w:val="superscript"/>
        </w:rPr>
        <w:t>e</w:t>
      </w:r>
      <w:r w:rsidRPr="005E7518">
        <w:rPr>
          <w:sz w:val="20"/>
          <w:szCs w:val="20"/>
        </w:rPr>
        <w:t>.  We</w:t>
      </w:r>
      <w:proofErr w:type="gramEnd"/>
      <w:r w:rsidRPr="005E7518">
        <w:rPr>
          <w:sz w:val="20"/>
          <w:szCs w:val="20"/>
        </w:rPr>
        <w:t xml:space="preserve"> have assumed that compliance extensions will not be necessary during the three-year period of this ICR.</w:t>
      </w:r>
    </w:p>
    <w:p w:rsidR="005E7518" w:rsidRPr="005E7518" w:rsidRDefault="005E7518" w:rsidP="005E7518">
      <w:pPr>
        <w:ind w:left="270" w:hanging="270"/>
        <w:rPr>
          <w:sz w:val="20"/>
          <w:szCs w:val="20"/>
        </w:rPr>
      </w:pPr>
      <w:proofErr w:type="gramStart"/>
      <w:r w:rsidRPr="007C4ECF">
        <w:rPr>
          <w:sz w:val="20"/>
          <w:szCs w:val="20"/>
          <w:vertAlign w:val="superscript"/>
        </w:rPr>
        <w:t>f.</w:t>
      </w:r>
      <w:r w:rsidRPr="005E7518">
        <w:rPr>
          <w:sz w:val="20"/>
          <w:szCs w:val="20"/>
        </w:rPr>
        <w:t xml:space="preserve">  We</w:t>
      </w:r>
      <w:proofErr w:type="gramEnd"/>
      <w:r w:rsidRPr="005E7518">
        <w:rPr>
          <w:sz w:val="20"/>
          <w:szCs w:val="20"/>
        </w:rPr>
        <w:t xml:space="preserve"> have assumed that EPA technical personnel will review 25% of the semiannual compliance reports.</w:t>
      </w:r>
    </w:p>
    <w:p w:rsidR="00144F35" w:rsidRPr="005E7518" w:rsidRDefault="00144F35" w:rsidP="005E7518">
      <w:pPr>
        <w:rPr>
          <w:sz w:val="20"/>
          <w:szCs w:val="20"/>
        </w:rPr>
      </w:pPr>
    </w:p>
    <w:sectPr w:rsidR="00144F35" w:rsidRPr="005E7518" w:rsidSect="00144F35">
      <w:headerReference w:type="default" r:id="rId9"/>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76" w:rsidRDefault="00383376">
      <w:r>
        <w:separator/>
      </w:r>
    </w:p>
  </w:endnote>
  <w:endnote w:type="continuationSeparator" w:id="0">
    <w:p w:rsidR="00383376" w:rsidRDefault="00383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76" w:rsidRDefault="00383376">
      <w:r>
        <w:separator/>
      </w:r>
    </w:p>
  </w:footnote>
  <w:footnote w:type="continuationSeparator" w:id="0">
    <w:p w:rsidR="00383376" w:rsidRDefault="00383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76" w:rsidRDefault="00383376">
    <w:pPr>
      <w:framePr w:w="9361" w:wrap="notBeside" w:vAnchor="text" w:hAnchor="text" w:x="1" w:y="1"/>
      <w:jc w:val="center"/>
    </w:pPr>
    <w:fldSimple w:instr="PAGE ">
      <w:r w:rsidR="008C4A81">
        <w:rPr>
          <w:noProof/>
        </w:rPr>
        <w:t>14</w:t>
      </w:r>
    </w:fldSimple>
  </w:p>
  <w:p w:rsidR="00383376" w:rsidRDefault="00383376"/>
  <w:p w:rsidR="00383376" w:rsidRDefault="00383376">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76" w:rsidRDefault="00383376" w:rsidP="00AB1299">
    <w:pPr>
      <w:framePr w:w="12960" w:wrap="notBeside" w:vAnchor="text" w:hAnchor="text" w:x="1" w:y="1"/>
      <w:jc w:val="center"/>
    </w:pPr>
    <w:fldSimple w:instr="PAGE ">
      <w:r w:rsidR="008C4A81">
        <w:rPr>
          <w:noProof/>
        </w:rPr>
        <w:t>15</w:t>
      </w:r>
    </w:fldSimple>
  </w:p>
  <w:p w:rsidR="00383376" w:rsidRDefault="00383376"/>
  <w:p w:rsidR="00383376" w:rsidRDefault="0038337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25D9E"/>
    <w:rsid w:val="0003234C"/>
    <w:rsid w:val="0003619B"/>
    <w:rsid w:val="0004492F"/>
    <w:rsid w:val="00055BDF"/>
    <w:rsid w:val="00055DC5"/>
    <w:rsid w:val="00067073"/>
    <w:rsid w:val="0007609C"/>
    <w:rsid w:val="000A1FBB"/>
    <w:rsid w:val="000A687C"/>
    <w:rsid w:val="000B6822"/>
    <w:rsid w:val="000B7E0A"/>
    <w:rsid w:val="000D2272"/>
    <w:rsid w:val="000D4550"/>
    <w:rsid w:val="000E2FD1"/>
    <w:rsid w:val="000F772C"/>
    <w:rsid w:val="00101B40"/>
    <w:rsid w:val="00101CEF"/>
    <w:rsid w:val="00102B52"/>
    <w:rsid w:val="0010697C"/>
    <w:rsid w:val="00120E9B"/>
    <w:rsid w:val="00123889"/>
    <w:rsid w:val="00126A7C"/>
    <w:rsid w:val="0014079D"/>
    <w:rsid w:val="00144978"/>
    <w:rsid w:val="00144A82"/>
    <w:rsid w:val="00144F35"/>
    <w:rsid w:val="0014561A"/>
    <w:rsid w:val="00154089"/>
    <w:rsid w:val="0015433E"/>
    <w:rsid w:val="00156241"/>
    <w:rsid w:val="00186DA3"/>
    <w:rsid w:val="00195753"/>
    <w:rsid w:val="001A0B41"/>
    <w:rsid w:val="001B0B9A"/>
    <w:rsid w:val="001B35F2"/>
    <w:rsid w:val="001C5991"/>
    <w:rsid w:val="001D762C"/>
    <w:rsid w:val="001E512C"/>
    <w:rsid w:val="001F19FF"/>
    <w:rsid w:val="002013E1"/>
    <w:rsid w:val="002041C5"/>
    <w:rsid w:val="002063FE"/>
    <w:rsid w:val="00206932"/>
    <w:rsid w:val="002151DA"/>
    <w:rsid w:val="0021722B"/>
    <w:rsid w:val="00221B7C"/>
    <w:rsid w:val="0022738C"/>
    <w:rsid w:val="00234A28"/>
    <w:rsid w:val="0023622E"/>
    <w:rsid w:val="00236DB3"/>
    <w:rsid w:val="002431D9"/>
    <w:rsid w:val="002638A0"/>
    <w:rsid w:val="00270AE6"/>
    <w:rsid w:val="002712EB"/>
    <w:rsid w:val="0027222A"/>
    <w:rsid w:val="002743D2"/>
    <w:rsid w:val="00277F42"/>
    <w:rsid w:val="00281CAE"/>
    <w:rsid w:val="0029006A"/>
    <w:rsid w:val="002904E7"/>
    <w:rsid w:val="0029115A"/>
    <w:rsid w:val="002976E9"/>
    <w:rsid w:val="002A4FA7"/>
    <w:rsid w:val="002B0189"/>
    <w:rsid w:val="002B29A5"/>
    <w:rsid w:val="002B29A7"/>
    <w:rsid w:val="002B517F"/>
    <w:rsid w:val="002B6993"/>
    <w:rsid w:val="002C1F95"/>
    <w:rsid w:val="002C416A"/>
    <w:rsid w:val="002C77DF"/>
    <w:rsid w:val="002D7683"/>
    <w:rsid w:val="002F674B"/>
    <w:rsid w:val="002F6DB3"/>
    <w:rsid w:val="0031310D"/>
    <w:rsid w:val="003139FC"/>
    <w:rsid w:val="00341540"/>
    <w:rsid w:val="003511C6"/>
    <w:rsid w:val="00354C15"/>
    <w:rsid w:val="00371295"/>
    <w:rsid w:val="0037366B"/>
    <w:rsid w:val="00383376"/>
    <w:rsid w:val="00394C61"/>
    <w:rsid w:val="003B08EA"/>
    <w:rsid w:val="003C4B46"/>
    <w:rsid w:val="003C5023"/>
    <w:rsid w:val="003E30B5"/>
    <w:rsid w:val="003E4C18"/>
    <w:rsid w:val="003F2B2B"/>
    <w:rsid w:val="0040391F"/>
    <w:rsid w:val="0044133C"/>
    <w:rsid w:val="00451494"/>
    <w:rsid w:val="00455557"/>
    <w:rsid w:val="00481FF3"/>
    <w:rsid w:val="00484A45"/>
    <w:rsid w:val="004903D1"/>
    <w:rsid w:val="004A4B25"/>
    <w:rsid w:val="004C5E95"/>
    <w:rsid w:val="004C701D"/>
    <w:rsid w:val="004C7E46"/>
    <w:rsid w:val="004E2933"/>
    <w:rsid w:val="004E51BE"/>
    <w:rsid w:val="004F1469"/>
    <w:rsid w:val="004F1D31"/>
    <w:rsid w:val="004F6FCD"/>
    <w:rsid w:val="00507EC5"/>
    <w:rsid w:val="00516952"/>
    <w:rsid w:val="00521947"/>
    <w:rsid w:val="005253D4"/>
    <w:rsid w:val="005277FC"/>
    <w:rsid w:val="00551815"/>
    <w:rsid w:val="00560AD2"/>
    <w:rsid w:val="00565A51"/>
    <w:rsid w:val="00571260"/>
    <w:rsid w:val="005738E6"/>
    <w:rsid w:val="00583626"/>
    <w:rsid w:val="00594772"/>
    <w:rsid w:val="005A1986"/>
    <w:rsid w:val="005A291F"/>
    <w:rsid w:val="005A7758"/>
    <w:rsid w:val="005B5DE8"/>
    <w:rsid w:val="005C3665"/>
    <w:rsid w:val="005C42AC"/>
    <w:rsid w:val="005C4C60"/>
    <w:rsid w:val="005D385C"/>
    <w:rsid w:val="005E194B"/>
    <w:rsid w:val="005E7518"/>
    <w:rsid w:val="005F090A"/>
    <w:rsid w:val="005F42F8"/>
    <w:rsid w:val="00601205"/>
    <w:rsid w:val="0060358C"/>
    <w:rsid w:val="00606DEF"/>
    <w:rsid w:val="00613EDB"/>
    <w:rsid w:val="00631517"/>
    <w:rsid w:val="00635DBD"/>
    <w:rsid w:val="006418D3"/>
    <w:rsid w:val="006741F7"/>
    <w:rsid w:val="00694B55"/>
    <w:rsid w:val="006A5FA6"/>
    <w:rsid w:val="006C3A35"/>
    <w:rsid w:val="006D1B12"/>
    <w:rsid w:val="006D27FD"/>
    <w:rsid w:val="006D2A8A"/>
    <w:rsid w:val="006D388E"/>
    <w:rsid w:val="006E4A6E"/>
    <w:rsid w:val="006E642B"/>
    <w:rsid w:val="0070214A"/>
    <w:rsid w:val="00710713"/>
    <w:rsid w:val="007159A4"/>
    <w:rsid w:val="007409A2"/>
    <w:rsid w:val="00740C67"/>
    <w:rsid w:val="007410B5"/>
    <w:rsid w:val="00763160"/>
    <w:rsid w:val="0076506C"/>
    <w:rsid w:val="00780612"/>
    <w:rsid w:val="00786A20"/>
    <w:rsid w:val="007A0634"/>
    <w:rsid w:val="007A16F4"/>
    <w:rsid w:val="007A458D"/>
    <w:rsid w:val="007C0FAA"/>
    <w:rsid w:val="007C3149"/>
    <w:rsid w:val="007C4ECF"/>
    <w:rsid w:val="007F07FB"/>
    <w:rsid w:val="00810507"/>
    <w:rsid w:val="00813E69"/>
    <w:rsid w:val="00815EAE"/>
    <w:rsid w:val="00817E8B"/>
    <w:rsid w:val="00821F5D"/>
    <w:rsid w:val="0082561F"/>
    <w:rsid w:val="008338D4"/>
    <w:rsid w:val="0084255D"/>
    <w:rsid w:val="0084771C"/>
    <w:rsid w:val="00850ACF"/>
    <w:rsid w:val="00851FE4"/>
    <w:rsid w:val="00852038"/>
    <w:rsid w:val="00854B85"/>
    <w:rsid w:val="00861489"/>
    <w:rsid w:val="008645D1"/>
    <w:rsid w:val="00867AC5"/>
    <w:rsid w:val="0088639E"/>
    <w:rsid w:val="00896C5E"/>
    <w:rsid w:val="008A2C15"/>
    <w:rsid w:val="008A46EB"/>
    <w:rsid w:val="008B407C"/>
    <w:rsid w:val="008B4D1F"/>
    <w:rsid w:val="008C4A81"/>
    <w:rsid w:val="008D09A1"/>
    <w:rsid w:val="008E5B15"/>
    <w:rsid w:val="008E65E6"/>
    <w:rsid w:val="008F285B"/>
    <w:rsid w:val="008F4564"/>
    <w:rsid w:val="009018EC"/>
    <w:rsid w:val="00906EDB"/>
    <w:rsid w:val="00912E00"/>
    <w:rsid w:val="0092116D"/>
    <w:rsid w:val="00923C46"/>
    <w:rsid w:val="00936F82"/>
    <w:rsid w:val="00944C4B"/>
    <w:rsid w:val="00946C69"/>
    <w:rsid w:val="009711DB"/>
    <w:rsid w:val="009A0F50"/>
    <w:rsid w:val="009A16CD"/>
    <w:rsid w:val="009A7B9F"/>
    <w:rsid w:val="009C06F5"/>
    <w:rsid w:val="009D6567"/>
    <w:rsid w:val="009E0F31"/>
    <w:rsid w:val="009E4BF2"/>
    <w:rsid w:val="00A007F5"/>
    <w:rsid w:val="00A02360"/>
    <w:rsid w:val="00A038EC"/>
    <w:rsid w:val="00A06BE1"/>
    <w:rsid w:val="00A12FBF"/>
    <w:rsid w:val="00A145B0"/>
    <w:rsid w:val="00A15172"/>
    <w:rsid w:val="00A26EF7"/>
    <w:rsid w:val="00A277D6"/>
    <w:rsid w:val="00A303ED"/>
    <w:rsid w:val="00A379F8"/>
    <w:rsid w:val="00A54EEA"/>
    <w:rsid w:val="00A56BFF"/>
    <w:rsid w:val="00A73600"/>
    <w:rsid w:val="00A7459B"/>
    <w:rsid w:val="00A74C1E"/>
    <w:rsid w:val="00A7661C"/>
    <w:rsid w:val="00A95BC7"/>
    <w:rsid w:val="00A962DF"/>
    <w:rsid w:val="00A97691"/>
    <w:rsid w:val="00AB1299"/>
    <w:rsid w:val="00AD25DC"/>
    <w:rsid w:val="00AF118E"/>
    <w:rsid w:val="00AF70A1"/>
    <w:rsid w:val="00B04048"/>
    <w:rsid w:val="00B07F79"/>
    <w:rsid w:val="00B16C07"/>
    <w:rsid w:val="00B24CDE"/>
    <w:rsid w:val="00B41D4E"/>
    <w:rsid w:val="00B46A57"/>
    <w:rsid w:val="00B541F2"/>
    <w:rsid w:val="00B65754"/>
    <w:rsid w:val="00B66231"/>
    <w:rsid w:val="00B769F1"/>
    <w:rsid w:val="00B82025"/>
    <w:rsid w:val="00B973D3"/>
    <w:rsid w:val="00BA0A91"/>
    <w:rsid w:val="00BA4887"/>
    <w:rsid w:val="00BB260B"/>
    <w:rsid w:val="00BB3390"/>
    <w:rsid w:val="00BB3C1A"/>
    <w:rsid w:val="00BC17C9"/>
    <w:rsid w:val="00BC6DEF"/>
    <w:rsid w:val="00BD5EF4"/>
    <w:rsid w:val="00BE2989"/>
    <w:rsid w:val="00BE7A11"/>
    <w:rsid w:val="00BF08DE"/>
    <w:rsid w:val="00BF722F"/>
    <w:rsid w:val="00C13FE8"/>
    <w:rsid w:val="00C30A60"/>
    <w:rsid w:val="00C33ABA"/>
    <w:rsid w:val="00C37BB6"/>
    <w:rsid w:val="00C40B4D"/>
    <w:rsid w:val="00C518E7"/>
    <w:rsid w:val="00C52EFD"/>
    <w:rsid w:val="00C64378"/>
    <w:rsid w:val="00C75CF0"/>
    <w:rsid w:val="00C808B5"/>
    <w:rsid w:val="00C82DB6"/>
    <w:rsid w:val="00CA4CD6"/>
    <w:rsid w:val="00CC48AB"/>
    <w:rsid w:val="00CC58F6"/>
    <w:rsid w:val="00CC62DB"/>
    <w:rsid w:val="00CC686E"/>
    <w:rsid w:val="00CD2069"/>
    <w:rsid w:val="00CD280D"/>
    <w:rsid w:val="00D04FE7"/>
    <w:rsid w:val="00D13D9A"/>
    <w:rsid w:val="00D14A8D"/>
    <w:rsid w:val="00D21198"/>
    <w:rsid w:val="00D2273E"/>
    <w:rsid w:val="00D33026"/>
    <w:rsid w:val="00D415DE"/>
    <w:rsid w:val="00D42D52"/>
    <w:rsid w:val="00D46FA2"/>
    <w:rsid w:val="00D5080D"/>
    <w:rsid w:val="00D56F5F"/>
    <w:rsid w:val="00D61B37"/>
    <w:rsid w:val="00D63B96"/>
    <w:rsid w:val="00D747CE"/>
    <w:rsid w:val="00D92F66"/>
    <w:rsid w:val="00D93219"/>
    <w:rsid w:val="00D95819"/>
    <w:rsid w:val="00DA50D5"/>
    <w:rsid w:val="00DA7285"/>
    <w:rsid w:val="00DB59E1"/>
    <w:rsid w:val="00DC2C87"/>
    <w:rsid w:val="00DD1AC1"/>
    <w:rsid w:val="00DD7D49"/>
    <w:rsid w:val="00DF5C4E"/>
    <w:rsid w:val="00DF65AC"/>
    <w:rsid w:val="00E10DA7"/>
    <w:rsid w:val="00E14B23"/>
    <w:rsid w:val="00E1538C"/>
    <w:rsid w:val="00E226B0"/>
    <w:rsid w:val="00E242DB"/>
    <w:rsid w:val="00E25DB6"/>
    <w:rsid w:val="00E276CD"/>
    <w:rsid w:val="00E32EDA"/>
    <w:rsid w:val="00E53137"/>
    <w:rsid w:val="00E578DD"/>
    <w:rsid w:val="00E702F6"/>
    <w:rsid w:val="00E77D5E"/>
    <w:rsid w:val="00E868BB"/>
    <w:rsid w:val="00E9393C"/>
    <w:rsid w:val="00EA37A9"/>
    <w:rsid w:val="00EA7026"/>
    <w:rsid w:val="00EC4074"/>
    <w:rsid w:val="00EC7381"/>
    <w:rsid w:val="00ED4A65"/>
    <w:rsid w:val="00ED741E"/>
    <w:rsid w:val="00EF113F"/>
    <w:rsid w:val="00F03803"/>
    <w:rsid w:val="00F066C9"/>
    <w:rsid w:val="00F20822"/>
    <w:rsid w:val="00F22177"/>
    <w:rsid w:val="00F340DF"/>
    <w:rsid w:val="00F45F20"/>
    <w:rsid w:val="00F538BC"/>
    <w:rsid w:val="00F9092B"/>
    <w:rsid w:val="00F91748"/>
    <w:rsid w:val="00F92D22"/>
    <w:rsid w:val="00FB0650"/>
    <w:rsid w:val="00FB4D98"/>
    <w:rsid w:val="00FB6378"/>
    <w:rsid w:val="00FB7BCE"/>
    <w:rsid w:val="00FC13C3"/>
    <w:rsid w:val="00FC4E09"/>
    <w:rsid w:val="00FE2099"/>
    <w:rsid w:val="00FF2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Revision">
    <w:name w:val="Revision"/>
    <w:hidden/>
    <w:uiPriority w:val="99"/>
    <w:semiHidden/>
    <w:rsid w:val="00101CEF"/>
    <w:rPr>
      <w:sz w:val="24"/>
      <w:szCs w:val="24"/>
    </w:rPr>
  </w:style>
  <w:style w:type="paragraph" w:styleId="ListParagraph">
    <w:name w:val="List Paragraph"/>
    <w:basedOn w:val="Normal"/>
    <w:uiPriority w:val="34"/>
    <w:qFormat/>
    <w:rsid w:val="004E51BE"/>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8545231">
      <w:bodyDiv w:val="1"/>
      <w:marLeft w:val="0"/>
      <w:marRight w:val="0"/>
      <w:marTop w:val="0"/>
      <w:marBottom w:val="0"/>
      <w:divBdr>
        <w:top w:val="none" w:sz="0" w:space="0" w:color="auto"/>
        <w:left w:val="none" w:sz="0" w:space="0" w:color="auto"/>
        <w:bottom w:val="none" w:sz="0" w:space="0" w:color="auto"/>
        <w:right w:val="none" w:sz="0" w:space="0" w:color="auto"/>
      </w:divBdr>
    </w:div>
    <w:div w:id="948856191">
      <w:bodyDiv w:val="1"/>
      <w:marLeft w:val="0"/>
      <w:marRight w:val="0"/>
      <w:marTop w:val="0"/>
      <w:marBottom w:val="0"/>
      <w:divBdr>
        <w:top w:val="none" w:sz="0" w:space="0" w:color="auto"/>
        <w:left w:val="none" w:sz="0" w:space="0" w:color="auto"/>
        <w:bottom w:val="none" w:sz="0" w:space="0" w:color="auto"/>
        <w:right w:val="none" w:sz="0" w:space="0" w:color="auto"/>
      </w:divBdr>
    </w:div>
    <w:div w:id="13851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A4F7-707F-4774-9891-42B0AFB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5393</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cp:lastPrinted>2012-12-11T19:42:00Z</cp:lastPrinted>
  <dcterms:created xsi:type="dcterms:W3CDTF">2013-01-23T16:36:00Z</dcterms:created>
  <dcterms:modified xsi:type="dcterms:W3CDTF">2013-01-23T16:36:00Z</dcterms:modified>
</cp:coreProperties>
</file>