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901CD6">
        <w:rPr>
          <w:rFonts w:ascii="Helvetica" w:hAnsi="Helvetica"/>
          <w:b/>
          <w:sz w:val="28"/>
        </w:rPr>
        <w:t>Supporting Statement for Paperwork Reduction Act Submissions</w:t>
      </w:r>
    </w:p>
    <w:p w:rsidR="003F1D30" w:rsidRPr="00901CD6" w:rsidRDefault="003F1D30" w:rsidP="003F1D3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3F1D30" w:rsidRPr="00901CD6" w:rsidRDefault="003F1D30" w:rsidP="003F1D30">
      <w:pPr>
        <w:pStyle w:val="Heading1"/>
      </w:pPr>
      <w:r w:rsidRPr="00901CD6">
        <w:t>Request for Approval of Advance of Escrow Funds</w:t>
      </w:r>
    </w:p>
    <w:p w:rsidR="003F1D30" w:rsidRPr="00901CD6" w:rsidRDefault="003F1D30" w:rsidP="003F1D3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901CD6">
        <w:rPr>
          <w:rFonts w:ascii="Helvetica" w:hAnsi="Helvetica"/>
          <w:b/>
          <w:sz w:val="24"/>
        </w:rPr>
        <w:t>OMB Control Number 2502-0018</w:t>
      </w:r>
    </w:p>
    <w:p w:rsidR="003F1D30" w:rsidRPr="00901CD6" w:rsidRDefault="003F1D30" w:rsidP="003F1D3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901CD6">
        <w:rPr>
          <w:rFonts w:ascii="Helvetica" w:hAnsi="Helvetica"/>
          <w:b/>
          <w:sz w:val="24"/>
        </w:rPr>
        <w:t>(Form HUD-92464)</w:t>
      </w:r>
    </w:p>
    <w:p w:rsidR="003F1D30" w:rsidRPr="00901CD6" w:rsidRDefault="003F1D30" w:rsidP="003F1D3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3F1D30" w:rsidRPr="00901CD6" w:rsidRDefault="003F1D30" w:rsidP="003F1D3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901CD6">
        <w:rPr>
          <w:b/>
          <w:sz w:val="24"/>
        </w:rPr>
        <w:t xml:space="preserve">A. </w:t>
      </w:r>
      <w:r w:rsidRPr="00901CD6">
        <w:rPr>
          <w:b/>
          <w:sz w:val="24"/>
        </w:rPr>
        <w:tab/>
        <w:t>Justification</w:t>
      </w: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F1D30" w:rsidRPr="00901CD6" w:rsidRDefault="003F1D30" w:rsidP="003F1D30">
      <w:pPr>
        <w:tabs>
          <w:tab w:val="left" w:pos="540"/>
        </w:tabs>
        <w:ind w:left="540" w:hanging="540"/>
        <w:rPr>
          <w:sz w:val="24"/>
        </w:rPr>
      </w:pPr>
      <w:r>
        <w:rPr>
          <w:sz w:val="24"/>
        </w:rPr>
        <w:t xml:space="preserve">1.   </w:t>
      </w:r>
      <w:r>
        <w:rPr>
          <w:sz w:val="24"/>
        </w:rPr>
        <w:tab/>
      </w:r>
      <w:r w:rsidRPr="00901CD6">
        <w:rPr>
          <w:sz w:val="24"/>
        </w:rPr>
        <w:t xml:space="preserve">Section 24 CFR 200.50 – Requirements Incident to Insured Advances – Building Loan Agreement – states </w:t>
      </w:r>
      <w:r>
        <w:rPr>
          <w:sz w:val="24"/>
        </w:rPr>
        <w:t xml:space="preserve">   </w:t>
      </w:r>
      <w:r w:rsidRPr="00901CD6">
        <w:rPr>
          <w:sz w:val="24"/>
        </w:rPr>
        <w:t>that the mortgagor and mortgagee must execute a building loan agreement approved by the Commissioner that sets forth the terms and conditions under which progress payments may be advanced during construction.  This should be accomplished before initial endorsement of the mortgage of insurance.</w:t>
      </w:r>
    </w:p>
    <w:p w:rsidR="003F1D30" w:rsidRPr="00901CD6" w:rsidRDefault="003F1D30" w:rsidP="003F1D30">
      <w:pPr>
        <w:rPr>
          <w:sz w:val="24"/>
        </w:rPr>
      </w:pPr>
    </w:p>
    <w:p w:rsidR="003F1D30" w:rsidRPr="00901CD6" w:rsidRDefault="003F1D30" w:rsidP="003F1D30">
      <w:pPr>
        <w:pStyle w:val="BodyTextIndent"/>
        <w:ind w:left="540" w:hanging="540"/>
      </w:pPr>
      <w:r>
        <w:t xml:space="preserve">2.  </w:t>
      </w:r>
      <w:r>
        <w:tab/>
        <w:t>F</w:t>
      </w:r>
      <w:r w:rsidRPr="00901CD6">
        <w:t>orm HUD-92464 is used to document the progress of payments advanced during construction.  Form HUD-92464 is used to control the disposition of escrow funds for off-site facilities, construction changes, and construction costs not paid at final endorsement, non-critical repair, and capital needs assessment.  Page 1 of the form HUD-92464 contains two parts.  Part one is completed by the depository to request approval of advance payment of escrow funds for any of the items stated above.  The depository will also have to indicate how the remaining escrow balance will be used.  HUD approves the disbursement of funds from escrow deposit in part two.</w:t>
      </w:r>
    </w:p>
    <w:p w:rsidR="003F1D30" w:rsidRPr="00901CD6" w:rsidRDefault="003F1D30" w:rsidP="003F1D30">
      <w:pPr>
        <w:rPr>
          <w:sz w:val="24"/>
        </w:rPr>
      </w:pPr>
    </w:p>
    <w:p w:rsidR="003F1D30" w:rsidRDefault="003F1D30" w:rsidP="003F1D30">
      <w:pPr>
        <w:tabs>
          <w:tab w:val="left" w:pos="540"/>
        </w:tabs>
        <w:ind w:left="540" w:hanging="180"/>
        <w:rPr>
          <w:sz w:val="24"/>
        </w:rPr>
      </w:pPr>
      <w:r>
        <w:rPr>
          <w:sz w:val="24"/>
        </w:rPr>
        <w:tab/>
      </w:r>
      <w:r w:rsidRPr="00901CD6">
        <w:rPr>
          <w:sz w:val="24"/>
        </w:rPr>
        <w:t>Page 2 of the form is used by the owner/mortgagor of the project to identify the terms covered under the Request for Payment Section.  Subsequently, HUD’s architect certifies that work completed in connection with off-site and construction changes were acceptably completed.  HUD’s Inspector also certifies that the work was acceptably completed.  The Regulatory Agreement specifies that disbursements may be made only after receipt of the consent in writing from the Secretary of the Department of Housing and Urban Development.</w:t>
      </w:r>
    </w:p>
    <w:p w:rsidR="00C67743" w:rsidRDefault="00C67743" w:rsidP="003F1D30">
      <w:pPr>
        <w:tabs>
          <w:tab w:val="left" w:pos="540"/>
        </w:tabs>
        <w:ind w:left="540" w:hanging="180"/>
        <w:rPr>
          <w:sz w:val="24"/>
        </w:rPr>
      </w:pPr>
    </w:p>
    <w:p w:rsidR="00C67743" w:rsidRDefault="003F1D30" w:rsidP="003F1D30">
      <w:pPr>
        <w:ind w:left="540"/>
        <w:rPr>
          <w:sz w:val="24"/>
        </w:rPr>
      </w:pPr>
      <w:r w:rsidRPr="00901CD6">
        <w:rPr>
          <w:sz w:val="24"/>
        </w:rPr>
        <w:t>Except for the preparation of the itemized portion of the form, HUD-92464 is simply a certification by the person or persons making a request for funds and acknowledging the receipt of prior released funds and the description of the items or services completed.</w:t>
      </w:r>
      <w:r w:rsidR="00C67743">
        <w:rPr>
          <w:sz w:val="24"/>
        </w:rPr>
        <w:t xml:space="preserve"> </w:t>
      </w:r>
    </w:p>
    <w:p w:rsidR="00C67743" w:rsidRDefault="00C67743" w:rsidP="003F1D30">
      <w:pPr>
        <w:ind w:left="540"/>
        <w:rPr>
          <w:sz w:val="24"/>
        </w:rPr>
      </w:pPr>
    </w:p>
    <w:p w:rsidR="003F1D30" w:rsidRDefault="00C67743" w:rsidP="003F1D30">
      <w:pPr>
        <w:ind w:left="540"/>
        <w:rPr>
          <w:sz w:val="24"/>
        </w:rPr>
      </w:pPr>
      <w:r w:rsidRPr="00C67743">
        <w:rPr>
          <w:sz w:val="24"/>
        </w:rPr>
        <w:t xml:space="preserve">There is </w:t>
      </w:r>
      <w:proofErr w:type="gramStart"/>
      <w:r w:rsidRPr="00C67743">
        <w:rPr>
          <w:sz w:val="24"/>
        </w:rPr>
        <w:t>a</w:t>
      </w:r>
      <w:proofErr w:type="gramEnd"/>
      <w:r w:rsidRPr="00C67743">
        <w:rPr>
          <w:sz w:val="24"/>
        </w:rPr>
        <w:t xml:space="preserve"> increase in the number of responses and burden hours because each project owner submits the form 2-3 times per project.</w:t>
      </w:r>
    </w:p>
    <w:p w:rsidR="003F1D30" w:rsidRDefault="003F1D30" w:rsidP="003F1D30">
      <w:pPr>
        <w:rPr>
          <w:sz w:val="24"/>
        </w:rPr>
      </w:pPr>
    </w:p>
    <w:p w:rsidR="003F1D30" w:rsidRPr="0023491A" w:rsidRDefault="003F1D30" w:rsidP="003F1D30">
      <w:pPr>
        <w:ind w:left="540" w:hanging="540"/>
        <w:rPr>
          <w:sz w:val="24"/>
          <w:szCs w:val="24"/>
        </w:rPr>
      </w:pPr>
      <w:r>
        <w:rPr>
          <w:sz w:val="24"/>
          <w:szCs w:val="24"/>
        </w:rPr>
        <w:t xml:space="preserve">3.   </w:t>
      </w:r>
      <w:r>
        <w:rPr>
          <w:sz w:val="24"/>
          <w:szCs w:val="24"/>
        </w:rPr>
        <w:tab/>
        <w:t>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w:t>
      </w:r>
    </w:p>
    <w:p w:rsidR="003F1D30" w:rsidRPr="00901CD6" w:rsidRDefault="003F1D30" w:rsidP="003F1D30">
      <w:pPr>
        <w:pStyle w:val="BodyTextIndent2"/>
        <w:ind w:left="0"/>
      </w:pPr>
    </w:p>
    <w:p w:rsidR="003F1D30" w:rsidRPr="00901CD6" w:rsidRDefault="003F1D30" w:rsidP="003F1D30">
      <w:pPr>
        <w:pStyle w:val="BodyTextIndent2"/>
        <w:ind w:left="540" w:hanging="540"/>
      </w:pPr>
      <w:r>
        <w:t xml:space="preserve">4.  </w:t>
      </w:r>
      <w:r>
        <w:tab/>
      </w:r>
      <w:r w:rsidRPr="00901CD6">
        <w:t>The information requested on this form is unique for each project.  No other form is used to request and obtain the required information.</w:t>
      </w:r>
    </w:p>
    <w:p w:rsidR="003F1D30" w:rsidRPr="00901CD6" w:rsidRDefault="003F1D30" w:rsidP="003F1D30">
      <w:pPr>
        <w:rPr>
          <w:sz w:val="24"/>
        </w:rPr>
      </w:pPr>
    </w:p>
    <w:p w:rsidR="003F1D30" w:rsidRPr="00901CD6" w:rsidRDefault="003F1D30" w:rsidP="003F1D30">
      <w:pPr>
        <w:ind w:left="540" w:hanging="540"/>
        <w:rPr>
          <w:sz w:val="24"/>
        </w:rPr>
      </w:pPr>
      <w:r>
        <w:rPr>
          <w:bCs/>
          <w:sz w:val="24"/>
        </w:rPr>
        <w:t>5</w:t>
      </w:r>
      <w:r w:rsidRPr="009A3EE7">
        <w:rPr>
          <w:bCs/>
          <w:sz w:val="24"/>
        </w:rPr>
        <w:t xml:space="preserve">.  </w:t>
      </w:r>
      <w:r>
        <w:rPr>
          <w:bCs/>
          <w:sz w:val="24"/>
        </w:rPr>
        <w:tab/>
      </w:r>
      <w:r w:rsidRPr="00901CD6">
        <w:rPr>
          <w:sz w:val="24"/>
        </w:rPr>
        <w:t>There is no impact on small organizations or other small entities.  During HUD’s pre-construction conference parties to the main construction contract (</w:t>
      </w:r>
      <w:proofErr w:type="spellStart"/>
      <w:r w:rsidRPr="00901CD6">
        <w:rPr>
          <w:sz w:val="24"/>
        </w:rPr>
        <w:t>i.e</w:t>
      </w:r>
      <w:proofErr w:type="spellEnd"/>
      <w:r w:rsidRPr="00901CD6">
        <w:rPr>
          <w:sz w:val="24"/>
        </w:rPr>
        <w:t xml:space="preserve"> sponsor, contractor, architect and engineering firm, Mortgage Company, etc.) are advised of the submission requirements.  The information required is already reduced to what is needed to complete the form.  Staff spends the same amount of time on these Requests whether they are from a small organization or a large company.</w:t>
      </w:r>
    </w:p>
    <w:p w:rsidR="003F1D30" w:rsidRPr="00901CD6" w:rsidRDefault="003F1D30" w:rsidP="003F1D30">
      <w:pPr>
        <w:rPr>
          <w:sz w:val="24"/>
        </w:rPr>
      </w:pPr>
    </w:p>
    <w:p w:rsidR="003F1D30" w:rsidRPr="00901CD6" w:rsidRDefault="003F1D30" w:rsidP="003F1D30">
      <w:pPr>
        <w:pStyle w:val="BodyTextIndent"/>
        <w:ind w:left="540" w:hanging="540"/>
      </w:pPr>
      <w:r>
        <w:rPr>
          <w:bCs/>
        </w:rPr>
        <w:t>6</w:t>
      </w:r>
      <w:r w:rsidRPr="009A3EE7">
        <w:rPr>
          <w:bCs/>
        </w:rPr>
        <w:t xml:space="preserve">. </w:t>
      </w:r>
      <w:r>
        <w:t xml:space="preserve">  </w:t>
      </w:r>
      <w:r>
        <w:tab/>
      </w:r>
      <w:r w:rsidRPr="00901CD6">
        <w:t xml:space="preserve">If HUD did not have a mechanism in place to account for funds being disbursed from escrow accounts, the Department would be subject to mismanagement of Federal funds.   Not using this information collection </w:t>
      </w:r>
      <w:r w:rsidRPr="00901CD6">
        <w:lastRenderedPageBreak/>
        <w:t>or another reporting instrument would negatively impact Federal program/policy by HUD, the depository and the borrower according to 24 CFR 200.50, .52, .60, .63, .95, and .96.  When there are progressive payments advanced at or upon construction completion, HUD must perform an accurate accounting of funds disbursed for the work that was completed.  Before final endorsement can occur all actual construction costs are certified.  HUD will reconcile all monies drawn or disbursed between the borrower’s actual cost and HUD’s estimated cost.  This information collection will serve as supporting documentation.</w:t>
      </w:r>
    </w:p>
    <w:p w:rsidR="003F1D30" w:rsidRPr="00901CD6" w:rsidRDefault="003F1D30" w:rsidP="003F1D30">
      <w:pPr>
        <w:rPr>
          <w:sz w:val="24"/>
        </w:rPr>
      </w:pPr>
    </w:p>
    <w:p w:rsidR="003F1D30" w:rsidRPr="00901CD6" w:rsidRDefault="003F1D30" w:rsidP="003F1D30">
      <w:pPr>
        <w:ind w:left="540"/>
        <w:rPr>
          <w:sz w:val="24"/>
        </w:rPr>
      </w:pPr>
      <w:r w:rsidRPr="00901CD6">
        <w:rPr>
          <w:sz w:val="24"/>
        </w:rPr>
        <w:t>Use of this form to collect information must occur in each case where there is a disposition of escrow funds for off-site facilities, construction changes, and construction costs not paid at final endorsement, non-critical repair, and capital needs assessment.</w:t>
      </w:r>
    </w:p>
    <w:p w:rsidR="003F1D30" w:rsidRPr="00901CD6" w:rsidRDefault="003F1D30" w:rsidP="003F1D30">
      <w:pPr>
        <w:rPr>
          <w:sz w:val="24"/>
        </w:rPr>
      </w:pPr>
    </w:p>
    <w:p w:rsidR="003F1D30" w:rsidRPr="00901CD6" w:rsidRDefault="003F1D30" w:rsidP="003F1D30">
      <w:pPr>
        <w:pStyle w:val="BodyTextIndent"/>
        <w:ind w:left="540" w:hanging="540"/>
      </w:pPr>
      <w:r>
        <w:rPr>
          <w:bCs/>
        </w:rPr>
        <w:t xml:space="preserve">7. </w:t>
      </w:r>
      <w:r>
        <w:t xml:space="preserve">  </w:t>
      </w:r>
      <w:r>
        <w:tab/>
      </w:r>
      <w:r w:rsidRPr="00901CD6">
        <w:t>There are no special circumstances involved in this collection.</w:t>
      </w:r>
    </w:p>
    <w:p w:rsidR="003F1D30" w:rsidRPr="00901CD6" w:rsidRDefault="003F1D30" w:rsidP="003F1D30">
      <w:pPr>
        <w:rPr>
          <w:sz w:val="24"/>
        </w:rPr>
      </w:pPr>
    </w:p>
    <w:p w:rsidR="003F1D30" w:rsidRDefault="003F1D30" w:rsidP="003F1D30">
      <w:pPr>
        <w:tabs>
          <w:tab w:val="left" w:pos="540"/>
        </w:tabs>
        <w:ind w:left="540" w:hanging="540"/>
        <w:rPr>
          <w:sz w:val="24"/>
        </w:rPr>
      </w:pPr>
      <w:r>
        <w:rPr>
          <w:bCs/>
          <w:sz w:val="24"/>
        </w:rPr>
        <w:t xml:space="preserve">8.   </w:t>
      </w:r>
      <w:r>
        <w:rPr>
          <w:bCs/>
          <w:sz w:val="24"/>
        </w:rPr>
        <w:tab/>
      </w:r>
      <w:r w:rsidRPr="00901CD6">
        <w:rPr>
          <w:sz w:val="24"/>
        </w:rPr>
        <w:t xml:space="preserve">The agency’s notice for the continued use of form HUD-92464 was announced in the </w:t>
      </w:r>
      <w:r w:rsidRPr="00901CD6">
        <w:rPr>
          <w:i/>
          <w:iCs/>
          <w:sz w:val="24"/>
        </w:rPr>
        <w:t>Federal Register</w:t>
      </w:r>
      <w:r w:rsidRPr="00901CD6">
        <w:rPr>
          <w:sz w:val="24"/>
        </w:rPr>
        <w:t xml:space="preserve"> on </w:t>
      </w:r>
      <w:r w:rsidR="00DD6EC5">
        <w:rPr>
          <w:sz w:val="24"/>
        </w:rPr>
        <w:t>August 31, 2012</w:t>
      </w:r>
      <w:r w:rsidRPr="00901CD6">
        <w:rPr>
          <w:sz w:val="24"/>
        </w:rPr>
        <w:t xml:space="preserve"> (Volume </w:t>
      </w:r>
      <w:r w:rsidR="00DD6EC5">
        <w:rPr>
          <w:sz w:val="24"/>
        </w:rPr>
        <w:t>77</w:t>
      </w:r>
      <w:r w:rsidRPr="00901CD6">
        <w:rPr>
          <w:sz w:val="24"/>
        </w:rPr>
        <w:t xml:space="preserve">, Number </w:t>
      </w:r>
      <w:r w:rsidR="00DD6EC5">
        <w:rPr>
          <w:sz w:val="24"/>
        </w:rPr>
        <w:t>170</w:t>
      </w:r>
      <w:r w:rsidRPr="00901CD6">
        <w:rPr>
          <w:sz w:val="24"/>
        </w:rPr>
        <w:t xml:space="preserve">, </w:t>
      </w:r>
      <w:proofErr w:type="gramStart"/>
      <w:r w:rsidRPr="00901CD6">
        <w:rPr>
          <w:sz w:val="24"/>
        </w:rPr>
        <w:t>Pages</w:t>
      </w:r>
      <w:proofErr w:type="gramEnd"/>
      <w:r w:rsidRPr="00901CD6">
        <w:rPr>
          <w:sz w:val="24"/>
        </w:rPr>
        <w:t xml:space="preserve"> </w:t>
      </w:r>
      <w:r w:rsidR="00DD6EC5">
        <w:rPr>
          <w:sz w:val="24"/>
        </w:rPr>
        <w:t>53210)</w:t>
      </w:r>
      <w:r w:rsidRPr="00901CD6">
        <w:rPr>
          <w:sz w:val="24"/>
        </w:rPr>
        <w:t xml:space="preserve">. </w:t>
      </w:r>
      <w:r>
        <w:rPr>
          <w:sz w:val="24"/>
        </w:rPr>
        <w:t xml:space="preserve">  </w:t>
      </w:r>
    </w:p>
    <w:p w:rsidR="003F1D30" w:rsidRDefault="003F1D30" w:rsidP="003F1D30">
      <w:pPr>
        <w:tabs>
          <w:tab w:val="left" w:pos="540"/>
        </w:tabs>
        <w:ind w:left="540" w:hanging="540"/>
        <w:rPr>
          <w:sz w:val="24"/>
        </w:rPr>
      </w:pPr>
    </w:p>
    <w:p w:rsidR="003F1D30" w:rsidRPr="00901CD6" w:rsidRDefault="003F1D30" w:rsidP="003F1D30">
      <w:pPr>
        <w:tabs>
          <w:tab w:val="left" w:pos="540"/>
        </w:tabs>
        <w:ind w:left="540" w:hanging="540"/>
        <w:rPr>
          <w:sz w:val="24"/>
        </w:rPr>
      </w:pPr>
      <w:r>
        <w:rPr>
          <w:sz w:val="24"/>
        </w:rPr>
        <w:tab/>
        <w:t>Consultation was provided by mortgage credit staff and Construction Analyst in local Multifamily  Hubs/Program Centers to assess if the proposed information collection is necessary, accuracy of the agency’s estimation of public burden, improvements or enhancements to the current collection, and offer suggestions to minimize public burden, i.e., electronic submissions.  The following HUD individuals were contacted:</w:t>
      </w:r>
    </w:p>
    <w:p w:rsidR="003F1D30" w:rsidRDefault="003F1D30" w:rsidP="003F1D30">
      <w:pPr>
        <w:pStyle w:val="BodyText3"/>
      </w:pPr>
    </w:p>
    <w:p w:rsidR="003F1D30" w:rsidRDefault="003F1D30" w:rsidP="003F1D30">
      <w:pPr>
        <w:pStyle w:val="BodyText3"/>
        <w:ind w:left="540"/>
      </w:pPr>
      <w:r>
        <w:t xml:space="preserve"> Kenneth Cooper, Construction Analyst</w:t>
      </w:r>
    </w:p>
    <w:p w:rsidR="003F1D30" w:rsidRDefault="003F1D30" w:rsidP="003F1D30">
      <w:pPr>
        <w:pStyle w:val="BodyText3"/>
        <w:ind w:left="540"/>
      </w:pPr>
      <w:r>
        <w:t>400 State Avenue</w:t>
      </w:r>
    </w:p>
    <w:p w:rsidR="003F1D30" w:rsidRDefault="003F1D30" w:rsidP="003F1D30">
      <w:pPr>
        <w:pStyle w:val="BodyText3"/>
        <w:ind w:left="540"/>
      </w:pPr>
      <w:r>
        <w:t>Kansas City, Kansas 66101</w:t>
      </w:r>
    </w:p>
    <w:p w:rsidR="003F1D30" w:rsidRDefault="003F1D30" w:rsidP="003F1D30">
      <w:pPr>
        <w:pStyle w:val="BodyText3"/>
        <w:ind w:left="540"/>
      </w:pPr>
    </w:p>
    <w:p w:rsidR="003F1D30" w:rsidRDefault="003F1D30" w:rsidP="003F1D30">
      <w:pPr>
        <w:pStyle w:val="BodyText3"/>
        <w:ind w:left="540"/>
      </w:pPr>
      <w:r>
        <w:t xml:space="preserve"> Norbert David, Construction Analyst</w:t>
      </w:r>
    </w:p>
    <w:p w:rsidR="003F1D30" w:rsidRDefault="003F1D30" w:rsidP="003F1D30">
      <w:pPr>
        <w:pStyle w:val="BodyText3"/>
        <w:ind w:left="540"/>
      </w:pPr>
      <w:r>
        <w:t xml:space="preserve"> 600 East Broad Street, 3</w:t>
      </w:r>
      <w:r w:rsidRPr="00986E2F">
        <w:rPr>
          <w:vertAlign w:val="superscript"/>
        </w:rPr>
        <w:t>rd</w:t>
      </w:r>
      <w:r>
        <w:t xml:space="preserve"> Floor</w:t>
      </w:r>
    </w:p>
    <w:p w:rsidR="003F1D30" w:rsidRDefault="003F1D30" w:rsidP="003F1D30">
      <w:pPr>
        <w:pStyle w:val="BodyText3"/>
        <w:ind w:left="540"/>
      </w:pPr>
      <w:r>
        <w:t xml:space="preserve"> Richmond, Virginia 23219</w:t>
      </w:r>
    </w:p>
    <w:p w:rsidR="003F1D30" w:rsidRDefault="003F1D30" w:rsidP="003F1D30">
      <w:pPr>
        <w:pStyle w:val="BodyText3"/>
        <w:ind w:left="540"/>
      </w:pPr>
    </w:p>
    <w:p w:rsidR="003F1D30" w:rsidRDefault="003F1D30" w:rsidP="003F1D30">
      <w:pPr>
        <w:pStyle w:val="BodyText3"/>
        <w:ind w:left="540"/>
      </w:pPr>
      <w:r>
        <w:t>Wendy Carter, Mortgage Credit</w:t>
      </w:r>
    </w:p>
    <w:p w:rsidR="003F1D30" w:rsidRDefault="003F1D30" w:rsidP="003F1D30">
      <w:pPr>
        <w:pStyle w:val="BodyText3"/>
        <w:ind w:left="540"/>
      </w:pPr>
      <w:r>
        <w:t xml:space="preserve"> 451 7</w:t>
      </w:r>
      <w:r w:rsidRPr="00986E2F">
        <w:rPr>
          <w:vertAlign w:val="superscript"/>
        </w:rPr>
        <w:t>th</w:t>
      </w:r>
      <w:r>
        <w:t xml:space="preserve"> Street, SW</w:t>
      </w:r>
    </w:p>
    <w:p w:rsidR="003F1D30" w:rsidRDefault="003F1D30" w:rsidP="003F1D30">
      <w:pPr>
        <w:pStyle w:val="BodyText3"/>
        <w:ind w:left="540"/>
      </w:pPr>
      <w:r>
        <w:t xml:space="preserve"> Washington, DC 20410</w:t>
      </w:r>
    </w:p>
    <w:p w:rsidR="003F1D30" w:rsidRPr="00901CD6" w:rsidRDefault="003F1D30" w:rsidP="003F1D30">
      <w:pPr>
        <w:pStyle w:val="BodyText3"/>
        <w:ind w:left="540"/>
      </w:pPr>
    </w:p>
    <w:p w:rsidR="003F1D30" w:rsidRPr="00901CD6" w:rsidRDefault="003F1D30" w:rsidP="003F1D30">
      <w:pPr>
        <w:tabs>
          <w:tab w:val="left" w:pos="540"/>
        </w:tabs>
        <w:ind w:left="360" w:hanging="360"/>
        <w:rPr>
          <w:sz w:val="24"/>
        </w:rPr>
      </w:pPr>
      <w:r>
        <w:rPr>
          <w:bCs/>
          <w:sz w:val="24"/>
        </w:rPr>
        <w:t xml:space="preserve">9.   </w:t>
      </w:r>
      <w:r>
        <w:rPr>
          <w:bCs/>
          <w:sz w:val="24"/>
        </w:rPr>
        <w:tab/>
      </w:r>
      <w:r w:rsidRPr="00901CD6">
        <w:rPr>
          <w:sz w:val="24"/>
        </w:rPr>
        <w:t>There are no payments or gifts given to respondents.</w:t>
      </w:r>
    </w:p>
    <w:p w:rsidR="003F1D30" w:rsidRPr="00901CD6" w:rsidRDefault="003F1D30" w:rsidP="003F1D30">
      <w:pPr>
        <w:rPr>
          <w:sz w:val="24"/>
        </w:rPr>
      </w:pPr>
    </w:p>
    <w:p w:rsidR="003F1D30" w:rsidRPr="00901CD6" w:rsidRDefault="003F1D30" w:rsidP="003F1D30">
      <w:pPr>
        <w:pStyle w:val="BodyTextIndent"/>
        <w:ind w:left="540" w:hanging="540"/>
      </w:pPr>
      <w:r>
        <w:rPr>
          <w:szCs w:val="20"/>
        </w:rPr>
        <w:t xml:space="preserve">10. </w:t>
      </w:r>
      <w:r>
        <w:rPr>
          <w:szCs w:val="20"/>
        </w:rPr>
        <w:tab/>
      </w:r>
      <w:r w:rsidRPr="00901CD6">
        <w:t xml:space="preserve">Handbook 4470.1 REV-2 CHG 1 paragraph 2-9 and MAP Guide 8.3.H.3 states that agency policy is to treatment of credit and financial information in a confidential nature.  </w:t>
      </w:r>
      <w:r>
        <w:t xml:space="preserve">The Privacy Act Statement on the front of each form will be read by each respondent who completes this form. </w:t>
      </w:r>
    </w:p>
    <w:p w:rsidR="003F1D30" w:rsidRPr="00901CD6" w:rsidRDefault="003F1D30" w:rsidP="003F1D30">
      <w:pPr>
        <w:rPr>
          <w:sz w:val="24"/>
        </w:rPr>
      </w:pPr>
    </w:p>
    <w:p w:rsidR="003F1D30" w:rsidRPr="00901CD6" w:rsidRDefault="003F1D30" w:rsidP="003F1D30">
      <w:pPr>
        <w:pStyle w:val="BodyTextIndent"/>
        <w:ind w:left="540" w:hanging="540"/>
      </w:pPr>
      <w:r>
        <w:rPr>
          <w:szCs w:val="20"/>
        </w:rPr>
        <w:t>11.</w:t>
      </w:r>
      <w:r>
        <w:t xml:space="preserve"> </w:t>
      </w:r>
      <w:r>
        <w:tab/>
      </w:r>
      <w:r w:rsidRPr="00901CD6">
        <w:t>This form does not collect information of a private or sensitive nature.</w:t>
      </w:r>
    </w:p>
    <w:p w:rsidR="003F1D30" w:rsidRPr="00901CD6" w:rsidRDefault="003F1D30" w:rsidP="003F1D30">
      <w:pPr>
        <w:rPr>
          <w:sz w:val="24"/>
        </w:rPr>
      </w:pPr>
    </w:p>
    <w:p w:rsidR="003F1D30" w:rsidRPr="00901CD6" w:rsidRDefault="003F1D30" w:rsidP="003F1D30">
      <w:pPr>
        <w:pStyle w:val="BodyTextIndent"/>
        <w:ind w:left="540" w:hanging="540"/>
      </w:pPr>
      <w:r>
        <w:rPr>
          <w:bCs/>
        </w:rPr>
        <w:t xml:space="preserve">12. </w:t>
      </w:r>
      <w:r>
        <w:rPr>
          <w:bCs/>
        </w:rPr>
        <w:tab/>
      </w:r>
      <w:r w:rsidRPr="00901CD6">
        <w:t>Three parties complete one form for each advance of escrow funds.  Page 1 of the form HUD-92464 contains two parts.  Part one is completed by the depository clerical personnel and approved by supervisory personnel to request approval of advance payment of escrow funds for any of the items stated above.  The depository will also have to indicate how the remaining escrow balance will be used.  Part 2 is where HUD approves the disbursement of funds from escrow deposit.  Page 2 is also used by the owner/mortgagor of the project to identify the terms covered under the Request for Payment Section.  Subsequently, HUD’s architect certifies that work completed in connection with off-site and construction changes were acceptably completed.  HUD’s Inspector also certifies that the work was acceptably completed.  It takes approximately 2 hours to complete the form, inclusive of all parties involved.</w:t>
      </w:r>
    </w:p>
    <w:p w:rsidR="003F1D30" w:rsidRPr="00901CD6" w:rsidRDefault="003F1D30" w:rsidP="003F1D30">
      <w:pPr>
        <w:rPr>
          <w:sz w:val="24"/>
        </w:rPr>
      </w:pPr>
      <w:r w:rsidRPr="00901CD6">
        <w:rPr>
          <w:sz w:val="24"/>
        </w:rPr>
        <w:lastRenderedPageBreak/>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1277"/>
        <w:gridCol w:w="1260"/>
        <w:gridCol w:w="1170"/>
        <w:gridCol w:w="1440"/>
        <w:gridCol w:w="1350"/>
        <w:gridCol w:w="783"/>
        <w:gridCol w:w="1125"/>
      </w:tblGrid>
      <w:tr w:rsidR="003F1D30" w:rsidRPr="00901CD6" w:rsidTr="00986A69">
        <w:trPr>
          <w:trHeight w:val="428"/>
        </w:trPr>
        <w:tc>
          <w:tcPr>
            <w:tcW w:w="2143" w:type="dxa"/>
            <w:vAlign w:val="center"/>
          </w:tcPr>
          <w:p w:rsidR="003F1D30" w:rsidRPr="00901CD6" w:rsidRDefault="003F1D30" w:rsidP="00986A69">
            <w:pPr>
              <w:jc w:val="center"/>
              <w:rPr>
                <w:rFonts w:ascii="Arial" w:hAnsi="Arial" w:cs="Arial"/>
                <w:sz w:val="18"/>
              </w:rPr>
            </w:pPr>
            <w:r w:rsidRPr="00901CD6">
              <w:rPr>
                <w:rFonts w:ascii="Arial" w:hAnsi="Arial" w:cs="Arial"/>
                <w:sz w:val="18"/>
              </w:rPr>
              <w:t>Information Collection</w:t>
            </w:r>
          </w:p>
        </w:tc>
        <w:tc>
          <w:tcPr>
            <w:tcW w:w="1277" w:type="dxa"/>
            <w:vAlign w:val="center"/>
          </w:tcPr>
          <w:p w:rsidR="003F1D30" w:rsidRPr="00901CD6" w:rsidRDefault="003F1D30" w:rsidP="00986A69">
            <w:pPr>
              <w:jc w:val="center"/>
              <w:rPr>
                <w:rFonts w:ascii="Arial" w:hAnsi="Arial" w:cs="Arial"/>
                <w:sz w:val="18"/>
              </w:rPr>
            </w:pPr>
            <w:r w:rsidRPr="00901CD6">
              <w:rPr>
                <w:rFonts w:ascii="Arial" w:hAnsi="Arial" w:cs="Arial"/>
                <w:sz w:val="18"/>
              </w:rPr>
              <w:t>Number of Respondents</w:t>
            </w:r>
          </w:p>
        </w:tc>
        <w:tc>
          <w:tcPr>
            <w:tcW w:w="1260" w:type="dxa"/>
            <w:vAlign w:val="center"/>
          </w:tcPr>
          <w:p w:rsidR="003F1D30" w:rsidRPr="00901CD6" w:rsidRDefault="003F1D30" w:rsidP="00986A69">
            <w:pPr>
              <w:jc w:val="center"/>
              <w:rPr>
                <w:rFonts w:ascii="Arial" w:hAnsi="Arial" w:cs="Arial"/>
                <w:sz w:val="18"/>
              </w:rPr>
            </w:pPr>
            <w:r w:rsidRPr="00901CD6">
              <w:rPr>
                <w:rFonts w:ascii="Arial" w:hAnsi="Arial" w:cs="Arial"/>
                <w:sz w:val="18"/>
              </w:rPr>
              <w:t>Frequency of Response</w:t>
            </w:r>
          </w:p>
        </w:tc>
        <w:tc>
          <w:tcPr>
            <w:tcW w:w="1170" w:type="dxa"/>
            <w:vAlign w:val="center"/>
          </w:tcPr>
          <w:p w:rsidR="003F1D30" w:rsidRPr="00901CD6" w:rsidRDefault="003F1D30" w:rsidP="00986A69">
            <w:pPr>
              <w:jc w:val="center"/>
              <w:rPr>
                <w:rFonts w:ascii="Arial" w:hAnsi="Arial" w:cs="Arial"/>
                <w:sz w:val="18"/>
              </w:rPr>
            </w:pPr>
            <w:r w:rsidRPr="00901CD6">
              <w:rPr>
                <w:rFonts w:ascii="Arial" w:hAnsi="Arial" w:cs="Arial"/>
                <w:sz w:val="18"/>
              </w:rPr>
              <w:t>Responses Per Annum</w:t>
            </w:r>
          </w:p>
        </w:tc>
        <w:tc>
          <w:tcPr>
            <w:tcW w:w="1440" w:type="dxa"/>
            <w:vAlign w:val="center"/>
          </w:tcPr>
          <w:p w:rsidR="003F1D30" w:rsidRPr="00901CD6" w:rsidRDefault="003F1D30" w:rsidP="00986A69">
            <w:pPr>
              <w:jc w:val="center"/>
              <w:rPr>
                <w:rFonts w:ascii="Arial" w:hAnsi="Arial" w:cs="Arial"/>
                <w:sz w:val="18"/>
              </w:rPr>
            </w:pPr>
            <w:r w:rsidRPr="00901CD6">
              <w:rPr>
                <w:rFonts w:ascii="Arial" w:hAnsi="Arial" w:cs="Arial"/>
                <w:sz w:val="18"/>
              </w:rPr>
              <w:t>Burden Hour Per Response</w:t>
            </w:r>
          </w:p>
        </w:tc>
        <w:tc>
          <w:tcPr>
            <w:tcW w:w="1350" w:type="dxa"/>
            <w:vAlign w:val="center"/>
          </w:tcPr>
          <w:p w:rsidR="003F1D30" w:rsidRPr="00901CD6" w:rsidRDefault="003F1D30" w:rsidP="00986A69">
            <w:pPr>
              <w:jc w:val="center"/>
              <w:rPr>
                <w:rFonts w:ascii="Arial" w:hAnsi="Arial" w:cs="Arial"/>
                <w:sz w:val="18"/>
              </w:rPr>
            </w:pPr>
            <w:r w:rsidRPr="00901CD6">
              <w:rPr>
                <w:rFonts w:ascii="Arial" w:hAnsi="Arial" w:cs="Arial"/>
                <w:sz w:val="18"/>
              </w:rPr>
              <w:t>Annual Burden Hours</w:t>
            </w:r>
          </w:p>
        </w:tc>
        <w:tc>
          <w:tcPr>
            <w:tcW w:w="783" w:type="dxa"/>
            <w:vAlign w:val="center"/>
          </w:tcPr>
          <w:p w:rsidR="003F1D30" w:rsidRPr="00901CD6" w:rsidRDefault="003F1D30" w:rsidP="00986A69">
            <w:pPr>
              <w:jc w:val="center"/>
              <w:rPr>
                <w:rFonts w:ascii="Arial" w:hAnsi="Arial" w:cs="Arial"/>
                <w:sz w:val="18"/>
              </w:rPr>
            </w:pPr>
            <w:r w:rsidRPr="00901CD6">
              <w:rPr>
                <w:rFonts w:ascii="Arial" w:hAnsi="Arial" w:cs="Arial"/>
                <w:sz w:val="18"/>
              </w:rPr>
              <w:t>Hourly Cost</w:t>
            </w:r>
          </w:p>
        </w:tc>
        <w:tc>
          <w:tcPr>
            <w:tcW w:w="1125" w:type="dxa"/>
            <w:vAlign w:val="center"/>
          </w:tcPr>
          <w:p w:rsidR="003F1D30" w:rsidRPr="00901CD6" w:rsidRDefault="003F1D30" w:rsidP="00986A69">
            <w:pPr>
              <w:jc w:val="center"/>
              <w:rPr>
                <w:rFonts w:ascii="Arial" w:hAnsi="Arial" w:cs="Arial"/>
                <w:sz w:val="18"/>
              </w:rPr>
            </w:pPr>
            <w:r w:rsidRPr="00901CD6">
              <w:rPr>
                <w:rFonts w:ascii="Arial" w:hAnsi="Arial" w:cs="Arial"/>
                <w:sz w:val="18"/>
              </w:rPr>
              <w:t>**Annual Cost</w:t>
            </w:r>
          </w:p>
        </w:tc>
      </w:tr>
      <w:tr w:rsidR="003F1D30" w:rsidRPr="00901CD6" w:rsidTr="00986A69">
        <w:trPr>
          <w:cantSplit/>
        </w:trPr>
        <w:tc>
          <w:tcPr>
            <w:tcW w:w="10548" w:type="dxa"/>
            <w:gridSpan w:val="8"/>
          </w:tcPr>
          <w:p w:rsidR="003F1D30" w:rsidRPr="00901CD6" w:rsidRDefault="003F1D30" w:rsidP="00986A69">
            <w:pPr>
              <w:pStyle w:val="Heading4"/>
              <w:rPr>
                <w:color w:val="auto"/>
              </w:rPr>
            </w:pPr>
            <w:r w:rsidRPr="00901CD6">
              <w:rPr>
                <w:color w:val="auto"/>
              </w:rPr>
              <w:t>HUD-92464</w:t>
            </w:r>
          </w:p>
        </w:tc>
      </w:tr>
      <w:tr w:rsidR="00083560" w:rsidRPr="00901CD6" w:rsidTr="00986A69">
        <w:trPr>
          <w:cantSplit/>
        </w:trPr>
        <w:tc>
          <w:tcPr>
            <w:tcW w:w="2143" w:type="dxa"/>
          </w:tcPr>
          <w:p w:rsidR="00083560" w:rsidRPr="00901CD6" w:rsidRDefault="00083560" w:rsidP="00986A69">
            <w:pPr>
              <w:spacing w:before="60"/>
              <w:rPr>
                <w:rFonts w:ascii="Arial" w:hAnsi="Arial" w:cs="Arial"/>
                <w:b/>
                <w:bCs/>
                <w:sz w:val="18"/>
              </w:rPr>
            </w:pPr>
            <w:r w:rsidRPr="00901CD6">
              <w:rPr>
                <w:rFonts w:ascii="Arial" w:hAnsi="Arial" w:cs="Arial"/>
                <w:b/>
                <w:bCs/>
                <w:sz w:val="18"/>
              </w:rPr>
              <w:t>Lending Institution (depository)</w:t>
            </w:r>
          </w:p>
        </w:tc>
        <w:tc>
          <w:tcPr>
            <w:tcW w:w="1277" w:type="dxa"/>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94</w:t>
            </w:r>
          </w:p>
        </w:tc>
        <w:tc>
          <w:tcPr>
            <w:tcW w:w="1260" w:type="dxa"/>
            <w:vMerge w:val="restart"/>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*3</w:t>
            </w:r>
          </w:p>
        </w:tc>
        <w:tc>
          <w:tcPr>
            <w:tcW w:w="1170" w:type="dxa"/>
            <w:vMerge w:val="restart"/>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3720</w:t>
            </w:r>
          </w:p>
        </w:tc>
        <w:tc>
          <w:tcPr>
            <w:tcW w:w="1440" w:type="dxa"/>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.50</w:t>
            </w:r>
          </w:p>
        </w:tc>
        <w:tc>
          <w:tcPr>
            <w:tcW w:w="1350" w:type="dxa"/>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1,860</w:t>
            </w:r>
          </w:p>
        </w:tc>
        <w:tc>
          <w:tcPr>
            <w:tcW w:w="783" w:type="dxa"/>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$30</w:t>
            </w:r>
          </w:p>
        </w:tc>
        <w:tc>
          <w:tcPr>
            <w:tcW w:w="1125" w:type="dxa"/>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w:t>
            </w:r>
            <w:r>
              <w:rPr>
                <w:rFonts w:ascii="Arial" w:hAnsi="Arial" w:cs="Arial"/>
                <w:b/>
                <w:bCs/>
                <w:sz w:val="18"/>
              </w:rPr>
              <w:t>55,800</w:t>
            </w:r>
          </w:p>
        </w:tc>
      </w:tr>
      <w:tr w:rsidR="00083560" w:rsidRPr="00901CD6" w:rsidTr="00986A69">
        <w:trPr>
          <w:cantSplit/>
        </w:trPr>
        <w:tc>
          <w:tcPr>
            <w:tcW w:w="2143" w:type="dxa"/>
          </w:tcPr>
          <w:p w:rsidR="00083560" w:rsidRPr="00901CD6" w:rsidRDefault="00083560" w:rsidP="00986A69">
            <w:pPr>
              <w:spacing w:before="60"/>
              <w:rPr>
                <w:rFonts w:ascii="Arial" w:hAnsi="Arial" w:cs="Arial"/>
                <w:b/>
                <w:bCs/>
                <w:sz w:val="18"/>
              </w:rPr>
            </w:pPr>
            <w:r w:rsidRPr="00901CD6">
              <w:rPr>
                <w:rFonts w:ascii="Arial" w:hAnsi="Arial" w:cs="Arial"/>
                <w:b/>
                <w:bCs/>
                <w:sz w:val="18"/>
              </w:rPr>
              <w:t>Lender employee</w:t>
            </w:r>
          </w:p>
        </w:tc>
        <w:tc>
          <w:tcPr>
            <w:tcW w:w="1277" w:type="dxa"/>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1150</w:t>
            </w:r>
          </w:p>
        </w:tc>
        <w:tc>
          <w:tcPr>
            <w:tcW w:w="1260" w:type="dxa"/>
            <w:vMerge/>
            <w:vAlign w:val="center"/>
          </w:tcPr>
          <w:p w:rsidR="00083560" w:rsidRPr="00901CD6" w:rsidRDefault="00083560" w:rsidP="00986A69">
            <w:pPr>
              <w:spacing w:before="60"/>
              <w:jc w:val="center"/>
              <w:rPr>
                <w:rFonts w:ascii="Arial" w:hAnsi="Arial" w:cs="Arial"/>
                <w:b/>
                <w:bCs/>
                <w:sz w:val="18"/>
              </w:rPr>
            </w:pPr>
          </w:p>
        </w:tc>
        <w:tc>
          <w:tcPr>
            <w:tcW w:w="1170" w:type="dxa"/>
            <w:vMerge/>
            <w:vAlign w:val="center"/>
          </w:tcPr>
          <w:p w:rsidR="00083560" w:rsidRPr="00901CD6" w:rsidRDefault="00083560" w:rsidP="00986A69">
            <w:pPr>
              <w:spacing w:before="60"/>
              <w:jc w:val="center"/>
              <w:rPr>
                <w:rFonts w:ascii="Arial" w:hAnsi="Arial" w:cs="Arial"/>
                <w:b/>
                <w:bCs/>
                <w:sz w:val="18"/>
              </w:rPr>
            </w:pPr>
          </w:p>
        </w:tc>
        <w:tc>
          <w:tcPr>
            <w:tcW w:w="1440" w:type="dxa"/>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.75</w:t>
            </w:r>
          </w:p>
        </w:tc>
        <w:tc>
          <w:tcPr>
            <w:tcW w:w="1350" w:type="dxa"/>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2,790</w:t>
            </w:r>
          </w:p>
        </w:tc>
        <w:tc>
          <w:tcPr>
            <w:tcW w:w="783" w:type="dxa"/>
            <w:vAlign w:val="center"/>
          </w:tcPr>
          <w:p w:rsidR="00083560" w:rsidRPr="00901CD6" w:rsidRDefault="00083560" w:rsidP="00986A69">
            <w:pPr>
              <w:spacing w:before="60"/>
              <w:jc w:val="center"/>
              <w:rPr>
                <w:rFonts w:ascii="Arial" w:hAnsi="Arial" w:cs="Arial"/>
                <w:b/>
                <w:bCs/>
                <w:sz w:val="18"/>
              </w:rPr>
            </w:pPr>
            <w:r w:rsidRPr="00901CD6">
              <w:rPr>
                <w:rFonts w:ascii="Arial" w:hAnsi="Arial" w:cs="Arial"/>
                <w:b/>
                <w:bCs/>
                <w:sz w:val="18"/>
              </w:rPr>
              <w:t>$17</w:t>
            </w:r>
          </w:p>
        </w:tc>
        <w:tc>
          <w:tcPr>
            <w:tcW w:w="1125" w:type="dxa"/>
            <w:vAlign w:val="center"/>
          </w:tcPr>
          <w:p w:rsidR="00083560" w:rsidRPr="00901CD6" w:rsidRDefault="00083560" w:rsidP="00986A69">
            <w:pPr>
              <w:spacing w:before="60"/>
              <w:jc w:val="center"/>
              <w:rPr>
                <w:rFonts w:ascii="Arial" w:hAnsi="Arial" w:cs="Arial"/>
                <w:b/>
                <w:bCs/>
                <w:sz w:val="18"/>
              </w:rPr>
            </w:pPr>
            <w:r>
              <w:rPr>
                <w:rFonts w:ascii="Arial" w:hAnsi="Arial" w:cs="Arial"/>
                <w:b/>
                <w:bCs/>
                <w:sz w:val="18"/>
              </w:rPr>
              <w:t>47,430</w:t>
            </w:r>
          </w:p>
        </w:tc>
      </w:tr>
      <w:tr w:rsidR="003F1D30" w:rsidRPr="00901CD6" w:rsidTr="00986A69">
        <w:tc>
          <w:tcPr>
            <w:tcW w:w="2143" w:type="dxa"/>
          </w:tcPr>
          <w:p w:rsidR="003F1D30" w:rsidRPr="00901CD6" w:rsidRDefault="003F1D30" w:rsidP="00986A69">
            <w:pPr>
              <w:spacing w:before="60"/>
              <w:rPr>
                <w:rFonts w:ascii="Arial" w:hAnsi="Arial" w:cs="Arial"/>
                <w:b/>
                <w:bCs/>
                <w:sz w:val="18"/>
              </w:rPr>
            </w:pPr>
            <w:r w:rsidRPr="00901CD6">
              <w:rPr>
                <w:rFonts w:ascii="Arial" w:hAnsi="Arial" w:cs="Arial"/>
                <w:b/>
                <w:bCs/>
                <w:sz w:val="18"/>
              </w:rPr>
              <w:t>Owner/Mortgagor (borrower)</w:t>
            </w:r>
          </w:p>
        </w:tc>
        <w:tc>
          <w:tcPr>
            <w:tcW w:w="1277" w:type="dxa"/>
            <w:vAlign w:val="center"/>
          </w:tcPr>
          <w:p w:rsidR="003F1D30" w:rsidRPr="00901CD6" w:rsidRDefault="003F1D30" w:rsidP="00986A69">
            <w:pPr>
              <w:spacing w:before="60"/>
              <w:jc w:val="center"/>
              <w:rPr>
                <w:rFonts w:ascii="Arial" w:hAnsi="Arial" w:cs="Arial"/>
                <w:b/>
                <w:bCs/>
                <w:sz w:val="18"/>
              </w:rPr>
            </w:pPr>
            <w:r>
              <w:rPr>
                <w:rFonts w:ascii="Arial" w:hAnsi="Arial" w:cs="Arial"/>
                <w:b/>
                <w:bCs/>
                <w:sz w:val="18"/>
              </w:rPr>
              <w:t>1,240</w:t>
            </w:r>
          </w:p>
        </w:tc>
        <w:tc>
          <w:tcPr>
            <w:tcW w:w="1260" w:type="dxa"/>
            <w:vAlign w:val="center"/>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*3</w:t>
            </w:r>
          </w:p>
        </w:tc>
        <w:tc>
          <w:tcPr>
            <w:tcW w:w="1170" w:type="dxa"/>
            <w:vAlign w:val="center"/>
          </w:tcPr>
          <w:p w:rsidR="003F1D30" w:rsidRPr="00901CD6" w:rsidRDefault="003F1D30" w:rsidP="00986A69">
            <w:pPr>
              <w:spacing w:before="60"/>
              <w:jc w:val="center"/>
              <w:rPr>
                <w:rFonts w:ascii="Arial" w:hAnsi="Arial" w:cs="Arial"/>
                <w:b/>
                <w:bCs/>
                <w:sz w:val="18"/>
              </w:rPr>
            </w:pPr>
            <w:r>
              <w:rPr>
                <w:rFonts w:ascii="Arial" w:hAnsi="Arial" w:cs="Arial"/>
                <w:b/>
                <w:bCs/>
                <w:sz w:val="18"/>
              </w:rPr>
              <w:t>3720</w:t>
            </w:r>
          </w:p>
        </w:tc>
        <w:tc>
          <w:tcPr>
            <w:tcW w:w="1440" w:type="dxa"/>
            <w:vAlign w:val="center"/>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.75</w:t>
            </w:r>
          </w:p>
        </w:tc>
        <w:tc>
          <w:tcPr>
            <w:tcW w:w="1350" w:type="dxa"/>
            <w:vAlign w:val="center"/>
          </w:tcPr>
          <w:p w:rsidR="003F1D30" w:rsidRPr="00901CD6" w:rsidRDefault="003F1D30" w:rsidP="00986A69">
            <w:pPr>
              <w:spacing w:before="60"/>
              <w:jc w:val="center"/>
              <w:rPr>
                <w:rFonts w:ascii="Arial" w:hAnsi="Arial" w:cs="Arial"/>
                <w:b/>
                <w:bCs/>
                <w:sz w:val="18"/>
              </w:rPr>
            </w:pPr>
            <w:r>
              <w:rPr>
                <w:rFonts w:ascii="Arial" w:hAnsi="Arial" w:cs="Arial"/>
                <w:b/>
                <w:bCs/>
                <w:sz w:val="18"/>
              </w:rPr>
              <w:t>2,790</w:t>
            </w:r>
          </w:p>
        </w:tc>
        <w:tc>
          <w:tcPr>
            <w:tcW w:w="783" w:type="dxa"/>
            <w:vAlign w:val="center"/>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$50</w:t>
            </w:r>
          </w:p>
        </w:tc>
        <w:tc>
          <w:tcPr>
            <w:tcW w:w="1125" w:type="dxa"/>
            <w:vAlign w:val="center"/>
          </w:tcPr>
          <w:p w:rsidR="003F1D30" w:rsidRPr="00901CD6" w:rsidRDefault="003F1D30" w:rsidP="00986A69">
            <w:pPr>
              <w:spacing w:before="60"/>
              <w:jc w:val="center"/>
              <w:rPr>
                <w:rFonts w:ascii="Arial" w:hAnsi="Arial" w:cs="Arial"/>
                <w:b/>
                <w:bCs/>
                <w:sz w:val="18"/>
              </w:rPr>
            </w:pPr>
            <w:r>
              <w:rPr>
                <w:rFonts w:ascii="Arial" w:hAnsi="Arial" w:cs="Arial"/>
                <w:b/>
                <w:bCs/>
                <w:sz w:val="18"/>
              </w:rPr>
              <w:t>139,500</w:t>
            </w:r>
          </w:p>
        </w:tc>
      </w:tr>
      <w:tr w:rsidR="003F1D30" w:rsidRPr="00901CD6" w:rsidTr="00986A69">
        <w:tc>
          <w:tcPr>
            <w:tcW w:w="2143" w:type="dxa"/>
          </w:tcPr>
          <w:p w:rsidR="003F1D30" w:rsidRPr="00901CD6" w:rsidRDefault="003F1D30" w:rsidP="00986A69">
            <w:pPr>
              <w:spacing w:before="60"/>
              <w:rPr>
                <w:rFonts w:ascii="Arial" w:hAnsi="Arial" w:cs="Arial"/>
                <w:b/>
                <w:bCs/>
                <w:sz w:val="18"/>
              </w:rPr>
            </w:pPr>
            <w:r w:rsidRPr="00901CD6">
              <w:rPr>
                <w:rFonts w:ascii="Arial" w:hAnsi="Arial" w:cs="Arial"/>
                <w:b/>
                <w:bCs/>
                <w:sz w:val="18"/>
              </w:rPr>
              <w:t>Total</w:t>
            </w:r>
          </w:p>
        </w:tc>
        <w:tc>
          <w:tcPr>
            <w:tcW w:w="1277" w:type="dxa"/>
          </w:tcPr>
          <w:p w:rsidR="003F1D30" w:rsidRPr="00901CD6" w:rsidRDefault="00083560" w:rsidP="00986A69">
            <w:pPr>
              <w:spacing w:before="60"/>
              <w:jc w:val="center"/>
              <w:rPr>
                <w:rFonts w:ascii="Arial" w:hAnsi="Arial" w:cs="Arial"/>
                <w:b/>
                <w:bCs/>
                <w:sz w:val="18"/>
              </w:rPr>
            </w:pPr>
            <w:r>
              <w:rPr>
                <w:rFonts w:ascii="Arial" w:hAnsi="Arial" w:cs="Arial"/>
                <w:b/>
                <w:bCs/>
                <w:sz w:val="18"/>
              </w:rPr>
              <w:t>2,484</w:t>
            </w:r>
          </w:p>
        </w:tc>
        <w:tc>
          <w:tcPr>
            <w:tcW w:w="1260" w:type="dxa"/>
          </w:tcPr>
          <w:p w:rsidR="003F1D30" w:rsidRPr="00901CD6" w:rsidRDefault="003F1D30" w:rsidP="00986A69">
            <w:pPr>
              <w:spacing w:before="60"/>
              <w:jc w:val="center"/>
              <w:rPr>
                <w:rFonts w:ascii="Arial" w:hAnsi="Arial" w:cs="Arial"/>
                <w:b/>
                <w:bCs/>
                <w:sz w:val="18"/>
              </w:rPr>
            </w:pPr>
          </w:p>
        </w:tc>
        <w:tc>
          <w:tcPr>
            <w:tcW w:w="1170" w:type="dxa"/>
          </w:tcPr>
          <w:p w:rsidR="003F1D30" w:rsidRPr="00901CD6" w:rsidRDefault="00083560" w:rsidP="00083560">
            <w:pPr>
              <w:spacing w:before="60"/>
              <w:jc w:val="center"/>
              <w:rPr>
                <w:rFonts w:ascii="Arial" w:hAnsi="Arial" w:cs="Arial"/>
                <w:b/>
                <w:bCs/>
                <w:sz w:val="18"/>
              </w:rPr>
            </w:pPr>
            <w:r>
              <w:rPr>
                <w:rFonts w:ascii="Arial" w:hAnsi="Arial" w:cs="Arial"/>
                <w:b/>
                <w:bCs/>
                <w:sz w:val="18"/>
              </w:rPr>
              <w:t>7,440</w:t>
            </w:r>
          </w:p>
        </w:tc>
        <w:tc>
          <w:tcPr>
            <w:tcW w:w="1440" w:type="dxa"/>
          </w:tcPr>
          <w:p w:rsidR="003F1D30" w:rsidRPr="00901CD6" w:rsidRDefault="003F1D30" w:rsidP="00986A69">
            <w:pPr>
              <w:spacing w:before="60"/>
              <w:jc w:val="center"/>
              <w:rPr>
                <w:rFonts w:ascii="Arial" w:hAnsi="Arial" w:cs="Arial"/>
                <w:b/>
                <w:bCs/>
                <w:sz w:val="18"/>
              </w:rPr>
            </w:pPr>
          </w:p>
        </w:tc>
        <w:tc>
          <w:tcPr>
            <w:tcW w:w="1350" w:type="dxa"/>
          </w:tcPr>
          <w:p w:rsidR="003F1D30" w:rsidRPr="00901CD6" w:rsidRDefault="00083560" w:rsidP="00986A69">
            <w:pPr>
              <w:spacing w:before="60"/>
              <w:jc w:val="center"/>
              <w:rPr>
                <w:rFonts w:ascii="Arial" w:hAnsi="Arial" w:cs="Arial"/>
                <w:b/>
                <w:bCs/>
                <w:sz w:val="18"/>
              </w:rPr>
            </w:pPr>
            <w:r>
              <w:rPr>
                <w:rFonts w:ascii="Arial" w:hAnsi="Arial" w:cs="Arial"/>
                <w:b/>
                <w:bCs/>
                <w:sz w:val="18"/>
              </w:rPr>
              <w:t>7,440</w:t>
            </w:r>
          </w:p>
        </w:tc>
        <w:tc>
          <w:tcPr>
            <w:tcW w:w="783" w:type="dxa"/>
          </w:tcPr>
          <w:p w:rsidR="003F1D30" w:rsidRPr="00901CD6" w:rsidRDefault="003F1D30" w:rsidP="00986A69">
            <w:pPr>
              <w:spacing w:before="60"/>
              <w:jc w:val="center"/>
              <w:rPr>
                <w:rFonts w:ascii="Arial" w:hAnsi="Arial" w:cs="Arial"/>
                <w:b/>
                <w:bCs/>
                <w:sz w:val="18"/>
              </w:rPr>
            </w:pPr>
          </w:p>
        </w:tc>
        <w:tc>
          <w:tcPr>
            <w:tcW w:w="1125" w:type="dxa"/>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w:t>
            </w:r>
            <w:r>
              <w:rPr>
                <w:rFonts w:ascii="Arial" w:hAnsi="Arial" w:cs="Arial"/>
                <w:b/>
                <w:bCs/>
                <w:sz w:val="18"/>
              </w:rPr>
              <w:t>242,730</w:t>
            </w:r>
          </w:p>
        </w:tc>
      </w:tr>
    </w:tbl>
    <w:p w:rsidR="003F1D30" w:rsidRPr="00901CD6" w:rsidRDefault="003F1D30" w:rsidP="003F1D30">
      <w:pPr>
        <w:ind w:left="540" w:hanging="180"/>
      </w:pPr>
    </w:p>
    <w:p w:rsidR="003F1D30" w:rsidRDefault="003F1D30" w:rsidP="003F1D30">
      <w:pPr>
        <w:ind w:left="540" w:hanging="180"/>
      </w:pPr>
      <w:r w:rsidRPr="00901CD6">
        <w:t>*</w:t>
      </w:r>
      <w:r w:rsidRPr="00901CD6">
        <w:tab/>
      </w:r>
      <w:r w:rsidR="008E11FC">
        <w:t xml:space="preserve">Respondents generally submit </w:t>
      </w:r>
      <w:r w:rsidR="00083560">
        <w:t>2-3</w:t>
      </w:r>
      <w:r w:rsidRPr="00901CD6">
        <w:t xml:space="preserve"> responses for the same project.  So collection of information could occur multiply times for each escrow fund:  off-site facilities, construction changes, construction costs not paid at final endorsement, non-critical repairs, or capital needs assessment.  </w:t>
      </w:r>
    </w:p>
    <w:p w:rsidR="00083560" w:rsidRDefault="00083560" w:rsidP="003F1D30">
      <w:pPr>
        <w:ind w:left="540" w:hanging="180"/>
      </w:pPr>
    </w:p>
    <w:p w:rsidR="003F1D30" w:rsidRPr="00901CD6" w:rsidRDefault="003F1D30" w:rsidP="003F1D30">
      <w:pPr>
        <w:ind w:left="540" w:hanging="540"/>
        <w:rPr>
          <w:sz w:val="24"/>
        </w:rPr>
      </w:pPr>
      <w:bookmarkStart w:id="0" w:name="_GoBack"/>
      <w:bookmarkEnd w:id="0"/>
      <w:r>
        <w:rPr>
          <w:sz w:val="24"/>
        </w:rPr>
        <w:t xml:space="preserve">13. </w:t>
      </w:r>
      <w:r>
        <w:rPr>
          <w:sz w:val="24"/>
        </w:rPr>
        <w:tab/>
      </w:r>
      <w:r w:rsidRPr="00901CD6">
        <w:rPr>
          <w:sz w:val="24"/>
        </w:rPr>
        <w:t>There is no capital/startup costs associated with this collection.</w:t>
      </w:r>
    </w:p>
    <w:p w:rsidR="003F1D30" w:rsidRPr="00901CD6" w:rsidRDefault="003F1D30" w:rsidP="003F1D30">
      <w:pPr>
        <w:rPr>
          <w:sz w:val="24"/>
        </w:rPr>
      </w:pPr>
    </w:p>
    <w:p w:rsidR="003F1D30" w:rsidRPr="00901CD6" w:rsidRDefault="003F1D30" w:rsidP="003F1D30">
      <w:pPr>
        <w:tabs>
          <w:tab w:val="left" w:pos="360"/>
        </w:tabs>
        <w:ind w:left="540" w:hanging="540"/>
        <w:rPr>
          <w:sz w:val="24"/>
        </w:rPr>
      </w:pPr>
      <w:r w:rsidRPr="0023491A">
        <w:rPr>
          <w:bCs/>
          <w:sz w:val="24"/>
        </w:rPr>
        <w:t>14.</w:t>
      </w:r>
      <w:r>
        <w:rPr>
          <w:sz w:val="24"/>
        </w:rPr>
        <w:t xml:space="preserve">  </w:t>
      </w:r>
      <w:r>
        <w:rPr>
          <w:sz w:val="24"/>
        </w:rPr>
        <w:tab/>
      </w:r>
      <w:r w:rsidRPr="00901CD6">
        <w:rPr>
          <w:sz w:val="24"/>
        </w:rPr>
        <w:t>Annualized cost to the Federal Government.</w:t>
      </w:r>
    </w:p>
    <w:p w:rsidR="003F1D30" w:rsidRPr="00901CD6" w:rsidRDefault="003F1D30" w:rsidP="003F1D30">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716"/>
        <w:gridCol w:w="1716"/>
        <w:gridCol w:w="1716"/>
        <w:gridCol w:w="1716"/>
        <w:gridCol w:w="1716"/>
      </w:tblGrid>
      <w:tr w:rsidR="003F1D30" w:rsidRPr="00901CD6" w:rsidTr="00986A69">
        <w:tc>
          <w:tcPr>
            <w:tcW w:w="1320" w:type="dxa"/>
            <w:vAlign w:val="center"/>
          </w:tcPr>
          <w:p w:rsidR="003F1D30" w:rsidRPr="00901CD6" w:rsidRDefault="003F1D30" w:rsidP="00986A69">
            <w:pPr>
              <w:jc w:val="center"/>
              <w:rPr>
                <w:rFonts w:ascii="Arial" w:hAnsi="Arial" w:cs="Arial"/>
                <w:sz w:val="18"/>
              </w:rPr>
            </w:pPr>
          </w:p>
        </w:tc>
        <w:tc>
          <w:tcPr>
            <w:tcW w:w="1716" w:type="dxa"/>
            <w:vAlign w:val="center"/>
          </w:tcPr>
          <w:p w:rsidR="003F1D30" w:rsidRPr="00901CD6" w:rsidRDefault="003F1D30" w:rsidP="00986A69">
            <w:pPr>
              <w:jc w:val="center"/>
              <w:rPr>
                <w:rFonts w:ascii="Arial" w:hAnsi="Arial" w:cs="Arial"/>
                <w:sz w:val="18"/>
              </w:rPr>
            </w:pPr>
            <w:r w:rsidRPr="00901CD6">
              <w:rPr>
                <w:rFonts w:ascii="Arial" w:hAnsi="Arial" w:cs="Arial"/>
                <w:sz w:val="18"/>
              </w:rPr>
              <w:t>Responses Per Annum</w:t>
            </w:r>
          </w:p>
        </w:tc>
        <w:tc>
          <w:tcPr>
            <w:tcW w:w="1716" w:type="dxa"/>
            <w:vAlign w:val="center"/>
          </w:tcPr>
          <w:p w:rsidR="003F1D30" w:rsidRPr="00901CD6" w:rsidRDefault="003F1D30" w:rsidP="00986A69">
            <w:pPr>
              <w:jc w:val="center"/>
              <w:rPr>
                <w:rFonts w:ascii="Arial" w:hAnsi="Arial" w:cs="Arial"/>
                <w:sz w:val="18"/>
              </w:rPr>
            </w:pPr>
            <w:r w:rsidRPr="00901CD6">
              <w:rPr>
                <w:rFonts w:ascii="Arial" w:hAnsi="Arial" w:cs="Arial"/>
                <w:sz w:val="18"/>
              </w:rPr>
              <w:t>Burden Hour Per Response</w:t>
            </w:r>
          </w:p>
        </w:tc>
        <w:tc>
          <w:tcPr>
            <w:tcW w:w="1716" w:type="dxa"/>
            <w:vAlign w:val="center"/>
          </w:tcPr>
          <w:p w:rsidR="003F1D30" w:rsidRPr="00901CD6" w:rsidRDefault="003F1D30" w:rsidP="00986A69">
            <w:pPr>
              <w:jc w:val="center"/>
              <w:rPr>
                <w:rFonts w:ascii="Arial" w:hAnsi="Arial" w:cs="Arial"/>
                <w:sz w:val="18"/>
              </w:rPr>
            </w:pPr>
            <w:r w:rsidRPr="00901CD6">
              <w:rPr>
                <w:rFonts w:ascii="Arial" w:hAnsi="Arial" w:cs="Arial"/>
                <w:sz w:val="18"/>
              </w:rPr>
              <w:t>Annual Burden Hours</w:t>
            </w:r>
          </w:p>
        </w:tc>
        <w:tc>
          <w:tcPr>
            <w:tcW w:w="1716" w:type="dxa"/>
            <w:vAlign w:val="center"/>
          </w:tcPr>
          <w:p w:rsidR="003F1D30" w:rsidRPr="00901CD6" w:rsidRDefault="003F1D30" w:rsidP="00986A69">
            <w:pPr>
              <w:jc w:val="center"/>
              <w:rPr>
                <w:rFonts w:ascii="Arial" w:hAnsi="Arial" w:cs="Arial"/>
                <w:sz w:val="18"/>
              </w:rPr>
            </w:pPr>
            <w:r w:rsidRPr="00901CD6">
              <w:rPr>
                <w:rFonts w:ascii="Arial" w:hAnsi="Arial" w:cs="Arial"/>
                <w:sz w:val="18"/>
              </w:rPr>
              <w:t>*Hourly Cost</w:t>
            </w:r>
          </w:p>
        </w:tc>
        <w:tc>
          <w:tcPr>
            <w:tcW w:w="1716" w:type="dxa"/>
            <w:vAlign w:val="center"/>
          </w:tcPr>
          <w:p w:rsidR="003F1D30" w:rsidRPr="00901CD6" w:rsidRDefault="003F1D30" w:rsidP="00986A69">
            <w:pPr>
              <w:jc w:val="center"/>
              <w:rPr>
                <w:rFonts w:ascii="Arial" w:hAnsi="Arial" w:cs="Arial"/>
                <w:sz w:val="18"/>
              </w:rPr>
            </w:pPr>
            <w:r w:rsidRPr="00901CD6">
              <w:rPr>
                <w:rFonts w:ascii="Arial" w:hAnsi="Arial" w:cs="Arial"/>
                <w:sz w:val="18"/>
              </w:rPr>
              <w:t>Annual Cost</w:t>
            </w:r>
          </w:p>
        </w:tc>
      </w:tr>
      <w:tr w:rsidR="003F1D30" w:rsidRPr="00901CD6" w:rsidTr="00986A69">
        <w:tc>
          <w:tcPr>
            <w:tcW w:w="1320" w:type="dxa"/>
          </w:tcPr>
          <w:p w:rsidR="003F1D30" w:rsidRPr="00901CD6" w:rsidRDefault="003F1D30" w:rsidP="00986A69">
            <w:pPr>
              <w:spacing w:before="60"/>
              <w:rPr>
                <w:rFonts w:ascii="Arial" w:hAnsi="Arial" w:cs="Arial"/>
                <w:b/>
                <w:bCs/>
                <w:sz w:val="18"/>
              </w:rPr>
            </w:pPr>
            <w:r w:rsidRPr="00901CD6">
              <w:rPr>
                <w:rFonts w:ascii="Arial" w:hAnsi="Arial" w:cs="Arial"/>
                <w:b/>
                <w:bCs/>
                <w:sz w:val="18"/>
              </w:rPr>
              <w:t>HUD-92464</w:t>
            </w:r>
          </w:p>
        </w:tc>
        <w:tc>
          <w:tcPr>
            <w:tcW w:w="1716" w:type="dxa"/>
          </w:tcPr>
          <w:p w:rsidR="003F1D30" w:rsidRPr="00901CD6" w:rsidRDefault="003F1D30" w:rsidP="00986A69">
            <w:pPr>
              <w:spacing w:before="60"/>
              <w:jc w:val="center"/>
              <w:rPr>
                <w:rFonts w:ascii="Arial" w:hAnsi="Arial" w:cs="Arial"/>
                <w:b/>
                <w:bCs/>
                <w:sz w:val="18"/>
              </w:rPr>
            </w:pPr>
            <w:r>
              <w:rPr>
                <w:rFonts w:ascii="Arial" w:hAnsi="Arial" w:cs="Arial"/>
                <w:b/>
                <w:bCs/>
                <w:sz w:val="18"/>
              </w:rPr>
              <w:t>7,440</w:t>
            </w:r>
          </w:p>
        </w:tc>
        <w:tc>
          <w:tcPr>
            <w:tcW w:w="1716" w:type="dxa"/>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2</w:t>
            </w:r>
          </w:p>
        </w:tc>
        <w:tc>
          <w:tcPr>
            <w:tcW w:w="1716" w:type="dxa"/>
          </w:tcPr>
          <w:p w:rsidR="003F1D30" w:rsidRPr="00901CD6" w:rsidRDefault="003F1D30" w:rsidP="00986A69">
            <w:pPr>
              <w:spacing w:before="60"/>
              <w:jc w:val="center"/>
              <w:rPr>
                <w:rFonts w:ascii="Arial" w:hAnsi="Arial" w:cs="Arial"/>
                <w:b/>
                <w:bCs/>
                <w:sz w:val="18"/>
              </w:rPr>
            </w:pPr>
            <w:r>
              <w:rPr>
                <w:rFonts w:ascii="Arial" w:hAnsi="Arial" w:cs="Arial"/>
                <w:b/>
                <w:bCs/>
                <w:sz w:val="18"/>
              </w:rPr>
              <w:t>14,880</w:t>
            </w:r>
          </w:p>
        </w:tc>
        <w:tc>
          <w:tcPr>
            <w:tcW w:w="1716" w:type="dxa"/>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w:t>
            </w:r>
            <w:r>
              <w:rPr>
                <w:rFonts w:ascii="Arial" w:hAnsi="Arial" w:cs="Arial"/>
                <w:b/>
                <w:bCs/>
                <w:sz w:val="18"/>
              </w:rPr>
              <w:t>41.00</w:t>
            </w:r>
          </w:p>
        </w:tc>
        <w:tc>
          <w:tcPr>
            <w:tcW w:w="1716" w:type="dxa"/>
          </w:tcPr>
          <w:p w:rsidR="003F1D30" w:rsidRPr="00901CD6" w:rsidRDefault="003F1D30" w:rsidP="00986A69">
            <w:pPr>
              <w:spacing w:before="60"/>
              <w:jc w:val="center"/>
              <w:rPr>
                <w:rFonts w:ascii="Arial" w:hAnsi="Arial" w:cs="Arial"/>
                <w:b/>
                <w:bCs/>
                <w:sz w:val="18"/>
              </w:rPr>
            </w:pPr>
            <w:r w:rsidRPr="00901CD6">
              <w:rPr>
                <w:rFonts w:ascii="Arial" w:hAnsi="Arial" w:cs="Arial"/>
                <w:b/>
                <w:bCs/>
                <w:sz w:val="18"/>
              </w:rPr>
              <w:t>$</w:t>
            </w:r>
            <w:r>
              <w:rPr>
                <w:rFonts w:ascii="Arial" w:hAnsi="Arial" w:cs="Arial"/>
                <w:b/>
                <w:bCs/>
                <w:sz w:val="18"/>
              </w:rPr>
              <w:t>610,080</w:t>
            </w:r>
          </w:p>
        </w:tc>
      </w:tr>
    </w:tbl>
    <w:p w:rsidR="003F1D30" w:rsidRPr="00901CD6" w:rsidRDefault="003F1D30" w:rsidP="003F1D30">
      <w:pPr>
        <w:pStyle w:val="BodyTextIndent"/>
        <w:ind w:left="720"/>
        <w:rPr>
          <w:sz w:val="20"/>
        </w:rPr>
      </w:pPr>
      <w:r w:rsidRPr="00901CD6">
        <w:rPr>
          <w:sz w:val="20"/>
        </w:rPr>
        <w:t>Estimated annualized Federal government cost is based on the annual salary of a GS-12, Step-</w:t>
      </w:r>
      <w:r>
        <w:rPr>
          <w:sz w:val="20"/>
        </w:rPr>
        <w:t>7</w:t>
      </w:r>
      <w:r w:rsidRPr="00901CD6">
        <w:rPr>
          <w:sz w:val="20"/>
        </w:rPr>
        <w:t>.</w:t>
      </w:r>
    </w:p>
    <w:p w:rsidR="003F1D30" w:rsidRPr="00901CD6" w:rsidRDefault="003F1D30" w:rsidP="003F1D30">
      <w:pPr>
        <w:rPr>
          <w:sz w:val="24"/>
        </w:rPr>
      </w:pPr>
    </w:p>
    <w:p w:rsidR="0041471C" w:rsidRPr="0041471C" w:rsidRDefault="003F1D30" w:rsidP="0041471C">
      <w:pPr>
        <w:ind w:left="540" w:hanging="540"/>
        <w:rPr>
          <w:color w:val="0070C0"/>
          <w:sz w:val="24"/>
          <w:szCs w:val="24"/>
        </w:rPr>
      </w:pPr>
      <w:r w:rsidRPr="0041471C">
        <w:rPr>
          <w:bCs/>
          <w:sz w:val="24"/>
          <w:szCs w:val="24"/>
        </w:rPr>
        <w:t xml:space="preserve">15.    </w:t>
      </w:r>
      <w:r w:rsidRPr="0041471C">
        <w:rPr>
          <w:sz w:val="24"/>
          <w:szCs w:val="24"/>
        </w:rPr>
        <w:t xml:space="preserve">This is an extension of a currently approved collection.  There has been no program change. </w:t>
      </w:r>
      <w:r w:rsidR="0041471C" w:rsidRPr="0041471C">
        <w:rPr>
          <w:sz w:val="24"/>
          <w:szCs w:val="24"/>
        </w:rPr>
        <w:t xml:space="preserve">However, the number of respondents increased due to more accurate reporting.  The threshold </w:t>
      </w:r>
      <w:r w:rsidR="0041471C">
        <w:rPr>
          <w:sz w:val="24"/>
          <w:szCs w:val="24"/>
        </w:rPr>
        <w:t xml:space="preserve">for submissions </w:t>
      </w:r>
      <w:r w:rsidR="0041471C" w:rsidRPr="0041471C">
        <w:rPr>
          <w:sz w:val="24"/>
          <w:szCs w:val="24"/>
        </w:rPr>
        <w:t>remained the same</w:t>
      </w:r>
      <w:r w:rsidR="0041471C">
        <w:rPr>
          <w:sz w:val="24"/>
          <w:szCs w:val="24"/>
        </w:rPr>
        <w:t>,</w:t>
      </w:r>
      <w:r w:rsidR="0041471C" w:rsidRPr="0041471C">
        <w:rPr>
          <w:sz w:val="24"/>
          <w:szCs w:val="24"/>
        </w:rPr>
        <w:t xml:space="preserve"> at three times.  </w:t>
      </w:r>
      <w:r w:rsidR="0041471C">
        <w:rPr>
          <w:sz w:val="24"/>
          <w:szCs w:val="24"/>
        </w:rPr>
        <w:t>But t</w:t>
      </w:r>
      <w:r w:rsidR="0041471C" w:rsidRPr="0041471C">
        <w:rPr>
          <w:sz w:val="24"/>
          <w:szCs w:val="24"/>
        </w:rPr>
        <w:t>he variation of participation showed from office to office resulted in a decrease in burden hours for the employees as well as lending institutions</w:t>
      </w:r>
      <w:r w:rsidR="0041471C" w:rsidRPr="0041471C">
        <w:rPr>
          <w:color w:val="0070C0"/>
          <w:sz w:val="24"/>
          <w:szCs w:val="24"/>
        </w:rPr>
        <w:t>.   </w:t>
      </w:r>
    </w:p>
    <w:p w:rsidR="003F1D30" w:rsidRPr="0041471C" w:rsidRDefault="003F1D30" w:rsidP="0041471C">
      <w:pPr>
        <w:pStyle w:val="BodyTextIndent"/>
        <w:ind w:left="540" w:hanging="540"/>
      </w:pPr>
    </w:p>
    <w:p w:rsidR="003F1D30" w:rsidRPr="0041471C" w:rsidRDefault="003F1D30" w:rsidP="003F1D30">
      <w:pPr>
        <w:ind w:left="540" w:hanging="540"/>
        <w:rPr>
          <w:sz w:val="24"/>
          <w:szCs w:val="24"/>
        </w:rPr>
      </w:pPr>
      <w:r w:rsidRPr="0041471C">
        <w:rPr>
          <w:sz w:val="24"/>
          <w:szCs w:val="24"/>
        </w:rPr>
        <w:t>16.</w:t>
      </w:r>
      <w:r w:rsidRPr="0041471C">
        <w:rPr>
          <w:sz w:val="24"/>
          <w:szCs w:val="24"/>
        </w:rPr>
        <w:tab/>
        <w:t>HUD will not publish the form’s requested information.  HUD Offices will maintain the information in individual case files until placed in the Washington, DC Docket files.</w:t>
      </w:r>
    </w:p>
    <w:p w:rsidR="003F1D30" w:rsidRPr="0041471C" w:rsidRDefault="003F1D30" w:rsidP="003F1D30">
      <w:pPr>
        <w:rPr>
          <w:sz w:val="24"/>
          <w:szCs w:val="24"/>
        </w:rPr>
      </w:pPr>
    </w:p>
    <w:p w:rsidR="003F1D30" w:rsidRPr="00901CD6" w:rsidRDefault="003F1D30" w:rsidP="003F1D30">
      <w:pPr>
        <w:pStyle w:val="BodyTextIndent"/>
        <w:ind w:left="360" w:hanging="360"/>
      </w:pPr>
      <w:r>
        <w:t xml:space="preserve">17.    </w:t>
      </w:r>
      <w:r w:rsidRPr="00901CD6">
        <w:t>HUD is not seeking approval to avoid displaying the OMB expiration date.</w:t>
      </w:r>
    </w:p>
    <w:p w:rsidR="003F1D30" w:rsidRPr="00901CD6" w:rsidRDefault="003F1D30" w:rsidP="003F1D30">
      <w:pPr>
        <w:rPr>
          <w:sz w:val="24"/>
        </w:rPr>
      </w:pPr>
    </w:p>
    <w:p w:rsidR="003F1D30" w:rsidRPr="00901CD6" w:rsidRDefault="003F1D30" w:rsidP="003F1D30">
      <w:pPr>
        <w:tabs>
          <w:tab w:val="left" w:pos="270"/>
          <w:tab w:val="left" w:pos="450"/>
          <w:tab w:val="left" w:pos="540"/>
        </w:tabs>
        <w:ind w:left="360" w:hanging="360"/>
        <w:rPr>
          <w:sz w:val="24"/>
        </w:rPr>
      </w:pPr>
      <w:r>
        <w:rPr>
          <w:sz w:val="24"/>
        </w:rPr>
        <w:t xml:space="preserve">18.    </w:t>
      </w:r>
      <w:r w:rsidRPr="00901CD6">
        <w:rPr>
          <w:sz w:val="24"/>
        </w:rPr>
        <w:t>There are no exceptions to the Certification Statement identified in item 19 of the OMB 83-I.</w:t>
      </w: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F1D30" w:rsidRPr="00901CD6" w:rsidRDefault="003F1D30" w:rsidP="003F1D30">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901CD6">
        <w:rPr>
          <w:b/>
          <w:sz w:val="24"/>
        </w:rPr>
        <w:t xml:space="preserve">B. </w:t>
      </w:r>
      <w:r w:rsidRPr="00901CD6">
        <w:rPr>
          <w:b/>
          <w:sz w:val="24"/>
        </w:rPr>
        <w:tab/>
        <w:t>Collections of Information Employing Statistical Methods</w:t>
      </w:r>
    </w:p>
    <w:p w:rsidR="003F1D30" w:rsidRPr="00901CD6" w:rsidRDefault="003F1D30" w:rsidP="003F1D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901CD6">
        <w:rPr>
          <w:sz w:val="24"/>
        </w:rPr>
        <w:tab/>
        <w:t>There are no plans to use statistical methods for collecting this information.</w:t>
      </w:r>
    </w:p>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F1D30" w:rsidRPr="00901CD6" w:rsidRDefault="003F1D30" w:rsidP="003F1D30"/>
    <w:p w:rsidR="003F1D30" w:rsidRPr="00901CD6" w:rsidRDefault="003F1D30" w:rsidP="003F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954999" w:rsidRDefault="00954999"/>
    <w:sectPr w:rsidR="00954999">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8E" w:rsidRDefault="00DD6EC5">
      <w:r>
        <w:separator/>
      </w:r>
    </w:p>
  </w:endnote>
  <w:endnote w:type="continuationSeparator" w:id="0">
    <w:p w:rsidR="0065728E" w:rsidRDefault="00DD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93" w:rsidRDefault="003F1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27A0">
      <w:rPr>
        <w:rStyle w:val="PageNumber"/>
        <w:noProof/>
      </w:rPr>
      <w:t>3</w:t>
    </w:r>
    <w:r>
      <w:rPr>
        <w:rStyle w:val="PageNumber"/>
      </w:rPr>
      <w:fldChar w:fldCharType="end"/>
    </w:r>
  </w:p>
  <w:p w:rsidR="00F81B93" w:rsidRDefault="003F1D30">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8E" w:rsidRDefault="00DD6EC5">
      <w:r>
        <w:separator/>
      </w:r>
    </w:p>
  </w:footnote>
  <w:footnote w:type="continuationSeparator" w:id="0">
    <w:p w:rsidR="0065728E" w:rsidRDefault="00DD6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30"/>
    <w:rsid w:val="00083560"/>
    <w:rsid w:val="000927A0"/>
    <w:rsid w:val="0023164D"/>
    <w:rsid w:val="003F1D30"/>
    <w:rsid w:val="0041471C"/>
    <w:rsid w:val="004E0E8B"/>
    <w:rsid w:val="006410D6"/>
    <w:rsid w:val="0065728E"/>
    <w:rsid w:val="008E11FC"/>
    <w:rsid w:val="00954999"/>
    <w:rsid w:val="00C67743"/>
    <w:rsid w:val="00C75C40"/>
    <w:rsid w:val="00DD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1D3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link w:val="Heading4Char"/>
    <w:qFormat/>
    <w:rsid w:val="003F1D30"/>
    <w:pPr>
      <w:keepNext/>
      <w:spacing w:before="60"/>
      <w:outlineLvl w:val="3"/>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D30"/>
    <w:rPr>
      <w:rFonts w:ascii="Helvetica" w:eastAsia="Times New Roman" w:hAnsi="Helvetica" w:cs="Times New Roman"/>
      <w:b/>
      <w:sz w:val="24"/>
      <w:szCs w:val="20"/>
    </w:rPr>
  </w:style>
  <w:style w:type="character" w:customStyle="1" w:styleId="Heading4Char">
    <w:name w:val="Heading 4 Char"/>
    <w:basedOn w:val="DefaultParagraphFont"/>
    <w:link w:val="Heading4"/>
    <w:rsid w:val="003F1D30"/>
    <w:rPr>
      <w:rFonts w:ascii="Arial" w:eastAsia="Times New Roman" w:hAnsi="Arial" w:cs="Arial"/>
      <w:b/>
      <w:bCs/>
      <w:color w:val="000000"/>
      <w:sz w:val="18"/>
      <w:szCs w:val="20"/>
    </w:rPr>
  </w:style>
  <w:style w:type="paragraph" w:styleId="Header">
    <w:name w:val="header"/>
    <w:basedOn w:val="Normal"/>
    <w:link w:val="HeaderChar"/>
    <w:semiHidden/>
    <w:rsid w:val="003F1D30"/>
    <w:pPr>
      <w:tabs>
        <w:tab w:val="center" w:pos="4320"/>
        <w:tab w:val="right" w:pos="8640"/>
      </w:tabs>
    </w:pPr>
  </w:style>
  <w:style w:type="character" w:customStyle="1" w:styleId="HeaderChar">
    <w:name w:val="Header Char"/>
    <w:basedOn w:val="DefaultParagraphFont"/>
    <w:link w:val="Header"/>
    <w:semiHidden/>
    <w:rsid w:val="003F1D30"/>
    <w:rPr>
      <w:rFonts w:ascii="Times New Roman" w:eastAsia="Times New Roman" w:hAnsi="Times New Roman" w:cs="Times New Roman"/>
      <w:sz w:val="20"/>
      <w:szCs w:val="20"/>
    </w:rPr>
  </w:style>
  <w:style w:type="paragraph" w:styleId="Footer">
    <w:name w:val="footer"/>
    <w:basedOn w:val="Normal"/>
    <w:link w:val="FooterChar"/>
    <w:semiHidden/>
    <w:rsid w:val="003F1D30"/>
    <w:pPr>
      <w:tabs>
        <w:tab w:val="center" w:pos="4320"/>
        <w:tab w:val="right" w:pos="8640"/>
      </w:tabs>
    </w:pPr>
  </w:style>
  <w:style w:type="character" w:customStyle="1" w:styleId="FooterChar">
    <w:name w:val="Footer Char"/>
    <w:basedOn w:val="DefaultParagraphFont"/>
    <w:link w:val="Footer"/>
    <w:semiHidden/>
    <w:rsid w:val="003F1D30"/>
    <w:rPr>
      <w:rFonts w:ascii="Times New Roman" w:eastAsia="Times New Roman" w:hAnsi="Times New Roman" w:cs="Times New Roman"/>
      <w:sz w:val="20"/>
      <w:szCs w:val="20"/>
    </w:rPr>
  </w:style>
  <w:style w:type="character" w:styleId="PageNumber">
    <w:name w:val="page number"/>
    <w:basedOn w:val="DefaultParagraphFont"/>
    <w:semiHidden/>
    <w:rsid w:val="003F1D30"/>
  </w:style>
  <w:style w:type="paragraph" w:styleId="BodyTextIndent">
    <w:name w:val="Body Text Indent"/>
    <w:basedOn w:val="Normal"/>
    <w:link w:val="BodyTextIndentChar"/>
    <w:semiHidden/>
    <w:rsid w:val="003F1D30"/>
    <w:pPr>
      <w:overflowPunct/>
      <w:autoSpaceDE/>
      <w:autoSpaceDN/>
      <w:adjustRightInd/>
      <w:ind w:left="1440"/>
      <w:textAlignment w:val="auto"/>
    </w:pPr>
    <w:rPr>
      <w:sz w:val="24"/>
      <w:szCs w:val="24"/>
    </w:rPr>
  </w:style>
  <w:style w:type="character" w:customStyle="1" w:styleId="BodyTextIndentChar">
    <w:name w:val="Body Text Indent Char"/>
    <w:basedOn w:val="DefaultParagraphFont"/>
    <w:link w:val="BodyTextIndent"/>
    <w:semiHidden/>
    <w:rsid w:val="003F1D30"/>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F1D30"/>
    <w:pPr>
      <w:overflowPunct/>
      <w:autoSpaceDE/>
      <w:autoSpaceDN/>
      <w:adjustRightInd/>
      <w:ind w:left="1080"/>
      <w:textAlignment w:val="auto"/>
    </w:pPr>
    <w:rPr>
      <w:sz w:val="24"/>
      <w:szCs w:val="24"/>
    </w:rPr>
  </w:style>
  <w:style w:type="character" w:customStyle="1" w:styleId="BodyTextIndent2Char">
    <w:name w:val="Body Text Indent 2 Char"/>
    <w:basedOn w:val="DefaultParagraphFont"/>
    <w:link w:val="BodyTextIndent2"/>
    <w:semiHidden/>
    <w:rsid w:val="003F1D30"/>
    <w:rPr>
      <w:rFonts w:ascii="Times New Roman" w:eastAsia="Times New Roman" w:hAnsi="Times New Roman" w:cs="Times New Roman"/>
      <w:sz w:val="24"/>
      <w:szCs w:val="24"/>
    </w:rPr>
  </w:style>
  <w:style w:type="paragraph" w:styleId="BodyText3">
    <w:name w:val="Body Text 3"/>
    <w:basedOn w:val="Normal"/>
    <w:link w:val="BodyText3Char"/>
    <w:semiHidden/>
    <w:rsid w:val="003F1D30"/>
    <w:rPr>
      <w:sz w:val="24"/>
    </w:rPr>
  </w:style>
  <w:style w:type="character" w:customStyle="1" w:styleId="BodyText3Char">
    <w:name w:val="Body Text 3 Char"/>
    <w:basedOn w:val="DefaultParagraphFont"/>
    <w:link w:val="BodyText3"/>
    <w:semiHidden/>
    <w:rsid w:val="003F1D30"/>
    <w:rPr>
      <w:rFonts w:ascii="Times New Roman" w:eastAsia="Times New Roman" w:hAnsi="Times New Roman" w:cs="Times New Roman"/>
      <w:sz w:val="24"/>
      <w:szCs w:val="20"/>
    </w:rPr>
  </w:style>
  <w:style w:type="paragraph" w:styleId="ListParagraph">
    <w:name w:val="List Paragraph"/>
    <w:basedOn w:val="Normal"/>
    <w:uiPriority w:val="34"/>
    <w:qFormat/>
    <w:rsid w:val="0041471C"/>
    <w:pPr>
      <w:overflowPunct/>
      <w:autoSpaceDE/>
      <w:autoSpaceDN/>
      <w:adjustRightInd/>
      <w:spacing w:after="200" w:line="276" w:lineRule="auto"/>
      <w:ind w:left="720"/>
      <w:textAlignment w:val="auto"/>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1D3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link w:val="Heading4Char"/>
    <w:qFormat/>
    <w:rsid w:val="003F1D30"/>
    <w:pPr>
      <w:keepNext/>
      <w:spacing w:before="60"/>
      <w:outlineLvl w:val="3"/>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D30"/>
    <w:rPr>
      <w:rFonts w:ascii="Helvetica" w:eastAsia="Times New Roman" w:hAnsi="Helvetica" w:cs="Times New Roman"/>
      <w:b/>
      <w:sz w:val="24"/>
      <w:szCs w:val="20"/>
    </w:rPr>
  </w:style>
  <w:style w:type="character" w:customStyle="1" w:styleId="Heading4Char">
    <w:name w:val="Heading 4 Char"/>
    <w:basedOn w:val="DefaultParagraphFont"/>
    <w:link w:val="Heading4"/>
    <w:rsid w:val="003F1D30"/>
    <w:rPr>
      <w:rFonts w:ascii="Arial" w:eastAsia="Times New Roman" w:hAnsi="Arial" w:cs="Arial"/>
      <w:b/>
      <w:bCs/>
      <w:color w:val="000000"/>
      <w:sz w:val="18"/>
      <w:szCs w:val="20"/>
    </w:rPr>
  </w:style>
  <w:style w:type="paragraph" w:styleId="Header">
    <w:name w:val="header"/>
    <w:basedOn w:val="Normal"/>
    <w:link w:val="HeaderChar"/>
    <w:semiHidden/>
    <w:rsid w:val="003F1D30"/>
    <w:pPr>
      <w:tabs>
        <w:tab w:val="center" w:pos="4320"/>
        <w:tab w:val="right" w:pos="8640"/>
      </w:tabs>
    </w:pPr>
  </w:style>
  <w:style w:type="character" w:customStyle="1" w:styleId="HeaderChar">
    <w:name w:val="Header Char"/>
    <w:basedOn w:val="DefaultParagraphFont"/>
    <w:link w:val="Header"/>
    <w:semiHidden/>
    <w:rsid w:val="003F1D30"/>
    <w:rPr>
      <w:rFonts w:ascii="Times New Roman" w:eastAsia="Times New Roman" w:hAnsi="Times New Roman" w:cs="Times New Roman"/>
      <w:sz w:val="20"/>
      <w:szCs w:val="20"/>
    </w:rPr>
  </w:style>
  <w:style w:type="paragraph" w:styleId="Footer">
    <w:name w:val="footer"/>
    <w:basedOn w:val="Normal"/>
    <w:link w:val="FooterChar"/>
    <w:semiHidden/>
    <w:rsid w:val="003F1D30"/>
    <w:pPr>
      <w:tabs>
        <w:tab w:val="center" w:pos="4320"/>
        <w:tab w:val="right" w:pos="8640"/>
      </w:tabs>
    </w:pPr>
  </w:style>
  <w:style w:type="character" w:customStyle="1" w:styleId="FooterChar">
    <w:name w:val="Footer Char"/>
    <w:basedOn w:val="DefaultParagraphFont"/>
    <w:link w:val="Footer"/>
    <w:semiHidden/>
    <w:rsid w:val="003F1D30"/>
    <w:rPr>
      <w:rFonts w:ascii="Times New Roman" w:eastAsia="Times New Roman" w:hAnsi="Times New Roman" w:cs="Times New Roman"/>
      <w:sz w:val="20"/>
      <w:szCs w:val="20"/>
    </w:rPr>
  </w:style>
  <w:style w:type="character" w:styleId="PageNumber">
    <w:name w:val="page number"/>
    <w:basedOn w:val="DefaultParagraphFont"/>
    <w:semiHidden/>
    <w:rsid w:val="003F1D30"/>
  </w:style>
  <w:style w:type="paragraph" w:styleId="BodyTextIndent">
    <w:name w:val="Body Text Indent"/>
    <w:basedOn w:val="Normal"/>
    <w:link w:val="BodyTextIndentChar"/>
    <w:semiHidden/>
    <w:rsid w:val="003F1D30"/>
    <w:pPr>
      <w:overflowPunct/>
      <w:autoSpaceDE/>
      <w:autoSpaceDN/>
      <w:adjustRightInd/>
      <w:ind w:left="1440"/>
      <w:textAlignment w:val="auto"/>
    </w:pPr>
    <w:rPr>
      <w:sz w:val="24"/>
      <w:szCs w:val="24"/>
    </w:rPr>
  </w:style>
  <w:style w:type="character" w:customStyle="1" w:styleId="BodyTextIndentChar">
    <w:name w:val="Body Text Indent Char"/>
    <w:basedOn w:val="DefaultParagraphFont"/>
    <w:link w:val="BodyTextIndent"/>
    <w:semiHidden/>
    <w:rsid w:val="003F1D30"/>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F1D30"/>
    <w:pPr>
      <w:overflowPunct/>
      <w:autoSpaceDE/>
      <w:autoSpaceDN/>
      <w:adjustRightInd/>
      <w:ind w:left="1080"/>
      <w:textAlignment w:val="auto"/>
    </w:pPr>
    <w:rPr>
      <w:sz w:val="24"/>
      <w:szCs w:val="24"/>
    </w:rPr>
  </w:style>
  <w:style w:type="character" w:customStyle="1" w:styleId="BodyTextIndent2Char">
    <w:name w:val="Body Text Indent 2 Char"/>
    <w:basedOn w:val="DefaultParagraphFont"/>
    <w:link w:val="BodyTextIndent2"/>
    <w:semiHidden/>
    <w:rsid w:val="003F1D30"/>
    <w:rPr>
      <w:rFonts w:ascii="Times New Roman" w:eastAsia="Times New Roman" w:hAnsi="Times New Roman" w:cs="Times New Roman"/>
      <w:sz w:val="24"/>
      <w:szCs w:val="24"/>
    </w:rPr>
  </w:style>
  <w:style w:type="paragraph" w:styleId="BodyText3">
    <w:name w:val="Body Text 3"/>
    <w:basedOn w:val="Normal"/>
    <w:link w:val="BodyText3Char"/>
    <w:semiHidden/>
    <w:rsid w:val="003F1D30"/>
    <w:rPr>
      <w:sz w:val="24"/>
    </w:rPr>
  </w:style>
  <w:style w:type="character" w:customStyle="1" w:styleId="BodyText3Char">
    <w:name w:val="Body Text 3 Char"/>
    <w:basedOn w:val="DefaultParagraphFont"/>
    <w:link w:val="BodyText3"/>
    <w:semiHidden/>
    <w:rsid w:val="003F1D30"/>
    <w:rPr>
      <w:rFonts w:ascii="Times New Roman" w:eastAsia="Times New Roman" w:hAnsi="Times New Roman" w:cs="Times New Roman"/>
      <w:sz w:val="24"/>
      <w:szCs w:val="20"/>
    </w:rPr>
  </w:style>
  <w:style w:type="paragraph" w:styleId="ListParagraph">
    <w:name w:val="List Paragraph"/>
    <w:basedOn w:val="Normal"/>
    <w:uiPriority w:val="34"/>
    <w:qFormat/>
    <w:rsid w:val="0041471C"/>
    <w:pPr>
      <w:overflowPunct/>
      <w:autoSpaceDE/>
      <w:autoSpaceDN/>
      <w:adjustRightInd/>
      <w:spacing w:after="200" w:line="276" w:lineRule="auto"/>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617F-0C40-4F09-82F4-30B7A633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5</cp:revision>
  <dcterms:created xsi:type="dcterms:W3CDTF">2013-04-25T12:41:00Z</dcterms:created>
  <dcterms:modified xsi:type="dcterms:W3CDTF">2013-04-25T13:51:00Z</dcterms:modified>
</cp:coreProperties>
</file>