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3C" w:rsidRPr="008E24A9" w:rsidRDefault="00CB143C" w:rsidP="00CB143C">
      <w:pPr>
        <w:rPr>
          <w:rFonts w:ascii="Times Roman" w:hAnsi="Times Roman"/>
          <w:b/>
          <w:sz w:val="24"/>
          <w:szCs w:val="24"/>
          <w:u w:val="single"/>
        </w:rPr>
      </w:pPr>
      <w:bookmarkStart w:id="0" w:name="_GoBack"/>
      <w:bookmarkEnd w:id="0"/>
      <w:r w:rsidRPr="008E24A9">
        <w:rPr>
          <w:rFonts w:ascii="Times Roman" w:hAnsi="Times Roman"/>
          <w:b/>
          <w:sz w:val="24"/>
          <w:szCs w:val="24"/>
          <w:u w:val="single"/>
        </w:rPr>
        <w:t>PART B- JUSTIFICATION</w:t>
      </w:r>
    </w:p>
    <w:p w:rsidR="00CB143C" w:rsidRPr="008E24A9" w:rsidRDefault="00CB143C" w:rsidP="00CB143C">
      <w:pPr>
        <w:rPr>
          <w:rFonts w:ascii="Times Roman" w:hAnsi="Times Roman"/>
          <w:sz w:val="24"/>
          <w:szCs w:val="24"/>
        </w:rPr>
      </w:pPr>
    </w:p>
    <w:p w:rsidR="00CB143C" w:rsidRPr="008E24A9" w:rsidRDefault="00CB143C" w:rsidP="00CB143C">
      <w:pPr>
        <w:rPr>
          <w:rFonts w:eastAsia="Times New Roman"/>
          <w:color w:val="000000"/>
          <w:spacing w:val="1"/>
          <w:sz w:val="24"/>
        </w:rPr>
      </w:pPr>
      <w:r w:rsidRPr="008E24A9">
        <w:rPr>
          <w:rFonts w:ascii="Times Roman" w:hAnsi="Times Roman"/>
          <w:sz w:val="24"/>
          <w:szCs w:val="24"/>
        </w:rPr>
        <w:t>Information Collection:  Section 3 Certified Business and Recipient Surveys</w:t>
      </w:r>
    </w:p>
    <w:p w:rsidR="00511F79" w:rsidRPr="008E24A9" w:rsidRDefault="00271368">
      <w:pPr>
        <w:numPr>
          <w:ilvl w:val="0"/>
          <w:numId w:val="1"/>
        </w:numPr>
        <w:spacing w:before="277" w:line="275" w:lineRule="exact"/>
        <w:ind w:left="0"/>
        <w:textAlignment w:val="baseline"/>
        <w:rPr>
          <w:rFonts w:eastAsia="Times New Roman"/>
          <w:color w:val="000000"/>
          <w:sz w:val="24"/>
        </w:rPr>
      </w:pPr>
      <w:r w:rsidRPr="008E24A9">
        <w:rPr>
          <w:rFonts w:eastAsia="Times New Roman"/>
          <w:color w:val="000000"/>
          <w:sz w:val="24"/>
        </w:rPr>
        <w:t>Respondent Description.</w:t>
      </w:r>
    </w:p>
    <w:p w:rsidR="00AF546A" w:rsidRPr="008E24A9" w:rsidRDefault="00AF546A" w:rsidP="001B0628">
      <w:pPr>
        <w:spacing w:before="278" w:line="276" w:lineRule="exact"/>
        <w:ind w:left="360"/>
        <w:textAlignment w:val="baseline"/>
        <w:rPr>
          <w:rFonts w:eastAsia="Times New Roman"/>
          <w:color w:val="000000"/>
          <w:sz w:val="24"/>
        </w:rPr>
      </w:pPr>
      <w:r w:rsidRPr="008E24A9">
        <w:rPr>
          <w:rFonts w:eastAsia="Times New Roman"/>
          <w:color w:val="000000"/>
          <w:sz w:val="24"/>
        </w:rPr>
        <w:t xml:space="preserve">This information request involves two surveys.  The intent of both surveys is to collect information </w:t>
      </w:r>
      <w:r w:rsidR="000970D2" w:rsidRPr="008E24A9">
        <w:rPr>
          <w:rFonts w:eastAsia="Times New Roman"/>
          <w:color w:val="000000"/>
          <w:sz w:val="24"/>
        </w:rPr>
        <w:t xml:space="preserve">and conduct </w:t>
      </w:r>
      <w:r w:rsidR="006A52A6" w:rsidRPr="008E24A9">
        <w:rPr>
          <w:rFonts w:eastAsia="Times New Roman"/>
          <w:color w:val="000000"/>
          <w:sz w:val="24"/>
        </w:rPr>
        <w:t xml:space="preserve">data </w:t>
      </w:r>
      <w:r w:rsidR="000970D2" w:rsidRPr="008E24A9">
        <w:rPr>
          <w:rFonts w:eastAsia="Times New Roman"/>
          <w:color w:val="000000"/>
          <w:sz w:val="24"/>
        </w:rPr>
        <w:t xml:space="preserve">analysis using descriptive statistics </w:t>
      </w:r>
      <w:r w:rsidR="006A52A6" w:rsidRPr="008E24A9">
        <w:rPr>
          <w:rFonts w:eastAsia="Times New Roman"/>
          <w:color w:val="000000"/>
          <w:sz w:val="24"/>
        </w:rPr>
        <w:t>which</w:t>
      </w:r>
      <w:r w:rsidR="00B77035" w:rsidRPr="008E24A9">
        <w:rPr>
          <w:rFonts w:eastAsia="Times New Roman"/>
          <w:color w:val="000000"/>
          <w:sz w:val="24"/>
        </w:rPr>
        <w:t xml:space="preserve"> will</w:t>
      </w:r>
      <w:r w:rsidR="000970D2" w:rsidRPr="008E24A9">
        <w:rPr>
          <w:rFonts w:eastAsia="Times New Roman"/>
          <w:color w:val="000000"/>
          <w:sz w:val="24"/>
        </w:rPr>
        <w:t xml:space="preserve"> allow</w:t>
      </w:r>
      <w:r w:rsidR="00B77035" w:rsidRPr="008E24A9">
        <w:rPr>
          <w:rFonts w:eastAsia="Times New Roman"/>
          <w:color w:val="000000"/>
          <w:sz w:val="24"/>
        </w:rPr>
        <w:t xml:space="preserve"> </w:t>
      </w:r>
      <w:r w:rsidRPr="008E24A9">
        <w:rPr>
          <w:rFonts w:eastAsia="Times New Roman"/>
          <w:color w:val="000000"/>
          <w:sz w:val="24"/>
        </w:rPr>
        <w:t xml:space="preserve">the Department </w:t>
      </w:r>
      <w:r w:rsidR="000970D2" w:rsidRPr="008E24A9">
        <w:rPr>
          <w:rFonts w:eastAsia="Times New Roman"/>
          <w:color w:val="000000"/>
          <w:sz w:val="24"/>
        </w:rPr>
        <w:t xml:space="preserve">to </w:t>
      </w:r>
      <w:r w:rsidR="00AB2588" w:rsidRPr="008E24A9">
        <w:rPr>
          <w:rFonts w:eastAsia="Times New Roman"/>
          <w:color w:val="000000"/>
          <w:sz w:val="24"/>
        </w:rPr>
        <w:t xml:space="preserve">obtain insights into </w:t>
      </w:r>
      <w:r w:rsidRPr="008E24A9">
        <w:rPr>
          <w:rFonts w:eastAsia="Times New Roman"/>
          <w:color w:val="000000"/>
          <w:sz w:val="24"/>
        </w:rPr>
        <w:t>outcomes from the Section 3 Business Registry pilot program and assess the feasibility of expanding it nationally.</w:t>
      </w:r>
      <w:r w:rsidR="00AB2588" w:rsidRPr="008E24A9">
        <w:rPr>
          <w:rFonts w:eastAsia="Times New Roman"/>
          <w:color w:val="000000"/>
          <w:sz w:val="24"/>
        </w:rPr>
        <w:t xml:space="preserve">  HUD only intends to use the data obtained from these surveys to provide anecdotal and/or qualitative information regarding the Section 3 Business Registry Pilot program and will make this clear in any reports using these data.</w:t>
      </w:r>
    </w:p>
    <w:p w:rsidR="00AF546A" w:rsidRPr="008E24A9" w:rsidRDefault="00271368">
      <w:pPr>
        <w:spacing w:before="276" w:line="276" w:lineRule="exact"/>
        <w:ind w:left="360" w:right="72"/>
        <w:textAlignment w:val="baseline"/>
        <w:rPr>
          <w:rFonts w:eastAsia="Times New Roman"/>
          <w:color w:val="000000"/>
          <w:sz w:val="24"/>
        </w:rPr>
      </w:pPr>
      <w:r w:rsidRPr="008E24A9">
        <w:rPr>
          <w:rFonts w:eastAsia="Times New Roman"/>
          <w:color w:val="000000"/>
          <w:sz w:val="24"/>
        </w:rPr>
        <w:t xml:space="preserve">The respondents </w:t>
      </w:r>
      <w:r w:rsidR="00AF546A" w:rsidRPr="008E24A9">
        <w:rPr>
          <w:rFonts w:eastAsia="Times New Roman"/>
          <w:color w:val="000000"/>
          <w:sz w:val="24"/>
        </w:rPr>
        <w:t>of the first survey are</w:t>
      </w:r>
      <w:r w:rsidRPr="008E24A9">
        <w:rPr>
          <w:rFonts w:eastAsia="Times New Roman"/>
          <w:color w:val="000000"/>
          <w:sz w:val="24"/>
        </w:rPr>
        <w:t xml:space="preserve"> current </w:t>
      </w:r>
      <w:r w:rsidR="00AF546A" w:rsidRPr="008E24A9">
        <w:rPr>
          <w:rFonts w:eastAsia="Times New Roman"/>
          <w:color w:val="000000"/>
          <w:sz w:val="24"/>
        </w:rPr>
        <w:t xml:space="preserve">employees at agencies that receive HUD funding  that is subject to the requirements of Section 3 of the Housing and Urban Development act of 1968 (i.e., Public Housing Authorities and units of local government) located in each of the five pilot areas—Miami, Detroit, Los Angeles, New Orleans, and Washington, DC.  </w:t>
      </w:r>
      <w:r w:rsidR="00C46BC9" w:rsidRPr="008E24A9">
        <w:rPr>
          <w:rFonts w:eastAsia="Times New Roman"/>
          <w:color w:val="000000"/>
          <w:sz w:val="24"/>
        </w:rPr>
        <w:t>There are 151 recipients of HUD-funding located in the pilot areas.  The entire universe will be contacted regarding the survey in an attempt to generate the greatest amount of responses.  Participation is voluntary.  HUD anticipates that approximately 30% of agencies contacted (45) will participate.</w:t>
      </w:r>
    </w:p>
    <w:p w:rsidR="00C46BC9" w:rsidRPr="008E24A9" w:rsidRDefault="00AF546A" w:rsidP="00C46BC9">
      <w:pPr>
        <w:spacing w:before="276" w:line="276" w:lineRule="exact"/>
        <w:ind w:left="360" w:right="72"/>
        <w:textAlignment w:val="baseline"/>
        <w:rPr>
          <w:rFonts w:eastAsia="Times New Roman"/>
          <w:color w:val="000000"/>
          <w:sz w:val="24"/>
        </w:rPr>
      </w:pPr>
      <w:r w:rsidRPr="008E24A9">
        <w:rPr>
          <w:rFonts w:eastAsia="Times New Roman"/>
          <w:color w:val="000000"/>
          <w:sz w:val="24"/>
        </w:rPr>
        <w:t xml:space="preserve">The respondents for the second survey are businesses that have self-certified their status as Section 3 businesses and are listed in </w:t>
      </w:r>
      <w:r w:rsidR="00C23F68" w:rsidRPr="008E24A9">
        <w:rPr>
          <w:rFonts w:eastAsia="Times New Roman"/>
          <w:color w:val="000000"/>
          <w:sz w:val="24"/>
        </w:rPr>
        <w:t>HUD</w:t>
      </w:r>
      <w:r w:rsidRPr="008E24A9">
        <w:rPr>
          <w:rFonts w:eastAsia="Times New Roman"/>
          <w:color w:val="000000"/>
          <w:sz w:val="24"/>
        </w:rPr>
        <w:t>’s Section 3 Business Registry database.  These businesses are also located in the five pilot areas listed above.</w:t>
      </w:r>
      <w:r w:rsidR="00271368" w:rsidRPr="008E24A9">
        <w:rPr>
          <w:rFonts w:eastAsia="Times New Roman"/>
          <w:color w:val="000000"/>
          <w:sz w:val="24"/>
        </w:rPr>
        <w:t xml:space="preserve"> </w:t>
      </w:r>
      <w:r w:rsidR="00C46BC9" w:rsidRPr="008E24A9">
        <w:rPr>
          <w:rFonts w:eastAsia="Times New Roman"/>
          <w:color w:val="000000"/>
          <w:sz w:val="24"/>
        </w:rPr>
        <w:t xml:space="preserve">There are currently 600 businesses that have self-certified their status in the Section 3 business registry.  HUD will not select a random sample </w:t>
      </w:r>
      <w:r w:rsidR="006A52A6" w:rsidRPr="008E24A9">
        <w:rPr>
          <w:rFonts w:eastAsia="Times New Roman"/>
          <w:color w:val="000000"/>
          <w:sz w:val="24"/>
        </w:rPr>
        <w:t xml:space="preserve">self-certified </w:t>
      </w:r>
      <w:r w:rsidR="00C46BC9" w:rsidRPr="008E24A9">
        <w:rPr>
          <w:rFonts w:eastAsia="Times New Roman"/>
          <w:color w:val="000000"/>
          <w:sz w:val="24"/>
        </w:rPr>
        <w:t xml:space="preserve">of businesses.  Instead, the survey will be sent to all self-certified firms </w:t>
      </w:r>
      <w:r w:rsidR="006A52A6" w:rsidRPr="008E24A9">
        <w:rPr>
          <w:rFonts w:eastAsia="Times New Roman"/>
          <w:color w:val="000000"/>
          <w:sz w:val="24"/>
        </w:rPr>
        <w:t xml:space="preserve">found in the Department’s registry </w:t>
      </w:r>
      <w:r w:rsidR="00C46BC9" w:rsidRPr="008E24A9">
        <w:rPr>
          <w:rFonts w:eastAsia="Times New Roman"/>
          <w:color w:val="000000"/>
          <w:sz w:val="24"/>
        </w:rPr>
        <w:t>in an attempt to generate the greatest amount of responses.  Participation in the survey is voluntary.  The Department anticipates that approximately 20% of businesses (120) will respond to the survey.</w:t>
      </w:r>
    </w:p>
    <w:p w:rsidR="00AF546A" w:rsidRPr="008E24A9" w:rsidRDefault="00AF546A" w:rsidP="00AF546A">
      <w:pPr>
        <w:spacing w:before="276" w:line="276" w:lineRule="exact"/>
        <w:ind w:left="360" w:right="72"/>
        <w:textAlignment w:val="baseline"/>
        <w:rPr>
          <w:rFonts w:eastAsia="Times New Roman"/>
          <w:color w:val="000000"/>
          <w:sz w:val="24"/>
        </w:rPr>
      </w:pPr>
    </w:p>
    <w:p w:rsidR="00511F79" w:rsidRPr="008E24A9" w:rsidRDefault="00271368">
      <w:pPr>
        <w:numPr>
          <w:ilvl w:val="0"/>
          <w:numId w:val="1"/>
        </w:numPr>
        <w:spacing w:before="277" w:line="275" w:lineRule="exact"/>
        <w:ind w:left="0"/>
        <w:textAlignment w:val="baseline"/>
        <w:rPr>
          <w:rFonts w:eastAsia="Times New Roman"/>
          <w:color w:val="000000"/>
          <w:sz w:val="24"/>
        </w:rPr>
      </w:pPr>
      <w:r w:rsidRPr="008E24A9">
        <w:rPr>
          <w:rFonts w:eastAsia="Times New Roman"/>
          <w:color w:val="000000"/>
          <w:sz w:val="24"/>
        </w:rPr>
        <w:t>Procedures for collecting the information.</w:t>
      </w:r>
    </w:p>
    <w:p w:rsidR="00C46BC9" w:rsidRPr="008E24A9" w:rsidRDefault="00C46BC9">
      <w:pPr>
        <w:spacing w:before="276" w:line="276" w:lineRule="exact"/>
        <w:ind w:left="360" w:right="72"/>
        <w:textAlignment w:val="baseline"/>
        <w:rPr>
          <w:rFonts w:eastAsia="Times New Roman"/>
          <w:color w:val="000000"/>
          <w:sz w:val="24"/>
        </w:rPr>
      </w:pPr>
      <w:r w:rsidRPr="008E24A9">
        <w:rPr>
          <w:rFonts w:eastAsia="Times New Roman"/>
          <w:color w:val="000000"/>
          <w:sz w:val="24"/>
        </w:rPr>
        <w:t>The following is an estimate of the procedures that HUD will take to implement these surveys:</w:t>
      </w:r>
    </w:p>
    <w:tbl>
      <w:tblPr>
        <w:tblStyle w:val="TableGrid"/>
        <w:tblW w:w="0" w:type="auto"/>
        <w:tblInd w:w="360" w:type="dxa"/>
        <w:tblLook w:val="04A0" w:firstRow="1" w:lastRow="0" w:firstColumn="1" w:lastColumn="0" w:noHBand="0" w:noVBand="1"/>
      </w:tblPr>
      <w:tblGrid>
        <w:gridCol w:w="1908"/>
        <w:gridCol w:w="5130"/>
        <w:gridCol w:w="2358"/>
      </w:tblGrid>
      <w:tr w:rsidR="00C46BC9" w:rsidRPr="008E24A9" w:rsidTr="006A52A6">
        <w:tc>
          <w:tcPr>
            <w:tcW w:w="1908" w:type="dxa"/>
          </w:tcPr>
          <w:p w:rsidR="001A338A" w:rsidRPr="008E24A9" w:rsidRDefault="001A338A" w:rsidP="001A338A">
            <w:pPr>
              <w:spacing w:before="276" w:line="276" w:lineRule="exact"/>
              <w:ind w:right="72"/>
              <w:contextualSpacing/>
              <w:jc w:val="center"/>
              <w:textAlignment w:val="baseline"/>
              <w:rPr>
                <w:rFonts w:eastAsia="Times New Roman"/>
                <w:b/>
                <w:color w:val="000000"/>
                <w:sz w:val="24"/>
              </w:rPr>
            </w:pPr>
            <w:r w:rsidRPr="008E24A9">
              <w:rPr>
                <w:rFonts w:eastAsia="Times New Roman"/>
                <w:b/>
                <w:color w:val="000000"/>
                <w:sz w:val="24"/>
              </w:rPr>
              <w:t>Estimated</w:t>
            </w:r>
          </w:p>
          <w:p w:rsidR="00C46BC9" w:rsidRPr="008E24A9" w:rsidRDefault="00C46BC9" w:rsidP="001A338A">
            <w:pPr>
              <w:spacing w:before="276" w:line="276" w:lineRule="exact"/>
              <w:ind w:right="72"/>
              <w:contextualSpacing/>
              <w:jc w:val="center"/>
              <w:textAlignment w:val="baseline"/>
              <w:rPr>
                <w:rFonts w:eastAsia="Times New Roman"/>
                <w:b/>
                <w:color w:val="000000"/>
                <w:sz w:val="24"/>
              </w:rPr>
            </w:pPr>
            <w:r w:rsidRPr="008E24A9">
              <w:rPr>
                <w:rFonts w:eastAsia="Times New Roman"/>
                <w:b/>
                <w:color w:val="000000"/>
                <w:sz w:val="24"/>
              </w:rPr>
              <w:t>Timeframe</w:t>
            </w:r>
          </w:p>
        </w:tc>
        <w:tc>
          <w:tcPr>
            <w:tcW w:w="5130" w:type="dxa"/>
          </w:tcPr>
          <w:p w:rsidR="00C46BC9" w:rsidRPr="008E24A9" w:rsidRDefault="00C46BC9" w:rsidP="001A338A">
            <w:pPr>
              <w:spacing w:before="276" w:line="276" w:lineRule="exact"/>
              <w:ind w:right="72"/>
              <w:contextualSpacing/>
              <w:jc w:val="center"/>
              <w:textAlignment w:val="baseline"/>
              <w:rPr>
                <w:rFonts w:eastAsia="Times New Roman"/>
                <w:b/>
                <w:color w:val="000000"/>
                <w:sz w:val="24"/>
              </w:rPr>
            </w:pPr>
            <w:r w:rsidRPr="008E24A9">
              <w:rPr>
                <w:rFonts w:eastAsia="Times New Roman"/>
                <w:b/>
                <w:color w:val="000000"/>
                <w:sz w:val="24"/>
              </w:rPr>
              <w:t>Action</w:t>
            </w:r>
          </w:p>
        </w:tc>
        <w:tc>
          <w:tcPr>
            <w:tcW w:w="2358" w:type="dxa"/>
          </w:tcPr>
          <w:p w:rsidR="00C46BC9" w:rsidRPr="008E24A9" w:rsidRDefault="00C46BC9" w:rsidP="001A338A">
            <w:pPr>
              <w:spacing w:before="276" w:line="276" w:lineRule="exact"/>
              <w:ind w:right="72"/>
              <w:contextualSpacing/>
              <w:jc w:val="center"/>
              <w:textAlignment w:val="baseline"/>
              <w:rPr>
                <w:rFonts w:eastAsia="Times New Roman"/>
                <w:b/>
                <w:color w:val="000000"/>
                <w:sz w:val="24"/>
              </w:rPr>
            </w:pPr>
            <w:r w:rsidRPr="008E24A9">
              <w:rPr>
                <w:rFonts w:eastAsia="Times New Roman"/>
                <w:b/>
                <w:color w:val="000000"/>
                <w:sz w:val="24"/>
              </w:rPr>
              <w:t>Duration</w:t>
            </w:r>
          </w:p>
        </w:tc>
      </w:tr>
      <w:tr w:rsidR="00C46BC9" w:rsidRPr="008E24A9" w:rsidTr="006A52A6">
        <w:tc>
          <w:tcPr>
            <w:tcW w:w="1908" w:type="dxa"/>
          </w:tcPr>
          <w:p w:rsidR="00C46BC9" w:rsidRPr="008E24A9" w:rsidRDefault="00C46BC9">
            <w:pPr>
              <w:spacing w:before="276" w:line="276" w:lineRule="exact"/>
              <w:ind w:right="72"/>
              <w:textAlignment w:val="baseline"/>
              <w:rPr>
                <w:rFonts w:eastAsia="Times New Roman"/>
                <w:color w:val="000000"/>
                <w:sz w:val="24"/>
              </w:rPr>
            </w:pPr>
            <w:r w:rsidRPr="008E24A9">
              <w:rPr>
                <w:rFonts w:eastAsia="Times New Roman"/>
                <w:color w:val="000000"/>
                <w:sz w:val="24"/>
              </w:rPr>
              <w:t>Days 1-5</w:t>
            </w:r>
          </w:p>
        </w:tc>
        <w:tc>
          <w:tcPr>
            <w:tcW w:w="5130" w:type="dxa"/>
          </w:tcPr>
          <w:p w:rsidR="001A338A" w:rsidRPr="008E24A9" w:rsidRDefault="00C46BC9" w:rsidP="00C46BC9">
            <w:pPr>
              <w:spacing w:before="276" w:line="276" w:lineRule="exact"/>
              <w:ind w:right="72"/>
              <w:textAlignment w:val="baseline"/>
              <w:rPr>
                <w:rFonts w:eastAsia="Times New Roman"/>
                <w:color w:val="000000"/>
                <w:sz w:val="24"/>
              </w:rPr>
            </w:pPr>
            <w:r w:rsidRPr="008E24A9">
              <w:rPr>
                <w:rFonts w:eastAsia="Times New Roman"/>
                <w:color w:val="000000"/>
                <w:sz w:val="24"/>
              </w:rPr>
              <w:t>Design and b</w:t>
            </w:r>
            <w:r w:rsidR="001A338A" w:rsidRPr="008E24A9">
              <w:rPr>
                <w:rFonts w:eastAsia="Times New Roman"/>
                <w:color w:val="000000"/>
                <w:sz w:val="24"/>
              </w:rPr>
              <w:t>uild online</w:t>
            </w:r>
            <w:r w:rsidRPr="008E24A9">
              <w:rPr>
                <w:rFonts w:eastAsia="Times New Roman"/>
                <w:color w:val="000000"/>
                <w:sz w:val="24"/>
              </w:rPr>
              <w:t xml:space="preserve"> survey tool in web-based system (e.g., survey monkey</w:t>
            </w:r>
            <w:r w:rsidR="006A52A6" w:rsidRPr="008E24A9">
              <w:rPr>
                <w:rFonts w:eastAsia="Times New Roman"/>
                <w:color w:val="000000"/>
                <w:sz w:val="24"/>
              </w:rPr>
              <w:t xml:space="preserve">, </w:t>
            </w:r>
            <w:r w:rsidRPr="008E24A9">
              <w:rPr>
                <w:rFonts w:eastAsia="Times New Roman"/>
                <w:color w:val="000000"/>
                <w:sz w:val="24"/>
              </w:rPr>
              <w:t>)</w:t>
            </w:r>
          </w:p>
        </w:tc>
        <w:tc>
          <w:tcPr>
            <w:tcW w:w="2358" w:type="dxa"/>
          </w:tcPr>
          <w:p w:rsidR="00C46BC9"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5 days</w:t>
            </w:r>
          </w:p>
        </w:tc>
      </w:tr>
      <w:tr w:rsidR="00C46BC9" w:rsidRPr="008E24A9" w:rsidTr="006A52A6">
        <w:tc>
          <w:tcPr>
            <w:tcW w:w="1908" w:type="dxa"/>
          </w:tcPr>
          <w:p w:rsidR="00C46BC9" w:rsidRPr="008E24A9" w:rsidRDefault="001A338A" w:rsidP="00F915B0">
            <w:pPr>
              <w:spacing w:before="276" w:line="276" w:lineRule="exact"/>
              <w:ind w:right="72"/>
              <w:textAlignment w:val="baseline"/>
              <w:rPr>
                <w:rFonts w:eastAsia="Times New Roman"/>
                <w:color w:val="000000"/>
                <w:sz w:val="24"/>
              </w:rPr>
            </w:pPr>
            <w:r w:rsidRPr="008E24A9">
              <w:rPr>
                <w:rFonts w:eastAsia="Times New Roman"/>
                <w:color w:val="000000"/>
                <w:sz w:val="24"/>
              </w:rPr>
              <w:t>Day</w:t>
            </w:r>
            <w:r w:rsidR="00F915B0" w:rsidRPr="008E24A9">
              <w:rPr>
                <w:rFonts w:eastAsia="Times New Roman"/>
                <w:color w:val="000000"/>
                <w:sz w:val="24"/>
              </w:rPr>
              <w:t xml:space="preserve"> 6</w:t>
            </w:r>
          </w:p>
        </w:tc>
        <w:tc>
          <w:tcPr>
            <w:tcW w:w="5130" w:type="dxa"/>
          </w:tcPr>
          <w:p w:rsidR="00C46BC9" w:rsidRPr="008E24A9" w:rsidRDefault="00C46BC9" w:rsidP="001A338A">
            <w:pPr>
              <w:spacing w:before="276" w:line="276" w:lineRule="exact"/>
              <w:ind w:right="72"/>
              <w:textAlignment w:val="baseline"/>
              <w:rPr>
                <w:rFonts w:eastAsia="Times New Roman"/>
                <w:color w:val="000000"/>
                <w:sz w:val="24"/>
              </w:rPr>
            </w:pPr>
            <w:r w:rsidRPr="008E24A9">
              <w:rPr>
                <w:rFonts w:eastAsia="Times New Roman"/>
                <w:color w:val="000000"/>
                <w:sz w:val="24"/>
              </w:rPr>
              <w:t xml:space="preserve">Send </w:t>
            </w:r>
            <w:r w:rsidR="001A338A" w:rsidRPr="008E24A9">
              <w:rPr>
                <w:rFonts w:eastAsia="Times New Roman"/>
                <w:color w:val="000000"/>
                <w:sz w:val="24"/>
              </w:rPr>
              <w:t xml:space="preserve">initial </w:t>
            </w:r>
            <w:r w:rsidRPr="008E24A9">
              <w:rPr>
                <w:rFonts w:eastAsia="Times New Roman"/>
                <w:color w:val="000000"/>
                <w:sz w:val="24"/>
              </w:rPr>
              <w:t>notification</w:t>
            </w:r>
            <w:r w:rsidR="001A338A" w:rsidRPr="008E24A9">
              <w:rPr>
                <w:rFonts w:eastAsia="Times New Roman"/>
                <w:color w:val="000000"/>
                <w:sz w:val="24"/>
              </w:rPr>
              <w:t xml:space="preserve"> </w:t>
            </w:r>
            <w:r w:rsidR="00B77035" w:rsidRPr="008E24A9">
              <w:rPr>
                <w:rFonts w:eastAsia="Times New Roman"/>
                <w:color w:val="000000"/>
                <w:sz w:val="24"/>
              </w:rPr>
              <w:t xml:space="preserve">to covered grantees and certified businesses </w:t>
            </w:r>
            <w:r w:rsidR="001A338A" w:rsidRPr="008E24A9">
              <w:rPr>
                <w:rFonts w:eastAsia="Times New Roman"/>
                <w:color w:val="000000"/>
                <w:sz w:val="24"/>
              </w:rPr>
              <w:t xml:space="preserve">about the survey </w:t>
            </w:r>
            <w:r w:rsidRPr="008E24A9">
              <w:rPr>
                <w:rFonts w:eastAsia="Times New Roman"/>
                <w:color w:val="000000"/>
                <w:sz w:val="24"/>
              </w:rPr>
              <w:t xml:space="preserve">to the entire universe of </w:t>
            </w:r>
            <w:r w:rsidR="001A338A" w:rsidRPr="008E24A9">
              <w:rPr>
                <w:rFonts w:eastAsia="Times New Roman"/>
                <w:color w:val="000000"/>
                <w:sz w:val="24"/>
              </w:rPr>
              <w:t>potential respondents</w:t>
            </w:r>
            <w:r w:rsidRPr="008E24A9">
              <w:rPr>
                <w:rFonts w:eastAsia="Times New Roman"/>
                <w:color w:val="000000"/>
                <w:sz w:val="24"/>
              </w:rPr>
              <w:t xml:space="preserve"> via email</w:t>
            </w:r>
          </w:p>
        </w:tc>
        <w:tc>
          <w:tcPr>
            <w:tcW w:w="2358" w:type="dxa"/>
          </w:tcPr>
          <w:p w:rsidR="00C46BC9" w:rsidRPr="008E24A9" w:rsidRDefault="00F915B0">
            <w:pPr>
              <w:spacing w:before="276" w:line="276" w:lineRule="exact"/>
              <w:ind w:right="72"/>
              <w:textAlignment w:val="baseline"/>
              <w:rPr>
                <w:rFonts w:eastAsia="Times New Roman"/>
                <w:color w:val="000000"/>
                <w:sz w:val="24"/>
              </w:rPr>
            </w:pPr>
            <w:r w:rsidRPr="008E24A9">
              <w:rPr>
                <w:rFonts w:eastAsia="Times New Roman"/>
                <w:color w:val="000000"/>
                <w:sz w:val="24"/>
              </w:rPr>
              <w:t>45</w:t>
            </w:r>
            <w:r w:rsidR="00C46BC9" w:rsidRPr="008E24A9">
              <w:rPr>
                <w:rFonts w:eastAsia="Times New Roman"/>
                <w:color w:val="000000"/>
                <w:sz w:val="24"/>
              </w:rPr>
              <w:t xml:space="preserve"> day response period</w:t>
            </w:r>
          </w:p>
        </w:tc>
      </w:tr>
      <w:tr w:rsidR="00C46BC9" w:rsidRPr="008E24A9" w:rsidTr="006A52A6">
        <w:tc>
          <w:tcPr>
            <w:tcW w:w="1908" w:type="dxa"/>
          </w:tcPr>
          <w:p w:rsidR="00C46BC9"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Day 15</w:t>
            </w:r>
          </w:p>
        </w:tc>
        <w:tc>
          <w:tcPr>
            <w:tcW w:w="5130" w:type="dxa"/>
          </w:tcPr>
          <w:p w:rsidR="00C46BC9"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Monitor response rates and send reminder emails</w:t>
            </w:r>
            <w:r w:rsidR="005A5AD8" w:rsidRPr="008E24A9">
              <w:rPr>
                <w:rFonts w:eastAsia="Times New Roman"/>
                <w:color w:val="000000"/>
                <w:sz w:val="24"/>
              </w:rPr>
              <w:t xml:space="preserve"> to businesses and recipients</w:t>
            </w:r>
          </w:p>
        </w:tc>
        <w:tc>
          <w:tcPr>
            <w:tcW w:w="2358" w:type="dxa"/>
          </w:tcPr>
          <w:p w:rsidR="00C46BC9"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2 days</w:t>
            </w:r>
          </w:p>
        </w:tc>
      </w:tr>
      <w:tr w:rsidR="005A5AD8" w:rsidRPr="008E24A9" w:rsidTr="006A52A6">
        <w:tc>
          <w:tcPr>
            <w:tcW w:w="1908" w:type="dxa"/>
          </w:tcPr>
          <w:p w:rsidR="005A5AD8" w:rsidRPr="008E24A9" w:rsidRDefault="005A5AD8">
            <w:pPr>
              <w:spacing w:before="276" w:line="276" w:lineRule="exact"/>
              <w:ind w:right="72"/>
              <w:textAlignment w:val="baseline"/>
              <w:rPr>
                <w:rFonts w:eastAsia="Times New Roman"/>
                <w:color w:val="000000"/>
                <w:sz w:val="24"/>
              </w:rPr>
            </w:pPr>
            <w:r w:rsidRPr="008E24A9">
              <w:rPr>
                <w:rFonts w:eastAsia="Times New Roman"/>
                <w:color w:val="000000"/>
                <w:sz w:val="24"/>
              </w:rPr>
              <w:lastRenderedPageBreak/>
              <w:t>Days 16-21</w:t>
            </w:r>
          </w:p>
        </w:tc>
        <w:tc>
          <w:tcPr>
            <w:tcW w:w="5130" w:type="dxa"/>
          </w:tcPr>
          <w:p w:rsidR="005A5AD8" w:rsidRPr="008E24A9" w:rsidRDefault="005A5AD8" w:rsidP="005A5AD8">
            <w:pPr>
              <w:spacing w:before="276" w:line="276" w:lineRule="exact"/>
              <w:ind w:right="72"/>
              <w:textAlignment w:val="baseline"/>
              <w:rPr>
                <w:rFonts w:eastAsia="Times New Roman"/>
                <w:color w:val="000000"/>
                <w:sz w:val="24"/>
              </w:rPr>
            </w:pPr>
            <w:r w:rsidRPr="008E24A9">
              <w:rPr>
                <w:rFonts w:eastAsia="Times New Roman"/>
                <w:color w:val="000000"/>
                <w:sz w:val="24"/>
              </w:rPr>
              <w:t>Make follow-up reminder phone calls to HUD recipient agencies that have not submitted surveys</w:t>
            </w:r>
          </w:p>
        </w:tc>
        <w:tc>
          <w:tcPr>
            <w:tcW w:w="2358" w:type="dxa"/>
          </w:tcPr>
          <w:p w:rsidR="005A5AD8" w:rsidRPr="008E24A9" w:rsidRDefault="005A5AD8">
            <w:pPr>
              <w:spacing w:before="276" w:line="276" w:lineRule="exact"/>
              <w:ind w:right="72"/>
              <w:textAlignment w:val="baseline"/>
              <w:rPr>
                <w:rFonts w:eastAsia="Times New Roman"/>
                <w:color w:val="000000"/>
                <w:sz w:val="24"/>
              </w:rPr>
            </w:pPr>
            <w:r w:rsidRPr="008E24A9">
              <w:rPr>
                <w:rFonts w:eastAsia="Times New Roman"/>
                <w:color w:val="000000"/>
                <w:sz w:val="24"/>
              </w:rPr>
              <w:t>5 days</w:t>
            </w:r>
          </w:p>
        </w:tc>
      </w:tr>
      <w:tr w:rsidR="001A338A" w:rsidRPr="008E24A9" w:rsidTr="006A52A6">
        <w:tc>
          <w:tcPr>
            <w:tcW w:w="1908" w:type="dxa"/>
          </w:tcPr>
          <w:p w:rsidR="001A338A"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Day 30</w:t>
            </w:r>
          </w:p>
        </w:tc>
        <w:tc>
          <w:tcPr>
            <w:tcW w:w="5130" w:type="dxa"/>
          </w:tcPr>
          <w:p w:rsidR="001A338A"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Monitor response rates and send reminder emails</w:t>
            </w:r>
            <w:r w:rsidR="005A5AD8" w:rsidRPr="008E24A9">
              <w:rPr>
                <w:rFonts w:eastAsia="Times New Roman"/>
                <w:color w:val="000000"/>
                <w:sz w:val="24"/>
              </w:rPr>
              <w:t xml:space="preserve"> to businesses and recipients</w:t>
            </w:r>
          </w:p>
        </w:tc>
        <w:tc>
          <w:tcPr>
            <w:tcW w:w="2358" w:type="dxa"/>
          </w:tcPr>
          <w:p w:rsidR="001A338A"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2 days</w:t>
            </w:r>
          </w:p>
        </w:tc>
      </w:tr>
      <w:tr w:rsidR="005A5AD8" w:rsidRPr="008E24A9" w:rsidTr="006D5BCC">
        <w:tc>
          <w:tcPr>
            <w:tcW w:w="1908" w:type="dxa"/>
          </w:tcPr>
          <w:p w:rsidR="005A5AD8" w:rsidRPr="008E24A9" w:rsidRDefault="005A5AD8" w:rsidP="005A5AD8">
            <w:pPr>
              <w:spacing w:before="276" w:line="276" w:lineRule="exact"/>
              <w:ind w:right="72"/>
              <w:textAlignment w:val="baseline"/>
              <w:rPr>
                <w:rFonts w:eastAsia="Times New Roman"/>
                <w:color w:val="000000"/>
                <w:sz w:val="24"/>
              </w:rPr>
            </w:pPr>
            <w:r w:rsidRPr="008E24A9">
              <w:rPr>
                <w:rFonts w:eastAsia="Times New Roman"/>
                <w:color w:val="000000"/>
                <w:sz w:val="24"/>
              </w:rPr>
              <w:t>Days 31-36</w:t>
            </w:r>
          </w:p>
        </w:tc>
        <w:tc>
          <w:tcPr>
            <w:tcW w:w="5130" w:type="dxa"/>
          </w:tcPr>
          <w:p w:rsidR="005A5AD8" w:rsidRPr="008E24A9" w:rsidRDefault="005A5AD8" w:rsidP="005A5AD8">
            <w:pPr>
              <w:spacing w:before="276" w:line="276" w:lineRule="exact"/>
              <w:ind w:right="72"/>
              <w:textAlignment w:val="baseline"/>
              <w:rPr>
                <w:rFonts w:eastAsia="Times New Roman"/>
                <w:color w:val="000000"/>
                <w:sz w:val="24"/>
              </w:rPr>
            </w:pPr>
            <w:r w:rsidRPr="008E24A9">
              <w:rPr>
                <w:rFonts w:eastAsia="Times New Roman"/>
                <w:color w:val="000000"/>
                <w:sz w:val="24"/>
              </w:rPr>
              <w:t>Make follow-up reminder phone calls to HUD recipient agencies that have not submitted surveys</w:t>
            </w:r>
          </w:p>
        </w:tc>
        <w:tc>
          <w:tcPr>
            <w:tcW w:w="2358" w:type="dxa"/>
          </w:tcPr>
          <w:p w:rsidR="005A5AD8" w:rsidRPr="008E24A9" w:rsidRDefault="005A5AD8" w:rsidP="006D5BCC">
            <w:pPr>
              <w:spacing w:before="276" w:line="276" w:lineRule="exact"/>
              <w:ind w:right="72"/>
              <w:textAlignment w:val="baseline"/>
              <w:rPr>
                <w:rFonts w:eastAsia="Times New Roman"/>
                <w:color w:val="000000"/>
                <w:sz w:val="24"/>
              </w:rPr>
            </w:pPr>
            <w:r w:rsidRPr="008E24A9">
              <w:rPr>
                <w:rFonts w:eastAsia="Times New Roman"/>
                <w:color w:val="000000"/>
                <w:sz w:val="24"/>
              </w:rPr>
              <w:t>5 days</w:t>
            </w:r>
          </w:p>
        </w:tc>
      </w:tr>
      <w:tr w:rsidR="001A338A" w:rsidRPr="008E24A9" w:rsidTr="006A52A6">
        <w:tc>
          <w:tcPr>
            <w:tcW w:w="1908" w:type="dxa"/>
          </w:tcPr>
          <w:p w:rsidR="001A338A" w:rsidRPr="008E24A9" w:rsidRDefault="00F915B0">
            <w:pPr>
              <w:spacing w:before="276" w:line="276" w:lineRule="exact"/>
              <w:ind w:right="72"/>
              <w:textAlignment w:val="baseline"/>
              <w:rPr>
                <w:rFonts w:eastAsia="Times New Roman"/>
                <w:color w:val="000000"/>
                <w:sz w:val="24"/>
              </w:rPr>
            </w:pPr>
            <w:r w:rsidRPr="008E24A9">
              <w:rPr>
                <w:rFonts w:eastAsia="Times New Roman"/>
                <w:color w:val="000000"/>
                <w:sz w:val="24"/>
              </w:rPr>
              <w:t>Day 4</w:t>
            </w:r>
            <w:r w:rsidR="001A338A" w:rsidRPr="008E24A9">
              <w:rPr>
                <w:rFonts w:eastAsia="Times New Roman"/>
                <w:color w:val="000000"/>
                <w:sz w:val="24"/>
              </w:rPr>
              <w:t>5</w:t>
            </w:r>
          </w:p>
        </w:tc>
        <w:tc>
          <w:tcPr>
            <w:tcW w:w="5130" w:type="dxa"/>
          </w:tcPr>
          <w:p w:rsidR="001A338A"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Survey response period closes</w:t>
            </w:r>
          </w:p>
        </w:tc>
        <w:tc>
          <w:tcPr>
            <w:tcW w:w="2358" w:type="dxa"/>
          </w:tcPr>
          <w:p w:rsidR="001A338A" w:rsidRPr="008E24A9" w:rsidRDefault="001A338A">
            <w:pPr>
              <w:spacing w:before="276" w:line="276" w:lineRule="exact"/>
              <w:ind w:right="72"/>
              <w:textAlignment w:val="baseline"/>
              <w:rPr>
                <w:rFonts w:eastAsia="Times New Roman"/>
                <w:color w:val="000000"/>
                <w:sz w:val="24"/>
              </w:rPr>
            </w:pPr>
          </w:p>
        </w:tc>
      </w:tr>
      <w:tr w:rsidR="001A338A" w:rsidRPr="008E24A9" w:rsidTr="006A52A6">
        <w:tc>
          <w:tcPr>
            <w:tcW w:w="1908" w:type="dxa"/>
          </w:tcPr>
          <w:p w:rsidR="001A338A" w:rsidRPr="008E24A9" w:rsidRDefault="00F915B0" w:rsidP="006A52A6">
            <w:pPr>
              <w:spacing w:before="276" w:line="276" w:lineRule="exact"/>
              <w:ind w:right="72"/>
              <w:textAlignment w:val="baseline"/>
              <w:rPr>
                <w:rFonts w:eastAsia="Times New Roman"/>
                <w:color w:val="000000"/>
                <w:sz w:val="24"/>
              </w:rPr>
            </w:pPr>
            <w:r w:rsidRPr="008E24A9">
              <w:rPr>
                <w:rFonts w:eastAsia="Times New Roman"/>
                <w:color w:val="000000"/>
                <w:sz w:val="24"/>
              </w:rPr>
              <w:t>Days 4</w:t>
            </w:r>
            <w:r w:rsidR="001A338A" w:rsidRPr="008E24A9">
              <w:rPr>
                <w:rFonts w:eastAsia="Times New Roman"/>
                <w:color w:val="000000"/>
                <w:sz w:val="24"/>
              </w:rPr>
              <w:t>6-</w:t>
            </w:r>
            <w:r w:rsidRPr="008E24A9">
              <w:rPr>
                <w:rFonts w:eastAsia="Times New Roman"/>
                <w:color w:val="000000"/>
                <w:sz w:val="24"/>
              </w:rPr>
              <w:t>6</w:t>
            </w:r>
            <w:r w:rsidR="006A52A6" w:rsidRPr="008E24A9">
              <w:rPr>
                <w:rFonts w:eastAsia="Times New Roman"/>
                <w:color w:val="000000"/>
                <w:sz w:val="24"/>
              </w:rPr>
              <w:t>7</w:t>
            </w:r>
          </w:p>
        </w:tc>
        <w:tc>
          <w:tcPr>
            <w:tcW w:w="5130" w:type="dxa"/>
          </w:tcPr>
          <w:p w:rsidR="001A338A" w:rsidRPr="008E24A9" w:rsidRDefault="001A338A" w:rsidP="006A52A6">
            <w:pPr>
              <w:spacing w:before="276" w:line="276" w:lineRule="exact"/>
              <w:ind w:right="72"/>
              <w:textAlignment w:val="baseline"/>
              <w:rPr>
                <w:rFonts w:eastAsia="Times New Roman"/>
                <w:color w:val="000000"/>
                <w:sz w:val="24"/>
              </w:rPr>
            </w:pPr>
            <w:r w:rsidRPr="008E24A9">
              <w:rPr>
                <w:rFonts w:eastAsia="Times New Roman"/>
                <w:color w:val="000000"/>
                <w:sz w:val="24"/>
              </w:rPr>
              <w:t>Data analysis</w:t>
            </w:r>
            <w:r w:rsidR="006A52A6" w:rsidRPr="008E24A9">
              <w:rPr>
                <w:rFonts w:eastAsia="Times New Roman"/>
                <w:color w:val="000000"/>
                <w:sz w:val="24"/>
              </w:rPr>
              <w:t xml:space="preserve"> </w:t>
            </w:r>
            <w:r w:rsidR="000970D2" w:rsidRPr="008E24A9">
              <w:rPr>
                <w:rFonts w:eastAsia="Times New Roman"/>
                <w:color w:val="000000"/>
                <w:sz w:val="24"/>
              </w:rPr>
              <w:t>and descriptive statistic methods implemented</w:t>
            </w:r>
          </w:p>
        </w:tc>
        <w:tc>
          <w:tcPr>
            <w:tcW w:w="2358" w:type="dxa"/>
          </w:tcPr>
          <w:p w:rsidR="001A338A" w:rsidRPr="008E24A9" w:rsidRDefault="006A52A6">
            <w:pPr>
              <w:spacing w:before="276" w:line="276" w:lineRule="exact"/>
              <w:ind w:right="72"/>
              <w:textAlignment w:val="baseline"/>
              <w:rPr>
                <w:rFonts w:eastAsia="Times New Roman"/>
                <w:color w:val="000000"/>
                <w:sz w:val="24"/>
              </w:rPr>
            </w:pPr>
            <w:r w:rsidRPr="008E24A9">
              <w:rPr>
                <w:rFonts w:eastAsia="Times New Roman"/>
                <w:color w:val="000000"/>
                <w:sz w:val="24"/>
              </w:rPr>
              <w:t>21 days</w:t>
            </w:r>
          </w:p>
        </w:tc>
      </w:tr>
      <w:tr w:rsidR="001A338A" w:rsidRPr="008E24A9" w:rsidTr="006A52A6">
        <w:tc>
          <w:tcPr>
            <w:tcW w:w="1908" w:type="dxa"/>
          </w:tcPr>
          <w:p w:rsidR="001A338A"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Day</w:t>
            </w:r>
            <w:r w:rsidR="00F915B0" w:rsidRPr="008E24A9">
              <w:rPr>
                <w:rFonts w:eastAsia="Times New Roman"/>
                <w:color w:val="000000"/>
                <w:sz w:val="24"/>
              </w:rPr>
              <w:t>s 6</w:t>
            </w:r>
            <w:r w:rsidR="006A52A6" w:rsidRPr="008E24A9">
              <w:rPr>
                <w:rFonts w:eastAsia="Times New Roman"/>
                <w:color w:val="000000"/>
                <w:sz w:val="24"/>
              </w:rPr>
              <w:t>8-</w:t>
            </w:r>
            <w:r w:rsidRPr="008E24A9">
              <w:rPr>
                <w:rFonts w:eastAsia="Times New Roman"/>
                <w:color w:val="000000"/>
                <w:sz w:val="24"/>
              </w:rPr>
              <w:t xml:space="preserve"> </w:t>
            </w:r>
          </w:p>
        </w:tc>
        <w:tc>
          <w:tcPr>
            <w:tcW w:w="5130" w:type="dxa"/>
          </w:tcPr>
          <w:p w:rsidR="001A338A" w:rsidRPr="008E24A9" w:rsidRDefault="001A338A">
            <w:pPr>
              <w:spacing w:before="276" w:line="276" w:lineRule="exact"/>
              <w:ind w:right="72"/>
              <w:textAlignment w:val="baseline"/>
              <w:rPr>
                <w:rFonts w:eastAsia="Times New Roman"/>
                <w:color w:val="000000"/>
                <w:sz w:val="24"/>
              </w:rPr>
            </w:pPr>
            <w:r w:rsidRPr="008E24A9">
              <w:rPr>
                <w:rFonts w:eastAsia="Times New Roman"/>
                <w:color w:val="000000"/>
                <w:sz w:val="24"/>
              </w:rPr>
              <w:t>Findings and recommendations presented to Senior Management and policy decisions made</w:t>
            </w:r>
          </w:p>
        </w:tc>
        <w:tc>
          <w:tcPr>
            <w:tcW w:w="2358" w:type="dxa"/>
          </w:tcPr>
          <w:p w:rsidR="001A338A" w:rsidRPr="008E24A9" w:rsidRDefault="001A338A">
            <w:pPr>
              <w:spacing w:before="276" w:line="276" w:lineRule="exact"/>
              <w:ind w:right="72"/>
              <w:textAlignment w:val="baseline"/>
              <w:rPr>
                <w:rFonts w:eastAsia="Times New Roman"/>
                <w:color w:val="000000"/>
                <w:sz w:val="24"/>
              </w:rPr>
            </w:pPr>
          </w:p>
        </w:tc>
      </w:tr>
    </w:tbl>
    <w:p w:rsidR="00C46BC9" w:rsidRPr="008E24A9" w:rsidRDefault="00C46BC9">
      <w:pPr>
        <w:spacing w:before="276" w:line="276" w:lineRule="exact"/>
        <w:ind w:left="360" w:right="72"/>
        <w:textAlignment w:val="baseline"/>
        <w:rPr>
          <w:rFonts w:eastAsia="Times New Roman"/>
          <w:color w:val="000000"/>
          <w:sz w:val="24"/>
        </w:rPr>
      </w:pPr>
    </w:p>
    <w:p w:rsidR="00511F79" w:rsidRPr="008E24A9" w:rsidRDefault="00271368">
      <w:pPr>
        <w:numPr>
          <w:ilvl w:val="0"/>
          <w:numId w:val="1"/>
        </w:numPr>
        <w:spacing w:before="277" w:line="275" w:lineRule="exact"/>
        <w:ind w:left="0"/>
        <w:textAlignment w:val="baseline"/>
        <w:rPr>
          <w:rFonts w:eastAsia="Times New Roman"/>
          <w:color w:val="000000"/>
          <w:sz w:val="24"/>
        </w:rPr>
      </w:pPr>
      <w:r w:rsidRPr="008E24A9">
        <w:rPr>
          <w:rFonts w:eastAsia="Times New Roman"/>
          <w:color w:val="000000"/>
          <w:sz w:val="24"/>
        </w:rPr>
        <w:t>Methods to maximize response rates and to deal with statistical issues of non-response.</w:t>
      </w:r>
    </w:p>
    <w:p w:rsidR="00B77035" w:rsidRPr="008E24A9" w:rsidRDefault="00271368">
      <w:pPr>
        <w:spacing w:before="276" w:line="276" w:lineRule="exact"/>
        <w:ind w:left="360" w:right="360"/>
        <w:textAlignment w:val="baseline"/>
        <w:rPr>
          <w:rFonts w:eastAsia="Times New Roman"/>
          <w:color w:val="000000"/>
          <w:sz w:val="24"/>
        </w:rPr>
      </w:pPr>
      <w:r w:rsidRPr="008E24A9">
        <w:rPr>
          <w:rFonts w:eastAsia="Times New Roman"/>
          <w:color w:val="000000"/>
          <w:sz w:val="24"/>
        </w:rPr>
        <w:t xml:space="preserve">Potential respondents will be notified </w:t>
      </w:r>
      <w:r w:rsidR="00AF546A" w:rsidRPr="008E24A9">
        <w:rPr>
          <w:rFonts w:eastAsia="Times New Roman"/>
          <w:color w:val="000000"/>
          <w:sz w:val="24"/>
        </w:rPr>
        <w:t>b</w:t>
      </w:r>
      <w:r w:rsidRPr="008E24A9">
        <w:rPr>
          <w:rFonts w:eastAsia="Times New Roman"/>
          <w:color w:val="000000"/>
          <w:sz w:val="24"/>
        </w:rPr>
        <w:t xml:space="preserve">y an email </w:t>
      </w:r>
      <w:r w:rsidR="000970D2" w:rsidRPr="008E24A9">
        <w:rPr>
          <w:rFonts w:eastAsia="Times New Roman"/>
          <w:color w:val="000000"/>
          <w:sz w:val="24"/>
        </w:rPr>
        <w:t xml:space="preserve">notification from HUD’s Section 3 Division Director </w:t>
      </w:r>
      <w:r w:rsidRPr="008E24A9">
        <w:rPr>
          <w:rFonts w:eastAsia="Times New Roman"/>
          <w:color w:val="000000"/>
          <w:sz w:val="24"/>
        </w:rPr>
        <w:t xml:space="preserve">containing a link to access the questions </w:t>
      </w:r>
      <w:r w:rsidR="00AF546A" w:rsidRPr="008E24A9">
        <w:rPr>
          <w:rFonts w:eastAsia="Times New Roman"/>
          <w:color w:val="000000"/>
          <w:sz w:val="24"/>
        </w:rPr>
        <w:t>via the Internet</w:t>
      </w:r>
      <w:r w:rsidR="000970D2" w:rsidRPr="008E24A9">
        <w:rPr>
          <w:rFonts w:eastAsia="Times New Roman"/>
          <w:color w:val="000000"/>
          <w:sz w:val="24"/>
        </w:rPr>
        <w:t xml:space="preserve"> (attached)</w:t>
      </w:r>
      <w:r w:rsidR="00AF546A" w:rsidRPr="008E24A9">
        <w:rPr>
          <w:rFonts w:eastAsia="Times New Roman"/>
          <w:color w:val="000000"/>
          <w:sz w:val="24"/>
        </w:rPr>
        <w:t>.</w:t>
      </w:r>
      <w:r w:rsidRPr="008E24A9">
        <w:rPr>
          <w:rFonts w:eastAsia="Times New Roman"/>
          <w:color w:val="000000"/>
          <w:sz w:val="24"/>
        </w:rPr>
        <w:t xml:space="preserve">  </w:t>
      </w:r>
      <w:r w:rsidR="00B77035" w:rsidRPr="008E24A9">
        <w:rPr>
          <w:rFonts w:eastAsia="Times New Roman"/>
          <w:color w:val="000000"/>
          <w:sz w:val="24"/>
        </w:rPr>
        <w:t xml:space="preserve">The </w:t>
      </w:r>
      <w:r w:rsidR="00E239DD" w:rsidRPr="008E24A9">
        <w:rPr>
          <w:rFonts w:eastAsia="Times New Roman"/>
          <w:color w:val="000000"/>
          <w:sz w:val="24"/>
        </w:rPr>
        <w:t xml:space="preserve">first survey will be sent to the </w:t>
      </w:r>
      <w:r w:rsidR="00B77035" w:rsidRPr="008E24A9">
        <w:rPr>
          <w:rFonts w:eastAsia="Times New Roman"/>
          <w:color w:val="000000"/>
          <w:sz w:val="24"/>
        </w:rPr>
        <w:t xml:space="preserve">Executive Director or Director of Housing and Community Development for each grantee to ensure that the survey is sent to the </w:t>
      </w:r>
      <w:r w:rsidR="006A52A6" w:rsidRPr="008E24A9">
        <w:rPr>
          <w:rFonts w:eastAsia="Times New Roman"/>
          <w:color w:val="000000"/>
          <w:sz w:val="24"/>
        </w:rPr>
        <w:t xml:space="preserve">appropriate </w:t>
      </w:r>
      <w:r w:rsidR="00B77035" w:rsidRPr="008E24A9">
        <w:rPr>
          <w:rFonts w:eastAsia="Times New Roman"/>
          <w:color w:val="000000"/>
          <w:sz w:val="24"/>
        </w:rPr>
        <w:t>individual at the agency that has responsibility for ensuring that the requirements of Section 3 of the Housing and Urban Development Act are met.</w:t>
      </w:r>
      <w:r w:rsidR="00E239DD" w:rsidRPr="008E24A9">
        <w:rPr>
          <w:rFonts w:eastAsia="Times New Roman"/>
          <w:color w:val="000000"/>
          <w:sz w:val="24"/>
        </w:rPr>
        <w:t xml:space="preserve">  </w:t>
      </w:r>
      <w:r w:rsidR="00181DFB" w:rsidRPr="008E24A9">
        <w:rPr>
          <w:rFonts w:eastAsia="Times New Roman"/>
          <w:color w:val="000000"/>
          <w:sz w:val="24"/>
        </w:rPr>
        <w:t>T</w:t>
      </w:r>
      <w:r w:rsidR="00E239DD" w:rsidRPr="008E24A9">
        <w:rPr>
          <w:rFonts w:eastAsia="Times New Roman"/>
          <w:color w:val="000000"/>
          <w:sz w:val="24"/>
        </w:rPr>
        <w:t xml:space="preserve">he primary owner of each certified Section 3 business will receive the survey notification for the second survey.  </w:t>
      </w:r>
    </w:p>
    <w:p w:rsidR="00511F79" w:rsidRPr="008E24A9" w:rsidRDefault="00271368">
      <w:pPr>
        <w:spacing w:before="276" w:line="276" w:lineRule="exact"/>
        <w:ind w:left="360" w:right="360"/>
        <w:textAlignment w:val="baseline"/>
        <w:rPr>
          <w:rFonts w:eastAsia="Times New Roman"/>
          <w:color w:val="000000"/>
          <w:sz w:val="24"/>
        </w:rPr>
      </w:pPr>
      <w:r w:rsidRPr="008E24A9">
        <w:rPr>
          <w:rFonts w:eastAsia="Times New Roman"/>
          <w:color w:val="000000"/>
          <w:sz w:val="24"/>
        </w:rPr>
        <w:t xml:space="preserve">Both surveys will be available for approximately </w:t>
      </w:r>
      <w:r w:rsidR="00F915B0" w:rsidRPr="008E24A9">
        <w:rPr>
          <w:rFonts w:eastAsia="Times New Roman"/>
          <w:color w:val="000000"/>
          <w:sz w:val="24"/>
        </w:rPr>
        <w:t>45</w:t>
      </w:r>
      <w:r w:rsidRPr="008E24A9">
        <w:rPr>
          <w:rFonts w:eastAsia="Times New Roman"/>
          <w:color w:val="000000"/>
          <w:sz w:val="24"/>
        </w:rPr>
        <w:t xml:space="preserve"> days.  To ensure maximum participation, reminder emails will be sent to potential </w:t>
      </w:r>
      <w:r w:rsidR="00795209" w:rsidRPr="008E24A9">
        <w:rPr>
          <w:rFonts w:eastAsia="Times New Roman"/>
          <w:color w:val="000000"/>
          <w:sz w:val="24"/>
        </w:rPr>
        <w:t xml:space="preserve">all </w:t>
      </w:r>
      <w:r w:rsidRPr="008E24A9">
        <w:rPr>
          <w:rFonts w:eastAsia="Times New Roman"/>
          <w:color w:val="000000"/>
          <w:sz w:val="24"/>
        </w:rPr>
        <w:t xml:space="preserve">respondents </w:t>
      </w:r>
      <w:r w:rsidR="00181DFB" w:rsidRPr="008E24A9">
        <w:rPr>
          <w:rFonts w:eastAsia="Times New Roman"/>
          <w:color w:val="000000"/>
          <w:sz w:val="24"/>
        </w:rPr>
        <w:t xml:space="preserve">in 15 day increments </w:t>
      </w:r>
      <w:r w:rsidRPr="008E24A9">
        <w:rPr>
          <w:rFonts w:eastAsia="Times New Roman"/>
          <w:color w:val="000000"/>
          <w:sz w:val="24"/>
        </w:rPr>
        <w:t>during that timeframe.</w:t>
      </w:r>
      <w:r w:rsidR="000970D2" w:rsidRPr="008E24A9">
        <w:rPr>
          <w:rFonts w:eastAsia="Times New Roman"/>
          <w:color w:val="000000"/>
          <w:sz w:val="24"/>
        </w:rPr>
        <w:t xml:space="preserve">  </w:t>
      </w:r>
      <w:r w:rsidR="00795209" w:rsidRPr="008E24A9">
        <w:rPr>
          <w:rFonts w:eastAsia="Times New Roman"/>
          <w:color w:val="000000"/>
          <w:sz w:val="24"/>
        </w:rPr>
        <w:t>Additionally, HUD will make two rounds of follow-up reminder telephone calls to recipient agencies that have not submitted surveys to encourage their participation.</w:t>
      </w:r>
    </w:p>
    <w:p w:rsidR="00511F79" w:rsidRPr="008E24A9" w:rsidRDefault="00271368">
      <w:pPr>
        <w:numPr>
          <w:ilvl w:val="0"/>
          <w:numId w:val="1"/>
        </w:numPr>
        <w:spacing w:before="277" w:line="275" w:lineRule="exact"/>
        <w:ind w:left="0"/>
        <w:textAlignment w:val="baseline"/>
        <w:rPr>
          <w:rFonts w:eastAsia="Times New Roman"/>
          <w:color w:val="000000"/>
          <w:sz w:val="24"/>
        </w:rPr>
      </w:pPr>
      <w:r w:rsidRPr="008E24A9">
        <w:rPr>
          <w:rFonts w:eastAsia="Times New Roman"/>
          <w:color w:val="000000"/>
          <w:sz w:val="24"/>
        </w:rPr>
        <w:t>Tests or procedures.</w:t>
      </w:r>
    </w:p>
    <w:p w:rsidR="000970D2" w:rsidRPr="008E24A9" w:rsidRDefault="00271368">
      <w:pPr>
        <w:spacing w:before="278" w:line="276" w:lineRule="exact"/>
        <w:ind w:left="360"/>
        <w:textAlignment w:val="baseline"/>
        <w:rPr>
          <w:rFonts w:eastAsia="Times New Roman"/>
          <w:color w:val="000000"/>
          <w:sz w:val="24"/>
        </w:rPr>
      </w:pPr>
      <w:r w:rsidRPr="008E24A9">
        <w:rPr>
          <w:rFonts w:eastAsia="Times New Roman"/>
          <w:color w:val="000000"/>
          <w:sz w:val="24"/>
        </w:rPr>
        <w:t xml:space="preserve">The questions to be asked will be similar to those used by other Federal agencies to measure program effectiveness. </w:t>
      </w:r>
      <w:r w:rsidR="000970D2" w:rsidRPr="008E24A9">
        <w:rPr>
          <w:rFonts w:eastAsia="Times New Roman"/>
          <w:color w:val="000000"/>
          <w:sz w:val="24"/>
        </w:rPr>
        <w:t>HUD will use descriptive statistical methods to identify the median, mode, and average for responses to each</w:t>
      </w:r>
      <w:r w:rsidR="00181DFB" w:rsidRPr="008E24A9">
        <w:rPr>
          <w:rFonts w:eastAsia="Times New Roman"/>
          <w:color w:val="000000"/>
          <w:sz w:val="24"/>
        </w:rPr>
        <w:t xml:space="preserve"> question.  This data will be used to produce charts, graphs, and other visual representations that </w:t>
      </w:r>
      <w:r w:rsidR="00212BFF" w:rsidRPr="008E24A9">
        <w:rPr>
          <w:rFonts w:eastAsia="Times New Roman"/>
          <w:color w:val="000000"/>
          <w:sz w:val="24"/>
        </w:rPr>
        <w:t xml:space="preserve">to provide insights into the </w:t>
      </w:r>
      <w:r w:rsidR="00181DFB" w:rsidRPr="008E24A9">
        <w:rPr>
          <w:rFonts w:eastAsia="Times New Roman"/>
          <w:color w:val="000000"/>
          <w:sz w:val="24"/>
        </w:rPr>
        <w:t>effectiveness of the pilot program during its initial implementation period.</w:t>
      </w:r>
      <w:r w:rsidR="000970D2" w:rsidRPr="008E24A9">
        <w:rPr>
          <w:rFonts w:eastAsia="Times New Roman"/>
          <w:color w:val="000000"/>
          <w:sz w:val="24"/>
        </w:rPr>
        <w:t xml:space="preserve"> </w:t>
      </w:r>
      <w:r w:rsidR="00BC41EC" w:rsidRPr="008E24A9">
        <w:rPr>
          <w:rFonts w:eastAsia="Times New Roman"/>
          <w:color w:val="000000"/>
          <w:sz w:val="24"/>
        </w:rPr>
        <w:t>HUD only intends to use the data obtained from these surveys to provide anecdotal and/or qualitative information regarding the Section 3 Business Registry Pilot program</w:t>
      </w:r>
      <w:r w:rsidR="00212BFF" w:rsidRPr="008E24A9">
        <w:rPr>
          <w:rFonts w:eastAsia="Times New Roman"/>
          <w:color w:val="000000"/>
          <w:sz w:val="24"/>
        </w:rPr>
        <w:t xml:space="preserve"> and will make this clear in any reports based on these surveys</w:t>
      </w:r>
      <w:r w:rsidR="00BC41EC" w:rsidRPr="008E24A9">
        <w:rPr>
          <w:rFonts w:eastAsia="Times New Roman"/>
          <w:color w:val="000000"/>
          <w:sz w:val="24"/>
        </w:rPr>
        <w:t>.</w:t>
      </w:r>
    </w:p>
    <w:p w:rsidR="00511F79" w:rsidRPr="008E24A9" w:rsidRDefault="00271368">
      <w:pPr>
        <w:spacing w:before="278" w:line="276" w:lineRule="exact"/>
        <w:ind w:left="360"/>
        <w:textAlignment w:val="baseline"/>
        <w:rPr>
          <w:rFonts w:eastAsia="Times New Roman"/>
          <w:color w:val="000000"/>
          <w:sz w:val="24"/>
        </w:rPr>
      </w:pPr>
      <w:r w:rsidRPr="008E24A9">
        <w:rPr>
          <w:rFonts w:eastAsia="Times New Roman"/>
          <w:color w:val="000000"/>
          <w:sz w:val="24"/>
        </w:rPr>
        <w:t xml:space="preserve">Results of these </w:t>
      </w:r>
      <w:r w:rsidR="00AF546A" w:rsidRPr="008E24A9">
        <w:rPr>
          <w:rFonts w:eastAsia="Times New Roman"/>
          <w:color w:val="000000"/>
          <w:sz w:val="24"/>
        </w:rPr>
        <w:t xml:space="preserve">surveys will </w:t>
      </w:r>
      <w:r w:rsidR="00212BFF" w:rsidRPr="008E24A9">
        <w:rPr>
          <w:rFonts w:eastAsia="Times New Roman"/>
          <w:color w:val="000000"/>
          <w:sz w:val="24"/>
        </w:rPr>
        <w:t xml:space="preserve">provide useful insights for </w:t>
      </w:r>
      <w:r w:rsidR="00AF546A" w:rsidRPr="008E24A9">
        <w:rPr>
          <w:rFonts w:eastAsia="Times New Roman"/>
          <w:color w:val="000000"/>
          <w:sz w:val="24"/>
        </w:rPr>
        <w:t xml:space="preserve">the Department to assess the </w:t>
      </w:r>
      <w:r w:rsidRPr="008E24A9">
        <w:rPr>
          <w:rFonts w:eastAsia="Times New Roman"/>
          <w:color w:val="000000"/>
          <w:sz w:val="24"/>
        </w:rPr>
        <w:t xml:space="preserve">success </w:t>
      </w:r>
      <w:r w:rsidR="00AF546A" w:rsidRPr="008E24A9">
        <w:rPr>
          <w:rFonts w:eastAsia="Times New Roman"/>
          <w:color w:val="000000"/>
          <w:sz w:val="24"/>
        </w:rPr>
        <w:t>of the pilot program</w:t>
      </w:r>
      <w:r w:rsidRPr="008E24A9">
        <w:rPr>
          <w:rFonts w:eastAsia="Times New Roman"/>
          <w:color w:val="000000"/>
          <w:sz w:val="24"/>
        </w:rPr>
        <w:t>;</w:t>
      </w:r>
      <w:r w:rsidR="00AF546A" w:rsidRPr="008E24A9">
        <w:rPr>
          <w:rFonts w:eastAsia="Times New Roman"/>
          <w:color w:val="000000"/>
          <w:sz w:val="24"/>
        </w:rPr>
        <w:t xml:space="preserve"> identify challe</w:t>
      </w:r>
      <w:r w:rsidRPr="008E24A9">
        <w:rPr>
          <w:rFonts w:eastAsia="Times New Roman"/>
          <w:color w:val="000000"/>
          <w:sz w:val="24"/>
        </w:rPr>
        <w:t>nges/barriers to implementation;</w:t>
      </w:r>
      <w:r w:rsidR="00AF546A" w:rsidRPr="008E24A9">
        <w:rPr>
          <w:rFonts w:eastAsia="Times New Roman"/>
          <w:color w:val="000000"/>
          <w:sz w:val="24"/>
        </w:rPr>
        <w:t xml:space="preserve"> and </w:t>
      </w:r>
      <w:r w:rsidR="00212BFF" w:rsidRPr="008E24A9">
        <w:rPr>
          <w:rFonts w:eastAsia="Times New Roman"/>
          <w:color w:val="000000"/>
          <w:sz w:val="24"/>
        </w:rPr>
        <w:t xml:space="preserve">help inform </w:t>
      </w:r>
      <w:r w:rsidR="00AF546A" w:rsidRPr="008E24A9">
        <w:rPr>
          <w:rFonts w:eastAsia="Times New Roman"/>
          <w:color w:val="000000"/>
          <w:sz w:val="24"/>
        </w:rPr>
        <w:t xml:space="preserve">subsequent </w:t>
      </w:r>
      <w:r w:rsidR="00AF546A" w:rsidRPr="008E24A9">
        <w:rPr>
          <w:rFonts w:eastAsia="Times New Roman"/>
          <w:color w:val="000000"/>
          <w:sz w:val="24"/>
        </w:rPr>
        <w:lastRenderedPageBreak/>
        <w:t>policy decisions</w:t>
      </w:r>
      <w:r w:rsidRPr="008E24A9">
        <w:rPr>
          <w:rFonts w:eastAsia="Times New Roman"/>
          <w:color w:val="000000"/>
          <w:sz w:val="24"/>
        </w:rPr>
        <w:t>. To ensure quality while the data are being collected, special attention will be paid to</w:t>
      </w:r>
      <w:r w:rsidR="006A52A6" w:rsidRPr="008E24A9">
        <w:rPr>
          <w:rFonts w:eastAsia="Times New Roman"/>
          <w:color w:val="000000"/>
          <w:sz w:val="24"/>
        </w:rPr>
        <w:t xml:space="preserve"> </w:t>
      </w:r>
      <w:r w:rsidR="000970D2" w:rsidRPr="008E24A9">
        <w:rPr>
          <w:rFonts w:eastAsia="Times New Roman"/>
          <w:color w:val="000000"/>
          <w:sz w:val="24"/>
        </w:rPr>
        <w:t>(a</w:t>
      </w:r>
      <w:r w:rsidRPr="008E24A9">
        <w:rPr>
          <w:rFonts w:eastAsia="Times New Roman"/>
          <w:color w:val="000000"/>
          <w:sz w:val="24"/>
        </w:rPr>
        <w:t>) questionnaire completion rates</w:t>
      </w:r>
      <w:r w:rsidR="00AF546A" w:rsidRPr="008E24A9">
        <w:rPr>
          <w:rFonts w:eastAsia="Times New Roman"/>
          <w:color w:val="000000"/>
          <w:sz w:val="24"/>
        </w:rPr>
        <w:t>, (</w:t>
      </w:r>
      <w:r w:rsidR="000970D2" w:rsidRPr="008E24A9">
        <w:rPr>
          <w:rFonts w:eastAsia="Times New Roman"/>
          <w:color w:val="000000"/>
          <w:sz w:val="24"/>
        </w:rPr>
        <w:t>b</w:t>
      </w:r>
      <w:r w:rsidRPr="008E24A9">
        <w:rPr>
          <w:rFonts w:eastAsia="Times New Roman"/>
          <w:color w:val="000000"/>
          <w:sz w:val="24"/>
        </w:rPr>
        <w:t xml:space="preserve">) response rates of individual survey questions, and </w:t>
      </w:r>
      <w:r w:rsidR="00AF546A" w:rsidRPr="008E24A9">
        <w:rPr>
          <w:rFonts w:eastAsia="Times New Roman"/>
          <w:color w:val="000000"/>
          <w:sz w:val="24"/>
        </w:rPr>
        <w:t>(</w:t>
      </w:r>
      <w:r w:rsidR="000970D2" w:rsidRPr="008E24A9">
        <w:rPr>
          <w:rFonts w:eastAsia="Times New Roman"/>
          <w:color w:val="000000"/>
          <w:sz w:val="24"/>
        </w:rPr>
        <w:t>c</w:t>
      </w:r>
      <w:r w:rsidRPr="008E24A9">
        <w:rPr>
          <w:rFonts w:eastAsia="Times New Roman"/>
          <w:color w:val="000000"/>
          <w:sz w:val="24"/>
        </w:rPr>
        <w:t>) comments submitted to the Department.</w:t>
      </w:r>
    </w:p>
    <w:p w:rsidR="00AF546A" w:rsidRPr="008E24A9" w:rsidRDefault="00271368" w:rsidP="00AF546A">
      <w:pPr>
        <w:numPr>
          <w:ilvl w:val="0"/>
          <w:numId w:val="1"/>
        </w:numPr>
        <w:spacing w:before="277" w:line="275" w:lineRule="exact"/>
        <w:ind w:left="0"/>
        <w:textAlignment w:val="baseline"/>
        <w:rPr>
          <w:rFonts w:eastAsia="Times New Roman"/>
          <w:color w:val="000000"/>
          <w:sz w:val="24"/>
        </w:rPr>
      </w:pPr>
      <w:r w:rsidRPr="008E24A9">
        <w:rPr>
          <w:rFonts w:eastAsia="Times New Roman"/>
          <w:color w:val="000000"/>
          <w:sz w:val="24"/>
        </w:rPr>
        <w:t>Name and telephone number of individual</w:t>
      </w:r>
      <w:r w:rsidR="000970D2" w:rsidRPr="008E24A9">
        <w:rPr>
          <w:rFonts w:eastAsia="Times New Roman"/>
          <w:color w:val="000000"/>
          <w:sz w:val="24"/>
        </w:rPr>
        <w:t xml:space="preserve"> most involved with the information collection</w:t>
      </w:r>
      <w:r w:rsidRPr="008E24A9">
        <w:rPr>
          <w:rFonts w:eastAsia="Times New Roman"/>
          <w:color w:val="000000"/>
          <w:sz w:val="24"/>
        </w:rPr>
        <w:t>.</w:t>
      </w:r>
    </w:p>
    <w:p w:rsidR="00511F79" w:rsidRPr="00AF546A" w:rsidRDefault="00AF546A" w:rsidP="00AF546A">
      <w:pPr>
        <w:spacing w:before="277" w:line="275" w:lineRule="exact"/>
        <w:ind w:left="360"/>
        <w:textAlignment w:val="baseline"/>
        <w:rPr>
          <w:rFonts w:eastAsia="Times New Roman"/>
          <w:color w:val="000000"/>
          <w:sz w:val="24"/>
        </w:rPr>
      </w:pPr>
      <w:r w:rsidRPr="008E24A9">
        <w:rPr>
          <w:rFonts w:eastAsia="Times New Roman"/>
          <w:color w:val="000000"/>
          <w:sz w:val="24"/>
        </w:rPr>
        <w:t xml:space="preserve">The Director of HUD’s Economic Opportunity Division, Staci Gilliam, should be contacted </w:t>
      </w:r>
      <w:r w:rsidR="00271368" w:rsidRPr="008E24A9">
        <w:rPr>
          <w:rFonts w:eastAsia="Times New Roman"/>
          <w:color w:val="000000"/>
          <w:sz w:val="24"/>
        </w:rPr>
        <w:t xml:space="preserve">at (202) 402-3468 or </w:t>
      </w:r>
      <w:hyperlink r:id="rId6" w:history="1">
        <w:r w:rsidR="00271368" w:rsidRPr="008E24A9">
          <w:rPr>
            <w:rStyle w:val="Hyperlink"/>
            <w:rFonts w:eastAsia="Times New Roman"/>
            <w:sz w:val="24"/>
          </w:rPr>
          <w:t>staci.gilliam@hud.gov</w:t>
        </w:r>
      </w:hyperlink>
      <w:r w:rsidR="00271368" w:rsidRPr="008E24A9">
        <w:rPr>
          <w:rFonts w:eastAsia="Times New Roman"/>
          <w:color w:val="000000"/>
          <w:sz w:val="24"/>
        </w:rPr>
        <w:t xml:space="preserve"> </w:t>
      </w:r>
      <w:r w:rsidRPr="008E24A9">
        <w:rPr>
          <w:rFonts w:eastAsia="Times New Roman"/>
          <w:color w:val="000000"/>
          <w:sz w:val="24"/>
        </w:rPr>
        <w:t>regarding any questions about the surveys</w:t>
      </w:r>
      <w:r w:rsidR="00271368" w:rsidRPr="008E24A9">
        <w:rPr>
          <w:rFonts w:eastAsia="Times New Roman"/>
          <w:color w:val="000000"/>
          <w:sz w:val="24"/>
        </w:rPr>
        <w:t>.</w:t>
      </w:r>
    </w:p>
    <w:sectPr w:rsidR="00511F79" w:rsidRPr="00AF546A">
      <w:pgSz w:w="12240" w:h="15840"/>
      <w:pgMar w:top="900" w:right="1802" w:bottom="1284" w:left="8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71B3C"/>
    <w:multiLevelType w:val="multilevel"/>
    <w:tmpl w:val="E826C106"/>
    <w:lvl w:ilvl="0">
      <w:start w:val="1"/>
      <w:numFmt w:val="decimal"/>
      <w:lvlText w:val="%1."/>
      <w:lvlJc w:val="left"/>
      <w:pPr>
        <w:tabs>
          <w:tab w:val="decimal"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doNotUseIndentAsNumberingTabStop/>
    <w:compatSetting w:name="compatibilityMode" w:uri="http://schemas.microsoft.com/office/word" w:val="14"/>
  </w:compat>
  <w:rsids>
    <w:rsidRoot w:val="00511F79"/>
    <w:rsid w:val="000970D2"/>
    <w:rsid w:val="00181DFB"/>
    <w:rsid w:val="001A338A"/>
    <w:rsid w:val="001B0628"/>
    <w:rsid w:val="001B1443"/>
    <w:rsid w:val="00212BFF"/>
    <w:rsid w:val="00271368"/>
    <w:rsid w:val="00511F79"/>
    <w:rsid w:val="005348DE"/>
    <w:rsid w:val="00566354"/>
    <w:rsid w:val="005A5AD8"/>
    <w:rsid w:val="006A52A6"/>
    <w:rsid w:val="006F0A8A"/>
    <w:rsid w:val="00717F0B"/>
    <w:rsid w:val="00795209"/>
    <w:rsid w:val="008E24A9"/>
    <w:rsid w:val="00AB2588"/>
    <w:rsid w:val="00AF546A"/>
    <w:rsid w:val="00B77035"/>
    <w:rsid w:val="00BC41EC"/>
    <w:rsid w:val="00BF26CF"/>
    <w:rsid w:val="00C23F68"/>
    <w:rsid w:val="00C46BC9"/>
    <w:rsid w:val="00CB143C"/>
    <w:rsid w:val="00D3539B"/>
    <w:rsid w:val="00E239DD"/>
    <w:rsid w:val="00F61CF0"/>
    <w:rsid w:val="00F915B0"/>
    <w:rsid w:val="00FB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368"/>
    <w:rPr>
      <w:color w:val="0000FF" w:themeColor="hyperlink"/>
      <w:u w:val="single"/>
    </w:rPr>
  </w:style>
  <w:style w:type="paragraph" w:styleId="BalloonText">
    <w:name w:val="Balloon Text"/>
    <w:basedOn w:val="Normal"/>
    <w:link w:val="BalloonTextChar"/>
    <w:uiPriority w:val="99"/>
    <w:semiHidden/>
    <w:unhideWhenUsed/>
    <w:rsid w:val="00D3539B"/>
    <w:rPr>
      <w:rFonts w:ascii="Tahoma" w:hAnsi="Tahoma" w:cs="Tahoma"/>
      <w:sz w:val="16"/>
      <w:szCs w:val="16"/>
    </w:rPr>
  </w:style>
  <w:style w:type="character" w:customStyle="1" w:styleId="BalloonTextChar">
    <w:name w:val="Balloon Text Char"/>
    <w:basedOn w:val="DefaultParagraphFont"/>
    <w:link w:val="BalloonText"/>
    <w:uiPriority w:val="99"/>
    <w:semiHidden/>
    <w:rsid w:val="00D3539B"/>
    <w:rPr>
      <w:rFonts w:ascii="Tahoma" w:hAnsi="Tahoma" w:cs="Tahoma"/>
      <w:sz w:val="16"/>
      <w:szCs w:val="16"/>
    </w:rPr>
  </w:style>
  <w:style w:type="table" w:styleId="TableGrid">
    <w:name w:val="Table Grid"/>
    <w:basedOn w:val="TableNormal"/>
    <w:uiPriority w:val="59"/>
    <w:rsid w:val="00C46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368"/>
    <w:rPr>
      <w:color w:val="0000FF" w:themeColor="hyperlink"/>
      <w:u w:val="single"/>
    </w:rPr>
  </w:style>
  <w:style w:type="paragraph" w:styleId="BalloonText">
    <w:name w:val="Balloon Text"/>
    <w:basedOn w:val="Normal"/>
    <w:link w:val="BalloonTextChar"/>
    <w:uiPriority w:val="99"/>
    <w:semiHidden/>
    <w:unhideWhenUsed/>
    <w:rsid w:val="00D3539B"/>
    <w:rPr>
      <w:rFonts w:ascii="Tahoma" w:hAnsi="Tahoma" w:cs="Tahoma"/>
      <w:sz w:val="16"/>
      <w:szCs w:val="16"/>
    </w:rPr>
  </w:style>
  <w:style w:type="character" w:customStyle="1" w:styleId="BalloonTextChar">
    <w:name w:val="Balloon Text Char"/>
    <w:basedOn w:val="DefaultParagraphFont"/>
    <w:link w:val="BalloonText"/>
    <w:uiPriority w:val="99"/>
    <w:semiHidden/>
    <w:rsid w:val="00D3539B"/>
    <w:rPr>
      <w:rFonts w:ascii="Tahoma" w:hAnsi="Tahoma" w:cs="Tahoma"/>
      <w:sz w:val="16"/>
      <w:szCs w:val="16"/>
    </w:rPr>
  </w:style>
  <w:style w:type="table" w:styleId="TableGrid">
    <w:name w:val="Table Grid"/>
    <w:basedOn w:val="TableNormal"/>
    <w:uiPriority w:val="59"/>
    <w:rsid w:val="00C46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staci.gilliam@hu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Staci N</dc:creator>
  <cp:lastModifiedBy>H45596</cp:lastModifiedBy>
  <cp:revision>2</cp:revision>
  <dcterms:created xsi:type="dcterms:W3CDTF">2013-04-15T15:55:00Z</dcterms:created>
  <dcterms:modified xsi:type="dcterms:W3CDTF">2013-04-15T15:55:00Z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1072408245</vt:i4>
  </property>
  <property fmtid="{D5CDD505-2E9C-101B-9397-08002B2CF9AE}" pid="4" name="_EmailSubject">
    <vt:lpwstr>Revised FHEO Emergency Clearance Documents</vt:lpwstr>
  </property>
  <property fmtid="{D5CDD505-2E9C-101B-9397-08002B2CF9AE}" pid="5" name="_AuthorEmail">
    <vt:lpwstr>Staci.Gilliam@hud.gov</vt:lpwstr>
  </property>
  <property fmtid="{D5CDD505-2E9C-101B-9397-08002B2CF9AE}" pid="6" name="_AuthorEmailDisplayName">
    <vt:lpwstr>Gilliam, Staci N</vt:lpwstr>
  </property>
  <property fmtid="{D5CDD505-2E9C-101B-9397-08002B2CF9AE}" pid="7" name="_ReviewingToolsShownOnce">
    <vt:lpwstr/>
  </property>
</Properties>
</file>