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78" w:rsidRDefault="00602F0D" w:rsidP="00D5207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bookmarkStart w:id="0" w:name="_GoBack"/>
      <w:bookmarkEnd w:id="0"/>
      <w:r>
        <w:rPr>
          <w:rFonts w:ascii="Tahoma" w:hAnsi="Tahoma" w:cs="Tahoma"/>
          <w:b/>
          <w:bCs/>
          <w:sz w:val="28"/>
          <w:szCs w:val="28"/>
          <w:u w:val="single"/>
        </w:rPr>
        <w:t xml:space="preserve"> </w:t>
      </w:r>
      <w:r w:rsidR="00D52078">
        <w:rPr>
          <w:rFonts w:ascii="Tahoma" w:hAnsi="Tahoma" w:cs="Tahoma"/>
          <w:b/>
          <w:bCs/>
          <w:sz w:val="28"/>
          <w:szCs w:val="28"/>
          <w:u w:val="single"/>
        </w:rPr>
        <w:t>The 2013</w:t>
      </w:r>
      <w:r w:rsidR="00D52078" w:rsidRPr="00EC10FF">
        <w:rPr>
          <w:rFonts w:ascii="Tahoma" w:hAnsi="Tahoma" w:cs="Tahoma"/>
          <w:b/>
          <w:bCs/>
          <w:sz w:val="28"/>
          <w:szCs w:val="28"/>
          <w:u w:val="single"/>
        </w:rPr>
        <w:t xml:space="preserve"> Supporting Statement for OMB 0596-</w:t>
      </w:r>
      <w:r w:rsidR="00D52078">
        <w:rPr>
          <w:rFonts w:ascii="Tahoma" w:hAnsi="Tahoma" w:cs="Tahoma"/>
          <w:b/>
          <w:bCs/>
          <w:sz w:val="28"/>
          <w:szCs w:val="28"/>
          <w:u w:val="single"/>
        </w:rPr>
        <w:t>0172</w:t>
      </w:r>
      <w:r w:rsidR="00D52078" w:rsidRPr="00EC10FF">
        <w:rPr>
          <w:rFonts w:ascii="Tahoma" w:hAnsi="Tahoma" w:cs="Tahoma"/>
          <w:sz w:val="28"/>
          <w:szCs w:val="28"/>
          <w:u w:val="single"/>
        </w:rPr>
        <w:t xml:space="preserve"> </w:t>
      </w:r>
    </w:p>
    <w:p w:rsidR="00D52078" w:rsidRDefault="00D52078" w:rsidP="00D5207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Project Level Pre-decisional Administrative Review Process</w:t>
      </w:r>
    </w:p>
    <w:p w:rsidR="00D52078" w:rsidRPr="00BC3A20" w:rsidRDefault="00D52078" w:rsidP="00D5207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rPr>
      </w:pPr>
      <w:r w:rsidRPr="00BC3A20">
        <w:rPr>
          <w:rFonts w:ascii="Tahoma" w:hAnsi="Tahoma" w:cs="Tahoma"/>
        </w:rPr>
        <w:t>(</w:t>
      </w:r>
      <w:r>
        <w:rPr>
          <w:rFonts w:ascii="Tahoma" w:hAnsi="Tahoma" w:cs="Tahoma"/>
        </w:rPr>
        <w:t>Final</w:t>
      </w:r>
      <w:r w:rsidRPr="00BC3A20">
        <w:rPr>
          <w:rFonts w:ascii="Tahoma" w:hAnsi="Tahoma" w:cs="Tahoma"/>
        </w:rPr>
        <w:t xml:space="preserve"> Rule)</w:t>
      </w:r>
    </w:p>
    <w:p w:rsidR="00EC10FF" w:rsidRPr="00754591"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C37CD8" w:rsidRPr="00754591" w:rsidRDefault="00EC10FF" w:rsidP="000E30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754591">
        <w:rPr>
          <w:rFonts w:ascii="Tahoma" w:hAnsi="Tahoma" w:cs="Tahoma"/>
          <w:b/>
          <w:bCs/>
          <w:sz w:val="28"/>
          <w:szCs w:val="28"/>
        </w:rPr>
        <w:t>Justification</w:t>
      </w:r>
      <w:r w:rsidR="005371CA" w:rsidRPr="00754591">
        <w:rPr>
          <w:rFonts w:ascii="Tahoma" w:hAnsi="Tahoma" w:cs="Tahoma"/>
          <w:b/>
          <w:bCs/>
          <w:sz w:val="28"/>
          <w:szCs w:val="28"/>
        </w:rPr>
        <w:t xml:space="preserve"> </w:t>
      </w:r>
    </w:p>
    <w:p w:rsidR="002C0879" w:rsidRPr="00754591" w:rsidRDefault="002C0879" w:rsidP="002C08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0"/>
        <w:rPr>
          <w:rFonts w:ascii="Tahoma" w:hAnsi="Tahoma" w:cs="Tahoma"/>
          <w:b/>
          <w:bCs/>
          <w:sz w:val="28"/>
          <w:szCs w:val="28"/>
        </w:rPr>
      </w:pPr>
    </w:p>
    <w:p w:rsidR="00C03E9F" w:rsidRPr="00754591" w:rsidRDefault="00C37CD8" w:rsidP="00C03E9F">
      <w:pPr>
        <w:pStyle w:val="BodyTextIndent2"/>
        <w:numPr>
          <w:ilvl w:val="0"/>
          <w:numId w:val="10"/>
        </w:numPr>
        <w:tabs>
          <w:tab w:val="left" w:pos="360"/>
        </w:tabs>
        <w:spacing w:after="80"/>
        <w:jc w:val="both"/>
        <w:rPr>
          <w:rFonts w:ascii="Tahoma" w:hAnsi="Tahoma" w:cs="Tahoma"/>
          <w:sz w:val="22"/>
          <w:szCs w:val="22"/>
        </w:rPr>
      </w:pPr>
      <w:r w:rsidRPr="00754591">
        <w:rPr>
          <w:rFonts w:ascii="Tahoma" w:hAnsi="Tahoma" w:cs="Tahoma"/>
          <w:sz w:val="22"/>
          <w:szCs w:val="22"/>
        </w:rPr>
        <w:t>Explain the circumstances that make the col</w:t>
      </w:r>
      <w:r w:rsidRPr="00754591">
        <w:rPr>
          <w:rFonts w:ascii="Tahoma" w:hAnsi="Tahoma" w:cs="Tahoma"/>
          <w:sz w:val="22"/>
          <w:szCs w:val="22"/>
        </w:rPr>
        <w:softHyphen/>
        <w:t>lection of information necessary. Iden</w:t>
      </w:r>
      <w:r w:rsidRPr="00754591">
        <w:rPr>
          <w:rFonts w:ascii="Tahoma" w:hAnsi="Tahoma" w:cs="Tahoma"/>
          <w:sz w:val="22"/>
          <w:szCs w:val="22"/>
        </w:rPr>
        <w:softHyphen/>
        <w:t>tify any legal or administrative require</w:t>
      </w:r>
      <w:r w:rsidRPr="00754591">
        <w:rPr>
          <w:rFonts w:ascii="Tahoma" w:hAnsi="Tahoma" w:cs="Tahoma"/>
          <w:sz w:val="22"/>
          <w:szCs w:val="22"/>
        </w:rPr>
        <w:softHyphen/>
        <w:t>ments that necessitate the collection. Attach a copy of the appropriate section of each statute and regulation mandating or authorizing the col</w:t>
      </w:r>
      <w:r w:rsidRPr="00754591">
        <w:rPr>
          <w:rFonts w:ascii="Tahoma" w:hAnsi="Tahoma" w:cs="Tahoma"/>
          <w:sz w:val="22"/>
          <w:szCs w:val="22"/>
        </w:rPr>
        <w:softHyphen/>
        <w:t>lection of information.</w:t>
      </w:r>
    </w:p>
    <w:p w:rsidR="00774E9D" w:rsidRPr="00754591" w:rsidRDefault="001E7019" w:rsidP="001E7019">
      <w:pPr>
        <w:pStyle w:val="BodyTextIndent2"/>
        <w:tabs>
          <w:tab w:val="clear" w:pos="361"/>
        </w:tabs>
        <w:spacing w:after="80"/>
        <w:jc w:val="both"/>
        <w:rPr>
          <w:rFonts w:ascii="Tahoma" w:hAnsi="Tahoma" w:cs="Tahoma"/>
          <w:b w:val="0"/>
          <w:sz w:val="22"/>
          <w:szCs w:val="22"/>
        </w:rPr>
      </w:pPr>
      <w:r w:rsidRPr="00754591">
        <w:rPr>
          <w:rFonts w:ascii="Tahoma" w:hAnsi="Tahoma" w:cs="Tahoma"/>
          <w:b w:val="0"/>
          <w:sz w:val="22"/>
          <w:szCs w:val="22"/>
        </w:rPr>
        <w:t>The Forest Service has had some form</w:t>
      </w:r>
      <w:r w:rsidR="00603FAB">
        <w:rPr>
          <w:rFonts w:ascii="Tahoma" w:hAnsi="Tahoma" w:cs="Tahoma"/>
          <w:b w:val="0"/>
          <w:sz w:val="22"/>
          <w:szCs w:val="22"/>
        </w:rPr>
        <w:t xml:space="preserve"> of objection process for over</w:t>
      </w:r>
      <w:r w:rsidRPr="00754591">
        <w:rPr>
          <w:rFonts w:ascii="Tahoma" w:hAnsi="Tahoma" w:cs="Tahoma"/>
          <w:b w:val="0"/>
          <w:sz w:val="22"/>
          <w:szCs w:val="22"/>
        </w:rPr>
        <w:t xml:space="preserve"> </w:t>
      </w:r>
      <w:r w:rsidR="009A39DF" w:rsidRPr="00754591">
        <w:rPr>
          <w:rFonts w:ascii="Tahoma" w:hAnsi="Tahoma" w:cs="Tahoma"/>
          <w:b w:val="0"/>
          <w:sz w:val="22"/>
          <w:szCs w:val="22"/>
        </w:rPr>
        <w:t>8</w:t>
      </w:r>
      <w:r w:rsidRPr="00754591">
        <w:rPr>
          <w:rFonts w:ascii="Tahoma" w:hAnsi="Tahoma" w:cs="Tahoma"/>
          <w:b w:val="0"/>
          <w:sz w:val="22"/>
          <w:szCs w:val="22"/>
        </w:rPr>
        <w:t xml:space="preserve"> years. In this case for </w:t>
      </w:r>
      <w:r w:rsidR="009A39DF" w:rsidRPr="00754591">
        <w:rPr>
          <w:rFonts w:ascii="Tahoma" w:hAnsi="Tahoma" w:cs="Tahoma"/>
          <w:b w:val="0"/>
          <w:sz w:val="22"/>
          <w:szCs w:val="22"/>
        </w:rPr>
        <w:t xml:space="preserve">revised </w:t>
      </w:r>
      <w:r w:rsidRPr="00754591">
        <w:rPr>
          <w:rFonts w:ascii="Tahoma" w:hAnsi="Tahoma" w:cs="Tahoma"/>
          <w:b w:val="0"/>
          <w:sz w:val="22"/>
          <w:szCs w:val="22"/>
        </w:rPr>
        <w:t>36 CFR 218, the Agency</w:t>
      </w:r>
      <w:r w:rsidR="009A39DF" w:rsidRPr="00754591">
        <w:rPr>
          <w:rFonts w:ascii="Tahoma" w:hAnsi="Tahoma" w:cs="Tahoma"/>
          <w:b w:val="0"/>
          <w:sz w:val="22"/>
          <w:szCs w:val="22"/>
        </w:rPr>
        <w:t xml:space="preserve"> would </w:t>
      </w:r>
      <w:r w:rsidRPr="00754591">
        <w:rPr>
          <w:rFonts w:ascii="Tahoma" w:hAnsi="Tahoma" w:cs="Tahoma"/>
          <w:b w:val="0"/>
          <w:sz w:val="22"/>
          <w:szCs w:val="22"/>
        </w:rPr>
        <w:t>provide a process by which the public may file objections to seek administrative review of proposed projects and activities issued by a Responsible Official involvin</w:t>
      </w:r>
      <w:r w:rsidR="00B40DCB">
        <w:rPr>
          <w:rFonts w:ascii="Tahoma" w:hAnsi="Tahoma" w:cs="Tahoma"/>
          <w:b w:val="0"/>
          <w:sz w:val="22"/>
          <w:szCs w:val="22"/>
        </w:rPr>
        <w:t xml:space="preserve">g implementation of land </w:t>
      </w:r>
      <w:r w:rsidR="00654341">
        <w:rPr>
          <w:rFonts w:ascii="Tahoma" w:hAnsi="Tahoma" w:cs="Tahoma"/>
          <w:b w:val="0"/>
          <w:sz w:val="22"/>
          <w:szCs w:val="22"/>
        </w:rPr>
        <w:t xml:space="preserve">and resource </w:t>
      </w:r>
      <w:r w:rsidR="00892F97" w:rsidRPr="00754591">
        <w:rPr>
          <w:rFonts w:ascii="Tahoma" w:hAnsi="Tahoma" w:cs="Tahoma"/>
          <w:b w:val="0"/>
          <w:sz w:val="22"/>
          <w:szCs w:val="22"/>
        </w:rPr>
        <w:t xml:space="preserve">management plans, and </w:t>
      </w:r>
      <w:r w:rsidRPr="00754591">
        <w:rPr>
          <w:rFonts w:ascii="Tahoma" w:hAnsi="Tahoma" w:cs="Tahoma"/>
          <w:b w:val="0"/>
          <w:sz w:val="22"/>
          <w:szCs w:val="22"/>
        </w:rPr>
        <w:t xml:space="preserve">documented with a Record of Decision or Decision Notice. </w:t>
      </w:r>
      <w:r w:rsidR="009A39DF" w:rsidRPr="00754591">
        <w:rPr>
          <w:rFonts w:ascii="Tahoma" w:hAnsi="Tahoma" w:cs="Tahoma"/>
          <w:b w:val="0"/>
          <w:sz w:val="22"/>
          <w:szCs w:val="22"/>
        </w:rPr>
        <w:t>An</w:t>
      </w:r>
      <w:r w:rsidRPr="00754591">
        <w:rPr>
          <w:rFonts w:ascii="Tahoma" w:hAnsi="Tahoma" w:cs="Tahoma"/>
          <w:b w:val="0"/>
          <w:sz w:val="22"/>
          <w:szCs w:val="22"/>
        </w:rPr>
        <w:t xml:space="preserve"> objection process has been in place since 2004 under 36 CFR 218</w:t>
      </w:r>
      <w:r w:rsidR="00D87DB8" w:rsidRPr="00754591">
        <w:rPr>
          <w:rFonts w:ascii="Tahoma" w:hAnsi="Tahoma" w:cs="Tahoma"/>
          <w:b w:val="0"/>
          <w:sz w:val="22"/>
          <w:szCs w:val="22"/>
        </w:rPr>
        <w:t xml:space="preserve"> for projects authorized under the Healthy Forests Restoration Act </w:t>
      </w:r>
      <w:r w:rsidR="005A4CDA" w:rsidRPr="00754591">
        <w:rPr>
          <w:rFonts w:ascii="Tahoma" w:hAnsi="Tahoma" w:cs="Tahoma"/>
          <w:b w:val="0"/>
          <w:sz w:val="22"/>
          <w:szCs w:val="22"/>
        </w:rPr>
        <w:t xml:space="preserve">(HFRA) </w:t>
      </w:r>
      <w:r w:rsidR="00D87DB8" w:rsidRPr="00754591">
        <w:rPr>
          <w:rFonts w:ascii="Tahoma" w:hAnsi="Tahoma" w:cs="Tahoma"/>
          <w:b w:val="0"/>
          <w:sz w:val="22"/>
          <w:szCs w:val="22"/>
        </w:rPr>
        <w:t>of 2003</w:t>
      </w:r>
      <w:r w:rsidRPr="00754591">
        <w:rPr>
          <w:rFonts w:ascii="Tahoma" w:hAnsi="Tahoma" w:cs="Tahoma"/>
          <w:b w:val="0"/>
          <w:sz w:val="22"/>
          <w:szCs w:val="22"/>
        </w:rPr>
        <w:t>. This information collection is in support of a</w:t>
      </w:r>
      <w:r w:rsidR="0027207D">
        <w:rPr>
          <w:rFonts w:ascii="Tahoma" w:hAnsi="Tahoma" w:cs="Tahoma"/>
          <w:b w:val="0"/>
          <w:sz w:val="22"/>
          <w:szCs w:val="22"/>
        </w:rPr>
        <w:t xml:space="preserve"> </w:t>
      </w:r>
      <w:r w:rsidR="00731B87">
        <w:rPr>
          <w:rFonts w:ascii="Tahoma" w:hAnsi="Tahoma" w:cs="Tahoma"/>
          <w:b w:val="0"/>
          <w:sz w:val="22"/>
          <w:szCs w:val="22"/>
        </w:rPr>
        <w:t>final</w:t>
      </w:r>
      <w:r w:rsidR="0027207D">
        <w:rPr>
          <w:rFonts w:ascii="Tahoma" w:hAnsi="Tahoma" w:cs="Tahoma"/>
          <w:b w:val="0"/>
          <w:sz w:val="22"/>
          <w:szCs w:val="22"/>
        </w:rPr>
        <w:t xml:space="preserve"> </w:t>
      </w:r>
      <w:r w:rsidRPr="00754591">
        <w:rPr>
          <w:rFonts w:ascii="Tahoma" w:hAnsi="Tahoma" w:cs="Tahoma"/>
          <w:b w:val="0"/>
          <w:sz w:val="22"/>
          <w:szCs w:val="22"/>
        </w:rPr>
        <w:t xml:space="preserve">rule </w:t>
      </w:r>
      <w:r w:rsidR="009A39DF" w:rsidRPr="00754591">
        <w:rPr>
          <w:rFonts w:ascii="Tahoma" w:hAnsi="Tahoma" w:cs="Tahoma"/>
          <w:b w:val="0"/>
          <w:sz w:val="22"/>
          <w:szCs w:val="22"/>
        </w:rPr>
        <w:t>revising</w:t>
      </w:r>
      <w:r w:rsidRPr="00754591">
        <w:rPr>
          <w:rFonts w:ascii="Tahoma" w:hAnsi="Tahoma" w:cs="Tahoma"/>
          <w:b w:val="0"/>
          <w:sz w:val="22"/>
          <w:szCs w:val="22"/>
        </w:rPr>
        <w:t xml:space="preserve"> the current 218 regulation that would </w:t>
      </w:r>
      <w:r w:rsidR="000A1EBF" w:rsidRPr="00754591">
        <w:rPr>
          <w:rFonts w:ascii="Tahoma" w:hAnsi="Tahoma" w:cs="Tahoma"/>
          <w:b w:val="0"/>
          <w:sz w:val="22"/>
          <w:szCs w:val="22"/>
        </w:rPr>
        <w:t>replace the sections of the Appeal Reform Act covering Right to Appeal, Disposition of an Appeal, and Stay with section 105(a) of the H</w:t>
      </w:r>
      <w:r w:rsidR="005A4CDA" w:rsidRPr="00754591">
        <w:rPr>
          <w:rFonts w:ascii="Tahoma" w:hAnsi="Tahoma" w:cs="Tahoma"/>
          <w:b w:val="0"/>
          <w:sz w:val="22"/>
          <w:szCs w:val="22"/>
        </w:rPr>
        <w:t>FRA</w:t>
      </w:r>
      <w:r w:rsidR="000A1EBF" w:rsidRPr="00754591">
        <w:rPr>
          <w:rFonts w:ascii="Tahoma" w:hAnsi="Tahoma" w:cs="Tahoma"/>
          <w:b w:val="0"/>
          <w:sz w:val="22"/>
          <w:szCs w:val="22"/>
        </w:rPr>
        <w:t>, which directs the Secretary to establish a pre</w:t>
      </w:r>
      <w:r w:rsidR="00FB3834">
        <w:rPr>
          <w:rFonts w:ascii="Tahoma" w:hAnsi="Tahoma" w:cs="Tahoma"/>
          <w:b w:val="0"/>
          <w:sz w:val="22"/>
          <w:szCs w:val="22"/>
        </w:rPr>
        <w:t>-</w:t>
      </w:r>
      <w:r w:rsidR="000A1EBF" w:rsidRPr="00754591">
        <w:rPr>
          <w:rFonts w:ascii="Tahoma" w:hAnsi="Tahoma" w:cs="Tahoma"/>
          <w:b w:val="0"/>
          <w:sz w:val="22"/>
          <w:szCs w:val="22"/>
        </w:rPr>
        <w:t>decisional objection process</w:t>
      </w:r>
      <w:r w:rsidRPr="00754591">
        <w:rPr>
          <w:rFonts w:ascii="Tahoma" w:hAnsi="Tahoma" w:cs="Tahoma"/>
          <w:b w:val="0"/>
          <w:sz w:val="22"/>
          <w:szCs w:val="22"/>
        </w:rPr>
        <w:t xml:space="preserve">.  </w:t>
      </w:r>
      <w:r w:rsidR="000A1EBF" w:rsidRPr="00754591">
        <w:rPr>
          <w:rFonts w:ascii="Tahoma" w:hAnsi="Tahoma" w:cs="Tahoma"/>
          <w:b w:val="0"/>
          <w:sz w:val="22"/>
          <w:szCs w:val="22"/>
        </w:rPr>
        <w:t>Section 428 of the Consolidated Appropriations Act for 2012 directs the agency to establish a pre</w:t>
      </w:r>
      <w:r w:rsidR="00FB3834">
        <w:rPr>
          <w:rFonts w:ascii="Tahoma" w:hAnsi="Tahoma" w:cs="Tahoma"/>
          <w:b w:val="0"/>
          <w:sz w:val="22"/>
          <w:szCs w:val="22"/>
        </w:rPr>
        <w:t>-</w:t>
      </w:r>
      <w:r w:rsidR="000A1EBF" w:rsidRPr="00754591">
        <w:rPr>
          <w:rFonts w:ascii="Tahoma" w:hAnsi="Tahoma" w:cs="Tahoma"/>
          <w:b w:val="0"/>
          <w:sz w:val="22"/>
          <w:szCs w:val="22"/>
        </w:rPr>
        <w:t xml:space="preserve">decisional objection process for </w:t>
      </w:r>
      <w:r w:rsidR="008C24C5" w:rsidRPr="00754591">
        <w:rPr>
          <w:rFonts w:ascii="Tahoma" w:hAnsi="Tahoma" w:cs="Tahoma"/>
          <w:b w:val="0"/>
          <w:sz w:val="22"/>
          <w:szCs w:val="22"/>
        </w:rPr>
        <w:t>projects and activities implementing la</w:t>
      </w:r>
      <w:r w:rsidR="00B40DCB">
        <w:rPr>
          <w:rFonts w:ascii="Tahoma" w:hAnsi="Tahoma" w:cs="Tahoma"/>
          <w:b w:val="0"/>
          <w:sz w:val="22"/>
          <w:szCs w:val="22"/>
        </w:rPr>
        <w:t xml:space="preserve">nd </w:t>
      </w:r>
      <w:r w:rsidR="009D6690">
        <w:rPr>
          <w:rFonts w:ascii="Tahoma" w:hAnsi="Tahoma" w:cs="Tahoma"/>
          <w:b w:val="0"/>
          <w:sz w:val="22"/>
          <w:szCs w:val="22"/>
        </w:rPr>
        <w:t xml:space="preserve">and resource </w:t>
      </w:r>
      <w:r w:rsidR="00C374A8" w:rsidRPr="00754591">
        <w:rPr>
          <w:rFonts w:ascii="Tahoma" w:hAnsi="Tahoma" w:cs="Tahoma"/>
          <w:b w:val="0"/>
          <w:sz w:val="22"/>
          <w:szCs w:val="22"/>
        </w:rPr>
        <w:t>management plans.</w:t>
      </w:r>
    </w:p>
    <w:p w:rsidR="001E7019" w:rsidRPr="00754591" w:rsidRDefault="00347E67" w:rsidP="001E7019">
      <w:pPr>
        <w:pStyle w:val="BodyTextIndent2"/>
        <w:tabs>
          <w:tab w:val="clear" w:pos="361"/>
        </w:tabs>
        <w:spacing w:after="80"/>
        <w:jc w:val="both"/>
        <w:rPr>
          <w:rFonts w:ascii="Tahoma" w:hAnsi="Tahoma" w:cs="Tahoma"/>
          <w:b w:val="0"/>
          <w:sz w:val="20"/>
          <w:szCs w:val="20"/>
        </w:rPr>
      </w:pPr>
      <w:hyperlink r:id="rId8" w:history="1">
        <w:r w:rsidR="00774E9D" w:rsidRPr="00754591">
          <w:rPr>
            <w:rStyle w:val="Hyperlink"/>
            <w:rFonts w:ascii="Tahoma" w:hAnsi="Tahoma" w:cs="Tahoma"/>
            <w:b w:val="0"/>
            <w:sz w:val="20"/>
            <w:szCs w:val="20"/>
          </w:rPr>
          <w:t>http://ecfr.gpoaccess.gov/cgi/t/text/text-idx?c=ecfr&amp;tpl=/ecfrbrowse/Title36/36cfr218_main_02.tpl</w:t>
        </w:r>
      </w:hyperlink>
    </w:p>
    <w:p w:rsidR="00AB34B2" w:rsidRPr="00754591" w:rsidRDefault="00347E67" w:rsidP="001E7019">
      <w:pPr>
        <w:pStyle w:val="BodyTextIndent2"/>
        <w:tabs>
          <w:tab w:val="clear" w:pos="361"/>
        </w:tabs>
        <w:spacing w:after="80"/>
        <w:jc w:val="both"/>
        <w:rPr>
          <w:rFonts w:ascii="Tahoma" w:hAnsi="Tahoma" w:cs="Tahoma"/>
          <w:b w:val="0"/>
          <w:sz w:val="20"/>
          <w:szCs w:val="20"/>
        </w:rPr>
      </w:pPr>
      <w:hyperlink r:id="rId9" w:history="1">
        <w:r w:rsidR="00AB34B2" w:rsidRPr="00754591">
          <w:rPr>
            <w:rStyle w:val="Hyperlink"/>
            <w:rFonts w:ascii="Tahoma" w:hAnsi="Tahoma" w:cs="Tahoma"/>
            <w:b w:val="0"/>
            <w:sz w:val="20"/>
            <w:szCs w:val="20"/>
          </w:rPr>
          <w:t>http://www.fs.fed.us/emc/applit/includes/93appreform.pdf</w:t>
        </w:r>
      </w:hyperlink>
    </w:p>
    <w:p w:rsidR="00774E9D" w:rsidRDefault="00347E67" w:rsidP="001E7019">
      <w:pPr>
        <w:pStyle w:val="BodyTextIndent2"/>
        <w:tabs>
          <w:tab w:val="clear" w:pos="361"/>
        </w:tabs>
        <w:spacing w:after="80"/>
        <w:jc w:val="both"/>
        <w:rPr>
          <w:rFonts w:ascii="Tahoma" w:hAnsi="Tahoma" w:cs="Tahoma"/>
          <w:b w:val="0"/>
          <w:sz w:val="20"/>
          <w:szCs w:val="20"/>
        </w:rPr>
      </w:pPr>
      <w:hyperlink r:id="rId10" w:history="1">
        <w:r w:rsidR="00B15718" w:rsidRPr="00754591">
          <w:rPr>
            <w:rStyle w:val="Hyperlink"/>
            <w:rFonts w:ascii="Tahoma" w:hAnsi="Tahoma" w:cs="Tahoma"/>
            <w:b w:val="0"/>
            <w:sz w:val="20"/>
            <w:szCs w:val="20"/>
          </w:rPr>
          <w:t>http://georgewbush-whitehouse.archives.gov/infocus/healthyforests/</w:t>
        </w:r>
      </w:hyperlink>
    </w:p>
    <w:p w:rsidR="0019207D" w:rsidRDefault="0019207D" w:rsidP="001E7019">
      <w:pPr>
        <w:pStyle w:val="BodyTextIndent2"/>
        <w:tabs>
          <w:tab w:val="clear" w:pos="361"/>
        </w:tabs>
        <w:spacing w:after="80"/>
        <w:jc w:val="both"/>
        <w:rPr>
          <w:rFonts w:ascii="Tahoma" w:hAnsi="Tahoma" w:cs="Tahoma"/>
          <w:b w:val="0"/>
          <w:sz w:val="20"/>
          <w:szCs w:val="20"/>
        </w:rPr>
      </w:pPr>
    </w:p>
    <w:p w:rsidR="0019207D" w:rsidRPr="0019207D" w:rsidRDefault="0019207D" w:rsidP="0019207D">
      <w:pPr>
        <w:pStyle w:val="BodyTextIndent2"/>
        <w:tabs>
          <w:tab w:val="clear" w:pos="361"/>
        </w:tabs>
        <w:spacing w:after="80"/>
        <w:jc w:val="both"/>
        <w:rPr>
          <w:rFonts w:ascii="Tahoma" w:hAnsi="Tahoma" w:cs="Tahoma"/>
          <w:b w:val="0"/>
          <w:bCs w:val="0"/>
          <w:sz w:val="22"/>
          <w:szCs w:val="22"/>
          <w:u w:val="single"/>
        </w:rPr>
      </w:pPr>
      <w:r w:rsidRPr="0019207D">
        <w:rPr>
          <w:rFonts w:ascii="Tahoma" w:hAnsi="Tahoma" w:cs="Tahoma"/>
          <w:b w:val="0"/>
          <w:sz w:val="22"/>
          <w:szCs w:val="22"/>
        </w:rPr>
        <w:t xml:space="preserve">Background information contained in the Supporting Statement for the revision of OMB 0596-0172 cited the following </w:t>
      </w:r>
      <w:r w:rsidRPr="0019207D">
        <w:rPr>
          <w:rFonts w:ascii="Tahoma" w:hAnsi="Tahoma" w:cs="Tahoma"/>
          <w:b w:val="0"/>
          <w:bCs w:val="0"/>
          <w:sz w:val="22"/>
          <w:szCs w:val="22"/>
          <w:u w:val="single"/>
        </w:rPr>
        <w:t xml:space="preserve">Laws, Statutes, </w:t>
      </w:r>
      <w:r w:rsidR="0064606B" w:rsidRPr="0019207D">
        <w:rPr>
          <w:rFonts w:ascii="Tahoma" w:hAnsi="Tahoma" w:cs="Tahoma"/>
          <w:b w:val="0"/>
          <w:bCs w:val="0"/>
          <w:sz w:val="22"/>
          <w:szCs w:val="22"/>
          <w:u w:val="single"/>
        </w:rPr>
        <w:t>and Regulations</w:t>
      </w:r>
      <w:r w:rsidRPr="0019207D">
        <w:rPr>
          <w:rFonts w:ascii="Tahoma" w:hAnsi="Tahoma" w:cs="Tahoma"/>
          <w:b w:val="0"/>
          <w:bCs w:val="0"/>
          <w:sz w:val="22"/>
          <w:szCs w:val="22"/>
          <w:u w:val="single"/>
        </w:rPr>
        <w:t>:</w:t>
      </w:r>
    </w:p>
    <w:p w:rsidR="0019207D" w:rsidRPr="0019207D" w:rsidRDefault="0019207D" w:rsidP="0019207D">
      <w:pPr>
        <w:pStyle w:val="BodyTextIndent2"/>
        <w:numPr>
          <w:ilvl w:val="0"/>
          <w:numId w:val="33"/>
        </w:numPr>
        <w:spacing w:after="120"/>
        <w:jc w:val="both"/>
        <w:rPr>
          <w:rFonts w:ascii="Tahoma" w:hAnsi="Tahoma" w:cs="Tahoma"/>
          <w:b w:val="0"/>
          <w:bCs w:val="0"/>
          <w:sz w:val="22"/>
          <w:szCs w:val="22"/>
        </w:rPr>
      </w:pPr>
      <w:r w:rsidRPr="0019207D">
        <w:rPr>
          <w:rFonts w:ascii="Tahoma" w:hAnsi="Tahoma" w:cs="Tahoma"/>
          <w:b w:val="0"/>
          <w:bCs w:val="0"/>
          <w:sz w:val="22"/>
          <w:szCs w:val="22"/>
        </w:rPr>
        <w:t>Healthy Forests Restoration Act of 2003 (December 3, 2003, HFRA); Public Law No. 108-148, § 105; 117 Stat 1887</w:t>
      </w:r>
    </w:p>
    <w:p w:rsidR="0019207D" w:rsidRPr="0019207D" w:rsidRDefault="0019207D" w:rsidP="0019207D">
      <w:pPr>
        <w:pStyle w:val="BodyTextIndent2"/>
        <w:numPr>
          <w:ilvl w:val="0"/>
          <w:numId w:val="33"/>
        </w:numPr>
        <w:spacing w:after="120"/>
        <w:jc w:val="both"/>
        <w:rPr>
          <w:rFonts w:ascii="Tahoma" w:hAnsi="Tahoma" w:cs="Tahoma"/>
          <w:b w:val="0"/>
          <w:bCs w:val="0"/>
          <w:sz w:val="22"/>
          <w:szCs w:val="22"/>
        </w:rPr>
      </w:pPr>
      <w:r w:rsidRPr="0019207D">
        <w:rPr>
          <w:rFonts w:ascii="Tahoma" w:hAnsi="Tahoma" w:cs="Tahoma"/>
          <w:b w:val="0"/>
          <w:bCs w:val="0"/>
          <w:sz w:val="22"/>
          <w:szCs w:val="22"/>
        </w:rPr>
        <w:t>Title 36 CFR, parts 215 and 218</w:t>
      </w:r>
    </w:p>
    <w:p w:rsidR="0019207D" w:rsidRPr="0019207D" w:rsidRDefault="0019207D" w:rsidP="0019207D">
      <w:pPr>
        <w:pStyle w:val="BodyTextIndent2"/>
        <w:numPr>
          <w:ilvl w:val="0"/>
          <w:numId w:val="33"/>
        </w:numPr>
        <w:spacing w:after="120"/>
        <w:jc w:val="both"/>
        <w:rPr>
          <w:rFonts w:ascii="Tahoma" w:hAnsi="Tahoma" w:cs="Tahoma"/>
          <w:b w:val="0"/>
          <w:bCs w:val="0"/>
          <w:sz w:val="22"/>
          <w:szCs w:val="22"/>
        </w:rPr>
      </w:pPr>
      <w:r w:rsidRPr="0019207D">
        <w:rPr>
          <w:rFonts w:ascii="Tahoma" w:hAnsi="Tahoma" w:cs="Tahoma"/>
          <w:b w:val="0"/>
          <w:bCs w:val="0"/>
          <w:sz w:val="22"/>
          <w:szCs w:val="22"/>
        </w:rPr>
        <w:t xml:space="preserve">Interior and Related Agencies Appropriation Act of Fiscal Year 1993 (Appeals Reform Act or ARA); Public Law 102-381, § 322; 106 Stat. 1419; 36 CFR part 215 </w:t>
      </w:r>
    </w:p>
    <w:p w:rsidR="0019207D" w:rsidRPr="0019207D" w:rsidRDefault="0019207D" w:rsidP="0019207D">
      <w:pPr>
        <w:pStyle w:val="BodyTextIndent2"/>
        <w:tabs>
          <w:tab w:val="clear" w:pos="0"/>
        </w:tabs>
        <w:jc w:val="both"/>
        <w:rPr>
          <w:rFonts w:ascii="Tahoma" w:hAnsi="Tahoma" w:cs="Tahoma"/>
          <w:b w:val="0"/>
          <w:bCs w:val="0"/>
          <w:sz w:val="22"/>
          <w:szCs w:val="22"/>
        </w:rPr>
      </w:pPr>
      <w:r w:rsidRPr="0019207D">
        <w:rPr>
          <w:rFonts w:ascii="Tahoma" w:hAnsi="Tahoma" w:cs="Tahoma"/>
          <w:b w:val="0"/>
          <w:bCs w:val="0"/>
          <w:sz w:val="22"/>
          <w:szCs w:val="22"/>
        </w:rPr>
        <w:t>On December 3, 2003, President Bush signed into law the Healthy Forests Restoration Act of 2003 to reduce the threat of destructive wildfires while upholding environmental standards and encouraging early public input during review and planning processes. The legislation is based on sound science and helped further the President’s Healthy Forests Initiative pledge to care for America’s forests and rangelands, to reduce the risk of catastrophic fire to communities, to help save the lives of firefighters and citizens, and to protect threatened and endangered species.</w:t>
      </w:r>
    </w:p>
    <w:p w:rsidR="0019207D" w:rsidRPr="0019207D" w:rsidRDefault="0019207D" w:rsidP="0019207D">
      <w:pPr>
        <w:pStyle w:val="BodyTextIndent2"/>
        <w:tabs>
          <w:tab w:val="clear" w:pos="0"/>
        </w:tabs>
        <w:jc w:val="center"/>
        <w:rPr>
          <w:rFonts w:ascii="Tahoma" w:hAnsi="Tahoma" w:cs="Tahoma"/>
          <w:i/>
          <w:iCs/>
          <w:sz w:val="22"/>
          <w:szCs w:val="22"/>
        </w:rPr>
      </w:pPr>
    </w:p>
    <w:p w:rsidR="0019207D" w:rsidRPr="0019207D" w:rsidRDefault="0019207D" w:rsidP="0019207D">
      <w:pPr>
        <w:pStyle w:val="BodyTextIndent2"/>
        <w:tabs>
          <w:tab w:val="clear" w:pos="0"/>
        </w:tabs>
        <w:jc w:val="both"/>
        <w:rPr>
          <w:rFonts w:ascii="Tahoma" w:hAnsi="Tahoma" w:cs="Tahoma"/>
          <w:b w:val="0"/>
          <w:bCs w:val="0"/>
          <w:sz w:val="22"/>
          <w:szCs w:val="22"/>
        </w:rPr>
      </w:pPr>
      <w:r w:rsidRPr="0019207D">
        <w:rPr>
          <w:rFonts w:ascii="Tahoma" w:hAnsi="Tahoma" w:cs="Tahoma"/>
          <w:b w:val="0"/>
          <w:bCs w:val="0"/>
          <w:sz w:val="22"/>
          <w:szCs w:val="22"/>
        </w:rPr>
        <w:t>One of the provisions of the act, in Section 105, requires that “...</w:t>
      </w:r>
      <w:r w:rsidRPr="0019207D">
        <w:rPr>
          <w:rFonts w:ascii="Tahoma" w:hAnsi="Tahoma" w:cs="Tahoma"/>
          <w:b w:val="0"/>
          <w:bCs w:val="0"/>
          <w:i/>
          <w:iCs/>
          <w:sz w:val="22"/>
          <w:szCs w:val="22"/>
        </w:rPr>
        <w:t xml:space="preserve">not later than 30 days after the date of the enactment of this Act, the Secretary of Agriculture shall promulgate interim </w:t>
      </w:r>
      <w:r w:rsidRPr="0019207D">
        <w:rPr>
          <w:rFonts w:ascii="Tahoma" w:hAnsi="Tahoma" w:cs="Tahoma"/>
          <w:b w:val="0"/>
          <w:bCs w:val="0"/>
          <w:i/>
          <w:iCs/>
          <w:sz w:val="22"/>
          <w:szCs w:val="22"/>
        </w:rPr>
        <w:lastRenderedPageBreak/>
        <w:t>final regulations to establish a pre</w:t>
      </w:r>
      <w:r w:rsidR="00FB3834">
        <w:rPr>
          <w:rFonts w:ascii="Tahoma" w:hAnsi="Tahoma" w:cs="Tahoma"/>
          <w:b w:val="0"/>
          <w:bCs w:val="0"/>
          <w:i/>
          <w:iCs/>
          <w:sz w:val="22"/>
          <w:szCs w:val="22"/>
        </w:rPr>
        <w:t>-</w:t>
      </w:r>
      <w:r w:rsidRPr="0019207D">
        <w:rPr>
          <w:rFonts w:ascii="Tahoma" w:hAnsi="Tahoma" w:cs="Tahoma"/>
          <w:b w:val="0"/>
          <w:bCs w:val="0"/>
          <w:i/>
          <w:iCs/>
          <w:sz w:val="22"/>
          <w:szCs w:val="22"/>
        </w:rPr>
        <w:t>decisional administrative review process.</w:t>
      </w:r>
      <w:r w:rsidRPr="0019207D">
        <w:rPr>
          <w:rFonts w:ascii="Tahoma" w:hAnsi="Tahoma" w:cs="Tahoma"/>
          <w:b w:val="0"/>
          <w:bCs w:val="0"/>
          <w:iCs/>
          <w:sz w:val="22"/>
          <w:szCs w:val="22"/>
        </w:rPr>
        <w:t xml:space="preserve">”  </w:t>
      </w:r>
      <w:r w:rsidRPr="0019207D">
        <w:rPr>
          <w:rFonts w:ascii="Tahoma" w:hAnsi="Tahoma" w:cs="Tahoma"/>
          <w:b w:val="0"/>
          <w:bCs w:val="0"/>
          <w:sz w:val="22"/>
          <w:szCs w:val="22"/>
        </w:rPr>
        <w:t>This process “...</w:t>
      </w:r>
      <w:r w:rsidRPr="0019207D">
        <w:rPr>
          <w:rFonts w:ascii="Tahoma" w:hAnsi="Tahoma" w:cs="Tahoma"/>
          <w:b w:val="0"/>
          <w:bCs w:val="0"/>
          <w:i/>
          <w:iCs/>
          <w:sz w:val="22"/>
          <w:szCs w:val="22"/>
        </w:rPr>
        <w:t>serves as the sole means by which a person can seek administrative review regarding an authorized hazardous fuel reduction project on Forest Service land.</w:t>
      </w:r>
      <w:r w:rsidRPr="0019207D">
        <w:rPr>
          <w:rFonts w:ascii="Tahoma" w:hAnsi="Tahoma" w:cs="Tahoma"/>
          <w:b w:val="0"/>
          <w:bCs w:val="0"/>
          <w:iCs/>
          <w:sz w:val="22"/>
          <w:szCs w:val="22"/>
        </w:rPr>
        <w:t>”</w:t>
      </w:r>
      <w:r w:rsidRPr="0019207D">
        <w:rPr>
          <w:rFonts w:ascii="Tahoma" w:hAnsi="Tahoma" w:cs="Tahoma"/>
          <w:b w:val="0"/>
          <w:bCs w:val="0"/>
          <w:sz w:val="22"/>
          <w:szCs w:val="22"/>
        </w:rPr>
        <w:t xml:space="preserve">  Those choosing to participate in the pre</w:t>
      </w:r>
      <w:r w:rsidR="00FB3834">
        <w:rPr>
          <w:rFonts w:ascii="Tahoma" w:hAnsi="Tahoma" w:cs="Tahoma"/>
          <w:b w:val="0"/>
          <w:bCs w:val="0"/>
          <w:sz w:val="22"/>
          <w:szCs w:val="22"/>
        </w:rPr>
        <w:t>-</w:t>
      </w:r>
      <w:r w:rsidRPr="0019207D">
        <w:rPr>
          <w:rFonts w:ascii="Tahoma" w:hAnsi="Tahoma" w:cs="Tahoma"/>
          <w:b w:val="0"/>
          <w:bCs w:val="0"/>
          <w:sz w:val="22"/>
          <w:szCs w:val="22"/>
        </w:rPr>
        <w:t>decisional administrative review process must provide information to the Forest Service which the agency must respond to.  This information needs to include, as a minimum, the objector’s name, address, phone number (if available); the name of the project for which they are filing an objection; and the specific changes in the authorized project they seek and the rational for those changes.</w:t>
      </w:r>
    </w:p>
    <w:p w:rsidR="0019207D" w:rsidRPr="0019207D" w:rsidRDefault="0019207D" w:rsidP="0019207D">
      <w:pPr>
        <w:tabs>
          <w:tab w:val="left" w:pos="361"/>
          <w:tab w:val="left" w:pos="6765"/>
        </w:tabs>
        <w:ind w:left="360"/>
        <w:jc w:val="both"/>
        <w:rPr>
          <w:rFonts w:ascii="Tahoma" w:hAnsi="Tahoma" w:cs="Tahoma"/>
          <w:b/>
          <w:bCs/>
          <w:sz w:val="22"/>
          <w:szCs w:val="22"/>
        </w:rPr>
      </w:pPr>
      <w:r w:rsidRPr="0019207D">
        <w:rPr>
          <w:rFonts w:ascii="Tahoma" w:hAnsi="Tahoma" w:cs="Tahoma"/>
          <w:b/>
          <w:bCs/>
          <w:sz w:val="22"/>
          <w:szCs w:val="22"/>
        </w:rPr>
        <w:tab/>
      </w:r>
    </w:p>
    <w:p w:rsidR="0019207D" w:rsidRPr="0019207D" w:rsidRDefault="0019207D" w:rsidP="0019207D">
      <w:pPr>
        <w:pStyle w:val="BodyTextIndent2"/>
        <w:tabs>
          <w:tab w:val="clear" w:pos="0"/>
        </w:tabs>
        <w:jc w:val="both"/>
        <w:rPr>
          <w:rFonts w:ascii="Tahoma" w:hAnsi="Tahoma" w:cs="Tahoma"/>
          <w:b w:val="0"/>
          <w:bCs w:val="0"/>
          <w:sz w:val="22"/>
          <w:szCs w:val="22"/>
        </w:rPr>
      </w:pPr>
      <w:r w:rsidRPr="0019207D">
        <w:rPr>
          <w:rFonts w:ascii="Tahoma" w:hAnsi="Tahoma" w:cs="Tahoma"/>
          <w:b w:val="0"/>
          <w:bCs w:val="0"/>
          <w:sz w:val="22"/>
          <w:szCs w:val="22"/>
        </w:rPr>
        <w:t xml:space="preserve">The Forest Service, at its own discretion, provides processes by which persons or organizations may appeal or object to significant amendment, revision, or </w:t>
      </w:r>
      <w:r w:rsidR="00B40DCB">
        <w:rPr>
          <w:rFonts w:ascii="Tahoma" w:hAnsi="Tahoma" w:cs="Tahoma"/>
          <w:b w:val="0"/>
          <w:bCs w:val="0"/>
          <w:sz w:val="22"/>
          <w:szCs w:val="22"/>
        </w:rPr>
        <w:t xml:space="preserve">approval of a land </w:t>
      </w:r>
      <w:r w:rsidRPr="0019207D">
        <w:rPr>
          <w:rFonts w:ascii="Tahoma" w:hAnsi="Tahoma" w:cs="Tahoma"/>
          <w:b w:val="0"/>
          <w:bCs w:val="0"/>
          <w:sz w:val="22"/>
          <w:szCs w:val="22"/>
        </w:rPr>
        <w:t>management plan (36 CFR part 219).  A separate process for notice, comment, and appeal of National Forest System projects and activities was mandated by section 322 of Interior and Related Agencies Appropriation Act of Fiscal Year 1993, P.L. 102-381, 106 Stat. 1419 (hereinafter “Appeals Reform Act” (ARA)) and codified in 1993 as 36 CFR part 215 (58 FR 58905).  With enactment of the Healthy Forests Restoration Act of 2003, P.L. No. 108-148, 117 Stat 1887 (Dec. 3, 2003) (HFRA), a new process has been mandated for administrative review of certain hazardous fuel restoration projects. Implementing regulations for that process have been promulgated at 36 CFR parts 215 and 218.</w:t>
      </w:r>
    </w:p>
    <w:p w:rsidR="0019207D" w:rsidRPr="00754591" w:rsidRDefault="0019207D" w:rsidP="001E7019">
      <w:pPr>
        <w:pStyle w:val="BodyTextIndent2"/>
        <w:tabs>
          <w:tab w:val="clear" w:pos="361"/>
        </w:tabs>
        <w:spacing w:after="80"/>
        <w:jc w:val="both"/>
        <w:rPr>
          <w:rFonts w:ascii="Tahoma" w:hAnsi="Tahoma" w:cs="Tahoma"/>
          <w:b w:val="0"/>
          <w:sz w:val="20"/>
          <w:szCs w:val="20"/>
        </w:rPr>
      </w:pPr>
    </w:p>
    <w:p w:rsidR="00C37CD8" w:rsidRPr="00754591" w:rsidRDefault="00C37CD8" w:rsidP="00197F9A">
      <w:pPr>
        <w:pStyle w:val="BodyTextIndent2"/>
        <w:numPr>
          <w:ilvl w:val="0"/>
          <w:numId w:val="10"/>
        </w:numPr>
        <w:spacing w:after="80"/>
        <w:jc w:val="both"/>
        <w:rPr>
          <w:rFonts w:ascii="Tahoma" w:hAnsi="Tahoma" w:cs="Tahoma"/>
          <w:sz w:val="22"/>
          <w:szCs w:val="22"/>
        </w:rPr>
      </w:pPr>
      <w:r w:rsidRPr="00754591">
        <w:rPr>
          <w:rFonts w:ascii="Tahoma" w:hAnsi="Tahoma" w:cs="Tahoma"/>
          <w:sz w:val="22"/>
          <w:szCs w:val="22"/>
        </w:rPr>
        <w:t>Indicate how, by whom, and for w</w:t>
      </w:r>
      <w:r w:rsidR="00D343A1" w:rsidRPr="00754591">
        <w:rPr>
          <w:rFonts w:ascii="Tahoma" w:hAnsi="Tahoma" w:cs="Tahoma"/>
          <w:sz w:val="22"/>
          <w:szCs w:val="22"/>
        </w:rPr>
        <w:t>hat pur</w:t>
      </w:r>
      <w:r w:rsidR="00D343A1" w:rsidRPr="00754591">
        <w:rPr>
          <w:rFonts w:ascii="Tahoma" w:hAnsi="Tahoma" w:cs="Tahoma"/>
          <w:sz w:val="22"/>
          <w:szCs w:val="22"/>
        </w:rPr>
        <w:softHyphen/>
        <w:t xml:space="preserve">pose the information is </w:t>
      </w:r>
      <w:r w:rsidRPr="00754591">
        <w:rPr>
          <w:rFonts w:ascii="Tahoma" w:hAnsi="Tahoma" w:cs="Tahoma"/>
          <w:sz w:val="22"/>
          <w:szCs w:val="22"/>
        </w:rPr>
        <w:t>to be used. Except for a new collec</w:t>
      </w:r>
      <w:r w:rsidRPr="00754591">
        <w:rPr>
          <w:rFonts w:ascii="Tahoma" w:hAnsi="Tahoma" w:cs="Tahoma"/>
          <w:sz w:val="22"/>
          <w:szCs w:val="22"/>
        </w:rPr>
        <w:softHyphen/>
        <w:t>tion, indicate the actual use the agency has made of the infor</w:t>
      </w:r>
      <w:r w:rsidRPr="00754591">
        <w:rPr>
          <w:rFonts w:ascii="Tahoma" w:hAnsi="Tahoma" w:cs="Tahoma"/>
          <w:sz w:val="22"/>
          <w:szCs w:val="22"/>
        </w:rPr>
        <w:softHyphen/>
        <w:t>ma</w:t>
      </w:r>
      <w:r w:rsidRPr="00754591">
        <w:rPr>
          <w:rFonts w:ascii="Tahoma" w:hAnsi="Tahoma" w:cs="Tahoma"/>
          <w:sz w:val="22"/>
          <w:szCs w:val="22"/>
        </w:rPr>
        <w:softHyphen/>
        <w:t>tion received from the current collec</w:t>
      </w:r>
      <w:r w:rsidRPr="00754591">
        <w:rPr>
          <w:rFonts w:ascii="Tahoma" w:hAnsi="Tahoma" w:cs="Tahoma"/>
          <w:sz w:val="22"/>
          <w:szCs w:val="22"/>
        </w:rPr>
        <w:softHyphen/>
        <w:t>tion.</w:t>
      </w:r>
    </w:p>
    <w:p w:rsidR="00C37CD8" w:rsidRPr="00754591"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754591">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1E7019" w:rsidRPr="00754591" w:rsidRDefault="009D6690" w:rsidP="00321D11">
      <w:pPr>
        <w:pStyle w:val="BodyTextIndent"/>
        <w:tabs>
          <w:tab w:val="clear" w:pos="0"/>
          <w:tab w:val="clear" w:pos="361"/>
          <w:tab w:val="clear" w:pos="1083"/>
          <w:tab w:val="left" w:pos="720"/>
        </w:tabs>
        <w:spacing w:after="80"/>
        <w:ind w:left="720"/>
        <w:jc w:val="both"/>
        <w:rPr>
          <w:rFonts w:ascii="Tahoma" w:hAnsi="Tahoma" w:cs="Tahoma"/>
          <w:color w:val="1F497D"/>
          <w:sz w:val="22"/>
          <w:szCs w:val="22"/>
        </w:rPr>
      </w:pPr>
      <w:r w:rsidRPr="009D6690">
        <w:rPr>
          <w:rFonts w:ascii="Tahoma" w:hAnsi="Tahoma" w:cs="Tahoma"/>
          <w:sz w:val="22"/>
          <w:szCs w:val="22"/>
        </w:rPr>
        <w:t>Obj</w:t>
      </w:r>
      <w:r w:rsidR="00513680">
        <w:rPr>
          <w:rFonts w:ascii="Tahoma" w:hAnsi="Tahoma" w:cs="Tahoma"/>
          <w:sz w:val="22"/>
          <w:szCs w:val="22"/>
        </w:rPr>
        <w:t>ections must be filed with the Reviewing O</w:t>
      </w:r>
      <w:r w:rsidRPr="009D6690">
        <w:rPr>
          <w:rFonts w:ascii="Tahoma" w:hAnsi="Tahoma" w:cs="Tahoma"/>
          <w:sz w:val="22"/>
          <w:szCs w:val="22"/>
        </w:rPr>
        <w:t>fficer in writing.</w:t>
      </w:r>
      <w:r w:rsidRPr="00C1019C">
        <w:t xml:space="preserve"> </w:t>
      </w:r>
      <w:r w:rsidR="005F78E1" w:rsidRPr="00754591">
        <w:rPr>
          <w:rFonts w:ascii="Tahoma" w:hAnsi="Tahoma" w:cs="Tahoma"/>
          <w:sz w:val="22"/>
          <w:szCs w:val="22"/>
        </w:rPr>
        <w:t xml:space="preserve">The </w:t>
      </w:r>
      <w:r w:rsidR="00D343A1" w:rsidRPr="00754591">
        <w:rPr>
          <w:rFonts w:ascii="Tahoma" w:hAnsi="Tahoma" w:cs="Tahoma"/>
          <w:sz w:val="22"/>
          <w:szCs w:val="22"/>
        </w:rPr>
        <w:t>objector</w:t>
      </w:r>
      <w:r w:rsidR="005F78E1" w:rsidRPr="00754591">
        <w:rPr>
          <w:rFonts w:ascii="Tahoma" w:hAnsi="Tahoma" w:cs="Tahoma"/>
          <w:sz w:val="22"/>
          <w:szCs w:val="22"/>
        </w:rPr>
        <w:t xml:space="preserve"> must provide: the </w:t>
      </w:r>
      <w:r w:rsidR="00D343A1" w:rsidRPr="00754591">
        <w:rPr>
          <w:rFonts w:ascii="Tahoma" w:hAnsi="Tahoma" w:cs="Tahoma"/>
          <w:sz w:val="22"/>
          <w:szCs w:val="22"/>
        </w:rPr>
        <w:t xml:space="preserve">objector’s </w:t>
      </w:r>
      <w:r w:rsidR="005F78E1" w:rsidRPr="00754591">
        <w:rPr>
          <w:rFonts w:ascii="Tahoma" w:hAnsi="Tahoma" w:cs="Tahoma"/>
          <w:sz w:val="22"/>
          <w:szCs w:val="22"/>
        </w:rPr>
        <w:t xml:space="preserve">name, mailing address, </w:t>
      </w:r>
      <w:r w:rsidR="00983295">
        <w:rPr>
          <w:rFonts w:ascii="Tahoma" w:hAnsi="Tahoma" w:cs="Tahoma"/>
          <w:sz w:val="22"/>
          <w:szCs w:val="22"/>
        </w:rPr>
        <w:t>and if available a</w:t>
      </w:r>
      <w:r>
        <w:rPr>
          <w:rFonts w:ascii="Tahoma" w:hAnsi="Tahoma" w:cs="Tahoma"/>
          <w:sz w:val="22"/>
          <w:szCs w:val="22"/>
        </w:rPr>
        <w:t xml:space="preserve"> </w:t>
      </w:r>
      <w:r w:rsidR="005F78E1" w:rsidRPr="00754591">
        <w:rPr>
          <w:rFonts w:ascii="Tahoma" w:hAnsi="Tahoma" w:cs="Tahoma"/>
          <w:sz w:val="22"/>
          <w:szCs w:val="22"/>
        </w:rPr>
        <w:t xml:space="preserve">telephone number.  </w:t>
      </w:r>
      <w:r w:rsidR="00041F76" w:rsidRPr="00754591">
        <w:rPr>
          <w:rFonts w:ascii="Tahoma" w:hAnsi="Tahoma" w:cs="Tahoma"/>
          <w:sz w:val="22"/>
          <w:szCs w:val="22"/>
        </w:rPr>
        <w:t xml:space="preserve">They must provide a signature or other verification of authorship upon request.  When multiple names are listed on an objection, they must provide identification of the lead objector.  </w:t>
      </w:r>
      <w:r w:rsidR="00983295">
        <w:rPr>
          <w:rFonts w:ascii="Tahoma" w:hAnsi="Tahoma" w:cs="Tahoma"/>
          <w:sz w:val="22"/>
          <w:szCs w:val="22"/>
        </w:rPr>
        <w:t xml:space="preserve">Verification of the identity of the lead objector must be provided upon request.  </w:t>
      </w:r>
      <w:r w:rsidR="00041F76" w:rsidRPr="00754591">
        <w:rPr>
          <w:rFonts w:ascii="Tahoma" w:hAnsi="Tahoma" w:cs="Tahoma"/>
          <w:sz w:val="22"/>
          <w:szCs w:val="22"/>
        </w:rPr>
        <w:t>They must also provide the name of the proposed project, the name and title of the responsible official, and the name(s) of the national forest(s) and/or ranger district(s) on which the proposed project will be implemented; and, a sufficient narrative description of those aspects of the proposed project</w:t>
      </w:r>
      <w:r w:rsidR="00983295">
        <w:rPr>
          <w:rFonts w:ascii="Tahoma" w:hAnsi="Tahoma" w:cs="Tahoma"/>
          <w:sz w:val="22"/>
          <w:szCs w:val="22"/>
        </w:rPr>
        <w:t xml:space="preserve"> addressed by the objection</w:t>
      </w:r>
      <w:r w:rsidR="00321D11" w:rsidRPr="00754591">
        <w:rPr>
          <w:rFonts w:ascii="Tahoma" w:hAnsi="Tahoma" w:cs="Tahoma"/>
          <w:sz w:val="22"/>
          <w:szCs w:val="22"/>
        </w:rPr>
        <w:t>, and suggested remedies that would resolve the objection</w:t>
      </w:r>
      <w:r w:rsidR="00702100">
        <w:rPr>
          <w:rFonts w:ascii="Tahoma" w:hAnsi="Tahoma" w:cs="Tahoma"/>
          <w:sz w:val="22"/>
          <w:szCs w:val="22"/>
        </w:rPr>
        <w:t xml:space="preserve">.  </w:t>
      </w:r>
      <w:r w:rsidR="00702100" w:rsidRPr="00702100">
        <w:rPr>
          <w:rFonts w:ascii="Tahoma" w:hAnsi="Tahoma" w:cs="Tahoma"/>
          <w:sz w:val="22"/>
          <w:szCs w:val="22"/>
        </w:rPr>
        <w:t xml:space="preserve">They must also provide a statement that demonstrates the link between prior written comments on the particular proposed project or activity and the content of the objection, unless the objection concerns an issue that arose after the designated </w:t>
      </w:r>
      <w:proofErr w:type="gramStart"/>
      <w:r w:rsidR="00702100" w:rsidRPr="00702100">
        <w:rPr>
          <w:rFonts w:ascii="Tahoma" w:hAnsi="Tahoma" w:cs="Tahoma"/>
          <w:sz w:val="22"/>
          <w:szCs w:val="22"/>
        </w:rPr>
        <w:t>opportunity</w:t>
      </w:r>
      <w:r w:rsidR="00983295">
        <w:rPr>
          <w:rFonts w:ascii="Tahoma" w:hAnsi="Tahoma" w:cs="Tahoma"/>
          <w:sz w:val="22"/>
          <w:szCs w:val="22"/>
        </w:rPr>
        <w:t>(</w:t>
      </w:r>
      <w:proofErr w:type="spellStart"/>
      <w:proofErr w:type="gramEnd"/>
      <w:r w:rsidR="00983295">
        <w:rPr>
          <w:rFonts w:ascii="Tahoma" w:hAnsi="Tahoma" w:cs="Tahoma"/>
          <w:sz w:val="22"/>
          <w:szCs w:val="22"/>
        </w:rPr>
        <w:t>ies</w:t>
      </w:r>
      <w:proofErr w:type="spellEnd"/>
      <w:r w:rsidR="00983295">
        <w:rPr>
          <w:rFonts w:ascii="Tahoma" w:hAnsi="Tahoma" w:cs="Tahoma"/>
          <w:sz w:val="22"/>
          <w:szCs w:val="22"/>
        </w:rPr>
        <w:t>)</w:t>
      </w:r>
      <w:r w:rsidR="00702100" w:rsidRPr="00702100">
        <w:rPr>
          <w:rFonts w:ascii="Tahoma" w:hAnsi="Tahoma" w:cs="Tahoma"/>
          <w:sz w:val="22"/>
          <w:szCs w:val="22"/>
        </w:rPr>
        <w:t xml:space="preserve"> for comment.</w:t>
      </w:r>
    </w:p>
    <w:p w:rsidR="00504B59"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A383E" w:rsidRPr="00754591" w:rsidRDefault="004379D7" w:rsidP="009949EB">
      <w:pPr>
        <w:pStyle w:val="BodyTextIndent"/>
        <w:tabs>
          <w:tab w:val="clear" w:pos="0"/>
          <w:tab w:val="clear" w:pos="361"/>
          <w:tab w:val="clear" w:pos="1083"/>
        </w:tabs>
        <w:spacing w:after="80"/>
        <w:ind w:left="720"/>
        <w:jc w:val="both"/>
        <w:rPr>
          <w:rFonts w:ascii="Tahoma" w:hAnsi="Tahoma" w:cs="Tahoma"/>
          <w:sz w:val="22"/>
          <w:szCs w:val="22"/>
        </w:rPr>
      </w:pPr>
      <w:r w:rsidRPr="00754591">
        <w:rPr>
          <w:rFonts w:ascii="Tahoma" w:hAnsi="Tahoma" w:cs="Tahoma"/>
          <w:sz w:val="22"/>
          <w:szCs w:val="22"/>
        </w:rPr>
        <w:t>The information (objections) will be collected (submitted) from individuals a</w:t>
      </w:r>
      <w:r w:rsidR="00983295">
        <w:rPr>
          <w:rFonts w:ascii="Tahoma" w:hAnsi="Tahoma" w:cs="Tahoma"/>
          <w:sz w:val="22"/>
          <w:szCs w:val="22"/>
        </w:rPr>
        <w:t xml:space="preserve">nd </w:t>
      </w:r>
      <w:r w:rsidRPr="00754591">
        <w:rPr>
          <w:rFonts w:ascii="Tahoma" w:hAnsi="Tahoma" w:cs="Tahoma"/>
          <w:sz w:val="22"/>
          <w:szCs w:val="22"/>
        </w:rPr>
        <w:t xml:space="preserve">entities who have submitted specific </w:t>
      </w:r>
      <w:r w:rsidR="00983295">
        <w:rPr>
          <w:rFonts w:ascii="Tahoma" w:hAnsi="Tahoma" w:cs="Tahoma"/>
          <w:sz w:val="22"/>
          <w:szCs w:val="22"/>
        </w:rPr>
        <w:t xml:space="preserve">and timely </w:t>
      </w:r>
      <w:r w:rsidRPr="00754591">
        <w:rPr>
          <w:rFonts w:ascii="Tahoma" w:hAnsi="Tahoma" w:cs="Tahoma"/>
          <w:sz w:val="22"/>
          <w:szCs w:val="22"/>
        </w:rPr>
        <w:t xml:space="preserve">written comments related to the proposed project </w:t>
      </w:r>
      <w:r w:rsidR="003B77E4">
        <w:rPr>
          <w:rFonts w:ascii="Tahoma" w:hAnsi="Tahoma" w:cs="Tahoma"/>
          <w:sz w:val="22"/>
          <w:szCs w:val="22"/>
        </w:rPr>
        <w:t xml:space="preserve">or activity </w:t>
      </w:r>
      <w:r w:rsidRPr="00754591">
        <w:rPr>
          <w:rFonts w:ascii="Tahoma" w:hAnsi="Tahoma" w:cs="Tahoma"/>
          <w:sz w:val="22"/>
          <w:szCs w:val="22"/>
        </w:rPr>
        <w:t>during</w:t>
      </w:r>
      <w:r w:rsidR="003B77E4">
        <w:rPr>
          <w:rFonts w:ascii="Tahoma" w:hAnsi="Tahoma" w:cs="Tahoma"/>
          <w:sz w:val="22"/>
          <w:szCs w:val="22"/>
        </w:rPr>
        <w:t xml:space="preserve"> a designated </w:t>
      </w:r>
      <w:r w:rsidRPr="00754591">
        <w:rPr>
          <w:rFonts w:ascii="Tahoma" w:hAnsi="Tahoma" w:cs="Tahoma"/>
          <w:sz w:val="22"/>
          <w:szCs w:val="22"/>
        </w:rPr>
        <w:t xml:space="preserve">opportunity for public comment provided during </w:t>
      </w:r>
      <w:r w:rsidRPr="00754591">
        <w:rPr>
          <w:rFonts w:ascii="Tahoma" w:hAnsi="Tahoma" w:cs="Tahoma"/>
          <w:sz w:val="22"/>
          <w:szCs w:val="22"/>
        </w:rPr>
        <w:lastRenderedPageBreak/>
        <w:t>preparation of an Environmental Assessment</w:t>
      </w:r>
      <w:r w:rsidR="001A015F" w:rsidRPr="00754591">
        <w:rPr>
          <w:rFonts w:ascii="Tahoma" w:hAnsi="Tahoma" w:cs="Tahoma"/>
          <w:sz w:val="22"/>
          <w:szCs w:val="22"/>
        </w:rPr>
        <w:t xml:space="preserve"> (EA)</w:t>
      </w:r>
      <w:r w:rsidRPr="00754591">
        <w:rPr>
          <w:rFonts w:ascii="Tahoma" w:hAnsi="Tahoma" w:cs="Tahoma"/>
          <w:sz w:val="22"/>
          <w:szCs w:val="22"/>
        </w:rPr>
        <w:t xml:space="preserve"> or Environmental Impact Statement</w:t>
      </w:r>
      <w:r w:rsidR="001A015F" w:rsidRPr="00754591">
        <w:rPr>
          <w:rFonts w:ascii="Tahoma" w:hAnsi="Tahoma" w:cs="Tahoma"/>
          <w:sz w:val="22"/>
          <w:szCs w:val="22"/>
        </w:rPr>
        <w:t xml:space="preserve"> (EIS)</w:t>
      </w:r>
      <w:r w:rsidRPr="00754591">
        <w:rPr>
          <w:rFonts w:ascii="Tahoma" w:hAnsi="Tahoma" w:cs="Tahoma"/>
          <w:sz w:val="22"/>
          <w:szCs w:val="22"/>
        </w:rPr>
        <w:t xml:space="preserve">.  </w:t>
      </w:r>
      <w:r w:rsidR="00983021" w:rsidRPr="00754591">
        <w:rPr>
          <w:rFonts w:ascii="Tahoma" w:hAnsi="Tahoma" w:cs="Tahoma"/>
          <w:sz w:val="22"/>
          <w:szCs w:val="22"/>
        </w:rPr>
        <w:t xml:space="preserve">The </w:t>
      </w:r>
      <w:r w:rsidRPr="00754591">
        <w:rPr>
          <w:rFonts w:ascii="Tahoma" w:hAnsi="Tahoma" w:cs="Tahoma"/>
          <w:sz w:val="22"/>
          <w:szCs w:val="22"/>
        </w:rPr>
        <w:t>objector</w:t>
      </w:r>
      <w:r w:rsidR="00B911C3" w:rsidRPr="00754591">
        <w:rPr>
          <w:rFonts w:ascii="Tahoma" w:hAnsi="Tahoma" w:cs="Tahoma"/>
          <w:sz w:val="22"/>
          <w:szCs w:val="22"/>
        </w:rPr>
        <w:t xml:space="preserve"> voluntarily participate</w:t>
      </w:r>
      <w:r w:rsidR="002640D1" w:rsidRPr="00754591">
        <w:rPr>
          <w:rFonts w:ascii="Tahoma" w:hAnsi="Tahoma" w:cs="Tahoma"/>
          <w:sz w:val="22"/>
          <w:szCs w:val="22"/>
        </w:rPr>
        <w:t>s</w:t>
      </w:r>
      <w:r w:rsidR="00B911C3" w:rsidRPr="00754591">
        <w:rPr>
          <w:rFonts w:ascii="Tahoma" w:hAnsi="Tahoma" w:cs="Tahoma"/>
          <w:sz w:val="22"/>
          <w:szCs w:val="22"/>
        </w:rPr>
        <w:t xml:space="preserve"> if they</w:t>
      </w:r>
      <w:r w:rsidR="002640D1" w:rsidRPr="00754591">
        <w:rPr>
          <w:rFonts w:ascii="Tahoma" w:hAnsi="Tahoma" w:cs="Tahoma"/>
          <w:sz w:val="22"/>
          <w:szCs w:val="22"/>
        </w:rPr>
        <w:t xml:space="preserve"> seek a </w:t>
      </w:r>
      <w:r w:rsidRPr="00754591">
        <w:rPr>
          <w:rFonts w:ascii="Tahoma" w:hAnsi="Tahoma" w:cs="Tahoma"/>
          <w:sz w:val="22"/>
          <w:szCs w:val="22"/>
        </w:rPr>
        <w:t>pre</w:t>
      </w:r>
      <w:r w:rsidR="00FB3834">
        <w:rPr>
          <w:rFonts w:ascii="Tahoma" w:hAnsi="Tahoma" w:cs="Tahoma"/>
          <w:sz w:val="22"/>
          <w:szCs w:val="22"/>
        </w:rPr>
        <w:t>-</w:t>
      </w:r>
      <w:r w:rsidRPr="00754591">
        <w:rPr>
          <w:rFonts w:ascii="Tahoma" w:hAnsi="Tahoma" w:cs="Tahoma"/>
          <w:sz w:val="22"/>
          <w:szCs w:val="22"/>
        </w:rPr>
        <w:t>decisional administrative review of a proposed project.</w:t>
      </w:r>
    </w:p>
    <w:p w:rsidR="00504B59"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754591">
        <w:rPr>
          <w:rFonts w:ascii="Tahoma" w:hAnsi="Tahoma" w:cs="Tahoma"/>
          <w:b/>
          <w:bCs/>
          <w:sz w:val="22"/>
          <w:szCs w:val="22"/>
        </w:rPr>
        <w:t>What will this information be used for - provide ALL uses?</w:t>
      </w:r>
    </w:p>
    <w:p w:rsidR="002640D1" w:rsidRPr="00754591" w:rsidRDefault="009D06F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54591">
        <w:rPr>
          <w:rFonts w:ascii="Tahoma" w:hAnsi="Tahoma" w:cs="Tahoma"/>
          <w:sz w:val="22"/>
          <w:szCs w:val="22"/>
        </w:rPr>
        <w:t>The i</w:t>
      </w:r>
      <w:r w:rsidR="002640D1" w:rsidRPr="00754591">
        <w:rPr>
          <w:rFonts w:ascii="Tahoma" w:hAnsi="Tahoma" w:cs="Tahoma"/>
          <w:sz w:val="22"/>
          <w:szCs w:val="22"/>
        </w:rPr>
        <w:t xml:space="preserve">nformation </w:t>
      </w:r>
      <w:r w:rsidRPr="00754591">
        <w:rPr>
          <w:rFonts w:ascii="Tahoma" w:hAnsi="Tahoma" w:cs="Tahoma"/>
          <w:sz w:val="22"/>
          <w:szCs w:val="22"/>
        </w:rPr>
        <w:t xml:space="preserve">is used to review </w:t>
      </w:r>
      <w:r w:rsidR="00ED2EE9" w:rsidRPr="00754591">
        <w:rPr>
          <w:rFonts w:ascii="Tahoma" w:hAnsi="Tahoma" w:cs="Tahoma"/>
          <w:sz w:val="22"/>
          <w:szCs w:val="22"/>
        </w:rPr>
        <w:t>issues raised by the objector concerning A</w:t>
      </w:r>
      <w:r w:rsidRPr="00754591">
        <w:rPr>
          <w:rFonts w:ascii="Tahoma" w:hAnsi="Tahoma" w:cs="Tahoma"/>
          <w:sz w:val="22"/>
          <w:szCs w:val="22"/>
        </w:rPr>
        <w:t>gency</w:t>
      </w:r>
      <w:r w:rsidR="002640D1" w:rsidRPr="00754591">
        <w:rPr>
          <w:rFonts w:ascii="Tahoma" w:hAnsi="Tahoma" w:cs="Tahoma"/>
          <w:sz w:val="22"/>
          <w:szCs w:val="22"/>
        </w:rPr>
        <w:t xml:space="preserve"> </w:t>
      </w:r>
      <w:r w:rsidR="009949EB" w:rsidRPr="00754591">
        <w:rPr>
          <w:rFonts w:ascii="Tahoma" w:hAnsi="Tahoma" w:cs="Tahoma"/>
          <w:sz w:val="22"/>
          <w:szCs w:val="22"/>
        </w:rPr>
        <w:t xml:space="preserve">proposed </w:t>
      </w:r>
      <w:r w:rsidR="00ED2EE9" w:rsidRPr="00754591">
        <w:rPr>
          <w:rFonts w:ascii="Tahoma" w:hAnsi="Tahoma" w:cs="Tahoma"/>
          <w:sz w:val="22"/>
          <w:szCs w:val="22"/>
        </w:rPr>
        <w:t>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sidR="00ED2EE9" w:rsidRPr="00754591">
        <w:rPr>
          <w:rFonts w:ascii="Tahoma" w:hAnsi="Tahoma" w:cs="Tahoma"/>
          <w:sz w:val="22"/>
          <w:szCs w:val="22"/>
        </w:rPr>
        <w:t>management plans to</w:t>
      </w:r>
      <w:r w:rsidR="002640D1" w:rsidRPr="00754591">
        <w:rPr>
          <w:rFonts w:ascii="Tahoma" w:hAnsi="Tahoma" w:cs="Tahoma"/>
          <w:sz w:val="22"/>
          <w:szCs w:val="22"/>
        </w:rPr>
        <w:t xml:space="preserve"> </w:t>
      </w:r>
      <w:r w:rsidR="00BD465F" w:rsidRPr="00754591">
        <w:rPr>
          <w:rFonts w:ascii="Tahoma" w:hAnsi="Tahoma" w:cs="Tahoma"/>
          <w:sz w:val="22"/>
          <w:szCs w:val="22"/>
        </w:rPr>
        <w:t xml:space="preserve">discuss potential resolutions.  </w:t>
      </w:r>
    </w:p>
    <w:p w:rsidR="00C37CD8"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640D1" w:rsidRPr="00754591" w:rsidRDefault="002640D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54591">
        <w:rPr>
          <w:rFonts w:ascii="Tahoma" w:hAnsi="Tahoma" w:cs="Tahoma"/>
          <w:sz w:val="22"/>
          <w:szCs w:val="22"/>
        </w:rPr>
        <w:t>The information</w:t>
      </w:r>
      <w:r w:rsidR="00983021" w:rsidRPr="00754591">
        <w:rPr>
          <w:rFonts w:ascii="Tahoma" w:hAnsi="Tahoma" w:cs="Tahoma"/>
          <w:sz w:val="22"/>
          <w:szCs w:val="22"/>
        </w:rPr>
        <w:t xml:space="preserve"> (</w:t>
      </w:r>
      <w:r w:rsidR="00A70346" w:rsidRPr="00754591">
        <w:rPr>
          <w:rFonts w:ascii="Tahoma" w:hAnsi="Tahoma" w:cs="Tahoma"/>
          <w:sz w:val="22"/>
          <w:szCs w:val="22"/>
        </w:rPr>
        <w:t>objection</w:t>
      </w:r>
      <w:r w:rsidR="00983021" w:rsidRPr="00754591">
        <w:rPr>
          <w:rFonts w:ascii="Tahoma" w:hAnsi="Tahoma" w:cs="Tahoma"/>
          <w:sz w:val="22"/>
          <w:szCs w:val="22"/>
        </w:rPr>
        <w:t>)</w:t>
      </w:r>
      <w:r w:rsidRPr="00754591">
        <w:rPr>
          <w:rFonts w:ascii="Tahoma" w:hAnsi="Tahoma" w:cs="Tahoma"/>
          <w:sz w:val="22"/>
          <w:szCs w:val="22"/>
        </w:rPr>
        <w:t xml:space="preserve"> is collected</w:t>
      </w:r>
      <w:r w:rsidR="00247E63" w:rsidRPr="00754591">
        <w:rPr>
          <w:rFonts w:ascii="Tahoma" w:hAnsi="Tahoma" w:cs="Tahoma"/>
          <w:sz w:val="22"/>
          <w:szCs w:val="22"/>
        </w:rPr>
        <w:t xml:space="preserve"> (submitted)</w:t>
      </w:r>
      <w:r w:rsidRPr="00754591">
        <w:rPr>
          <w:rFonts w:ascii="Tahoma" w:hAnsi="Tahoma" w:cs="Tahoma"/>
          <w:sz w:val="22"/>
          <w:szCs w:val="22"/>
        </w:rPr>
        <w:t xml:space="preserve"> through the </w:t>
      </w:r>
      <w:r w:rsidR="00A70346" w:rsidRPr="00754591">
        <w:rPr>
          <w:rFonts w:ascii="Tahoma" w:hAnsi="Tahoma" w:cs="Tahoma"/>
          <w:sz w:val="22"/>
          <w:szCs w:val="22"/>
        </w:rPr>
        <w:t>objection</w:t>
      </w:r>
      <w:r w:rsidRPr="00754591">
        <w:rPr>
          <w:rFonts w:ascii="Tahoma" w:hAnsi="Tahoma" w:cs="Tahoma"/>
          <w:sz w:val="22"/>
          <w:szCs w:val="22"/>
        </w:rPr>
        <w:t xml:space="preserve"> proces</w:t>
      </w:r>
      <w:r w:rsidR="00983021" w:rsidRPr="00754591">
        <w:rPr>
          <w:rFonts w:ascii="Tahoma" w:hAnsi="Tahoma" w:cs="Tahoma"/>
          <w:sz w:val="22"/>
          <w:szCs w:val="22"/>
        </w:rPr>
        <w:t>s and</w:t>
      </w:r>
      <w:r w:rsidRPr="00754591">
        <w:rPr>
          <w:rFonts w:ascii="Tahoma" w:hAnsi="Tahoma" w:cs="Tahoma"/>
          <w:sz w:val="22"/>
          <w:szCs w:val="22"/>
        </w:rPr>
        <w:t xml:space="preserve"> may be delivered in person or by courier, b</w:t>
      </w:r>
      <w:r w:rsidR="00983021" w:rsidRPr="00754591">
        <w:rPr>
          <w:rFonts w:ascii="Tahoma" w:hAnsi="Tahoma" w:cs="Tahoma"/>
          <w:sz w:val="22"/>
          <w:szCs w:val="22"/>
        </w:rPr>
        <w:t>y mail or private delivery service</w:t>
      </w:r>
      <w:r w:rsidRPr="00754591">
        <w:rPr>
          <w:rFonts w:ascii="Tahoma" w:hAnsi="Tahoma" w:cs="Tahoma"/>
          <w:sz w:val="22"/>
          <w:szCs w:val="22"/>
        </w:rPr>
        <w:t>, by facsimile</w:t>
      </w:r>
      <w:r w:rsidR="00983021" w:rsidRPr="00754591">
        <w:rPr>
          <w:rFonts w:ascii="Tahoma" w:hAnsi="Tahoma" w:cs="Tahoma"/>
          <w:sz w:val="22"/>
          <w:szCs w:val="22"/>
        </w:rPr>
        <w:t xml:space="preserve">, or by electronic mail.  There are no forms associated with the </w:t>
      </w:r>
      <w:r w:rsidR="00A70346" w:rsidRPr="00754591">
        <w:rPr>
          <w:rFonts w:ascii="Tahoma" w:hAnsi="Tahoma" w:cs="Tahoma"/>
          <w:sz w:val="22"/>
          <w:szCs w:val="22"/>
        </w:rPr>
        <w:t>objection</w:t>
      </w:r>
      <w:r w:rsidR="00983021" w:rsidRPr="00754591">
        <w:rPr>
          <w:rFonts w:ascii="Tahoma" w:hAnsi="Tahoma" w:cs="Tahoma"/>
          <w:sz w:val="22"/>
          <w:szCs w:val="22"/>
        </w:rPr>
        <w:t xml:space="preserve"> process.</w:t>
      </w:r>
      <w:r w:rsidR="00702100">
        <w:rPr>
          <w:rFonts w:ascii="Tahoma" w:hAnsi="Tahoma" w:cs="Tahoma"/>
          <w:sz w:val="22"/>
          <w:szCs w:val="22"/>
        </w:rPr>
        <w:t xml:space="preserve">  </w:t>
      </w:r>
      <w:r w:rsidR="001E409B">
        <w:rPr>
          <w:rFonts w:ascii="Tahoma" w:hAnsi="Tahoma" w:cs="Tahoma"/>
          <w:sz w:val="22"/>
          <w:szCs w:val="22"/>
        </w:rPr>
        <w:t>For those who cho</w:t>
      </w:r>
      <w:r w:rsidR="00513680">
        <w:rPr>
          <w:rFonts w:ascii="Tahoma" w:hAnsi="Tahoma" w:cs="Tahoma"/>
          <w:sz w:val="22"/>
          <w:szCs w:val="22"/>
        </w:rPr>
        <w:t>o</w:t>
      </w:r>
      <w:r w:rsidR="001E409B">
        <w:rPr>
          <w:rFonts w:ascii="Tahoma" w:hAnsi="Tahoma" w:cs="Tahoma"/>
          <w:sz w:val="22"/>
          <w:szCs w:val="22"/>
        </w:rPr>
        <w:t>se to participate as an objector, t</w:t>
      </w:r>
      <w:r w:rsidR="00654341" w:rsidRPr="00702100">
        <w:rPr>
          <w:rFonts w:ascii="Tahoma" w:hAnsi="Tahoma" w:cs="Tahoma"/>
          <w:sz w:val="22"/>
          <w:szCs w:val="22"/>
        </w:rPr>
        <w:t>he responsible off</w:t>
      </w:r>
      <w:r w:rsidR="00654341">
        <w:rPr>
          <w:rFonts w:ascii="Tahoma" w:hAnsi="Tahoma" w:cs="Tahoma"/>
          <w:sz w:val="22"/>
          <w:szCs w:val="22"/>
        </w:rPr>
        <w:t>icial will provide his/her</w:t>
      </w:r>
      <w:r w:rsidR="00654341" w:rsidRPr="00702100">
        <w:rPr>
          <w:rFonts w:ascii="Tahoma" w:hAnsi="Tahoma" w:cs="Tahoma"/>
          <w:sz w:val="22"/>
          <w:szCs w:val="22"/>
        </w:rPr>
        <w:t xml:space="preserve"> nam</w:t>
      </w:r>
      <w:r w:rsidR="001E409B">
        <w:rPr>
          <w:rFonts w:ascii="Tahoma" w:hAnsi="Tahoma" w:cs="Tahoma"/>
          <w:sz w:val="22"/>
          <w:szCs w:val="22"/>
        </w:rPr>
        <w:t xml:space="preserve">e, title, telephone number, </w:t>
      </w:r>
      <w:r w:rsidR="00654341" w:rsidRPr="00702100">
        <w:rPr>
          <w:rFonts w:ascii="Tahoma" w:hAnsi="Tahoma" w:cs="Tahoma"/>
          <w:sz w:val="22"/>
          <w:szCs w:val="22"/>
        </w:rPr>
        <w:t>addresses (street, postal, facsimile, and e-mail)</w:t>
      </w:r>
      <w:r w:rsidR="001E409B">
        <w:rPr>
          <w:rFonts w:ascii="Tahoma" w:hAnsi="Tahoma" w:cs="Tahoma"/>
          <w:sz w:val="22"/>
          <w:szCs w:val="22"/>
        </w:rPr>
        <w:t>,</w:t>
      </w:r>
      <w:r w:rsidR="00654341" w:rsidRPr="00702100">
        <w:rPr>
          <w:rFonts w:ascii="Tahoma" w:hAnsi="Tahoma" w:cs="Tahoma"/>
          <w:sz w:val="22"/>
          <w:szCs w:val="22"/>
        </w:rPr>
        <w:t xml:space="preserve"> </w:t>
      </w:r>
      <w:r w:rsidR="001E409B">
        <w:rPr>
          <w:rFonts w:ascii="Tahoma" w:hAnsi="Tahoma" w:cs="Tahoma"/>
          <w:sz w:val="22"/>
          <w:szCs w:val="22"/>
        </w:rPr>
        <w:t>and</w:t>
      </w:r>
      <w:r w:rsidR="00654341" w:rsidRPr="00702100">
        <w:rPr>
          <w:rFonts w:ascii="Tahoma" w:hAnsi="Tahoma" w:cs="Tahoma"/>
          <w:sz w:val="22"/>
          <w:szCs w:val="22"/>
        </w:rPr>
        <w:t xml:space="preserve"> of</w:t>
      </w:r>
      <w:r w:rsidR="001E409B">
        <w:rPr>
          <w:rFonts w:ascii="Tahoma" w:hAnsi="Tahoma" w:cs="Tahoma"/>
          <w:sz w:val="22"/>
          <w:szCs w:val="22"/>
        </w:rPr>
        <w:t>fice business hours</w:t>
      </w:r>
      <w:r w:rsidR="00654341">
        <w:rPr>
          <w:rFonts w:ascii="Tahoma" w:hAnsi="Tahoma" w:cs="Tahoma"/>
          <w:sz w:val="22"/>
          <w:szCs w:val="22"/>
        </w:rPr>
        <w:t>.</w:t>
      </w:r>
    </w:p>
    <w:p w:rsidR="00C37CD8"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How frequently will the information be collected?</w:t>
      </w:r>
    </w:p>
    <w:p w:rsidR="00983021" w:rsidRPr="00754591" w:rsidRDefault="0098302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54591">
        <w:rPr>
          <w:rFonts w:ascii="Tahoma" w:hAnsi="Tahoma" w:cs="Tahoma"/>
          <w:sz w:val="22"/>
          <w:szCs w:val="22"/>
        </w:rPr>
        <w:t xml:space="preserve">There is no </w:t>
      </w:r>
      <w:r w:rsidR="0017584E" w:rsidRPr="00754591">
        <w:rPr>
          <w:rFonts w:ascii="Tahoma" w:hAnsi="Tahoma" w:cs="Tahoma"/>
          <w:sz w:val="22"/>
          <w:szCs w:val="22"/>
        </w:rPr>
        <w:t xml:space="preserve">regular </w:t>
      </w:r>
      <w:r w:rsidRPr="00754591">
        <w:rPr>
          <w:rFonts w:ascii="Tahoma" w:hAnsi="Tahoma" w:cs="Tahoma"/>
          <w:sz w:val="22"/>
          <w:szCs w:val="22"/>
        </w:rPr>
        <w:t>schedule for</w:t>
      </w:r>
      <w:r w:rsidR="0017584E" w:rsidRPr="00754591">
        <w:rPr>
          <w:rFonts w:ascii="Tahoma" w:hAnsi="Tahoma" w:cs="Tahoma"/>
          <w:sz w:val="22"/>
          <w:szCs w:val="22"/>
        </w:rPr>
        <w:t xml:space="preserve"> this type of</w:t>
      </w:r>
      <w:r w:rsidRPr="00754591">
        <w:rPr>
          <w:rFonts w:ascii="Tahoma" w:hAnsi="Tahoma" w:cs="Tahoma"/>
          <w:sz w:val="22"/>
          <w:szCs w:val="22"/>
        </w:rPr>
        <w:t xml:space="preserve"> information collection.  </w:t>
      </w:r>
    </w:p>
    <w:p w:rsidR="00983021" w:rsidRPr="00754591" w:rsidRDefault="00C37CD8" w:rsidP="0098302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Will the information be shared with any other organizations inside or outside USDA or the government?</w:t>
      </w:r>
    </w:p>
    <w:p w:rsidR="00320E78" w:rsidRPr="00754591" w:rsidRDefault="00CC45C4"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All objections are available for public inspection during and after the objection process.</w:t>
      </w:r>
      <w:r w:rsidR="00AA458D" w:rsidRPr="00754591">
        <w:rPr>
          <w:rFonts w:ascii="Tahoma" w:hAnsi="Tahoma" w:cs="Tahoma"/>
          <w:sz w:val="22"/>
          <w:szCs w:val="22"/>
        </w:rPr>
        <w:t xml:space="preserve">                                                </w:t>
      </w:r>
    </w:p>
    <w:p w:rsidR="009872CA" w:rsidRPr="00754591" w:rsidRDefault="00347E6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hyperlink r:id="rId11" w:history="1">
        <w:r w:rsidR="009872CA" w:rsidRPr="00754591">
          <w:rPr>
            <w:rStyle w:val="Hyperlink"/>
            <w:rFonts w:ascii="Tahoma" w:hAnsi="Tahoma" w:cs="Tahoma"/>
            <w:sz w:val="22"/>
            <w:szCs w:val="22"/>
          </w:rPr>
          <w:t>http://www.justice.gov/opcl/privstat.htm</w:t>
        </w:r>
      </w:hyperlink>
    </w:p>
    <w:p w:rsidR="00C37CD8"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If this is an ongoing collection, how have the collection requirements changed over time?</w:t>
      </w:r>
    </w:p>
    <w:p w:rsidR="0027207D" w:rsidRDefault="000851DC"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54591">
        <w:rPr>
          <w:rFonts w:ascii="Tahoma" w:hAnsi="Tahoma" w:cs="Tahoma"/>
          <w:bCs/>
          <w:sz w:val="22"/>
          <w:szCs w:val="22"/>
        </w:rPr>
        <w:t xml:space="preserve">This is a revision of a current information collection (to include not only proposed </w:t>
      </w:r>
      <w:r w:rsidRPr="00754591">
        <w:rPr>
          <w:rFonts w:ascii="Tahoma" w:hAnsi="Tahoma" w:cs="Tahoma"/>
          <w:sz w:val="22"/>
          <w:szCs w:val="22"/>
        </w:rPr>
        <w:t>Healthy Forests Restoration Act</w:t>
      </w:r>
      <w:r w:rsidRPr="00754591">
        <w:rPr>
          <w:rFonts w:ascii="Tahoma" w:hAnsi="Tahoma" w:cs="Tahoma"/>
          <w:bCs/>
          <w:sz w:val="22"/>
          <w:szCs w:val="22"/>
        </w:rPr>
        <w:t xml:space="preserve"> (HFRA) projects</w:t>
      </w:r>
      <w:r w:rsidR="00343F1D">
        <w:rPr>
          <w:rFonts w:ascii="Tahoma" w:hAnsi="Tahoma" w:cs="Tahoma"/>
          <w:bCs/>
          <w:sz w:val="22"/>
          <w:szCs w:val="22"/>
        </w:rPr>
        <w:t>,</w:t>
      </w:r>
      <w:r w:rsidRPr="00754591">
        <w:rPr>
          <w:rFonts w:ascii="Tahoma" w:hAnsi="Tahoma" w:cs="Tahoma"/>
          <w:bCs/>
          <w:sz w:val="22"/>
          <w:szCs w:val="22"/>
        </w:rPr>
        <w:t xml:space="preserve"> but to also include </w:t>
      </w:r>
      <w:r w:rsidR="00343F1D">
        <w:rPr>
          <w:rFonts w:ascii="Tahoma" w:hAnsi="Tahoma" w:cs="Tahoma"/>
          <w:bCs/>
          <w:sz w:val="22"/>
          <w:szCs w:val="22"/>
        </w:rPr>
        <w:t xml:space="preserve">all </w:t>
      </w:r>
      <w:r w:rsidRPr="00754591">
        <w:rPr>
          <w:rFonts w:ascii="Tahoma" w:hAnsi="Tahoma" w:cs="Tahoma"/>
          <w:bCs/>
          <w:sz w:val="22"/>
          <w:szCs w:val="22"/>
        </w:rPr>
        <w:t>projects and activities</w:t>
      </w:r>
      <w:r w:rsidR="00B40DCB">
        <w:rPr>
          <w:rFonts w:ascii="Tahoma" w:hAnsi="Tahoma" w:cs="Tahoma"/>
          <w:bCs/>
          <w:sz w:val="22"/>
          <w:szCs w:val="22"/>
        </w:rPr>
        <w:t xml:space="preserve"> implementing land </w:t>
      </w:r>
      <w:r w:rsidR="00654341">
        <w:rPr>
          <w:rFonts w:ascii="Tahoma" w:hAnsi="Tahoma" w:cs="Tahoma"/>
          <w:bCs/>
          <w:sz w:val="22"/>
          <w:szCs w:val="22"/>
        </w:rPr>
        <w:t xml:space="preserve">and resource </w:t>
      </w:r>
      <w:r w:rsidRPr="00754591">
        <w:rPr>
          <w:rFonts w:ascii="Tahoma" w:hAnsi="Tahoma" w:cs="Tahoma"/>
          <w:bCs/>
          <w:sz w:val="22"/>
          <w:szCs w:val="22"/>
        </w:rPr>
        <w:t>management plans, documented with a Record of Decision or Decision Notice)</w:t>
      </w:r>
      <w:r w:rsidR="0019207D">
        <w:rPr>
          <w:rFonts w:ascii="Tahoma" w:hAnsi="Tahoma" w:cs="Tahoma"/>
          <w:bCs/>
          <w:sz w:val="22"/>
          <w:szCs w:val="22"/>
        </w:rPr>
        <w:t>.</w:t>
      </w:r>
      <w:r w:rsidR="00E05BE5" w:rsidRPr="00754591">
        <w:rPr>
          <w:rFonts w:ascii="Tahoma" w:hAnsi="Tahoma" w:cs="Tahoma"/>
          <w:sz w:val="22"/>
          <w:szCs w:val="22"/>
        </w:rPr>
        <w:t xml:space="preserve"> </w:t>
      </w:r>
      <w:r w:rsidR="00A0033A" w:rsidRPr="00754591">
        <w:rPr>
          <w:rFonts w:ascii="Tahoma" w:hAnsi="Tahoma" w:cs="Tahoma"/>
          <w:sz w:val="22"/>
          <w:szCs w:val="22"/>
        </w:rPr>
        <w:t>The final</w:t>
      </w:r>
      <w:r w:rsidR="0006656C" w:rsidRPr="00754591">
        <w:rPr>
          <w:rFonts w:ascii="Tahoma" w:hAnsi="Tahoma" w:cs="Tahoma"/>
          <w:sz w:val="22"/>
          <w:szCs w:val="22"/>
        </w:rPr>
        <w:t xml:space="preserve"> </w:t>
      </w:r>
      <w:r>
        <w:rPr>
          <w:rFonts w:ascii="Tahoma" w:hAnsi="Tahoma" w:cs="Tahoma"/>
          <w:sz w:val="22"/>
          <w:szCs w:val="22"/>
        </w:rPr>
        <w:t xml:space="preserve">rule </w:t>
      </w:r>
      <w:r w:rsidR="0006656C" w:rsidRPr="00754591">
        <w:rPr>
          <w:rFonts w:ascii="Tahoma" w:hAnsi="Tahoma" w:cs="Tahoma"/>
          <w:sz w:val="22"/>
          <w:szCs w:val="22"/>
        </w:rPr>
        <w:t xml:space="preserve">for the </w:t>
      </w:r>
      <w:r>
        <w:rPr>
          <w:rFonts w:ascii="Tahoma" w:hAnsi="Tahoma" w:cs="Tahoma"/>
          <w:sz w:val="22"/>
          <w:szCs w:val="22"/>
        </w:rPr>
        <w:t xml:space="preserve">36 CFR </w:t>
      </w:r>
      <w:r w:rsidR="00F33FE2" w:rsidRPr="00754591">
        <w:rPr>
          <w:rFonts w:ascii="Tahoma" w:hAnsi="Tahoma" w:cs="Tahoma"/>
          <w:sz w:val="22"/>
          <w:szCs w:val="22"/>
        </w:rPr>
        <w:t xml:space="preserve">218 objection </w:t>
      </w:r>
      <w:r w:rsidR="00E05BE5" w:rsidRPr="00754591">
        <w:rPr>
          <w:rFonts w:ascii="Tahoma" w:hAnsi="Tahoma" w:cs="Tahoma"/>
          <w:sz w:val="22"/>
          <w:szCs w:val="22"/>
        </w:rPr>
        <w:t xml:space="preserve">process </w:t>
      </w:r>
      <w:r w:rsidR="00FE62E8" w:rsidRPr="00754591">
        <w:rPr>
          <w:rFonts w:ascii="Tahoma" w:hAnsi="Tahoma" w:cs="Tahoma"/>
          <w:sz w:val="22"/>
          <w:szCs w:val="22"/>
        </w:rPr>
        <w:t xml:space="preserve">for projects authorized under </w:t>
      </w:r>
      <w:r w:rsidR="004535FA" w:rsidRPr="00754591">
        <w:rPr>
          <w:rFonts w:ascii="Tahoma" w:hAnsi="Tahoma" w:cs="Tahoma"/>
          <w:sz w:val="22"/>
          <w:szCs w:val="22"/>
        </w:rPr>
        <w:t>Healthy Forests Restoration Act (</w:t>
      </w:r>
      <w:r w:rsidR="00FE62E8" w:rsidRPr="00754591">
        <w:rPr>
          <w:rFonts w:ascii="Tahoma" w:hAnsi="Tahoma" w:cs="Tahoma"/>
          <w:sz w:val="22"/>
          <w:szCs w:val="22"/>
        </w:rPr>
        <w:t>HFRA</w:t>
      </w:r>
      <w:r w:rsidR="004535FA" w:rsidRPr="00754591">
        <w:rPr>
          <w:rFonts w:ascii="Tahoma" w:hAnsi="Tahoma" w:cs="Tahoma"/>
          <w:sz w:val="22"/>
          <w:szCs w:val="22"/>
        </w:rPr>
        <w:t>)</w:t>
      </w:r>
      <w:r w:rsidR="00FE62E8" w:rsidRPr="00754591">
        <w:rPr>
          <w:rFonts w:ascii="Tahoma" w:hAnsi="Tahoma" w:cs="Tahoma"/>
          <w:sz w:val="22"/>
          <w:szCs w:val="22"/>
        </w:rPr>
        <w:t xml:space="preserve"> </w:t>
      </w:r>
      <w:r w:rsidR="00E05BE5" w:rsidRPr="00754591">
        <w:rPr>
          <w:rFonts w:ascii="Tahoma" w:hAnsi="Tahoma" w:cs="Tahoma"/>
          <w:sz w:val="22"/>
          <w:szCs w:val="22"/>
        </w:rPr>
        <w:t>was p</w:t>
      </w:r>
      <w:r w:rsidR="0006656C" w:rsidRPr="00754591">
        <w:rPr>
          <w:rFonts w:ascii="Tahoma" w:hAnsi="Tahoma" w:cs="Tahoma"/>
          <w:sz w:val="22"/>
          <w:szCs w:val="22"/>
        </w:rPr>
        <w:t xml:space="preserve">ublished on </w:t>
      </w:r>
      <w:r>
        <w:rPr>
          <w:rFonts w:ascii="Tahoma" w:hAnsi="Tahoma" w:cs="Tahoma"/>
          <w:sz w:val="22"/>
          <w:szCs w:val="22"/>
        </w:rPr>
        <w:t>September 17, 2008</w:t>
      </w:r>
      <w:r w:rsidR="00E05BE5" w:rsidRPr="00754591">
        <w:rPr>
          <w:rFonts w:ascii="Tahoma" w:hAnsi="Tahoma" w:cs="Tahoma"/>
          <w:sz w:val="22"/>
          <w:szCs w:val="22"/>
        </w:rPr>
        <w:t xml:space="preserve">. </w:t>
      </w:r>
      <w:r w:rsidR="00213FC6" w:rsidRPr="00754591">
        <w:rPr>
          <w:rFonts w:ascii="Tahoma" w:hAnsi="Tahoma" w:cs="Tahoma"/>
          <w:sz w:val="22"/>
          <w:szCs w:val="22"/>
        </w:rPr>
        <w:t xml:space="preserve">It was stated that the rules of this subpart specify the information that objectors must provide in an objection to a proposed authorized hazardous fuel reduction project as defined at HFRA.  </w:t>
      </w:r>
      <w:r w:rsidR="001844DC" w:rsidRPr="00754591">
        <w:rPr>
          <w:rFonts w:ascii="Tahoma" w:hAnsi="Tahoma" w:cs="Tahoma"/>
          <w:sz w:val="22"/>
          <w:szCs w:val="22"/>
        </w:rPr>
        <w:t xml:space="preserve">The revision of </w:t>
      </w:r>
      <w:r>
        <w:rPr>
          <w:rFonts w:ascii="Tahoma" w:hAnsi="Tahoma" w:cs="Tahoma"/>
          <w:sz w:val="22"/>
          <w:szCs w:val="22"/>
        </w:rPr>
        <w:t xml:space="preserve">36 CFR </w:t>
      </w:r>
      <w:r w:rsidR="001844DC" w:rsidRPr="00754591">
        <w:rPr>
          <w:rFonts w:ascii="Tahoma" w:hAnsi="Tahoma" w:cs="Tahoma"/>
          <w:sz w:val="22"/>
          <w:szCs w:val="22"/>
        </w:rPr>
        <w:t xml:space="preserve">218 </w:t>
      </w:r>
      <w:r w:rsidR="00427F5F">
        <w:rPr>
          <w:rFonts w:ascii="Tahoma" w:hAnsi="Tahoma" w:cs="Tahoma"/>
          <w:sz w:val="22"/>
          <w:szCs w:val="22"/>
        </w:rPr>
        <w:t xml:space="preserve">now </w:t>
      </w:r>
      <w:r w:rsidR="00E96E40" w:rsidRPr="00754591">
        <w:rPr>
          <w:rFonts w:ascii="Tahoma" w:hAnsi="Tahoma" w:cs="Tahoma"/>
          <w:sz w:val="22"/>
          <w:szCs w:val="22"/>
        </w:rPr>
        <w:t xml:space="preserve">also </w:t>
      </w:r>
      <w:r w:rsidR="001844DC" w:rsidRPr="00754591">
        <w:rPr>
          <w:rFonts w:ascii="Tahoma" w:hAnsi="Tahoma" w:cs="Tahoma"/>
          <w:sz w:val="22"/>
          <w:szCs w:val="22"/>
        </w:rPr>
        <w:t>include</w:t>
      </w:r>
      <w:r w:rsidR="005355E6">
        <w:rPr>
          <w:rFonts w:ascii="Tahoma" w:hAnsi="Tahoma" w:cs="Tahoma"/>
          <w:sz w:val="22"/>
          <w:szCs w:val="22"/>
        </w:rPr>
        <w:t>s</w:t>
      </w:r>
      <w:r w:rsidR="001844DC" w:rsidRPr="00754591">
        <w:rPr>
          <w:rFonts w:ascii="Tahoma" w:hAnsi="Tahoma" w:cs="Tahoma"/>
          <w:sz w:val="22"/>
          <w:szCs w:val="22"/>
        </w:rPr>
        <w:t xml:space="preserve"> the pre</w:t>
      </w:r>
      <w:r w:rsidR="00FB3834">
        <w:rPr>
          <w:rFonts w:ascii="Tahoma" w:hAnsi="Tahoma" w:cs="Tahoma"/>
          <w:sz w:val="22"/>
          <w:szCs w:val="22"/>
        </w:rPr>
        <w:t>-</w:t>
      </w:r>
      <w:r w:rsidR="001844DC" w:rsidRPr="00754591">
        <w:rPr>
          <w:rFonts w:ascii="Tahoma" w:hAnsi="Tahoma" w:cs="Tahoma"/>
          <w:sz w:val="22"/>
          <w:szCs w:val="22"/>
        </w:rPr>
        <w:t xml:space="preserve">decisional objection process for </w:t>
      </w:r>
      <w:r w:rsidR="00427F5F">
        <w:rPr>
          <w:rFonts w:ascii="Tahoma" w:hAnsi="Tahoma" w:cs="Tahoma"/>
          <w:sz w:val="22"/>
          <w:szCs w:val="22"/>
        </w:rPr>
        <w:t xml:space="preserve">all </w:t>
      </w:r>
      <w:r w:rsidR="001844DC" w:rsidRPr="00754591">
        <w:rPr>
          <w:rFonts w:ascii="Tahoma" w:hAnsi="Tahoma" w:cs="Tahoma"/>
          <w:sz w:val="22"/>
          <w:szCs w:val="22"/>
        </w:rPr>
        <w:t>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sidR="001844DC" w:rsidRPr="00754591">
        <w:rPr>
          <w:rFonts w:ascii="Tahoma" w:hAnsi="Tahoma" w:cs="Tahoma"/>
          <w:sz w:val="22"/>
          <w:szCs w:val="22"/>
        </w:rPr>
        <w:t xml:space="preserve">management plans.  </w:t>
      </w:r>
    </w:p>
    <w:p w:rsidR="00AB34B2" w:rsidRPr="00754591" w:rsidRDefault="00347E6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hyperlink r:id="rId12" w:history="1">
        <w:r w:rsidR="00AB34B2" w:rsidRPr="00754591">
          <w:rPr>
            <w:rStyle w:val="Hyperlink"/>
            <w:rFonts w:ascii="Tahoma" w:hAnsi="Tahoma" w:cs="Tahoma"/>
            <w:sz w:val="22"/>
            <w:szCs w:val="22"/>
          </w:rPr>
          <w:t>http://www.fs.fed.us/emc/applit/includes/fedreg36cfr218a.pdf</w:t>
        </w:r>
      </w:hyperlink>
    </w:p>
    <w:p w:rsidR="00AB34B2" w:rsidRPr="00754591" w:rsidRDefault="00347E6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hyperlink r:id="rId13" w:history="1">
        <w:r w:rsidR="00AB34B2" w:rsidRPr="00754591">
          <w:rPr>
            <w:rStyle w:val="Hyperlink"/>
            <w:rFonts w:ascii="Tahoma" w:hAnsi="Tahoma" w:cs="Tahoma"/>
            <w:sz w:val="22"/>
            <w:szCs w:val="22"/>
          </w:rPr>
          <w:t>http://www.fs.fed.us/emc/applit/includes/36CFR218_final_rule_20080917.pdf</w:t>
        </w:r>
      </w:hyperlink>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Describe whether, and to what extent, the collection of information involves the use of auto</w:t>
      </w:r>
      <w:r w:rsidRPr="00754591">
        <w:rPr>
          <w:rFonts w:ascii="Tahoma" w:hAnsi="Tahoma" w:cs="Tahoma"/>
          <w:b/>
          <w:bCs/>
          <w:sz w:val="22"/>
          <w:szCs w:val="22"/>
        </w:rPr>
        <w:softHyphen/>
        <w:t>mat</w:t>
      </w:r>
      <w:r w:rsidRPr="00754591">
        <w:rPr>
          <w:rFonts w:ascii="Tahoma" w:hAnsi="Tahoma" w:cs="Tahoma"/>
          <w:b/>
          <w:bCs/>
          <w:sz w:val="22"/>
          <w:szCs w:val="22"/>
        </w:rPr>
        <w:softHyphen/>
        <w:t>ed, elec</w:t>
      </w:r>
      <w:r w:rsidRPr="00754591">
        <w:rPr>
          <w:rFonts w:ascii="Tahoma" w:hAnsi="Tahoma" w:cs="Tahoma"/>
          <w:b/>
          <w:bCs/>
          <w:sz w:val="22"/>
          <w:szCs w:val="22"/>
        </w:rPr>
        <w:softHyphen/>
        <w:t>tronic, mechani</w:t>
      </w:r>
      <w:r w:rsidRPr="00754591">
        <w:rPr>
          <w:rFonts w:ascii="Tahoma" w:hAnsi="Tahoma" w:cs="Tahoma"/>
          <w:b/>
          <w:bCs/>
          <w:sz w:val="22"/>
          <w:szCs w:val="22"/>
        </w:rPr>
        <w:softHyphen/>
        <w:t>cal, or other techno</w:t>
      </w:r>
      <w:r w:rsidRPr="00754591">
        <w:rPr>
          <w:rFonts w:ascii="Tahoma" w:hAnsi="Tahoma" w:cs="Tahoma"/>
          <w:b/>
          <w:bCs/>
          <w:sz w:val="22"/>
          <w:szCs w:val="22"/>
        </w:rPr>
        <w:softHyphen/>
        <w:t>log</w:t>
      </w:r>
      <w:r w:rsidRPr="00754591">
        <w:rPr>
          <w:rFonts w:ascii="Tahoma" w:hAnsi="Tahoma" w:cs="Tahoma"/>
          <w:b/>
          <w:bCs/>
          <w:sz w:val="22"/>
          <w:szCs w:val="22"/>
        </w:rPr>
        <w:softHyphen/>
        <w:t>ical collection techniques or other forms of information technol</w:t>
      </w:r>
      <w:r w:rsidRPr="00754591">
        <w:rPr>
          <w:rFonts w:ascii="Tahoma" w:hAnsi="Tahoma" w:cs="Tahoma"/>
          <w:b/>
          <w:bCs/>
          <w:sz w:val="22"/>
          <w:szCs w:val="22"/>
        </w:rPr>
        <w:softHyphen/>
        <w:t>o</w:t>
      </w:r>
      <w:r w:rsidRPr="00754591">
        <w:rPr>
          <w:rFonts w:ascii="Tahoma" w:hAnsi="Tahoma" w:cs="Tahoma"/>
          <w:b/>
          <w:bCs/>
          <w:sz w:val="22"/>
          <w:szCs w:val="22"/>
        </w:rPr>
        <w:softHyphen/>
        <w:t>gy, e.g. permit</w:t>
      </w:r>
      <w:r w:rsidRPr="00754591">
        <w:rPr>
          <w:rFonts w:ascii="Tahoma" w:hAnsi="Tahoma" w:cs="Tahoma"/>
          <w:b/>
          <w:bCs/>
          <w:sz w:val="22"/>
          <w:szCs w:val="22"/>
        </w:rPr>
        <w:softHyphen/>
        <w:t>ting elec</w:t>
      </w:r>
      <w:r w:rsidRPr="00754591">
        <w:rPr>
          <w:rFonts w:ascii="Tahoma" w:hAnsi="Tahoma" w:cs="Tahoma"/>
          <w:b/>
          <w:bCs/>
          <w:sz w:val="22"/>
          <w:szCs w:val="22"/>
        </w:rPr>
        <w:softHyphen/>
        <w:t>tronic sub</w:t>
      </w:r>
      <w:r w:rsidRPr="00754591">
        <w:rPr>
          <w:rFonts w:ascii="Tahoma" w:hAnsi="Tahoma" w:cs="Tahoma"/>
          <w:b/>
          <w:bCs/>
          <w:sz w:val="22"/>
          <w:szCs w:val="22"/>
        </w:rPr>
        <w:softHyphen/>
        <w:t>mission of respons</w:t>
      </w:r>
      <w:r w:rsidRPr="00754591">
        <w:rPr>
          <w:rFonts w:ascii="Tahoma" w:hAnsi="Tahoma" w:cs="Tahoma"/>
          <w:b/>
          <w:bCs/>
          <w:sz w:val="22"/>
          <w:szCs w:val="22"/>
        </w:rPr>
        <w:softHyphen/>
        <w:t>es, and the basis for the decision for adopting this means of collection. Also describe any con</w:t>
      </w:r>
      <w:r w:rsidRPr="00754591">
        <w:rPr>
          <w:rFonts w:ascii="Tahoma" w:hAnsi="Tahoma" w:cs="Tahoma"/>
          <w:b/>
          <w:bCs/>
          <w:sz w:val="22"/>
          <w:szCs w:val="22"/>
        </w:rPr>
        <w:softHyphen/>
        <w:t>sideration of using in</w:t>
      </w:r>
      <w:r w:rsidRPr="00754591">
        <w:rPr>
          <w:rFonts w:ascii="Tahoma" w:hAnsi="Tahoma" w:cs="Tahoma"/>
          <w:b/>
          <w:bCs/>
          <w:sz w:val="22"/>
          <w:szCs w:val="22"/>
        </w:rPr>
        <w:softHyphen/>
        <w:t>fo</w:t>
      </w:r>
      <w:r w:rsidRPr="00754591">
        <w:rPr>
          <w:rFonts w:ascii="Tahoma" w:hAnsi="Tahoma" w:cs="Tahoma"/>
          <w:b/>
          <w:bCs/>
          <w:sz w:val="22"/>
          <w:szCs w:val="22"/>
        </w:rPr>
        <w:softHyphen/>
        <w:t>r</w:t>
      </w:r>
      <w:r w:rsidRPr="00754591">
        <w:rPr>
          <w:rFonts w:ascii="Tahoma" w:hAnsi="Tahoma" w:cs="Tahoma"/>
          <w:b/>
          <w:bCs/>
          <w:sz w:val="22"/>
          <w:szCs w:val="22"/>
        </w:rPr>
        <w:softHyphen/>
        <w:t>m</w:t>
      </w:r>
      <w:r w:rsidRPr="00754591">
        <w:rPr>
          <w:rFonts w:ascii="Tahoma" w:hAnsi="Tahoma" w:cs="Tahoma"/>
          <w:b/>
          <w:bCs/>
          <w:sz w:val="22"/>
          <w:szCs w:val="22"/>
        </w:rPr>
        <w:softHyphen/>
        <w:t>a</w:t>
      </w:r>
      <w:r w:rsidRPr="00754591">
        <w:rPr>
          <w:rFonts w:ascii="Tahoma" w:hAnsi="Tahoma" w:cs="Tahoma"/>
          <w:b/>
          <w:bCs/>
          <w:sz w:val="22"/>
          <w:szCs w:val="22"/>
        </w:rPr>
        <w:softHyphen/>
        <w:t>t</w:t>
      </w:r>
      <w:r w:rsidRPr="00754591">
        <w:rPr>
          <w:rFonts w:ascii="Tahoma" w:hAnsi="Tahoma" w:cs="Tahoma"/>
          <w:b/>
          <w:bCs/>
          <w:sz w:val="22"/>
          <w:szCs w:val="22"/>
        </w:rPr>
        <w:softHyphen/>
        <w:t>ion technolo</w:t>
      </w:r>
      <w:r w:rsidRPr="00754591">
        <w:rPr>
          <w:rFonts w:ascii="Tahoma" w:hAnsi="Tahoma" w:cs="Tahoma"/>
          <w:b/>
          <w:bCs/>
          <w:sz w:val="22"/>
          <w:szCs w:val="22"/>
        </w:rPr>
        <w:softHyphen/>
        <w:t>gy to re</w:t>
      </w:r>
      <w:r w:rsidRPr="00754591">
        <w:rPr>
          <w:rFonts w:ascii="Tahoma" w:hAnsi="Tahoma" w:cs="Tahoma"/>
          <w:b/>
          <w:bCs/>
          <w:sz w:val="22"/>
          <w:szCs w:val="22"/>
        </w:rPr>
        <w:softHyphen/>
        <w:t>duce bur</w:t>
      </w:r>
      <w:r w:rsidRPr="00754591">
        <w:rPr>
          <w:rFonts w:ascii="Tahoma" w:hAnsi="Tahoma" w:cs="Tahoma"/>
          <w:b/>
          <w:bCs/>
          <w:sz w:val="22"/>
          <w:szCs w:val="22"/>
        </w:rPr>
        <w:softHyphen/>
        <w:t>den.</w:t>
      </w:r>
    </w:p>
    <w:p w:rsidR="005436B9" w:rsidRPr="00754591"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 xml:space="preserve">The </w:t>
      </w:r>
      <w:r w:rsidR="00247E63" w:rsidRPr="00754591">
        <w:rPr>
          <w:rFonts w:ascii="Tahoma" w:hAnsi="Tahoma" w:cs="Tahoma"/>
          <w:sz w:val="22"/>
          <w:szCs w:val="22"/>
        </w:rPr>
        <w:t>collected information (</w:t>
      </w:r>
      <w:r w:rsidR="001844DC" w:rsidRPr="00754591">
        <w:rPr>
          <w:rFonts w:ascii="Tahoma" w:hAnsi="Tahoma" w:cs="Tahoma"/>
          <w:sz w:val="22"/>
          <w:szCs w:val="22"/>
        </w:rPr>
        <w:t>objection</w:t>
      </w:r>
      <w:r w:rsidR="00247E63" w:rsidRPr="00754591">
        <w:rPr>
          <w:rFonts w:ascii="Tahoma" w:hAnsi="Tahoma" w:cs="Tahoma"/>
          <w:sz w:val="22"/>
          <w:szCs w:val="22"/>
        </w:rPr>
        <w:t>)</w:t>
      </w:r>
      <w:r w:rsidRPr="00754591">
        <w:rPr>
          <w:rFonts w:ascii="Tahoma" w:hAnsi="Tahoma" w:cs="Tahoma"/>
          <w:sz w:val="22"/>
          <w:szCs w:val="22"/>
        </w:rPr>
        <w:t xml:space="preserve"> may be submitted </w:t>
      </w:r>
      <w:r w:rsidR="009C16A8" w:rsidRPr="00754591">
        <w:rPr>
          <w:rFonts w:ascii="Tahoma" w:hAnsi="Tahoma" w:cs="Tahoma"/>
          <w:sz w:val="22"/>
          <w:szCs w:val="22"/>
        </w:rPr>
        <w:t xml:space="preserve">in person or by courier, by mail or </w:t>
      </w:r>
      <w:r w:rsidR="009C16A8" w:rsidRPr="00754591">
        <w:rPr>
          <w:rFonts w:ascii="Tahoma" w:hAnsi="Tahoma" w:cs="Tahoma"/>
          <w:sz w:val="22"/>
          <w:szCs w:val="22"/>
        </w:rPr>
        <w:lastRenderedPageBreak/>
        <w:t xml:space="preserve">private delivery service, by facsimile, or by electronic mail. </w:t>
      </w:r>
      <w:r w:rsidR="007C7622" w:rsidRPr="00754591">
        <w:rPr>
          <w:rFonts w:ascii="Tahoma" w:hAnsi="Tahoma" w:cs="Tahoma"/>
          <w:sz w:val="22"/>
          <w:szCs w:val="22"/>
        </w:rPr>
        <w:t xml:space="preserve">By offering multiple options for submitting an </w:t>
      </w:r>
      <w:r w:rsidR="001844DC" w:rsidRPr="00754591">
        <w:rPr>
          <w:rFonts w:ascii="Tahoma" w:hAnsi="Tahoma" w:cs="Tahoma"/>
          <w:sz w:val="22"/>
          <w:szCs w:val="22"/>
        </w:rPr>
        <w:t>objection</w:t>
      </w:r>
      <w:r w:rsidR="007C7622" w:rsidRPr="00754591">
        <w:rPr>
          <w:rFonts w:ascii="Tahoma" w:hAnsi="Tahoma" w:cs="Tahoma"/>
          <w:sz w:val="22"/>
          <w:szCs w:val="22"/>
        </w:rPr>
        <w:t xml:space="preserve">, including electronic, the agency’s intent is to reduce the burden on the public. </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Describe efforts to identify duplica</w:t>
      </w:r>
      <w:r w:rsidRPr="00754591">
        <w:rPr>
          <w:rFonts w:ascii="Tahoma" w:hAnsi="Tahoma" w:cs="Tahoma"/>
          <w:b/>
          <w:bCs/>
          <w:sz w:val="22"/>
          <w:szCs w:val="22"/>
        </w:rPr>
        <w:softHyphen/>
        <w:t>tion. Show specifically why any sim</w:t>
      </w:r>
      <w:r w:rsidRPr="00754591">
        <w:rPr>
          <w:rFonts w:ascii="Tahoma" w:hAnsi="Tahoma" w:cs="Tahoma"/>
          <w:b/>
          <w:bCs/>
          <w:sz w:val="22"/>
          <w:szCs w:val="22"/>
        </w:rPr>
        <w:softHyphen/>
        <w:t>ilar in</w:t>
      </w:r>
      <w:r w:rsidRPr="00754591">
        <w:rPr>
          <w:rFonts w:ascii="Tahoma" w:hAnsi="Tahoma" w:cs="Tahoma"/>
          <w:b/>
          <w:bCs/>
          <w:sz w:val="22"/>
          <w:szCs w:val="22"/>
        </w:rPr>
        <w:softHyphen/>
        <w:t>for</w:t>
      </w:r>
      <w:r w:rsidRPr="00754591">
        <w:rPr>
          <w:rFonts w:ascii="Tahoma" w:hAnsi="Tahoma" w:cs="Tahoma"/>
          <w:b/>
          <w:bCs/>
          <w:sz w:val="22"/>
          <w:szCs w:val="22"/>
        </w:rPr>
        <w:softHyphen/>
        <w:t>mation already avail</w:t>
      </w:r>
      <w:r w:rsidRPr="00754591">
        <w:rPr>
          <w:rFonts w:ascii="Tahoma" w:hAnsi="Tahoma" w:cs="Tahoma"/>
          <w:b/>
          <w:bCs/>
          <w:sz w:val="22"/>
          <w:szCs w:val="22"/>
        </w:rPr>
        <w:softHyphen/>
        <w:t>able cannot be used or modified for use for the purpos</w:t>
      </w:r>
      <w:r w:rsidRPr="00754591">
        <w:rPr>
          <w:rFonts w:ascii="Tahoma" w:hAnsi="Tahoma" w:cs="Tahoma"/>
          <w:b/>
          <w:bCs/>
          <w:sz w:val="22"/>
          <w:szCs w:val="22"/>
        </w:rPr>
        <w:softHyphen/>
        <w:t>es de</w:t>
      </w:r>
      <w:r w:rsidRPr="00754591">
        <w:rPr>
          <w:rFonts w:ascii="Tahoma" w:hAnsi="Tahoma" w:cs="Tahoma"/>
          <w:b/>
          <w:bCs/>
          <w:sz w:val="22"/>
          <w:szCs w:val="22"/>
        </w:rPr>
        <w:softHyphen/>
        <w:t>scri</w:t>
      </w:r>
      <w:r w:rsidRPr="00754591">
        <w:rPr>
          <w:rFonts w:ascii="Tahoma" w:hAnsi="Tahoma" w:cs="Tahoma"/>
          <w:b/>
          <w:bCs/>
          <w:sz w:val="22"/>
          <w:szCs w:val="22"/>
        </w:rPr>
        <w:softHyphen/>
        <w:t>bed in Item 2 above.</w:t>
      </w:r>
    </w:p>
    <w:p w:rsidR="00320E78" w:rsidRPr="00754591" w:rsidRDefault="00C374A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The information collected during</w:t>
      </w:r>
      <w:r w:rsidR="00320E78" w:rsidRPr="00754591">
        <w:rPr>
          <w:rFonts w:ascii="Tahoma" w:hAnsi="Tahoma" w:cs="Tahoma"/>
          <w:sz w:val="22"/>
          <w:szCs w:val="22"/>
        </w:rPr>
        <w:t xml:space="preserve"> the </w:t>
      </w:r>
      <w:r w:rsidR="001844DC" w:rsidRPr="00754591">
        <w:rPr>
          <w:rFonts w:ascii="Tahoma" w:hAnsi="Tahoma" w:cs="Tahoma"/>
          <w:sz w:val="22"/>
          <w:szCs w:val="22"/>
        </w:rPr>
        <w:t>objection</w:t>
      </w:r>
      <w:r w:rsidR="00320E78" w:rsidRPr="00754591">
        <w:rPr>
          <w:rFonts w:ascii="Tahoma" w:hAnsi="Tahoma" w:cs="Tahoma"/>
          <w:sz w:val="22"/>
          <w:szCs w:val="22"/>
        </w:rPr>
        <w:t xml:space="preserve"> </w:t>
      </w:r>
      <w:r w:rsidR="00A24C4E" w:rsidRPr="00754591">
        <w:rPr>
          <w:rFonts w:ascii="Tahoma" w:hAnsi="Tahoma" w:cs="Tahoma"/>
          <w:sz w:val="22"/>
          <w:szCs w:val="22"/>
        </w:rPr>
        <w:t xml:space="preserve">process </w:t>
      </w:r>
      <w:r w:rsidR="00320E78" w:rsidRPr="00754591">
        <w:rPr>
          <w:rFonts w:ascii="Tahoma" w:hAnsi="Tahoma" w:cs="Tahoma"/>
          <w:sz w:val="22"/>
          <w:szCs w:val="22"/>
        </w:rPr>
        <w:t xml:space="preserve">is specific </w:t>
      </w:r>
      <w:r w:rsidR="00A24C4E" w:rsidRPr="00754591">
        <w:rPr>
          <w:rFonts w:ascii="Tahoma" w:hAnsi="Tahoma" w:cs="Tahoma"/>
          <w:sz w:val="22"/>
          <w:szCs w:val="22"/>
        </w:rPr>
        <w:t xml:space="preserve">to those who </w:t>
      </w:r>
      <w:r w:rsidR="00AC610D" w:rsidRPr="00754591">
        <w:rPr>
          <w:rFonts w:ascii="Tahoma" w:hAnsi="Tahoma" w:cs="Tahoma"/>
          <w:sz w:val="22"/>
          <w:szCs w:val="22"/>
        </w:rPr>
        <w:t>have submitted specific written comments related to the proposed project during the opportunity for public comment provided during preparation of an Environmental Assessment or Environmental Impact Statement</w:t>
      </w:r>
      <w:r w:rsidR="00320E78" w:rsidRPr="00754591">
        <w:rPr>
          <w:rFonts w:ascii="Tahoma" w:hAnsi="Tahoma" w:cs="Tahoma"/>
          <w:sz w:val="22"/>
          <w:szCs w:val="22"/>
        </w:rPr>
        <w:t>.</w:t>
      </w:r>
      <w:r w:rsidR="0017584E" w:rsidRPr="00754591">
        <w:rPr>
          <w:rFonts w:ascii="Tahoma" w:hAnsi="Tahoma" w:cs="Tahoma"/>
          <w:sz w:val="22"/>
          <w:szCs w:val="22"/>
        </w:rPr>
        <w:t xml:space="preserve">  Therefore, </w:t>
      </w:r>
      <w:r w:rsidR="004535FA" w:rsidRPr="00754591">
        <w:rPr>
          <w:rFonts w:ascii="Tahoma" w:hAnsi="Tahoma" w:cs="Tahoma"/>
          <w:sz w:val="22"/>
          <w:szCs w:val="22"/>
        </w:rPr>
        <w:t xml:space="preserve">this information is unique and not already </w:t>
      </w:r>
      <w:r w:rsidR="0017584E" w:rsidRPr="00754591">
        <w:rPr>
          <w:rFonts w:ascii="Tahoma" w:hAnsi="Tahoma" w:cs="Tahoma"/>
          <w:sz w:val="22"/>
          <w:szCs w:val="22"/>
        </w:rPr>
        <w:t xml:space="preserve">available.  </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If the collection of information im</w:t>
      </w:r>
      <w:r w:rsidRPr="00754591">
        <w:rPr>
          <w:rFonts w:ascii="Tahoma" w:hAnsi="Tahoma" w:cs="Tahoma"/>
          <w:b/>
          <w:bCs/>
          <w:sz w:val="22"/>
          <w:szCs w:val="22"/>
        </w:rPr>
        <w:softHyphen/>
        <w:t>pacts small bus</w:t>
      </w:r>
      <w:r w:rsidR="00862A24" w:rsidRPr="00754591">
        <w:rPr>
          <w:rFonts w:ascii="Tahoma" w:hAnsi="Tahoma" w:cs="Tahoma"/>
          <w:b/>
          <w:bCs/>
          <w:sz w:val="22"/>
          <w:szCs w:val="22"/>
        </w:rPr>
        <w:t>inesses or other small entities,</w:t>
      </w:r>
      <w:r w:rsidRPr="00754591">
        <w:rPr>
          <w:rFonts w:ascii="Tahoma" w:hAnsi="Tahoma" w:cs="Tahoma"/>
          <w:b/>
          <w:bCs/>
          <w:sz w:val="22"/>
          <w:szCs w:val="22"/>
        </w:rPr>
        <w:t xml:space="preserve"> describe any methods used to mini</w:t>
      </w:r>
      <w:r w:rsidRPr="00754591">
        <w:rPr>
          <w:rFonts w:ascii="Tahoma" w:hAnsi="Tahoma" w:cs="Tahoma"/>
          <w:b/>
          <w:bCs/>
          <w:sz w:val="22"/>
          <w:szCs w:val="22"/>
        </w:rPr>
        <w:softHyphen/>
        <w:t>mize burden.</w:t>
      </w:r>
    </w:p>
    <w:p w:rsidR="007C7622" w:rsidRPr="00754591" w:rsidRDefault="007C762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 xml:space="preserve">Small businesses or other small entities </w:t>
      </w:r>
      <w:r w:rsidR="005F0384" w:rsidRPr="00754591">
        <w:rPr>
          <w:rFonts w:ascii="Tahoma" w:hAnsi="Tahoma" w:cs="Tahoma"/>
          <w:sz w:val="22"/>
          <w:szCs w:val="22"/>
        </w:rPr>
        <w:t xml:space="preserve">that </w:t>
      </w:r>
      <w:r w:rsidR="00971377" w:rsidRPr="00754591">
        <w:rPr>
          <w:rFonts w:ascii="Tahoma" w:hAnsi="Tahoma" w:cs="Tahoma"/>
          <w:sz w:val="22"/>
          <w:szCs w:val="22"/>
        </w:rPr>
        <w:t xml:space="preserve">are interested or may become interested in </w:t>
      </w:r>
      <w:r w:rsidR="008C24C5" w:rsidRPr="00754591">
        <w:rPr>
          <w:rFonts w:ascii="Tahoma" w:hAnsi="Tahoma" w:cs="Tahoma"/>
          <w:sz w:val="22"/>
          <w:szCs w:val="22"/>
        </w:rPr>
        <w:t>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sidR="008C24C5" w:rsidRPr="00754591">
        <w:rPr>
          <w:rFonts w:ascii="Tahoma" w:hAnsi="Tahoma" w:cs="Tahoma"/>
          <w:sz w:val="22"/>
          <w:szCs w:val="22"/>
        </w:rPr>
        <w:t xml:space="preserve">management plans </w:t>
      </w:r>
      <w:r w:rsidR="00752752" w:rsidRPr="00754591">
        <w:rPr>
          <w:rFonts w:ascii="Tahoma" w:hAnsi="Tahoma" w:cs="Tahoma"/>
          <w:sz w:val="22"/>
          <w:szCs w:val="22"/>
        </w:rPr>
        <w:t xml:space="preserve">have the opportunity to object to </w:t>
      </w:r>
      <w:r w:rsidR="00892F97" w:rsidRPr="00754591">
        <w:rPr>
          <w:rFonts w:ascii="Tahoma" w:hAnsi="Tahoma" w:cs="Tahoma"/>
          <w:sz w:val="22"/>
          <w:szCs w:val="22"/>
        </w:rPr>
        <w:t>those projects</w:t>
      </w:r>
      <w:r w:rsidR="005355E6">
        <w:rPr>
          <w:rFonts w:ascii="Tahoma" w:hAnsi="Tahoma" w:cs="Tahoma"/>
          <w:sz w:val="22"/>
          <w:szCs w:val="22"/>
        </w:rPr>
        <w:t xml:space="preserve"> or activities</w:t>
      </w:r>
      <w:r w:rsidR="00E07390" w:rsidRPr="00754591">
        <w:rPr>
          <w:rFonts w:ascii="Tahoma" w:hAnsi="Tahoma" w:cs="Tahoma"/>
          <w:sz w:val="22"/>
          <w:szCs w:val="22"/>
        </w:rPr>
        <w:t xml:space="preserve">.  </w:t>
      </w:r>
      <w:r w:rsidR="00A43CA6" w:rsidRPr="00754591">
        <w:rPr>
          <w:rFonts w:ascii="Tahoma" w:hAnsi="Tahoma" w:cs="Tahoma"/>
          <w:sz w:val="22"/>
          <w:szCs w:val="22"/>
        </w:rPr>
        <w:t xml:space="preserve">The </w:t>
      </w:r>
      <w:r w:rsidR="005F0384" w:rsidRPr="00754591">
        <w:rPr>
          <w:rFonts w:ascii="Tahoma" w:hAnsi="Tahoma" w:cs="Tahoma"/>
          <w:sz w:val="22"/>
          <w:szCs w:val="22"/>
        </w:rPr>
        <w:t>A</w:t>
      </w:r>
      <w:r w:rsidR="0083262E" w:rsidRPr="00754591">
        <w:rPr>
          <w:rFonts w:ascii="Tahoma" w:hAnsi="Tahoma" w:cs="Tahoma"/>
          <w:sz w:val="22"/>
          <w:szCs w:val="22"/>
        </w:rPr>
        <w:t xml:space="preserve">gency’s intent to minimize burden </w:t>
      </w:r>
      <w:r w:rsidRPr="00754591">
        <w:rPr>
          <w:rFonts w:ascii="Tahoma" w:hAnsi="Tahoma" w:cs="Tahoma"/>
          <w:sz w:val="22"/>
          <w:szCs w:val="22"/>
        </w:rPr>
        <w:t>on these entities is the same as for indiv</w:t>
      </w:r>
      <w:r w:rsidR="00A43CA6" w:rsidRPr="00754591">
        <w:rPr>
          <w:rFonts w:ascii="Tahoma" w:hAnsi="Tahoma" w:cs="Tahoma"/>
          <w:sz w:val="22"/>
          <w:szCs w:val="22"/>
        </w:rPr>
        <w:t xml:space="preserve">iduals </w:t>
      </w:r>
      <w:r w:rsidR="00AD31ED" w:rsidRPr="00754591">
        <w:rPr>
          <w:rFonts w:ascii="Tahoma" w:hAnsi="Tahoma" w:cs="Tahoma"/>
          <w:sz w:val="22"/>
          <w:szCs w:val="22"/>
        </w:rPr>
        <w:t xml:space="preserve">that </w:t>
      </w:r>
      <w:r w:rsidR="00A630D1" w:rsidRPr="00754591">
        <w:rPr>
          <w:rFonts w:ascii="Tahoma" w:hAnsi="Tahoma" w:cs="Tahoma"/>
          <w:sz w:val="22"/>
          <w:szCs w:val="22"/>
        </w:rPr>
        <w:t xml:space="preserve">are interested in </w:t>
      </w:r>
      <w:r w:rsidR="008C24C5" w:rsidRPr="00754591">
        <w:rPr>
          <w:rFonts w:ascii="Tahoma" w:hAnsi="Tahoma" w:cs="Tahoma"/>
          <w:sz w:val="22"/>
          <w:szCs w:val="22"/>
        </w:rPr>
        <w:t>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sidR="008C24C5" w:rsidRPr="00754591">
        <w:rPr>
          <w:rFonts w:ascii="Tahoma" w:hAnsi="Tahoma" w:cs="Tahoma"/>
          <w:sz w:val="22"/>
          <w:szCs w:val="22"/>
        </w:rPr>
        <w:t>management plans</w:t>
      </w:r>
      <w:r w:rsidR="00A43CA6" w:rsidRPr="00754591">
        <w:rPr>
          <w:rFonts w:ascii="Tahoma" w:hAnsi="Tahoma" w:cs="Tahoma"/>
          <w:sz w:val="22"/>
          <w:szCs w:val="22"/>
        </w:rPr>
        <w:t>, which is to offer multip</w:t>
      </w:r>
      <w:r w:rsidR="0083262E" w:rsidRPr="00754591">
        <w:rPr>
          <w:rFonts w:ascii="Tahoma" w:hAnsi="Tahoma" w:cs="Tahoma"/>
          <w:sz w:val="22"/>
          <w:szCs w:val="22"/>
        </w:rPr>
        <w:t>le methods</w:t>
      </w:r>
      <w:r w:rsidR="00A43CA6" w:rsidRPr="00754591">
        <w:rPr>
          <w:rFonts w:ascii="Tahoma" w:hAnsi="Tahoma" w:cs="Tahoma"/>
          <w:sz w:val="22"/>
          <w:szCs w:val="22"/>
        </w:rPr>
        <w:t xml:space="preserve"> to submit an </w:t>
      </w:r>
      <w:r w:rsidR="00A630D1" w:rsidRPr="00754591">
        <w:rPr>
          <w:rFonts w:ascii="Tahoma" w:hAnsi="Tahoma" w:cs="Tahoma"/>
          <w:sz w:val="22"/>
          <w:szCs w:val="22"/>
        </w:rPr>
        <w:t>objection</w:t>
      </w:r>
      <w:r w:rsidR="0083262E" w:rsidRPr="00754591">
        <w:rPr>
          <w:rFonts w:ascii="Tahoma" w:hAnsi="Tahoma" w:cs="Tahoma"/>
          <w:sz w:val="22"/>
          <w:szCs w:val="22"/>
        </w:rPr>
        <w:t>, including via electronic means</w:t>
      </w:r>
      <w:r w:rsidR="00A43CA6" w:rsidRPr="00754591">
        <w:rPr>
          <w:rFonts w:ascii="Tahoma" w:hAnsi="Tahoma" w:cs="Tahoma"/>
          <w:sz w:val="22"/>
          <w:szCs w:val="22"/>
        </w:rPr>
        <w:t xml:space="preserve">. </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Describe the consequence to Federal program or policy activities if the collection is not conducted or is cond</w:t>
      </w:r>
      <w:r w:rsidR="002C0879" w:rsidRPr="00754591">
        <w:rPr>
          <w:rFonts w:ascii="Tahoma" w:hAnsi="Tahoma" w:cs="Tahoma"/>
          <w:b/>
          <w:bCs/>
          <w:sz w:val="22"/>
          <w:szCs w:val="22"/>
        </w:rPr>
        <w:t>ucted less frequent</w:t>
      </w:r>
      <w:r w:rsidRPr="00754591">
        <w:rPr>
          <w:rFonts w:ascii="Tahoma" w:hAnsi="Tahoma" w:cs="Tahoma"/>
          <w:b/>
          <w:bCs/>
          <w:sz w:val="22"/>
          <w:szCs w:val="22"/>
        </w:rPr>
        <w:t>ly, as well as any technical or legal obstacles to reducing burden.</w:t>
      </w:r>
    </w:p>
    <w:p w:rsidR="006F798F" w:rsidRDefault="005C41A9" w:rsidP="005C41A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C41A9">
        <w:rPr>
          <w:rFonts w:ascii="Tahoma" w:hAnsi="Tahoma" w:cs="Tahoma"/>
          <w:sz w:val="22"/>
          <w:szCs w:val="22"/>
        </w:rPr>
        <w:t xml:space="preserve">The Forest Service </w:t>
      </w:r>
      <w:r w:rsidR="00677FCE">
        <w:rPr>
          <w:rFonts w:ascii="Tahoma" w:hAnsi="Tahoma" w:cs="Tahoma"/>
          <w:sz w:val="22"/>
          <w:szCs w:val="22"/>
        </w:rPr>
        <w:t>was</w:t>
      </w:r>
      <w:r>
        <w:rPr>
          <w:rFonts w:ascii="Tahoma" w:hAnsi="Tahoma" w:cs="Tahoma"/>
          <w:sz w:val="22"/>
          <w:szCs w:val="22"/>
        </w:rPr>
        <w:t xml:space="preserve"> directed to promulgate regulation establishing a pre</w:t>
      </w:r>
      <w:r w:rsidR="00FB3834">
        <w:rPr>
          <w:rFonts w:ascii="Tahoma" w:hAnsi="Tahoma" w:cs="Tahoma"/>
          <w:sz w:val="22"/>
          <w:szCs w:val="22"/>
        </w:rPr>
        <w:t>-</w:t>
      </w:r>
      <w:r>
        <w:rPr>
          <w:rFonts w:ascii="Tahoma" w:hAnsi="Tahoma" w:cs="Tahoma"/>
          <w:sz w:val="22"/>
          <w:szCs w:val="22"/>
        </w:rPr>
        <w:t>decisional objection process for 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Pr>
          <w:rFonts w:ascii="Tahoma" w:hAnsi="Tahoma" w:cs="Tahoma"/>
          <w:sz w:val="22"/>
          <w:szCs w:val="22"/>
        </w:rPr>
        <w:t xml:space="preserve">management plans, and documented with a Record of Decision or Decision Notice.  </w:t>
      </w:r>
      <w:r w:rsidR="00BC3A20">
        <w:rPr>
          <w:rFonts w:ascii="Tahoma" w:hAnsi="Tahoma" w:cs="Tahoma"/>
          <w:sz w:val="22"/>
          <w:szCs w:val="22"/>
        </w:rPr>
        <w:t>The agency could not meet the intent of Congress without collecting this information.</w:t>
      </w:r>
    </w:p>
    <w:p w:rsidR="00C37CD8" w:rsidRPr="00754591" w:rsidRDefault="006F798F" w:rsidP="006F798F">
      <w:pPr>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sz w:val="22"/>
          <w:szCs w:val="22"/>
        </w:rPr>
        <w:t xml:space="preserve"> </w:t>
      </w:r>
      <w:r w:rsidR="00C37CD8" w:rsidRPr="00754591">
        <w:rPr>
          <w:rFonts w:ascii="Tahoma" w:hAnsi="Tahoma" w:cs="Tahoma"/>
          <w:b/>
          <w:bCs/>
          <w:sz w:val="22"/>
          <w:szCs w:val="22"/>
        </w:rPr>
        <w:t>Explain any special circumstances that would cause an information collecti</w:t>
      </w:r>
      <w:r w:rsidR="00C37CD8" w:rsidRPr="00754591">
        <w:rPr>
          <w:rFonts w:ascii="Tahoma" w:hAnsi="Tahoma" w:cs="Tahoma"/>
          <w:b/>
          <w:bCs/>
          <w:sz w:val="22"/>
          <w:szCs w:val="22"/>
        </w:rPr>
        <w:softHyphen/>
        <w:t>on to be con</w:t>
      </w:r>
      <w:r w:rsidR="00C37CD8" w:rsidRPr="00754591">
        <w:rPr>
          <w:rFonts w:ascii="Tahoma" w:hAnsi="Tahoma" w:cs="Tahoma"/>
          <w:b/>
          <w:bCs/>
          <w:sz w:val="22"/>
          <w:szCs w:val="22"/>
        </w:rPr>
        <w:softHyphen/>
        <w:t>ducted in a manner:</w:t>
      </w:r>
    </w:p>
    <w:p w:rsidR="00C37CD8" w:rsidRPr="00754591"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report informa</w:t>
      </w:r>
      <w:r w:rsidR="00C37CD8" w:rsidRPr="00754591">
        <w:rPr>
          <w:rFonts w:ascii="Tahoma" w:hAnsi="Tahoma" w:cs="Tahoma"/>
          <w:b/>
          <w:bCs/>
          <w:sz w:val="22"/>
          <w:szCs w:val="22"/>
        </w:rPr>
        <w:softHyphen/>
        <w:t>tion to the agency more often than quarterly;</w:t>
      </w:r>
    </w:p>
    <w:p w:rsidR="00B7427C" w:rsidRPr="00754591" w:rsidRDefault="00B7427C" w:rsidP="00706258">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754591">
        <w:rPr>
          <w:rFonts w:ascii="Tahoma" w:hAnsi="Tahoma" w:cs="Tahoma"/>
          <w:bCs/>
          <w:sz w:val="22"/>
          <w:szCs w:val="22"/>
        </w:rPr>
        <w:t>There is no limit to the number of projects that a respondent may voluntarily respond to in any given period.</w:t>
      </w:r>
      <w:r>
        <w:rPr>
          <w:rFonts w:ascii="Tahoma" w:hAnsi="Tahoma" w:cs="Tahoma"/>
          <w:bCs/>
          <w:sz w:val="22"/>
          <w:szCs w:val="22"/>
        </w:rPr>
        <w:t xml:space="preserve"> </w:t>
      </w:r>
    </w:p>
    <w:p w:rsidR="00655BD1" w:rsidRDefault="00655BD1" w:rsidP="00123CDD">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Pr>
          <w:rFonts w:ascii="Tahoma" w:hAnsi="Tahoma" w:cs="Tahoma"/>
          <w:sz w:val="22"/>
          <w:szCs w:val="22"/>
        </w:rPr>
        <w:t>The currently approved information collection is specific to projects authorized under the</w:t>
      </w:r>
      <w:r w:rsidR="006A342D" w:rsidRPr="0019207D">
        <w:rPr>
          <w:rFonts w:ascii="Tahoma" w:hAnsi="Tahoma" w:cs="Tahoma"/>
          <w:sz w:val="22"/>
          <w:szCs w:val="22"/>
        </w:rPr>
        <w:t xml:space="preserve"> Healthy Forests Restoration Act </w:t>
      </w:r>
      <w:r w:rsidR="006A342D">
        <w:rPr>
          <w:rFonts w:ascii="Tahoma" w:hAnsi="Tahoma" w:cs="Tahoma"/>
          <w:sz w:val="22"/>
          <w:szCs w:val="22"/>
        </w:rPr>
        <w:t xml:space="preserve">(HFRA) </w:t>
      </w:r>
      <w:r w:rsidR="006A342D" w:rsidRPr="0019207D">
        <w:rPr>
          <w:rFonts w:ascii="Tahoma" w:hAnsi="Tahoma" w:cs="Tahoma"/>
          <w:sz w:val="22"/>
          <w:szCs w:val="22"/>
        </w:rPr>
        <w:t xml:space="preserve">of 2003 </w:t>
      </w:r>
      <w:r>
        <w:rPr>
          <w:rFonts w:ascii="Tahoma" w:hAnsi="Tahoma" w:cs="Tahoma"/>
          <w:sz w:val="22"/>
          <w:szCs w:val="22"/>
        </w:rPr>
        <w:t xml:space="preserve">which was signed into law </w:t>
      </w:r>
      <w:r w:rsidR="006A342D" w:rsidRPr="0019207D">
        <w:rPr>
          <w:rFonts w:ascii="Tahoma" w:hAnsi="Tahoma" w:cs="Tahoma"/>
          <w:sz w:val="22"/>
          <w:szCs w:val="22"/>
        </w:rPr>
        <w:t xml:space="preserve">to reduce the threat of destructive wildfires while upholding environmental standards and encouraging early public input during review and planning processes. </w:t>
      </w:r>
    </w:p>
    <w:p w:rsidR="00B7427C" w:rsidRDefault="00560450" w:rsidP="00123CDD">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sz w:val="22"/>
          <w:szCs w:val="22"/>
        </w:rPr>
        <w:t>The revision of this</w:t>
      </w:r>
      <w:r w:rsidRPr="00560450">
        <w:rPr>
          <w:rFonts w:ascii="Tahoma" w:hAnsi="Tahoma" w:cs="Tahoma"/>
          <w:sz w:val="22"/>
          <w:szCs w:val="22"/>
        </w:rPr>
        <w:t xml:space="preserve"> information collection is in support of a </w:t>
      </w:r>
      <w:r w:rsidR="00731B87">
        <w:rPr>
          <w:rFonts w:ascii="Tahoma" w:hAnsi="Tahoma" w:cs="Tahoma"/>
          <w:sz w:val="22"/>
          <w:szCs w:val="22"/>
        </w:rPr>
        <w:t>final</w:t>
      </w:r>
      <w:r w:rsidRPr="00560450">
        <w:rPr>
          <w:rFonts w:ascii="Tahoma" w:hAnsi="Tahoma" w:cs="Tahoma"/>
          <w:sz w:val="22"/>
          <w:szCs w:val="22"/>
        </w:rPr>
        <w:t xml:space="preserve"> rule revising the current 218 regulation that would replace the sections of the Appeal Reform Act covering Right to Appeal, Disposition of an Appeal, and Stay with section 105(a) of the HFRA, which directs the Secretary to establish a pre</w:t>
      </w:r>
      <w:r w:rsidR="00FB3834">
        <w:rPr>
          <w:rFonts w:ascii="Tahoma" w:hAnsi="Tahoma" w:cs="Tahoma"/>
          <w:sz w:val="22"/>
          <w:szCs w:val="22"/>
        </w:rPr>
        <w:t>-</w:t>
      </w:r>
      <w:r w:rsidRPr="00560450">
        <w:rPr>
          <w:rFonts w:ascii="Tahoma" w:hAnsi="Tahoma" w:cs="Tahoma"/>
          <w:sz w:val="22"/>
          <w:szCs w:val="22"/>
        </w:rPr>
        <w:t>decisional objection process.  Section 428 of the Consolidated Appropriations Act for 2012 directs the agency to establish a pre</w:t>
      </w:r>
      <w:r w:rsidR="00FB3834">
        <w:rPr>
          <w:rFonts w:ascii="Tahoma" w:hAnsi="Tahoma" w:cs="Tahoma"/>
          <w:sz w:val="22"/>
          <w:szCs w:val="22"/>
        </w:rPr>
        <w:t>-</w:t>
      </w:r>
      <w:r w:rsidRPr="00560450">
        <w:rPr>
          <w:rFonts w:ascii="Tahoma" w:hAnsi="Tahoma" w:cs="Tahoma"/>
          <w:sz w:val="22"/>
          <w:szCs w:val="22"/>
        </w:rPr>
        <w:t>decisional objection process for projects and activities implementing</w:t>
      </w:r>
      <w:r>
        <w:rPr>
          <w:rFonts w:ascii="Tahoma" w:hAnsi="Tahoma" w:cs="Tahoma"/>
          <w:sz w:val="22"/>
          <w:szCs w:val="22"/>
        </w:rPr>
        <w:t xml:space="preserve"> land and resource management </w:t>
      </w:r>
      <w:r w:rsidRPr="00560450">
        <w:rPr>
          <w:rFonts w:ascii="Tahoma" w:hAnsi="Tahoma" w:cs="Tahoma"/>
          <w:sz w:val="22"/>
          <w:szCs w:val="22"/>
        </w:rPr>
        <w:t>plans</w:t>
      </w:r>
      <w:r>
        <w:rPr>
          <w:rFonts w:ascii="Tahoma" w:hAnsi="Tahoma" w:cs="Tahoma"/>
          <w:sz w:val="22"/>
          <w:szCs w:val="22"/>
        </w:rPr>
        <w:t xml:space="preserve">, documented with a Record of Decision or Decision </w:t>
      </w:r>
      <w:r w:rsidR="00736770">
        <w:rPr>
          <w:rFonts w:ascii="Tahoma" w:hAnsi="Tahoma" w:cs="Tahoma"/>
          <w:sz w:val="22"/>
          <w:szCs w:val="22"/>
        </w:rPr>
        <w:t>Notice</w:t>
      </w:r>
      <w:r w:rsidR="00736770" w:rsidRPr="00560450">
        <w:rPr>
          <w:rFonts w:ascii="Tahoma" w:hAnsi="Tahoma" w:cs="Tahoma"/>
          <w:sz w:val="22"/>
          <w:szCs w:val="22"/>
        </w:rPr>
        <w:t>.</w:t>
      </w:r>
      <w:r w:rsidR="00736770" w:rsidRPr="00754591">
        <w:rPr>
          <w:rFonts w:ascii="Tahoma" w:hAnsi="Tahoma" w:cs="Tahoma"/>
          <w:bCs/>
          <w:sz w:val="22"/>
          <w:szCs w:val="22"/>
        </w:rPr>
        <w:t xml:space="preserve"> </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prepare a writ</w:t>
      </w:r>
      <w:r w:rsidR="00C37CD8" w:rsidRPr="00754591">
        <w:rPr>
          <w:rFonts w:ascii="Tahoma" w:hAnsi="Tahoma" w:cs="Tahoma"/>
          <w:b/>
          <w:bCs/>
          <w:sz w:val="22"/>
          <w:szCs w:val="22"/>
        </w:rPr>
        <w:softHyphen/>
        <w:t>ten response to a collection of infor</w:t>
      </w:r>
      <w:r w:rsidR="00C37CD8" w:rsidRPr="00754591">
        <w:rPr>
          <w:rFonts w:ascii="Tahoma" w:hAnsi="Tahoma" w:cs="Tahoma"/>
          <w:b/>
          <w:bCs/>
          <w:sz w:val="22"/>
          <w:szCs w:val="22"/>
        </w:rPr>
        <w:softHyphen/>
      </w:r>
      <w:r w:rsidR="00C37CD8" w:rsidRPr="00754591">
        <w:rPr>
          <w:rFonts w:ascii="Tahoma" w:hAnsi="Tahoma" w:cs="Tahoma"/>
          <w:b/>
          <w:bCs/>
          <w:sz w:val="22"/>
          <w:szCs w:val="22"/>
        </w:rPr>
        <w:lastRenderedPageBreak/>
        <w:t>ma</w:t>
      </w:r>
      <w:r w:rsidR="00C37CD8" w:rsidRPr="00754591">
        <w:rPr>
          <w:rFonts w:ascii="Tahoma" w:hAnsi="Tahoma" w:cs="Tahoma"/>
          <w:b/>
          <w:bCs/>
          <w:sz w:val="22"/>
          <w:szCs w:val="22"/>
        </w:rPr>
        <w:softHyphen/>
        <w:t>tion in fewer than 30 days after receipt of it;</w:t>
      </w:r>
    </w:p>
    <w:p w:rsidR="00ED4352" w:rsidRPr="00ED4352" w:rsidRDefault="00ED4352" w:rsidP="00ED4352">
      <w:pPr>
        <w:pStyle w:val="ListParagraph"/>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65"/>
        <w:jc w:val="both"/>
        <w:rPr>
          <w:rFonts w:ascii="Tahoma" w:hAnsi="Tahoma" w:cs="Tahoma"/>
          <w:sz w:val="22"/>
          <w:szCs w:val="22"/>
        </w:rPr>
      </w:pPr>
      <w:r w:rsidRPr="00ED4352">
        <w:rPr>
          <w:rFonts w:ascii="Tahoma" w:hAnsi="Tahoma" w:cs="Tahoma"/>
          <w:sz w:val="22"/>
          <w:szCs w:val="22"/>
        </w:rPr>
        <w:t>The final rule states that for an E</w:t>
      </w:r>
      <w:r>
        <w:rPr>
          <w:rFonts w:ascii="Tahoma" w:hAnsi="Tahoma" w:cs="Tahoma"/>
          <w:sz w:val="22"/>
          <w:szCs w:val="22"/>
        </w:rPr>
        <w:t xml:space="preserve">nvironmental </w:t>
      </w:r>
      <w:r w:rsidRPr="00ED4352">
        <w:rPr>
          <w:rFonts w:ascii="Tahoma" w:hAnsi="Tahoma" w:cs="Tahoma"/>
          <w:sz w:val="22"/>
          <w:szCs w:val="22"/>
        </w:rPr>
        <w:t>A</w:t>
      </w:r>
      <w:r>
        <w:rPr>
          <w:rFonts w:ascii="Tahoma" w:hAnsi="Tahoma" w:cs="Tahoma"/>
          <w:sz w:val="22"/>
          <w:szCs w:val="22"/>
        </w:rPr>
        <w:t>ssessment,</w:t>
      </w:r>
      <w:r w:rsidRPr="00ED4352">
        <w:rPr>
          <w:rFonts w:ascii="Tahoma" w:hAnsi="Tahoma" w:cs="Tahoma"/>
          <w:sz w:val="22"/>
          <w:szCs w:val="22"/>
        </w:rPr>
        <w:t xml:space="preserve"> comments on the proposed project or activity will be accepted for 30 days following the date of publication of the </w:t>
      </w:r>
      <w:r>
        <w:rPr>
          <w:rFonts w:ascii="Tahoma" w:hAnsi="Tahoma" w:cs="Tahoma"/>
          <w:sz w:val="22"/>
          <w:szCs w:val="22"/>
        </w:rPr>
        <w:t>legal notice, and 45 days for a</w:t>
      </w:r>
      <w:r w:rsidRPr="00ED4352">
        <w:rPr>
          <w:rFonts w:ascii="Tahoma" w:hAnsi="Tahoma" w:cs="Tahoma"/>
          <w:sz w:val="22"/>
          <w:szCs w:val="22"/>
        </w:rPr>
        <w:t xml:space="preserve"> draft E</w:t>
      </w:r>
      <w:r>
        <w:rPr>
          <w:rFonts w:ascii="Tahoma" w:hAnsi="Tahoma" w:cs="Tahoma"/>
          <w:sz w:val="22"/>
          <w:szCs w:val="22"/>
        </w:rPr>
        <w:t xml:space="preserve">nvironmental </w:t>
      </w:r>
      <w:r w:rsidRPr="00ED4352">
        <w:rPr>
          <w:rFonts w:ascii="Tahoma" w:hAnsi="Tahoma" w:cs="Tahoma"/>
          <w:sz w:val="22"/>
          <w:szCs w:val="22"/>
        </w:rPr>
        <w:t>I</w:t>
      </w:r>
      <w:r>
        <w:rPr>
          <w:rFonts w:ascii="Tahoma" w:hAnsi="Tahoma" w:cs="Tahoma"/>
          <w:sz w:val="22"/>
          <w:szCs w:val="22"/>
        </w:rPr>
        <w:t xml:space="preserve">mpact </w:t>
      </w:r>
      <w:r w:rsidRPr="00ED4352">
        <w:rPr>
          <w:rFonts w:ascii="Tahoma" w:hAnsi="Tahoma" w:cs="Tahoma"/>
          <w:sz w:val="22"/>
          <w:szCs w:val="22"/>
        </w:rPr>
        <w:t>S</w:t>
      </w:r>
      <w:r>
        <w:rPr>
          <w:rFonts w:ascii="Tahoma" w:hAnsi="Tahoma" w:cs="Tahoma"/>
          <w:sz w:val="22"/>
          <w:szCs w:val="22"/>
        </w:rPr>
        <w:t>tatement</w:t>
      </w:r>
      <w:r w:rsidRPr="00ED4352">
        <w:rPr>
          <w:rFonts w:ascii="Tahoma" w:hAnsi="Tahoma" w:cs="Tahoma"/>
          <w:sz w:val="22"/>
          <w:szCs w:val="22"/>
        </w:rPr>
        <w:t>.</w:t>
      </w:r>
    </w:p>
    <w:p w:rsidR="00C37CD8" w:rsidRPr="00754591"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submit more than an original and two copies of any docu</w:t>
      </w:r>
      <w:r w:rsidR="00C37CD8" w:rsidRPr="00754591">
        <w:rPr>
          <w:rFonts w:ascii="Tahoma" w:hAnsi="Tahoma" w:cs="Tahoma"/>
          <w:b/>
          <w:bCs/>
          <w:sz w:val="22"/>
          <w:szCs w:val="22"/>
        </w:rPr>
        <w:softHyphen/>
        <w:t>ment;</w:t>
      </w:r>
    </w:p>
    <w:p w:rsidR="00C37CD8" w:rsidRPr="00754591"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retain re</w:t>
      </w:r>
      <w:r w:rsidR="00C37CD8" w:rsidRPr="00754591">
        <w:rPr>
          <w:rFonts w:ascii="Tahoma" w:hAnsi="Tahoma" w:cs="Tahoma"/>
          <w:b/>
          <w:bCs/>
          <w:sz w:val="22"/>
          <w:szCs w:val="22"/>
        </w:rPr>
        <w:softHyphen/>
        <w:t>cords, other than health, medical, governm</w:t>
      </w:r>
      <w:r w:rsidR="00C37CD8" w:rsidRPr="00754591">
        <w:rPr>
          <w:rFonts w:ascii="Tahoma" w:hAnsi="Tahoma" w:cs="Tahoma"/>
          <w:b/>
          <w:bCs/>
          <w:sz w:val="22"/>
          <w:szCs w:val="22"/>
        </w:rPr>
        <w:softHyphen/>
        <w:t>ent contract, grant-in-aid, or tax records for more than three years;</w:t>
      </w:r>
    </w:p>
    <w:p w:rsidR="00C37CD8" w:rsidRPr="00754591"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I</w:t>
      </w:r>
      <w:r w:rsidR="00C37CD8" w:rsidRPr="00754591">
        <w:rPr>
          <w:rFonts w:ascii="Tahoma" w:hAnsi="Tahoma" w:cs="Tahoma"/>
          <w:b/>
          <w:bCs/>
          <w:sz w:val="22"/>
          <w:szCs w:val="22"/>
        </w:rPr>
        <w:t>n connection with a statisti</w:t>
      </w:r>
      <w:r w:rsidR="00C37CD8" w:rsidRPr="00754591">
        <w:rPr>
          <w:rFonts w:ascii="Tahoma" w:hAnsi="Tahoma" w:cs="Tahoma"/>
          <w:b/>
          <w:bCs/>
          <w:sz w:val="22"/>
          <w:szCs w:val="22"/>
        </w:rPr>
        <w:softHyphen/>
        <w:t>cal sur</w:t>
      </w:r>
      <w:r w:rsidR="00C37CD8" w:rsidRPr="00754591">
        <w:rPr>
          <w:rFonts w:ascii="Tahoma" w:hAnsi="Tahoma" w:cs="Tahoma"/>
          <w:b/>
          <w:bCs/>
          <w:sz w:val="22"/>
          <w:szCs w:val="22"/>
        </w:rPr>
        <w:softHyphen/>
        <w:t>vey, that is not de</w:t>
      </w:r>
      <w:r w:rsidR="00C37CD8" w:rsidRPr="00754591">
        <w:rPr>
          <w:rFonts w:ascii="Tahoma" w:hAnsi="Tahoma" w:cs="Tahoma"/>
          <w:b/>
          <w:bCs/>
          <w:sz w:val="22"/>
          <w:szCs w:val="22"/>
        </w:rPr>
        <w:softHyphen/>
        <w:t>signed to produce valid and reli</w:t>
      </w:r>
      <w:r w:rsidR="00C37CD8" w:rsidRPr="00754591">
        <w:rPr>
          <w:rFonts w:ascii="Tahoma" w:hAnsi="Tahoma" w:cs="Tahoma"/>
          <w:b/>
          <w:bCs/>
          <w:sz w:val="22"/>
          <w:szCs w:val="22"/>
        </w:rPr>
        <w:softHyphen/>
        <w:t>able results that can be general</w:t>
      </w:r>
      <w:r w:rsidR="00C37CD8" w:rsidRPr="00754591">
        <w:rPr>
          <w:rFonts w:ascii="Tahoma" w:hAnsi="Tahoma" w:cs="Tahoma"/>
          <w:b/>
          <w:bCs/>
          <w:sz w:val="22"/>
          <w:szCs w:val="22"/>
        </w:rPr>
        <w:softHyphen/>
        <w:t>ized to the uni</w:t>
      </w:r>
      <w:r w:rsidR="00C37CD8" w:rsidRPr="00754591">
        <w:rPr>
          <w:rFonts w:ascii="Tahoma" w:hAnsi="Tahoma" w:cs="Tahoma"/>
          <w:b/>
          <w:bCs/>
          <w:sz w:val="22"/>
          <w:szCs w:val="22"/>
        </w:rPr>
        <w:softHyphen/>
        <w:t>verse of study;</w:t>
      </w:r>
    </w:p>
    <w:p w:rsidR="00C37CD8" w:rsidRPr="00754591"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the use of a statis</w:t>
      </w:r>
      <w:r w:rsidR="00C37CD8" w:rsidRPr="00754591">
        <w:rPr>
          <w:rFonts w:ascii="Tahoma" w:hAnsi="Tahoma" w:cs="Tahoma"/>
          <w:b/>
          <w:bCs/>
          <w:sz w:val="22"/>
          <w:szCs w:val="22"/>
        </w:rPr>
        <w:softHyphen/>
        <w:t>tical data classi</w:t>
      </w:r>
      <w:r w:rsidR="00C37CD8" w:rsidRPr="00754591">
        <w:rPr>
          <w:rFonts w:ascii="Tahoma" w:hAnsi="Tahoma" w:cs="Tahoma"/>
          <w:b/>
          <w:bCs/>
          <w:sz w:val="22"/>
          <w:szCs w:val="22"/>
        </w:rPr>
        <w:softHyphen/>
        <w:t>fication that has not been re</w:t>
      </w:r>
      <w:r w:rsidR="00C37CD8" w:rsidRPr="00754591">
        <w:rPr>
          <w:rFonts w:ascii="Tahoma" w:hAnsi="Tahoma" w:cs="Tahoma"/>
          <w:b/>
          <w:bCs/>
          <w:sz w:val="22"/>
          <w:szCs w:val="22"/>
        </w:rPr>
        <w:softHyphen/>
        <w:t>vie</w:t>
      </w:r>
      <w:r w:rsidR="00C37CD8" w:rsidRPr="00754591">
        <w:rPr>
          <w:rFonts w:ascii="Tahoma" w:hAnsi="Tahoma" w:cs="Tahoma"/>
          <w:b/>
          <w:bCs/>
          <w:sz w:val="22"/>
          <w:szCs w:val="22"/>
        </w:rPr>
        <w:softHyphen/>
        <w:t xml:space="preserve">wed and approved by OMB; </w:t>
      </w:r>
    </w:p>
    <w:p w:rsidR="00C37CD8" w:rsidRPr="00754591"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754591">
        <w:rPr>
          <w:rFonts w:ascii="Tahoma" w:hAnsi="Tahoma" w:cs="Tahoma"/>
          <w:b/>
          <w:bCs/>
          <w:sz w:val="22"/>
          <w:szCs w:val="22"/>
        </w:rPr>
        <w:t>T</w:t>
      </w:r>
      <w:r w:rsidR="00C37CD8" w:rsidRPr="00754591">
        <w:rPr>
          <w:rFonts w:ascii="Tahoma" w:hAnsi="Tahoma" w:cs="Tahoma"/>
          <w:b/>
          <w:bCs/>
          <w:sz w:val="22"/>
          <w:szCs w:val="22"/>
        </w:rPr>
        <w:t>ha</w:t>
      </w:r>
      <w:r w:rsidRPr="00754591">
        <w:rPr>
          <w:rFonts w:ascii="Tahoma" w:hAnsi="Tahoma" w:cs="Tahoma"/>
          <w:b/>
          <w:bCs/>
          <w:sz w:val="22"/>
          <w:szCs w:val="22"/>
        </w:rPr>
        <w:t>t includes a pledge of confidentiali</w:t>
      </w:r>
      <w:r w:rsidR="00C37CD8" w:rsidRPr="00754591">
        <w:rPr>
          <w:rFonts w:ascii="Tahoma" w:hAnsi="Tahoma" w:cs="Tahoma"/>
          <w:b/>
          <w:bCs/>
          <w:sz w:val="22"/>
          <w:szCs w:val="22"/>
        </w:rPr>
        <w:t>ty that is not supported by au</w:t>
      </w:r>
      <w:r w:rsidR="00C37CD8" w:rsidRPr="00754591">
        <w:rPr>
          <w:rFonts w:ascii="Tahoma" w:hAnsi="Tahoma" w:cs="Tahoma"/>
          <w:b/>
          <w:bCs/>
          <w:sz w:val="22"/>
          <w:szCs w:val="22"/>
        </w:rPr>
        <w:softHyphen/>
        <w:t>thority estab</w:t>
      </w:r>
      <w:r w:rsidR="00C37CD8" w:rsidRPr="00754591">
        <w:rPr>
          <w:rFonts w:ascii="Tahoma" w:hAnsi="Tahoma" w:cs="Tahoma"/>
          <w:b/>
          <w:bCs/>
          <w:sz w:val="22"/>
          <w:szCs w:val="22"/>
        </w:rPr>
        <w:softHyphen/>
        <w:t>lished in statute or regu</w:t>
      </w:r>
      <w:r w:rsidR="00C37CD8" w:rsidRPr="00754591">
        <w:rPr>
          <w:rFonts w:ascii="Tahoma" w:hAnsi="Tahoma" w:cs="Tahoma"/>
          <w:b/>
          <w:bCs/>
          <w:sz w:val="22"/>
          <w:szCs w:val="22"/>
        </w:rPr>
        <w:softHyphen/>
        <w:t>la</w:t>
      </w:r>
      <w:r w:rsidR="00C37CD8" w:rsidRPr="00754591">
        <w:rPr>
          <w:rFonts w:ascii="Tahoma" w:hAnsi="Tahoma" w:cs="Tahoma"/>
          <w:b/>
          <w:bCs/>
          <w:sz w:val="22"/>
          <w:szCs w:val="22"/>
        </w:rPr>
        <w:softHyphen/>
        <w:t>tion, that is not sup</w:t>
      </w:r>
      <w:r w:rsidR="00C37CD8" w:rsidRPr="00754591">
        <w:rPr>
          <w:rFonts w:ascii="Tahoma" w:hAnsi="Tahoma" w:cs="Tahoma"/>
          <w:b/>
          <w:bCs/>
          <w:sz w:val="22"/>
          <w:szCs w:val="22"/>
        </w:rPr>
        <w:softHyphen/>
        <w:t>ported by dis</w:t>
      </w:r>
      <w:r w:rsidR="00C37CD8" w:rsidRPr="00754591">
        <w:rPr>
          <w:rFonts w:ascii="Tahoma" w:hAnsi="Tahoma" w:cs="Tahoma"/>
          <w:b/>
          <w:bCs/>
          <w:sz w:val="22"/>
          <w:szCs w:val="22"/>
        </w:rPr>
        <w:softHyphen/>
        <w:t>closure and data security policies that are consistent with the pledge, or which unneces</w:t>
      </w:r>
      <w:r w:rsidR="00C37CD8" w:rsidRPr="00754591">
        <w:rPr>
          <w:rFonts w:ascii="Tahoma" w:hAnsi="Tahoma" w:cs="Tahoma"/>
          <w:b/>
          <w:bCs/>
          <w:sz w:val="22"/>
          <w:szCs w:val="22"/>
        </w:rPr>
        <w:softHyphen/>
        <w:t>sarily impedes shar</w:t>
      </w:r>
      <w:r w:rsidR="00C37CD8" w:rsidRPr="00754591">
        <w:rPr>
          <w:rFonts w:ascii="Tahoma" w:hAnsi="Tahoma" w:cs="Tahoma"/>
          <w:b/>
          <w:bCs/>
          <w:sz w:val="22"/>
          <w:szCs w:val="22"/>
        </w:rPr>
        <w:softHyphen/>
        <w:t>ing of data with other agencies for com</w:t>
      </w:r>
      <w:r w:rsidR="00C37CD8" w:rsidRPr="00754591">
        <w:rPr>
          <w:rFonts w:ascii="Tahoma" w:hAnsi="Tahoma" w:cs="Tahoma"/>
          <w:b/>
          <w:bCs/>
          <w:sz w:val="22"/>
          <w:szCs w:val="22"/>
        </w:rPr>
        <w:softHyphen/>
        <w:t>patible confiden</w:t>
      </w:r>
      <w:r w:rsidR="00C37CD8" w:rsidRPr="00754591">
        <w:rPr>
          <w:rFonts w:ascii="Tahoma" w:hAnsi="Tahoma" w:cs="Tahoma"/>
          <w:b/>
          <w:bCs/>
          <w:sz w:val="22"/>
          <w:szCs w:val="22"/>
        </w:rPr>
        <w:softHyphen/>
        <w:t>tial use; or</w:t>
      </w:r>
    </w:p>
    <w:p w:rsidR="00C37CD8" w:rsidRPr="00754591"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submit propri</w:t>
      </w:r>
      <w:r w:rsidR="00C37CD8" w:rsidRPr="00754591">
        <w:rPr>
          <w:rFonts w:ascii="Tahoma" w:hAnsi="Tahoma" w:cs="Tahoma"/>
          <w:b/>
          <w:bCs/>
          <w:sz w:val="22"/>
          <w:szCs w:val="22"/>
        </w:rPr>
        <w:softHyphen/>
        <w:t>etary trade secret, or other confidential information unless the agency can demon</w:t>
      </w:r>
      <w:r w:rsidR="00C37CD8" w:rsidRPr="00754591">
        <w:rPr>
          <w:rFonts w:ascii="Tahoma" w:hAnsi="Tahoma" w:cs="Tahoma"/>
          <w:b/>
          <w:bCs/>
          <w:sz w:val="22"/>
          <w:szCs w:val="22"/>
        </w:rPr>
        <w:softHyphen/>
        <w:t>strate that it has instituted procedures to protect the information's confidentiality to the extent permit</w:t>
      </w:r>
      <w:r w:rsidR="00C37CD8" w:rsidRPr="00754591">
        <w:rPr>
          <w:rFonts w:ascii="Tahoma" w:hAnsi="Tahoma" w:cs="Tahoma"/>
          <w:b/>
          <w:bCs/>
          <w:sz w:val="22"/>
          <w:szCs w:val="22"/>
        </w:rPr>
        <w:softHyphen/>
        <w:t>ted by law.</w:t>
      </w:r>
    </w:p>
    <w:p w:rsidR="00DC651A" w:rsidRPr="00754591" w:rsidRDefault="000E2D3B" w:rsidP="00DC651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bCs/>
          <w:sz w:val="22"/>
          <w:szCs w:val="22"/>
        </w:rPr>
        <w:t>There are no other special circumstances.  The collection of information is conducted in a manner consistent with the guidelines in 5 CFR 1320.6</w:t>
      </w:r>
      <w:r w:rsidR="004535FA" w:rsidRPr="00754591">
        <w:rPr>
          <w:rFonts w:ascii="Tahoma" w:hAnsi="Tahoma" w:cs="Tahoma"/>
          <w:bCs/>
          <w:sz w:val="22"/>
          <w:szCs w:val="22"/>
        </w:rPr>
        <w:t xml:space="preserve"> </w:t>
      </w:r>
    </w:p>
    <w:p w:rsidR="00C37CD8" w:rsidRDefault="00C37CD8"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If applicable, provide a copy and iden</w:t>
      </w:r>
      <w:r w:rsidRPr="00754591">
        <w:rPr>
          <w:rFonts w:ascii="Tahoma" w:hAnsi="Tahoma" w:cs="Tahoma"/>
          <w:b/>
          <w:bCs/>
          <w:sz w:val="22"/>
          <w:szCs w:val="22"/>
        </w:rPr>
        <w:softHyphen/>
        <w:t>tify the date and page number of publication in the Federal Register of the agency's notice, required by 5 CFR 1320.8 (d), soliciting com</w:t>
      </w:r>
      <w:r w:rsidRPr="00754591">
        <w:rPr>
          <w:rFonts w:ascii="Tahoma" w:hAnsi="Tahoma" w:cs="Tahoma"/>
          <w:b/>
          <w:bCs/>
          <w:sz w:val="22"/>
          <w:szCs w:val="22"/>
        </w:rPr>
        <w:softHyphen/>
        <w:t>ments on the information collection prior to submission to OMB. Summarize public com</w:t>
      </w:r>
      <w:r w:rsidRPr="00754591">
        <w:rPr>
          <w:rFonts w:ascii="Tahoma" w:hAnsi="Tahoma" w:cs="Tahoma"/>
          <w:b/>
          <w:bCs/>
          <w:sz w:val="22"/>
          <w:szCs w:val="22"/>
        </w:rPr>
        <w:softHyphen/>
        <w:t>ments received in response to that notice and describe actions taken by the agency in response to these comments. Specifically address com</w:t>
      </w:r>
      <w:r w:rsidRPr="00754591">
        <w:rPr>
          <w:rFonts w:ascii="Tahoma" w:hAnsi="Tahoma" w:cs="Tahoma"/>
          <w:b/>
          <w:bCs/>
          <w:sz w:val="22"/>
          <w:szCs w:val="22"/>
        </w:rPr>
        <w:softHyphen/>
        <w:t xml:space="preserve">ments received on cost and hour burden. </w:t>
      </w:r>
    </w:p>
    <w:p w:rsidR="00A0033A" w:rsidRDefault="00B22424"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A copy of the </w:t>
      </w:r>
      <w:r w:rsidR="009C7469">
        <w:rPr>
          <w:rFonts w:ascii="Tahoma" w:hAnsi="Tahoma" w:cs="Tahoma"/>
          <w:bCs/>
          <w:sz w:val="22"/>
          <w:szCs w:val="22"/>
        </w:rPr>
        <w:t>proposed rule Federal R</w:t>
      </w:r>
      <w:r w:rsidR="001D0EDD">
        <w:rPr>
          <w:rFonts w:ascii="Tahoma" w:hAnsi="Tahoma" w:cs="Tahoma"/>
          <w:bCs/>
          <w:sz w:val="22"/>
          <w:szCs w:val="22"/>
        </w:rPr>
        <w:t xml:space="preserve">egister notice has been included in the documentation packages </w:t>
      </w:r>
      <w:r w:rsidR="00D53ADB">
        <w:rPr>
          <w:rFonts w:ascii="Tahoma" w:hAnsi="Tahoma" w:cs="Tahoma"/>
          <w:bCs/>
          <w:sz w:val="22"/>
          <w:szCs w:val="22"/>
        </w:rPr>
        <w:t>as a pdf file.  The page date of publication is August 8, 2012.  The page number soliciting comments on the information collection is 47337</w:t>
      </w:r>
      <w:r w:rsidR="009C7469">
        <w:rPr>
          <w:rFonts w:ascii="Tahoma" w:hAnsi="Tahoma" w:cs="Tahoma"/>
          <w:bCs/>
          <w:sz w:val="22"/>
          <w:szCs w:val="22"/>
        </w:rPr>
        <w:t>.  A summary of the public comments received in response to t</w:t>
      </w:r>
      <w:r w:rsidR="00D53ADB">
        <w:rPr>
          <w:rFonts w:ascii="Tahoma" w:hAnsi="Tahoma" w:cs="Tahoma"/>
          <w:bCs/>
          <w:sz w:val="22"/>
          <w:szCs w:val="22"/>
        </w:rPr>
        <w:t>hat notice is attached to this document as Appendix A</w:t>
      </w:r>
      <w:r w:rsidR="009C7469">
        <w:rPr>
          <w:rFonts w:ascii="Tahoma" w:hAnsi="Tahoma" w:cs="Tahoma"/>
          <w:bCs/>
          <w:sz w:val="22"/>
          <w:szCs w:val="22"/>
        </w:rPr>
        <w:t xml:space="preserve">.  No comments were received on the information collection.  </w:t>
      </w:r>
    </w:p>
    <w:p w:rsidR="009C7469" w:rsidRPr="00D53ADB" w:rsidRDefault="00347E67"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hyperlink r:id="rId14" w:history="1">
        <w:r w:rsidR="009C7469" w:rsidRPr="00D53ADB">
          <w:rPr>
            <w:rStyle w:val="Hyperlink"/>
            <w:rFonts w:ascii="Tahoma" w:hAnsi="Tahoma" w:cs="Tahoma"/>
            <w:sz w:val="22"/>
            <w:szCs w:val="22"/>
          </w:rPr>
          <w:t>https://federalregister.gov/a/2012-19302</w:t>
        </w:r>
      </w:hyperlink>
    </w:p>
    <w:p w:rsidR="00C37CD8" w:rsidRPr="00754591"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754591">
        <w:rPr>
          <w:rFonts w:ascii="Tahoma" w:hAnsi="Tahoma" w:cs="Tahoma"/>
          <w:b/>
          <w:bCs/>
          <w:sz w:val="22"/>
          <w:szCs w:val="22"/>
        </w:rPr>
        <w:t>Describe efforts to consult with persons out</w:t>
      </w:r>
      <w:r w:rsidRPr="00754591">
        <w:rPr>
          <w:rFonts w:ascii="Tahoma" w:hAnsi="Tahoma" w:cs="Tahoma"/>
          <w:b/>
          <w:bCs/>
          <w:sz w:val="22"/>
          <w:szCs w:val="22"/>
        </w:rPr>
        <w:softHyphen/>
        <w:t>side the agency to obtain their views on the availability of data, frequency of collection, the clarity of instructions and record</w:t>
      </w:r>
      <w:r w:rsidR="00063823" w:rsidRPr="00754591">
        <w:rPr>
          <w:rFonts w:ascii="Tahoma" w:hAnsi="Tahoma" w:cs="Tahoma"/>
          <w:b/>
          <w:bCs/>
          <w:sz w:val="22"/>
          <w:szCs w:val="22"/>
        </w:rPr>
        <w:t xml:space="preserve"> </w:t>
      </w:r>
      <w:r w:rsidRPr="00754591">
        <w:rPr>
          <w:rFonts w:ascii="Tahoma" w:hAnsi="Tahoma" w:cs="Tahoma"/>
          <w:b/>
          <w:bCs/>
          <w:sz w:val="22"/>
          <w:szCs w:val="22"/>
        </w:rPr>
        <w:t>keeping, disclosure, or reporting format (if any), and on the data elements to be recorded, disclosed, or reported.</w:t>
      </w:r>
    </w:p>
    <w:p w:rsidR="00791742" w:rsidRDefault="00791742" w:rsidP="00791742">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772F85">
        <w:rPr>
          <w:rFonts w:ascii="Tahoma" w:hAnsi="Tahoma" w:cs="Tahoma"/>
          <w:sz w:val="22"/>
          <w:szCs w:val="22"/>
        </w:rPr>
        <w:t xml:space="preserve">For various reasons the agency has not issued many decisions </w:t>
      </w:r>
      <w:r w:rsidR="004E4743">
        <w:rPr>
          <w:rFonts w:ascii="Tahoma" w:hAnsi="Tahoma" w:cs="Tahoma"/>
          <w:sz w:val="22"/>
          <w:szCs w:val="22"/>
        </w:rPr>
        <w:t>that are</w:t>
      </w:r>
      <w:r w:rsidRPr="00772F85">
        <w:rPr>
          <w:rFonts w:ascii="Tahoma" w:hAnsi="Tahoma" w:cs="Tahoma"/>
          <w:sz w:val="22"/>
          <w:szCs w:val="22"/>
        </w:rPr>
        <w:t xml:space="preserve"> subject to the pre</w:t>
      </w:r>
      <w:r w:rsidR="00FB3834">
        <w:rPr>
          <w:rFonts w:ascii="Tahoma" w:hAnsi="Tahoma" w:cs="Tahoma"/>
          <w:sz w:val="22"/>
          <w:szCs w:val="22"/>
        </w:rPr>
        <w:t>-</w:t>
      </w:r>
      <w:r w:rsidRPr="00772F85">
        <w:rPr>
          <w:rFonts w:ascii="Tahoma" w:hAnsi="Tahoma" w:cs="Tahoma"/>
          <w:sz w:val="22"/>
          <w:szCs w:val="22"/>
        </w:rPr>
        <w:t xml:space="preserve">decisional objection process.  </w:t>
      </w:r>
      <w:r w:rsidR="004E4743">
        <w:rPr>
          <w:rFonts w:ascii="Tahoma" w:hAnsi="Tahoma" w:cs="Tahoma"/>
          <w:sz w:val="22"/>
          <w:szCs w:val="22"/>
        </w:rPr>
        <w:t xml:space="preserve">Therefore </w:t>
      </w:r>
      <w:r w:rsidRPr="00772F85">
        <w:rPr>
          <w:rFonts w:ascii="Tahoma" w:hAnsi="Tahoma" w:cs="Tahoma"/>
          <w:sz w:val="22"/>
          <w:szCs w:val="22"/>
        </w:rPr>
        <w:t>th</w:t>
      </w:r>
      <w:r w:rsidR="004E4743">
        <w:rPr>
          <w:rFonts w:ascii="Tahoma" w:hAnsi="Tahoma" w:cs="Tahoma"/>
          <w:sz w:val="22"/>
          <w:szCs w:val="22"/>
        </w:rPr>
        <w:t xml:space="preserve">e agency believes it would be </w:t>
      </w:r>
      <w:r w:rsidRPr="00772F85">
        <w:rPr>
          <w:rFonts w:ascii="Tahoma" w:hAnsi="Tahoma" w:cs="Tahoma"/>
          <w:sz w:val="22"/>
          <w:szCs w:val="22"/>
        </w:rPr>
        <w:t xml:space="preserve">appropriate to consult with people outside the Federal government to obtain their views on </w:t>
      </w:r>
      <w:r w:rsidR="004E4743">
        <w:rPr>
          <w:rFonts w:ascii="Tahoma" w:hAnsi="Tahoma" w:cs="Tahoma"/>
          <w:sz w:val="22"/>
          <w:szCs w:val="22"/>
        </w:rPr>
        <w:t xml:space="preserve">their experience with the </w:t>
      </w:r>
      <w:r w:rsidR="00306F03">
        <w:rPr>
          <w:rFonts w:ascii="Tahoma" w:hAnsi="Tahoma" w:cs="Tahoma"/>
          <w:sz w:val="22"/>
          <w:szCs w:val="22"/>
        </w:rPr>
        <w:t xml:space="preserve">36 CFR </w:t>
      </w:r>
      <w:r w:rsidR="004E4743">
        <w:rPr>
          <w:rFonts w:ascii="Tahoma" w:hAnsi="Tahoma" w:cs="Tahoma"/>
          <w:sz w:val="22"/>
          <w:szCs w:val="22"/>
        </w:rPr>
        <w:t>215 Appeal Process.</w:t>
      </w:r>
    </w:p>
    <w:p w:rsidR="00791742" w:rsidRPr="00772F85" w:rsidRDefault="004E4743" w:rsidP="00791742">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lastRenderedPageBreak/>
        <w:t xml:space="preserve">The </w:t>
      </w:r>
      <w:r w:rsidR="00306F03">
        <w:rPr>
          <w:rFonts w:ascii="Tahoma" w:hAnsi="Tahoma" w:cs="Tahoma"/>
          <w:sz w:val="22"/>
          <w:szCs w:val="22"/>
        </w:rPr>
        <w:t xml:space="preserve">36 CFR </w:t>
      </w:r>
      <w:r>
        <w:rPr>
          <w:rFonts w:ascii="Tahoma" w:hAnsi="Tahoma" w:cs="Tahoma"/>
          <w:sz w:val="22"/>
          <w:szCs w:val="22"/>
        </w:rPr>
        <w:t xml:space="preserve">215 Appeal process </w:t>
      </w:r>
      <w:r w:rsidR="00791742" w:rsidRPr="00772F85">
        <w:rPr>
          <w:rFonts w:ascii="Tahoma" w:hAnsi="Tahoma" w:cs="Tahoma"/>
          <w:sz w:val="22"/>
          <w:szCs w:val="22"/>
        </w:rPr>
        <w:t>contain</w:t>
      </w:r>
      <w:r>
        <w:rPr>
          <w:rFonts w:ascii="Tahoma" w:hAnsi="Tahoma" w:cs="Tahoma"/>
          <w:sz w:val="22"/>
          <w:szCs w:val="22"/>
        </w:rPr>
        <w:t>s similar needed information as the objection process such as</w:t>
      </w:r>
      <w:r w:rsidR="00791742" w:rsidRPr="00772F85">
        <w:rPr>
          <w:rFonts w:ascii="Tahoma" w:hAnsi="Tahoma" w:cs="Tahoma"/>
          <w:sz w:val="22"/>
          <w:szCs w:val="22"/>
        </w:rPr>
        <w:t xml:space="preserve"> the name, mailing address, and telephone number of the person filing the </w:t>
      </w:r>
      <w:r>
        <w:rPr>
          <w:rFonts w:ascii="Tahoma" w:hAnsi="Tahoma" w:cs="Tahoma"/>
          <w:sz w:val="22"/>
          <w:szCs w:val="22"/>
        </w:rPr>
        <w:t>appeal/</w:t>
      </w:r>
      <w:r w:rsidR="00791742" w:rsidRPr="00772F85">
        <w:rPr>
          <w:rFonts w:ascii="Tahoma" w:hAnsi="Tahoma" w:cs="Tahoma"/>
          <w:sz w:val="22"/>
          <w:szCs w:val="22"/>
        </w:rPr>
        <w:t xml:space="preserve">objection so that agency employees can respond to the person or entity </w:t>
      </w:r>
      <w:r>
        <w:rPr>
          <w:rFonts w:ascii="Tahoma" w:hAnsi="Tahoma" w:cs="Tahoma"/>
          <w:sz w:val="22"/>
          <w:szCs w:val="22"/>
        </w:rPr>
        <w:t>appealing/</w:t>
      </w:r>
      <w:r w:rsidR="00791742" w:rsidRPr="00772F85">
        <w:rPr>
          <w:rFonts w:ascii="Tahoma" w:hAnsi="Tahoma" w:cs="Tahoma"/>
          <w:sz w:val="22"/>
          <w:szCs w:val="22"/>
        </w:rPr>
        <w:t xml:space="preserve">objecting.  </w:t>
      </w:r>
      <w:r>
        <w:rPr>
          <w:rFonts w:ascii="Tahoma" w:hAnsi="Tahoma" w:cs="Tahoma"/>
          <w:sz w:val="22"/>
          <w:szCs w:val="22"/>
        </w:rPr>
        <w:t xml:space="preserve">The agency has consulted with 4 individuals who have filed </w:t>
      </w:r>
      <w:r w:rsidR="00306F03">
        <w:rPr>
          <w:rFonts w:ascii="Tahoma" w:hAnsi="Tahoma" w:cs="Tahoma"/>
          <w:sz w:val="22"/>
          <w:szCs w:val="22"/>
        </w:rPr>
        <w:t xml:space="preserve">36 CFR </w:t>
      </w:r>
      <w:r>
        <w:rPr>
          <w:rFonts w:ascii="Tahoma" w:hAnsi="Tahoma" w:cs="Tahoma"/>
          <w:sz w:val="22"/>
          <w:szCs w:val="22"/>
        </w:rPr>
        <w:t>215 Appeals.  (</w:t>
      </w:r>
      <w:proofErr w:type="gramStart"/>
      <w:r>
        <w:rPr>
          <w:rFonts w:ascii="Tahoma" w:hAnsi="Tahoma" w:cs="Tahoma"/>
          <w:i/>
          <w:sz w:val="22"/>
          <w:szCs w:val="22"/>
        </w:rPr>
        <w:t>s</w:t>
      </w:r>
      <w:r w:rsidRPr="004E4743">
        <w:rPr>
          <w:rFonts w:ascii="Tahoma" w:hAnsi="Tahoma" w:cs="Tahoma"/>
          <w:i/>
          <w:sz w:val="22"/>
          <w:szCs w:val="22"/>
        </w:rPr>
        <w:t>ee</w:t>
      </w:r>
      <w:proofErr w:type="gramEnd"/>
      <w:r w:rsidRPr="004E4743">
        <w:rPr>
          <w:rFonts w:ascii="Tahoma" w:hAnsi="Tahoma" w:cs="Tahoma"/>
          <w:i/>
          <w:sz w:val="22"/>
          <w:szCs w:val="22"/>
        </w:rPr>
        <w:t xml:space="preserve"> Table 1. Consultation</w:t>
      </w:r>
      <w:r>
        <w:rPr>
          <w:rFonts w:ascii="Tahoma" w:hAnsi="Tahoma" w:cs="Tahoma"/>
          <w:i/>
          <w:sz w:val="22"/>
          <w:szCs w:val="22"/>
        </w:rPr>
        <w:t>)</w:t>
      </w:r>
    </w:p>
    <w:p w:rsidR="00C37CD8" w:rsidRPr="00754591"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754591">
        <w:rPr>
          <w:rFonts w:ascii="Tahoma" w:hAnsi="Tahoma" w:cs="Tahoma"/>
          <w:b/>
          <w:bCs/>
          <w:sz w:val="22"/>
          <w:szCs w:val="22"/>
        </w:rPr>
        <w:t>Cons</w:t>
      </w:r>
      <w:r w:rsidR="0052553A">
        <w:rPr>
          <w:rFonts w:ascii="Tahoma" w:hAnsi="Tahoma" w:cs="Tahoma"/>
          <w:b/>
          <w:bCs/>
          <w:sz w:val="22"/>
          <w:szCs w:val="22"/>
        </w:rPr>
        <w:t>ultation with representatives or</w:t>
      </w:r>
      <w:r w:rsidRPr="00754591">
        <w:rPr>
          <w:rFonts w:ascii="Tahoma" w:hAnsi="Tahoma" w:cs="Tahoma"/>
          <w:b/>
          <w:bCs/>
          <w:sz w:val="22"/>
          <w:szCs w:val="22"/>
        </w:rPr>
        <w:t xml:space="preserve"> those from whom information is to be obtained or those who must compile records should occur at least once every 3 years even if the col</w:t>
      </w:r>
      <w:r w:rsidRPr="00754591">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411A0F" w:rsidRPr="00754591" w:rsidRDefault="00D213C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754591">
        <w:rPr>
          <w:rFonts w:ascii="Tahoma" w:hAnsi="Tahoma" w:cs="Tahoma"/>
          <w:bCs/>
          <w:sz w:val="22"/>
          <w:szCs w:val="22"/>
        </w:rPr>
        <w:t xml:space="preserve">The Forest Service seeks to reduce burden on individuals choosing to voluntarily participate in the objection process.  Even though the Agency has been using the objection process since 2004, the objection process was limited to projects authorized under the Healthy Forests Restoration Act (HFRA) of 2003.  Because of that limitation, the </w:t>
      </w:r>
      <w:r w:rsidR="00306F03">
        <w:rPr>
          <w:rFonts w:ascii="Tahoma" w:hAnsi="Tahoma" w:cs="Tahoma"/>
          <w:bCs/>
          <w:sz w:val="22"/>
          <w:szCs w:val="22"/>
        </w:rPr>
        <w:t xml:space="preserve">36 CFR </w:t>
      </w:r>
      <w:r w:rsidRPr="00754591">
        <w:rPr>
          <w:rFonts w:ascii="Tahoma" w:hAnsi="Tahoma" w:cs="Tahoma"/>
          <w:bCs/>
          <w:sz w:val="22"/>
          <w:szCs w:val="22"/>
        </w:rPr>
        <w:t xml:space="preserve">215 Appeals records were used as a reference to estimate the burden placed on those individuals and non-federal entities that chose to participate in the objection process.  </w:t>
      </w:r>
    </w:p>
    <w:p w:rsidR="00ED5D6D" w:rsidRPr="00754591" w:rsidRDefault="004E4743" w:rsidP="00ED5D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C</w:t>
      </w:r>
      <w:r w:rsidR="00D213C8" w:rsidRPr="00754591">
        <w:rPr>
          <w:rFonts w:ascii="Tahoma" w:hAnsi="Tahoma" w:cs="Tahoma"/>
          <w:bCs/>
          <w:sz w:val="22"/>
          <w:szCs w:val="22"/>
        </w:rPr>
        <w:t xml:space="preserve">onsultation </w:t>
      </w:r>
      <w:r>
        <w:rPr>
          <w:rFonts w:ascii="Tahoma" w:hAnsi="Tahoma" w:cs="Tahoma"/>
          <w:bCs/>
          <w:sz w:val="22"/>
          <w:szCs w:val="22"/>
        </w:rPr>
        <w:t xml:space="preserve">was conducted May 2012 </w:t>
      </w:r>
      <w:r w:rsidR="00D213C8" w:rsidRPr="00754591">
        <w:rPr>
          <w:rFonts w:ascii="Tahoma" w:hAnsi="Tahoma" w:cs="Tahoma"/>
          <w:bCs/>
          <w:sz w:val="22"/>
          <w:szCs w:val="22"/>
        </w:rPr>
        <w:t xml:space="preserve">with four individuals that have filed a </w:t>
      </w:r>
      <w:r w:rsidR="00306F03">
        <w:rPr>
          <w:rFonts w:ascii="Tahoma" w:hAnsi="Tahoma" w:cs="Tahoma"/>
          <w:bCs/>
          <w:sz w:val="22"/>
          <w:szCs w:val="22"/>
        </w:rPr>
        <w:t xml:space="preserve">36 CFR </w:t>
      </w:r>
      <w:r w:rsidR="00D213C8" w:rsidRPr="00754591">
        <w:rPr>
          <w:rFonts w:ascii="Tahoma" w:hAnsi="Tahoma" w:cs="Tahoma"/>
          <w:bCs/>
          <w:sz w:val="22"/>
          <w:szCs w:val="22"/>
        </w:rPr>
        <w:t>215 Appeal with the Forest Service</w:t>
      </w:r>
      <w:r>
        <w:rPr>
          <w:rFonts w:ascii="Tahoma" w:hAnsi="Tahoma" w:cs="Tahoma"/>
          <w:bCs/>
          <w:sz w:val="22"/>
          <w:szCs w:val="22"/>
        </w:rPr>
        <w:t>,</w:t>
      </w:r>
      <w:r w:rsidR="00D213C8" w:rsidRPr="00754591">
        <w:rPr>
          <w:rFonts w:ascii="Tahoma" w:hAnsi="Tahoma" w:cs="Tahoma"/>
          <w:bCs/>
          <w:sz w:val="22"/>
          <w:szCs w:val="22"/>
        </w:rPr>
        <w:t xml:space="preserve"> the estimated time spent to file an appeal ranged from</w:t>
      </w:r>
      <w:r w:rsidR="00ED5D6D" w:rsidRPr="00754591">
        <w:rPr>
          <w:rFonts w:ascii="Tahoma" w:hAnsi="Tahoma" w:cs="Tahoma"/>
          <w:bCs/>
          <w:sz w:val="22"/>
          <w:szCs w:val="22"/>
        </w:rPr>
        <w:t xml:space="preserve"> 2-3 hours to 30-40 hours.  The following questions were asked of all individuals</w:t>
      </w:r>
      <w:r w:rsidR="001828D0" w:rsidRPr="00754591">
        <w:rPr>
          <w:rFonts w:ascii="Tahoma" w:hAnsi="Tahoma" w:cs="Tahoma"/>
          <w:bCs/>
          <w:sz w:val="22"/>
          <w:szCs w:val="22"/>
        </w:rPr>
        <w:t xml:space="preserve"> (see Table </w:t>
      </w:r>
      <w:r w:rsidR="00754591" w:rsidRPr="00754591">
        <w:rPr>
          <w:rFonts w:ascii="Tahoma" w:hAnsi="Tahoma" w:cs="Tahoma"/>
          <w:bCs/>
          <w:sz w:val="22"/>
          <w:szCs w:val="22"/>
        </w:rPr>
        <w:t>1.</w:t>
      </w:r>
      <w:r w:rsidR="001828D0" w:rsidRPr="00754591">
        <w:rPr>
          <w:rFonts w:ascii="Tahoma" w:hAnsi="Tahoma" w:cs="Tahoma"/>
          <w:bCs/>
          <w:i/>
          <w:sz w:val="22"/>
          <w:szCs w:val="22"/>
        </w:rPr>
        <w:t xml:space="preserve">  Consultation</w:t>
      </w:r>
      <w:r w:rsidR="001828D0" w:rsidRPr="00754591">
        <w:rPr>
          <w:rFonts w:ascii="Tahoma" w:hAnsi="Tahoma" w:cs="Tahoma"/>
          <w:bCs/>
          <w:sz w:val="22"/>
          <w:szCs w:val="22"/>
        </w:rPr>
        <w:t>)</w:t>
      </w:r>
      <w:r w:rsidR="00ED5D6D" w:rsidRPr="00754591">
        <w:rPr>
          <w:rFonts w:ascii="Tahoma" w:hAnsi="Tahoma" w:cs="Tahoma"/>
          <w:bCs/>
          <w:sz w:val="22"/>
          <w:szCs w:val="22"/>
        </w:rPr>
        <w:t>:</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How would you rate the availability of the data needed to file an appeal?</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How many responses would you say you average per year?</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Were the instructions for filing an appeal clear?</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 xml:space="preserve">What are your thoughts on the format for the responses?  </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How many hours did it take to file the appeal?</w:t>
      </w:r>
    </w:p>
    <w:p w:rsidR="001828D0" w:rsidRPr="00754591" w:rsidRDefault="001828D0" w:rsidP="001828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bCs/>
          <w:sz w:val="22"/>
          <w:szCs w:val="22"/>
        </w:rPr>
      </w:pPr>
    </w:p>
    <w:p w:rsidR="00ED5D6D" w:rsidRPr="00754591" w:rsidRDefault="001828D0" w:rsidP="001828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roofErr w:type="gramStart"/>
      <w:r w:rsidRPr="00754591">
        <w:rPr>
          <w:rFonts w:ascii="Tahoma" w:hAnsi="Tahoma" w:cs="Tahoma"/>
          <w:b/>
          <w:bCs/>
          <w:sz w:val="22"/>
          <w:szCs w:val="22"/>
        </w:rPr>
        <w:t xml:space="preserve">Table </w:t>
      </w:r>
      <w:r w:rsidR="00F85627" w:rsidRPr="00754591">
        <w:rPr>
          <w:rFonts w:ascii="Tahoma" w:hAnsi="Tahoma" w:cs="Tahoma"/>
          <w:b/>
          <w:bCs/>
          <w:sz w:val="22"/>
          <w:szCs w:val="22"/>
        </w:rPr>
        <w:t>1</w:t>
      </w:r>
      <w:r w:rsidRPr="00754591">
        <w:rPr>
          <w:rFonts w:ascii="Tahoma" w:hAnsi="Tahoma" w:cs="Tahoma"/>
          <w:b/>
          <w:bCs/>
          <w:sz w:val="22"/>
          <w:szCs w:val="22"/>
        </w:rPr>
        <w:t>.</w:t>
      </w:r>
      <w:proofErr w:type="gramEnd"/>
      <w:r w:rsidRPr="00754591">
        <w:rPr>
          <w:rFonts w:ascii="Tahoma" w:hAnsi="Tahoma" w:cs="Tahoma"/>
          <w:b/>
          <w:bCs/>
          <w:sz w:val="22"/>
          <w:szCs w:val="22"/>
        </w:rPr>
        <w:t xml:space="preserve">  Consultation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649"/>
        <w:gridCol w:w="1649"/>
        <w:gridCol w:w="1649"/>
        <w:gridCol w:w="1713"/>
      </w:tblGrid>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p>
        </w:tc>
        <w:tc>
          <w:tcPr>
            <w:tcW w:w="1530"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1</w:t>
            </w:r>
          </w:p>
        </w:tc>
        <w:tc>
          <w:tcPr>
            <w:tcW w:w="1649"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2</w:t>
            </w:r>
          </w:p>
        </w:tc>
        <w:tc>
          <w:tcPr>
            <w:tcW w:w="1649"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3</w:t>
            </w:r>
          </w:p>
        </w:tc>
        <w:tc>
          <w:tcPr>
            <w:tcW w:w="1649"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4</w:t>
            </w:r>
          </w:p>
        </w:tc>
        <w:tc>
          <w:tcPr>
            <w:tcW w:w="1713"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5</w:t>
            </w:r>
          </w:p>
        </w:tc>
      </w:tr>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Individual 1</w:t>
            </w:r>
          </w:p>
        </w:tc>
        <w:tc>
          <w:tcPr>
            <w:tcW w:w="1530"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Readily Available</w:t>
            </w:r>
          </w:p>
        </w:tc>
        <w:tc>
          <w:tcPr>
            <w:tcW w:w="1649"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Only 2 appeals filed in total</w:t>
            </w:r>
          </w:p>
        </w:tc>
        <w:tc>
          <w:tcPr>
            <w:tcW w:w="1649"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Yes</w:t>
            </w:r>
          </w:p>
        </w:tc>
        <w:tc>
          <w:tcPr>
            <w:tcW w:w="1649"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Fine.  No problem with the format</w:t>
            </w:r>
          </w:p>
        </w:tc>
        <w:tc>
          <w:tcPr>
            <w:tcW w:w="1713"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Including background research 30-40 hours</w:t>
            </w:r>
          </w:p>
        </w:tc>
      </w:tr>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Individual 2</w:t>
            </w:r>
          </w:p>
        </w:tc>
        <w:tc>
          <w:tcPr>
            <w:tcW w:w="1530"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Easy to find</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Average 1 per year</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Yes</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Good</w:t>
            </w:r>
          </w:p>
        </w:tc>
        <w:tc>
          <w:tcPr>
            <w:tcW w:w="1713"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Including background research 2-3 hours</w:t>
            </w:r>
          </w:p>
        </w:tc>
      </w:tr>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Individual 3</w:t>
            </w:r>
          </w:p>
        </w:tc>
        <w:tc>
          <w:tcPr>
            <w:tcW w:w="1530"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Easy to find</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Only 1 appeal filed in total</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Yes</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Fine</w:t>
            </w:r>
          </w:p>
        </w:tc>
        <w:tc>
          <w:tcPr>
            <w:tcW w:w="1713"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Including background research 2-3 hours</w:t>
            </w:r>
          </w:p>
        </w:tc>
      </w:tr>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Individual 4</w:t>
            </w:r>
          </w:p>
        </w:tc>
        <w:tc>
          <w:tcPr>
            <w:tcW w:w="1530"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Fine</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Less than 1 per year</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Yes</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Fine</w:t>
            </w:r>
          </w:p>
        </w:tc>
        <w:tc>
          <w:tcPr>
            <w:tcW w:w="1713"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Including background research 30-40 hours</w:t>
            </w:r>
          </w:p>
        </w:tc>
      </w:tr>
    </w:tbl>
    <w:p w:rsidR="00ED5D6D" w:rsidRPr="00754591" w:rsidRDefault="00ED5D6D" w:rsidP="00ED5D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p>
    <w:p w:rsidR="00A0033A" w:rsidRPr="00A0033A" w:rsidRDefault="00306F03" w:rsidP="00A0033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bCs/>
          <w:sz w:val="22"/>
          <w:szCs w:val="22"/>
        </w:rPr>
        <w:lastRenderedPageBreak/>
        <w:t>Based on the above, t</w:t>
      </w:r>
      <w:r w:rsidR="007241A0" w:rsidRPr="00754591">
        <w:rPr>
          <w:rFonts w:ascii="Tahoma" w:hAnsi="Tahoma" w:cs="Tahoma"/>
          <w:bCs/>
          <w:sz w:val="22"/>
          <w:szCs w:val="22"/>
        </w:rPr>
        <w:t xml:space="preserve">he Forest Service estimates that the respondent spends 8 hours </w:t>
      </w:r>
      <w:r w:rsidR="006F798F">
        <w:rPr>
          <w:rFonts w:ascii="Tahoma" w:hAnsi="Tahoma" w:cs="Tahoma"/>
          <w:bCs/>
          <w:sz w:val="22"/>
          <w:szCs w:val="22"/>
        </w:rPr>
        <w:t xml:space="preserve">preparing and </w:t>
      </w:r>
      <w:r w:rsidR="001828D0" w:rsidRPr="00754591">
        <w:rPr>
          <w:rFonts w:ascii="Tahoma" w:hAnsi="Tahoma" w:cs="Tahoma"/>
          <w:bCs/>
          <w:sz w:val="22"/>
          <w:szCs w:val="22"/>
        </w:rPr>
        <w:t>filing an</w:t>
      </w:r>
      <w:r w:rsidR="00CB51B2" w:rsidRPr="00754591">
        <w:rPr>
          <w:rFonts w:ascii="Tahoma" w:hAnsi="Tahoma" w:cs="Tahoma"/>
          <w:bCs/>
          <w:sz w:val="22"/>
          <w:szCs w:val="22"/>
        </w:rPr>
        <w:t xml:space="preserve"> appeal and relates this exp</w:t>
      </w:r>
      <w:r w:rsidR="001828D0" w:rsidRPr="00754591">
        <w:rPr>
          <w:rFonts w:ascii="Tahoma" w:hAnsi="Tahoma" w:cs="Tahoma"/>
          <w:bCs/>
          <w:sz w:val="22"/>
          <w:szCs w:val="22"/>
        </w:rPr>
        <w:t xml:space="preserve">erience to </w:t>
      </w:r>
      <w:r w:rsidR="00977D5B">
        <w:rPr>
          <w:rFonts w:ascii="Tahoma" w:hAnsi="Tahoma" w:cs="Tahoma"/>
          <w:bCs/>
          <w:sz w:val="22"/>
          <w:szCs w:val="22"/>
        </w:rPr>
        <w:t xml:space="preserve">preparing and </w:t>
      </w:r>
      <w:r w:rsidR="001828D0" w:rsidRPr="00754591">
        <w:rPr>
          <w:rFonts w:ascii="Tahoma" w:hAnsi="Tahoma" w:cs="Tahoma"/>
          <w:bCs/>
          <w:sz w:val="22"/>
          <w:szCs w:val="22"/>
        </w:rPr>
        <w:t>filing an objection</w:t>
      </w:r>
      <w:r w:rsidR="00CB51B2" w:rsidRPr="00754591">
        <w:rPr>
          <w:rFonts w:ascii="Tahoma" w:hAnsi="Tahoma" w:cs="Tahoma"/>
          <w:bCs/>
          <w:sz w:val="22"/>
          <w:szCs w:val="22"/>
        </w:rPr>
        <w:t xml:space="preserve">.  </w:t>
      </w:r>
      <w:r w:rsidR="00B22A1F">
        <w:rPr>
          <w:rFonts w:ascii="Tahoma" w:hAnsi="Tahoma" w:cs="Tahoma"/>
          <w:bCs/>
          <w:sz w:val="22"/>
          <w:szCs w:val="22"/>
        </w:rPr>
        <w:t xml:space="preserve">Also taken into consideration was the amount of research that each individual conducted prior to filing the appeal.  One individual that estimated it took 30 to 40 hours to prepare and file an appeal noted that some of his time was spent walking around the area because his property was backed up to Forest Service property.  He also accounted for time that he spent calling other agencies and private specialists gathering information.  The </w:t>
      </w:r>
      <w:r w:rsidR="003A6BA3">
        <w:rPr>
          <w:rFonts w:ascii="Tahoma" w:hAnsi="Tahoma" w:cs="Tahoma"/>
          <w:bCs/>
          <w:sz w:val="22"/>
          <w:szCs w:val="22"/>
        </w:rPr>
        <w:t xml:space="preserve">other individual represented an </w:t>
      </w:r>
      <w:r w:rsidR="00B22A1F">
        <w:rPr>
          <w:rFonts w:ascii="Tahoma" w:hAnsi="Tahoma" w:cs="Tahoma"/>
          <w:bCs/>
          <w:sz w:val="22"/>
          <w:szCs w:val="22"/>
        </w:rPr>
        <w:t xml:space="preserve">environmental </w:t>
      </w:r>
      <w:r w:rsidR="003A6BA3">
        <w:rPr>
          <w:rFonts w:ascii="Tahoma" w:hAnsi="Tahoma" w:cs="Tahoma"/>
          <w:bCs/>
          <w:sz w:val="22"/>
          <w:szCs w:val="22"/>
        </w:rPr>
        <w:t>firm</w:t>
      </w:r>
      <w:r w:rsidR="00B22A1F">
        <w:rPr>
          <w:rFonts w:ascii="Tahoma" w:hAnsi="Tahoma" w:cs="Tahoma"/>
          <w:bCs/>
          <w:sz w:val="22"/>
          <w:szCs w:val="22"/>
        </w:rPr>
        <w:t xml:space="preserve"> </w:t>
      </w:r>
      <w:r w:rsidR="003A6BA3">
        <w:rPr>
          <w:rFonts w:ascii="Tahoma" w:hAnsi="Tahoma" w:cs="Tahoma"/>
          <w:bCs/>
          <w:sz w:val="22"/>
          <w:szCs w:val="22"/>
        </w:rPr>
        <w:t>who,</w:t>
      </w:r>
      <w:r w:rsidR="00B22A1F">
        <w:rPr>
          <w:rFonts w:ascii="Tahoma" w:hAnsi="Tahoma" w:cs="Tahoma"/>
          <w:bCs/>
          <w:sz w:val="22"/>
          <w:szCs w:val="22"/>
        </w:rPr>
        <w:t xml:space="preserve"> in most cases</w:t>
      </w:r>
      <w:r w:rsidR="003A6BA3">
        <w:rPr>
          <w:rFonts w:ascii="Tahoma" w:hAnsi="Tahoma" w:cs="Tahoma"/>
          <w:bCs/>
          <w:sz w:val="22"/>
          <w:szCs w:val="22"/>
        </w:rPr>
        <w:t>,</w:t>
      </w:r>
      <w:r w:rsidR="00B22A1F">
        <w:rPr>
          <w:rFonts w:ascii="Tahoma" w:hAnsi="Tahoma" w:cs="Tahoma"/>
          <w:bCs/>
          <w:sz w:val="22"/>
          <w:szCs w:val="22"/>
        </w:rPr>
        <w:t xml:space="preserve"> represent several individuals when filing an appea</w:t>
      </w:r>
      <w:r w:rsidR="00193AC9">
        <w:rPr>
          <w:rFonts w:ascii="Tahoma" w:hAnsi="Tahoma" w:cs="Tahoma"/>
          <w:bCs/>
          <w:sz w:val="22"/>
          <w:szCs w:val="22"/>
        </w:rPr>
        <w:t>l.</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Explain any decision to provide any payment or gift to respondents, other than re</w:t>
      </w:r>
      <w:r w:rsidR="00063823" w:rsidRPr="00754591">
        <w:rPr>
          <w:rFonts w:ascii="Tahoma" w:hAnsi="Tahoma" w:cs="Tahoma"/>
          <w:b/>
          <w:bCs/>
          <w:sz w:val="22"/>
          <w:szCs w:val="22"/>
        </w:rPr>
        <w:t>-</w:t>
      </w:r>
      <w:r w:rsidRPr="00754591">
        <w:rPr>
          <w:rFonts w:ascii="Tahoma" w:hAnsi="Tahoma" w:cs="Tahoma"/>
          <w:b/>
          <w:bCs/>
          <w:sz w:val="22"/>
          <w:szCs w:val="22"/>
        </w:rPr>
        <w:t>enumeration of contractors or grantees.</w:t>
      </w:r>
    </w:p>
    <w:p w:rsidR="00890057" w:rsidRPr="00754591" w:rsidRDefault="00AE612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There is no payment or</w:t>
      </w:r>
      <w:r w:rsidR="00436BCF" w:rsidRPr="00754591">
        <w:rPr>
          <w:rFonts w:ascii="Tahoma" w:hAnsi="Tahoma" w:cs="Tahoma"/>
          <w:sz w:val="22"/>
          <w:szCs w:val="22"/>
        </w:rPr>
        <w:t xml:space="preserve"> gift provided to respondents.</w:t>
      </w:r>
    </w:p>
    <w:p w:rsidR="00436BCF" w:rsidRPr="00754591" w:rsidRDefault="006C3ACE"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C37CD8" w:rsidRPr="00754591">
        <w:rPr>
          <w:rFonts w:ascii="Tahoma" w:hAnsi="Tahoma" w:cs="Tahoma"/>
          <w:b/>
          <w:bCs/>
          <w:sz w:val="22"/>
          <w:szCs w:val="22"/>
        </w:rPr>
        <w:t>Describe any assurance of confidentiality provided to respondents and the basis for the assurance in statute, regulation, or agency policy.</w:t>
      </w:r>
    </w:p>
    <w:p w:rsidR="00436BCF" w:rsidRPr="00754591" w:rsidRDefault="00CC33E1" w:rsidP="00436BCF">
      <w:pPr>
        <w:pStyle w:val="BodyTextIndent"/>
        <w:tabs>
          <w:tab w:val="clear" w:pos="0"/>
          <w:tab w:val="clear" w:pos="361"/>
          <w:tab w:val="clear" w:pos="1083"/>
          <w:tab w:val="left" w:pos="360"/>
        </w:tabs>
        <w:spacing w:after="80"/>
        <w:jc w:val="both"/>
        <w:rPr>
          <w:rFonts w:ascii="Tahoma" w:hAnsi="Tahoma" w:cs="Tahoma"/>
          <w:sz w:val="22"/>
          <w:szCs w:val="22"/>
        </w:rPr>
      </w:pPr>
      <w:r w:rsidRPr="00754591">
        <w:rPr>
          <w:rFonts w:ascii="Tahoma" w:hAnsi="Tahoma" w:cs="Tahoma"/>
          <w:sz w:val="22"/>
          <w:szCs w:val="22"/>
        </w:rPr>
        <w:t xml:space="preserve">No assurance of confidentiality is provided. </w:t>
      </w:r>
      <w:r w:rsidR="00436BCF" w:rsidRPr="00754591">
        <w:rPr>
          <w:rFonts w:ascii="Tahoma" w:hAnsi="Tahoma" w:cs="Tahoma"/>
          <w:sz w:val="22"/>
          <w:szCs w:val="22"/>
        </w:rPr>
        <w:t xml:space="preserve">The </w:t>
      </w:r>
      <w:r w:rsidR="00114B74" w:rsidRPr="00754591">
        <w:rPr>
          <w:rFonts w:ascii="Tahoma" w:hAnsi="Tahoma" w:cs="Tahoma"/>
          <w:sz w:val="22"/>
          <w:szCs w:val="22"/>
        </w:rPr>
        <w:t>objection</w:t>
      </w:r>
      <w:r w:rsidR="00436BCF" w:rsidRPr="00754591">
        <w:rPr>
          <w:rFonts w:ascii="Tahoma" w:hAnsi="Tahoma" w:cs="Tahoma"/>
          <w:sz w:val="22"/>
          <w:szCs w:val="22"/>
        </w:rPr>
        <w:t xml:space="preserve"> record</w:t>
      </w:r>
      <w:r w:rsidR="00691F2E" w:rsidRPr="00754591">
        <w:rPr>
          <w:rFonts w:ascii="Tahoma" w:hAnsi="Tahoma" w:cs="Tahoma"/>
          <w:sz w:val="22"/>
          <w:szCs w:val="22"/>
        </w:rPr>
        <w:t>, which includes the objector’s</w:t>
      </w:r>
      <w:r w:rsidR="00FE62E8" w:rsidRPr="00754591">
        <w:rPr>
          <w:rFonts w:ascii="Tahoma" w:hAnsi="Tahoma" w:cs="Tahoma"/>
          <w:sz w:val="22"/>
          <w:szCs w:val="22"/>
        </w:rPr>
        <w:t xml:space="preserve"> submitted objection</w:t>
      </w:r>
      <w:r w:rsidR="000E5463" w:rsidRPr="00754591">
        <w:rPr>
          <w:rFonts w:ascii="Tahoma" w:hAnsi="Tahoma" w:cs="Tahoma"/>
          <w:sz w:val="22"/>
          <w:szCs w:val="22"/>
        </w:rPr>
        <w:t>,</w:t>
      </w:r>
      <w:r w:rsidR="00436BCF" w:rsidRPr="00754591">
        <w:rPr>
          <w:rFonts w:ascii="Tahoma" w:hAnsi="Tahoma" w:cs="Tahoma"/>
          <w:sz w:val="22"/>
          <w:szCs w:val="22"/>
        </w:rPr>
        <w:t xml:space="preserve"> is open for public inspection</w:t>
      </w:r>
      <w:r w:rsidR="00275F35">
        <w:rPr>
          <w:rFonts w:ascii="Tahoma" w:hAnsi="Tahoma" w:cs="Tahoma"/>
          <w:sz w:val="22"/>
          <w:szCs w:val="22"/>
        </w:rPr>
        <w:t>.</w:t>
      </w:r>
    </w:p>
    <w:p w:rsidR="00C37CD8" w:rsidRPr="00754591"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C37CD8" w:rsidRPr="00754591">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7209" w:rsidRDefault="00C0720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No</w:t>
      </w:r>
      <w:r w:rsidR="00E662A5">
        <w:rPr>
          <w:rFonts w:ascii="Tahoma" w:hAnsi="Tahoma" w:cs="Tahoma"/>
          <w:sz w:val="22"/>
          <w:szCs w:val="22"/>
        </w:rPr>
        <w:t xml:space="preserve"> information is collected that w</w:t>
      </w:r>
      <w:r w:rsidRPr="00754591">
        <w:rPr>
          <w:rFonts w:ascii="Tahoma" w:hAnsi="Tahoma" w:cs="Tahoma"/>
          <w:sz w:val="22"/>
          <w:szCs w:val="22"/>
        </w:rPr>
        <w:t>ould be considered sensitive or personal in nature.</w:t>
      </w:r>
    </w:p>
    <w:p w:rsidR="007C16F9" w:rsidRPr="00754591" w:rsidRDefault="007C16F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754591"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C37CD8" w:rsidRPr="00754591">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B7485F" w:rsidRPr="00754591" w:rsidRDefault="00B7485F" w:rsidP="0070625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Cs/>
          <w:sz w:val="22"/>
          <w:szCs w:val="22"/>
        </w:rPr>
      </w:pPr>
    </w:p>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754591">
        <w:rPr>
          <w:rFonts w:ascii="Tahoma" w:hAnsi="Tahoma" w:cs="Tahoma"/>
          <w:b/>
          <w:bCs/>
          <w:sz w:val="22"/>
          <w:szCs w:val="22"/>
        </w:rPr>
        <w:t xml:space="preserve">              </w:t>
      </w:r>
      <w:proofErr w:type="gramStart"/>
      <w:r w:rsidR="00705D9E" w:rsidRPr="00754591">
        <w:rPr>
          <w:rFonts w:ascii="Tahoma" w:hAnsi="Tahoma" w:cs="Tahoma"/>
          <w:b/>
          <w:bCs/>
          <w:sz w:val="22"/>
          <w:szCs w:val="22"/>
        </w:rPr>
        <w:t xml:space="preserve">Table </w:t>
      </w:r>
      <w:r w:rsidR="00F85627" w:rsidRPr="00754591">
        <w:rPr>
          <w:rFonts w:ascii="Tahoma" w:hAnsi="Tahoma" w:cs="Tahoma"/>
          <w:b/>
          <w:bCs/>
          <w:sz w:val="22"/>
          <w:szCs w:val="22"/>
        </w:rPr>
        <w:t>2</w:t>
      </w:r>
      <w:r w:rsidR="00705D9E" w:rsidRPr="00754591">
        <w:rPr>
          <w:rFonts w:ascii="Tahoma" w:hAnsi="Tahoma" w:cs="Tahoma"/>
          <w:b/>
          <w:bCs/>
          <w:sz w:val="22"/>
          <w:szCs w:val="22"/>
        </w:rPr>
        <w:t>.</w:t>
      </w:r>
      <w:proofErr w:type="gramEnd"/>
      <w:r w:rsidR="00705D9E" w:rsidRPr="00754591">
        <w:rPr>
          <w:rFonts w:ascii="Tahoma" w:hAnsi="Tahoma" w:cs="Tahoma"/>
          <w:b/>
          <w:bCs/>
          <w:sz w:val="22"/>
          <w:szCs w:val="22"/>
        </w:rPr>
        <w:t xml:space="preserve"> </w:t>
      </w:r>
      <w:r w:rsidRPr="00754591">
        <w:rPr>
          <w:rFonts w:ascii="Tahoma" w:hAnsi="Tahoma" w:cs="Tahoma"/>
          <w:b/>
          <w:bCs/>
          <w:sz w:val="22"/>
          <w:szCs w:val="22"/>
        </w:rPr>
        <w:t xml:space="preserve"> </w:t>
      </w:r>
      <w:r w:rsidR="00705D9E" w:rsidRPr="00754591">
        <w:rPr>
          <w:rFonts w:ascii="Tahoma" w:hAnsi="Tahoma" w:cs="Tahoma"/>
          <w:b/>
          <w:bCs/>
          <w:sz w:val="22"/>
          <w:szCs w:val="22"/>
        </w:rPr>
        <w:t xml:space="preserve">Average number of </w:t>
      </w:r>
      <w:r w:rsidRPr="00754591">
        <w:rPr>
          <w:rFonts w:ascii="Tahoma" w:hAnsi="Tahoma" w:cs="Tahoma"/>
          <w:b/>
          <w:bCs/>
          <w:sz w:val="22"/>
          <w:szCs w:val="22"/>
        </w:rPr>
        <w:t>Appeal</w:t>
      </w:r>
      <w:r w:rsidR="00705D9E" w:rsidRPr="00754591">
        <w:rPr>
          <w:rFonts w:ascii="Tahoma" w:hAnsi="Tahoma" w:cs="Tahoma"/>
          <w:b/>
          <w:bCs/>
          <w:sz w:val="22"/>
          <w:szCs w:val="22"/>
        </w:rPr>
        <w:t>s received</w:t>
      </w:r>
      <w:r w:rsidRPr="00754591">
        <w:rPr>
          <w:rFonts w:ascii="Tahoma" w:hAnsi="Tahoma" w:cs="Tahoma"/>
          <w:b/>
          <w:bCs/>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932"/>
        <w:gridCol w:w="2334"/>
        <w:gridCol w:w="1872"/>
      </w:tblGrid>
      <w:tr w:rsidR="001828D0" w:rsidRPr="00754591" w:rsidTr="00C934C3">
        <w:tc>
          <w:tcPr>
            <w:tcW w:w="2970" w:type="dxa"/>
            <w:shd w:val="clear" w:color="auto" w:fill="D9D9D9"/>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p>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754591">
              <w:rPr>
                <w:rFonts w:ascii="Tahoma" w:hAnsi="Tahoma" w:cs="Tahoma"/>
                <w:b/>
                <w:bCs/>
                <w:sz w:val="22"/>
                <w:szCs w:val="22"/>
              </w:rPr>
              <w:t>Region</w:t>
            </w:r>
          </w:p>
        </w:tc>
        <w:tc>
          <w:tcPr>
            <w:tcW w:w="1932" w:type="dxa"/>
            <w:shd w:val="clear" w:color="auto" w:fill="D9D9D9"/>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p>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754591">
              <w:rPr>
                <w:rFonts w:ascii="Tahoma" w:hAnsi="Tahoma" w:cs="Tahoma"/>
                <w:b/>
                <w:bCs/>
                <w:sz w:val="22"/>
                <w:szCs w:val="22"/>
              </w:rPr>
              <w:t>Number of Projects</w:t>
            </w:r>
          </w:p>
        </w:tc>
        <w:tc>
          <w:tcPr>
            <w:tcW w:w="2334" w:type="dxa"/>
            <w:shd w:val="clear" w:color="auto" w:fill="D9D9D9"/>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754591">
              <w:rPr>
                <w:rFonts w:ascii="Tahoma" w:hAnsi="Tahoma" w:cs="Tahoma"/>
                <w:b/>
                <w:bCs/>
                <w:sz w:val="22"/>
                <w:szCs w:val="22"/>
              </w:rPr>
              <w:t xml:space="preserve">Total Number of 215 Appeals Responded to </w:t>
            </w:r>
            <w:r w:rsidRPr="00754591">
              <w:rPr>
                <w:rFonts w:ascii="Tahoma" w:hAnsi="Tahoma" w:cs="Tahoma"/>
                <w:b/>
                <w:bCs/>
                <w:sz w:val="16"/>
                <w:szCs w:val="16"/>
              </w:rPr>
              <w:t>(12/23/2008 thru 12/31/2011)</w:t>
            </w:r>
          </w:p>
        </w:tc>
        <w:tc>
          <w:tcPr>
            <w:tcW w:w="1872" w:type="dxa"/>
            <w:shd w:val="clear" w:color="auto" w:fill="D9D9D9"/>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754591">
              <w:rPr>
                <w:rFonts w:ascii="Tahoma" w:hAnsi="Tahoma" w:cs="Tahoma"/>
                <w:b/>
                <w:bCs/>
                <w:sz w:val="22"/>
                <w:szCs w:val="22"/>
              </w:rPr>
              <w:t>Average Respondent per project</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R1</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60</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129</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R2</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45</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 xml:space="preserve">101 </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R3</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63</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132</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R4</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60</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194</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R5</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67</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176</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R6</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76</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160</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R8</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41</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91</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R9</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34</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62</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Borders>
              <w:bottom w:val="single" w:sz="4" w:space="0" w:color="auto"/>
            </w:tcBorders>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R10</w:t>
            </w:r>
          </w:p>
        </w:tc>
        <w:tc>
          <w:tcPr>
            <w:tcW w:w="1932" w:type="dxa"/>
            <w:tcBorders>
              <w:bottom w:val="single" w:sz="4" w:space="0" w:color="auto"/>
            </w:tcBorders>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9</w:t>
            </w:r>
          </w:p>
        </w:tc>
        <w:tc>
          <w:tcPr>
            <w:tcW w:w="2334" w:type="dxa"/>
            <w:tcBorders>
              <w:bottom w:val="single" w:sz="4" w:space="0" w:color="auto"/>
            </w:tcBorders>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26</w:t>
            </w:r>
          </w:p>
        </w:tc>
        <w:tc>
          <w:tcPr>
            <w:tcW w:w="1872" w:type="dxa"/>
            <w:tcBorders>
              <w:bottom w:val="single" w:sz="4" w:space="0" w:color="auto"/>
            </w:tcBorders>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w:t>
            </w:r>
          </w:p>
        </w:tc>
      </w:tr>
      <w:tr w:rsidR="001828D0" w:rsidRPr="00754591" w:rsidTr="00C934C3">
        <w:tc>
          <w:tcPr>
            <w:tcW w:w="2970"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Totals (3 years):</w:t>
            </w:r>
          </w:p>
        </w:tc>
        <w:tc>
          <w:tcPr>
            <w:tcW w:w="1932"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455</w:t>
            </w:r>
          </w:p>
        </w:tc>
        <w:tc>
          <w:tcPr>
            <w:tcW w:w="2334"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1071</w:t>
            </w:r>
          </w:p>
        </w:tc>
        <w:tc>
          <w:tcPr>
            <w:tcW w:w="1872"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C934C3">
        <w:tc>
          <w:tcPr>
            <w:tcW w:w="2970"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lastRenderedPageBreak/>
              <w:t>Annual Totals (Average):</w:t>
            </w:r>
          </w:p>
        </w:tc>
        <w:tc>
          <w:tcPr>
            <w:tcW w:w="1932"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152</w:t>
            </w:r>
          </w:p>
        </w:tc>
        <w:tc>
          <w:tcPr>
            <w:tcW w:w="2334"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357</w:t>
            </w:r>
          </w:p>
        </w:tc>
        <w:tc>
          <w:tcPr>
            <w:tcW w:w="1872"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bl>
    <w:p w:rsidR="00705D9E" w:rsidRPr="00754591" w:rsidRDefault="00705D9E" w:rsidP="00CC33E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92" w:hanging="360"/>
        <w:rPr>
          <w:rFonts w:ascii="Tahoma" w:hAnsi="Tahoma" w:cs="Tahoma"/>
          <w:bCs/>
          <w:sz w:val="22"/>
          <w:szCs w:val="22"/>
        </w:rPr>
      </w:pPr>
    </w:p>
    <w:p w:rsidR="00705D9E"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754591">
        <w:rPr>
          <w:rFonts w:ascii="Tahoma" w:hAnsi="Tahoma" w:cs="Tahoma"/>
          <w:bCs/>
          <w:sz w:val="22"/>
          <w:szCs w:val="22"/>
        </w:rPr>
        <w:t xml:space="preserve">       </w:t>
      </w:r>
      <w:proofErr w:type="gramStart"/>
      <w:r w:rsidRPr="00754591">
        <w:rPr>
          <w:rFonts w:ascii="Tahoma" w:hAnsi="Tahoma" w:cs="Tahoma"/>
          <w:b/>
          <w:bCs/>
          <w:sz w:val="22"/>
          <w:szCs w:val="22"/>
        </w:rPr>
        <w:t xml:space="preserve">Table </w:t>
      </w:r>
      <w:r w:rsidR="00F85627" w:rsidRPr="00754591">
        <w:rPr>
          <w:rFonts w:ascii="Tahoma" w:hAnsi="Tahoma" w:cs="Tahoma"/>
          <w:b/>
          <w:bCs/>
          <w:sz w:val="22"/>
          <w:szCs w:val="22"/>
        </w:rPr>
        <w:t>3</w:t>
      </w:r>
      <w:r w:rsidRPr="00754591">
        <w:rPr>
          <w:rFonts w:ascii="Tahoma" w:hAnsi="Tahoma" w:cs="Tahoma"/>
          <w:b/>
          <w:bCs/>
          <w:sz w:val="22"/>
          <w:szCs w:val="22"/>
        </w:rPr>
        <w:t>.</w:t>
      </w:r>
      <w:proofErr w:type="gramEnd"/>
      <w:r w:rsidRPr="00754591">
        <w:rPr>
          <w:rFonts w:ascii="Tahoma" w:hAnsi="Tahoma" w:cs="Tahoma"/>
          <w:b/>
          <w:bCs/>
          <w:sz w:val="22"/>
          <w:szCs w:val="22"/>
        </w:rPr>
        <w:t xml:space="preserve">  Estimated Burden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8"/>
        <w:gridCol w:w="1539"/>
        <w:gridCol w:w="1419"/>
        <w:gridCol w:w="1319"/>
        <w:gridCol w:w="1249"/>
        <w:gridCol w:w="1137"/>
      </w:tblGrid>
      <w:tr w:rsidR="00F85627" w:rsidRPr="00754591" w:rsidTr="00705D9E">
        <w:tc>
          <w:tcPr>
            <w:tcW w:w="1780" w:type="dxa"/>
            <w:tcBorders>
              <w:bottom w:val="single" w:sz="4" w:space="0" w:color="auto"/>
            </w:tcBorders>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 xml:space="preserve">Collection Activity </w:t>
            </w:r>
          </w:p>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(a)</w:t>
            </w:r>
          </w:p>
        </w:tc>
        <w:tc>
          <w:tcPr>
            <w:tcW w:w="1170"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Form Number</w:t>
            </w:r>
          </w:p>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(b)</w:t>
            </w:r>
          </w:p>
        </w:tc>
        <w:tc>
          <w:tcPr>
            <w:tcW w:w="1463"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Estimated Annual Number of Respondents</w:t>
            </w:r>
            <w:r w:rsidRPr="00754591">
              <w:rPr>
                <w:rFonts w:ascii="Tahoma" w:hAnsi="Tahoma" w:cs="Tahoma"/>
                <w:bCs/>
                <w:sz w:val="22"/>
                <w:szCs w:val="22"/>
                <w:vertAlign w:val="superscript"/>
              </w:rPr>
              <w:t>1</w:t>
            </w:r>
            <w:r w:rsidRPr="00754591">
              <w:rPr>
                <w:rFonts w:ascii="Tahoma" w:hAnsi="Tahoma" w:cs="Tahoma"/>
                <w:bCs/>
                <w:sz w:val="22"/>
                <w:szCs w:val="22"/>
              </w:rPr>
              <w:t xml:space="preserve"> (c)</w:t>
            </w:r>
          </w:p>
        </w:tc>
        <w:tc>
          <w:tcPr>
            <w:tcW w:w="1423" w:type="dxa"/>
            <w:shd w:val="clear" w:color="auto" w:fill="D9D9D9"/>
          </w:tcPr>
          <w:p w:rsidR="00705D9E" w:rsidRPr="00754591" w:rsidRDefault="00705D9E" w:rsidP="00F8562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Number of Responses Per Respondent (d)</w:t>
            </w:r>
          </w:p>
        </w:tc>
        <w:tc>
          <w:tcPr>
            <w:tcW w:w="1317"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Total Average Responses</w:t>
            </w:r>
            <w:r w:rsidR="00F85627" w:rsidRPr="00754591">
              <w:rPr>
                <w:rFonts w:ascii="Tahoma" w:hAnsi="Tahoma" w:cs="Tahoma"/>
                <w:bCs/>
                <w:sz w:val="22"/>
                <w:szCs w:val="22"/>
                <w:vertAlign w:val="superscript"/>
              </w:rPr>
              <w:t>2</w:t>
            </w:r>
            <w:r w:rsidRPr="00754591">
              <w:rPr>
                <w:rFonts w:ascii="Tahoma" w:hAnsi="Tahoma" w:cs="Tahoma"/>
                <w:bCs/>
                <w:sz w:val="22"/>
                <w:szCs w:val="22"/>
              </w:rPr>
              <w:t xml:space="preserve"> (e)</w:t>
            </w:r>
          </w:p>
        </w:tc>
        <w:tc>
          <w:tcPr>
            <w:tcW w:w="1251"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Estimated Hours Per Response</w:t>
            </w:r>
            <w:r w:rsidR="00F85627" w:rsidRPr="00754591">
              <w:rPr>
                <w:rFonts w:ascii="Tahoma" w:hAnsi="Tahoma" w:cs="Tahoma"/>
                <w:bCs/>
                <w:sz w:val="22"/>
                <w:szCs w:val="22"/>
                <w:vertAlign w:val="superscript"/>
              </w:rPr>
              <w:t>3</w:t>
            </w:r>
            <w:r w:rsidRPr="00754591">
              <w:rPr>
                <w:rFonts w:ascii="Tahoma" w:hAnsi="Tahoma" w:cs="Tahoma"/>
                <w:bCs/>
                <w:sz w:val="22"/>
                <w:szCs w:val="22"/>
              </w:rPr>
              <w:t xml:space="preserve"> (f)</w:t>
            </w:r>
          </w:p>
        </w:tc>
        <w:tc>
          <w:tcPr>
            <w:tcW w:w="1154"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 xml:space="preserve">Total Annual  Burden Hours </w:t>
            </w:r>
          </w:p>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(g)</w:t>
            </w:r>
          </w:p>
        </w:tc>
      </w:tr>
      <w:tr w:rsidR="00705D9E" w:rsidRPr="00754591" w:rsidTr="00705D9E">
        <w:tc>
          <w:tcPr>
            <w:tcW w:w="1780" w:type="dxa"/>
            <w:shd w:val="clear" w:color="auto" w:fill="FFFFFF"/>
          </w:tcPr>
          <w:p w:rsidR="00705D9E" w:rsidRPr="00754591" w:rsidRDefault="00F85627" w:rsidP="00F8562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 xml:space="preserve">Filing of </w:t>
            </w:r>
            <w:r w:rsidR="00705D9E" w:rsidRPr="00754591">
              <w:rPr>
                <w:rFonts w:ascii="Tahoma" w:hAnsi="Tahoma" w:cs="Tahoma"/>
                <w:bCs/>
                <w:sz w:val="22"/>
                <w:szCs w:val="22"/>
              </w:rPr>
              <w:t>Objection</w:t>
            </w:r>
          </w:p>
        </w:tc>
        <w:tc>
          <w:tcPr>
            <w:tcW w:w="1170" w:type="dxa"/>
            <w:shd w:val="clear" w:color="auto" w:fill="auto"/>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N/A</w:t>
            </w:r>
          </w:p>
        </w:tc>
        <w:tc>
          <w:tcPr>
            <w:tcW w:w="1463" w:type="dxa"/>
            <w:shd w:val="clear" w:color="auto" w:fill="auto"/>
          </w:tcPr>
          <w:p w:rsidR="00705D9E" w:rsidRPr="00754591" w:rsidRDefault="004F0991" w:rsidP="00490CD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Pr>
                <w:rFonts w:ascii="Tahoma" w:hAnsi="Tahoma" w:cs="Tahoma"/>
                <w:bCs/>
                <w:sz w:val="22"/>
                <w:szCs w:val="22"/>
              </w:rPr>
              <w:t>375</w:t>
            </w:r>
          </w:p>
        </w:tc>
        <w:tc>
          <w:tcPr>
            <w:tcW w:w="1423" w:type="dxa"/>
            <w:shd w:val="clear" w:color="auto" w:fill="auto"/>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w:t>
            </w:r>
          </w:p>
        </w:tc>
        <w:tc>
          <w:tcPr>
            <w:tcW w:w="1317" w:type="dxa"/>
            <w:shd w:val="clear" w:color="auto" w:fill="auto"/>
          </w:tcPr>
          <w:p w:rsidR="00705D9E" w:rsidRPr="00754591" w:rsidRDefault="004F0991"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Pr>
                <w:rFonts w:ascii="Tahoma" w:hAnsi="Tahoma" w:cs="Tahoma"/>
                <w:bCs/>
                <w:sz w:val="22"/>
                <w:szCs w:val="22"/>
              </w:rPr>
              <w:t>375</w:t>
            </w:r>
          </w:p>
        </w:tc>
        <w:tc>
          <w:tcPr>
            <w:tcW w:w="1251" w:type="dxa"/>
            <w:shd w:val="clear" w:color="auto" w:fill="auto"/>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8</w:t>
            </w:r>
          </w:p>
        </w:tc>
        <w:tc>
          <w:tcPr>
            <w:tcW w:w="1154" w:type="dxa"/>
            <w:shd w:val="clear" w:color="auto" w:fill="auto"/>
          </w:tcPr>
          <w:p w:rsidR="00705D9E" w:rsidRPr="00754591" w:rsidRDefault="004F0991"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Pr>
                <w:rFonts w:ascii="Tahoma" w:hAnsi="Tahoma" w:cs="Tahoma"/>
                <w:bCs/>
                <w:sz w:val="22"/>
                <w:szCs w:val="22"/>
              </w:rPr>
              <w:t>3,000</w:t>
            </w:r>
          </w:p>
        </w:tc>
      </w:tr>
    </w:tbl>
    <w:p w:rsidR="00705D9E"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220"/>
        <w:rPr>
          <w:rFonts w:ascii="Tahoma" w:hAnsi="Tahoma" w:cs="Tahoma"/>
          <w:b/>
          <w:bCs/>
          <w:sz w:val="22"/>
          <w:szCs w:val="22"/>
        </w:rPr>
      </w:pPr>
    </w:p>
    <w:p w:rsidR="00F85627"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r w:rsidRPr="00754591">
        <w:rPr>
          <w:rFonts w:ascii="Tahoma" w:hAnsi="Tahoma" w:cs="Tahoma"/>
          <w:bCs/>
          <w:sz w:val="22"/>
          <w:szCs w:val="22"/>
          <w:vertAlign w:val="superscript"/>
        </w:rPr>
        <w:t>1</w:t>
      </w:r>
      <w:r w:rsidRPr="00754591">
        <w:rPr>
          <w:rFonts w:ascii="Tahoma" w:hAnsi="Tahoma" w:cs="Tahoma"/>
          <w:bCs/>
          <w:sz w:val="22"/>
          <w:szCs w:val="22"/>
        </w:rPr>
        <w:t xml:space="preserve"> </w:t>
      </w:r>
      <w:r w:rsidR="00F85627" w:rsidRPr="00754591">
        <w:rPr>
          <w:rFonts w:ascii="Tahoma" w:hAnsi="Tahoma" w:cs="Tahoma"/>
          <w:bCs/>
          <w:sz w:val="22"/>
          <w:szCs w:val="22"/>
        </w:rPr>
        <w:t>Due to the voluntary and s</w:t>
      </w:r>
      <w:r w:rsidR="00466A6C">
        <w:rPr>
          <w:rFonts w:ascii="Tahoma" w:hAnsi="Tahoma" w:cs="Tahoma"/>
          <w:bCs/>
          <w:sz w:val="22"/>
          <w:szCs w:val="22"/>
        </w:rPr>
        <w:t>ubjective nature of such objections</w:t>
      </w:r>
      <w:r w:rsidR="00F85627" w:rsidRPr="00754591">
        <w:rPr>
          <w:rFonts w:ascii="Tahoma" w:hAnsi="Tahoma" w:cs="Tahoma"/>
          <w:bCs/>
          <w:sz w:val="22"/>
          <w:szCs w:val="22"/>
        </w:rPr>
        <w:t>, i</w:t>
      </w:r>
      <w:r w:rsidR="00CC33E1" w:rsidRPr="00754591">
        <w:rPr>
          <w:rFonts w:ascii="Tahoma" w:hAnsi="Tahoma" w:cs="Tahoma"/>
          <w:bCs/>
          <w:sz w:val="22"/>
          <w:szCs w:val="22"/>
        </w:rPr>
        <w:t>t is difficult to estimate the number of respondents because members of the public may or may not chose to object to projects and activities implementing land</w:t>
      </w:r>
      <w:r w:rsidR="00B40DCB">
        <w:rPr>
          <w:rFonts w:ascii="Tahoma" w:hAnsi="Tahoma" w:cs="Tahoma"/>
          <w:bCs/>
          <w:sz w:val="22"/>
          <w:szCs w:val="22"/>
        </w:rPr>
        <w:t xml:space="preserve"> </w:t>
      </w:r>
      <w:r w:rsidR="00654341">
        <w:rPr>
          <w:rFonts w:ascii="Tahoma" w:hAnsi="Tahoma" w:cs="Tahoma"/>
          <w:bCs/>
          <w:sz w:val="22"/>
          <w:szCs w:val="22"/>
        </w:rPr>
        <w:t xml:space="preserve">and resource </w:t>
      </w:r>
      <w:r w:rsidR="00F85627" w:rsidRPr="00754591">
        <w:rPr>
          <w:rFonts w:ascii="Tahoma" w:hAnsi="Tahoma" w:cs="Tahoma"/>
          <w:bCs/>
          <w:sz w:val="22"/>
          <w:szCs w:val="22"/>
        </w:rPr>
        <w:t xml:space="preserve">management plans that are </w:t>
      </w:r>
      <w:r w:rsidR="00CC33E1" w:rsidRPr="00754591">
        <w:rPr>
          <w:rFonts w:ascii="Tahoma" w:hAnsi="Tahoma" w:cs="Tahoma"/>
          <w:bCs/>
          <w:sz w:val="22"/>
          <w:szCs w:val="22"/>
        </w:rPr>
        <w:t xml:space="preserve">documented with a Record of Decision or Decision Notice.  </w:t>
      </w:r>
      <w:r w:rsidR="00F85627" w:rsidRPr="00754591">
        <w:rPr>
          <w:rFonts w:ascii="Tahoma" w:hAnsi="Tahoma" w:cs="Tahoma"/>
          <w:bCs/>
          <w:sz w:val="22"/>
          <w:szCs w:val="22"/>
        </w:rPr>
        <w:t>This</w:t>
      </w:r>
      <w:r w:rsidR="00CC33E1" w:rsidRPr="00754591">
        <w:rPr>
          <w:rFonts w:ascii="Tahoma" w:hAnsi="Tahoma" w:cs="Tahoma"/>
          <w:bCs/>
          <w:sz w:val="22"/>
          <w:szCs w:val="22"/>
        </w:rPr>
        <w:t xml:space="preserve"> revision of an information collection will not only include a pre</w:t>
      </w:r>
      <w:r w:rsidR="00FB3834">
        <w:rPr>
          <w:rFonts w:ascii="Tahoma" w:hAnsi="Tahoma" w:cs="Tahoma"/>
          <w:bCs/>
          <w:sz w:val="22"/>
          <w:szCs w:val="22"/>
        </w:rPr>
        <w:t>-</w:t>
      </w:r>
      <w:r w:rsidR="00CC33E1" w:rsidRPr="00754591">
        <w:rPr>
          <w:rFonts w:ascii="Tahoma" w:hAnsi="Tahoma" w:cs="Tahoma"/>
          <w:bCs/>
          <w:sz w:val="22"/>
          <w:szCs w:val="22"/>
        </w:rPr>
        <w:t>decisional objection process for Healthy Forests Restoration Act (HFRA) projects, but will also include a pre</w:t>
      </w:r>
      <w:r w:rsidR="00FB3834">
        <w:rPr>
          <w:rFonts w:ascii="Tahoma" w:hAnsi="Tahoma" w:cs="Tahoma"/>
          <w:bCs/>
          <w:sz w:val="22"/>
          <w:szCs w:val="22"/>
        </w:rPr>
        <w:t>-</w:t>
      </w:r>
      <w:r w:rsidR="00CC33E1" w:rsidRPr="00754591">
        <w:rPr>
          <w:rFonts w:ascii="Tahoma" w:hAnsi="Tahoma" w:cs="Tahoma"/>
          <w:bCs/>
          <w:sz w:val="22"/>
          <w:szCs w:val="22"/>
        </w:rPr>
        <w:t>decisional objection process for projects and activities</w:t>
      </w:r>
      <w:r w:rsidR="00B40DCB">
        <w:rPr>
          <w:rFonts w:ascii="Tahoma" w:hAnsi="Tahoma" w:cs="Tahoma"/>
          <w:bCs/>
          <w:sz w:val="22"/>
          <w:szCs w:val="22"/>
        </w:rPr>
        <w:t xml:space="preserve"> implementing land </w:t>
      </w:r>
      <w:r w:rsidR="00654341">
        <w:rPr>
          <w:rFonts w:ascii="Tahoma" w:hAnsi="Tahoma" w:cs="Tahoma"/>
          <w:bCs/>
          <w:sz w:val="22"/>
          <w:szCs w:val="22"/>
        </w:rPr>
        <w:t xml:space="preserve">and resource </w:t>
      </w:r>
      <w:r w:rsidR="00CC33E1" w:rsidRPr="00754591">
        <w:rPr>
          <w:rFonts w:ascii="Tahoma" w:hAnsi="Tahoma" w:cs="Tahoma"/>
          <w:bCs/>
          <w:sz w:val="22"/>
          <w:szCs w:val="22"/>
        </w:rPr>
        <w:t xml:space="preserve">management plans.  </w:t>
      </w:r>
    </w:p>
    <w:p w:rsidR="00F85627" w:rsidRPr="00754591" w:rsidRDefault="00F85627"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rsidR="00CC33E1" w:rsidRPr="00754591" w:rsidRDefault="00CC33E1"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r w:rsidRPr="00754591">
        <w:rPr>
          <w:rFonts w:ascii="Tahoma" w:hAnsi="Tahoma" w:cs="Tahoma"/>
          <w:bCs/>
          <w:sz w:val="22"/>
          <w:szCs w:val="22"/>
        </w:rPr>
        <w:t>A comparison can be made between the revise</w:t>
      </w:r>
      <w:r w:rsidR="00466A6C">
        <w:rPr>
          <w:rFonts w:ascii="Tahoma" w:hAnsi="Tahoma" w:cs="Tahoma"/>
          <w:bCs/>
          <w:sz w:val="22"/>
          <w:szCs w:val="22"/>
        </w:rPr>
        <w:t xml:space="preserve">d </w:t>
      </w:r>
      <w:r w:rsidR="001B7232">
        <w:rPr>
          <w:rFonts w:ascii="Tahoma" w:hAnsi="Tahoma" w:cs="Tahoma"/>
          <w:bCs/>
          <w:sz w:val="22"/>
          <w:szCs w:val="22"/>
        </w:rPr>
        <w:t xml:space="preserve">36 CFR </w:t>
      </w:r>
      <w:r w:rsidR="00466A6C">
        <w:rPr>
          <w:rFonts w:ascii="Tahoma" w:hAnsi="Tahoma" w:cs="Tahoma"/>
          <w:bCs/>
          <w:sz w:val="22"/>
          <w:szCs w:val="22"/>
        </w:rPr>
        <w:t>218 Objection Process and the</w:t>
      </w:r>
      <w:r w:rsidR="00F85627" w:rsidRPr="00754591">
        <w:rPr>
          <w:rFonts w:ascii="Tahoma" w:hAnsi="Tahoma" w:cs="Tahoma"/>
          <w:bCs/>
          <w:sz w:val="22"/>
          <w:szCs w:val="22"/>
        </w:rPr>
        <w:t xml:space="preserve"> </w:t>
      </w:r>
      <w:r w:rsidR="001B7232">
        <w:rPr>
          <w:rFonts w:ascii="Tahoma" w:hAnsi="Tahoma" w:cs="Tahoma"/>
          <w:bCs/>
          <w:sz w:val="22"/>
          <w:szCs w:val="22"/>
        </w:rPr>
        <w:t xml:space="preserve">36 CFR </w:t>
      </w:r>
      <w:r w:rsidRPr="00754591">
        <w:rPr>
          <w:rFonts w:ascii="Tahoma" w:hAnsi="Tahoma" w:cs="Tahoma"/>
          <w:bCs/>
          <w:sz w:val="22"/>
          <w:szCs w:val="22"/>
        </w:rPr>
        <w:t>21</w:t>
      </w:r>
      <w:r w:rsidR="00466A6C">
        <w:rPr>
          <w:rFonts w:ascii="Tahoma" w:hAnsi="Tahoma" w:cs="Tahoma"/>
          <w:bCs/>
          <w:sz w:val="22"/>
          <w:szCs w:val="22"/>
        </w:rPr>
        <w:t>5 Appeal Process.  Based on the</w:t>
      </w:r>
      <w:r w:rsidR="00F85627" w:rsidRPr="00754591">
        <w:rPr>
          <w:rFonts w:ascii="Tahoma" w:hAnsi="Tahoma" w:cs="Tahoma"/>
          <w:bCs/>
          <w:sz w:val="22"/>
          <w:szCs w:val="22"/>
        </w:rPr>
        <w:t xml:space="preserve"> </w:t>
      </w:r>
      <w:r w:rsidR="001B7232">
        <w:rPr>
          <w:rFonts w:ascii="Tahoma" w:hAnsi="Tahoma" w:cs="Tahoma"/>
          <w:bCs/>
          <w:sz w:val="22"/>
          <w:szCs w:val="22"/>
        </w:rPr>
        <w:t xml:space="preserve">36 CFR </w:t>
      </w:r>
      <w:r w:rsidRPr="00754591">
        <w:rPr>
          <w:rFonts w:ascii="Tahoma" w:hAnsi="Tahoma" w:cs="Tahoma"/>
          <w:bCs/>
          <w:sz w:val="22"/>
          <w:szCs w:val="22"/>
        </w:rPr>
        <w:t xml:space="preserve">215 Appeal Outcome Statistics Report (Planning, Appeals, and Litigation System </w:t>
      </w:r>
      <w:hyperlink r:id="rId15" w:history="1">
        <w:r w:rsidRPr="00754591">
          <w:rPr>
            <w:rStyle w:val="Hyperlink"/>
            <w:rFonts w:ascii="Tahoma" w:hAnsi="Tahoma" w:cs="Tahoma"/>
            <w:bCs/>
            <w:sz w:val="22"/>
            <w:szCs w:val="22"/>
          </w:rPr>
          <w:t>http://fsweb.wo.fs.fed.us/em/pals/pals_doc_search.htm</w:t>
        </w:r>
      </w:hyperlink>
      <w:r w:rsidRPr="00754591">
        <w:rPr>
          <w:rFonts w:ascii="Tahoma" w:hAnsi="Tahoma" w:cs="Tahoma"/>
          <w:bCs/>
          <w:sz w:val="22"/>
          <w:szCs w:val="22"/>
        </w:rPr>
        <w:t xml:space="preserve">) a total number of 1,071 CFR 215 appeals were responded to for 455 projects between December 31, 2008 and December 31, 2011.  See Table </w:t>
      </w:r>
      <w:r w:rsidR="00F85627" w:rsidRPr="00754591">
        <w:rPr>
          <w:rFonts w:ascii="Tahoma" w:hAnsi="Tahoma" w:cs="Tahoma"/>
          <w:bCs/>
          <w:sz w:val="22"/>
          <w:szCs w:val="22"/>
        </w:rPr>
        <w:t>2</w:t>
      </w:r>
      <w:r w:rsidR="00705D9E" w:rsidRPr="00754591">
        <w:rPr>
          <w:rFonts w:ascii="Tahoma" w:hAnsi="Tahoma" w:cs="Tahoma"/>
          <w:bCs/>
          <w:sz w:val="22"/>
          <w:szCs w:val="22"/>
        </w:rPr>
        <w:t xml:space="preserve">, </w:t>
      </w:r>
      <w:r w:rsidR="00705D9E" w:rsidRPr="00754591">
        <w:rPr>
          <w:rFonts w:ascii="Tahoma" w:hAnsi="Tahoma" w:cs="Tahoma"/>
          <w:bCs/>
          <w:i/>
          <w:sz w:val="22"/>
          <w:szCs w:val="22"/>
        </w:rPr>
        <w:t>Average Number of</w:t>
      </w:r>
      <w:r w:rsidRPr="00754591">
        <w:rPr>
          <w:rFonts w:ascii="Tahoma" w:hAnsi="Tahoma" w:cs="Tahoma"/>
          <w:bCs/>
          <w:i/>
          <w:sz w:val="22"/>
          <w:szCs w:val="22"/>
        </w:rPr>
        <w:t xml:space="preserve"> Appeal</w:t>
      </w:r>
      <w:r w:rsidR="00705D9E" w:rsidRPr="00754591">
        <w:rPr>
          <w:rFonts w:ascii="Tahoma" w:hAnsi="Tahoma" w:cs="Tahoma"/>
          <w:bCs/>
          <w:i/>
          <w:sz w:val="22"/>
          <w:szCs w:val="22"/>
        </w:rPr>
        <w:t>s received.</w:t>
      </w:r>
      <w:r w:rsidRPr="00754591">
        <w:rPr>
          <w:rFonts w:ascii="Tahoma" w:hAnsi="Tahoma" w:cs="Tahoma"/>
          <w:bCs/>
          <w:sz w:val="22"/>
          <w:szCs w:val="22"/>
        </w:rPr>
        <w:t xml:space="preserve">  </w:t>
      </w:r>
    </w:p>
    <w:p w:rsidR="00705D9E"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rsidR="00CC33E1" w:rsidRPr="00754591" w:rsidRDefault="00CC33E1"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i/>
          <w:sz w:val="22"/>
          <w:szCs w:val="22"/>
        </w:rPr>
      </w:pPr>
      <w:r w:rsidRPr="00754591">
        <w:rPr>
          <w:rFonts w:ascii="Tahoma" w:hAnsi="Tahoma" w:cs="Tahoma"/>
          <w:bCs/>
          <w:sz w:val="22"/>
          <w:szCs w:val="22"/>
        </w:rPr>
        <w:t xml:space="preserve">This report contains the best available information.  Based on this data there is an estimated expectant average of 2 respondents per projects and </w:t>
      </w:r>
      <w:r w:rsidR="00B40DCB">
        <w:rPr>
          <w:rFonts w:ascii="Tahoma" w:hAnsi="Tahoma" w:cs="Tahoma"/>
          <w:bCs/>
          <w:sz w:val="22"/>
          <w:szCs w:val="22"/>
        </w:rPr>
        <w:t xml:space="preserve">activities implementing land </w:t>
      </w:r>
      <w:r w:rsidR="00654341">
        <w:rPr>
          <w:rFonts w:ascii="Tahoma" w:hAnsi="Tahoma" w:cs="Tahoma"/>
          <w:bCs/>
          <w:sz w:val="22"/>
          <w:szCs w:val="22"/>
        </w:rPr>
        <w:t xml:space="preserve">and resource </w:t>
      </w:r>
      <w:r w:rsidR="008B4064">
        <w:rPr>
          <w:rFonts w:ascii="Tahoma" w:hAnsi="Tahoma" w:cs="Tahoma"/>
          <w:bCs/>
          <w:sz w:val="22"/>
          <w:szCs w:val="22"/>
        </w:rPr>
        <w:t xml:space="preserve">management plans, </w:t>
      </w:r>
      <w:r w:rsidRPr="00754591">
        <w:rPr>
          <w:rFonts w:ascii="Tahoma" w:hAnsi="Tahoma" w:cs="Tahoma"/>
          <w:bCs/>
          <w:sz w:val="22"/>
          <w:szCs w:val="22"/>
        </w:rPr>
        <w:t xml:space="preserve">documented with a Record of Decision or Decision Notice.  </w:t>
      </w:r>
    </w:p>
    <w:p w:rsidR="00705D9E"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rsidR="00705D9E" w:rsidRPr="00754591" w:rsidRDefault="00F85627"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rPr>
          <w:rFonts w:ascii="Tahoma" w:hAnsi="Tahoma" w:cs="Tahoma"/>
          <w:bCs/>
          <w:i/>
          <w:sz w:val="22"/>
          <w:szCs w:val="22"/>
        </w:rPr>
      </w:pPr>
      <w:r w:rsidRPr="00754591">
        <w:rPr>
          <w:rFonts w:ascii="Tahoma" w:hAnsi="Tahoma" w:cs="Tahoma"/>
          <w:bCs/>
          <w:sz w:val="22"/>
          <w:szCs w:val="22"/>
          <w:vertAlign w:val="superscript"/>
        </w:rPr>
        <w:t xml:space="preserve">2 </w:t>
      </w:r>
      <w:r w:rsidR="00705D9E" w:rsidRPr="00754591">
        <w:rPr>
          <w:rFonts w:ascii="Tahoma" w:hAnsi="Tahoma" w:cs="Tahoma"/>
          <w:bCs/>
          <w:sz w:val="22"/>
          <w:szCs w:val="22"/>
        </w:rPr>
        <w:t xml:space="preserve">An estimated total of 375 </w:t>
      </w:r>
      <w:r w:rsidRPr="00754591">
        <w:rPr>
          <w:rFonts w:ascii="Tahoma" w:hAnsi="Tahoma" w:cs="Tahoma"/>
          <w:bCs/>
          <w:sz w:val="22"/>
          <w:szCs w:val="22"/>
        </w:rPr>
        <w:t xml:space="preserve">annual responses.  </w:t>
      </w:r>
      <w:r w:rsidR="00705D9E" w:rsidRPr="00754591">
        <w:rPr>
          <w:rFonts w:ascii="Tahoma" w:hAnsi="Tahoma" w:cs="Tahoma"/>
          <w:bCs/>
          <w:sz w:val="22"/>
          <w:szCs w:val="22"/>
        </w:rPr>
        <w:t xml:space="preserve">This estimate is derived by dividing 1,071 (total responses) by 3 (number of years) and adding 5% to the total of 357 to account for the estimated additional projects and activities that will collect information under this control number.  </w:t>
      </w:r>
    </w:p>
    <w:p w:rsidR="001828D0" w:rsidRPr="00754591" w:rsidRDefault="00F85627"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rPr>
          <w:rFonts w:ascii="Tahoma" w:hAnsi="Tahoma" w:cs="Tahoma"/>
          <w:bCs/>
          <w:sz w:val="22"/>
          <w:szCs w:val="22"/>
        </w:rPr>
      </w:pPr>
      <w:r w:rsidRPr="00754591">
        <w:rPr>
          <w:rFonts w:ascii="Tahoma" w:hAnsi="Tahoma" w:cs="Tahoma"/>
          <w:bCs/>
          <w:sz w:val="22"/>
          <w:szCs w:val="22"/>
          <w:vertAlign w:val="superscript"/>
        </w:rPr>
        <w:t>3</w:t>
      </w:r>
      <w:r w:rsidRPr="00754591">
        <w:rPr>
          <w:rFonts w:ascii="Tahoma" w:hAnsi="Tahoma" w:cs="Tahoma"/>
          <w:bCs/>
          <w:sz w:val="22"/>
          <w:szCs w:val="22"/>
        </w:rPr>
        <w:t xml:space="preserve"> </w:t>
      </w:r>
      <w:r w:rsidR="00705D9E" w:rsidRPr="00754591">
        <w:rPr>
          <w:rFonts w:ascii="Tahoma" w:hAnsi="Tahoma" w:cs="Tahoma"/>
          <w:bCs/>
          <w:sz w:val="22"/>
          <w:szCs w:val="22"/>
        </w:rPr>
        <w:t>An estimated 8 hours per response. This is an estim</w:t>
      </w:r>
      <w:r w:rsidRPr="00754591">
        <w:rPr>
          <w:rFonts w:ascii="Tahoma" w:hAnsi="Tahoma" w:cs="Tahoma"/>
          <w:bCs/>
          <w:sz w:val="22"/>
          <w:szCs w:val="22"/>
        </w:rPr>
        <w:t>ate based on the consultation of previous respondents and by reviewing previously received</w:t>
      </w:r>
      <w:r w:rsidR="00705D9E" w:rsidRPr="00754591">
        <w:rPr>
          <w:rFonts w:ascii="Tahoma" w:hAnsi="Tahoma" w:cs="Tahoma"/>
          <w:bCs/>
          <w:sz w:val="22"/>
          <w:szCs w:val="22"/>
        </w:rPr>
        <w:t xml:space="preserve"> appeals. </w:t>
      </w:r>
    </w:p>
    <w:p w:rsidR="007C16F9" w:rsidRPr="00706258" w:rsidRDefault="00C37CD8" w:rsidP="00706258">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754591">
        <w:rPr>
          <w:rFonts w:ascii="Tahoma" w:hAnsi="Tahoma" w:cs="Tahoma"/>
          <w:b/>
          <w:bCs/>
          <w:sz w:val="22"/>
          <w:szCs w:val="22"/>
        </w:rPr>
        <w:t>Record</w:t>
      </w:r>
      <w:r w:rsidR="00890057" w:rsidRPr="00754591">
        <w:rPr>
          <w:rFonts w:ascii="Tahoma" w:hAnsi="Tahoma" w:cs="Tahoma"/>
          <w:b/>
          <w:bCs/>
          <w:sz w:val="22"/>
          <w:szCs w:val="22"/>
        </w:rPr>
        <w:t xml:space="preserve"> </w:t>
      </w:r>
      <w:r w:rsidRPr="00754591">
        <w:rPr>
          <w:rFonts w:ascii="Tahoma" w:hAnsi="Tahoma" w:cs="Tahoma"/>
          <w:b/>
          <w:bCs/>
          <w:sz w:val="22"/>
          <w:szCs w:val="22"/>
        </w:rPr>
        <w:t>keeping burden should be addressed separately</w:t>
      </w:r>
      <w:r w:rsidR="007C16F9">
        <w:rPr>
          <w:rFonts w:ascii="Tahoma" w:hAnsi="Tahoma" w:cs="Tahoma"/>
          <w:b/>
          <w:bCs/>
          <w:sz w:val="22"/>
          <w:szCs w:val="22"/>
        </w:rPr>
        <w:t>:</w:t>
      </w:r>
      <w:r w:rsidRPr="00754591">
        <w:rPr>
          <w:rFonts w:ascii="Tahoma" w:hAnsi="Tahoma" w:cs="Tahoma"/>
          <w:b/>
          <w:bCs/>
          <w:sz w:val="22"/>
          <w:szCs w:val="22"/>
        </w:rPr>
        <w:t xml:space="preserve"> </w:t>
      </w:r>
    </w:p>
    <w:p w:rsidR="00CB0A80" w:rsidRPr="00754591" w:rsidRDefault="00CC33E1" w:rsidP="00706258">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754591">
        <w:rPr>
          <w:rFonts w:ascii="Tahoma" w:hAnsi="Tahoma" w:cs="Tahoma"/>
          <w:bCs/>
          <w:sz w:val="22"/>
          <w:szCs w:val="22"/>
        </w:rPr>
        <w:t>There are no recordkeeping requirements</w:t>
      </w:r>
      <w:r w:rsidR="007C16F9">
        <w:rPr>
          <w:rFonts w:ascii="Tahoma" w:hAnsi="Tahoma" w:cs="Tahoma"/>
          <w:bCs/>
          <w:sz w:val="22"/>
          <w:szCs w:val="22"/>
        </w:rPr>
        <w:t xml:space="preserve"> placed upon the respondents</w:t>
      </w:r>
      <w:r w:rsidRPr="00754591">
        <w:rPr>
          <w:rFonts w:ascii="Tahoma" w:hAnsi="Tahoma" w:cs="Tahoma"/>
          <w:bCs/>
          <w:sz w:val="22"/>
          <w:szCs w:val="22"/>
        </w:rPr>
        <w:t>.</w:t>
      </w:r>
    </w:p>
    <w:p w:rsidR="00890057" w:rsidRPr="00754591"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754591">
        <w:rPr>
          <w:rFonts w:ascii="Tahoma" w:hAnsi="Tahoma" w:cs="Tahoma"/>
          <w:b/>
          <w:bCs/>
          <w:sz w:val="22"/>
          <w:szCs w:val="22"/>
        </w:rPr>
        <w:t>•</w:t>
      </w:r>
      <w:r w:rsidRPr="00754591">
        <w:rPr>
          <w:rFonts w:ascii="Tahoma" w:hAnsi="Tahoma" w:cs="Tahoma"/>
          <w:b/>
          <w:bCs/>
          <w:sz w:val="22"/>
          <w:szCs w:val="22"/>
        </w:rPr>
        <w:tab/>
        <w:t>Provide estimates of annualized cost to respondents for the hour burdens for collections of information, identifying and using appropriate wage rate categories.</w:t>
      </w:r>
    </w:p>
    <w:p w:rsidR="00363595" w:rsidRPr="00754591" w:rsidRDefault="00363595" w:rsidP="00363595">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i/>
          <w:sz w:val="22"/>
          <w:szCs w:val="22"/>
        </w:rPr>
      </w:pPr>
    </w:p>
    <w:tbl>
      <w:tblPr>
        <w:tblW w:w="9693" w:type="dxa"/>
        <w:jc w:val="center"/>
        <w:tblInd w:w="3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1123"/>
        <w:gridCol w:w="1823"/>
        <w:gridCol w:w="2236"/>
      </w:tblGrid>
      <w:tr w:rsidR="00B33F92" w:rsidRPr="00754591" w:rsidTr="00D03880">
        <w:trPr>
          <w:trHeight w:val="182"/>
          <w:tblHeader/>
          <w:jc w:val="center"/>
        </w:trPr>
        <w:tc>
          <w:tcPr>
            <w:tcW w:w="4511" w:type="dxa"/>
          </w:tcPr>
          <w:p w:rsidR="00B33F92" w:rsidRPr="00754591" w:rsidRDefault="00B33F92" w:rsidP="00DD6039">
            <w:pPr>
              <w:jc w:val="center"/>
              <w:rPr>
                <w:rFonts w:ascii="Tahoma" w:hAnsi="Tahoma" w:cs="Tahoma"/>
                <w:b/>
                <w:bCs/>
                <w:sz w:val="18"/>
                <w:szCs w:val="18"/>
              </w:rPr>
            </w:pPr>
          </w:p>
          <w:p w:rsidR="00B33F92" w:rsidRPr="00754591" w:rsidRDefault="00B33F92" w:rsidP="00DD6039">
            <w:pPr>
              <w:jc w:val="center"/>
              <w:rPr>
                <w:rFonts w:ascii="Tahoma" w:hAnsi="Tahoma" w:cs="Tahoma"/>
                <w:b/>
                <w:bCs/>
                <w:sz w:val="18"/>
                <w:szCs w:val="18"/>
              </w:rPr>
            </w:pPr>
            <w:r w:rsidRPr="00754591">
              <w:rPr>
                <w:rFonts w:ascii="Tahoma" w:hAnsi="Tahoma" w:cs="Tahoma"/>
                <w:b/>
                <w:bCs/>
                <w:sz w:val="18"/>
                <w:szCs w:val="18"/>
              </w:rPr>
              <w:t>(a)</w:t>
            </w:r>
          </w:p>
          <w:p w:rsidR="00B33F92" w:rsidRPr="00754591" w:rsidRDefault="00B33F92" w:rsidP="00DD6039">
            <w:pPr>
              <w:jc w:val="center"/>
              <w:rPr>
                <w:rFonts w:ascii="Tahoma" w:hAnsi="Tahoma" w:cs="Tahoma"/>
                <w:b/>
                <w:smallCaps/>
                <w:sz w:val="18"/>
                <w:szCs w:val="18"/>
              </w:rPr>
            </w:pPr>
            <w:r w:rsidRPr="00754591">
              <w:rPr>
                <w:rFonts w:ascii="Tahoma" w:hAnsi="Tahoma" w:cs="Tahoma"/>
                <w:b/>
                <w:bCs/>
                <w:sz w:val="18"/>
                <w:szCs w:val="18"/>
              </w:rPr>
              <w:t>Description of the Collection Activity</w:t>
            </w:r>
          </w:p>
        </w:tc>
        <w:tc>
          <w:tcPr>
            <w:tcW w:w="1123" w:type="dxa"/>
            <w:noWrap/>
            <w:vAlign w:val="center"/>
          </w:tcPr>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(b)</w:t>
            </w:r>
          </w:p>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Annual</w:t>
            </w:r>
          </w:p>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 xml:space="preserve">Burden Hours </w:t>
            </w:r>
          </w:p>
        </w:tc>
        <w:tc>
          <w:tcPr>
            <w:tcW w:w="1823" w:type="dxa"/>
            <w:noWrap/>
            <w:vAlign w:val="center"/>
          </w:tcPr>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(c)</w:t>
            </w:r>
          </w:p>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X Hourly Rate</w:t>
            </w:r>
            <w:r w:rsidRPr="00754591">
              <w:rPr>
                <w:rFonts w:ascii="Tahoma" w:hAnsi="Tahoma" w:cs="Tahoma"/>
                <w:b/>
                <w:bCs/>
                <w:sz w:val="18"/>
                <w:szCs w:val="18"/>
                <w:vertAlign w:val="superscript"/>
              </w:rPr>
              <w:t>1</w:t>
            </w:r>
          </w:p>
          <w:p w:rsidR="00B33F92" w:rsidRPr="00754591" w:rsidRDefault="00B33F92" w:rsidP="00DD6039">
            <w:pPr>
              <w:widowControl/>
              <w:autoSpaceDE/>
              <w:autoSpaceDN/>
              <w:adjustRightInd/>
              <w:jc w:val="center"/>
              <w:rPr>
                <w:rFonts w:ascii="Tahoma" w:hAnsi="Tahoma" w:cs="Tahoma"/>
                <w:b/>
                <w:bCs/>
                <w:sz w:val="18"/>
                <w:szCs w:val="18"/>
              </w:rPr>
            </w:pPr>
          </w:p>
        </w:tc>
        <w:tc>
          <w:tcPr>
            <w:tcW w:w="2236" w:type="dxa"/>
            <w:vAlign w:val="center"/>
          </w:tcPr>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(d)</w:t>
            </w:r>
          </w:p>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 Annual Cost to Respondents</w:t>
            </w:r>
          </w:p>
        </w:tc>
      </w:tr>
      <w:tr w:rsidR="00B33F92" w:rsidRPr="00754591" w:rsidTr="00D03880">
        <w:trPr>
          <w:trHeight w:val="483"/>
          <w:jc w:val="center"/>
        </w:trPr>
        <w:tc>
          <w:tcPr>
            <w:tcW w:w="4511" w:type="dxa"/>
            <w:vAlign w:val="center"/>
          </w:tcPr>
          <w:p w:rsidR="00B33F92" w:rsidRPr="00754591" w:rsidRDefault="00B33F92" w:rsidP="00B33F92">
            <w:pPr>
              <w:spacing w:line="276" w:lineRule="auto"/>
              <w:jc w:val="center"/>
              <w:rPr>
                <w:rFonts w:ascii="Tahoma" w:hAnsi="Tahoma" w:cs="Tahoma"/>
                <w:sz w:val="18"/>
                <w:szCs w:val="18"/>
              </w:rPr>
            </w:pPr>
            <w:r w:rsidRPr="00754591">
              <w:rPr>
                <w:rFonts w:ascii="Tahoma" w:hAnsi="Tahoma" w:cs="Tahoma"/>
                <w:sz w:val="18"/>
                <w:szCs w:val="18"/>
              </w:rPr>
              <w:t xml:space="preserve">Filing of Objection to </w:t>
            </w:r>
            <w:r w:rsidR="00D3539A">
              <w:rPr>
                <w:rFonts w:ascii="Tahoma" w:hAnsi="Tahoma" w:cs="Tahoma"/>
                <w:sz w:val="18"/>
                <w:szCs w:val="18"/>
              </w:rPr>
              <w:t xml:space="preserve">Projects </w:t>
            </w:r>
            <w:r w:rsidR="00B40DCB">
              <w:rPr>
                <w:rFonts w:ascii="Tahoma" w:hAnsi="Tahoma" w:cs="Tahoma"/>
                <w:sz w:val="18"/>
                <w:szCs w:val="18"/>
              </w:rPr>
              <w:t xml:space="preserve">and Activities Implementing </w:t>
            </w:r>
            <w:r w:rsidRPr="00754591">
              <w:rPr>
                <w:rFonts w:ascii="Tahoma" w:hAnsi="Tahoma" w:cs="Tahoma"/>
                <w:sz w:val="18"/>
                <w:szCs w:val="18"/>
              </w:rPr>
              <w:t xml:space="preserve">Land </w:t>
            </w:r>
            <w:r w:rsidR="00654341">
              <w:rPr>
                <w:rFonts w:ascii="Tahoma" w:hAnsi="Tahoma" w:cs="Tahoma"/>
                <w:sz w:val="18"/>
                <w:szCs w:val="18"/>
              </w:rPr>
              <w:t xml:space="preserve">and Resource </w:t>
            </w:r>
            <w:r w:rsidRPr="00754591">
              <w:rPr>
                <w:rFonts w:ascii="Tahoma" w:hAnsi="Tahoma" w:cs="Tahoma"/>
                <w:sz w:val="18"/>
                <w:szCs w:val="18"/>
              </w:rPr>
              <w:t>Management Plan</w:t>
            </w:r>
            <w:r w:rsidR="009D69E3">
              <w:rPr>
                <w:rFonts w:ascii="Tahoma" w:hAnsi="Tahoma" w:cs="Tahoma"/>
                <w:sz w:val="18"/>
                <w:szCs w:val="18"/>
              </w:rPr>
              <w:t>s</w:t>
            </w:r>
          </w:p>
        </w:tc>
        <w:tc>
          <w:tcPr>
            <w:tcW w:w="1123" w:type="dxa"/>
            <w:noWrap/>
            <w:vAlign w:val="center"/>
          </w:tcPr>
          <w:p w:rsidR="00B33F92" w:rsidRPr="00754591" w:rsidRDefault="00B33F92" w:rsidP="00B33F92">
            <w:pPr>
              <w:jc w:val="center"/>
              <w:rPr>
                <w:rFonts w:ascii="Tahoma" w:hAnsi="Tahoma" w:cs="Tahoma"/>
                <w:sz w:val="18"/>
                <w:szCs w:val="18"/>
              </w:rPr>
            </w:pPr>
            <w:r w:rsidRPr="00754591">
              <w:rPr>
                <w:rFonts w:ascii="Tahoma" w:hAnsi="Tahoma" w:cs="Tahoma"/>
                <w:sz w:val="18"/>
                <w:szCs w:val="18"/>
              </w:rPr>
              <w:t>3</w:t>
            </w:r>
            <w:r w:rsidR="00D03880" w:rsidRPr="00754591">
              <w:rPr>
                <w:rFonts w:ascii="Tahoma" w:hAnsi="Tahoma" w:cs="Tahoma"/>
                <w:sz w:val="18"/>
                <w:szCs w:val="18"/>
              </w:rPr>
              <w:t>,</w:t>
            </w:r>
            <w:r w:rsidRPr="00754591">
              <w:rPr>
                <w:rFonts w:ascii="Tahoma" w:hAnsi="Tahoma" w:cs="Tahoma"/>
                <w:sz w:val="18"/>
                <w:szCs w:val="18"/>
              </w:rPr>
              <w:t>000</w:t>
            </w:r>
          </w:p>
        </w:tc>
        <w:tc>
          <w:tcPr>
            <w:tcW w:w="1823" w:type="dxa"/>
            <w:noWrap/>
            <w:vAlign w:val="center"/>
          </w:tcPr>
          <w:p w:rsidR="00B33F92" w:rsidRPr="00754591" w:rsidRDefault="00B33F92" w:rsidP="00B33F92">
            <w:pPr>
              <w:jc w:val="center"/>
              <w:rPr>
                <w:rFonts w:ascii="Tahoma" w:hAnsi="Tahoma" w:cs="Tahoma"/>
                <w:sz w:val="18"/>
                <w:szCs w:val="18"/>
              </w:rPr>
            </w:pPr>
            <w:r w:rsidRPr="00754591">
              <w:rPr>
                <w:rFonts w:ascii="Tahoma" w:hAnsi="Tahoma" w:cs="Tahoma"/>
                <w:sz w:val="18"/>
                <w:szCs w:val="18"/>
              </w:rPr>
              <w:t>$10.20</w:t>
            </w:r>
          </w:p>
        </w:tc>
        <w:tc>
          <w:tcPr>
            <w:tcW w:w="2236" w:type="dxa"/>
            <w:vAlign w:val="center"/>
          </w:tcPr>
          <w:p w:rsidR="00B33F92" w:rsidRPr="00754591" w:rsidRDefault="00B33F92" w:rsidP="00B33F92">
            <w:pPr>
              <w:widowControl/>
              <w:autoSpaceDE/>
              <w:autoSpaceDN/>
              <w:adjustRightInd/>
              <w:jc w:val="center"/>
              <w:rPr>
                <w:rFonts w:ascii="Tahoma" w:hAnsi="Tahoma" w:cs="Tahoma"/>
                <w:sz w:val="18"/>
                <w:szCs w:val="18"/>
              </w:rPr>
            </w:pPr>
            <w:r w:rsidRPr="00754591">
              <w:rPr>
                <w:rFonts w:ascii="Tahoma" w:hAnsi="Tahoma" w:cs="Tahoma"/>
                <w:sz w:val="18"/>
                <w:szCs w:val="18"/>
              </w:rPr>
              <w:t>$30,600</w:t>
            </w:r>
          </w:p>
        </w:tc>
      </w:tr>
    </w:tbl>
    <w:p w:rsidR="00CC4AB3" w:rsidRPr="00754591" w:rsidRDefault="00CC4AB3" w:rsidP="00012F7B">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18"/>
          <w:szCs w:val="18"/>
        </w:rPr>
      </w:pPr>
    </w:p>
    <w:p w:rsidR="000208DF" w:rsidRDefault="00873AC1" w:rsidP="00012F7B">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754591">
        <w:rPr>
          <w:rFonts w:ascii="Tahoma" w:hAnsi="Tahoma" w:cs="Tahoma"/>
          <w:bCs/>
          <w:sz w:val="18"/>
          <w:szCs w:val="18"/>
          <w:vertAlign w:val="superscript"/>
        </w:rPr>
        <w:t xml:space="preserve"> </w:t>
      </w:r>
      <w:r w:rsidR="00B33F92" w:rsidRPr="00754591">
        <w:rPr>
          <w:rFonts w:ascii="Tahoma" w:hAnsi="Tahoma" w:cs="Tahoma"/>
          <w:bCs/>
          <w:sz w:val="18"/>
          <w:szCs w:val="18"/>
          <w:vertAlign w:val="superscript"/>
        </w:rPr>
        <w:t>1</w:t>
      </w:r>
      <w:r w:rsidRPr="00754591">
        <w:rPr>
          <w:rFonts w:ascii="Tahoma" w:hAnsi="Tahoma" w:cs="Tahoma"/>
          <w:bCs/>
          <w:sz w:val="18"/>
          <w:szCs w:val="18"/>
        </w:rPr>
        <w:t xml:space="preserve"> </w:t>
      </w:r>
      <w:r w:rsidR="00B33F92" w:rsidRPr="00754591">
        <w:rPr>
          <w:rFonts w:ascii="Tahoma" w:hAnsi="Tahoma" w:cs="Tahoma"/>
          <w:bCs/>
          <w:sz w:val="22"/>
          <w:szCs w:val="22"/>
        </w:rPr>
        <w:t xml:space="preserve">Due to the fact that any citizen may appeal any </w:t>
      </w:r>
      <w:r w:rsidR="00D3539A">
        <w:rPr>
          <w:rFonts w:ascii="Tahoma" w:hAnsi="Tahoma" w:cs="Tahoma"/>
          <w:bCs/>
          <w:sz w:val="22"/>
          <w:szCs w:val="22"/>
        </w:rPr>
        <w:t xml:space="preserve">project or </w:t>
      </w:r>
      <w:r w:rsidR="00866C9C">
        <w:rPr>
          <w:rFonts w:ascii="Tahoma" w:hAnsi="Tahoma" w:cs="Tahoma"/>
          <w:bCs/>
          <w:sz w:val="22"/>
          <w:szCs w:val="22"/>
        </w:rPr>
        <w:t>activity</w:t>
      </w:r>
      <w:r w:rsidR="00D3539A">
        <w:rPr>
          <w:rFonts w:ascii="Tahoma" w:hAnsi="Tahoma" w:cs="Tahoma"/>
          <w:bCs/>
          <w:sz w:val="22"/>
          <w:szCs w:val="22"/>
        </w:rPr>
        <w:t xml:space="preserve"> implementing</w:t>
      </w:r>
      <w:r w:rsidR="004E045A">
        <w:rPr>
          <w:rFonts w:ascii="Tahoma" w:hAnsi="Tahoma" w:cs="Tahoma"/>
          <w:bCs/>
          <w:sz w:val="22"/>
          <w:szCs w:val="22"/>
        </w:rPr>
        <w:t xml:space="preserve"> </w:t>
      </w:r>
      <w:r w:rsidR="00B40DCB">
        <w:rPr>
          <w:rFonts w:ascii="Tahoma" w:hAnsi="Tahoma" w:cs="Tahoma"/>
          <w:bCs/>
          <w:sz w:val="22"/>
          <w:szCs w:val="22"/>
        </w:rPr>
        <w:t>land</w:t>
      </w:r>
      <w:r w:rsidR="00D3539A">
        <w:rPr>
          <w:rFonts w:ascii="Tahoma" w:hAnsi="Tahoma" w:cs="Tahoma"/>
          <w:bCs/>
          <w:sz w:val="22"/>
          <w:szCs w:val="22"/>
        </w:rPr>
        <w:t xml:space="preserve"> </w:t>
      </w:r>
      <w:r w:rsidR="00654341">
        <w:rPr>
          <w:rFonts w:ascii="Tahoma" w:hAnsi="Tahoma" w:cs="Tahoma"/>
          <w:bCs/>
          <w:sz w:val="22"/>
          <w:szCs w:val="22"/>
        </w:rPr>
        <w:t xml:space="preserve">and resource </w:t>
      </w:r>
      <w:r w:rsidR="00B33F92" w:rsidRPr="00754591">
        <w:rPr>
          <w:rFonts w:ascii="Tahoma" w:hAnsi="Tahoma" w:cs="Tahoma"/>
          <w:bCs/>
          <w:sz w:val="22"/>
          <w:szCs w:val="22"/>
        </w:rPr>
        <w:t>management plan</w:t>
      </w:r>
      <w:r w:rsidR="009D69E3">
        <w:rPr>
          <w:rFonts w:ascii="Tahoma" w:hAnsi="Tahoma" w:cs="Tahoma"/>
          <w:bCs/>
          <w:sz w:val="22"/>
          <w:szCs w:val="22"/>
        </w:rPr>
        <w:t>s</w:t>
      </w:r>
      <w:r w:rsidR="00D3539A">
        <w:rPr>
          <w:rFonts w:ascii="Tahoma" w:hAnsi="Tahoma" w:cs="Tahoma"/>
          <w:bCs/>
          <w:sz w:val="22"/>
          <w:szCs w:val="22"/>
        </w:rPr>
        <w:t xml:space="preserve"> documented by a Record of Decision or Decision Notice</w:t>
      </w:r>
      <w:r w:rsidR="00B33F92" w:rsidRPr="00754591">
        <w:rPr>
          <w:rFonts w:ascii="Tahoma" w:hAnsi="Tahoma" w:cs="Tahoma"/>
          <w:bCs/>
          <w:sz w:val="22"/>
          <w:szCs w:val="22"/>
        </w:rPr>
        <w:t xml:space="preserve">, </w:t>
      </w:r>
      <w:r w:rsidR="00B7427C">
        <w:rPr>
          <w:rFonts w:ascii="Tahoma" w:hAnsi="Tahoma" w:cs="Tahoma"/>
          <w:bCs/>
          <w:sz w:val="22"/>
          <w:szCs w:val="22"/>
        </w:rPr>
        <w:t xml:space="preserve">and </w:t>
      </w:r>
      <w:r w:rsidR="00866C9C">
        <w:rPr>
          <w:rFonts w:ascii="Tahoma" w:hAnsi="Tahoma" w:cs="Tahoma"/>
          <w:bCs/>
          <w:sz w:val="22"/>
          <w:szCs w:val="22"/>
        </w:rPr>
        <w:t xml:space="preserve">since any person from any background and occupation can file such objection, </w:t>
      </w:r>
      <w:r w:rsidR="00B33F92" w:rsidRPr="00754591">
        <w:rPr>
          <w:rFonts w:ascii="Tahoma" w:hAnsi="Tahoma" w:cs="Tahoma"/>
          <w:bCs/>
          <w:sz w:val="22"/>
          <w:szCs w:val="22"/>
        </w:rPr>
        <w:t xml:space="preserve">the estimated annual cost to respondents is derived by taking the </w:t>
      </w:r>
      <w:r w:rsidR="00D03880" w:rsidRPr="00754591">
        <w:rPr>
          <w:rFonts w:ascii="Tahoma" w:hAnsi="Tahoma" w:cs="Tahoma"/>
          <w:bCs/>
          <w:sz w:val="22"/>
          <w:szCs w:val="22"/>
        </w:rPr>
        <w:t xml:space="preserve">average </w:t>
      </w:r>
      <w:r w:rsidR="00B33F92" w:rsidRPr="00754591">
        <w:rPr>
          <w:rFonts w:ascii="Tahoma" w:hAnsi="Tahoma" w:cs="Tahoma"/>
          <w:bCs/>
          <w:sz w:val="22"/>
          <w:szCs w:val="22"/>
        </w:rPr>
        <w:t>national hourly earnings of all workers (taken from Real Earnings 2012, Bureau of Labor Statistics</w:t>
      </w:r>
      <w:r w:rsidR="00D03880" w:rsidRPr="00754591">
        <w:rPr>
          <w:rFonts w:ascii="Tahoma" w:hAnsi="Tahoma" w:cs="Tahoma"/>
          <w:bCs/>
          <w:sz w:val="22"/>
          <w:szCs w:val="22"/>
        </w:rPr>
        <w:t xml:space="preserve"> </w:t>
      </w:r>
      <w:hyperlink r:id="rId16" w:history="1">
        <w:r w:rsidR="00B33F92" w:rsidRPr="00754591">
          <w:rPr>
            <w:rStyle w:val="Hyperlink"/>
            <w:rFonts w:ascii="Tahoma" w:hAnsi="Tahoma" w:cs="Tahoma"/>
            <w:bCs/>
            <w:sz w:val="22"/>
            <w:szCs w:val="22"/>
          </w:rPr>
          <w:t>http://www.bls.gov/news.release/pdf/realer.pdf</w:t>
        </w:r>
      </w:hyperlink>
      <w:r w:rsidR="00B33F92" w:rsidRPr="00754591">
        <w:rPr>
          <w:rFonts w:ascii="Tahoma" w:hAnsi="Tahoma" w:cs="Tahoma"/>
          <w:bCs/>
          <w:sz w:val="22"/>
          <w:szCs w:val="22"/>
        </w:rPr>
        <w:t xml:space="preserve">) and multiplying that number by the total annual burden hours. </w:t>
      </w:r>
    </w:p>
    <w:p w:rsidR="00873AC1" w:rsidRPr="00754591" w:rsidRDefault="00B33F92" w:rsidP="00012F7B">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18"/>
          <w:szCs w:val="18"/>
        </w:rPr>
      </w:pPr>
      <w:r w:rsidRPr="00754591">
        <w:rPr>
          <w:rFonts w:ascii="Tahoma" w:hAnsi="Tahoma" w:cs="Tahoma"/>
          <w:bCs/>
          <w:sz w:val="22"/>
          <w:szCs w:val="22"/>
        </w:rPr>
        <w:t xml:space="preserve"> </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Provide estimates of t</w:t>
      </w:r>
      <w:r w:rsidR="00EC10FF" w:rsidRPr="00754591">
        <w:rPr>
          <w:rFonts w:ascii="Tahoma" w:hAnsi="Tahoma" w:cs="Tahoma"/>
          <w:b/>
          <w:bCs/>
          <w:sz w:val="22"/>
          <w:szCs w:val="22"/>
        </w:rPr>
        <w:t xml:space="preserve">he total annual cost burden to </w:t>
      </w:r>
      <w:r w:rsidRPr="00754591">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618CE" w:rsidRPr="00754591" w:rsidRDefault="00EC10FF" w:rsidP="006618C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There are no capital operation and maintenance costs.</w:t>
      </w:r>
    </w:p>
    <w:p w:rsidR="00C748B1" w:rsidRDefault="006C3ACE" w:rsidP="00F5224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9553F8" w:rsidRPr="00754591">
        <w:rPr>
          <w:rFonts w:ascii="Tahoma" w:hAnsi="Tahoma" w:cs="Tahoma"/>
          <w:b/>
          <w:bCs/>
          <w:sz w:val="22"/>
          <w:szCs w:val="22"/>
        </w:rPr>
        <w:t xml:space="preserve">Provide </w:t>
      </w:r>
      <w:r w:rsidR="00C37CD8" w:rsidRPr="00754591">
        <w:rPr>
          <w:rFonts w:ascii="Tahoma" w:hAnsi="Tahoma" w:cs="Tahoma"/>
          <w:b/>
          <w:bCs/>
          <w:sz w:val="22"/>
          <w:szCs w:val="22"/>
        </w:rPr>
        <w:t>estimates of annualized cost to the Federal government</w:t>
      </w:r>
      <w:r w:rsidR="00C37CD8" w:rsidRPr="00754591">
        <w:rPr>
          <w:rFonts w:ascii="Tahoma" w:hAnsi="Tahoma" w:cs="Tahoma"/>
          <w:b/>
          <w:sz w:val="22"/>
          <w:szCs w:val="22"/>
        </w:rPr>
        <w:t xml:space="preserve">.  </w:t>
      </w:r>
      <w:r w:rsidR="00C37CD8" w:rsidRPr="00754591">
        <w:rPr>
          <w:rFonts w:ascii="Tahoma" w:hAnsi="Tahoma" w:cs="Tahoma"/>
          <w:b/>
          <w:bCs/>
          <w:sz w:val="22"/>
          <w:szCs w:val="22"/>
        </w:rPr>
        <w:t>Provide a description of the method used to estimate cost and any other expense that would not have been incurred without this collection of information.</w:t>
      </w:r>
    </w:p>
    <w:p w:rsidR="00C748B1" w:rsidRPr="00F52246" w:rsidRDefault="00AB7DFC" w:rsidP="00C748B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sz w:val="22"/>
          <w:szCs w:val="22"/>
        </w:rPr>
        <w:t xml:space="preserve">The estimates were derived from talking to those who have experience with the </w:t>
      </w:r>
      <w:r w:rsidR="00866C9C">
        <w:rPr>
          <w:rFonts w:ascii="Tahoma" w:hAnsi="Tahoma" w:cs="Tahoma"/>
          <w:sz w:val="22"/>
          <w:szCs w:val="22"/>
        </w:rPr>
        <w:t xml:space="preserve">36 CFR </w:t>
      </w:r>
      <w:r>
        <w:rPr>
          <w:rFonts w:ascii="Tahoma" w:hAnsi="Tahoma" w:cs="Tahoma"/>
          <w:sz w:val="22"/>
          <w:szCs w:val="22"/>
        </w:rPr>
        <w:t xml:space="preserve">215 appeal process and the some who have experience with the objection process.  </w:t>
      </w:r>
      <w:r w:rsidR="009C1713">
        <w:rPr>
          <w:rFonts w:ascii="Tahoma" w:hAnsi="Tahoma" w:cs="Tahoma"/>
          <w:sz w:val="22"/>
          <w:szCs w:val="22"/>
        </w:rPr>
        <w:t xml:space="preserve">Information was also considered from the estimates for the </w:t>
      </w:r>
      <w:r w:rsidR="001B7232">
        <w:rPr>
          <w:rFonts w:ascii="Tahoma" w:hAnsi="Tahoma" w:cs="Tahoma"/>
          <w:sz w:val="22"/>
          <w:szCs w:val="22"/>
        </w:rPr>
        <w:t xml:space="preserve">36 CFR </w:t>
      </w:r>
      <w:r w:rsidR="009C1713">
        <w:rPr>
          <w:rFonts w:ascii="Tahoma" w:hAnsi="Tahoma" w:cs="Tahoma"/>
          <w:sz w:val="22"/>
          <w:szCs w:val="22"/>
        </w:rPr>
        <w:t xml:space="preserve">218 HFRA objection process and the </w:t>
      </w:r>
      <w:r w:rsidR="001B7232">
        <w:rPr>
          <w:rFonts w:ascii="Tahoma" w:hAnsi="Tahoma" w:cs="Tahoma"/>
          <w:sz w:val="22"/>
          <w:szCs w:val="22"/>
        </w:rPr>
        <w:t xml:space="preserve">36 CFR </w:t>
      </w:r>
      <w:r w:rsidR="009C1713">
        <w:rPr>
          <w:rFonts w:ascii="Tahoma" w:hAnsi="Tahoma" w:cs="Tahoma"/>
          <w:sz w:val="22"/>
          <w:szCs w:val="22"/>
        </w:rPr>
        <w:t xml:space="preserve">215 Appeal process. </w:t>
      </w:r>
    </w:p>
    <w:p w:rsidR="000208DF" w:rsidRDefault="000208DF"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B7427C" w:rsidRDefault="00B7427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C1275F" w:rsidRPr="00754591" w:rsidRDefault="00D21078"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Style w:val="Hyperlink"/>
          <w:rFonts w:ascii="Tahoma" w:hAnsi="Tahoma" w:cs="Tahoma"/>
          <w:b/>
          <w:color w:val="auto"/>
          <w:sz w:val="22"/>
          <w:szCs w:val="22"/>
        </w:rPr>
      </w:pPr>
      <w:proofErr w:type="gramStart"/>
      <w:r w:rsidRPr="00754591">
        <w:rPr>
          <w:rFonts w:ascii="Tahoma" w:hAnsi="Tahoma" w:cs="Tahoma"/>
          <w:b/>
          <w:sz w:val="22"/>
          <w:szCs w:val="22"/>
        </w:rPr>
        <w:t xml:space="preserve">Table </w:t>
      </w:r>
      <w:r w:rsidR="00832DE8">
        <w:rPr>
          <w:rFonts w:ascii="Tahoma" w:hAnsi="Tahoma" w:cs="Tahoma"/>
          <w:b/>
          <w:sz w:val="22"/>
          <w:szCs w:val="22"/>
        </w:rPr>
        <w:t>5</w:t>
      </w:r>
      <w:r w:rsidR="00C1275F" w:rsidRPr="00754591">
        <w:rPr>
          <w:rFonts w:ascii="Tahoma" w:hAnsi="Tahoma" w:cs="Tahoma"/>
          <w:b/>
          <w:sz w:val="22"/>
          <w:szCs w:val="22"/>
        </w:rPr>
        <w:t>.</w:t>
      </w:r>
      <w:proofErr w:type="gramEnd"/>
      <w:r w:rsidR="00C1275F" w:rsidRPr="00754591">
        <w:rPr>
          <w:rFonts w:ascii="Tahoma" w:hAnsi="Tahoma" w:cs="Tahoma"/>
          <w:b/>
          <w:sz w:val="22"/>
          <w:szCs w:val="22"/>
        </w:rPr>
        <w:t xml:space="preserve">  Estimated </w:t>
      </w:r>
      <w:r w:rsidR="00D3539A">
        <w:rPr>
          <w:rFonts w:ascii="Tahoma" w:hAnsi="Tahoma" w:cs="Tahoma"/>
          <w:b/>
          <w:sz w:val="22"/>
          <w:szCs w:val="22"/>
        </w:rPr>
        <w:t xml:space="preserve">Annual </w:t>
      </w:r>
      <w:r w:rsidR="00C1275F" w:rsidRPr="00754591">
        <w:rPr>
          <w:rFonts w:ascii="Tahoma" w:hAnsi="Tahoma" w:cs="Tahoma"/>
          <w:b/>
          <w:sz w:val="22"/>
          <w:szCs w:val="22"/>
        </w:rPr>
        <w:t>Cost to the Government</w:t>
      </w:r>
      <w:r w:rsidR="00D3539A">
        <w:rPr>
          <w:rFonts w:ascii="Tahoma" w:hAnsi="Tahoma" w:cs="Tahoma"/>
          <w:b/>
          <w:sz w:val="22"/>
          <w:szCs w:val="22"/>
        </w:rPr>
        <w:t xml:space="preserve">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476"/>
        <w:gridCol w:w="1224"/>
        <w:gridCol w:w="810"/>
        <w:gridCol w:w="900"/>
        <w:gridCol w:w="990"/>
        <w:gridCol w:w="1764"/>
      </w:tblGrid>
      <w:tr w:rsidR="006A275D" w:rsidRPr="00754591" w:rsidTr="0052553A">
        <w:trPr>
          <w:jc w:val="center"/>
        </w:trPr>
        <w:tc>
          <w:tcPr>
            <w:tcW w:w="2304" w:type="dxa"/>
            <w:shd w:val="clear" w:color="auto" w:fill="D9D9D9"/>
          </w:tcPr>
          <w:p w:rsidR="006A275D" w:rsidRPr="00754591" w:rsidRDefault="00173679"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Activity</w:t>
            </w:r>
          </w:p>
        </w:tc>
        <w:tc>
          <w:tcPr>
            <w:tcW w:w="1476" w:type="dxa"/>
            <w:shd w:val="clear" w:color="auto" w:fill="D9D9D9"/>
          </w:tcPr>
          <w:p w:rsidR="006A275D" w:rsidRPr="00754591" w:rsidRDefault="00C1275F" w:rsidP="00C1275F">
            <w:pPr>
              <w:jc w:val="center"/>
              <w:rPr>
                <w:rFonts w:ascii="Tahoma" w:hAnsi="Tahoma" w:cs="Tahoma"/>
              </w:rPr>
            </w:pPr>
            <w:r w:rsidRPr="00754591">
              <w:rPr>
                <w:rFonts w:ascii="Tahoma" w:hAnsi="Tahoma" w:cs="Tahoma"/>
              </w:rPr>
              <w:t xml:space="preserve">Total Average </w:t>
            </w:r>
            <w:r w:rsidR="00173679" w:rsidRPr="00754591">
              <w:rPr>
                <w:rFonts w:ascii="Tahoma" w:hAnsi="Tahoma" w:cs="Tahoma"/>
              </w:rPr>
              <w:t>Responses</w:t>
            </w:r>
          </w:p>
        </w:tc>
        <w:tc>
          <w:tcPr>
            <w:tcW w:w="1224"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Personnel</w:t>
            </w:r>
          </w:p>
        </w:tc>
        <w:tc>
          <w:tcPr>
            <w:tcW w:w="810"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GS-Level</w:t>
            </w:r>
          </w:p>
        </w:tc>
        <w:tc>
          <w:tcPr>
            <w:tcW w:w="900"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Hourly Rate</w:t>
            </w:r>
          </w:p>
        </w:tc>
        <w:tc>
          <w:tcPr>
            <w:tcW w:w="990"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Estimated Hours</w:t>
            </w:r>
            <w:r w:rsidR="009D239A">
              <w:rPr>
                <w:rFonts w:ascii="Tahoma" w:hAnsi="Tahoma" w:cs="Tahoma"/>
                <w:sz w:val="22"/>
                <w:szCs w:val="22"/>
              </w:rPr>
              <w:t xml:space="preserve"> Per Objection</w:t>
            </w:r>
          </w:p>
        </w:tc>
        <w:tc>
          <w:tcPr>
            <w:tcW w:w="1764"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Estimated Cost to Government</w:t>
            </w:r>
          </w:p>
        </w:tc>
      </w:tr>
      <w:tr w:rsidR="00B86B12" w:rsidRPr="00754591" w:rsidTr="0052553A">
        <w:trPr>
          <w:jc w:val="center"/>
        </w:trPr>
        <w:tc>
          <w:tcPr>
            <w:tcW w:w="2304" w:type="dxa"/>
            <w:shd w:val="clear" w:color="auto" w:fill="auto"/>
          </w:tcPr>
          <w:p w:rsidR="00B86B12" w:rsidRPr="00754591" w:rsidRDefault="00EB4773"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Receiving collected information</w:t>
            </w:r>
            <w:r w:rsidR="009E46C0" w:rsidRPr="00754591">
              <w:rPr>
                <w:rFonts w:ascii="Tahoma" w:hAnsi="Tahoma" w:cs="Tahoma"/>
                <w:sz w:val="22"/>
                <w:szCs w:val="22"/>
              </w:rPr>
              <w:t xml:space="preserve"> and analyzing issues</w:t>
            </w:r>
          </w:p>
        </w:tc>
        <w:tc>
          <w:tcPr>
            <w:tcW w:w="1476" w:type="dxa"/>
            <w:vMerge w:val="restart"/>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Forest Program Specialist</w:t>
            </w:r>
          </w:p>
        </w:tc>
        <w:tc>
          <w:tcPr>
            <w:tcW w:w="81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GS-11</w:t>
            </w:r>
          </w:p>
        </w:tc>
        <w:tc>
          <w:tcPr>
            <w:tcW w:w="90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$29.93</w:t>
            </w:r>
          </w:p>
        </w:tc>
        <w:tc>
          <w:tcPr>
            <w:tcW w:w="990" w:type="dxa"/>
            <w:shd w:val="clear" w:color="auto" w:fill="auto"/>
          </w:tcPr>
          <w:p w:rsidR="00B86B12" w:rsidRPr="00754591" w:rsidRDefault="00E90ABE"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40</w:t>
            </w:r>
          </w:p>
        </w:tc>
        <w:tc>
          <w:tcPr>
            <w:tcW w:w="176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$1,197.20</w:t>
            </w:r>
          </w:p>
        </w:tc>
      </w:tr>
      <w:tr w:rsidR="00B86B12" w:rsidRPr="00754591" w:rsidTr="0052553A">
        <w:trPr>
          <w:jc w:val="center"/>
        </w:trPr>
        <w:tc>
          <w:tcPr>
            <w:tcW w:w="2304" w:type="dxa"/>
            <w:shd w:val="clear" w:color="auto" w:fill="auto"/>
          </w:tcPr>
          <w:p w:rsidR="00B86B12" w:rsidRPr="00754591" w:rsidRDefault="009E46C0"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 xml:space="preserve">Summarizing, reviewing, and preparing responses to </w:t>
            </w:r>
            <w:r w:rsidR="00EB4773" w:rsidRPr="00754591">
              <w:rPr>
                <w:rFonts w:ascii="Tahoma" w:hAnsi="Tahoma" w:cs="Tahoma"/>
                <w:sz w:val="22"/>
                <w:szCs w:val="22"/>
              </w:rPr>
              <w:t>collected information</w:t>
            </w:r>
          </w:p>
        </w:tc>
        <w:tc>
          <w:tcPr>
            <w:tcW w:w="1476" w:type="dxa"/>
            <w:vMerge/>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Regional Program Specialist</w:t>
            </w:r>
          </w:p>
        </w:tc>
        <w:tc>
          <w:tcPr>
            <w:tcW w:w="81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GS-12</w:t>
            </w:r>
          </w:p>
        </w:tc>
        <w:tc>
          <w:tcPr>
            <w:tcW w:w="90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$35.88</w:t>
            </w:r>
          </w:p>
        </w:tc>
        <w:tc>
          <w:tcPr>
            <w:tcW w:w="990" w:type="dxa"/>
            <w:shd w:val="clear" w:color="auto" w:fill="auto"/>
          </w:tcPr>
          <w:p w:rsidR="00B86B12" w:rsidRPr="00754591" w:rsidRDefault="00E90ABE"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32</w:t>
            </w:r>
          </w:p>
        </w:tc>
        <w:tc>
          <w:tcPr>
            <w:tcW w:w="176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$1,148.16</w:t>
            </w:r>
          </w:p>
        </w:tc>
      </w:tr>
      <w:tr w:rsidR="00B86B12" w:rsidRPr="00754591" w:rsidTr="0052553A">
        <w:trPr>
          <w:jc w:val="center"/>
        </w:trPr>
        <w:tc>
          <w:tcPr>
            <w:tcW w:w="2304" w:type="dxa"/>
            <w:shd w:val="clear" w:color="auto" w:fill="auto"/>
          </w:tcPr>
          <w:p w:rsidR="00B86B12" w:rsidRPr="00754591" w:rsidRDefault="009E46C0"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 xml:space="preserve">Summarizing, reviewing, and presenting </w:t>
            </w:r>
            <w:r w:rsidR="00EB4773" w:rsidRPr="00754591">
              <w:rPr>
                <w:rFonts w:ascii="Tahoma" w:hAnsi="Tahoma" w:cs="Tahoma"/>
                <w:sz w:val="22"/>
                <w:szCs w:val="22"/>
              </w:rPr>
              <w:t>collected information</w:t>
            </w:r>
          </w:p>
        </w:tc>
        <w:tc>
          <w:tcPr>
            <w:tcW w:w="1476" w:type="dxa"/>
            <w:vMerge/>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National Program Specialist</w:t>
            </w:r>
          </w:p>
        </w:tc>
        <w:tc>
          <w:tcPr>
            <w:tcW w:w="81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GS-14</w:t>
            </w:r>
          </w:p>
        </w:tc>
        <w:tc>
          <w:tcPr>
            <w:tcW w:w="90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$50.41</w:t>
            </w:r>
          </w:p>
        </w:tc>
        <w:tc>
          <w:tcPr>
            <w:tcW w:w="990" w:type="dxa"/>
            <w:shd w:val="clear" w:color="auto" w:fill="auto"/>
          </w:tcPr>
          <w:p w:rsidR="00B86B12" w:rsidRPr="00754591" w:rsidRDefault="00E90ABE"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24</w:t>
            </w:r>
          </w:p>
        </w:tc>
        <w:tc>
          <w:tcPr>
            <w:tcW w:w="176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$1,209.84</w:t>
            </w:r>
          </w:p>
        </w:tc>
      </w:tr>
      <w:tr w:rsidR="00B86B12" w:rsidRPr="00754591" w:rsidTr="0052553A">
        <w:trPr>
          <w:jc w:val="center"/>
        </w:trPr>
        <w:tc>
          <w:tcPr>
            <w:tcW w:w="2304" w:type="dxa"/>
            <w:shd w:val="clear" w:color="auto" w:fill="auto"/>
          </w:tcPr>
          <w:p w:rsidR="00B86B12" w:rsidRPr="00754591" w:rsidRDefault="00EB4773"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Issuing</w:t>
            </w:r>
            <w:r w:rsidR="009E46C0" w:rsidRPr="00754591">
              <w:rPr>
                <w:rFonts w:ascii="Tahoma" w:hAnsi="Tahoma" w:cs="Tahoma"/>
                <w:sz w:val="22"/>
                <w:szCs w:val="22"/>
              </w:rPr>
              <w:t xml:space="preserve"> Final Decision</w:t>
            </w:r>
          </w:p>
        </w:tc>
        <w:tc>
          <w:tcPr>
            <w:tcW w:w="1476" w:type="dxa"/>
            <w:vMerge/>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Deciding Officer</w:t>
            </w:r>
          </w:p>
        </w:tc>
        <w:tc>
          <w:tcPr>
            <w:tcW w:w="81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GS-15</w:t>
            </w:r>
          </w:p>
        </w:tc>
        <w:tc>
          <w:tcPr>
            <w:tcW w:w="90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$59.30</w:t>
            </w:r>
          </w:p>
        </w:tc>
        <w:tc>
          <w:tcPr>
            <w:tcW w:w="990" w:type="dxa"/>
            <w:shd w:val="clear" w:color="auto" w:fill="auto"/>
          </w:tcPr>
          <w:p w:rsidR="00B86B12" w:rsidRPr="00754591" w:rsidRDefault="00E90ABE"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4</w:t>
            </w:r>
          </w:p>
        </w:tc>
        <w:tc>
          <w:tcPr>
            <w:tcW w:w="176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$$237.20</w:t>
            </w:r>
          </w:p>
        </w:tc>
      </w:tr>
      <w:tr w:rsidR="00B86B12" w:rsidRPr="00754591" w:rsidTr="0052553A">
        <w:trPr>
          <w:jc w:val="center"/>
        </w:trPr>
        <w:tc>
          <w:tcPr>
            <w:tcW w:w="2304" w:type="dxa"/>
            <w:shd w:val="clear" w:color="auto" w:fill="auto"/>
          </w:tcPr>
          <w:p w:rsidR="00B86B12" w:rsidRPr="00754591" w:rsidRDefault="00E90ABE"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Total</w:t>
            </w:r>
          </w:p>
        </w:tc>
        <w:tc>
          <w:tcPr>
            <w:tcW w:w="1476" w:type="dxa"/>
            <w:vMerge/>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810" w:type="dxa"/>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900" w:type="dxa"/>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990" w:type="dxa"/>
            <w:shd w:val="clear" w:color="auto" w:fill="auto"/>
          </w:tcPr>
          <w:p w:rsidR="00B86B12" w:rsidRPr="00754591" w:rsidRDefault="00B86B12"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p>
        </w:tc>
        <w:tc>
          <w:tcPr>
            <w:tcW w:w="176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$3,792.40</w:t>
            </w:r>
          </w:p>
        </w:tc>
      </w:tr>
      <w:tr w:rsidR="006A275D" w:rsidRPr="00754591" w:rsidTr="0052553A">
        <w:trPr>
          <w:jc w:val="center"/>
        </w:trPr>
        <w:tc>
          <w:tcPr>
            <w:tcW w:w="2304" w:type="dxa"/>
            <w:shd w:val="clear" w:color="auto" w:fill="auto"/>
          </w:tcPr>
          <w:p w:rsidR="006A275D" w:rsidRPr="00754591" w:rsidRDefault="00E50527"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Overall Estimated Average Total</w:t>
            </w:r>
          </w:p>
        </w:tc>
        <w:tc>
          <w:tcPr>
            <w:tcW w:w="1476" w:type="dxa"/>
            <w:shd w:val="clear" w:color="auto" w:fill="auto"/>
          </w:tcPr>
          <w:p w:rsidR="006A275D" w:rsidRPr="00754591" w:rsidRDefault="009E46C0"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3</w:t>
            </w:r>
            <w:r w:rsidR="00E50527" w:rsidRPr="00754591">
              <w:rPr>
                <w:rFonts w:ascii="Tahoma" w:hAnsi="Tahoma" w:cs="Tahoma"/>
                <w:sz w:val="22"/>
                <w:szCs w:val="22"/>
              </w:rPr>
              <w:t>75</w:t>
            </w:r>
          </w:p>
        </w:tc>
        <w:tc>
          <w:tcPr>
            <w:tcW w:w="1224" w:type="dxa"/>
            <w:shd w:val="clear" w:color="auto" w:fill="auto"/>
          </w:tcPr>
          <w:p w:rsidR="006A275D" w:rsidRPr="00754591" w:rsidRDefault="006A275D"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810" w:type="dxa"/>
            <w:shd w:val="clear" w:color="auto" w:fill="auto"/>
          </w:tcPr>
          <w:p w:rsidR="006A275D" w:rsidRPr="00754591" w:rsidRDefault="006A275D"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900" w:type="dxa"/>
            <w:shd w:val="clear" w:color="auto" w:fill="auto"/>
          </w:tcPr>
          <w:p w:rsidR="006A275D" w:rsidRPr="00754591" w:rsidRDefault="006A275D"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990" w:type="dxa"/>
            <w:shd w:val="clear" w:color="auto" w:fill="auto"/>
          </w:tcPr>
          <w:p w:rsidR="006A275D" w:rsidRPr="00754591" w:rsidRDefault="006A275D"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764" w:type="dxa"/>
            <w:shd w:val="clear" w:color="auto" w:fill="auto"/>
          </w:tcPr>
          <w:p w:rsidR="006A275D" w:rsidRPr="00754591" w:rsidRDefault="00E50527"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$1,422,150.00</w:t>
            </w:r>
          </w:p>
        </w:tc>
      </w:tr>
    </w:tbl>
    <w:p w:rsidR="00832DE8" w:rsidRDefault="00832DE8"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jc w:val="both"/>
        <w:rPr>
          <w:rFonts w:ascii="Tahoma" w:hAnsi="Tahoma" w:cs="Tahoma"/>
          <w:sz w:val="22"/>
          <w:szCs w:val="22"/>
        </w:rPr>
      </w:pPr>
    </w:p>
    <w:p w:rsidR="000208DF" w:rsidRDefault="000208DF"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jc w:val="both"/>
        <w:rPr>
          <w:rFonts w:ascii="Tahoma" w:hAnsi="Tahoma" w:cs="Tahoma"/>
          <w:sz w:val="22"/>
          <w:szCs w:val="22"/>
        </w:rPr>
      </w:pPr>
    </w:p>
    <w:p w:rsidR="00832DE8" w:rsidRPr="00754591" w:rsidRDefault="00832DE8"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jc w:val="both"/>
        <w:rPr>
          <w:rFonts w:ascii="Tahoma" w:hAnsi="Tahoma" w:cs="Tahoma"/>
          <w:sz w:val="22"/>
          <w:szCs w:val="22"/>
        </w:rPr>
      </w:pPr>
      <w:r w:rsidRPr="00754591">
        <w:rPr>
          <w:rFonts w:ascii="Tahoma" w:hAnsi="Tahoma" w:cs="Tahoma"/>
          <w:sz w:val="22"/>
          <w:szCs w:val="22"/>
        </w:rPr>
        <w:t>Estimated agency labor costs for analyzing, evaluating, summarizing, reviewing, and issuing an objection response on the collected information (objection).  The estimated responses were obtained through the Planning, Appeals, and Litigation System database.  The daily costs per day were obtained from the OPM salary table for 2011.</w:t>
      </w:r>
    </w:p>
    <w:p w:rsidR="00ED4352" w:rsidRDefault="00347E67" w:rsidP="008B6A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930"/>
        </w:tabs>
        <w:spacing w:after="80"/>
        <w:ind w:left="-90"/>
        <w:jc w:val="both"/>
        <w:rPr>
          <w:rFonts w:ascii="Tahoma" w:hAnsi="Tahoma" w:cs="Tahoma"/>
          <w:sz w:val="22"/>
          <w:szCs w:val="22"/>
        </w:rPr>
      </w:pPr>
      <w:hyperlink r:id="rId17" w:history="1">
        <w:r w:rsidR="00832DE8" w:rsidRPr="00754591">
          <w:rPr>
            <w:rStyle w:val="Hyperlink"/>
            <w:rFonts w:ascii="Tahoma" w:hAnsi="Tahoma" w:cs="Tahoma"/>
            <w:sz w:val="22"/>
            <w:szCs w:val="22"/>
          </w:rPr>
          <w:t>http://www.opm.gov/oca/11tables/html/dcb_h.asp</w:t>
        </w:r>
      </w:hyperlink>
      <w:r w:rsidR="00832DE8" w:rsidRPr="00754591">
        <w:rPr>
          <w:rFonts w:ascii="Tahoma" w:hAnsi="Tahoma" w:cs="Tahoma"/>
          <w:sz w:val="22"/>
          <w:szCs w:val="22"/>
        </w:rPr>
        <w:t xml:space="preserve">. The daily costs were calculated using the hourly rates to capture the cost of agency benefits.  Estimates are based on </w:t>
      </w:r>
      <w:r w:rsidR="00832DE8">
        <w:rPr>
          <w:rFonts w:ascii="Tahoma" w:hAnsi="Tahoma" w:cs="Tahoma"/>
          <w:sz w:val="22"/>
          <w:szCs w:val="22"/>
        </w:rPr>
        <w:t xml:space="preserve">the </w:t>
      </w:r>
      <w:r w:rsidR="001575EE">
        <w:rPr>
          <w:rFonts w:ascii="Tahoma" w:hAnsi="Tahoma" w:cs="Tahoma"/>
          <w:sz w:val="22"/>
          <w:szCs w:val="22"/>
        </w:rPr>
        <w:t xml:space="preserve">36 </w:t>
      </w:r>
      <w:r w:rsidR="00832DE8">
        <w:rPr>
          <w:rFonts w:ascii="Tahoma" w:hAnsi="Tahoma" w:cs="Tahoma"/>
          <w:sz w:val="22"/>
          <w:szCs w:val="22"/>
        </w:rPr>
        <w:t xml:space="preserve">CFR </w:t>
      </w:r>
      <w:r w:rsidR="00832DE8" w:rsidRPr="00754591">
        <w:rPr>
          <w:rFonts w:ascii="Tahoma" w:hAnsi="Tahoma" w:cs="Tahoma"/>
          <w:sz w:val="22"/>
          <w:szCs w:val="22"/>
        </w:rPr>
        <w:t xml:space="preserve">215 appeals process.  Revision of this information collection in the Final regulation will include data associated with the revised </w:t>
      </w:r>
      <w:r w:rsidR="00832DE8">
        <w:rPr>
          <w:rFonts w:ascii="Tahoma" w:hAnsi="Tahoma" w:cs="Tahoma"/>
          <w:sz w:val="22"/>
          <w:szCs w:val="22"/>
        </w:rPr>
        <w:t xml:space="preserve">CFR </w:t>
      </w:r>
      <w:r w:rsidR="00832DE8" w:rsidRPr="00754591">
        <w:rPr>
          <w:rFonts w:ascii="Tahoma" w:hAnsi="Tahoma" w:cs="Tahoma"/>
          <w:sz w:val="22"/>
          <w:szCs w:val="22"/>
        </w:rPr>
        <w:t>218 Pre</w:t>
      </w:r>
      <w:r w:rsidR="00832DE8">
        <w:rPr>
          <w:rFonts w:ascii="Tahoma" w:hAnsi="Tahoma" w:cs="Tahoma"/>
          <w:sz w:val="22"/>
          <w:szCs w:val="22"/>
        </w:rPr>
        <w:t>-</w:t>
      </w:r>
      <w:r w:rsidR="00832DE8" w:rsidRPr="00754591">
        <w:rPr>
          <w:rFonts w:ascii="Tahoma" w:hAnsi="Tahoma" w:cs="Tahoma"/>
          <w:sz w:val="22"/>
          <w:szCs w:val="22"/>
        </w:rPr>
        <w:t>decisional Administrative Review Process</w:t>
      </w:r>
      <w:r w:rsidR="00ED4352">
        <w:rPr>
          <w:rFonts w:ascii="Tahoma" w:hAnsi="Tahoma" w:cs="Tahoma"/>
          <w:sz w:val="22"/>
          <w:szCs w:val="22"/>
        </w:rPr>
        <w:t>.</w:t>
      </w:r>
      <w:r w:rsidR="00832DE8" w:rsidRPr="00754591">
        <w:rPr>
          <w:rFonts w:ascii="Tahoma" w:hAnsi="Tahoma" w:cs="Tahoma"/>
          <w:sz w:val="22"/>
          <w:szCs w:val="22"/>
        </w:rPr>
        <w:t xml:space="preserve"> </w:t>
      </w:r>
    </w:p>
    <w:p w:rsidR="00832DE8" w:rsidRPr="00754591" w:rsidRDefault="00832DE8" w:rsidP="008B6A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930"/>
        </w:tabs>
        <w:spacing w:after="80"/>
        <w:ind w:left="-90"/>
        <w:jc w:val="both"/>
        <w:rPr>
          <w:rFonts w:ascii="Tahoma" w:hAnsi="Tahoma" w:cs="Tahoma"/>
          <w:sz w:val="22"/>
          <w:szCs w:val="22"/>
        </w:rPr>
      </w:pPr>
      <w:r w:rsidRPr="00754591">
        <w:rPr>
          <w:rFonts w:ascii="Tahoma" w:hAnsi="Tahoma" w:cs="Tahoma"/>
          <w:sz w:val="22"/>
          <w:szCs w:val="22"/>
        </w:rPr>
        <w:t xml:space="preserve"> </w:t>
      </w:r>
    </w:p>
    <w:p w:rsidR="00167302" w:rsidRPr="00167302" w:rsidRDefault="00AB68BE" w:rsidP="00AB68B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754591">
        <w:rPr>
          <w:rFonts w:ascii="Tahoma" w:hAnsi="Tahoma" w:cs="Tahoma"/>
          <w:b/>
          <w:bCs/>
          <w:sz w:val="22"/>
          <w:szCs w:val="22"/>
        </w:rPr>
        <w:t>Explain the reasons for any program changes or adjustments reported in items 13 or 14 of OMB form 83-I.</w:t>
      </w:r>
    </w:p>
    <w:p w:rsidR="007E02C7" w:rsidRDefault="002B2D37" w:rsidP="00B62A45">
      <w:pPr>
        <w:jc w:val="both"/>
        <w:rPr>
          <w:rFonts w:ascii="Tahoma" w:hAnsi="Tahoma" w:cs="Tahoma"/>
          <w:sz w:val="22"/>
          <w:szCs w:val="22"/>
        </w:rPr>
      </w:pPr>
      <w:r>
        <w:rPr>
          <w:rFonts w:ascii="Tahoma" w:hAnsi="Tahoma" w:cs="Tahoma"/>
          <w:sz w:val="22"/>
          <w:szCs w:val="22"/>
        </w:rPr>
        <w:lastRenderedPageBreak/>
        <w:t>The burden estimate has increased from 968 to 3,000 hours due to an increase in the estimated number of respondents.  T</w:t>
      </w:r>
      <w:r w:rsidRPr="00B62A45">
        <w:rPr>
          <w:rFonts w:ascii="Tahoma" w:hAnsi="Tahoma" w:cs="Tahoma"/>
          <w:sz w:val="22"/>
          <w:szCs w:val="22"/>
        </w:rPr>
        <w:t xml:space="preserve">he </w:t>
      </w:r>
      <w:r>
        <w:rPr>
          <w:rFonts w:ascii="Tahoma" w:hAnsi="Tahoma" w:cs="Tahoma"/>
          <w:sz w:val="22"/>
          <w:szCs w:val="22"/>
        </w:rPr>
        <w:t xml:space="preserve">estimated </w:t>
      </w:r>
      <w:r w:rsidRPr="00B62A45">
        <w:rPr>
          <w:rFonts w:ascii="Tahoma" w:hAnsi="Tahoma" w:cs="Tahoma"/>
          <w:sz w:val="22"/>
          <w:szCs w:val="22"/>
        </w:rPr>
        <w:t xml:space="preserve">number of respondents </w:t>
      </w:r>
      <w:r>
        <w:rPr>
          <w:rFonts w:ascii="Tahoma" w:hAnsi="Tahoma" w:cs="Tahoma"/>
          <w:sz w:val="22"/>
          <w:szCs w:val="22"/>
        </w:rPr>
        <w:t xml:space="preserve">has increased </w:t>
      </w:r>
      <w:r w:rsidRPr="00B62A45">
        <w:rPr>
          <w:rFonts w:ascii="Tahoma" w:hAnsi="Tahoma" w:cs="Tahoma"/>
          <w:sz w:val="22"/>
          <w:szCs w:val="22"/>
        </w:rPr>
        <w:t xml:space="preserve">from </w:t>
      </w:r>
      <w:r>
        <w:rPr>
          <w:rFonts w:ascii="Tahoma" w:hAnsi="Tahoma" w:cs="Tahoma"/>
          <w:sz w:val="22"/>
          <w:szCs w:val="22"/>
        </w:rPr>
        <w:t>121</w:t>
      </w:r>
      <w:r w:rsidRPr="00B62A45">
        <w:rPr>
          <w:rFonts w:ascii="Tahoma" w:hAnsi="Tahoma" w:cs="Tahoma"/>
          <w:sz w:val="22"/>
          <w:szCs w:val="22"/>
        </w:rPr>
        <w:t xml:space="preserve"> to 375 per year </w:t>
      </w:r>
      <w:r>
        <w:rPr>
          <w:rFonts w:ascii="Tahoma" w:hAnsi="Tahoma" w:cs="Tahoma"/>
          <w:sz w:val="22"/>
          <w:szCs w:val="22"/>
        </w:rPr>
        <w:t xml:space="preserve">due to a program change whereby responses </w:t>
      </w:r>
      <w:r w:rsidR="007E02C7" w:rsidRPr="00B62A45">
        <w:rPr>
          <w:rFonts w:ascii="Tahoma" w:hAnsi="Tahoma" w:cs="Tahoma"/>
          <w:sz w:val="22"/>
          <w:szCs w:val="22"/>
        </w:rPr>
        <w:t xml:space="preserve">will </w:t>
      </w:r>
      <w:r>
        <w:rPr>
          <w:rFonts w:ascii="Tahoma" w:hAnsi="Tahoma" w:cs="Tahoma"/>
          <w:sz w:val="22"/>
          <w:szCs w:val="22"/>
        </w:rPr>
        <w:t xml:space="preserve">now </w:t>
      </w:r>
      <w:r w:rsidR="007E02C7" w:rsidRPr="00B62A45">
        <w:rPr>
          <w:rFonts w:ascii="Tahoma" w:hAnsi="Tahoma" w:cs="Tahoma"/>
          <w:sz w:val="22"/>
          <w:szCs w:val="22"/>
        </w:rPr>
        <w:t xml:space="preserve">include not only objections to projects </w:t>
      </w:r>
      <w:r w:rsidR="00737186" w:rsidRPr="00B62A45">
        <w:rPr>
          <w:rFonts w:ascii="Tahoma" w:hAnsi="Tahoma" w:cs="Tahoma"/>
          <w:sz w:val="22"/>
          <w:szCs w:val="22"/>
        </w:rPr>
        <w:t>authorized by HFRA</w:t>
      </w:r>
      <w:r>
        <w:rPr>
          <w:rFonts w:ascii="Tahoma" w:hAnsi="Tahoma" w:cs="Tahoma"/>
          <w:sz w:val="22"/>
          <w:szCs w:val="22"/>
        </w:rPr>
        <w:t>,</w:t>
      </w:r>
      <w:r w:rsidR="00737186" w:rsidRPr="00B62A45">
        <w:rPr>
          <w:rFonts w:ascii="Tahoma" w:hAnsi="Tahoma" w:cs="Tahoma"/>
          <w:sz w:val="22"/>
          <w:szCs w:val="22"/>
        </w:rPr>
        <w:t xml:space="preserve"> </w:t>
      </w:r>
      <w:r w:rsidR="007E02C7" w:rsidRPr="00B62A45">
        <w:rPr>
          <w:rFonts w:ascii="Tahoma" w:hAnsi="Tahoma" w:cs="Tahoma"/>
          <w:sz w:val="22"/>
          <w:szCs w:val="22"/>
        </w:rPr>
        <w:t>but will</w:t>
      </w:r>
      <w:r w:rsidR="00737186" w:rsidRPr="00B62A45">
        <w:rPr>
          <w:rFonts w:ascii="Tahoma" w:hAnsi="Tahoma" w:cs="Tahoma"/>
          <w:sz w:val="22"/>
          <w:szCs w:val="22"/>
        </w:rPr>
        <w:t xml:space="preserve"> </w:t>
      </w:r>
      <w:r>
        <w:rPr>
          <w:rFonts w:ascii="Tahoma" w:hAnsi="Tahoma" w:cs="Tahoma"/>
          <w:sz w:val="22"/>
          <w:szCs w:val="22"/>
        </w:rPr>
        <w:t xml:space="preserve">now </w:t>
      </w:r>
      <w:r w:rsidR="00737186" w:rsidRPr="00B62A45">
        <w:rPr>
          <w:rFonts w:ascii="Tahoma" w:hAnsi="Tahoma" w:cs="Tahoma"/>
          <w:sz w:val="22"/>
          <w:szCs w:val="22"/>
        </w:rPr>
        <w:t xml:space="preserve">also include the </w:t>
      </w:r>
      <w:r w:rsidR="007E02C7" w:rsidRPr="00B62A45">
        <w:rPr>
          <w:rFonts w:ascii="Tahoma" w:hAnsi="Tahoma" w:cs="Tahoma"/>
          <w:sz w:val="22"/>
          <w:szCs w:val="22"/>
        </w:rPr>
        <w:t>objection process for all projects and activities</w:t>
      </w:r>
      <w:r w:rsidR="00B40DCB" w:rsidRPr="00B62A45">
        <w:rPr>
          <w:rFonts w:ascii="Tahoma" w:hAnsi="Tahoma" w:cs="Tahoma"/>
          <w:sz w:val="22"/>
          <w:szCs w:val="22"/>
        </w:rPr>
        <w:t xml:space="preserve"> implementing land </w:t>
      </w:r>
      <w:r w:rsidR="00654341" w:rsidRPr="00B62A45">
        <w:rPr>
          <w:rFonts w:ascii="Tahoma" w:hAnsi="Tahoma" w:cs="Tahoma"/>
          <w:sz w:val="22"/>
          <w:szCs w:val="22"/>
        </w:rPr>
        <w:t xml:space="preserve">and resource </w:t>
      </w:r>
      <w:r w:rsidR="007E02C7" w:rsidRPr="00B62A45">
        <w:rPr>
          <w:rFonts w:ascii="Tahoma" w:hAnsi="Tahoma" w:cs="Tahoma"/>
          <w:sz w:val="22"/>
          <w:szCs w:val="22"/>
        </w:rPr>
        <w:t>management plans</w:t>
      </w:r>
      <w:r w:rsidR="00737186" w:rsidRPr="00B62A45">
        <w:rPr>
          <w:rFonts w:ascii="Tahoma" w:hAnsi="Tahoma" w:cs="Tahoma"/>
          <w:sz w:val="22"/>
          <w:szCs w:val="22"/>
        </w:rPr>
        <w:t>, documented with a Record of Decision or Decision Notice</w:t>
      </w:r>
      <w:r w:rsidR="001B7232" w:rsidRPr="00B62A45">
        <w:rPr>
          <w:rFonts w:ascii="Tahoma" w:hAnsi="Tahoma" w:cs="Tahoma"/>
          <w:sz w:val="22"/>
          <w:szCs w:val="22"/>
        </w:rPr>
        <w:t>.</w:t>
      </w:r>
      <w:r>
        <w:rPr>
          <w:rFonts w:ascii="Tahoma" w:hAnsi="Tahoma" w:cs="Tahoma"/>
          <w:sz w:val="22"/>
          <w:szCs w:val="22"/>
        </w:rPr>
        <w:t xml:space="preserve">  </w:t>
      </w:r>
    </w:p>
    <w:p w:rsidR="007C16F9" w:rsidRPr="00B62A45" w:rsidRDefault="007C16F9" w:rsidP="00B62A45">
      <w:pPr>
        <w:jc w:val="both"/>
        <w:rPr>
          <w:rFonts w:ascii="Tahoma" w:hAnsi="Tahoma" w:cs="Tahoma"/>
          <w:sz w:val="22"/>
          <w:szCs w:val="22"/>
        </w:rPr>
      </w:pPr>
    </w:p>
    <w:p w:rsidR="00C37CD8" w:rsidRPr="00B62A45" w:rsidRDefault="007C16F9" w:rsidP="00B62A45">
      <w:pPr>
        <w:pStyle w:val="ListParagraph"/>
        <w:numPr>
          <w:ilvl w:val="0"/>
          <w:numId w:val="10"/>
        </w:numPr>
        <w:jc w:val="both"/>
        <w:rPr>
          <w:rFonts w:ascii="Tahoma" w:hAnsi="Tahoma" w:cs="Tahoma"/>
          <w:b/>
          <w:bCs/>
          <w:sz w:val="22"/>
          <w:szCs w:val="22"/>
        </w:rPr>
      </w:pPr>
      <w:r>
        <w:rPr>
          <w:rFonts w:ascii="Tahoma" w:hAnsi="Tahoma" w:cs="Tahoma"/>
          <w:bCs/>
          <w:sz w:val="22"/>
          <w:szCs w:val="22"/>
        </w:rPr>
        <w:t xml:space="preserve"> </w:t>
      </w:r>
      <w:r w:rsidR="00C37CD8" w:rsidRPr="00B62A45">
        <w:rPr>
          <w:rFonts w:ascii="Tahoma" w:hAnsi="Tahoma" w:cs="Tahoma"/>
          <w:b/>
          <w:bCs/>
          <w:sz w:val="22"/>
          <w:szCs w:val="22"/>
        </w:rPr>
        <w:t>For collections of information whose results are planned to be published, outline plans for tabulation and publication.</w:t>
      </w:r>
    </w:p>
    <w:p w:rsidR="00631902" w:rsidRPr="00754591" w:rsidRDefault="00631902" w:rsidP="00B62A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r w:rsidRPr="00754591">
        <w:rPr>
          <w:rFonts w:ascii="Tahoma" w:hAnsi="Tahoma" w:cs="Tahoma"/>
          <w:sz w:val="22"/>
          <w:szCs w:val="22"/>
        </w:rPr>
        <w:t>The collected information will not be published.</w:t>
      </w:r>
    </w:p>
    <w:p w:rsidR="00C37CD8" w:rsidRPr="00754591"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C37CD8" w:rsidRPr="00754591">
        <w:rPr>
          <w:rFonts w:ascii="Tahoma" w:hAnsi="Tahoma" w:cs="Tahoma"/>
          <w:b/>
          <w:bCs/>
          <w:sz w:val="22"/>
          <w:szCs w:val="22"/>
        </w:rPr>
        <w:t>If seeking approval to not display the expiration date for OMB approval of the information collection, explain the reasons that display would be inappropriate.</w:t>
      </w:r>
    </w:p>
    <w:p w:rsidR="00631902" w:rsidRPr="00754591" w:rsidRDefault="00631902" w:rsidP="00B62A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Due to the fact that there are no associated documents or forms with this I</w:t>
      </w:r>
      <w:r w:rsidR="00F37B08" w:rsidRPr="00754591">
        <w:rPr>
          <w:rFonts w:ascii="Tahoma" w:hAnsi="Tahoma" w:cs="Tahoma"/>
          <w:sz w:val="22"/>
          <w:szCs w:val="22"/>
        </w:rPr>
        <w:t xml:space="preserve">nformation </w:t>
      </w:r>
      <w:r w:rsidRPr="00754591">
        <w:rPr>
          <w:rFonts w:ascii="Tahoma" w:hAnsi="Tahoma" w:cs="Tahoma"/>
          <w:sz w:val="22"/>
          <w:szCs w:val="22"/>
        </w:rPr>
        <w:t>C</w:t>
      </w:r>
      <w:r w:rsidR="00F37B08" w:rsidRPr="00754591">
        <w:rPr>
          <w:rFonts w:ascii="Tahoma" w:hAnsi="Tahoma" w:cs="Tahoma"/>
          <w:sz w:val="22"/>
          <w:szCs w:val="22"/>
        </w:rPr>
        <w:t>ollection</w:t>
      </w:r>
      <w:r w:rsidRPr="00754591">
        <w:rPr>
          <w:rFonts w:ascii="Tahoma" w:hAnsi="Tahoma" w:cs="Tahoma"/>
          <w:sz w:val="22"/>
          <w:szCs w:val="22"/>
        </w:rPr>
        <w:t>, displaying OMB approval and expiration date is not applicable.</w:t>
      </w:r>
    </w:p>
    <w:p w:rsidR="006B455B" w:rsidRPr="00754591"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color w:val="548DD4"/>
          <w:sz w:val="22"/>
          <w:szCs w:val="22"/>
        </w:rPr>
        <w:t xml:space="preserve"> </w:t>
      </w:r>
      <w:r w:rsidR="006B455B" w:rsidRPr="00754591">
        <w:rPr>
          <w:rFonts w:ascii="Tahoma" w:hAnsi="Tahoma" w:cs="Tahoma"/>
          <w:b/>
          <w:bCs/>
          <w:sz w:val="22"/>
          <w:szCs w:val="22"/>
        </w:rPr>
        <w:t>Explain each exception to the certification statement identified in item 19, "Certification Requirement for Paperwork Reduction Act."</w:t>
      </w:r>
    </w:p>
    <w:p w:rsidR="00440F45" w:rsidRDefault="00ED4352"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ED4352">
        <w:rPr>
          <w:rFonts w:ascii="Tahoma" w:hAnsi="Tahoma" w:cs="Tahoma"/>
          <w:bCs/>
          <w:sz w:val="22"/>
          <w:szCs w:val="22"/>
        </w:rPr>
        <w:t>No exceptions are requested to the certification statement identified in Item 19 of the OMB 83-I.</w:t>
      </w: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7C16F9" w:rsidRDefault="007C16F9"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440F45" w:rsidRDefault="00440F45"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212A10" w:rsidRDefault="00E6321C" w:rsidP="00E6321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roofErr w:type="gramStart"/>
      <w:r>
        <w:rPr>
          <w:rFonts w:ascii="Tahoma" w:hAnsi="Tahoma" w:cs="Tahoma"/>
          <w:sz w:val="22"/>
          <w:szCs w:val="22"/>
        </w:rPr>
        <w:t>Appendix A.</w:t>
      </w:r>
      <w:proofErr w:type="gramEnd"/>
    </w:p>
    <w:p w:rsidR="00212A10" w:rsidRDefault="00212A10" w:rsidP="005E58E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rPr>
          <w:rFonts w:ascii="Tahoma" w:hAnsi="Tahoma" w:cs="Tahoma"/>
          <w:sz w:val="22"/>
          <w:szCs w:val="22"/>
          <w:u w:val="single"/>
        </w:rPr>
      </w:pPr>
      <w:r w:rsidRPr="000D79CF">
        <w:rPr>
          <w:rFonts w:ascii="Tahoma" w:hAnsi="Tahoma" w:cs="Tahoma"/>
          <w:sz w:val="22"/>
          <w:szCs w:val="22"/>
          <w:u w:val="single"/>
        </w:rPr>
        <w:t>Summary of the comments and Agency responses: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A complete list of all the individual comments is included in the attached spreadsheet. A number of the comments stem from confusion over the scope and intent of the rule and will be addressed by providing clarifications in the preamble or in specific passages in the rule when possible. Following is a summary of the key comments and the Forest Service’s response, including areas of agreement or disagreement, and whether changes will be made to the rule as a result:</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Definitions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Some commented that the definition for “comments” needed more clarification, both around what is meant by “specific” written comments and “a designated opportunity for public comment.” The definition will be clarified in the final rule by including a reference to the section that describes the designated opportunities for public comment and elaborating on what should be included in a comment to make it specific and of greatest utility to the Forest Service.</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Many respondents did not like the definition of “emergency situation.”  All of the criticism was associated with the part of the definition that includes “avoiding a loss of commodity value sufficient to jeopardize the agency’s ability to accomplish project objectives directly related to resource protection or restoration.”  Some of the criticism was directed toward the consideration of commodity values in determining an emergency, asserting that emergencies should be limited to threats to human health and safety, and natural resources. Others contended that commodity values were an important consideration and should not be limited to project objectives related to resource protection or restoration. Because the criticisms of the definition were evenly divided along interest lines and were based on opposing opinions and rationale, the agency will leave the definition unchanged in the final rule.</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 xml:space="preserve">Who May File an </w:t>
      </w:r>
      <w:proofErr w:type="gramStart"/>
      <w:r w:rsidRPr="000D79CF">
        <w:rPr>
          <w:rFonts w:ascii="Tahoma" w:hAnsi="Tahoma" w:cs="Tahoma"/>
          <w:b/>
          <w:sz w:val="22"/>
          <w:szCs w:val="22"/>
        </w:rPr>
        <w:t>Objection</w:t>
      </w:r>
      <w:proofErr w:type="gramEnd"/>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Limiting objection eligibility to those who submitted specific and timely comments during a designated opportunity for public comment received both support and criticism in the comments on the proposed rule.  Those in favor of the criterion liked that it encouraged early involvement in project planning and provides an opportunity for the agency to be notified of important concerns as analysis is being developed. Others felt the requirement is too limiting, especially if comment opportunities come at a time in the planning process when only limited project information is made available for comment. The preamble to the final rule will reiterate the importance of early public involvement in project planning and how the objection eligibility requirements provide an important encouragement or inducement to raise concerns earlier rather than later. It will also point out that the eligibility requirement is very similar to that included in the agency’s other administrative review processes.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A number of respondents asserted that when a project is to be documented in an environmental assessment (EA), it is imperative and, in fact NEPA requires, that a draft EA is circulated for public review and comment prior to initiation of an objection filing period. The proposed rule did not have such a requirement and these respondents contend that without having first circulated a draft EA there is usually insufficient information available for the public to provide meaningful comment. The Forest Service disagrees that NEPA requires the circulation of a draft EA for public review and comment. The preamble to the final rule will explain that disagreement and the fact that requirements for preparation and circulation of NEPA documents are outside the scope of this particular rule. The agency’s NEPA regulations (36 CFR part 220), along with those of the Council on Environmental Quality (40 CFR parts 1500-1508), provide the relevant direction for public involvement associated with NEPA compliance.</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Several comments contended that oral comments should be accepted in addition to written comments when considering eligibility to object. The proposed rule limited eligibility to those submitting written comments because under Section 428, the controlling statutory authority for eligibility to object is Section 105(a)(3) of HFRA, which states that to be eligible to participate in the administrative review process a person shall submit “specific written comments that relate to the proposed action.” This statutory constraint will be explained in the preamble.</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Filing an Objection</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 xml:space="preserve">A few comments were critical of the limitations placed on incorporation of documents by reference in objections. These respondents generally contended that any document to which the Agency could reasonably be expected to have access should be permitted to be incorporated by reference. Some of these comments pointed out </w:t>
      </w:r>
      <w:proofErr w:type="gramStart"/>
      <w:r w:rsidRPr="000D79CF">
        <w:rPr>
          <w:rFonts w:ascii="Tahoma" w:hAnsi="Tahoma" w:cs="Tahoma"/>
          <w:sz w:val="22"/>
          <w:szCs w:val="22"/>
        </w:rPr>
        <w:t>that Forest Service NEPA regulations</w:t>
      </w:r>
      <w:proofErr w:type="gramEnd"/>
      <w:r w:rsidRPr="000D79CF">
        <w:rPr>
          <w:rFonts w:ascii="Tahoma" w:hAnsi="Tahoma" w:cs="Tahoma"/>
          <w:sz w:val="22"/>
          <w:szCs w:val="22"/>
        </w:rPr>
        <w:t xml:space="preserve"> permit the agency to incorporate supporting documents by reference in its NEPA documents when the referenced documents are reasonably available to the public. The final rule language will be changed to allow incorporation of documents by reference in objections under circumstances similar to those provided in the agency’s NEPA regulations.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Several commented that the objection requirement to include a narrative description, if applicable, of how the objector believes the environmental analysis or draft decision document violates law, regulation, or policy, should not include issues of policy. They contended that objection issues should be limited only to alleged violations of law or regulation. The agency disagrees with this and the preamble will explain that while alleged violations of law or regulation are important concerns to be addressed in an administrative review, alleged violations of agency policy—especially policy that is codified in the Forest Service directives—are also important and ripe for review as part of a pre</w:t>
      </w:r>
      <w:r w:rsidR="00FB3834">
        <w:rPr>
          <w:rFonts w:ascii="Tahoma" w:hAnsi="Tahoma" w:cs="Tahoma"/>
          <w:sz w:val="22"/>
          <w:szCs w:val="22"/>
        </w:rPr>
        <w:t>-</w:t>
      </w:r>
      <w:r w:rsidRPr="000D79CF">
        <w:rPr>
          <w:rFonts w:ascii="Tahoma" w:hAnsi="Tahoma" w:cs="Tahoma"/>
          <w:sz w:val="22"/>
          <w:szCs w:val="22"/>
        </w:rPr>
        <w:t>decisional administrative review.</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Objection Time Periods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Some comments were received that asserted the objection filing period should be set at 30 days for all project proposals, not just those authorized under HFRA. Other comments asserted the filing period should be 45 days for all projects. Many of these respondents also believe that reviewing officers should have the discretion to extend filing periods when it is appropriate because of the great length of analysis documents or the complexity of a project proposal. The preamble to the final rule will explain that when the agency developed the pre</w:t>
      </w:r>
      <w:r w:rsidR="00FB3834">
        <w:rPr>
          <w:rFonts w:ascii="Tahoma" w:hAnsi="Tahoma" w:cs="Tahoma"/>
          <w:sz w:val="22"/>
          <w:szCs w:val="22"/>
        </w:rPr>
        <w:t>-</w:t>
      </w:r>
      <w:r w:rsidRPr="000D79CF">
        <w:rPr>
          <w:rFonts w:ascii="Tahoma" w:hAnsi="Tahoma" w:cs="Tahoma"/>
          <w:sz w:val="22"/>
          <w:szCs w:val="22"/>
        </w:rPr>
        <w:t xml:space="preserve">decisional </w:t>
      </w:r>
      <w:r w:rsidRPr="000D79CF">
        <w:rPr>
          <w:rFonts w:ascii="Tahoma" w:hAnsi="Tahoma" w:cs="Tahoma"/>
          <w:sz w:val="22"/>
          <w:szCs w:val="22"/>
        </w:rPr>
        <w:lastRenderedPageBreak/>
        <w:t>administrative review process used for hazardous fuel reduction projects authorized under HFRA, the objection filing period was set at 30 days, as opposed to the 45 days allotted for filing appeals of other non-HFRA projects, because of the greater degree of urgency that is typical for projects of that nature. The agency believes that distinction is still applicable, and hence the final rule will retain a 30-day objection filing period for HFRA projects and provide a 45-day objection filing period for non-HFRA projects.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Resolution of Objections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The proposed rule directs that the reviewing officer’s response to objections must set forth the reasons for the response but need not be point-by-point. Some of those commenting contended that all objection responses must be required to address all unresolved objection issues. The preamble to the final rule will explain that it is the agency’s intent that all issues raised through objection will be reviewed, although the responses may not necessarily address them individually. It will further explain that in setting forth the reasons for the response, the reviewing officer cannot just state whether a particular objection issue will lead to a change, but must also explain why.</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Tribal Consultation</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 xml:space="preserve">One comment contended that the 30-day public comment period for the proposed rule was insufficient for formal consultation and violated agency interim directives. The Tribe believes the Forest Service should, prior to issuing the final rule; provide an additional 90 days for tribes to consult formally with the Forest Service. The Forest Service initiated formal consultation and provided all Federally-recognized Indian Tribes and Native Alaskan Corporations with information regarding intended changes to the regulations at 36 CFR </w:t>
      </w:r>
      <w:proofErr w:type="gramStart"/>
      <w:r w:rsidRPr="000D79CF">
        <w:rPr>
          <w:rFonts w:ascii="Tahoma" w:hAnsi="Tahoma" w:cs="Tahoma"/>
          <w:sz w:val="22"/>
          <w:szCs w:val="22"/>
        </w:rPr>
        <w:t>part</w:t>
      </w:r>
      <w:proofErr w:type="gramEnd"/>
      <w:r w:rsidRPr="000D79CF">
        <w:rPr>
          <w:rFonts w:ascii="Tahoma" w:hAnsi="Tahoma" w:cs="Tahoma"/>
          <w:sz w:val="22"/>
          <w:szCs w:val="22"/>
        </w:rPr>
        <w:t xml:space="preserve"> 218 in April 2012. These same entities were then provided the preamble and proposed rule in August 2012 and requested to provide feedback or otherwise request specific consultation during the 30-day public comment period.  The consultation period extended from April to September, 2012, well in excess of the 120 days required by executive order and agency directives.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 xml:space="preserve">Coordination </w:t>
      </w:r>
      <w:proofErr w:type="gramStart"/>
      <w:r w:rsidRPr="000D79CF">
        <w:rPr>
          <w:rFonts w:ascii="Tahoma" w:hAnsi="Tahoma" w:cs="Tahoma"/>
          <w:b/>
          <w:sz w:val="22"/>
          <w:szCs w:val="22"/>
        </w:rPr>
        <w:t>With</w:t>
      </w:r>
      <w:proofErr w:type="gramEnd"/>
      <w:r w:rsidRPr="000D79CF">
        <w:rPr>
          <w:rFonts w:ascii="Tahoma" w:hAnsi="Tahoma" w:cs="Tahoma"/>
          <w:b/>
          <w:sz w:val="22"/>
          <w:szCs w:val="22"/>
        </w:rPr>
        <w:t xml:space="preserve"> Local Agencies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One respondent contends the Forest Service is required by statute to coordinate with local agencies prior to seeking public comment on its proposals and that the agency violated this direction by failing to provide any advance notice to the County. The respondent also contends that the final rule should include the requirement that individual national forest staffs must coordinate with their local agencies and Tribes before the final rule becomes locally effective. The Forest Service disagrees that there is a statutory requirement to coordinate on rulemaking with local agencies prior to seeking public comment. The preamble to the final rule will explain that disagreement and the fact that local line officers (District Rangers and Forest Supervisors) are encouraged to make direct contact with local agencies to explain the final rule and any implications to those agencies.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 xml:space="preserve">The preamble to the proposed rule solicited public comment on three specific topics associated with the rule: administrative review of categorically excluded projects, use of legal notices to initiate opportunities to comment and object, and page limits for objections.  All three of these </w:t>
      </w:r>
      <w:r w:rsidRPr="000D79CF">
        <w:rPr>
          <w:rFonts w:ascii="Tahoma" w:hAnsi="Tahoma" w:cs="Tahoma"/>
          <w:sz w:val="22"/>
          <w:szCs w:val="22"/>
        </w:rPr>
        <w:lastRenderedPageBreak/>
        <w:t>topics received comment.</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Categorical Exclusions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Some respondents supported not providing administrative reviews for categorically excluded (CE) projects, where possible. Others asserted that administrative reviews for CE projects documented with a Decision Memo must be provided using a post-decisional appeal process under the authority of the ARA or, if its direction is removed by judicial or legislative action, using the same pre</w:t>
      </w:r>
      <w:r w:rsidR="00FB3834">
        <w:rPr>
          <w:rFonts w:ascii="Tahoma" w:hAnsi="Tahoma" w:cs="Tahoma"/>
          <w:sz w:val="22"/>
          <w:szCs w:val="22"/>
        </w:rPr>
        <w:t>-</w:t>
      </w:r>
      <w:r w:rsidRPr="000D79CF">
        <w:rPr>
          <w:rFonts w:ascii="Tahoma" w:hAnsi="Tahoma" w:cs="Tahoma"/>
          <w:sz w:val="22"/>
          <w:szCs w:val="22"/>
        </w:rPr>
        <w:t>decisional administrative review process being afforded projects documented with a ROD or DN. The preamble to the final rule will explain that the Forest Service, in the preamble to the proposed rule, requested comment regarding administrative reviews for CE projects with the expectation that it would be considered when the agency is in a position to act on it. However, the nationwide injunction against the exclusion of CE projects from the notice, comment, and appeal provisions of 36 CFR part 215 (</w:t>
      </w:r>
      <w:r w:rsidRPr="000D79CF">
        <w:rPr>
          <w:rFonts w:ascii="Tahoma" w:hAnsi="Tahoma" w:cs="Tahoma"/>
          <w:i/>
          <w:sz w:val="22"/>
          <w:szCs w:val="22"/>
        </w:rPr>
        <w:t xml:space="preserve">Sequoia </w:t>
      </w:r>
      <w:proofErr w:type="spellStart"/>
      <w:r w:rsidRPr="000D79CF">
        <w:rPr>
          <w:rFonts w:ascii="Tahoma" w:hAnsi="Tahoma" w:cs="Tahoma"/>
          <w:i/>
          <w:sz w:val="22"/>
          <w:szCs w:val="22"/>
        </w:rPr>
        <w:t>ForestKeeper</w:t>
      </w:r>
      <w:proofErr w:type="spellEnd"/>
      <w:r w:rsidRPr="000D79CF">
        <w:rPr>
          <w:rFonts w:ascii="Tahoma" w:hAnsi="Tahoma" w:cs="Tahoma"/>
          <w:sz w:val="22"/>
          <w:szCs w:val="22"/>
        </w:rPr>
        <w:t xml:space="preserve">  v. </w:t>
      </w:r>
      <w:r w:rsidRPr="000D79CF">
        <w:rPr>
          <w:rFonts w:ascii="Tahoma" w:hAnsi="Tahoma" w:cs="Tahoma"/>
          <w:i/>
          <w:sz w:val="22"/>
          <w:szCs w:val="22"/>
        </w:rPr>
        <w:t>Tidwell</w:t>
      </w:r>
      <w:r w:rsidRPr="000D79CF">
        <w:rPr>
          <w:rFonts w:ascii="Tahoma" w:hAnsi="Tahoma" w:cs="Tahoma"/>
          <w:sz w:val="22"/>
          <w:szCs w:val="22"/>
        </w:rPr>
        <w:t>)  is still in effect and that case has been appealed by the government to the 9</w:t>
      </w:r>
      <w:r w:rsidRPr="000D79CF">
        <w:rPr>
          <w:rFonts w:ascii="Tahoma" w:hAnsi="Tahoma" w:cs="Tahoma"/>
          <w:sz w:val="22"/>
          <w:szCs w:val="22"/>
          <w:vertAlign w:val="superscript"/>
        </w:rPr>
        <w:t>th</w:t>
      </w:r>
      <w:r w:rsidRPr="000D79CF">
        <w:rPr>
          <w:rFonts w:ascii="Tahoma" w:hAnsi="Tahoma" w:cs="Tahoma"/>
          <w:sz w:val="22"/>
          <w:szCs w:val="22"/>
        </w:rPr>
        <w:t xml:space="preserve"> Circuit Court of Appeals. Consequently, the preamble will state that the agency is unable to take any further rulemaking action regarding administrative reviews for CE projects and will continue to comply with the injunction pending the final outcome of the case.</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 xml:space="preserve">Notification </w:t>
      </w:r>
      <w:proofErr w:type="gramStart"/>
      <w:r w:rsidRPr="000D79CF">
        <w:rPr>
          <w:rFonts w:ascii="Tahoma" w:hAnsi="Tahoma" w:cs="Tahoma"/>
          <w:b/>
          <w:sz w:val="22"/>
          <w:szCs w:val="22"/>
        </w:rPr>
        <w:t>Through</w:t>
      </w:r>
      <w:proofErr w:type="gramEnd"/>
      <w:r w:rsidRPr="000D79CF">
        <w:rPr>
          <w:rFonts w:ascii="Tahoma" w:hAnsi="Tahoma" w:cs="Tahoma"/>
          <w:b/>
          <w:sz w:val="22"/>
          <w:szCs w:val="22"/>
        </w:rPr>
        <w:t xml:space="preserve"> Legal Notices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 xml:space="preserve">Nearly all of the comments on the use of legal notices to notify the public of, and establish the time period for, certain comment opportunities and the objection filing period supported the continued use of notices in the newspapers of record for these purposes. However, the same comments also advocated for the use of additional notification methods, including e-mailings and web postings.  Most of these respondents also felt that the closing date for these opportunities needs to be clearly and explicitly published, rather than left to members of the public to calculate themselves. </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The notice and comment provisions of the Appeal Reform Act (section 322(b)) require the publication of a notice of the availability of a proposed project for public comment in a newspaper of general circulation and that comments be accepted for 30 days after that publication. Consequently, the final rule will still require publication of legal notices for the required comment period and for the opportunity to file objections. The comment periods and objection filing periods will also still begin with the publication date of the legal notices. However, in order to provide better notification using electronic media, the final rule will also include a requirement to publish the legal notice to the project’s web page within 3-4 calendar days of its publication in the newspaper of record, and to include the newspaper publication date with that web posting.</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p>
    <w:p w:rsidR="00212A10" w:rsidRPr="000D79CF" w:rsidRDefault="00212A10" w:rsidP="00212A10">
      <w:pPr>
        <w:tabs>
          <w:tab w:val="left" w:pos="5040"/>
          <w:tab w:val="left" w:pos="5328"/>
          <w:tab w:val="right" w:pos="9360"/>
        </w:tabs>
        <w:autoSpaceDE/>
        <w:autoSpaceDN/>
        <w:adjustRightInd/>
        <w:spacing w:before="20" w:after="120"/>
        <w:ind w:left="720"/>
        <w:rPr>
          <w:rFonts w:ascii="Tahoma" w:hAnsi="Tahoma" w:cs="Tahoma"/>
          <w:b/>
          <w:sz w:val="22"/>
          <w:szCs w:val="22"/>
        </w:rPr>
      </w:pPr>
      <w:r w:rsidRPr="000D79CF">
        <w:rPr>
          <w:rFonts w:ascii="Tahoma" w:hAnsi="Tahoma" w:cs="Tahoma"/>
          <w:b/>
          <w:sz w:val="22"/>
          <w:szCs w:val="22"/>
        </w:rPr>
        <w:t>Page Limitations</w:t>
      </w:r>
    </w:p>
    <w:p w:rsidR="00212A10" w:rsidRPr="000D79CF" w:rsidRDefault="00212A10" w:rsidP="00212A10">
      <w:pPr>
        <w:tabs>
          <w:tab w:val="left" w:pos="5040"/>
          <w:tab w:val="left" w:pos="5328"/>
          <w:tab w:val="right" w:pos="9360"/>
        </w:tabs>
        <w:autoSpaceDE/>
        <w:autoSpaceDN/>
        <w:adjustRightInd/>
        <w:spacing w:before="20" w:after="20"/>
        <w:rPr>
          <w:rFonts w:ascii="Tahoma" w:hAnsi="Tahoma" w:cs="Tahoma"/>
          <w:sz w:val="22"/>
          <w:szCs w:val="22"/>
        </w:rPr>
      </w:pPr>
      <w:r w:rsidRPr="000D79CF">
        <w:rPr>
          <w:rFonts w:ascii="Tahoma" w:hAnsi="Tahoma" w:cs="Tahoma"/>
          <w:sz w:val="22"/>
          <w:szCs w:val="22"/>
        </w:rPr>
        <w:t xml:space="preserve">Roughly equal numbers of comments were received in favor of imposing page limitations on objections and opposed to any limitations. Comments in favor of the limitation generally cited the value in keeping objections focused, and concise, while maintaining consistency in requirements between agencies, specifically DOI’s Interior Board of Land Appeals, which imposes a 30-page limit. Comments opposed to page limits often described lengthy environmental analysis documents and complex project proposals for which a constraint such as </w:t>
      </w:r>
      <w:r w:rsidRPr="000D79CF">
        <w:rPr>
          <w:rFonts w:ascii="Tahoma" w:hAnsi="Tahoma" w:cs="Tahoma"/>
          <w:sz w:val="22"/>
          <w:szCs w:val="22"/>
        </w:rPr>
        <w:lastRenderedPageBreak/>
        <w:t>30 pages would be unfairly limiting. The preamble to the final rule will explain that the Forest Service agrees with those who feel it is impractical, if not unfair, to impose page limits on objections to project proposals when the associated NEPA documentation can vary greatly in length and complexity. Consequently, the final rule will not include page limits for objections.</w:t>
      </w:r>
    </w:p>
    <w:p w:rsidR="00212A10" w:rsidRPr="000D79CF" w:rsidRDefault="00212A10" w:rsidP="005E58E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0"/>
          <w:szCs w:val="20"/>
        </w:rPr>
      </w:pPr>
    </w:p>
    <w:p w:rsidR="000D79CF" w:rsidRPr="000D79CF" w:rsidRDefault="000D79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0"/>
          <w:szCs w:val="20"/>
        </w:rPr>
      </w:pPr>
    </w:p>
    <w:sectPr w:rsidR="000D79CF" w:rsidRPr="000D79CF" w:rsidSect="00D52078">
      <w:headerReference w:type="default" r:id="rId18"/>
      <w:footerReference w:type="default" r:id="rId19"/>
      <w:footerReference w:type="first" r:id="rId20"/>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67" w:rsidRDefault="00347E67">
      <w:r>
        <w:separator/>
      </w:r>
    </w:p>
  </w:endnote>
  <w:endnote w:type="continuationSeparator" w:id="0">
    <w:p w:rsidR="00347E67" w:rsidRDefault="0034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D1" w:rsidRPr="0053133D" w:rsidRDefault="00655BD1" w:rsidP="0053133D">
    <w:pPr>
      <w:pStyle w:val="Footer"/>
      <w:jc w:val="center"/>
      <w:rPr>
        <w:rFonts w:ascii="Tahoma" w:hAnsi="Tahoma" w:cs="Tahoma"/>
      </w:rPr>
    </w:pPr>
    <w:r w:rsidRPr="0053133D">
      <w:rPr>
        <w:rFonts w:ascii="Tahoma" w:hAnsi="Tahoma" w:cs="Tahoma"/>
      </w:rPr>
      <w:t xml:space="preserve">Page </w:t>
    </w:r>
    <w:r w:rsidRPr="0053133D">
      <w:rPr>
        <w:rFonts w:ascii="Tahoma" w:hAnsi="Tahoma" w:cs="Tahoma"/>
        <w:b/>
        <w:bCs/>
      </w:rPr>
      <w:fldChar w:fldCharType="begin"/>
    </w:r>
    <w:r w:rsidRPr="0053133D">
      <w:rPr>
        <w:rFonts w:ascii="Tahoma" w:hAnsi="Tahoma" w:cs="Tahoma"/>
        <w:b/>
        <w:bCs/>
      </w:rPr>
      <w:instrText xml:space="preserve"> PAGE </w:instrText>
    </w:r>
    <w:r w:rsidRPr="0053133D">
      <w:rPr>
        <w:rFonts w:ascii="Tahoma" w:hAnsi="Tahoma" w:cs="Tahoma"/>
        <w:b/>
        <w:bCs/>
      </w:rPr>
      <w:fldChar w:fldCharType="separate"/>
    </w:r>
    <w:r w:rsidR="00246CBA">
      <w:rPr>
        <w:rFonts w:ascii="Tahoma" w:hAnsi="Tahoma" w:cs="Tahoma"/>
        <w:b/>
        <w:bCs/>
        <w:noProof/>
      </w:rPr>
      <w:t>2</w:t>
    </w:r>
    <w:r w:rsidRPr="0053133D">
      <w:rPr>
        <w:rFonts w:ascii="Tahoma" w:hAnsi="Tahoma" w:cs="Tahoma"/>
        <w:b/>
        <w:bCs/>
      </w:rPr>
      <w:fldChar w:fldCharType="end"/>
    </w:r>
    <w:r w:rsidRPr="0053133D">
      <w:rPr>
        <w:rFonts w:ascii="Tahoma" w:hAnsi="Tahoma" w:cs="Tahoma"/>
      </w:rPr>
      <w:t xml:space="preserve"> of </w:t>
    </w:r>
    <w:r w:rsidRPr="0053133D">
      <w:rPr>
        <w:rFonts w:ascii="Tahoma" w:hAnsi="Tahoma" w:cs="Tahoma"/>
        <w:b/>
        <w:bCs/>
      </w:rPr>
      <w:fldChar w:fldCharType="begin"/>
    </w:r>
    <w:r w:rsidRPr="0053133D">
      <w:rPr>
        <w:rFonts w:ascii="Tahoma" w:hAnsi="Tahoma" w:cs="Tahoma"/>
        <w:b/>
        <w:bCs/>
      </w:rPr>
      <w:instrText xml:space="preserve"> NUMPAGES  </w:instrText>
    </w:r>
    <w:r w:rsidRPr="0053133D">
      <w:rPr>
        <w:rFonts w:ascii="Tahoma" w:hAnsi="Tahoma" w:cs="Tahoma"/>
        <w:b/>
        <w:bCs/>
      </w:rPr>
      <w:fldChar w:fldCharType="separate"/>
    </w:r>
    <w:r w:rsidR="00246CBA">
      <w:rPr>
        <w:rFonts w:ascii="Tahoma" w:hAnsi="Tahoma" w:cs="Tahoma"/>
        <w:b/>
        <w:bCs/>
        <w:noProof/>
      </w:rPr>
      <w:t>3</w:t>
    </w:r>
    <w:r w:rsidRPr="0053133D">
      <w:rPr>
        <w:rFonts w:ascii="Tahoma" w:hAnsi="Tahoma" w:cs="Tahoma"/>
        <w:b/>
        <w:bCs/>
      </w:rPr>
      <w:fldChar w:fldCharType="end"/>
    </w:r>
  </w:p>
  <w:p w:rsidR="00655BD1" w:rsidRDefault="00655BD1"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58495"/>
      <w:docPartObj>
        <w:docPartGallery w:val="Page Numbers (Bottom of Page)"/>
        <w:docPartUnique/>
      </w:docPartObj>
    </w:sdtPr>
    <w:sdtEndPr/>
    <w:sdtContent>
      <w:sdt>
        <w:sdtPr>
          <w:id w:val="98381352"/>
          <w:docPartObj>
            <w:docPartGallery w:val="Page Numbers (Top of Page)"/>
            <w:docPartUnique/>
          </w:docPartObj>
        </w:sdtPr>
        <w:sdtEndPr/>
        <w:sdtContent>
          <w:p w:rsidR="00D52078" w:rsidRDefault="00D52078" w:rsidP="00D52078">
            <w:pPr>
              <w:pStyle w:val="Footer"/>
              <w:jc w:val="center"/>
            </w:pPr>
            <w:r>
              <w:t xml:space="preserve">Page </w:t>
            </w:r>
            <w:r>
              <w:rPr>
                <w:b/>
                <w:bCs/>
              </w:rPr>
              <w:fldChar w:fldCharType="begin"/>
            </w:r>
            <w:r>
              <w:rPr>
                <w:b/>
                <w:bCs/>
              </w:rPr>
              <w:instrText xml:space="preserve"> PAGE </w:instrText>
            </w:r>
            <w:r>
              <w:rPr>
                <w:b/>
                <w:bCs/>
              </w:rPr>
              <w:fldChar w:fldCharType="separate"/>
            </w:r>
            <w:r w:rsidR="00246CB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46CBA">
              <w:rPr>
                <w:b/>
                <w:bCs/>
                <w:noProof/>
              </w:rPr>
              <w:t>16</w:t>
            </w:r>
            <w:r>
              <w:rPr>
                <w:b/>
                <w:bCs/>
              </w:rPr>
              <w:fldChar w:fldCharType="end"/>
            </w:r>
          </w:p>
        </w:sdtContent>
      </w:sdt>
    </w:sdtContent>
  </w:sdt>
  <w:p w:rsidR="00D52078" w:rsidRDefault="00D52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67" w:rsidRDefault="00347E67">
      <w:r>
        <w:separator/>
      </w:r>
    </w:p>
  </w:footnote>
  <w:footnote w:type="continuationSeparator" w:id="0">
    <w:p w:rsidR="00347E67" w:rsidRDefault="00347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8" w:rsidRDefault="00D52078" w:rsidP="00D5207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The 2013</w:t>
    </w:r>
    <w:r w:rsidRPr="00EC10FF">
      <w:rPr>
        <w:rFonts w:ascii="Tahoma" w:hAnsi="Tahoma" w:cs="Tahoma"/>
        <w:b/>
        <w:bCs/>
        <w:sz w:val="28"/>
        <w:szCs w:val="28"/>
        <w:u w:val="single"/>
      </w:rPr>
      <w:t xml:space="preserve"> Supporting Statement for OMB 0596-</w:t>
    </w:r>
    <w:r>
      <w:rPr>
        <w:rFonts w:ascii="Tahoma" w:hAnsi="Tahoma" w:cs="Tahoma"/>
        <w:b/>
        <w:bCs/>
        <w:sz w:val="28"/>
        <w:szCs w:val="28"/>
        <w:u w:val="single"/>
      </w:rPr>
      <w:t>0172</w:t>
    </w:r>
    <w:r w:rsidRPr="00EC10FF">
      <w:rPr>
        <w:rFonts w:ascii="Tahoma" w:hAnsi="Tahoma" w:cs="Tahoma"/>
        <w:sz w:val="28"/>
        <w:szCs w:val="28"/>
        <w:u w:val="single"/>
      </w:rPr>
      <w:t xml:space="preserve"> </w:t>
    </w:r>
  </w:p>
  <w:p w:rsidR="00D52078" w:rsidRDefault="00D52078" w:rsidP="00D5207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Project Level Pre-decisional Administrative Review Process</w:t>
    </w:r>
  </w:p>
  <w:p w:rsidR="00D52078" w:rsidRPr="00BC3A20" w:rsidRDefault="00D52078" w:rsidP="00D5207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rPr>
    </w:pPr>
    <w:r w:rsidRPr="00BC3A20">
      <w:rPr>
        <w:rFonts w:ascii="Tahoma" w:hAnsi="Tahoma" w:cs="Tahoma"/>
      </w:rPr>
      <w:t>(</w:t>
    </w:r>
    <w:r>
      <w:rPr>
        <w:rFonts w:ascii="Tahoma" w:hAnsi="Tahoma" w:cs="Tahoma"/>
      </w:rPr>
      <w:t>Final</w:t>
    </w:r>
    <w:r w:rsidRPr="00BC3A20">
      <w:rPr>
        <w:rFonts w:ascii="Tahoma" w:hAnsi="Tahoma" w:cs="Tahoma"/>
      </w:rPr>
      <w:t xml:space="preserve"> Rule)</w:t>
    </w:r>
  </w:p>
  <w:p w:rsidR="00655BD1" w:rsidRDefault="00655B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5FA83FC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E7D7659"/>
    <w:multiLevelType w:val="hybridMultilevel"/>
    <w:tmpl w:val="3B243D3A"/>
    <w:lvl w:ilvl="0" w:tplc="293ADC0C">
      <w:start w:val="1"/>
      <w:numFmt w:val="upperLetter"/>
      <w:lvlText w:val="%1."/>
      <w:lvlJc w:val="left"/>
      <w:pPr>
        <w:ind w:left="6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53F5974"/>
    <w:multiLevelType w:val="hybridMultilevel"/>
    <w:tmpl w:val="2F2E65F2"/>
    <w:lvl w:ilvl="0" w:tplc="52FE478C">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E047ECF"/>
    <w:multiLevelType w:val="hybridMultilevel"/>
    <w:tmpl w:val="B1769232"/>
    <w:lvl w:ilvl="0" w:tplc="06901694">
      <w:start w:val="1"/>
      <w:numFmt w:val="upperRoman"/>
      <w:lvlText w:val="%1."/>
      <w:lvlJc w:val="left"/>
      <w:pPr>
        <w:ind w:left="1797" w:hanging="72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8">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nsid w:val="40BC3250"/>
    <w:multiLevelType w:val="hybridMultilevel"/>
    <w:tmpl w:val="CF9C4D7E"/>
    <w:lvl w:ilvl="0" w:tplc="40E878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5F1C0DF8"/>
    <w:multiLevelType w:val="hybridMultilevel"/>
    <w:tmpl w:val="1B5273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A7B1948"/>
    <w:multiLevelType w:val="hybridMultilevel"/>
    <w:tmpl w:val="D312E124"/>
    <w:lvl w:ilvl="0" w:tplc="A10A9182">
      <w:start w:val="3"/>
      <w:numFmt w:val="upp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4">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5">
    <w:nsid w:val="7F023D99"/>
    <w:multiLevelType w:val="hybridMultilevel"/>
    <w:tmpl w:val="A224C1DC"/>
    <w:lvl w:ilvl="0" w:tplc="24005FD0">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0"/>
  </w:num>
  <w:num w:numId="6">
    <w:abstractNumId w:val="24"/>
  </w:num>
  <w:num w:numId="7">
    <w:abstractNumId w:val="35"/>
  </w:num>
  <w:num w:numId="8">
    <w:abstractNumId w:val="34"/>
  </w:num>
  <w:num w:numId="9">
    <w:abstractNumId w:val="28"/>
  </w:num>
  <w:num w:numId="10">
    <w:abstractNumId w:val="17"/>
  </w:num>
  <w:num w:numId="11">
    <w:abstractNumId w:val="21"/>
  </w:num>
  <w:num w:numId="12">
    <w:abstractNumId w:val="44"/>
  </w:num>
  <w:num w:numId="13">
    <w:abstractNumId w:val="42"/>
  </w:num>
  <w:num w:numId="14">
    <w:abstractNumId w:val="32"/>
  </w:num>
  <w:num w:numId="15">
    <w:abstractNumId w:val="22"/>
  </w:num>
  <w:num w:numId="16">
    <w:abstractNumId w:val="38"/>
  </w:num>
  <w:num w:numId="17">
    <w:abstractNumId w:val="25"/>
  </w:num>
  <w:num w:numId="18">
    <w:abstractNumId w:val="41"/>
  </w:num>
  <w:num w:numId="19">
    <w:abstractNumId w:val="36"/>
  </w:num>
  <w:num w:numId="20">
    <w:abstractNumId w:val="37"/>
  </w:num>
  <w:num w:numId="21">
    <w:abstractNumId w:val="26"/>
  </w:num>
  <w:num w:numId="22">
    <w:abstractNumId w:val="19"/>
  </w:num>
  <w:num w:numId="23">
    <w:abstractNumId w:val="18"/>
  </w:num>
  <w:num w:numId="24">
    <w:abstractNumId w:val="33"/>
  </w:num>
  <w:num w:numId="25">
    <w:abstractNumId w:val="29"/>
  </w:num>
  <w:num w:numId="26">
    <w:abstractNumId w:val="40"/>
  </w:num>
  <w:num w:numId="27">
    <w:abstractNumId w:val="20"/>
  </w:num>
  <w:num w:numId="28">
    <w:abstractNumId w:val="27"/>
  </w:num>
  <w:num w:numId="29">
    <w:abstractNumId w:val="23"/>
  </w:num>
  <w:num w:numId="30">
    <w:abstractNumId w:val="31"/>
  </w:num>
  <w:num w:numId="31">
    <w:abstractNumId w:val="43"/>
  </w:num>
  <w:num w:numId="32">
    <w:abstractNumId w:val="39"/>
  </w:num>
  <w:num w:numId="3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2F7B"/>
    <w:rsid w:val="0001539D"/>
    <w:rsid w:val="00016EAC"/>
    <w:rsid w:val="000208DF"/>
    <w:rsid w:val="000302C7"/>
    <w:rsid w:val="00034E30"/>
    <w:rsid w:val="00041F76"/>
    <w:rsid w:val="00043FF8"/>
    <w:rsid w:val="0004452C"/>
    <w:rsid w:val="00045DD0"/>
    <w:rsid w:val="00052C24"/>
    <w:rsid w:val="00063823"/>
    <w:rsid w:val="0006656C"/>
    <w:rsid w:val="00076BA1"/>
    <w:rsid w:val="000851DC"/>
    <w:rsid w:val="0008759A"/>
    <w:rsid w:val="00091587"/>
    <w:rsid w:val="00092643"/>
    <w:rsid w:val="00094A71"/>
    <w:rsid w:val="000A1EBF"/>
    <w:rsid w:val="000B008A"/>
    <w:rsid w:val="000B212B"/>
    <w:rsid w:val="000B3957"/>
    <w:rsid w:val="000D0AB5"/>
    <w:rsid w:val="000D3D02"/>
    <w:rsid w:val="000D53A4"/>
    <w:rsid w:val="000D79CF"/>
    <w:rsid w:val="000E2D3B"/>
    <w:rsid w:val="000E306F"/>
    <w:rsid w:val="000E5463"/>
    <w:rsid w:val="000F37E5"/>
    <w:rsid w:val="000F4DC6"/>
    <w:rsid w:val="00104EFE"/>
    <w:rsid w:val="00114B74"/>
    <w:rsid w:val="00116396"/>
    <w:rsid w:val="00123CDD"/>
    <w:rsid w:val="001377AE"/>
    <w:rsid w:val="00140B89"/>
    <w:rsid w:val="00144524"/>
    <w:rsid w:val="00145E6F"/>
    <w:rsid w:val="001575EE"/>
    <w:rsid w:val="00167302"/>
    <w:rsid w:val="001724B2"/>
    <w:rsid w:val="00173679"/>
    <w:rsid w:val="0017584E"/>
    <w:rsid w:val="001772A0"/>
    <w:rsid w:val="001828D0"/>
    <w:rsid w:val="00183479"/>
    <w:rsid w:val="00183F11"/>
    <w:rsid w:val="001844DC"/>
    <w:rsid w:val="0019207D"/>
    <w:rsid w:val="00193AC9"/>
    <w:rsid w:val="00196697"/>
    <w:rsid w:val="00197F9A"/>
    <w:rsid w:val="001A015F"/>
    <w:rsid w:val="001A518A"/>
    <w:rsid w:val="001B2CDD"/>
    <w:rsid w:val="001B7232"/>
    <w:rsid w:val="001C54C5"/>
    <w:rsid w:val="001C7274"/>
    <w:rsid w:val="001D0EDD"/>
    <w:rsid w:val="001E409B"/>
    <w:rsid w:val="001E7019"/>
    <w:rsid w:val="001F28A5"/>
    <w:rsid w:val="001F3AB3"/>
    <w:rsid w:val="00204A94"/>
    <w:rsid w:val="0021215B"/>
    <w:rsid w:val="00212A10"/>
    <w:rsid w:val="00213FC6"/>
    <w:rsid w:val="00246CBA"/>
    <w:rsid w:val="00247E63"/>
    <w:rsid w:val="002544DC"/>
    <w:rsid w:val="00262D33"/>
    <w:rsid w:val="002640D1"/>
    <w:rsid w:val="0027207D"/>
    <w:rsid w:val="00275F35"/>
    <w:rsid w:val="002776CD"/>
    <w:rsid w:val="00282B17"/>
    <w:rsid w:val="00291B4C"/>
    <w:rsid w:val="00293A60"/>
    <w:rsid w:val="00296E25"/>
    <w:rsid w:val="002A5844"/>
    <w:rsid w:val="002B2D37"/>
    <w:rsid w:val="002C055F"/>
    <w:rsid w:val="002C0879"/>
    <w:rsid w:val="002C4767"/>
    <w:rsid w:val="002D277C"/>
    <w:rsid w:val="002D6818"/>
    <w:rsid w:val="002E1392"/>
    <w:rsid w:val="002F02DF"/>
    <w:rsid w:val="002F0719"/>
    <w:rsid w:val="00306F03"/>
    <w:rsid w:val="00320E78"/>
    <w:rsid w:val="00321D11"/>
    <w:rsid w:val="003248AB"/>
    <w:rsid w:val="00343F1D"/>
    <w:rsid w:val="00347AC8"/>
    <w:rsid w:val="00347E67"/>
    <w:rsid w:val="00356A63"/>
    <w:rsid w:val="00363595"/>
    <w:rsid w:val="00365D1E"/>
    <w:rsid w:val="0037692C"/>
    <w:rsid w:val="00380B9B"/>
    <w:rsid w:val="00390FEE"/>
    <w:rsid w:val="00395004"/>
    <w:rsid w:val="003A6BA3"/>
    <w:rsid w:val="003B77E4"/>
    <w:rsid w:val="003D1ABD"/>
    <w:rsid w:val="003E2D41"/>
    <w:rsid w:val="003E5DC6"/>
    <w:rsid w:val="003F0C59"/>
    <w:rsid w:val="003F3871"/>
    <w:rsid w:val="003F7EE5"/>
    <w:rsid w:val="00403B61"/>
    <w:rsid w:val="0040587F"/>
    <w:rsid w:val="00411A0F"/>
    <w:rsid w:val="00424F9B"/>
    <w:rsid w:val="00427F5F"/>
    <w:rsid w:val="00436BCF"/>
    <w:rsid w:val="004379D7"/>
    <w:rsid w:val="00440F45"/>
    <w:rsid w:val="00452747"/>
    <w:rsid w:val="004535FA"/>
    <w:rsid w:val="00465431"/>
    <w:rsid w:val="00466A6C"/>
    <w:rsid w:val="0047209B"/>
    <w:rsid w:val="004870A8"/>
    <w:rsid w:val="00490CD1"/>
    <w:rsid w:val="00492660"/>
    <w:rsid w:val="00493928"/>
    <w:rsid w:val="0049532A"/>
    <w:rsid w:val="004B509B"/>
    <w:rsid w:val="004C4215"/>
    <w:rsid w:val="004D2532"/>
    <w:rsid w:val="004D39A0"/>
    <w:rsid w:val="004E045A"/>
    <w:rsid w:val="004E4743"/>
    <w:rsid w:val="004F0991"/>
    <w:rsid w:val="00501FFD"/>
    <w:rsid w:val="00504B59"/>
    <w:rsid w:val="005053DE"/>
    <w:rsid w:val="00513680"/>
    <w:rsid w:val="005138AD"/>
    <w:rsid w:val="00514076"/>
    <w:rsid w:val="005173FD"/>
    <w:rsid w:val="0052553A"/>
    <w:rsid w:val="00525919"/>
    <w:rsid w:val="00527318"/>
    <w:rsid w:val="0053011B"/>
    <w:rsid w:val="00530760"/>
    <w:rsid w:val="005311A3"/>
    <w:rsid w:val="0053133D"/>
    <w:rsid w:val="00532155"/>
    <w:rsid w:val="005355E6"/>
    <w:rsid w:val="005371CA"/>
    <w:rsid w:val="0054338F"/>
    <w:rsid w:val="005436B9"/>
    <w:rsid w:val="0054538B"/>
    <w:rsid w:val="005502C5"/>
    <w:rsid w:val="0055599D"/>
    <w:rsid w:val="00560450"/>
    <w:rsid w:val="00561B09"/>
    <w:rsid w:val="00562068"/>
    <w:rsid w:val="00565B3C"/>
    <w:rsid w:val="00571BF9"/>
    <w:rsid w:val="005820F8"/>
    <w:rsid w:val="00594A15"/>
    <w:rsid w:val="005A3424"/>
    <w:rsid w:val="005A4CDA"/>
    <w:rsid w:val="005B4D3F"/>
    <w:rsid w:val="005C41A9"/>
    <w:rsid w:val="005C695A"/>
    <w:rsid w:val="005D60A3"/>
    <w:rsid w:val="005E58ED"/>
    <w:rsid w:val="005E6217"/>
    <w:rsid w:val="005E7212"/>
    <w:rsid w:val="005F0384"/>
    <w:rsid w:val="005F20E2"/>
    <w:rsid w:val="005F41B8"/>
    <w:rsid w:val="005F43AA"/>
    <w:rsid w:val="005F78E1"/>
    <w:rsid w:val="00602F0D"/>
    <w:rsid w:val="00603FAB"/>
    <w:rsid w:val="0061006E"/>
    <w:rsid w:val="0061550C"/>
    <w:rsid w:val="006165A8"/>
    <w:rsid w:val="006228CE"/>
    <w:rsid w:val="00624F6A"/>
    <w:rsid w:val="00625510"/>
    <w:rsid w:val="00631902"/>
    <w:rsid w:val="006359C7"/>
    <w:rsid w:val="00637CA1"/>
    <w:rsid w:val="00644029"/>
    <w:rsid w:val="0064606B"/>
    <w:rsid w:val="00654341"/>
    <w:rsid w:val="00655BD1"/>
    <w:rsid w:val="006614C9"/>
    <w:rsid w:val="006618CE"/>
    <w:rsid w:val="00677FCE"/>
    <w:rsid w:val="00682B34"/>
    <w:rsid w:val="00691F2E"/>
    <w:rsid w:val="00694039"/>
    <w:rsid w:val="006A275D"/>
    <w:rsid w:val="006A342D"/>
    <w:rsid w:val="006A3DF8"/>
    <w:rsid w:val="006A445F"/>
    <w:rsid w:val="006B1DA5"/>
    <w:rsid w:val="006B455B"/>
    <w:rsid w:val="006B5203"/>
    <w:rsid w:val="006C3ACE"/>
    <w:rsid w:val="006D036E"/>
    <w:rsid w:val="006D1801"/>
    <w:rsid w:val="006E5043"/>
    <w:rsid w:val="006F226F"/>
    <w:rsid w:val="006F2E6D"/>
    <w:rsid w:val="006F798F"/>
    <w:rsid w:val="007010EC"/>
    <w:rsid w:val="007015D1"/>
    <w:rsid w:val="00702100"/>
    <w:rsid w:val="00704495"/>
    <w:rsid w:val="00705D8E"/>
    <w:rsid w:val="00705D9E"/>
    <w:rsid w:val="00706258"/>
    <w:rsid w:val="00711D70"/>
    <w:rsid w:val="0072310C"/>
    <w:rsid w:val="007241A0"/>
    <w:rsid w:val="00731B87"/>
    <w:rsid w:val="00736770"/>
    <w:rsid w:val="00737186"/>
    <w:rsid w:val="007465BD"/>
    <w:rsid w:val="007515D6"/>
    <w:rsid w:val="00752752"/>
    <w:rsid w:val="00754591"/>
    <w:rsid w:val="00756054"/>
    <w:rsid w:val="00764AB3"/>
    <w:rsid w:val="00767D01"/>
    <w:rsid w:val="00774E9D"/>
    <w:rsid w:val="00791742"/>
    <w:rsid w:val="00791A93"/>
    <w:rsid w:val="00794097"/>
    <w:rsid w:val="007A383E"/>
    <w:rsid w:val="007B0CBB"/>
    <w:rsid w:val="007B68B7"/>
    <w:rsid w:val="007C16F9"/>
    <w:rsid w:val="007C40ED"/>
    <w:rsid w:val="007C7622"/>
    <w:rsid w:val="007D01E8"/>
    <w:rsid w:val="007E02C7"/>
    <w:rsid w:val="0080078B"/>
    <w:rsid w:val="0080766D"/>
    <w:rsid w:val="0083262E"/>
    <w:rsid w:val="00832DE8"/>
    <w:rsid w:val="00835312"/>
    <w:rsid w:val="00836606"/>
    <w:rsid w:val="00836A35"/>
    <w:rsid w:val="00862A24"/>
    <w:rsid w:val="00866C9C"/>
    <w:rsid w:val="00873AC1"/>
    <w:rsid w:val="00880ED5"/>
    <w:rsid w:val="00890057"/>
    <w:rsid w:val="00890645"/>
    <w:rsid w:val="00890FBE"/>
    <w:rsid w:val="008913F8"/>
    <w:rsid w:val="00892E81"/>
    <w:rsid w:val="00892F97"/>
    <w:rsid w:val="008944A1"/>
    <w:rsid w:val="008A742C"/>
    <w:rsid w:val="008B4064"/>
    <w:rsid w:val="008B6AAD"/>
    <w:rsid w:val="008C2289"/>
    <w:rsid w:val="008C24C5"/>
    <w:rsid w:val="008C325F"/>
    <w:rsid w:val="008D15D2"/>
    <w:rsid w:val="008D52B0"/>
    <w:rsid w:val="008D689F"/>
    <w:rsid w:val="008D736C"/>
    <w:rsid w:val="008F0461"/>
    <w:rsid w:val="008F27F5"/>
    <w:rsid w:val="008F3097"/>
    <w:rsid w:val="00915ABE"/>
    <w:rsid w:val="00917427"/>
    <w:rsid w:val="0093329E"/>
    <w:rsid w:val="00942FFF"/>
    <w:rsid w:val="00945161"/>
    <w:rsid w:val="00945A7B"/>
    <w:rsid w:val="00950D13"/>
    <w:rsid w:val="009553F8"/>
    <w:rsid w:val="00962CBD"/>
    <w:rsid w:val="00971377"/>
    <w:rsid w:val="0097499B"/>
    <w:rsid w:val="009752A9"/>
    <w:rsid w:val="009768A1"/>
    <w:rsid w:val="00976F5F"/>
    <w:rsid w:val="00977D5B"/>
    <w:rsid w:val="00977EE6"/>
    <w:rsid w:val="00983021"/>
    <w:rsid w:val="00983295"/>
    <w:rsid w:val="009872CA"/>
    <w:rsid w:val="00991A15"/>
    <w:rsid w:val="00991FD2"/>
    <w:rsid w:val="009949EB"/>
    <w:rsid w:val="009A29E3"/>
    <w:rsid w:val="009A39DF"/>
    <w:rsid w:val="009A43A4"/>
    <w:rsid w:val="009A481A"/>
    <w:rsid w:val="009A6851"/>
    <w:rsid w:val="009A769F"/>
    <w:rsid w:val="009B31C0"/>
    <w:rsid w:val="009C16A8"/>
    <w:rsid w:val="009C1713"/>
    <w:rsid w:val="009C7469"/>
    <w:rsid w:val="009D06F7"/>
    <w:rsid w:val="009D239A"/>
    <w:rsid w:val="009D6690"/>
    <w:rsid w:val="009D69E3"/>
    <w:rsid w:val="009E46C0"/>
    <w:rsid w:val="009E6860"/>
    <w:rsid w:val="009E749E"/>
    <w:rsid w:val="009F01CA"/>
    <w:rsid w:val="009F4E9D"/>
    <w:rsid w:val="009F673A"/>
    <w:rsid w:val="00A0033A"/>
    <w:rsid w:val="00A102FC"/>
    <w:rsid w:val="00A16C3C"/>
    <w:rsid w:val="00A2195C"/>
    <w:rsid w:val="00A2491B"/>
    <w:rsid w:val="00A24C4E"/>
    <w:rsid w:val="00A325A6"/>
    <w:rsid w:val="00A43CA6"/>
    <w:rsid w:val="00A5568C"/>
    <w:rsid w:val="00A5675F"/>
    <w:rsid w:val="00A61CB6"/>
    <w:rsid w:val="00A623D9"/>
    <w:rsid w:val="00A630D1"/>
    <w:rsid w:val="00A65E28"/>
    <w:rsid w:val="00A70346"/>
    <w:rsid w:val="00A82BE4"/>
    <w:rsid w:val="00AA458D"/>
    <w:rsid w:val="00AA6812"/>
    <w:rsid w:val="00AA7774"/>
    <w:rsid w:val="00AB34B2"/>
    <w:rsid w:val="00AB68BE"/>
    <w:rsid w:val="00AB7DFC"/>
    <w:rsid w:val="00AC610D"/>
    <w:rsid w:val="00AD31ED"/>
    <w:rsid w:val="00AD469B"/>
    <w:rsid w:val="00AE4465"/>
    <w:rsid w:val="00AE6123"/>
    <w:rsid w:val="00AF7A10"/>
    <w:rsid w:val="00B0054B"/>
    <w:rsid w:val="00B00D28"/>
    <w:rsid w:val="00B10CE9"/>
    <w:rsid w:val="00B12439"/>
    <w:rsid w:val="00B15718"/>
    <w:rsid w:val="00B15C55"/>
    <w:rsid w:val="00B22415"/>
    <w:rsid w:val="00B22424"/>
    <w:rsid w:val="00B22A1F"/>
    <w:rsid w:val="00B253EF"/>
    <w:rsid w:val="00B2688E"/>
    <w:rsid w:val="00B33F92"/>
    <w:rsid w:val="00B40DCB"/>
    <w:rsid w:val="00B4352C"/>
    <w:rsid w:val="00B60FF9"/>
    <w:rsid w:val="00B62A45"/>
    <w:rsid w:val="00B63CE5"/>
    <w:rsid w:val="00B6575E"/>
    <w:rsid w:val="00B7427C"/>
    <w:rsid w:val="00B7485F"/>
    <w:rsid w:val="00B77F8C"/>
    <w:rsid w:val="00B81211"/>
    <w:rsid w:val="00B86B12"/>
    <w:rsid w:val="00B911C3"/>
    <w:rsid w:val="00BB06C3"/>
    <w:rsid w:val="00BC3A20"/>
    <w:rsid w:val="00BD465F"/>
    <w:rsid w:val="00BF116B"/>
    <w:rsid w:val="00BF370D"/>
    <w:rsid w:val="00C03E9F"/>
    <w:rsid w:val="00C0474D"/>
    <w:rsid w:val="00C07209"/>
    <w:rsid w:val="00C1275F"/>
    <w:rsid w:val="00C1357E"/>
    <w:rsid w:val="00C230FB"/>
    <w:rsid w:val="00C30B8A"/>
    <w:rsid w:val="00C374A8"/>
    <w:rsid w:val="00C37CD8"/>
    <w:rsid w:val="00C40544"/>
    <w:rsid w:val="00C446A1"/>
    <w:rsid w:val="00C54E3E"/>
    <w:rsid w:val="00C71040"/>
    <w:rsid w:val="00C748B1"/>
    <w:rsid w:val="00C934C3"/>
    <w:rsid w:val="00CA0929"/>
    <w:rsid w:val="00CA35F1"/>
    <w:rsid w:val="00CA3E23"/>
    <w:rsid w:val="00CB0A80"/>
    <w:rsid w:val="00CB51B2"/>
    <w:rsid w:val="00CB675A"/>
    <w:rsid w:val="00CC03B6"/>
    <w:rsid w:val="00CC33E1"/>
    <w:rsid w:val="00CC45C4"/>
    <w:rsid w:val="00CC47FD"/>
    <w:rsid w:val="00CC4AB3"/>
    <w:rsid w:val="00CC579B"/>
    <w:rsid w:val="00CC5DF4"/>
    <w:rsid w:val="00CC6A0A"/>
    <w:rsid w:val="00CD124E"/>
    <w:rsid w:val="00CD4215"/>
    <w:rsid w:val="00CD5FCF"/>
    <w:rsid w:val="00CE0DEA"/>
    <w:rsid w:val="00CE449C"/>
    <w:rsid w:val="00CE451F"/>
    <w:rsid w:val="00CE65D4"/>
    <w:rsid w:val="00CF5ADD"/>
    <w:rsid w:val="00CF61DD"/>
    <w:rsid w:val="00D03880"/>
    <w:rsid w:val="00D072AB"/>
    <w:rsid w:val="00D171B9"/>
    <w:rsid w:val="00D17994"/>
    <w:rsid w:val="00D21078"/>
    <w:rsid w:val="00D213C8"/>
    <w:rsid w:val="00D25FB6"/>
    <w:rsid w:val="00D33E9B"/>
    <w:rsid w:val="00D343A1"/>
    <w:rsid w:val="00D3539A"/>
    <w:rsid w:val="00D46CDC"/>
    <w:rsid w:val="00D47D38"/>
    <w:rsid w:val="00D52078"/>
    <w:rsid w:val="00D53ADB"/>
    <w:rsid w:val="00D75AD1"/>
    <w:rsid w:val="00D772DE"/>
    <w:rsid w:val="00D816D1"/>
    <w:rsid w:val="00D83248"/>
    <w:rsid w:val="00D87DB8"/>
    <w:rsid w:val="00DA032D"/>
    <w:rsid w:val="00DA1281"/>
    <w:rsid w:val="00DA7377"/>
    <w:rsid w:val="00DB5C5F"/>
    <w:rsid w:val="00DC651A"/>
    <w:rsid w:val="00DD2742"/>
    <w:rsid w:val="00DD6039"/>
    <w:rsid w:val="00DE1BB0"/>
    <w:rsid w:val="00DF2CE8"/>
    <w:rsid w:val="00E05BE5"/>
    <w:rsid w:val="00E06DF5"/>
    <w:rsid w:val="00E07390"/>
    <w:rsid w:val="00E16E2C"/>
    <w:rsid w:val="00E4783E"/>
    <w:rsid w:val="00E50527"/>
    <w:rsid w:val="00E54174"/>
    <w:rsid w:val="00E55D1C"/>
    <w:rsid w:val="00E6321C"/>
    <w:rsid w:val="00E662A5"/>
    <w:rsid w:val="00E8634B"/>
    <w:rsid w:val="00E90ABE"/>
    <w:rsid w:val="00E96E40"/>
    <w:rsid w:val="00EA3A5B"/>
    <w:rsid w:val="00EB2CA4"/>
    <w:rsid w:val="00EB4773"/>
    <w:rsid w:val="00EC10FF"/>
    <w:rsid w:val="00ED14DC"/>
    <w:rsid w:val="00ED2EE9"/>
    <w:rsid w:val="00ED4352"/>
    <w:rsid w:val="00ED5D6D"/>
    <w:rsid w:val="00EF0F1F"/>
    <w:rsid w:val="00EF7D87"/>
    <w:rsid w:val="00F049FB"/>
    <w:rsid w:val="00F04D25"/>
    <w:rsid w:val="00F119A4"/>
    <w:rsid w:val="00F11C25"/>
    <w:rsid w:val="00F11F0F"/>
    <w:rsid w:val="00F20D89"/>
    <w:rsid w:val="00F30DA0"/>
    <w:rsid w:val="00F33FE2"/>
    <w:rsid w:val="00F37B08"/>
    <w:rsid w:val="00F47DA4"/>
    <w:rsid w:val="00F52246"/>
    <w:rsid w:val="00F560B0"/>
    <w:rsid w:val="00F61622"/>
    <w:rsid w:val="00F62448"/>
    <w:rsid w:val="00F66E48"/>
    <w:rsid w:val="00F736E2"/>
    <w:rsid w:val="00F74043"/>
    <w:rsid w:val="00F76B83"/>
    <w:rsid w:val="00F85627"/>
    <w:rsid w:val="00F861A6"/>
    <w:rsid w:val="00F869AE"/>
    <w:rsid w:val="00F9361F"/>
    <w:rsid w:val="00FB102E"/>
    <w:rsid w:val="00FB3834"/>
    <w:rsid w:val="00FB5F29"/>
    <w:rsid w:val="00FB61FE"/>
    <w:rsid w:val="00FB6309"/>
    <w:rsid w:val="00FC57A2"/>
    <w:rsid w:val="00FE3A62"/>
    <w:rsid w:val="00FE4161"/>
    <w:rsid w:val="00FE4C0D"/>
    <w:rsid w:val="00FE57BE"/>
    <w:rsid w:val="00FE62E8"/>
    <w:rsid w:val="00FE6B65"/>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2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4EFE"/>
  </w:style>
  <w:style w:type="paragraph" w:customStyle="1" w:styleId="Level1">
    <w:name w:val="Level 1"/>
    <w:basedOn w:val="Normal"/>
    <w:rsid w:val="00104EFE"/>
    <w:pPr>
      <w:numPr>
        <w:numId w:val="1"/>
      </w:numPr>
      <w:ind w:left="474" w:hanging="186"/>
      <w:outlineLvl w:val="0"/>
    </w:pPr>
  </w:style>
  <w:style w:type="paragraph" w:customStyle="1" w:styleId="Level2">
    <w:name w:val="Level 2"/>
    <w:basedOn w:val="Normal"/>
    <w:rsid w:val="00104EFE"/>
    <w:pPr>
      <w:ind w:left="722" w:hanging="361"/>
    </w:pPr>
  </w:style>
  <w:style w:type="paragraph" w:styleId="Header">
    <w:name w:val="header"/>
    <w:basedOn w:val="Normal"/>
    <w:rsid w:val="00104EFE"/>
    <w:pPr>
      <w:tabs>
        <w:tab w:val="center" w:pos="4320"/>
        <w:tab w:val="right" w:pos="8640"/>
      </w:tabs>
    </w:pPr>
  </w:style>
  <w:style w:type="paragraph" w:styleId="Footer">
    <w:name w:val="footer"/>
    <w:basedOn w:val="Normal"/>
    <w:link w:val="FooterChar"/>
    <w:uiPriority w:val="99"/>
    <w:rsid w:val="00104EFE"/>
    <w:pPr>
      <w:tabs>
        <w:tab w:val="center" w:pos="4320"/>
        <w:tab w:val="right" w:pos="8640"/>
      </w:tabs>
    </w:pPr>
  </w:style>
  <w:style w:type="paragraph" w:styleId="BodyTextIndent">
    <w:name w:val="Body Text Indent"/>
    <w:basedOn w:val="Normal"/>
    <w:link w:val="BodyTextIndentChar"/>
    <w:rsid w:val="00104EF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104EF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uiPriority w:val="99"/>
    <w:semiHidden/>
    <w:unhideWhenUsed/>
    <w:rsid w:val="00711D70"/>
    <w:rPr>
      <w:color w:val="800080"/>
      <w:u w:val="single"/>
    </w:rPr>
  </w:style>
  <w:style w:type="paragraph" w:customStyle="1" w:styleId="DecimalAligned">
    <w:name w:val="Decimal Aligned"/>
    <w:basedOn w:val="Normal"/>
    <w:uiPriority w:val="40"/>
    <w:qFormat/>
    <w:rsid w:val="00F61622"/>
    <w:pPr>
      <w:widowControl/>
      <w:tabs>
        <w:tab w:val="decimal" w:pos="360"/>
      </w:tabs>
      <w:autoSpaceDE/>
      <w:autoSpaceDN/>
      <w:adjustRightInd/>
      <w:spacing w:after="200" w:line="276" w:lineRule="auto"/>
    </w:pPr>
    <w:rPr>
      <w:rFonts w:ascii="Calibri" w:hAnsi="Calibri"/>
      <w:sz w:val="22"/>
      <w:szCs w:val="22"/>
    </w:rPr>
  </w:style>
  <w:style w:type="character" w:customStyle="1" w:styleId="FootnoteTextChar">
    <w:name w:val="Footnote Text Char"/>
    <w:basedOn w:val="DefaultParagraphFont"/>
    <w:link w:val="FootnoteText"/>
    <w:uiPriority w:val="99"/>
    <w:rsid w:val="00F61622"/>
  </w:style>
  <w:style w:type="character" w:styleId="SubtleEmphasis">
    <w:name w:val="Subtle Emphasis"/>
    <w:uiPriority w:val="19"/>
    <w:qFormat/>
    <w:rsid w:val="00F61622"/>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F61622"/>
    <w:rPr>
      <w:rFonts w:ascii="Calibri" w:hAnsi="Calibri"/>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53133D"/>
    <w:rPr>
      <w:sz w:val="24"/>
      <w:szCs w:val="24"/>
    </w:rPr>
  </w:style>
  <w:style w:type="paragraph" w:styleId="Revision">
    <w:name w:val="Revision"/>
    <w:hidden/>
    <w:uiPriority w:val="99"/>
    <w:semiHidden/>
    <w:rsid w:val="00832DE8"/>
    <w:rPr>
      <w:sz w:val="24"/>
      <w:szCs w:val="24"/>
    </w:rPr>
  </w:style>
  <w:style w:type="character" w:customStyle="1" w:styleId="BodyTextIndentChar">
    <w:name w:val="Body Text Indent Char"/>
    <w:link w:val="BodyTextIndent"/>
    <w:rsid w:val="00167302"/>
    <w:rPr>
      <w:sz w:val="24"/>
      <w:szCs w:val="24"/>
    </w:rPr>
  </w:style>
  <w:style w:type="character" w:customStyle="1" w:styleId="BodyTextIndent2Char">
    <w:name w:val="Body Text Indent 2 Char"/>
    <w:link w:val="BodyTextIndent2"/>
    <w:rsid w:val="0019207D"/>
    <w:rPr>
      <w:b/>
      <w:bCs/>
      <w:sz w:val="24"/>
      <w:szCs w:val="24"/>
    </w:rPr>
  </w:style>
  <w:style w:type="paragraph" w:styleId="ListParagraph">
    <w:name w:val="List Paragraph"/>
    <w:basedOn w:val="Normal"/>
    <w:uiPriority w:val="34"/>
    <w:qFormat/>
    <w:rsid w:val="00B62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2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4EFE"/>
  </w:style>
  <w:style w:type="paragraph" w:customStyle="1" w:styleId="Level1">
    <w:name w:val="Level 1"/>
    <w:basedOn w:val="Normal"/>
    <w:rsid w:val="00104EFE"/>
    <w:pPr>
      <w:numPr>
        <w:numId w:val="1"/>
      </w:numPr>
      <w:ind w:left="474" w:hanging="186"/>
      <w:outlineLvl w:val="0"/>
    </w:pPr>
  </w:style>
  <w:style w:type="paragraph" w:customStyle="1" w:styleId="Level2">
    <w:name w:val="Level 2"/>
    <w:basedOn w:val="Normal"/>
    <w:rsid w:val="00104EFE"/>
    <w:pPr>
      <w:ind w:left="722" w:hanging="361"/>
    </w:pPr>
  </w:style>
  <w:style w:type="paragraph" w:styleId="Header">
    <w:name w:val="header"/>
    <w:basedOn w:val="Normal"/>
    <w:rsid w:val="00104EFE"/>
    <w:pPr>
      <w:tabs>
        <w:tab w:val="center" w:pos="4320"/>
        <w:tab w:val="right" w:pos="8640"/>
      </w:tabs>
    </w:pPr>
  </w:style>
  <w:style w:type="paragraph" w:styleId="Footer">
    <w:name w:val="footer"/>
    <w:basedOn w:val="Normal"/>
    <w:link w:val="FooterChar"/>
    <w:uiPriority w:val="99"/>
    <w:rsid w:val="00104EFE"/>
    <w:pPr>
      <w:tabs>
        <w:tab w:val="center" w:pos="4320"/>
        <w:tab w:val="right" w:pos="8640"/>
      </w:tabs>
    </w:pPr>
  </w:style>
  <w:style w:type="paragraph" w:styleId="BodyTextIndent">
    <w:name w:val="Body Text Indent"/>
    <w:basedOn w:val="Normal"/>
    <w:link w:val="BodyTextIndentChar"/>
    <w:rsid w:val="00104EF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104EF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uiPriority w:val="99"/>
    <w:semiHidden/>
    <w:unhideWhenUsed/>
    <w:rsid w:val="00711D70"/>
    <w:rPr>
      <w:color w:val="800080"/>
      <w:u w:val="single"/>
    </w:rPr>
  </w:style>
  <w:style w:type="paragraph" w:customStyle="1" w:styleId="DecimalAligned">
    <w:name w:val="Decimal Aligned"/>
    <w:basedOn w:val="Normal"/>
    <w:uiPriority w:val="40"/>
    <w:qFormat/>
    <w:rsid w:val="00F61622"/>
    <w:pPr>
      <w:widowControl/>
      <w:tabs>
        <w:tab w:val="decimal" w:pos="360"/>
      </w:tabs>
      <w:autoSpaceDE/>
      <w:autoSpaceDN/>
      <w:adjustRightInd/>
      <w:spacing w:after="200" w:line="276" w:lineRule="auto"/>
    </w:pPr>
    <w:rPr>
      <w:rFonts w:ascii="Calibri" w:hAnsi="Calibri"/>
      <w:sz w:val="22"/>
      <w:szCs w:val="22"/>
    </w:rPr>
  </w:style>
  <w:style w:type="character" w:customStyle="1" w:styleId="FootnoteTextChar">
    <w:name w:val="Footnote Text Char"/>
    <w:basedOn w:val="DefaultParagraphFont"/>
    <w:link w:val="FootnoteText"/>
    <w:uiPriority w:val="99"/>
    <w:rsid w:val="00F61622"/>
  </w:style>
  <w:style w:type="character" w:styleId="SubtleEmphasis">
    <w:name w:val="Subtle Emphasis"/>
    <w:uiPriority w:val="19"/>
    <w:qFormat/>
    <w:rsid w:val="00F61622"/>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F61622"/>
    <w:rPr>
      <w:rFonts w:ascii="Calibri" w:hAnsi="Calibri"/>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53133D"/>
    <w:rPr>
      <w:sz w:val="24"/>
      <w:szCs w:val="24"/>
    </w:rPr>
  </w:style>
  <w:style w:type="paragraph" w:styleId="Revision">
    <w:name w:val="Revision"/>
    <w:hidden/>
    <w:uiPriority w:val="99"/>
    <w:semiHidden/>
    <w:rsid w:val="00832DE8"/>
    <w:rPr>
      <w:sz w:val="24"/>
      <w:szCs w:val="24"/>
    </w:rPr>
  </w:style>
  <w:style w:type="character" w:customStyle="1" w:styleId="BodyTextIndentChar">
    <w:name w:val="Body Text Indent Char"/>
    <w:link w:val="BodyTextIndent"/>
    <w:rsid w:val="00167302"/>
    <w:rPr>
      <w:sz w:val="24"/>
      <w:szCs w:val="24"/>
    </w:rPr>
  </w:style>
  <w:style w:type="character" w:customStyle="1" w:styleId="BodyTextIndent2Char">
    <w:name w:val="Body Text Indent 2 Char"/>
    <w:link w:val="BodyTextIndent2"/>
    <w:rsid w:val="0019207D"/>
    <w:rPr>
      <w:b/>
      <w:bCs/>
      <w:sz w:val="24"/>
      <w:szCs w:val="24"/>
    </w:rPr>
  </w:style>
  <w:style w:type="paragraph" w:styleId="ListParagraph">
    <w:name w:val="List Paragraph"/>
    <w:basedOn w:val="Normal"/>
    <w:uiPriority w:val="34"/>
    <w:qFormat/>
    <w:rsid w:val="00B62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97">
      <w:bodyDiv w:val="1"/>
      <w:marLeft w:val="0"/>
      <w:marRight w:val="0"/>
      <w:marTop w:val="0"/>
      <w:marBottom w:val="0"/>
      <w:divBdr>
        <w:top w:val="none" w:sz="0" w:space="0" w:color="auto"/>
        <w:left w:val="none" w:sz="0" w:space="0" w:color="auto"/>
        <w:bottom w:val="none" w:sz="0" w:space="0" w:color="auto"/>
        <w:right w:val="none" w:sz="0" w:space="0" w:color="auto"/>
      </w:divBdr>
    </w:div>
    <w:div w:id="551845473">
      <w:bodyDiv w:val="1"/>
      <w:marLeft w:val="0"/>
      <w:marRight w:val="0"/>
      <w:marTop w:val="0"/>
      <w:marBottom w:val="0"/>
      <w:divBdr>
        <w:top w:val="none" w:sz="0" w:space="0" w:color="auto"/>
        <w:left w:val="none" w:sz="0" w:space="0" w:color="auto"/>
        <w:bottom w:val="none" w:sz="0" w:space="0" w:color="auto"/>
        <w:right w:val="none" w:sz="0" w:space="0" w:color="auto"/>
      </w:divBdr>
    </w:div>
    <w:div w:id="805470148">
      <w:bodyDiv w:val="1"/>
      <w:marLeft w:val="0"/>
      <w:marRight w:val="0"/>
      <w:marTop w:val="0"/>
      <w:marBottom w:val="0"/>
      <w:divBdr>
        <w:top w:val="none" w:sz="0" w:space="0" w:color="auto"/>
        <w:left w:val="none" w:sz="0" w:space="0" w:color="auto"/>
        <w:bottom w:val="none" w:sz="0" w:space="0" w:color="auto"/>
        <w:right w:val="none" w:sz="0" w:space="0" w:color="auto"/>
      </w:divBdr>
    </w:div>
    <w:div w:id="943928391">
      <w:bodyDiv w:val="1"/>
      <w:marLeft w:val="0"/>
      <w:marRight w:val="0"/>
      <w:marTop w:val="0"/>
      <w:marBottom w:val="0"/>
      <w:divBdr>
        <w:top w:val="none" w:sz="0" w:space="0" w:color="auto"/>
        <w:left w:val="none" w:sz="0" w:space="0" w:color="auto"/>
        <w:bottom w:val="none" w:sz="0" w:space="0" w:color="auto"/>
        <w:right w:val="none" w:sz="0" w:space="0" w:color="auto"/>
      </w:divBdr>
    </w:div>
    <w:div w:id="1772508814">
      <w:bodyDiv w:val="1"/>
      <w:marLeft w:val="0"/>
      <w:marRight w:val="0"/>
      <w:marTop w:val="0"/>
      <w:marBottom w:val="0"/>
      <w:divBdr>
        <w:top w:val="none" w:sz="0" w:space="0" w:color="auto"/>
        <w:left w:val="none" w:sz="0" w:space="0" w:color="auto"/>
        <w:bottom w:val="none" w:sz="0" w:space="0" w:color="auto"/>
        <w:right w:val="none" w:sz="0" w:space="0" w:color="auto"/>
      </w:divBdr>
    </w:div>
    <w:div w:id="1909996562">
      <w:bodyDiv w:val="1"/>
      <w:marLeft w:val="0"/>
      <w:marRight w:val="0"/>
      <w:marTop w:val="0"/>
      <w:marBottom w:val="0"/>
      <w:divBdr>
        <w:top w:val="none" w:sz="0" w:space="0" w:color="auto"/>
        <w:left w:val="none" w:sz="0" w:space="0" w:color="auto"/>
        <w:bottom w:val="none" w:sz="0" w:space="0" w:color="auto"/>
        <w:right w:val="none" w:sz="0" w:space="0" w:color="auto"/>
      </w:divBdr>
    </w:div>
    <w:div w:id="196819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tpl=/ecfrbrowse/Title36/36cfr218_main_02.tpl" TargetMode="External"/><Relationship Id="rId13" Type="http://schemas.openxmlformats.org/officeDocument/2006/relationships/hyperlink" Target="http://www.fs.fed.us/emc/applit/includes/36CFR218_final_rule_20080917.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s.fed.us/emc/applit/includes/fedreg36cfr218a.pdf" TargetMode="External"/><Relationship Id="rId17" Type="http://schemas.openxmlformats.org/officeDocument/2006/relationships/hyperlink" Target="http://www.opm.gov/oca/11tables/html/dcb_h.asp" TargetMode="External"/><Relationship Id="rId2" Type="http://schemas.openxmlformats.org/officeDocument/2006/relationships/styles" Target="styles.xml"/><Relationship Id="rId16" Type="http://schemas.openxmlformats.org/officeDocument/2006/relationships/hyperlink" Target="http://www.bls.gov/news.release/pdf/realer.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tice.gov/opcl/privstat.htm" TargetMode="External"/><Relationship Id="rId5" Type="http://schemas.openxmlformats.org/officeDocument/2006/relationships/webSettings" Target="webSettings.xml"/><Relationship Id="rId15" Type="http://schemas.openxmlformats.org/officeDocument/2006/relationships/hyperlink" Target="http://fsweb.wo.fs.fed.us/em/pals/pals_doc_search.htm" TargetMode="External"/><Relationship Id="rId10" Type="http://schemas.openxmlformats.org/officeDocument/2006/relationships/hyperlink" Target="http://georgewbush-whitehouse.archives.gov/infocus/healthyfores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fed.us/emc/applit/includes/93appreform.pdf" TargetMode="External"/><Relationship Id="rId14" Type="http://schemas.openxmlformats.org/officeDocument/2006/relationships/hyperlink" Target="https://federalregister.gov/a/2012-193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41724</CharactersWithSpaces>
  <SharedDoc>false</SharedDoc>
  <HLinks>
    <vt:vector size="60" baseType="variant">
      <vt:variant>
        <vt:i4>3932166</vt:i4>
      </vt:variant>
      <vt:variant>
        <vt:i4>27</vt:i4>
      </vt:variant>
      <vt:variant>
        <vt:i4>0</vt:i4>
      </vt:variant>
      <vt:variant>
        <vt:i4>5</vt:i4>
      </vt:variant>
      <vt:variant>
        <vt:lpwstr>http://www.opm.gov/oca/11tables/html/dcb_h.asp</vt:lpwstr>
      </vt:variant>
      <vt:variant>
        <vt:lpwstr/>
      </vt:variant>
      <vt:variant>
        <vt:i4>6684788</vt:i4>
      </vt:variant>
      <vt:variant>
        <vt:i4>24</vt:i4>
      </vt:variant>
      <vt:variant>
        <vt:i4>0</vt:i4>
      </vt:variant>
      <vt:variant>
        <vt:i4>5</vt:i4>
      </vt:variant>
      <vt:variant>
        <vt:lpwstr>http://www.bls.gov/news.release/pdf/realer.pdf</vt:lpwstr>
      </vt:variant>
      <vt:variant>
        <vt:lpwstr/>
      </vt:variant>
      <vt:variant>
        <vt:i4>4849682</vt:i4>
      </vt:variant>
      <vt:variant>
        <vt:i4>21</vt:i4>
      </vt:variant>
      <vt:variant>
        <vt:i4>0</vt:i4>
      </vt:variant>
      <vt:variant>
        <vt:i4>5</vt:i4>
      </vt:variant>
      <vt:variant>
        <vt:lpwstr>http://fsweb.wo.fs.fed.us/em/pals/pals_doc_search.htm</vt:lpwstr>
      </vt:variant>
      <vt:variant>
        <vt:lpwstr/>
      </vt:variant>
      <vt:variant>
        <vt:i4>6094957</vt:i4>
      </vt:variant>
      <vt:variant>
        <vt:i4>18</vt:i4>
      </vt:variant>
      <vt:variant>
        <vt:i4>0</vt:i4>
      </vt:variant>
      <vt:variant>
        <vt:i4>5</vt:i4>
      </vt:variant>
      <vt:variant>
        <vt:lpwstr>http://www.fs.fed.us/emc/applit/includes/36CFR218_final_rule_20080917.pdf</vt:lpwstr>
      </vt:variant>
      <vt:variant>
        <vt:lpwstr/>
      </vt:variant>
      <vt:variant>
        <vt:i4>1835012</vt:i4>
      </vt:variant>
      <vt:variant>
        <vt:i4>15</vt:i4>
      </vt:variant>
      <vt:variant>
        <vt:i4>0</vt:i4>
      </vt:variant>
      <vt:variant>
        <vt:i4>5</vt:i4>
      </vt:variant>
      <vt:variant>
        <vt:lpwstr>http://www.fs.fed.us/emc/applit/includes/fedreg36cfr218a.pdf</vt:lpwstr>
      </vt:variant>
      <vt:variant>
        <vt:lpwstr/>
      </vt:variant>
      <vt:variant>
        <vt:i4>851985</vt:i4>
      </vt:variant>
      <vt:variant>
        <vt:i4>12</vt:i4>
      </vt:variant>
      <vt:variant>
        <vt:i4>0</vt:i4>
      </vt:variant>
      <vt:variant>
        <vt:i4>5</vt:i4>
      </vt:variant>
      <vt:variant>
        <vt:lpwstr>http://www.justice.gov/opcl/privstat.htm</vt:lpwstr>
      </vt:variant>
      <vt:variant>
        <vt:lpwstr/>
      </vt:variant>
      <vt:variant>
        <vt:i4>196623</vt:i4>
      </vt:variant>
      <vt:variant>
        <vt:i4>9</vt:i4>
      </vt:variant>
      <vt:variant>
        <vt:i4>0</vt:i4>
      </vt:variant>
      <vt:variant>
        <vt:i4>5</vt:i4>
      </vt:variant>
      <vt:variant>
        <vt:lpwstr>http://www.justice.gov/oip/amended-foia-redlined.pdf</vt:lpwstr>
      </vt:variant>
      <vt:variant>
        <vt:lpwstr/>
      </vt:variant>
      <vt:variant>
        <vt:i4>2293869</vt:i4>
      </vt:variant>
      <vt:variant>
        <vt:i4>6</vt:i4>
      </vt:variant>
      <vt:variant>
        <vt:i4>0</vt:i4>
      </vt:variant>
      <vt:variant>
        <vt:i4>5</vt:i4>
      </vt:variant>
      <vt:variant>
        <vt:lpwstr>http://georgewbush-whitehouse.archives.gov/infocus/healthyforests/</vt:lpwstr>
      </vt:variant>
      <vt:variant>
        <vt:lpwstr/>
      </vt:variant>
      <vt:variant>
        <vt:i4>4587531</vt:i4>
      </vt:variant>
      <vt:variant>
        <vt:i4>3</vt:i4>
      </vt:variant>
      <vt:variant>
        <vt:i4>0</vt:i4>
      </vt:variant>
      <vt:variant>
        <vt:i4>5</vt:i4>
      </vt:variant>
      <vt:variant>
        <vt:lpwstr>http://www.fs.fed.us/emc/applit/includes/93appreform.pdf</vt:lpwstr>
      </vt:variant>
      <vt:variant>
        <vt:lpwstr/>
      </vt:variant>
      <vt:variant>
        <vt:i4>7405614</vt:i4>
      </vt:variant>
      <vt:variant>
        <vt:i4>0</vt:i4>
      </vt:variant>
      <vt:variant>
        <vt:i4>0</vt:i4>
      </vt:variant>
      <vt:variant>
        <vt:i4>5</vt:i4>
      </vt:variant>
      <vt:variant>
        <vt:lpwstr>http://ecfr.gpoaccess.gov/cgi/t/text/text-idx?c=ecfr&amp;tpl=/ecfrbrowse/Title36/36cfr218_main_02.tpl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2013-03-26T14:34:00Z</dcterms:created>
  <dcterms:modified xsi:type="dcterms:W3CDTF">2013-03-26T14:34:00Z</dcterms:modified>
</cp:coreProperties>
</file>