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387" w:rsidRDefault="002D4387" w:rsidP="003F31C2">
      <w:pPr>
        <w:rPr>
          <w:b/>
        </w:rPr>
      </w:pPr>
      <w:r w:rsidRPr="002D4387">
        <w:rPr>
          <w:b/>
        </w:rPr>
        <w:t>Federal-State Unemployment Insurance Program Data Exchange Standardization</w:t>
      </w:r>
      <w:r w:rsidR="006F7FA6">
        <w:rPr>
          <w:b/>
        </w:rPr>
        <w:t xml:space="preserve"> </w:t>
      </w:r>
    </w:p>
    <w:p w:rsidR="001623A3" w:rsidRPr="000731A3" w:rsidRDefault="006826FD" w:rsidP="003F31C2">
      <w:pPr>
        <w:rPr>
          <w:b/>
        </w:rPr>
      </w:pPr>
      <w:r>
        <w:rPr>
          <w:b/>
        </w:rPr>
        <w:t xml:space="preserve">OMB Control No. </w:t>
      </w:r>
      <w:r w:rsidR="006E1A35">
        <w:rPr>
          <w:b/>
        </w:rPr>
        <w:t>1205-0NEW</w:t>
      </w:r>
      <w:r>
        <w:rPr>
          <w:b/>
        </w:rPr>
        <w:t xml:space="preserve">:  </w:t>
      </w:r>
      <w:r w:rsidR="001623A3" w:rsidRPr="000731A3">
        <w:rPr>
          <w:b/>
        </w:rPr>
        <w:t>Supporting Statement</w:t>
      </w:r>
    </w:p>
    <w:p w:rsidR="001623A3" w:rsidRDefault="001623A3" w:rsidP="003F31C2"/>
    <w:p w:rsidR="001623A3" w:rsidRDefault="001623A3" w:rsidP="003F31C2">
      <w:r>
        <w:rPr>
          <w:u w:val="single"/>
        </w:rPr>
        <w:t>Justification:</w:t>
      </w:r>
    </w:p>
    <w:p w:rsidR="001623A3" w:rsidRDefault="001623A3" w:rsidP="003F31C2"/>
    <w:p w:rsidR="003A1480" w:rsidRDefault="003A1480" w:rsidP="003F31C2">
      <w:pPr>
        <w:numPr>
          <w:ilvl w:val="0"/>
          <w:numId w:val="4"/>
        </w:numPr>
        <w:tabs>
          <w:tab w:val="clear" w:pos="720"/>
          <w:tab w:val="num" w:pos="360"/>
        </w:tabs>
        <w:ind w:left="360"/>
        <w:rPr>
          <w:i/>
        </w:rPr>
      </w:pPr>
      <w:r w:rsidRPr="003A1480">
        <w:rPr>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E6DCB" w:rsidRDefault="00CE6DCB" w:rsidP="003F31C2"/>
    <w:p w:rsidR="00D713AD" w:rsidRDefault="00D22EFF" w:rsidP="00934B6C">
      <w:pPr>
        <w:ind w:left="360"/>
      </w:pPr>
      <w:r w:rsidRPr="00DA7F3C">
        <w:t>The Department of Labor’s (Department</w:t>
      </w:r>
      <w:r>
        <w:t>’s</w:t>
      </w:r>
      <w:r w:rsidRPr="00DA7F3C">
        <w:t xml:space="preserve">) Employment and Training Administration proposes to designate in regulation data exchange standards, developed in consultation with </w:t>
      </w:r>
      <w:r>
        <w:t xml:space="preserve">an interagency work group established by </w:t>
      </w:r>
      <w:r w:rsidRPr="00DA7F3C">
        <w:t xml:space="preserve">the Office of Management and Budget (OMB), for Unemployment Insurance (UI) administration as required </w:t>
      </w:r>
      <w:r>
        <w:t xml:space="preserve">by amendments to Title IX of the Social Security Act (SSA) made by </w:t>
      </w:r>
      <w:r w:rsidRPr="00DA7F3C">
        <w:t xml:space="preserve">the </w:t>
      </w:r>
      <w:r>
        <w:t xml:space="preserve">Middle Class Tax Relief and Job Creation </w:t>
      </w:r>
      <w:r w:rsidRPr="00DA7F3C">
        <w:t>Act</w:t>
      </w:r>
      <w:r>
        <w:t xml:space="preserve"> of 2012 (the Act)</w:t>
      </w:r>
      <w:r w:rsidRPr="00DA7F3C">
        <w:t xml:space="preserve">.  </w:t>
      </w:r>
      <w:r w:rsidRPr="00615A29">
        <w:t xml:space="preserve">On February 22, 2012, the President signed the </w:t>
      </w:r>
      <w:r>
        <w:t>Act</w:t>
      </w:r>
      <w:r w:rsidRPr="00615A29">
        <w:t xml:space="preserve">. </w:t>
      </w:r>
      <w:r w:rsidRPr="00615A29">
        <w:rPr>
          <w:b/>
        </w:rPr>
        <w:t xml:space="preserve"> </w:t>
      </w:r>
      <w:r w:rsidRPr="00615A29">
        <w:t>Section 2104 of the Act amends Title IX, SSA (42 U.S.C. 11</w:t>
      </w:r>
      <w:r>
        <w:t>1</w:t>
      </w:r>
      <w:r w:rsidRPr="00615A29">
        <w:t xml:space="preserve">1 </w:t>
      </w:r>
      <w:r w:rsidRPr="00615A29">
        <w:rPr>
          <w:u w:val="single"/>
        </w:rPr>
        <w:t>et</w:t>
      </w:r>
      <w:r w:rsidRPr="00615A29">
        <w:t xml:space="preserve"> </w:t>
      </w:r>
      <w:r w:rsidRPr="00615A29">
        <w:rPr>
          <w:u w:val="single"/>
        </w:rPr>
        <w:t>seq</w:t>
      </w:r>
      <w:r w:rsidRPr="00615A29">
        <w:t xml:space="preserve">.) by adding a new </w:t>
      </w:r>
      <w:r>
        <w:t>s</w:t>
      </w:r>
      <w:r w:rsidRPr="00615A29">
        <w:t>ection 911, which requires the Department to issue rule</w:t>
      </w:r>
      <w:r>
        <w:t>s</w:t>
      </w:r>
      <w:r w:rsidRPr="00615A29">
        <w:t xml:space="preserve">, developed in consultation </w:t>
      </w:r>
      <w:r w:rsidRPr="00DA7F3C">
        <w:t xml:space="preserve">with </w:t>
      </w:r>
      <w:r>
        <w:t xml:space="preserve">an interagency workgroup established by the </w:t>
      </w:r>
      <w:r w:rsidRPr="00DA7F3C">
        <w:t>OMB</w:t>
      </w:r>
      <w:r w:rsidRPr="00615A29">
        <w:t>, that establish data exchange standards</w:t>
      </w:r>
      <w:r>
        <w:t xml:space="preserve"> for certain functions related to administration of the UI program</w:t>
      </w:r>
      <w:r w:rsidRPr="00615A29">
        <w:t>.</w:t>
      </w:r>
      <w:r>
        <w:t xml:space="preserve">  </w:t>
      </w:r>
    </w:p>
    <w:p w:rsidR="00D713AD" w:rsidRDefault="00D713AD" w:rsidP="00934B6C">
      <w:pPr>
        <w:ind w:left="360"/>
      </w:pPr>
    </w:p>
    <w:p w:rsidR="00D713AD" w:rsidRDefault="00D713AD" w:rsidP="00934B6C">
      <w:pPr>
        <w:ind w:left="360"/>
      </w:pPr>
      <w:r>
        <w:t xml:space="preserve">To improve UI program operations by states, the Department has been the facilitating entity for development and implementation of automated systems that states may adopt for efficiently processing claims and improving program integrity.  These </w:t>
      </w:r>
      <w:proofErr w:type="gramStart"/>
      <w:r>
        <w:t>automated</w:t>
      </w:r>
      <w:proofErr w:type="gramEnd"/>
      <w:r>
        <w:t xml:space="preserve"> systems, which have been developed </w:t>
      </w:r>
      <w:r w:rsidR="00A004B6">
        <w:t xml:space="preserve">through a </w:t>
      </w:r>
      <w:r>
        <w:t>collaborati</w:t>
      </w:r>
      <w:r w:rsidR="00A004B6">
        <w:t>ve</w:t>
      </w:r>
      <w:r>
        <w:t xml:space="preserve"> </w:t>
      </w:r>
      <w:r w:rsidR="00A004B6">
        <w:t xml:space="preserve">effort </w:t>
      </w:r>
      <w:r>
        <w:t xml:space="preserve">with states and </w:t>
      </w:r>
      <w:r w:rsidR="008F59D5">
        <w:t xml:space="preserve">the </w:t>
      </w:r>
      <w:r>
        <w:t xml:space="preserve">National Association of Workforce Agencies (NASWA), have replaced manual paper processing with automated exchanges of information between states as well as those between states and employers.  </w:t>
      </w:r>
      <w:r w:rsidR="00735D65">
        <w:t>The Department has provided funding to facilitate the development and implementation of these automated systems, and has encouraged the use of these systems by states</w:t>
      </w:r>
      <w:r w:rsidR="00735D65" w:rsidRPr="00D36969">
        <w:t xml:space="preserve">.  </w:t>
      </w:r>
    </w:p>
    <w:p w:rsidR="00D713AD" w:rsidRDefault="00D713AD" w:rsidP="00D713AD"/>
    <w:p w:rsidR="005D7CAC" w:rsidRDefault="003C4133" w:rsidP="00934B6C">
      <w:pPr>
        <w:pStyle w:val="ListParagraph"/>
        <w:ind w:left="360"/>
        <w:rPr>
          <w:rFonts w:ascii="Times New Roman" w:hAnsi="Times New Roman"/>
          <w:sz w:val="24"/>
          <w:szCs w:val="24"/>
        </w:rPr>
      </w:pPr>
      <w:r>
        <w:rPr>
          <w:rFonts w:ascii="Times New Roman" w:hAnsi="Times New Roman"/>
          <w:sz w:val="24"/>
          <w:szCs w:val="24"/>
        </w:rPr>
        <w:t xml:space="preserve">As part of this proposed regulation, the Department is designating </w:t>
      </w:r>
      <w:proofErr w:type="spellStart"/>
      <w:r w:rsidR="00A453CF" w:rsidRPr="00456029">
        <w:rPr>
          <w:rFonts w:ascii="Times New Roman" w:hAnsi="Times New Roman"/>
          <w:sz w:val="24"/>
          <w:szCs w:val="24"/>
        </w:rPr>
        <w:t>eXtensible</w:t>
      </w:r>
      <w:proofErr w:type="spellEnd"/>
      <w:r w:rsidR="00A453CF" w:rsidRPr="00456029">
        <w:rPr>
          <w:rFonts w:ascii="Times New Roman" w:hAnsi="Times New Roman"/>
          <w:sz w:val="24"/>
          <w:szCs w:val="24"/>
        </w:rPr>
        <w:t xml:space="preserve"> Markup Language </w:t>
      </w:r>
      <w:r w:rsidR="00A453CF">
        <w:rPr>
          <w:rFonts w:ascii="Times New Roman" w:hAnsi="Times New Roman"/>
          <w:sz w:val="24"/>
          <w:szCs w:val="24"/>
        </w:rPr>
        <w:t>(</w:t>
      </w:r>
      <w:r w:rsidRPr="00980B18">
        <w:rPr>
          <w:rFonts w:ascii="Times New Roman" w:hAnsi="Times New Roman"/>
          <w:sz w:val="24"/>
          <w:szCs w:val="24"/>
        </w:rPr>
        <w:t>XML</w:t>
      </w:r>
      <w:r w:rsidR="00972314" w:rsidRPr="00972314">
        <w:rPr>
          <w:rStyle w:val="FootnoteReference"/>
          <w:rFonts w:ascii="Times New Roman" w:hAnsi="Times New Roman"/>
          <w:sz w:val="24"/>
          <w:szCs w:val="24"/>
          <w:vertAlign w:val="superscript"/>
        </w:rPr>
        <w:footnoteReference w:id="1"/>
      </w:r>
      <w:r w:rsidR="00A453CF">
        <w:rPr>
          <w:rFonts w:ascii="Times New Roman" w:hAnsi="Times New Roman"/>
          <w:sz w:val="24"/>
          <w:szCs w:val="24"/>
        </w:rPr>
        <w:t>)</w:t>
      </w:r>
      <w:r w:rsidRPr="00972314">
        <w:rPr>
          <w:rFonts w:ascii="Times New Roman" w:hAnsi="Times New Roman"/>
          <w:sz w:val="24"/>
          <w:szCs w:val="24"/>
          <w:vertAlign w:val="subscript"/>
        </w:rPr>
        <w:t xml:space="preserve"> </w:t>
      </w:r>
      <w:r w:rsidRPr="00980B18">
        <w:rPr>
          <w:rFonts w:ascii="Times New Roman" w:hAnsi="Times New Roman"/>
          <w:sz w:val="24"/>
          <w:szCs w:val="24"/>
        </w:rPr>
        <w:t>as the data exchange standard</w:t>
      </w:r>
      <w:r>
        <w:rPr>
          <w:rFonts w:ascii="Times New Roman" w:hAnsi="Times New Roman"/>
          <w:sz w:val="24"/>
          <w:szCs w:val="24"/>
        </w:rPr>
        <w:t xml:space="preserve"> </w:t>
      </w:r>
      <w:r w:rsidR="00D22EFF">
        <w:rPr>
          <w:rFonts w:ascii="Times New Roman" w:hAnsi="Times New Roman"/>
          <w:sz w:val="24"/>
          <w:szCs w:val="24"/>
        </w:rPr>
        <w:t>for three categories of information</w:t>
      </w:r>
      <w:r w:rsidR="00ED347A">
        <w:rPr>
          <w:rFonts w:ascii="Times New Roman" w:hAnsi="Times New Roman"/>
          <w:sz w:val="24"/>
          <w:szCs w:val="24"/>
        </w:rPr>
        <w:t xml:space="preserve"> implemented </w:t>
      </w:r>
      <w:r w:rsidR="001C274E">
        <w:rPr>
          <w:rFonts w:ascii="Times New Roman" w:hAnsi="Times New Roman"/>
          <w:sz w:val="24"/>
          <w:szCs w:val="24"/>
        </w:rPr>
        <w:t>through</w:t>
      </w:r>
      <w:r w:rsidR="00ED347A">
        <w:rPr>
          <w:rFonts w:ascii="Times New Roman" w:hAnsi="Times New Roman"/>
          <w:sz w:val="24"/>
          <w:szCs w:val="24"/>
        </w:rPr>
        <w:t xml:space="preserve"> these automated systems</w:t>
      </w:r>
      <w:r w:rsidR="00D22EFF">
        <w:rPr>
          <w:rFonts w:ascii="Times New Roman" w:hAnsi="Times New Roman"/>
          <w:sz w:val="24"/>
          <w:szCs w:val="24"/>
        </w:rPr>
        <w:t xml:space="preserve">:  </w:t>
      </w:r>
    </w:p>
    <w:p w:rsidR="005D7CAC" w:rsidRPr="005D7CAC" w:rsidRDefault="00D713AD" w:rsidP="00934B6C">
      <w:pPr>
        <w:pStyle w:val="ListParagraph"/>
        <w:numPr>
          <w:ilvl w:val="0"/>
          <w:numId w:val="7"/>
        </w:numPr>
        <w:ind w:left="1080"/>
      </w:pPr>
      <w:r>
        <w:rPr>
          <w:rFonts w:ascii="Times New Roman" w:hAnsi="Times New Roman"/>
          <w:sz w:val="24"/>
          <w:szCs w:val="24"/>
        </w:rPr>
        <w:t xml:space="preserve">Interstate Connection </w:t>
      </w:r>
      <w:r w:rsidR="006F7FA6">
        <w:rPr>
          <w:rFonts w:ascii="Times New Roman" w:hAnsi="Times New Roman"/>
          <w:sz w:val="24"/>
          <w:szCs w:val="24"/>
        </w:rPr>
        <w:t xml:space="preserve">(ICON) </w:t>
      </w:r>
      <w:r>
        <w:rPr>
          <w:rFonts w:ascii="Times New Roman" w:hAnsi="Times New Roman"/>
          <w:sz w:val="24"/>
          <w:szCs w:val="24"/>
        </w:rPr>
        <w:t>network: Three real-time applications on ICON which support state to state exchanges.  ICON is operated by the State of Maryland on behalf of the states</w:t>
      </w:r>
      <w:r w:rsidR="005D7CAC">
        <w:rPr>
          <w:rFonts w:ascii="Times New Roman" w:hAnsi="Times New Roman"/>
          <w:sz w:val="24"/>
          <w:szCs w:val="24"/>
        </w:rPr>
        <w:t>;</w:t>
      </w:r>
    </w:p>
    <w:p w:rsidR="005D7CAC" w:rsidRPr="005D7CAC" w:rsidRDefault="00D713AD" w:rsidP="00934B6C">
      <w:pPr>
        <w:pStyle w:val="ListParagraph"/>
        <w:numPr>
          <w:ilvl w:val="0"/>
          <w:numId w:val="7"/>
        </w:numPr>
        <w:ind w:left="1080"/>
      </w:pPr>
      <w:r>
        <w:rPr>
          <w:rFonts w:ascii="Times New Roman" w:hAnsi="Times New Roman"/>
          <w:sz w:val="24"/>
          <w:szCs w:val="24"/>
        </w:rPr>
        <w:t xml:space="preserve">State Information Data Exchange System (SIDES):  All current and future SIDES information </w:t>
      </w:r>
      <w:r w:rsidR="00A004B6">
        <w:rPr>
          <w:rFonts w:ascii="Times New Roman" w:hAnsi="Times New Roman"/>
          <w:sz w:val="24"/>
          <w:szCs w:val="24"/>
        </w:rPr>
        <w:t xml:space="preserve">modules </w:t>
      </w:r>
      <w:r>
        <w:rPr>
          <w:rFonts w:ascii="Times New Roman" w:hAnsi="Times New Roman"/>
          <w:sz w:val="24"/>
          <w:szCs w:val="24"/>
        </w:rPr>
        <w:t xml:space="preserve">support </w:t>
      </w:r>
      <w:r w:rsidR="00A004B6">
        <w:rPr>
          <w:rFonts w:ascii="Times New Roman" w:hAnsi="Times New Roman"/>
          <w:sz w:val="24"/>
          <w:szCs w:val="24"/>
        </w:rPr>
        <w:t xml:space="preserve">the information </w:t>
      </w:r>
      <w:r>
        <w:rPr>
          <w:rFonts w:ascii="Times New Roman" w:hAnsi="Times New Roman"/>
          <w:sz w:val="24"/>
          <w:szCs w:val="24"/>
        </w:rPr>
        <w:t>exchanges</w:t>
      </w:r>
      <w:r w:rsidR="00A004B6">
        <w:rPr>
          <w:rFonts w:ascii="Times New Roman" w:hAnsi="Times New Roman"/>
          <w:sz w:val="24"/>
          <w:szCs w:val="24"/>
        </w:rPr>
        <w:t xml:space="preserve"> between states and employers</w:t>
      </w:r>
      <w:r>
        <w:rPr>
          <w:rFonts w:ascii="Times New Roman" w:hAnsi="Times New Roman"/>
          <w:sz w:val="24"/>
          <w:szCs w:val="24"/>
        </w:rPr>
        <w:t>.  SIDES is operated by NASWA on behalf of the states</w:t>
      </w:r>
      <w:r w:rsidR="005D7CAC">
        <w:rPr>
          <w:rFonts w:ascii="Times New Roman" w:hAnsi="Times New Roman"/>
          <w:sz w:val="24"/>
          <w:szCs w:val="24"/>
        </w:rPr>
        <w:t>; and</w:t>
      </w:r>
    </w:p>
    <w:p w:rsidR="005D7CAC" w:rsidRPr="005D7CAC" w:rsidRDefault="005D7CAC" w:rsidP="005D7CAC">
      <w:pPr>
        <w:pStyle w:val="ListParagraph"/>
        <w:numPr>
          <w:ilvl w:val="0"/>
          <w:numId w:val="7"/>
        </w:numPr>
        <w:rPr>
          <w:rFonts w:ascii="Times New Roman" w:hAnsi="Times New Roman"/>
          <w:sz w:val="24"/>
          <w:szCs w:val="24"/>
        </w:rPr>
      </w:pPr>
      <w:r>
        <w:rPr>
          <w:rFonts w:ascii="Times New Roman" w:hAnsi="Times New Roman"/>
          <w:sz w:val="24"/>
          <w:szCs w:val="24"/>
        </w:rPr>
        <w:lastRenderedPageBreak/>
        <w:t>I</w:t>
      </w:r>
      <w:r w:rsidRPr="005D7CAC">
        <w:rPr>
          <w:rFonts w:ascii="Times New Roman" w:hAnsi="Times New Roman"/>
          <w:sz w:val="24"/>
          <w:szCs w:val="24"/>
        </w:rPr>
        <w:t xml:space="preserve">mplementation of the standards identified for ICON and SIDES in major Information Technology (IT) modernization projects to upgrade UI Benefits and Tax systems by State Workforce Agencies (SWAs) using Federal funds.  </w:t>
      </w:r>
    </w:p>
    <w:p w:rsidR="00C82293" w:rsidRDefault="00D713AD" w:rsidP="001E0CF5">
      <w:r>
        <w:t xml:space="preserve">The use of these systems by states is voluntary and data exchanges </w:t>
      </w:r>
      <w:r w:rsidR="00C25940">
        <w:t xml:space="preserve">are </w:t>
      </w:r>
      <w:r>
        <w:t xml:space="preserve">between states and/or employers.  </w:t>
      </w:r>
      <w:r w:rsidR="00C82293">
        <w:t xml:space="preserve"> </w:t>
      </w:r>
    </w:p>
    <w:p w:rsidR="006158F7" w:rsidRDefault="006158F7" w:rsidP="001E0CF5"/>
    <w:p w:rsidR="006F7FA6" w:rsidRDefault="00C82293" w:rsidP="001E0CF5">
      <w:r>
        <w:t xml:space="preserve">The information shared through these exchanges between states and/or employers </w:t>
      </w:r>
      <w:r w:rsidR="000E645F">
        <w:t>is</w:t>
      </w:r>
      <w:r>
        <w:t xml:space="preserve"> not reported to the Department.   Additionally, </w:t>
      </w:r>
      <w:r w:rsidR="00C45EA7">
        <w:t xml:space="preserve">while the rule imposes standards that might impose burden, </w:t>
      </w:r>
      <w:r w:rsidR="00C25940">
        <w:t>no new</w:t>
      </w:r>
      <w:r w:rsidR="00753850">
        <w:t xml:space="preserve"> information collection</w:t>
      </w:r>
      <w:r w:rsidR="002A34A0">
        <w:t xml:space="preserve"> </w:t>
      </w:r>
      <w:r>
        <w:t xml:space="preserve">is required </w:t>
      </w:r>
      <w:r w:rsidR="00C45EA7">
        <w:t xml:space="preserve">to be exchanged </w:t>
      </w:r>
      <w:r w:rsidR="002A34A0">
        <w:t>as a result of this proposed regulation</w:t>
      </w:r>
      <w:r w:rsidR="00F84840">
        <w:t xml:space="preserve">.   </w:t>
      </w:r>
    </w:p>
    <w:p w:rsidR="006F7FA6" w:rsidRDefault="006F7FA6" w:rsidP="001E0CF5"/>
    <w:p w:rsidR="00C25940" w:rsidRDefault="008F59D5" w:rsidP="001E0CF5">
      <w:r>
        <w:t>T</w:t>
      </w:r>
      <w:r w:rsidR="00F84840" w:rsidRPr="0040605F">
        <w:t>he</w:t>
      </w:r>
      <w:r w:rsidR="00C82293">
        <w:t xml:space="preserve"> proposed</w:t>
      </w:r>
      <w:r w:rsidR="00F84840" w:rsidRPr="0040605F">
        <w:t xml:space="preserve"> </w:t>
      </w:r>
      <w:r w:rsidR="00F84840">
        <w:t xml:space="preserve">exchange </w:t>
      </w:r>
      <w:r w:rsidR="00F84840" w:rsidRPr="0040605F">
        <w:t xml:space="preserve">standards will improve the interoperability of </w:t>
      </w:r>
      <w:r>
        <w:t xml:space="preserve">these </w:t>
      </w:r>
      <w:r w:rsidR="00F84840" w:rsidRPr="0040605F">
        <w:t>systems that collect and exchange information for UI administrative purposes.</w:t>
      </w:r>
      <w:r w:rsidR="000836DA">
        <w:t xml:space="preserve">  </w:t>
      </w:r>
    </w:p>
    <w:p w:rsidR="001623A3" w:rsidRDefault="00D713AD" w:rsidP="006F1B2B">
      <w:r>
        <w:t xml:space="preserve"> </w:t>
      </w:r>
    </w:p>
    <w:p w:rsidR="003A1480" w:rsidRDefault="003A1480" w:rsidP="003F31C2">
      <w:pPr>
        <w:numPr>
          <w:ilvl w:val="0"/>
          <w:numId w:val="4"/>
        </w:numPr>
        <w:tabs>
          <w:tab w:val="clear" w:pos="720"/>
          <w:tab w:val="num" w:pos="0"/>
        </w:tabs>
        <w:ind w:left="360"/>
        <w:rPr>
          <w:i/>
        </w:rPr>
      </w:pPr>
      <w:r w:rsidRPr="003A1480">
        <w:rPr>
          <w:i/>
        </w:rPr>
        <w:t>Indicate how, by whom, and for what purpose the information is to be used.  Except</w:t>
      </w:r>
      <w:r>
        <w:rPr>
          <w:i/>
        </w:rPr>
        <w:t xml:space="preserve"> for a new collection, indicate the actual use the agency has made of the information received from the current collection.</w:t>
      </w:r>
    </w:p>
    <w:p w:rsidR="00CE6DCB" w:rsidRDefault="00CE6DCB" w:rsidP="003F31C2"/>
    <w:p w:rsidR="001F6ED7" w:rsidRDefault="001F6ED7" w:rsidP="001F6ED7">
      <w:pPr>
        <w:ind w:left="360"/>
      </w:pPr>
      <w:r>
        <w:t xml:space="preserve">Through this proposed regulation, the Department is designating data exchange standards for ICON and SIDES.  </w:t>
      </w:r>
    </w:p>
    <w:p w:rsidR="001F6ED7" w:rsidRDefault="001F6ED7" w:rsidP="001F6ED7">
      <w:pPr>
        <w:ind w:left="360"/>
      </w:pPr>
    </w:p>
    <w:p w:rsidR="0015025B" w:rsidRPr="0015025B" w:rsidRDefault="001364E4" w:rsidP="005D7C31">
      <w:pPr>
        <w:widowControl w:val="0"/>
        <w:autoSpaceDE w:val="0"/>
        <w:autoSpaceDN w:val="0"/>
        <w:adjustRightInd w:val="0"/>
        <w:ind w:left="360"/>
      </w:pPr>
      <w:r w:rsidRPr="001F6ED7">
        <w:rPr>
          <w:u w:val="single"/>
        </w:rPr>
        <w:t>ICON</w:t>
      </w:r>
      <w:r w:rsidR="00DE2FD9" w:rsidRPr="001F6ED7">
        <w:rPr>
          <w:u w:val="single"/>
        </w:rPr>
        <w:t xml:space="preserve"> Network</w:t>
      </w:r>
      <w:r w:rsidRPr="0015025B">
        <w:t xml:space="preserve">: </w:t>
      </w:r>
      <w:r w:rsidR="005D7C31">
        <w:t xml:space="preserve"> The proposed regulation applies to t</w:t>
      </w:r>
      <w:r w:rsidRPr="0015025B">
        <w:t xml:space="preserve">hree real-time applications on ICON </w:t>
      </w:r>
      <w:r w:rsidR="005D7C31">
        <w:t xml:space="preserve">that </w:t>
      </w:r>
      <w:r w:rsidRPr="0015025B">
        <w:t xml:space="preserve">support state to state exchanges. </w:t>
      </w:r>
      <w:r w:rsidR="008E455E">
        <w:t xml:space="preserve"> </w:t>
      </w:r>
      <w:r w:rsidR="0015025B" w:rsidRPr="0015025B">
        <w:t xml:space="preserve">These applications </w:t>
      </w:r>
      <w:r w:rsidR="00A004B6">
        <w:t xml:space="preserve">are </w:t>
      </w:r>
      <w:r w:rsidR="0015025B" w:rsidRPr="0015025B">
        <w:t xml:space="preserve">currently used by </w:t>
      </w:r>
      <w:r w:rsidR="007439FA">
        <w:t>all</w:t>
      </w:r>
      <w:r w:rsidR="0015025B" w:rsidRPr="0015025B">
        <w:t xml:space="preserve"> SWAs to support the processing of U</w:t>
      </w:r>
      <w:r w:rsidR="00A004B6">
        <w:t xml:space="preserve">nemployment </w:t>
      </w:r>
      <w:r w:rsidR="0015025B" w:rsidRPr="0015025B">
        <w:t>C</w:t>
      </w:r>
      <w:r w:rsidR="00A004B6">
        <w:t>ompensation (UC)</w:t>
      </w:r>
      <w:r w:rsidR="00961925" w:rsidRPr="00961925">
        <w:rPr>
          <w:rStyle w:val="FootnoteReference"/>
          <w:vertAlign w:val="superscript"/>
        </w:rPr>
        <w:footnoteReference w:id="2"/>
      </w:r>
      <w:r w:rsidR="0015025B" w:rsidRPr="0015025B">
        <w:t xml:space="preserve"> claims:</w:t>
      </w:r>
    </w:p>
    <w:p w:rsidR="0015025B" w:rsidRPr="0015025B" w:rsidRDefault="0015025B" w:rsidP="009F70AE">
      <w:pPr>
        <w:pStyle w:val="ListParagraph"/>
        <w:widowControl w:val="0"/>
        <w:numPr>
          <w:ilvl w:val="0"/>
          <w:numId w:val="12"/>
        </w:numPr>
        <w:autoSpaceDE w:val="0"/>
        <w:autoSpaceDN w:val="0"/>
        <w:adjustRightInd w:val="0"/>
        <w:spacing w:after="0" w:line="240" w:lineRule="auto"/>
        <w:rPr>
          <w:rFonts w:ascii="Times New Roman" w:hAnsi="Times New Roman"/>
          <w:sz w:val="24"/>
          <w:szCs w:val="24"/>
        </w:rPr>
      </w:pPr>
      <w:r w:rsidRPr="0015025B">
        <w:rPr>
          <w:rFonts w:ascii="Times New Roman" w:hAnsi="Times New Roman"/>
          <w:sz w:val="24"/>
          <w:szCs w:val="24"/>
        </w:rPr>
        <w:t>Interstate Wages and Benefits Inquiries/Responses, which supports online transmission of interstate wages and benefits inquiries and responses between SWAs;</w:t>
      </w:r>
    </w:p>
    <w:p w:rsidR="0015025B" w:rsidRPr="0015025B" w:rsidRDefault="0015025B" w:rsidP="009F70AE">
      <w:pPr>
        <w:pStyle w:val="Default"/>
        <w:numPr>
          <w:ilvl w:val="0"/>
          <w:numId w:val="12"/>
        </w:numPr>
      </w:pPr>
      <w:r w:rsidRPr="0015025B">
        <w:t xml:space="preserve">Withdrawn/Invalid Claims, which allows for the posting and viewing of withdrawn or invalid claim information for SWAs; and </w:t>
      </w:r>
    </w:p>
    <w:p w:rsidR="0015025B" w:rsidRDefault="0015025B" w:rsidP="009F70AE">
      <w:pPr>
        <w:pStyle w:val="Default"/>
        <w:numPr>
          <w:ilvl w:val="0"/>
          <w:numId w:val="12"/>
        </w:numPr>
      </w:pPr>
      <w:r w:rsidRPr="0015025B">
        <w:t>State Identification Inquiry, which allows SWAs to inquire about wages reported to other SWAs by SSN.</w:t>
      </w:r>
    </w:p>
    <w:p w:rsidR="0015025B" w:rsidRDefault="0015025B" w:rsidP="0015025B">
      <w:pPr>
        <w:pStyle w:val="Default"/>
        <w:ind w:left="360"/>
      </w:pPr>
    </w:p>
    <w:p w:rsidR="00DE2FD9" w:rsidRDefault="008D2B3C" w:rsidP="008D2B3C">
      <w:pPr>
        <w:ind w:left="360"/>
      </w:pPr>
      <w:r>
        <w:t>The</w:t>
      </w:r>
      <w:r w:rsidR="00DE2FD9">
        <w:t xml:space="preserve"> information shared </w:t>
      </w:r>
      <w:r>
        <w:t xml:space="preserve">between states </w:t>
      </w:r>
      <w:r w:rsidR="00DE2FD9">
        <w:t xml:space="preserve">over the ICON network is </w:t>
      </w:r>
      <w:r>
        <w:t xml:space="preserve">not </w:t>
      </w:r>
      <w:r w:rsidR="00DE2FD9">
        <w:t xml:space="preserve">reported to the Department.  </w:t>
      </w:r>
    </w:p>
    <w:p w:rsidR="008D2B3C" w:rsidRDefault="008D2B3C" w:rsidP="008D2B3C">
      <w:pPr>
        <w:ind w:left="360"/>
      </w:pPr>
    </w:p>
    <w:p w:rsidR="00A44AF9" w:rsidRDefault="001364E4" w:rsidP="00A44AF9">
      <w:pPr>
        <w:ind w:left="360"/>
        <w:rPr>
          <w:rFonts w:eastAsia="Calibri"/>
        </w:rPr>
      </w:pPr>
      <w:r w:rsidRPr="001F6ED7">
        <w:rPr>
          <w:u w:val="single"/>
        </w:rPr>
        <w:t>SIDES</w:t>
      </w:r>
      <w:r w:rsidRPr="00A44AF9">
        <w:t xml:space="preserve">:  </w:t>
      </w:r>
      <w:r w:rsidR="005D7C31" w:rsidRPr="00A44AF9">
        <w:t xml:space="preserve"> The proposed regulation applies to a</w:t>
      </w:r>
      <w:r w:rsidRPr="00A44AF9">
        <w:t>ll current and future SIDES information</w:t>
      </w:r>
      <w:r w:rsidR="00A004B6">
        <w:t xml:space="preserve"> modules</w:t>
      </w:r>
      <w:r w:rsidR="005D7C31" w:rsidRPr="00A44AF9">
        <w:t xml:space="preserve"> that</w:t>
      </w:r>
      <w:r w:rsidRPr="00A44AF9">
        <w:t xml:space="preserve"> support </w:t>
      </w:r>
      <w:r w:rsidR="00A004B6">
        <w:t xml:space="preserve">the exchange of information between </w:t>
      </w:r>
      <w:r w:rsidRPr="00A44AF9">
        <w:t>state</w:t>
      </w:r>
      <w:r w:rsidR="00A004B6">
        <w:t>s</w:t>
      </w:r>
      <w:r w:rsidRPr="00A44AF9">
        <w:t xml:space="preserve"> and employer</w:t>
      </w:r>
      <w:r w:rsidR="00A004B6">
        <w:t>s</w:t>
      </w:r>
      <w:r w:rsidRPr="00A44AF9">
        <w:t xml:space="preserve">.  </w:t>
      </w:r>
      <w:proofErr w:type="gramStart"/>
      <w:r w:rsidR="008304F6" w:rsidRPr="00A44AF9">
        <w:t>SIDES is</w:t>
      </w:r>
      <w:proofErr w:type="gramEnd"/>
      <w:r w:rsidR="008304F6" w:rsidRPr="00A44AF9">
        <w:t xml:space="preserve"> an automated information exchange and reporting system to standardize SWAs’ delivery of information to employers and collection of information by SWAs from employers and Third Party Administrators</w:t>
      </w:r>
      <w:r w:rsidR="00A44AF9">
        <w:t xml:space="preserve"> (TPAs)</w:t>
      </w:r>
      <w:r w:rsidR="008304F6" w:rsidRPr="00A44AF9">
        <w:t>.</w:t>
      </w:r>
      <w:r w:rsidR="00A44AF9" w:rsidRPr="00A44AF9">
        <w:rPr>
          <w:rFonts w:eastAsia="Calibri"/>
          <w:b/>
        </w:rPr>
        <w:t xml:space="preserve">  </w:t>
      </w:r>
      <w:r w:rsidR="00A44AF9" w:rsidRPr="00A44AF9">
        <w:rPr>
          <w:rFonts w:eastAsia="Calibri"/>
        </w:rPr>
        <w:t>Cu</w:t>
      </w:r>
      <w:r w:rsidR="00A44AF9">
        <w:rPr>
          <w:rFonts w:eastAsia="Calibri"/>
        </w:rPr>
        <w:t>rrently, three exchanges for SIDES has been developed and implemented.</w:t>
      </w:r>
    </w:p>
    <w:p w:rsidR="00A44AF9" w:rsidRPr="00A44AF9" w:rsidRDefault="00A44AF9" w:rsidP="00A44AF9">
      <w:pPr>
        <w:numPr>
          <w:ilvl w:val="0"/>
          <w:numId w:val="19"/>
        </w:numPr>
        <w:rPr>
          <w:bCs/>
        </w:rPr>
      </w:pPr>
      <w:r>
        <w:lastRenderedPageBreak/>
        <w:t>E</w:t>
      </w:r>
      <w:r w:rsidRPr="00A44AF9">
        <w:t>mployee separation information</w:t>
      </w:r>
      <w:r>
        <w:t>:</w:t>
      </w:r>
      <w:r w:rsidRPr="00A44AF9">
        <w:t xml:space="preserve"> This exchange of information </w:t>
      </w:r>
      <w:r>
        <w:t xml:space="preserve">by </w:t>
      </w:r>
      <w:r w:rsidR="003A4B4F">
        <w:t>SWAs</w:t>
      </w:r>
      <w:r>
        <w:t xml:space="preserve"> </w:t>
      </w:r>
      <w:r w:rsidRPr="00A44AF9">
        <w:t>with employers or their TPAs on the circumstances underlying individual U</w:t>
      </w:r>
      <w:r>
        <w:t>I</w:t>
      </w:r>
      <w:r w:rsidRPr="00A44AF9">
        <w:t xml:space="preserve"> claimants’ job separations will reduce U</w:t>
      </w:r>
      <w:r>
        <w:t>I</w:t>
      </w:r>
      <w:r w:rsidRPr="00A44AF9">
        <w:t xml:space="preserve"> payments to ineligible claimants, yield administrative cost savings to both employers and taxpayers, and promote more timely benefit determinations</w:t>
      </w:r>
      <w:r>
        <w:t>;</w:t>
      </w:r>
      <w:r w:rsidRPr="00A44AF9">
        <w:t xml:space="preserve">   </w:t>
      </w:r>
    </w:p>
    <w:p w:rsidR="00A44AF9" w:rsidRPr="00A44AF9" w:rsidRDefault="00A44AF9" w:rsidP="00A44AF9">
      <w:pPr>
        <w:numPr>
          <w:ilvl w:val="0"/>
          <w:numId w:val="19"/>
        </w:numPr>
        <w:rPr>
          <w:bCs/>
        </w:rPr>
      </w:pPr>
      <w:r>
        <w:t xml:space="preserve">Wages/Earnings verification:  This </w:t>
      </w:r>
      <w:r w:rsidRPr="00A44AF9">
        <w:t xml:space="preserve">exchange of data </w:t>
      </w:r>
      <w:r>
        <w:t xml:space="preserve">by </w:t>
      </w:r>
      <w:r w:rsidR="003A4B4F">
        <w:t>SWAs</w:t>
      </w:r>
      <w:r>
        <w:t xml:space="preserve"> with employers or their TPAs is to </w:t>
      </w:r>
      <w:r w:rsidRPr="00A44AF9">
        <w:t>verify claimant wages</w:t>
      </w:r>
      <w:r>
        <w:t>; and</w:t>
      </w:r>
    </w:p>
    <w:p w:rsidR="00A44AF9" w:rsidRPr="0066383B" w:rsidRDefault="00A44AF9" w:rsidP="002351DA">
      <w:pPr>
        <w:pStyle w:val="CommentText"/>
        <w:numPr>
          <w:ilvl w:val="0"/>
          <w:numId w:val="19"/>
        </w:numPr>
        <w:spacing w:after="0"/>
        <w:rPr>
          <w:bCs/>
        </w:rPr>
      </w:pPr>
      <w:r w:rsidRPr="0066383B">
        <w:rPr>
          <w:rFonts w:ascii="Times New Roman" w:hAnsi="Times New Roman"/>
          <w:sz w:val="24"/>
          <w:szCs w:val="24"/>
        </w:rPr>
        <w:t xml:space="preserve">Monetary and Potential Charges: </w:t>
      </w:r>
      <w:r w:rsidR="003A4B4F" w:rsidRPr="0066383B">
        <w:rPr>
          <w:rFonts w:ascii="Times New Roman" w:hAnsi="Times New Roman"/>
          <w:sz w:val="24"/>
          <w:szCs w:val="24"/>
        </w:rPr>
        <w:t xml:space="preserve"> This exchange is to notify employers electronically, rather than on paper, of SWA decisions on the eligibility of their former workers who quit or were let go for cause.  </w:t>
      </w:r>
      <w:r w:rsidR="003A4B4F" w:rsidRPr="0066383B">
        <w:rPr>
          <w:rFonts w:ascii="Times New Roman" w:hAnsi="Times New Roman"/>
          <w:bCs/>
          <w:sz w:val="24"/>
          <w:szCs w:val="24"/>
        </w:rPr>
        <w:t xml:space="preserve">This will improve the timeliness of employer appeals and allow for quicker appeal </w:t>
      </w:r>
      <w:proofErr w:type="spellStart"/>
      <w:r w:rsidR="003A4B4F" w:rsidRPr="0066383B">
        <w:rPr>
          <w:rFonts w:ascii="Times New Roman" w:hAnsi="Times New Roman"/>
          <w:bCs/>
          <w:sz w:val="24"/>
          <w:szCs w:val="24"/>
        </w:rPr>
        <w:t>decisions</w:t>
      </w:r>
      <w:proofErr w:type="gramStart"/>
      <w:r w:rsidR="0066383B" w:rsidRPr="0066383B">
        <w:rPr>
          <w:rFonts w:ascii="Times New Roman" w:hAnsi="Times New Roman"/>
          <w:bCs/>
          <w:sz w:val="24"/>
          <w:szCs w:val="24"/>
        </w:rPr>
        <w:t>,</w:t>
      </w:r>
      <w:r w:rsidR="003A4B4F" w:rsidRPr="0066383B">
        <w:rPr>
          <w:rFonts w:ascii="Times New Roman" w:hAnsi="Times New Roman"/>
          <w:bCs/>
          <w:sz w:val="24"/>
          <w:szCs w:val="24"/>
        </w:rPr>
        <w:t>halting</w:t>
      </w:r>
      <w:proofErr w:type="spellEnd"/>
      <w:proofErr w:type="gramEnd"/>
      <w:r w:rsidR="003A4B4F" w:rsidRPr="0066383B">
        <w:rPr>
          <w:rFonts w:ascii="Times New Roman" w:hAnsi="Times New Roman"/>
          <w:bCs/>
          <w:sz w:val="24"/>
          <w:szCs w:val="24"/>
        </w:rPr>
        <w:t xml:space="preserve"> improper payments faster if the employer prevails in the appeal.  </w:t>
      </w:r>
    </w:p>
    <w:p w:rsidR="00A44AF9" w:rsidRPr="00A44AF9" w:rsidRDefault="00A44AF9" w:rsidP="00A44AF9">
      <w:pPr>
        <w:rPr>
          <w:bCs/>
        </w:rPr>
      </w:pPr>
    </w:p>
    <w:p w:rsidR="00DE2FD9" w:rsidRPr="00A44AF9" w:rsidRDefault="00A44AF9" w:rsidP="00A44AF9">
      <w:pPr>
        <w:ind w:left="350"/>
      </w:pPr>
      <w:r w:rsidRPr="00A44AF9">
        <w:t xml:space="preserve">Additionally, several other data exchange modules are under consideration for the expansion of SIDES including </w:t>
      </w:r>
      <w:r w:rsidR="002351DA">
        <w:t>UI Benefit Charge Notices</w:t>
      </w:r>
      <w:r w:rsidRPr="00A44AF9">
        <w:t xml:space="preserve">, </w:t>
      </w:r>
      <w:r w:rsidR="002351DA" w:rsidRPr="002351DA">
        <w:t>Non-Monetary Determinations Exchange</w:t>
      </w:r>
      <w:r w:rsidR="008E455E">
        <w:t>,</w:t>
      </w:r>
      <w:r w:rsidR="002351DA" w:rsidRPr="00A44AF9">
        <w:t xml:space="preserve"> </w:t>
      </w:r>
      <w:r w:rsidRPr="00A44AF9">
        <w:t xml:space="preserve">and Appeals Decisions.  </w:t>
      </w:r>
    </w:p>
    <w:p w:rsidR="00DE2FD9" w:rsidRDefault="00DE2FD9" w:rsidP="001364E4"/>
    <w:p w:rsidR="00D979DD" w:rsidRDefault="00D979DD" w:rsidP="00D979DD">
      <w:pPr>
        <w:ind w:left="360"/>
      </w:pPr>
      <w:r>
        <w:t>The information shared between the SWAs and employer</w:t>
      </w:r>
      <w:r w:rsidR="00990A7C">
        <w:t>s</w:t>
      </w:r>
      <w:r>
        <w:t xml:space="preserve"> or their TPAs using SIDES </w:t>
      </w:r>
      <w:proofErr w:type="gramStart"/>
      <w:r>
        <w:t>is</w:t>
      </w:r>
      <w:proofErr w:type="gramEnd"/>
      <w:r>
        <w:t xml:space="preserve"> not reported to the Department.  </w:t>
      </w:r>
    </w:p>
    <w:p w:rsidR="00DE2FD9" w:rsidRDefault="00DE2FD9" w:rsidP="001364E4"/>
    <w:p w:rsidR="001F6ED7" w:rsidRDefault="001F6ED7" w:rsidP="001F6ED7">
      <w:pPr>
        <w:ind w:left="360"/>
      </w:pPr>
      <w:r>
        <w:t xml:space="preserve">The Department believes that </w:t>
      </w:r>
      <w:r w:rsidRPr="0040605F">
        <w:t>the</w:t>
      </w:r>
      <w:r>
        <w:t xml:space="preserve"> proposed</w:t>
      </w:r>
      <w:r w:rsidRPr="0040605F">
        <w:t xml:space="preserve"> </w:t>
      </w:r>
      <w:r>
        <w:t xml:space="preserve">exchange </w:t>
      </w:r>
      <w:r w:rsidRPr="0040605F">
        <w:t xml:space="preserve">standards will improve the interoperability of </w:t>
      </w:r>
      <w:r>
        <w:t xml:space="preserve">certain </w:t>
      </w:r>
      <w:r w:rsidRPr="0040605F">
        <w:t>State, Federal, and employer-operated systems that collect and exchange information for UI administrative purposes.</w:t>
      </w:r>
      <w:r>
        <w:t xml:space="preserve">  </w:t>
      </w:r>
    </w:p>
    <w:p w:rsidR="00552DFE" w:rsidRDefault="00552DFE" w:rsidP="003F31C2">
      <w:pPr>
        <w:ind w:left="720"/>
      </w:pPr>
    </w:p>
    <w:p w:rsidR="003A1480" w:rsidRPr="003A1480" w:rsidRDefault="003A1480" w:rsidP="003F31C2">
      <w:pPr>
        <w:numPr>
          <w:ilvl w:val="0"/>
          <w:numId w:val="3"/>
        </w:numPr>
        <w:tabs>
          <w:tab w:val="clear" w:pos="720"/>
          <w:tab w:val="num" w:pos="360"/>
        </w:tabs>
        <w:ind w:left="360"/>
        <w:rPr>
          <w:i/>
        </w:rPr>
      </w:pPr>
      <w:r w:rsidRPr="003A1480">
        <w:rPr>
          <w:i/>
        </w:rPr>
        <w:t xml:space="preserve"> Describe whether, and to what extent, the collection of information involves the use of automated, electronic, mechanical, or other technological collection techniques or other forms of information technology, e.g., permitting electronic submission of responses, and the bias for the decision for adopting this means of collection.  Also describe any consideration of using information technology to reduce burden.</w:t>
      </w:r>
    </w:p>
    <w:p w:rsidR="00CE6DCB" w:rsidRDefault="00CE6DCB" w:rsidP="003F31C2"/>
    <w:p w:rsidR="00552DFE" w:rsidRDefault="007D28AA" w:rsidP="007D28AA">
      <w:pPr>
        <w:ind w:left="360"/>
      </w:pPr>
      <w:r>
        <w:t xml:space="preserve">ICON and SIDES are automated systems which </w:t>
      </w:r>
      <w:r w:rsidR="007D725D">
        <w:t xml:space="preserve">act as a hub </w:t>
      </w:r>
      <w:r w:rsidR="00990A7C">
        <w:t>for</w:t>
      </w:r>
      <w:r w:rsidR="007D725D">
        <w:t xml:space="preserve"> electronic transactions between </w:t>
      </w:r>
      <w:r>
        <w:t xml:space="preserve">states and/or with employers.  </w:t>
      </w:r>
      <w:r w:rsidR="007D725D">
        <w:t>All transactions between these systems are electronic.</w:t>
      </w:r>
    </w:p>
    <w:p w:rsidR="003A1480" w:rsidRDefault="003A1480" w:rsidP="003F31C2">
      <w:pPr>
        <w:ind w:left="360"/>
      </w:pPr>
    </w:p>
    <w:p w:rsidR="003A1480" w:rsidRDefault="003A1480" w:rsidP="003F31C2">
      <w:pPr>
        <w:numPr>
          <w:ilvl w:val="0"/>
          <w:numId w:val="3"/>
        </w:numPr>
        <w:tabs>
          <w:tab w:val="clear" w:pos="720"/>
          <w:tab w:val="num" w:pos="360"/>
        </w:tabs>
        <w:ind w:left="360"/>
        <w:rPr>
          <w:i/>
        </w:rPr>
      </w:pPr>
      <w:r>
        <w:rPr>
          <w:i/>
        </w:rPr>
        <w:t>Describe efforts to identify duplication.  Show specifically why any similar information already available cannot be used or modified for use for the purposes described in Item 2 above.</w:t>
      </w:r>
    </w:p>
    <w:p w:rsidR="00CE6DCB" w:rsidRDefault="00CE6DCB" w:rsidP="003F31C2"/>
    <w:p w:rsidR="00552DFE" w:rsidRDefault="00552DFE" w:rsidP="00B476C6">
      <w:pPr>
        <w:ind w:left="360"/>
      </w:pPr>
      <w:r>
        <w:t>No duplication exists</w:t>
      </w:r>
      <w:r w:rsidR="003A1480">
        <w:t>.</w:t>
      </w:r>
    </w:p>
    <w:p w:rsidR="003A1480" w:rsidRDefault="003A1480" w:rsidP="003F31C2">
      <w:pPr>
        <w:ind w:left="360"/>
      </w:pPr>
    </w:p>
    <w:p w:rsidR="003A1480" w:rsidRDefault="003A1480" w:rsidP="003F31C2">
      <w:pPr>
        <w:numPr>
          <w:ilvl w:val="0"/>
          <w:numId w:val="3"/>
        </w:numPr>
        <w:tabs>
          <w:tab w:val="clear" w:pos="720"/>
          <w:tab w:val="num" w:pos="360"/>
        </w:tabs>
        <w:ind w:left="360"/>
        <w:rPr>
          <w:i/>
        </w:rPr>
      </w:pPr>
      <w:r>
        <w:rPr>
          <w:i/>
        </w:rPr>
        <w:t>If the collection of information impacts small businesses or other small entities (Item 5 of OMB Form 83-I), describe any methods used to minimize burden.</w:t>
      </w:r>
    </w:p>
    <w:p w:rsidR="00CE6DCB" w:rsidRDefault="00CE6DCB" w:rsidP="003F31C2"/>
    <w:p w:rsidR="00511815" w:rsidRDefault="00511815" w:rsidP="00511815">
      <w:pPr>
        <w:ind w:left="360"/>
      </w:pPr>
      <w:r>
        <w:t>ICON supports state to state exchanges.  Employers including small businesses are not involved.</w:t>
      </w:r>
    </w:p>
    <w:p w:rsidR="00511815" w:rsidRDefault="00511815" w:rsidP="00511815">
      <w:pPr>
        <w:ind w:left="360"/>
      </w:pPr>
    </w:p>
    <w:p w:rsidR="004D6184" w:rsidRDefault="00511815" w:rsidP="00522620">
      <w:pPr>
        <w:pStyle w:val="FootnoteText"/>
        <w:ind w:left="360"/>
        <w:rPr>
          <w:sz w:val="24"/>
          <w:szCs w:val="24"/>
        </w:rPr>
      </w:pPr>
      <w:proofErr w:type="gramStart"/>
      <w:r w:rsidRPr="00511815">
        <w:rPr>
          <w:sz w:val="24"/>
          <w:szCs w:val="24"/>
        </w:rPr>
        <w:lastRenderedPageBreak/>
        <w:t>SIDES is</w:t>
      </w:r>
      <w:proofErr w:type="gramEnd"/>
      <w:r w:rsidRPr="00511815">
        <w:rPr>
          <w:sz w:val="24"/>
          <w:szCs w:val="24"/>
        </w:rPr>
        <w:t xml:space="preserve"> necessary to effectuate the Standard for Claim Determinations—Separation Information, codified in regulation at 20 CFR part 625 Appendix B.  This standard is based significantly on the “methods of administration” requirement in section 303(a)(1), SSA, and includes a requirement that a State promptly obtain information from the worker, employer, or other source that is sufficient to reasonably insure payment of UC</w:t>
      </w:r>
      <w:r w:rsidRPr="00305F26">
        <w:rPr>
          <w:sz w:val="24"/>
          <w:szCs w:val="24"/>
          <w:vertAlign w:val="superscript"/>
        </w:rPr>
        <w:t xml:space="preserve"> </w:t>
      </w:r>
      <w:r w:rsidRPr="00511815">
        <w:rPr>
          <w:sz w:val="24"/>
          <w:szCs w:val="24"/>
        </w:rPr>
        <w:t xml:space="preserve">when due.  </w:t>
      </w:r>
    </w:p>
    <w:p w:rsidR="004D6184" w:rsidRDefault="004D6184" w:rsidP="00522620">
      <w:pPr>
        <w:pStyle w:val="FootnoteText"/>
        <w:ind w:left="360"/>
        <w:rPr>
          <w:sz w:val="24"/>
          <w:szCs w:val="24"/>
        </w:rPr>
      </w:pPr>
    </w:p>
    <w:p w:rsidR="007439FA" w:rsidRPr="007439FA" w:rsidRDefault="004D6184" w:rsidP="007439FA">
      <w:pPr>
        <w:ind w:left="360"/>
      </w:pPr>
      <w:r>
        <w:t xml:space="preserve">Currently, SWAs request information from employers (including small business) by mail or by </w:t>
      </w:r>
      <w:r w:rsidR="007D725D">
        <w:t xml:space="preserve">other </w:t>
      </w:r>
      <w:r>
        <w:t xml:space="preserve">electronic means.  </w:t>
      </w:r>
      <w:r w:rsidR="00522620">
        <w:t>SWAs participat</w:t>
      </w:r>
      <w:r>
        <w:t>ing</w:t>
      </w:r>
      <w:r w:rsidR="00522620">
        <w:t xml:space="preserve"> in SIDES </w:t>
      </w:r>
      <w:r w:rsidR="007D725D">
        <w:t xml:space="preserve">use this system to send </w:t>
      </w:r>
      <w:r w:rsidR="00522620">
        <w:t>request</w:t>
      </w:r>
      <w:r w:rsidR="007D725D">
        <w:t>s to</w:t>
      </w:r>
      <w:r w:rsidR="00522620">
        <w:t xml:space="preserve"> employers for critical information required to make </w:t>
      </w:r>
      <w:r w:rsidR="007D725D">
        <w:t xml:space="preserve">prompt and accurate eligibility </w:t>
      </w:r>
      <w:r w:rsidR="00522620">
        <w:t>determination</w:t>
      </w:r>
      <w:r w:rsidR="007D725D">
        <w:t>s</w:t>
      </w:r>
      <w:r w:rsidR="00522620">
        <w:t xml:space="preserve">. </w:t>
      </w:r>
      <w:r w:rsidR="007439FA">
        <w:t xml:space="preserve">SIDES provides for the </w:t>
      </w:r>
      <w:r w:rsidR="00D842E0">
        <w:t>exchange</w:t>
      </w:r>
      <w:r w:rsidR="007439FA">
        <w:t xml:space="preserve"> of </w:t>
      </w:r>
      <w:r w:rsidR="007439FA" w:rsidRPr="00C71875">
        <w:t>information using a</w:t>
      </w:r>
      <w:r w:rsidR="00D842E0">
        <w:t>n automated,</w:t>
      </w:r>
      <w:r w:rsidR="007439FA" w:rsidRPr="00C71875">
        <w:t xml:space="preserve"> standardized, secure mechanism with data validations that are strictly enforced to prevent the transfer of incomplete or incorrectly formatted data.</w:t>
      </w:r>
      <w:r w:rsidR="007439FA" w:rsidRPr="007439FA">
        <w:rPr>
          <w:b/>
        </w:rPr>
        <w:t xml:space="preserve"> </w:t>
      </w:r>
      <w:r w:rsidR="007439FA" w:rsidRPr="007439FA">
        <w:t xml:space="preserve">The </w:t>
      </w:r>
      <w:r w:rsidR="007439FA">
        <w:t xml:space="preserve">benefits </w:t>
      </w:r>
      <w:r w:rsidR="002A07E5">
        <w:t>of</w:t>
      </w:r>
      <w:r w:rsidR="007439FA">
        <w:t xml:space="preserve"> using SIDES </w:t>
      </w:r>
      <w:r w:rsidR="002A07E5">
        <w:t xml:space="preserve">for employers </w:t>
      </w:r>
      <w:r w:rsidR="007439FA">
        <w:t>include</w:t>
      </w:r>
      <w:r w:rsidR="007439FA" w:rsidRPr="007439FA">
        <w:t>:</w:t>
      </w:r>
    </w:p>
    <w:p w:rsidR="00D842E0" w:rsidRDefault="00D842E0" w:rsidP="002A07E5">
      <w:pPr>
        <w:numPr>
          <w:ilvl w:val="0"/>
          <w:numId w:val="23"/>
        </w:numPr>
        <w:spacing w:after="120"/>
      </w:pPr>
      <w:r>
        <w:t>Reduc</w:t>
      </w:r>
      <w:r w:rsidR="00FD7B4F">
        <w:t xml:space="preserve">ed </w:t>
      </w:r>
      <w:r w:rsidR="007439FA" w:rsidRPr="00C71875">
        <w:t>postage and handling costs;</w:t>
      </w:r>
    </w:p>
    <w:p w:rsidR="007439FA" w:rsidRPr="00D842E0" w:rsidRDefault="001E76E1" w:rsidP="002A07E5">
      <w:pPr>
        <w:numPr>
          <w:ilvl w:val="0"/>
          <w:numId w:val="23"/>
        </w:numPr>
        <w:spacing w:after="120"/>
        <w:rPr>
          <w:rStyle w:val="HTMLTypewriter"/>
          <w:rFonts w:ascii="Times New Roman" w:hAnsi="Times New Roman" w:cs="Times New Roman"/>
          <w:sz w:val="24"/>
          <w:szCs w:val="24"/>
        </w:rPr>
      </w:pPr>
      <w:r>
        <w:rPr>
          <w:rStyle w:val="HTMLTypewriter"/>
          <w:rFonts w:ascii="Times New Roman" w:hAnsi="Times New Roman" w:cs="Times New Roman"/>
          <w:sz w:val="24"/>
          <w:szCs w:val="24"/>
        </w:rPr>
        <w:t>Fewer</w:t>
      </w:r>
      <w:r w:rsidR="00D842E0" w:rsidRPr="00D842E0">
        <w:rPr>
          <w:rStyle w:val="HTMLTypewriter"/>
          <w:rFonts w:ascii="Times New Roman" w:hAnsi="Times New Roman" w:cs="Times New Roman"/>
          <w:sz w:val="24"/>
          <w:szCs w:val="24"/>
        </w:rPr>
        <w:t xml:space="preserve"> </w:t>
      </w:r>
      <w:r w:rsidR="007439FA" w:rsidRPr="00D842E0">
        <w:rPr>
          <w:rStyle w:val="HTMLTypewriter"/>
          <w:rFonts w:ascii="Times New Roman" w:hAnsi="Times New Roman" w:cs="Times New Roman"/>
          <w:sz w:val="24"/>
          <w:szCs w:val="24"/>
        </w:rPr>
        <w:t xml:space="preserve">follow-up efforts </w:t>
      </w:r>
      <w:r w:rsidR="00D842E0">
        <w:rPr>
          <w:rStyle w:val="HTMLTypewriter"/>
          <w:rFonts w:ascii="Times New Roman" w:hAnsi="Times New Roman" w:cs="Times New Roman"/>
          <w:sz w:val="24"/>
          <w:szCs w:val="24"/>
        </w:rPr>
        <w:t xml:space="preserve">from the SWA to </w:t>
      </w:r>
      <w:r w:rsidR="00D842E0" w:rsidRPr="00D842E0">
        <w:rPr>
          <w:rStyle w:val="HTMLTypewriter"/>
          <w:rFonts w:ascii="Times New Roman" w:hAnsi="Times New Roman" w:cs="Times New Roman"/>
          <w:sz w:val="24"/>
          <w:szCs w:val="24"/>
        </w:rPr>
        <w:t xml:space="preserve">the employer’s staff </w:t>
      </w:r>
      <w:r w:rsidR="007439FA" w:rsidRPr="00D842E0">
        <w:rPr>
          <w:rStyle w:val="HTMLTypewriter"/>
          <w:rFonts w:ascii="Times New Roman" w:hAnsi="Times New Roman" w:cs="Times New Roman"/>
          <w:sz w:val="24"/>
          <w:szCs w:val="24"/>
        </w:rPr>
        <w:t>to obtain complete and correct employer UI information</w:t>
      </w:r>
      <w:r w:rsidR="004620ED">
        <w:rPr>
          <w:rStyle w:val="HTMLTypewriter"/>
          <w:rFonts w:ascii="Times New Roman" w:hAnsi="Times New Roman" w:cs="Times New Roman"/>
          <w:sz w:val="24"/>
          <w:szCs w:val="24"/>
        </w:rPr>
        <w:t xml:space="preserve"> (reducing employer’s staff time on phone with SWA)</w:t>
      </w:r>
      <w:r w:rsidR="007439FA" w:rsidRPr="00D842E0">
        <w:rPr>
          <w:rStyle w:val="HTMLTypewriter"/>
          <w:rFonts w:ascii="Times New Roman" w:hAnsi="Times New Roman" w:cs="Times New Roman"/>
          <w:sz w:val="24"/>
          <w:szCs w:val="24"/>
        </w:rPr>
        <w:t>;</w:t>
      </w:r>
    </w:p>
    <w:p w:rsidR="007439FA" w:rsidRPr="00C71875" w:rsidRDefault="00D842E0" w:rsidP="002A07E5">
      <w:pPr>
        <w:numPr>
          <w:ilvl w:val="0"/>
          <w:numId w:val="23"/>
        </w:numPr>
        <w:spacing w:after="120"/>
        <w:rPr>
          <w:rStyle w:val="HTMLTypewriter"/>
          <w:rFonts w:ascii="Times New Roman" w:hAnsi="Times New Roman" w:cs="Times New Roman"/>
          <w:sz w:val="24"/>
          <w:szCs w:val="24"/>
        </w:rPr>
      </w:pPr>
      <w:r>
        <w:rPr>
          <w:rStyle w:val="HTMLTypewriter"/>
          <w:rFonts w:ascii="Times New Roman" w:hAnsi="Times New Roman" w:cs="Times New Roman"/>
          <w:sz w:val="24"/>
          <w:szCs w:val="24"/>
        </w:rPr>
        <w:t xml:space="preserve">Reduction in </w:t>
      </w:r>
      <w:r w:rsidR="007439FA" w:rsidRPr="00C71875">
        <w:rPr>
          <w:rStyle w:val="HTMLTypewriter"/>
          <w:rFonts w:ascii="Times New Roman" w:hAnsi="Times New Roman" w:cs="Times New Roman"/>
          <w:sz w:val="24"/>
          <w:szCs w:val="24"/>
        </w:rPr>
        <w:t>improper benefit payments (improved quality because of standardized questions and in some cases a more detailed</w:t>
      </w:r>
      <w:r w:rsidR="007439FA" w:rsidRPr="00C71875">
        <w:t xml:space="preserve"> </w:t>
      </w:r>
      <w:r w:rsidR="007439FA" w:rsidRPr="00C71875">
        <w:rPr>
          <w:rStyle w:val="HTMLTypewriter"/>
          <w:rFonts w:ascii="Times New Roman" w:hAnsi="Times New Roman" w:cs="Times New Roman"/>
          <w:sz w:val="24"/>
          <w:szCs w:val="24"/>
        </w:rPr>
        <w:t>request for UI information)</w:t>
      </w:r>
      <w:r w:rsidR="002A07E5">
        <w:rPr>
          <w:rStyle w:val="HTMLTypewriter"/>
          <w:rFonts w:ascii="Times New Roman" w:hAnsi="Times New Roman" w:cs="Times New Roman"/>
          <w:sz w:val="24"/>
          <w:szCs w:val="24"/>
        </w:rPr>
        <w:t xml:space="preserve"> and improper benefit charging to the employer account</w:t>
      </w:r>
      <w:r w:rsidR="007439FA" w:rsidRPr="00C71875">
        <w:rPr>
          <w:rStyle w:val="HTMLTypewriter"/>
          <w:rFonts w:ascii="Times New Roman" w:hAnsi="Times New Roman" w:cs="Times New Roman"/>
          <w:sz w:val="24"/>
          <w:szCs w:val="24"/>
        </w:rPr>
        <w:t>;</w:t>
      </w:r>
    </w:p>
    <w:p w:rsidR="007439FA" w:rsidRPr="00C71875" w:rsidRDefault="00D842E0" w:rsidP="002A07E5">
      <w:pPr>
        <w:numPr>
          <w:ilvl w:val="0"/>
          <w:numId w:val="23"/>
        </w:numPr>
        <w:spacing w:after="120"/>
      </w:pPr>
      <w:r>
        <w:rPr>
          <w:rStyle w:val="HTMLTypewriter"/>
          <w:rFonts w:ascii="Times New Roman" w:hAnsi="Times New Roman" w:cs="Times New Roman"/>
          <w:sz w:val="24"/>
          <w:szCs w:val="24"/>
        </w:rPr>
        <w:t xml:space="preserve">Reduced need for employers to file </w:t>
      </w:r>
      <w:r w:rsidR="007439FA" w:rsidRPr="00C71875">
        <w:rPr>
          <w:rStyle w:val="HTMLTypewriter"/>
          <w:rFonts w:ascii="Times New Roman" w:hAnsi="Times New Roman" w:cs="Times New Roman"/>
          <w:sz w:val="24"/>
          <w:szCs w:val="24"/>
        </w:rPr>
        <w:t>appeals due to lack of quality information</w:t>
      </w:r>
      <w:r>
        <w:rPr>
          <w:rStyle w:val="HTMLTypewriter"/>
          <w:rFonts w:ascii="Times New Roman" w:hAnsi="Times New Roman" w:cs="Times New Roman"/>
          <w:sz w:val="24"/>
          <w:szCs w:val="24"/>
        </w:rPr>
        <w:t xml:space="preserve"> by the SWAs to make n eligibility</w:t>
      </w:r>
      <w:r w:rsidR="007439FA" w:rsidRPr="00C71875">
        <w:rPr>
          <w:rStyle w:val="HTMLTypewriter"/>
          <w:rFonts w:ascii="Times New Roman" w:hAnsi="Times New Roman" w:cs="Times New Roman"/>
          <w:sz w:val="24"/>
          <w:szCs w:val="24"/>
        </w:rPr>
        <w:t xml:space="preserve"> determination</w:t>
      </w:r>
      <w:r>
        <w:rPr>
          <w:rStyle w:val="HTMLTypewriter"/>
          <w:rFonts w:ascii="Times New Roman" w:hAnsi="Times New Roman" w:cs="Times New Roman"/>
          <w:sz w:val="24"/>
          <w:szCs w:val="24"/>
        </w:rPr>
        <w:t>; and</w:t>
      </w:r>
    </w:p>
    <w:p w:rsidR="00D842E0" w:rsidRPr="00C71875" w:rsidRDefault="00FD7B4F" w:rsidP="002A07E5">
      <w:pPr>
        <w:numPr>
          <w:ilvl w:val="0"/>
          <w:numId w:val="23"/>
        </w:numPr>
        <w:spacing w:after="120"/>
      </w:pPr>
      <w:r>
        <w:t>E</w:t>
      </w:r>
      <w:r w:rsidR="00D842E0" w:rsidRPr="00C71875">
        <w:t>asier/better control and management of UI information request workload;</w:t>
      </w:r>
    </w:p>
    <w:p w:rsidR="007439FA" w:rsidRDefault="007439FA" w:rsidP="007439FA">
      <w:pPr>
        <w:ind w:left="360"/>
      </w:pPr>
    </w:p>
    <w:p w:rsidR="00511815" w:rsidRDefault="00D842E0" w:rsidP="00B722A0">
      <w:pPr>
        <w:pStyle w:val="FootnoteText"/>
        <w:ind w:left="360"/>
      </w:pPr>
      <w:r>
        <w:rPr>
          <w:sz w:val="24"/>
          <w:szCs w:val="24"/>
        </w:rPr>
        <w:t>Thus, t</w:t>
      </w:r>
      <w:r w:rsidR="00B722A0">
        <w:rPr>
          <w:sz w:val="24"/>
          <w:szCs w:val="24"/>
        </w:rPr>
        <w:t xml:space="preserve">he use of the SIDES by SWAs </w:t>
      </w:r>
      <w:r w:rsidR="00580507">
        <w:rPr>
          <w:sz w:val="24"/>
          <w:szCs w:val="24"/>
        </w:rPr>
        <w:t xml:space="preserve">promotes efficient collection of information and </w:t>
      </w:r>
      <w:r w:rsidR="00B722A0">
        <w:rPr>
          <w:sz w:val="24"/>
          <w:szCs w:val="24"/>
        </w:rPr>
        <w:t>minimizes the burden on employers</w:t>
      </w:r>
      <w:r w:rsidR="008F59D5">
        <w:rPr>
          <w:sz w:val="24"/>
          <w:szCs w:val="24"/>
        </w:rPr>
        <w:t>,</w:t>
      </w:r>
      <w:r w:rsidR="00B722A0">
        <w:rPr>
          <w:sz w:val="24"/>
          <w:szCs w:val="24"/>
        </w:rPr>
        <w:t xml:space="preserve"> including small businesses. </w:t>
      </w:r>
      <w:r w:rsidR="002A07E5">
        <w:rPr>
          <w:sz w:val="24"/>
          <w:szCs w:val="24"/>
        </w:rPr>
        <w:t>However, t</w:t>
      </w:r>
      <w:r w:rsidR="00AA4FE7">
        <w:rPr>
          <w:sz w:val="24"/>
          <w:szCs w:val="24"/>
        </w:rPr>
        <w:t xml:space="preserve">he participation by employers in SIDES is voluntary. </w:t>
      </w:r>
    </w:p>
    <w:p w:rsidR="003A1480" w:rsidRDefault="003A1480" w:rsidP="003F31C2">
      <w:pPr>
        <w:ind w:left="360"/>
      </w:pPr>
    </w:p>
    <w:p w:rsidR="003A1480" w:rsidRDefault="003A1480" w:rsidP="003F31C2">
      <w:pPr>
        <w:numPr>
          <w:ilvl w:val="0"/>
          <w:numId w:val="3"/>
        </w:numPr>
        <w:tabs>
          <w:tab w:val="clear" w:pos="720"/>
          <w:tab w:val="num" w:pos="360"/>
        </w:tabs>
        <w:ind w:left="360"/>
        <w:rPr>
          <w:i/>
        </w:rPr>
      </w:pPr>
      <w:r>
        <w:rPr>
          <w:i/>
        </w:rPr>
        <w:t>Describe the consequence to Federal program or policy activities if the collection is not conducted or is conducted less frequently, as well as any technical or legal obstacles to reducing burden.</w:t>
      </w:r>
    </w:p>
    <w:p w:rsidR="00CE6DCB" w:rsidRDefault="00CE6DCB" w:rsidP="003F31C2"/>
    <w:p w:rsidR="006F2198" w:rsidRDefault="006F2198" w:rsidP="006F2198">
      <w:pPr>
        <w:ind w:left="360"/>
      </w:pPr>
      <w:r>
        <w:t>The principle consequence</w:t>
      </w:r>
      <w:r w:rsidR="008F59D5">
        <w:t xml:space="preserve"> </w:t>
      </w:r>
      <w:r>
        <w:t>if th</w:t>
      </w:r>
      <w:r w:rsidR="00990A7C">
        <w:t>ese data exchange standards are not established</w:t>
      </w:r>
      <w:r>
        <w:t xml:space="preserve"> </w:t>
      </w:r>
      <w:r w:rsidR="008F59D5">
        <w:t>is</w:t>
      </w:r>
      <w:r>
        <w:t xml:space="preserve"> the Department’s clear failure to comply with provisions spelled out in the Act.  As described above, the Act </w:t>
      </w:r>
      <w:r w:rsidRPr="00615A29">
        <w:t>requires the Department to issue rule</w:t>
      </w:r>
      <w:r>
        <w:t>s</w:t>
      </w:r>
      <w:r w:rsidRPr="00615A29">
        <w:t xml:space="preserve">, developed in consultation </w:t>
      </w:r>
      <w:r w:rsidRPr="00DA7F3C">
        <w:t xml:space="preserve">with </w:t>
      </w:r>
      <w:r>
        <w:t xml:space="preserve">an interagency workgroup established by the </w:t>
      </w:r>
      <w:r w:rsidRPr="00DA7F3C">
        <w:t>OMB</w:t>
      </w:r>
      <w:r w:rsidRPr="00615A29">
        <w:t>, that establish data exchange standards</w:t>
      </w:r>
      <w:r>
        <w:t xml:space="preserve"> for certain functions related to administration of the UI program</w:t>
      </w:r>
      <w:r w:rsidRPr="00615A29">
        <w:t>.</w:t>
      </w:r>
      <w:r>
        <w:t xml:space="preserve">  Failure to accomplish this would place the Department out of compliance with these requirements.</w:t>
      </w:r>
    </w:p>
    <w:p w:rsidR="006F2198" w:rsidRDefault="006F2198" w:rsidP="004861F8">
      <w:pPr>
        <w:ind w:left="360"/>
      </w:pPr>
    </w:p>
    <w:p w:rsidR="006F2198" w:rsidRDefault="008F59D5" w:rsidP="006F2198">
      <w:pPr>
        <w:ind w:left="360"/>
      </w:pPr>
      <w:r>
        <w:t>The inability of</w:t>
      </w:r>
      <w:r w:rsidR="006F2198">
        <w:t xml:space="preserve"> the Department </w:t>
      </w:r>
      <w:r>
        <w:t>to mandate that states</w:t>
      </w:r>
      <w:r w:rsidR="006F2198">
        <w:t xml:space="preserve"> transition</w:t>
      </w:r>
      <w:r>
        <w:t xml:space="preserve"> </w:t>
      </w:r>
      <w:r w:rsidR="006F2198">
        <w:t xml:space="preserve">from the EBCDIC format to the WSDL format will </w:t>
      </w:r>
      <w:r>
        <w:t xml:space="preserve">prevent moving to </w:t>
      </w:r>
      <w:r w:rsidR="006F2198">
        <w:t xml:space="preserve">a single </w:t>
      </w:r>
      <w:r>
        <w:t>platform</w:t>
      </w:r>
      <w:r w:rsidR="006F2198">
        <w:t xml:space="preserve"> for ICON</w:t>
      </w:r>
      <w:r>
        <w:t xml:space="preserve"> </w:t>
      </w:r>
      <w:r w:rsidR="006F2198">
        <w:t xml:space="preserve">and </w:t>
      </w:r>
      <w:r w:rsidR="00A7482C">
        <w:lastRenderedPageBreak/>
        <w:t>the estimated</w:t>
      </w:r>
      <w:r w:rsidR="006F2198">
        <w:t xml:space="preserve"> cost</w:t>
      </w:r>
      <w:r w:rsidR="00A7482C">
        <w:t xml:space="preserve"> savings</w:t>
      </w:r>
      <w:r w:rsidR="006F2198">
        <w:t>.</w:t>
      </w:r>
      <w:r w:rsidR="00A7482C">
        <w:t xml:space="preserve">  It will require the Department to continue to fund dual platforms for which funds may no longer be sufficient to support.</w:t>
      </w:r>
      <w:r w:rsidR="006F2198">
        <w:t xml:space="preserve">  </w:t>
      </w:r>
    </w:p>
    <w:p w:rsidR="00666ECA" w:rsidRDefault="00666ECA" w:rsidP="004861F8">
      <w:pPr>
        <w:ind w:left="360"/>
      </w:pPr>
    </w:p>
    <w:p w:rsidR="003A1480" w:rsidRDefault="003A1480" w:rsidP="003F31C2">
      <w:pPr>
        <w:numPr>
          <w:ilvl w:val="0"/>
          <w:numId w:val="3"/>
        </w:numPr>
        <w:tabs>
          <w:tab w:val="clear" w:pos="720"/>
          <w:tab w:val="num" w:pos="360"/>
        </w:tabs>
        <w:ind w:left="360"/>
      </w:pPr>
      <w:r>
        <w:rPr>
          <w:i/>
        </w:rPr>
        <w:t>Explain any special circumstances that would cause an information collection to be conducted.</w:t>
      </w:r>
    </w:p>
    <w:p w:rsidR="00CE6DCB" w:rsidRDefault="00CE6DCB" w:rsidP="003F31C2"/>
    <w:p w:rsidR="00552DFE" w:rsidRDefault="00552DFE" w:rsidP="00CE5C70">
      <w:pPr>
        <w:ind w:left="360"/>
      </w:pPr>
      <w:r>
        <w:t>There are no special circumstances</w:t>
      </w:r>
      <w:r w:rsidR="00F445D8">
        <w:t>.</w:t>
      </w:r>
    </w:p>
    <w:p w:rsidR="003A1480" w:rsidRDefault="003A1480" w:rsidP="003F31C2">
      <w:pPr>
        <w:ind w:left="360"/>
      </w:pPr>
    </w:p>
    <w:p w:rsidR="003A1480" w:rsidRPr="005A0A05" w:rsidRDefault="00736910" w:rsidP="003F31C2">
      <w:pPr>
        <w:numPr>
          <w:ilvl w:val="0"/>
          <w:numId w:val="3"/>
        </w:numPr>
        <w:tabs>
          <w:tab w:val="clear" w:pos="720"/>
          <w:tab w:val="num" w:pos="360"/>
        </w:tabs>
        <w:ind w:left="360"/>
        <w:rPr>
          <w:i/>
        </w:rPr>
      </w:pPr>
      <w:r>
        <w:rPr>
          <w:i/>
        </w:rPr>
        <w:t xml:space="preserve"> </w:t>
      </w:r>
      <w:r w:rsidR="003A1480" w:rsidRPr="005A0A05">
        <w:rPr>
          <w:i/>
        </w:rPr>
        <w:t>If applicable, provide a copy and identify the data an</w:t>
      </w:r>
      <w:r w:rsidRPr="005A0A05">
        <w:rPr>
          <w:i/>
        </w:rPr>
        <w:t xml:space="preserve">d page number of publication in </w:t>
      </w:r>
      <w:r w:rsidR="003A1480" w:rsidRPr="005A0A05">
        <w:rPr>
          <w:i/>
        </w:rPr>
        <w:t xml:space="preserve">the Federal Register of the agency’s notice, required by 5 CFR 1320.8(d), soliciting comments on the information </w:t>
      </w:r>
      <w:r w:rsidRPr="005A0A05">
        <w:rPr>
          <w:i/>
        </w:rPr>
        <w:t xml:space="preserve">collection prior to submission to OMB. </w:t>
      </w:r>
    </w:p>
    <w:p w:rsidR="003C1304" w:rsidRPr="005A0A05" w:rsidRDefault="003C1304" w:rsidP="003F31C2"/>
    <w:p w:rsidR="002D4387" w:rsidRPr="005A0A05" w:rsidRDefault="00004225" w:rsidP="00303415">
      <w:pPr>
        <w:ind w:left="360"/>
      </w:pPr>
      <w:r>
        <w:t xml:space="preserve">On </w:t>
      </w:r>
      <w:r w:rsidR="002D4387">
        <w:t xml:space="preserve">February 25, 2013, </w:t>
      </w:r>
      <w:r w:rsidR="00DA55B2">
        <w:t>ETA published a N</w:t>
      </w:r>
      <w:r w:rsidR="00FB22CA">
        <w:t xml:space="preserve">otice of </w:t>
      </w:r>
      <w:r w:rsidR="00DA55B2">
        <w:t>P</w:t>
      </w:r>
      <w:r w:rsidR="00FB22CA">
        <w:t xml:space="preserve">roposed </w:t>
      </w:r>
      <w:r w:rsidR="00DA55B2">
        <w:t>R</w:t>
      </w:r>
      <w:r w:rsidR="00FB22CA">
        <w:t xml:space="preserve">ule </w:t>
      </w:r>
      <w:r w:rsidR="00DA55B2">
        <w:t>M</w:t>
      </w:r>
      <w:r w:rsidR="00FB22CA">
        <w:t>aking</w:t>
      </w:r>
      <w:r w:rsidR="00DA55B2">
        <w:t xml:space="preserve"> in the </w:t>
      </w:r>
      <w:r w:rsidR="00DA55B2" w:rsidRPr="00DA55B2">
        <w:rPr>
          <w:i/>
        </w:rPr>
        <w:t>Federal Register</w:t>
      </w:r>
      <w:r w:rsidR="00DA55B2">
        <w:t xml:space="preserve"> </w:t>
      </w:r>
      <w:r w:rsidR="00FB22CA">
        <w:t>concer</w:t>
      </w:r>
      <w:r w:rsidR="00DA55B2">
        <w:t xml:space="preserve">ning the </w:t>
      </w:r>
      <w:r w:rsidR="00FB22CA">
        <w:t xml:space="preserve">data standardization requirements contained in the Middle Class Tax Relief and Job Creation </w:t>
      </w:r>
      <w:r w:rsidR="00FB22CA" w:rsidRPr="00DA7F3C">
        <w:t>Act</w:t>
      </w:r>
      <w:r w:rsidR="00FB22CA">
        <w:t xml:space="preserve"> of 2012 </w:t>
      </w:r>
      <w:r w:rsidR="00DA55B2">
        <w:t>(</w:t>
      </w:r>
      <w:r w:rsidR="002D4387">
        <w:t>78 FR 12655</w:t>
      </w:r>
      <w:r w:rsidR="00DA55B2">
        <w:t>)</w:t>
      </w:r>
      <w:r w:rsidR="00FB22CA">
        <w:t>.</w:t>
      </w:r>
      <w:r w:rsidR="00DA55B2">
        <w:t xml:space="preserve">   </w:t>
      </w:r>
      <w:r w:rsidR="00303415">
        <w:t>Other engagement efforts are explained in item 1 of this supporting statement</w:t>
      </w:r>
      <w:r w:rsidR="00DA55B2">
        <w:t>.</w:t>
      </w:r>
    </w:p>
    <w:p w:rsidR="007248FE" w:rsidRPr="005A0A05" w:rsidRDefault="007248FE" w:rsidP="003F31C2"/>
    <w:p w:rsidR="000C2E2A" w:rsidRPr="00736910" w:rsidRDefault="00736910" w:rsidP="003F31C2">
      <w:pPr>
        <w:ind w:left="360" w:hanging="360"/>
        <w:rPr>
          <w:i/>
        </w:rPr>
      </w:pPr>
      <w:r>
        <w:rPr>
          <w:i/>
        </w:rPr>
        <w:t>9.  Explain any decision to provide any payment or gift to respondents, other than re</w:t>
      </w:r>
      <w:r w:rsidR="00315C0D">
        <w:rPr>
          <w:i/>
        </w:rPr>
        <w:t>mun</w:t>
      </w:r>
      <w:r>
        <w:rPr>
          <w:i/>
        </w:rPr>
        <w:t>eration of contractors or grantees.</w:t>
      </w:r>
    </w:p>
    <w:p w:rsidR="00CE6DCB" w:rsidRDefault="00CE6DCB" w:rsidP="003F31C2"/>
    <w:p w:rsidR="00552DFE" w:rsidRDefault="00552DFE" w:rsidP="00C97504">
      <w:pPr>
        <w:ind w:left="360"/>
      </w:pPr>
      <w:r>
        <w:t>There is no payment or gift to respondents.</w:t>
      </w:r>
    </w:p>
    <w:p w:rsidR="00736910" w:rsidRDefault="00736910" w:rsidP="003F31C2">
      <w:pPr>
        <w:ind w:left="360"/>
      </w:pPr>
    </w:p>
    <w:p w:rsidR="00736910" w:rsidRDefault="00736910" w:rsidP="003F31C2">
      <w:pPr>
        <w:numPr>
          <w:ilvl w:val="0"/>
          <w:numId w:val="5"/>
        </w:numPr>
        <w:tabs>
          <w:tab w:val="clear" w:pos="540"/>
          <w:tab w:val="num" w:pos="360"/>
        </w:tabs>
        <w:ind w:left="360"/>
        <w:rPr>
          <w:i/>
        </w:rPr>
      </w:pPr>
      <w:r>
        <w:rPr>
          <w:i/>
        </w:rPr>
        <w:t xml:space="preserve"> Describe any assurance of confidentiality provided to respondents and the basis for the assurance in statue, regulation, or agency policy.</w:t>
      </w:r>
    </w:p>
    <w:p w:rsidR="00CE6DCB" w:rsidRDefault="00CE6DCB" w:rsidP="003F31C2"/>
    <w:p w:rsidR="00552DFE" w:rsidRDefault="001A05D7" w:rsidP="001A05D7">
      <w:pPr>
        <w:ind w:left="360"/>
      </w:pPr>
      <w:r>
        <w:t xml:space="preserve">No </w:t>
      </w:r>
      <w:r w:rsidR="002D4387">
        <w:t xml:space="preserve">assurance of confidentiality is provided for </w:t>
      </w:r>
      <w:r w:rsidR="00303415">
        <w:t xml:space="preserve">in </w:t>
      </w:r>
      <w:r w:rsidR="002D4387">
        <w:t xml:space="preserve">the </w:t>
      </w:r>
      <w:r w:rsidR="00F65A12">
        <w:t>requirements</w:t>
      </w:r>
      <w:r w:rsidR="002D4387">
        <w:t xml:space="preserve"> covered by this ICR</w:t>
      </w:r>
      <w:r w:rsidR="00F445D8">
        <w:t>.</w:t>
      </w:r>
    </w:p>
    <w:p w:rsidR="00736910" w:rsidRDefault="00736910" w:rsidP="003F31C2">
      <w:pPr>
        <w:ind w:left="360"/>
      </w:pPr>
    </w:p>
    <w:p w:rsidR="00736910" w:rsidRDefault="00736910" w:rsidP="003F31C2">
      <w:pPr>
        <w:numPr>
          <w:ilvl w:val="0"/>
          <w:numId w:val="5"/>
        </w:numPr>
        <w:tabs>
          <w:tab w:val="clear" w:pos="540"/>
          <w:tab w:val="num" w:pos="360"/>
        </w:tabs>
        <w:ind w:left="360"/>
        <w:rPr>
          <w:i/>
        </w:rPr>
      </w:pPr>
      <w:r>
        <w:rPr>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E6DCB" w:rsidRDefault="00CE6DCB" w:rsidP="003F31C2"/>
    <w:p w:rsidR="00552DFE" w:rsidRDefault="00552DFE" w:rsidP="00A83CC2">
      <w:pPr>
        <w:ind w:left="360"/>
      </w:pPr>
      <w:r>
        <w:t xml:space="preserve">No </w:t>
      </w:r>
      <w:r w:rsidR="00F445D8">
        <w:t>information is collected so there are no concerns about the sensitivity of data.</w:t>
      </w:r>
    </w:p>
    <w:p w:rsidR="00736910" w:rsidRDefault="00736910" w:rsidP="003F31C2">
      <w:pPr>
        <w:ind w:left="360"/>
      </w:pPr>
    </w:p>
    <w:p w:rsidR="00736910" w:rsidRPr="00736910" w:rsidRDefault="00736910" w:rsidP="003F31C2">
      <w:pPr>
        <w:ind w:left="360" w:hanging="360"/>
      </w:pPr>
      <w:r>
        <w:rPr>
          <w:i/>
        </w:rPr>
        <w:t>12.  Provide estimates of the hour burden of the collection of information.</w:t>
      </w:r>
    </w:p>
    <w:p w:rsidR="00CE6DCB" w:rsidRDefault="00CE6DCB" w:rsidP="003F31C2"/>
    <w:p w:rsidR="00A35F55" w:rsidRDefault="006F1B2B" w:rsidP="00A35F55">
      <w:pPr>
        <w:ind w:left="360"/>
      </w:pPr>
      <w:r>
        <w:t>F</w:t>
      </w:r>
      <w:r w:rsidR="00AE45A3">
        <w:t xml:space="preserve">or states currently using the EBCDIC format for ICON, there may be </w:t>
      </w:r>
      <w:r w:rsidR="00F65A12">
        <w:t>burden</w:t>
      </w:r>
      <w:r w:rsidR="00AE45A3">
        <w:t xml:space="preserve"> incurred to comply with this proposed regulation.  </w:t>
      </w:r>
      <w:r w:rsidR="00ED75AE" w:rsidRPr="0040605F">
        <w:t>S</w:t>
      </w:r>
      <w:r w:rsidR="00ED75AE">
        <w:t>WAs</w:t>
      </w:r>
      <w:r w:rsidR="00ED75AE" w:rsidRPr="0040605F">
        <w:t xml:space="preserve"> differ considerably in terms of hardware platforms and software used to develop their </w:t>
      </w:r>
      <w:r w:rsidR="00ED75AE">
        <w:t>ICON applications, so the costs may vary from State to State</w:t>
      </w:r>
      <w:r w:rsidR="00ED75AE" w:rsidRPr="0040605F">
        <w:t>.</w:t>
      </w:r>
      <w:r w:rsidR="00ED75AE">
        <w:t xml:space="preserve">  The Department estimates that </w:t>
      </w:r>
      <w:r w:rsidR="00935027">
        <w:t>the burden of making the changes required to bring these systems into compliance with requirements of the Act will take 1,200 hours</w:t>
      </w:r>
      <w:r w:rsidR="00A35F55">
        <w:t xml:space="preserve"> per SWA</w:t>
      </w:r>
      <w:r w:rsidR="00935027">
        <w:t xml:space="preserve">.  </w:t>
      </w:r>
      <w:r w:rsidR="00A35F55">
        <w:t xml:space="preserve">We are assuming that states will use a phased approach for this implementation over a period of 5 years, so </w:t>
      </w:r>
      <w:r w:rsidR="000F495C">
        <w:t xml:space="preserve">the </w:t>
      </w:r>
      <w:r w:rsidR="000F495C">
        <w:lastRenderedPageBreak/>
        <w:t>burden estimate per year has been</w:t>
      </w:r>
      <w:r w:rsidR="00A35F55">
        <w:t xml:space="preserve"> pro-rated by dividing the totals by 5. </w:t>
      </w:r>
      <w:r w:rsidR="00142142">
        <w:t xml:space="preserve">  Further, </w:t>
      </w:r>
      <w:r w:rsidR="000F495C">
        <w:t>it has been assumed</w:t>
      </w:r>
      <w:r w:rsidR="00142142">
        <w:t xml:space="preserve"> </w:t>
      </w:r>
      <w:r w:rsidR="000F495C">
        <w:t xml:space="preserve">an equal split (50%- 50%) of states </w:t>
      </w:r>
      <w:r w:rsidR="001E76E1">
        <w:t>will use</w:t>
      </w:r>
      <w:r w:rsidR="000F495C">
        <w:t xml:space="preserve"> </w:t>
      </w:r>
      <w:r w:rsidR="00142142">
        <w:t xml:space="preserve">in-house state </w:t>
      </w:r>
      <w:r w:rsidR="000F495C">
        <w:t xml:space="preserve">and </w:t>
      </w:r>
      <w:r w:rsidR="00142142">
        <w:t>contract programming staff.</w:t>
      </w:r>
      <w:r w:rsidR="000A2096">
        <w:t xml:space="preserve">  Thus, the estimated burden associated with </w:t>
      </w:r>
      <w:r w:rsidR="001B743C">
        <w:t xml:space="preserve">bringing states into compliance with this new Federal requirement </w:t>
      </w:r>
      <w:r w:rsidR="000A2096">
        <w:t>is split between labor performed by state employees and startup costs (discussed in item 13) for labor performed by contract programming staff and materials, with the majority associated with labor to make programming changes to s</w:t>
      </w:r>
      <w:r w:rsidR="00223B74">
        <w:t xml:space="preserve">tate systems.  In monetizing the </w:t>
      </w:r>
      <w:r w:rsidR="000A2096">
        <w:t>estimates, we are using the ETA’s FY 2013 program planning rate (estimated hourly wage which includes fringe) for state employees of $42.09.</w:t>
      </w:r>
    </w:p>
    <w:p w:rsidR="00A35F55" w:rsidRDefault="00A35F55" w:rsidP="00ED75AE">
      <w:pPr>
        <w:ind w:left="360"/>
      </w:pPr>
    </w:p>
    <w:p w:rsidR="009B7664" w:rsidRDefault="009B7664" w:rsidP="009B7664">
      <w:pPr>
        <w:ind w:left="720"/>
      </w:pPr>
      <w:r>
        <w:t>1,200 hours over 5 years x 50% (state share of hours) = 600 hours over 5 years.</w:t>
      </w:r>
    </w:p>
    <w:p w:rsidR="009B7664" w:rsidRDefault="009B7664" w:rsidP="009B7664">
      <w:pPr>
        <w:ind w:left="720"/>
      </w:pPr>
    </w:p>
    <w:p w:rsidR="009B7664" w:rsidRDefault="009B7664" w:rsidP="009B7664">
      <w:pPr>
        <w:ind w:left="720"/>
      </w:pPr>
      <w:proofErr w:type="gramStart"/>
      <w:r>
        <w:t>600 hours over 5 years = 120 hours a year.</w:t>
      </w:r>
      <w:proofErr w:type="gramEnd"/>
    </w:p>
    <w:p w:rsidR="009B7664" w:rsidRDefault="009B7664" w:rsidP="009B7664">
      <w:pPr>
        <w:ind w:left="720"/>
      </w:pPr>
    </w:p>
    <w:p w:rsidR="00223B74" w:rsidRDefault="009B7664" w:rsidP="009B7664">
      <w:pPr>
        <w:ind w:left="720"/>
      </w:pPr>
      <w:r>
        <w:t>120 annual hours x 53 states = 6,360 total annual burden hours.</w:t>
      </w:r>
    </w:p>
    <w:p w:rsidR="00223B74" w:rsidRDefault="00223B74" w:rsidP="009B7664">
      <w:pPr>
        <w:ind w:left="720"/>
      </w:pPr>
    </w:p>
    <w:p w:rsidR="007A6C8B" w:rsidRDefault="00223B74" w:rsidP="007A6C8B">
      <w:pPr>
        <w:ind w:left="720"/>
      </w:pPr>
      <w:r>
        <w:t>6,360 annual burden hours x $42.09 = $267,692.</w:t>
      </w:r>
      <w:r w:rsidR="00195BAB">
        <w:t>40</w:t>
      </w:r>
    </w:p>
    <w:p w:rsidR="00990A7C" w:rsidRDefault="00990A7C" w:rsidP="00990A7C">
      <w:pPr>
        <w:ind w:left="360"/>
      </w:pPr>
      <w:r>
        <w:t xml:space="preserve">The regulation concerns the 53 SWAs that comprise the UI system, and requires changes to their software programming.  There are no additional steps that the SWAs need to take and there are no other parties who are impacted by this change.  </w:t>
      </w:r>
    </w:p>
    <w:p w:rsidR="00990A7C" w:rsidRDefault="00990A7C" w:rsidP="00990A7C">
      <w:pPr>
        <w:ind w:left="360"/>
      </w:pPr>
    </w:p>
    <w:p w:rsidR="000156FF" w:rsidRDefault="00990A7C" w:rsidP="000156FF">
      <w:pPr>
        <w:ind w:left="360"/>
      </w:pPr>
      <w:r>
        <w:t xml:space="preserve">The SIDES </w:t>
      </w:r>
      <w:r w:rsidR="00DC6C12">
        <w:t>information</w:t>
      </w:r>
      <w:r>
        <w:t xml:space="preserve"> modules were developed by states for their use, </w:t>
      </w:r>
      <w:r w:rsidR="00DC6C12">
        <w:t>through a collaborative effort</w:t>
      </w:r>
      <w:r>
        <w:t xml:space="preserve"> between states and NASWA.  The </w:t>
      </w:r>
      <w:r w:rsidR="00DC6C12">
        <w:t>Department</w:t>
      </w:r>
      <w:r>
        <w:t xml:space="preserve"> provided </w:t>
      </w:r>
      <w:r w:rsidR="00DC6C12">
        <w:t>funding</w:t>
      </w:r>
      <w:r>
        <w:t xml:space="preserve"> to help facilitate this effort</w:t>
      </w:r>
      <w:r w:rsidR="00223B74">
        <w:t>; however, ETA believes the underlying data exchange would have occurred, regardless of DOL funding, as a customary and routine business practice</w:t>
      </w:r>
      <w:r>
        <w:t xml:space="preserve">.  </w:t>
      </w:r>
      <w:r w:rsidR="000156FF">
        <w:t>Since the SIDES interfaces have been designed using XML, the states and employers participating in SIDES automatically comply with the data exchange standard proposed.  So, there is no additional cost burden due to the proposed regulation.</w:t>
      </w:r>
    </w:p>
    <w:p w:rsidR="008E5CD9" w:rsidRDefault="008E5CD9" w:rsidP="000156FF">
      <w:pPr>
        <w:ind w:left="360"/>
      </w:pPr>
    </w:p>
    <w:p w:rsidR="008E5CD9" w:rsidRDefault="008E5CD9" w:rsidP="008E5CD9">
      <w:pPr>
        <w:ind w:left="360"/>
      </w:pPr>
      <w:r>
        <w:t>Also</w:t>
      </w:r>
      <w:r w:rsidR="009117B1">
        <w:t>,</w:t>
      </w:r>
      <w:r>
        <w:t xml:space="preserve"> note that there is no recordkeeping burden as a result of this proposed regulation.  The regulation concerns the specific format that will be used </w:t>
      </w:r>
      <w:r w:rsidR="00990A7C">
        <w:t>for</w:t>
      </w:r>
      <w:r>
        <w:t xml:space="preserve"> electronic transfers of information through a hub, so there is no retention concern whatsoever.  </w:t>
      </w:r>
    </w:p>
    <w:p w:rsidR="007226B9" w:rsidRDefault="007226B9" w:rsidP="00D52E86"/>
    <w:p w:rsidR="00736910" w:rsidRDefault="00736910" w:rsidP="003F31C2">
      <w:pPr>
        <w:ind w:left="360" w:hanging="360"/>
        <w:rPr>
          <w:i/>
        </w:rPr>
      </w:pPr>
      <w:r>
        <w:rPr>
          <w:i/>
        </w:rPr>
        <w:t>13.  Provide an estimate of the total annual cost burden to respondents or record keepers resulting from the collection of information.  (Do not include the cost of any hour burden shown in Items 12 and 14).</w:t>
      </w:r>
    </w:p>
    <w:p w:rsidR="00CE6DCB" w:rsidRDefault="00CE6DCB" w:rsidP="003F31C2"/>
    <w:p w:rsidR="00552DFE" w:rsidRDefault="00B8700D" w:rsidP="00CD34CA">
      <w:pPr>
        <w:ind w:left="360"/>
      </w:pPr>
      <w:r>
        <w:t xml:space="preserve">As explained in item 12, we estimate half of the labor will be performed by contractor staff; therefore </w:t>
      </w:r>
      <w:r w:rsidR="001B743C">
        <w:t xml:space="preserve">we </w:t>
      </w:r>
      <w:r>
        <w:t xml:space="preserve">anticipate each state will average 120 contract programming staff hours each year.  </w:t>
      </w:r>
      <w:r w:rsidR="000A2096">
        <w:t>For contract programming staff, an hourly wage very close to $150.00 per hour is used.  In addition, we are assuming that there may be needs for m</w:t>
      </w:r>
      <w:r w:rsidR="000A2096" w:rsidRPr="002262E8">
        <w:t xml:space="preserve">aterials, </w:t>
      </w:r>
      <w:r w:rsidR="000A2096">
        <w:t>h</w:t>
      </w:r>
      <w:r w:rsidR="000A2096" w:rsidRPr="002262E8">
        <w:t xml:space="preserve">ardware and </w:t>
      </w:r>
      <w:r w:rsidR="000A2096">
        <w:t>s</w:t>
      </w:r>
      <w:r w:rsidR="000A2096" w:rsidRPr="002262E8">
        <w:t xml:space="preserve">oftware </w:t>
      </w:r>
      <w:r w:rsidR="000A2096">
        <w:t>that run to approximately $10,000 per SWA</w:t>
      </w:r>
      <w:r w:rsidR="00195BAB">
        <w:t xml:space="preserve"> ($2,000 per year)</w:t>
      </w:r>
      <w:r w:rsidR="000A2096">
        <w:t>.</w:t>
      </w:r>
    </w:p>
    <w:p w:rsidR="00B8700D" w:rsidRDefault="00B8700D" w:rsidP="00CD34CA">
      <w:pPr>
        <w:ind w:left="360"/>
      </w:pPr>
    </w:p>
    <w:p w:rsidR="00B8700D" w:rsidRDefault="00B8700D" w:rsidP="00CD34CA">
      <w:pPr>
        <w:ind w:left="360"/>
      </w:pPr>
      <w:r>
        <w:lastRenderedPageBreak/>
        <w:t xml:space="preserve">120 </w:t>
      </w:r>
      <w:r w:rsidR="00195BAB">
        <w:t xml:space="preserve">annual contract programmer </w:t>
      </w:r>
      <w:r>
        <w:t>hours x $1</w:t>
      </w:r>
      <w:r w:rsidR="00195BAB">
        <w:t>49.58</w:t>
      </w:r>
      <w:r>
        <w:t xml:space="preserve"> = $</w:t>
      </w:r>
      <w:r w:rsidR="00195BAB">
        <w:t xml:space="preserve">17,949.60 </w:t>
      </w:r>
      <w:r w:rsidR="001B743C">
        <w:t xml:space="preserve">estimated </w:t>
      </w:r>
      <w:r w:rsidR="00195BAB">
        <w:t>contract staff time</w:t>
      </w:r>
      <w:r w:rsidR="001B743C">
        <w:t xml:space="preserve"> per respondent per year</w:t>
      </w:r>
      <w:r>
        <w:t>.</w:t>
      </w:r>
    </w:p>
    <w:p w:rsidR="00195BAB" w:rsidRDefault="00195BAB" w:rsidP="00CD34CA">
      <w:pPr>
        <w:ind w:left="360"/>
      </w:pPr>
    </w:p>
    <w:p w:rsidR="00195BAB" w:rsidRDefault="00195BAB" w:rsidP="00CD34CA">
      <w:pPr>
        <w:ind w:left="360"/>
      </w:pPr>
      <w:r>
        <w:t>$17,949.60 contract staff time + 2,000 materials = $19,949.60</w:t>
      </w:r>
      <w:r w:rsidR="001B743C">
        <w:t xml:space="preserve"> estimated costs in contract programming and support services per respondent per year</w:t>
      </w:r>
      <w:r>
        <w:t>.</w:t>
      </w:r>
    </w:p>
    <w:p w:rsidR="00195BAB" w:rsidRDefault="00195BAB" w:rsidP="00CD34CA">
      <w:pPr>
        <w:ind w:left="360"/>
      </w:pPr>
    </w:p>
    <w:p w:rsidR="00195BAB" w:rsidRDefault="00195BAB" w:rsidP="00CD34CA">
      <w:pPr>
        <w:ind w:left="360"/>
      </w:pPr>
      <w:r>
        <w:t xml:space="preserve">19,949.60 x 53 state respondents = </w:t>
      </w:r>
      <w:r w:rsidRPr="00195BAB">
        <w:t>1</w:t>
      </w:r>
      <w:r>
        <w:t>,</w:t>
      </w:r>
      <w:r w:rsidRPr="00195BAB">
        <w:t>057</w:t>
      </w:r>
      <w:r>
        <w:t>,</w:t>
      </w:r>
      <w:r w:rsidRPr="00195BAB">
        <w:t>328.8</w:t>
      </w:r>
      <w:r>
        <w:t>0</w:t>
      </w:r>
      <w:r w:rsidR="001B743C">
        <w:t xml:space="preserve"> total estimated costs</w:t>
      </w:r>
      <w:r w:rsidR="006C5D1F">
        <w:t>.</w:t>
      </w:r>
    </w:p>
    <w:p w:rsidR="00736910" w:rsidRDefault="00736910" w:rsidP="003F31C2">
      <w:pPr>
        <w:ind w:left="360" w:hanging="360"/>
      </w:pPr>
    </w:p>
    <w:p w:rsidR="00736910" w:rsidRPr="00736910" w:rsidRDefault="00736910" w:rsidP="003F31C2">
      <w:pPr>
        <w:ind w:left="360" w:hanging="360"/>
        <w:rPr>
          <w:i/>
        </w:rPr>
      </w:pPr>
      <w:r>
        <w:rPr>
          <w:i/>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CE6DCB" w:rsidRDefault="00CE6DCB" w:rsidP="003F31C2"/>
    <w:p w:rsidR="00552DFE" w:rsidRDefault="00552DFE" w:rsidP="007D0C1A">
      <w:pPr>
        <w:ind w:left="360"/>
      </w:pPr>
      <w:r>
        <w:t>No direct Federal costs are associated with this effort.</w:t>
      </w:r>
    </w:p>
    <w:p w:rsidR="00CE6DCB" w:rsidRDefault="00CE6DCB" w:rsidP="003F31C2">
      <w:pPr>
        <w:ind w:left="360" w:hanging="360"/>
        <w:rPr>
          <w:i/>
        </w:rPr>
      </w:pPr>
    </w:p>
    <w:p w:rsidR="00736910" w:rsidRDefault="00736910" w:rsidP="003F31C2">
      <w:pPr>
        <w:ind w:left="360" w:hanging="360"/>
      </w:pPr>
      <w:r>
        <w:rPr>
          <w:i/>
        </w:rPr>
        <w:t>15.  Explain the reasons for any program changes or adjustments reporting in Items 13 or 14 of the OMB Form 83-I</w:t>
      </w:r>
      <w:r>
        <w:t>.</w:t>
      </w:r>
    </w:p>
    <w:p w:rsidR="00CE6DCB" w:rsidRDefault="00CE6DCB" w:rsidP="003F31C2"/>
    <w:p w:rsidR="00552DFE" w:rsidRDefault="00171DB1" w:rsidP="007D0C1A">
      <w:pPr>
        <w:ind w:left="360"/>
      </w:pPr>
      <w:r>
        <w:t>This is a new information collection request.</w:t>
      </w:r>
    </w:p>
    <w:p w:rsidR="00736910" w:rsidRDefault="00736910" w:rsidP="003F31C2"/>
    <w:p w:rsidR="00736910" w:rsidRDefault="00736910" w:rsidP="003F31C2">
      <w:pPr>
        <w:numPr>
          <w:ilvl w:val="0"/>
          <w:numId w:val="6"/>
        </w:numPr>
        <w:tabs>
          <w:tab w:val="clear" w:pos="870"/>
          <w:tab w:val="num" w:pos="360"/>
        </w:tabs>
        <w:ind w:left="360" w:hanging="360"/>
        <w:rPr>
          <w:i/>
        </w:rPr>
      </w:pPr>
      <w:r>
        <w:rPr>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E6DCB" w:rsidRDefault="00CE6DCB" w:rsidP="003F31C2"/>
    <w:p w:rsidR="00552DFE" w:rsidRDefault="00552DFE" w:rsidP="007D0C1A">
      <w:pPr>
        <w:ind w:left="360"/>
      </w:pPr>
      <w:r>
        <w:t>There are no plans to publish data.</w:t>
      </w:r>
    </w:p>
    <w:p w:rsidR="00736910" w:rsidRDefault="00736910" w:rsidP="003F31C2"/>
    <w:p w:rsidR="00736910" w:rsidRDefault="00736910" w:rsidP="003F31C2">
      <w:pPr>
        <w:ind w:left="360" w:hanging="360"/>
        <w:rPr>
          <w:i/>
        </w:rPr>
      </w:pPr>
      <w:r>
        <w:rPr>
          <w:i/>
        </w:rPr>
        <w:t xml:space="preserve">17.  </w:t>
      </w:r>
      <w:proofErr w:type="gramStart"/>
      <w:r>
        <w:rPr>
          <w:i/>
        </w:rPr>
        <w:t>If</w:t>
      </w:r>
      <w:proofErr w:type="gramEnd"/>
      <w:r>
        <w:rPr>
          <w:i/>
        </w:rPr>
        <w:t xml:space="preserve"> seeking approval to not display the expiration date for OMB approval of the information collection, explain the reasons that display would be inappropriate.</w:t>
      </w:r>
    </w:p>
    <w:p w:rsidR="00CE6DCB" w:rsidRDefault="00CE6DCB" w:rsidP="003F31C2"/>
    <w:p w:rsidR="000542FB" w:rsidRDefault="00AE1E01" w:rsidP="000542FB">
      <w:pPr>
        <w:ind w:left="360"/>
      </w:pPr>
      <w:r w:rsidRPr="00AE1E01">
        <w:t xml:space="preserve"> </w:t>
      </w:r>
      <w:r>
        <w:t>ETA will publish a notice in the Federal Register announcing the control number when OMB approves this information collection</w:t>
      </w:r>
      <w:bookmarkStart w:id="0" w:name="_GoBack"/>
      <w:bookmarkEnd w:id="0"/>
      <w:r w:rsidR="00F9700D">
        <w:t>.</w:t>
      </w:r>
      <w:r w:rsidR="009E78AC">
        <w:t xml:space="preserve">  To the extent that it is possible, the Department will place the OMB collection number and expiration date on official guidance to states.</w:t>
      </w:r>
    </w:p>
    <w:p w:rsidR="00736910" w:rsidRDefault="000542FB" w:rsidP="000542FB">
      <w:pPr>
        <w:ind w:left="360"/>
      </w:pPr>
      <w:r>
        <w:t xml:space="preserve"> </w:t>
      </w:r>
    </w:p>
    <w:p w:rsidR="00736910" w:rsidRDefault="00736910" w:rsidP="003F31C2">
      <w:pPr>
        <w:rPr>
          <w:i/>
        </w:rPr>
      </w:pPr>
      <w:proofErr w:type="gramStart"/>
      <w:r>
        <w:rPr>
          <w:i/>
        </w:rPr>
        <w:t>18.  Explain each exception to the certification statement identified in Item 19, “Certification of Paperwork Reduction Act Submission,” of OMB 83-I.</w:t>
      </w:r>
      <w:proofErr w:type="gramEnd"/>
    </w:p>
    <w:p w:rsidR="00CE6DCB" w:rsidRDefault="00CE6DCB" w:rsidP="003F31C2"/>
    <w:p w:rsidR="00552DFE" w:rsidRDefault="00CD3A57" w:rsidP="00CD3A57">
      <w:r>
        <w:t xml:space="preserve">      </w:t>
      </w:r>
      <w:r w:rsidR="00552DFE">
        <w:t>There are no exceptions.</w:t>
      </w:r>
    </w:p>
    <w:p w:rsidR="00736910" w:rsidRDefault="00736910" w:rsidP="003F31C2"/>
    <w:p w:rsidR="00736910" w:rsidRPr="00736910" w:rsidRDefault="00736910" w:rsidP="003F31C2">
      <w:pPr>
        <w:rPr>
          <w:i/>
        </w:rPr>
      </w:pPr>
      <w:r>
        <w:rPr>
          <w:i/>
        </w:rPr>
        <w:t>B.  Collection of Information Employing Statistical Methods (if Item 17 of the OMB 83-I is checked Yes, answer the questions that follow).</w:t>
      </w:r>
    </w:p>
    <w:p w:rsidR="00CE6DCB" w:rsidRDefault="00CE6DCB" w:rsidP="003F31C2"/>
    <w:p w:rsidR="00552DFE" w:rsidRPr="001623A3" w:rsidRDefault="00CD3A57" w:rsidP="003F31C2">
      <w:r>
        <w:t xml:space="preserve">     </w:t>
      </w:r>
      <w:r w:rsidR="00F9700D">
        <w:t xml:space="preserve">This </w:t>
      </w:r>
      <w:r w:rsidR="001B743C">
        <w:t>c</w:t>
      </w:r>
      <w:r w:rsidR="00552DFE">
        <w:t xml:space="preserve">ollection of </w:t>
      </w:r>
      <w:r w:rsidR="001B743C">
        <w:t>i</w:t>
      </w:r>
      <w:r w:rsidR="00552DFE">
        <w:t>nformation does not employ statistical me</w:t>
      </w:r>
      <w:r w:rsidR="001B743C">
        <w:t>thods</w:t>
      </w:r>
      <w:r w:rsidR="00552DFE">
        <w:t>.</w:t>
      </w:r>
    </w:p>
    <w:sectPr w:rsidR="00552DFE" w:rsidRPr="001623A3" w:rsidSect="00426F79">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D5B" w:rsidRDefault="00CA6D5B" w:rsidP="00D22EFF">
      <w:r>
        <w:separator/>
      </w:r>
    </w:p>
  </w:endnote>
  <w:endnote w:type="continuationSeparator" w:id="0">
    <w:p w:rsidR="00CA6D5B" w:rsidRDefault="00CA6D5B" w:rsidP="00D22E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058680"/>
      <w:docPartObj>
        <w:docPartGallery w:val="Page Numbers (Bottom of Page)"/>
        <w:docPartUnique/>
      </w:docPartObj>
    </w:sdtPr>
    <w:sdtEndPr>
      <w:rPr>
        <w:noProof/>
      </w:rPr>
    </w:sdtEndPr>
    <w:sdtContent>
      <w:p w:rsidR="0019323E" w:rsidRDefault="007A6C8B">
        <w:pPr>
          <w:pStyle w:val="Footer"/>
          <w:jc w:val="center"/>
        </w:pPr>
        <w:r>
          <w:fldChar w:fldCharType="begin"/>
        </w:r>
        <w:r w:rsidR="0019323E">
          <w:instrText xml:space="preserve"> PAGE   \* MERGEFORMAT </w:instrText>
        </w:r>
        <w:r>
          <w:fldChar w:fldCharType="separate"/>
        </w:r>
        <w:r w:rsidR="003A0A6C">
          <w:rPr>
            <w:noProof/>
          </w:rPr>
          <w:t>1</w:t>
        </w:r>
        <w:r>
          <w:rPr>
            <w:noProof/>
          </w:rPr>
          <w:fldChar w:fldCharType="end"/>
        </w:r>
      </w:p>
    </w:sdtContent>
  </w:sdt>
  <w:p w:rsidR="0019323E" w:rsidRDefault="001932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D5B" w:rsidRDefault="00CA6D5B" w:rsidP="00D22EFF">
      <w:r>
        <w:separator/>
      </w:r>
    </w:p>
  </w:footnote>
  <w:footnote w:type="continuationSeparator" w:id="0">
    <w:p w:rsidR="00CA6D5B" w:rsidRDefault="00CA6D5B" w:rsidP="00D22EFF">
      <w:r>
        <w:continuationSeparator/>
      </w:r>
    </w:p>
  </w:footnote>
  <w:footnote w:id="1">
    <w:p w:rsidR="0019323E" w:rsidRPr="00972314" w:rsidRDefault="0019323E">
      <w:pPr>
        <w:pStyle w:val="FootnoteText"/>
        <w:rPr>
          <w:vertAlign w:val="superscript"/>
        </w:rPr>
      </w:pPr>
      <w:r w:rsidRPr="00972314">
        <w:rPr>
          <w:rStyle w:val="FootnoteReference"/>
          <w:vertAlign w:val="superscript"/>
        </w:rPr>
        <w:footnoteRef/>
      </w:r>
      <w:r w:rsidRPr="00972314">
        <w:rPr>
          <w:vertAlign w:val="superscript"/>
        </w:rPr>
        <w:t xml:space="preserve"> </w:t>
      </w:r>
      <w:r w:rsidRPr="009558E6">
        <w:t xml:space="preserve">XML is a nonproprietary, searchable, computer-readable format, and has the capacity to be upgraded continually, as necessary.  </w:t>
      </w:r>
      <w:r w:rsidRPr="009558E6">
        <w:rPr>
          <w:color w:val="000000"/>
          <w:shd w:val="clear" w:color="auto" w:fill="FFFFFF"/>
        </w:rPr>
        <w:t>Interoperability helps information technology systems more readily interface to carry out shared functions and manage communications.</w:t>
      </w:r>
      <w:r>
        <w:rPr>
          <w:color w:val="000000"/>
          <w:sz w:val="24"/>
          <w:szCs w:val="24"/>
          <w:shd w:val="clear" w:color="auto" w:fill="FFFFFF"/>
        </w:rPr>
        <w:t xml:space="preserve">  </w:t>
      </w:r>
    </w:p>
  </w:footnote>
  <w:footnote w:id="2">
    <w:p w:rsidR="0019323E" w:rsidRPr="008C3F73" w:rsidRDefault="0019323E" w:rsidP="00961925">
      <w:pPr>
        <w:pStyle w:val="FootnoteText"/>
      </w:pPr>
      <w:r w:rsidRPr="00961925">
        <w:rPr>
          <w:rStyle w:val="FootnoteReference"/>
          <w:vertAlign w:val="superscript"/>
        </w:rPr>
        <w:footnoteRef/>
      </w:r>
      <w:r w:rsidRPr="00961925">
        <w:rPr>
          <w:vertAlign w:val="superscript"/>
        </w:rPr>
        <w:t xml:space="preserve"> </w:t>
      </w:r>
      <w:r>
        <w:t>The Department’s Office of Unemployment Insurance uses the term Unemployment Compensation (UC) when referring to UC benefits paid or UC laws and to use the term Unemployment Insurance (UI) to refer to the UI program, administration and operations.</w:t>
      </w:r>
    </w:p>
    <w:p w:rsidR="0019323E" w:rsidRPr="00961925" w:rsidRDefault="0019323E">
      <w:pPr>
        <w:pStyle w:val="FootnoteText"/>
        <w:rPr>
          <w:vertAlign w:val="superscript"/>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14485"/>
    <w:multiLevelType w:val="hybridMultilevel"/>
    <w:tmpl w:val="E278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06850"/>
    <w:multiLevelType w:val="hybridMultilevel"/>
    <w:tmpl w:val="5BBC96F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F13DE1"/>
    <w:multiLevelType w:val="hybridMultilevel"/>
    <w:tmpl w:val="4C889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655A4A"/>
    <w:multiLevelType w:val="hybridMultilevel"/>
    <w:tmpl w:val="85906AD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E55CB6"/>
    <w:multiLevelType w:val="hybridMultilevel"/>
    <w:tmpl w:val="EC0057B4"/>
    <w:lvl w:ilvl="0" w:tplc="91F84E00">
      <w:start w:val="16"/>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195797E"/>
    <w:multiLevelType w:val="hybridMultilevel"/>
    <w:tmpl w:val="3D6CA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1A04AF"/>
    <w:multiLevelType w:val="hybridMultilevel"/>
    <w:tmpl w:val="C978A7C0"/>
    <w:lvl w:ilvl="0" w:tplc="04090001">
      <w:start w:val="1"/>
      <w:numFmt w:val="bullet"/>
      <w:lvlText w:val=""/>
      <w:lvlJc w:val="left"/>
      <w:pPr>
        <w:tabs>
          <w:tab w:val="num" w:pos="810"/>
        </w:tabs>
        <w:ind w:left="810" w:hanging="360"/>
      </w:pPr>
      <w:rPr>
        <w:rFonts w:ascii="Symbol" w:hAnsi="Symbol" w:hint="default"/>
      </w:rPr>
    </w:lvl>
    <w:lvl w:ilvl="1" w:tplc="04090001">
      <w:start w:val="9"/>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223F1066"/>
    <w:multiLevelType w:val="hybridMultilevel"/>
    <w:tmpl w:val="3020A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4B61CE"/>
    <w:multiLevelType w:val="hybridMultilevel"/>
    <w:tmpl w:val="F6E67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6E1F73"/>
    <w:multiLevelType w:val="hybridMultilevel"/>
    <w:tmpl w:val="31562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36244A"/>
    <w:multiLevelType w:val="hybridMultilevel"/>
    <w:tmpl w:val="EB7A4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F850CF"/>
    <w:multiLevelType w:val="hybridMultilevel"/>
    <w:tmpl w:val="7974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256FC3"/>
    <w:multiLevelType w:val="hybridMultilevel"/>
    <w:tmpl w:val="BD2A6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F811BB2"/>
    <w:multiLevelType w:val="hybridMultilevel"/>
    <w:tmpl w:val="78562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60964F5"/>
    <w:multiLevelType w:val="hybridMultilevel"/>
    <w:tmpl w:val="CFAA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3B4EC0"/>
    <w:multiLevelType w:val="hybridMultilevel"/>
    <w:tmpl w:val="CFE87484"/>
    <w:lvl w:ilvl="0" w:tplc="04090001">
      <w:start w:val="1"/>
      <w:numFmt w:val="bullet"/>
      <w:lvlText w:val=""/>
      <w:lvlJc w:val="left"/>
      <w:pPr>
        <w:tabs>
          <w:tab w:val="num" w:pos="810"/>
        </w:tabs>
        <w:ind w:left="810" w:hanging="360"/>
      </w:pPr>
      <w:rPr>
        <w:rFonts w:ascii="Symbol" w:hAnsi="Symbol" w:hint="default"/>
      </w:rPr>
    </w:lvl>
    <w:lvl w:ilvl="1" w:tplc="04090001">
      <w:start w:val="9"/>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655071B4"/>
    <w:multiLevelType w:val="hybridMultilevel"/>
    <w:tmpl w:val="0A12AF4A"/>
    <w:lvl w:ilvl="0" w:tplc="0409000F">
      <w:start w:val="1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6CA2820"/>
    <w:multiLevelType w:val="hybridMultilevel"/>
    <w:tmpl w:val="7CE863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4B4EA0"/>
    <w:multiLevelType w:val="hybridMultilevel"/>
    <w:tmpl w:val="2346A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9172E"/>
    <w:multiLevelType w:val="hybridMultilevel"/>
    <w:tmpl w:val="31C81534"/>
    <w:lvl w:ilvl="0" w:tplc="04090001">
      <w:start w:val="1"/>
      <w:numFmt w:val="bullet"/>
      <w:lvlText w:val=""/>
      <w:lvlJc w:val="left"/>
      <w:pPr>
        <w:ind w:left="1780" w:hanging="360"/>
      </w:pPr>
      <w:rPr>
        <w:rFonts w:ascii="Symbol" w:hAnsi="Symbol" w:hint="default"/>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0">
    <w:nsid w:val="72642673"/>
    <w:multiLevelType w:val="hybridMultilevel"/>
    <w:tmpl w:val="81AADC0C"/>
    <w:lvl w:ilvl="0" w:tplc="04090001">
      <w:start w:val="1"/>
      <w:numFmt w:val="bullet"/>
      <w:lvlText w:val=""/>
      <w:lvlJc w:val="left"/>
      <w:pPr>
        <w:tabs>
          <w:tab w:val="num" w:pos="810"/>
        </w:tabs>
        <w:ind w:left="810" w:hanging="360"/>
      </w:pPr>
      <w:rPr>
        <w:rFonts w:ascii="Symbol" w:hAnsi="Symbol" w:hint="default"/>
      </w:rPr>
    </w:lvl>
    <w:lvl w:ilvl="1" w:tplc="04090001">
      <w:start w:val="9"/>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74D13C45"/>
    <w:multiLevelType w:val="hybridMultilevel"/>
    <w:tmpl w:val="AA60B0D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2">
    <w:nsid w:val="769C0701"/>
    <w:multiLevelType w:val="hybridMultilevel"/>
    <w:tmpl w:val="A3963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8CF70DD"/>
    <w:multiLevelType w:val="hybridMultilevel"/>
    <w:tmpl w:val="40F8EF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1"/>
  </w:num>
  <w:num w:numId="4">
    <w:abstractNumId w:val="17"/>
  </w:num>
  <w:num w:numId="5">
    <w:abstractNumId w:val="16"/>
  </w:num>
  <w:num w:numId="6">
    <w:abstractNumId w:val="4"/>
  </w:num>
  <w:num w:numId="7">
    <w:abstractNumId w:val="11"/>
  </w:num>
  <w:num w:numId="8">
    <w:abstractNumId w:val="5"/>
  </w:num>
  <w:num w:numId="9">
    <w:abstractNumId w:val="23"/>
  </w:num>
  <w:num w:numId="10">
    <w:abstractNumId w:val="10"/>
  </w:num>
  <w:num w:numId="11">
    <w:abstractNumId w:val="18"/>
  </w:num>
  <w:num w:numId="12">
    <w:abstractNumId w:val="9"/>
  </w:num>
  <w:num w:numId="13">
    <w:abstractNumId w:val="13"/>
  </w:num>
  <w:num w:numId="14">
    <w:abstractNumId w:val="21"/>
  </w:num>
  <w:num w:numId="15">
    <w:abstractNumId w:val="19"/>
  </w:num>
  <w:num w:numId="16">
    <w:abstractNumId w:val="14"/>
  </w:num>
  <w:num w:numId="17">
    <w:abstractNumId w:val="0"/>
  </w:num>
  <w:num w:numId="18">
    <w:abstractNumId w:val="12"/>
  </w:num>
  <w:num w:numId="19">
    <w:abstractNumId w:val="8"/>
  </w:num>
  <w:num w:numId="20">
    <w:abstractNumId w:val="22"/>
  </w:num>
  <w:num w:numId="21">
    <w:abstractNumId w:val="2"/>
  </w:num>
  <w:num w:numId="22">
    <w:abstractNumId w:val="15"/>
  </w:num>
  <w:num w:numId="23">
    <w:abstractNumId w:val="6"/>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1623A3"/>
    <w:rsid w:val="00000055"/>
    <w:rsid w:val="00004225"/>
    <w:rsid w:val="000156FF"/>
    <w:rsid w:val="00020A82"/>
    <w:rsid w:val="0003296F"/>
    <w:rsid w:val="000368B9"/>
    <w:rsid w:val="00043D6C"/>
    <w:rsid w:val="00050103"/>
    <w:rsid w:val="00053B13"/>
    <w:rsid w:val="000542FB"/>
    <w:rsid w:val="00071587"/>
    <w:rsid w:val="000731A3"/>
    <w:rsid w:val="00082638"/>
    <w:rsid w:val="000836DA"/>
    <w:rsid w:val="00084637"/>
    <w:rsid w:val="000A2096"/>
    <w:rsid w:val="000A2C2D"/>
    <w:rsid w:val="000B66D3"/>
    <w:rsid w:val="000C2E2A"/>
    <w:rsid w:val="000C5649"/>
    <w:rsid w:val="000E645F"/>
    <w:rsid w:val="000F495C"/>
    <w:rsid w:val="00101356"/>
    <w:rsid w:val="00113195"/>
    <w:rsid w:val="00125B3C"/>
    <w:rsid w:val="00125F97"/>
    <w:rsid w:val="001364E4"/>
    <w:rsid w:val="001420FA"/>
    <w:rsid w:val="00142142"/>
    <w:rsid w:val="00142707"/>
    <w:rsid w:val="0015025B"/>
    <w:rsid w:val="001623A3"/>
    <w:rsid w:val="00166A5E"/>
    <w:rsid w:val="00171DB1"/>
    <w:rsid w:val="0019323E"/>
    <w:rsid w:val="00195BAB"/>
    <w:rsid w:val="001A05D7"/>
    <w:rsid w:val="001B4B54"/>
    <w:rsid w:val="001B743C"/>
    <w:rsid w:val="001C0153"/>
    <w:rsid w:val="001C274E"/>
    <w:rsid w:val="001E0CF5"/>
    <w:rsid w:val="001E56FF"/>
    <w:rsid w:val="001E76E1"/>
    <w:rsid w:val="001F6ED7"/>
    <w:rsid w:val="0020568F"/>
    <w:rsid w:val="00206291"/>
    <w:rsid w:val="00223B74"/>
    <w:rsid w:val="002262E8"/>
    <w:rsid w:val="002351DA"/>
    <w:rsid w:val="00235515"/>
    <w:rsid w:val="00244D14"/>
    <w:rsid w:val="002515B1"/>
    <w:rsid w:val="0029081E"/>
    <w:rsid w:val="002A07E5"/>
    <w:rsid w:val="002A34A0"/>
    <w:rsid w:val="002B73EF"/>
    <w:rsid w:val="002B7C6C"/>
    <w:rsid w:val="002D4387"/>
    <w:rsid w:val="00303415"/>
    <w:rsid w:val="00305F26"/>
    <w:rsid w:val="00315C0D"/>
    <w:rsid w:val="00316E63"/>
    <w:rsid w:val="003325F7"/>
    <w:rsid w:val="00347340"/>
    <w:rsid w:val="003521BF"/>
    <w:rsid w:val="00363F79"/>
    <w:rsid w:val="00385019"/>
    <w:rsid w:val="003A0A6C"/>
    <w:rsid w:val="003A1480"/>
    <w:rsid w:val="003A4B4F"/>
    <w:rsid w:val="003A536F"/>
    <w:rsid w:val="003C1304"/>
    <w:rsid w:val="003C4133"/>
    <w:rsid w:val="003D745B"/>
    <w:rsid w:val="003F31C2"/>
    <w:rsid w:val="00405C69"/>
    <w:rsid w:val="00426F79"/>
    <w:rsid w:val="00456B2D"/>
    <w:rsid w:val="004620ED"/>
    <w:rsid w:val="0046416E"/>
    <w:rsid w:val="004861F8"/>
    <w:rsid w:val="00486A04"/>
    <w:rsid w:val="004C0670"/>
    <w:rsid w:val="004C2E73"/>
    <w:rsid w:val="004D4480"/>
    <w:rsid w:val="004D6184"/>
    <w:rsid w:val="004E2D8C"/>
    <w:rsid w:val="004E40B7"/>
    <w:rsid w:val="004E4678"/>
    <w:rsid w:val="004E5F92"/>
    <w:rsid w:val="004F6B2F"/>
    <w:rsid w:val="0050209D"/>
    <w:rsid w:val="00511815"/>
    <w:rsid w:val="005135AA"/>
    <w:rsid w:val="00522620"/>
    <w:rsid w:val="00523628"/>
    <w:rsid w:val="00552DFE"/>
    <w:rsid w:val="00580507"/>
    <w:rsid w:val="005A0A05"/>
    <w:rsid w:val="005D1624"/>
    <w:rsid w:val="005D7C31"/>
    <w:rsid w:val="005D7CAC"/>
    <w:rsid w:val="005E2ED5"/>
    <w:rsid w:val="005E36AA"/>
    <w:rsid w:val="006158F7"/>
    <w:rsid w:val="006407B2"/>
    <w:rsid w:val="0066383B"/>
    <w:rsid w:val="00666ECA"/>
    <w:rsid w:val="006826FD"/>
    <w:rsid w:val="006A0436"/>
    <w:rsid w:val="006C5D1F"/>
    <w:rsid w:val="006E1A35"/>
    <w:rsid w:val="006F1B2B"/>
    <w:rsid w:val="006F2198"/>
    <w:rsid w:val="006F7FA6"/>
    <w:rsid w:val="007226B9"/>
    <w:rsid w:val="007248FE"/>
    <w:rsid w:val="007308BC"/>
    <w:rsid w:val="00730D6A"/>
    <w:rsid w:val="00735D65"/>
    <w:rsid w:val="00736910"/>
    <w:rsid w:val="007439FA"/>
    <w:rsid w:val="00753850"/>
    <w:rsid w:val="00754C24"/>
    <w:rsid w:val="00762B58"/>
    <w:rsid w:val="0077645C"/>
    <w:rsid w:val="0078365A"/>
    <w:rsid w:val="0078543A"/>
    <w:rsid w:val="00791892"/>
    <w:rsid w:val="007A6C8B"/>
    <w:rsid w:val="007B6FD2"/>
    <w:rsid w:val="007C19CA"/>
    <w:rsid w:val="007D014F"/>
    <w:rsid w:val="007D0C1A"/>
    <w:rsid w:val="007D28AA"/>
    <w:rsid w:val="007D725D"/>
    <w:rsid w:val="007E187B"/>
    <w:rsid w:val="007F6C16"/>
    <w:rsid w:val="008105FF"/>
    <w:rsid w:val="00814B2A"/>
    <w:rsid w:val="00821A95"/>
    <w:rsid w:val="008304F6"/>
    <w:rsid w:val="008314C7"/>
    <w:rsid w:val="00842C87"/>
    <w:rsid w:val="008438D6"/>
    <w:rsid w:val="00891856"/>
    <w:rsid w:val="008B2002"/>
    <w:rsid w:val="008D23B1"/>
    <w:rsid w:val="008D2B3C"/>
    <w:rsid w:val="008E24D4"/>
    <w:rsid w:val="008E455E"/>
    <w:rsid w:val="008E5CD9"/>
    <w:rsid w:val="008F59D5"/>
    <w:rsid w:val="009117B1"/>
    <w:rsid w:val="00931D27"/>
    <w:rsid w:val="00934B6C"/>
    <w:rsid w:val="00935027"/>
    <w:rsid w:val="0095020C"/>
    <w:rsid w:val="00961925"/>
    <w:rsid w:val="00972314"/>
    <w:rsid w:val="00972977"/>
    <w:rsid w:val="00990A7C"/>
    <w:rsid w:val="009A26B1"/>
    <w:rsid w:val="009B7664"/>
    <w:rsid w:val="009E78AC"/>
    <w:rsid w:val="009F4377"/>
    <w:rsid w:val="009F70AE"/>
    <w:rsid w:val="009F77CA"/>
    <w:rsid w:val="00A004B6"/>
    <w:rsid w:val="00A17702"/>
    <w:rsid w:val="00A222A3"/>
    <w:rsid w:val="00A351BB"/>
    <w:rsid w:val="00A35F55"/>
    <w:rsid w:val="00A44AF9"/>
    <w:rsid w:val="00A453CF"/>
    <w:rsid w:val="00A51A35"/>
    <w:rsid w:val="00A54CE0"/>
    <w:rsid w:val="00A6403E"/>
    <w:rsid w:val="00A66FEA"/>
    <w:rsid w:val="00A7482C"/>
    <w:rsid w:val="00A76C22"/>
    <w:rsid w:val="00A83CC2"/>
    <w:rsid w:val="00A917A9"/>
    <w:rsid w:val="00A93BD0"/>
    <w:rsid w:val="00A967C5"/>
    <w:rsid w:val="00AA4FE7"/>
    <w:rsid w:val="00AB0636"/>
    <w:rsid w:val="00AE1E01"/>
    <w:rsid w:val="00AE45A3"/>
    <w:rsid w:val="00AE7BDB"/>
    <w:rsid w:val="00B34E85"/>
    <w:rsid w:val="00B37D32"/>
    <w:rsid w:val="00B476C6"/>
    <w:rsid w:val="00B70CEA"/>
    <w:rsid w:val="00B722A0"/>
    <w:rsid w:val="00B75412"/>
    <w:rsid w:val="00B84660"/>
    <w:rsid w:val="00B8700D"/>
    <w:rsid w:val="00BA0EDF"/>
    <w:rsid w:val="00BC1C0D"/>
    <w:rsid w:val="00BF17C3"/>
    <w:rsid w:val="00BF3246"/>
    <w:rsid w:val="00BF71A4"/>
    <w:rsid w:val="00C25940"/>
    <w:rsid w:val="00C30603"/>
    <w:rsid w:val="00C45EA7"/>
    <w:rsid w:val="00C54E88"/>
    <w:rsid w:val="00C638C7"/>
    <w:rsid w:val="00C75C21"/>
    <w:rsid w:val="00C82293"/>
    <w:rsid w:val="00C97504"/>
    <w:rsid w:val="00CA6D5B"/>
    <w:rsid w:val="00CC57C1"/>
    <w:rsid w:val="00CD34CA"/>
    <w:rsid w:val="00CD3A57"/>
    <w:rsid w:val="00CE5C70"/>
    <w:rsid w:val="00CE6DCB"/>
    <w:rsid w:val="00D0352A"/>
    <w:rsid w:val="00D054BE"/>
    <w:rsid w:val="00D17833"/>
    <w:rsid w:val="00D22EFF"/>
    <w:rsid w:val="00D47230"/>
    <w:rsid w:val="00D47D7B"/>
    <w:rsid w:val="00D52E86"/>
    <w:rsid w:val="00D67640"/>
    <w:rsid w:val="00D713AD"/>
    <w:rsid w:val="00D842E0"/>
    <w:rsid w:val="00D979DD"/>
    <w:rsid w:val="00DA55B2"/>
    <w:rsid w:val="00DC6C12"/>
    <w:rsid w:val="00DE2FD9"/>
    <w:rsid w:val="00E1136F"/>
    <w:rsid w:val="00E41832"/>
    <w:rsid w:val="00E45B1B"/>
    <w:rsid w:val="00E47D95"/>
    <w:rsid w:val="00E66067"/>
    <w:rsid w:val="00E7760B"/>
    <w:rsid w:val="00E870DC"/>
    <w:rsid w:val="00EB5A35"/>
    <w:rsid w:val="00EC1B93"/>
    <w:rsid w:val="00ED347A"/>
    <w:rsid w:val="00ED75AE"/>
    <w:rsid w:val="00F16818"/>
    <w:rsid w:val="00F17E98"/>
    <w:rsid w:val="00F22289"/>
    <w:rsid w:val="00F41148"/>
    <w:rsid w:val="00F445D8"/>
    <w:rsid w:val="00F45DE7"/>
    <w:rsid w:val="00F62D8D"/>
    <w:rsid w:val="00F65A12"/>
    <w:rsid w:val="00F84840"/>
    <w:rsid w:val="00F9700D"/>
    <w:rsid w:val="00FB1502"/>
    <w:rsid w:val="00FB22CA"/>
    <w:rsid w:val="00FB5404"/>
    <w:rsid w:val="00FB5BC2"/>
    <w:rsid w:val="00FC71DE"/>
    <w:rsid w:val="00FD7B4F"/>
    <w:rsid w:val="00FF25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3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22EFF"/>
  </w:style>
  <w:style w:type="paragraph" w:styleId="FootnoteText">
    <w:name w:val="footnote text"/>
    <w:basedOn w:val="Normal"/>
    <w:link w:val="FootnoteTextChar"/>
    <w:uiPriority w:val="99"/>
    <w:rsid w:val="00D22EFF"/>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D22EFF"/>
  </w:style>
  <w:style w:type="paragraph" w:styleId="ListParagraph">
    <w:name w:val="List Paragraph"/>
    <w:basedOn w:val="Normal"/>
    <w:uiPriority w:val="34"/>
    <w:qFormat/>
    <w:rsid w:val="00D713AD"/>
    <w:pPr>
      <w:spacing w:after="200" w:line="276" w:lineRule="auto"/>
      <w:ind w:left="720"/>
      <w:contextualSpacing/>
    </w:pPr>
    <w:rPr>
      <w:rFonts w:ascii="Calibri" w:eastAsia="Calibri" w:hAnsi="Calibri"/>
      <w:sz w:val="22"/>
      <w:szCs w:val="22"/>
    </w:rPr>
  </w:style>
  <w:style w:type="paragraph" w:customStyle="1" w:styleId="Default">
    <w:name w:val="Default"/>
    <w:rsid w:val="0015025B"/>
    <w:pPr>
      <w:autoSpaceDE w:val="0"/>
      <w:autoSpaceDN w:val="0"/>
      <w:adjustRightInd w:val="0"/>
    </w:pPr>
    <w:rPr>
      <w:color w:val="000000"/>
      <w:sz w:val="24"/>
      <w:szCs w:val="24"/>
    </w:rPr>
  </w:style>
  <w:style w:type="character" w:styleId="CommentReference">
    <w:name w:val="annotation reference"/>
    <w:rsid w:val="0015025B"/>
    <w:rPr>
      <w:sz w:val="16"/>
      <w:szCs w:val="16"/>
    </w:rPr>
  </w:style>
  <w:style w:type="paragraph" w:styleId="CommentText">
    <w:name w:val="annotation text"/>
    <w:basedOn w:val="Normal"/>
    <w:link w:val="CommentTextChar"/>
    <w:uiPriority w:val="99"/>
    <w:unhideWhenUsed/>
    <w:rsid w:val="0015025B"/>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15025B"/>
    <w:rPr>
      <w:rFonts w:ascii="Calibri" w:hAnsi="Calibri"/>
    </w:rPr>
  </w:style>
  <w:style w:type="paragraph" w:styleId="BalloonText">
    <w:name w:val="Balloon Text"/>
    <w:basedOn w:val="Normal"/>
    <w:link w:val="BalloonTextChar"/>
    <w:rsid w:val="0015025B"/>
    <w:rPr>
      <w:rFonts w:ascii="Tahoma" w:hAnsi="Tahoma" w:cs="Tahoma"/>
      <w:sz w:val="16"/>
      <w:szCs w:val="16"/>
    </w:rPr>
  </w:style>
  <w:style w:type="character" w:customStyle="1" w:styleId="BalloonTextChar">
    <w:name w:val="Balloon Text Char"/>
    <w:basedOn w:val="DefaultParagraphFont"/>
    <w:link w:val="BalloonText"/>
    <w:rsid w:val="0015025B"/>
    <w:rPr>
      <w:rFonts w:ascii="Tahoma" w:hAnsi="Tahoma" w:cs="Tahoma"/>
      <w:sz w:val="16"/>
      <w:szCs w:val="16"/>
    </w:rPr>
  </w:style>
  <w:style w:type="paragraph" w:styleId="EndnoteText">
    <w:name w:val="endnote text"/>
    <w:basedOn w:val="Normal"/>
    <w:link w:val="EndnoteTextChar"/>
    <w:rsid w:val="00972314"/>
    <w:rPr>
      <w:sz w:val="20"/>
      <w:szCs w:val="20"/>
    </w:rPr>
  </w:style>
  <w:style w:type="character" w:customStyle="1" w:styleId="EndnoteTextChar">
    <w:name w:val="Endnote Text Char"/>
    <w:basedOn w:val="DefaultParagraphFont"/>
    <w:link w:val="EndnoteText"/>
    <w:rsid w:val="00972314"/>
  </w:style>
  <w:style w:type="character" w:styleId="EndnoteReference">
    <w:name w:val="endnote reference"/>
    <w:basedOn w:val="DefaultParagraphFont"/>
    <w:rsid w:val="00972314"/>
    <w:rPr>
      <w:vertAlign w:val="superscript"/>
    </w:rPr>
  </w:style>
  <w:style w:type="paragraph" w:styleId="CommentSubject">
    <w:name w:val="annotation subject"/>
    <w:basedOn w:val="CommentText"/>
    <w:next w:val="CommentText"/>
    <w:link w:val="CommentSubjectChar"/>
    <w:rsid w:val="00D47D7B"/>
    <w:pPr>
      <w:spacing w:after="0"/>
    </w:pPr>
    <w:rPr>
      <w:rFonts w:ascii="Times New Roman" w:hAnsi="Times New Roman"/>
      <w:b/>
      <w:bCs/>
    </w:rPr>
  </w:style>
  <w:style w:type="character" w:customStyle="1" w:styleId="CommentSubjectChar">
    <w:name w:val="Comment Subject Char"/>
    <w:basedOn w:val="CommentTextChar"/>
    <w:link w:val="CommentSubject"/>
    <w:rsid w:val="00D47D7B"/>
    <w:rPr>
      <w:rFonts w:ascii="Calibri" w:hAnsi="Calibri"/>
      <w:b/>
      <w:bCs/>
    </w:rPr>
  </w:style>
  <w:style w:type="character" w:styleId="HTMLTypewriter">
    <w:name w:val="HTML Typewriter"/>
    <w:basedOn w:val="DefaultParagraphFont"/>
    <w:rsid w:val="007439FA"/>
    <w:rPr>
      <w:rFonts w:ascii="Courier New" w:eastAsia="Times New Roman" w:hAnsi="Courier New" w:cs="Courier New"/>
      <w:sz w:val="20"/>
      <w:szCs w:val="20"/>
    </w:rPr>
  </w:style>
  <w:style w:type="paragraph" w:styleId="Header">
    <w:name w:val="header"/>
    <w:basedOn w:val="Normal"/>
    <w:link w:val="HeaderChar"/>
    <w:rsid w:val="002D4387"/>
    <w:pPr>
      <w:tabs>
        <w:tab w:val="center" w:pos="4680"/>
        <w:tab w:val="right" w:pos="9360"/>
      </w:tabs>
    </w:pPr>
  </w:style>
  <w:style w:type="character" w:customStyle="1" w:styleId="HeaderChar">
    <w:name w:val="Header Char"/>
    <w:basedOn w:val="DefaultParagraphFont"/>
    <w:link w:val="Header"/>
    <w:rsid w:val="002D4387"/>
    <w:rPr>
      <w:sz w:val="24"/>
      <w:szCs w:val="24"/>
    </w:rPr>
  </w:style>
  <w:style w:type="paragraph" w:styleId="Footer">
    <w:name w:val="footer"/>
    <w:basedOn w:val="Normal"/>
    <w:link w:val="FooterChar"/>
    <w:uiPriority w:val="99"/>
    <w:rsid w:val="002D4387"/>
    <w:pPr>
      <w:tabs>
        <w:tab w:val="center" w:pos="4680"/>
        <w:tab w:val="right" w:pos="9360"/>
      </w:tabs>
    </w:pPr>
  </w:style>
  <w:style w:type="character" w:customStyle="1" w:styleId="FooterChar">
    <w:name w:val="Footer Char"/>
    <w:basedOn w:val="DefaultParagraphFont"/>
    <w:link w:val="Footer"/>
    <w:uiPriority w:val="99"/>
    <w:rsid w:val="002D438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22EFF"/>
  </w:style>
  <w:style w:type="paragraph" w:styleId="FootnoteText">
    <w:name w:val="footnote text"/>
    <w:basedOn w:val="Normal"/>
    <w:link w:val="FootnoteTextChar"/>
    <w:uiPriority w:val="99"/>
    <w:rsid w:val="00D22EFF"/>
    <w:pPr>
      <w:widowControl w:val="0"/>
      <w:autoSpaceDE w:val="0"/>
      <w:autoSpaceDN w:val="0"/>
      <w:adjustRightInd w:val="0"/>
    </w:pPr>
    <w:rPr>
      <w:sz w:val="20"/>
      <w:szCs w:val="20"/>
      <w:lang w:val="x-none" w:eastAsia="x-none"/>
    </w:rPr>
  </w:style>
  <w:style w:type="character" w:customStyle="1" w:styleId="FootnoteTextChar">
    <w:name w:val="Footnote Text Char"/>
    <w:basedOn w:val="DefaultParagraphFont"/>
    <w:link w:val="FootnoteText"/>
    <w:uiPriority w:val="99"/>
    <w:rsid w:val="00D22EFF"/>
    <w:rPr>
      <w:lang w:val="x-none" w:eastAsia="x-none"/>
    </w:rPr>
  </w:style>
  <w:style w:type="paragraph" w:styleId="ListParagraph">
    <w:name w:val="List Paragraph"/>
    <w:basedOn w:val="Normal"/>
    <w:uiPriority w:val="34"/>
    <w:qFormat/>
    <w:rsid w:val="00D713AD"/>
    <w:pPr>
      <w:spacing w:after="200" w:line="276" w:lineRule="auto"/>
      <w:ind w:left="720"/>
      <w:contextualSpacing/>
    </w:pPr>
    <w:rPr>
      <w:rFonts w:ascii="Calibri" w:eastAsia="Calibri" w:hAnsi="Calibri"/>
      <w:sz w:val="22"/>
      <w:szCs w:val="22"/>
    </w:rPr>
  </w:style>
  <w:style w:type="paragraph" w:customStyle="1" w:styleId="Default">
    <w:name w:val="Default"/>
    <w:rsid w:val="0015025B"/>
    <w:pPr>
      <w:autoSpaceDE w:val="0"/>
      <w:autoSpaceDN w:val="0"/>
      <w:adjustRightInd w:val="0"/>
    </w:pPr>
    <w:rPr>
      <w:color w:val="000000"/>
      <w:sz w:val="24"/>
      <w:szCs w:val="24"/>
    </w:rPr>
  </w:style>
  <w:style w:type="character" w:styleId="CommentReference">
    <w:name w:val="annotation reference"/>
    <w:rsid w:val="0015025B"/>
    <w:rPr>
      <w:sz w:val="16"/>
      <w:szCs w:val="16"/>
    </w:rPr>
  </w:style>
  <w:style w:type="paragraph" w:styleId="CommentText">
    <w:name w:val="annotation text"/>
    <w:basedOn w:val="Normal"/>
    <w:link w:val="CommentTextChar"/>
    <w:uiPriority w:val="99"/>
    <w:unhideWhenUsed/>
    <w:rsid w:val="0015025B"/>
    <w:pPr>
      <w:spacing w:after="200"/>
    </w:pPr>
    <w:rPr>
      <w:rFonts w:ascii="Calibri" w:hAnsi="Calibri"/>
      <w:sz w:val="20"/>
      <w:szCs w:val="20"/>
      <w:lang w:val="x-none" w:eastAsia="x-none"/>
    </w:rPr>
  </w:style>
  <w:style w:type="character" w:customStyle="1" w:styleId="CommentTextChar">
    <w:name w:val="Comment Text Char"/>
    <w:basedOn w:val="DefaultParagraphFont"/>
    <w:link w:val="CommentText"/>
    <w:uiPriority w:val="99"/>
    <w:rsid w:val="0015025B"/>
    <w:rPr>
      <w:rFonts w:ascii="Calibri" w:hAnsi="Calibri"/>
      <w:lang w:val="x-none" w:eastAsia="x-none"/>
    </w:rPr>
  </w:style>
  <w:style w:type="paragraph" w:styleId="BalloonText">
    <w:name w:val="Balloon Text"/>
    <w:basedOn w:val="Normal"/>
    <w:link w:val="BalloonTextChar"/>
    <w:rsid w:val="0015025B"/>
    <w:rPr>
      <w:rFonts w:ascii="Tahoma" w:hAnsi="Tahoma" w:cs="Tahoma"/>
      <w:sz w:val="16"/>
      <w:szCs w:val="16"/>
    </w:rPr>
  </w:style>
  <w:style w:type="character" w:customStyle="1" w:styleId="BalloonTextChar">
    <w:name w:val="Balloon Text Char"/>
    <w:basedOn w:val="DefaultParagraphFont"/>
    <w:link w:val="BalloonText"/>
    <w:rsid w:val="0015025B"/>
    <w:rPr>
      <w:rFonts w:ascii="Tahoma" w:hAnsi="Tahoma" w:cs="Tahoma"/>
      <w:sz w:val="16"/>
      <w:szCs w:val="16"/>
    </w:rPr>
  </w:style>
  <w:style w:type="paragraph" w:styleId="EndnoteText">
    <w:name w:val="endnote text"/>
    <w:basedOn w:val="Normal"/>
    <w:link w:val="EndnoteTextChar"/>
    <w:rsid w:val="00972314"/>
    <w:rPr>
      <w:sz w:val="20"/>
      <w:szCs w:val="20"/>
    </w:rPr>
  </w:style>
  <w:style w:type="character" w:customStyle="1" w:styleId="EndnoteTextChar">
    <w:name w:val="Endnote Text Char"/>
    <w:basedOn w:val="DefaultParagraphFont"/>
    <w:link w:val="EndnoteText"/>
    <w:rsid w:val="00972314"/>
  </w:style>
  <w:style w:type="character" w:styleId="EndnoteReference">
    <w:name w:val="endnote reference"/>
    <w:basedOn w:val="DefaultParagraphFont"/>
    <w:rsid w:val="00972314"/>
    <w:rPr>
      <w:vertAlign w:val="superscript"/>
    </w:rPr>
  </w:style>
  <w:style w:type="paragraph" w:styleId="CommentSubject">
    <w:name w:val="annotation subject"/>
    <w:basedOn w:val="CommentText"/>
    <w:next w:val="CommentText"/>
    <w:link w:val="CommentSubjectChar"/>
    <w:rsid w:val="00D47D7B"/>
    <w:pPr>
      <w:spacing w:after="0"/>
    </w:pPr>
    <w:rPr>
      <w:rFonts w:ascii="Times New Roman" w:hAnsi="Times New Roman"/>
      <w:b/>
      <w:bCs/>
      <w:lang w:val="en-US" w:eastAsia="en-US"/>
    </w:rPr>
  </w:style>
  <w:style w:type="character" w:customStyle="1" w:styleId="CommentSubjectChar">
    <w:name w:val="Comment Subject Char"/>
    <w:basedOn w:val="CommentTextChar"/>
    <w:link w:val="CommentSubject"/>
    <w:rsid w:val="00D47D7B"/>
    <w:rPr>
      <w:rFonts w:ascii="Calibri" w:hAnsi="Calibri"/>
      <w:b/>
      <w:bCs/>
      <w:lang w:val="x-none" w:eastAsia="x-none"/>
    </w:rPr>
  </w:style>
  <w:style w:type="character" w:styleId="HTMLTypewriter">
    <w:name w:val="HTML Typewriter"/>
    <w:basedOn w:val="DefaultParagraphFont"/>
    <w:rsid w:val="007439FA"/>
    <w:rPr>
      <w:rFonts w:ascii="Courier New" w:eastAsia="Times New Roman" w:hAnsi="Courier New" w:cs="Courier New"/>
      <w:sz w:val="20"/>
      <w:szCs w:val="20"/>
    </w:rPr>
  </w:style>
  <w:style w:type="paragraph" w:styleId="Header">
    <w:name w:val="header"/>
    <w:basedOn w:val="Normal"/>
    <w:link w:val="HeaderChar"/>
    <w:rsid w:val="002D4387"/>
    <w:pPr>
      <w:tabs>
        <w:tab w:val="center" w:pos="4680"/>
        <w:tab w:val="right" w:pos="9360"/>
      </w:tabs>
    </w:pPr>
  </w:style>
  <w:style w:type="character" w:customStyle="1" w:styleId="HeaderChar">
    <w:name w:val="Header Char"/>
    <w:basedOn w:val="DefaultParagraphFont"/>
    <w:link w:val="Header"/>
    <w:rsid w:val="002D4387"/>
    <w:rPr>
      <w:sz w:val="24"/>
      <w:szCs w:val="24"/>
    </w:rPr>
  </w:style>
  <w:style w:type="paragraph" w:styleId="Footer">
    <w:name w:val="footer"/>
    <w:basedOn w:val="Normal"/>
    <w:link w:val="FooterChar"/>
    <w:uiPriority w:val="99"/>
    <w:rsid w:val="002D4387"/>
    <w:pPr>
      <w:tabs>
        <w:tab w:val="center" w:pos="4680"/>
        <w:tab w:val="right" w:pos="9360"/>
      </w:tabs>
    </w:pPr>
  </w:style>
  <w:style w:type="character" w:customStyle="1" w:styleId="FooterChar">
    <w:name w:val="Footer Char"/>
    <w:basedOn w:val="DefaultParagraphFont"/>
    <w:link w:val="Footer"/>
    <w:uiPriority w:val="99"/>
    <w:rsid w:val="002D4387"/>
    <w:rPr>
      <w:sz w:val="24"/>
      <w:szCs w:val="24"/>
    </w:rPr>
  </w:style>
</w:styles>
</file>

<file path=word/webSettings.xml><?xml version="1.0" encoding="utf-8"?>
<w:webSettings xmlns:r="http://schemas.openxmlformats.org/officeDocument/2006/relationships" xmlns:w="http://schemas.openxmlformats.org/wordprocessingml/2006/main">
  <w:divs>
    <w:div w:id="4957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491DB-7098-4BF2-B6F0-FF05C964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2596</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Employment &amp; Training Administration</Company>
  <LinksUpToDate>false</LinksUpToDate>
  <CharactersWithSpaces>17198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ktran</dc:creator>
  <cp:lastModifiedBy>Naradzay.Bonnie</cp:lastModifiedBy>
  <cp:revision>3</cp:revision>
  <cp:lastPrinted>2003-09-17T15:02:00Z</cp:lastPrinted>
  <dcterms:created xsi:type="dcterms:W3CDTF">2013-03-11T17:00:00Z</dcterms:created>
  <dcterms:modified xsi:type="dcterms:W3CDTF">2013-03-11T17:01:00Z</dcterms:modified>
</cp:coreProperties>
</file>