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EC" w:rsidRPr="00373ED8" w:rsidRDefault="00F919C2" w:rsidP="00373ED8">
      <w:pPr>
        <w:tabs>
          <w:tab w:val="center" w:pos="4680"/>
        </w:tabs>
        <w:rPr>
          <w:rFonts w:ascii="Times New Roman" w:hAnsi="Times New Roman"/>
          <w:b/>
          <w:bCs/>
        </w:rPr>
      </w:pPr>
      <w:r>
        <w:rPr>
          <w:rFonts w:ascii="Times New Roman" w:hAnsi="Times New Roman"/>
        </w:rPr>
        <w:t xml:space="preserve">                                                         </w:t>
      </w:r>
      <w:r w:rsidR="00EA17EC" w:rsidRPr="00373ED8">
        <w:rPr>
          <w:rFonts w:ascii="Times New Roman" w:hAnsi="Times New Roman"/>
        </w:rPr>
        <w:tab/>
      </w:r>
      <w:r w:rsidR="00EA17EC" w:rsidRPr="00373ED8">
        <w:rPr>
          <w:rFonts w:ascii="Times New Roman" w:hAnsi="Times New Roman"/>
          <w:b/>
          <w:bCs/>
        </w:rPr>
        <w:t>Supporting Statement</w:t>
      </w:r>
    </w:p>
    <w:p w:rsidR="00EA17EC" w:rsidRPr="00373ED8" w:rsidRDefault="00EA17EC" w:rsidP="00373ED8">
      <w:pPr>
        <w:pStyle w:val="Heading1"/>
        <w:rPr>
          <w:rFonts w:ascii="Times New Roman" w:hAnsi="Times New Roman"/>
        </w:rPr>
      </w:pPr>
      <w:r w:rsidRPr="00373ED8">
        <w:rPr>
          <w:rFonts w:ascii="Times New Roman" w:hAnsi="Times New Roman"/>
        </w:rPr>
        <w:t>OMB Control Number 1557-</w:t>
      </w:r>
      <w:r w:rsidR="00972C7A" w:rsidRPr="00373ED8">
        <w:rPr>
          <w:rFonts w:ascii="Times New Roman" w:hAnsi="Times New Roman"/>
        </w:rPr>
        <w:t>NEW</w:t>
      </w:r>
    </w:p>
    <w:p w:rsidR="00EA17EC" w:rsidRPr="00373ED8" w:rsidRDefault="00EA17EC" w:rsidP="00373ED8">
      <w:pPr>
        <w:tabs>
          <w:tab w:val="center" w:pos="4680"/>
        </w:tabs>
        <w:rPr>
          <w:rFonts w:ascii="Times New Roman" w:hAnsi="Times New Roman"/>
          <w:b/>
        </w:rPr>
      </w:pPr>
      <w:r w:rsidRPr="00373ED8">
        <w:rPr>
          <w:rFonts w:ascii="Times New Roman" w:hAnsi="Times New Roman"/>
          <w:b/>
        </w:rPr>
        <w:tab/>
      </w:r>
      <w:r w:rsidR="00764BA9" w:rsidRPr="00373ED8">
        <w:rPr>
          <w:rFonts w:ascii="Times New Roman" w:hAnsi="Times New Roman"/>
          <w:b/>
        </w:rPr>
        <w:t>Higher-Risk Mortgage Appraisals</w:t>
      </w:r>
    </w:p>
    <w:p w:rsidR="00EA17EC" w:rsidRPr="00373ED8" w:rsidRDefault="00EA17EC" w:rsidP="00373ED8">
      <w:pPr>
        <w:rPr>
          <w:rFonts w:ascii="Times New Roman" w:hAnsi="Times New Roman"/>
        </w:rPr>
      </w:pPr>
    </w:p>
    <w:p w:rsidR="00EA17EC" w:rsidRPr="00373ED8" w:rsidRDefault="00EA17EC" w:rsidP="00373ED8">
      <w:pPr>
        <w:rPr>
          <w:rFonts w:ascii="Times New Roman" w:hAnsi="Times New Roman"/>
          <w:bCs/>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A.</w:t>
      </w:r>
      <w:r w:rsidRPr="00373ED8">
        <w:rPr>
          <w:rFonts w:ascii="Times New Roman" w:hAnsi="Times New Roman"/>
        </w:rPr>
        <w:tab/>
      </w:r>
      <w:r w:rsidRPr="00373ED8">
        <w:rPr>
          <w:rFonts w:ascii="Times New Roman" w:hAnsi="Times New Roman"/>
          <w:u w:val="single"/>
        </w:rPr>
        <w:t>Justification.</w:t>
      </w:r>
    </w:p>
    <w:p w:rsidR="00EA17EC" w:rsidRPr="00373ED8" w:rsidRDefault="00EA17EC"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1.</w:t>
      </w:r>
      <w:r w:rsidRPr="00373ED8">
        <w:rPr>
          <w:rFonts w:ascii="Times New Roman" w:hAnsi="Times New Roman"/>
        </w:rPr>
        <w:tab/>
      </w:r>
      <w:r w:rsidRPr="00373ED8">
        <w:rPr>
          <w:rFonts w:ascii="Times New Roman" w:hAnsi="Times New Roman"/>
          <w:u w:val="single"/>
        </w:rPr>
        <w:t>Circumstances that make the collection necessary:</w:t>
      </w:r>
    </w:p>
    <w:p w:rsidR="00EA17EC" w:rsidRPr="00373ED8" w:rsidRDefault="00EA17EC" w:rsidP="00373ED8">
      <w:pPr>
        <w:rPr>
          <w:rFonts w:ascii="Times New Roman" w:hAnsi="Times New Roman"/>
        </w:rPr>
      </w:pPr>
    </w:p>
    <w:p w:rsidR="00373ED8" w:rsidRDefault="00AB571B" w:rsidP="00440C41">
      <w:pPr>
        <w:pStyle w:val="NormalWeb"/>
        <w:shd w:val="clear" w:color="auto" w:fill="FFFFFF"/>
        <w:spacing w:before="0" w:beforeAutospacing="0" w:after="0" w:afterAutospacing="0"/>
        <w:ind w:firstLine="720"/>
      </w:pPr>
      <w:r>
        <w:t xml:space="preserve">This information collection relates to a notice of proposed rulemaking issued by the </w:t>
      </w:r>
      <w:r w:rsidR="00800BC5">
        <w:t>A</w:t>
      </w:r>
      <w:r>
        <w:t>gencies</w:t>
      </w:r>
      <w:r w:rsidRPr="00B32622">
        <w:rPr>
          <w:rStyle w:val="FootnoteReference"/>
          <w:sz w:val="22"/>
          <w:szCs w:val="22"/>
          <w:vertAlign w:val="superscript"/>
        </w:rPr>
        <w:footnoteReference w:id="1"/>
      </w:r>
      <w:r w:rsidR="009F515F">
        <w:t xml:space="preserve"> </w:t>
      </w:r>
      <w:r w:rsidR="00690B8A">
        <w:t>pursuant to</w:t>
      </w:r>
      <w:r w:rsidR="00690B8A" w:rsidRPr="00373ED8">
        <w:t xml:space="preserve"> the Dodd-Frank Wall Street Reform and Consumer Protection Act</w:t>
      </w:r>
      <w:r w:rsidR="00690B8A">
        <w:t>,</w:t>
      </w:r>
      <w:r w:rsidR="00C2768E" w:rsidRPr="00C2768E">
        <w:rPr>
          <w:rStyle w:val="FootnoteReference"/>
          <w:sz w:val="22"/>
          <w:vertAlign w:val="superscript"/>
        </w:rPr>
        <w:footnoteReference w:id="2"/>
      </w:r>
      <w:r w:rsidR="00690B8A">
        <w:t xml:space="preserve"> </w:t>
      </w:r>
      <w:r w:rsidR="009F515F">
        <w:t>to</w:t>
      </w:r>
      <w:r w:rsidR="00373ED8" w:rsidRPr="00373ED8">
        <w:t xml:space="preserve"> amend Regulation Z</w:t>
      </w:r>
      <w:r w:rsidR="006D33C2" w:rsidRPr="000E510A">
        <w:rPr>
          <w:vertAlign w:val="superscript"/>
        </w:rPr>
        <w:t xml:space="preserve"> </w:t>
      </w:r>
      <w:r w:rsidR="00690B8A" w:rsidRPr="00B32622">
        <w:rPr>
          <w:rStyle w:val="FootnoteReference"/>
          <w:sz w:val="22"/>
          <w:szCs w:val="22"/>
          <w:vertAlign w:val="superscript"/>
        </w:rPr>
        <w:footnoteReference w:id="3"/>
      </w:r>
      <w:r w:rsidR="00690B8A">
        <w:rPr>
          <w:vertAlign w:val="superscript"/>
        </w:rPr>
        <w:t xml:space="preserve"> </w:t>
      </w:r>
      <w:r w:rsidR="001403B3">
        <w:t>by</w:t>
      </w:r>
      <w:r w:rsidR="00373ED8" w:rsidRPr="00373ED8">
        <w:t xml:space="preserve"> </w:t>
      </w:r>
      <w:r w:rsidR="00690B8A">
        <w:t>requiring appraisals</w:t>
      </w:r>
      <w:r w:rsidR="00793D1A">
        <w:t xml:space="preserve"> for </w:t>
      </w:r>
      <w:r w:rsidR="00373ED8" w:rsidRPr="00ED0AD1">
        <w:rPr>
          <w:i/>
        </w:rPr>
        <w:t>hig</w:t>
      </w:r>
      <w:r w:rsidR="00793D1A" w:rsidRPr="00ED0AD1">
        <w:rPr>
          <w:i/>
        </w:rPr>
        <w:t>her-risk mortgages</w:t>
      </w:r>
      <w:r w:rsidR="0035537C">
        <w:t>.</w:t>
      </w:r>
      <w:r w:rsidR="00373ED8" w:rsidRPr="00373ED8">
        <w:t xml:space="preserve">  Section 1471 o</w:t>
      </w:r>
      <w:r w:rsidR="00315977">
        <w:t>f the Dodd-Frank Act established</w:t>
      </w:r>
      <w:r w:rsidR="00373ED8" w:rsidRPr="00373ED8">
        <w:t xml:space="preserve"> a new </w:t>
      </w:r>
      <w:r w:rsidR="00FF55A6">
        <w:t>Truth in Lending (TILA)</w:t>
      </w:r>
      <w:r w:rsidR="00FF55A6" w:rsidRPr="00FF55A6">
        <w:rPr>
          <w:rStyle w:val="FootnoteReference"/>
          <w:vertAlign w:val="superscript"/>
        </w:rPr>
        <w:footnoteReference w:id="4"/>
      </w:r>
      <w:r w:rsidR="00373ED8" w:rsidRPr="00FF55A6">
        <w:rPr>
          <w:vertAlign w:val="superscript"/>
        </w:rPr>
        <w:t xml:space="preserve"> </w:t>
      </w:r>
      <w:r w:rsidR="00373ED8" w:rsidRPr="00373ED8">
        <w:t xml:space="preserve">section 129H, which </w:t>
      </w:r>
      <w:r w:rsidR="00690B8A">
        <w:t>contains</w:t>
      </w:r>
      <w:r w:rsidR="00373ED8" w:rsidRPr="00373ED8">
        <w:t xml:space="preserve"> apprai</w:t>
      </w:r>
      <w:r w:rsidR="0035537C">
        <w:t xml:space="preserve">sal requirements applicable to </w:t>
      </w:r>
      <w:r w:rsidR="0035537C" w:rsidRPr="00ED0AD1">
        <w:rPr>
          <w:i/>
        </w:rPr>
        <w:t xml:space="preserve">higher-risk mortgages </w:t>
      </w:r>
      <w:r w:rsidR="0035537C">
        <w:t xml:space="preserve">and </w:t>
      </w:r>
      <w:r w:rsidR="00690B8A">
        <w:t>prohibits a</w:t>
      </w:r>
      <w:r w:rsidR="00373ED8" w:rsidRPr="00373ED8">
        <w:t xml:space="preserve"> creditor </w:t>
      </w:r>
      <w:r w:rsidR="00690B8A">
        <w:t>from extending</w:t>
      </w:r>
      <w:r w:rsidR="00373ED8" w:rsidRPr="00373ED8">
        <w:t xml:space="preserve"> credit in the form of a higher-risk mortgage loan to any consu</w:t>
      </w:r>
      <w:r w:rsidR="00440C41">
        <w:t>mer without meeting those requirements.</w:t>
      </w:r>
    </w:p>
    <w:p w:rsidR="00E820E5" w:rsidRDefault="009236AB" w:rsidP="00440C41">
      <w:pPr>
        <w:widowControl/>
        <w:autoSpaceDE/>
        <w:autoSpaceDN/>
        <w:adjustRightInd/>
        <w:rPr>
          <w:rFonts w:ascii="Times New Roman" w:hAnsi="Times New Roman"/>
        </w:rPr>
      </w:pPr>
      <w:r>
        <w:rPr>
          <w:rFonts w:ascii="Times New Roman" w:hAnsi="Times New Roman"/>
        </w:rPr>
        <w:tab/>
      </w:r>
    </w:p>
    <w:p w:rsidR="009236AB" w:rsidRDefault="009236AB" w:rsidP="00440C41">
      <w:pPr>
        <w:widowControl/>
        <w:autoSpaceDE/>
        <w:autoSpaceDN/>
        <w:adjustRightInd/>
        <w:rPr>
          <w:rFonts w:ascii="Times New Roman" w:hAnsi="Times New Roman"/>
        </w:rPr>
      </w:pPr>
      <w:r>
        <w:rPr>
          <w:rFonts w:ascii="Times New Roman" w:hAnsi="Times New Roman"/>
        </w:rPr>
        <w:tab/>
        <w:t xml:space="preserve">The Federal banking agencies and the NCUA </w:t>
      </w:r>
      <w:r w:rsidR="00D97538">
        <w:rPr>
          <w:rFonts w:ascii="Times New Roman" w:hAnsi="Times New Roman"/>
        </w:rPr>
        <w:t>have issued rules and guidance governing the appraisal requirements applicable to insured depository institutions and credit unions.  Those rules implement the requirements of title XI o f the Financial Institutions Reform Recovery and Enforcement Act of 1989.  The requirement that creditors obtain appraisals for loans that meet the definition of a higher-risk mortgage loan changes the current appraisal requirements.  The current rule, adopted by the Federal banking agencies and the NCUA, specifies that for loans for which the transaction value is</w:t>
      </w:r>
      <w:r w:rsidR="00F04D5C">
        <w:rPr>
          <w:rFonts w:ascii="Times New Roman" w:hAnsi="Times New Roman"/>
        </w:rPr>
        <w:t xml:space="preserve"> $250,000 or less—which encompasses a majority of residential mortgages—an insured institution is permitted  to obtain an evaluation rather than an appraisal performed by a licensed or certified appraiser.  Under section 129H, if a loan meets the definition of a higher-risk mortgage loan, an appraisal is required regardless of the size of the loan. The new provision also adds a second appraisal </w:t>
      </w:r>
      <w:proofErr w:type="gramStart"/>
      <w:r w:rsidR="00F04D5C">
        <w:rPr>
          <w:rFonts w:ascii="Times New Roman" w:hAnsi="Times New Roman"/>
        </w:rPr>
        <w:t>requirement  under</w:t>
      </w:r>
      <w:proofErr w:type="gramEnd"/>
      <w:r w:rsidR="00F04D5C">
        <w:rPr>
          <w:rFonts w:ascii="Times New Roman" w:hAnsi="Times New Roman"/>
        </w:rPr>
        <w:t xml:space="preserve"> some circumstances.  </w:t>
      </w:r>
      <w:r w:rsidR="00D97538">
        <w:rPr>
          <w:rFonts w:ascii="Times New Roman" w:hAnsi="Times New Roman"/>
        </w:rPr>
        <w:t xml:space="preserve">       </w:t>
      </w:r>
    </w:p>
    <w:p w:rsidR="009236AB" w:rsidRPr="00373ED8" w:rsidRDefault="009236AB" w:rsidP="00440C41">
      <w:pPr>
        <w:widowControl/>
        <w:autoSpaceDE/>
        <w:autoSpaceDN/>
        <w:adjustRightInd/>
        <w:rPr>
          <w:rFonts w:ascii="Times New Roman" w:hAnsi="Times New Roman"/>
        </w:rPr>
      </w:pPr>
    </w:p>
    <w:p w:rsidR="001924CE" w:rsidRPr="006A0AE9" w:rsidRDefault="001924CE" w:rsidP="006A0AE9">
      <w:pPr>
        <w:ind w:firstLine="720"/>
        <w:rPr>
          <w:rFonts w:ascii="Times New Roman" w:hAnsi="Times New Roman"/>
        </w:rPr>
      </w:pPr>
      <w:r w:rsidRPr="001924CE">
        <w:rPr>
          <w:rFonts w:ascii="Times New Roman" w:hAnsi="Times New Roman"/>
          <w:i/>
        </w:rPr>
        <w:t>Higher-risk mortgage</w:t>
      </w:r>
      <w:r w:rsidRPr="001924CE">
        <w:rPr>
          <w:rFonts w:ascii="Times New Roman" w:hAnsi="Times New Roman"/>
        </w:rPr>
        <w:t xml:space="preserve"> is defined as a </w:t>
      </w:r>
      <w:r w:rsidRPr="001924CE">
        <w:rPr>
          <w:rFonts w:ascii="Times New Roman" w:hAnsi="Times New Roman"/>
          <w:i/>
        </w:rPr>
        <w:t>residential mortgage loa</w:t>
      </w:r>
      <w:r w:rsidR="005A6A67">
        <w:rPr>
          <w:rFonts w:ascii="Times New Roman" w:hAnsi="Times New Roman"/>
          <w:i/>
        </w:rPr>
        <w:t>n</w:t>
      </w:r>
      <w:r w:rsidR="005A6A67" w:rsidRPr="006A0AE9">
        <w:rPr>
          <w:rStyle w:val="FootnoteReference"/>
          <w:rFonts w:ascii="Times New Roman" w:hAnsi="Times New Roman"/>
          <w:i/>
          <w:vertAlign w:val="superscript"/>
        </w:rPr>
        <w:footnoteReference w:id="5"/>
      </w:r>
      <w:r w:rsidR="005A6A67" w:rsidRPr="006A0AE9">
        <w:rPr>
          <w:rFonts w:ascii="Times New Roman" w:hAnsi="Times New Roman"/>
          <w:i/>
          <w:vertAlign w:val="superscript"/>
        </w:rPr>
        <w:t xml:space="preserve"> </w:t>
      </w:r>
      <w:r w:rsidR="005A6A67">
        <w:rPr>
          <w:rFonts w:ascii="Times New Roman" w:hAnsi="Times New Roman"/>
          <w:i/>
        </w:rPr>
        <w:t>(closed-end consumer credit transaction</w:t>
      </w:r>
      <w:r w:rsidR="006A0AE9">
        <w:rPr>
          <w:rFonts w:ascii="Times New Roman" w:hAnsi="Times New Roman"/>
          <w:i/>
        </w:rPr>
        <w:t xml:space="preserve">) </w:t>
      </w:r>
      <w:r w:rsidR="006A0AE9" w:rsidRPr="001924CE">
        <w:rPr>
          <w:rFonts w:ascii="Times New Roman" w:hAnsi="Times New Roman"/>
        </w:rPr>
        <w:t>secured</w:t>
      </w:r>
      <w:r w:rsidRPr="001924CE">
        <w:rPr>
          <w:rFonts w:ascii="Times New Roman" w:hAnsi="Times New Roman"/>
        </w:rPr>
        <w:t xml:space="preserve"> by a principal dwelling with an annual percentage rate (APR) that </w:t>
      </w:r>
      <w:proofErr w:type="gramStart"/>
      <w:r w:rsidRPr="001924CE">
        <w:rPr>
          <w:rFonts w:ascii="Times New Roman" w:hAnsi="Times New Roman"/>
        </w:rPr>
        <w:t>exceeds</w:t>
      </w:r>
      <w:proofErr w:type="gramEnd"/>
      <w:r w:rsidRPr="001924CE">
        <w:rPr>
          <w:rFonts w:ascii="Times New Roman" w:hAnsi="Times New Roman"/>
        </w:rPr>
        <w:t xml:space="preserve"> certain statutory thresholds. The loans would be </w:t>
      </w:r>
      <w:r w:rsidRPr="001924CE">
        <w:rPr>
          <w:rFonts w:ascii="Times New Roman" w:hAnsi="Times New Roman"/>
          <w:i/>
        </w:rPr>
        <w:t>higher-risk mortgage</w:t>
      </w:r>
      <w:r w:rsidRPr="001924CE">
        <w:rPr>
          <w:rFonts w:ascii="Times New Roman" w:hAnsi="Times New Roman"/>
        </w:rPr>
        <w:t xml:space="preserve"> </w:t>
      </w:r>
      <w:r w:rsidRPr="001924CE">
        <w:rPr>
          <w:rFonts w:ascii="Times New Roman" w:hAnsi="Times New Roman"/>
          <w:i/>
        </w:rPr>
        <w:t>loans</w:t>
      </w:r>
      <w:r w:rsidRPr="001924CE">
        <w:rPr>
          <w:rFonts w:ascii="Times New Roman" w:hAnsi="Times New Roman"/>
        </w:rPr>
        <w:t xml:space="preserve"> if the APR exceeds the average prime offer rate (APOR) by 1.5 percent for first-lien loans, 2.5 percent for first-lien jumbo loans, and 3.5 percent for subordinate lien loans. </w:t>
      </w:r>
    </w:p>
    <w:p w:rsidR="00777581" w:rsidRPr="00373ED8" w:rsidRDefault="00777581" w:rsidP="00777581">
      <w:pPr>
        <w:widowControl/>
        <w:autoSpaceDE/>
        <w:autoSpaceDN/>
        <w:adjustRightInd/>
        <w:ind w:left="720"/>
        <w:rPr>
          <w:rFonts w:ascii="Times New Roman" w:hAnsi="Times New Roman"/>
        </w:rPr>
      </w:pPr>
    </w:p>
    <w:p w:rsidR="00373ED8" w:rsidRDefault="00777581" w:rsidP="00373ED8">
      <w:pPr>
        <w:ind w:firstLine="720"/>
        <w:rPr>
          <w:rFonts w:ascii="Times New Roman" w:hAnsi="Times New Roman"/>
        </w:rPr>
      </w:pPr>
      <w:r>
        <w:rPr>
          <w:rFonts w:ascii="Times New Roman" w:hAnsi="Times New Roman"/>
        </w:rPr>
        <w:t xml:space="preserve">The definition of </w:t>
      </w:r>
      <w:r w:rsidRPr="00777581">
        <w:rPr>
          <w:rFonts w:ascii="Times New Roman" w:hAnsi="Times New Roman"/>
          <w:i/>
        </w:rPr>
        <w:t>higher-risk mortgage</w:t>
      </w:r>
      <w:r w:rsidR="00373ED8" w:rsidRPr="00373ED8">
        <w:rPr>
          <w:rFonts w:ascii="Times New Roman" w:hAnsi="Times New Roman"/>
        </w:rPr>
        <w:t xml:space="preserve"> expressly excludes qualified mortgages</w:t>
      </w:r>
      <w:r w:rsidR="00136AC6" w:rsidRPr="006A0AE9">
        <w:rPr>
          <w:rStyle w:val="FootnoteReference"/>
          <w:rFonts w:ascii="Times New Roman" w:hAnsi="Times New Roman"/>
          <w:vertAlign w:val="superscript"/>
        </w:rPr>
        <w:footnoteReference w:id="6"/>
      </w:r>
      <w:r w:rsidR="00373ED8" w:rsidRPr="006A0AE9">
        <w:rPr>
          <w:rFonts w:ascii="Times New Roman" w:hAnsi="Times New Roman"/>
          <w:vertAlign w:val="superscript"/>
        </w:rPr>
        <w:t>,</w:t>
      </w:r>
      <w:r w:rsidR="00373ED8" w:rsidRPr="00373ED8">
        <w:rPr>
          <w:rFonts w:ascii="Times New Roman" w:hAnsi="Times New Roman"/>
        </w:rPr>
        <w:t xml:space="preserve"> as </w:t>
      </w:r>
      <w:r w:rsidR="00373ED8" w:rsidRPr="00373ED8">
        <w:rPr>
          <w:rFonts w:ascii="Times New Roman" w:hAnsi="Times New Roman"/>
        </w:rPr>
        <w:lastRenderedPageBreak/>
        <w:t xml:space="preserve">defined in TILA section 129C, as well as reverse mortgage loans that are qualified mortgages as defined in TILA section 129C. </w:t>
      </w:r>
    </w:p>
    <w:p w:rsidR="00E820E5" w:rsidRPr="00373ED8" w:rsidRDefault="00E820E5" w:rsidP="006A0AE9">
      <w:pPr>
        <w:pStyle w:val="NoSpacing"/>
        <w:rPr>
          <w:rFonts w:ascii="Times New Roman" w:hAnsi="Times New Roman"/>
          <w:sz w:val="24"/>
          <w:szCs w:val="24"/>
        </w:rPr>
      </w:pPr>
    </w:p>
    <w:p w:rsidR="00373ED8" w:rsidRDefault="00FA6C9F" w:rsidP="00373ED8">
      <w:pPr>
        <w:pStyle w:val="NoSpacing"/>
        <w:ind w:firstLine="720"/>
        <w:rPr>
          <w:rFonts w:ascii="Times New Roman" w:hAnsi="Times New Roman"/>
          <w:sz w:val="24"/>
          <w:szCs w:val="24"/>
        </w:rPr>
      </w:pPr>
      <w:r>
        <w:rPr>
          <w:rFonts w:ascii="Times New Roman" w:hAnsi="Times New Roman"/>
          <w:sz w:val="24"/>
          <w:szCs w:val="24"/>
        </w:rPr>
        <w:t>The</w:t>
      </w:r>
      <w:r w:rsidR="00373ED8" w:rsidRPr="00373ED8">
        <w:rPr>
          <w:rFonts w:ascii="Times New Roman" w:hAnsi="Times New Roman"/>
          <w:sz w:val="24"/>
          <w:szCs w:val="24"/>
        </w:rPr>
        <w:t xml:space="preserve"> proposal would allow a creditor to make a higher-risk mortgage loan only if the following conditions are met:</w:t>
      </w:r>
    </w:p>
    <w:p w:rsidR="00E820E5" w:rsidRPr="00373ED8" w:rsidRDefault="00E820E5" w:rsidP="00373ED8">
      <w:pPr>
        <w:pStyle w:val="NoSpacing"/>
        <w:ind w:firstLine="720"/>
        <w:rPr>
          <w:rFonts w:ascii="Times New Roman" w:hAnsi="Times New Roman"/>
          <w:sz w:val="24"/>
          <w:szCs w:val="24"/>
        </w:rPr>
      </w:pPr>
    </w:p>
    <w:p w:rsidR="00373ED8" w:rsidRPr="00373ED8" w:rsidRDefault="00373ED8" w:rsidP="00373ED8">
      <w:pPr>
        <w:pStyle w:val="NoSpacing"/>
        <w:numPr>
          <w:ilvl w:val="0"/>
          <w:numId w:val="6"/>
        </w:numPr>
        <w:ind w:left="720"/>
        <w:rPr>
          <w:rFonts w:ascii="Times New Roman" w:hAnsi="Times New Roman"/>
          <w:sz w:val="24"/>
          <w:szCs w:val="24"/>
        </w:rPr>
      </w:pPr>
      <w:r w:rsidRPr="00373ED8">
        <w:rPr>
          <w:rFonts w:ascii="Times New Roman" w:hAnsi="Times New Roman"/>
          <w:sz w:val="24"/>
          <w:szCs w:val="24"/>
        </w:rPr>
        <w:t>The creditor obtains a written appraisal;</w:t>
      </w:r>
    </w:p>
    <w:p w:rsidR="00373ED8" w:rsidRPr="00373ED8" w:rsidRDefault="00373ED8" w:rsidP="00373ED8">
      <w:pPr>
        <w:pStyle w:val="NoSpacing"/>
        <w:numPr>
          <w:ilvl w:val="0"/>
          <w:numId w:val="6"/>
        </w:numPr>
        <w:ind w:left="720"/>
        <w:rPr>
          <w:rFonts w:ascii="Times New Roman" w:hAnsi="Times New Roman"/>
          <w:sz w:val="24"/>
          <w:szCs w:val="24"/>
        </w:rPr>
      </w:pPr>
      <w:r w:rsidRPr="00373ED8">
        <w:rPr>
          <w:rFonts w:ascii="Times New Roman" w:hAnsi="Times New Roman"/>
          <w:sz w:val="24"/>
          <w:szCs w:val="24"/>
        </w:rPr>
        <w:t>The appraisal is performed by a certified or licensed appraiser;</w:t>
      </w:r>
    </w:p>
    <w:p w:rsidR="00373ED8" w:rsidRPr="00373ED8" w:rsidRDefault="00373ED8" w:rsidP="00373ED8">
      <w:pPr>
        <w:pStyle w:val="NoSpacing"/>
        <w:numPr>
          <w:ilvl w:val="0"/>
          <w:numId w:val="6"/>
        </w:numPr>
        <w:ind w:left="720"/>
        <w:rPr>
          <w:rFonts w:ascii="Times New Roman" w:hAnsi="Times New Roman"/>
          <w:sz w:val="24"/>
          <w:szCs w:val="24"/>
        </w:rPr>
      </w:pPr>
      <w:r w:rsidRPr="00373ED8">
        <w:rPr>
          <w:rFonts w:ascii="Times New Roman" w:hAnsi="Times New Roman"/>
          <w:sz w:val="24"/>
          <w:szCs w:val="24"/>
        </w:rPr>
        <w:t xml:space="preserve">The appraiser conducts  a physical property visit of the interior of the property;  </w:t>
      </w:r>
    </w:p>
    <w:p w:rsidR="00373ED8" w:rsidRPr="00373ED8" w:rsidRDefault="00373ED8" w:rsidP="00373ED8">
      <w:pPr>
        <w:pStyle w:val="NoSpacing"/>
        <w:numPr>
          <w:ilvl w:val="0"/>
          <w:numId w:val="6"/>
        </w:numPr>
        <w:ind w:left="720"/>
        <w:rPr>
          <w:rFonts w:ascii="Times New Roman" w:hAnsi="Times New Roman"/>
          <w:sz w:val="24"/>
          <w:szCs w:val="24"/>
        </w:rPr>
      </w:pPr>
      <w:r w:rsidRPr="00373ED8">
        <w:rPr>
          <w:rFonts w:ascii="Times New Roman" w:hAnsi="Times New Roman"/>
          <w:sz w:val="24"/>
          <w:szCs w:val="24"/>
        </w:rPr>
        <w:t xml:space="preserve">At application, the applicant is provided with a statement regarding the purpose of the appraisal, that the creditor will provide the applicant a copy of any written appraisal, and that the applicant may choose to have a separate appraisal conducted at the expense of the applicant; and   </w:t>
      </w:r>
    </w:p>
    <w:p w:rsidR="00373ED8" w:rsidRDefault="00373ED8" w:rsidP="00373ED8">
      <w:pPr>
        <w:pStyle w:val="NoSpacing"/>
        <w:numPr>
          <w:ilvl w:val="0"/>
          <w:numId w:val="6"/>
        </w:numPr>
        <w:ind w:left="720"/>
        <w:rPr>
          <w:rFonts w:ascii="Times New Roman" w:hAnsi="Times New Roman"/>
          <w:sz w:val="24"/>
          <w:szCs w:val="24"/>
        </w:rPr>
      </w:pPr>
      <w:r w:rsidRPr="00373ED8">
        <w:rPr>
          <w:rFonts w:ascii="Times New Roman" w:hAnsi="Times New Roman"/>
          <w:sz w:val="24"/>
          <w:szCs w:val="24"/>
        </w:rPr>
        <w:t xml:space="preserve">The creditor provides the consumer with a free copy of any written appraisals obtained for the transaction at least three business days before closing.  </w:t>
      </w:r>
    </w:p>
    <w:p w:rsidR="00AB2FCB" w:rsidRPr="00373ED8" w:rsidRDefault="00AB2FCB" w:rsidP="00AB2FCB">
      <w:pPr>
        <w:pStyle w:val="NoSpacing"/>
        <w:ind w:left="720"/>
        <w:rPr>
          <w:rFonts w:ascii="Times New Roman" w:hAnsi="Times New Roman"/>
          <w:sz w:val="24"/>
          <w:szCs w:val="24"/>
        </w:rPr>
      </w:pPr>
    </w:p>
    <w:p w:rsidR="00373ED8" w:rsidRDefault="00373ED8" w:rsidP="00373ED8">
      <w:pPr>
        <w:pStyle w:val="NoSpacing"/>
        <w:ind w:firstLine="720"/>
        <w:rPr>
          <w:rFonts w:ascii="Times New Roman" w:hAnsi="Times New Roman"/>
          <w:sz w:val="24"/>
          <w:szCs w:val="24"/>
        </w:rPr>
      </w:pPr>
      <w:r w:rsidRPr="00373ED8">
        <w:rPr>
          <w:rFonts w:ascii="Times New Roman" w:hAnsi="Times New Roman"/>
          <w:sz w:val="24"/>
          <w:szCs w:val="24"/>
        </w:rPr>
        <w:t>In addition, the proposal would require a higher-risk mortgage loan creditor to obtain an additional written appraisal, at no cost to the borrower, under the following circumstances:</w:t>
      </w:r>
    </w:p>
    <w:p w:rsidR="00E820E5" w:rsidRPr="00373ED8" w:rsidRDefault="00E820E5" w:rsidP="00373ED8">
      <w:pPr>
        <w:pStyle w:val="NoSpacing"/>
        <w:ind w:firstLine="720"/>
        <w:rPr>
          <w:rFonts w:ascii="Times New Roman" w:hAnsi="Times New Roman"/>
          <w:sz w:val="24"/>
          <w:szCs w:val="24"/>
        </w:rPr>
      </w:pPr>
    </w:p>
    <w:p w:rsidR="00373ED8" w:rsidRPr="00373ED8" w:rsidRDefault="00373ED8" w:rsidP="00373ED8">
      <w:pPr>
        <w:pStyle w:val="NoSpacing"/>
        <w:numPr>
          <w:ilvl w:val="0"/>
          <w:numId w:val="7"/>
        </w:numPr>
        <w:ind w:left="720"/>
        <w:rPr>
          <w:rFonts w:ascii="Times New Roman" w:hAnsi="Times New Roman"/>
          <w:sz w:val="24"/>
          <w:szCs w:val="24"/>
        </w:rPr>
      </w:pPr>
      <w:r w:rsidRPr="00373ED8">
        <w:rPr>
          <w:rFonts w:ascii="Times New Roman" w:hAnsi="Times New Roman"/>
          <w:sz w:val="24"/>
          <w:szCs w:val="24"/>
        </w:rPr>
        <w:t>The higher-risk mortgage loan will finance the acquisition of the consumer’s principal dwelling;</w:t>
      </w:r>
    </w:p>
    <w:p w:rsidR="00373ED8" w:rsidRPr="00373ED8" w:rsidRDefault="00373ED8" w:rsidP="00373ED8">
      <w:pPr>
        <w:pStyle w:val="NoSpacing"/>
        <w:numPr>
          <w:ilvl w:val="0"/>
          <w:numId w:val="7"/>
        </w:numPr>
        <w:ind w:left="720"/>
        <w:rPr>
          <w:rFonts w:ascii="Times New Roman" w:hAnsi="Times New Roman"/>
          <w:sz w:val="24"/>
          <w:szCs w:val="24"/>
        </w:rPr>
      </w:pPr>
      <w:r w:rsidRPr="00373ED8">
        <w:rPr>
          <w:rFonts w:ascii="Times New Roman" w:hAnsi="Times New Roman"/>
          <w:sz w:val="24"/>
          <w:szCs w:val="24"/>
        </w:rPr>
        <w:t xml:space="preserve">The seller </w:t>
      </w:r>
      <w:r w:rsidR="001635C1">
        <w:rPr>
          <w:rFonts w:ascii="Times New Roman" w:hAnsi="Times New Roman"/>
          <w:sz w:val="24"/>
          <w:szCs w:val="24"/>
        </w:rPr>
        <w:t xml:space="preserve">who </w:t>
      </w:r>
      <w:r w:rsidRPr="00373ED8">
        <w:rPr>
          <w:rFonts w:ascii="Times New Roman" w:hAnsi="Times New Roman"/>
          <w:sz w:val="24"/>
          <w:szCs w:val="24"/>
        </w:rPr>
        <w:t>is selling what will become the consumer’s principal dwelling acquired the home within 180 days prior to the consumer’s purchase agreement (measured from the date of the consumer’s purchase agreement); and</w:t>
      </w:r>
    </w:p>
    <w:p w:rsidR="002A359A" w:rsidRDefault="00373ED8" w:rsidP="002A359A">
      <w:pPr>
        <w:pStyle w:val="NoSpacing"/>
        <w:numPr>
          <w:ilvl w:val="0"/>
          <w:numId w:val="7"/>
        </w:numPr>
        <w:ind w:left="720"/>
        <w:rPr>
          <w:rFonts w:ascii="Times New Roman" w:hAnsi="Times New Roman"/>
          <w:sz w:val="24"/>
          <w:szCs w:val="24"/>
        </w:rPr>
      </w:pPr>
      <w:r w:rsidRPr="00373ED8">
        <w:rPr>
          <w:rFonts w:ascii="Times New Roman" w:hAnsi="Times New Roman"/>
          <w:sz w:val="24"/>
          <w:szCs w:val="24"/>
        </w:rPr>
        <w:t xml:space="preserve">The consumer is acquiring the home for a higher price than the seller paid, although comment is requested on whether a </w:t>
      </w:r>
      <w:r w:rsidR="001635C1">
        <w:rPr>
          <w:rFonts w:ascii="Times New Roman" w:hAnsi="Times New Roman"/>
          <w:sz w:val="24"/>
          <w:szCs w:val="24"/>
        </w:rPr>
        <w:t xml:space="preserve">minimum </w:t>
      </w:r>
      <w:r w:rsidRPr="00373ED8">
        <w:rPr>
          <w:rFonts w:ascii="Times New Roman" w:hAnsi="Times New Roman"/>
          <w:sz w:val="24"/>
          <w:szCs w:val="24"/>
        </w:rPr>
        <w:t xml:space="preserve">threshold price increase would be appropriate. </w:t>
      </w:r>
    </w:p>
    <w:p w:rsidR="002A359A" w:rsidRDefault="002A359A" w:rsidP="002A359A">
      <w:pPr>
        <w:pStyle w:val="NoSpacing"/>
        <w:rPr>
          <w:rFonts w:ascii="Times New Roman" w:hAnsi="Times New Roman"/>
          <w:sz w:val="24"/>
          <w:szCs w:val="24"/>
        </w:rPr>
      </w:pPr>
    </w:p>
    <w:p w:rsidR="00691C16" w:rsidRPr="002A359A" w:rsidRDefault="005A6A67" w:rsidP="006A0AE9">
      <w:pPr>
        <w:ind w:firstLine="360"/>
        <w:rPr>
          <w:rFonts w:ascii="Times New Roman" w:hAnsi="Times New Roman"/>
        </w:rPr>
      </w:pPr>
      <w:r w:rsidRPr="005A6A67">
        <w:rPr>
          <w:rFonts w:ascii="Times New Roman" w:hAnsi="Times New Roman"/>
        </w:rPr>
        <w:t>The additional written appraisal, from a different licensed or certified appraiser, generally must include an analysis of the difference in sale prices (</w:t>
      </w:r>
      <w:r w:rsidRPr="005A6A67">
        <w:rPr>
          <w:rStyle w:val="Emphasis"/>
          <w:rFonts w:ascii="Times New Roman" w:hAnsi="Times New Roman"/>
        </w:rPr>
        <w:t>i.e.</w:t>
      </w:r>
      <w:r w:rsidRPr="005A6A67">
        <w:rPr>
          <w:rFonts w:ascii="Times New Roman" w:hAnsi="Times New Roman"/>
        </w:rPr>
        <w:t>, the sale price paid by the seller and the acquisition price of the property as set forth in the consumer’s purchase agreement), changes in market conditions, and any improvements made to the property between the date of the previous sale and the current sale. This requirement is designed to address fraudulent property flipping by seeking to ensure that the value of the property being used as collateral for the loan legitimately</w:t>
      </w:r>
      <w:r w:rsidR="006A0AE9">
        <w:rPr>
          <w:rFonts w:ascii="Times New Roman" w:hAnsi="Times New Roman"/>
        </w:rPr>
        <w:t xml:space="preserve"> increased.</w:t>
      </w:r>
    </w:p>
    <w:p w:rsidR="00764BA9" w:rsidRDefault="00764BA9" w:rsidP="00B04B76">
      <w:pPr>
        <w:rPr>
          <w:rFonts w:ascii="Times New Roman" w:hAnsi="Times New Roman"/>
        </w:rPr>
      </w:pPr>
    </w:p>
    <w:p w:rsidR="00204553" w:rsidRDefault="00204553" w:rsidP="00B04B76">
      <w:pPr>
        <w:rPr>
          <w:rFonts w:ascii="Times New Roman" w:hAnsi="Times New Roman"/>
        </w:rPr>
      </w:pPr>
      <w:r>
        <w:rPr>
          <w:rFonts w:ascii="Times New Roman" w:hAnsi="Times New Roman"/>
        </w:rPr>
        <w:tab/>
        <w:t>In response to comments, the final rule make</w:t>
      </w:r>
      <w:r w:rsidR="009F1182">
        <w:rPr>
          <w:rFonts w:ascii="Times New Roman" w:hAnsi="Times New Roman"/>
        </w:rPr>
        <w:t>s</w:t>
      </w:r>
      <w:r>
        <w:rPr>
          <w:rFonts w:ascii="Times New Roman" w:hAnsi="Times New Roman"/>
        </w:rPr>
        <w:t xml:space="preserve"> several changes to the requirements</w:t>
      </w:r>
      <w:proofErr w:type="gramStart"/>
      <w:r>
        <w:rPr>
          <w:rFonts w:ascii="Times New Roman" w:hAnsi="Times New Roman"/>
        </w:rPr>
        <w:t xml:space="preserve">,  </w:t>
      </w:r>
      <w:r>
        <w:rPr>
          <w:rFonts w:ascii="Times New Roman" w:hAnsi="Times New Roman"/>
        </w:rPr>
        <w:lastRenderedPageBreak/>
        <w:t>Generally</w:t>
      </w:r>
      <w:proofErr w:type="gramEnd"/>
      <w:r>
        <w:rPr>
          <w:rFonts w:ascii="Times New Roman" w:hAnsi="Times New Roman"/>
        </w:rPr>
        <w:t xml:space="preserve"> these changes result in additional exemptions from the requirements and more flexibility for creditors   </w:t>
      </w:r>
    </w:p>
    <w:p w:rsidR="009F1182" w:rsidRDefault="009F1182" w:rsidP="00B04B76">
      <w:pPr>
        <w:rPr>
          <w:rFonts w:ascii="Times New Roman" w:hAnsi="Times New Roman"/>
        </w:rPr>
      </w:pPr>
    </w:p>
    <w:p w:rsidR="00EA2835" w:rsidRDefault="00EA2835" w:rsidP="00B04B76">
      <w:pPr>
        <w:rPr>
          <w:rFonts w:ascii="Times New Roman" w:hAnsi="Times New Roman"/>
        </w:rPr>
      </w:pPr>
    </w:p>
    <w:p w:rsidR="00357878" w:rsidRDefault="00BE73EE">
      <w:pPr>
        <w:ind w:firstLine="720"/>
        <w:outlineLvl w:val="4"/>
        <w:rPr>
          <w:rFonts w:ascii="Times New Roman" w:hAnsi="Times New Roman"/>
          <w:u w:val="single"/>
        </w:rPr>
      </w:pPr>
      <w:r>
        <w:rPr>
          <w:rFonts w:ascii="Times New Roman" w:hAnsi="Times New Roman"/>
        </w:rPr>
        <w:t xml:space="preserve">First, the Agencies </w:t>
      </w:r>
      <w:r w:rsidR="00D72CD5">
        <w:rPr>
          <w:rFonts w:ascii="Times New Roman" w:hAnsi="Times New Roman"/>
        </w:rPr>
        <w:t xml:space="preserve">have included a threshold for determining whether an additional appraisal is required </w:t>
      </w:r>
      <w:proofErr w:type="gramStart"/>
      <w:r w:rsidR="00D72CD5">
        <w:rPr>
          <w:rFonts w:ascii="Times New Roman" w:hAnsi="Times New Roman"/>
        </w:rPr>
        <w:t>when  the</w:t>
      </w:r>
      <w:proofErr w:type="gramEnd"/>
      <w:r w:rsidR="00D72CD5">
        <w:rPr>
          <w:rFonts w:ascii="Times New Roman" w:hAnsi="Times New Roman"/>
        </w:rPr>
        <w:t xml:space="preserve"> seller </w:t>
      </w:r>
      <w:r w:rsidR="00F9781B">
        <w:rPr>
          <w:rFonts w:ascii="Times New Roman" w:hAnsi="Times New Roman"/>
        </w:rPr>
        <w:t>is</w:t>
      </w:r>
      <w:r w:rsidR="006776BD">
        <w:rPr>
          <w:rFonts w:ascii="Times New Roman" w:hAnsi="Times New Roman"/>
        </w:rPr>
        <w:t xml:space="preserve"> selling the property 180 days or less from when </w:t>
      </w:r>
      <w:r w:rsidR="00F9781B">
        <w:rPr>
          <w:rFonts w:ascii="Times New Roman" w:hAnsi="Times New Roman"/>
        </w:rPr>
        <w:t xml:space="preserve">he or she purchased the property.  The final rule provides that an additional appraisal is not required if: </w:t>
      </w:r>
      <w:r w:rsidR="00D102B3" w:rsidRPr="00D102B3">
        <w:rPr>
          <w:rFonts w:ascii="Times New Roman" w:hAnsi="Times New Roman"/>
        </w:rPr>
        <w:t xml:space="preserve">  The seller acquired the property 90 or fewer days prior to the date of the consumer’s agreement to acquire the property and the price in the consumer’s agreement to acquire the property exceeds the seller’s acquisition price by more than 10 percent; or </w:t>
      </w:r>
      <w:r w:rsidR="009072BB">
        <w:rPr>
          <w:rFonts w:ascii="Times New Roman" w:hAnsi="Times New Roman"/>
        </w:rPr>
        <w:t>t</w:t>
      </w:r>
      <w:r w:rsidR="00D102B3" w:rsidRPr="00D102B3">
        <w:rPr>
          <w:rFonts w:ascii="Times New Roman" w:hAnsi="Times New Roman"/>
        </w:rPr>
        <w:t>he seller acquired the property 91 to 180 days prior to the date of the consumer’s agreement to acquire the property and the price in the consumer’s agreement to acquire the property exceeds the seller’s acquisition price by more than 20 percent.</w:t>
      </w:r>
    </w:p>
    <w:p w:rsidR="00EA2835" w:rsidRDefault="00EA2835" w:rsidP="001B282D">
      <w:pPr>
        <w:rPr>
          <w:rFonts w:ascii="Times New Roman" w:hAnsi="Times New Roman"/>
        </w:rPr>
      </w:pPr>
    </w:p>
    <w:p w:rsidR="00357878" w:rsidRDefault="00F9781B">
      <w:pPr>
        <w:rPr>
          <w:rFonts w:ascii="Times New Roman" w:hAnsi="Times New Roman"/>
        </w:rPr>
      </w:pPr>
      <w:r>
        <w:rPr>
          <w:rFonts w:ascii="Times New Roman" w:hAnsi="Times New Roman"/>
        </w:rPr>
        <w:tab/>
        <w:t>Second, the Agencies have included a number of exemptions from the additional appraisal requirement</w:t>
      </w:r>
      <w:r w:rsidR="0032536B">
        <w:rPr>
          <w:rFonts w:ascii="Times New Roman" w:hAnsi="Times New Roman"/>
        </w:rPr>
        <w:t>.  These exemptions are similar</w:t>
      </w:r>
      <w:r w:rsidR="00B57DB6">
        <w:rPr>
          <w:rFonts w:ascii="Times New Roman" w:hAnsi="Times New Roman"/>
        </w:rPr>
        <w:t xml:space="preserve"> to exemptions contained in the anti flipping rules issued by HUD for the Federal Housing Administration’s loan program.  The exemptions are for extensions of credit that finance the purchase of property</w:t>
      </w:r>
      <w:r w:rsidR="009072BB">
        <w:rPr>
          <w:rFonts w:ascii="Times New Roman" w:hAnsi="Times New Roman"/>
        </w:rPr>
        <w:t xml:space="preserve">: </w:t>
      </w:r>
      <w:r w:rsidR="00D102B3" w:rsidRPr="00D102B3">
        <w:rPr>
          <w:rFonts w:ascii="Times New Roman" w:hAnsi="Times New Roman"/>
        </w:rPr>
        <w:t>From a local, State or Federal government agency;</w:t>
      </w:r>
      <w:r w:rsidR="009072BB">
        <w:rPr>
          <w:rFonts w:ascii="Times New Roman" w:hAnsi="Times New Roman"/>
        </w:rPr>
        <w:t xml:space="preserve"> </w:t>
      </w:r>
      <w:r w:rsidR="00D102B3" w:rsidRPr="00D102B3">
        <w:rPr>
          <w:rFonts w:ascii="Times New Roman" w:hAnsi="Times New Roman"/>
        </w:rPr>
        <w:t xml:space="preserve"> </w:t>
      </w:r>
      <w:r w:rsidR="009072BB">
        <w:rPr>
          <w:rFonts w:ascii="Times New Roman" w:hAnsi="Times New Roman"/>
        </w:rPr>
        <w:t>f</w:t>
      </w:r>
      <w:r w:rsidR="00D102B3" w:rsidRPr="00D102B3">
        <w:rPr>
          <w:rFonts w:ascii="Times New Roman" w:hAnsi="Times New Roman"/>
        </w:rPr>
        <w:t xml:space="preserve">rom </w:t>
      </w:r>
      <w:r w:rsidR="00D102B3" w:rsidRPr="00D102B3">
        <w:rPr>
          <w:rFonts w:ascii="Times New Roman" w:hAnsi="Times New Roman"/>
          <w:color w:val="000000"/>
        </w:rPr>
        <w:t>a person who acquired title to the property through foreclosure, deed-in-lieu of foreclosure, or other similar judicial or non-judicial procedure as a result of the person’s exercise of rights as the holder of a defaulted mortgage loan;</w:t>
      </w:r>
      <w:r w:rsidR="009072BB">
        <w:rPr>
          <w:rFonts w:ascii="Times New Roman" w:hAnsi="Times New Roman"/>
          <w:color w:val="000000"/>
        </w:rPr>
        <w:t xml:space="preserve"> </w:t>
      </w:r>
      <w:r w:rsidR="00D102B3" w:rsidRPr="00D102B3">
        <w:rPr>
          <w:rFonts w:ascii="Times New Roman" w:hAnsi="Times New Roman"/>
        </w:rPr>
        <w:t xml:space="preserve"> </w:t>
      </w:r>
      <w:r w:rsidR="009072BB">
        <w:rPr>
          <w:rFonts w:ascii="Times New Roman" w:hAnsi="Times New Roman"/>
        </w:rPr>
        <w:t>f</w:t>
      </w:r>
      <w:r w:rsidR="00D102B3" w:rsidRPr="00D102B3">
        <w:rPr>
          <w:rFonts w:ascii="Times New Roman" w:hAnsi="Times New Roman"/>
        </w:rPr>
        <w:t xml:space="preserve">rom a non-profit entity as part of a local, State, or Federal government program under which the non-profit entity is permitted to acquire title to single-family properties for resale from a seller who acquired title to the property through the process of </w:t>
      </w:r>
      <w:r w:rsidR="00D102B3" w:rsidRPr="00D102B3">
        <w:rPr>
          <w:rFonts w:ascii="Times New Roman" w:hAnsi="Times New Roman"/>
          <w:color w:val="000000"/>
        </w:rPr>
        <w:t>foreclosure, deed-in-lieu of foreclosure, or other similar judicial or non-judicial procedure</w:t>
      </w:r>
      <w:r w:rsidR="00D102B3" w:rsidRPr="00D102B3">
        <w:rPr>
          <w:rFonts w:ascii="Times New Roman" w:hAnsi="Times New Roman"/>
        </w:rPr>
        <w:t>;</w:t>
      </w:r>
      <w:r w:rsidR="009072BB">
        <w:rPr>
          <w:rFonts w:ascii="Times New Roman" w:hAnsi="Times New Roman"/>
        </w:rPr>
        <w:t xml:space="preserve"> </w:t>
      </w:r>
      <w:r w:rsidR="00D102B3" w:rsidRPr="00D102B3">
        <w:rPr>
          <w:rFonts w:ascii="Times New Roman" w:hAnsi="Times New Roman"/>
        </w:rPr>
        <w:t xml:space="preserve"> </w:t>
      </w:r>
      <w:r w:rsidR="009072BB">
        <w:rPr>
          <w:rFonts w:ascii="Times New Roman" w:hAnsi="Times New Roman"/>
        </w:rPr>
        <w:t>f</w:t>
      </w:r>
      <w:r w:rsidR="00D102B3" w:rsidRPr="00D102B3">
        <w:rPr>
          <w:rFonts w:ascii="Times New Roman" w:hAnsi="Times New Roman"/>
        </w:rPr>
        <w:t>rom a person who acquired title to the property by inheritance or pursuant to a court order of dissolution of marriage, civil union, or domestic partnership, or of partition of joint or marital assets to which the seller was a party;</w:t>
      </w:r>
      <w:r w:rsidR="009072BB">
        <w:rPr>
          <w:rFonts w:ascii="Times New Roman" w:hAnsi="Times New Roman"/>
        </w:rPr>
        <w:t xml:space="preserve"> </w:t>
      </w:r>
      <w:r w:rsidR="00D102B3" w:rsidRPr="00D102B3">
        <w:rPr>
          <w:rFonts w:ascii="Times New Roman" w:hAnsi="Times New Roman"/>
        </w:rPr>
        <w:t xml:space="preserve"> </w:t>
      </w:r>
      <w:r w:rsidR="009072BB">
        <w:rPr>
          <w:rFonts w:ascii="Times New Roman" w:hAnsi="Times New Roman"/>
        </w:rPr>
        <w:t>f</w:t>
      </w:r>
      <w:r w:rsidR="00D102B3" w:rsidRPr="00D102B3">
        <w:rPr>
          <w:rFonts w:ascii="Times New Roman" w:hAnsi="Times New Roman"/>
        </w:rPr>
        <w:t>rom an employer or relocation agency in connection with the relocation of an employee;</w:t>
      </w:r>
      <w:r w:rsidR="009072BB">
        <w:rPr>
          <w:rFonts w:ascii="Times New Roman" w:hAnsi="Times New Roman"/>
        </w:rPr>
        <w:t xml:space="preserve">  f</w:t>
      </w:r>
      <w:r w:rsidR="00D102B3" w:rsidRPr="00D102B3">
        <w:rPr>
          <w:rFonts w:ascii="Times New Roman" w:hAnsi="Times New Roman"/>
        </w:rPr>
        <w:t xml:space="preserve">rom a </w:t>
      </w:r>
      <w:proofErr w:type="spellStart"/>
      <w:r w:rsidR="00D102B3" w:rsidRPr="00D102B3">
        <w:rPr>
          <w:rFonts w:ascii="Times New Roman" w:hAnsi="Times New Roman"/>
        </w:rPr>
        <w:t>servicemember</w:t>
      </w:r>
      <w:proofErr w:type="spellEnd"/>
      <w:r w:rsidR="00D102B3" w:rsidRPr="00D102B3">
        <w:rPr>
          <w:rFonts w:ascii="Times New Roman" w:hAnsi="Times New Roman"/>
        </w:rPr>
        <w:t xml:space="preserve">, as defined in 50 U.S.C. </w:t>
      </w:r>
      <w:proofErr w:type="spellStart"/>
      <w:r w:rsidR="00D102B3" w:rsidRPr="00D102B3">
        <w:rPr>
          <w:rFonts w:ascii="Times New Roman" w:hAnsi="Times New Roman"/>
        </w:rPr>
        <w:t>Appx</w:t>
      </w:r>
      <w:proofErr w:type="spellEnd"/>
      <w:r w:rsidR="00D102B3" w:rsidRPr="00D102B3">
        <w:rPr>
          <w:rFonts w:ascii="Times New Roman" w:hAnsi="Times New Roman"/>
        </w:rPr>
        <w:t xml:space="preserve">. 511(1), who received a deployment or permanent change of station order after the </w:t>
      </w:r>
      <w:proofErr w:type="spellStart"/>
      <w:r w:rsidR="00D102B3" w:rsidRPr="00D102B3">
        <w:rPr>
          <w:rFonts w:ascii="Times New Roman" w:hAnsi="Times New Roman"/>
        </w:rPr>
        <w:t>servicemember</w:t>
      </w:r>
      <w:proofErr w:type="spellEnd"/>
      <w:r w:rsidR="00D102B3" w:rsidRPr="00D102B3">
        <w:rPr>
          <w:rFonts w:ascii="Times New Roman" w:hAnsi="Times New Roman"/>
        </w:rPr>
        <w:t xml:space="preserve"> purchased the property; </w:t>
      </w:r>
      <w:r w:rsidR="009072BB">
        <w:rPr>
          <w:rFonts w:ascii="Times New Roman" w:hAnsi="Times New Roman"/>
        </w:rPr>
        <w:t xml:space="preserve"> l</w:t>
      </w:r>
      <w:r w:rsidR="00D102B3" w:rsidRPr="00D102B3">
        <w:rPr>
          <w:rFonts w:ascii="Times New Roman" w:hAnsi="Times New Roman"/>
        </w:rPr>
        <w:t xml:space="preserve">ocated in an area designated by the President as a federal disaster area, if and for as long as the Federal financial institutions regulatory agencies, as defined in 12 U.S.C.  3350(6), waive the requirements in title XI of the Financial Institutions Reform, Recovery, and Enforcement Act of 1989, as amended (12 U.S.C. 3331 </w:t>
      </w:r>
      <w:r w:rsidR="00D102B3" w:rsidRPr="00D102B3">
        <w:rPr>
          <w:rFonts w:ascii="Times New Roman" w:hAnsi="Times New Roman"/>
          <w:i/>
        </w:rPr>
        <w:t>et seq.</w:t>
      </w:r>
      <w:r w:rsidR="00D102B3" w:rsidRPr="00D102B3">
        <w:rPr>
          <w:rFonts w:ascii="Times New Roman" w:hAnsi="Times New Roman"/>
        </w:rPr>
        <w:t>), and any implementing regulations in that area; or</w:t>
      </w:r>
      <w:r w:rsidR="009072BB">
        <w:rPr>
          <w:rFonts w:ascii="Times New Roman" w:hAnsi="Times New Roman"/>
        </w:rPr>
        <w:t xml:space="preserve"> l</w:t>
      </w:r>
      <w:r w:rsidR="00D102B3" w:rsidRPr="00D102B3">
        <w:rPr>
          <w:rFonts w:ascii="Times New Roman" w:hAnsi="Times New Roman"/>
        </w:rPr>
        <w:t>ocated in a rural county, as defined in 12 CFR 1026.35(b)(2)(iv)(A)</w:t>
      </w:r>
      <w:r w:rsidR="009072BB">
        <w:rPr>
          <w:rFonts w:ascii="Times New Roman" w:hAnsi="Times New Roman"/>
        </w:rPr>
        <w:t>, the CFPB’s rule on escrows for higher priced mortgage loans.</w:t>
      </w:r>
      <w:r w:rsidR="00D102B3" w:rsidRPr="00D102B3">
        <w:rPr>
          <w:rFonts w:ascii="Times New Roman" w:hAnsi="Times New Roman"/>
        </w:rPr>
        <w:t>.</w:t>
      </w:r>
    </w:p>
    <w:p w:rsidR="00EA2835" w:rsidRDefault="00EA2835" w:rsidP="00B04B76">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2.</w:t>
      </w:r>
      <w:r w:rsidRPr="00373ED8">
        <w:rPr>
          <w:rFonts w:ascii="Times New Roman" w:hAnsi="Times New Roman"/>
        </w:rPr>
        <w:tab/>
      </w:r>
      <w:r w:rsidRPr="00373ED8">
        <w:rPr>
          <w:rFonts w:ascii="Times New Roman" w:hAnsi="Times New Roman"/>
          <w:u w:val="single"/>
        </w:rPr>
        <w:t>Use of the information:</w:t>
      </w:r>
    </w:p>
    <w:p w:rsidR="00EA17EC" w:rsidRPr="00373ED8" w:rsidRDefault="00EA17EC" w:rsidP="00373ED8">
      <w:pPr>
        <w:rPr>
          <w:rFonts w:ascii="Times New Roman" w:hAnsi="Times New Roman"/>
        </w:rPr>
      </w:pPr>
    </w:p>
    <w:p w:rsidR="00B04B76" w:rsidRPr="00373ED8" w:rsidRDefault="00B04B76" w:rsidP="00B04B76">
      <w:pPr>
        <w:ind w:firstLine="720"/>
        <w:rPr>
          <w:rFonts w:ascii="Times New Roman" w:hAnsi="Times New Roman"/>
        </w:rPr>
      </w:pPr>
      <w:r w:rsidRPr="00373ED8">
        <w:rPr>
          <w:rFonts w:ascii="Times New Roman" w:hAnsi="Times New Roman"/>
        </w:rPr>
        <w:t xml:space="preserve">The information </w:t>
      </w:r>
      <w:r w:rsidR="0063340F">
        <w:rPr>
          <w:rFonts w:ascii="Times New Roman" w:hAnsi="Times New Roman"/>
        </w:rPr>
        <w:t xml:space="preserve">collection </w:t>
      </w:r>
      <w:r w:rsidRPr="00373ED8">
        <w:rPr>
          <w:rFonts w:ascii="Times New Roman" w:hAnsi="Times New Roman"/>
        </w:rPr>
        <w:t xml:space="preserve">requirements in this proposed rule are found in paragraphs (b)(1), (b)(2), (b)(3), (c), and (d) of 12 CFR </w:t>
      </w:r>
      <w:r w:rsidR="001635C1">
        <w:rPr>
          <w:rFonts w:ascii="Times New Roman" w:hAnsi="Times New Roman"/>
        </w:rPr>
        <w:t>34.203</w:t>
      </w:r>
      <w:r w:rsidRPr="00373ED8">
        <w:rPr>
          <w:rFonts w:ascii="Times New Roman" w:hAnsi="Times New Roman"/>
        </w:rPr>
        <w:t xml:space="preserve">.  </w:t>
      </w:r>
      <w:r w:rsidR="00721656">
        <w:rPr>
          <w:rFonts w:ascii="Times New Roman" w:hAnsi="Times New Roman"/>
        </w:rPr>
        <w:t>In the final rule, the requirements are found in paragraphs (c</w:t>
      </w:r>
      <w:proofErr w:type="gramStart"/>
      <w:r w:rsidR="00721656">
        <w:rPr>
          <w:rFonts w:ascii="Times New Roman" w:hAnsi="Times New Roman"/>
        </w:rPr>
        <w:t>)(</w:t>
      </w:r>
      <w:proofErr w:type="gramEnd"/>
      <w:r w:rsidR="00721656">
        <w:rPr>
          <w:rFonts w:ascii="Times New Roman" w:hAnsi="Times New Roman"/>
        </w:rPr>
        <w:t xml:space="preserve">1), (c)(2),(d), (e) and (f).  </w:t>
      </w:r>
      <w:r w:rsidRPr="00373ED8">
        <w:rPr>
          <w:rFonts w:ascii="Times New Roman" w:hAnsi="Times New Roman"/>
        </w:rPr>
        <w:t xml:space="preserve">This information is </w:t>
      </w:r>
      <w:r w:rsidR="0063340F">
        <w:rPr>
          <w:rFonts w:ascii="Times New Roman" w:hAnsi="Times New Roman"/>
        </w:rPr>
        <w:t>needed t</w:t>
      </w:r>
      <w:r w:rsidRPr="00373ED8">
        <w:rPr>
          <w:rFonts w:ascii="Times New Roman" w:hAnsi="Times New Roman"/>
        </w:rPr>
        <w:t xml:space="preserve">o protect consumers and promotes the safety and soundness of creditors making higher-risk mortgage loans.  This information will be used by creditors to evaluate real estate collateral in higher-risk mortgage </w:t>
      </w:r>
      <w:r w:rsidRPr="00373ED8">
        <w:rPr>
          <w:rFonts w:ascii="Times New Roman" w:hAnsi="Times New Roman"/>
        </w:rPr>
        <w:lastRenderedPageBreak/>
        <w:t xml:space="preserve">loan transactions and by consumers entering these transactions.  The collections of information are mandatory for creditors making higher-risk mortgage loans.  </w:t>
      </w:r>
      <w:r w:rsidR="00240373">
        <w:rPr>
          <w:rFonts w:ascii="Times New Roman" w:hAnsi="Times New Roman"/>
        </w:rPr>
        <w:t xml:space="preserve">While this rule imposes requirements on creditors, because of statutory exemptions and the exemptions from the </w:t>
      </w:r>
      <w:proofErr w:type="gramStart"/>
      <w:r w:rsidR="00240373">
        <w:rPr>
          <w:rFonts w:ascii="Times New Roman" w:hAnsi="Times New Roman"/>
        </w:rPr>
        <w:t>requirements  included</w:t>
      </w:r>
      <w:proofErr w:type="gramEnd"/>
      <w:r w:rsidR="00240373">
        <w:rPr>
          <w:rFonts w:ascii="Times New Roman" w:hAnsi="Times New Roman"/>
        </w:rPr>
        <w:t xml:space="preserve"> in the final rule, staff at the agencies believe that the majority  of loans  will not be subject to these requirements.</w:t>
      </w:r>
    </w:p>
    <w:p w:rsidR="00B04B76" w:rsidRPr="00373ED8" w:rsidRDefault="00B04B76" w:rsidP="00B04B76">
      <w:pPr>
        <w:ind w:firstLine="720"/>
        <w:rPr>
          <w:rFonts w:ascii="Times New Roman" w:hAnsi="Times New Roman"/>
        </w:rPr>
      </w:pPr>
    </w:p>
    <w:p w:rsidR="00D2740F" w:rsidRDefault="00B04B76" w:rsidP="00B04B76">
      <w:pPr>
        <w:ind w:firstLine="720"/>
        <w:rPr>
          <w:rFonts w:ascii="Times New Roman" w:hAnsi="Times New Roman"/>
        </w:rPr>
      </w:pPr>
      <w:r w:rsidRPr="00373ED8">
        <w:rPr>
          <w:rFonts w:ascii="Times New Roman" w:hAnsi="Times New Roman"/>
        </w:rPr>
        <w:t>The proposed rule would require that, within three days of application, a creditor provide a disclosure that informs consumers regarding the purpose of the appraisal, that the creditor will provide the consumer a copy of any appraisal, and that the consumer may choose to have a separate appraisal conducted at the expense of the consumer (Initial Appr</w:t>
      </w:r>
      <w:r>
        <w:rPr>
          <w:rFonts w:ascii="Times New Roman" w:hAnsi="Times New Roman"/>
        </w:rPr>
        <w:t>aisal Disclosure).</w:t>
      </w:r>
      <w:r w:rsidRPr="00B32622">
        <w:rPr>
          <w:rStyle w:val="FootnoteReference"/>
          <w:rFonts w:ascii="Times New Roman" w:hAnsi="Times New Roman"/>
          <w:sz w:val="22"/>
          <w:szCs w:val="22"/>
          <w:vertAlign w:val="superscript"/>
        </w:rPr>
        <w:footnoteReference w:id="7"/>
      </w:r>
      <w:r w:rsidRPr="00B32622">
        <w:rPr>
          <w:rFonts w:ascii="Times New Roman" w:hAnsi="Times New Roman"/>
          <w:sz w:val="22"/>
          <w:szCs w:val="22"/>
          <w:vertAlign w:val="superscript"/>
        </w:rPr>
        <w:t xml:space="preserve"> </w:t>
      </w:r>
      <w:r w:rsidRPr="00373ED8">
        <w:rPr>
          <w:rFonts w:ascii="Times New Roman" w:hAnsi="Times New Roman"/>
        </w:rPr>
        <w:t xml:space="preserve"> </w:t>
      </w:r>
      <w:r w:rsidR="00495B4D">
        <w:rPr>
          <w:rFonts w:ascii="Times New Roman" w:hAnsi="Times New Roman"/>
        </w:rPr>
        <w:t>The final rule clarifies that the disclosure requirement can be met by compliance with</w:t>
      </w:r>
      <w:r w:rsidR="00721656">
        <w:rPr>
          <w:rFonts w:ascii="Times New Roman" w:hAnsi="Times New Roman"/>
        </w:rPr>
        <w:t xml:space="preserve"> </w:t>
      </w:r>
      <w:r w:rsidR="00495B4D">
        <w:rPr>
          <w:rFonts w:ascii="Times New Roman" w:hAnsi="Times New Roman"/>
        </w:rPr>
        <w:t>t</w:t>
      </w:r>
      <w:r w:rsidR="00721656">
        <w:rPr>
          <w:rFonts w:ascii="Times New Roman" w:hAnsi="Times New Roman"/>
        </w:rPr>
        <w:t>h</w:t>
      </w:r>
      <w:r w:rsidR="00495B4D">
        <w:rPr>
          <w:rFonts w:ascii="Times New Roman" w:hAnsi="Times New Roman"/>
        </w:rPr>
        <w:t>e discl</w:t>
      </w:r>
      <w:r w:rsidR="00721656">
        <w:rPr>
          <w:rFonts w:ascii="Times New Roman" w:hAnsi="Times New Roman"/>
        </w:rPr>
        <w:t>osure</w:t>
      </w:r>
      <w:r w:rsidR="00495B4D">
        <w:rPr>
          <w:rFonts w:ascii="Times New Roman" w:hAnsi="Times New Roman"/>
        </w:rPr>
        <w:t xml:space="preserve"> requirement imposed by </w:t>
      </w:r>
      <w:r w:rsidR="00721656">
        <w:rPr>
          <w:rFonts w:ascii="Times New Roman" w:hAnsi="Times New Roman"/>
        </w:rPr>
        <w:t xml:space="preserve">the Equal Credit Opportunity Act’s implementing Regulation B, 12 CFR 1002.14 (a)(2). </w:t>
      </w:r>
      <w:r w:rsidR="00495B4D">
        <w:rPr>
          <w:rFonts w:ascii="Times New Roman" w:hAnsi="Times New Roman"/>
        </w:rPr>
        <w:t xml:space="preserve">  </w:t>
      </w:r>
      <w:r w:rsidRPr="00373ED8">
        <w:rPr>
          <w:rFonts w:ascii="Times New Roman" w:hAnsi="Times New Roman"/>
        </w:rPr>
        <w:t>If a loan meets the definition of a higher-risk mortgage loan, then the creditor would be required to obtain a written appraisal prepared by a certified or licensed appraiser who conducts a physical visit of the interior of the property that will secure the transaction, and send a copy of the written appraisal to the consumer (Written Appraisal).</w:t>
      </w:r>
      <w:r w:rsidR="00E021BB" w:rsidRPr="00B32622">
        <w:rPr>
          <w:rStyle w:val="FootnoteReference"/>
          <w:rFonts w:ascii="Times New Roman" w:hAnsi="Times New Roman"/>
          <w:sz w:val="22"/>
          <w:szCs w:val="22"/>
          <w:vertAlign w:val="superscript"/>
        </w:rPr>
        <w:footnoteReference w:id="8"/>
      </w:r>
      <w:r w:rsidRPr="00E021BB">
        <w:rPr>
          <w:rFonts w:ascii="Times New Roman" w:hAnsi="Times New Roman"/>
          <w:vertAlign w:val="superscript"/>
        </w:rPr>
        <w:t xml:space="preserve"> </w:t>
      </w:r>
      <w:r w:rsidRPr="00373ED8">
        <w:rPr>
          <w:rFonts w:ascii="Times New Roman" w:hAnsi="Times New Roman"/>
        </w:rPr>
        <w:t xml:space="preserve"> To qualify for the safe harbor provided under the proposed rule, a creditor would be required to review the written appraisal as specified in the text of the rule and appendix </w:t>
      </w:r>
      <w:r w:rsidR="001635C1">
        <w:rPr>
          <w:rFonts w:ascii="Times New Roman" w:hAnsi="Times New Roman"/>
        </w:rPr>
        <w:t>A</w:t>
      </w:r>
      <w:r w:rsidRPr="00373ED8">
        <w:rPr>
          <w:rFonts w:ascii="Times New Roman" w:hAnsi="Times New Roman"/>
        </w:rPr>
        <w:t>.</w:t>
      </w:r>
      <w:r w:rsidR="00E021BB" w:rsidRPr="00B32622">
        <w:rPr>
          <w:rStyle w:val="FootnoteReference"/>
          <w:rFonts w:ascii="Times New Roman" w:hAnsi="Times New Roman"/>
          <w:sz w:val="22"/>
          <w:szCs w:val="22"/>
          <w:vertAlign w:val="superscript"/>
        </w:rPr>
        <w:footnoteReference w:id="9"/>
      </w:r>
      <w:r w:rsidRPr="00B32622">
        <w:rPr>
          <w:rFonts w:ascii="Times New Roman" w:hAnsi="Times New Roman"/>
          <w:sz w:val="22"/>
          <w:szCs w:val="22"/>
          <w:vertAlign w:val="superscript"/>
        </w:rPr>
        <w:t xml:space="preserve"> </w:t>
      </w:r>
      <w:r w:rsidRPr="00B32622">
        <w:rPr>
          <w:rFonts w:ascii="Times New Roman" w:hAnsi="Times New Roman"/>
          <w:sz w:val="22"/>
          <w:szCs w:val="22"/>
        </w:rPr>
        <w:t xml:space="preserve"> </w:t>
      </w:r>
      <w:r w:rsidRPr="00373ED8">
        <w:rPr>
          <w:rFonts w:ascii="Times New Roman" w:hAnsi="Times New Roman"/>
        </w:rPr>
        <w:t>If a loan is classified as a higher-risk mortgage loan that will finance the acquisition of the property to be mortgaged, and the property was acquired within the previous 180 days by the seller at a price that was lower than the current sale price, then the creditor would be required to obtain an additional appraisal that meets the requirements described above (Additional Written Appraisal).</w:t>
      </w:r>
      <w:r w:rsidR="00970EDA" w:rsidRPr="00B32622">
        <w:rPr>
          <w:rStyle w:val="FootnoteReference"/>
          <w:rFonts w:ascii="Times New Roman" w:hAnsi="Times New Roman"/>
          <w:sz w:val="22"/>
          <w:szCs w:val="22"/>
          <w:vertAlign w:val="superscript"/>
        </w:rPr>
        <w:footnoteReference w:id="10"/>
      </w:r>
      <w:r w:rsidRPr="00294E05">
        <w:rPr>
          <w:rFonts w:ascii="Times New Roman" w:hAnsi="Times New Roman"/>
          <w:vertAlign w:val="superscript"/>
        </w:rPr>
        <w:t xml:space="preserve"> </w:t>
      </w:r>
      <w:r w:rsidRPr="00373ED8">
        <w:rPr>
          <w:rFonts w:ascii="Times New Roman" w:hAnsi="Times New Roman"/>
        </w:rPr>
        <w:t xml:space="preserve"> </w:t>
      </w:r>
    </w:p>
    <w:p w:rsidR="00D2740F" w:rsidRDefault="00D2740F" w:rsidP="00B04B76">
      <w:pPr>
        <w:ind w:firstLine="720"/>
        <w:rPr>
          <w:rFonts w:ascii="Times New Roman" w:hAnsi="Times New Roman"/>
        </w:rPr>
      </w:pPr>
    </w:p>
    <w:p w:rsidR="00D2740F" w:rsidRDefault="00B04B76" w:rsidP="00B04B76">
      <w:pPr>
        <w:ind w:firstLine="720"/>
        <w:rPr>
          <w:rFonts w:ascii="Times New Roman" w:hAnsi="Times New Roman"/>
        </w:rPr>
      </w:pPr>
      <w:r w:rsidRPr="00373ED8">
        <w:rPr>
          <w:rFonts w:ascii="Times New Roman" w:hAnsi="Times New Roman"/>
        </w:rPr>
        <w:t xml:space="preserve">The Additional Written Appraisal must also analyze: </w:t>
      </w:r>
    </w:p>
    <w:p w:rsidR="00D2740F" w:rsidRDefault="00D2740F" w:rsidP="00B04B76">
      <w:pPr>
        <w:ind w:firstLine="720"/>
        <w:rPr>
          <w:rFonts w:ascii="Times New Roman" w:hAnsi="Times New Roman"/>
        </w:rPr>
      </w:pPr>
    </w:p>
    <w:p w:rsidR="00D2740F" w:rsidRDefault="00D2740F" w:rsidP="00D2740F">
      <w:pPr>
        <w:pStyle w:val="ListParagraph"/>
        <w:numPr>
          <w:ilvl w:val="0"/>
          <w:numId w:val="11"/>
        </w:numPr>
      </w:pPr>
      <w:r w:rsidRPr="00D2740F">
        <w:t>T</w:t>
      </w:r>
      <w:r w:rsidR="00B04B76" w:rsidRPr="00D2740F">
        <w:t>he difference between the price at which the seller acquired the property and the price t</w:t>
      </w:r>
      <w:r>
        <w:t>he consumer agreed to pay;</w:t>
      </w:r>
    </w:p>
    <w:p w:rsidR="00D2740F" w:rsidRDefault="00D2740F" w:rsidP="00D2740F">
      <w:pPr>
        <w:pStyle w:val="ListParagraph"/>
        <w:numPr>
          <w:ilvl w:val="0"/>
          <w:numId w:val="11"/>
        </w:numPr>
      </w:pPr>
      <w:r>
        <w:t>C</w:t>
      </w:r>
      <w:r w:rsidR="00B04B76" w:rsidRPr="00D2740F">
        <w:t>hanges in market conditions between the date the seller acquired the property and the date the consumer agreed to acquire the property</w:t>
      </w:r>
      <w:r>
        <w:t>; and</w:t>
      </w:r>
    </w:p>
    <w:p w:rsidR="00EA17EC" w:rsidRPr="00802328" w:rsidRDefault="00D2740F" w:rsidP="00373ED8">
      <w:pPr>
        <w:pStyle w:val="ListParagraph"/>
        <w:numPr>
          <w:ilvl w:val="0"/>
          <w:numId w:val="11"/>
        </w:numPr>
      </w:pPr>
      <w:r>
        <w:t>A</w:t>
      </w:r>
      <w:r w:rsidR="00B04B76" w:rsidRPr="00D2740F">
        <w:t>ny improvements made to the property between the date the seller acquired the property and the consumer agreed to acquire the property.</w:t>
      </w:r>
      <w:r w:rsidRPr="00B32622">
        <w:rPr>
          <w:rStyle w:val="FootnoteReference"/>
          <w:sz w:val="22"/>
          <w:vertAlign w:val="superscript"/>
        </w:rPr>
        <w:footnoteReference w:id="11"/>
      </w:r>
      <w:r w:rsidR="00B04B76" w:rsidRPr="00B32622">
        <w:rPr>
          <w:sz w:val="22"/>
          <w:vertAlign w:val="superscript"/>
        </w:rPr>
        <w:t xml:space="preserve"> </w:t>
      </w:r>
      <w:r w:rsidR="00B04B76" w:rsidRPr="00B32622">
        <w:rPr>
          <w:sz w:val="22"/>
        </w:rPr>
        <w:t xml:space="preserve"> </w:t>
      </w:r>
      <w:r w:rsidR="00B04B76" w:rsidRPr="00D2740F">
        <w:t xml:space="preserve">A creditor would also be required to send a copy of the additional written appraisal to the consumer. </w:t>
      </w:r>
      <w:r w:rsidRPr="00B32622">
        <w:rPr>
          <w:rStyle w:val="FootnoteReference"/>
          <w:sz w:val="22"/>
          <w:vertAlign w:val="superscript"/>
        </w:rPr>
        <w:footnoteReference w:id="12"/>
      </w:r>
      <w:r w:rsidR="00B04B76" w:rsidRPr="00B32622">
        <w:rPr>
          <w:sz w:val="22"/>
          <w:vertAlign w:val="superscript"/>
        </w:rPr>
        <w:t xml:space="preserve"> </w:t>
      </w:r>
    </w:p>
    <w:p w:rsidR="00691C16" w:rsidRPr="00D2740F" w:rsidRDefault="00691C16" w:rsidP="006D0DDB">
      <w:pPr>
        <w:pStyle w:val="ListParagraph"/>
        <w:ind w:left="1080"/>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3.</w:t>
      </w:r>
      <w:r w:rsidRPr="00373ED8">
        <w:rPr>
          <w:rFonts w:ascii="Times New Roman" w:hAnsi="Times New Roman"/>
        </w:rPr>
        <w:tab/>
      </w:r>
      <w:r w:rsidRPr="00373ED8">
        <w:rPr>
          <w:rFonts w:ascii="Times New Roman" w:hAnsi="Times New Roman"/>
          <w:u w:val="single"/>
        </w:rPr>
        <w:t>Consideration of the use of improved information technology:</w:t>
      </w:r>
    </w:p>
    <w:p w:rsidR="00EA17EC" w:rsidRPr="00373ED8" w:rsidRDefault="00EA17EC" w:rsidP="00373ED8">
      <w:pPr>
        <w:rPr>
          <w:rFonts w:ascii="Times New Roman" w:hAnsi="Times New Roman"/>
        </w:rPr>
      </w:pPr>
    </w:p>
    <w:p w:rsidR="008349A5" w:rsidRPr="00373ED8" w:rsidRDefault="00D061A7" w:rsidP="00373ED8">
      <w:pPr>
        <w:rPr>
          <w:rFonts w:ascii="Times New Roman" w:hAnsi="Times New Roman"/>
        </w:rPr>
      </w:pPr>
      <w:r>
        <w:rPr>
          <w:rFonts w:ascii="Times New Roman" w:hAnsi="Times New Roman"/>
        </w:rPr>
        <w:lastRenderedPageBreak/>
        <w:tab/>
        <w:t>Respondents may use any type of improved information technology they have available to meet the requirements of this regulation.</w:t>
      </w:r>
    </w:p>
    <w:p w:rsidR="008349A5" w:rsidRPr="00373ED8" w:rsidRDefault="008349A5"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4.</w:t>
      </w:r>
      <w:r w:rsidRPr="00373ED8">
        <w:rPr>
          <w:rFonts w:ascii="Times New Roman" w:hAnsi="Times New Roman"/>
        </w:rPr>
        <w:tab/>
      </w:r>
      <w:r w:rsidRPr="00373ED8">
        <w:rPr>
          <w:rFonts w:ascii="Times New Roman" w:hAnsi="Times New Roman"/>
          <w:u w:val="single"/>
        </w:rPr>
        <w:t>Efforts to identify duplication:</w:t>
      </w:r>
    </w:p>
    <w:p w:rsidR="00EA17EC" w:rsidRPr="00373ED8" w:rsidRDefault="00EA17EC" w:rsidP="00373ED8">
      <w:pPr>
        <w:rPr>
          <w:rFonts w:ascii="Times New Roman" w:hAnsi="Times New Roman"/>
        </w:rPr>
      </w:pPr>
    </w:p>
    <w:p w:rsidR="00EA17EC" w:rsidRDefault="00D061A7" w:rsidP="00373ED8">
      <w:pPr>
        <w:rPr>
          <w:rFonts w:ascii="Times New Roman" w:hAnsi="Times New Roman"/>
        </w:rPr>
      </w:pPr>
      <w:r>
        <w:rPr>
          <w:rFonts w:ascii="Times New Roman" w:hAnsi="Times New Roman"/>
        </w:rPr>
        <w:tab/>
        <w:t>This information is not available elsewhere.</w:t>
      </w:r>
    </w:p>
    <w:p w:rsidR="00D061A7" w:rsidRPr="00373ED8" w:rsidRDefault="00D061A7"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5.</w:t>
      </w:r>
      <w:r w:rsidRPr="00373ED8">
        <w:rPr>
          <w:rFonts w:ascii="Times New Roman" w:hAnsi="Times New Roman"/>
        </w:rPr>
        <w:tab/>
      </w:r>
      <w:r w:rsidRPr="00373ED8">
        <w:rPr>
          <w:rFonts w:ascii="Times New Roman" w:hAnsi="Times New Roman"/>
          <w:u w:val="single"/>
        </w:rPr>
        <w:t>Methods used to minimize burden if the collection has a significant impact on substantial number of small entities:</w:t>
      </w:r>
    </w:p>
    <w:p w:rsidR="00EA17EC" w:rsidRPr="00373ED8" w:rsidRDefault="00EA17EC" w:rsidP="00373ED8">
      <w:pPr>
        <w:rPr>
          <w:rFonts w:ascii="Times New Roman" w:hAnsi="Times New Roman"/>
        </w:rPr>
      </w:pPr>
    </w:p>
    <w:p w:rsidR="00EA17EC" w:rsidRDefault="00D061A7" w:rsidP="00373ED8">
      <w:pPr>
        <w:rPr>
          <w:rFonts w:ascii="Times New Roman" w:hAnsi="Times New Roman"/>
        </w:rPr>
      </w:pPr>
      <w:r>
        <w:rPr>
          <w:rFonts w:ascii="Times New Roman" w:hAnsi="Times New Roman"/>
        </w:rPr>
        <w:tab/>
        <w:t>Not applicable.  This collection does not have a significant impact on a substantial number of small entities.</w:t>
      </w:r>
    </w:p>
    <w:p w:rsidR="00D061A7" w:rsidRPr="00373ED8" w:rsidRDefault="00D061A7"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6.</w:t>
      </w:r>
      <w:r w:rsidRPr="00373ED8">
        <w:rPr>
          <w:rFonts w:ascii="Times New Roman" w:hAnsi="Times New Roman"/>
        </w:rPr>
        <w:tab/>
      </w:r>
      <w:r w:rsidRPr="00373ED8">
        <w:rPr>
          <w:rFonts w:ascii="Times New Roman" w:hAnsi="Times New Roman"/>
          <w:u w:val="single"/>
        </w:rPr>
        <w:t>Consequences to the Federal program if the collection were conducted less frequently:</w:t>
      </w:r>
    </w:p>
    <w:p w:rsidR="00EA17EC" w:rsidRDefault="00EA17EC" w:rsidP="00373ED8">
      <w:pPr>
        <w:rPr>
          <w:rFonts w:ascii="Times New Roman" w:hAnsi="Times New Roman"/>
        </w:rPr>
      </w:pPr>
    </w:p>
    <w:p w:rsidR="00D061A7" w:rsidRPr="00373ED8" w:rsidRDefault="00D061A7" w:rsidP="00373ED8">
      <w:pPr>
        <w:rPr>
          <w:rFonts w:ascii="Times New Roman" w:hAnsi="Times New Roman"/>
        </w:rPr>
      </w:pPr>
      <w:r>
        <w:rPr>
          <w:rFonts w:ascii="Times New Roman" w:hAnsi="Times New Roman"/>
        </w:rPr>
        <w:tab/>
        <w:t>Less frequent collection would result in safety and soundness concerns.</w:t>
      </w:r>
    </w:p>
    <w:p w:rsidR="00EA17EC" w:rsidRPr="00373ED8" w:rsidRDefault="00EA17EC"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7.</w:t>
      </w:r>
      <w:r w:rsidRPr="00373ED8">
        <w:rPr>
          <w:rFonts w:ascii="Times New Roman" w:hAnsi="Times New Roman"/>
        </w:rPr>
        <w:tab/>
      </w:r>
      <w:r w:rsidRPr="00373ED8">
        <w:rPr>
          <w:rFonts w:ascii="Times New Roman" w:hAnsi="Times New Roman"/>
          <w:u w:val="single"/>
        </w:rPr>
        <w:t>Special circumstances necessitating collection inconsistent with 5 CFR Part 1320:</w:t>
      </w:r>
    </w:p>
    <w:p w:rsidR="00EA17EC" w:rsidRPr="00373ED8" w:rsidRDefault="00EA17EC" w:rsidP="00373ED8">
      <w:pPr>
        <w:rPr>
          <w:rFonts w:ascii="Times New Roman" w:hAnsi="Times New Roman"/>
        </w:rPr>
      </w:pPr>
    </w:p>
    <w:p w:rsidR="00EA17EC" w:rsidRPr="00373ED8" w:rsidRDefault="00EA17EC" w:rsidP="00D061A7">
      <w:pPr>
        <w:ind w:firstLine="720"/>
        <w:rPr>
          <w:rFonts w:ascii="Times New Roman" w:hAnsi="Times New Roman"/>
        </w:rPr>
      </w:pPr>
      <w:r w:rsidRPr="00373ED8">
        <w:rPr>
          <w:rFonts w:ascii="Times New Roman" w:hAnsi="Times New Roman"/>
        </w:rPr>
        <w:t>Not applicable.  This collection is conducted in accordance with the guidelines in 5 CFR 1320.6.</w:t>
      </w:r>
    </w:p>
    <w:p w:rsidR="00EA17EC" w:rsidRPr="00373ED8" w:rsidRDefault="00EA17EC"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8.</w:t>
      </w:r>
      <w:r w:rsidRPr="00373ED8">
        <w:rPr>
          <w:rFonts w:ascii="Times New Roman" w:hAnsi="Times New Roman"/>
        </w:rPr>
        <w:tab/>
      </w:r>
      <w:r w:rsidRPr="00373ED8">
        <w:rPr>
          <w:rFonts w:ascii="Times New Roman" w:hAnsi="Times New Roman"/>
          <w:u w:val="single"/>
        </w:rPr>
        <w:t>Efforts to consult with persons outside the agency:</w:t>
      </w:r>
    </w:p>
    <w:p w:rsidR="00EA17EC" w:rsidRPr="00373ED8" w:rsidRDefault="00EA17EC" w:rsidP="00373ED8">
      <w:pPr>
        <w:widowControl/>
        <w:rPr>
          <w:rFonts w:ascii="Times New Roman" w:hAnsi="Times New Roman"/>
        </w:rPr>
      </w:pPr>
    </w:p>
    <w:p w:rsidR="00EA17EC" w:rsidRDefault="00D061A7" w:rsidP="00683D1B">
      <w:pPr>
        <w:pStyle w:val="Heading2"/>
        <w:ind w:firstLine="720"/>
        <w:jc w:val="left"/>
        <w:rPr>
          <w:rFonts w:ascii="Times New Roman" w:hAnsi="Times New Roman"/>
          <w:i w:val="0"/>
          <w:iCs/>
          <w:szCs w:val="24"/>
        </w:rPr>
      </w:pPr>
      <w:r>
        <w:rPr>
          <w:rFonts w:ascii="Times New Roman" w:hAnsi="Times New Roman"/>
          <w:i w:val="0"/>
          <w:iCs/>
          <w:szCs w:val="24"/>
        </w:rPr>
        <w:t xml:space="preserve">On </w:t>
      </w:r>
      <w:r w:rsidR="00C96381">
        <w:rPr>
          <w:rFonts w:ascii="Times New Roman" w:hAnsi="Times New Roman"/>
          <w:i w:val="0"/>
          <w:iCs/>
          <w:szCs w:val="24"/>
        </w:rPr>
        <w:t>September 5</w:t>
      </w:r>
      <w:r>
        <w:rPr>
          <w:rFonts w:ascii="Times New Roman" w:hAnsi="Times New Roman"/>
          <w:i w:val="0"/>
          <w:iCs/>
          <w:szCs w:val="24"/>
        </w:rPr>
        <w:t xml:space="preserve">, 2012 the </w:t>
      </w:r>
      <w:r w:rsidR="00800BC5">
        <w:rPr>
          <w:rFonts w:ascii="Times New Roman" w:hAnsi="Times New Roman"/>
          <w:i w:val="0"/>
          <w:iCs/>
          <w:szCs w:val="24"/>
        </w:rPr>
        <w:t>Agencies</w:t>
      </w:r>
      <w:r>
        <w:rPr>
          <w:rFonts w:ascii="Times New Roman" w:hAnsi="Times New Roman"/>
          <w:i w:val="0"/>
          <w:iCs/>
          <w:szCs w:val="24"/>
        </w:rPr>
        <w:t xml:space="preserve"> issued a no</w:t>
      </w:r>
      <w:r w:rsidR="00683D1B">
        <w:rPr>
          <w:rFonts w:ascii="Times New Roman" w:hAnsi="Times New Roman"/>
          <w:i w:val="0"/>
          <w:iCs/>
          <w:szCs w:val="24"/>
        </w:rPr>
        <w:t xml:space="preserve">tice of proposed rulemaking for </w:t>
      </w:r>
      <w:r>
        <w:rPr>
          <w:rFonts w:ascii="Times New Roman" w:hAnsi="Times New Roman"/>
          <w:i w:val="0"/>
          <w:iCs/>
          <w:szCs w:val="24"/>
        </w:rPr>
        <w:t xml:space="preserve">comment.  </w:t>
      </w:r>
      <w:proofErr w:type="gramStart"/>
      <w:r>
        <w:rPr>
          <w:rFonts w:ascii="Times New Roman" w:hAnsi="Times New Roman"/>
          <w:i w:val="0"/>
          <w:iCs/>
          <w:szCs w:val="24"/>
        </w:rPr>
        <w:t xml:space="preserve">77 FR </w:t>
      </w:r>
      <w:r w:rsidR="00C96381">
        <w:rPr>
          <w:rFonts w:ascii="Times New Roman" w:hAnsi="Times New Roman"/>
          <w:i w:val="0"/>
          <w:iCs/>
          <w:szCs w:val="24"/>
        </w:rPr>
        <w:t>54722</w:t>
      </w:r>
      <w:r>
        <w:rPr>
          <w:rFonts w:ascii="Times New Roman" w:hAnsi="Times New Roman"/>
          <w:i w:val="0"/>
          <w:iCs/>
          <w:szCs w:val="24"/>
        </w:rPr>
        <w:t>.</w:t>
      </w:r>
      <w:proofErr w:type="gramEnd"/>
      <w:r w:rsidR="00495B4D">
        <w:rPr>
          <w:rFonts w:ascii="Times New Roman" w:hAnsi="Times New Roman"/>
          <w:i w:val="0"/>
          <w:iCs/>
          <w:szCs w:val="24"/>
        </w:rPr>
        <w:t xml:space="preserve">  The comment period closed on October 5, 2012 and the agencies received ove</w:t>
      </w:r>
      <w:r w:rsidR="00442AE0">
        <w:rPr>
          <w:rFonts w:ascii="Times New Roman" w:hAnsi="Times New Roman"/>
          <w:i w:val="0"/>
          <w:iCs/>
          <w:szCs w:val="24"/>
        </w:rPr>
        <w:t>r 200 unique comment letters.  N</w:t>
      </w:r>
      <w:r w:rsidR="00495B4D">
        <w:rPr>
          <w:rFonts w:ascii="Times New Roman" w:hAnsi="Times New Roman"/>
          <w:i w:val="0"/>
          <w:iCs/>
          <w:szCs w:val="24"/>
        </w:rPr>
        <w:t>one of the comment letters commented on the Paperwork Reduction Act.</w:t>
      </w:r>
    </w:p>
    <w:p w:rsidR="00D061A7" w:rsidRPr="00D061A7" w:rsidRDefault="00D061A7" w:rsidP="00D061A7"/>
    <w:p w:rsidR="00EA17EC" w:rsidRPr="00373ED8" w:rsidRDefault="00EA17EC" w:rsidP="00373ED8">
      <w:pPr>
        <w:rPr>
          <w:rFonts w:ascii="Times New Roman" w:hAnsi="Times New Roman"/>
          <w:u w:val="single"/>
        </w:rPr>
      </w:pPr>
      <w:r w:rsidRPr="00373ED8">
        <w:rPr>
          <w:rFonts w:ascii="Times New Roman" w:hAnsi="Times New Roman"/>
        </w:rPr>
        <w:t>9.</w:t>
      </w:r>
      <w:r w:rsidRPr="00373ED8">
        <w:rPr>
          <w:rFonts w:ascii="Times New Roman" w:hAnsi="Times New Roman"/>
        </w:rPr>
        <w:tab/>
      </w:r>
      <w:r w:rsidRPr="00373ED8">
        <w:rPr>
          <w:rFonts w:ascii="Times New Roman" w:hAnsi="Times New Roman"/>
          <w:u w:val="single"/>
        </w:rPr>
        <w:t>Payment to respondents.</w:t>
      </w:r>
    </w:p>
    <w:p w:rsidR="00EA17EC" w:rsidRPr="00373ED8" w:rsidRDefault="00EA17EC" w:rsidP="00373ED8">
      <w:pPr>
        <w:rPr>
          <w:rFonts w:ascii="Times New Roman" w:hAnsi="Times New Roman"/>
          <w:u w:val="single"/>
        </w:rPr>
      </w:pPr>
    </w:p>
    <w:p w:rsidR="00EA17EC" w:rsidRPr="00373ED8" w:rsidRDefault="00EA17EC" w:rsidP="00373ED8">
      <w:pPr>
        <w:ind w:firstLine="720"/>
        <w:rPr>
          <w:rFonts w:ascii="Times New Roman" w:hAnsi="Times New Roman"/>
        </w:rPr>
      </w:pPr>
      <w:r w:rsidRPr="00373ED8">
        <w:rPr>
          <w:rFonts w:ascii="Times New Roman" w:hAnsi="Times New Roman"/>
        </w:rPr>
        <w:t>Not applicable.  There is no payment to respondents.</w:t>
      </w:r>
    </w:p>
    <w:p w:rsidR="00EA17EC" w:rsidRPr="00373ED8" w:rsidRDefault="00EA17EC"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10.</w:t>
      </w:r>
      <w:r w:rsidRPr="00373ED8">
        <w:rPr>
          <w:rFonts w:ascii="Times New Roman" w:hAnsi="Times New Roman"/>
        </w:rPr>
        <w:tab/>
      </w:r>
      <w:r w:rsidRPr="00373ED8">
        <w:rPr>
          <w:rFonts w:ascii="Times New Roman" w:hAnsi="Times New Roman"/>
          <w:u w:val="single"/>
        </w:rPr>
        <w:t>Any assurance of confidentiality:</w:t>
      </w:r>
    </w:p>
    <w:p w:rsidR="00EA17EC" w:rsidRPr="00373ED8" w:rsidRDefault="00EA17EC" w:rsidP="00373ED8">
      <w:pPr>
        <w:rPr>
          <w:rFonts w:ascii="Times New Roman" w:hAnsi="Times New Roman"/>
        </w:rPr>
      </w:pPr>
    </w:p>
    <w:p w:rsidR="00EA17EC" w:rsidRPr="00373ED8" w:rsidRDefault="00EA17EC" w:rsidP="00373ED8">
      <w:pPr>
        <w:ind w:firstLine="720"/>
        <w:rPr>
          <w:rFonts w:ascii="Times New Roman" w:hAnsi="Times New Roman"/>
        </w:rPr>
      </w:pPr>
      <w:r w:rsidRPr="00373ED8">
        <w:rPr>
          <w:rFonts w:ascii="Times New Roman" w:hAnsi="Times New Roman"/>
        </w:rPr>
        <w:t>Not applicable.  No assurance of confidentiality is made.</w:t>
      </w:r>
      <w:r w:rsidRPr="00373ED8">
        <w:rPr>
          <w:rFonts w:ascii="Times New Roman" w:hAnsi="Times New Roman"/>
        </w:rPr>
        <w:tab/>
      </w:r>
    </w:p>
    <w:p w:rsidR="00EA17EC" w:rsidRPr="00373ED8" w:rsidRDefault="00EA17EC" w:rsidP="00373ED8">
      <w:pPr>
        <w:rPr>
          <w:rFonts w:ascii="Times New Roman" w:hAnsi="Times New Roman"/>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11.</w:t>
      </w:r>
      <w:r w:rsidRPr="00373ED8">
        <w:rPr>
          <w:rFonts w:ascii="Times New Roman" w:hAnsi="Times New Roman"/>
        </w:rPr>
        <w:tab/>
      </w:r>
      <w:r w:rsidRPr="00373ED8">
        <w:rPr>
          <w:rFonts w:ascii="Times New Roman" w:hAnsi="Times New Roman"/>
          <w:u w:val="single"/>
        </w:rPr>
        <w:t>Justification for questions of a sensitive nature:</w:t>
      </w:r>
    </w:p>
    <w:p w:rsidR="00EA17EC" w:rsidRPr="00373ED8" w:rsidRDefault="00EA17EC" w:rsidP="00373ED8">
      <w:pPr>
        <w:rPr>
          <w:rFonts w:ascii="Times New Roman" w:hAnsi="Times New Roman"/>
        </w:rPr>
      </w:pPr>
    </w:p>
    <w:p w:rsidR="00EA17EC" w:rsidRDefault="00EA17EC" w:rsidP="00373ED8">
      <w:pPr>
        <w:ind w:firstLine="720"/>
        <w:rPr>
          <w:rFonts w:ascii="Times New Roman" w:hAnsi="Times New Roman"/>
        </w:rPr>
      </w:pPr>
      <w:r w:rsidRPr="00373ED8">
        <w:rPr>
          <w:rFonts w:ascii="Times New Roman" w:hAnsi="Times New Roman"/>
        </w:rPr>
        <w:t>Not applicable.  No questions of a sensitive nature are asked.</w:t>
      </w:r>
    </w:p>
    <w:p w:rsidR="00EA17EC" w:rsidRPr="00373ED8" w:rsidRDefault="00EA17EC" w:rsidP="00373ED8">
      <w:pPr>
        <w:rPr>
          <w:rFonts w:ascii="Times New Roman" w:hAnsi="Times New Roman"/>
        </w:rPr>
      </w:pPr>
    </w:p>
    <w:p w:rsidR="00EA17EC" w:rsidRDefault="00EA17EC" w:rsidP="00373ED8">
      <w:pPr>
        <w:tabs>
          <w:tab w:val="left" w:pos="-1440"/>
        </w:tabs>
        <w:ind w:left="720" w:hanging="720"/>
        <w:rPr>
          <w:rFonts w:ascii="Times New Roman" w:hAnsi="Times New Roman"/>
          <w:u w:val="single"/>
        </w:rPr>
      </w:pPr>
      <w:r w:rsidRPr="00373ED8">
        <w:rPr>
          <w:rFonts w:ascii="Times New Roman" w:hAnsi="Times New Roman"/>
        </w:rPr>
        <w:t>12.</w:t>
      </w:r>
      <w:r w:rsidRPr="00373ED8">
        <w:rPr>
          <w:rFonts w:ascii="Times New Roman" w:hAnsi="Times New Roman"/>
        </w:rPr>
        <w:tab/>
      </w:r>
      <w:r w:rsidRPr="00373ED8">
        <w:rPr>
          <w:rFonts w:ascii="Times New Roman" w:hAnsi="Times New Roman"/>
          <w:u w:val="single"/>
        </w:rPr>
        <w:t>Burden estimate:</w:t>
      </w:r>
    </w:p>
    <w:p w:rsidR="00C94DAC" w:rsidRDefault="00C94DAC" w:rsidP="00373ED8">
      <w:pPr>
        <w:tabs>
          <w:tab w:val="left" w:pos="-1440"/>
        </w:tabs>
        <w:ind w:left="720" w:hanging="720"/>
        <w:rPr>
          <w:rFonts w:ascii="Times New Roman" w:hAnsi="Times New Roman"/>
          <w:u w:val="single"/>
        </w:rPr>
      </w:pPr>
    </w:p>
    <w:p w:rsidR="00C94DAC" w:rsidRDefault="00C94DAC" w:rsidP="00373ED8">
      <w:pPr>
        <w:tabs>
          <w:tab w:val="left" w:pos="-1440"/>
        </w:tabs>
        <w:ind w:left="720" w:hanging="720"/>
        <w:rPr>
          <w:rFonts w:ascii="Times New Roman" w:hAnsi="Times New Roman"/>
          <w:u w:val="single"/>
        </w:rPr>
      </w:pPr>
      <w:r>
        <w:rPr>
          <w:rFonts w:ascii="Times New Roman" w:hAnsi="Times New Roman"/>
          <w:u w:val="single"/>
        </w:rPr>
        <w:lastRenderedPageBreak/>
        <w:t>Initial Appraisal</w:t>
      </w:r>
    </w:p>
    <w:p w:rsidR="00E820E5" w:rsidRDefault="00E820E5" w:rsidP="00373ED8">
      <w:pPr>
        <w:tabs>
          <w:tab w:val="left" w:pos="-1440"/>
        </w:tabs>
        <w:ind w:left="720" w:hanging="720"/>
        <w:rPr>
          <w:rFonts w:ascii="Times New Roman" w:hAnsi="Times New Roman"/>
        </w:rPr>
      </w:pPr>
    </w:p>
    <w:p w:rsidR="00136AC6" w:rsidRDefault="00E820E5" w:rsidP="00E820E5">
      <w:pPr>
        <w:ind w:firstLine="720"/>
        <w:rPr>
          <w:rFonts w:ascii="Times New Roman" w:hAnsi="Times New Roman"/>
          <w:sz w:val="22"/>
          <w:szCs w:val="22"/>
          <w:vertAlign w:val="superscript"/>
        </w:rPr>
      </w:pPr>
      <w:r w:rsidRPr="00373ED8">
        <w:rPr>
          <w:rFonts w:ascii="Times New Roman" w:hAnsi="Times New Roman"/>
        </w:rPr>
        <w:t xml:space="preserve">Under the </w:t>
      </w:r>
      <w:r w:rsidR="001D6A9B">
        <w:rPr>
          <w:rFonts w:ascii="Times New Roman" w:hAnsi="Times New Roman"/>
        </w:rPr>
        <w:t>i</w:t>
      </w:r>
      <w:r w:rsidRPr="00373ED8">
        <w:rPr>
          <w:rFonts w:ascii="Times New Roman" w:hAnsi="Times New Roman"/>
        </w:rPr>
        <w:t xml:space="preserve">nitial </w:t>
      </w:r>
      <w:r w:rsidR="001D6A9B">
        <w:rPr>
          <w:rFonts w:ascii="Times New Roman" w:hAnsi="Times New Roman"/>
        </w:rPr>
        <w:t>a</w:t>
      </w:r>
      <w:r w:rsidRPr="00373ED8">
        <w:rPr>
          <w:rFonts w:ascii="Times New Roman" w:hAnsi="Times New Roman"/>
        </w:rPr>
        <w:t xml:space="preserve">ppraisal </w:t>
      </w:r>
      <w:r w:rsidR="00307470">
        <w:rPr>
          <w:rFonts w:ascii="Times New Roman" w:hAnsi="Times New Roman"/>
        </w:rPr>
        <w:t xml:space="preserve">process for higher risk mortgage </w:t>
      </w:r>
      <w:proofErr w:type="gramStart"/>
      <w:r w:rsidR="00307470">
        <w:rPr>
          <w:rFonts w:ascii="Times New Roman" w:hAnsi="Times New Roman"/>
        </w:rPr>
        <w:t xml:space="preserve">loans </w:t>
      </w:r>
      <w:r w:rsidR="00C94DAC">
        <w:rPr>
          <w:rFonts w:ascii="Times New Roman" w:hAnsi="Times New Roman"/>
        </w:rPr>
        <w:t>,</w:t>
      </w:r>
      <w:proofErr w:type="gramEnd"/>
      <w:r w:rsidR="00A24402" w:rsidRPr="006A0AE9">
        <w:rPr>
          <w:rStyle w:val="FootnoteReference"/>
          <w:rFonts w:ascii="Times New Roman" w:hAnsi="Times New Roman"/>
          <w:vertAlign w:val="superscript"/>
        </w:rPr>
        <w:footnoteReference w:id="13"/>
      </w:r>
      <w:r w:rsidRPr="00373ED8">
        <w:rPr>
          <w:rFonts w:ascii="Times New Roman" w:hAnsi="Times New Roman"/>
        </w:rPr>
        <w:t xml:space="preserve"> the creditor would be required to provide a short, written disclosure within three days of application.  Because the disclosure may be classified as a warning label supplied by the Federal government, the Agencies are assigning it no burden for purposes of this PRA analysis.</w:t>
      </w:r>
      <w:r w:rsidRPr="00B32622">
        <w:rPr>
          <w:rStyle w:val="FootnoteReference"/>
          <w:rFonts w:ascii="Times New Roman" w:hAnsi="Times New Roman"/>
          <w:sz w:val="22"/>
          <w:szCs w:val="22"/>
          <w:vertAlign w:val="superscript"/>
        </w:rPr>
        <w:footnoteReference w:id="14"/>
      </w:r>
      <w:r w:rsidRPr="00B32622">
        <w:rPr>
          <w:rFonts w:ascii="Times New Roman" w:hAnsi="Times New Roman"/>
          <w:sz w:val="22"/>
          <w:szCs w:val="22"/>
          <w:vertAlign w:val="superscript"/>
        </w:rPr>
        <w:t xml:space="preserve">  </w:t>
      </w:r>
    </w:p>
    <w:p w:rsidR="00136AC6" w:rsidRDefault="00136AC6" w:rsidP="00E820E5">
      <w:pPr>
        <w:ind w:firstLine="720"/>
        <w:rPr>
          <w:rFonts w:ascii="Times New Roman" w:hAnsi="Times New Roman"/>
          <w:sz w:val="22"/>
          <w:szCs w:val="22"/>
          <w:vertAlign w:val="superscript"/>
        </w:rPr>
      </w:pPr>
    </w:p>
    <w:p w:rsidR="00E820E5" w:rsidRPr="00373ED8" w:rsidRDefault="00E820E5" w:rsidP="00E820E5">
      <w:pPr>
        <w:ind w:firstLine="720"/>
        <w:rPr>
          <w:rFonts w:ascii="Times New Roman" w:hAnsi="Times New Roman"/>
        </w:rPr>
      </w:pPr>
      <w:r w:rsidRPr="00373ED8">
        <w:rPr>
          <w:rFonts w:ascii="Times New Roman" w:hAnsi="Times New Roman"/>
        </w:rPr>
        <w:t>In addition, the</w:t>
      </w:r>
      <w:r w:rsidRPr="00373ED8">
        <w:rPr>
          <w:rStyle w:val="CommentReference"/>
          <w:sz w:val="24"/>
        </w:rPr>
        <w:t xml:space="preserve"> </w:t>
      </w:r>
      <w:r w:rsidRPr="00373ED8">
        <w:rPr>
          <w:rFonts w:ascii="Times New Roman" w:hAnsi="Times New Roman"/>
        </w:rPr>
        <w:t xml:space="preserve">Agencies contemplate that once the TILA-RESPA integrated disclosure forms are finalized, the </w:t>
      </w:r>
      <w:r w:rsidR="00C94DAC">
        <w:rPr>
          <w:rFonts w:ascii="Times New Roman" w:hAnsi="Times New Roman"/>
        </w:rPr>
        <w:t xml:space="preserve">initial </w:t>
      </w:r>
      <w:r w:rsidRPr="00373ED8">
        <w:rPr>
          <w:rFonts w:ascii="Times New Roman" w:hAnsi="Times New Roman"/>
        </w:rPr>
        <w:t>appraisal-related disclosure will be given as part of those forms.  As such, this disclosure should not impose additional costs on creditors.</w:t>
      </w:r>
    </w:p>
    <w:p w:rsidR="00E820E5" w:rsidRPr="00373ED8" w:rsidRDefault="00E820E5" w:rsidP="00E820E5">
      <w:pPr>
        <w:ind w:firstLine="720"/>
        <w:rPr>
          <w:rFonts w:ascii="Times New Roman" w:hAnsi="Times New Roman"/>
        </w:rPr>
      </w:pPr>
    </w:p>
    <w:p w:rsidR="00851B76" w:rsidRPr="00851B76" w:rsidRDefault="00851B76" w:rsidP="00E820E5">
      <w:pPr>
        <w:rPr>
          <w:rFonts w:ascii="Times New Roman" w:hAnsi="Times New Roman"/>
          <w:u w:val="single"/>
        </w:rPr>
      </w:pPr>
      <w:r w:rsidRPr="00851B76">
        <w:rPr>
          <w:rFonts w:ascii="Times New Roman" w:hAnsi="Times New Roman"/>
          <w:u w:val="single"/>
        </w:rPr>
        <w:t>Additional Appraisal for Higher Risk Mortgages</w:t>
      </w:r>
    </w:p>
    <w:p w:rsidR="00851B76" w:rsidRDefault="00E820E5" w:rsidP="00E820E5">
      <w:pPr>
        <w:rPr>
          <w:rFonts w:ascii="Times New Roman" w:hAnsi="Times New Roman"/>
        </w:rPr>
      </w:pPr>
      <w:r w:rsidRPr="00373ED8">
        <w:rPr>
          <w:rFonts w:ascii="Times New Roman" w:hAnsi="Times New Roman"/>
        </w:rPr>
        <w:tab/>
      </w:r>
    </w:p>
    <w:p w:rsidR="00E820E5" w:rsidRPr="00373ED8" w:rsidRDefault="00E820E5" w:rsidP="00E820E5">
      <w:pPr>
        <w:ind w:firstLine="720"/>
        <w:rPr>
          <w:rFonts w:ascii="Times New Roman" w:hAnsi="Times New Roman"/>
        </w:rPr>
      </w:pPr>
      <w:r w:rsidRPr="00373ED8">
        <w:rPr>
          <w:rFonts w:ascii="Times New Roman" w:hAnsi="Times New Roman"/>
        </w:rPr>
        <w:t xml:space="preserve">Under the </w:t>
      </w:r>
      <w:r w:rsidR="001D6A9B">
        <w:rPr>
          <w:rFonts w:ascii="Times New Roman" w:hAnsi="Times New Roman"/>
        </w:rPr>
        <w:t>a</w:t>
      </w:r>
      <w:r w:rsidRPr="00373ED8">
        <w:rPr>
          <w:rFonts w:ascii="Times New Roman" w:hAnsi="Times New Roman"/>
        </w:rPr>
        <w:t xml:space="preserve">dditional </w:t>
      </w:r>
      <w:r w:rsidR="001D6A9B">
        <w:rPr>
          <w:rFonts w:ascii="Times New Roman" w:hAnsi="Times New Roman"/>
        </w:rPr>
        <w:t>w</w:t>
      </w:r>
      <w:r w:rsidRPr="00373ED8">
        <w:rPr>
          <w:rFonts w:ascii="Times New Roman" w:hAnsi="Times New Roman"/>
        </w:rPr>
        <w:t xml:space="preserve">ritten </w:t>
      </w:r>
      <w:r w:rsidR="001D6A9B">
        <w:rPr>
          <w:rFonts w:ascii="Times New Roman" w:hAnsi="Times New Roman"/>
        </w:rPr>
        <w:t>a</w:t>
      </w:r>
      <w:r w:rsidRPr="00373ED8">
        <w:rPr>
          <w:rFonts w:ascii="Times New Roman" w:hAnsi="Times New Roman"/>
        </w:rPr>
        <w:t xml:space="preserve">ppraisal requirement, if a loan is classified as a higher-risk mortgage loan that will finance the acquisition of the property to be mortgaged, and that property was acquired within the previous 180 days by the seller at a price that was lower than the current sale price, then the creditor would be required to obtain an additional written appraisal containing additional analyses.  The additional written appraisal would have to be prepared by a certified or licensed appraiser different from the appraiser performing the other written appraisal for the higher-risk mortgage loan, and a copy of the additional appraisal must be sent to the consumer.  </w:t>
      </w:r>
      <w:r w:rsidR="004C486D">
        <w:rPr>
          <w:rFonts w:ascii="Times New Roman" w:hAnsi="Times New Roman"/>
        </w:rPr>
        <w:t>It would also</w:t>
      </w:r>
      <w:r w:rsidRPr="00373ED8">
        <w:rPr>
          <w:rFonts w:ascii="Times New Roman" w:hAnsi="Times New Roman"/>
        </w:rPr>
        <w:t xml:space="preserve"> be required to meet the standards of the other written appraisal for the higher-risk mortgage loan.  Thus, in order to qualify for the safe harbor, the written appraisal would also have to be reviewed for completeness.</w:t>
      </w:r>
    </w:p>
    <w:p w:rsidR="00E820E5" w:rsidRPr="00373ED8" w:rsidRDefault="00E820E5" w:rsidP="00E820E5">
      <w:pPr>
        <w:ind w:firstLine="720"/>
        <w:rPr>
          <w:rFonts w:ascii="Times New Roman" w:hAnsi="Times New Roman"/>
        </w:rPr>
      </w:pPr>
    </w:p>
    <w:p w:rsidR="001D6A9B" w:rsidRDefault="00E820E5" w:rsidP="00E820E5">
      <w:pPr>
        <w:pStyle w:val="CommentText"/>
        <w:ind w:firstLine="720"/>
        <w:rPr>
          <w:sz w:val="24"/>
          <w:szCs w:val="24"/>
        </w:rPr>
      </w:pPr>
      <w:r w:rsidRPr="00373ED8">
        <w:rPr>
          <w:sz w:val="24"/>
          <w:szCs w:val="24"/>
        </w:rPr>
        <w:t xml:space="preserve">The </w:t>
      </w:r>
      <w:r w:rsidR="00531EB9">
        <w:rPr>
          <w:sz w:val="24"/>
          <w:szCs w:val="24"/>
        </w:rPr>
        <w:t>estimated burden includes the time required t</w:t>
      </w:r>
      <w:r w:rsidRPr="00373ED8">
        <w:rPr>
          <w:sz w:val="24"/>
          <w:szCs w:val="24"/>
        </w:rPr>
        <w:t>o investigate and verify the need for a second appraisal</w:t>
      </w:r>
      <w:r w:rsidR="00531EB9">
        <w:rPr>
          <w:sz w:val="24"/>
          <w:szCs w:val="24"/>
        </w:rPr>
        <w:t xml:space="preserve"> and</w:t>
      </w:r>
      <w:r w:rsidR="00434E1A">
        <w:rPr>
          <w:sz w:val="24"/>
          <w:szCs w:val="24"/>
        </w:rPr>
        <w:t>, where necessary, conduct</w:t>
      </w:r>
      <w:r w:rsidRPr="00373ED8">
        <w:rPr>
          <w:sz w:val="24"/>
          <w:szCs w:val="24"/>
        </w:rPr>
        <w:t xml:space="preserve"> the </w:t>
      </w:r>
      <w:r w:rsidR="00851B76">
        <w:rPr>
          <w:sz w:val="24"/>
          <w:szCs w:val="24"/>
        </w:rPr>
        <w:t>s</w:t>
      </w:r>
      <w:r w:rsidRPr="00373ED8">
        <w:rPr>
          <w:sz w:val="24"/>
          <w:szCs w:val="24"/>
        </w:rPr>
        <w:t xml:space="preserve">econd </w:t>
      </w:r>
      <w:r w:rsidR="00851B76">
        <w:rPr>
          <w:sz w:val="24"/>
          <w:szCs w:val="24"/>
        </w:rPr>
        <w:t>w</w:t>
      </w:r>
      <w:r w:rsidRPr="00373ED8">
        <w:rPr>
          <w:sz w:val="24"/>
          <w:szCs w:val="24"/>
        </w:rPr>
        <w:t xml:space="preserve">ritten </w:t>
      </w:r>
      <w:r w:rsidR="00851B76">
        <w:rPr>
          <w:sz w:val="24"/>
          <w:szCs w:val="24"/>
        </w:rPr>
        <w:t>a</w:t>
      </w:r>
      <w:r w:rsidRPr="00BA19E0">
        <w:rPr>
          <w:sz w:val="24"/>
          <w:szCs w:val="24"/>
        </w:rPr>
        <w:t xml:space="preserve">ppraisal. </w:t>
      </w:r>
      <w:r w:rsidR="00531EB9">
        <w:rPr>
          <w:sz w:val="24"/>
          <w:szCs w:val="24"/>
        </w:rPr>
        <w:t xml:space="preserve"> It also includes the time required to</w:t>
      </w:r>
      <w:r w:rsidRPr="00BA19E0">
        <w:rPr>
          <w:sz w:val="24"/>
          <w:szCs w:val="24"/>
        </w:rPr>
        <w:t xml:space="preserve"> review the instructions and legal guidance and train loan officers.  </w:t>
      </w:r>
    </w:p>
    <w:p w:rsidR="00531EB9" w:rsidRPr="00BA19E0" w:rsidRDefault="00531EB9" w:rsidP="00E820E5">
      <w:pPr>
        <w:pStyle w:val="CommentText"/>
        <w:ind w:firstLine="720"/>
        <w:rPr>
          <w:sz w:val="24"/>
          <w:szCs w:val="24"/>
        </w:rPr>
      </w:pPr>
    </w:p>
    <w:p w:rsidR="001D028F" w:rsidRPr="006A0AE9" w:rsidRDefault="00D81536" w:rsidP="006A0AE9">
      <w:pPr>
        <w:spacing w:line="480" w:lineRule="auto"/>
        <w:ind w:firstLine="720"/>
        <w:rPr>
          <w:rStyle w:val="documentbody1"/>
          <w:rFonts w:ascii="Times New Roman" w:hAnsi="Times New Roman"/>
          <w:b/>
          <w:color w:val="000000"/>
          <w:sz w:val="24"/>
          <w:szCs w:val="24"/>
        </w:rPr>
      </w:pPr>
      <w:r w:rsidRPr="00D81536">
        <w:rPr>
          <w:rStyle w:val="documentbody1"/>
          <w:rFonts w:ascii="Times New Roman" w:hAnsi="Times New Roman"/>
          <w:i/>
          <w:color w:val="000000"/>
          <w:sz w:val="24"/>
          <w:szCs w:val="24"/>
        </w:rPr>
        <w:t xml:space="preserve">Estimated number of respondents: </w:t>
      </w:r>
      <w:r>
        <w:rPr>
          <w:rStyle w:val="documentbody1"/>
          <w:rFonts w:ascii="Times New Roman" w:hAnsi="Times New Roman"/>
          <w:i/>
          <w:color w:val="000000"/>
          <w:sz w:val="24"/>
          <w:szCs w:val="24"/>
        </w:rPr>
        <w:t xml:space="preserve"> </w:t>
      </w:r>
      <w:r>
        <w:rPr>
          <w:rStyle w:val="documentbody1"/>
          <w:rFonts w:ascii="Times New Roman" w:hAnsi="Times New Roman"/>
          <w:color w:val="000000"/>
          <w:sz w:val="24"/>
          <w:szCs w:val="24"/>
        </w:rPr>
        <w:t>1,399.</w:t>
      </w:r>
    </w:p>
    <w:p w:rsidR="00EA17EC" w:rsidRPr="00CF1CEC" w:rsidRDefault="00D81536" w:rsidP="006A0AE9">
      <w:pPr>
        <w:spacing w:line="480" w:lineRule="auto"/>
        <w:ind w:firstLine="720"/>
        <w:rPr>
          <w:rFonts w:ascii="Times New Roman" w:hAnsi="Times New Roman"/>
          <w:color w:val="000000"/>
        </w:rPr>
      </w:pPr>
      <w:r w:rsidRPr="00464677">
        <w:rPr>
          <w:rStyle w:val="documentbody1"/>
          <w:rFonts w:ascii="Times New Roman" w:hAnsi="Times New Roman"/>
          <w:i/>
          <w:color w:val="000000"/>
          <w:sz w:val="24"/>
          <w:szCs w:val="24"/>
        </w:rPr>
        <w:t>Total estimated annual burden:</w:t>
      </w:r>
      <w:r w:rsidRPr="00D81536">
        <w:rPr>
          <w:rStyle w:val="documentbody1"/>
          <w:rFonts w:ascii="Times New Roman" w:hAnsi="Times New Roman"/>
          <w:color w:val="000000"/>
          <w:sz w:val="24"/>
          <w:szCs w:val="24"/>
        </w:rPr>
        <w:t xml:space="preserve">  </w:t>
      </w:r>
      <w:r w:rsidR="003A5AF4">
        <w:rPr>
          <w:rStyle w:val="documentbody1"/>
          <w:rFonts w:ascii="Times New Roman" w:hAnsi="Times New Roman"/>
          <w:color w:val="000000"/>
          <w:sz w:val="24"/>
          <w:szCs w:val="24"/>
        </w:rPr>
        <w:t>44,768</w:t>
      </w:r>
      <w:r w:rsidR="00464677">
        <w:rPr>
          <w:rStyle w:val="documentbody1"/>
          <w:rFonts w:ascii="Times New Roman" w:hAnsi="Times New Roman"/>
          <w:color w:val="000000"/>
          <w:sz w:val="24"/>
          <w:szCs w:val="24"/>
        </w:rPr>
        <w:t xml:space="preserve"> </w:t>
      </w:r>
      <w:r w:rsidRPr="00D81536">
        <w:rPr>
          <w:rStyle w:val="documentbody1"/>
          <w:rFonts w:ascii="Times New Roman" w:hAnsi="Times New Roman"/>
          <w:color w:val="000000"/>
          <w:sz w:val="24"/>
          <w:szCs w:val="24"/>
        </w:rPr>
        <w:t>hours</w:t>
      </w:r>
      <w:r w:rsidR="00EF2338">
        <w:rPr>
          <w:rStyle w:val="documentbody1"/>
          <w:rFonts w:ascii="Times New Roman" w:hAnsi="Times New Roman"/>
          <w:color w:val="000000"/>
          <w:sz w:val="24"/>
          <w:szCs w:val="24"/>
        </w:rPr>
        <w:t>.</w:t>
      </w: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13.</w:t>
      </w:r>
      <w:r w:rsidRPr="00373ED8">
        <w:rPr>
          <w:rFonts w:ascii="Times New Roman" w:hAnsi="Times New Roman"/>
        </w:rPr>
        <w:tab/>
      </w:r>
      <w:r w:rsidRPr="00373ED8">
        <w:rPr>
          <w:rFonts w:ascii="Times New Roman" w:hAnsi="Times New Roman"/>
          <w:u w:val="single"/>
        </w:rPr>
        <w:t>Estimate of annualized costs to respondents:</w:t>
      </w:r>
    </w:p>
    <w:p w:rsidR="00EA17EC" w:rsidRPr="00373ED8" w:rsidRDefault="00EA17EC" w:rsidP="00373ED8">
      <w:pPr>
        <w:ind w:firstLine="720"/>
        <w:rPr>
          <w:rFonts w:ascii="Times New Roman" w:hAnsi="Times New Roman"/>
        </w:rPr>
      </w:pPr>
    </w:p>
    <w:p w:rsidR="00EA17EC" w:rsidRPr="00373ED8" w:rsidRDefault="00EA17EC" w:rsidP="00373ED8">
      <w:pPr>
        <w:ind w:firstLine="720"/>
        <w:rPr>
          <w:rFonts w:ascii="Times New Roman" w:hAnsi="Times New Roman"/>
        </w:rPr>
      </w:pPr>
      <w:proofErr w:type="gramStart"/>
      <w:r w:rsidRPr="00373ED8">
        <w:rPr>
          <w:rFonts w:ascii="Times New Roman" w:hAnsi="Times New Roman"/>
        </w:rPr>
        <w:t>None.</w:t>
      </w:r>
      <w:proofErr w:type="gramEnd"/>
    </w:p>
    <w:p w:rsidR="00EA17EC" w:rsidRPr="00373ED8" w:rsidRDefault="00EA17EC" w:rsidP="00373ED8">
      <w:pPr>
        <w:rPr>
          <w:rFonts w:ascii="Times New Roman" w:hAnsi="Times New Roman"/>
        </w:rPr>
      </w:pPr>
    </w:p>
    <w:p w:rsidR="00EA17EC" w:rsidRPr="00373ED8" w:rsidRDefault="00EA17EC" w:rsidP="00373ED8">
      <w:pPr>
        <w:rPr>
          <w:rFonts w:ascii="Times New Roman" w:hAnsi="Times New Roman"/>
        </w:rPr>
      </w:pPr>
      <w:r w:rsidRPr="00373ED8">
        <w:rPr>
          <w:rFonts w:ascii="Times New Roman" w:hAnsi="Times New Roman"/>
        </w:rPr>
        <w:t xml:space="preserve">14.  </w:t>
      </w:r>
      <w:r w:rsidRPr="00373ED8">
        <w:rPr>
          <w:rFonts w:ascii="Times New Roman" w:hAnsi="Times New Roman"/>
          <w:u w:val="single"/>
        </w:rPr>
        <w:t>Estimate of annualized costs to the government:</w:t>
      </w:r>
    </w:p>
    <w:p w:rsidR="00EA17EC" w:rsidRPr="00373ED8" w:rsidRDefault="00EA17EC" w:rsidP="00373ED8">
      <w:pPr>
        <w:rPr>
          <w:rFonts w:ascii="Times New Roman" w:hAnsi="Times New Roman"/>
        </w:rPr>
      </w:pPr>
    </w:p>
    <w:p w:rsidR="00EA17EC" w:rsidRDefault="00EA17EC" w:rsidP="00373ED8">
      <w:pPr>
        <w:ind w:firstLine="720"/>
        <w:rPr>
          <w:rFonts w:ascii="Times New Roman" w:hAnsi="Times New Roman"/>
        </w:rPr>
      </w:pPr>
      <w:proofErr w:type="gramStart"/>
      <w:r w:rsidRPr="00373ED8">
        <w:rPr>
          <w:rFonts w:ascii="Times New Roman" w:hAnsi="Times New Roman"/>
        </w:rPr>
        <w:t>None.</w:t>
      </w:r>
      <w:proofErr w:type="gramEnd"/>
    </w:p>
    <w:p w:rsidR="000D602E" w:rsidRPr="00373ED8" w:rsidRDefault="000D602E" w:rsidP="00373ED8">
      <w:pPr>
        <w:ind w:firstLine="720"/>
        <w:rPr>
          <w:rFonts w:ascii="Times New Roman" w:hAnsi="Times New Roman"/>
        </w:rPr>
      </w:pPr>
    </w:p>
    <w:p w:rsidR="00EA17EC" w:rsidRPr="00373ED8" w:rsidRDefault="00EA17EC" w:rsidP="00373ED8">
      <w:pPr>
        <w:rPr>
          <w:rFonts w:ascii="Times New Roman" w:hAnsi="Times New Roman"/>
        </w:rPr>
      </w:pPr>
    </w:p>
    <w:p w:rsidR="00EA17EC" w:rsidRDefault="00EA17EC" w:rsidP="00373ED8">
      <w:pPr>
        <w:tabs>
          <w:tab w:val="left" w:pos="-1440"/>
        </w:tabs>
        <w:ind w:left="720" w:hanging="720"/>
        <w:rPr>
          <w:rFonts w:ascii="Times New Roman" w:hAnsi="Times New Roman"/>
          <w:u w:val="single"/>
        </w:rPr>
      </w:pPr>
      <w:r w:rsidRPr="00373ED8">
        <w:rPr>
          <w:rFonts w:ascii="Times New Roman" w:hAnsi="Times New Roman"/>
        </w:rPr>
        <w:t>15.</w:t>
      </w:r>
      <w:r w:rsidRPr="00373ED8">
        <w:rPr>
          <w:rFonts w:ascii="Times New Roman" w:hAnsi="Times New Roman"/>
        </w:rPr>
        <w:tab/>
      </w:r>
      <w:r w:rsidRPr="00373ED8">
        <w:rPr>
          <w:rFonts w:ascii="Times New Roman" w:hAnsi="Times New Roman"/>
          <w:u w:val="single"/>
        </w:rPr>
        <w:t>Changes in burden:</w:t>
      </w:r>
    </w:p>
    <w:p w:rsidR="00344D0B" w:rsidRDefault="00344D0B" w:rsidP="000D602E">
      <w:pPr>
        <w:tabs>
          <w:tab w:val="left" w:pos="-1440"/>
        </w:tabs>
        <w:rPr>
          <w:rFonts w:ascii="Times New Roman" w:hAnsi="Times New Roman"/>
          <w:u w:val="single"/>
        </w:rPr>
      </w:pPr>
    </w:p>
    <w:p w:rsidR="00EA17EC" w:rsidRDefault="00344D0B" w:rsidP="006A0AE9">
      <w:pPr>
        <w:ind w:left="720"/>
        <w:rPr>
          <w:rFonts w:ascii="Times New Roman" w:hAnsi="Times New Roman"/>
        </w:rPr>
      </w:pPr>
      <w:r>
        <w:rPr>
          <w:rFonts w:ascii="Times New Roman" w:hAnsi="Times New Roman"/>
        </w:rPr>
        <w:t xml:space="preserve">The </w:t>
      </w:r>
      <w:r w:rsidR="006A0AE9">
        <w:rPr>
          <w:rStyle w:val="documentbody1"/>
          <w:rFonts w:ascii="Times New Roman" w:hAnsi="Times New Roman"/>
          <w:color w:val="000000"/>
          <w:sz w:val="24"/>
          <w:szCs w:val="24"/>
        </w:rPr>
        <w:t xml:space="preserve">44,768 </w:t>
      </w:r>
      <w:r w:rsidR="000D602E" w:rsidRPr="00D81536">
        <w:rPr>
          <w:rStyle w:val="documentbody1"/>
          <w:rFonts w:ascii="Times New Roman" w:hAnsi="Times New Roman"/>
          <w:color w:val="000000"/>
          <w:sz w:val="24"/>
          <w:szCs w:val="24"/>
        </w:rPr>
        <w:t>hour</w:t>
      </w:r>
      <w:r w:rsidR="000D602E">
        <w:rPr>
          <w:rStyle w:val="documentbody1"/>
          <w:rFonts w:ascii="Times New Roman" w:hAnsi="Times New Roman"/>
          <w:color w:val="000000"/>
          <w:sz w:val="24"/>
          <w:szCs w:val="24"/>
        </w:rPr>
        <w:t xml:space="preserve"> </w:t>
      </w:r>
      <w:r>
        <w:rPr>
          <w:rFonts w:ascii="Times New Roman" w:hAnsi="Times New Roman"/>
        </w:rPr>
        <w:t>increase in burden is due to the fact that this is a new information collection.</w:t>
      </w:r>
    </w:p>
    <w:p w:rsidR="006A0AE9" w:rsidRPr="000D602E" w:rsidRDefault="006A0AE9" w:rsidP="006A0AE9">
      <w:pPr>
        <w:rPr>
          <w:rFonts w:ascii="Times New Roman" w:hAnsi="Times New Roman"/>
          <w:color w:val="000000"/>
        </w:rPr>
      </w:pPr>
    </w:p>
    <w:p w:rsidR="00EA17EC" w:rsidRPr="00373ED8" w:rsidRDefault="00EA17EC" w:rsidP="00373ED8">
      <w:pPr>
        <w:tabs>
          <w:tab w:val="left" w:pos="-1440"/>
        </w:tabs>
        <w:ind w:left="720" w:hanging="720"/>
        <w:rPr>
          <w:rFonts w:ascii="Times New Roman" w:hAnsi="Times New Roman"/>
        </w:rPr>
      </w:pPr>
      <w:r w:rsidRPr="00373ED8">
        <w:rPr>
          <w:rFonts w:ascii="Times New Roman" w:hAnsi="Times New Roman"/>
        </w:rPr>
        <w:t>16.</w:t>
      </w:r>
      <w:r w:rsidRPr="00373ED8">
        <w:rPr>
          <w:rFonts w:ascii="Times New Roman" w:hAnsi="Times New Roman"/>
        </w:rPr>
        <w:tab/>
      </w:r>
      <w:r w:rsidRPr="00373ED8">
        <w:rPr>
          <w:rFonts w:ascii="Times New Roman" w:hAnsi="Times New Roman"/>
          <w:u w:val="single"/>
        </w:rPr>
        <w:t>Information regarding collections whose results are planned to be published for statistical use:</w:t>
      </w:r>
    </w:p>
    <w:p w:rsidR="00EA17EC" w:rsidRPr="00373ED8" w:rsidRDefault="00EA17EC" w:rsidP="00373ED8">
      <w:pPr>
        <w:rPr>
          <w:rFonts w:ascii="Times New Roman" w:hAnsi="Times New Roman"/>
        </w:rPr>
      </w:pPr>
    </w:p>
    <w:p w:rsidR="00EA17EC" w:rsidRDefault="00EA17EC" w:rsidP="00373ED8">
      <w:pPr>
        <w:ind w:firstLine="720"/>
        <w:rPr>
          <w:rFonts w:ascii="Times New Roman" w:hAnsi="Times New Roman"/>
        </w:rPr>
      </w:pPr>
      <w:r w:rsidRPr="00373ED8">
        <w:rPr>
          <w:rFonts w:ascii="Times New Roman" w:hAnsi="Times New Roman"/>
        </w:rPr>
        <w:t>The OCC has no plans to publish the information for statistical use.</w:t>
      </w:r>
    </w:p>
    <w:p w:rsidR="00EA17EC" w:rsidRPr="00373ED8" w:rsidRDefault="00EA17EC" w:rsidP="00373ED8">
      <w:pPr>
        <w:rPr>
          <w:rFonts w:ascii="Times New Roman" w:hAnsi="Times New Roman"/>
        </w:rPr>
      </w:pPr>
    </w:p>
    <w:p w:rsidR="00EA17EC" w:rsidRPr="00373ED8" w:rsidRDefault="00EA17EC" w:rsidP="00373ED8">
      <w:pPr>
        <w:rPr>
          <w:rFonts w:ascii="Times New Roman" w:hAnsi="Times New Roman"/>
          <w:u w:val="single"/>
        </w:rPr>
      </w:pPr>
      <w:r w:rsidRPr="00373ED8">
        <w:rPr>
          <w:rFonts w:ascii="Times New Roman" w:hAnsi="Times New Roman"/>
        </w:rPr>
        <w:t>17.</w:t>
      </w:r>
      <w:r w:rsidRPr="00373ED8">
        <w:rPr>
          <w:rFonts w:ascii="Times New Roman" w:hAnsi="Times New Roman"/>
        </w:rPr>
        <w:tab/>
      </w:r>
      <w:r w:rsidRPr="00373ED8">
        <w:rPr>
          <w:rFonts w:ascii="Times New Roman" w:hAnsi="Times New Roman"/>
          <w:u w:val="single"/>
        </w:rPr>
        <w:t>Display of expiration date.</w:t>
      </w:r>
    </w:p>
    <w:p w:rsidR="00EA17EC" w:rsidRPr="00373ED8" w:rsidRDefault="00EA17EC" w:rsidP="00373ED8">
      <w:pPr>
        <w:ind w:firstLine="720"/>
        <w:rPr>
          <w:rFonts w:ascii="Times New Roman" w:hAnsi="Times New Roman"/>
          <w:u w:val="single"/>
        </w:rPr>
      </w:pPr>
    </w:p>
    <w:p w:rsidR="00EA17EC" w:rsidRPr="00373ED8" w:rsidRDefault="00EA17EC" w:rsidP="00373ED8">
      <w:pPr>
        <w:ind w:firstLine="720"/>
        <w:rPr>
          <w:rFonts w:ascii="Times New Roman" w:hAnsi="Times New Roman"/>
        </w:rPr>
      </w:pPr>
      <w:r w:rsidRPr="00373ED8">
        <w:rPr>
          <w:rFonts w:ascii="Times New Roman" w:hAnsi="Times New Roman"/>
        </w:rPr>
        <w:t>Not applicable.</w:t>
      </w:r>
    </w:p>
    <w:p w:rsidR="00EA17EC" w:rsidRPr="00373ED8" w:rsidRDefault="00EA17EC" w:rsidP="00373ED8">
      <w:pPr>
        <w:rPr>
          <w:rFonts w:ascii="Times New Roman" w:hAnsi="Times New Roman"/>
        </w:rPr>
      </w:pPr>
    </w:p>
    <w:p w:rsidR="00EA17EC" w:rsidRPr="00373ED8" w:rsidRDefault="00EA17EC" w:rsidP="00373ED8">
      <w:pPr>
        <w:rPr>
          <w:rFonts w:ascii="Times New Roman" w:hAnsi="Times New Roman"/>
        </w:rPr>
      </w:pPr>
      <w:r w:rsidRPr="00373ED8">
        <w:rPr>
          <w:rFonts w:ascii="Times New Roman" w:hAnsi="Times New Roman"/>
        </w:rPr>
        <w:t>18.</w:t>
      </w:r>
      <w:r w:rsidRPr="00373ED8">
        <w:rPr>
          <w:rFonts w:ascii="Times New Roman" w:hAnsi="Times New Roman"/>
        </w:rPr>
        <w:tab/>
      </w:r>
      <w:r w:rsidRPr="00373ED8">
        <w:rPr>
          <w:rFonts w:ascii="Times New Roman" w:hAnsi="Times New Roman"/>
          <w:u w:val="single"/>
        </w:rPr>
        <w:t>Exceptions to certification statement.</w:t>
      </w:r>
    </w:p>
    <w:p w:rsidR="00EA17EC" w:rsidRPr="00373ED8" w:rsidRDefault="00EA17EC" w:rsidP="00373ED8">
      <w:pPr>
        <w:rPr>
          <w:rFonts w:ascii="Times New Roman" w:hAnsi="Times New Roman"/>
        </w:rPr>
      </w:pPr>
    </w:p>
    <w:p w:rsidR="00EA17EC" w:rsidRPr="00373ED8" w:rsidRDefault="00EA17EC" w:rsidP="00373ED8">
      <w:pPr>
        <w:ind w:firstLine="720"/>
        <w:rPr>
          <w:rFonts w:ascii="Times New Roman" w:hAnsi="Times New Roman"/>
          <w:u w:val="single"/>
        </w:rPr>
      </w:pPr>
      <w:proofErr w:type="gramStart"/>
      <w:r w:rsidRPr="00373ED8">
        <w:rPr>
          <w:rFonts w:ascii="Times New Roman" w:hAnsi="Times New Roman"/>
        </w:rPr>
        <w:t>None.</w:t>
      </w:r>
      <w:proofErr w:type="gramEnd"/>
      <w:r w:rsidRPr="00373ED8">
        <w:rPr>
          <w:rFonts w:ascii="Times New Roman" w:hAnsi="Times New Roman"/>
        </w:rPr>
        <w:t xml:space="preserve"> </w:t>
      </w:r>
    </w:p>
    <w:p w:rsidR="00EA17EC" w:rsidRPr="00373ED8" w:rsidRDefault="00EA17EC" w:rsidP="00373ED8">
      <w:pPr>
        <w:rPr>
          <w:rFonts w:ascii="Times New Roman" w:hAnsi="Times New Roman"/>
          <w:u w:val="single"/>
        </w:rPr>
      </w:pPr>
    </w:p>
    <w:p w:rsidR="00EA17EC" w:rsidRPr="00373ED8" w:rsidRDefault="00EA17EC" w:rsidP="00373ED8">
      <w:pPr>
        <w:tabs>
          <w:tab w:val="left" w:pos="-1440"/>
        </w:tabs>
        <w:ind w:left="720" w:hanging="720"/>
        <w:rPr>
          <w:rFonts w:ascii="Times New Roman" w:hAnsi="Times New Roman"/>
          <w:u w:val="single"/>
        </w:rPr>
      </w:pPr>
      <w:r w:rsidRPr="00373ED8">
        <w:rPr>
          <w:rFonts w:ascii="Times New Roman" w:hAnsi="Times New Roman"/>
        </w:rPr>
        <w:t>B.</w:t>
      </w:r>
      <w:r w:rsidRPr="00373ED8">
        <w:rPr>
          <w:rFonts w:ascii="Times New Roman" w:hAnsi="Times New Roman"/>
        </w:rPr>
        <w:tab/>
      </w:r>
      <w:r w:rsidRPr="00373ED8">
        <w:rPr>
          <w:rFonts w:ascii="Times New Roman" w:hAnsi="Times New Roman"/>
          <w:u w:val="single"/>
        </w:rPr>
        <w:t>Collections of Information Employing Statistical Methods.</w:t>
      </w:r>
    </w:p>
    <w:p w:rsidR="00EA17EC" w:rsidRPr="00373ED8" w:rsidRDefault="00EA17EC" w:rsidP="00373ED8">
      <w:pPr>
        <w:rPr>
          <w:rFonts w:ascii="Times New Roman" w:hAnsi="Times New Roman"/>
          <w:u w:val="single"/>
        </w:rPr>
      </w:pPr>
    </w:p>
    <w:p w:rsidR="00EA17EC" w:rsidRPr="00373ED8" w:rsidRDefault="00EA17EC" w:rsidP="00373ED8">
      <w:pPr>
        <w:ind w:firstLine="720"/>
        <w:rPr>
          <w:rFonts w:ascii="Times New Roman" w:hAnsi="Times New Roman"/>
        </w:rPr>
      </w:pPr>
      <w:r w:rsidRPr="00373ED8">
        <w:rPr>
          <w:rFonts w:ascii="Times New Roman" w:hAnsi="Times New Roman"/>
        </w:rPr>
        <w:t>Not applicable.</w:t>
      </w:r>
    </w:p>
    <w:p w:rsidR="00EA17EC" w:rsidRPr="00B02EF3" w:rsidRDefault="00EA17EC" w:rsidP="00B02EF3">
      <w:pPr>
        <w:rPr>
          <w:rFonts w:ascii="Times New Roman" w:hAnsi="Times New Roman"/>
        </w:rPr>
      </w:pPr>
    </w:p>
    <w:sectPr w:rsidR="00EA17EC" w:rsidRPr="00B02EF3" w:rsidSect="00F01C5E">
      <w:headerReference w:type="default" r:id="rId8"/>
      <w:footerReference w:type="even" r:id="rId9"/>
      <w:footerReference w:type="default" r:id="rId10"/>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56" w:rsidRDefault="00721656">
      <w:r>
        <w:separator/>
      </w:r>
    </w:p>
  </w:endnote>
  <w:endnote w:type="continuationSeparator" w:id="0">
    <w:p w:rsidR="00721656" w:rsidRDefault="00721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56" w:rsidRDefault="00357878" w:rsidP="00087F1F">
    <w:pPr>
      <w:pStyle w:val="Footer"/>
      <w:framePr w:wrap="around" w:vAnchor="text" w:hAnchor="margin" w:xAlign="center" w:y="1"/>
      <w:rPr>
        <w:rStyle w:val="PageNumber"/>
      </w:rPr>
    </w:pPr>
    <w:r>
      <w:rPr>
        <w:rStyle w:val="PageNumber"/>
      </w:rPr>
      <w:fldChar w:fldCharType="begin"/>
    </w:r>
    <w:r w:rsidR="00721656">
      <w:rPr>
        <w:rStyle w:val="PageNumber"/>
      </w:rPr>
      <w:instrText xml:space="preserve">PAGE  </w:instrText>
    </w:r>
    <w:r>
      <w:rPr>
        <w:rStyle w:val="PageNumber"/>
      </w:rPr>
      <w:fldChar w:fldCharType="end"/>
    </w:r>
  </w:p>
  <w:p w:rsidR="00721656" w:rsidRDefault="00721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56" w:rsidRDefault="00357878" w:rsidP="00087F1F">
    <w:pPr>
      <w:pStyle w:val="Footer"/>
      <w:framePr w:wrap="around" w:vAnchor="text" w:hAnchor="margin" w:xAlign="center" w:y="1"/>
      <w:rPr>
        <w:rStyle w:val="PageNumber"/>
      </w:rPr>
    </w:pPr>
    <w:r>
      <w:rPr>
        <w:rStyle w:val="PageNumber"/>
      </w:rPr>
      <w:fldChar w:fldCharType="begin"/>
    </w:r>
    <w:r w:rsidR="00721656">
      <w:rPr>
        <w:rStyle w:val="PageNumber"/>
      </w:rPr>
      <w:instrText xml:space="preserve">PAGE  </w:instrText>
    </w:r>
    <w:r>
      <w:rPr>
        <w:rStyle w:val="PageNumber"/>
      </w:rPr>
      <w:fldChar w:fldCharType="separate"/>
    </w:r>
    <w:r w:rsidR="00442AE0">
      <w:rPr>
        <w:rStyle w:val="PageNumber"/>
        <w:noProof/>
      </w:rPr>
      <w:t>5</w:t>
    </w:r>
    <w:r>
      <w:rPr>
        <w:rStyle w:val="PageNumber"/>
      </w:rPr>
      <w:fldChar w:fldCharType="end"/>
    </w:r>
  </w:p>
  <w:p w:rsidR="00721656" w:rsidRDefault="00721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56" w:rsidRDefault="00721656">
      <w:r>
        <w:separator/>
      </w:r>
    </w:p>
  </w:footnote>
  <w:footnote w:type="continuationSeparator" w:id="0">
    <w:p w:rsidR="00721656" w:rsidRDefault="00721656">
      <w:r>
        <w:continuationSeparator/>
      </w:r>
    </w:p>
  </w:footnote>
  <w:footnote w:id="1">
    <w:p w:rsidR="00721656" w:rsidRDefault="00721656">
      <w:pPr>
        <w:pStyle w:val="FootnoteText"/>
      </w:pPr>
      <w:r w:rsidRPr="00AB571B">
        <w:rPr>
          <w:rStyle w:val="FootnoteReference"/>
          <w:vertAlign w:val="superscript"/>
        </w:rPr>
        <w:footnoteRef/>
      </w:r>
      <w:r>
        <w:t xml:space="preserve"> The Office of the Comptroller of the Currency, the Board of Governors of the Federal Reserve System, the Bureau of Consumer Financial Protection, the Federal Housing Finance Agency, and the National Credit Union Administration.</w:t>
      </w:r>
    </w:p>
  </w:footnote>
  <w:footnote w:id="2">
    <w:p w:rsidR="00721656" w:rsidRDefault="00721656">
      <w:pPr>
        <w:pStyle w:val="FootnoteText"/>
      </w:pPr>
      <w:r w:rsidRPr="00C2768E">
        <w:rPr>
          <w:rStyle w:val="FootnoteReference"/>
          <w:vertAlign w:val="superscript"/>
        </w:rPr>
        <w:footnoteRef/>
      </w:r>
      <w:r w:rsidRPr="00C2768E">
        <w:rPr>
          <w:vertAlign w:val="superscript"/>
        </w:rPr>
        <w:t xml:space="preserve"> </w:t>
      </w:r>
      <w:proofErr w:type="gramStart"/>
      <w:r>
        <w:t>Public Law 111-203, 124 Stat. 1376 (Dodd-Frank Act).</w:t>
      </w:r>
      <w:proofErr w:type="gramEnd"/>
    </w:p>
  </w:footnote>
  <w:footnote w:id="3">
    <w:p w:rsidR="00721656" w:rsidRDefault="00721656">
      <w:pPr>
        <w:pStyle w:val="FootnoteText"/>
      </w:pPr>
      <w:r w:rsidRPr="00690B8A">
        <w:rPr>
          <w:rStyle w:val="FootnoteReference"/>
          <w:vertAlign w:val="superscript"/>
        </w:rPr>
        <w:footnoteRef/>
      </w:r>
      <w:r w:rsidRPr="00690B8A">
        <w:rPr>
          <w:vertAlign w:val="superscript"/>
        </w:rPr>
        <w:t xml:space="preserve"> </w:t>
      </w:r>
      <w:proofErr w:type="gramStart"/>
      <w:r w:rsidRPr="00FF55A6">
        <w:t>12 CFR 1026.</w:t>
      </w:r>
      <w:proofErr w:type="gramEnd"/>
    </w:p>
  </w:footnote>
  <w:footnote w:id="4">
    <w:p w:rsidR="00721656" w:rsidRDefault="00721656">
      <w:pPr>
        <w:pStyle w:val="FootnoteText"/>
      </w:pPr>
      <w:r w:rsidRPr="00FF55A6">
        <w:rPr>
          <w:rStyle w:val="FootnoteReference"/>
          <w:vertAlign w:val="superscript"/>
        </w:rPr>
        <w:footnoteRef/>
      </w:r>
      <w:r w:rsidRPr="00FF55A6">
        <w:rPr>
          <w:vertAlign w:val="superscript"/>
        </w:rPr>
        <w:t xml:space="preserve"> </w:t>
      </w:r>
      <w:proofErr w:type="gramStart"/>
      <w:r>
        <w:t xml:space="preserve">15 U.S.C. 1601 </w:t>
      </w:r>
      <w:r>
        <w:rPr>
          <w:i/>
        </w:rPr>
        <w:t>et seq</w:t>
      </w:r>
      <w:r>
        <w:t>.</w:t>
      </w:r>
      <w:proofErr w:type="gramEnd"/>
    </w:p>
  </w:footnote>
  <w:footnote w:id="5">
    <w:p w:rsidR="00721656" w:rsidRDefault="00721656">
      <w:pPr>
        <w:pStyle w:val="FootnoteText"/>
      </w:pPr>
      <w:r w:rsidRPr="006A0AE9">
        <w:rPr>
          <w:vertAlign w:val="superscript"/>
        </w:rPr>
        <w:footnoteRef/>
      </w:r>
      <w:r w:rsidRPr="006A0AE9">
        <w:rPr>
          <w:vertAlign w:val="superscript"/>
        </w:rPr>
        <w:t xml:space="preserve"> </w:t>
      </w:r>
      <w:r w:rsidRPr="005A6A67">
        <w:rPr>
          <w:i/>
        </w:rPr>
        <w:t>Residential mortgage</w:t>
      </w:r>
      <w:r w:rsidRPr="005A6A67">
        <w:t xml:space="preserve"> </w:t>
      </w:r>
      <w:r w:rsidRPr="005A6A67">
        <w:rPr>
          <w:i/>
        </w:rPr>
        <w:t>loan</w:t>
      </w:r>
      <w:r w:rsidRPr="005A6A67">
        <w:t xml:space="preserve"> is defined as any consumer credit transaction that is secured by a mortgage, deed of trust, or other equivalent consensual security interest on a dwelling or on residential real property that includes a dwelling, other than a consumer credit transaction under an open-end credit plan.[15 U.S.C. 1602(cc)(5)]</w:t>
      </w:r>
    </w:p>
  </w:footnote>
  <w:footnote w:id="6">
    <w:p w:rsidR="00721656" w:rsidRDefault="00721656" w:rsidP="00136AC6">
      <w:pPr>
        <w:pStyle w:val="FootnoteText"/>
      </w:pPr>
      <w:r w:rsidRPr="006A0AE9">
        <w:rPr>
          <w:rStyle w:val="FootnoteReference"/>
          <w:vertAlign w:val="superscript"/>
        </w:rPr>
        <w:footnoteRef/>
      </w:r>
      <w:r w:rsidRPr="006A0AE9">
        <w:rPr>
          <w:vertAlign w:val="superscript"/>
        </w:rPr>
        <w:t xml:space="preserve"> </w:t>
      </w:r>
      <w:r w:rsidRPr="00BD1427">
        <w:rPr>
          <w:i/>
        </w:rPr>
        <w:t>Q</w:t>
      </w:r>
      <w:r w:rsidRPr="00777581">
        <w:rPr>
          <w:i/>
        </w:rPr>
        <w:t>ualified mortgages</w:t>
      </w:r>
      <w:r w:rsidRPr="00373ED8">
        <w:t xml:space="preserve"> </w:t>
      </w:r>
      <w:r>
        <w:t xml:space="preserve">are excluded </w:t>
      </w:r>
      <w:r w:rsidRPr="00373ED8">
        <w:t>from the definition of higher-risk mortgage</w:t>
      </w:r>
      <w:r>
        <w:t xml:space="preserve"> loan.  The </w:t>
      </w:r>
      <w:proofErr w:type="gramStart"/>
      <w:r>
        <w:t>Bureau  defined</w:t>
      </w:r>
      <w:proofErr w:type="gramEnd"/>
      <w:r>
        <w:t xml:space="preserve"> </w:t>
      </w:r>
      <w:r w:rsidRPr="00CF36D1">
        <w:rPr>
          <w:i/>
        </w:rPr>
        <w:t>qualified mortgage</w:t>
      </w:r>
      <w:r w:rsidRPr="00373ED8">
        <w:t xml:space="preserve"> when it finalize</w:t>
      </w:r>
      <w:r>
        <w:t>d</w:t>
      </w:r>
      <w:r w:rsidRPr="00373ED8">
        <w:t xml:space="preserve"> the rule to implement the Dodd-Frank Act’s ability-to-repay requirements in TILA section 129C</w:t>
      </w:r>
      <w:r>
        <w:t xml:space="preserve"> in January 2013</w:t>
      </w:r>
      <w:r w:rsidRPr="00373ED8">
        <w:t>.</w:t>
      </w:r>
      <w:r w:rsidR="002B6E8E">
        <w:t xml:space="preserve">  It has been estimated that about 90 percent of </w:t>
      </w:r>
      <w:proofErr w:type="gramStart"/>
      <w:r w:rsidR="002B6E8E">
        <w:t>first  mortgage</w:t>
      </w:r>
      <w:proofErr w:type="gramEnd"/>
      <w:r w:rsidR="002B6E8E">
        <w:t xml:space="preserve"> originations will meet the qualified mortgage definition.  </w:t>
      </w:r>
      <w:r w:rsidRPr="00373ED8">
        <w:t xml:space="preserve">  In addition, the Agencies propose to rely on exemption authority granted by the Dodd-Frank Act to exempt </w:t>
      </w:r>
      <w:r>
        <w:t>reverse mortgage loans</w:t>
      </w:r>
      <w:r w:rsidRPr="00373ED8">
        <w:t xml:space="preserve"> and loans </w:t>
      </w:r>
      <w:proofErr w:type="gramStart"/>
      <w:r w:rsidRPr="00373ED8">
        <w:t>secured  by</w:t>
      </w:r>
      <w:proofErr w:type="gramEnd"/>
      <w:r w:rsidRPr="00373ED8">
        <w:t xml:space="preserve"> residential structures, such as many types of manufactured homes.</w:t>
      </w:r>
      <w:r>
        <w:t xml:space="preserve">  The final rule also exempts financing for the initial construction of a home and a temporary or bridge loan with a term of 12 months or less. </w:t>
      </w:r>
      <w:r w:rsidRPr="00373ED8">
        <w:t xml:space="preserve"> </w:t>
      </w:r>
    </w:p>
    <w:p w:rsidR="00721656" w:rsidRDefault="00721656">
      <w:pPr>
        <w:pStyle w:val="FootnoteText"/>
      </w:pPr>
    </w:p>
  </w:footnote>
  <w:footnote w:id="7">
    <w:p w:rsidR="00721656" w:rsidRDefault="00721656">
      <w:pPr>
        <w:pStyle w:val="FootnoteText"/>
      </w:pPr>
      <w:r w:rsidRPr="00B04B76">
        <w:rPr>
          <w:rStyle w:val="FootnoteReference"/>
          <w:vertAlign w:val="superscript"/>
        </w:rPr>
        <w:footnoteRef/>
      </w:r>
      <w:r w:rsidRPr="00B04B76">
        <w:rPr>
          <w:vertAlign w:val="superscript"/>
        </w:rPr>
        <w:t xml:space="preserve"> </w:t>
      </w:r>
      <w:proofErr w:type="gramStart"/>
      <w:r w:rsidRPr="00373ED8">
        <w:t xml:space="preserve">12 CFR </w:t>
      </w:r>
      <w:r>
        <w:t>34.203(c).</w:t>
      </w:r>
      <w:proofErr w:type="gramEnd"/>
    </w:p>
  </w:footnote>
  <w:footnote w:id="8">
    <w:p w:rsidR="00721656" w:rsidRDefault="00721656">
      <w:pPr>
        <w:pStyle w:val="FootnoteText"/>
      </w:pPr>
      <w:r w:rsidRPr="00E021BB">
        <w:rPr>
          <w:rStyle w:val="FootnoteReference"/>
          <w:vertAlign w:val="superscript"/>
        </w:rPr>
        <w:footnoteRef/>
      </w:r>
      <w:r>
        <w:t xml:space="preserve"> </w:t>
      </w:r>
      <w:r w:rsidRPr="00373ED8">
        <w:t xml:space="preserve">See proposed 12 CFR </w:t>
      </w:r>
      <w:r>
        <w:t>34.203</w:t>
      </w:r>
      <w:r w:rsidRPr="00373ED8">
        <w:t>(b</w:t>
      </w:r>
      <w:proofErr w:type="gramStart"/>
      <w:r w:rsidRPr="00373ED8">
        <w:t>)(</w:t>
      </w:r>
      <w:proofErr w:type="gramEnd"/>
      <w:r w:rsidRPr="00373ED8">
        <w:t xml:space="preserve">1) and (d).  </w:t>
      </w:r>
    </w:p>
  </w:footnote>
  <w:footnote w:id="9">
    <w:p w:rsidR="00721656" w:rsidRDefault="00721656">
      <w:pPr>
        <w:pStyle w:val="FootnoteText"/>
      </w:pPr>
      <w:r w:rsidRPr="00E021BB">
        <w:rPr>
          <w:rStyle w:val="FootnoteReference"/>
          <w:vertAlign w:val="superscript"/>
        </w:rPr>
        <w:footnoteRef/>
      </w:r>
      <w:r>
        <w:t xml:space="preserve"> </w:t>
      </w:r>
      <w:r w:rsidRPr="00373ED8">
        <w:t xml:space="preserve">See proposed 12 CFR </w:t>
      </w:r>
      <w:r>
        <w:t>34.203</w:t>
      </w:r>
      <w:r w:rsidRPr="00373ED8">
        <w:t>(b</w:t>
      </w:r>
      <w:proofErr w:type="gramStart"/>
      <w:r w:rsidRPr="00373ED8">
        <w:t>)(</w:t>
      </w:r>
      <w:proofErr w:type="gramEnd"/>
      <w:r w:rsidRPr="00373ED8">
        <w:t xml:space="preserve">2).  </w:t>
      </w:r>
    </w:p>
  </w:footnote>
  <w:footnote w:id="10">
    <w:p w:rsidR="00721656" w:rsidRDefault="00721656">
      <w:pPr>
        <w:pStyle w:val="FootnoteText"/>
      </w:pPr>
      <w:r w:rsidRPr="00970EDA">
        <w:rPr>
          <w:rStyle w:val="FootnoteReference"/>
          <w:vertAlign w:val="superscript"/>
        </w:rPr>
        <w:footnoteRef/>
      </w:r>
      <w:r w:rsidRPr="00970EDA">
        <w:rPr>
          <w:vertAlign w:val="superscript"/>
        </w:rPr>
        <w:t xml:space="preserve"> </w:t>
      </w:r>
      <w:r w:rsidRPr="00373ED8">
        <w:t xml:space="preserve">See proposed 12 CFR </w:t>
      </w:r>
      <w:r>
        <w:t>34.203</w:t>
      </w:r>
      <w:r w:rsidRPr="00373ED8">
        <w:t>(b</w:t>
      </w:r>
      <w:proofErr w:type="gramStart"/>
      <w:r w:rsidRPr="00373ED8">
        <w:t>)(</w:t>
      </w:r>
      <w:proofErr w:type="gramEnd"/>
      <w:r w:rsidRPr="00373ED8">
        <w:t xml:space="preserve">3).  </w:t>
      </w:r>
    </w:p>
  </w:footnote>
  <w:footnote w:id="11">
    <w:p w:rsidR="00721656" w:rsidRDefault="00721656">
      <w:pPr>
        <w:pStyle w:val="FootnoteText"/>
      </w:pPr>
      <w:r w:rsidRPr="00D2740F">
        <w:rPr>
          <w:rStyle w:val="FootnoteReference"/>
          <w:vertAlign w:val="superscript"/>
        </w:rPr>
        <w:footnoteRef/>
      </w:r>
      <w:r w:rsidRPr="00D2740F">
        <w:rPr>
          <w:vertAlign w:val="superscript"/>
        </w:rPr>
        <w:t xml:space="preserve"> </w:t>
      </w:r>
      <w:r w:rsidRPr="00D2740F">
        <w:t xml:space="preserve">See proposed 12 CFR </w:t>
      </w:r>
      <w:r>
        <w:t>34.203</w:t>
      </w:r>
      <w:r w:rsidRPr="00D2740F">
        <w:t>(b</w:t>
      </w:r>
      <w:proofErr w:type="gramStart"/>
      <w:r w:rsidRPr="00D2740F">
        <w:t>)(</w:t>
      </w:r>
      <w:proofErr w:type="gramEnd"/>
      <w:r w:rsidRPr="00D2740F">
        <w:t xml:space="preserve">3)(iv).  </w:t>
      </w:r>
    </w:p>
  </w:footnote>
  <w:footnote w:id="12">
    <w:p w:rsidR="00721656" w:rsidRPr="00D2740F" w:rsidRDefault="00721656" w:rsidP="00D2740F">
      <w:pPr>
        <w:rPr>
          <w:rFonts w:ascii="Times New Roman" w:hAnsi="Times New Roman"/>
          <w:sz w:val="20"/>
          <w:szCs w:val="20"/>
        </w:rPr>
      </w:pPr>
      <w:r w:rsidRPr="00D2740F">
        <w:rPr>
          <w:rStyle w:val="FootnoteReference"/>
          <w:rFonts w:ascii="Times New Roman" w:hAnsi="Times New Roman"/>
          <w:sz w:val="20"/>
          <w:szCs w:val="20"/>
          <w:vertAlign w:val="superscript"/>
        </w:rPr>
        <w:footnoteRef/>
      </w:r>
      <w:r w:rsidRPr="00D2740F">
        <w:rPr>
          <w:rFonts w:ascii="Times New Roman" w:hAnsi="Times New Roman"/>
          <w:sz w:val="20"/>
          <w:szCs w:val="20"/>
          <w:vertAlign w:val="superscript"/>
        </w:rPr>
        <w:t xml:space="preserve"> </w:t>
      </w:r>
      <w:proofErr w:type="gramStart"/>
      <w:r w:rsidRPr="00D2740F">
        <w:rPr>
          <w:rFonts w:ascii="Times New Roman" w:hAnsi="Times New Roman"/>
          <w:sz w:val="20"/>
          <w:szCs w:val="20"/>
        </w:rPr>
        <w:t xml:space="preserve">12 CFR </w:t>
      </w:r>
      <w:r>
        <w:rPr>
          <w:rFonts w:ascii="Times New Roman" w:hAnsi="Times New Roman"/>
          <w:sz w:val="20"/>
          <w:szCs w:val="20"/>
        </w:rPr>
        <w:t>34.203</w:t>
      </w:r>
      <w:r w:rsidRPr="00D2740F">
        <w:rPr>
          <w:rFonts w:ascii="Times New Roman" w:hAnsi="Times New Roman"/>
          <w:sz w:val="20"/>
          <w:szCs w:val="20"/>
        </w:rPr>
        <w:t>(d).</w:t>
      </w:r>
      <w:proofErr w:type="gramEnd"/>
    </w:p>
    <w:p w:rsidR="00721656" w:rsidRDefault="00721656">
      <w:pPr>
        <w:pStyle w:val="FootnoteText"/>
      </w:pPr>
    </w:p>
  </w:footnote>
  <w:footnote w:id="13">
    <w:p w:rsidR="00721656" w:rsidRPr="00307470" w:rsidRDefault="00721656" w:rsidP="00890725">
      <w:pPr>
        <w:pStyle w:val="FootnoteText"/>
      </w:pPr>
      <w:r w:rsidRPr="006A0AE9">
        <w:rPr>
          <w:rStyle w:val="FootnoteReference"/>
          <w:vertAlign w:val="superscript"/>
        </w:rPr>
        <w:footnoteRef/>
      </w:r>
      <w:r w:rsidRPr="006A0AE9">
        <w:rPr>
          <w:vertAlign w:val="superscript"/>
        </w:rPr>
        <w:t xml:space="preserve"> </w:t>
      </w:r>
      <w:r>
        <w:t xml:space="preserve">The current appraisal process </w:t>
      </w:r>
      <w:r w:rsidR="00307470">
        <w:t xml:space="preserve">for all federally related transactions originated by national banks or Federal savings associations </w:t>
      </w:r>
      <w:r>
        <w:t xml:space="preserve">is codified in 12 CFR 34 </w:t>
      </w:r>
      <w:r w:rsidR="00307470">
        <w:t xml:space="preserve">and 12 CFR 164, respectively </w:t>
      </w:r>
      <w:r>
        <w:t xml:space="preserve">and has been approved under OMB control number </w:t>
      </w:r>
      <w:r w:rsidR="00D102B3" w:rsidRPr="00C74802">
        <w:t>1557-0190</w:t>
      </w:r>
      <w:r w:rsidRPr="00307470">
        <w:t>.</w:t>
      </w:r>
      <w:r w:rsidR="00307470">
        <w:t xml:space="preserve">   </w:t>
      </w:r>
    </w:p>
    <w:p w:rsidR="00721656" w:rsidRDefault="00721656">
      <w:pPr>
        <w:pStyle w:val="FootnoteText"/>
      </w:pPr>
    </w:p>
  </w:footnote>
  <w:footnote w:id="14">
    <w:p w:rsidR="00721656" w:rsidRPr="00764BA9" w:rsidRDefault="00721656" w:rsidP="00E820E5">
      <w:pPr>
        <w:rPr>
          <w:rFonts w:ascii="Times New Roman" w:hAnsi="Times New Roman"/>
          <w:sz w:val="20"/>
        </w:rPr>
      </w:pPr>
      <w:r w:rsidRPr="00764BA9">
        <w:rPr>
          <w:rStyle w:val="FootnoteReference"/>
          <w:rFonts w:ascii="Times New Roman" w:hAnsi="Times New Roman"/>
          <w:sz w:val="20"/>
          <w:vertAlign w:val="superscript"/>
        </w:rPr>
        <w:footnoteRef/>
      </w:r>
      <w:r w:rsidRPr="00764BA9">
        <w:rPr>
          <w:rFonts w:ascii="Times New Roman" w:hAnsi="Times New Roman"/>
          <w:sz w:val="20"/>
          <w:vertAlign w:val="superscript"/>
        </w:rPr>
        <w:t xml:space="preserve"> </w:t>
      </w:r>
      <w:r w:rsidRPr="00764BA9">
        <w:rPr>
          <w:rFonts w:ascii="Times New Roman" w:hAnsi="Times New Roman"/>
          <w:sz w:val="20"/>
        </w:rPr>
        <w:t>The public disclosure of information originally supplied by the Federal government to the recipient for the</w:t>
      </w:r>
    </w:p>
    <w:p w:rsidR="00721656" w:rsidRPr="00764BA9" w:rsidRDefault="00721656" w:rsidP="00E820E5">
      <w:pPr>
        <w:rPr>
          <w:rFonts w:ascii="Times New Roman" w:hAnsi="Times New Roman"/>
          <w:sz w:val="20"/>
        </w:rPr>
      </w:pPr>
      <w:proofErr w:type="gramStart"/>
      <w:r w:rsidRPr="00764BA9">
        <w:rPr>
          <w:rFonts w:ascii="Times New Roman" w:hAnsi="Times New Roman"/>
          <w:sz w:val="20"/>
        </w:rPr>
        <w:t>purpose</w:t>
      </w:r>
      <w:proofErr w:type="gramEnd"/>
      <w:r w:rsidRPr="00764BA9">
        <w:rPr>
          <w:rFonts w:ascii="Times New Roman" w:hAnsi="Times New Roman"/>
          <w:sz w:val="20"/>
        </w:rPr>
        <w:t xml:space="preserve"> of disclosure to th</w:t>
      </w:r>
      <w:r>
        <w:rPr>
          <w:rFonts w:ascii="Times New Roman" w:hAnsi="Times New Roman"/>
          <w:sz w:val="20"/>
        </w:rPr>
        <w:t>e public is not included within</w:t>
      </w:r>
      <w:r w:rsidRPr="00764BA9">
        <w:rPr>
          <w:rFonts w:ascii="Times New Roman" w:hAnsi="Times New Roman"/>
          <w:sz w:val="20"/>
        </w:rPr>
        <w:t xml:space="preserve"> the definition of “collection of information.”  5 CFR</w:t>
      </w:r>
    </w:p>
    <w:p w:rsidR="00721656" w:rsidRPr="00764BA9" w:rsidRDefault="00721656" w:rsidP="00E820E5">
      <w:pPr>
        <w:rPr>
          <w:rFonts w:ascii="Times New Roman" w:hAnsi="Times New Roman"/>
        </w:rPr>
      </w:pPr>
      <w:r w:rsidRPr="00764BA9">
        <w:rPr>
          <w:rFonts w:ascii="Times New Roman" w:hAnsi="Times New Roman"/>
          <w:sz w:val="20"/>
        </w:rPr>
        <w:t>1320.3(c</w:t>
      </w:r>
      <w:proofErr w:type="gramStart"/>
      <w:r w:rsidRPr="00764BA9">
        <w:rPr>
          <w:rFonts w:ascii="Times New Roman" w:hAnsi="Times New Roman"/>
          <w:sz w:val="20"/>
        </w:rPr>
        <w:t>)(</w:t>
      </w:r>
      <w:proofErr w:type="gramEnd"/>
      <w:r w:rsidRPr="00764BA9">
        <w:rPr>
          <w:rFonts w:ascii="Times New Roman" w:hAnsi="Times New Roman"/>
          <w:sz w:val="20"/>
        </w:rP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56" w:rsidRDefault="00721656"/>
  <w:p w:rsidR="00721656" w:rsidRDefault="0072165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137"/>
    <w:multiLevelType w:val="hybridMultilevel"/>
    <w:tmpl w:val="21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C3B61"/>
    <w:multiLevelType w:val="hybridMultilevel"/>
    <w:tmpl w:val="250A375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0A2405"/>
    <w:multiLevelType w:val="hybridMultilevel"/>
    <w:tmpl w:val="092C1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BD0B0B"/>
    <w:multiLevelType w:val="hybridMultilevel"/>
    <w:tmpl w:val="AAFCF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4704B"/>
    <w:multiLevelType w:val="hybridMultilevel"/>
    <w:tmpl w:val="1D409022"/>
    <w:lvl w:ilvl="0" w:tplc="991E90EE">
      <w:start w:val="1"/>
      <w:numFmt w:val="bullet"/>
      <w:lvlText w:val=""/>
      <w:lvlJc w:val="left"/>
      <w:pPr>
        <w:tabs>
          <w:tab w:val="num" w:pos="2106"/>
        </w:tabs>
        <w:ind w:left="21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8C7D97"/>
    <w:multiLevelType w:val="hybridMultilevel"/>
    <w:tmpl w:val="CC7C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2929AC"/>
    <w:multiLevelType w:val="hybridMultilevel"/>
    <w:tmpl w:val="12522958"/>
    <w:lvl w:ilvl="0" w:tplc="991E9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D242070"/>
    <w:multiLevelType w:val="hybridMultilevel"/>
    <w:tmpl w:val="1F7678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D2C5665"/>
    <w:multiLevelType w:val="hybridMultilevel"/>
    <w:tmpl w:val="82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FA10D68"/>
    <w:multiLevelType w:val="hybridMultilevel"/>
    <w:tmpl w:val="27E4E4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FA703C"/>
    <w:rsid w:val="0000014C"/>
    <w:rsid w:val="00087F1F"/>
    <w:rsid w:val="000915DD"/>
    <w:rsid w:val="000971BE"/>
    <w:rsid w:val="000D602E"/>
    <w:rsid w:val="000E510A"/>
    <w:rsid w:val="00106526"/>
    <w:rsid w:val="00136AC6"/>
    <w:rsid w:val="001403B3"/>
    <w:rsid w:val="001635C1"/>
    <w:rsid w:val="00164BC1"/>
    <w:rsid w:val="00186793"/>
    <w:rsid w:val="001924CE"/>
    <w:rsid w:val="001A1BDF"/>
    <w:rsid w:val="001B282D"/>
    <w:rsid w:val="001D028F"/>
    <w:rsid w:val="001D6A9B"/>
    <w:rsid w:val="001D7A47"/>
    <w:rsid w:val="001E02AE"/>
    <w:rsid w:val="00202514"/>
    <w:rsid w:val="00204553"/>
    <w:rsid w:val="0022097C"/>
    <w:rsid w:val="00240373"/>
    <w:rsid w:val="00294E05"/>
    <w:rsid w:val="002A359A"/>
    <w:rsid w:val="002B6089"/>
    <w:rsid w:val="002B6E8E"/>
    <w:rsid w:val="002C47CD"/>
    <w:rsid w:val="002C73B8"/>
    <w:rsid w:val="002D73D8"/>
    <w:rsid w:val="002E0DD5"/>
    <w:rsid w:val="002F549C"/>
    <w:rsid w:val="00307470"/>
    <w:rsid w:val="00315977"/>
    <w:rsid w:val="0032536B"/>
    <w:rsid w:val="00331859"/>
    <w:rsid w:val="003342B6"/>
    <w:rsid w:val="00344D0B"/>
    <w:rsid w:val="0035537C"/>
    <w:rsid w:val="00357878"/>
    <w:rsid w:val="0036427A"/>
    <w:rsid w:val="00373ED8"/>
    <w:rsid w:val="00382642"/>
    <w:rsid w:val="00391009"/>
    <w:rsid w:val="003A5AF4"/>
    <w:rsid w:val="00434E1A"/>
    <w:rsid w:val="00440C41"/>
    <w:rsid w:val="00442AE0"/>
    <w:rsid w:val="00443E6B"/>
    <w:rsid w:val="00464677"/>
    <w:rsid w:val="0046618F"/>
    <w:rsid w:val="004915AB"/>
    <w:rsid w:val="00492B27"/>
    <w:rsid w:val="00495B4D"/>
    <w:rsid w:val="004C486D"/>
    <w:rsid w:val="00500358"/>
    <w:rsid w:val="00531EB9"/>
    <w:rsid w:val="00585685"/>
    <w:rsid w:val="005A6600"/>
    <w:rsid w:val="005A6A67"/>
    <w:rsid w:val="005B15B3"/>
    <w:rsid w:val="005B4065"/>
    <w:rsid w:val="005D017A"/>
    <w:rsid w:val="005D7286"/>
    <w:rsid w:val="005E5398"/>
    <w:rsid w:val="00602E5F"/>
    <w:rsid w:val="006062D4"/>
    <w:rsid w:val="00630182"/>
    <w:rsid w:val="00631F74"/>
    <w:rsid w:val="0063340F"/>
    <w:rsid w:val="0064380D"/>
    <w:rsid w:val="00651021"/>
    <w:rsid w:val="00662669"/>
    <w:rsid w:val="0067139A"/>
    <w:rsid w:val="006776BD"/>
    <w:rsid w:val="00681B4F"/>
    <w:rsid w:val="00683D1B"/>
    <w:rsid w:val="00690B8A"/>
    <w:rsid w:val="00691C16"/>
    <w:rsid w:val="006A0172"/>
    <w:rsid w:val="006A0AE9"/>
    <w:rsid w:val="006B248D"/>
    <w:rsid w:val="006B6BC9"/>
    <w:rsid w:val="006D0DDB"/>
    <w:rsid w:val="006D33C2"/>
    <w:rsid w:val="00706B9C"/>
    <w:rsid w:val="00721656"/>
    <w:rsid w:val="00764BA9"/>
    <w:rsid w:val="00777581"/>
    <w:rsid w:val="00793D1A"/>
    <w:rsid w:val="007B7D30"/>
    <w:rsid w:val="00800BC5"/>
    <w:rsid w:val="00802328"/>
    <w:rsid w:val="008349A5"/>
    <w:rsid w:val="008431F8"/>
    <w:rsid w:val="00851B76"/>
    <w:rsid w:val="00865155"/>
    <w:rsid w:val="00890725"/>
    <w:rsid w:val="00891805"/>
    <w:rsid w:val="008B6732"/>
    <w:rsid w:val="009016DB"/>
    <w:rsid w:val="009072BB"/>
    <w:rsid w:val="00916514"/>
    <w:rsid w:val="009236AB"/>
    <w:rsid w:val="00923BFE"/>
    <w:rsid w:val="00934CFC"/>
    <w:rsid w:val="00937BF8"/>
    <w:rsid w:val="009679AC"/>
    <w:rsid w:val="00970EDA"/>
    <w:rsid w:val="00972C7A"/>
    <w:rsid w:val="00990B52"/>
    <w:rsid w:val="009C2833"/>
    <w:rsid w:val="009D7FEC"/>
    <w:rsid w:val="009E3364"/>
    <w:rsid w:val="009F1182"/>
    <w:rsid w:val="009F515F"/>
    <w:rsid w:val="00A24402"/>
    <w:rsid w:val="00A42F4E"/>
    <w:rsid w:val="00A53B50"/>
    <w:rsid w:val="00A87148"/>
    <w:rsid w:val="00A91744"/>
    <w:rsid w:val="00AB2FCB"/>
    <w:rsid w:val="00AB571B"/>
    <w:rsid w:val="00AC3B5E"/>
    <w:rsid w:val="00B02EF3"/>
    <w:rsid w:val="00B04B76"/>
    <w:rsid w:val="00B27249"/>
    <w:rsid w:val="00B32622"/>
    <w:rsid w:val="00B57DB6"/>
    <w:rsid w:val="00B80B6D"/>
    <w:rsid w:val="00B925AB"/>
    <w:rsid w:val="00BA19E0"/>
    <w:rsid w:val="00BD1427"/>
    <w:rsid w:val="00BE2FE5"/>
    <w:rsid w:val="00BE73EE"/>
    <w:rsid w:val="00BF7430"/>
    <w:rsid w:val="00C15B4D"/>
    <w:rsid w:val="00C2768E"/>
    <w:rsid w:val="00C74802"/>
    <w:rsid w:val="00C94DAC"/>
    <w:rsid w:val="00C96381"/>
    <w:rsid w:val="00CA433A"/>
    <w:rsid w:val="00CC1ABF"/>
    <w:rsid w:val="00CF1CEC"/>
    <w:rsid w:val="00CF36D1"/>
    <w:rsid w:val="00D061A7"/>
    <w:rsid w:val="00D102B3"/>
    <w:rsid w:val="00D12B0D"/>
    <w:rsid w:val="00D2740F"/>
    <w:rsid w:val="00D3059E"/>
    <w:rsid w:val="00D522BD"/>
    <w:rsid w:val="00D72CD5"/>
    <w:rsid w:val="00D81536"/>
    <w:rsid w:val="00D97538"/>
    <w:rsid w:val="00DD05A5"/>
    <w:rsid w:val="00DF51E3"/>
    <w:rsid w:val="00E021BB"/>
    <w:rsid w:val="00E34636"/>
    <w:rsid w:val="00E36E75"/>
    <w:rsid w:val="00E77D5A"/>
    <w:rsid w:val="00E820E5"/>
    <w:rsid w:val="00EA17EC"/>
    <w:rsid w:val="00EA2835"/>
    <w:rsid w:val="00EA715B"/>
    <w:rsid w:val="00ED0AD1"/>
    <w:rsid w:val="00EF2338"/>
    <w:rsid w:val="00F01C5E"/>
    <w:rsid w:val="00F04D5C"/>
    <w:rsid w:val="00F10019"/>
    <w:rsid w:val="00F17B20"/>
    <w:rsid w:val="00F919C2"/>
    <w:rsid w:val="00F9781B"/>
    <w:rsid w:val="00FA2B32"/>
    <w:rsid w:val="00FA6C9F"/>
    <w:rsid w:val="00FA703C"/>
    <w:rsid w:val="00FB7D1D"/>
    <w:rsid w:val="00FC1194"/>
    <w:rsid w:val="00FC3D5F"/>
    <w:rsid w:val="00FD4DCD"/>
    <w:rsid w:val="00FF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uiPriority w:val="99"/>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uiPriority w:val="99"/>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s>
</file>

<file path=word/webSettings.xml><?xml version="1.0" encoding="utf-8"?>
<w:webSettings xmlns:r="http://schemas.openxmlformats.org/officeDocument/2006/relationships" xmlns:w="http://schemas.openxmlformats.org/wordprocessingml/2006/main">
  <w:divs>
    <w:div w:id="193619800">
      <w:bodyDiv w:val="1"/>
      <w:marLeft w:val="0"/>
      <w:marRight w:val="0"/>
      <w:marTop w:val="0"/>
      <w:marBottom w:val="0"/>
      <w:divBdr>
        <w:top w:val="none" w:sz="0" w:space="0" w:color="auto"/>
        <w:left w:val="none" w:sz="0" w:space="0" w:color="auto"/>
        <w:bottom w:val="none" w:sz="0" w:space="0" w:color="auto"/>
        <w:right w:val="none" w:sz="0" w:space="0" w:color="auto"/>
      </w:divBdr>
    </w:div>
    <w:div w:id="4639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4174-9DD4-4F95-9201-1F6D5986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2229</Words>
  <Characters>12320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juanmanuel.vilela</cp:lastModifiedBy>
  <cp:revision>3</cp:revision>
  <cp:lastPrinted>2013-01-17T16:36:00Z</cp:lastPrinted>
  <dcterms:created xsi:type="dcterms:W3CDTF">2013-01-18T20:47:00Z</dcterms:created>
  <dcterms:modified xsi:type="dcterms:W3CDTF">2013-01-23T20:37:00Z</dcterms:modified>
</cp:coreProperties>
</file>