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937F33" w:rsidRPr="00EF7FF5" w:rsidRDefault="00937F33">
      <w:pPr>
        <w:tabs>
          <w:tab w:val="left" w:pos="0"/>
        </w:tabs>
        <w:suppressAutoHyphens/>
        <w:rPr>
          <w:rFonts w:ascii="Times New Roman" w:hAnsi="Times New Roman"/>
          <w:szCs w:val="24"/>
        </w:rPr>
      </w:pPr>
    </w:p>
    <w:p w:rsidR="00937F33" w:rsidRPr="00937F33" w:rsidRDefault="00937F33" w:rsidP="00937F33">
      <w:pPr>
        <w:widowControl w:val="0"/>
        <w:spacing w:after="200"/>
        <w:ind w:left="720"/>
        <w:rPr>
          <w:rFonts w:ascii="Calibri" w:hAnsi="Calibri"/>
          <w:snapToGrid w:val="0"/>
          <w:sz w:val="22"/>
          <w:szCs w:val="22"/>
        </w:rPr>
      </w:pPr>
      <w:r w:rsidRPr="00937F33">
        <w:rPr>
          <w:rFonts w:ascii="Calibri" w:hAnsi="Calibri"/>
          <w:snapToGrid w:val="0"/>
          <w:sz w:val="22"/>
          <w:szCs w:val="22"/>
        </w:rPr>
        <w:t xml:space="preserve">The Higher Education Act of 1965, as amended (HEA), established the Federal Perkins (Perkins) Loan Program, the Federal Family Education Loan (FFEL) Program and the William D. Ford Federal Direct Loan (Direct Loan) Program under Title IV, Parts B, D, and E.  Section 437(a) of the HEA authorizes the discharge of a borrower’s obligation to repay his or her FFEL Program loan(s) if the borrower is unable to engage in any substantial gainful activity by reason of any medically determinable physical or mental impairment that can be expected to result in death, has lasted for a continuous period of not less than 60 months, or can be expected to last for a continuous period of not less than 60 months.  Section 455(a)(1) of the HEA extends this loan discharge provision to Direct Loan Program borrowers, and section 464(c)(1)(F) of the HEA authorizes total and permanent disability loan discharges in the Perkins Loan Program, in accordance with the same eligibility requirements described in section 437(a) of the HEA.  </w:t>
      </w:r>
    </w:p>
    <w:p w:rsidR="00937F33" w:rsidRDefault="00937F33" w:rsidP="00937F33">
      <w:pPr>
        <w:widowControl w:val="0"/>
        <w:spacing w:after="200"/>
        <w:ind w:left="720"/>
        <w:rPr>
          <w:rFonts w:ascii="Calibri" w:hAnsi="Calibri"/>
          <w:snapToGrid w:val="0"/>
          <w:sz w:val="22"/>
          <w:szCs w:val="22"/>
        </w:rPr>
      </w:pPr>
      <w:r w:rsidRPr="00937F33">
        <w:rPr>
          <w:rFonts w:ascii="Calibri" w:hAnsi="Calibri"/>
          <w:snapToGrid w:val="0"/>
          <w:sz w:val="22"/>
          <w:szCs w:val="22"/>
        </w:rPr>
        <w:t xml:space="preserve">The regulations related to total and permanent disability loan discharges are contained in 34 CFR 682.402(c) for the FFEL Program, in 34 CFR 685.212 and 34 CFR 685.213 for the Direct Loan Program, and in 34 CFR 674.61(b) for the Perkins Loan Program.  These regulations require borrowers who seek disability discharges of their FFEL, Direct Loan, or Perkins loans to provide their loan holders with certain information in writing.  The Discharge Application: Total and Permanent Disability (TPD Discharge Application) is the means by which a borrower who seeks a total and permanent disability loan discharge provides this information, which is required to determine the borrower’s eligibility for loan discharge.  Although borrowers initially submit the completed discharge application to their individual loan holders, the final determination of discharge eligibility is made by the U.S. Department of Education (the Department).  </w:t>
      </w:r>
    </w:p>
    <w:p w:rsidR="00CC0911" w:rsidRPr="00CC0911" w:rsidRDefault="00CC0911" w:rsidP="00CC0911">
      <w:pPr>
        <w:widowControl w:val="0"/>
        <w:spacing w:after="200"/>
        <w:ind w:left="720"/>
        <w:rPr>
          <w:rFonts w:ascii="Calibri" w:hAnsi="Calibri"/>
          <w:snapToGrid w:val="0"/>
          <w:sz w:val="22"/>
          <w:szCs w:val="22"/>
        </w:rPr>
      </w:pPr>
      <w:r w:rsidRPr="00CC0911">
        <w:rPr>
          <w:rFonts w:ascii="Calibri" w:hAnsi="Calibri"/>
          <w:snapToGrid w:val="0"/>
          <w:sz w:val="22"/>
          <w:szCs w:val="22"/>
        </w:rPr>
        <w:t xml:space="preserve">Final regulations published on June 23, 2008 (73 FR 35472) for the Teacher Education Assistance for College and Higher Education (TEACH) Grant Program established regulations for the TEACH Grant Program in 34 CFR 686.  In accordance with 34 CFR 686.42(b), a TEACH Grant recipient’s teaching service obligation is discharged if the recipient is totally and permanent disabled in accordance with the same definition that applies to borrowers in the FFEL, Direct Loan, and Perkins Loan programs, and if the recipient satisfies the eligibility requirements for a total and permanent disability discharge in 34 CFR 685.213.  A totally and permanently disabled TEACH </w:t>
      </w:r>
      <w:r w:rsidRPr="00CC0911">
        <w:rPr>
          <w:rFonts w:ascii="Calibri" w:hAnsi="Calibri"/>
          <w:snapToGrid w:val="0"/>
          <w:sz w:val="22"/>
          <w:szCs w:val="22"/>
        </w:rPr>
        <w:lastRenderedPageBreak/>
        <w:t xml:space="preserve">Grant recipient applies for a discharge of his or her TEACH Grant service obligation by submitting a completed TPD Discharge Application to the Department. </w:t>
      </w:r>
    </w:p>
    <w:p w:rsidR="001271F0" w:rsidRPr="00937F33" w:rsidRDefault="001271F0" w:rsidP="00937F33">
      <w:pPr>
        <w:widowControl w:val="0"/>
        <w:spacing w:after="200"/>
        <w:ind w:left="720"/>
        <w:rPr>
          <w:rFonts w:ascii="Calibri" w:hAnsi="Calibri"/>
          <w:snapToGrid w:val="0"/>
          <w:sz w:val="22"/>
          <w:szCs w:val="22"/>
        </w:rPr>
      </w:pPr>
      <w:r>
        <w:rPr>
          <w:rFonts w:ascii="Calibri" w:hAnsi="Calibri"/>
          <w:snapToGrid w:val="0"/>
          <w:sz w:val="22"/>
          <w:szCs w:val="22"/>
        </w:rPr>
        <w:t xml:space="preserve">Under these </w:t>
      </w:r>
      <w:r w:rsidR="001C61C4">
        <w:rPr>
          <w:rFonts w:ascii="Calibri" w:hAnsi="Calibri"/>
          <w:snapToGrid w:val="0"/>
          <w:sz w:val="22"/>
          <w:szCs w:val="22"/>
        </w:rPr>
        <w:t>final</w:t>
      </w:r>
      <w:r>
        <w:rPr>
          <w:rFonts w:ascii="Calibri" w:hAnsi="Calibri"/>
          <w:snapToGrid w:val="0"/>
          <w:sz w:val="22"/>
          <w:szCs w:val="22"/>
        </w:rPr>
        <w:t xml:space="preserve"> regulations the application process would be streamlined.  Loan holders (institutions in the case of Perkins loans and lenders and guaranty agencies in the case of FFEL loans) w</w:t>
      </w:r>
      <w:r w:rsidR="001C61C4">
        <w:rPr>
          <w:rFonts w:ascii="Calibri" w:hAnsi="Calibri"/>
          <w:snapToGrid w:val="0"/>
          <w:sz w:val="22"/>
          <w:szCs w:val="22"/>
        </w:rPr>
        <w:t>ill</w:t>
      </w:r>
      <w:r>
        <w:rPr>
          <w:rFonts w:ascii="Calibri" w:hAnsi="Calibri"/>
          <w:snapToGrid w:val="0"/>
          <w:sz w:val="22"/>
          <w:szCs w:val="22"/>
        </w:rPr>
        <w:t xml:space="preserve"> be required to refer borrowers requesting a TPD application to the Department.  The loan holders w</w:t>
      </w:r>
      <w:r w:rsidR="001C61C4">
        <w:rPr>
          <w:rFonts w:ascii="Calibri" w:hAnsi="Calibri"/>
          <w:snapToGrid w:val="0"/>
          <w:sz w:val="22"/>
          <w:szCs w:val="22"/>
        </w:rPr>
        <w:t>ill</w:t>
      </w:r>
      <w:r>
        <w:rPr>
          <w:rFonts w:ascii="Calibri" w:hAnsi="Calibri"/>
          <w:snapToGrid w:val="0"/>
          <w:sz w:val="22"/>
          <w:szCs w:val="22"/>
        </w:rPr>
        <w:t xml:space="preserve"> no longer distribute, review, evaluate, request additional or missing information, </w:t>
      </w:r>
      <w:proofErr w:type="gramStart"/>
      <w:r>
        <w:rPr>
          <w:rFonts w:ascii="Calibri" w:hAnsi="Calibri"/>
          <w:snapToGrid w:val="0"/>
          <w:sz w:val="22"/>
          <w:szCs w:val="22"/>
        </w:rPr>
        <w:t>make</w:t>
      </w:r>
      <w:proofErr w:type="gramEnd"/>
      <w:r>
        <w:rPr>
          <w:rFonts w:ascii="Calibri" w:hAnsi="Calibri"/>
          <w:snapToGrid w:val="0"/>
          <w:sz w:val="22"/>
          <w:szCs w:val="22"/>
        </w:rPr>
        <w:t xml:space="preserve"> preliminary determinations on whether a completed and submitted TPD application supports the conclusion that the borrower is total and permanently disabled.  Instead, the loan holder w</w:t>
      </w:r>
      <w:r w:rsidR="001C61C4">
        <w:rPr>
          <w:rFonts w:ascii="Calibri" w:hAnsi="Calibri"/>
          <w:snapToGrid w:val="0"/>
          <w:sz w:val="22"/>
          <w:szCs w:val="22"/>
        </w:rPr>
        <w:t>ill</w:t>
      </w:r>
      <w:r>
        <w:rPr>
          <w:rFonts w:ascii="Calibri" w:hAnsi="Calibri"/>
          <w:snapToGrid w:val="0"/>
          <w:sz w:val="22"/>
          <w:szCs w:val="22"/>
        </w:rPr>
        <w:t xml:space="preserve"> refer the borrower to the Department.  In so doing, the borrower w</w:t>
      </w:r>
      <w:r w:rsidR="001C61C4">
        <w:rPr>
          <w:rFonts w:ascii="Calibri" w:hAnsi="Calibri"/>
          <w:snapToGrid w:val="0"/>
          <w:sz w:val="22"/>
          <w:szCs w:val="22"/>
        </w:rPr>
        <w:t>ill</w:t>
      </w:r>
      <w:r>
        <w:rPr>
          <w:rFonts w:ascii="Calibri" w:hAnsi="Calibri"/>
          <w:snapToGrid w:val="0"/>
          <w:sz w:val="22"/>
          <w:szCs w:val="22"/>
        </w:rPr>
        <w:t xml:space="preserve"> complete and submit only one TPD application even when the borrower has multiple loans with multiple loan holders.</w:t>
      </w:r>
    </w:p>
    <w:p w:rsidR="00386054" w:rsidRPr="00EF7FF5" w:rsidRDefault="00937F33" w:rsidP="00CC0911">
      <w:pPr>
        <w:widowControl w:val="0"/>
        <w:spacing w:after="200"/>
        <w:ind w:left="720"/>
        <w:rPr>
          <w:rFonts w:ascii="Times New Roman" w:hAnsi="Times New Roman"/>
          <w:szCs w:val="24"/>
        </w:rPr>
      </w:pPr>
      <w:r w:rsidRPr="00937F33">
        <w:rPr>
          <w:rFonts w:ascii="Calibri" w:hAnsi="Calibri"/>
          <w:snapToGrid w:val="0"/>
          <w:sz w:val="22"/>
          <w:szCs w:val="22"/>
        </w:rPr>
        <w:t xml:space="preserve">The Department is requesting a revision of the currently approved collection.  </w:t>
      </w: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CC0911" w:rsidRPr="00CC0911" w:rsidRDefault="001C61C4" w:rsidP="00CC0911">
      <w:pPr>
        <w:widowControl w:val="0"/>
        <w:spacing w:after="200"/>
        <w:ind w:left="720"/>
        <w:rPr>
          <w:rFonts w:ascii="Calibri" w:hAnsi="Calibri"/>
          <w:snapToGrid w:val="0"/>
          <w:sz w:val="22"/>
          <w:szCs w:val="22"/>
        </w:rPr>
      </w:pPr>
      <w:r>
        <w:rPr>
          <w:rFonts w:ascii="Calibri" w:hAnsi="Calibri"/>
          <w:snapToGrid w:val="0"/>
          <w:sz w:val="22"/>
          <w:szCs w:val="22"/>
        </w:rPr>
        <w:t>T</w:t>
      </w:r>
      <w:r w:rsidR="00CC0911" w:rsidRPr="00CC0911">
        <w:rPr>
          <w:rFonts w:ascii="Calibri" w:hAnsi="Calibri"/>
          <w:snapToGrid w:val="0"/>
          <w:sz w:val="22"/>
          <w:szCs w:val="22"/>
        </w:rPr>
        <w:t xml:space="preserve">he information collected on this form </w:t>
      </w:r>
      <w:r w:rsidR="00CC0911">
        <w:rPr>
          <w:rFonts w:ascii="Calibri" w:hAnsi="Calibri"/>
          <w:snapToGrid w:val="0"/>
          <w:sz w:val="22"/>
          <w:szCs w:val="22"/>
        </w:rPr>
        <w:t xml:space="preserve">will </w:t>
      </w:r>
      <w:r w:rsidR="00CC0911" w:rsidRPr="00CC0911">
        <w:rPr>
          <w:rFonts w:ascii="Calibri" w:hAnsi="Calibri"/>
          <w:snapToGrid w:val="0"/>
          <w:sz w:val="22"/>
          <w:szCs w:val="22"/>
        </w:rPr>
        <w:t>be</w:t>
      </w:r>
      <w:r w:rsidR="00CC0911">
        <w:rPr>
          <w:rFonts w:ascii="Calibri" w:hAnsi="Calibri"/>
          <w:snapToGrid w:val="0"/>
          <w:sz w:val="22"/>
          <w:szCs w:val="22"/>
        </w:rPr>
        <w:t xml:space="preserve"> </w:t>
      </w:r>
      <w:r w:rsidR="00CC0911" w:rsidRPr="00CC0911">
        <w:rPr>
          <w:rFonts w:ascii="Calibri" w:hAnsi="Calibri"/>
          <w:snapToGrid w:val="0"/>
          <w:sz w:val="22"/>
          <w:szCs w:val="22"/>
        </w:rPr>
        <w:t xml:space="preserve">used by </w:t>
      </w:r>
      <w:r w:rsidR="00CC0911">
        <w:rPr>
          <w:rFonts w:ascii="Calibri" w:hAnsi="Calibri"/>
          <w:snapToGrid w:val="0"/>
          <w:sz w:val="22"/>
          <w:szCs w:val="22"/>
        </w:rPr>
        <w:t>the Department</w:t>
      </w:r>
      <w:r w:rsidR="00CC0911" w:rsidRPr="00CC0911">
        <w:rPr>
          <w:rFonts w:ascii="Calibri" w:hAnsi="Calibri"/>
          <w:snapToGrid w:val="0"/>
          <w:sz w:val="22"/>
          <w:szCs w:val="22"/>
        </w:rPr>
        <w:t xml:space="preserve"> to determine whether a borrower or TEACH Grant recipient meets the eligibility criteria for a total and permanent disability discharge of his or her loan(s) or TEACH Grant service obligation, and it will continue to be used for this purpose.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Default="00386054">
      <w:pPr>
        <w:tabs>
          <w:tab w:val="left" w:pos="-720"/>
        </w:tabs>
        <w:suppressAutoHyphens/>
        <w:rPr>
          <w:rFonts w:ascii="Times New Roman" w:hAnsi="Times New Roman"/>
          <w:szCs w:val="24"/>
        </w:rPr>
      </w:pPr>
    </w:p>
    <w:p w:rsidR="00CC0911" w:rsidRPr="00CC0911" w:rsidRDefault="00CC0911" w:rsidP="00CC0911">
      <w:pPr>
        <w:widowControl w:val="0"/>
        <w:spacing w:after="200"/>
        <w:ind w:left="720"/>
        <w:rPr>
          <w:rFonts w:ascii="Calibri" w:hAnsi="Calibri"/>
          <w:snapToGrid w:val="0"/>
          <w:sz w:val="22"/>
          <w:szCs w:val="22"/>
        </w:rPr>
      </w:pPr>
      <w:r w:rsidRPr="00CC0911">
        <w:rPr>
          <w:rFonts w:ascii="Calibri" w:hAnsi="Calibri"/>
          <w:snapToGrid w:val="0"/>
          <w:sz w:val="22"/>
          <w:szCs w:val="22"/>
        </w:rPr>
        <w:t xml:space="preserve">This collection does not involve the use of technological processes such as electronic submission of responses.  The TPD Discharge Application requires a signature from both the discharge applicant and the physician who certifies the applicant’s disability.  In addition, the physician must provide additional information (sometimes including attached documentation) related to the applicant’s disabling condition.  The United States Postal Service, or some other mail delivery service, provides the only currently feasible means for loan holders to send the disability discharge application to borrowers, and for borrowers and TEACH Grant recipients to return the completed discharge application and any supporting documents. </w:t>
      </w:r>
    </w:p>
    <w:p w:rsidR="00CC0911" w:rsidRPr="00EF7FF5" w:rsidRDefault="00CC0911">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CC0911" w:rsidRPr="00CC0911" w:rsidRDefault="00CC0911" w:rsidP="00CC0911">
      <w:pPr>
        <w:widowControl w:val="0"/>
        <w:spacing w:after="200"/>
        <w:ind w:left="720"/>
        <w:rPr>
          <w:rFonts w:ascii="Calibri" w:hAnsi="Calibri"/>
          <w:snapToGrid w:val="0"/>
          <w:sz w:val="22"/>
          <w:szCs w:val="22"/>
        </w:rPr>
      </w:pPr>
      <w:r w:rsidRPr="00CC0911">
        <w:rPr>
          <w:rFonts w:ascii="Calibri" w:hAnsi="Calibri"/>
          <w:snapToGrid w:val="0"/>
          <w:sz w:val="22"/>
          <w:szCs w:val="22"/>
        </w:rPr>
        <w:t>A review of procedures indicates that current requirements avoid duplication.  There is no information available from other sources that can be used to determine a borrower’s or TEACH Grant recipient’s eligibility for a total and permanent disability discharge.</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CC0911" w:rsidRPr="00CC0911" w:rsidRDefault="00CC0911" w:rsidP="00CC0911">
      <w:pPr>
        <w:widowControl w:val="0"/>
        <w:spacing w:after="200"/>
        <w:ind w:left="720"/>
        <w:rPr>
          <w:rFonts w:ascii="Calibri" w:hAnsi="Calibri"/>
          <w:snapToGrid w:val="0"/>
          <w:sz w:val="22"/>
          <w:szCs w:val="22"/>
        </w:rPr>
      </w:pPr>
      <w:r w:rsidRPr="00CC0911">
        <w:rPr>
          <w:rFonts w:ascii="Calibri" w:hAnsi="Calibri"/>
          <w:snapToGrid w:val="0"/>
          <w:sz w:val="22"/>
          <w:szCs w:val="22"/>
        </w:rPr>
        <w:t>No small businesses are affected by this information collection.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Default="00386054">
      <w:pPr>
        <w:tabs>
          <w:tab w:val="left" w:pos="-720"/>
        </w:tabs>
        <w:suppressAutoHyphens/>
        <w:rPr>
          <w:rFonts w:ascii="Times New Roman" w:hAnsi="Times New Roman"/>
          <w:szCs w:val="24"/>
        </w:rPr>
      </w:pPr>
    </w:p>
    <w:p w:rsidR="00CC0911" w:rsidRPr="00CC0911" w:rsidRDefault="00CC0911" w:rsidP="00CC0911">
      <w:pPr>
        <w:widowControl w:val="0"/>
        <w:spacing w:after="200"/>
        <w:ind w:left="720"/>
        <w:rPr>
          <w:rFonts w:ascii="Calibri" w:hAnsi="Calibri"/>
          <w:snapToGrid w:val="0"/>
          <w:sz w:val="22"/>
          <w:szCs w:val="22"/>
        </w:rPr>
      </w:pPr>
      <w:r w:rsidRPr="00CC0911">
        <w:rPr>
          <w:rFonts w:ascii="Calibri" w:hAnsi="Calibri"/>
          <w:snapToGrid w:val="0"/>
          <w:sz w:val="22"/>
          <w:szCs w:val="22"/>
        </w:rPr>
        <w:t xml:space="preserve">If a borrower or TEACH Grant recipient did not complete a TPD Discharge Application, the Department would not have the information needed to determine whether the individual meets the eligibility requirements for a total and permanent disability discharge.  A borrower or TEACH Grant recipient will be required to complete a </w:t>
      </w:r>
      <w:r w:rsidR="001C61C4">
        <w:rPr>
          <w:rFonts w:ascii="Calibri" w:hAnsi="Calibri"/>
          <w:snapToGrid w:val="0"/>
          <w:sz w:val="22"/>
          <w:szCs w:val="22"/>
        </w:rPr>
        <w:t xml:space="preserve">single </w:t>
      </w:r>
      <w:r w:rsidRPr="00CC0911">
        <w:rPr>
          <w:rFonts w:ascii="Calibri" w:hAnsi="Calibri"/>
          <w:snapToGrid w:val="0"/>
          <w:sz w:val="22"/>
          <w:szCs w:val="22"/>
        </w:rPr>
        <w:t xml:space="preserve">discharge application </w:t>
      </w:r>
      <w:r w:rsidR="001C61C4">
        <w:rPr>
          <w:rFonts w:ascii="Calibri" w:hAnsi="Calibri"/>
          <w:snapToGrid w:val="0"/>
          <w:sz w:val="22"/>
          <w:szCs w:val="22"/>
        </w:rPr>
        <w:t>for multiple loans and/or TEACH Grants</w:t>
      </w:r>
      <w:r w:rsidRPr="00CC0911">
        <w:rPr>
          <w:rFonts w:ascii="Calibri" w:hAnsi="Calibri"/>
          <w:snapToGrid w:val="0"/>
          <w:sz w:val="22"/>
          <w:szCs w:val="22"/>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proofErr w:type="gramStart"/>
      <w:r w:rsidRPr="00EF7FF5">
        <w:rPr>
          <w:rFonts w:ascii="Times New Roman" w:hAnsi="Times New Roman"/>
          <w:szCs w:val="24"/>
        </w:rPr>
        <w:lastRenderedPageBreak/>
        <w:t>requiring</w:t>
      </w:r>
      <w:proofErr w:type="gramEnd"/>
      <w:r w:rsidRPr="00EF7FF5">
        <w:rPr>
          <w:rFonts w:ascii="Times New Roman" w:hAnsi="Times New Roman"/>
          <w:szCs w:val="24"/>
        </w:rPr>
        <w:t xml:space="preserve">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Default="00386054">
      <w:pPr>
        <w:tabs>
          <w:tab w:val="left" w:pos="-720"/>
        </w:tabs>
        <w:suppressAutoHyphens/>
        <w:rPr>
          <w:rFonts w:ascii="Times New Roman" w:hAnsi="Times New Roman"/>
          <w:szCs w:val="24"/>
        </w:rPr>
      </w:pPr>
    </w:p>
    <w:p w:rsidR="00CC0911" w:rsidRPr="00CC0911" w:rsidRDefault="00CC0911" w:rsidP="00CC0911">
      <w:pPr>
        <w:widowControl w:val="0"/>
        <w:spacing w:after="200"/>
        <w:ind w:left="720"/>
        <w:rPr>
          <w:rFonts w:ascii="Calibri" w:hAnsi="Calibri"/>
          <w:snapToGrid w:val="0"/>
          <w:sz w:val="22"/>
          <w:szCs w:val="22"/>
        </w:rPr>
      </w:pPr>
      <w:r w:rsidRPr="00CC0911">
        <w:rPr>
          <w:rFonts w:ascii="Calibri" w:hAnsi="Calibri"/>
          <w:snapToGrid w:val="0"/>
          <w:sz w:val="22"/>
          <w:szCs w:val="22"/>
        </w:rPr>
        <w:t xml:space="preserve">The collection of this information will be conducted in a manner that does not involve any of the above conditions. </w:t>
      </w: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CC0911" w:rsidRDefault="00CC0911" w:rsidP="003C29C2">
      <w:pPr>
        <w:tabs>
          <w:tab w:val="left" w:pos="-720"/>
        </w:tabs>
        <w:suppressAutoHyphens/>
        <w:ind w:left="360"/>
        <w:rPr>
          <w:rStyle w:val="a"/>
          <w:rFonts w:ascii="Times New Roman" w:hAnsi="Times New Roman"/>
          <w:szCs w:val="24"/>
        </w:rPr>
      </w:pPr>
    </w:p>
    <w:p w:rsidR="00CC0911" w:rsidRPr="00CC0911" w:rsidRDefault="00CC0911" w:rsidP="00CC0911">
      <w:pPr>
        <w:widowControl w:val="0"/>
        <w:spacing w:after="200"/>
        <w:ind w:left="720"/>
        <w:rPr>
          <w:rFonts w:ascii="Calibri" w:hAnsi="Calibri"/>
          <w:snapToGrid w:val="0"/>
          <w:sz w:val="22"/>
          <w:szCs w:val="22"/>
        </w:rPr>
      </w:pPr>
      <w:r w:rsidRPr="00CC0911">
        <w:rPr>
          <w:rFonts w:ascii="Calibri" w:hAnsi="Calibri"/>
          <w:snapToGrid w:val="0"/>
          <w:sz w:val="22"/>
          <w:szCs w:val="22"/>
        </w:rPr>
        <w:t xml:space="preserve">The Department worked closely with the National Council of Higher Education Loan Programs (NCHELP) in developing the currently approved discharge form.  In addition, the currently approved form reflects input provided by the public during the two public comment periods of the last clearance of this collection.  </w:t>
      </w:r>
    </w:p>
    <w:p w:rsidR="00CC0911" w:rsidRPr="00CC0911" w:rsidRDefault="00CC0911" w:rsidP="00CC0911">
      <w:pPr>
        <w:widowControl w:val="0"/>
        <w:spacing w:after="200"/>
        <w:ind w:left="720"/>
        <w:rPr>
          <w:rFonts w:ascii="Calibri" w:hAnsi="Calibri"/>
          <w:snapToGrid w:val="0"/>
          <w:sz w:val="22"/>
          <w:szCs w:val="22"/>
        </w:rPr>
      </w:pPr>
      <w:r>
        <w:rPr>
          <w:rFonts w:ascii="Calibri" w:hAnsi="Calibri"/>
          <w:snapToGrid w:val="0"/>
          <w:sz w:val="22"/>
          <w:szCs w:val="22"/>
        </w:rPr>
        <w:t xml:space="preserve">As a result of the Notice of Proposed Rulemaking (NPRM) process, the public </w:t>
      </w:r>
      <w:r w:rsidR="001C61C4">
        <w:rPr>
          <w:rFonts w:ascii="Calibri" w:hAnsi="Calibri"/>
          <w:snapToGrid w:val="0"/>
          <w:sz w:val="22"/>
          <w:szCs w:val="22"/>
        </w:rPr>
        <w:t>did</w:t>
      </w:r>
      <w:r>
        <w:rPr>
          <w:rFonts w:ascii="Calibri" w:hAnsi="Calibri"/>
          <w:snapToGrid w:val="0"/>
          <w:sz w:val="22"/>
          <w:szCs w:val="22"/>
        </w:rPr>
        <w:t xml:space="preserve"> have an opportunity to provide the Department with comments on the proposed regulations and the streamlined TPD application process.</w:t>
      </w:r>
    </w:p>
    <w:p w:rsidR="00CC0911" w:rsidRPr="00EF7FF5" w:rsidRDefault="00CC0911" w:rsidP="003C29C2">
      <w:pPr>
        <w:tabs>
          <w:tab w:val="left" w:pos="-720"/>
        </w:tabs>
        <w:suppressAutoHyphens/>
        <w:ind w:left="360"/>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Default="00386054">
      <w:pPr>
        <w:tabs>
          <w:tab w:val="left" w:pos="-720"/>
        </w:tabs>
        <w:suppressAutoHyphens/>
        <w:rPr>
          <w:rFonts w:ascii="Times New Roman" w:hAnsi="Times New Roman"/>
          <w:szCs w:val="24"/>
        </w:rPr>
      </w:pPr>
    </w:p>
    <w:p w:rsidR="00CC0911" w:rsidRPr="00CC0911" w:rsidRDefault="00CC0911" w:rsidP="00CC0911">
      <w:pPr>
        <w:widowControl w:val="0"/>
        <w:spacing w:after="200"/>
        <w:ind w:left="720"/>
        <w:rPr>
          <w:rFonts w:ascii="Calibri" w:hAnsi="Calibri"/>
          <w:snapToGrid w:val="0"/>
          <w:sz w:val="22"/>
          <w:szCs w:val="22"/>
        </w:rPr>
      </w:pPr>
      <w:r w:rsidRPr="00CC0911">
        <w:rPr>
          <w:rFonts w:ascii="Calibri" w:hAnsi="Calibri"/>
          <w:snapToGrid w:val="0"/>
          <w:sz w:val="22"/>
          <w:szCs w:val="22"/>
        </w:rPr>
        <w:t>No payments or gifts will be provided to respondents.</w:t>
      </w:r>
    </w:p>
    <w:p w:rsidR="00CC0911" w:rsidRPr="00EF7FF5" w:rsidRDefault="00CC0911">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w:t>
      </w:r>
      <w:r>
        <w:rPr>
          <w:rFonts w:ascii="Times New Roman" w:hAnsi="Times New Roman"/>
          <w:szCs w:val="24"/>
        </w:rPr>
        <w:lastRenderedPageBreak/>
        <w:t xml:space="preserve">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w:t>
      </w:r>
      <w:proofErr w:type="gramStart"/>
      <w:r w:rsidR="001743A5">
        <w:rPr>
          <w:rFonts w:ascii="Times New Roman" w:hAnsi="Times New Roman"/>
          <w:szCs w:val="24"/>
        </w:rPr>
        <w:t>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roofErr w:type="gramEnd"/>
    </w:p>
    <w:p w:rsidR="00386054" w:rsidRPr="00EF7FF5" w:rsidRDefault="00386054">
      <w:pPr>
        <w:tabs>
          <w:tab w:val="left" w:pos="-720"/>
        </w:tabs>
        <w:suppressAutoHyphens/>
        <w:rPr>
          <w:rFonts w:ascii="Times New Roman" w:hAnsi="Times New Roman"/>
          <w:szCs w:val="24"/>
        </w:rPr>
      </w:pPr>
    </w:p>
    <w:p w:rsidR="00DF30F3" w:rsidRPr="00DF30F3" w:rsidRDefault="00DF30F3" w:rsidP="00DF30F3">
      <w:pPr>
        <w:widowControl w:val="0"/>
        <w:spacing w:after="200"/>
        <w:ind w:left="720"/>
        <w:rPr>
          <w:rFonts w:ascii="Calibri" w:hAnsi="Calibri"/>
          <w:snapToGrid w:val="0"/>
          <w:sz w:val="22"/>
          <w:szCs w:val="22"/>
        </w:rPr>
      </w:pPr>
      <w:r w:rsidRPr="00DF30F3">
        <w:rPr>
          <w:rFonts w:ascii="Calibri" w:hAnsi="Calibri"/>
          <w:snapToGrid w:val="0"/>
          <w:sz w:val="22"/>
          <w:szCs w:val="22"/>
        </w:rPr>
        <w:t xml:space="preserve">The discharge form includes a Privacy Act Notice that (1) informs the discharge applicant of the statutory authority for the information collection, (2) explains that disclosure of the information is voluntary, but is required in order to determine the applicant’s eligibility for a discharge, and (3) identifies the third parties to whom the information may be disclosed, and </w:t>
      </w:r>
      <w:r w:rsidR="001C61C4">
        <w:rPr>
          <w:rFonts w:ascii="Calibri" w:hAnsi="Calibri"/>
          <w:snapToGrid w:val="0"/>
          <w:sz w:val="22"/>
          <w:szCs w:val="22"/>
        </w:rPr>
        <w:t xml:space="preserve">(4) </w:t>
      </w:r>
      <w:r w:rsidRPr="00DF30F3">
        <w:rPr>
          <w:rFonts w:ascii="Calibri" w:hAnsi="Calibri"/>
          <w:snapToGrid w:val="0"/>
          <w:sz w:val="22"/>
          <w:szCs w:val="22"/>
        </w:rPr>
        <w:t>explains the circumstances under which such disclosures may occur.</w:t>
      </w:r>
    </w:p>
    <w:p w:rsidR="00CC0911" w:rsidRPr="00EF7FF5" w:rsidRDefault="00CC0911">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DF30F3" w:rsidRPr="00DF30F3" w:rsidRDefault="00DF30F3" w:rsidP="00DF30F3">
      <w:pPr>
        <w:widowControl w:val="0"/>
        <w:spacing w:after="200"/>
        <w:ind w:left="720"/>
        <w:rPr>
          <w:rFonts w:ascii="Calibri" w:hAnsi="Calibri"/>
          <w:snapToGrid w:val="0"/>
          <w:sz w:val="22"/>
          <w:szCs w:val="22"/>
        </w:rPr>
      </w:pPr>
      <w:r w:rsidRPr="00DF30F3">
        <w:rPr>
          <w:rFonts w:ascii="Calibri" w:hAnsi="Calibri"/>
          <w:snapToGrid w:val="0"/>
          <w:sz w:val="22"/>
          <w:szCs w:val="22"/>
        </w:rPr>
        <w:t>The TPD Discharge Application requires the physician who completes the physician’s certification section to provide information about the applicant’s disabling condition.  This information may be considered sensitive, but it is needed in order for the Department to determine whether a borrower or TEACH Grant recipient meets the statutory definition of totally and permanently disabled.</w:t>
      </w:r>
    </w:p>
    <w:p w:rsidR="00DF30F3" w:rsidRDefault="00DF30F3">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lastRenderedPageBreak/>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DF30F3" w:rsidRPr="00DF30F3" w:rsidRDefault="00DF30F3" w:rsidP="00DF30F3">
      <w:pPr>
        <w:widowControl w:val="0"/>
        <w:spacing w:after="200"/>
        <w:ind w:left="720"/>
        <w:rPr>
          <w:rFonts w:ascii="Calibri" w:hAnsi="Calibri"/>
          <w:snapToGrid w:val="0"/>
          <w:sz w:val="22"/>
          <w:szCs w:val="22"/>
        </w:rPr>
      </w:pPr>
      <w:r w:rsidRPr="00DF30F3">
        <w:rPr>
          <w:rFonts w:ascii="Calibri" w:hAnsi="Calibri"/>
          <w:snapToGrid w:val="0"/>
          <w:sz w:val="22"/>
          <w:szCs w:val="22"/>
        </w:rPr>
        <w:t>The total estimated annual reporting hour burden for this information collection is</w:t>
      </w:r>
      <w:r>
        <w:rPr>
          <w:rFonts w:ascii="Calibri" w:hAnsi="Calibri"/>
          <w:snapToGrid w:val="0"/>
          <w:sz w:val="22"/>
          <w:szCs w:val="22"/>
        </w:rPr>
        <w:t xml:space="preserve"> currently approved at </w:t>
      </w:r>
      <w:r w:rsidRPr="00DF30F3">
        <w:rPr>
          <w:rFonts w:ascii="Calibri" w:hAnsi="Calibri"/>
          <w:snapToGrid w:val="0"/>
          <w:sz w:val="22"/>
          <w:szCs w:val="22"/>
        </w:rPr>
        <w:t xml:space="preserve">15,000 hours.  </w:t>
      </w:r>
      <w:r>
        <w:rPr>
          <w:rFonts w:ascii="Calibri" w:hAnsi="Calibri"/>
          <w:snapToGrid w:val="0"/>
          <w:sz w:val="22"/>
          <w:szCs w:val="22"/>
        </w:rPr>
        <w:t xml:space="preserve">Based on 2011 data, the number of requests for a TPD application has increased significantly.  </w:t>
      </w:r>
      <w:r w:rsidRPr="00DF30F3">
        <w:rPr>
          <w:rFonts w:ascii="Calibri" w:hAnsi="Calibri"/>
          <w:snapToGrid w:val="0"/>
          <w:sz w:val="22"/>
          <w:szCs w:val="22"/>
        </w:rPr>
        <w:t xml:space="preserve">The </w:t>
      </w:r>
      <w:r>
        <w:rPr>
          <w:rFonts w:ascii="Calibri" w:hAnsi="Calibri"/>
          <w:snapToGrid w:val="0"/>
          <w:sz w:val="22"/>
          <w:szCs w:val="22"/>
        </w:rPr>
        <w:t xml:space="preserve">revised </w:t>
      </w:r>
      <w:r w:rsidRPr="00DF30F3">
        <w:rPr>
          <w:rFonts w:ascii="Calibri" w:hAnsi="Calibri"/>
          <w:snapToGrid w:val="0"/>
          <w:sz w:val="22"/>
          <w:szCs w:val="22"/>
        </w:rPr>
        <w:t>burden estimate for this application was calculated as follows:</w:t>
      </w:r>
    </w:p>
    <w:p w:rsidR="00DF30F3" w:rsidRPr="00DF30F3" w:rsidRDefault="00DF30F3" w:rsidP="00DF30F3">
      <w:pPr>
        <w:widowControl w:val="0"/>
        <w:spacing w:after="200"/>
        <w:ind w:left="720"/>
        <w:rPr>
          <w:rFonts w:ascii="Calibri" w:hAnsi="Calibri"/>
          <w:snapToGrid w:val="0"/>
          <w:sz w:val="22"/>
          <w:szCs w:val="22"/>
        </w:rPr>
      </w:pPr>
    </w:p>
    <w:p w:rsidR="00DF30F3" w:rsidRPr="00DF30F3" w:rsidRDefault="00DF30F3" w:rsidP="00DF30F3">
      <w:pPr>
        <w:widowControl w:val="0"/>
        <w:spacing w:after="200"/>
        <w:ind w:left="720"/>
        <w:rPr>
          <w:rFonts w:ascii="Calibri" w:hAnsi="Calibri"/>
          <w:snapToGrid w:val="0"/>
          <w:sz w:val="22"/>
          <w:szCs w:val="22"/>
        </w:rPr>
      </w:pPr>
      <w:r>
        <w:rPr>
          <w:rFonts w:ascii="Calibri" w:hAnsi="Calibri"/>
          <w:snapToGrid w:val="0"/>
          <w:sz w:val="22"/>
          <w:szCs w:val="22"/>
        </w:rPr>
        <w:t xml:space="preserve">Currently approved </w:t>
      </w:r>
      <w:r w:rsidRPr="00DF30F3">
        <w:rPr>
          <w:rFonts w:ascii="Calibri" w:hAnsi="Calibri"/>
          <w:snapToGrid w:val="0"/>
          <w:sz w:val="22"/>
          <w:szCs w:val="22"/>
        </w:rPr>
        <w:t>annual number of respondents:</w:t>
      </w:r>
      <w:r w:rsidRPr="00DF30F3">
        <w:rPr>
          <w:rFonts w:ascii="Calibri" w:hAnsi="Calibri"/>
          <w:snapToGrid w:val="0"/>
          <w:sz w:val="22"/>
          <w:szCs w:val="22"/>
        </w:rPr>
        <w:tab/>
      </w:r>
      <w:r w:rsidRPr="00DF30F3">
        <w:rPr>
          <w:rFonts w:ascii="Calibri" w:hAnsi="Calibri"/>
          <w:snapToGrid w:val="0"/>
          <w:sz w:val="22"/>
          <w:szCs w:val="22"/>
        </w:rPr>
        <w:tab/>
        <w:t xml:space="preserve"> 30,000</w:t>
      </w:r>
    </w:p>
    <w:p w:rsidR="00DF30F3" w:rsidRPr="00DF30F3" w:rsidRDefault="00DF30F3" w:rsidP="00DF30F3">
      <w:pPr>
        <w:widowControl w:val="0"/>
        <w:spacing w:after="200"/>
        <w:ind w:left="720"/>
        <w:rPr>
          <w:rFonts w:ascii="Calibri" w:hAnsi="Calibri"/>
          <w:snapToGrid w:val="0"/>
          <w:sz w:val="22"/>
          <w:szCs w:val="22"/>
        </w:rPr>
      </w:pPr>
      <w:r w:rsidRPr="00DF30F3">
        <w:rPr>
          <w:rFonts w:ascii="Calibri" w:hAnsi="Calibri"/>
          <w:snapToGrid w:val="0"/>
          <w:sz w:val="22"/>
          <w:szCs w:val="22"/>
        </w:rPr>
        <w:t>Number of responses per applicant:</w:t>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r>
      <w:r>
        <w:rPr>
          <w:rFonts w:ascii="Calibri" w:hAnsi="Calibri"/>
          <w:snapToGrid w:val="0"/>
          <w:sz w:val="22"/>
          <w:szCs w:val="22"/>
        </w:rPr>
        <w:t xml:space="preserve">              </w:t>
      </w:r>
      <w:r w:rsidRPr="00DF30F3">
        <w:rPr>
          <w:rFonts w:ascii="Calibri" w:hAnsi="Calibri"/>
          <w:snapToGrid w:val="0"/>
          <w:sz w:val="22"/>
          <w:szCs w:val="22"/>
        </w:rPr>
        <w:t>x          1</w:t>
      </w:r>
    </w:p>
    <w:p w:rsidR="00DF30F3" w:rsidRPr="00DF30F3" w:rsidRDefault="00DF30F3" w:rsidP="00DF30F3">
      <w:pPr>
        <w:widowControl w:val="0"/>
        <w:spacing w:after="200"/>
        <w:ind w:left="720"/>
        <w:rPr>
          <w:rFonts w:ascii="Calibri" w:hAnsi="Calibri"/>
          <w:snapToGrid w:val="0"/>
          <w:sz w:val="22"/>
          <w:szCs w:val="22"/>
        </w:rPr>
      </w:pPr>
      <w:r w:rsidRPr="00DF30F3">
        <w:rPr>
          <w:rFonts w:ascii="Calibri" w:hAnsi="Calibri"/>
          <w:snapToGrid w:val="0"/>
          <w:sz w:val="22"/>
          <w:szCs w:val="22"/>
        </w:rPr>
        <w:t>Hours per response:</w:t>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r>
      <w:r>
        <w:rPr>
          <w:rFonts w:ascii="Calibri" w:hAnsi="Calibri"/>
          <w:snapToGrid w:val="0"/>
          <w:sz w:val="22"/>
          <w:szCs w:val="22"/>
        </w:rPr>
        <w:t xml:space="preserve">              </w:t>
      </w:r>
      <w:r w:rsidRPr="00DF30F3">
        <w:rPr>
          <w:rFonts w:ascii="Calibri" w:hAnsi="Calibri"/>
          <w:snapToGrid w:val="0"/>
          <w:sz w:val="22"/>
          <w:szCs w:val="22"/>
          <w:u w:val="single"/>
        </w:rPr>
        <w:t>x       0.5 hours (30 minutes)</w:t>
      </w:r>
    </w:p>
    <w:p w:rsidR="00DF30F3" w:rsidRDefault="00DF30F3" w:rsidP="00DF30F3">
      <w:pPr>
        <w:widowControl w:val="0"/>
        <w:spacing w:after="200"/>
        <w:ind w:left="720"/>
        <w:rPr>
          <w:rFonts w:ascii="Calibri" w:hAnsi="Calibri"/>
          <w:snapToGrid w:val="0"/>
          <w:sz w:val="22"/>
          <w:szCs w:val="22"/>
        </w:rPr>
      </w:pPr>
      <w:r w:rsidRPr="00DF30F3">
        <w:rPr>
          <w:rFonts w:ascii="Calibri" w:hAnsi="Calibri"/>
          <w:snapToGrid w:val="0"/>
          <w:sz w:val="22"/>
          <w:szCs w:val="22"/>
        </w:rPr>
        <w:t>Annual hour burden:</w:t>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t xml:space="preserve"> </w:t>
      </w:r>
      <w:r>
        <w:rPr>
          <w:rFonts w:ascii="Calibri" w:hAnsi="Calibri"/>
          <w:snapToGrid w:val="0"/>
          <w:sz w:val="22"/>
          <w:szCs w:val="22"/>
        </w:rPr>
        <w:t xml:space="preserve">                </w:t>
      </w:r>
      <w:r w:rsidRPr="00DF30F3">
        <w:rPr>
          <w:rFonts w:ascii="Calibri" w:hAnsi="Calibri"/>
          <w:snapToGrid w:val="0"/>
          <w:sz w:val="22"/>
          <w:szCs w:val="22"/>
        </w:rPr>
        <w:t>15,000 hours</w:t>
      </w:r>
    </w:p>
    <w:p w:rsidR="00DF30F3" w:rsidRDefault="00DF30F3" w:rsidP="00DF30F3">
      <w:pPr>
        <w:widowControl w:val="0"/>
        <w:spacing w:after="200"/>
        <w:ind w:left="720"/>
        <w:rPr>
          <w:rFonts w:ascii="Calibri" w:hAnsi="Calibri"/>
          <w:snapToGrid w:val="0"/>
          <w:sz w:val="22"/>
          <w:szCs w:val="22"/>
        </w:rPr>
      </w:pPr>
    </w:p>
    <w:p w:rsidR="00DF30F3" w:rsidRPr="00DF30F3" w:rsidRDefault="00DF30F3" w:rsidP="00DF30F3">
      <w:pPr>
        <w:widowControl w:val="0"/>
        <w:spacing w:after="200"/>
        <w:ind w:left="720"/>
        <w:rPr>
          <w:rFonts w:ascii="Calibri" w:hAnsi="Calibri"/>
          <w:snapToGrid w:val="0"/>
          <w:sz w:val="22"/>
          <w:szCs w:val="22"/>
        </w:rPr>
      </w:pPr>
      <w:r>
        <w:rPr>
          <w:rFonts w:ascii="Calibri" w:hAnsi="Calibri"/>
          <w:snapToGrid w:val="0"/>
          <w:sz w:val="22"/>
          <w:szCs w:val="22"/>
        </w:rPr>
        <w:t>Number of additional annual respondents:</w:t>
      </w:r>
      <w:r>
        <w:rPr>
          <w:rFonts w:ascii="Calibri" w:hAnsi="Calibri"/>
          <w:snapToGrid w:val="0"/>
          <w:sz w:val="22"/>
          <w:szCs w:val="22"/>
        </w:rPr>
        <w:tab/>
      </w:r>
      <w:r>
        <w:rPr>
          <w:rFonts w:ascii="Calibri" w:hAnsi="Calibri"/>
          <w:snapToGrid w:val="0"/>
          <w:sz w:val="22"/>
          <w:szCs w:val="22"/>
        </w:rPr>
        <w:tab/>
      </w:r>
      <w:r>
        <w:rPr>
          <w:rFonts w:ascii="Calibri" w:hAnsi="Calibri"/>
          <w:snapToGrid w:val="0"/>
          <w:sz w:val="22"/>
          <w:szCs w:val="22"/>
        </w:rPr>
        <w:tab/>
        <w:t>48,390</w:t>
      </w:r>
    </w:p>
    <w:p w:rsidR="00DF30F3" w:rsidRPr="00DF30F3" w:rsidRDefault="00DF30F3" w:rsidP="00DF30F3">
      <w:pPr>
        <w:widowControl w:val="0"/>
        <w:spacing w:after="200"/>
        <w:ind w:left="720"/>
        <w:rPr>
          <w:rFonts w:ascii="Calibri" w:hAnsi="Calibri"/>
          <w:snapToGrid w:val="0"/>
          <w:sz w:val="22"/>
          <w:szCs w:val="22"/>
        </w:rPr>
      </w:pPr>
      <w:r w:rsidRPr="00DF30F3">
        <w:rPr>
          <w:rFonts w:ascii="Calibri" w:hAnsi="Calibri"/>
          <w:snapToGrid w:val="0"/>
          <w:sz w:val="22"/>
          <w:szCs w:val="22"/>
        </w:rPr>
        <w:t>Number of responses per applicant:</w:t>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r>
      <w:r>
        <w:rPr>
          <w:rFonts w:ascii="Calibri" w:hAnsi="Calibri"/>
          <w:snapToGrid w:val="0"/>
          <w:sz w:val="22"/>
          <w:szCs w:val="22"/>
        </w:rPr>
        <w:t xml:space="preserve">              </w:t>
      </w:r>
      <w:r w:rsidRPr="00DF30F3">
        <w:rPr>
          <w:rFonts w:ascii="Calibri" w:hAnsi="Calibri"/>
          <w:snapToGrid w:val="0"/>
          <w:sz w:val="22"/>
          <w:szCs w:val="22"/>
        </w:rPr>
        <w:t>x          1</w:t>
      </w:r>
    </w:p>
    <w:p w:rsidR="00DF30F3" w:rsidRPr="00DF30F3" w:rsidRDefault="00DF30F3" w:rsidP="00DF30F3">
      <w:pPr>
        <w:widowControl w:val="0"/>
        <w:spacing w:after="200"/>
        <w:ind w:left="720"/>
        <w:rPr>
          <w:rFonts w:ascii="Calibri" w:hAnsi="Calibri"/>
          <w:snapToGrid w:val="0"/>
          <w:sz w:val="22"/>
          <w:szCs w:val="22"/>
        </w:rPr>
      </w:pPr>
      <w:r w:rsidRPr="00DF30F3">
        <w:rPr>
          <w:rFonts w:ascii="Calibri" w:hAnsi="Calibri"/>
          <w:snapToGrid w:val="0"/>
          <w:sz w:val="22"/>
          <w:szCs w:val="22"/>
        </w:rPr>
        <w:t>Hours per response:</w:t>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r>
      <w:r>
        <w:rPr>
          <w:rFonts w:ascii="Calibri" w:hAnsi="Calibri"/>
          <w:snapToGrid w:val="0"/>
          <w:sz w:val="22"/>
          <w:szCs w:val="22"/>
        </w:rPr>
        <w:t xml:space="preserve">              </w:t>
      </w:r>
      <w:r w:rsidRPr="00DF30F3">
        <w:rPr>
          <w:rFonts w:ascii="Calibri" w:hAnsi="Calibri"/>
          <w:snapToGrid w:val="0"/>
          <w:sz w:val="22"/>
          <w:szCs w:val="22"/>
          <w:u w:val="single"/>
        </w:rPr>
        <w:t>x       0.5 hours (30 minutes)</w:t>
      </w:r>
    </w:p>
    <w:p w:rsidR="00DF30F3" w:rsidRDefault="00DF30F3" w:rsidP="00DF30F3">
      <w:pPr>
        <w:widowControl w:val="0"/>
        <w:spacing w:after="200"/>
        <w:ind w:left="720"/>
        <w:rPr>
          <w:rFonts w:ascii="Calibri" w:hAnsi="Calibri"/>
          <w:snapToGrid w:val="0"/>
          <w:sz w:val="22"/>
          <w:szCs w:val="22"/>
        </w:rPr>
      </w:pPr>
      <w:r w:rsidRPr="00DF30F3">
        <w:rPr>
          <w:rFonts w:ascii="Calibri" w:hAnsi="Calibri"/>
          <w:snapToGrid w:val="0"/>
          <w:sz w:val="22"/>
          <w:szCs w:val="22"/>
        </w:rPr>
        <w:t>Annual hour burden:</w:t>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r>
      <w:r w:rsidRPr="00DF30F3">
        <w:rPr>
          <w:rFonts w:ascii="Calibri" w:hAnsi="Calibri"/>
          <w:snapToGrid w:val="0"/>
          <w:sz w:val="22"/>
          <w:szCs w:val="22"/>
        </w:rPr>
        <w:tab/>
        <w:t xml:space="preserve"> </w:t>
      </w:r>
      <w:r>
        <w:rPr>
          <w:rFonts w:ascii="Calibri" w:hAnsi="Calibri"/>
          <w:snapToGrid w:val="0"/>
          <w:sz w:val="22"/>
          <w:szCs w:val="22"/>
        </w:rPr>
        <w:t xml:space="preserve">                24,195</w:t>
      </w:r>
      <w:r w:rsidRPr="00DF30F3">
        <w:rPr>
          <w:rFonts w:ascii="Calibri" w:hAnsi="Calibri"/>
          <w:snapToGrid w:val="0"/>
          <w:sz w:val="22"/>
          <w:szCs w:val="22"/>
        </w:rPr>
        <w:t xml:space="preserve"> hours</w:t>
      </w:r>
    </w:p>
    <w:p w:rsidR="00EA6F3C" w:rsidRDefault="00EA6F3C" w:rsidP="00DF30F3">
      <w:pPr>
        <w:widowControl w:val="0"/>
        <w:spacing w:after="200"/>
        <w:ind w:left="720"/>
        <w:rPr>
          <w:rFonts w:ascii="Calibri" w:hAnsi="Calibri"/>
          <w:snapToGrid w:val="0"/>
          <w:sz w:val="22"/>
          <w:szCs w:val="22"/>
        </w:rPr>
      </w:pPr>
    </w:p>
    <w:p w:rsidR="00DF30F3" w:rsidRDefault="00DF30F3" w:rsidP="00DF30F3">
      <w:pPr>
        <w:widowControl w:val="0"/>
        <w:spacing w:after="200"/>
        <w:ind w:left="720"/>
        <w:rPr>
          <w:rFonts w:ascii="Calibri" w:hAnsi="Calibri"/>
          <w:snapToGrid w:val="0"/>
          <w:sz w:val="22"/>
          <w:szCs w:val="22"/>
        </w:rPr>
      </w:pPr>
      <w:r>
        <w:rPr>
          <w:rFonts w:ascii="Calibri" w:hAnsi="Calibri"/>
          <w:snapToGrid w:val="0"/>
          <w:sz w:val="22"/>
          <w:szCs w:val="22"/>
        </w:rPr>
        <w:t>Current Inventory:</w:t>
      </w:r>
    </w:p>
    <w:p w:rsidR="00DF30F3" w:rsidRDefault="00DF30F3" w:rsidP="00DF30F3">
      <w:pPr>
        <w:widowControl w:val="0"/>
        <w:spacing w:after="200"/>
        <w:ind w:left="720"/>
        <w:rPr>
          <w:rFonts w:ascii="Calibri" w:hAnsi="Calibri"/>
          <w:snapToGrid w:val="0"/>
          <w:sz w:val="22"/>
          <w:szCs w:val="22"/>
        </w:rPr>
      </w:pPr>
      <w:r>
        <w:rPr>
          <w:rFonts w:ascii="Calibri" w:hAnsi="Calibri"/>
          <w:snapToGrid w:val="0"/>
          <w:sz w:val="22"/>
          <w:szCs w:val="22"/>
        </w:rPr>
        <w:t xml:space="preserve"># </w:t>
      </w:r>
      <w:proofErr w:type="gramStart"/>
      <w:r>
        <w:rPr>
          <w:rFonts w:ascii="Calibri" w:hAnsi="Calibri"/>
          <w:snapToGrid w:val="0"/>
          <w:sz w:val="22"/>
          <w:szCs w:val="22"/>
        </w:rPr>
        <w:t>of</w:t>
      </w:r>
      <w:proofErr w:type="gramEnd"/>
      <w:r>
        <w:rPr>
          <w:rFonts w:ascii="Calibri" w:hAnsi="Calibri"/>
          <w:snapToGrid w:val="0"/>
          <w:sz w:val="22"/>
          <w:szCs w:val="22"/>
        </w:rPr>
        <w:t xml:space="preserve"> Respondents</w:t>
      </w:r>
      <w:r>
        <w:rPr>
          <w:rFonts w:ascii="Calibri" w:hAnsi="Calibri"/>
          <w:snapToGrid w:val="0"/>
          <w:sz w:val="22"/>
          <w:szCs w:val="22"/>
        </w:rPr>
        <w:tab/>
        <w:t># of Responses</w:t>
      </w:r>
      <w:r>
        <w:rPr>
          <w:rFonts w:ascii="Calibri" w:hAnsi="Calibri"/>
          <w:snapToGrid w:val="0"/>
          <w:sz w:val="22"/>
          <w:szCs w:val="22"/>
        </w:rPr>
        <w:tab/>
      </w:r>
      <w:r>
        <w:rPr>
          <w:rFonts w:ascii="Calibri" w:hAnsi="Calibri"/>
          <w:snapToGrid w:val="0"/>
          <w:sz w:val="22"/>
          <w:szCs w:val="22"/>
        </w:rPr>
        <w:tab/>
        <w:t>Hours/Response</w:t>
      </w:r>
      <w:r>
        <w:rPr>
          <w:rFonts w:ascii="Calibri" w:hAnsi="Calibri"/>
          <w:snapToGrid w:val="0"/>
          <w:sz w:val="22"/>
          <w:szCs w:val="22"/>
        </w:rPr>
        <w:tab/>
        <w:t>Burden Hours</w:t>
      </w:r>
    </w:p>
    <w:p w:rsidR="00386054" w:rsidRDefault="00DF30F3">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30,000</w:t>
      </w:r>
      <w:r>
        <w:rPr>
          <w:rFonts w:ascii="Times New Roman" w:hAnsi="Times New Roman"/>
          <w:szCs w:val="24"/>
        </w:rPr>
        <w:tab/>
      </w:r>
      <w:r>
        <w:rPr>
          <w:rFonts w:ascii="Times New Roman" w:hAnsi="Times New Roman"/>
          <w:szCs w:val="24"/>
        </w:rPr>
        <w:tab/>
        <w:t xml:space="preserve">           30,000</w:t>
      </w:r>
      <w:r>
        <w:rPr>
          <w:rFonts w:ascii="Times New Roman" w:hAnsi="Times New Roman"/>
          <w:szCs w:val="24"/>
        </w:rPr>
        <w:tab/>
      </w:r>
      <w:r>
        <w:rPr>
          <w:rFonts w:ascii="Times New Roman" w:hAnsi="Times New Roman"/>
          <w:szCs w:val="24"/>
        </w:rPr>
        <w:tab/>
        <w:t>.5 hours/borrower</w:t>
      </w:r>
      <w:r>
        <w:rPr>
          <w:rFonts w:ascii="Times New Roman" w:hAnsi="Times New Roman"/>
          <w:szCs w:val="24"/>
        </w:rPr>
        <w:tab/>
        <w:t xml:space="preserve">    15,000</w:t>
      </w:r>
    </w:p>
    <w:p w:rsidR="00DF30F3" w:rsidRDefault="00DF30F3">
      <w:pPr>
        <w:tabs>
          <w:tab w:val="left" w:pos="-720"/>
        </w:tabs>
        <w:suppressAutoHyphens/>
        <w:rPr>
          <w:rFonts w:ascii="Times New Roman" w:hAnsi="Times New Roman"/>
          <w:szCs w:val="24"/>
        </w:rPr>
      </w:pPr>
    </w:p>
    <w:p w:rsidR="00DF30F3" w:rsidRPr="00EF7FF5" w:rsidRDefault="00DF30F3">
      <w:pPr>
        <w:tabs>
          <w:tab w:val="left" w:pos="-720"/>
        </w:tabs>
        <w:suppressAutoHyphens/>
        <w:rPr>
          <w:rFonts w:ascii="Times New Roman" w:hAnsi="Times New Roman"/>
          <w:szCs w:val="24"/>
        </w:rPr>
      </w:pPr>
      <w:r>
        <w:rPr>
          <w:rFonts w:ascii="Times New Roman" w:hAnsi="Times New Roman"/>
          <w:szCs w:val="24"/>
        </w:rPr>
        <w:tab/>
        <w:t>Revised Inventory:</w:t>
      </w:r>
    </w:p>
    <w:p w:rsidR="00DF30F3" w:rsidRDefault="00DF30F3" w:rsidP="00DF30F3">
      <w:pPr>
        <w:widowControl w:val="0"/>
        <w:spacing w:after="200"/>
        <w:ind w:left="720"/>
        <w:rPr>
          <w:rFonts w:ascii="Calibri" w:hAnsi="Calibri"/>
          <w:snapToGrid w:val="0"/>
          <w:sz w:val="22"/>
          <w:szCs w:val="22"/>
        </w:rPr>
      </w:pPr>
      <w:r>
        <w:rPr>
          <w:rFonts w:ascii="Calibri" w:hAnsi="Calibri"/>
          <w:snapToGrid w:val="0"/>
          <w:sz w:val="22"/>
          <w:szCs w:val="22"/>
        </w:rPr>
        <w:t xml:space="preserve"># </w:t>
      </w:r>
      <w:proofErr w:type="gramStart"/>
      <w:r>
        <w:rPr>
          <w:rFonts w:ascii="Calibri" w:hAnsi="Calibri"/>
          <w:snapToGrid w:val="0"/>
          <w:sz w:val="22"/>
          <w:szCs w:val="22"/>
        </w:rPr>
        <w:t>of</w:t>
      </w:r>
      <w:proofErr w:type="gramEnd"/>
      <w:r>
        <w:rPr>
          <w:rFonts w:ascii="Calibri" w:hAnsi="Calibri"/>
          <w:snapToGrid w:val="0"/>
          <w:sz w:val="22"/>
          <w:szCs w:val="22"/>
        </w:rPr>
        <w:t xml:space="preserve"> Respondents</w:t>
      </w:r>
      <w:r>
        <w:rPr>
          <w:rFonts w:ascii="Calibri" w:hAnsi="Calibri"/>
          <w:snapToGrid w:val="0"/>
          <w:sz w:val="22"/>
          <w:szCs w:val="22"/>
        </w:rPr>
        <w:tab/>
        <w:t># of Responses</w:t>
      </w:r>
      <w:r>
        <w:rPr>
          <w:rFonts w:ascii="Calibri" w:hAnsi="Calibri"/>
          <w:snapToGrid w:val="0"/>
          <w:sz w:val="22"/>
          <w:szCs w:val="22"/>
        </w:rPr>
        <w:tab/>
      </w:r>
      <w:r>
        <w:rPr>
          <w:rFonts w:ascii="Calibri" w:hAnsi="Calibri"/>
          <w:snapToGrid w:val="0"/>
          <w:sz w:val="22"/>
          <w:szCs w:val="22"/>
        </w:rPr>
        <w:tab/>
        <w:t>Hours/Response</w:t>
      </w:r>
      <w:r>
        <w:rPr>
          <w:rFonts w:ascii="Calibri" w:hAnsi="Calibri"/>
          <w:snapToGrid w:val="0"/>
          <w:sz w:val="22"/>
          <w:szCs w:val="22"/>
        </w:rPr>
        <w:tab/>
        <w:t>Burden Hours</w:t>
      </w:r>
    </w:p>
    <w:p w:rsidR="00386054" w:rsidRDefault="00DF30F3">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48,390</w:t>
      </w:r>
      <w:r>
        <w:rPr>
          <w:rFonts w:ascii="Times New Roman" w:hAnsi="Times New Roman"/>
          <w:szCs w:val="24"/>
        </w:rPr>
        <w:tab/>
      </w:r>
      <w:r>
        <w:rPr>
          <w:rFonts w:ascii="Times New Roman" w:hAnsi="Times New Roman"/>
          <w:szCs w:val="24"/>
        </w:rPr>
        <w:tab/>
        <w:t xml:space="preserve">            48,390</w:t>
      </w:r>
      <w:r>
        <w:rPr>
          <w:rFonts w:ascii="Times New Roman" w:hAnsi="Times New Roman"/>
          <w:szCs w:val="24"/>
        </w:rPr>
        <w:tab/>
      </w:r>
      <w:r>
        <w:rPr>
          <w:rFonts w:ascii="Times New Roman" w:hAnsi="Times New Roman"/>
          <w:szCs w:val="24"/>
        </w:rPr>
        <w:tab/>
        <w:t>.5 hours/borrower</w:t>
      </w:r>
      <w:r>
        <w:rPr>
          <w:rFonts w:ascii="Times New Roman" w:hAnsi="Times New Roman"/>
          <w:szCs w:val="24"/>
        </w:rPr>
        <w:tab/>
        <w:t xml:space="preserve">    24,195</w:t>
      </w:r>
    </w:p>
    <w:p w:rsidR="00DF30F3" w:rsidRDefault="00DF30F3">
      <w:pPr>
        <w:tabs>
          <w:tab w:val="left" w:pos="-720"/>
        </w:tabs>
        <w:suppressAutoHyphens/>
        <w:rPr>
          <w:rFonts w:ascii="Times New Roman" w:hAnsi="Times New Roman"/>
          <w:szCs w:val="24"/>
        </w:rPr>
      </w:pPr>
    </w:p>
    <w:p w:rsidR="00DF30F3" w:rsidRDefault="00DF30F3">
      <w:pPr>
        <w:tabs>
          <w:tab w:val="left" w:pos="-720"/>
        </w:tabs>
        <w:suppressAutoHyphens/>
        <w:rPr>
          <w:rFonts w:ascii="Times New Roman" w:hAnsi="Times New Roman"/>
          <w:szCs w:val="24"/>
        </w:rPr>
      </w:pPr>
      <w:r>
        <w:rPr>
          <w:rFonts w:ascii="Times New Roman" w:hAnsi="Times New Roman"/>
          <w:szCs w:val="24"/>
        </w:rPr>
        <w:tab/>
        <w:t>TOTAL:</w:t>
      </w:r>
    </w:p>
    <w:p w:rsidR="00DF30F3" w:rsidRPr="00EF7FF5" w:rsidRDefault="00DF30F3">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78,390</w:t>
      </w:r>
      <w:r>
        <w:rPr>
          <w:rFonts w:ascii="Times New Roman" w:hAnsi="Times New Roman"/>
          <w:szCs w:val="24"/>
        </w:rPr>
        <w:tab/>
      </w:r>
      <w:r>
        <w:rPr>
          <w:rFonts w:ascii="Times New Roman" w:hAnsi="Times New Roman"/>
          <w:szCs w:val="24"/>
        </w:rPr>
        <w:tab/>
      </w:r>
      <w:r>
        <w:rPr>
          <w:rFonts w:ascii="Times New Roman" w:hAnsi="Times New Roman"/>
          <w:szCs w:val="24"/>
        </w:rPr>
        <w:tab/>
        <w:t>78,390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39,195</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DF30F3" w:rsidRDefault="00DF30F3" w:rsidP="00DF30F3">
      <w:pPr>
        <w:tabs>
          <w:tab w:val="left" w:pos="-720"/>
        </w:tabs>
        <w:suppressAutoHyphens/>
        <w:ind w:left="700"/>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0"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0"/>
      <w:r w:rsidR="00DF30F3">
        <w:rPr>
          <w:rFonts w:ascii="Times New Roman" w:hAnsi="Times New Roman"/>
          <w:szCs w:val="24"/>
        </w:rPr>
        <w:tab/>
        <w:t>0</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1"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1"/>
      <w:r w:rsidR="00DF30F3">
        <w:rPr>
          <w:rFonts w:ascii="Times New Roman" w:hAnsi="Times New Roman"/>
          <w:szCs w:val="24"/>
        </w:rPr>
        <w:tab/>
        <w:t>0</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EA6F3C"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2"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r w:rsidR="00DF30F3">
        <w:rPr>
          <w:rFonts w:ascii="Times New Roman" w:hAnsi="Times New Roman"/>
          <w:szCs w:val="24"/>
        </w:rPr>
        <w:tab/>
        <w:t>0</w:t>
      </w:r>
      <w:r w:rsidR="00EA6F3C">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DF30F3" w:rsidRPr="00DF30F3" w:rsidRDefault="00DF30F3" w:rsidP="00DF30F3">
      <w:pPr>
        <w:widowControl w:val="0"/>
        <w:tabs>
          <w:tab w:val="left" w:pos="-720"/>
        </w:tabs>
        <w:suppressAutoHyphens/>
        <w:rPr>
          <w:rFonts w:ascii="Calibri" w:hAnsi="Calibri" w:cs="Calibri"/>
          <w:snapToGrid w:val="0"/>
          <w:sz w:val="22"/>
          <w:szCs w:val="22"/>
        </w:rPr>
      </w:pPr>
      <w:r w:rsidRPr="00DF30F3">
        <w:rPr>
          <w:rFonts w:ascii="Calibri" w:hAnsi="Calibri" w:cs="Calibri"/>
          <w:snapToGrid w:val="0"/>
          <w:sz w:val="22"/>
          <w:szCs w:val="22"/>
        </w:rPr>
        <w:t>Total Annualized Capital/Startup Cost:</w:t>
      </w:r>
      <w:r w:rsidRPr="00DF30F3">
        <w:rPr>
          <w:rFonts w:ascii="Calibri" w:hAnsi="Calibri" w:cs="Calibri"/>
          <w:snapToGrid w:val="0"/>
          <w:sz w:val="22"/>
          <w:szCs w:val="22"/>
        </w:rPr>
        <w:tab/>
        <w:t>0</w:t>
      </w:r>
    </w:p>
    <w:p w:rsidR="00DF30F3" w:rsidRPr="00DF30F3" w:rsidRDefault="00DF30F3" w:rsidP="00DF30F3">
      <w:pPr>
        <w:widowControl w:val="0"/>
        <w:tabs>
          <w:tab w:val="left" w:pos="-720"/>
        </w:tabs>
        <w:suppressAutoHyphens/>
        <w:rPr>
          <w:rFonts w:ascii="Calibri" w:hAnsi="Calibri" w:cs="Calibri"/>
          <w:snapToGrid w:val="0"/>
          <w:sz w:val="22"/>
          <w:szCs w:val="22"/>
        </w:rPr>
      </w:pPr>
      <w:r w:rsidRPr="00DF30F3">
        <w:rPr>
          <w:rFonts w:ascii="Calibri" w:hAnsi="Calibri" w:cs="Calibri"/>
          <w:snapToGrid w:val="0"/>
          <w:sz w:val="22"/>
          <w:szCs w:val="22"/>
        </w:rPr>
        <w:t>Total Annual Costs (O&amp;M):</w:t>
      </w:r>
      <w:r w:rsidRPr="00DF30F3">
        <w:rPr>
          <w:rFonts w:ascii="Calibri" w:hAnsi="Calibri" w:cs="Calibri"/>
          <w:snapToGrid w:val="0"/>
          <w:sz w:val="22"/>
          <w:szCs w:val="22"/>
        </w:rPr>
        <w:tab/>
      </w:r>
      <w:r w:rsidRPr="00DF30F3">
        <w:rPr>
          <w:rFonts w:ascii="Calibri" w:hAnsi="Calibri" w:cs="Calibri"/>
          <w:snapToGrid w:val="0"/>
          <w:sz w:val="22"/>
          <w:szCs w:val="22"/>
        </w:rPr>
        <w:tab/>
        <w:t>0</w:t>
      </w:r>
    </w:p>
    <w:p w:rsidR="00DF30F3" w:rsidRPr="00DF30F3" w:rsidRDefault="00DF30F3" w:rsidP="00DF30F3">
      <w:pPr>
        <w:widowControl w:val="0"/>
        <w:tabs>
          <w:tab w:val="left" w:pos="-720"/>
        </w:tabs>
        <w:suppressAutoHyphens/>
        <w:rPr>
          <w:rFonts w:ascii="Calibri" w:hAnsi="Calibri" w:cs="Calibri"/>
          <w:snapToGrid w:val="0"/>
          <w:sz w:val="22"/>
          <w:szCs w:val="22"/>
        </w:rPr>
      </w:pPr>
      <w:r w:rsidRPr="00DF30F3">
        <w:rPr>
          <w:rFonts w:ascii="Calibri" w:hAnsi="Calibri" w:cs="Calibri"/>
          <w:snapToGrid w:val="0"/>
          <w:sz w:val="22"/>
          <w:szCs w:val="22"/>
        </w:rPr>
        <w:tab/>
      </w:r>
      <w:r w:rsidRPr="00DF30F3">
        <w:rPr>
          <w:rFonts w:ascii="Calibri" w:hAnsi="Calibri" w:cs="Calibri"/>
          <w:snapToGrid w:val="0"/>
          <w:sz w:val="22"/>
          <w:szCs w:val="22"/>
        </w:rPr>
        <w:tab/>
      </w:r>
      <w:r w:rsidRPr="00DF30F3">
        <w:rPr>
          <w:rFonts w:ascii="Calibri" w:hAnsi="Calibri" w:cs="Calibri"/>
          <w:snapToGrid w:val="0"/>
          <w:sz w:val="22"/>
          <w:szCs w:val="22"/>
        </w:rPr>
        <w:tab/>
      </w:r>
      <w:r w:rsidRPr="00DF30F3">
        <w:rPr>
          <w:rFonts w:ascii="Calibri" w:hAnsi="Calibri" w:cs="Calibri"/>
          <w:snapToGrid w:val="0"/>
          <w:sz w:val="22"/>
          <w:szCs w:val="22"/>
        </w:rPr>
        <w:tab/>
        <w:t xml:space="preserve">     ______</w:t>
      </w:r>
    </w:p>
    <w:p w:rsidR="00DF30F3" w:rsidRDefault="00DF30F3" w:rsidP="00DF30F3">
      <w:pPr>
        <w:widowControl w:val="0"/>
        <w:tabs>
          <w:tab w:val="left" w:pos="-720"/>
        </w:tabs>
        <w:suppressAutoHyphens/>
        <w:rPr>
          <w:rFonts w:ascii="Calibri" w:hAnsi="Calibri" w:cs="Calibri"/>
          <w:snapToGrid w:val="0"/>
          <w:sz w:val="22"/>
          <w:szCs w:val="22"/>
        </w:rPr>
      </w:pPr>
      <w:r w:rsidRPr="00DF30F3">
        <w:rPr>
          <w:rFonts w:ascii="Calibri" w:hAnsi="Calibri" w:cs="Calibri"/>
          <w:snapToGrid w:val="0"/>
          <w:sz w:val="22"/>
          <w:szCs w:val="22"/>
        </w:rPr>
        <w:lastRenderedPageBreak/>
        <w:t>Total Annualized Costs Requested:</w:t>
      </w:r>
      <w:r w:rsidRPr="00DF30F3">
        <w:rPr>
          <w:rFonts w:ascii="Calibri" w:hAnsi="Calibri" w:cs="Calibri"/>
          <w:snapToGrid w:val="0"/>
          <w:sz w:val="22"/>
          <w:szCs w:val="22"/>
        </w:rPr>
        <w:tab/>
        <w:t>0</w:t>
      </w:r>
    </w:p>
    <w:p w:rsidR="004F19E6" w:rsidRDefault="004F19E6" w:rsidP="00DF30F3">
      <w:pPr>
        <w:widowControl w:val="0"/>
        <w:tabs>
          <w:tab w:val="left" w:pos="-720"/>
        </w:tabs>
        <w:suppressAutoHyphens/>
        <w:rPr>
          <w:rFonts w:ascii="Calibri" w:hAnsi="Calibri" w:cs="Calibri"/>
          <w:snapToGrid w:val="0"/>
          <w:sz w:val="22"/>
          <w:szCs w:val="22"/>
        </w:rPr>
      </w:pPr>
    </w:p>
    <w:p w:rsidR="004F19E6" w:rsidRPr="00EF7FF5" w:rsidRDefault="004F19E6" w:rsidP="004F19E6">
      <w:pPr>
        <w:widowControl w:val="0"/>
        <w:rPr>
          <w:rFonts w:ascii="Times New Roman" w:hAnsi="Times New Roman"/>
          <w:szCs w:val="24"/>
        </w:rPr>
      </w:pPr>
      <w:r>
        <w:rPr>
          <w:rFonts w:ascii="Calibri" w:hAnsi="Calibri" w:cs="Calibri"/>
          <w:snapToGrid w:val="0"/>
          <w:sz w:val="22"/>
          <w:szCs w:val="22"/>
        </w:rPr>
        <w:t xml:space="preserve">  </w:t>
      </w:r>
      <w:r w:rsidRPr="004D1978">
        <w:rPr>
          <w:rFonts w:ascii="Calibri" w:hAnsi="Calibri"/>
          <w:sz w:val="22"/>
          <w:szCs w:val="22"/>
        </w:rPr>
        <w:t>The cost to the federal government is minimal for cancellation requests for the FFEL and Perkins programs</w:t>
      </w:r>
      <w:r w:rsidR="00EA6F3C">
        <w:rPr>
          <w:rFonts w:ascii="Calibri" w:hAnsi="Calibri"/>
          <w:sz w:val="22"/>
          <w:szCs w:val="22"/>
        </w:rPr>
        <w:t>.</w:t>
      </w:r>
      <w:r w:rsidRPr="004D1978">
        <w:rPr>
          <w:rFonts w:ascii="Calibri" w:hAnsi="Calibri"/>
          <w:sz w:val="22"/>
          <w:szCs w:val="22"/>
        </w:rPr>
        <w:t xml:space="preserve"> </w:t>
      </w:r>
    </w:p>
    <w:p w:rsidR="004F19E6" w:rsidRPr="00EF7FF5" w:rsidRDefault="004F19E6" w:rsidP="004F19E6">
      <w:pPr>
        <w:tabs>
          <w:tab w:val="left" w:pos="-720"/>
        </w:tabs>
        <w:suppressAutoHyphens/>
        <w:ind w:left="720"/>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4F19E6" w:rsidRDefault="004F19E6">
      <w:pPr>
        <w:tabs>
          <w:tab w:val="left" w:pos="-720"/>
        </w:tabs>
        <w:suppressAutoHyphens/>
        <w:rPr>
          <w:rFonts w:ascii="Times New Roman" w:hAnsi="Times New Roman"/>
          <w:szCs w:val="24"/>
        </w:rPr>
      </w:pPr>
    </w:p>
    <w:p w:rsidR="004F19E6" w:rsidRPr="004F19E6" w:rsidRDefault="004F19E6" w:rsidP="004F19E6">
      <w:pPr>
        <w:tabs>
          <w:tab w:val="left" w:pos="-720"/>
        </w:tabs>
        <w:suppressAutoHyphens/>
        <w:ind w:left="720"/>
        <w:rPr>
          <w:rFonts w:asciiTheme="minorHAnsi" w:hAnsiTheme="minorHAnsi" w:cstheme="minorHAnsi"/>
          <w:szCs w:val="24"/>
        </w:rPr>
      </w:pPr>
      <w:r w:rsidRPr="004F19E6">
        <w:rPr>
          <w:rFonts w:asciiTheme="minorHAnsi" w:hAnsiTheme="minorHAnsi" w:cstheme="minorHAnsi"/>
          <w:szCs w:val="24"/>
        </w:rPr>
        <w:t xml:space="preserve">The increase in burden recognizes the significant increase in the number of borrowers </w:t>
      </w:r>
      <w:r w:rsidR="00EA6F3C">
        <w:rPr>
          <w:rFonts w:asciiTheme="minorHAnsi" w:hAnsiTheme="minorHAnsi" w:cstheme="minorHAnsi"/>
          <w:szCs w:val="24"/>
        </w:rPr>
        <w:t xml:space="preserve">requesting a TPD discharge relief </w:t>
      </w:r>
      <w:r w:rsidRPr="004F19E6">
        <w:rPr>
          <w:rFonts w:asciiTheme="minorHAnsi" w:hAnsiTheme="minorHAnsi" w:cstheme="minorHAnsi"/>
          <w:szCs w:val="24"/>
        </w:rPr>
        <w:t>(from 30,000 to 78,390 for 2011</w:t>
      </w:r>
      <w:r>
        <w:rPr>
          <w:rFonts w:asciiTheme="minorHAnsi" w:hAnsiTheme="minorHAnsi" w:cstheme="minorHAnsi"/>
          <w:szCs w:val="24"/>
        </w:rPr>
        <w:t>)</w:t>
      </w:r>
      <w:r w:rsidRPr="004F19E6">
        <w:rPr>
          <w:rFonts w:asciiTheme="minorHAnsi" w:hAnsiTheme="minorHAnsi" w:cstheme="minorHAnsi"/>
          <w:szCs w:val="24"/>
        </w:rPr>
        <w:t xml:space="preserve">.  However, under the current regulations the burden would have been even higher due to the fact that borrowers with multiple loans at multiple loan holders would have had to complete and submit </w:t>
      </w:r>
      <w:r>
        <w:rPr>
          <w:rFonts w:asciiTheme="minorHAnsi" w:hAnsiTheme="minorHAnsi" w:cstheme="minorHAnsi"/>
          <w:szCs w:val="24"/>
        </w:rPr>
        <w:t xml:space="preserve">a </w:t>
      </w:r>
      <w:r w:rsidRPr="004F19E6">
        <w:rPr>
          <w:rFonts w:asciiTheme="minorHAnsi" w:hAnsiTheme="minorHAnsi" w:cstheme="minorHAnsi"/>
          <w:szCs w:val="24"/>
        </w:rPr>
        <w:t>TPD application for each of the separate loan holders.  Under the</w:t>
      </w:r>
      <w:r w:rsidR="001C61C4">
        <w:rPr>
          <w:rFonts w:asciiTheme="minorHAnsi" w:hAnsiTheme="minorHAnsi" w:cstheme="minorHAnsi"/>
          <w:szCs w:val="24"/>
        </w:rPr>
        <w:t xml:space="preserve"> </w:t>
      </w:r>
      <w:r w:rsidRPr="004F19E6">
        <w:rPr>
          <w:rFonts w:asciiTheme="minorHAnsi" w:hAnsiTheme="minorHAnsi" w:cstheme="minorHAnsi"/>
          <w:szCs w:val="24"/>
        </w:rPr>
        <w:t>regulations, a borrower requesting a TPD discharge would only complete and submit a single</w:t>
      </w:r>
      <w:r>
        <w:rPr>
          <w:rFonts w:ascii="Times New Roman" w:hAnsi="Times New Roman"/>
          <w:szCs w:val="24"/>
        </w:rPr>
        <w:t xml:space="preserve"> </w:t>
      </w:r>
      <w:r w:rsidRPr="004F19E6">
        <w:rPr>
          <w:rFonts w:asciiTheme="minorHAnsi" w:hAnsiTheme="minorHAnsi" w:cstheme="minorHAnsi"/>
          <w:szCs w:val="24"/>
        </w:rPr>
        <w:t>TPD application to the Department.</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19E6" w:rsidRDefault="004F19E6">
      <w:pPr>
        <w:tabs>
          <w:tab w:val="left" w:pos="-720"/>
        </w:tabs>
        <w:suppressAutoHyphens/>
        <w:rPr>
          <w:rFonts w:ascii="Times New Roman" w:hAnsi="Times New Roman"/>
          <w:szCs w:val="24"/>
        </w:rPr>
      </w:pPr>
    </w:p>
    <w:p w:rsidR="004F19E6" w:rsidRPr="004F19E6" w:rsidRDefault="004F19E6" w:rsidP="004F19E6">
      <w:pPr>
        <w:widowControl w:val="0"/>
        <w:spacing w:after="200"/>
        <w:ind w:left="720"/>
        <w:rPr>
          <w:rFonts w:ascii="Calibri" w:hAnsi="Calibri"/>
          <w:snapToGrid w:val="0"/>
          <w:sz w:val="22"/>
          <w:szCs w:val="22"/>
        </w:rPr>
      </w:pPr>
      <w:r w:rsidRPr="004F19E6">
        <w:rPr>
          <w:rFonts w:ascii="Calibri" w:hAnsi="Calibri"/>
          <w:snapToGrid w:val="0"/>
          <w:sz w:val="22"/>
          <w:szCs w:val="22"/>
        </w:rPr>
        <w:t>The results of this information collection will not be published.</w:t>
      </w:r>
    </w:p>
    <w:p w:rsidR="004F19E6" w:rsidRPr="00EF7FF5" w:rsidRDefault="004F19E6">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4F19E6" w:rsidRPr="004F19E6" w:rsidRDefault="004F19E6" w:rsidP="004F19E6">
      <w:pPr>
        <w:widowControl w:val="0"/>
        <w:spacing w:after="200"/>
        <w:ind w:left="720"/>
        <w:rPr>
          <w:rFonts w:ascii="Calibri" w:hAnsi="Calibri"/>
          <w:snapToGrid w:val="0"/>
          <w:sz w:val="22"/>
          <w:szCs w:val="22"/>
        </w:rPr>
      </w:pPr>
      <w:r w:rsidRPr="004F19E6">
        <w:rPr>
          <w:rFonts w:ascii="Calibri" w:hAnsi="Calibri"/>
          <w:snapToGrid w:val="0"/>
          <w:sz w:val="22"/>
          <w:szCs w:val="22"/>
        </w:rPr>
        <w:t>The Department is not seeking this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4F19E6" w:rsidRDefault="004F19E6" w:rsidP="004F19E6">
      <w:pPr>
        <w:widowControl w:val="0"/>
        <w:spacing w:after="200"/>
        <w:rPr>
          <w:rFonts w:ascii="Calibri" w:hAnsi="Calibri"/>
          <w:snapToGrid w:val="0"/>
          <w:sz w:val="22"/>
          <w:szCs w:val="22"/>
        </w:rPr>
      </w:pPr>
    </w:p>
    <w:p w:rsidR="004F19E6" w:rsidRPr="00EF7FF5" w:rsidRDefault="004F19E6" w:rsidP="002A5427">
      <w:pPr>
        <w:widowControl w:val="0"/>
        <w:spacing w:after="200"/>
        <w:ind w:left="720"/>
        <w:rPr>
          <w:rFonts w:ascii="Times New Roman" w:hAnsi="Times New Roman"/>
          <w:szCs w:val="24"/>
        </w:rPr>
      </w:pPr>
      <w:r w:rsidRPr="004F19E6">
        <w:rPr>
          <w:rFonts w:ascii="Calibri" w:hAnsi="Calibri"/>
          <w:snapToGrid w:val="0"/>
          <w:sz w:val="22"/>
          <w:szCs w:val="22"/>
        </w:rPr>
        <w:t>The Department is not requesting any exceptions to the Certification for Paperwork Reduction Act Submissions.</w:t>
      </w:r>
    </w:p>
    <w:sectPr w:rsidR="004F19E6" w:rsidRPr="00EF7FF5" w:rsidSect="00E0729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51" w:rsidRDefault="00F35B51">
      <w:pPr>
        <w:spacing w:line="20" w:lineRule="exact"/>
      </w:pPr>
    </w:p>
  </w:endnote>
  <w:endnote w:type="continuationSeparator" w:id="0">
    <w:p w:rsidR="00F35B51" w:rsidRDefault="00F35B51">
      <w:r>
        <w:t xml:space="preserve"> </w:t>
      </w:r>
    </w:p>
  </w:endnote>
  <w:endnote w:type="continuationNotice" w:id="1">
    <w:p w:rsidR="00F35B51" w:rsidRDefault="00F35B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3F" w:rsidRDefault="005E2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367710"/>
      <w:docPartObj>
        <w:docPartGallery w:val="Page Numbers (Bottom of Page)"/>
        <w:docPartUnique/>
      </w:docPartObj>
    </w:sdtPr>
    <w:sdtEndPr>
      <w:rPr>
        <w:noProof/>
      </w:rPr>
    </w:sdtEndPr>
    <w:sdtContent>
      <w:p w:rsidR="00DF30F3" w:rsidRDefault="00DF30F3">
        <w:pPr>
          <w:pStyle w:val="Footer"/>
          <w:jc w:val="center"/>
        </w:pPr>
        <w:r>
          <w:fldChar w:fldCharType="begin"/>
        </w:r>
        <w:r>
          <w:instrText xml:space="preserve"> PAGE   \* MERGEFORMAT </w:instrText>
        </w:r>
        <w:r>
          <w:fldChar w:fldCharType="separate"/>
        </w:r>
        <w:r w:rsidR="005E203F">
          <w:rPr>
            <w:noProof/>
          </w:rPr>
          <w:t>1</w:t>
        </w:r>
        <w:r>
          <w:rPr>
            <w:noProof/>
          </w:rPr>
          <w:fldChar w:fldCharType="end"/>
        </w:r>
      </w:p>
    </w:sdtContent>
  </w:sdt>
  <w:p w:rsidR="00DF30F3" w:rsidRDefault="00DF30F3">
    <w:pPr>
      <w:tabs>
        <w:tab w:val="left" w:pos="0"/>
      </w:tabs>
      <w:suppressAutoHyphen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3F" w:rsidRDefault="005E2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51" w:rsidRDefault="00F35B51">
      <w:r>
        <w:separator/>
      </w:r>
    </w:p>
  </w:footnote>
  <w:footnote w:type="continuationSeparator" w:id="0">
    <w:p w:rsidR="00F35B51" w:rsidRDefault="00F35B51">
      <w:r>
        <w:continuationSeparator/>
      </w:r>
    </w:p>
  </w:footnote>
  <w:footnote w:id="1">
    <w:p w:rsidR="00DF30F3" w:rsidRDefault="00DF30F3">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DF30F3" w:rsidRDefault="00DF30F3">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3F" w:rsidRDefault="005E2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F3" w:rsidRDefault="00DF30F3">
    <w:pPr>
      <w:pStyle w:val="Header"/>
      <w:rPr>
        <w:rFonts w:ascii="Times New Roman" w:hAnsi="Times New Roman"/>
        <w:sz w:val="20"/>
      </w:rPr>
    </w:pPr>
    <w:r>
      <w:rPr>
        <w:rFonts w:ascii="Times New Roman" w:hAnsi="Times New Roman"/>
        <w:sz w:val="20"/>
      </w:rPr>
      <w:t xml:space="preserve">EDICS Tracking and OMB Number: (04864) 1845-0065.v.5                                         Revised: </w:t>
    </w:r>
    <w:r w:rsidR="001C61C4">
      <w:rPr>
        <w:rFonts w:ascii="Times New Roman" w:hAnsi="Times New Roman"/>
        <w:sz w:val="20"/>
      </w:rPr>
      <w:t>08/2</w:t>
    </w:r>
    <w:r w:rsidR="005E203F">
      <w:rPr>
        <w:rFonts w:ascii="Times New Roman" w:hAnsi="Times New Roman"/>
        <w:sz w:val="20"/>
      </w:rPr>
      <w:t>9</w:t>
    </w:r>
    <w:bookmarkStart w:id="3" w:name="_GoBack"/>
    <w:bookmarkEnd w:id="3"/>
    <w:r>
      <w:rPr>
        <w:rFonts w:ascii="Times New Roman" w:hAnsi="Times New Roman"/>
        <w:sz w:val="20"/>
      </w:rPr>
      <w:t>/2012</w:t>
    </w:r>
  </w:p>
  <w:p w:rsidR="00DF30F3" w:rsidRPr="00386054" w:rsidRDefault="00DF30F3">
    <w:pPr>
      <w:pStyle w:val="Header"/>
      <w:rPr>
        <w:rFonts w:ascii="Times New Roman" w:hAnsi="Times New Roman"/>
        <w:sz w:val="20"/>
      </w:rPr>
    </w:pPr>
    <w:r>
      <w:rPr>
        <w:rFonts w:ascii="Times New Roman" w:hAnsi="Times New Roman"/>
        <w:sz w:val="20"/>
      </w:rPr>
      <w:t>RIN Number: 1840-AD05 (if applicable)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3F" w:rsidRDefault="005E2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44CFB"/>
    <w:rsid w:val="00050CBE"/>
    <w:rsid w:val="000909E0"/>
    <w:rsid w:val="000B14D8"/>
    <w:rsid w:val="000B4AB9"/>
    <w:rsid w:val="000E592D"/>
    <w:rsid w:val="000F175B"/>
    <w:rsid w:val="001271F0"/>
    <w:rsid w:val="0014500F"/>
    <w:rsid w:val="00153F20"/>
    <w:rsid w:val="00156EE3"/>
    <w:rsid w:val="001743A5"/>
    <w:rsid w:val="0018279C"/>
    <w:rsid w:val="001C61C4"/>
    <w:rsid w:val="002473CE"/>
    <w:rsid w:val="002A5427"/>
    <w:rsid w:val="002B0412"/>
    <w:rsid w:val="002B0A95"/>
    <w:rsid w:val="00386054"/>
    <w:rsid w:val="003C29C2"/>
    <w:rsid w:val="003C7F70"/>
    <w:rsid w:val="003E285A"/>
    <w:rsid w:val="004A2DBB"/>
    <w:rsid w:val="004E23D9"/>
    <w:rsid w:val="004F19E6"/>
    <w:rsid w:val="004F692A"/>
    <w:rsid w:val="00512598"/>
    <w:rsid w:val="00563CCF"/>
    <w:rsid w:val="005A1566"/>
    <w:rsid w:val="005A1DFC"/>
    <w:rsid w:val="005A4185"/>
    <w:rsid w:val="005D2E7B"/>
    <w:rsid w:val="005E203F"/>
    <w:rsid w:val="0063484C"/>
    <w:rsid w:val="00654305"/>
    <w:rsid w:val="006737C0"/>
    <w:rsid w:val="00677BC2"/>
    <w:rsid w:val="006A3B5C"/>
    <w:rsid w:val="006C01D0"/>
    <w:rsid w:val="00752AA7"/>
    <w:rsid w:val="007661D9"/>
    <w:rsid w:val="007B14E8"/>
    <w:rsid w:val="007C12B5"/>
    <w:rsid w:val="007E77FA"/>
    <w:rsid w:val="008011B6"/>
    <w:rsid w:val="008F3062"/>
    <w:rsid w:val="00921CB1"/>
    <w:rsid w:val="00937F33"/>
    <w:rsid w:val="009544A3"/>
    <w:rsid w:val="009949A8"/>
    <w:rsid w:val="00A01331"/>
    <w:rsid w:val="00A41F2C"/>
    <w:rsid w:val="00A87940"/>
    <w:rsid w:val="00A94CCB"/>
    <w:rsid w:val="00A978FA"/>
    <w:rsid w:val="00AB0D7D"/>
    <w:rsid w:val="00B23EC0"/>
    <w:rsid w:val="00BC244F"/>
    <w:rsid w:val="00BD1325"/>
    <w:rsid w:val="00C641E9"/>
    <w:rsid w:val="00C723C2"/>
    <w:rsid w:val="00CC0911"/>
    <w:rsid w:val="00CE72AF"/>
    <w:rsid w:val="00D115BF"/>
    <w:rsid w:val="00D269C3"/>
    <w:rsid w:val="00DF30F3"/>
    <w:rsid w:val="00E023B7"/>
    <w:rsid w:val="00E07290"/>
    <w:rsid w:val="00EA3C1F"/>
    <w:rsid w:val="00EA6F3C"/>
    <w:rsid w:val="00EC2CC4"/>
    <w:rsid w:val="00EF7FF5"/>
    <w:rsid w:val="00F313DF"/>
    <w:rsid w:val="00F3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672A-8E78-4973-842D-2E04171C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3160</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Dan Klock</cp:lastModifiedBy>
  <cp:revision>2</cp:revision>
  <cp:lastPrinted>2012-05-17T15:21:00Z</cp:lastPrinted>
  <dcterms:created xsi:type="dcterms:W3CDTF">2012-08-29T14:18:00Z</dcterms:created>
  <dcterms:modified xsi:type="dcterms:W3CDTF">2012-08-29T14:18:00Z</dcterms:modified>
</cp:coreProperties>
</file>