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DE2C54"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FERC-725L</w:t>
      </w:r>
      <w:r w:rsidR="006533CF">
        <w:rPr>
          <w:rFonts w:ascii="Times New Roman" w:hAnsi="Times New Roman" w:cs="Times New Roman"/>
          <w:b/>
          <w:sz w:val="24"/>
          <w:szCs w:val="24"/>
        </w:rPr>
        <w:t>, Regional Reliability Standard PRC-006-NPCC-1 --- Automatic Underfrequency Load-Shedding</w:t>
      </w:r>
    </w:p>
    <w:p w:rsidR="007F6B50" w:rsidRDefault="00992512" w:rsidP="006533CF">
      <w:pPr>
        <w:spacing w:after="0"/>
        <w:jc w:val="center"/>
        <w:rPr>
          <w:rFonts w:ascii="Times New Roman" w:hAnsi="Times New Roman" w:cs="Times New Roman"/>
          <w:b/>
          <w:sz w:val="24"/>
          <w:szCs w:val="24"/>
        </w:rPr>
      </w:pPr>
      <w:r>
        <w:rPr>
          <w:rFonts w:ascii="Times New Roman" w:hAnsi="Times New Roman" w:cs="Times New Roman"/>
          <w:b/>
          <w:sz w:val="24"/>
          <w:szCs w:val="24"/>
        </w:rPr>
        <w:t>Final Rule</w:t>
      </w:r>
      <w:r w:rsidR="00AF2B62">
        <w:rPr>
          <w:rFonts w:ascii="Times New Roman" w:hAnsi="Times New Roman" w:cs="Times New Roman"/>
          <w:b/>
          <w:sz w:val="24"/>
          <w:szCs w:val="24"/>
        </w:rPr>
        <w:t xml:space="preserve"> </w:t>
      </w:r>
      <w:r w:rsidR="00527A96">
        <w:rPr>
          <w:rFonts w:ascii="Times New Roman" w:hAnsi="Times New Roman" w:cs="Times New Roman"/>
          <w:b/>
          <w:sz w:val="24"/>
          <w:szCs w:val="24"/>
        </w:rPr>
        <w:t xml:space="preserve">(in RM12-12) </w:t>
      </w:r>
      <w:r w:rsidR="00AF2B62" w:rsidRPr="00992512">
        <w:rPr>
          <w:rFonts w:ascii="Times New Roman" w:hAnsi="Times New Roman" w:cs="Times New Roman"/>
          <w:b/>
          <w:sz w:val="24"/>
          <w:szCs w:val="24"/>
        </w:rPr>
        <w:t>issued February</w:t>
      </w:r>
      <w:r w:rsidRPr="00992512">
        <w:rPr>
          <w:rFonts w:ascii="Times New Roman" w:hAnsi="Times New Roman" w:cs="Times New Roman"/>
          <w:b/>
          <w:sz w:val="24"/>
          <w:szCs w:val="24"/>
        </w:rPr>
        <w:t xml:space="preserve"> 21</w:t>
      </w:r>
      <w:r w:rsidR="006533CF" w:rsidRPr="00992512">
        <w:rPr>
          <w:rFonts w:ascii="Times New Roman" w:hAnsi="Times New Roman" w:cs="Times New Roman"/>
          <w:b/>
          <w:sz w:val="24"/>
          <w:szCs w:val="24"/>
        </w:rPr>
        <w:t>, 2012</w:t>
      </w:r>
    </w:p>
    <w:p w:rsidR="006533CF" w:rsidRPr="006533CF" w:rsidRDefault="006533CF" w:rsidP="006533CF">
      <w:pPr>
        <w:spacing w:after="0"/>
        <w:jc w:val="center"/>
        <w:rPr>
          <w:rFonts w:ascii="Times New Roman" w:hAnsi="Times New Roman" w:cs="Times New Roman"/>
          <w:b/>
          <w:sz w:val="24"/>
          <w:szCs w:val="24"/>
        </w:rPr>
      </w:pPr>
    </w:p>
    <w:p w:rsidR="007F6B50" w:rsidRDefault="007F6B50" w:rsidP="00FD66F1">
      <w:pPr>
        <w:spacing w:after="0"/>
        <w:rPr>
          <w:rFonts w:ascii="Times New Roman" w:hAnsi="Times New Roman" w:cs="Times New Roman"/>
          <w:sz w:val="24"/>
          <w:szCs w:val="24"/>
        </w:rPr>
      </w:pPr>
    </w:p>
    <w:p w:rsidR="00244AE0" w:rsidRPr="00992512" w:rsidRDefault="00244AE0" w:rsidP="00244AE0">
      <w:pPr>
        <w:spacing w:after="0"/>
        <w:rPr>
          <w:rFonts w:ascii="Times New Roman" w:hAnsi="Times New Roman" w:cs="Times New Roman"/>
          <w:bCs/>
          <w:sz w:val="24"/>
          <w:szCs w:val="24"/>
        </w:rPr>
      </w:pPr>
      <w:r w:rsidRPr="00244AE0">
        <w:rPr>
          <w:rFonts w:ascii="Times New Roman" w:hAnsi="Times New Roman" w:cs="Times New Roman"/>
          <w:sz w:val="24"/>
          <w:szCs w:val="24"/>
        </w:rPr>
        <w:t xml:space="preserve">The Federal Energy Regulatory Commission (Commission or FERC) requests Office of Management and Budget (OMB) review </w:t>
      </w:r>
      <w:r w:rsidR="004C7C82">
        <w:rPr>
          <w:rFonts w:ascii="Times New Roman" w:hAnsi="Times New Roman" w:cs="Times New Roman"/>
          <w:sz w:val="24"/>
          <w:szCs w:val="24"/>
        </w:rPr>
        <w:t xml:space="preserve">and approval </w:t>
      </w:r>
      <w:r w:rsidRPr="00244AE0">
        <w:rPr>
          <w:rFonts w:ascii="Times New Roman" w:hAnsi="Times New Roman" w:cs="Times New Roman"/>
          <w:sz w:val="24"/>
          <w:szCs w:val="24"/>
        </w:rPr>
        <w:t xml:space="preserve">of </w:t>
      </w:r>
      <w:r w:rsidRPr="00244AE0">
        <w:rPr>
          <w:rFonts w:ascii="Times New Roman" w:hAnsi="Times New Roman" w:cs="Times New Roman"/>
          <w:b/>
          <w:bCs/>
          <w:sz w:val="24"/>
          <w:szCs w:val="24"/>
        </w:rPr>
        <w:t>FERC</w:t>
      </w:r>
      <w:r w:rsidRPr="00244AE0">
        <w:rPr>
          <w:rFonts w:ascii="Times New Roman" w:hAnsi="Times New Roman" w:cs="Times New Roman"/>
          <w:b/>
          <w:bCs/>
          <w:sz w:val="24"/>
          <w:szCs w:val="24"/>
        </w:rPr>
        <w:noBreakHyphen/>
        <w:t>725</w:t>
      </w:r>
      <w:r>
        <w:rPr>
          <w:rFonts w:ascii="Times New Roman" w:hAnsi="Times New Roman" w:cs="Times New Roman"/>
          <w:b/>
          <w:bCs/>
          <w:sz w:val="24"/>
          <w:szCs w:val="24"/>
        </w:rPr>
        <w:t>L</w:t>
      </w:r>
      <w:r w:rsidRPr="00244AE0">
        <w:rPr>
          <w:rFonts w:ascii="Times New Roman" w:hAnsi="Times New Roman" w:cs="Times New Roman"/>
          <w:b/>
          <w:bCs/>
          <w:sz w:val="24"/>
          <w:szCs w:val="24"/>
        </w:rPr>
        <w:t xml:space="preserve">, </w:t>
      </w:r>
      <w:r>
        <w:rPr>
          <w:rFonts w:ascii="Times New Roman" w:hAnsi="Times New Roman" w:cs="Times New Roman"/>
          <w:b/>
          <w:bCs/>
          <w:sz w:val="24"/>
          <w:szCs w:val="24"/>
        </w:rPr>
        <w:t>Regional Reliability Standard PRC-006-NPCC-1 --- Automatic Underfrequency Load-Shedding</w:t>
      </w:r>
      <w:r w:rsidRPr="00244AE0">
        <w:rPr>
          <w:rFonts w:ascii="Times New Roman" w:hAnsi="Times New Roman" w:cs="Times New Roman"/>
          <w:b/>
          <w:bCs/>
          <w:sz w:val="24"/>
          <w:szCs w:val="24"/>
        </w:rPr>
        <w:t xml:space="preserve"> </w:t>
      </w:r>
      <w:r w:rsidR="00AF2B62">
        <w:rPr>
          <w:rFonts w:ascii="Times New Roman" w:hAnsi="Times New Roman" w:cs="Times New Roman"/>
          <w:bCs/>
          <w:sz w:val="24"/>
          <w:szCs w:val="24"/>
        </w:rPr>
        <w:t>as contained in the Final Rule</w:t>
      </w:r>
      <w:r w:rsidRPr="00244AE0">
        <w:rPr>
          <w:rFonts w:ascii="Times New Roman" w:hAnsi="Times New Roman" w:cs="Times New Roman"/>
          <w:bCs/>
          <w:sz w:val="24"/>
          <w:szCs w:val="24"/>
        </w:rPr>
        <w:t xml:space="preserve"> in Docket No. RM12-</w:t>
      </w:r>
      <w:r>
        <w:rPr>
          <w:rFonts w:ascii="Times New Roman" w:hAnsi="Times New Roman" w:cs="Times New Roman"/>
          <w:bCs/>
          <w:sz w:val="24"/>
          <w:szCs w:val="24"/>
        </w:rPr>
        <w:t>12</w:t>
      </w:r>
      <w:r w:rsidRPr="00244AE0">
        <w:rPr>
          <w:rFonts w:ascii="Times New Roman" w:hAnsi="Times New Roman" w:cs="Times New Roman"/>
          <w:bCs/>
          <w:sz w:val="24"/>
          <w:szCs w:val="24"/>
        </w:rPr>
        <w:t xml:space="preserve">-000 “Regional Reliability Standard PRC-006-NPCC-1 --- Automatic </w:t>
      </w:r>
      <w:r w:rsidRPr="009930F3">
        <w:rPr>
          <w:rFonts w:ascii="Times New Roman" w:hAnsi="Times New Roman" w:cs="Times New Roman"/>
          <w:bCs/>
          <w:sz w:val="24"/>
          <w:szCs w:val="24"/>
        </w:rPr>
        <w:t>Underfrequen</w:t>
      </w:r>
      <w:r w:rsidR="00AE461D">
        <w:rPr>
          <w:rFonts w:ascii="Times New Roman" w:hAnsi="Times New Roman" w:cs="Times New Roman"/>
          <w:bCs/>
          <w:sz w:val="24"/>
          <w:szCs w:val="24"/>
        </w:rPr>
        <w:t xml:space="preserve">cy Load-Shedding” </w:t>
      </w:r>
      <w:hyperlink r:id="rId9" w:history="1">
        <w:r w:rsidR="00992512" w:rsidRPr="006C7D29">
          <w:rPr>
            <w:rStyle w:val="Hyperlink"/>
            <w:rFonts w:ascii="Times New Roman" w:hAnsi="Times New Roman" w:cs="Times New Roman"/>
            <w:bCs/>
            <w:sz w:val="24"/>
            <w:szCs w:val="24"/>
          </w:rPr>
          <w:t>http://elibrary.ferc.gov/idmws/common/OpenNat.asp?fileID=13185432</w:t>
        </w:r>
      </w:hyperlink>
      <w:r w:rsidR="00992512">
        <w:rPr>
          <w:rFonts w:ascii="Times New Roman" w:hAnsi="Times New Roman" w:cs="Times New Roman"/>
          <w:bCs/>
          <w:sz w:val="24"/>
          <w:szCs w:val="24"/>
        </w:rPr>
        <w:t>)</w:t>
      </w:r>
      <w:r w:rsidRPr="009930F3">
        <w:rPr>
          <w:rFonts w:ascii="Times New Roman" w:hAnsi="Times New Roman" w:cs="Times New Roman"/>
          <w:bCs/>
          <w:sz w:val="24"/>
          <w:szCs w:val="24"/>
        </w:rPr>
        <w:t>.</w:t>
      </w:r>
      <w:r w:rsidRPr="009930F3">
        <w:rPr>
          <w:rFonts w:ascii="Times New Roman" w:hAnsi="Times New Roman" w:cs="Times New Roman"/>
          <w:sz w:val="24"/>
          <w:szCs w:val="24"/>
        </w:rPr>
        <w:t xml:space="preserve">  FERC</w:t>
      </w:r>
      <w:r w:rsidRPr="00244AE0">
        <w:rPr>
          <w:rFonts w:ascii="Times New Roman" w:hAnsi="Times New Roman" w:cs="Times New Roman"/>
          <w:sz w:val="24"/>
          <w:szCs w:val="24"/>
        </w:rPr>
        <w:t>-725</w:t>
      </w:r>
      <w:r>
        <w:rPr>
          <w:rFonts w:ascii="Times New Roman" w:hAnsi="Times New Roman" w:cs="Times New Roman"/>
          <w:sz w:val="24"/>
          <w:szCs w:val="24"/>
        </w:rPr>
        <w:t>L</w:t>
      </w:r>
      <w:r w:rsidRPr="00244AE0">
        <w:rPr>
          <w:rFonts w:ascii="Times New Roman" w:hAnsi="Times New Roman" w:cs="Times New Roman"/>
          <w:sz w:val="24"/>
          <w:szCs w:val="24"/>
        </w:rPr>
        <w:t xml:space="preserve"> is a new Commission collection, contained in 18 Code of Federal Regulations (CFR), Part </w:t>
      </w:r>
      <w:r w:rsidR="00AE461D">
        <w:rPr>
          <w:rFonts w:ascii="Times New Roman" w:hAnsi="Times New Roman" w:cs="Times New Roman"/>
          <w:sz w:val="24"/>
          <w:szCs w:val="24"/>
        </w:rPr>
        <w:t>40</w:t>
      </w:r>
      <w:r w:rsidRPr="00244AE0">
        <w:rPr>
          <w:rFonts w:ascii="Times New Roman" w:hAnsi="Times New Roman" w:cs="Times New Roman"/>
          <w:sz w:val="24"/>
          <w:szCs w:val="24"/>
        </w:rPr>
        <w:t>.</w:t>
      </w:r>
      <w:r w:rsidR="00527A96" w:rsidRPr="0080107B">
        <w:rPr>
          <w:rStyle w:val="FootnoteReference"/>
          <w:rFonts w:ascii="Times New Roman" w:hAnsi="Times New Roman" w:cs="Times New Roman"/>
          <w:sz w:val="24"/>
          <w:szCs w:val="24"/>
          <w:vertAlign w:val="superscript"/>
        </w:rPr>
        <w:footnoteReference w:id="1"/>
      </w:r>
    </w:p>
    <w:p w:rsidR="00773AEB" w:rsidRDefault="00773AEB" w:rsidP="00FD66F1">
      <w:pPr>
        <w:spacing w:after="0"/>
        <w:rPr>
          <w:rFonts w:ascii="Times New Roman" w:hAnsi="Times New Roman" w:cs="Times New Roman"/>
          <w:sz w:val="24"/>
          <w:szCs w:val="24"/>
        </w:rPr>
      </w:pPr>
    </w:p>
    <w:p w:rsidR="00DD6006" w:rsidRDefault="00AF2B62" w:rsidP="004B5F04">
      <w:pPr>
        <w:spacing w:after="0"/>
        <w:rPr>
          <w:rFonts w:ascii="Times New Roman" w:hAnsi="Times New Roman" w:cs="Times New Roman"/>
          <w:sz w:val="24"/>
          <w:szCs w:val="24"/>
        </w:rPr>
      </w:pPr>
      <w:r>
        <w:rPr>
          <w:rFonts w:ascii="Times New Roman" w:hAnsi="Times New Roman" w:cs="Times New Roman"/>
          <w:sz w:val="24"/>
          <w:szCs w:val="24"/>
        </w:rPr>
        <w:t>Within this Final Rule, the Commission</w:t>
      </w:r>
      <w:r w:rsidR="002B6123">
        <w:rPr>
          <w:rFonts w:ascii="Times New Roman" w:hAnsi="Times New Roman" w:cs="Times New Roman"/>
          <w:sz w:val="24"/>
          <w:szCs w:val="24"/>
        </w:rPr>
        <w:t xml:space="preserve"> approve</w:t>
      </w:r>
      <w:r>
        <w:rPr>
          <w:rFonts w:ascii="Times New Roman" w:hAnsi="Times New Roman" w:cs="Times New Roman"/>
          <w:sz w:val="24"/>
          <w:szCs w:val="24"/>
        </w:rPr>
        <w:t>s</w:t>
      </w:r>
      <w:r w:rsidR="002B6123">
        <w:rPr>
          <w:rFonts w:ascii="Times New Roman" w:hAnsi="Times New Roman" w:cs="Times New Roman"/>
          <w:sz w:val="24"/>
          <w:szCs w:val="24"/>
        </w:rPr>
        <w:t xml:space="preserve"> the r</w:t>
      </w:r>
      <w:bookmarkStart w:id="0" w:name="_GoBack"/>
      <w:bookmarkEnd w:id="0"/>
      <w:r w:rsidR="002B6123">
        <w:rPr>
          <w:rFonts w:ascii="Times New Roman" w:hAnsi="Times New Roman" w:cs="Times New Roman"/>
          <w:sz w:val="24"/>
          <w:szCs w:val="24"/>
        </w:rPr>
        <w:t>egional Reliability Standard PRC-006-</w:t>
      </w:r>
      <w:r w:rsidR="002B3F33">
        <w:rPr>
          <w:rFonts w:ascii="Times New Roman" w:hAnsi="Times New Roman" w:cs="Times New Roman"/>
          <w:sz w:val="24"/>
          <w:szCs w:val="24"/>
        </w:rPr>
        <w:t>NPCC</w:t>
      </w:r>
      <w:r w:rsidR="002B6123">
        <w:rPr>
          <w:rFonts w:ascii="Times New Roman" w:hAnsi="Times New Roman" w:cs="Times New Roman"/>
          <w:sz w:val="24"/>
          <w:szCs w:val="24"/>
        </w:rPr>
        <w:t>-01 (</w:t>
      </w:r>
      <w:r w:rsidR="002B6123" w:rsidRPr="002B6123">
        <w:rPr>
          <w:rFonts w:ascii="Times New Roman" w:hAnsi="Times New Roman" w:cs="Times New Roman"/>
          <w:sz w:val="24"/>
          <w:szCs w:val="24"/>
        </w:rPr>
        <w:t>Regional Reliability Standard PRC-006-NPCC-1 --- Automatic Underfrequency Load-Shedding</w:t>
      </w:r>
      <w:r w:rsidR="002B6123">
        <w:rPr>
          <w:rFonts w:ascii="Times New Roman" w:hAnsi="Times New Roman" w:cs="Times New Roman"/>
          <w:sz w:val="24"/>
          <w:szCs w:val="24"/>
        </w:rPr>
        <w:t xml:space="preserve">).   </w:t>
      </w:r>
      <w:r w:rsidR="00912EE7">
        <w:rPr>
          <w:rFonts w:ascii="Times New Roman" w:hAnsi="Times New Roman" w:cs="Times New Roman"/>
          <w:sz w:val="24"/>
          <w:szCs w:val="24"/>
        </w:rPr>
        <w:t>The North American Electric Reliability Corpor</w:t>
      </w:r>
      <w:r>
        <w:rPr>
          <w:rFonts w:ascii="Times New Roman" w:hAnsi="Times New Roman" w:cs="Times New Roman"/>
          <w:sz w:val="24"/>
          <w:szCs w:val="24"/>
        </w:rPr>
        <w:t xml:space="preserve">ation (NERC) submitted this </w:t>
      </w:r>
      <w:r w:rsidR="003D4C1A">
        <w:rPr>
          <w:rFonts w:ascii="Times New Roman" w:hAnsi="Times New Roman" w:cs="Times New Roman"/>
          <w:sz w:val="24"/>
          <w:szCs w:val="24"/>
        </w:rPr>
        <w:t>proposed standard</w:t>
      </w:r>
      <w:r w:rsidR="00912EE7">
        <w:rPr>
          <w:rFonts w:ascii="Times New Roman" w:hAnsi="Times New Roman" w:cs="Times New Roman"/>
          <w:sz w:val="24"/>
          <w:szCs w:val="24"/>
        </w:rPr>
        <w:t xml:space="preserve"> to the Commission for </w:t>
      </w:r>
      <w:r w:rsidR="003D4C1A">
        <w:rPr>
          <w:rFonts w:ascii="Times New Roman" w:hAnsi="Times New Roman" w:cs="Times New Roman"/>
          <w:sz w:val="24"/>
          <w:szCs w:val="24"/>
        </w:rPr>
        <w:t xml:space="preserve">review and </w:t>
      </w:r>
      <w:r w:rsidR="00912EE7">
        <w:rPr>
          <w:rFonts w:ascii="Times New Roman" w:hAnsi="Times New Roman" w:cs="Times New Roman"/>
          <w:sz w:val="24"/>
          <w:szCs w:val="24"/>
        </w:rPr>
        <w:t>approval</w:t>
      </w:r>
      <w:r w:rsidR="002B6123" w:rsidRPr="003C18B4">
        <w:rPr>
          <w:rFonts w:ascii="Times New Roman" w:hAnsi="Times New Roman" w:cs="Times New Roman"/>
          <w:sz w:val="24"/>
          <w:szCs w:val="24"/>
        </w:rPr>
        <w:t>.</w:t>
      </w:r>
      <w:r w:rsidR="004B5F04" w:rsidRPr="004B5F04">
        <w:rPr>
          <w:rFonts w:ascii="Times New Roman" w:hAnsi="Times New Roman" w:cs="Times New Roman"/>
          <w:sz w:val="26"/>
          <w:szCs w:val="26"/>
        </w:rPr>
        <w:t xml:space="preserve"> </w:t>
      </w:r>
      <w:r w:rsidR="00F1616B">
        <w:rPr>
          <w:rFonts w:ascii="Times New Roman" w:hAnsi="Times New Roman" w:cs="Times New Roman"/>
          <w:sz w:val="26"/>
          <w:szCs w:val="26"/>
        </w:rPr>
        <w:t xml:space="preserve"> </w:t>
      </w:r>
      <w:r>
        <w:rPr>
          <w:rFonts w:ascii="Times New Roman" w:hAnsi="Times New Roman" w:cs="Times New Roman"/>
          <w:sz w:val="24"/>
          <w:szCs w:val="24"/>
        </w:rPr>
        <w:t>This</w:t>
      </w:r>
      <w:r w:rsidR="004B5F04">
        <w:rPr>
          <w:rFonts w:ascii="Times New Roman" w:hAnsi="Times New Roman" w:cs="Times New Roman"/>
          <w:sz w:val="24"/>
          <w:szCs w:val="24"/>
        </w:rPr>
        <w:t xml:space="preserve"> regional Reliability Standard </w:t>
      </w:r>
      <w:r w:rsidR="004B5F04" w:rsidRPr="004B5F04">
        <w:rPr>
          <w:rFonts w:ascii="Times New Roman" w:hAnsi="Times New Roman" w:cs="Times New Roman"/>
          <w:sz w:val="24"/>
          <w:szCs w:val="24"/>
        </w:rPr>
        <w:t>applies to generator owners, planning coordinators, distribution providers, and</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transmission owners in the Northeast Power Coordinating Council Region and is</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designed to ensure the development of an effective automatic underfrequency load</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shedding (UFLS) program to preserve the security and integrity of the Bulk-Power</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System during declining system frequency events in coordination with the NERC</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continent-wide UFLS Reliability Standard PRC-006-1</w:t>
      </w:r>
      <w:r w:rsidR="005F147C" w:rsidRPr="003C18B4">
        <w:rPr>
          <w:rFonts w:ascii="Times New Roman" w:hAnsi="Times New Roman" w:cs="Times New Roman"/>
          <w:sz w:val="24"/>
          <w:szCs w:val="24"/>
        </w:rPr>
        <w:t>.  The</w:t>
      </w:r>
      <w:r>
        <w:rPr>
          <w:rFonts w:ascii="Times New Roman" w:hAnsi="Times New Roman" w:cs="Times New Roman"/>
          <w:sz w:val="24"/>
          <w:szCs w:val="24"/>
        </w:rPr>
        <w:t xml:space="preserve"> Commission also</w:t>
      </w:r>
      <w:r w:rsidR="005F147C">
        <w:rPr>
          <w:rFonts w:ascii="Times New Roman" w:hAnsi="Times New Roman" w:cs="Times New Roman"/>
          <w:sz w:val="24"/>
          <w:szCs w:val="24"/>
        </w:rPr>
        <w:t xml:space="preserve"> approve</w:t>
      </w:r>
      <w:r>
        <w:rPr>
          <w:rFonts w:ascii="Times New Roman" w:hAnsi="Times New Roman" w:cs="Times New Roman"/>
          <w:sz w:val="24"/>
          <w:szCs w:val="24"/>
        </w:rPr>
        <w:t>s</w:t>
      </w:r>
      <w:r w:rsidR="005F147C">
        <w:rPr>
          <w:rFonts w:ascii="Times New Roman" w:hAnsi="Times New Roman" w:cs="Times New Roman"/>
          <w:sz w:val="24"/>
          <w:szCs w:val="24"/>
        </w:rPr>
        <w:t xml:space="preserve"> the related violation risk factors, violation severity levels, implementation plan, and effective date proposed by NERC.</w:t>
      </w:r>
    </w:p>
    <w:p w:rsidR="00A72E7B" w:rsidRDefault="00A72E7B" w:rsidP="00FD66F1">
      <w:pPr>
        <w:spacing w:after="0"/>
        <w:rPr>
          <w:rFonts w:ascii="Times New Roman" w:hAnsi="Times New Roman" w:cs="Times New Roman"/>
          <w:sz w:val="24"/>
          <w:szCs w:val="24"/>
        </w:rPr>
      </w:pPr>
    </w:p>
    <w:p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EB3E6F">
      <w:pPr>
        <w:spacing w:after="0"/>
        <w:rPr>
          <w:rFonts w:ascii="Times New Roman" w:hAnsi="Times New Roman" w:cs="Times New Roman"/>
          <w:sz w:val="24"/>
          <w:szCs w:val="24"/>
        </w:rPr>
      </w:pPr>
    </w:p>
    <w:p w:rsidR="00040FAB" w:rsidRPr="00040FAB" w:rsidRDefault="00040FAB" w:rsidP="00040FAB">
      <w:pPr>
        <w:spacing w:after="0"/>
        <w:rPr>
          <w:rFonts w:ascii="Times New Roman" w:hAnsi="Times New Roman" w:cs="Times New Roman"/>
          <w:sz w:val="24"/>
          <w:szCs w:val="24"/>
        </w:rPr>
      </w:pPr>
      <w:r w:rsidRPr="00040FAB">
        <w:rPr>
          <w:rFonts w:ascii="Times New Roman" w:hAnsi="Times New Roman" w:cs="Times New Roman"/>
          <w:sz w:val="24"/>
          <w:szCs w:val="24"/>
        </w:rPr>
        <w:t xml:space="preserve">Section 215 of the FPA requires a Commission-certified Electric Reliability Organization (ERO) to develop mandatory and enforceable Reliability Standards which are subject to Commission review and approval.  Once approved, </w:t>
      </w:r>
      <w:r w:rsidR="00912EE7">
        <w:rPr>
          <w:rFonts w:ascii="Times New Roman" w:hAnsi="Times New Roman" w:cs="Times New Roman"/>
          <w:sz w:val="24"/>
          <w:szCs w:val="24"/>
        </w:rPr>
        <w:t>NERC enforce</w:t>
      </w:r>
      <w:r w:rsidR="003D4C1A">
        <w:rPr>
          <w:rFonts w:ascii="Times New Roman" w:hAnsi="Times New Roman" w:cs="Times New Roman"/>
          <w:sz w:val="24"/>
          <w:szCs w:val="24"/>
        </w:rPr>
        <w:t>s</w:t>
      </w:r>
      <w:r w:rsidR="00912EE7">
        <w:rPr>
          <w:rFonts w:ascii="Times New Roman" w:hAnsi="Times New Roman" w:cs="Times New Roman"/>
          <w:sz w:val="24"/>
          <w:szCs w:val="24"/>
        </w:rPr>
        <w:t xml:space="preserve"> </w:t>
      </w:r>
      <w:r w:rsidRPr="00040FAB">
        <w:rPr>
          <w:rFonts w:ascii="Times New Roman" w:hAnsi="Times New Roman" w:cs="Times New Roman"/>
          <w:sz w:val="24"/>
          <w:szCs w:val="24"/>
        </w:rPr>
        <w:t>the Reliability Standards subject to Commission oversight.</w:t>
      </w:r>
      <w:r w:rsidRPr="00FC440E">
        <w:rPr>
          <w:rFonts w:ascii="Times New Roman" w:hAnsi="Times New Roman" w:cs="Times New Roman"/>
          <w:sz w:val="24"/>
          <w:szCs w:val="24"/>
          <w:vertAlign w:val="superscript"/>
        </w:rPr>
        <w:footnoteReference w:id="2"/>
      </w:r>
    </w:p>
    <w:p w:rsidR="00040FAB" w:rsidRPr="00040FAB" w:rsidRDefault="00040FAB" w:rsidP="00040FAB">
      <w:pPr>
        <w:spacing w:after="0"/>
        <w:rPr>
          <w:rFonts w:ascii="Times New Roman" w:hAnsi="Times New Roman" w:cs="Times New Roman"/>
          <w:sz w:val="24"/>
          <w:szCs w:val="24"/>
        </w:rPr>
      </w:pPr>
    </w:p>
    <w:p w:rsidR="00040FAB" w:rsidRPr="00040FAB" w:rsidRDefault="00040FAB" w:rsidP="00040FAB">
      <w:pPr>
        <w:spacing w:after="0"/>
        <w:rPr>
          <w:rFonts w:ascii="Times New Roman" w:hAnsi="Times New Roman" w:cs="Times New Roman"/>
          <w:sz w:val="24"/>
          <w:szCs w:val="24"/>
        </w:rPr>
      </w:pPr>
      <w:r w:rsidRPr="00040FAB">
        <w:rPr>
          <w:rFonts w:ascii="Times New Roman" w:hAnsi="Times New Roman" w:cs="Times New Roman"/>
          <w:sz w:val="24"/>
          <w:szCs w:val="24"/>
        </w:rPr>
        <w:lastRenderedPageBreak/>
        <w:t>Reliability Standards that NERC proposes to the Commission may include Reliability Standards that a Regional Entity</w:t>
      </w:r>
      <w:r w:rsidR="00912EE7">
        <w:rPr>
          <w:rFonts w:ascii="Times New Roman" w:hAnsi="Times New Roman" w:cs="Times New Roman"/>
          <w:sz w:val="24"/>
          <w:szCs w:val="24"/>
        </w:rPr>
        <w:t xml:space="preserve"> proposes</w:t>
      </w:r>
      <w:r w:rsidRPr="00040FAB">
        <w:rPr>
          <w:rFonts w:ascii="Times New Roman" w:hAnsi="Times New Roman" w:cs="Times New Roman"/>
          <w:sz w:val="24"/>
          <w:szCs w:val="24"/>
        </w:rPr>
        <w:t xml:space="preserve"> to be effective in that region.</w:t>
      </w:r>
      <w:r w:rsidRPr="00040FAB">
        <w:rPr>
          <w:rFonts w:ascii="Times New Roman" w:hAnsi="Times New Roman" w:cs="Times New Roman"/>
          <w:b/>
          <w:sz w:val="24"/>
          <w:szCs w:val="24"/>
          <w:vertAlign w:val="superscript"/>
        </w:rPr>
        <w:footnoteReference w:id="3"/>
      </w:r>
      <w:r w:rsidRPr="00040FAB">
        <w:rPr>
          <w:rFonts w:ascii="Times New Roman" w:hAnsi="Times New Roman" w:cs="Times New Roman"/>
          <w:sz w:val="24"/>
          <w:szCs w:val="24"/>
        </w:rPr>
        <w:t xml:space="preserve">  In Order No. 672, the Commission noted that:</w:t>
      </w:r>
    </w:p>
    <w:p w:rsidR="00040FAB" w:rsidRPr="00040FAB" w:rsidRDefault="00040FAB" w:rsidP="00040FAB">
      <w:pPr>
        <w:spacing w:after="0"/>
        <w:rPr>
          <w:rFonts w:ascii="Times New Roman" w:hAnsi="Times New Roman" w:cs="Times New Roman"/>
          <w:sz w:val="24"/>
          <w:szCs w:val="24"/>
        </w:rPr>
      </w:pPr>
    </w:p>
    <w:p w:rsidR="00040FAB" w:rsidRPr="00040FAB" w:rsidRDefault="00040FAB" w:rsidP="00720C35">
      <w:pPr>
        <w:spacing w:after="0"/>
        <w:ind w:left="720"/>
        <w:rPr>
          <w:rFonts w:ascii="Times New Roman" w:hAnsi="Times New Roman" w:cs="Times New Roman"/>
          <w:sz w:val="24"/>
          <w:szCs w:val="24"/>
        </w:rPr>
      </w:pPr>
      <w:r w:rsidRPr="00040FAB">
        <w:rPr>
          <w:rFonts w:ascii="Times New Roman" w:hAnsi="Times New Roman" w:cs="Times New Roman"/>
          <w:sz w:val="24"/>
          <w:szCs w:val="24"/>
        </w:rPr>
        <w:t>As a general matter, we will accept the following two types of regional differences, provided they are otherwise just, reasonable, not unduly discriminatory or preferential and in the public interest, as required under the statute:  (1) a regional difference that is more stringent than the continent-wide Reliability Standard, including a regional difference that addresses matters that the continent-wide Reliability Standard does not; and (2) a regional Reliability Standard that is necessitated by a physical difference in the Bulk-Power System.</w:t>
      </w:r>
    </w:p>
    <w:p w:rsidR="00040FAB" w:rsidRPr="00040FAB" w:rsidRDefault="00040FAB" w:rsidP="00040FAB">
      <w:pPr>
        <w:spacing w:after="0"/>
        <w:rPr>
          <w:rFonts w:ascii="Times New Roman" w:hAnsi="Times New Roman" w:cs="Times New Roman"/>
          <w:sz w:val="24"/>
          <w:szCs w:val="24"/>
        </w:rPr>
      </w:pPr>
    </w:p>
    <w:p w:rsidR="00040FAB" w:rsidRPr="00040FAB" w:rsidRDefault="00040FAB" w:rsidP="00040FAB">
      <w:pPr>
        <w:spacing w:after="0"/>
        <w:rPr>
          <w:rFonts w:ascii="Times New Roman" w:hAnsi="Times New Roman" w:cs="Times New Roman"/>
          <w:sz w:val="24"/>
          <w:szCs w:val="24"/>
        </w:rPr>
      </w:pPr>
      <w:r w:rsidRPr="00040FAB">
        <w:rPr>
          <w:rFonts w:ascii="Times New Roman" w:hAnsi="Times New Roman" w:cs="Times New Roman"/>
          <w:sz w:val="24"/>
          <w:szCs w:val="24"/>
        </w:rPr>
        <w:t>When NERC reviews a regional Reliability Standard that would be applicable on an interconnection-wide basis and that has been proposed by a Regional Entity organized on an interconnection-wide basis, NERC must presume that the regional Reliability Standard is just, reasonable, not unduly discriminatory or preferential, and in the public interest.</w:t>
      </w:r>
      <w:r w:rsidRPr="00040FAB">
        <w:rPr>
          <w:rFonts w:ascii="Times New Roman" w:hAnsi="Times New Roman" w:cs="Times New Roman"/>
          <w:b/>
          <w:sz w:val="24"/>
          <w:szCs w:val="24"/>
          <w:vertAlign w:val="superscript"/>
        </w:rPr>
        <w:footnoteReference w:id="4"/>
      </w:r>
      <w:r w:rsidRPr="00040FAB">
        <w:rPr>
          <w:rFonts w:ascii="Times New Roman" w:hAnsi="Times New Roman" w:cs="Times New Roman"/>
          <w:sz w:val="24"/>
          <w:szCs w:val="24"/>
        </w:rPr>
        <w:t xml:space="preserve">  In turn, the Commission must give due </w:t>
      </w:r>
      <w:r w:rsidR="00912EE7">
        <w:rPr>
          <w:rFonts w:ascii="Times New Roman" w:hAnsi="Times New Roman" w:cs="Times New Roman"/>
          <w:sz w:val="24"/>
          <w:szCs w:val="24"/>
        </w:rPr>
        <w:t>attention</w:t>
      </w:r>
      <w:r w:rsidRPr="00040FAB">
        <w:rPr>
          <w:rFonts w:ascii="Times New Roman" w:hAnsi="Times New Roman" w:cs="Times New Roman"/>
          <w:sz w:val="24"/>
          <w:szCs w:val="24"/>
        </w:rPr>
        <w:t xml:space="preserve"> to the technical expertise of NERC and of a Regional Entity organized on an interconnection-wide basis.</w:t>
      </w:r>
      <w:r w:rsidRPr="00040FAB">
        <w:rPr>
          <w:rFonts w:ascii="Times New Roman" w:hAnsi="Times New Roman" w:cs="Times New Roman"/>
          <w:b/>
          <w:sz w:val="24"/>
          <w:szCs w:val="24"/>
          <w:vertAlign w:val="superscript"/>
        </w:rPr>
        <w:footnoteReference w:id="5"/>
      </w:r>
    </w:p>
    <w:p w:rsidR="00040FAB" w:rsidRPr="00040FAB" w:rsidRDefault="00040FAB" w:rsidP="00040FAB">
      <w:pPr>
        <w:spacing w:after="0"/>
        <w:rPr>
          <w:rFonts w:ascii="Times New Roman" w:hAnsi="Times New Roman" w:cs="Times New Roman"/>
          <w:sz w:val="24"/>
          <w:szCs w:val="24"/>
        </w:rPr>
      </w:pPr>
    </w:p>
    <w:p w:rsidR="00264274" w:rsidRDefault="00040FAB" w:rsidP="00264274">
      <w:pPr>
        <w:spacing w:after="0"/>
        <w:rPr>
          <w:rFonts w:ascii="Times New Roman" w:hAnsi="Times New Roman" w:cs="Times New Roman"/>
          <w:sz w:val="24"/>
          <w:szCs w:val="24"/>
        </w:rPr>
      </w:pPr>
      <w:r w:rsidRPr="00040FAB">
        <w:rPr>
          <w:rFonts w:ascii="Times New Roman" w:hAnsi="Times New Roman" w:cs="Times New Roman"/>
          <w:sz w:val="24"/>
          <w:szCs w:val="24"/>
        </w:rPr>
        <w:t xml:space="preserve">On </w:t>
      </w:r>
      <w:r w:rsidR="00912EE7">
        <w:rPr>
          <w:rFonts w:ascii="Times New Roman" w:hAnsi="Times New Roman" w:cs="Times New Roman"/>
          <w:sz w:val="24"/>
          <w:szCs w:val="24"/>
        </w:rPr>
        <w:t>4/</w:t>
      </w:r>
      <w:r w:rsidRPr="00040FAB">
        <w:rPr>
          <w:rFonts w:ascii="Times New Roman" w:hAnsi="Times New Roman" w:cs="Times New Roman"/>
          <w:sz w:val="24"/>
          <w:szCs w:val="24"/>
        </w:rPr>
        <w:t>19</w:t>
      </w:r>
      <w:r w:rsidR="00912EE7">
        <w:rPr>
          <w:rFonts w:ascii="Times New Roman" w:hAnsi="Times New Roman" w:cs="Times New Roman"/>
          <w:sz w:val="24"/>
          <w:szCs w:val="24"/>
        </w:rPr>
        <w:t>/</w:t>
      </w:r>
      <w:r w:rsidRPr="00040FAB">
        <w:rPr>
          <w:rFonts w:ascii="Times New Roman" w:hAnsi="Times New Roman" w:cs="Times New Roman"/>
          <w:sz w:val="24"/>
          <w:szCs w:val="24"/>
        </w:rPr>
        <w:t>2007, the Commission accepted delegation agreements between NERC and each of the eight Regional Entities.</w:t>
      </w:r>
      <w:r w:rsidRPr="00040FAB">
        <w:rPr>
          <w:rFonts w:ascii="Times New Roman" w:hAnsi="Times New Roman" w:cs="Times New Roman"/>
          <w:b/>
          <w:sz w:val="24"/>
          <w:szCs w:val="24"/>
          <w:vertAlign w:val="superscript"/>
        </w:rPr>
        <w:footnoteReference w:id="6"/>
      </w:r>
      <w:r w:rsidRPr="00040FAB">
        <w:rPr>
          <w:rFonts w:ascii="Times New Roman" w:hAnsi="Times New Roman" w:cs="Times New Roman"/>
          <w:sz w:val="24"/>
          <w:szCs w:val="24"/>
        </w:rPr>
        <w:t xml:space="preserve">  In the or</w:t>
      </w:r>
      <w:r w:rsidR="000A1A83">
        <w:rPr>
          <w:rFonts w:ascii="Times New Roman" w:hAnsi="Times New Roman" w:cs="Times New Roman"/>
          <w:sz w:val="24"/>
          <w:szCs w:val="24"/>
        </w:rPr>
        <w:t xml:space="preserve">der, the Commission accepted </w:t>
      </w:r>
      <w:r w:rsidR="00DF1C1A">
        <w:rPr>
          <w:rFonts w:ascii="Times New Roman" w:hAnsi="Times New Roman" w:cs="Times New Roman"/>
          <w:sz w:val="24"/>
          <w:szCs w:val="24"/>
        </w:rPr>
        <w:t>Northeast Power Coordinating Council (</w:t>
      </w:r>
      <w:r w:rsidR="000A1A83">
        <w:rPr>
          <w:rFonts w:ascii="Times New Roman" w:hAnsi="Times New Roman" w:cs="Times New Roman"/>
          <w:sz w:val="24"/>
          <w:szCs w:val="24"/>
        </w:rPr>
        <w:t>NPC</w:t>
      </w:r>
      <w:r w:rsidRPr="00040FAB">
        <w:rPr>
          <w:rFonts w:ascii="Times New Roman" w:hAnsi="Times New Roman" w:cs="Times New Roman"/>
          <w:sz w:val="24"/>
          <w:szCs w:val="24"/>
        </w:rPr>
        <w:t>C</w:t>
      </w:r>
      <w:r w:rsidR="00DF1C1A">
        <w:rPr>
          <w:rFonts w:ascii="Times New Roman" w:hAnsi="Times New Roman" w:cs="Times New Roman"/>
          <w:sz w:val="24"/>
          <w:szCs w:val="24"/>
        </w:rPr>
        <w:t>)</w:t>
      </w:r>
      <w:r w:rsidRPr="00040FAB">
        <w:rPr>
          <w:rFonts w:ascii="Times New Roman" w:hAnsi="Times New Roman" w:cs="Times New Roman"/>
          <w:sz w:val="24"/>
          <w:szCs w:val="24"/>
        </w:rPr>
        <w:t xml:space="preserve"> as a Regional Entity organized on less than an interconnection-wide b</w:t>
      </w:r>
      <w:r w:rsidR="000A1A83">
        <w:rPr>
          <w:rFonts w:ascii="Times New Roman" w:hAnsi="Times New Roman" w:cs="Times New Roman"/>
          <w:sz w:val="24"/>
          <w:szCs w:val="24"/>
        </w:rPr>
        <w:t xml:space="preserve">asis.  </w:t>
      </w:r>
      <w:r w:rsidR="00264274" w:rsidRPr="00264274">
        <w:rPr>
          <w:rFonts w:ascii="Times New Roman" w:hAnsi="Times New Roman" w:cs="Times New Roman"/>
          <w:sz w:val="24"/>
          <w:szCs w:val="24"/>
        </w:rPr>
        <w:t>NPCC is not an “interconnection-wide” Region</w:t>
      </w:r>
      <w:r w:rsidR="00264274">
        <w:rPr>
          <w:rFonts w:ascii="Times New Roman" w:hAnsi="Times New Roman" w:cs="Times New Roman"/>
          <w:sz w:val="24"/>
          <w:szCs w:val="24"/>
        </w:rPr>
        <w:t xml:space="preserve">al Entity and </w:t>
      </w:r>
      <w:r w:rsidR="00912EE7">
        <w:rPr>
          <w:rFonts w:ascii="Times New Roman" w:hAnsi="Times New Roman" w:cs="Times New Roman"/>
          <w:sz w:val="24"/>
          <w:szCs w:val="24"/>
        </w:rPr>
        <w:t xml:space="preserve">the Commission intends </w:t>
      </w:r>
      <w:r w:rsidR="005A177D">
        <w:rPr>
          <w:rFonts w:ascii="Times New Roman" w:hAnsi="Times New Roman" w:cs="Times New Roman"/>
          <w:sz w:val="24"/>
          <w:szCs w:val="24"/>
        </w:rPr>
        <w:t xml:space="preserve">for </w:t>
      </w:r>
      <w:r w:rsidR="00264274">
        <w:rPr>
          <w:rFonts w:ascii="Times New Roman" w:hAnsi="Times New Roman" w:cs="Times New Roman"/>
          <w:sz w:val="24"/>
          <w:szCs w:val="24"/>
        </w:rPr>
        <w:t>its standards</w:t>
      </w:r>
      <w:r w:rsidR="005A177D">
        <w:rPr>
          <w:rFonts w:ascii="Times New Roman" w:hAnsi="Times New Roman" w:cs="Times New Roman"/>
          <w:sz w:val="24"/>
          <w:szCs w:val="24"/>
        </w:rPr>
        <w:t xml:space="preserve"> to</w:t>
      </w:r>
      <w:r w:rsidR="00264274">
        <w:rPr>
          <w:rFonts w:ascii="Times New Roman" w:hAnsi="Times New Roman" w:cs="Times New Roman"/>
          <w:sz w:val="24"/>
          <w:szCs w:val="24"/>
        </w:rPr>
        <w:t xml:space="preserve"> </w:t>
      </w:r>
      <w:r w:rsidR="00A73706">
        <w:rPr>
          <w:rFonts w:ascii="Times New Roman" w:hAnsi="Times New Roman" w:cs="Times New Roman"/>
          <w:sz w:val="24"/>
          <w:szCs w:val="24"/>
        </w:rPr>
        <w:t>apply</w:t>
      </w:r>
      <w:r w:rsidR="00264274" w:rsidRPr="00264274">
        <w:rPr>
          <w:rFonts w:ascii="Times New Roman" w:hAnsi="Times New Roman" w:cs="Times New Roman"/>
          <w:sz w:val="24"/>
          <w:szCs w:val="24"/>
        </w:rPr>
        <w:t xml:space="preserve"> only to that </w:t>
      </w:r>
      <w:r w:rsidR="00A73706">
        <w:rPr>
          <w:rFonts w:ascii="Times New Roman" w:hAnsi="Times New Roman" w:cs="Times New Roman"/>
          <w:sz w:val="24"/>
          <w:szCs w:val="24"/>
        </w:rPr>
        <w:t>part</w:t>
      </w:r>
      <w:r w:rsidR="00264274" w:rsidRPr="00264274">
        <w:rPr>
          <w:rFonts w:ascii="Times New Roman" w:hAnsi="Times New Roman" w:cs="Times New Roman"/>
          <w:sz w:val="24"/>
          <w:szCs w:val="24"/>
        </w:rPr>
        <w:t xml:space="preserve"> of the Eastern Interconnection within the NPCC</w:t>
      </w:r>
      <w:r w:rsidR="00264274">
        <w:rPr>
          <w:rFonts w:ascii="Times New Roman" w:hAnsi="Times New Roman" w:cs="Times New Roman"/>
          <w:sz w:val="24"/>
          <w:szCs w:val="24"/>
        </w:rPr>
        <w:t xml:space="preserve"> </w:t>
      </w:r>
      <w:r w:rsidR="00264274" w:rsidRPr="00264274">
        <w:rPr>
          <w:rFonts w:ascii="Times New Roman" w:hAnsi="Times New Roman" w:cs="Times New Roman"/>
          <w:sz w:val="24"/>
          <w:szCs w:val="24"/>
        </w:rPr>
        <w:t xml:space="preserve">geographical </w:t>
      </w:r>
      <w:r w:rsidR="00DE2C54" w:rsidRPr="00264274">
        <w:rPr>
          <w:rFonts w:ascii="Times New Roman" w:hAnsi="Times New Roman" w:cs="Times New Roman"/>
          <w:sz w:val="24"/>
          <w:szCs w:val="24"/>
        </w:rPr>
        <w:t>footprint</w:t>
      </w:r>
      <w:r w:rsidR="00A73706">
        <w:rPr>
          <w:rFonts w:ascii="Times New Roman" w:hAnsi="Times New Roman" w:cs="Times New Roman"/>
          <w:sz w:val="24"/>
          <w:szCs w:val="24"/>
        </w:rPr>
        <w:t xml:space="preserve"> and Quebec</w:t>
      </w:r>
      <w:r w:rsidR="00010D02">
        <w:rPr>
          <w:rFonts w:ascii="Times New Roman" w:hAnsi="Times New Roman" w:cs="Times New Roman"/>
          <w:sz w:val="24"/>
          <w:szCs w:val="24"/>
        </w:rPr>
        <w:t>.</w:t>
      </w:r>
    </w:p>
    <w:p w:rsidR="00264274" w:rsidRDefault="00264274" w:rsidP="00040FAB">
      <w:pPr>
        <w:spacing w:after="0"/>
        <w:rPr>
          <w:rFonts w:ascii="Times New Roman" w:hAnsi="Times New Roman" w:cs="Times New Roman"/>
          <w:sz w:val="24"/>
          <w:szCs w:val="24"/>
        </w:rPr>
      </w:pPr>
    </w:p>
    <w:p w:rsidR="00040FAB" w:rsidRDefault="000A1A83" w:rsidP="00040FAB">
      <w:pPr>
        <w:spacing w:after="0"/>
        <w:rPr>
          <w:rFonts w:ascii="Times New Roman" w:hAnsi="Times New Roman" w:cs="Times New Roman"/>
          <w:sz w:val="24"/>
          <w:szCs w:val="24"/>
        </w:rPr>
      </w:pPr>
      <w:r>
        <w:rPr>
          <w:rFonts w:ascii="Times New Roman" w:hAnsi="Times New Roman" w:cs="Times New Roman"/>
          <w:sz w:val="24"/>
          <w:szCs w:val="24"/>
        </w:rPr>
        <w:t xml:space="preserve">As a Regional Entity, </w:t>
      </w:r>
      <w:r w:rsidR="000E034D">
        <w:rPr>
          <w:rFonts w:ascii="Times New Roman" w:hAnsi="Times New Roman" w:cs="Times New Roman"/>
          <w:sz w:val="24"/>
          <w:szCs w:val="24"/>
        </w:rPr>
        <w:t xml:space="preserve">the </w:t>
      </w:r>
      <w:r w:rsidR="00D93BB5" w:rsidRPr="00D93BB5">
        <w:rPr>
          <w:rFonts w:ascii="Times New Roman" w:hAnsi="Times New Roman" w:cs="Times New Roman"/>
          <w:sz w:val="24"/>
          <w:szCs w:val="24"/>
        </w:rPr>
        <w:t xml:space="preserve">NPCC geographic region includes the </w:t>
      </w:r>
      <w:r w:rsidR="000E034D">
        <w:rPr>
          <w:rFonts w:ascii="Times New Roman" w:hAnsi="Times New Roman" w:cs="Times New Roman"/>
          <w:sz w:val="24"/>
          <w:szCs w:val="24"/>
        </w:rPr>
        <w:t>s</w:t>
      </w:r>
      <w:r w:rsidR="00D93BB5" w:rsidRPr="00D93BB5">
        <w:rPr>
          <w:rFonts w:ascii="Times New Roman" w:hAnsi="Times New Roman" w:cs="Times New Roman"/>
          <w:sz w:val="24"/>
          <w:szCs w:val="24"/>
        </w:rPr>
        <w:t>tate of New York</w:t>
      </w:r>
      <w:r w:rsidR="000E034D">
        <w:rPr>
          <w:rFonts w:ascii="Times New Roman" w:hAnsi="Times New Roman" w:cs="Times New Roman"/>
          <w:sz w:val="24"/>
          <w:szCs w:val="24"/>
        </w:rPr>
        <w:t>,</w:t>
      </w:r>
      <w:r w:rsidR="00D93BB5" w:rsidRPr="00D93BB5">
        <w:rPr>
          <w:rFonts w:ascii="Times New Roman" w:hAnsi="Times New Roman" w:cs="Times New Roman"/>
          <w:sz w:val="24"/>
          <w:szCs w:val="24"/>
        </w:rPr>
        <w:t xml:space="preserve"> the six New England states</w:t>
      </w:r>
      <w:r w:rsidR="000E034D">
        <w:rPr>
          <w:rFonts w:ascii="Times New Roman" w:hAnsi="Times New Roman" w:cs="Times New Roman"/>
          <w:sz w:val="24"/>
          <w:szCs w:val="24"/>
        </w:rPr>
        <w:t xml:space="preserve"> (i.e. Connecticut, Maine, Massachusetts, New Hampshire, Rhode Island, </w:t>
      </w:r>
      <w:r w:rsidR="00FC440E">
        <w:rPr>
          <w:rFonts w:ascii="Times New Roman" w:hAnsi="Times New Roman" w:cs="Times New Roman"/>
          <w:sz w:val="24"/>
          <w:szCs w:val="24"/>
        </w:rPr>
        <w:t>and Vermont</w:t>
      </w:r>
      <w:r w:rsidR="000E034D">
        <w:rPr>
          <w:rFonts w:ascii="Times New Roman" w:hAnsi="Times New Roman" w:cs="Times New Roman"/>
          <w:sz w:val="24"/>
          <w:szCs w:val="24"/>
        </w:rPr>
        <w:t>), some</w:t>
      </w:r>
      <w:r w:rsidR="00D93BB5" w:rsidRPr="00D93BB5">
        <w:rPr>
          <w:rFonts w:ascii="Times New Roman" w:hAnsi="Times New Roman" w:cs="Times New Roman"/>
          <w:sz w:val="24"/>
          <w:szCs w:val="24"/>
        </w:rPr>
        <w:t xml:space="preserve"> Canadian provinces</w:t>
      </w:r>
      <w:r w:rsidR="000E034D">
        <w:rPr>
          <w:rFonts w:ascii="Times New Roman" w:hAnsi="Times New Roman" w:cs="Times New Roman"/>
          <w:sz w:val="24"/>
          <w:szCs w:val="24"/>
        </w:rPr>
        <w:t xml:space="preserve"> (i.e. New Brunswick, Nova Scotia, Ontario, Quebec)</w:t>
      </w:r>
      <w:r w:rsidR="00D93BB5" w:rsidRPr="00D93BB5">
        <w:rPr>
          <w:rFonts w:ascii="Times New Roman" w:hAnsi="Times New Roman" w:cs="Times New Roman"/>
          <w:sz w:val="24"/>
          <w:szCs w:val="24"/>
        </w:rPr>
        <w:t xml:space="preserve">. Overall, NPCC covers an area of </w:t>
      </w:r>
      <w:r w:rsidR="000E034D">
        <w:rPr>
          <w:rFonts w:ascii="Times New Roman" w:hAnsi="Times New Roman" w:cs="Times New Roman"/>
          <w:sz w:val="24"/>
          <w:szCs w:val="24"/>
        </w:rPr>
        <w:t>approximately</w:t>
      </w:r>
      <w:r w:rsidR="00D93BB5" w:rsidRPr="00D93BB5">
        <w:rPr>
          <w:rFonts w:ascii="Times New Roman" w:hAnsi="Times New Roman" w:cs="Times New Roman"/>
          <w:sz w:val="24"/>
          <w:szCs w:val="24"/>
        </w:rPr>
        <w:t xml:space="preserve"> 1.2 million square miles</w:t>
      </w:r>
      <w:r w:rsidR="000E034D">
        <w:rPr>
          <w:rFonts w:ascii="Times New Roman" w:hAnsi="Times New Roman" w:cs="Times New Roman"/>
          <w:sz w:val="24"/>
          <w:szCs w:val="24"/>
        </w:rPr>
        <w:t xml:space="preserve"> and is</w:t>
      </w:r>
      <w:r w:rsidR="00D93BB5" w:rsidRPr="00D93BB5">
        <w:rPr>
          <w:rFonts w:ascii="Times New Roman" w:hAnsi="Times New Roman" w:cs="Times New Roman"/>
          <w:sz w:val="24"/>
          <w:szCs w:val="24"/>
        </w:rPr>
        <w:t xml:space="preserve"> populated by more than 55 million people.</w:t>
      </w:r>
      <w:r w:rsidR="00A73706">
        <w:rPr>
          <w:rFonts w:ascii="Times New Roman" w:hAnsi="Times New Roman" w:cs="Times New Roman"/>
          <w:sz w:val="24"/>
          <w:szCs w:val="24"/>
        </w:rPr>
        <w:t xml:space="preserve"> </w:t>
      </w:r>
      <w:r w:rsidR="00D93BB5" w:rsidRPr="00D93BB5">
        <w:rPr>
          <w:rFonts w:ascii="Times New Roman" w:hAnsi="Times New Roman" w:cs="Times New Roman"/>
          <w:sz w:val="24"/>
          <w:szCs w:val="24"/>
        </w:rPr>
        <w:t xml:space="preserve"> In total, from a net energy for load perspective, NPCC is approximately 45% U.S. and 55% Canadian.</w:t>
      </w:r>
      <w:r w:rsidR="00A73706">
        <w:rPr>
          <w:rFonts w:ascii="Times New Roman" w:hAnsi="Times New Roman" w:cs="Times New Roman"/>
          <w:sz w:val="24"/>
          <w:szCs w:val="24"/>
        </w:rPr>
        <w:t xml:space="preserve"> </w:t>
      </w:r>
      <w:r w:rsidR="00D93BB5" w:rsidRPr="00D93BB5">
        <w:rPr>
          <w:rFonts w:ascii="Times New Roman" w:hAnsi="Times New Roman" w:cs="Times New Roman"/>
          <w:sz w:val="24"/>
          <w:szCs w:val="24"/>
        </w:rPr>
        <w:t xml:space="preserve"> With regard to Canada, approximately 70% of Canadian net energy for l</w:t>
      </w:r>
      <w:r w:rsidR="00A73706">
        <w:rPr>
          <w:rFonts w:ascii="Times New Roman" w:hAnsi="Times New Roman" w:cs="Times New Roman"/>
          <w:sz w:val="24"/>
          <w:szCs w:val="24"/>
        </w:rPr>
        <w:t xml:space="preserve">oad is within the NPCC Region.  </w:t>
      </w:r>
      <w:r w:rsidR="006E3688">
        <w:rPr>
          <w:rFonts w:ascii="Times New Roman" w:hAnsi="Times New Roman" w:cs="Times New Roman"/>
          <w:sz w:val="24"/>
          <w:szCs w:val="24"/>
        </w:rPr>
        <w:t xml:space="preserve">The </w:t>
      </w:r>
      <w:r w:rsidR="006E3688" w:rsidRPr="006E3688">
        <w:rPr>
          <w:rFonts w:ascii="Times New Roman" w:hAnsi="Times New Roman" w:cs="Times New Roman"/>
          <w:sz w:val="24"/>
          <w:szCs w:val="24"/>
        </w:rPr>
        <w:t>NPCC’s regional entity division operates under a delegation agreement with the NERC.</w:t>
      </w:r>
      <w:r w:rsidR="006E3688">
        <w:rPr>
          <w:rFonts w:ascii="Times New Roman" w:hAnsi="Times New Roman" w:cs="Times New Roman"/>
          <w:sz w:val="24"/>
          <w:szCs w:val="24"/>
        </w:rPr>
        <w:t xml:space="preserve"> </w:t>
      </w:r>
      <w:r w:rsidR="006E3688" w:rsidRPr="006E3688">
        <w:rPr>
          <w:rFonts w:ascii="Times New Roman" w:hAnsi="Times New Roman" w:cs="Times New Roman"/>
          <w:sz w:val="24"/>
          <w:szCs w:val="24"/>
        </w:rPr>
        <w:t xml:space="preserve"> This agreement recognizes that NPCC meets the qualifications for delegation of certain roles, responsibilities</w:t>
      </w:r>
      <w:r w:rsidR="00E54916">
        <w:rPr>
          <w:rFonts w:ascii="Times New Roman" w:hAnsi="Times New Roman" w:cs="Times New Roman"/>
          <w:sz w:val="24"/>
          <w:szCs w:val="24"/>
        </w:rPr>
        <w:t>,</w:t>
      </w:r>
      <w:r w:rsidR="006E3688" w:rsidRPr="006E3688">
        <w:rPr>
          <w:rFonts w:ascii="Times New Roman" w:hAnsi="Times New Roman" w:cs="Times New Roman"/>
          <w:sz w:val="24"/>
          <w:szCs w:val="24"/>
        </w:rPr>
        <w:t xml:space="preserve"> and authorities of a cross-</w:t>
      </w:r>
      <w:r w:rsidR="006E3688" w:rsidRPr="006E3688">
        <w:rPr>
          <w:rFonts w:ascii="Times New Roman" w:hAnsi="Times New Roman" w:cs="Times New Roman"/>
          <w:sz w:val="24"/>
          <w:szCs w:val="24"/>
        </w:rPr>
        <w:lastRenderedPageBreak/>
        <w:t xml:space="preserve">border regional entity as defined by Section 215 of the Federal Power Act </w:t>
      </w:r>
      <w:r w:rsidR="00E54916">
        <w:rPr>
          <w:rFonts w:ascii="Times New Roman" w:hAnsi="Times New Roman" w:cs="Times New Roman"/>
          <w:sz w:val="24"/>
          <w:szCs w:val="24"/>
        </w:rPr>
        <w:t>within</w:t>
      </w:r>
      <w:r w:rsidR="006E3688" w:rsidRPr="006E3688">
        <w:rPr>
          <w:rFonts w:ascii="Times New Roman" w:hAnsi="Times New Roman" w:cs="Times New Roman"/>
          <w:sz w:val="24"/>
          <w:szCs w:val="24"/>
        </w:rPr>
        <w:t xml:space="preserve"> the U.S. and through</w:t>
      </w:r>
      <w:r w:rsidR="00E54916">
        <w:rPr>
          <w:rFonts w:ascii="Times New Roman" w:hAnsi="Times New Roman" w:cs="Times New Roman"/>
          <w:sz w:val="24"/>
          <w:szCs w:val="24"/>
        </w:rPr>
        <w:t>out</w:t>
      </w:r>
      <w:r w:rsidR="006E3688" w:rsidRPr="006E3688">
        <w:rPr>
          <w:rFonts w:ascii="Times New Roman" w:hAnsi="Times New Roman" w:cs="Times New Roman"/>
          <w:sz w:val="24"/>
          <w:szCs w:val="24"/>
        </w:rPr>
        <w:t xml:space="preserve"> Canadian provincial regulatory and/or governmental Memoranda of Understanding (MOUs) or Agreements.</w:t>
      </w:r>
    </w:p>
    <w:p w:rsidR="00DE2C54" w:rsidRPr="00040FAB" w:rsidRDefault="00DE2C54" w:rsidP="00040FAB">
      <w:pPr>
        <w:spacing w:after="0"/>
        <w:rPr>
          <w:rFonts w:ascii="Times New Roman" w:hAnsi="Times New Roman" w:cs="Times New Roman"/>
          <w:sz w:val="24"/>
          <w:szCs w:val="24"/>
        </w:rPr>
      </w:pPr>
    </w:p>
    <w:p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EB3E6F" w:rsidRDefault="00EB3E6F" w:rsidP="00EB3E6F">
      <w:pPr>
        <w:spacing w:after="0"/>
        <w:rPr>
          <w:rFonts w:ascii="Times New Roman" w:hAnsi="Times New Roman" w:cs="Times New Roman"/>
          <w:sz w:val="24"/>
          <w:szCs w:val="24"/>
        </w:rPr>
      </w:pPr>
    </w:p>
    <w:p w:rsidR="002273A2" w:rsidRPr="002273A2" w:rsidRDefault="002273A2" w:rsidP="002273A2">
      <w:pPr>
        <w:spacing w:after="0"/>
        <w:rPr>
          <w:rFonts w:ascii="Times New Roman" w:hAnsi="Times New Roman" w:cs="Times New Roman"/>
          <w:sz w:val="24"/>
          <w:szCs w:val="24"/>
        </w:rPr>
      </w:pPr>
      <w:r w:rsidRPr="002273A2">
        <w:rPr>
          <w:rFonts w:ascii="Times New Roman" w:hAnsi="Times New Roman" w:cs="Times New Roman"/>
          <w:sz w:val="24"/>
          <w:szCs w:val="24"/>
        </w:rPr>
        <w:t xml:space="preserve">Prior to the enactment of </w:t>
      </w:r>
      <w:r w:rsidR="00E54916">
        <w:rPr>
          <w:rFonts w:ascii="Times New Roman" w:hAnsi="Times New Roman" w:cs="Times New Roman"/>
          <w:sz w:val="24"/>
          <w:szCs w:val="24"/>
        </w:rPr>
        <w:t>S</w:t>
      </w:r>
      <w:r w:rsidRPr="002273A2">
        <w:rPr>
          <w:rFonts w:ascii="Times New Roman" w:hAnsi="Times New Roman" w:cs="Times New Roman"/>
          <w:sz w:val="24"/>
          <w:szCs w:val="24"/>
        </w:rPr>
        <w:t xml:space="preserve">ection 215 of the Federal Power Act, FERC acted as an economic regulator of the wholesale power markets and the interstate transmission grid.  In this regard, the Commission acted to promote </w:t>
      </w:r>
      <w:r w:rsidR="00E54916">
        <w:rPr>
          <w:rFonts w:ascii="Times New Roman" w:hAnsi="Times New Roman" w:cs="Times New Roman"/>
          <w:sz w:val="24"/>
          <w:szCs w:val="24"/>
        </w:rPr>
        <w:t>greater reliability</w:t>
      </w:r>
      <w:r w:rsidRPr="002273A2">
        <w:rPr>
          <w:rFonts w:ascii="Times New Roman" w:hAnsi="Times New Roman" w:cs="Times New Roman"/>
          <w:sz w:val="24"/>
          <w:szCs w:val="24"/>
        </w:rPr>
        <w:t xml:space="preserve"> </w:t>
      </w:r>
      <w:r w:rsidR="00E54916">
        <w:rPr>
          <w:rFonts w:ascii="Times New Roman" w:hAnsi="Times New Roman" w:cs="Times New Roman"/>
          <w:sz w:val="24"/>
          <w:szCs w:val="24"/>
        </w:rPr>
        <w:t>within the</w:t>
      </w:r>
      <w:r w:rsidR="00E54916" w:rsidRPr="002273A2">
        <w:rPr>
          <w:rFonts w:ascii="Times New Roman" w:hAnsi="Times New Roman" w:cs="Times New Roman"/>
          <w:sz w:val="24"/>
          <w:szCs w:val="24"/>
        </w:rPr>
        <w:t xml:space="preserve"> </w:t>
      </w:r>
      <w:r w:rsidRPr="002273A2">
        <w:rPr>
          <w:rFonts w:ascii="Times New Roman" w:hAnsi="Times New Roman" w:cs="Times New Roman"/>
          <w:sz w:val="24"/>
          <w:szCs w:val="24"/>
        </w:rPr>
        <w:t xml:space="preserve">electric system by promoting regional coordination and planning of the interstate grid through regional independent system operators (ISOs) and regional transmission organizations (RTOs). </w:t>
      </w:r>
    </w:p>
    <w:p w:rsidR="002273A2" w:rsidRPr="002273A2" w:rsidRDefault="002273A2" w:rsidP="002273A2">
      <w:pPr>
        <w:spacing w:after="0"/>
        <w:rPr>
          <w:rFonts w:ascii="Times New Roman" w:hAnsi="Times New Roman" w:cs="Times New Roman"/>
          <w:sz w:val="24"/>
          <w:szCs w:val="24"/>
        </w:rPr>
      </w:pPr>
    </w:p>
    <w:p w:rsidR="002273A2" w:rsidRDefault="002273A2" w:rsidP="002273A2">
      <w:pPr>
        <w:spacing w:after="0"/>
        <w:rPr>
          <w:rFonts w:ascii="Times New Roman" w:hAnsi="Times New Roman" w:cs="Times New Roman"/>
          <w:sz w:val="24"/>
          <w:szCs w:val="24"/>
        </w:rPr>
      </w:pPr>
      <w:r w:rsidRPr="002273A2">
        <w:rPr>
          <w:rFonts w:ascii="Times New Roman" w:hAnsi="Times New Roman" w:cs="Times New Roman"/>
          <w:sz w:val="24"/>
          <w:szCs w:val="24"/>
        </w:rPr>
        <w:t>The passage of the Energy Policy Act of 2005</w:t>
      </w:r>
      <w:r w:rsidR="00431B81">
        <w:rPr>
          <w:rFonts w:ascii="Times New Roman" w:hAnsi="Times New Roman" w:cs="Times New Roman"/>
          <w:sz w:val="24"/>
          <w:szCs w:val="24"/>
        </w:rPr>
        <w:t xml:space="preserve"> (EPAct 2005)</w:t>
      </w:r>
      <w:r w:rsidRPr="002273A2">
        <w:rPr>
          <w:rFonts w:ascii="Times New Roman" w:hAnsi="Times New Roman" w:cs="Times New Roman"/>
          <w:sz w:val="24"/>
          <w:szCs w:val="24"/>
        </w:rPr>
        <w:t xml:space="preserve"> added to the Commission’s efforts by giving it the authority to strengthen the reliability of the interstate electric transmission grid through </w:t>
      </w:r>
      <w:r w:rsidR="00431B81">
        <w:rPr>
          <w:rFonts w:ascii="Times New Roman" w:hAnsi="Times New Roman" w:cs="Times New Roman"/>
          <w:sz w:val="24"/>
          <w:szCs w:val="24"/>
        </w:rPr>
        <w:t xml:space="preserve">new </w:t>
      </w:r>
      <w:r w:rsidR="007F0B0B">
        <w:rPr>
          <w:rFonts w:ascii="Times New Roman" w:hAnsi="Times New Roman" w:cs="Times New Roman"/>
          <w:sz w:val="24"/>
          <w:szCs w:val="24"/>
        </w:rPr>
        <w:t>authority pursuant to S</w:t>
      </w:r>
      <w:r w:rsidRPr="002273A2">
        <w:rPr>
          <w:rFonts w:ascii="Times New Roman" w:hAnsi="Times New Roman" w:cs="Times New Roman"/>
          <w:sz w:val="24"/>
          <w:szCs w:val="24"/>
        </w:rPr>
        <w:t>ection 215 of the Federal Power Act</w:t>
      </w:r>
      <w:r w:rsidR="00431B81">
        <w:rPr>
          <w:rFonts w:ascii="Times New Roman" w:hAnsi="Times New Roman" w:cs="Times New Roman"/>
          <w:sz w:val="24"/>
          <w:szCs w:val="24"/>
        </w:rPr>
        <w:t xml:space="preserve">.  EPAct 2005 also </w:t>
      </w:r>
      <w:r w:rsidRPr="002273A2">
        <w:rPr>
          <w:rFonts w:ascii="Times New Roman" w:hAnsi="Times New Roman" w:cs="Times New Roman"/>
          <w:sz w:val="24"/>
          <w:szCs w:val="24"/>
        </w:rPr>
        <w:t>provides for a system of mandatory Reliability Standards developed by the ERO, established by FERC, and enforced by the ERO and Regional Entities.</w:t>
      </w:r>
      <w:r w:rsidR="00431B81">
        <w:rPr>
          <w:rFonts w:ascii="Times New Roman" w:hAnsi="Times New Roman" w:cs="Times New Roman"/>
          <w:sz w:val="24"/>
          <w:szCs w:val="24"/>
        </w:rPr>
        <w:t xml:space="preserve">  The</w:t>
      </w:r>
      <w:r w:rsidRPr="002273A2">
        <w:rPr>
          <w:rFonts w:ascii="Times New Roman" w:hAnsi="Times New Roman" w:cs="Times New Roman"/>
          <w:sz w:val="24"/>
          <w:szCs w:val="24"/>
        </w:rPr>
        <w:t xml:space="preserve"> Commission created the Office of Electric Reliability (OER) in 2007</w:t>
      </w:r>
      <w:r w:rsidR="00431B81" w:rsidRPr="00431B81">
        <w:rPr>
          <w:rFonts w:ascii="Times New Roman" w:hAnsi="Times New Roman" w:cs="Times New Roman"/>
          <w:sz w:val="24"/>
          <w:szCs w:val="24"/>
        </w:rPr>
        <w:t xml:space="preserve"> </w:t>
      </w:r>
      <w:r w:rsidR="00431B81">
        <w:rPr>
          <w:rFonts w:ascii="Times New Roman" w:hAnsi="Times New Roman" w:cs="Times New Roman"/>
          <w:sz w:val="24"/>
          <w:szCs w:val="24"/>
        </w:rPr>
        <w:t>a</w:t>
      </w:r>
      <w:r w:rsidR="00431B81" w:rsidRPr="002273A2">
        <w:rPr>
          <w:rFonts w:ascii="Times New Roman" w:hAnsi="Times New Roman" w:cs="Times New Roman"/>
          <w:sz w:val="24"/>
          <w:szCs w:val="24"/>
        </w:rPr>
        <w:t>s part of FERC’s efforts to promote electric transmission grid reliability</w:t>
      </w:r>
      <w:r w:rsidR="00841767">
        <w:rPr>
          <w:rFonts w:ascii="Times New Roman" w:hAnsi="Times New Roman" w:cs="Times New Roman"/>
          <w:sz w:val="24"/>
          <w:szCs w:val="24"/>
        </w:rPr>
        <w:t xml:space="preserve">.  </w:t>
      </w:r>
      <w:r w:rsidR="00D00740">
        <w:rPr>
          <w:rFonts w:ascii="Times New Roman" w:hAnsi="Times New Roman" w:cs="Times New Roman"/>
          <w:sz w:val="24"/>
          <w:szCs w:val="24"/>
        </w:rPr>
        <w:t xml:space="preserve">OER oversees the development and review of mandatory Reliability Standards.  OER also oversees compliance with the approved mandatory standards by users, owners, and operators of the Bulk-Power System.  </w:t>
      </w:r>
      <w:r w:rsidRPr="002273A2">
        <w:rPr>
          <w:rFonts w:ascii="Times New Roman" w:hAnsi="Times New Roman" w:cs="Times New Roman"/>
          <w:sz w:val="24"/>
          <w:szCs w:val="24"/>
        </w:rPr>
        <w:t xml:space="preserve">OER also oversees </w:t>
      </w:r>
      <w:r w:rsidR="00952276">
        <w:rPr>
          <w:rFonts w:ascii="Times New Roman" w:hAnsi="Times New Roman" w:cs="Times New Roman"/>
          <w:sz w:val="24"/>
          <w:szCs w:val="24"/>
        </w:rPr>
        <w:t xml:space="preserve">the ERO’s enforcement of </w:t>
      </w:r>
      <w:r w:rsidRPr="002273A2">
        <w:rPr>
          <w:rFonts w:ascii="Times New Roman" w:hAnsi="Times New Roman" w:cs="Times New Roman"/>
          <w:sz w:val="24"/>
          <w:szCs w:val="24"/>
        </w:rPr>
        <w:t>compliance with the approved mandatory standards by users, owners, and operators of the Bulk-Power System</w:t>
      </w:r>
      <w:r w:rsidR="00431B81">
        <w:rPr>
          <w:rFonts w:ascii="Times New Roman" w:hAnsi="Times New Roman" w:cs="Times New Roman"/>
          <w:sz w:val="24"/>
          <w:szCs w:val="24"/>
        </w:rPr>
        <w:t>.  OER also</w:t>
      </w:r>
      <w:r w:rsidRPr="002273A2">
        <w:rPr>
          <w:rFonts w:ascii="Times New Roman" w:hAnsi="Times New Roman" w:cs="Times New Roman"/>
          <w:sz w:val="24"/>
          <w:szCs w:val="24"/>
        </w:rPr>
        <w:t xml:space="preserve"> maintains a situational awareness monitoring tool to provide wide area visibility of the Bulk-Power System.</w:t>
      </w:r>
    </w:p>
    <w:p w:rsidR="00CC1FA0" w:rsidRDefault="00CC1FA0" w:rsidP="002273A2">
      <w:pPr>
        <w:spacing w:after="0"/>
        <w:rPr>
          <w:rFonts w:ascii="Times New Roman" w:hAnsi="Times New Roman" w:cs="Times New Roman"/>
          <w:sz w:val="24"/>
          <w:szCs w:val="24"/>
        </w:rPr>
      </w:pPr>
    </w:p>
    <w:p w:rsidR="002273A2" w:rsidRDefault="00CC1FA0" w:rsidP="00D55634">
      <w:pPr>
        <w:spacing w:after="0"/>
        <w:rPr>
          <w:rFonts w:ascii="Times New Roman" w:hAnsi="Times New Roman" w:cs="Times New Roman"/>
          <w:sz w:val="24"/>
          <w:szCs w:val="24"/>
        </w:rPr>
      </w:pPr>
      <w:r w:rsidRPr="00CC1FA0">
        <w:rPr>
          <w:rFonts w:ascii="Times New Roman" w:hAnsi="Times New Roman" w:cs="Times New Roman"/>
          <w:sz w:val="24"/>
          <w:szCs w:val="24"/>
        </w:rPr>
        <w:t>NERC states that</w:t>
      </w:r>
      <w:r w:rsidR="00377709">
        <w:rPr>
          <w:rFonts w:ascii="Times New Roman" w:hAnsi="Times New Roman" w:cs="Times New Roman"/>
          <w:sz w:val="24"/>
          <w:szCs w:val="24"/>
        </w:rPr>
        <w:t xml:space="preserve"> it designed</w:t>
      </w:r>
      <w:r w:rsidRPr="00CC1FA0">
        <w:rPr>
          <w:rFonts w:ascii="Times New Roman" w:hAnsi="Times New Roman" w:cs="Times New Roman"/>
          <w:sz w:val="24"/>
          <w:szCs w:val="24"/>
        </w:rPr>
        <w:t xml:space="preserve"> the regional Reliability Standard to</w:t>
      </w:r>
      <w:r>
        <w:rPr>
          <w:rFonts w:ascii="Times New Roman" w:hAnsi="Times New Roman" w:cs="Times New Roman"/>
          <w:sz w:val="24"/>
          <w:szCs w:val="24"/>
        </w:rPr>
        <w:t xml:space="preserve"> </w:t>
      </w:r>
      <w:r w:rsidRPr="00CC1FA0">
        <w:rPr>
          <w:rFonts w:ascii="Times New Roman" w:hAnsi="Times New Roman" w:cs="Times New Roman"/>
          <w:sz w:val="24"/>
          <w:szCs w:val="24"/>
        </w:rPr>
        <w:t>work in conjunction with and</w:t>
      </w:r>
      <w:r w:rsidR="00377709">
        <w:rPr>
          <w:rFonts w:ascii="Times New Roman" w:hAnsi="Times New Roman" w:cs="Times New Roman"/>
          <w:sz w:val="24"/>
          <w:szCs w:val="24"/>
        </w:rPr>
        <w:t xml:space="preserve"> to</w:t>
      </w:r>
      <w:r w:rsidRPr="00CC1FA0">
        <w:rPr>
          <w:rFonts w:ascii="Times New Roman" w:hAnsi="Times New Roman" w:cs="Times New Roman"/>
          <w:sz w:val="24"/>
          <w:szCs w:val="24"/>
        </w:rPr>
        <w:t xml:space="preserve"> augment </w:t>
      </w:r>
      <w:r w:rsidR="003E45B6">
        <w:rPr>
          <w:rFonts w:ascii="Times New Roman" w:hAnsi="Times New Roman" w:cs="Times New Roman"/>
          <w:sz w:val="24"/>
          <w:szCs w:val="24"/>
        </w:rPr>
        <w:t xml:space="preserve">NERC’s Commission-approved </w:t>
      </w:r>
      <w:r w:rsidRPr="00CC1FA0">
        <w:rPr>
          <w:rFonts w:ascii="Times New Roman" w:hAnsi="Times New Roman" w:cs="Times New Roman"/>
          <w:sz w:val="24"/>
          <w:szCs w:val="24"/>
        </w:rPr>
        <w:t>Reliability Standard PRC-006-1</w:t>
      </w:r>
      <w:r w:rsidR="001C710B" w:rsidRPr="00DE2C54">
        <w:rPr>
          <w:rStyle w:val="FootnoteReference"/>
          <w:rFonts w:ascii="Times New Roman" w:hAnsi="Times New Roman" w:cs="Times New Roman"/>
          <w:sz w:val="24"/>
          <w:szCs w:val="24"/>
          <w:vertAlign w:val="superscript"/>
        </w:rPr>
        <w:footnoteReference w:id="7"/>
      </w:r>
      <w:r w:rsidRPr="00CC1FA0">
        <w:rPr>
          <w:rFonts w:ascii="Times New Roman" w:hAnsi="Times New Roman" w:cs="Times New Roman"/>
          <w:sz w:val="24"/>
          <w:szCs w:val="24"/>
        </w:rPr>
        <w:t xml:space="preserve"> by mitigating the</w:t>
      </w:r>
      <w:r>
        <w:rPr>
          <w:rFonts w:ascii="Times New Roman" w:hAnsi="Times New Roman" w:cs="Times New Roman"/>
          <w:sz w:val="24"/>
          <w:szCs w:val="24"/>
        </w:rPr>
        <w:t xml:space="preserve"> </w:t>
      </w:r>
      <w:r w:rsidRPr="00CC1FA0">
        <w:rPr>
          <w:rFonts w:ascii="Times New Roman" w:hAnsi="Times New Roman" w:cs="Times New Roman"/>
          <w:sz w:val="24"/>
          <w:szCs w:val="24"/>
        </w:rPr>
        <w:t>consequences of an underfrequency event while accommodating differences in system</w:t>
      </w:r>
      <w:r>
        <w:rPr>
          <w:rFonts w:ascii="Times New Roman" w:hAnsi="Times New Roman" w:cs="Times New Roman"/>
          <w:sz w:val="24"/>
          <w:szCs w:val="24"/>
        </w:rPr>
        <w:t xml:space="preserve"> </w:t>
      </w:r>
      <w:r w:rsidRPr="00CC1FA0">
        <w:rPr>
          <w:rFonts w:ascii="Times New Roman" w:hAnsi="Times New Roman" w:cs="Times New Roman"/>
          <w:sz w:val="24"/>
          <w:szCs w:val="24"/>
        </w:rPr>
        <w:t>transmission and distribution topology among NPCC planning coordinators due to</w:t>
      </w:r>
      <w:r w:rsidR="00D64C43">
        <w:rPr>
          <w:rFonts w:ascii="Times New Roman" w:hAnsi="Times New Roman" w:cs="Times New Roman"/>
          <w:sz w:val="24"/>
          <w:szCs w:val="24"/>
        </w:rPr>
        <w:t xml:space="preserve"> </w:t>
      </w:r>
      <w:r w:rsidR="00D64C43" w:rsidRPr="00D64C43">
        <w:rPr>
          <w:rFonts w:ascii="Times New Roman" w:hAnsi="Times New Roman" w:cs="Times New Roman"/>
          <w:sz w:val="24"/>
          <w:szCs w:val="24"/>
        </w:rPr>
        <w:t>historical design criteria, makeup of load demands, and generation resources</w:t>
      </w:r>
      <w:r w:rsidR="00D64C43">
        <w:rPr>
          <w:rFonts w:ascii="Times New Roman" w:hAnsi="Times New Roman" w:cs="Times New Roman"/>
          <w:sz w:val="24"/>
          <w:szCs w:val="24"/>
        </w:rPr>
        <w:t>.</w:t>
      </w:r>
      <w:r w:rsidR="00D64C43" w:rsidRPr="00377709">
        <w:rPr>
          <w:rStyle w:val="FootnoteReference"/>
          <w:rFonts w:ascii="Times New Roman" w:hAnsi="Times New Roman" w:cs="Times New Roman"/>
          <w:sz w:val="24"/>
          <w:szCs w:val="24"/>
          <w:vertAlign w:val="superscript"/>
        </w:rPr>
        <w:footnoteReference w:id="8"/>
      </w:r>
      <w:r w:rsidR="008B136F">
        <w:rPr>
          <w:rFonts w:ascii="Times New Roman" w:hAnsi="Times New Roman" w:cs="Times New Roman"/>
          <w:sz w:val="24"/>
          <w:szCs w:val="24"/>
        </w:rPr>
        <w:t xml:space="preserve">  NERC </w:t>
      </w:r>
      <w:r w:rsidR="008B136F" w:rsidRPr="008B136F">
        <w:rPr>
          <w:rFonts w:ascii="Times New Roman" w:hAnsi="Times New Roman" w:cs="Times New Roman"/>
          <w:sz w:val="24"/>
          <w:szCs w:val="24"/>
        </w:rPr>
        <w:t>further state</w:t>
      </w:r>
      <w:r w:rsidR="003E45B6">
        <w:rPr>
          <w:rFonts w:ascii="Times New Roman" w:hAnsi="Times New Roman" w:cs="Times New Roman"/>
          <w:sz w:val="24"/>
          <w:szCs w:val="24"/>
        </w:rPr>
        <w:t>d</w:t>
      </w:r>
      <w:r w:rsidR="008B136F" w:rsidRPr="008B136F">
        <w:rPr>
          <w:rFonts w:ascii="Times New Roman" w:hAnsi="Times New Roman" w:cs="Times New Roman"/>
          <w:sz w:val="24"/>
          <w:szCs w:val="24"/>
        </w:rPr>
        <w:t xml:space="preserve"> that the regional Reliability Standard also facilitates uniformity,</w:t>
      </w:r>
      <w:r w:rsidR="008B136F">
        <w:rPr>
          <w:rFonts w:ascii="Times New Roman" w:hAnsi="Times New Roman" w:cs="Times New Roman"/>
          <w:sz w:val="24"/>
          <w:szCs w:val="24"/>
        </w:rPr>
        <w:t xml:space="preserve"> </w:t>
      </w:r>
      <w:r w:rsidR="008B136F" w:rsidRPr="008B136F">
        <w:rPr>
          <w:rFonts w:ascii="Times New Roman" w:hAnsi="Times New Roman" w:cs="Times New Roman"/>
          <w:sz w:val="24"/>
          <w:szCs w:val="24"/>
        </w:rPr>
        <w:t>compliance, and clearly delineates applicable entities’ requirements within</w:t>
      </w:r>
      <w:r w:rsidR="008B136F">
        <w:rPr>
          <w:rFonts w:ascii="Times New Roman" w:hAnsi="Times New Roman" w:cs="Times New Roman"/>
          <w:sz w:val="24"/>
          <w:szCs w:val="24"/>
        </w:rPr>
        <w:t xml:space="preserve"> </w:t>
      </w:r>
      <w:r w:rsidR="008B136F" w:rsidRPr="008B136F">
        <w:rPr>
          <w:rFonts w:ascii="Times New Roman" w:hAnsi="Times New Roman" w:cs="Times New Roman"/>
          <w:sz w:val="24"/>
          <w:szCs w:val="24"/>
        </w:rPr>
        <w:t>the NPCC Region to achieve a robust, reliable</w:t>
      </w:r>
      <w:r w:rsidR="00BD78A5">
        <w:rPr>
          <w:rFonts w:ascii="Times New Roman" w:hAnsi="Times New Roman" w:cs="Times New Roman"/>
          <w:sz w:val="24"/>
          <w:szCs w:val="24"/>
        </w:rPr>
        <w:t>,</w:t>
      </w:r>
      <w:r w:rsidR="008B136F" w:rsidRPr="008B136F">
        <w:rPr>
          <w:rFonts w:ascii="Times New Roman" w:hAnsi="Times New Roman" w:cs="Times New Roman"/>
          <w:sz w:val="24"/>
          <w:szCs w:val="24"/>
        </w:rPr>
        <w:t xml:space="preserve"> and effective UFLS program</w:t>
      </w:r>
      <w:r w:rsidR="008B136F">
        <w:rPr>
          <w:rFonts w:ascii="Times New Roman" w:hAnsi="Times New Roman" w:cs="Times New Roman"/>
          <w:sz w:val="24"/>
          <w:szCs w:val="24"/>
        </w:rPr>
        <w:t>.</w:t>
      </w:r>
      <w:r w:rsidR="008B136F" w:rsidRPr="00377709">
        <w:rPr>
          <w:rStyle w:val="FootnoteReference"/>
          <w:rFonts w:ascii="Times New Roman" w:hAnsi="Times New Roman" w:cs="Times New Roman"/>
          <w:sz w:val="24"/>
          <w:szCs w:val="24"/>
          <w:vertAlign w:val="superscript"/>
        </w:rPr>
        <w:footnoteReference w:id="9"/>
      </w:r>
      <w:r w:rsidR="00D55634">
        <w:rPr>
          <w:rFonts w:ascii="Times New Roman" w:hAnsi="Times New Roman" w:cs="Times New Roman"/>
          <w:sz w:val="24"/>
          <w:szCs w:val="24"/>
        </w:rPr>
        <w:t xml:space="preserve">  </w:t>
      </w:r>
      <w:r w:rsidR="008140D5">
        <w:rPr>
          <w:rFonts w:ascii="Times New Roman" w:hAnsi="Times New Roman" w:cs="Times New Roman"/>
          <w:sz w:val="24"/>
          <w:szCs w:val="24"/>
        </w:rPr>
        <w:t xml:space="preserve">The </w:t>
      </w:r>
      <w:r w:rsidR="00D55634" w:rsidRPr="00D55634">
        <w:rPr>
          <w:rFonts w:ascii="Times New Roman" w:hAnsi="Times New Roman" w:cs="Times New Roman"/>
          <w:sz w:val="24"/>
          <w:szCs w:val="24"/>
        </w:rPr>
        <w:t>regional Reliability Standard will achieve a coordinated</w:t>
      </w:r>
      <w:r w:rsidR="00BD78A5">
        <w:rPr>
          <w:rFonts w:ascii="Times New Roman" w:hAnsi="Times New Roman" w:cs="Times New Roman"/>
          <w:sz w:val="24"/>
          <w:szCs w:val="24"/>
        </w:rPr>
        <w:t xml:space="preserve"> and</w:t>
      </w:r>
      <w:r w:rsidR="00D55634">
        <w:rPr>
          <w:rFonts w:ascii="Times New Roman" w:hAnsi="Times New Roman" w:cs="Times New Roman"/>
          <w:sz w:val="24"/>
          <w:szCs w:val="24"/>
        </w:rPr>
        <w:t xml:space="preserve"> </w:t>
      </w:r>
      <w:r w:rsidR="00D55634" w:rsidRPr="00D55634">
        <w:rPr>
          <w:rFonts w:ascii="Times New Roman" w:hAnsi="Times New Roman" w:cs="Times New Roman"/>
          <w:sz w:val="24"/>
          <w:szCs w:val="24"/>
        </w:rPr>
        <w:t>comprehensive UFLS region-wide consistent program within the NPCC Region</w:t>
      </w:r>
      <w:r w:rsidR="00BD78A5">
        <w:rPr>
          <w:rFonts w:ascii="Times New Roman" w:hAnsi="Times New Roman" w:cs="Times New Roman"/>
          <w:sz w:val="24"/>
          <w:szCs w:val="24"/>
        </w:rPr>
        <w:t xml:space="preserve">.  The Reliability </w:t>
      </w:r>
      <w:r w:rsidR="00BD78A5">
        <w:rPr>
          <w:rFonts w:ascii="Times New Roman" w:hAnsi="Times New Roman" w:cs="Times New Roman"/>
          <w:sz w:val="24"/>
          <w:szCs w:val="24"/>
        </w:rPr>
        <w:lastRenderedPageBreak/>
        <w:t xml:space="preserve">Standard also </w:t>
      </w:r>
      <w:r w:rsidR="00D55634" w:rsidRPr="00D55634">
        <w:rPr>
          <w:rFonts w:ascii="Times New Roman" w:hAnsi="Times New Roman" w:cs="Times New Roman"/>
          <w:sz w:val="24"/>
          <w:szCs w:val="24"/>
        </w:rPr>
        <w:t>provides the regional requirements necessary to achieve and</w:t>
      </w:r>
      <w:r w:rsidR="00BD78A5">
        <w:rPr>
          <w:rFonts w:ascii="Times New Roman" w:hAnsi="Times New Roman" w:cs="Times New Roman"/>
          <w:sz w:val="24"/>
          <w:szCs w:val="24"/>
        </w:rPr>
        <w:t xml:space="preserve"> to</w:t>
      </w:r>
      <w:r w:rsidR="00D55634" w:rsidRPr="00D55634">
        <w:rPr>
          <w:rFonts w:ascii="Times New Roman" w:hAnsi="Times New Roman" w:cs="Times New Roman"/>
          <w:sz w:val="24"/>
          <w:szCs w:val="24"/>
        </w:rPr>
        <w:t xml:space="preserve"> facilitate the broader</w:t>
      </w:r>
      <w:r w:rsidR="00D55634">
        <w:rPr>
          <w:rFonts w:ascii="Times New Roman" w:hAnsi="Times New Roman" w:cs="Times New Roman"/>
          <w:sz w:val="24"/>
          <w:szCs w:val="24"/>
        </w:rPr>
        <w:t xml:space="preserve"> </w:t>
      </w:r>
      <w:r w:rsidR="00D55634" w:rsidRPr="00D55634">
        <w:rPr>
          <w:rFonts w:ascii="Times New Roman" w:hAnsi="Times New Roman" w:cs="Times New Roman"/>
          <w:sz w:val="24"/>
          <w:szCs w:val="24"/>
        </w:rPr>
        <w:t xml:space="preserve">program characteristics contained </w:t>
      </w:r>
      <w:r w:rsidR="00EE0B69">
        <w:rPr>
          <w:rFonts w:ascii="Times New Roman" w:hAnsi="Times New Roman" w:cs="Times New Roman"/>
          <w:sz w:val="24"/>
          <w:szCs w:val="24"/>
        </w:rPr>
        <w:t>with</w:t>
      </w:r>
      <w:r w:rsidR="00D55634" w:rsidRPr="00D55634">
        <w:rPr>
          <w:rFonts w:ascii="Times New Roman" w:hAnsi="Times New Roman" w:cs="Times New Roman"/>
          <w:sz w:val="24"/>
          <w:szCs w:val="24"/>
        </w:rPr>
        <w:t>in the requirements of the NERC Reliability Standard</w:t>
      </w:r>
      <w:r w:rsidR="00D55634">
        <w:rPr>
          <w:rFonts w:ascii="Times New Roman" w:hAnsi="Times New Roman" w:cs="Times New Roman"/>
          <w:sz w:val="24"/>
          <w:szCs w:val="24"/>
        </w:rPr>
        <w:t xml:space="preserve"> </w:t>
      </w:r>
      <w:r w:rsidR="00D55634" w:rsidRPr="00D55634">
        <w:rPr>
          <w:rFonts w:ascii="Times New Roman" w:hAnsi="Times New Roman" w:cs="Times New Roman"/>
          <w:sz w:val="24"/>
          <w:szCs w:val="24"/>
        </w:rPr>
        <w:t>PRC-006-1</w:t>
      </w:r>
      <w:r w:rsidR="00EE0B69">
        <w:rPr>
          <w:rFonts w:ascii="Times New Roman" w:hAnsi="Times New Roman" w:cs="Times New Roman"/>
          <w:sz w:val="24"/>
          <w:szCs w:val="24"/>
        </w:rPr>
        <w:t>.</w:t>
      </w:r>
    </w:p>
    <w:p w:rsidR="00D55634" w:rsidRDefault="00D55634" w:rsidP="009E1190">
      <w:pPr>
        <w:spacing w:after="0"/>
        <w:rPr>
          <w:rFonts w:ascii="Times New Roman" w:hAnsi="Times New Roman" w:cs="Times New Roman"/>
          <w:sz w:val="24"/>
          <w:szCs w:val="24"/>
        </w:rPr>
      </w:pPr>
    </w:p>
    <w:p w:rsidR="00D55634" w:rsidRDefault="00130CD4" w:rsidP="009E1190">
      <w:pPr>
        <w:spacing w:after="0"/>
        <w:rPr>
          <w:rFonts w:ascii="Times New Roman" w:hAnsi="Times New Roman" w:cs="Times New Roman"/>
          <w:sz w:val="24"/>
          <w:szCs w:val="24"/>
        </w:rPr>
      </w:pPr>
      <w:r>
        <w:rPr>
          <w:rFonts w:ascii="Times New Roman" w:hAnsi="Times New Roman" w:cs="Times New Roman"/>
          <w:sz w:val="24"/>
          <w:szCs w:val="24"/>
        </w:rPr>
        <w:t>Under this</w:t>
      </w:r>
      <w:r w:rsidR="00D55634" w:rsidRPr="00D55634">
        <w:rPr>
          <w:rFonts w:ascii="Times New Roman" w:hAnsi="Times New Roman" w:cs="Times New Roman"/>
          <w:sz w:val="24"/>
          <w:szCs w:val="24"/>
        </w:rPr>
        <w:t xml:space="preserve"> regional </w:t>
      </w:r>
      <w:r w:rsidR="00D55634" w:rsidRPr="007147A4">
        <w:rPr>
          <w:rFonts w:ascii="Times New Roman" w:hAnsi="Times New Roman" w:cs="Times New Roman"/>
          <w:sz w:val="24"/>
          <w:szCs w:val="24"/>
        </w:rPr>
        <w:t>Reliability Standard</w:t>
      </w:r>
      <w:r w:rsidR="00EE0B69" w:rsidRPr="007147A4">
        <w:rPr>
          <w:rFonts w:ascii="Times New Roman" w:hAnsi="Times New Roman" w:cs="Times New Roman"/>
          <w:sz w:val="24"/>
          <w:szCs w:val="24"/>
        </w:rPr>
        <w:t>,</w:t>
      </w:r>
      <w:r w:rsidR="00D55634" w:rsidRPr="007147A4">
        <w:rPr>
          <w:rFonts w:ascii="Times New Roman" w:hAnsi="Times New Roman" w:cs="Times New Roman"/>
          <w:sz w:val="24"/>
          <w:szCs w:val="24"/>
        </w:rPr>
        <w:t xml:space="preserve"> </w:t>
      </w:r>
      <w:r w:rsidR="007147A4">
        <w:rPr>
          <w:rFonts w:ascii="Times New Roman" w:hAnsi="Times New Roman" w:cs="Times New Roman"/>
          <w:sz w:val="24"/>
          <w:szCs w:val="24"/>
        </w:rPr>
        <w:t>planning c</w:t>
      </w:r>
      <w:r w:rsidR="007147A4" w:rsidRPr="007147A4">
        <w:rPr>
          <w:rFonts w:ascii="Times New Roman" w:hAnsi="Times New Roman" w:cs="Times New Roman"/>
          <w:sz w:val="24"/>
          <w:szCs w:val="24"/>
        </w:rPr>
        <w:t>oordinators</w:t>
      </w:r>
      <w:r w:rsidR="00EE0B69" w:rsidRPr="007147A4">
        <w:rPr>
          <w:rFonts w:ascii="Times New Roman" w:hAnsi="Times New Roman" w:cs="Times New Roman"/>
          <w:sz w:val="24"/>
          <w:szCs w:val="24"/>
        </w:rPr>
        <w:t xml:space="preserve"> will use</w:t>
      </w:r>
      <w:r w:rsidR="00D55634" w:rsidRPr="007147A4">
        <w:rPr>
          <w:rFonts w:ascii="Times New Roman" w:hAnsi="Times New Roman" w:cs="Times New Roman"/>
          <w:sz w:val="24"/>
          <w:szCs w:val="24"/>
        </w:rPr>
        <w:t xml:space="preserve"> </w:t>
      </w:r>
      <w:r w:rsidR="00EE0B69" w:rsidRPr="007147A4">
        <w:rPr>
          <w:rFonts w:ascii="Times New Roman" w:hAnsi="Times New Roman" w:cs="Times New Roman"/>
          <w:sz w:val="24"/>
          <w:szCs w:val="24"/>
        </w:rPr>
        <w:t xml:space="preserve">the </w:t>
      </w:r>
      <w:r w:rsidR="00D55634" w:rsidRPr="007147A4">
        <w:rPr>
          <w:rFonts w:ascii="Times New Roman" w:hAnsi="Times New Roman" w:cs="Times New Roman"/>
          <w:sz w:val="24"/>
          <w:szCs w:val="24"/>
        </w:rPr>
        <w:t>information to ensure compliance with requirements associated with underfrequency load shedding plans.</w:t>
      </w:r>
      <w:r w:rsidR="007147A4" w:rsidRPr="007147A4">
        <w:rPr>
          <w:rStyle w:val="FootnoteReference"/>
          <w:rFonts w:ascii="Times New Roman" w:hAnsi="Times New Roman" w:cs="Times New Roman"/>
          <w:sz w:val="24"/>
          <w:szCs w:val="24"/>
          <w:vertAlign w:val="superscript"/>
        </w:rPr>
        <w:footnoteReference w:id="10"/>
      </w:r>
      <w:r w:rsidR="00D55634" w:rsidRPr="007147A4">
        <w:rPr>
          <w:rFonts w:ascii="Times New Roman" w:hAnsi="Times New Roman" w:cs="Times New Roman"/>
          <w:sz w:val="24"/>
          <w:szCs w:val="24"/>
          <w:vertAlign w:val="superscript"/>
        </w:rPr>
        <w:t xml:space="preserve"> </w:t>
      </w:r>
      <w:r w:rsidR="00D55634" w:rsidRPr="00D55634">
        <w:rPr>
          <w:rFonts w:ascii="Times New Roman" w:hAnsi="Times New Roman" w:cs="Times New Roman"/>
          <w:sz w:val="24"/>
          <w:szCs w:val="24"/>
        </w:rPr>
        <w:t xml:space="preserve"> Without this information</w:t>
      </w:r>
      <w:r w:rsidR="00EE0B69">
        <w:rPr>
          <w:rFonts w:ascii="Times New Roman" w:hAnsi="Times New Roman" w:cs="Times New Roman"/>
          <w:sz w:val="24"/>
          <w:szCs w:val="24"/>
        </w:rPr>
        <w:t>,</w:t>
      </w:r>
      <w:r w:rsidR="00D55634" w:rsidRPr="00D55634">
        <w:rPr>
          <w:rFonts w:ascii="Times New Roman" w:hAnsi="Times New Roman" w:cs="Times New Roman"/>
          <w:sz w:val="24"/>
          <w:szCs w:val="24"/>
        </w:rPr>
        <w:t xml:space="preserve"> it would be difficult to enforce compliance with the regional standard.  A lack of compliance with this regional standard may lead to uncontrolled failure of the Interconnection</w:t>
      </w:r>
      <w:r w:rsidR="00020AAB">
        <w:rPr>
          <w:rFonts w:ascii="Times New Roman" w:hAnsi="Times New Roman" w:cs="Times New Roman"/>
          <w:sz w:val="24"/>
          <w:szCs w:val="24"/>
        </w:rPr>
        <w:t xml:space="preserve">.  </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EB3E6F">
      <w:pPr>
        <w:spacing w:after="0"/>
        <w:rPr>
          <w:rFonts w:ascii="Times New Roman" w:hAnsi="Times New Roman" w:cs="Times New Roman"/>
          <w:sz w:val="24"/>
          <w:szCs w:val="24"/>
        </w:rPr>
      </w:pPr>
    </w:p>
    <w:p w:rsidR="005506B5" w:rsidRPr="005506B5" w:rsidRDefault="00130CD4" w:rsidP="005506B5">
      <w:pPr>
        <w:spacing w:after="0"/>
        <w:rPr>
          <w:rFonts w:ascii="Times New Roman" w:hAnsi="Times New Roman" w:cs="Times New Roman"/>
          <w:b/>
          <w:bCs/>
          <w:sz w:val="24"/>
          <w:szCs w:val="24"/>
        </w:rPr>
      </w:pPr>
      <w:r>
        <w:rPr>
          <w:rFonts w:ascii="Times New Roman" w:hAnsi="Times New Roman" w:cs="Times New Roman"/>
          <w:sz w:val="24"/>
          <w:szCs w:val="24"/>
        </w:rPr>
        <w:t>This</w:t>
      </w:r>
      <w:r w:rsidR="005506B5" w:rsidRPr="005506B5">
        <w:rPr>
          <w:rFonts w:ascii="Times New Roman" w:hAnsi="Times New Roman" w:cs="Times New Roman"/>
          <w:sz w:val="24"/>
          <w:szCs w:val="24"/>
        </w:rPr>
        <w:t xml:space="preserve"> regional Reliability Standard does</w:t>
      </w:r>
      <w:r w:rsidR="005506B5">
        <w:rPr>
          <w:rFonts w:ascii="Times New Roman" w:hAnsi="Times New Roman" w:cs="Times New Roman"/>
          <w:sz w:val="24"/>
          <w:szCs w:val="24"/>
        </w:rPr>
        <w:t xml:space="preserve"> not require respondents to file pertinent information</w:t>
      </w:r>
      <w:r w:rsidR="005506B5" w:rsidRPr="005506B5">
        <w:rPr>
          <w:rFonts w:ascii="Times New Roman" w:hAnsi="Times New Roman" w:cs="Times New Roman"/>
          <w:sz w:val="24"/>
          <w:szCs w:val="24"/>
        </w:rPr>
        <w:t xml:space="preserve"> with the Commission.  However, it does contain reporting and recordkeeping requirements</w:t>
      </w:r>
      <w:r w:rsidR="004B4F26">
        <w:rPr>
          <w:rFonts w:ascii="Times New Roman" w:hAnsi="Times New Roman" w:cs="Times New Roman"/>
          <w:sz w:val="24"/>
          <w:szCs w:val="24"/>
        </w:rPr>
        <w:t>.  These requirements may include</w:t>
      </w:r>
      <w:r w:rsidR="005506B5">
        <w:rPr>
          <w:rFonts w:ascii="Times New Roman" w:hAnsi="Times New Roman" w:cs="Times New Roman"/>
          <w:sz w:val="24"/>
          <w:szCs w:val="24"/>
        </w:rPr>
        <w:t xml:space="preserve"> creating and maintaining a</w:t>
      </w:r>
      <w:r w:rsidR="005506B5" w:rsidRPr="005506B5">
        <w:rPr>
          <w:rFonts w:ascii="Times New Roman" w:hAnsi="Times New Roman" w:cs="Times New Roman"/>
          <w:sz w:val="24"/>
          <w:szCs w:val="24"/>
        </w:rPr>
        <w:t xml:space="preserve"> UFLS</w:t>
      </w:r>
      <w:r w:rsidR="005506B5">
        <w:rPr>
          <w:rFonts w:ascii="Times New Roman" w:hAnsi="Times New Roman" w:cs="Times New Roman"/>
          <w:sz w:val="24"/>
          <w:szCs w:val="24"/>
        </w:rPr>
        <w:t xml:space="preserve"> </w:t>
      </w:r>
      <w:r w:rsidR="005506B5" w:rsidRPr="005506B5">
        <w:rPr>
          <w:rFonts w:ascii="Times New Roman" w:hAnsi="Times New Roman" w:cs="Times New Roman"/>
          <w:sz w:val="24"/>
          <w:szCs w:val="24"/>
        </w:rPr>
        <w:t>program for which using current technology is an option that may reduce burden</w:t>
      </w:r>
      <w:r w:rsidR="000006BE">
        <w:rPr>
          <w:rFonts w:ascii="Times New Roman" w:hAnsi="Times New Roman" w:cs="Times New Roman"/>
          <w:sz w:val="24"/>
          <w:szCs w:val="24"/>
        </w:rPr>
        <w:t xml:space="preserve"> compared to not using the current technology and methodologies</w:t>
      </w:r>
      <w:r w:rsidR="000954E0">
        <w:rPr>
          <w:rFonts w:ascii="Times New Roman" w:hAnsi="Times New Roman" w:cs="Times New Roman"/>
          <w:sz w:val="24"/>
          <w:szCs w:val="24"/>
        </w:rPr>
        <w:t xml:space="preserve"> already</w:t>
      </w:r>
      <w:r w:rsidR="000006BE">
        <w:rPr>
          <w:rFonts w:ascii="Times New Roman" w:hAnsi="Times New Roman" w:cs="Times New Roman"/>
          <w:sz w:val="24"/>
          <w:szCs w:val="24"/>
        </w:rPr>
        <w:t xml:space="preserve"> in place</w:t>
      </w:r>
      <w:r w:rsidR="005506B5" w:rsidRPr="005506B5">
        <w:rPr>
          <w:rFonts w:ascii="Times New Roman" w:hAnsi="Times New Roman" w:cs="Times New Roman"/>
          <w:sz w:val="24"/>
          <w:szCs w:val="24"/>
        </w:rPr>
        <w:t>.</w:t>
      </w:r>
      <w:r w:rsidR="000006BE">
        <w:rPr>
          <w:rFonts w:ascii="Times New Roman" w:hAnsi="Times New Roman" w:cs="Times New Roman"/>
          <w:sz w:val="24"/>
          <w:szCs w:val="24"/>
        </w:rPr>
        <w:t xml:space="preserve">  </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952276">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RDefault="00EB3E6F" w:rsidP="00EB3E6F">
      <w:pPr>
        <w:spacing w:after="0"/>
        <w:rPr>
          <w:rFonts w:ascii="Times New Roman" w:hAnsi="Times New Roman" w:cs="Times New Roman"/>
          <w:sz w:val="24"/>
          <w:szCs w:val="24"/>
        </w:rPr>
      </w:pPr>
    </w:p>
    <w:p w:rsidR="001178C8" w:rsidRDefault="00AC7191" w:rsidP="00571C5E">
      <w:pPr>
        <w:spacing w:after="0"/>
        <w:rPr>
          <w:rFonts w:ascii="Times New Roman" w:hAnsi="Times New Roman" w:cs="Times New Roman"/>
          <w:sz w:val="24"/>
          <w:szCs w:val="24"/>
        </w:rPr>
      </w:pPr>
      <w:r w:rsidRPr="00AC7191">
        <w:rPr>
          <w:rFonts w:ascii="Times New Roman" w:hAnsi="Times New Roman" w:cs="Times New Roman"/>
          <w:sz w:val="24"/>
          <w:szCs w:val="24"/>
        </w:rPr>
        <w:t>The Commission periodically reviews filing requirements concurrent with OMB review or as the Commission deems necessary to eliminate duplicative filing and to minimize the filing burden. OMB recently approved the information collection requirements within a national continent-wide Reliability Standard PRC-006-1</w:t>
      </w:r>
      <w:r w:rsidRPr="00876057">
        <w:rPr>
          <w:rStyle w:val="FootnoteReference"/>
          <w:rFonts w:ascii="Times New Roman" w:hAnsi="Times New Roman" w:cs="Times New Roman"/>
          <w:sz w:val="24"/>
          <w:szCs w:val="24"/>
          <w:vertAlign w:val="superscript"/>
        </w:rPr>
        <w:footnoteReference w:id="11"/>
      </w:r>
      <w:r w:rsidRPr="00AC7191">
        <w:rPr>
          <w:rFonts w:ascii="Times New Roman" w:hAnsi="Times New Roman" w:cs="Times New Roman"/>
          <w:sz w:val="24"/>
          <w:szCs w:val="24"/>
        </w:rPr>
        <w:t xml:space="preserve"> . The requirements within the regional Reliability Standard here do not replace the requirements in the national continent-wide Reliability Standard PRC-006-1. Instead, the regional Reliability Standard PRC-006-NPPC-1 applies an additional criterion met by respondents within the NPCC region.</w:t>
      </w:r>
    </w:p>
    <w:p w:rsidR="001178C8" w:rsidRDefault="001178C8" w:rsidP="00571C5E">
      <w:pPr>
        <w:spacing w:after="0"/>
        <w:rPr>
          <w:rFonts w:ascii="Times New Roman" w:hAnsi="Times New Roman" w:cs="Times New Roman"/>
          <w:sz w:val="24"/>
          <w:szCs w:val="24"/>
        </w:rPr>
      </w:pPr>
      <w:r>
        <w:rPr>
          <w:rFonts w:ascii="Times New Roman" w:hAnsi="Times New Roman" w:cs="Times New Roman"/>
          <w:sz w:val="24"/>
          <w:szCs w:val="24"/>
        </w:rPr>
        <w:t xml:space="preserve">The Commission is unaware of any other source of information similar to the additional </w:t>
      </w:r>
      <w:r w:rsidR="00584C9A">
        <w:rPr>
          <w:rFonts w:ascii="Times New Roman" w:hAnsi="Times New Roman" w:cs="Times New Roman"/>
          <w:sz w:val="24"/>
          <w:szCs w:val="24"/>
        </w:rPr>
        <w:t>requirements within the approved</w:t>
      </w:r>
      <w:r>
        <w:rPr>
          <w:rFonts w:ascii="Times New Roman" w:hAnsi="Times New Roman" w:cs="Times New Roman"/>
          <w:sz w:val="24"/>
          <w:szCs w:val="24"/>
        </w:rPr>
        <w:t xml:space="preserve"> regional Reliability Standard.</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EB3E6F">
      <w:pPr>
        <w:spacing w:after="0"/>
        <w:rPr>
          <w:rFonts w:ascii="Times New Roman" w:hAnsi="Times New Roman" w:cs="Times New Roman"/>
          <w:sz w:val="24"/>
          <w:szCs w:val="24"/>
        </w:rPr>
      </w:pPr>
    </w:p>
    <w:p w:rsidR="00CE3F27" w:rsidRDefault="00584C9A" w:rsidP="00571C5E">
      <w:pPr>
        <w:spacing w:after="0"/>
        <w:rPr>
          <w:rFonts w:ascii="Times New Roman" w:hAnsi="Times New Roman" w:cs="Times New Roman"/>
          <w:sz w:val="24"/>
          <w:szCs w:val="24"/>
        </w:rPr>
      </w:pPr>
      <w:r>
        <w:rPr>
          <w:rFonts w:ascii="Times New Roman" w:hAnsi="Times New Roman" w:cs="Times New Roman"/>
          <w:sz w:val="24"/>
          <w:szCs w:val="24"/>
        </w:rPr>
        <w:t>This</w:t>
      </w:r>
      <w:r w:rsidR="00CE3F27">
        <w:rPr>
          <w:rFonts w:ascii="Times New Roman" w:hAnsi="Times New Roman" w:cs="Times New Roman"/>
          <w:sz w:val="24"/>
          <w:szCs w:val="24"/>
        </w:rPr>
        <w:t xml:space="preserve"> regional Reliability Standard does not contain explicit provisions for the minimization of burden upon small entities (i.e. respondents).  All requirements in the regional Reliability Standard apply to every applicable entity.</w:t>
      </w:r>
      <w:r w:rsidR="00315356">
        <w:rPr>
          <w:rFonts w:ascii="Times New Roman" w:hAnsi="Times New Roman" w:cs="Times New Roman"/>
          <w:sz w:val="24"/>
          <w:szCs w:val="24"/>
        </w:rPr>
        <w:t xml:space="preserve">  </w:t>
      </w:r>
      <w:r w:rsidR="00F43D22">
        <w:rPr>
          <w:rFonts w:ascii="Times New Roman" w:hAnsi="Times New Roman" w:cs="Times New Roman"/>
          <w:sz w:val="24"/>
          <w:szCs w:val="24"/>
        </w:rPr>
        <w:t xml:space="preserve">Additionally, </w:t>
      </w:r>
      <w:r w:rsidR="00315356">
        <w:rPr>
          <w:rFonts w:ascii="Times New Roman" w:hAnsi="Times New Roman" w:cs="Times New Roman"/>
          <w:sz w:val="24"/>
          <w:szCs w:val="24"/>
        </w:rPr>
        <w:t>the</w:t>
      </w:r>
      <w:r w:rsidR="00CE3F27">
        <w:rPr>
          <w:rFonts w:ascii="Times New Roman" w:hAnsi="Times New Roman" w:cs="Times New Roman"/>
          <w:sz w:val="24"/>
          <w:szCs w:val="24"/>
        </w:rPr>
        <w:t xml:space="preserve"> Commission ce</w:t>
      </w:r>
      <w:r>
        <w:rPr>
          <w:rFonts w:ascii="Times New Roman" w:hAnsi="Times New Roman" w:cs="Times New Roman"/>
          <w:sz w:val="24"/>
          <w:szCs w:val="24"/>
        </w:rPr>
        <w:t>rtifies that the approved</w:t>
      </w:r>
      <w:r w:rsidR="00CE3F27">
        <w:rPr>
          <w:rFonts w:ascii="Times New Roman" w:hAnsi="Times New Roman" w:cs="Times New Roman"/>
          <w:sz w:val="24"/>
          <w:szCs w:val="24"/>
        </w:rPr>
        <w:t xml:space="preserve"> regional Reliability Standard will not impose a significant economic impact upon a substantial number of </w:t>
      </w:r>
      <w:r w:rsidR="0019666F">
        <w:rPr>
          <w:rFonts w:ascii="Times New Roman" w:hAnsi="Times New Roman" w:cs="Times New Roman"/>
          <w:sz w:val="24"/>
          <w:szCs w:val="24"/>
        </w:rPr>
        <w:t xml:space="preserve">small </w:t>
      </w:r>
      <w:r w:rsidR="00CE3F27">
        <w:rPr>
          <w:rFonts w:ascii="Times New Roman" w:hAnsi="Times New Roman" w:cs="Times New Roman"/>
          <w:sz w:val="24"/>
          <w:szCs w:val="24"/>
        </w:rPr>
        <w:t>entities</w:t>
      </w:r>
      <w:r w:rsidR="00315356">
        <w:rPr>
          <w:rFonts w:ascii="Times New Roman" w:hAnsi="Times New Roman" w:cs="Times New Roman"/>
          <w:sz w:val="24"/>
          <w:szCs w:val="24"/>
        </w:rPr>
        <w:t xml:space="preserve"> according with the regulatory flexibility threshol</w:t>
      </w:r>
      <w:r>
        <w:rPr>
          <w:rFonts w:ascii="Times New Roman" w:hAnsi="Times New Roman" w:cs="Times New Roman"/>
          <w:sz w:val="24"/>
          <w:szCs w:val="24"/>
        </w:rPr>
        <w:t>d analysis contained in the Final Rule</w:t>
      </w:r>
      <w:r w:rsidR="00CF360D" w:rsidRPr="009550CD">
        <w:rPr>
          <w:rStyle w:val="FootnoteReference"/>
          <w:rFonts w:ascii="Times New Roman" w:hAnsi="Times New Roman" w:cs="Times New Roman"/>
          <w:sz w:val="24"/>
          <w:szCs w:val="24"/>
          <w:vertAlign w:val="superscript"/>
        </w:rPr>
        <w:footnoteReference w:id="12"/>
      </w:r>
      <w:r w:rsidR="00CF360D">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RDefault="00EB3E6F" w:rsidP="00EB3E6F">
      <w:pPr>
        <w:spacing w:after="0"/>
        <w:rPr>
          <w:rFonts w:ascii="Times New Roman" w:hAnsi="Times New Roman" w:cs="Times New Roman"/>
          <w:sz w:val="24"/>
          <w:szCs w:val="24"/>
        </w:rPr>
      </w:pPr>
    </w:p>
    <w:p w:rsidR="0085599C" w:rsidRDefault="0085599C" w:rsidP="00EB3E6F">
      <w:pPr>
        <w:spacing w:after="0"/>
        <w:rPr>
          <w:rFonts w:ascii="Times New Roman" w:hAnsi="Times New Roman" w:cs="Times New Roman"/>
          <w:sz w:val="24"/>
          <w:szCs w:val="24"/>
        </w:rPr>
      </w:pPr>
      <w:r w:rsidRPr="0085599C">
        <w:rPr>
          <w:rFonts w:ascii="Times New Roman" w:hAnsi="Times New Roman" w:cs="Times New Roman"/>
          <w:sz w:val="24"/>
          <w:szCs w:val="24"/>
        </w:rPr>
        <w:t xml:space="preserve">As stated in response to </w:t>
      </w:r>
      <w:r w:rsidR="00F43D22">
        <w:rPr>
          <w:rFonts w:ascii="Times New Roman" w:hAnsi="Times New Roman" w:cs="Times New Roman"/>
          <w:sz w:val="24"/>
          <w:szCs w:val="24"/>
        </w:rPr>
        <w:t xml:space="preserve">question </w:t>
      </w:r>
      <w:r w:rsidRPr="0085599C">
        <w:rPr>
          <w:rFonts w:ascii="Times New Roman" w:hAnsi="Times New Roman" w:cs="Times New Roman"/>
          <w:sz w:val="24"/>
          <w:szCs w:val="24"/>
        </w:rPr>
        <w:t xml:space="preserve">#2 above, failure to comply with the information collection requirements may lead to an uncontrolled failure of the Interconnection.  Reducing the reporting/record retention frequency may increase the risk of such an uncontrolled failure.  </w:t>
      </w:r>
    </w:p>
    <w:p w:rsidR="0085599C" w:rsidRPr="00EB3E6F" w:rsidRDefault="0085599C"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EB3E6F">
      <w:pPr>
        <w:spacing w:after="0"/>
        <w:rPr>
          <w:rFonts w:ascii="Times New Roman" w:hAnsi="Times New Roman" w:cs="Times New Roman"/>
          <w:sz w:val="24"/>
          <w:szCs w:val="24"/>
        </w:rPr>
      </w:pPr>
    </w:p>
    <w:p w:rsidR="00EB3E6F" w:rsidRPr="00CA59C3" w:rsidRDefault="00C277C0" w:rsidP="005A6588">
      <w:pPr>
        <w:spacing w:after="0"/>
        <w:rPr>
          <w:rFonts w:ascii="Times New Roman" w:hAnsi="Times New Roman" w:cs="Times New Roman"/>
          <w:sz w:val="24"/>
          <w:szCs w:val="24"/>
        </w:rPr>
      </w:pPr>
      <w:r>
        <w:rPr>
          <w:rFonts w:ascii="Times New Roman" w:hAnsi="Times New Roman" w:cs="Times New Roman"/>
          <w:sz w:val="24"/>
          <w:szCs w:val="24"/>
        </w:rPr>
        <w:t>A substantial amount of the documentation required for a given entity’s compliance audits must be maintained (potentially) in excess of the OMB’s required retention period.  This is due to compliance audits possibly occurring more than three years apart.  This occurrence would exceed OMB guidelines within 5 CFR 1320.5(d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2)(iv) for retaining records no longer than three years.  </w:t>
      </w:r>
      <w:r w:rsidR="00EE41E5">
        <w:rPr>
          <w:rFonts w:ascii="Times New Roman" w:hAnsi="Times New Roman" w:cs="Times New Roman"/>
          <w:sz w:val="24"/>
          <w:szCs w:val="24"/>
        </w:rPr>
        <w:t>The Commission did not prescribe a set retention period for application to all Reliability Standards because the circumstances of each Reliability Standard vary.  Industry (via the ERO’s standards development process) developed, proposed, and vetted the proposed reliability standard and reporting/retention requirements.</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EB3E6F">
      <w:pPr>
        <w:spacing w:after="0"/>
        <w:rPr>
          <w:rFonts w:ascii="Times New Roman" w:hAnsi="Times New Roman" w:cs="Times New Roman"/>
          <w:sz w:val="24"/>
          <w:szCs w:val="24"/>
        </w:rPr>
      </w:pPr>
    </w:p>
    <w:p w:rsidR="00F12DC2" w:rsidRDefault="00EE41E5" w:rsidP="00EE41E5">
      <w:pPr>
        <w:spacing w:after="0"/>
        <w:rPr>
          <w:rFonts w:ascii="Times New Roman" w:hAnsi="Times New Roman" w:cs="Times New Roman"/>
          <w:sz w:val="24"/>
          <w:szCs w:val="24"/>
        </w:rPr>
      </w:pPr>
      <w:r>
        <w:rPr>
          <w:rFonts w:ascii="Times New Roman" w:hAnsi="Times New Roman" w:cs="Times New Roman"/>
          <w:sz w:val="24"/>
          <w:szCs w:val="24"/>
        </w:rPr>
        <w:t xml:space="preserve">The ERO, Regional Entities, and others work within a collaborative process to </w:t>
      </w:r>
      <w:r w:rsidR="00800EAC">
        <w:rPr>
          <w:rFonts w:ascii="Times New Roman" w:hAnsi="Times New Roman" w:cs="Times New Roman"/>
          <w:sz w:val="24"/>
          <w:szCs w:val="24"/>
        </w:rPr>
        <w:t>establish</w:t>
      </w:r>
      <w:r>
        <w:rPr>
          <w:rFonts w:ascii="Times New Roman" w:hAnsi="Times New Roman" w:cs="Times New Roman"/>
          <w:sz w:val="24"/>
          <w:szCs w:val="24"/>
        </w:rPr>
        <w:t xml:space="preserve"> Reliability Standards by jointly developing/reviewing drafts</w:t>
      </w:r>
      <w:r w:rsidR="00CA6AB0">
        <w:rPr>
          <w:rFonts w:ascii="Times New Roman" w:hAnsi="Times New Roman" w:cs="Times New Roman"/>
          <w:sz w:val="24"/>
          <w:szCs w:val="24"/>
        </w:rPr>
        <w:t>, providing</w:t>
      </w:r>
      <w:r>
        <w:rPr>
          <w:rFonts w:ascii="Times New Roman" w:hAnsi="Times New Roman" w:cs="Times New Roman"/>
          <w:sz w:val="24"/>
          <w:szCs w:val="24"/>
        </w:rPr>
        <w:t xml:space="preserve"> </w:t>
      </w:r>
      <w:r w:rsidR="00800EAC">
        <w:rPr>
          <w:rFonts w:ascii="Times New Roman" w:hAnsi="Times New Roman" w:cs="Times New Roman"/>
          <w:sz w:val="24"/>
          <w:szCs w:val="24"/>
        </w:rPr>
        <w:t xml:space="preserve">responses to </w:t>
      </w:r>
      <w:r>
        <w:rPr>
          <w:rFonts w:ascii="Times New Roman" w:hAnsi="Times New Roman" w:cs="Times New Roman"/>
          <w:sz w:val="24"/>
          <w:szCs w:val="24"/>
        </w:rPr>
        <w:t>comments, and submitting to FERC a final proposed</w:t>
      </w:r>
      <w:r w:rsidR="00CA6AB0">
        <w:rPr>
          <w:rFonts w:ascii="Times New Roman" w:hAnsi="Times New Roman" w:cs="Times New Roman"/>
          <w:sz w:val="24"/>
          <w:szCs w:val="24"/>
        </w:rPr>
        <w:t xml:space="preserve"> standard for review</w:t>
      </w:r>
      <w:r w:rsidR="00800EAC">
        <w:rPr>
          <w:rFonts w:ascii="Times New Roman" w:hAnsi="Times New Roman" w:cs="Times New Roman"/>
          <w:sz w:val="24"/>
          <w:szCs w:val="24"/>
        </w:rPr>
        <w:t xml:space="preserve"> and subsequent approval</w:t>
      </w:r>
      <w:r w:rsidR="00CA6AB0">
        <w:rPr>
          <w:rFonts w:ascii="Times New Roman" w:hAnsi="Times New Roman" w:cs="Times New Roman"/>
          <w:sz w:val="24"/>
          <w:szCs w:val="24"/>
        </w:rPr>
        <w:t>.</w:t>
      </w:r>
    </w:p>
    <w:p w:rsidR="00CA6AB0" w:rsidRDefault="00CA6AB0" w:rsidP="00EE41E5">
      <w:pPr>
        <w:spacing w:after="0"/>
        <w:rPr>
          <w:rFonts w:ascii="Times New Roman" w:hAnsi="Times New Roman" w:cs="Times New Roman"/>
          <w:sz w:val="24"/>
          <w:szCs w:val="24"/>
        </w:rPr>
      </w:pPr>
      <w:r>
        <w:rPr>
          <w:rFonts w:ascii="Times New Roman" w:hAnsi="Times New Roman" w:cs="Times New Roman"/>
          <w:sz w:val="24"/>
          <w:szCs w:val="24"/>
        </w:rPr>
        <w:t>The Co</w:t>
      </w:r>
      <w:r w:rsidR="00A41EB6">
        <w:rPr>
          <w:rFonts w:ascii="Times New Roman" w:hAnsi="Times New Roman" w:cs="Times New Roman"/>
          <w:sz w:val="24"/>
          <w:szCs w:val="24"/>
        </w:rPr>
        <w:t>mmission published this</w:t>
      </w:r>
      <w:r>
        <w:rPr>
          <w:rFonts w:ascii="Times New Roman" w:hAnsi="Times New Roman" w:cs="Times New Roman"/>
          <w:sz w:val="24"/>
          <w:szCs w:val="24"/>
        </w:rPr>
        <w:t xml:space="preserve"> rulemaking within the Federal Register to provide public utilities, state commissions, Federal agencies, and other interested parties an opportunity to submit data, comments, or suggestions</w:t>
      </w:r>
      <w:r w:rsidRPr="00CA6AB0">
        <w:rPr>
          <w:rStyle w:val="FootnoteReference"/>
          <w:rFonts w:ascii="Times New Roman" w:hAnsi="Times New Roman" w:cs="Times New Roman"/>
          <w:sz w:val="24"/>
          <w:szCs w:val="24"/>
          <w:vertAlign w:val="superscript"/>
        </w:rPr>
        <w:footnoteReference w:id="13"/>
      </w:r>
      <w:r>
        <w:rPr>
          <w:rFonts w:ascii="Times New Roman" w:hAnsi="Times New Roman" w:cs="Times New Roman"/>
          <w:sz w:val="24"/>
          <w:szCs w:val="24"/>
        </w:rPr>
        <w:t>.</w:t>
      </w:r>
    </w:p>
    <w:p w:rsidR="00A41EB6" w:rsidRDefault="00A41EB6" w:rsidP="00EE41E5">
      <w:pPr>
        <w:spacing w:after="0"/>
        <w:rPr>
          <w:rFonts w:ascii="Times New Roman" w:hAnsi="Times New Roman" w:cs="Times New Roman"/>
          <w:sz w:val="24"/>
          <w:szCs w:val="24"/>
        </w:rPr>
      </w:pPr>
    </w:p>
    <w:p w:rsidR="005A0B1C" w:rsidRDefault="00A41EB6" w:rsidP="005A0B1C">
      <w:pPr>
        <w:spacing w:after="0"/>
        <w:rPr>
          <w:rFonts w:ascii="Times New Roman" w:hAnsi="Times New Roman" w:cs="Times New Roman"/>
          <w:sz w:val="24"/>
          <w:szCs w:val="24"/>
        </w:rPr>
      </w:pPr>
      <w:r>
        <w:rPr>
          <w:rFonts w:ascii="Times New Roman" w:hAnsi="Times New Roman" w:cs="Times New Roman"/>
          <w:sz w:val="24"/>
          <w:szCs w:val="24"/>
        </w:rPr>
        <w:lastRenderedPageBreak/>
        <w:t>The NOPR</w:t>
      </w:r>
      <w:r w:rsidR="00DF1A23" w:rsidRPr="00DF1A23">
        <w:rPr>
          <w:rStyle w:val="FootnoteReference"/>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in this proceeding </w:t>
      </w:r>
      <w:r w:rsidR="005A177D">
        <w:rPr>
          <w:rFonts w:ascii="Times New Roman" w:hAnsi="Times New Roman" w:cs="Times New Roman"/>
          <w:sz w:val="24"/>
          <w:szCs w:val="24"/>
        </w:rPr>
        <w:t xml:space="preserve">requested public comments.  </w:t>
      </w:r>
      <w:r w:rsidR="005A0B1C">
        <w:rPr>
          <w:rFonts w:ascii="Times New Roman" w:hAnsi="Times New Roman" w:cs="Times New Roman"/>
          <w:sz w:val="24"/>
          <w:szCs w:val="24"/>
        </w:rPr>
        <w:t>T</w:t>
      </w:r>
      <w:r w:rsidR="0099180E" w:rsidRPr="0099180E">
        <w:rPr>
          <w:rFonts w:ascii="Times New Roman" w:hAnsi="Times New Roman" w:cs="Times New Roman"/>
          <w:sz w:val="24"/>
          <w:szCs w:val="24"/>
        </w:rPr>
        <w:t>he Commission sought comments on the technical basis for the</w:t>
      </w:r>
      <w:r w:rsidR="00C45F09">
        <w:rPr>
          <w:rFonts w:ascii="Times New Roman" w:hAnsi="Times New Roman" w:cs="Times New Roman"/>
          <w:sz w:val="24"/>
          <w:szCs w:val="24"/>
        </w:rPr>
        <w:t xml:space="preserve"> </w:t>
      </w:r>
      <w:r w:rsidR="0099180E" w:rsidRPr="0099180E">
        <w:rPr>
          <w:rFonts w:ascii="Times New Roman" w:hAnsi="Times New Roman" w:cs="Times New Roman"/>
          <w:sz w:val="24"/>
          <w:szCs w:val="24"/>
        </w:rPr>
        <w:t>57.8 Hz maximum tripping limit for existi</w:t>
      </w:r>
      <w:r w:rsidR="00C45F09">
        <w:rPr>
          <w:rFonts w:ascii="Times New Roman" w:hAnsi="Times New Roman" w:cs="Times New Roman"/>
          <w:sz w:val="24"/>
          <w:szCs w:val="24"/>
        </w:rPr>
        <w:t xml:space="preserve">ng nuclear units established in </w:t>
      </w:r>
      <w:r w:rsidR="0099180E" w:rsidRPr="0099180E">
        <w:rPr>
          <w:rFonts w:ascii="Times New Roman" w:hAnsi="Times New Roman" w:cs="Times New Roman"/>
          <w:sz w:val="24"/>
          <w:szCs w:val="24"/>
        </w:rPr>
        <w:t>Requirement R19</w:t>
      </w:r>
      <w:r w:rsidR="00E578BE">
        <w:rPr>
          <w:rFonts w:ascii="Times New Roman" w:hAnsi="Times New Roman" w:cs="Times New Roman"/>
          <w:sz w:val="24"/>
          <w:szCs w:val="24"/>
        </w:rPr>
        <w:t xml:space="preserve"> of the regional Reliability Standard</w:t>
      </w:r>
      <w:r w:rsidR="0099180E" w:rsidRPr="0099180E">
        <w:rPr>
          <w:rFonts w:ascii="Times New Roman" w:hAnsi="Times New Roman" w:cs="Times New Roman"/>
          <w:sz w:val="24"/>
          <w:szCs w:val="24"/>
        </w:rPr>
        <w:t xml:space="preserve">. </w:t>
      </w:r>
      <w:r w:rsidR="0099180E">
        <w:rPr>
          <w:rFonts w:ascii="Times New Roman" w:hAnsi="Times New Roman" w:cs="Times New Roman"/>
          <w:sz w:val="24"/>
          <w:szCs w:val="24"/>
        </w:rPr>
        <w:t xml:space="preserve"> </w:t>
      </w:r>
      <w:r w:rsidR="005A0B1C">
        <w:rPr>
          <w:rFonts w:ascii="Times New Roman" w:hAnsi="Times New Roman" w:cs="Times New Roman"/>
          <w:sz w:val="24"/>
          <w:szCs w:val="24"/>
        </w:rPr>
        <w:t>In the NOPR, the Commission</w:t>
      </w:r>
      <w:r w:rsidR="005A0B1C" w:rsidRPr="00E578BE">
        <w:rPr>
          <w:rFonts w:ascii="Times New Roman" w:hAnsi="Times New Roman" w:cs="Times New Roman"/>
          <w:sz w:val="24"/>
          <w:szCs w:val="24"/>
        </w:rPr>
        <w:t xml:space="preserve"> </w:t>
      </w:r>
      <w:r w:rsidR="005A0B1C">
        <w:rPr>
          <w:rFonts w:ascii="Times New Roman" w:hAnsi="Times New Roman" w:cs="Times New Roman"/>
          <w:sz w:val="24"/>
          <w:szCs w:val="24"/>
        </w:rPr>
        <w:t>noted</w:t>
      </w:r>
      <w:r w:rsidR="005A0B1C" w:rsidRPr="00E578BE">
        <w:rPr>
          <w:rFonts w:ascii="Times New Roman" w:hAnsi="Times New Roman" w:cs="Times New Roman"/>
          <w:sz w:val="24"/>
          <w:szCs w:val="24"/>
        </w:rPr>
        <w:t xml:space="preserve"> that the NERC petition did not explain the technical basis for establishing 57.8 Hz as the maximum frequency at which existing nuclear units may trip pursuant to Requirement R19.1, other than to state that the regional Reliability Standard was based on the work of an NPCC working group.   The NOPR stated that the NERC petition and its attachments did not provide any information as to how the 57.8 Hz limit was developed.  The NOPR sought comment from NPCC, NERC, and other interested entities explaining the technical basis for the 57.8 Hz limit esta</w:t>
      </w:r>
      <w:r w:rsidR="005A0B1C">
        <w:rPr>
          <w:rFonts w:ascii="Times New Roman" w:hAnsi="Times New Roman" w:cs="Times New Roman"/>
          <w:sz w:val="24"/>
          <w:szCs w:val="24"/>
        </w:rPr>
        <w:t>blished in Requirement R19.1</w:t>
      </w:r>
    </w:p>
    <w:p w:rsidR="005A0B1C" w:rsidRDefault="005A0B1C" w:rsidP="005A0B1C">
      <w:pPr>
        <w:spacing w:after="0"/>
        <w:rPr>
          <w:rFonts w:ascii="Times New Roman" w:hAnsi="Times New Roman" w:cs="Times New Roman"/>
          <w:sz w:val="24"/>
          <w:szCs w:val="24"/>
        </w:rPr>
      </w:pPr>
    </w:p>
    <w:p w:rsidR="005A0B1C" w:rsidRDefault="005A0B1C" w:rsidP="005A0B1C">
      <w:pPr>
        <w:spacing w:after="0"/>
        <w:rPr>
          <w:rFonts w:ascii="Times New Roman" w:hAnsi="Times New Roman" w:cs="Times New Roman"/>
          <w:sz w:val="24"/>
          <w:szCs w:val="24"/>
        </w:rPr>
      </w:pPr>
      <w:r>
        <w:rPr>
          <w:rFonts w:ascii="Times New Roman" w:hAnsi="Times New Roman" w:cs="Times New Roman"/>
          <w:sz w:val="24"/>
          <w:szCs w:val="24"/>
        </w:rPr>
        <w:t xml:space="preserve">The Commission also sought comments on </w:t>
      </w:r>
      <w:r w:rsidRPr="00E578BE">
        <w:rPr>
          <w:rFonts w:ascii="Times New Roman" w:hAnsi="Times New Roman" w:cs="Times New Roman"/>
          <w:sz w:val="24"/>
          <w:szCs w:val="24"/>
        </w:rPr>
        <w:t>the time-frames for actions that result in changes to the NPCC UFLS program.  The NOPR observed that NERC’s Reliability Standard PRC-</w:t>
      </w:r>
      <w:r w:rsidR="006446A2">
        <w:rPr>
          <w:rFonts w:ascii="Times New Roman" w:hAnsi="Times New Roman" w:cs="Times New Roman"/>
          <w:sz w:val="24"/>
          <w:szCs w:val="24"/>
        </w:rPr>
        <w:t>006-1, Requirement R3, requires</w:t>
      </w:r>
      <w:r w:rsidRPr="00E578BE">
        <w:rPr>
          <w:rFonts w:ascii="Times New Roman" w:hAnsi="Times New Roman" w:cs="Times New Roman"/>
          <w:sz w:val="24"/>
          <w:szCs w:val="24"/>
        </w:rPr>
        <w:t xml:space="preserve"> planning coordinator to set the schedule for distribution providers and transmission owners to implement the UFLS program and that regional Reliability Standard PRC-006-NPCC-1, Requirements R5, R16.2, and R19.3, require distribution providers, transmission owners, and generator owners to provide, inform, and transmit exceptions to the UFLS program and justifications for the exceptions to the planning coordinator.  The NOPR stated that these Requirements in regional Reliability Standard PRC-006-NPCC-1 do not specify a time-frame for the completion of these actions.  The NOPR indicated that Requirements R5, R16.2, and R19.3 address actions that can result in changes to the UFLS program and should occur before </w:t>
      </w:r>
      <w:r w:rsidR="006446A2">
        <w:rPr>
          <w:rFonts w:ascii="Times New Roman" w:hAnsi="Times New Roman" w:cs="Times New Roman"/>
          <w:sz w:val="24"/>
          <w:szCs w:val="24"/>
        </w:rPr>
        <w:t>the UFLS program is implemented</w:t>
      </w:r>
      <w:r w:rsidRPr="00E578BE">
        <w:rPr>
          <w:rFonts w:ascii="Times New Roman" w:hAnsi="Times New Roman" w:cs="Times New Roman"/>
          <w:sz w:val="24"/>
          <w:szCs w:val="24"/>
        </w:rPr>
        <w:t xml:space="preserve"> thus making it necessary for entities to provide the required information to the planning coordinator within a specified period of time.  The NOPR sought comment on whether Requirements R5, R16.2, and R19.3 should also specify time-frames for completion of the required actions and, if so, the appropriate time-frames for each.  </w:t>
      </w:r>
    </w:p>
    <w:p w:rsidR="005A0B1C" w:rsidRDefault="005A0B1C" w:rsidP="005A177D">
      <w:pPr>
        <w:spacing w:after="0"/>
        <w:rPr>
          <w:rFonts w:ascii="Times New Roman" w:hAnsi="Times New Roman" w:cs="Times New Roman"/>
          <w:sz w:val="24"/>
          <w:szCs w:val="24"/>
        </w:rPr>
      </w:pPr>
    </w:p>
    <w:p w:rsidR="005A0B1C" w:rsidRPr="00DF1C1A" w:rsidRDefault="005A0B1C" w:rsidP="005A0B1C">
      <w:pPr>
        <w:spacing w:after="0"/>
        <w:rPr>
          <w:rFonts w:ascii="Times New Roman" w:hAnsi="Times New Roman" w:cs="Times New Roman"/>
          <w:sz w:val="24"/>
          <w:szCs w:val="24"/>
        </w:rPr>
      </w:pPr>
      <w:r>
        <w:rPr>
          <w:rFonts w:ascii="Times New Roman" w:hAnsi="Times New Roman" w:cs="Times New Roman"/>
          <w:sz w:val="24"/>
          <w:szCs w:val="24"/>
        </w:rPr>
        <w:t xml:space="preserve">In response to the NOPR, initial comments were filed by </w:t>
      </w:r>
      <w:r w:rsidRPr="00DF1C1A">
        <w:rPr>
          <w:rFonts w:ascii="Times New Roman" w:hAnsi="Times New Roman" w:cs="Times New Roman"/>
          <w:sz w:val="24"/>
          <w:szCs w:val="24"/>
        </w:rPr>
        <w:t>NERC, NPCC,</w:t>
      </w:r>
    </w:p>
    <w:p w:rsidR="005A0B1C" w:rsidRPr="00DF1C1A" w:rsidRDefault="005A0B1C" w:rsidP="005A0B1C">
      <w:pPr>
        <w:spacing w:after="0"/>
        <w:rPr>
          <w:rFonts w:ascii="Times New Roman" w:hAnsi="Times New Roman" w:cs="Times New Roman"/>
          <w:sz w:val="24"/>
          <w:szCs w:val="24"/>
        </w:rPr>
      </w:pPr>
      <w:r w:rsidRPr="00DF1C1A">
        <w:rPr>
          <w:rFonts w:ascii="Times New Roman" w:hAnsi="Times New Roman" w:cs="Times New Roman"/>
          <w:sz w:val="24"/>
          <w:szCs w:val="24"/>
        </w:rPr>
        <w:t>New York Independent System Operator (NYISO), PSEG Companies (PSEG)</w:t>
      </w:r>
      <w:r w:rsidRPr="004B198C">
        <w:rPr>
          <w:rStyle w:val="FootnoteReference"/>
          <w:rFonts w:ascii="Times New Roman" w:hAnsi="Times New Roman" w:cs="Times New Roman"/>
          <w:sz w:val="24"/>
          <w:szCs w:val="24"/>
          <w:vertAlign w:val="superscript"/>
        </w:rPr>
        <w:footnoteReference w:id="15"/>
      </w:r>
      <w:r>
        <w:rPr>
          <w:rFonts w:ascii="Times New Roman" w:hAnsi="Times New Roman" w:cs="Times New Roman"/>
          <w:sz w:val="24"/>
          <w:szCs w:val="24"/>
        </w:rPr>
        <w:t>,</w:t>
      </w:r>
      <w:r w:rsidRPr="00DF1C1A">
        <w:rPr>
          <w:rFonts w:ascii="Times New Roman" w:hAnsi="Times New Roman" w:cs="Times New Roman"/>
          <w:sz w:val="24"/>
          <w:szCs w:val="24"/>
        </w:rPr>
        <w:t xml:space="preserve"> and</w:t>
      </w:r>
    </w:p>
    <w:p w:rsidR="005A0B1C" w:rsidRDefault="005A0B1C" w:rsidP="005A0B1C">
      <w:pPr>
        <w:spacing w:after="0"/>
        <w:rPr>
          <w:rFonts w:ascii="Times New Roman" w:hAnsi="Times New Roman" w:cs="Times New Roman"/>
          <w:sz w:val="24"/>
          <w:szCs w:val="24"/>
        </w:rPr>
      </w:pPr>
      <w:r w:rsidRPr="00DF1C1A">
        <w:rPr>
          <w:rFonts w:ascii="Times New Roman" w:hAnsi="Times New Roman" w:cs="Times New Roman"/>
          <w:sz w:val="24"/>
          <w:szCs w:val="24"/>
        </w:rPr>
        <w:t>Dominion Resources Services, Inc. (Dominion)</w:t>
      </w:r>
      <w:r w:rsidRPr="008E7043">
        <w:rPr>
          <w:rStyle w:val="FootnoteReference"/>
          <w:rFonts w:ascii="Times New Roman" w:hAnsi="Times New Roman" w:cs="Times New Roman"/>
          <w:sz w:val="24"/>
          <w:szCs w:val="24"/>
          <w:vertAlign w:val="superscript"/>
        </w:rPr>
        <w:footnoteReference w:id="16"/>
      </w:r>
      <w:r w:rsidRPr="00DF1C1A">
        <w:rPr>
          <w:rFonts w:ascii="Times New Roman" w:hAnsi="Times New Roman" w:cs="Times New Roman"/>
          <w:sz w:val="24"/>
          <w:szCs w:val="24"/>
        </w:rPr>
        <w:t>.13 NERC and NPCC filed reply</w:t>
      </w:r>
      <w:r w:rsidR="005A177D">
        <w:rPr>
          <w:rFonts w:ascii="Times New Roman" w:hAnsi="Times New Roman" w:cs="Times New Roman"/>
          <w:sz w:val="24"/>
          <w:szCs w:val="24"/>
        </w:rPr>
        <w:t xml:space="preserve"> </w:t>
      </w:r>
      <w:r w:rsidRPr="00DF1C1A">
        <w:rPr>
          <w:rFonts w:ascii="Times New Roman" w:hAnsi="Times New Roman" w:cs="Times New Roman"/>
          <w:sz w:val="24"/>
          <w:szCs w:val="24"/>
        </w:rPr>
        <w:t>comments.</w:t>
      </w:r>
      <w:r>
        <w:rPr>
          <w:rFonts w:ascii="Times New Roman" w:hAnsi="Times New Roman" w:cs="Times New Roman"/>
          <w:sz w:val="24"/>
          <w:szCs w:val="24"/>
        </w:rPr>
        <w:t xml:space="preserve">  </w:t>
      </w:r>
    </w:p>
    <w:p w:rsidR="00EB3E6F" w:rsidRDefault="00EB3E6F" w:rsidP="00EB3E6F">
      <w:pPr>
        <w:spacing w:after="0"/>
        <w:rPr>
          <w:rFonts w:ascii="Times New Roman" w:hAnsi="Times New Roman" w:cs="Times New Roman"/>
          <w:sz w:val="24"/>
          <w:szCs w:val="24"/>
        </w:rPr>
      </w:pPr>
    </w:p>
    <w:p w:rsidR="00E578BE" w:rsidRPr="0044264A" w:rsidRDefault="00E1582D" w:rsidP="00EB3E6F">
      <w:pPr>
        <w:spacing w:after="0"/>
        <w:rPr>
          <w:rFonts w:ascii="Times New Roman" w:hAnsi="Times New Roman" w:cs="Times New Roman"/>
          <w:b/>
          <w:sz w:val="24"/>
          <w:szCs w:val="24"/>
          <w:u w:val="single"/>
        </w:rPr>
      </w:pPr>
      <w:r w:rsidRPr="0044264A">
        <w:rPr>
          <w:rFonts w:ascii="Times New Roman" w:hAnsi="Times New Roman" w:cs="Times New Roman"/>
          <w:b/>
          <w:sz w:val="24"/>
          <w:szCs w:val="24"/>
          <w:u w:val="single"/>
        </w:rPr>
        <w:t>Comments</w:t>
      </w:r>
    </w:p>
    <w:p w:rsidR="00E1582D" w:rsidRDefault="00E1582D" w:rsidP="00EB3E6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NPCC commented that </w:t>
      </w:r>
      <w:r w:rsidRPr="00E578BE">
        <w:rPr>
          <w:rFonts w:ascii="Times New Roman" w:hAnsi="Times New Roman" w:cs="Times New Roman"/>
          <w:sz w:val="24"/>
          <w:szCs w:val="24"/>
        </w:rPr>
        <w:t>a maximum frequency threshold trip setting of 57.8 Hz for existing nuclear units provides a margin of 0.2 Hz above the</w:t>
      </w:r>
      <w:r>
        <w:rPr>
          <w:rFonts w:ascii="Times New Roman" w:hAnsi="Times New Roman" w:cs="Times New Roman"/>
          <w:sz w:val="24"/>
          <w:szCs w:val="24"/>
        </w:rPr>
        <w:t xml:space="preserve"> highest frequency at which </w:t>
      </w:r>
      <w:r w:rsidRPr="00E578BE">
        <w:rPr>
          <w:rFonts w:ascii="Times New Roman" w:hAnsi="Times New Roman" w:cs="Times New Roman"/>
          <w:sz w:val="24"/>
          <w:szCs w:val="24"/>
        </w:rPr>
        <w:t xml:space="preserve">nuclear units in NPCC’s footprint are expected to trip by low coolant flow or underfrequency protection.  </w:t>
      </w:r>
      <w:r>
        <w:rPr>
          <w:rFonts w:ascii="Times New Roman" w:hAnsi="Times New Roman" w:cs="Times New Roman"/>
          <w:sz w:val="24"/>
          <w:szCs w:val="24"/>
        </w:rPr>
        <w:t>NPCC further stated that a</w:t>
      </w:r>
      <w:r w:rsidRPr="00E578BE">
        <w:rPr>
          <w:rFonts w:ascii="Times New Roman" w:hAnsi="Times New Roman" w:cs="Times New Roman"/>
          <w:sz w:val="24"/>
          <w:szCs w:val="24"/>
        </w:rPr>
        <w:t>dherence to the 57.8 Hz limit should also result in islands with a 25% generation deficiency being able to survive and maintain automatic UFLS program requirements</w:t>
      </w:r>
      <w:r>
        <w:rPr>
          <w:rFonts w:ascii="Times New Roman" w:hAnsi="Times New Roman" w:cs="Times New Roman"/>
          <w:sz w:val="24"/>
          <w:szCs w:val="24"/>
        </w:rPr>
        <w:t>.</w:t>
      </w:r>
    </w:p>
    <w:p w:rsidR="00E1582D" w:rsidRDefault="00E1582D" w:rsidP="00EB3E6F">
      <w:pPr>
        <w:spacing w:after="0"/>
        <w:rPr>
          <w:rFonts w:ascii="Times New Roman" w:hAnsi="Times New Roman" w:cs="Times New Roman"/>
          <w:sz w:val="24"/>
          <w:szCs w:val="24"/>
        </w:rPr>
      </w:pPr>
    </w:p>
    <w:p w:rsidR="00E1582D" w:rsidRDefault="00E1582D" w:rsidP="00EB3E6F">
      <w:pPr>
        <w:spacing w:after="0"/>
        <w:rPr>
          <w:rFonts w:ascii="Times New Roman" w:hAnsi="Times New Roman" w:cs="Times New Roman"/>
          <w:sz w:val="24"/>
          <w:szCs w:val="24"/>
        </w:rPr>
      </w:pPr>
      <w:r>
        <w:rPr>
          <w:rFonts w:ascii="Times New Roman" w:hAnsi="Times New Roman" w:cs="Times New Roman"/>
          <w:sz w:val="24"/>
          <w:szCs w:val="24"/>
        </w:rPr>
        <w:t xml:space="preserve">NPCC stated that Requirements </w:t>
      </w:r>
      <w:r w:rsidRPr="00056AB1">
        <w:rPr>
          <w:rFonts w:ascii="Times New Roman" w:hAnsi="Times New Roman" w:cs="Times New Roman"/>
          <w:sz w:val="24"/>
          <w:szCs w:val="24"/>
        </w:rPr>
        <w:t>R5, R16.2, and R19.3 appl</w:t>
      </w:r>
      <w:r>
        <w:rPr>
          <w:rFonts w:ascii="Times New Roman" w:hAnsi="Times New Roman" w:cs="Times New Roman"/>
          <w:sz w:val="24"/>
          <w:szCs w:val="24"/>
        </w:rPr>
        <w:t>ied</w:t>
      </w:r>
      <w:r w:rsidRPr="00056AB1">
        <w:rPr>
          <w:rFonts w:ascii="Times New Roman" w:hAnsi="Times New Roman" w:cs="Times New Roman"/>
          <w:sz w:val="24"/>
          <w:szCs w:val="24"/>
        </w:rPr>
        <w:t xml:space="preserve"> to a limited number of existing nuclear and non-nuclear units whose performance characteristics are already incorporated in the </w:t>
      </w:r>
      <w:r>
        <w:rPr>
          <w:rFonts w:ascii="Times New Roman" w:hAnsi="Times New Roman" w:cs="Times New Roman"/>
          <w:sz w:val="24"/>
          <w:szCs w:val="24"/>
        </w:rPr>
        <w:t xml:space="preserve">NPCC </w:t>
      </w:r>
      <w:r w:rsidRPr="00056AB1">
        <w:rPr>
          <w:rFonts w:ascii="Times New Roman" w:hAnsi="Times New Roman" w:cs="Times New Roman"/>
          <w:sz w:val="24"/>
          <w:szCs w:val="24"/>
        </w:rPr>
        <w:t>regional UFLS program, and that planning coordinators within NPCC have the existing technical parameters necessary to incorporate existing unit attributes and compensatory load shedding information into their assessment.  NPCC further states that the absence of specific time-frames in these Requirements means that responsible entities must immediately notify planning coordinators upon identification of any non-conformance or changes to underfrequency settings pursuant to these Requirem</w:t>
      </w:r>
      <w:r>
        <w:rPr>
          <w:rFonts w:ascii="Times New Roman" w:hAnsi="Times New Roman" w:cs="Times New Roman"/>
          <w:sz w:val="24"/>
          <w:szCs w:val="24"/>
        </w:rPr>
        <w:t xml:space="preserve">ents.  </w:t>
      </w:r>
    </w:p>
    <w:p w:rsidR="00E1582D" w:rsidRPr="00E578BE" w:rsidRDefault="00E1582D" w:rsidP="00EB3E6F">
      <w:pPr>
        <w:spacing w:after="0"/>
        <w:rPr>
          <w:rFonts w:ascii="Times New Roman" w:hAnsi="Times New Roman" w:cs="Times New Roman"/>
          <w:b/>
          <w:sz w:val="24"/>
          <w:szCs w:val="24"/>
        </w:rPr>
      </w:pPr>
    </w:p>
    <w:p w:rsidR="00E578BE" w:rsidRPr="0044264A" w:rsidRDefault="00E578BE" w:rsidP="00E578BE">
      <w:pPr>
        <w:spacing w:after="0"/>
        <w:rPr>
          <w:rFonts w:ascii="Times New Roman" w:hAnsi="Times New Roman" w:cs="Times New Roman"/>
          <w:b/>
          <w:sz w:val="24"/>
          <w:szCs w:val="24"/>
          <w:u w:val="single"/>
        </w:rPr>
      </w:pPr>
      <w:r w:rsidRPr="0044264A">
        <w:rPr>
          <w:rFonts w:ascii="Times New Roman" w:hAnsi="Times New Roman" w:cs="Times New Roman"/>
          <w:b/>
          <w:sz w:val="24"/>
          <w:szCs w:val="24"/>
          <w:u w:val="single"/>
        </w:rPr>
        <w:t>Commission Determination</w:t>
      </w:r>
    </w:p>
    <w:p w:rsidR="00620A29" w:rsidRPr="00E578BE" w:rsidRDefault="00620A29" w:rsidP="00E578BE">
      <w:pPr>
        <w:spacing w:after="0"/>
        <w:rPr>
          <w:rFonts w:ascii="Times New Roman" w:hAnsi="Times New Roman" w:cs="Times New Roman"/>
          <w:b/>
          <w:sz w:val="24"/>
          <w:szCs w:val="24"/>
        </w:rPr>
      </w:pPr>
    </w:p>
    <w:p w:rsidR="00E578BE" w:rsidRDefault="00E578BE" w:rsidP="00E578BE">
      <w:pPr>
        <w:spacing w:after="0"/>
        <w:rPr>
          <w:rFonts w:ascii="Times New Roman" w:hAnsi="Times New Roman" w:cs="Times New Roman"/>
          <w:sz w:val="24"/>
          <w:szCs w:val="24"/>
        </w:rPr>
      </w:pPr>
      <w:r>
        <w:rPr>
          <w:rFonts w:ascii="Times New Roman" w:hAnsi="Times New Roman" w:cs="Times New Roman"/>
          <w:sz w:val="24"/>
          <w:szCs w:val="24"/>
        </w:rPr>
        <w:t>The Commission accepted NPCC’s response regarding the the</w:t>
      </w:r>
      <w:r w:rsidRPr="00E578BE">
        <w:rPr>
          <w:rFonts w:ascii="Times New Roman" w:hAnsi="Times New Roman" w:cs="Times New Roman"/>
          <w:sz w:val="24"/>
          <w:szCs w:val="24"/>
        </w:rPr>
        <w:t xml:space="preserve"> technical basis for the 57.8 Hz maximum frequency threshold trip setting for existing nuclear units, as set forth in Requirement R19.  </w:t>
      </w:r>
      <w:r>
        <w:rPr>
          <w:rFonts w:ascii="Times New Roman" w:hAnsi="Times New Roman" w:cs="Times New Roman"/>
          <w:sz w:val="24"/>
          <w:szCs w:val="24"/>
        </w:rPr>
        <w:t xml:space="preserve">The Commission found that </w:t>
      </w:r>
      <w:r w:rsidR="006446A2">
        <w:rPr>
          <w:rFonts w:ascii="Times New Roman" w:hAnsi="Times New Roman" w:cs="Times New Roman"/>
          <w:sz w:val="24"/>
          <w:szCs w:val="24"/>
        </w:rPr>
        <w:t>(</w:t>
      </w:r>
      <w:r>
        <w:rPr>
          <w:rFonts w:ascii="Times New Roman" w:hAnsi="Times New Roman" w:cs="Times New Roman"/>
          <w:sz w:val="24"/>
          <w:szCs w:val="24"/>
        </w:rPr>
        <w:t>a</w:t>
      </w:r>
      <w:r w:rsidRPr="00E578BE">
        <w:rPr>
          <w:rFonts w:ascii="Times New Roman" w:hAnsi="Times New Roman" w:cs="Times New Roman"/>
          <w:sz w:val="24"/>
          <w:szCs w:val="24"/>
        </w:rPr>
        <w:t>s exp</w:t>
      </w:r>
      <w:r w:rsidR="006446A2">
        <w:rPr>
          <w:rFonts w:ascii="Times New Roman" w:hAnsi="Times New Roman" w:cs="Times New Roman"/>
          <w:sz w:val="24"/>
          <w:szCs w:val="24"/>
        </w:rPr>
        <w:t>lained by NPCC)</w:t>
      </w:r>
      <w:r w:rsidRPr="00E578BE">
        <w:rPr>
          <w:rFonts w:ascii="Times New Roman" w:hAnsi="Times New Roman" w:cs="Times New Roman"/>
          <w:sz w:val="24"/>
          <w:szCs w:val="24"/>
        </w:rPr>
        <w:t xml:space="preserve"> a maximum frequency threshold trip setting of 57.8 Hz for existing nuclear units provides a margin of 0.2 Hz above the highest frequency at which the nuclear units in NPCC’s footprint are expected to trip by low coolant flow or underfrequency protection.  </w:t>
      </w:r>
      <w:r>
        <w:rPr>
          <w:rFonts w:ascii="Times New Roman" w:hAnsi="Times New Roman" w:cs="Times New Roman"/>
          <w:sz w:val="24"/>
          <w:szCs w:val="24"/>
        </w:rPr>
        <w:t>Furthermore, the Commission accepted NPCC’s response that a</w:t>
      </w:r>
      <w:r w:rsidRPr="00E578BE">
        <w:rPr>
          <w:rFonts w:ascii="Times New Roman" w:hAnsi="Times New Roman" w:cs="Times New Roman"/>
          <w:sz w:val="24"/>
          <w:szCs w:val="24"/>
        </w:rPr>
        <w:t>dherence to the 57.8 Hz limit should also result in islands with a 25% generation deficiency being able to survive and maintain automatic UFLS program requirements.</w:t>
      </w:r>
      <w:r w:rsidR="00056AB1">
        <w:rPr>
          <w:rFonts w:ascii="Times New Roman" w:hAnsi="Times New Roman" w:cs="Times New Roman"/>
          <w:sz w:val="24"/>
          <w:szCs w:val="24"/>
        </w:rPr>
        <w:t xml:space="preserve">  </w:t>
      </w:r>
    </w:p>
    <w:p w:rsidR="00056AB1" w:rsidRDefault="00056AB1" w:rsidP="00E578BE">
      <w:pPr>
        <w:spacing w:after="0"/>
        <w:rPr>
          <w:rFonts w:ascii="Times New Roman" w:hAnsi="Times New Roman" w:cs="Times New Roman"/>
          <w:sz w:val="24"/>
          <w:szCs w:val="24"/>
        </w:rPr>
      </w:pPr>
    </w:p>
    <w:p w:rsidR="00056AB1" w:rsidRDefault="00056AB1" w:rsidP="00E578BE">
      <w:pPr>
        <w:spacing w:after="0"/>
        <w:rPr>
          <w:rFonts w:ascii="Times New Roman" w:hAnsi="Times New Roman" w:cs="Times New Roman"/>
          <w:sz w:val="24"/>
          <w:szCs w:val="24"/>
        </w:rPr>
      </w:pPr>
      <w:r>
        <w:rPr>
          <w:rFonts w:ascii="Times New Roman" w:hAnsi="Times New Roman" w:cs="Times New Roman"/>
          <w:sz w:val="24"/>
          <w:szCs w:val="24"/>
        </w:rPr>
        <w:t xml:space="preserve">The Commission found that NPCC provided adequate justification for not including specific time-frames in Requirements </w:t>
      </w:r>
      <w:r w:rsidRPr="00056AB1">
        <w:rPr>
          <w:rFonts w:ascii="Times New Roman" w:hAnsi="Times New Roman" w:cs="Times New Roman"/>
          <w:sz w:val="24"/>
          <w:szCs w:val="24"/>
        </w:rPr>
        <w:t xml:space="preserve">R5, R16.2, and R19.3.  </w:t>
      </w:r>
      <w:r w:rsidR="00E33ACB">
        <w:rPr>
          <w:rFonts w:ascii="Times New Roman" w:hAnsi="Times New Roman" w:cs="Times New Roman"/>
          <w:sz w:val="24"/>
          <w:szCs w:val="24"/>
        </w:rPr>
        <w:t xml:space="preserve">According to </w:t>
      </w:r>
      <w:r w:rsidRPr="00056AB1">
        <w:rPr>
          <w:rFonts w:ascii="Times New Roman" w:hAnsi="Times New Roman" w:cs="Times New Roman"/>
          <w:sz w:val="24"/>
          <w:szCs w:val="24"/>
        </w:rPr>
        <w:t>NPCC</w:t>
      </w:r>
      <w:r w:rsidR="00E33ACB">
        <w:rPr>
          <w:rFonts w:ascii="Times New Roman" w:hAnsi="Times New Roman" w:cs="Times New Roman"/>
          <w:sz w:val="24"/>
          <w:szCs w:val="24"/>
        </w:rPr>
        <w:t xml:space="preserve">, </w:t>
      </w:r>
      <w:r w:rsidR="00E33ACB" w:rsidRPr="00056AB1">
        <w:rPr>
          <w:rFonts w:ascii="Times New Roman" w:hAnsi="Times New Roman" w:cs="Times New Roman"/>
          <w:sz w:val="24"/>
          <w:szCs w:val="24"/>
        </w:rPr>
        <w:t>these</w:t>
      </w:r>
      <w:r w:rsidRPr="00056AB1">
        <w:rPr>
          <w:rFonts w:ascii="Times New Roman" w:hAnsi="Times New Roman" w:cs="Times New Roman"/>
          <w:sz w:val="24"/>
          <w:szCs w:val="24"/>
        </w:rPr>
        <w:t xml:space="preserve"> Requirements apply to a limited number of existing nuclear and non-nuclear units whose performance characteristics are already incorporated in the </w:t>
      </w:r>
      <w:r w:rsidR="00E33ACB">
        <w:rPr>
          <w:rFonts w:ascii="Times New Roman" w:hAnsi="Times New Roman" w:cs="Times New Roman"/>
          <w:sz w:val="24"/>
          <w:szCs w:val="24"/>
        </w:rPr>
        <w:t xml:space="preserve">NPCC </w:t>
      </w:r>
      <w:r w:rsidR="006446A2">
        <w:rPr>
          <w:rFonts w:ascii="Times New Roman" w:hAnsi="Times New Roman" w:cs="Times New Roman"/>
          <w:sz w:val="24"/>
          <w:szCs w:val="24"/>
        </w:rPr>
        <w:t>regional UFLS program</w:t>
      </w:r>
      <w:r w:rsidRPr="00056AB1">
        <w:rPr>
          <w:rFonts w:ascii="Times New Roman" w:hAnsi="Times New Roman" w:cs="Times New Roman"/>
          <w:sz w:val="24"/>
          <w:szCs w:val="24"/>
        </w:rPr>
        <w:t xml:space="preserve"> and that planning coordinators within NPCC have the existing technical parameters necessary to incorporate existing unit attributes and compensatory load shedding information into their assessment.  NPCC further states that the absence of specific time-frames in these Requirements means that responsible entities must immediately notify planning coordinators upon identification of any non-conformance or changes to underfrequency settings pursuant to these Requirem</w:t>
      </w:r>
      <w:r w:rsidR="00E33ACB">
        <w:rPr>
          <w:rFonts w:ascii="Times New Roman" w:hAnsi="Times New Roman" w:cs="Times New Roman"/>
          <w:sz w:val="24"/>
          <w:szCs w:val="24"/>
        </w:rPr>
        <w:t>ents.  The Commission determined</w:t>
      </w:r>
      <w:r w:rsidRPr="00056AB1">
        <w:rPr>
          <w:rFonts w:ascii="Times New Roman" w:hAnsi="Times New Roman" w:cs="Times New Roman"/>
          <w:sz w:val="24"/>
          <w:szCs w:val="24"/>
        </w:rPr>
        <w:t xml:space="preserve"> that this satisfie</w:t>
      </w:r>
      <w:r w:rsidR="00E33ACB">
        <w:rPr>
          <w:rFonts w:ascii="Times New Roman" w:hAnsi="Times New Roman" w:cs="Times New Roman"/>
          <w:sz w:val="24"/>
          <w:szCs w:val="24"/>
        </w:rPr>
        <w:t>d</w:t>
      </w:r>
      <w:r w:rsidRPr="00056AB1">
        <w:rPr>
          <w:rFonts w:ascii="Times New Roman" w:hAnsi="Times New Roman" w:cs="Times New Roman"/>
          <w:sz w:val="24"/>
          <w:szCs w:val="24"/>
        </w:rPr>
        <w:t xml:space="preserve"> the concern raised in the NOPR.</w:t>
      </w:r>
      <w:r w:rsidR="00E33ACB">
        <w:rPr>
          <w:rFonts w:ascii="Times New Roman" w:hAnsi="Times New Roman" w:cs="Times New Roman"/>
          <w:sz w:val="24"/>
          <w:szCs w:val="24"/>
        </w:rPr>
        <w:t xml:space="preserve">  </w:t>
      </w:r>
    </w:p>
    <w:p w:rsidR="00E578BE" w:rsidRPr="0044264A" w:rsidRDefault="00E578BE" w:rsidP="00EB3E6F">
      <w:pPr>
        <w:spacing w:after="0"/>
        <w:rPr>
          <w:rFonts w:ascii="Times New Roman" w:hAnsi="Times New Roman" w:cs="Times New Roman"/>
          <w:sz w:val="24"/>
          <w:szCs w:val="24"/>
          <w:u w:val="single"/>
        </w:rPr>
      </w:pPr>
    </w:p>
    <w:p w:rsidR="00E578BE" w:rsidRPr="0044264A" w:rsidRDefault="0044264A" w:rsidP="00EB3E6F">
      <w:pPr>
        <w:spacing w:after="0"/>
        <w:rPr>
          <w:rFonts w:ascii="Times New Roman" w:hAnsi="Times New Roman" w:cs="Times New Roman"/>
          <w:b/>
          <w:sz w:val="24"/>
          <w:szCs w:val="24"/>
          <w:u w:val="single"/>
        </w:rPr>
      </w:pPr>
      <w:r w:rsidRPr="0044264A">
        <w:rPr>
          <w:rFonts w:ascii="Times New Roman" w:hAnsi="Times New Roman" w:cs="Times New Roman"/>
          <w:b/>
          <w:sz w:val="24"/>
          <w:szCs w:val="24"/>
          <w:u w:val="single"/>
        </w:rPr>
        <w:t>Comments</w:t>
      </w:r>
    </w:p>
    <w:p w:rsidR="00407D2C" w:rsidRDefault="00360AFB" w:rsidP="00EB3E6F">
      <w:pPr>
        <w:spacing w:after="0"/>
        <w:rPr>
          <w:rFonts w:ascii="Times New Roman" w:hAnsi="Times New Roman" w:cs="Times New Roman"/>
          <w:sz w:val="24"/>
          <w:szCs w:val="24"/>
        </w:rPr>
      </w:pPr>
      <w:r w:rsidRPr="00360AFB">
        <w:rPr>
          <w:rFonts w:ascii="Times New Roman" w:hAnsi="Times New Roman" w:cs="Times New Roman"/>
          <w:sz w:val="24"/>
          <w:szCs w:val="24"/>
        </w:rPr>
        <w:lastRenderedPageBreak/>
        <w:t>Reliability Standard PRC-006-NPCC-1, Requirements R3, R16 and R18, addres</w:t>
      </w:r>
      <w:r>
        <w:rPr>
          <w:rFonts w:ascii="Times New Roman" w:hAnsi="Times New Roman" w:cs="Times New Roman"/>
          <w:sz w:val="24"/>
          <w:szCs w:val="24"/>
        </w:rPr>
        <w:t xml:space="preserve">s compensatory load shedding.  </w:t>
      </w:r>
      <w:r w:rsidR="006446A2">
        <w:rPr>
          <w:rFonts w:ascii="Times New Roman" w:hAnsi="Times New Roman" w:cs="Times New Roman"/>
          <w:sz w:val="24"/>
          <w:szCs w:val="24"/>
        </w:rPr>
        <w:t>Particularly</w:t>
      </w:r>
      <w:r w:rsidRPr="00360AFB">
        <w:rPr>
          <w:rFonts w:ascii="Times New Roman" w:hAnsi="Times New Roman" w:cs="Times New Roman"/>
          <w:sz w:val="24"/>
          <w:szCs w:val="24"/>
        </w:rPr>
        <w:t>, Requirement R16.3 requires generator owners of existing non-nuclear units that have non-conforming underfrequency protection set points to, among other things, “[h]</w:t>
      </w:r>
      <w:proofErr w:type="spellStart"/>
      <w:r w:rsidRPr="00360AFB">
        <w:rPr>
          <w:rFonts w:ascii="Times New Roman" w:hAnsi="Times New Roman" w:cs="Times New Roman"/>
          <w:sz w:val="24"/>
          <w:szCs w:val="24"/>
        </w:rPr>
        <w:t>ave</w:t>
      </w:r>
      <w:proofErr w:type="spellEnd"/>
      <w:r w:rsidRPr="00360AFB">
        <w:rPr>
          <w:rFonts w:ascii="Times New Roman" w:hAnsi="Times New Roman" w:cs="Times New Roman"/>
          <w:sz w:val="24"/>
          <w:szCs w:val="24"/>
        </w:rPr>
        <w:t xml:space="preserve"> compensatory load shedding, as provided by a Distribution Provider or Transmission Owner that is adequate to compensate for the loss of their generator due to early tripping.”  Requirement R18 requires that “[e]ach Generator Owner, Distribution Provider or Transmission Owner within the Planning Coordinator area of ISO-NE or the New York ISO shall apply the criteria described in Attachment B to determine the compensatory load shedding that is required in Requirement R16.3 for generating units in its respective NPCC area.”  Attachment B, Section 2.5, provides that the “amount of compensatory load shedding shall be equivalent (±5%) to the average net generator megawatt output for the prior two calendar years, as specified by the Planning Coordinator, plus expected station loads to be transferred to the system upon loss of the facility.”</w:t>
      </w:r>
      <w:r>
        <w:rPr>
          <w:rFonts w:ascii="Times New Roman" w:hAnsi="Times New Roman" w:cs="Times New Roman"/>
          <w:sz w:val="24"/>
          <w:szCs w:val="24"/>
        </w:rPr>
        <w:t xml:space="preserve">  </w:t>
      </w:r>
    </w:p>
    <w:p w:rsidR="00360AFB" w:rsidRDefault="00360AFB" w:rsidP="00EB3E6F">
      <w:pPr>
        <w:spacing w:after="0"/>
        <w:rPr>
          <w:rFonts w:ascii="Times New Roman" w:hAnsi="Times New Roman" w:cs="Times New Roman"/>
          <w:sz w:val="24"/>
          <w:szCs w:val="24"/>
        </w:rPr>
      </w:pPr>
    </w:p>
    <w:p w:rsidR="00360AFB" w:rsidRPr="00360AFB" w:rsidRDefault="00360AFB" w:rsidP="00360AFB">
      <w:pPr>
        <w:spacing w:after="0"/>
        <w:rPr>
          <w:rFonts w:ascii="Times New Roman" w:hAnsi="Times New Roman" w:cs="Times New Roman"/>
          <w:sz w:val="24"/>
          <w:szCs w:val="24"/>
        </w:rPr>
      </w:pPr>
      <w:r w:rsidRPr="00360AFB">
        <w:rPr>
          <w:rFonts w:ascii="Times New Roman" w:hAnsi="Times New Roman" w:cs="Times New Roman"/>
          <w:sz w:val="24"/>
          <w:szCs w:val="24"/>
        </w:rPr>
        <w:t xml:space="preserve">Dominion </w:t>
      </w:r>
      <w:r>
        <w:rPr>
          <w:rFonts w:ascii="Times New Roman" w:hAnsi="Times New Roman" w:cs="Times New Roman"/>
          <w:sz w:val="24"/>
          <w:szCs w:val="24"/>
        </w:rPr>
        <w:t>commented that</w:t>
      </w:r>
      <w:r w:rsidRPr="00360AFB">
        <w:rPr>
          <w:rFonts w:ascii="Times New Roman" w:hAnsi="Times New Roman" w:cs="Times New Roman"/>
          <w:sz w:val="24"/>
          <w:szCs w:val="24"/>
        </w:rPr>
        <w:t xml:space="preserve"> there are technical difficulties associated with Requirements R16.3 and R18.  Dominion state</w:t>
      </w:r>
      <w:r w:rsidR="004019D6">
        <w:rPr>
          <w:rFonts w:ascii="Times New Roman" w:hAnsi="Times New Roman" w:cs="Times New Roman"/>
          <w:sz w:val="24"/>
          <w:szCs w:val="24"/>
        </w:rPr>
        <w:t>d</w:t>
      </w:r>
      <w:r w:rsidRPr="00360AFB">
        <w:rPr>
          <w:rFonts w:ascii="Times New Roman" w:hAnsi="Times New Roman" w:cs="Times New Roman"/>
          <w:sz w:val="24"/>
          <w:szCs w:val="24"/>
        </w:rPr>
        <w:t xml:space="preserve"> that shedding additional load equivalent to a non-conforming generator would be extremely difficult to design and coordinate and that the design would have to account for the real-time status and output of the generator.  Dominion also states that Requirements R16.3 and R18 are unreasonable because they require non-conforming generators to procure compensatory load shedding service for which Dominion has found no willing provider.  Dominion maintains that, as a result, the regional Reliability Standard cannot be practically implemented and may have an adverse impact on the Bulk-Power System.  In addition, Dominion observes that several entities raised concerns with the compensatory load shedding provisions during the regional Reliability Standard drafting process.  Dominion also maintains that Order No. 763, in which the Commission approved the continent-wide NERC UFLS Reliability Standard PRC-006-1, supports Dominion’s position that it is inappropriate for the regional Reliability Standard “to require a non-conforming generator to obtain compensating load shedding as it is ultimately the planning coordinators responsibility to design the UFLS system to account for such generator.” </w:t>
      </w:r>
    </w:p>
    <w:p w:rsidR="004019D6" w:rsidRDefault="004019D6" w:rsidP="00360AFB">
      <w:pPr>
        <w:spacing w:after="0"/>
        <w:rPr>
          <w:rFonts w:ascii="Times New Roman" w:hAnsi="Times New Roman" w:cs="Times New Roman"/>
          <w:sz w:val="24"/>
          <w:szCs w:val="24"/>
        </w:rPr>
      </w:pPr>
    </w:p>
    <w:p w:rsidR="00360AFB" w:rsidRPr="00360AFB" w:rsidRDefault="004019D6" w:rsidP="00360AFB">
      <w:pPr>
        <w:spacing w:after="0"/>
        <w:rPr>
          <w:rFonts w:ascii="Times New Roman" w:hAnsi="Times New Roman" w:cs="Times New Roman"/>
          <w:sz w:val="24"/>
          <w:szCs w:val="24"/>
        </w:rPr>
      </w:pPr>
      <w:r>
        <w:rPr>
          <w:rFonts w:ascii="Times New Roman" w:hAnsi="Times New Roman" w:cs="Times New Roman"/>
          <w:sz w:val="24"/>
          <w:szCs w:val="24"/>
        </w:rPr>
        <w:t>PSEG stated</w:t>
      </w:r>
      <w:r w:rsidR="00360AFB" w:rsidRPr="00360AFB">
        <w:rPr>
          <w:rFonts w:ascii="Times New Roman" w:hAnsi="Times New Roman" w:cs="Times New Roman"/>
          <w:sz w:val="24"/>
          <w:szCs w:val="24"/>
        </w:rPr>
        <w:t xml:space="preserve"> that it is inappropriate for planning coordinators to assign responsibility for compensatory load shedding, asserting that it is inconsistent with Order No. 763.  PSEG also contend that the regional Reliability Standard contravenes the prohibition in FPA section 215 against setting standards for “adequacy or safety of electric facilities or services” because the regional Reliability Standard requires generator owners with existing non-conforming units to construct additional capacity or acquire off-setting UFLS at their expense.   PSEG also states that Requirement R16 imposes obligations upon generator owners that are absent from the NERC Reliability Functional Model.   PSEG states that one of the tasks of a generator owner is to “[p]</w:t>
      </w:r>
      <w:proofErr w:type="spellStart"/>
      <w:r w:rsidR="00360AFB" w:rsidRPr="00360AFB">
        <w:rPr>
          <w:rFonts w:ascii="Times New Roman" w:hAnsi="Times New Roman" w:cs="Times New Roman"/>
          <w:sz w:val="24"/>
          <w:szCs w:val="24"/>
        </w:rPr>
        <w:t>rovide</w:t>
      </w:r>
      <w:proofErr w:type="spellEnd"/>
      <w:r w:rsidR="00360AFB" w:rsidRPr="00360AFB">
        <w:rPr>
          <w:rFonts w:ascii="Times New Roman" w:hAnsi="Times New Roman" w:cs="Times New Roman"/>
          <w:sz w:val="24"/>
          <w:szCs w:val="24"/>
        </w:rPr>
        <w:t xml:space="preserve"> verified generating facility performance characteristics/data,” but that there is no </w:t>
      </w:r>
      <w:r w:rsidR="00360AFB" w:rsidRPr="00360AFB">
        <w:rPr>
          <w:rFonts w:ascii="Times New Roman" w:hAnsi="Times New Roman" w:cs="Times New Roman"/>
          <w:sz w:val="24"/>
          <w:szCs w:val="24"/>
        </w:rPr>
        <w:lastRenderedPageBreak/>
        <w:t xml:space="preserve">obligation for generators to compensate other entities for performance that does not meet a specific level.  PSEG further states that distribution providers and transmission owners in NPCC do not have tariffs in place that would permit them to charge and/or provide generator owners with compensatory load shedding.  </w:t>
      </w:r>
    </w:p>
    <w:p w:rsidR="004019D6" w:rsidRDefault="004019D6" w:rsidP="00360AFB">
      <w:pPr>
        <w:spacing w:after="0"/>
        <w:rPr>
          <w:rFonts w:ascii="Times New Roman" w:hAnsi="Times New Roman" w:cs="Times New Roman"/>
          <w:sz w:val="24"/>
          <w:szCs w:val="24"/>
        </w:rPr>
      </w:pPr>
    </w:p>
    <w:p w:rsidR="00360AFB" w:rsidRPr="00360AFB" w:rsidRDefault="00360AFB" w:rsidP="00360AFB">
      <w:pPr>
        <w:spacing w:after="0"/>
        <w:rPr>
          <w:rFonts w:ascii="Times New Roman" w:hAnsi="Times New Roman" w:cs="Times New Roman"/>
          <w:sz w:val="24"/>
          <w:szCs w:val="24"/>
        </w:rPr>
      </w:pPr>
      <w:r w:rsidRPr="00360AFB">
        <w:rPr>
          <w:rFonts w:ascii="Times New Roman" w:hAnsi="Times New Roman" w:cs="Times New Roman"/>
          <w:sz w:val="24"/>
          <w:szCs w:val="24"/>
        </w:rPr>
        <w:t xml:space="preserve">In reply to Dominion’s and PSEG’s comments, NPCC states that the regional Reliability Standard drafting team considered comments regarding the difficulty of designing and coordinating the shedding of load equivalent to a non-conforming generator, but that the overarching reliability objective of re-establishing a balance between load and generation during possible islanding events made shedding additional load necessary.  NPCC states that it is impractical to expect an exact match between compensatory load shedding and unit output but maintains that compensatory load shedding based on an average megawatt output, as provided in Attachment B, aligns the amount of compensatory load shedding with the unit output most likely to be lost when the unit trips prematurely.  NPCC further states that requiring compensatory load shedding based on a two year average net generator megawatt output is an effective approach to integrating small non-conforming generators into the design of a UFLS program.  In addition, NPCC observes that that Regional Criteria requiring non-conforming generation to secure compensatory load shedding preexist the development of the regional Reliability Standard and that it is a cost effective alternative for generators.  With respect to Order No. 763, NPCC states that the regional Reliability Standard is consistent with the Commission’s determination that it is appropriate for planning coordinators to consider generators that trip outside of the UFLS set points.  </w:t>
      </w:r>
    </w:p>
    <w:p w:rsidR="004019D6" w:rsidRDefault="004019D6" w:rsidP="00360AFB">
      <w:pPr>
        <w:spacing w:after="0"/>
        <w:rPr>
          <w:rFonts w:ascii="Times New Roman" w:hAnsi="Times New Roman" w:cs="Times New Roman"/>
          <w:sz w:val="24"/>
          <w:szCs w:val="24"/>
        </w:rPr>
      </w:pPr>
    </w:p>
    <w:p w:rsidR="00360AFB" w:rsidRPr="00360AFB" w:rsidRDefault="00360AFB" w:rsidP="00360AFB">
      <w:pPr>
        <w:spacing w:after="0"/>
        <w:rPr>
          <w:rFonts w:ascii="Times New Roman" w:hAnsi="Times New Roman" w:cs="Times New Roman"/>
          <w:sz w:val="24"/>
          <w:szCs w:val="24"/>
        </w:rPr>
      </w:pPr>
      <w:r w:rsidRPr="00360AFB">
        <w:rPr>
          <w:rFonts w:ascii="Times New Roman" w:hAnsi="Times New Roman" w:cs="Times New Roman"/>
          <w:sz w:val="24"/>
          <w:szCs w:val="24"/>
        </w:rPr>
        <w:t xml:space="preserve">NPCC maintains that the regional Reliability Standard Requirements R1 and R3 are “only intended to communicate the results of locational assessments, and there is no obligation to obtain compensatory load shedding based solely on this information nor does the Planning Coordinator determine whether mitigation is necessary or who will be responsible for providing mitigation.”   NPCC states that compensatory load shedding is merely an option to bring non-conforming generators into compliance.  In response to comments regarding the absence of tariffs that permit for compensatory load shedding service, NPCC states that such concerns are tempered by the fact that all new generators, going forward, must conform with the underfrequency trip performance characteristics in the regional Reliability Standard and that compensatory load shedding only potentially impacts existing, non-conforming, non-nuclear units.  </w:t>
      </w:r>
    </w:p>
    <w:p w:rsidR="004019D6" w:rsidRDefault="004019D6" w:rsidP="00360AFB">
      <w:pPr>
        <w:spacing w:after="0"/>
        <w:rPr>
          <w:rFonts w:ascii="Times New Roman" w:hAnsi="Times New Roman" w:cs="Times New Roman"/>
          <w:sz w:val="24"/>
          <w:szCs w:val="24"/>
        </w:rPr>
      </w:pPr>
    </w:p>
    <w:p w:rsidR="00360AFB" w:rsidRPr="00360AFB" w:rsidRDefault="004019D6" w:rsidP="00360AFB">
      <w:pPr>
        <w:spacing w:after="0"/>
        <w:rPr>
          <w:rFonts w:ascii="Times New Roman" w:hAnsi="Times New Roman" w:cs="Times New Roman"/>
          <w:sz w:val="24"/>
          <w:szCs w:val="24"/>
        </w:rPr>
      </w:pPr>
      <w:r>
        <w:rPr>
          <w:rFonts w:ascii="Times New Roman" w:hAnsi="Times New Roman" w:cs="Times New Roman"/>
          <w:sz w:val="24"/>
          <w:szCs w:val="24"/>
        </w:rPr>
        <w:t>NPCC further stated</w:t>
      </w:r>
      <w:r w:rsidR="00360AFB" w:rsidRPr="00360AFB">
        <w:rPr>
          <w:rFonts w:ascii="Times New Roman" w:hAnsi="Times New Roman" w:cs="Times New Roman"/>
          <w:sz w:val="24"/>
          <w:szCs w:val="24"/>
        </w:rPr>
        <w:t xml:space="preserve"> that the existing compensatory load shedding requirements are presently contained in NPCC Directory #12 and “have been successfully </w:t>
      </w:r>
      <w:r>
        <w:rPr>
          <w:rFonts w:ascii="Times New Roman" w:hAnsi="Times New Roman" w:cs="Times New Roman"/>
          <w:sz w:val="24"/>
          <w:szCs w:val="24"/>
        </w:rPr>
        <w:t xml:space="preserve">implemented within the region, </w:t>
      </w:r>
      <w:r w:rsidR="00360AFB" w:rsidRPr="00360AFB">
        <w:rPr>
          <w:rFonts w:ascii="Times New Roman" w:hAnsi="Times New Roman" w:cs="Times New Roman"/>
          <w:sz w:val="24"/>
          <w:szCs w:val="24"/>
        </w:rPr>
        <w:t xml:space="preserve">and non-conforming generators that are already interconnected either have existing contracts to provide compensatory load shedding or have mitigated the conditions that would trip the unit </w:t>
      </w:r>
      <w:r w:rsidR="00360AFB" w:rsidRPr="00360AFB">
        <w:rPr>
          <w:rFonts w:ascii="Times New Roman" w:hAnsi="Times New Roman" w:cs="Times New Roman"/>
          <w:sz w:val="24"/>
          <w:szCs w:val="24"/>
        </w:rPr>
        <w:lastRenderedPageBreak/>
        <w:t>above the performance curve in order to comply</w:t>
      </w:r>
      <w:r>
        <w:rPr>
          <w:rFonts w:ascii="Times New Roman" w:hAnsi="Times New Roman" w:cs="Times New Roman"/>
          <w:sz w:val="24"/>
          <w:szCs w:val="24"/>
        </w:rPr>
        <w:t xml:space="preserve"> with the Regional Criteria.”  NPCC states that w</w:t>
      </w:r>
      <w:r w:rsidR="00360AFB" w:rsidRPr="00360AFB">
        <w:rPr>
          <w:rFonts w:ascii="Times New Roman" w:hAnsi="Times New Roman" w:cs="Times New Roman"/>
          <w:sz w:val="24"/>
          <w:szCs w:val="24"/>
        </w:rPr>
        <w:t>ith respect to FPA s</w:t>
      </w:r>
      <w:r>
        <w:rPr>
          <w:rFonts w:ascii="Times New Roman" w:hAnsi="Times New Roman" w:cs="Times New Roman"/>
          <w:sz w:val="24"/>
          <w:szCs w:val="24"/>
        </w:rPr>
        <w:t xml:space="preserve">ection 215, </w:t>
      </w:r>
      <w:r w:rsidR="00360AFB" w:rsidRPr="00360AFB">
        <w:rPr>
          <w:rFonts w:ascii="Times New Roman" w:hAnsi="Times New Roman" w:cs="Times New Roman"/>
          <w:sz w:val="24"/>
          <w:szCs w:val="24"/>
        </w:rPr>
        <w:t>compensatory load shedding does not present a resource adequacy issue but, instead, addresses a generating unit’s ability to perform, with the generator having the option of meeting the performance curve, mitigating the operating condition, or obtaining compensatory load shedding.  With respect to the NERC Reliability Functional Model, NPCC states that the absence of a task within the functional model does not preclude assigning a new or existing task based on a new or revised Reliability Standard.  NPCC states that the functional model only defines the functions that must be performed to ensure the reliability of the bulk electric system and should not be used to restrict a reliability-related activity or Reliability Standard requirements.</w:t>
      </w:r>
    </w:p>
    <w:p w:rsidR="004019D6" w:rsidRDefault="004019D6" w:rsidP="00360AFB">
      <w:pPr>
        <w:spacing w:after="0"/>
        <w:rPr>
          <w:rFonts w:ascii="Times New Roman" w:hAnsi="Times New Roman" w:cs="Times New Roman"/>
          <w:sz w:val="24"/>
          <w:szCs w:val="24"/>
        </w:rPr>
      </w:pPr>
    </w:p>
    <w:p w:rsidR="00360AFB" w:rsidRDefault="00360AFB" w:rsidP="00360AFB">
      <w:pPr>
        <w:spacing w:after="0"/>
        <w:rPr>
          <w:rFonts w:ascii="Times New Roman" w:hAnsi="Times New Roman" w:cs="Times New Roman"/>
          <w:sz w:val="24"/>
          <w:szCs w:val="24"/>
        </w:rPr>
      </w:pPr>
      <w:r w:rsidRPr="00360AFB">
        <w:rPr>
          <w:rFonts w:ascii="Times New Roman" w:hAnsi="Times New Roman" w:cs="Times New Roman"/>
          <w:sz w:val="24"/>
          <w:szCs w:val="24"/>
        </w:rPr>
        <w:t>In reply to Dominion’s and PSEG’s comments, NERC states it never intended to suggest that it is inappropriate for planning coordinators to determine whether mitigation is necessary and who will provide mitigation with respect to generators that trip outside the UFLS set points in UFLS programs.  NERC states that “[o]n the contrary, the Planning Coordinator is one of the functional entities with responsibility for maintaining the reliability of the Bulk-Power System.”   NERC maintains that it has stated that it is inappropriate for a Reliability Standard to supplant the planning coordinator’s role in establishing UFLS program requirements.  However, NERC states that regional Reliability Standard PRC-006-NPCC-1 “reflects the NPCC Planning Coordinators’ collective assessment of h</w:t>
      </w:r>
      <w:r w:rsidR="004019D6">
        <w:rPr>
          <w:rFonts w:ascii="Times New Roman" w:hAnsi="Times New Roman" w:cs="Times New Roman"/>
          <w:sz w:val="24"/>
          <w:szCs w:val="24"/>
        </w:rPr>
        <w:t xml:space="preserve">ow to address this concern.”  </w:t>
      </w:r>
      <w:r w:rsidRPr="00360AFB">
        <w:rPr>
          <w:rFonts w:ascii="Times New Roman" w:hAnsi="Times New Roman" w:cs="Times New Roman"/>
          <w:sz w:val="24"/>
          <w:szCs w:val="24"/>
        </w:rPr>
        <w:t xml:space="preserve">Further, NERC claims that the technical concerns raised in the comments are overstated.  NERC states that concerns “regarding potential overfrequency excursions due to overcompensating when a generating unit with non-conforming trip setting is off-line would be appropriate if compensatory </w:t>
      </w:r>
      <w:r w:rsidR="004019D6" w:rsidRPr="00360AFB">
        <w:rPr>
          <w:rFonts w:ascii="Times New Roman" w:hAnsi="Times New Roman" w:cs="Times New Roman"/>
          <w:sz w:val="24"/>
          <w:szCs w:val="24"/>
        </w:rPr>
        <w:t>load shedding</w:t>
      </w:r>
      <w:r w:rsidRPr="00360AFB">
        <w:rPr>
          <w:rFonts w:ascii="Times New Roman" w:hAnsi="Times New Roman" w:cs="Times New Roman"/>
          <w:sz w:val="24"/>
          <w:szCs w:val="24"/>
        </w:rPr>
        <w:t xml:space="preserve"> was applied to large generating units or if the provision was open-ended with applicability to future generating units not studied by the Planning Coordinator.”   NERC observes that the compensatory load shedding provisions in the regional Reliability Standard, by contrast, are limited to a “defined amount of generating capacity that is included in Planning Coordinator assessments, [and] does not jeopardize reliability of the Bulk-Power System.”</w:t>
      </w:r>
    </w:p>
    <w:p w:rsidR="004019D6" w:rsidRDefault="004019D6" w:rsidP="00360AFB">
      <w:pPr>
        <w:spacing w:after="0"/>
        <w:rPr>
          <w:rFonts w:ascii="Times New Roman" w:hAnsi="Times New Roman" w:cs="Times New Roman"/>
          <w:sz w:val="24"/>
          <w:szCs w:val="24"/>
        </w:rPr>
      </w:pPr>
    </w:p>
    <w:p w:rsidR="004019D6" w:rsidRDefault="004019D6" w:rsidP="00360AFB">
      <w:pPr>
        <w:spacing w:after="0"/>
        <w:rPr>
          <w:rFonts w:ascii="Times New Roman" w:hAnsi="Times New Roman" w:cs="Times New Roman"/>
          <w:b/>
          <w:sz w:val="24"/>
          <w:szCs w:val="24"/>
          <w:u w:val="single"/>
        </w:rPr>
      </w:pPr>
      <w:r w:rsidRPr="004019D6">
        <w:rPr>
          <w:rFonts w:ascii="Times New Roman" w:hAnsi="Times New Roman" w:cs="Times New Roman"/>
          <w:b/>
          <w:sz w:val="24"/>
          <w:szCs w:val="24"/>
          <w:u w:val="single"/>
        </w:rPr>
        <w:t>Commission Determination</w:t>
      </w:r>
    </w:p>
    <w:p w:rsidR="004019D6" w:rsidRDefault="004019D6" w:rsidP="00360AFB">
      <w:pPr>
        <w:spacing w:after="0"/>
        <w:rPr>
          <w:rFonts w:ascii="Times New Roman" w:hAnsi="Times New Roman" w:cs="Times New Roman"/>
          <w:b/>
          <w:sz w:val="24"/>
          <w:szCs w:val="24"/>
          <w:u w:val="single"/>
        </w:rPr>
      </w:pPr>
    </w:p>
    <w:p w:rsidR="00F471CD" w:rsidRDefault="00523CE6" w:rsidP="00523CE6">
      <w:pPr>
        <w:spacing w:after="0"/>
        <w:rPr>
          <w:rFonts w:ascii="Times New Roman" w:hAnsi="Times New Roman" w:cs="Times New Roman"/>
          <w:sz w:val="24"/>
          <w:szCs w:val="24"/>
        </w:rPr>
      </w:pPr>
      <w:r w:rsidRPr="00523CE6">
        <w:rPr>
          <w:rFonts w:ascii="Times New Roman" w:hAnsi="Times New Roman" w:cs="Times New Roman"/>
          <w:sz w:val="24"/>
          <w:szCs w:val="24"/>
        </w:rPr>
        <w:t>The Commission reject</w:t>
      </w:r>
      <w:r>
        <w:rPr>
          <w:rFonts w:ascii="Times New Roman" w:hAnsi="Times New Roman" w:cs="Times New Roman"/>
          <w:sz w:val="24"/>
          <w:szCs w:val="24"/>
        </w:rPr>
        <w:t>ed</w:t>
      </w:r>
      <w:r w:rsidRPr="00523CE6">
        <w:rPr>
          <w:rFonts w:ascii="Times New Roman" w:hAnsi="Times New Roman" w:cs="Times New Roman"/>
          <w:sz w:val="24"/>
          <w:szCs w:val="24"/>
        </w:rPr>
        <w:t xml:space="preserve"> the protests made by Dominion and PSEG regarding the compensatory load shedding provisions of regional Reliability Standard PRC-006-NPCC-1.  NPCC states that generators already comply with the compensatory load shedding requirements in NPCC Directory #12, which is not disputed by Dominion and PSEG.  While Dominion maintains that the regional Reliability Standard will require more generators (i.e., non-NPCC Full Members) to comply with the compensatory load shedding requirement, the fact that there are generators who do so now refutes the assertion that the requirement is technical</w:t>
      </w:r>
      <w:r>
        <w:rPr>
          <w:rFonts w:ascii="Times New Roman" w:hAnsi="Times New Roman" w:cs="Times New Roman"/>
          <w:sz w:val="24"/>
          <w:szCs w:val="24"/>
        </w:rPr>
        <w:t xml:space="preserve">ly or practically infeasible.  The Commission also </w:t>
      </w:r>
      <w:r w:rsidRPr="00523CE6">
        <w:rPr>
          <w:rFonts w:ascii="Times New Roman" w:hAnsi="Times New Roman" w:cs="Times New Roman"/>
          <w:sz w:val="24"/>
          <w:szCs w:val="24"/>
        </w:rPr>
        <w:t>agree</w:t>
      </w:r>
      <w:r>
        <w:rPr>
          <w:rFonts w:ascii="Times New Roman" w:hAnsi="Times New Roman" w:cs="Times New Roman"/>
          <w:sz w:val="24"/>
          <w:szCs w:val="24"/>
        </w:rPr>
        <w:t>d</w:t>
      </w:r>
      <w:r w:rsidRPr="00523CE6">
        <w:rPr>
          <w:rFonts w:ascii="Times New Roman" w:hAnsi="Times New Roman" w:cs="Times New Roman"/>
          <w:sz w:val="24"/>
          <w:szCs w:val="24"/>
        </w:rPr>
        <w:t xml:space="preserve"> with NERC that the concerns regarding overfrequency excursions due </w:t>
      </w:r>
      <w:r w:rsidRPr="00523CE6">
        <w:rPr>
          <w:rFonts w:ascii="Times New Roman" w:hAnsi="Times New Roman" w:cs="Times New Roman"/>
          <w:sz w:val="24"/>
          <w:szCs w:val="24"/>
        </w:rPr>
        <w:lastRenderedPageBreak/>
        <w:t xml:space="preserve">to overcompensating for loss of off-line units might be valid </w:t>
      </w:r>
      <w:r w:rsidR="00F471CD">
        <w:rPr>
          <w:rFonts w:ascii="Times New Roman" w:hAnsi="Times New Roman" w:cs="Times New Roman"/>
          <w:sz w:val="24"/>
          <w:szCs w:val="24"/>
        </w:rPr>
        <w:t xml:space="preserve">only </w:t>
      </w:r>
      <w:r w:rsidRPr="00523CE6">
        <w:rPr>
          <w:rFonts w:ascii="Times New Roman" w:hAnsi="Times New Roman" w:cs="Times New Roman"/>
          <w:sz w:val="24"/>
          <w:szCs w:val="24"/>
        </w:rPr>
        <w:t xml:space="preserve">if compensatory load shedding was applied to large generating units or to new generating units, but that is not the case here since compensatory load shedding only applies to existing, non-conforming, non-nuclear units.  </w:t>
      </w:r>
      <w:r w:rsidR="00F471CD">
        <w:rPr>
          <w:rFonts w:ascii="Times New Roman" w:hAnsi="Times New Roman" w:cs="Times New Roman"/>
          <w:sz w:val="24"/>
          <w:szCs w:val="24"/>
        </w:rPr>
        <w:t>Th</w:t>
      </w:r>
      <w:r w:rsidRPr="00523CE6">
        <w:rPr>
          <w:rFonts w:ascii="Times New Roman" w:hAnsi="Times New Roman" w:cs="Times New Roman"/>
          <w:sz w:val="24"/>
          <w:szCs w:val="24"/>
        </w:rPr>
        <w:t>e</w:t>
      </w:r>
      <w:r w:rsidR="00F471CD">
        <w:rPr>
          <w:rFonts w:ascii="Times New Roman" w:hAnsi="Times New Roman" w:cs="Times New Roman"/>
          <w:sz w:val="24"/>
          <w:szCs w:val="24"/>
        </w:rPr>
        <w:t xml:space="preserve"> Commission also</w:t>
      </w:r>
      <w:r w:rsidRPr="00523CE6">
        <w:rPr>
          <w:rFonts w:ascii="Times New Roman" w:hAnsi="Times New Roman" w:cs="Times New Roman"/>
          <w:sz w:val="24"/>
          <w:szCs w:val="24"/>
        </w:rPr>
        <w:t xml:space="preserve"> agree</w:t>
      </w:r>
      <w:r w:rsidR="00F471CD">
        <w:rPr>
          <w:rFonts w:ascii="Times New Roman" w:hAnsi="Times New Roman" w:cs="Times New Roman"/>
          <w:sz w:val="24"/>
          <w:szCs w:val="24"/>
        </w:rPr>
        <w:t>d</w:t>
      </w:r>
      <w:r w:rsidRPr="00523CE6">
        <w:rPr>
          <w:rFonts w:ascii="Times New Roman" w:hAnsi="Times New Roman" w:cs="Times New Roman"/>
          <w:sz w:val="24"/>
          <w:szCs w:val="24"/>
        </w:rPr>
        <w:t xml:space="preserve"> with NPCC that the NERC Reliability Functional Model does not preclude the assignment of a new or revised task in a Reliability Standard, such as to generator owners.  </w:t>
      </w:r>
      <w:r w:rsidR="00F471CD">
        <w:rPr>
          <w:rFonts w:ascii="Times New Roman" w:hAnsi="Times New Roman" w:cs="Times New Roman"/>
          <w:sz w:val="24"/>
          <w:szCs w:val="24"/>
        </w:rPr>
        <w:t>The Commission disagreed with</w:t>
      </w:r>
      <w:r w:rsidRPr="00523CE6">
        <w:rPr>
          <w:rFonts w:ascii="Times New Roman" w:hAnsi="Times New Roman" w:cs="Times New Roman"/>
          <w:sz w:val="24"/>
          <w:szCs w:val="24"/>
        </w:rPr>
        <w:t xml:space="preserve"> Dominion and PSEG that the regional Reliability Standard is in</w:t>
      </w:r>
      <w:r w:rsidR="00F471CD">
        <w:rPr>
          <w:rFonts w:ascii="Times New Roman" w:hAnsi="Times New Roman" w:cs="Times New Roman"/>
          <w:sz w:val="24"/>
          <w:szCs w:val="24"/>
        </w:rPr>
        <w:t>consistent with Order No. 763, and agreed</w:t>
      </w:r>
      <w:r w:rsidRPr="00523CE6">
        <w:rPr>
          <w:rFonts w:ascii="Times New Roman" w:hAnsi="Times New Roman" w:cs="Times New Roman"/>
          <w:sz w:val="24"/>
          <w:szCs w:val="24"/>
        </w:rPr>
        <w:t xml:space="preserve"> with NERC that, while it is inappropriate for a continent-wide Reliability Standard to supplant the planning coordinator’s role in establishing UFLS program requirements, the regional Reliability Standard PRC-006-NPCC-1 incorporates the NPCC’s planning coordinators’ views and experience</w:t>
      </w:r>
      <w:r w:rsidR="00F471CD">
        <w:rPr>
          <w:rFonts w:ascii="Times New Roman" w:hAnsi="Times New Roman" w:cs="Times New Roman"/>
          <w:sz w:val="24"/>
          <w:szCs w:val="24"/>
        </w:rPr>
        <w:t xml:space="preserve">.  </w:t>
      </w:r>
    </w:p>
    <w:p w:rsidR="00F471CD" w:rsidRDefault="00F471CD" w:rsidP="00523CE6">
      <w:pPr>
        <w:spacing w:after="0"/>
        <w:rPr>
          <w:rFonts w:ascii="Times New Roman" w:hAnsi="Times New Roman" w:cs="Times New Roman"/>
          <w:sz w:val="24"/>
          <w:szCs w:val="24"/>
        </w:rPr>
      </w:pPr>
    </w:p>
    <w:p w:rsidR="004019D6" w:rsidRPr="00523CE6" w:rsidRDefault="00523CE6" w:rsidP="00523CE6">
      <w:pPr>
        <w:spacing w:after="0"/>
        <w:rPr>
          <w:rFonts w:ascii="Times New Roman" w:hAnsi="Times New Roman" w:cs="Times New Roman"/>
          <w:sz w:val="24"/>
          <w:szCs w:val="24"/>
        </w:rPr>
      </w:pPr>
      <w:r w:rsidRPr="00523CE6">
        <w:rPr>
          <w:rFonts w:ascii="Times New Roman" w:hAnsi="Times New Roman" w:cs="Times New Roman"/>
          <w:sz w:val="24"/>
          <w:szCs w:val="24"/>
        </w:rPr>
        <w:t xml:space="preserve">Finally, </w:t>
      </w:r>
      <w:r w:rsidR="00F471CD">
        <w:rPr>
          <w:rFonts w:ascii="Times New Roman" w:hAnsi="Times New Roman" w:cs="Times New Roman"/>
          <w:sz w:val="24"/>
          <w:szCs w:val="24"/>
        </w:rPr>
        <w:t xml:space="preserve">the Commission </w:t>
      </w:r>
      <w:r w:rsidRPr="00523CE6">
        <w:rPr>
          <w:rFonts w:ascii="Times New Roman" w:hAnsi="Times New Roman" w:cs="Times New Roman"/>
          <w:sz w:val="24"/>
          <w:szCs w:val="24"/>
        </w:rPr>
        <w:t>reject</w:t>
      </w:r>
      <w:r w:rsidR="00F471CD">
        <w:rPr>
          <w:rFonts w:ascii="Times New Roman" w:hAnsi="Times New Roman" w:cs="Times New Roman"/>
          <w:sz w:val="24"/>
          <w:szCs w:val="24"/>
        </w:rPr>
        <w:t>ed</w:t>
      </w:r>
      <w:r w:rsidRPr="00523CE6">
        <w:rPr>
          <w:rFonts w:ascii="Times New Roman" w:hAnsi="Times New Roman" w:cs="Times New Roman"/>
          <w:sz w:val="24"/>
          <w:szCs w:val="24"/>
        </w:rPr>
        <w:t xml:space="preserve"> the claim that the compensatory load shedding provisions in regional Reliability Standard</w:t>
      </w:r>
      <w:r w:rsidR="006446A2">
        <w:rPr>
          <w:rFonts w:ascii="Times New Roman" w:hAnsi="Times New Roman" w:cs="Times New Roman"/>
          <w:sz w:val="24"/>
          <w:szCs w:val="24"/>
        </w:rPr>
        <w:t xml:space="preserve"> PRC-006-NPCC-1 contravene FPA S</w:t>
      </w:r>
      <w:r w:rsidRPr="00523CE6">
        <w:rPr>
          <w:rFonts w:ascii="Times New Roman" w:hAnsi="Times New Roman" w:cs="Times New Roman"/>
          <w:sz w:val="24"/>
          <w:szCs w:val="24"/>
        </w:rPr>
        <w:t xml:space="preserve">ection 215.  </w:t>
      </w:r>
      <w:r w:rsidR="00F471CD">
        <w:rPr>
          <w:rFonts w:ascii="Times New Roman" w:hAnsi="Times New Roman" w:cs="Times New Roman"/>
          <w:sz w:val="24"/>
          <w:szCs w:val="24"/>
        </w:rPr>
        <w:t>The Commission stated that it</w:t>
      </w:r>
      <w:r w:rsidRPr="00523CE6">
        <w:rPr>
          <w:rFonts w:ascii="Times New Roman" w:hAnsi="Times New Roman" w:cs="Times New Roman"/>
          <w:sz w:val="24"/>
          <w:szCs w:val="24"/>
        </w:rPr>
        <w:t xml:space="preserve"> </w:t>
      </w:r>
      <w:r w:rsidR="00F471CD">
        <w:rPr>
          <w:rFonts w:ascii="Times New Roman" w:hAnsi="Times New Roman" w:cs="Times New Roman"/>
          <w:sz w:val="24"/>
          <w:szCs w:val="24"/>
        </w:rPr>
        <w:t xml:space="preserve">does </w:t>
      </w:r>
      <w:r w:rsidRPr="00523CE6">
        <w:rPr>
          <w:rFonts w:ascii="Times New Roman" w:hAnsi="Times New Roman" w:cs="Times New Roman"/>
          <w:sz w:val="24"/>
          <w:szCs w:val="24"/>
        </w:rPr>
        <w:t>not find that the regional Reliability Standard impl</w:t>
      </w:r>
      <w:r w:rsidR="006446A2">
        <w:rPr>
          <w:rFonts w:ascii="Times New Roman" w:hAnsi="Times New Roman" w:cs="Times New Roman"/>
          <w:sz w:val="24"/>
          <w:szCs w:val="24"/>
        </w:rPr>
        <w:t>icates the proscription in FPA S</w:t>
      </w:r>
      <w:r w:rsidRPr="00523CE6">
        <w:rPr>
          <w:rFonts w:ascii="Times New Roman" w:hAnsi="Times New Roman" w:cs="Times New Roman"/>
          <w:sz w:val="24"/>
          <w:szCs w:val="24"/>
        </w:rPr>
        <w:t xml:space="preserve">ection 215 against ordering the “construction of additional generation or transmission capacity or to set and enforce compliance with standards for adequacy or safety of electric facilities or services.”  </w:t>
      </w:r>
    </w:p>
    <w:p w:rsidR="00407D2C" w:rsidRPr="00EB3E6F" w:rsidRDefault="00407D2C" w:rsidP="00EB3E6F">
      <w:pPr>
        <w:spacing w:after="0"/>
        <w:rPr>
          <w:rFonts w:ascii="Times New Roman" w:hAnsi="Times New Roman" w:cs="Times New Roman"/>
          <w:sz w:val="24"/>
          <w:szCs w:val="24"/>
        </w:rPr>
      </w:pPr>
    </w:p>
    <w:p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D80FBD">
      <w:pPr>
        <w:spacing w:after="0"/>
        <w:rPr>
          <w:rFonts w:ascii="Times New Roman" w:hAnsi="Times New Roman" w:cs="Times New Roman"/>
          <w:sz w:val="24"/>
          <w:szCs w:val="24"/>
        </w:rPr>
      </w:pPr>
    </w:p>
    <w:p w:rsidR="00D80FBD" w:rsidRDefault="00CA6AB0" w:rsidP="00F12DC2">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053E63">
        <w:rPr>
          <w:rFonts w:ascii="Times New Roman" w:hAnsi="Times New Roman" w:cs="Times New Roman"/>
          <w:sz w:val="24"/>
          <w:szCs w:val="24"/>
        </w:rPr>
        <w:t>no payments or gifts to the</w:t>
      </w:r>
      <w:r>
        <w:rPr>
          <w:rFonts w:ascii="Times New Roman" w:hAnsi="Times New Roman" w:cs="Times New Roman"/>
          <w:sz w:val="24"/>
          <w:szCs w:val="24"/>
        </w:rPr>
        <w:t xml:space="preserve"> respondents.</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D80FBD">
      <w:pPr>
        <w:spacing w:after="0"/>
        <w:rPr>
          <w:rFonts w:ascii="Times New Roman" w:hAnsi="Times New Roman" w:cs="Times New Roman"/>
          <w:sz w:val="24"/>
          <w:szCs w:val="24"/>
        </w:rPr>
      </w:pPr>
    </w:p>
    <w:p w:rsidR="00B31749" w:rsidRDefault="00053E63" w:rsidP="00D80FBD">
      <w:pPr>
        <w:spacing w:after="0"/>
        <w:rPr>
          <w:rFonts w:ascii="Times New Roman" w:hAnsi="Times New Roman" w:cs="Times New Roman"/>
          <w:sz w:val="24"/>
          <w:szCs w:val="24"/>
        </w:rPr>
      </w:pPr>
      <w:r>
        <w:rPr>
          <w:rFonts w:ascii="Times New Roman" w:hAnsi="Times New Roman" w:cs="Times New Roman"/>
          <w:sz w:val="24"/>
          <w:szCs w:val="24"/>
        </w:rPr>
        <w:t xml:space="preserve">The Commission does not consider the information collected within this </w:t>
      </w:r>
      <w:r w:rsidR="00B71F0F">
        <w:rPr>
          <w:rFonts w:ascii="Times New Roman" w:hAnsi="Times New Roman" w:cs="Times New Roman"/>
          <w:sz w:val="24"/>
          <w:szCs w:val="24"/>
        </w:rPr>
        <w:t xml:space="preserve">regional </w:t>
      </w:r>
      <w:r>
        <w:rPr>
          <w:rFonts w:ascii="Times New Roman" w:hAnsi="Times New Roman" w:cs="Times New Roman"/>
          <w:sz w:val="24"/>
          <w:szCs w:val="24"/>
        </w:rPr>
        <w:t>Reliability Standard to be confidential.  However, the filer may request privileged treatment of any filing that may contain information harmful to the respondent if released to the general public</w:t>
      </w:r>
      <w:r w:rsidRPr="000954E0">
        <w:rPr>
          <w:rStyle w:val="FootnoteReference"/>
          <w:rFonts w:ascii="Times New Roman" w:hAnsi="Times New Roman" w:cs="Times New Roman"/>
          <w:sz w:val="24"/>
          <w:szCs w:val="24"/>
          <w:vertAlign w:val="superscript"/>
        </w:rPr>
        <w:footnoteReference w:id="17"/>
      </w:r>
      <w:r>
        <w:rPr>
          <w:rFonts w:ascii="Times New Roman" w:hAnsi="Times New Roman" w:cs="Times New Roman"/>
          <w:sz w:val="24"/>
          <w:szCs w:val="24"/>
        </w:rPr>
        <w:t>.</w:t>
      </w:r>
      <w:r w:rsidR="00C84516">
        <w:rPr>
          <w:rFonts w:ascii="Times New Roman" w:hAnsi="Times New Roman" w:cs="Times New Roman"/>
          <w:sz w:val="24"/>
          <w:szCs w:val="24"/>
        </w:rPr>
        <w:t xml:space="preserve">  </w:t>
      </w:r>
      <w:r w:rsidR="00B31749" w:rsidRPr="00B31749">
        <w:rPr>
          <w:rFonts w:ascii="Times New Roman" w:hAnsi="Times New Roman" w:cs="Times New Roman"/>
          <w:sz w:val="24"/>
          <w:szCs w:val="24"/>
        </w:rPr>
        <w:t>An entity seeking confidential treatment of the information must ask the Commission to treat this information as confidential and non-public, consistent with the Commission’s regulations at 18 CFR 388.112.  Generally, the Commission does not consider this information to be confidential.</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D80FBD">
      <w:pPr>
        <w:spacing w:after="0"/>
        <w:rPr>
          <w:rFonts w:ascii="Times New Roman" w:hAnsi="Times New Roman" w:cs="Times New Roman"/>
          <w:sz w:val="24"/>
          <w:szCs w:val="24"/>
        </w:rPr>
      </w:pPr>
    </w:p>
    <w:p w:rsidR="00B31749" w:rsidRPr="00B31749" w:rsidRDefault="00053E63" w:rsidP="00053E63">
      <w:pPr>
        <w:spacing w:after="0"/>
        <w:rPr>
          <w:rFonts w:ascii="Times New Roman" w:hAnsi="Times New Roman" w:cs="Times New Roman"/>
          <w:b/>
          <w:bCs/>
          <w:sz w:val="24"/>
          <w:szCs w:val="24"/>
        </w:rPr>
      </w:pPr>
      <w:r>
        <w:rPr>
          <w:rFonts w:ascii="Times New Roman" w:hAnsi="Times New Roman" w:cs="Times New Roman"/>
          <w:sz w:val="24"/>
          <w:szCs w:val="24"/>
        </w:rPr>
        <w:t>The Commission considers the questions within the proposed reliability standard neither sensitive in nature nor private.</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ESTIMATED BURDEN OF COLLECTION OF INFORMATION</w:t>
      </w:r>
    </w:p>
    <w:p w:rsidR="00F400D7" w:rsidRDefault="00F400D7" w:rsidP="00D80FBD">
      <w:pPr>
        <w:spacing w:after="0"/>
        <w:rPr>
          <w:rFonts w:ascii="Times New Roman" w:hAnsi="Times New Roman" w:cs="Times New Roman"/>
          <w:sz w:val="24"/>
          <w:szCs w:val="24"/>
        </w:rPr>
      </w:pPr>
    </w:p>
    <w:p w:rsidR="000576B9" w:rsidRDefault="00A41EB6" w:rsidP="00D80FBD">
      <w:pPr>
        <w:spacing w:after="0"/>
        <w:rPr>
          <w:rFonts w:ascii="Times New Roman" w:hAnsi="Times New Roman" w:cs="Times New Roman"/>
          <w:sz w:val="24"/>
          <w:szCs w:val="24"/>
        </w:rPr>
      </w:pPr>
      <w:r>
        <w:rPr>
          <w:rFonts w:ascii="Times New Roman" w:hAnsi="Times New Roman" w:cs="Times New Roman"/>
          <w:sz w:val="24"/>
          <w:szCs w:val="24"/>
        </w:rPr>
        <w:t>This Final Rule</w:t>
      </w:r>
      <w:r w:rsidR="000576B9">
        <w:rPr>
          <w:rFonts w:ascii="Times New Roman" w:hAnsi="Times New Roman" w:cs="Times New Roman"/>
          <w:sz w:val="24"/>
          <w:szCs w:val="24"/>
        </w:rPr>
        <w:t xml:space="preserve"> approve</w:t>
      </w:r>
      <w:r>
        <w:rPr>
          <w:rFonts w:ascii="Times New Roman" w:hAnsi="Times New Roman" w:cs="Times New Roman"/>
          <w:sz w:val="24"/>
          <w:szCs w:val="24"/>
        </w:rPr>
        <w:t>s</w:t>
      </w:r>
      <w:r w:rsidR="000576B9">
        <w:rPr>
          <w:rFonts w:ascii="Times New Roman" w:hAnsi="Times New Roman" w:cs="Times New Roman"/>
          <w:sz w:val="24"/>
          <w:szCs w:val="24"/>
        </w:rPr>
        <w:t xml:space="preserve"> the regional Reliability Standard </w:t>
      </w:r>
      <w:r w:rsidR="00995CE3">
        <w:rPr>
          <w:rFonts w:ascii="Times New Roman" w:hAnsi="Times New Roman" w:cs="Times New Roman"/>
          <w:sz w:val="24"/>
          <w:szCs w:val="24"/>
        </w:rPr>
        <w:t>PRC-006-NPCC</w:t>
      </w:r>
      <w:r>
        <w:rPr>
          <w:rFonts w:ascii="Times New Roman" w:hAnsi="Times New Roman" w:cs="Times New Roman"/>
          <w:sz w:val="24"/>
          <w:szCs w:val="24"/>
        </w:rPr>
        <w:t xml:space="preserve">-01.  </w:t>
      </w:r>
      <w:r w:rsidR="00B71F0F">
        <w:rPr>
          <w:rFonts w:ascii="Times New Roman" w:hAnsi="Times New Roman" w:cs="Times New Roman"/>
          <w:sz w:val="24"/>
          <w:szCs w:val="24"/>
        </w:rPr>
        <w:t xml:space="preserve">NERC </w:t>
      </w:r>
      <w:r w:rsidR="0063418A">
        <w:rPr>
          <w:rFonts w:ascii="Times New Roman" w:hAnsi="Times New Roman" w:cs="Times New Roman"/>
          <w:sz w:val="24"/>
          <w:szCs w:val="24"/>
        </w:rPr>
        <w:t>has requested approval</w:t>
      </w:r>
      <w:r w:rsidR="00995CE3">
        <w:rPr>
          <w:rFonts w:ascii="Times New Roman" w:hAnsi="Times New Roman" w:cs="Times New Roman"/>
          <w:sz w:val="24"/>
          <w:szCs w:val="24"/>
        </w:rPr>
        <w:t xml:space="preserve"> for this </w:t>
      </w:r>
      <w:r w:rsidR="00B71F0F">
        <w:rPr>
          <w:rFonts w:ascii="Times New Roman" w:hAnsi="Times New Roman" w:cs="Times New Roman"/>
          <w:sz w:val="24"/>
          <w:szCs w:val="24"/>
        </w:rPr>
        <w:t>regional</w:t>
      </w:r>
      <w:r w:rsidR="00995CE3">
        <w:rPr>
          <w:rFonts w:ascii="Times New Roman" w:hAnsi="Times New Roman" w:cs="Times New Roman"/>
          <w:sz w:val="24"/>
          <w:szCs w:val="24"/>
        </w:rPr>
        <w:t xml:space="preserve"> Reliability Standard.  NERC states (in its petition) that UFLS requirements had been in place (continent-wide and within NPCC) for years prior to implementation of the Commission-approved Reliability Standards in 2007.  </w:t>
      </w:r>
      <w:r w:rsidR="003847B0">
        <w:rPr>
          <w:rFonts w:ascii="Times New Roman" w:hAnsi="Times New Roman" w:cs="Times New Roman"/>
          <w:sz w:val="24"/>
          <w:szCs w:val="24"/>
        </w:rPr>
        <w:t xml:space="preserve">Because the UFLS requirements have been in place prior to the development of PRC-006-NPCC-01, the proposed regional Reliability Standard is closely associated with requirements to which the entities </w:t>
      </w:r>
      <w:r w:rsidR="004A7822">
        <w:rPr>
          <w:rFonts w:ascii="Times New Roman" w:hAnsi="Times New Roman" w:cs="Times New Roman"/>
          <w:sz w:val="24"/>
          <w:szCs w:val="24"/>
        </w:rPr>
        <w:t xml:space="preserve">adhered. </w:t>
      </w:r>
      <w:r w:rsidR="003847B0">
        <w:rPr>
          <w:rFonts w:ascii="Times New Roman" w:hAnsi="Times New Roman" w:cs="Times New Roman"/>
          <w:sz w:val="24"/>
          <w:szCs w:val="24"/>
        </w:rPr>
        <w:t xml:space="preserve"> </w:t>
      </w:r>
      <w:r w:rsidR="0063418A">
        <w:rPr>
          <w:rFonts w:ascii="Times New Roman" w:hAnsi="Times New Roman" w:cs="Times New Roman"/>
          <w:sz w:val="24"/>
          <w:szCs w:val="24"/>
        </w:rPr>
        <w:t>This</w:t>
      </w:r>
      <w:r w:rsidR="004A7822">
        <w:rPr>
          <w:rFonts w:ascii="Times New Roman" w:hAnsi="Times New Roman" w:cs="Times New Roman"/>
          <w:sz w:val="24"/>
          <w:szCs w:val="24"/>
        </w:rPr>
        <w:t xml:space="preserve"> regional Reliability Standard </w:t>
      </w:r>
      <w:r w:rsidR="004A7822" w:rsidRPr="004B5F04">
        <w:rPr>
          <w:rFonts w:ascii="Times New Roman" w:hAnsi="Times New Roman" w:cs="Times New Roman"/>
          <w:sz w:val="24"/>
          <w:szCs w:val="24"/>
        </w:rPr>
        <w:t>applies to generator owners, planning coordinators, distribution providers, and</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transmission owners in the Northeast Power Coordinating Council Region and is</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designed to ensure the development of an effective automatic underfrequency load</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shedding (UFLS) program to preserve the security and integrity of the Bulk-Power</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System during declining system frequency events, in coordination with the NERC</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continent-wide UFLS Reliability Standard PRC-006-1</w:t>
      </w:r>
      <w:r w:rsidR="00F43D22">
        <w:rPr>
          <w:rFonts w:ascii="Times New Roman" w:hAnsi="Times New Roman" w:cs="Times New Roman"/>
          <w:sz w:val="24"/>
          <w:szCs w:val="24"/>
        </w:rPr>
        <w:t>.</w:t>
      </w:r>
    </w:p>
    <w:p w:rsidR="00F43D22" w:rsidRDefault="00F43D22" w:rsidP="00D80FBD">
      <w:pPr>
        <w:spacing w:after="0"/>
        <w:rPr>
          <w:rFonts w:ascii="Times New Roman" w:hAnsi="Times New Roman" w:cs="Times New Roman"/>
          <w:sz w:val="24"/>
          <w:szCs w:val="24"/>
        </w:rPr>
      </w:pPr>
    </w:p>
    <w:p w:rsidR="004A7822" w:rsidRDefault="004A7822" w:rsidP="004A7822">
      <w:pPr>
        <w:spacing w:after="0"/>
        <w:rPr>
          <w:rFonts w:ascii="Times New Roman" w:hAnsi="Times New Roman" w:cs="Times New Roman"/>
          <w:sz w:val="24"/>
          <w:szCs w:val="24"/>
        </w:rPr>
      </w:pPr>
      <w:r w:rsidRPr="004A7822">
        <w:rPr>
          <w:rFonts w:ascii="Times New Roman" w:hAnsi="Times New Roman" w:cs="Times New Roman"/>
          <w:sz w:val="24"/>
          <w:szCs w:val="24"/>
        </w:rPr>
        <w:t>According</w:t>
      </w:r>
      <w:r>
        <w:rPr>
          <w:rFonts w:ascii="Times New Roman" w:hAnsi="Times New Roman" w:cs="Times New Roman"/>
          <w:sz w:val="24"/>
          <w:szCs w:val="24"/>
        </w:rPr>
        <w:t xml:space="preserve"> </w:t>
      </w:r>
      <w:r w:rsidRPr="004A7822">
        <w:rPr>
          <w:rFonts w:ascii="Times New Roman" w:hAnsi="Times New Roman" w:cs="Times New Roman"/>
          <w:sz w:val="24"/>
          <w:szCs w:val="24"/>
        </w:rPr>
        <w:t>to the NERC Compliance Registry, there are 2 planning coordinators and 135 generator</w:t>
      </w:r>
      <w:r>
        <w:rPr>
          <w:rFonts w:ascii="Times New Roman" w:hAnsi="Times New Roman" w:cs="Times New Roman"/>
          <w:sz w:val="24"/>
          <w:szCs w:val="24"/>
        </w:rPr>
        <w:t xml:space="preserve"> </w:t>
      </w:r>
      <w:r w:rsidRPr="004A7822">
        <w:rPr>
          <w:rFonts w:ascii="Times New Roman" w:hAnsi="Times New Roman" w:cs="Times New Roman"/>
          <w:sz w:val="24"/>
          <w:szCs w:val="24"/>
        </w:rPr>
        <w:t>owners within the United States portion of the NPCC Region. The Commission bases</w:t>
      </w:r>
      <w:r>
        <w:rPr>
          <w:rFonts w:ascii="Times New Roman" w:hAnsi="Times New Roman" w:cs="Times New Roman"/>
          <w:sz w:val="24"/>
          <w:szCs w:val="24"/>
        </w:rPr>
        <w:t xml:space="preserve"> </w:t>
      </w:r>
      <w:r w:rsidRPr="004A7822">
        <w:rPr>
          <w:rFonts w:ascii="Times New Roman" w:hAnsi="Times New Roman" w:cs="Times New Roman"/>
          <w:sz w:val="24"/>
          <w:szCs w:val="24"/>
        </w:rPr>
        <w:t>individual burden estimates on the time needed for planning coordinators to</w:t>
      </w:r>
      <w:r>
        <w:rPr>
          <w:rFonts w:ascii="Times New Roman" w:hAnsi="Times New Roman" w:cs="Times New Roman"/>
          <w:sz w:val="24"/>
          <w:szCs w:val="24"/>
        </w:rPr>
        <w:t xml:space="preserve"> incrementally gather </w:t>
      </w:r>
      <w:r w:rsidRPr="004A7822">
        <w:rPr>
          <w:rFonts w:ascii="Times New Roman" w:hAnsi="Times New Roman" w:cs="Times New Roman"/>
          <w:sz w:val="24"/>
          <w:szCs w:val="24"/>
        </w:rPr>
        <w:t>data, run studies, and analyze study results to design or update the</w:t>
      </w:r>
      <w:r>
        <w:rPr>
          <w:rFonts w:ascii="Times New Roman" w:hAnsi="Times New Roman" w:cs="Times New Roman"/>
          <w:sz w:val="24"/>
          <w:szCs w:val="24"/>
        </w:rPr>
        <w:t xml:space="preserve"> </w:t>
      </w:r>
      <w:r w:rsidRPr="004A7822">
        <w:rPr>
          <w:rFonts w:ascii="Times New Roman" w:hAnsi="Times New Roman" w:cs="Times New Roman"/>
          <w:sz w:val="24"/>
          <w:szCs w:val="24"/>
        </w:rPr>
        <w:t>UFLS programs that are required in the regional Reliability Standard in addition to the</w:t>
      </w:r>
      <w:r>
        <w:rPr>
          <w:rFonts w:ascii="Times New Roman" w:hAnsi="Times New Roman" w:cs="Times New Roman"/>
          <w:sz w:val="24"/>
          <w:szCs w:val="24"/>
        </w:rPr>
        <w:t xml:space="preserve"> </w:t>
      </w:r>
      <w:r w:rsidRPr="004A7822">
        <w:rPr>
          <w:rFonts w:ascii="Times New Roman" w:hAnsi="Times New Roman" w:cs="Times New Roman"/>
          <w:sz w:val="24"/>
          <w:szCs w:val="24"/>
        </w:rPr>
        <w:t>requirements of the NERC Reliability Standard PRC-006-1</w:t>
      </w:r>
      <w:r>
        <w:rPr>
          <w:rFonts w:ascii="Times New Roman" w:hAnsi="Times New Roman" w:cs="Times New Roman"/>
          <w:sz w:val="24"/>
          <w:szCs w:val="24"/>
        </w:rPr>
        <w:t>.</w:t>
      </w:r>
      <w:r w:rsidRPr="00FC440E">
        <w:rPr>
          <w:rStyle w:val="FootnoteReference"/>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w:t>
      </w:r>
    </w:p>
    <w:p w:rsidR="000576B9" w:rsidRDefault="000576B9" w:rsidP="00D80FBD">
      <w:pPr>
        <w:spacing w:after="0"/>
        <w:rPr>
          <w:rFonts w:ascii="Times New Roman" w:hAnsi="Times New Roman" w:cs="Times New Roman"/>
          <w:sz w:val="24"/>
          <w:szCs w:val="24"/>
        </w:rPr>
      </w:pPr>
    </w:p>
    <w:p w:rsidR="00F50D87" w:rsidRDefault="00D80FBD" w:rsidP="00D80FBD">
      <w:pPr>
        <w:spacing w:after="0"/>
        <w:rPr>
          <w:rFonts w:ascii="Times New Roman" w:hAnsi="Times New Roman" w:cs="Times New Roman"/>
          <w:sz w:val="24"/>
          <w:szCs w:val="24"/>
        </w:rPr>
      </w:pPr>
      <w:r>
        <w:rPr>
          <w:rFonts w:ascii="Times New Roman" w:hAnsi="Times New Roman" w:cs="Times New Roman"/>
          <w:sz w:val="24"/>
          <w:szCs w:val="24"/>
        </w:rPr>
        <w:t xml:space="preserve">The Commission estimates the </w:t>
      </w:r>
      <w:r w:rsidR="0010531D">
        <w:rPr>
          <w:rFonts w:ascii="Times New Roman" w:hAnsi="Times New Roman" w:cs="Times New Roman"/>
          <w:sz w:val="24"/>
          <w:szCs w:val="24"/>
        </w:rPr>
        <w:t xml:space="preserve">average annual </w:t>
      </w:r>
      <w:r>
        <w:rPr>
          <w:rFonts w:ascii="Times New Roman" w:hAnsi="Times New Roman" w:cs="Times New Roman"/>
          <w:sz w:val="24"/>
          <w:szCs w:val="24"/>
        </w:rPr>
        <w:t xml:space="preserve">Public Reporting Burden for </w:t>
      </w:r>
      <w:r w:rsidR="00BA7C56">
        <w:rPr>
          <w:rFonts w:ascii="Times New Roman" w:hAnsi="Times New Roman" w:cs="Times New Roman"/>
          <w:sz w:val="24"/>
          <w:szCs w:val="24"/>
        </w:rPr>
        <w:t>this information collection as:</w:t>
      </w:r>
    </w:p>
    <w:p w:rsidR="00F50D87" w:rsidRDefault="00F50D87">
      <w:pPr>
        <w:rPr>
          <w:rFonts w:ascii="Times New Roman" w:hAnsi="Times New Roman" w:cs="Times New Roman"/>
          <w:sz w:val="24"/>
          <w:szCs w:val="24"/>
        </w:rPr>
      </w:pPr>
      <w:r>
        <w:rPr>
          <w:rFonts w:ascii="Times New Roman" w:hAnsi="Times New Roman" w:cs="Times New Roman"/>
          <w:sz w:val="24"/>
          <w:szCs w:val="24"/>
        </w:rPr>
        <w:br w:type="page"/>
      </w:r>
    </w:p>
    <w:p w:rsidR="00D80FBD" w:rsidRDefault="00D80FBD" w:rsidP="00D80FBD">
      <w:pPr>
        <w:spacing w:after="0"/>
        <w:rPr>
          <w:rFonts w:ascii="Times New Roman" w:hAnsi="Times New Roman" w:cs="Times New Roman"/>
          <w:sz w:val="24"/>
          <w:szCs w:val="24"/>
        </w:rPr>
      </w:pP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710"/>
        <w:gridCol w:w="1620"/>
        <w:gridCol w:w="1350"/>
        <w:gridCol w:w="1260"/>
      </w:tblGrid>
      <w:tr w:rsidR="00D80FBD" w:rsidRPr="00D80FBD" w:rsidTr="00F43D22">
        <w:trPr>
          <w:cantSplit/>
          <w:trHeight w:val="347"/>
        </w:trPr>
        <w:tc>
          <w:tcPr>
            <w:tcW w:w="9288" w:type="dxa"/>
            <w:gridSpan w:val="6"/>
            <w:shd w:val="clear" w:color="auto" w:fill="D9D9D9"/>
            <w:vAlign w:val="center"/>
          </w:tcPr>
          <w:p w:rsidR="00D80FBD" w:rsidRPr="00D80FBD" w:rsidRDefault="00053E63"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RM12-12</w:t>
            </w:r>
            <w:r w:rsidR="00D80FBD" w:rsidRPr="00D80FBD">
              <w:rPr>
                <w:rFonts w:ascii="Times New Roman" w:hAnsi="Times New Roman" w:cs="Times New Roman"/>
                <w:b/>
                <w:sz w:val="24"/>
                <w:szCs w:val="24"/>
              </w:rPr>
              <w:t xml:space="preserve">: </w:t>
            </w:r>
            <w:r w:rsidR="00D80FBD" w:rsidRPr="00D80FBD">
              <w:rPr>
                <w:rFonts w:ascii="Times New Roman" w:hAnsi="Times New Roman" w:cs="Times New Roman"/>
                <w:b/>
                <w:bCs/>
                <w:sz w:val="24"/>
                <w:szCs w:val="24"/>
              </w:rPr>
              <w:t xml:space="preserve"> </w:t>
            </w:r>
            <w:r>
              <w:rPr>
                <w:rFonts w:ascii="Times New Roman" w:hAnsi="Times New Roman" w:cs="Times New Roman"/>
                <w:b/>
                <w:sz w:val="24"/>
                <w:szCs w:val="24"/>
              </w:rPr>
              <w:t xml:space="preserve"> Regional Reliability Standard PRC-006-NPCC-1 --- Automatic Underfrequency Load-Shedding</w:t>
            </w:r>
          </w:p>
        </w:tc>
      </w:tr>
      <w:tr w:rsidR="00D80FBD" w:rsidRPr="00D80FBD" w:rsidTr="00F43D22">
        <w:trPr>
          <w:cantSplit/>
          <w:trHeight w:val="1250"/>
        </w:trPr>
        <w:tc>
          <w:tcPr>
            <w:tcW w:w="1818" w:type="dxa"/>
            <w:shd w:val="clear" w:color="auto" w:fill="D9D9D9"/>
            <w:vAlign w:val="bottom"/>
          </w:tcPr>
          <w:p w:rsidR="00D80FBD" w:rsidRPr="00D80FBD" w:rsidRDefault="00D80FBD" w:rsidP="00D80FBD">
            <w:pPr>
              <w:spacing w:after="0" w:line="240" w:lineRule="auto"/>
              <w:rPr>
                <w:rFonts w:ascii="Times New Roman" w:hAnsi="Times New Roman" w:cs="Times New Roman"/>
                <w:b/>
                <w:sz w:val="24"/>
                <w:szCs w:val="24"/>
              </w:rPr>
            </w:pPr>
          </w:p>
        </w:tc>
        <w:tc>
          <w:tcPr>
            <w:tcW w:w="153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rsidR="00D80FBD" w:rsidRPr="00D80FBD" w:rsidRDefault="00396932"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Annual </w:t>
            </w:r>
            <w:r w:rsidR="00D80FBD" w:rsidRPr="00D80FBD">
              <w:rPr>
                <w:rFonts w:ascii="Times New Roman" w:hAnsi="Times New Roman" w:cs="Times New Roman"/>
                <w:b/>
                <w:sz w:val="24"/>
                <w:szCs w:val="24"/>
              </w:rPr>
              <w:t>Number of Responses Per Respondent</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62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(A)x(B)=(C)</w:t>
            </w:r>
          </w:p>
        </w:tc>
        <w:tc>
          <w:tcPr>
            <w:tcW w:w="135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126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Estimated Total Annual Burden</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B945E3" w:rsidRPr="00D80FBD" w:rsidTr="00F43D22">
        <w:trPr>
          <w:cantSplit/>
        </w:trPr>
        <w:tc>
          <w:tcPr>
            <w:tcW w:w="1818" w:type="dxa"/>
          </w:tcPr>
          <w:p w:rsidR="00B945E3" w:rsidRPr="00D80FBD"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PCs</w:t>
            </w:r>
            <w:r w:rsidRPr="00B945E3">
              <w:rPr>
                <w:rStyle w:val="FootnoteReference"/>
                <w:rFonts w:ascii="Times New Roman" w:hAnsi="Times New Roman" w:cs="Times New Roman"/>
                <w:sz w:val="24"/>
                <w:szCs w:val="24"/>
                <w:vertAlign w:val="superscript"/>
              </w:rPr>
              <w:footnoteReference w:id="19"/>
            </w:r>
            <w:r>
              <w:rPr>
                <w:rFonts w:ascii="Times New Roman" w:hAnsi="Times New Roman" w:cs="Times New Roman"/>
                <w:sz w:val="24"/>
                <w:szCs w:val="24"/>
              </w:rPr>
              <w:t>: design and document</w:t>
            </w:r>
          </w:p>
        </w:tc>
        <w:tc>
          <w:tcPr>
            <w:tcW w:w="1530" w:type="dxa"/>
            <w:vMerge w:val="restart"/>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2</w:t>
            </w:r>
          </w:p>
        </w:tc>
        <w:tc>
          <w:tcPr>
            <w:tcW w:w="1710" w:type="dxa"/>
            <w:vMerge w:val="restart"/>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1</w:t>
            </w:r>
          </w:p>
        </w:tc>
        <w:tc>
          <w:tcPr>
            <w:tcW w:w="1620" w:type="dxa"/>
            <w:vMerge w:val="restart"/>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2</w:t>
            </w:r>
          </w:p>
        </w:tc>
        <w:tc>
          <w:tcPr>
            <w:tcW w:w="1350" w:type="dxa"/>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8</w:t>
            </w:r>
          </w:p>
        </w:tc>
        <w:tc>
          <w:tcPr>
            <w:tcW w:w="1260" w:type="dxa"/>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16</w:t>
            </w:r>
          </w:p>
        </w:tc>
      </w:tr>
      <w:tr w:rsidR="00B945E3" w:rsidRPr="00D80FBD" w:rsidTr="00F43D22">
        <w:trPr>
          <w:cantSplit/>
        </w:trPr>
        <w:tc>
          <w:tcPr>
            <w:tcW w:w="1818" w:type="dxa"/>
          </w:tcPr>
          <w:p w:rsidR="00B945E3"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PCs: update and maintain UFLS program database</w:t>
            </w:r>
          </w:p>
        </w:tc>
        <w:tc>
          <w:tcPr>
            <w:tcW w:w="1530" w:type="dxa"/>
            <w:vMerge/>
            <w:vAlign w:val="center"/>
          </w:tcPr>
          <w:p w:rsidR="00B945E3" w:rsidRDefault="00B945E3" w:rsidP="00B945E3">
            <w:pPr>
              <w:pStyle w:val="LegalFormat"/>
              <w:numPr>
                <w:ilvl w:val="0"/>
                <w:numId w:val="0"/>
              </w:numPr>
              <w:spacing w:line="240" w:lineRule="auto"/>
              <w:jc w:val="center"/>
              <w:rPr>
                <w:sz w:val="24"/>
                <w:u w:val="none"/>
              </w:rPr>
            </w:pPr>
          </w:p>
        </w:tc>
        <w:tc>
          <w:tcPr>
            <w:tcW w:w="1710" w:type="dxa"/>
            <w:vMerge/>
            <w:vAlign w:val="center"/>
          </w:tcPr>
          <w:p w:rsidR="00B945E3" w:rsidRDefault="00B945E3" w:rsidP="00B945E3">
            <w:pPr>
              <w:pStyle w:val="LegalFormat"/>
              <w:numPr>
                <w:ilvl w:val="0"/>
                <w:numId w:val="0"/>
              </w:numPr>
              <w:spacing w:line="240" w:lineRule="auto"/>
              <w:jc w:val="center"/>
              <w:rPr>
                <w:sz w:val="24"/>
                <w:u w:val="none"/>
              </w:rPr>
            </w:pPr>
          </w:p>
        </w:tc>
        <w:tc>
          <w:tcPr>
            <w:tcW w:w="1620" w:type="dxa"/>
            <w:vMerge/>
            <w:vAlign w:val="center"/>
          </w:tcPr>
          <w:p w:rsidR="00B945E3" w:rsidRDefault="00B945E3" w:rsidP="00B945E3">
            <w:pPr>
              <w:pStyle w:val="LegalFormat"/>
              <w:numPr>
                <w:ilvl w:val="0"/>
                <w:numId w:val="0"/>
              </w:numPr>
              <w:spacing w:line="240" w:lineRule="auto"/>
              <w:jc w:val="center"/>
              <w:rPr>
                <w:sz w:val="24"/>
                <w:u w:val="none"/>
              </w:rPr>
            </w:pPr>
          </w:p>
        </w:tc>
        <w:tc>
          <w:tcPr>
            <w:tcW w:w="135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16</w:t>
            </w: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32</w:t>
            </w:r>
          </w:p>
        </w:tc>
      </w:tr>
      <w:tr w:rsidR="00B945E3" w:rsidRPr="00D80FBD" w:rsidTr="00F43D22">
        <w:trPr>
          <w:cantSplit/>
        </w:trPr>
        <w:tc>
          <w:tcPr>
            <w:tcW w:w="1818" w:type="dxa"/>
          </w:tcPr>
          <w:p w:rsidR="00B945E3"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GOs</w:t>
            </w:r>
            <w:r w:rsidRPr="00B945E3">
              <w:rPr>
                <w:rStyle w:val="FootnoteReference"/>
                <w:rFonts w:ascii="Times New Roman" w:hAnsi="Times New Roman" w:cs="Times New Roman"/>
                <w:sz w:val="24"/>
                <w:szCs w:val="24"/>
                <w:vertAlign w:val="superscript"/>
              </w:rPr>
              <w:footnoteReference w:id="20"/>
            </w:r>
            <w:r>
              <w:rPr>
                <w:rFonts w:ascii="Times New Roman" w:hAnsi="Times New Roman" w:cs="Times New Roman"/>
                <w:sz w:val="24"/>
                <w:szCs w:val="24"/>
              </w:rPr>
              <w:t>: provide documentation and data to the planning coordinator</w:t>
            </w:r>
          </w:p>
        </w:tc>
        <w:tc>
          <w:tcPr>
            <w:tcW w:w="1530" w:type="dxa"/>
            <w:vMerge w:val="restart"/>
            <w:vAlign w:val="center"/>
          </w:tcPr>
          <w:p w:rsidR="00B945E3" w:rsidRDefault="00B945E3" w:rsidP="00B945E3">
            <w:pPr>
              <w:pStyle w:val="LegalFormat"/>
              <w:numPr>
                <w:ilvl w:val="0"/>
                <w:numId w:val="0"/>
              </w:numPr>
              <w:spacing w:line="240" w:lineRule="auto"/>
              <w:jc w:val="center"/>
              <w:rPr>
                <w:sz w:val="24"/>
                <w:u w:val="none"/>
              </w:rPr>
            </w:pPr>
            <w:r>
              <w:rPr>
                <w:sz w:val="24"/>
                <w:u w:val="none"/>
              </w:rPr>
              <w:t>135</w:t>
            </w:r>
          </w:p>
        </w:tc>
        <w:tc>
          <w:tcPr>
            <w:tcW w:w="1710" w:type="dxa"/>
            <w:vMerge w:val="restart"/>
            <w:vAlign w:val="center"/>
          </w:tcPr>
          <w:p w:rsidR="00B945E3" w:rsidRDefault="00B945E3" w:rsidP="00B945E3">
            <w:pPr>
              <w:pStyle w:val="LegalFormat"/>
              <w:numPr>
                <w:ilvl w:val="0"/>
                <w:numId w:val="0"/>
              </w:numPr>
              <w:spacing w:line="240" w:lineRule="auto"/>
              <w:jc w:val="center"/>
              <w:rPr>
                <w:sz w:val="24"/>
                <w:u w:val="none"/>
              </w:rPr>
            </w:pPr>
            <w:r>
              <w:rPr>
                <w:sz w:val="24"/>
                <w:u w:val="none"/>
              </w:rPr>
              <w:t>1</w:t>
            </w:r>
          </w:p>
        </w:tc>
        <w:tc>
          <w:tcPr>
            <w:tcW w:w="1620" w:type="dxa"/>
            <w:vMerge w:val="restart"/>
            <w:vAlign w:val="center"/>
          </w:tcPr>
          <w:p w:rsidR="00B945E3" w:rsidRDefault="00B945E3" w:rsidP="00B945E3">
            <w:pPr>
              <w:pStyle w:val="LegalFormat"/>
              <w:numPr>
                <w:ilvl w:val="0"/>
                <w:numId w:val="0"/>
              </w:numPr>
              <w:spacing w:line="240" w:lineRule="auto"/>
              <w:jc w:val="center"/>
              <w:rPr>
                <w:sz w:val="24"/>
                <w:u w:val="none"/>
              </w:rPr>
            </w:pPr>
            <w:r>
              <w:rPr>
                <w:sz w:val="24"/>
                <w:u w:val="none"/>
              </w:rPr>
              <w:t>135</w:t>
            </w:r>
          </w:p>
        </w:tc>
        <w:tc>
          <w:tcPr>
            <w:tcW w:w="135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16</w:t>
            </w: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2,160</w:t>
            </w:r>
          </w:p>
        </w:tc>
      </w:tr>
      <w:tr w:rsidR="00B945E3" w:rsidRPr="00D80FBD" w:rsidTr="00F43D22">
        <w:trPr>
          <w:cantSplit/>
        </w:trPr>
        <w:tc>
          <w:tcPr>
            <w:tcW w:w="1818" w:type="dxa"/>
            <w:tcBorders>
              <w:bottom w:val="single" w:sz="4" w:space="0" w:color="auto"/>
            </w:tcBorders>
          </w:tcPr>
          <w:p w:rsidR="00B945E3"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GOs: record retention</w:t>
            </w:r>
          </w:p>
        </w:tc>
        <w:tc>
          <w:tcPr>
            <w:tcW w:w="1530" w:type="dxa"/>
            <w:vMerge/>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p>
        </w:tc>
        <w:tc>
          <w:tcPr>
            <w:tcW w:w="1710" w:type="dxa"/>
            <w:vMerge/>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p>
        </w:tc>
        <w:tc>
          <w:tcPr>
            <w:tcW w:w="1620" w:type="dxa"/>
            <w:vMerge/>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p>
        </w:tc>
        <w:tc>
          <w:tcPr>
            <w:tcW w:w="1350" w:type="dxa"/>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r>
              <w:rPr>
                <w:sz w:val="24"/>
                <w:u w:val="none"/>
              </w:rPr>
              <w:t>4</w:t>
            </w: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540</w:t>
            </w:r>
          </w:p>
        </w:tc>
      </w:tr>
      <w:tr w:rsidR="00B945E3" w:rsidRPr="00D80FBD" w:rsidTr="00F43D22">
        <w:trPr>
          <w:cantSplit/>
        </w:trPr>
        <w:tc>
          <w:tcPr>
            <w:tcW w:w="8028" w:type="dxa"/>
            <w:gridSpan w:val="5"/>
            <w:shd w:val="clear" w:color="auto" w:fill="D9D9D9" w:themeFill="background1" w:themeFillShade="D9"/>
          </w:tcPr>
          <w:p w:rsidR="00B945E3" w:rsidRDefault="00B945E3" w:rsidP="00D80FBD">
            <w:pPr>
              <w:pStyle w:val="LegalFormat"/>
              <w:numPr>
                <w:ilvl w:val="0"/>
                <w:numId w:val="0"/>
              </w:numPr>
              <w:spacing w:line="240" w:lineRule="auto"/>
              <w:jc w:val="right"/>
              <w:rPr>
                <w:sz w:val="24"/>
                <w:u w:val="none"/>
              </w:rPr>
            </w:pP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2,748</w:t>
            </w:r>
          </w:p>
        </w:tc>
      </w:tr>
    </w:tbl>
    <w:p w:rsidR="00D80FBD" w:rsidRPr="00D80FBD" w:rsidRDefault="00D80FBD" w:rsidP="00D80FBD">
      <w:pPr>
        <w:spacing w:after="0"/>
        <w:rPr>
          <w:rFonts w:ascii="Times New Roman" w:hAnsi="Times New Roman" w:cs="Times New Roman"/>
          <w:sz w:val="24"/>
          <w:szCs w:val="24"/>
        </w:rPr>
      </w:pPr>
    </w:p>
    <w:p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E636D7">
      <w:pPr>
        <w:spacing w:after="0"/>
        <w:rPr>
          <w:rFonts w:ascii="Times New Roman" w:hAnsi="Times New Roman" w:cs="Times New Roman"/>
          <w:sz w:val="24"/>
          <w:szCs w:val="24"/>
        </w:rPr>
      </w:pPr>
    </w:p>
    <w:p w:rsidR="005F1C3C"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Cap</w:t>
      </w:r>
      <w:r w:rsidR="00526E53">
        <w:rPr>
          <w:rFonts w:ascii="Times New Roman" w:hAnsi="Times New Roman" w:cs="Times New Roman"/>
          <w:sz w:val="24"/>
          <w:szCs w:val="24"/>
        </w:rPr>
        <w:t>ital and Start-up cost: $0</w:t>
      </w:r>
    </w:p>
    <w:p w:rsidR="00E636D7"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w:t>
      </w:r>
      <w:r w:rsidR="00526E53">
        <w:rPr>
          <w:rFonts w:ascii="Times New Roman" w:hAnsi="Times New Roman" w:cs="Times New Roman"/>
          <w:sz w:val="24"/>
          <w:szCs w:val="24"/>
        </w:rPr>
        <w:t>: $0</w:t>
      </w:r>
    </w:p>
    <w:p w:rsidR="00E636D7" w:rsidRPr="00E636D7" w:rsidRDefault="00E636D7" w:rsidP="00E636D7">
      <w:pPr>
        <w:spacing w:after="0"/>
        <w:rPr>
          <w:rFonts w:ascii="Times New Roman" w:hAnsi="Times New Roman" w:cs="Times New Roman"/>
          <w:sz w:val="24"/>
          <w:szCs w:val="24"/>
        </w:rPr>
      </w:pPr>
    </w:p>
    <w:p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rsidTr="005F1C3C">
        <w:tc>
          <w:tcPr>
            <w:tcW w:w="3182" w:type="dxa"/>
            <w:shd w:val="clear" w:color="auto" w:fill="CCCCCC"/>
          </w:tcPr>
          <w:p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rsidR="00A276F5" w:rsidRPr="00A276F5" w:rsidRDefault="00AA1AAD" w:rsidP="00A276F5">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A276F5" w:rsidRPr="00A276F5">
              <w:rPr>
                <w:rFonts w:ascii="Times New Roman" w:hAnsi="Times New Roman" w:cs="Times New Roman"/>
                <w:b/>
                <w:sz w:val="24"/>
                <w:szCs w:val="24"/>
              </w:rPr>
              <w:t>Number of Employees (FTEs)</w:t>
            </w:r>
            <w:r>
              <w:rPr>
                <w:rFonts w:ascii="Times New Roman" w:hAnsi="Times New Roman" w:cs="Times New Roman"/>
                <w:b/>
                <w:sz w:val="24"/>
                <w:szCs w:val="24"/>
              </w:rPr>
              <w:t xml:space="preserve"> or Number of Hours*</w:t>
            </w:r>
          </w:p>
        </w:tc>
        <w:tc>
          <w:tcPr>
            <w:tcW w:w="2995"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rsidTr="005F1C3C">
        <w:tc>
          <w:tcPr>
            <w:tcW w:w="3182" w:type="dxa"/>
            <w:shd w:val="clear" w:color="auto" w:fill="auto"/>
          </w:tcPr>
          <w:p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Pr="00A276F5">
              <w:rPr>
                <w:rStyle w:val="FootnoteReference"/>
                <w:rFonts w:ascii="Times New Roman" w:hAnsi="Times New Roman" w:cs="Times New Roman"/>
                <w:sz w:val="24"/>
                <w:szCs w:val="24"/>
                <w:vertAlign w:val="superscript"/>
              </w:rPr>
              <w:footnoteReference w:id="21"/>
            </w:r>
          </w:p>
        </w:tc>
        <w:tc>
          <w:tcPr>
            <w:tcW w:w="3201" w:type="dxa"/>
            <w:tcBorders>
              <w:bottom w:val="single" w:sz="4" w:space="0" w:color="auto"/>
            </w:tcBorders>
            <w:shd w:val="clear" w:color="auto" w:fill="auto"/>
            <w:vAlign w:val="center"/>
          </w:tcPr>
          <w:p w:rsidR="00A276F5" w:rsidRPr="00A276F5" w:rsidRDefault="00D267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rsidR="00A276F5"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F1C3C" w:rsidRPr="00A276F5" w:rsidTr="005F1C3C">
        <w:tc>
          <w:tcPr>
            <w:tcW w:w="3182" w:type="dxa"/>
            <w:shd w:val="clear" w:color="auto" w:fill="auto"/>
          </w:tcPr>
          <w:p w:rsidR="005F1C3C" w:rsidRPr="00A276F5" w:rsidRDefault="00F400D7"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p>
        </w:tc>
        <w:tc>
          <w:tcPr>
            <w:tcW w:w="3201" w:type="dxa"/>
            <w:vMerge w:val="restart"/>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$1,588</w:t>
            </w:r>
          </w:p>
        </w:tc>
      </w:tr>
      <w:tr w:rsidR="005F1C3C" w:rsidRPr="00A276F5" w:rsidTr="005F1C3C">
        <w:tc>
          <w:tcPr>
            <w:tcW w:w="3182" w:type="dxa"/>
            <w:shd w:val="clear" w:color="auto" w:fill="auto"/>
          </w:tcPr>
          <w:p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$1,588</w:t>
            </w:r>
          </w:p>
        </w:tc>
      </w:tr>
    </w:tbl>
    <w:p w:rsidR="00A276F5" w:rsidRDefault="00A276F5" w:rsidP="00A276F5">
      <w:pPr>
        <w:spacing w:after="0"/>
        <w:rPr>
          <w:rFonts w:ascii="Times New Roman" w:hAnsi="Times New Roman" w:cs="Times New Roman"/>
          <w:sz w:val="24"/>
          <w:szCs w:val="24"/>
        </w:rPr>
      </w:pPr>
    </w:p>
    <w:p w:rsidR="00A276F5" w:rsidRDefault="00A276F5" w:rsidP="00A276F5">
      <w:pPr>
        <w:spacing w:after="0"/>
        <w:rPr>
          <w:rFonts w:ascii="Times New Roman" w:hAnsi="Times New Roman" w:cs="Times New Roman"/>
          <w:sz w:val="24"/>
          <w:szCs w:val="24"/>
        </w:rPr>
      </w:pPr>
      <w:r>
        <w:rPr>
          <w:rFonts w:ascii="Times New Roman" w:hAnsi="Times New Roman" w:cs="Times New Roman"/>
          <w:sz w:val="24"/>
          <w:szCs w:val="24"/>
        </w:rPr>
        <w:lastRenderedPageBreak/>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00A276F5" w:rsidRPr="00A276F5" w:rsidRDefault="00A276F5" w:rsidP="00A276F5">
      <w:pPr>
        <w:spacing w:after="0"/>
        <w:rPr>
          <w:rFonts w:ascii="Times New Roman" w:hAnsi="Times New Roman" w:cs="Times New Roman"/>
          <w:sz w:val="24"/>
          <w:szCs w:val="24"/>
        </w:rPr>
      </w:pPr>
    </w:p>
    <w:p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RDefault="00A276F5" w:rsidP="00A276F5">
      <w:pPr>
        <w:spacing w:after="0"/>
        <w:rPr>
          <w:rFonts w:ascii="Times New Roman" w:hAnsi="Times New Roman" w:cs="Times New Roman"/>
          <w:sz w:val="24"/>
          <w:szCs w:val="24"/>
        </w:rPr>
      </w:pPr>
    </w:p>
    <w:p w:rsidR="00A276F5" w:rsidRDefault="0063418A" w:rsidP="00A276F5">
      <w:pPr>
        <w:spacing w:after="0"/>
        <w:rPr>
          <w:rFonts w:ascii="Times New Roman" w:hAnsi="Times New Roman" w:cs="Times New Roman"/>
          <w:sz w:val="24"/>
          <w:szCs w:val="24"/>
        </w:rPr>
      </w:pPr>
      <w:r>
        <w:rPr>
          <w:rFonts w:ascii="Times New Roman" w:hAnsi="Times New Roman" w:cs="Times New Roman"/>
          <w:sz w:val="24"/>
          <w:szCs w:val="24"/>
        </w:rPr>
        <w:t>This is the first request for approval concerning</w:t>
      </w:r>
      <w:r w:rsidR="00B945E3">
        <w:rPr>
          <w:rFonts w:ascii="Times New Roman" w:hAnsi="Times New Roman" w:cs="Times New Roman"/>
          <w:sz w:val="24"/>
          <w:szCs w:val="24"/>
        </w:rPr>
        <w:t xml:space="preserve"> this </w:t>
      </w:r>
      <w:r w:rsidR="00B71F0F">
        <w:rPr>
          <w:rFonts w:ascii="Times New Roman" w:hAnsi="Times New Roman" w:cs="Times New Roman"/>
          <w:sz w:val="24"/>
          <w:szCs w:val="24"/>
        </w:rPr>
        <w:t xml:space="preserve">regional </w:t>
      </w:r>
      <w:r w:rsidR="00B945E3">
        <w:rPr>
          <w:rFonts w:ascii="Times New Roman" w:hAnsi="Times New Roman" w:cs="Times New Roman"/>
          <w:sz w:val="24"/>
          <w:szCs w:val="24"/>
        </w:rPr>
        <w:t xml:space="preserve">Reliability Standard.  NERC states (in its petition) that UFLS requirements had been in place (continent-wide and within NPCC) for years prior to implementation of the Commission-approved Reliability Standards in 2007.  Because the UFLS requirements have been in place prior to the development </w:t>
      </w:r>
      <w:r w:rsidR="006446A2">
        <w:rPr>
          <w:rFonts w:ascii="Times New Roman" w:hAnsi="Times New Roman" w:cs="Times New Roman"/>
          <w:sz w:val="24"/>
          <w:szCs w:val="24"/>
        </w:rPr>
        <w:t>of PRC-006-NPCC-01, the</w:t>
      </w:r>
      <w:r w:rsidR="00B945E3">
        <w:rPr>
          <w:rFonts w:ascii="Times New Roman" w:hAnsi="Times New Roman" w:cs="Times New Roman"/>
          <w:sz w:val="24"/>
          <w:szCs w:val="24"/>
        </w:rPr>
        <w:t xml:space="preserve"> regional Reliability Standard is closely associated with requirements to which the entities already adhered.</w:t>
      </w:r>
    </w:p>
    <w:p w:rsidR="00B945E3" w:rsidRDefault="00B945E3"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rsidTr="005F1C3C">
        <w:trPr>
          <w:trHeight w:val="870"/>
        </w:trPr>
        <w:tc>
          <w:tcPr>
            <w:tcW w:w="2679" w:type="dxa"/>
            <w:shd w:val="clear" w:color="auto" w:fill="D9D9D9"/>
            <w:vAlign w:val="bottom"/>
          </w:tcPr>
          <w:p w:rsidR="00C01698" w:rsidRPr="00D80FBD" w:rsidRDefault="00C01698" w:rsidP="006048E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6048EF">
              <w:rPr>
                <w:rFonts w:ascii="Times New Roman" w:hAnsi="Times New Roman" w:cs="Times New Roman"/>
                <w:b/>
                <w:sz w:val="24"/>
                <w:szCs w:val="24"/>
              </w:rPr>
              <w:t>725L</w:t>
            </w:r>
          </w:p>
        </w:tc>
        <w:tc>
          <w:tcPr>
            <w:tcW w:w="1461"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rsidTr="005F1C3C">
        <w:trPr>
          <w:trHeight w:val="591"/>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C01698" w:rsidRPr="00FC440E" w:rsidRDefault="00FC440E" w:rsidP="005F1C3C">
            <w:pPr>
              <w:spacing w:after="0" w:line="240" w:lineRule="auto"/>
              <w:jc w:val="right"/>
              <w:rPr>
                <w:rFonts w:ascii="Times New Roman" w:hAnsi="Times New Roman" w:cs="Times New Roman"/>
                <w:sz w:val="24"/>
                <w:szCs w:val="24"/>
              </w:rPr>
            </w:pPr>
            <w:r w:rsidRPr="00FC440E">
              <w:rPr>
                <w:rFonts w:ascii="Times New Roman" w:hAnsi="Times New Roman" w:cs="Times New Roman"/>
                <w:sz w:val="24"/>
                <w:szCs w:val="24"/>
              </w:rPr>
              <w:t>137</w:t>
            </w:r>
          </w:p>
        </w:tc>
        <w:tc>
          <w:tcPr>
            <w:tcW w:w="162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0954E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w:t>
            </w:r>
          </w:p>
        </w:tc>
      </w:tr>
      <w:tr w:rsidR="00C01698" w:rsidRPr="00D80FBD" w:rsidTr="005F1C3C">
        <w:trPr>
          <w:trHeight w:val="575"/>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rsidR="00C01698" w:rsidRPr="00FC440E" w:rsidRDefault="00FC440E" w:rsidP="005F1C3C">
            <w:pPr>
              <w:spacing w:after="0" w:line="240" w:lineRule="auto"/>
              <w:jc w:val="right"/>
              <w:rPr>
                <w:rFonts w:ascii="Times New Roman" w:hAnsi="Times New Roman" w:cs="Times New Roman"/>
                <w:sz w:val="24"/>
                <w:szCs w:val="24"/>
              </w:rPr>
            </w:pPr>
            <w:r w:rsidRPr="00FC440E">
              <w:rPr>
                <w:rFonts w:ascii="Times New Roman" w:hAnsi="Times New Roman" w:cs="Times New Roman"/>
                <w:sz w:val="24"/>
                <w:szCs w:val="24"/>
              </w:rPr>
              <w:t>2,748</w:t>
            </w:r>
          </w:p>
        </w:tc>
        <w:tc>
          <w:tcPr>
            <w:tcW w:w="162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0954E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w:t>
            </w:r>
          </w:p>
        </w:tc>
      </w:tr>
      <w:tr w:rsidR="00C01698" w:rsidRPr="00D80FBD" w:rsidTr="005F1C3C">
        <w:trPr>
          <w:trHeight w:val="295"/>
        </w:trPr>
        <w:tc>
          <w:tcPr>
            <w:tcW w:w="2679" w:type="dxa"/>
            <w:tcBorders>
              <w:bottom w:val="single" w:sz="4" w:space="0" w:color="auto"/>
            </w:tcBorders>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C01698" w:rsidRPr="000C7221" w:rsidRDefault="00252919" w:rsidP="005F1C3C">
            <w:pPr>
              <w:spacing w:after="0" w:line="240" w:lineRule="auto"/>
              <w:jc w:val="right"/>
              <w:rPr>
                <w:rFonts w:ascii="Times New Roman" w:hAnsi="Times New Roman" w:cs="Times New Roman"/>
                <w:sz w:val="24"/>
                <w:szCs w:val="24"/>
                <w:highlight w:val="yellow"/>
              </w:rPr>
            </w:pPr>
            <w:r w:rsidRPr="0025291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rsidR="00C01698" w:rsidRDefault="00C01698" w:rsidP="00A276F5">
      <w:pPr>
        <w:spacing w:after="0"/>
        <w:rPr>
          <w:rFonts w:ascii="Times New Roman" w:hAnsi="Times New Roman" w:cs="Times New Roman"/>
          <w:sz w:val="24"/>
          <w:szCs w:val="24"/>
        </w:rPr>
      </w:pPr>
    </w:p>
    <w:p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rsidR="00970FE4" w:rsidRPr="00A276F5" w:rsidRDefault="00970FE4" w:rsidP="00A276F5">
      <w:pPr>
        <w:spacing w:after="0"/>
        <w:rPr>
          <w:rFonts w:ascii="Times New Roman" w:hAnsi="Times New Roman" w:cs="Times New Roman"/>
          <w:sz w:val="24"/>
          <w:szCs w:val="24"/>
        </w:rPr>
      </w:pPr>
    </w:p>
    <w:p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rsidR="00414F32" w:rsidRPr="00414F32" w:rsidRDefault="00414F32" w:rsidP="00414F32">
      <w:pPr>
        <w:spacing w:after="0"/>
        <w:rPr>
          <w:rFonts w:ascii="Times New Roman" w:hAnsi="Times New Roman" w:cs="Times New Roman"/>
          <w:sz w:val="24"/>
          <w:szCs w:val="24"/>
        </w:rPr>
      </w:pPr>
    </w:p>
    <w:p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It is not appropriate to display the expiration date for OMB approval of the information collection.  The </w:t>
      </w:r>
      <w:r w:rsidR="000954E0">
        <w:rPr>
          <w:rFonts w:ascii="Times New Roman" w:hAnsi="Times New Roman" w:cs="Times New Roman"/>
          <w:sz w:val="24"/>
          <w:szCs w:val="24"/>
        </w:rPr>
        <w:t>information is not collected</w:t>
      </w:r>
      <w:r w:rsidRPr="005F6467">
        <w:rPr>
          <w:rFonts w:ascii="Times New Roman" w:hAnsi="Times New Roman" w:cs="Times New Roman"/>
          <w:sz w:val="24"/>
          <w:szCs w:val="24"/>
        </w:rPr>
        <w:t xml:space="preserve"> upon a standard form which would facilitate the display of the expiration date for OMB approval.</w:t>
      </w:r>
    </w:p>
    <w:p w:rsidR="00414F32" w:rsidRPr="00414F32" w:rsidRDefault="00414F32" w:rsidP="00414F32">
      <w:pPr>
        <w:spacing w:after="0"/>
        <w:rPr>
          <w:rFonts w:ascii="Times New Roman" w:hAnsi="Times New Roman" w:cs="Times New Roman"/>
          <w:sz w:val="24"/>
          <w:szCs w:val="24"/>
        </w:rPr>
      </w:pPr>
    </w:p>
    <w:p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57700F">
      <w:pPr>
        <w:spacing w:after="0"/>
        <w:rPr>
          <w:rFonts w:ascii="Times New Roman" w:hAnsi="Times New Roman" w:cs="Times New Roman"/>
          <w:b/>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lastRenderedPageBreak/>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rsidR="00414F32" w:rsidRPr="007A2F92" w:rsidRDefault="00414F32" w:rsidP="007A2F92">
      <w:pPr>
        <w:spacing w:after="0"/>
        <w:rPr>
          <w:rFonts w:ascii="Times New Roman" w:hAnsi="Times New Roman" w:cs="Times New Roman"/>
          <w:sz w:val="24"/>
          <w:szCs w:val="24"/>
        </w:rPr>
      </w:pPr>
    </w:p>
    <w:sectPr w:rsidR="00414F32" w:rsidRPr="007A2F9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CE7" w:rsidRDefault="00595CE7" w:rsidP="00FD66F1">
      <w:pPr>
        <w:spacing w:after="0" w:line="240" w:lineRule="auto"/>
      </w:pPr>
      <w:r>
        <w:separator/>
      </w:r>
    </w:p>
  </w:endnote>
  <w:endnote w:type="continuationSeparator" w:id="0">
    <w:p w:rsidR="00595CE7" w:rsidRDefault="00595CE7"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CE7" w:rsidRDefault="00595CE7" w:rsidP="00FD66F1">
      <w:pPr>
        <w:spacing w:after="0" w:line="240" w:lineRule="auto"/>
      </w:pPr>
      <w:r>
        <w:separator/>
      </w:r>
    </w:p>
  </w:footnote>
  <w:footnote w:type="continuationSeparator" w:id="0">
    <w:p w:rsidR="00595CE7" w:rsidRDefault="00595CE7" w:rsidP="00FD66F1">
      <w:pPr>
        <w:spacing w:after="0" w:line="240" w:lineRule="auto"/>
      </w:pPr>
      <w:r>
        <w:continuationSeparator/>
      </w:r>
    </w:p>
  </w:footnote>
  <w:footnote w:id="1">
    <w:p w:rsidR="00595CE7" w:rsidRDefault="00595CE7">
      <w:pPr>
        <w:pStyle w:val="FootnoteText"/>
      </w:pPr>
      <w:r>
        <w:rPr>
          <w:rStyle w:val="FootnoteReference"/>
        </w:rPr>
        <w:footnoteRef/>
      </w:r>
      <w:r>
        <w:t xml:space="preserve"> The FERC-725L is a new collection that has not yet been imposed. OMB provided a “placeholder” Control No. when they issued its decision on the NOPR.</w:t>
      </w:r>
    </w:p>
  </w:footnote>
  <w:footnote w:id="2">
    <w:p w:rsidR="00595CE7" w:rsidRPr="005A177D" w:rsidRDefault="00595CE7" w:rsidP="00040FAB">
      <w:pPr>
        <w:pStyle w:val="FootnoteText"/>
        <w:rPr>
          <w:lang w:val="pt-BR"/>
        </w:rPr>
      </w:pPr>
      <w:r w:rsidRPr="005A177D">
        <w:rPr>
          <w:rStyle w:val="FootnoteReference"/>
        </w:rPr>
        <w:footnoteRef/>
      </w:r>
      <w:r w:rsidRPr="005A177D">
        <w:rPr>
          <w:lang w:val="es-ES"/>
        </w:rPr>
        <w:t xml:space="preserve"> 16 USC </w:t>
      </w:r>
      <w:proofErr w:type="gramStart"/>
      <w:r w:rsidRPr="005A177D">
        <w:rPr>
          <w:lang w:val="es-ES"/>
        </w:rPr>
        <w:t>824o(</w:t>
      </w:r>
      <w:proofErr w:type="gramEnd"/>
      <w:r w:rsidRPr="005A177D">
        <w:rPr>
          <w:lang w:val="es-ES"/>
        </w:rPr>
        <w:t>e) (2006)</w:t>
      </w:r>
      <w:r w:rsidRPr="005A177D">
        <w:rPr>
          <w:lang w:val="pt-BR"/>
        </w:rPr>
        <w:t>.</w:t>
      </w:r>
    </w:p>
  </w:footnote>
  <w:footnote w:id="3">
    <w:p w:rsidR="00595CE7" w:rsidRPr="005A177D" w:rsidRDefault="00595CE7" w:rsidP="00040FAB">
      <w:pPr>
        <w:pStyle w:val="FootnoteText"/>
        <w:rPr>
          <w:lang w:val="pt-BR"/>
        </w:rPr>
      </w:pPr>
      <w:r w:rsidRPr="005A177D">
        <w:rPr>
          <w:rStyle w:val="FootnoteReference"/>
        </w:rPr>
        <w:footnoteRef/>
      </w:r>
      <w:r w:rsidRPr="005A177D">
        <w:rPr>
          <w:lang w:val="pt-BR"/>
        </w:rPr>
        <w:t xml:space="preserve"> </w:t>
      </w:r>
      <w:r w:rsidRPr="005A177D">
        <w:rPr>
          <w:lang w:val="pt-BR"/>
        </w:rPr>
        <w:t>16 USC</w:t>
      </w:r>
      <w:r w:rsidRPr="005A177D">
        <w:rPr>
          <w:lang w:val="es-ES"/>
        </w:rPr>
        <w:t xml:space="preserve"> </w:t>
      </w:r>
      <w:r w:rsidRPr="005A177D">
        <w:rPr>
          <w:lang w:val="pt-BR"/>
        </w:rPr>
        <w:t xml:space="preserve">824o(e)(4).  </w:t>
      </w:r>
      <w:r w:rsidRPr="005A177D">
        <w:t xml:space="preserve">A Regional Entity is an entity that the Commission has approved to enforce Reliability Standards under delegated authority from the ERO.  </w:t>
      </w:r>
      <w:r w:rsidRPr="005A177D">
        <w:rPr>
          <w:lang w:val="pt-BR"/>
        </w:rPr>
        <w:t>See 16 USC 824o(a)(7) and (e)(4).</w:t>
      </w:r>
    </w:p>
  </w:footnote>
  <w:footnote w:id="4">
    <w:p w:rsidR="00595CE7" w:rsidRPr="005A177D" w:rsidRDefault="00595CE7" w:rsidP="00040FAB">
      <w:pPr>
        <w:pStyle w:val="FootnoteText"/>
        <w:rPr>
          <w:lang w:val="pt-BR"/>
        </w:rPr>
      </w:pPr>
      <w:r w:rsidRPr="005A177D">
        <w:rPr>
          <w:rStyle w:val="FootnoteReference"/>
        </w:rPr>
        <w:footnoteRef/>
      </w:r>
      <w:r w:rsidRPr="005A177D">
        <w:rPr>
          <w:lang w:val="pt-BR"/>
        </w:rPr>
        <w:t xml:space="preserve"> </w:t>
      </w:r>
      <w:r w:rsidRPr="005A177D">
        <w:rPr>
          <w:lang w:val="pt-BR"/>
        </w:rPr>
        <w:t>16 USC</w:t>
      </w:r>
      <w:r w:rsidRPr="005A177D">
        <w:rPr>
          <w:lang w:val="es-ES"/>
        </w:rPr>
        <w:t xml:space="preserve"> </w:t>
      </w:r>
      <w:r w:rsidRPr="005A177D">
        <w:rPr>
          <w:lang w:val="pt-BR"/>
        </w:rPr>
        <w:t>824o(d)(3).</w:t>
      </w:r>
    </w:p>
  </w:footnote>
  <w:footnote w:id="5">
    <w:p w:rsidR="00595CE7" w:rsidRPr="005A177D" w:rsidRDefault="00595CE7" w:rsidP="00040FAB">
      <w:pPr>
        <w:pStyle w:val="FootnoteText"/>
        <w:rPr>
          <w:lang w:val="pt-BR"/>
        </w:rPr>
      </w:pPr>
      <w:r w:rsidRPr="005A177D">
        <w:rPr>
          <w:rStyle w:val="FootnoteReference"/>
        </w:rPr>
        <w:footnoteRef/>
      </w:r>
      <w:r w:rsidRPr="005A177D">
        <w:rPr>
          <w:lang w:val="pt-BR"/>
        </w:rPr>
        <w:t xml:space="preserve"> </w:t>
      </w:r>
      <w:r w:rsidRPr="005A177D">
        <w:rPr>
          <w:lang w:val="pt-BR"/>
        </w:rPr>
        <w:t>16 USC</w:t>
      </w:r>
      <w:r w:rsidRPr="005A177D">
        <w:rPr>
          <w:lang w:val="es-ES"/>
        </w:rPr>
        <w:t xml:space="preserve"> </w:t>
      </w:r>
      <w:r w:rsidRPr="005A177D">
        <w:rPr>
          <w:lang w:val="pt-BR"/>
        </w:rPr>
        <w:t>824o(d)(2).</w:t>
      </w:r>
    </w:p>
  </w:footnote>
  <w:footnote w:id="6">
    <w:p w:rsidR="00595CE7" w:rsidRPr="005A177D" w:rsidRDefault="00595CE7" w:rsidP="00040FAB">
      <w:pPr>
        <w:pStyle w:val="FootnoteText"/>
      </w:pPr>
      <w:r w:rsidRPr="005A177D">
        <w:rPr>
          <w:rStyle w:val="FootnoteReference"/>
        </w:rPr>
        <w:footnoteRef/>
      </w:r>
      <w:r w:rsidRPr="005A177D">
        <w:t xml:space="preserve"> </w:t>
      </w:r>
      <w:proofErr w:type="gramStart"/>
      <w:r w:rsidRPr="005A177D">
        <w:t>North American Electric Reliability Corp., 119 FERC ¶ 61,060 (2007).</w:t>
      </w:r>
      <w:proofErr w:type="gramEnd"/>
      <w:r w:rsidRPr="005A177D">
        <w:t xml:space="preserve"> </w:t>
      </w:r>
    </w:p>
  </w:footnote>
  <w:footnote w:id="7">
    <w:p w:rsidR="00595CE7" w:rsidRPr="005A177D" w:rsidRDefault="00595CE7">
      <w:pPr>
        <w:pStyle w:val="FootnoteText"/>
      </w:pPr>
      <w:r w:rsidRPr="005A177D">
        <w:rPr>
          <w:rStyle w:val="FootnoteReference"/>
        </w:rPr>
        <w:footnoteRef/>
      </w:r>
      <w:r w:rsidRPr="005A177D">
        <w:t xml:space="preserve"> </w:t>
      </w:r>
      <w:proofErr w:type="gramStart"/>
      <w:r w:rsidRPr="005A177D">
        <w:t>See Automatic Underfrequency Load Shedding and Load Shedding Plans Reliability Standards, Order No. 763, 139 FERC ¶ 61,098 (May 7, 2012)</w:t>
      </w:r>
      <w:r>
        <w:t>,</w:t>
      </w:r>
      <w:r w:rsidRPr="005A177D">
        <w:t xml:space="preserve"> approving Reliability Standards PRC-006-1 (Automatic Underfrequency Load Shedding) and EOP-003-2 (Load Shedding Plans))</w:t>
      </w:r>
      <w:r>
        <w:t>.</w:t>
      </w:r>
      <w:proofErr w:type="gramEnd"/>
    </w:p>
  </w:footnote>
  <w:footnote w:id="8">
    <w:p w:rsidR="00595CE7" w:rsidRPr="005A177D" w:rsidRDefault="00595CE7">
      <w:pPr>
        <w:pStyle w:val="FootnoteText"/>
      </w:pPr>
      <w:r w:rsidRPr="005A177D">
        <w:rPr>
          <w:rStyle w:val="FootnoteReference"/>
        </w:rPr>
        <w:footnoteRef/>
      </w:r>
      <w:r w:rsidRPr="005A177D">
        <w:t xml:space="preserve"> NERC Petition at 29-30</w:t>
      </w:r>
    </w:p>
  </w:footnote>
  <w:footnote w:id="9">
    <w:p w:rsidR="00595CE7" w:rsidRPr="005A177D" w:rsidRDefault="00595CE7">
      <w:pPr>
        <w:pStyle w:val="FootnoteText"/>
      </w:pPr>
      <w:r w:rsidRPr="005A177D">
        <w:rPr>
          <w:rStyle w:val="FootnoteReference"/>
        </w:rPr>
        <w:footnoteRef/>
      </w:r>
      <w:r w:rsidRPr="005A177D">
        <w:t xml:space="preserve"> Id</w:t>
      </w:r>
    </w:p>
  </w:footnote>
  <w:footnote w:id="10">
    <w:p w:rsidR="00595CE7" w:rsidRPr="005A177D" w:rsidRDefault="00595CE7">
      <w:pPr>
        <w:pStyle w:val="FootnoteText"/>
      </w:pPr>
      <w:r w:rsidRPr="005A177D">
        <w:rPr>
          <w:rStyle w:val="FootnoteReference"/>
        </w:rPr>
        <w:footnoteRef/>
      </w:r>
      <w:r w:rsidRPr="005A177D">
        <w:t xml:space="preserve"> Reference PRC-0065-NPCC-1 reliability standard for further information</w:t>
      </w:r>
    </w:p>
  </w:footnote>
  <w:footnote w:id="11">
    <w:p w:rsidR="00595CE7" w:rsidRDefault="00595CE7">
      <w:pPr>
        <w:pStyle w:val="FootnoteText"/>
      </w:pPr>
      <w:r>
        <w:rPr>
          <w:rStyle w:val="FootnoteReference"/>
        </w:rPr>
        <w:footnoteRef/>
      </w:r>
      <w:r>
        <w:t xml:space="preserve"> OMB approved these requirements on 7/9/2012.  These reporting requirements were included in FERC-725A (Final Rule in RM11-20</w:t>
      </w:r>
      <w:r w:rsidR="00D00740">
        <w:t>; Order 763</w:t>
      </w:r>
      <w:r>
        <w:t>); OMB Control No. 1902-0244; ICR Reference No. 201204-1902-001</w:t>
      </w:r>
      <w:r w:rsidR="004C7C82">
        <w:t>.</w:t>
      </w:r>
    </w:p>
  </w:footnote>
  <w:footnote w:id="12">
    <w:p w:rsidR="00595CE7" w:rsidRPr="005A177D" w:rsidRDefault="00595CE7">
      <w:pPr>
        <w:pStyle w:val="FootnoteText"/>
      </w:pPr>
      <w:r w:rsidRPr="005A177D">
        <w:rPr>
          <w:rStyle w:val="FootnoteReference"/>
        </w:rPr>
        <w:footnoteRef/>
      </w:r>
      <w:r w:rsidRPr="005A177D">
        <w:t xml:space="preserve"> See Regulatory Flexibility Act Certification section within the </w:t>
      </w:r>
      <w:r>
        <w:t>final rule</w:t>
      </w:r>
      <w:r w:rsidRPr="005A177D">
        <w:t xml:space="preserve"> for this collection.</w:t>
      </w:r>
    </w:p>
  </w:footnote>
  <w:footnote w:id="13">
    <w:p w:rsidR="00595CE7" w:rsidRPr="005A177D" w:rsidRDefault="00595CE7">
      <w:pPr>
        <w:pStyle w:val="FootnoteText"/>
      </w:pPr>
      <w:r w:rsidRPr="005A177D">
        <w:rPr>
          <w:rStyle w:val="FootnoteReference"/>
        </w:rPr>
        <w:footnoteRef/>
      </w:r>
      <w:r w:rsidRPr="005A177D">
        <w:t xml:space="preserve"> In accordance with 5 CFR 1320.11</w:t>
      </w:r>
    </w:p>
  </w:footnote>
  <w:footnote w:id="14">
    <w:p w:rsidR="00595CE7" w:rsidRPr="005A177D" w:rsidRDefault="00595CE7">
      <w:pPr>
        <w:pStyle w:val="FootnoteText"/>
      </w:pPr>
      <w:r w:rsidRPr="005A177D">
        <w:rPr>
          <w:rStyle w:val="FootnoteReference"/>
        </w:rPr>
        <w:footnoteRef/>
      </w:r>
      <w:r w:rsidRPr="005A177D">
        <w:t xml:space="preserve"> See (</w:t>
      </w:r>
      <w:hyperlink r:id="rId1" w:history="1">
        <w:r w:rsidRPr="005A177D">
          <w:rPr>
            <w:rStyle w:val="Hyperlink"/>
          </w:rPr>
          <w:t>http://elibrary.ferc.gov/idmws/File_list.asp?document_id=14052753</w:t>
        </w:r>
      </w:hyperlink>
      <w:r w:rsidRPr="005A177D">
        <w:t>)</w:t>
      </w:r>
    </w:p>
  </w:footnote>
  <w:footnote w:id="15">
    <w:p w:rsidR="00595CE7" w:rsidRPr="005A177D" w:rsidRDefault="00595CE7" w:rsidP="005A0B1C">
      <w:pPr>
        <w:pStyle w:val="FootnoteText"/>
      </w:pPr>
      <w:r w:rsidRPr="005A177D">
        <w:rPr>
          <w:rStyle w:val="FootnoteReference"/>
        </w:rPr>
        <w:footnoteRef/>
      </w:r>
      <w:r w:rsidRPr="005A177D">
        <w:t xml:space="preserve"> PSEG is comprised of PSEG Power LLC and PSEG Energy Resources &amp;</w:t>
      </w:r>
    </w:p>
    <w:p w:rsidR="00595CE7" w:rsidRPr="005A177D" w:rsidRDefault="00595CE7" w:rsidP="005A0B1C">
      <w:pPr>
        <w:pStyle w:val="FootnoteText"/>
      </w:pPr>
      <w:r w:rsidRPr="005A177D">
        <w:t>Trade LLC.</w:t>
      </w:r>
    </w:p>
  </w:footnote>
  <w:footnote w:id="16">
    <w:p w:rsidR="00595CE7" w:rsidRPr="005A177D" w:rsidRDefault="00595CE7" w:rsidP="005A0B1C">
      <w:pPr>
        <w:autoSpaceDE w:val="0"/>
        <w:autoSpaceDN w:val="0"/>
        <w:adjustRightInd w:val="0"/>
        <w:spacing w:after="0" w:line="240" w:lineRule="auto"/>
        <w:rPr>
          <w:rFonts w:ascii="Times New Roman" w:hAnsi="Times New Roman" w:cs="Times New Roman"/>
          <w:sz w:val="20"/>
          <w:szCs w:val="20"/>
        </w:rPr>
      </w:pPr>
      <w:r w:rsidRPr="005A177D">
        <w:rPr>
          <w:rStyle w:val="FootnoteReference"/>
          <w:rFonts w:ascii="Times New Roman" w:hAnsi="Times New Roman" w:cs="Times New Roman"/>
          <w:sz w:val="20"/>
          <w:szCs w:val="20"/>
        </w:rPr>
        <w:footnoteRef/>
      </w:r>
      <w:r w:rsidRPr="005A177D">
        <w:rPr>
          <w:rFonts w:ascii="Times New Roman" w:hAnsi="Times New Roman" w:cs="Times New Roman"/>
          <w:sz w:val="20"/>
          <w:szCs w:val="20"/>
        </w:rPr>
        <w:t xml:space="preserve"> Dominion filed comments on behalf of Virginia Electric and Power Company,</w:t>
      </w:r>
    </w:p>
    <w:p w:rsidR="00595CE7" w:rsidRPr="005A177D" w:rsidRDefault="00595CE7" w:rsidP="005A0B1C">
      <w:pPr>
        <w:autoSpaceDE w:val="0"/>
        <w:autoSpaceDN w:val="0"/>
        <w:adjustRightInd w:val="0"/>
        <w:spacing w:after="0" w:line="240" w:lineRule="auto"/>
        <w:rPr>
          <w:rFonts w:ascii="Times New Roman" w:hAnsi="Times New Roman" w:cs="Times New Roman"/>
          <w:sz w:val="20"/>
          <w:szCs w:val="20"/>
        </w:rPr>
      </w:pPr>
      <w:r w:rsidRPr="005A177D">
        <w:rPr>
          <w:rFonts w:ascii="Times New Roman" w:hAnsi="Times New Roman" w:cs="Times New Roman"/>
          <w:sz w:val="20"/>
          <w:szCs w:val="20"/>
        </w:rPr>
        <w:t>Dominion Energy Kewaunee, Inc., Dominion Nuclear Connecticut, Inc., Dominion</w:t>
      </w:r>
    </w:p>
    <w:p w:rsidR="00595CE7" w:rsidRPr="005A177D" w:rsidRDefault="00595CE7" w:rsidP="005A0B1C">
      <w:pPr>
        <w:autoSpaceDE w:val="0"/>
        <w:autoSpaceDN w:val="0"/>
        <w:adjustRightInd w:val="0"/>
        <w:spacing w:after="0" w:line="240" w:lineRule="auto"/>
        <w:rPr>
          <w:rFonts w:ascii="Times New Roman" w:hAnsi="Times New Roman" w:cs="Times New Roman"/>
          <w:sz w:val="20"/>
          <w:szCs w:val="20"/>
        </w:rPr>
      </w:pPr>
      <w:r w:rsidRPr="005A177D">
        <w:rPr>
          <w:rFonts w:ascii="Times New Roman" w:hAnsi="Times New Roman" w:cs="Times New Roman"/>
          <w:sz w:val="20"/>
          <w:szCs w:val="20"/>
        </w:rPr>
        <w:t xml:space="preserve">Energy </w:t>
      </w:r>
      <w:proofErr w:type="spellStart"/>
      <w:r w:rsidRPr="005A177D">
        <w:rPr>
          <w:rFonts w:ascii="Times New Roman" w:hAnsi="Times New Roman" w:cs="Times New Roman"/>
          <w:sz w:val="20"/>
          <w:szCs w:val="20"/>
        </w:rPr>
        <w:t>Brayton</w:t>
      </w:r>
      <w:proofErr w:type="spellEnd"/>
      <w:r w:rsidRPr="005A177D">
        <w:rPr>
          <w:rFonts w:ascii="Times New Roman" w:hAnsi="Times New Roman" w:cs="Times New Roman"/>
          <w:sz w:val="20"/>
          <w:szCs w:val="20"/>
        </w:rPr>
        <w:t xml:space="preserve"> Point, LLC, Dominion Energy Manchester Street, Inc., Elwood</w:t>
      </w:r>
    </w:p>
    <w:p w:rsidR="00595CE7" w:rsidRPr="005A177D" w:rsidRDefault="00595CE7" w:rsidP="005A0B1C">
      <w:pPr>
        <w:pStyle w:val="FootnoteText"/>
      </w:pPr>
      <w:proofErr w:type="gramStart"/>
      <w:r w:rsidRPr="005A177D">
        <w:t>Energy, LLC, Kincaid Generation, LLC, and Fairless Energy, LLC.</w:t>
      </w:r>
      <w:proofErr w:type="gramEnd"/>
    </w:p>
  </w:footnote>
  <w:footnote w:id="17">
    <w:p w:rsidR="00595CE7" w:rsidRPr="005A177D" w:rsidRDefault="00595CE7">
      <w:pPr>
        <w:pStyle w:val="FootnoteText"/>
      </w:pPr>
      <w:r w:rsidRPr="005A177D">
        <w:rPr>
          <w:rStyle w:val="FootnoteReference"/>
        </w:rPr>
        <w:footnoteRef/>
      </w:r>
      <w:r w:rsidRPr="005A177D">
        <w:t xml:space="preserve"> 18 CFR 388.112</w:t>
      </w:r>
    </w:p>
  </w:footnote>
  <w:footnote w:id="18">
    <w:p w:rsidR="00595CE7" w:rsidRPr="005A177D" w:rsidRDefault="00595CE7" w:rsidP="004A7822">
      <w:pPr>
        <w:pStyle w:val="FootnoteText"/>
      </w:pPr>
      <w:r w:rsidRPr="004C7C82">
        <w:rPr>
          <w:rStyle w:val="FootnoteReference"/>
        </w:rPr>
        <w:footnoteRef/>
      </w:r>
      <w:r w:rsidRPr="00B75EB6">
        <w:t xml:space="preserve"> The burden estimates for Reliability Standard PRC-006-1 are included in Order No. 763 </w:t>
      </w:r>
      <w:r w:rsidR="00B75EB6" w:rsidRPr="00E311AA">
        <w:t>(Final Rule in RM11-20)</w:t>
      </w:r>
      <w:r w:rsidR="00B75EB6">
        <w:t xml:space="preserve"> </w:t>
      </w:r>
      <w:r w:rsidR="004C7C82" w:rsidRPr="00B75EB6">
        <w:t>and covered in FERC-725A</w:t>
      </w:r>
      <w:r w:rsidR="00B75EB6" w:rsidRPr="00B75EB6">
        <w:t xml:space="preserve"> </w:t>
      </w:r>
      <w:r w:rsidR="00B75EB6">
        <w:t>(</w:t>
      </w:r>
      <w:r w:rsidR="00B75EB6" w:rsidRPr="00BD275E">
        <w:t>OMB Control No. 1902-0244</w:t>
      </w:r>
      <w:r w:rsidR="00B75EB6">
        <w:t>)</w:t>
      </w:r>
      <w:r w:rsidR="004C7C82" w:rsidRPr="00B75EB6">
        <w:t xml:space="preserve">. OMB approved those requirements on 7/9/2012 </w:t>
      </w:r>
      <w:r w:rsidR="00B75EB6">
        <w:t>(</w:t>
      </w:r>
      <w:r w:rsidR="00B75EB6" w:rsidRPr="00BD275E">
        <w:t>ICR Reference No. 201204-1902-001</w:t>
      </w:r>
      <w:r w:rsidR="00B75EB6">
        <w:t>)</w:t>
      </w:r>
      <w:r w:rsidR="00B75EB6">
        <w:t>.</w:t>
      </w:r>
    </w:p>
  </w:footnote>
  <w:footnote w:id="19">
    <w:p w:rsidR="00595CE7" w:rsidRPr="005A177D" w:rsidRDefault="00595CE7">
      <w:pPr>
        <w:pStyle w:val="FootnoteText"/>
      </w:pPr>
      <w:r w:rsidRPr="005A177D">
        <w:rPr>
          <w:rStyle w:val="FootnoteReference"/>
        </w:rPr>
        <w:footnoteRef/>
      </w:r>
      <w:r w:rsidRPr="005A177D">
        <w:t xml:space="preserve"> PC = planning coordinator</w:t>
      </w:r>
    </w:p>
  </w:footnote>
  <w:footnote w:id="20">
    <w:p w:rsidR="00595CE7" w:rsidRPr="005A177D" w:rsidRDefault="00595CE7">
      <w:pPr>
        <w:pStyle w:val="FootnoteText"/>
      </w:pPr>
      <w:r w:rsidRPr="005A177D">
        <w:rPr>
          <w:rStyle w:val="FootnoteReference"/>
        </w:rPr>
        <w:footnoteRef/>
      </w:r>
      <w:r w:rsidRPr="005A177D">
        <w:t xml:space="preserve"> GO = generator owner</w:t>
      </w:r>
    </w:p>
  </w:footnote>
  <w:footnote w:id="21">
    <w:p w:rsidR="00595CE7" w:rsidRPr="005A177D" w:rsidRDefault="00595CE7" w:rsidP="00A276F5">
      <w:pPr>
        <w:pStyle w:val="FootnoteText"/>
      </w:pPr>
      <w:r w:rsidRPr="005A177D">
        <w:rPr>
          <w:rStyle w:val="FootnoteReference"/>
        </w:rPr>
        <w:footnoteRef/>
      </w:r>
      <w:r w:rsidRPr="005A177D">
        <w:t xml:space="preserve"> Based upon 2012 FTE average salary ($143,540 or $69.01/hour)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E7" w:rsidRDefault="00595CE7">
    <w:pPr>
      <w:pStyle w:val="Header"/>
      <w:rPr>
        <w:rFonts w:ascii="Times New Roman" w:hAnsi="Times New Roman" w:cs="Times New Roman"/>
        <w:sz w:val="24"/>
        <w:szCs w:val="24"/>
      </w:rPr>
    </w:pPr>
    <w:r>
      <w:rPr>
        <w:rFonts w:ascii="Times New Roman" w:hAnsi="Times New Roman" w:cs="Times New Roman"/>
        <w:sz w:val="24"/>
        <w:szCs w:val="24"/>
      </w:rPr>
      <w:t>FERC-725L, OMB Control No. 1902-0261</w:t>
    </w:r>
  </w:p>
  <w:p w:rsidR="00595CE7" w:rsidRDefault="00595CE7">
    <w:pPr>
      <w:pStyle w:val="Header"/>
      <w:rPr>
        <w:rFonts w:ascii="Times New Roman" w:hAnsi="Times New Roman" w:cs="Times New Roman"/>
        <w:sz w:val="24"/>
        <w:szCs w:val="24"/>
      </w:rPr>
    </w:pPr>
    <w:r>
      <w:rPr>
        <w:rFonts w:ascii="Times New Roman" w:hAnsi="Times New Roman" w:cs="Times New Roman"/>
        <w:sz w:val="24"/>
        <w:szCs w:val="24"/>
      </w:rPr>
      <w:t xml:space="preserve">Final Rule in RM12-12, </w:t>
    </w:r>
    <w:r w:rsidRPr="003527EA">
      <w:rPr>
        <w:rFonts w:ascii="Times New Roman" w:hAnsi="Times New Roman" w:cs="Times New Roman"/>
        <w:sz w:val="24"/>
        <w:szCs w:val="24"/>
      </w:rPr>
      <w:t>Issued: February 21, 201</w:t>
    </w:r>
    <w:r>
      <w:rPr>
        <w:rFonts w:ascii="Times New Roman" w:hAnsi="Times New Roman" w:cs="Times New Roman"/>
        <w:sz w:val="24"/>
        <w:szCs w:val="24"/>
      </w:rPr>
      <w:t>3</w:t>
    </w:r>
  </w:p>
  <w:p w:rsidR="00595CE7" w:rsidRDefault="00595CE7">
    <w:pPr>
      <w:pStyle w:val="Header"/>
      <w:rPr>
        <w:rFonts w:ascii="Times New Roman" w:hAnsi="Times New Roman" w:cs="Times New Roman"/>
        <w:sz w:val="24"/>
        <w:szCs w:val="24"/>
      </w:rPr>
    </w:pPr>
    <w:r>
      <w:rPr>
        <w:rFonts w:ascii="Times New Roman" w:hAnsi="Times New Roman" w:cs="Times New Roman"/>
        <w:sz w:val="24"/>
        <w:szCs w:val="24"/>
      </w:rPr>
      <w:t>RIN: 1902-AE54</w:t>
    </w:r>
  </w:p>
  <w:p w:rsidR="00595CE7" w:rsidRDefault="00595CE7">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06BE"/>
    <w:rsid w:val="00003ACA"/>
    <w:rsid w:val="00010D02"/>
    <w:rsid w:val="00020AAB"/>
    <w:rsid w:val="00033472"/>
    <w:rsid w:val="00035845"/>
    <w:rsid w:val="00040FAB"/>
    <w:rsid w:val="00053E63"/>
    <w:rsid w:val="00056AB1"/>
    <w:rsid w:val="000576B9"/>
    <w:rsid w:val="0006507A"/>
    <w:rsid w:val="00086B9E"/>
    <w:rsid w:val="000954E0"/>
    <w:rsid w:val="000A1A83"/>
    <w:rsid w:val="000B0C37"/>
    <w:rsid w:val="000B56F4"/>
    <w:rsid w:val="000C7221"/>
    <w:rsid w:val="000E034D"/>
    <w:rsid w:val="0010531D"/>
    <w:rsid w:val="001178C8"/>
    <w:rsid w:val="00130CD4"/>
    <w:rsid w:val="00143103"/>
    <w:rsid w:val="001641B7"/>
    <w:rsid w:val="00181727"/>
    <w:rsid w:val="00185730"/>
    <w:rsid w:val="0019666F"/>
    <w:rsid w:val="001C710B"/>
    <w:rsid w:val="00221783"/>
    <w:rsid w:val="002273A2"/>
    <w:rsid w:val="00244AE0"/>
    <w:rsid w:val="00252919"/>
    <w:rsid w:val="00264274"/>
    <w:rsid w:val="0026674D"/>
    <w:rsid w:val="00276D16"/>
    <w:rsid w:val="0029046B"/>
    <w:rsid w:val="002B3F33"/>
    <w:rsid w:val="002B6123"/>
    <w:rsid w:val="002D7931"/>
    <w:rsid w:val="002E76D6"/>
    <w:rsid w:val="00313017"/>
    <w:rsid w:val="00315356"/>
    <w:rsid w:val="00345BD0"/>
    <w:rsid w:val="00346746"/>
    <w:rsid w:val="003527EA"/>
    <w:rsid w:val="00357341"/>
    <w:rsid w:val="00360AFB"/>
    <w:rsid w:val="00377709"/>
    <w:rsid w:val="003847B0"/>
    <w:rsid w:val="00396932"/>
    <w:rsid w:val="003A35EA"/>
    <w:rsid w:val="003C18B4"/>
    <w:rsid w:val="003C2ED2"/>
    <w:rsid w:val="003D12CC"/>
    <w:rsid w:val="003D4C1A"/>
    <w:rsid w:val="003D7A2F"/>
    <w:rsid w:val="003E45B6"/>
    <w:rsid w:val="003F5E0D"/>
    <w:rsid w:val="004019D6"/>
    <w:rsid w:val="00407D2C"/>
    <w:rsid w:val="00414F32"/>
    <w:rsid w:val="00420784"/>
    <w:rsid w:val="00420B0F"/>
    <w:rsid w:val="00431B81"/>
    <w:rsid w:val="0044264A"/>
    <w:rsid w:val="00497EE1"/>
    <w:rsid w:val="004A7822"/>
    <w:rsid w:val="004B198C"/>
    <w:rsid w:val="004B4F26"/>
    <w:rsid w:val="004B5F04"/>
    <w:rsid w:val="004C4C89"/>
    <w:rsid w:val="004C7C82"/>
    <w:rsid w:val="004F6977"/>
    <w:rsid w:val="00503C48"/>
    <w:rsid w:val="00522F69"/>
    <w:rsid w:val="00523CE6"/>
    <w:rsid w:val="00526E53"/>
    <w:rsid w:val="00527A96"/>
    <w:rsid w:val="0053287C"/>
    <w:rsid w:val="005506B5"/>
    <w:rsid w:val="00571C5E"/>
    <w:rsid w:val="0057700F"/>
    <w:rsid w:val="00584C9A"/>
    <w:rsid w:val="00595CE7"/>
    <w:rsid w:val="005A0B1C"/>
    <w:rsid w:val="005A177D"/>
    <w:rsid w:val="005A2792"/>
    <w:rsid w:val="005A6588"/>
    <w:rsid w:val="005A7028"/>
    <w:rsid w:val="005B77CE"/>
    <w:rsid w:val="005C2880"/>
    <w:rsid w:val="005D0E7F"/>
    <w:rsid w:val="005F147C"/>
    <w:rsid w:val="005F1C3C"/>
    <w:rsid w:val="005F6467"/>
    <w:rsid w:val="006048EF"/>
    <w:rsid w:val="006166FA"/>
    <w:rsid w:val="00620A29"/>
    <w:rsid w:val="0063418A"/>
    <w:rsid w:val="006446A2"/>
    <w:rsid w:val="006511E3"/>
    <w:rsid w:val="006533CF"/>
    <w:rsid w:val="00664BC0"/>
    <w:rsid w:val="00690136"/>
    <w:rsid w:val="006C61FA"/>
    <w:rsid w:val="006E3688"/>
    <w:rsid w:val="007147A4"/>
    <w:rsid w:val="00720C35"/>
    <w:rsid w:val="00754AEA"/>
    <w:rsid w:val="00764924"/>
    <w:rsid w:val="00773AEB"/>
    <w:rsid w:val="00787670"/>
    <w:rsid w:val="007A2F92"/>
    <w:rsid w:val="007E7C0F"/>
    <w:rsid w:val="007F0B0B"/>
    <w:rsid w:val="007F6B50"/>
    <w:rsid w:val="00800EAC"/>
    <w:rsid w:val="0080107B"/>
    <w:rsid w:val="00805AD4"/>
    <w:rsid w:val="008140D5"/>
    <w:rsid w:val="00830979"/>
    <w:rsid w:val="00841767"/>
    <w:rsid w:val="00842BCB"/>
    <w:rsid w:val="008435CF"/>
    <w:rsid w:val="00850238"/>
    <w:rsid w:val="0085599C"/>
    <w:rsid w:val="008619E1"/>
    <w:rsid w:val="0087322D"/>
    <w:rsid w:val="00876057"/>
    <w:rsid w:val="00876F75"/>
    <w:rsid w:val="008A21A4"/>
    <w:rsid w:val="008B136F"/>
    <w:rsid w:val="008C288D"/>
    <w:rsid w:val="008E7043"/>
    <w:rsid w:val="008E70CD"/>
    <w:rsid w:val="008F6EAD"/>
    <w:rsid w:val="00912EE7"/>
    <w:rsid w:val="00913A8B"/>
    <w:rsid w:val="009407B5"/>
    <w:rsid w:val="00952276"/>
    <w:rsid w:val="009550CD"/>
    <w:rsid w:val="00970FE4"/>
    <w:rsid w:val="00987BEB"/>
    <w:rsid w:val="0099180E"/>
    <w:rsid w:val="00992512"/>
    <w:rsid w:val="009930F3"/>
    <w:rsid w:val="00995CE3"/>
    <w:rsid w:val="009C3DFC"/>
    <w:rsid w:val="009E1190"/>
    <w:rsid w:val="009E2AA5"/>
    <w:rsid w:val="00A276F5"/>
    <w:rsid w:val="00A355D5"/>
    <w:rsid w:val="00A41EB6"/>
    <w:rsid w:val="00A72E7B"/>
    <w:rsid w:val="00A73706"/>
    <w:rsid w:val="00A96B65"/>
    <w:rsid w:val="00AA1AAD"/>
    <w:rsid w:val="00AB5BA8"/>
    <w:rsid w:val="00AC7191"/>
    <w:rsid w:val="00AD3DE5"/>
    <w:rsid w:val="00AE07BA"/>
    <w:rsid w:val="00AE461D"/>
    <w:rsid w:val="00AF2B62"/>
    <w:rsid w:val="00B31749"/>
    <w:rsid w:val="00B525FF"/>
    <w:rsid w:val="00B71F0F"/>
    <w:rsid w:val="00B75EB6"/>
    <w:rsid w:val="00B76DB3"/>
    <w:rsid w:val="00B945E3"/>
    <w:rsid w:val="00B94AB6"/>
    <w:rsid w:val="00BA1C7D"/>
    <w:rsid w:val="00BA7C56"/>
    <w:rsid w:val="00BD78A5"/>
    <w:rsid w:val="00C01698"/>
    <w:rsid w:val="00C15D03"/>
    <w:rsid w:val="00C24A0B"/>
    <w:rsid w:val="00C277C0"/>
    <w:rsid w:val="00C45F09"/>
    <w:rsid w:val="00C510DD"/>
    <w:rsid w:val="00C63CC8"/>
    <w:rsid w:val="00C70EB8"/>
    <w:rsid w:val="00C84516"/>
    <w:rsid w:val="00CA59C3"/>
    <w:rsid w:val="00CA6AB0"/>
    <w:rsid w:val="00CB313D"/>
    <w:rsid w:val="00CC1FA0"/>
    <w:rsid w:val="00CE3F27"/>
    <w:rsid w:val="00CE4C25"/>
    <w:rsid w:val="00CF360D"/>
    <w:rsid w:val="00CF54D6"/>
    <w:rsid w:val="00D00740"/>
    <w:rsid w:val="00D07B51"/>
    <w:rsid w:val="00D267E3"/>
    <w:rsid w:val="00D55634"/>
    <w:rsid w:val="00D64C43"/>
    <w:rsid w:val="00D80FBD"/>
    <w:rsid w:val="00D93BB5"/>
    <w:rsid w:val="00DC283A"/>
    <w:rsid w:val="00DC4E36"/>
    <w:rsid w:val="00DD6006"/>
    <w:rsid w:val="00DE2C54"/>
    <w:rsid w:val="00DE2E35"/>
    <w:rsid w:val="00DF1A23"/>
    <w:rsid w:val="00DF1C1A"/>
    <w:rsid w:val="00E00A12"/>
    <w:rsid w:val="00E11CA6"/>
    <w:rsid w:val="00E14565"/>
    <w:rsid w:val="00E1582D"/>
    <w:rsid w:val="00E20612"/>
    <w:rsid w:val="00E33ACB"/>
    <w:rsid w:val="00E54916"/>
    <w:rsid w:val="00E578BE"/>
    <w:rsid w:val="00E636D7"/>
    <w:rsid w:val="00E87A4F"/>
    <w:rsid w:val="00EB3E6F"/>
    <w:rsid w:val="00ED5560"/>
    <w:rsid w:val="00EE0B69"/>
    <w:rsid w:val="00EE1909"/>
    <w:rsid w:val="00EE2085"/>
    <w:rsid w:val="00EE41E5"/>
    <w:rsid w:val="00EE5934"/>
    <w:rsid w:val="00F12DC2"/>
    <w:rsid w:val="00F152DF"/>
    <w:rsid w:val="00F1616B"/>
    <w:rsid w:val="00F400D7"/>
    <w:rsid w:val="00F43D22"/>
    <w:rsid w:val="00F471CD"/>
    <w:rsid w:val="00F50D87"/>
    <w:rsid w:val="00F81C92"/>
    <w:rsid w:val="00FC440E"/>
    <w:rsid w:val="00FD66F1"/>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9925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 w:type="character" w:styleId="FollowedHyperlink">
    <w:name w:val="FollowedHyperlink"/>
    <w:basedOn w:val="DefaultParagraphFont"/>
    <w:uiPriority w:val="99"/>
    <w:semiHidden/>
    <w:unhideWhenUsed/>
    <w:rsid w:val="009925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library.ferc.gov/idmws/common/OpenNat.asp?fileID=1318543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library.ferc.gov/idmws/File_list.asp?document_id=14052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3C05-EAE7-4B6B-8BE0-6421AE69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5010</Words>
  <Characters>28557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33501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Ellen Brown</cp:lastModifiedBy>
  <cp:revision>6</cp:revision>
  <cp:lastPrinted>2012-10-02T14:10:00Z</cp:lastPrinted>
  <dcterms:created xsi:type="dcterms:W3CDTF">2013-02-28T20:12:00Z</dcterms:created>
  <dcterms:modified xsi:type="dcterms:W3CDTF">2013-02-28T21:31:00Z</dcterms:modified>
</cp:coreProperties>
</file>