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38" w:rsidRPr="008842AD" w:rsidRDefault="00CB5715" w:rsidP="00C50FFE">
      <w:pPr>
        <w:spacing w:line="360" w:lineRule="auto"/>
        <w:jc w:val="center"/>
        <w:rPr>
          <w:rFonts w:asciiTheme="majorBidi" w:hAnsiTheme="majorBidi" w:cstheme="majorBidi"/>
          <w:b/>
          <w:bCs/>
          <w:szCs w:val="24"/>
        </w:rPr>
      </w:pPr>
      <w:r w:rsidRPr="008842AD">
        <w:rPr>
          <w:rFonts w:asciiTheme="majorBidi" w:hAnsiTheme="majorBidi" w:cstheme="majorBidi"/>
          <w:b/>
          <w:bCs/>
          <w:szCs w:val="24"/>
          <w:lang w:val="en-CA"/>
        </w:rPr>
        <w:fldChar w:fldCharType="begin"/>
      </w:r>
      <w:r w:rsidR="00D80638" w:rsidRPr="008842AD">
        <w:rPr>
          <w:rFonts w:asciiTheme="majorBidi" w:hAnsiTheme="majorBidi" w:cstheme="majorBidi"/>
          <w:b/>
          <w:bCs/>
          <w:szCs w:val="24"/>
          <w:lang w:val="en-CA"/>
        </w:rPr>
        <w:instrText xml:space="preserve"> SEQ CHAPTER \h \r 1</w:instrText>
      </w:r>
      <w:r w:rsidRPr="008842AD">
        <w:rPr>
          <w:rFonts w:asciiTheme="majorBidi" w:hAnsiTheme="majorBidi" w:cstheme="majorBidi"/>
          <w:b/>
          <w:bCs/>
          <w:szCs w:val="24"/>
          <w:lang w:val="en-CA"/>
        </w:rPr>
        <w:fldChar w:fldCharType="end"/>
      </w:r>
      <w:r w:rsidR="00D80638" w:rsidRPr="008842AD">
        <w:rPr>
          <w:rFonts w:asciiTheme="majorBidi" w:hAnsiTheme="majorBidi" w:cstheme="majorBidi"/>
          <w:b/>
          <w:bCs/>
          <w:szCs w:val="24"/>
        </w:rPr>
        <w:t>SUPPORTING STATEMENT</w:t>
      </w:r>
    </w:p>
    <w:p w:rsidR="00290F20" w:rsidRPr="008842AD" w:rsidRDefault="00D80638" w:rsidP="00C50FFE">
      <w:pPr>
        <w:spacing w:line="360" w:lineRule="auto"/>
        <w:jc w:val="center"/>
        <w:rPr>
          <w:rFonts w:asciiTheme="majorBidi" w:hAnsiTheme="majorBidi" w:cstheme="majorBidi"/>
          <w:b/>
          <w:bCs/>
          <w:caps/>
          <w:szCs w:val="24"/>
        </w:rPr>
      </w:pPr>
      <w:r w:rsidRPr="008842AD">
        <w:rPr>
          <w:rFonts w:asciiTheme="majorBidi" w:hAnsiTheme="majorBidi" w:cstheme="majorBidi"/>
          <w:b/>
          <w:bCs/>
          <w:szCs w:val="24"/>
        </w:rPr>
        <w:t>NATIONAL EMISSION STANDARDS FOR HAZARDOUS AIR POLLUTANTS</w:t>
      </w:r>
      <w:r w:rsidR="00F57B64">
        <w:rPr>
          <w:rFonts w:asciiTheme="majorBidi" w:hAnsiTheme="majorBidi" w:cstheme="majorBidi"/>
          <w:b/>
          <w:bCs/>
          <w:szCs w:val="24"/>
        </w:rPr>
        <w:t xml:space="preserve"> (NESHAP) FOR</w:t>
      </w:r>
      <w:r w:rsidR="00290F20" w:rsidRPr="008842AD">
        <w:rPr>
          <w:rFonts w:asciiTheme="majorBidi" w:hAnsiTheme="majorBidi" w:cstheme="majorBidi"/>
          <w:b/>
          <w:bCs/>
          <w:szCs w:val="24"/>
        </w:rPr>
        <w:t xml:space="preserve"> </w:t>
      </w:r>
      <w:r w:rsidR="00F57B64">
        <w:rPr>
          <w:rFonts w:asciiTheme="majorBidi" w:hAnsiTheme="majorBidi" w:cstheme="majorBidi"/>
          <w:b/>
          <w:bCs/>
          <w:szCs w:val="24"/>
        </w:rPr>
        <w:t xml:space="preserve">THE </w:t>
      </w:r>
      <w:r w:rsidR="00290F20" w:rsidRPr="008842AD">
        <w:rPr>
          <w:rFonts w:asciiTheme="majorBidi" w:hAnsiTheme="majorBidi" w:cstheme="majorBidi"/>
          <w:b/>
          <w:bCs/>
          <w:caps/>
          <w:szCs w:val="24"/>
        </w:rPr>
        <w:t xml:space="preserve">Portland Cement </w:t>
      </w:r>
      <w:r w:rsidR="00F57B64">
        <w:rPr>
          <w:rFonts w:asciiTheme="majorBidi" w:hAnsiTheme="majorBidi" w:cstheme="majorBidi"/>
          <w:b/>
          <w:bCs/>
          <w:caps/>
          <w:szCs w:val="24"/>
        </w:rPr>
        <w:t>MANUFACTURING INDUSTRY</w:t>
      </w:r>
      <w:r w:rsidR="00290F20" w:rsidRPr="008842AD">
        <w:rPr>
          <w:rFonts w:asciiTheme="majorBidi" w:hAnsiTheme="majorBidi" w:cstheme="majorBidi"/>
          <w:b/>
          <w:bCs/>
          <w:caps/>
          <w:szCs w:val="24"/>
        </w:rPr>
        <w:t xml:space="preserve"> (40 CFR </w:t>
      </w:r>
      <w:proofErr w:type="gramStart"/>
      <w:r w:rsidR="00290F20" w:rsidRPr="008842AD">
        <w:rPr>
          <w:rFonts w:asciiTheme="majorBidi" w:hAnsiTheme="majorBidi" w:cstheme="majorBidi"/>
          <w:b/>
          <w:bCs/>
          <w:caps/>
          <w:szCs w:val="24"/>
        </w:rPr>
        <w:t>part</w:t>
      </w:r>
      <w:proofErr w:type="gramEnd"/>
      <w:r w:rsidR="00290F20" w:rsidRPr="008842AD">
        <w:rPr>
          <w:rFonts w:asciiTheme="majorBidi" w:hAnsiTheme="majorBidi" w:cstheme="majorBidi"/>
          <w:b/>
          <w:bCs/>
          <w:caps/>
          <w:szCs w:val="24"/>
        </w:rPr>
        <w:t xml:space="preserve"> 63, subpart LLL)</w:t>
      </w:r>
    </w:p>
    <w:p w:rsidR="00290F20" w:rsidRPr="008842AD" w:rsidRDefault="00071CB1" w:rsidP="00C50FFE">
      <w:pPr>
        <w:pStyle w:val="Heading1"/>
        <w:spacing w:before="0" w:after="0" w:line="360" w:lineRule="auto"/>
        <w:rPr>
          <w:rFonts w:asciiTheme="majorBidi" w:hAnsiTheme="majorBidi" w:cstheme="majorBidi"/>
          <w:szCs w:val="24"/>
        </w:rPr>
      </w:pPr>
      <w:r w:rsidRPr="008842AD">
        <w:rPr>
          <w:rFonts w:asciiTheme="majorBidi" w:hAnsiTheme="majorBidi" w:cstheme="majorBidi"/>
          <w:szCs w:val="24"/>
        </w:rPr>
        <w:t>PART A</w:t>
      </w:r>
    </w:p>
    <w:p w:rsidR="00290F20" w:rsidRPr="008842AD" w:rsidRDefault="00290F20" w:rsidP="00C50FFE">
      <w:pPr>
        <w:pStyle w:val="Heading1"/>
        <w:spacing w:before="0" w:after="0" w:line="360" w:lineRule="auto"/>
        <w:rPr>
          <w:rFonts w:asciiTheme="majorBidi" w:hAnsiTheme="majorBidi" w:cstheme="majorBidi"/>
          <w:szCs w:val="24"/>
        </w:rPr>
      </w:pPr>
      <w:r w:rsidRPr="008842AD">
        <w:rPr>
          <w:rFonts w:asciiTheme="majorBidi" w:hAnsiTheme="majorBidi" w:cstheme="majorBidi"/>
          <w:szCs w:val="24"/>
        </w:rPr>
        <w:t>1.</w:t>
      </w:r>
      <w:r w:rsidR="00071CB1" w:rsidRPr="008842AD">
        <w:rPr>
          <w:rFonts w:asciiTheme="majorBidi" w:hAnsiTheme="majorBidi" w:cstheme="majorBidi"/>
          <w:szCs w:val="24"/>
        </w:rPr>
        <w:t>0</w:t>
      </w:r>
      <w:r w:rsidRPr="008842AD">
        <w:rPr>
          <w:rFonts w:asciiTheme="majorBidi" w:hAnsiTheme="majorBidi" w:cstheme="majorBidi"/>
          <w:szCs w:val="24"/>
        </w:rPr>
        <w:tab/>
        <w:t>Identification of the Information Collection</w:t>
      </w:r>
    </w:p>
    <w:p w:rsidR="00290F20" w:rsidRPr="008842AD" w:rsidRDefault="00290F20"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(a)</w:t>
      </w:r>
      <w:r w:rsidRPr="008842AD">
        <w:rPr>
          <w:rFonts w:asciiTheme="majorBidi" w:hAnsiTheme="majorBidi" w:cstheme="majorBidi"/>
          <w:i/>
          <w:iCs w:val="0"/>
          <w:szCs w:val="24"/>
        </w:rPr>
        <w:tab/>
        <w:t>Title and Number of the Information Collection</w:t>
      </w:r>
    </w:p>
    <w:p w:rsidR="00071CB1" w:rsidRPr="008842AD" w:rsidRDefault="00071CB1" w:rsidP="00C50FFE">
      <w:pPr>
        <w:pStyle w:val="Heading2"/>
        <w:spacing w:before="0" w:after="0" w:line="360" w:lineRule="auto"/>
        <w:ind w:left="0" w:firstLine="720"/>
        <w:rPr>
          <w:rFonts w:asciiTheme="majorBidi" w:hAnsiTheme="majorBidi" w:cstheme="majorBidi"/>
          <w:szCs w:val="24"/>
        </w:rPr>
      </w:pPr>
      <w:proofErr w:type="gramStart"/>
      <w:r w:rsidRPr="008842AD">
        <w:rPr>
          <w:rFonts w:asciiTheme="majorBidi" w:hAnsiTheme="majorBidi" w:cstheme="majorBidi"/>
          <w:szCs w:val="24"/>
        </w:rPr>
        <w:t>“</w:t>
      </w:r>
      <w:r w:rsidR="00F57B64">
        <w:rPr>
          <w:rFonts w:asciiTheme="majorBidi" w:hAnsiTheme="majorBidi" w:cstheme="majorBidi"/>
          <w:szCs w:val="24"/>
        </w:rPr>
        <w:t>NESHAP</w:t>
      </w:r>
      <w:r w:rsidRPr="008842AD">
        <w:rPr>
          <w:rFonts w:asciiTheme="majorBidi" w:hAnsiTheme="majorBidi" w:cstheme="majorBidi"/>
          <w:szCs w:val="24"/>
        </w:rPr>
        <w:t xml:space="preserve"> for the Portland Cement Manufacturing Industry</w:t>
      </w:r>
      <w:r w:rsidR="00F57B64">
        <w:rPr>
          <w:rFonts w:asciiTheme="majorBidi" w:hAnsiTheme="majorBidi" w:cstheme="majorBidi"/>
          <w:szCs w:val="24"/>
        </w:rPr>
        <w:t xml:space="preserve"> (40 CFR part 63, subpart LLL) (Final Rule)</w:t>
      </w:r>
      <w:r w:rsidRPr="008842AD">
        <w:rPr>
          <w:rFonts w:asciiTheme="majorBidi" w:hAnsiTheme="majorBidi" w:cstheme="majorBidi"/>
          <w:szCs w:val="24"/>
        </w:rPr>
        <w:t>”</w:t>
      </w:r>
      <w:r w:rsidR="00F57B64">
        <w:rPr>
          <w:rFonts w:asciiTheme="majorBidi" w:hAnsiTheme="majorBidi" w:cstheme="majorBidi"/>
          <w:szCs w:val="24"/>
        </w:rPr>
        <w:t xml:space="preserve"> – OMB Control Number 2060-0416 and EPA ICR Number 1801.11.</w:t>
      </w:r>
      <w:proofErr w:type="gramEnd"/>
      <w:r w:rsidRPr="008842AD">
        <w:rPr>
          <w:rFonts w:asciiTheme="majorBidi" w:hAnsiTheme="majorBidi" w:cstheme="majorBidi"/>
          <w:szCs w:val="24"/>
        </w:rPr>
        <w:t xml:space="preserve"> </w:t>
      </w:r>
    </w:p>
    <w:p w:rsidR="00290F20" w:rsidRPr="008842AD" w:rsidRDefault="00290F20"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(b)</w:t>
      </w:r>
      <w:r w:rsidRPr="008842AD">
        <w:rPr>
          <w:rFonts w:asciiTheme="majorBidi" w:hAnsiTheme="majorBidi" w:cstheme="majorBidi"/>
          <w:i/>
          <w:iCs w:val="0"/>
          <w:szCs w:val="24"/>
        </w:rPr>
        <w:tab/>
        <w:t>Short Characterization</w:t>
      </w:r>
    </w:p>
    <w:p w:rsidR="00071CB1" w:rsidRPr="008842AD" w:rsidRDefault="00071CB1" w:rsidP="00C50FFE">
      <w:pPr>
        <w:pStyle w:val="Para"/>
        <w:spacing w:after="0" w:line="360" w:lineRule="auto"/>
        <w:rPr>
          <w:rFonts w:asciiTheme="majorBidi" w:hAnsiTheme="majorBidi" w:cstheme="majorBidi"/>
          <w:szCs w:val="24"/>
        </w:rPr>
      </w:pPr>
      <w:bookmarkStart w:id="0" w:name="OLE_LINK1"/>
      <w:bookmarkStart w:id="1" w:name="OLE_LINK2"/>
      <w:r w:rsidRPr="008842AD">
        <w:rPr>
          <w:rFonts w:asciiTheme="majorBidi" w:hAnsiTheme="majorBidi" w:cstheme="majorBidi"/>
          <w:szCs w:val="24"/>
        </w:rPr>
        <w:t xml:space="preserve">This ICR covers information collection requirements </w:t>
      </w:r>
      <w:r w:rsidR="00A3691C" w:rsidRPr="008842AD">
        <w:rPr>
          <w:rFonts w:asciiTheme="majorBidi" w:hAnsiTheme="majorBidi" w:cstheme="majorBidi"/>
          <w:szCs w:val="24"/>
        </w:rPr>
        <w:t xml:space="preserve">for </w:t>
      </w:r>
      <w:r w:rsidRPr="008842AD">
        <w:rPr>
          <w:rFonts w:asciiTheme="majorBidi" w:hAnsiTheme="majorBidi" w:cstheme="majorBidi"/>
          <w:szCs w:val="24"/>
        </w:rPr>
        <w:t xml:space="preserve">the </w:t>
      </w:r>
      <w:r w:rsidR="006506F6">
        <w:rPr>
          <w:rFonts w:asciiTheme="majorBidi" w:hAnsiTheme="majorBidi" w:cstheme="majorBidi"/>
          <w:szCs w:val="24"/>
        </w:rPr>
        <w:t>final</w:t>
      </w:r>
      <w:r w:rsidR="006506F6" w:rsidRPr="008842AD">
        <w:rPr>
          <w:rFonts w:asciiTheme="majorBidi" w:hAnsiTheme="majorBidi" w:cstheme="majorBidi"/>
          <w:szCs w:val="24"/>
        </w:rPr>
        <w:t xml:space="preserve"> </w:t>
      </w:r>
      <w:r w:rsidRPr="008842AD">
        <w:rPr>
          <w:rFonts w:asciiTheme="majorBidi" w:hAnsiTheme="majorBidi" w:cstheme="majorBidi"/>
          <w:szCs w:val="24"/>
        </w:rPr>
        <w:t xml:space="preserve">amendments to the Portland Cement Manufacturing NESHAP (40 CFR </w:t>
      </w:r>
      <w:proofErr w:type="gramStart"/>
      <w:r w:rsidRPr="008842AD">
        <w:rPr>
          <w:rFonts w:asciiTheme="majorBidi" w:hAnsiTheme="majorBidi" w:cstheme="majorBidi"/>
          <w:szCs w:val="24"/>
        </w:rPr>
        <w:t>part</w:t>
      </w:r>
      <w:proofErr w:type="gramEnd"/>
      <w:r w:rsidRPr="008842AD">
        <w:rPr>
          <w:rFonts w:asciiTheme="majorBidi" w:hAnsiTheme="majorBidi" w:cstheme="majorBidi"/>
          <w:szCs w:val="24"/>
        </w:rPr>
        <w:t xml:space="preserve"> 63, subpart LLL).</w:t>
      </w:r>
    </w:p>
    <w:p w:rsidR="00071CB1" w:rsidRPr="008842AD" w:rsidRDefault="00071CB1" w:rsidP="00634331">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The potential respondents are owners or operators of any existing, new, or reconstructed </w:t>
      </w:r>
      <w:r w:rsidR="00A3691C" w:rsidRPr="008842AD">
        <w:rPr>
          <w:rFonts w:asciiTheme="majorBidi" w:hAnsiTheme="majorBidi" w:cstheme="majorBidi"/>
          <w:szCs w:val="24"/>
        </w:rPr>
        <w:t xml:space="preserve">portland cement manufacturing </w:t>
      </w:r>
      <w:r w:rsidRPr="008842AD">
        <w:rPr>
          <w:rFonts w:asciiTheme="majorBidi" w:hAnsiTheme="majorBidi" w:cstheme="majorBidi"/>
          <w:szCs w:val="24"/>
        </w:rPr>
        <w:t xml:space="preserve">plant. </w:t>
      </w:r>
      <w:r w:rsidR="00A3691C" w:rsidRPr="008842AD">
        <w:rPr>
          <w:rFonts w:asciiTheme="majorBidi" w:hAnsiTheme="majorBidi" w:cstheme="majorBidi"/>
          <w:szCs w:val="24"/>
        </w:rPr>
        <w:t>Specifically, t</w:t>
      </w:r>
      <w:r w:rsidRPr="008842AD">
        <w:rPr>
          <w:rFonts w:asciiTheme="majorBidi" w:hAnsiTheme="majorBidi" w:cstheme="majorBidi"/>
          <w:szCs w:val="24"/>
        </w:rPr>
        <w:t xml:space="preserve">hese regulations apply to the following affected sources at each new and existing portland cement plant that is a major or area source: each kiln, in-line kiln/raw mill and raw material dryer at these facilities, except for kilns and in-line kiln/raw mills that burn hazardous waste and are subject to 40 CFR 63, subpart EEE. In addition, the rule applies to each new and existing clinker cooler; raw mill; finish mill; raw material, clinker or finished product storage bin; conveying system transfer point; </w:t>
      </w:r>
      <w:r w:rsidR="005944B2">
        <w:rPr>
          <w:rFonts w:asciiTheme="majorBidi" w:hAnsiTheme="majorBidi" w:cstheme="majorBidi"/>
          <w:szCs w:val="24"/>
        </w:rPr>
        <w:t>open clinker storage piles; and</w:t>
      </w:r>
      <w:r w:rsidR="005944B2" w:rsidRPr="008842AD">
        <w:rPr>
          <w:rFonts w:asciiTheme="majorBidi" w:hAnsiTheme="majorBidi" w:cstheme="majorBidi"/>
          <w:szCs w:val="24"/>
        </w:rPr>
        <w:t xml:space="preserve"> </w:t>
      </w:r>
      <w:r w:rsidRPr="008842AD">
        <w:rPr>
          <w:rFonts w:asciiTheme="majorBidi" w:hAnsiTheme="majorBidi" w:cstheme="majorBidi"/>
          <w:szCs w:val="24"/>
        </w:rPr>
        <w:t>bagging system and bulk loading and unloading system at facilities that are major or area sources. This information is being collected to assure compliance with 40 CFR part 63, subpart LLL.</w:t>
      </w:r>
    </w:p>
    <w:p w:rsidR="005443D0" w:rsidRPr="008842AD" w:rsidRDefault="00A3691C" w:rsidP="00634331">
      <w:pPr>
        <w:pStyle w:val="Para"/>
        <w:spacing w:after="0" w:line="360" w:lineRule="auto"/>
        <w:rPr>
          <w:rFonts w:asciiTheme="majorBidi" w:hAnsiTheme="majorBidi" w:cstheme="majorBidi"/>
          <w:color w:val="000000"/>
          <w:szCs w:val="24"/>
        </w:rPr>
      </w:pPr>
      <w:r w:rsidRPr="008842AD">
        <w:rPr>
          <w:rFonts w:asciiTheme="majorBidi" w:hAnsiTheme="majorBidi" w:cstheme="majorBidi"/>
          <w:szCs w:val="24"/>
        </w:rPr>
        <w:t xml:space="preserve">The </w:t>
      </w:r>
      <w:r w:rsidR="004E6BDF">
        <w:rPr>
          <w:rFonts w:asciiTheme="majorBidi" w:hAnsiTheme="majorBidi" w:cstheme="majorBidi"/>
          <w:szCs w:val="24"/>
        </w:rPr>
        <w:t>final</w:t>
      </w:r>
      <w:r w:rsidRPr="008842AD">
        <w:rPr>
          <w:rFonts w:asciiTheme="majorBidi" w:hAnsiTheme="majorBidi" w:cstheme="majorBidi"/>
          <w:szCs w:val="24"/>
        </w:rPr>
        <w:t xml:space="preserve"> amendments would correct and clarify various rule requirements and provisions.  </w:t>
      </w:r>
      <w:r w:rsidR="00CB0A7A">
        <w:rPr>
          <w:rFonts w:asciiTheme="majorBidi" w:hAnsiTheme="majorBidi" w:cstheme="majorBidi"/>
          <w:szCs w:val="24"/>
        </w:rPr>
        <w:t xml:space="preserve">Consistent with a court remand, all kilns burning solid waste (CISWI kilns) were removed from the database used to set the 2010 standards. Revised PM emissions standards </w:t>
      </w:r>
      <w:r w:rsidR="002D1B3A">
        <w:rPr>
          <w:rFonts w:asciiTheme="majorBidi" w:hAnsiTheme="majorBidi" w:cstheme="majorBidi"/>
          <w:szCs w:val="24"/>
        </w:rPr>
        <w:t xml:space="preserve">and procedures for monitoring compliance with the PM emissions standards </w:t>
      </w:r>
      <w:r w:rsidR="00CB0A7A">
        <w:rPr>
          <w:rFonts w:asciiTheme="majorBidi" w:hAnsiTheme="majorBidi" w:cstheme="majorBidi"/>
          <w:szCs w:val="24"/>
        </w:rPr>
        <w:t xml:space="preserve">are </w:t>
      </w:r>
      <w:r w:rsidR="007B67D6">
        <w:rPr>
          <w:rFonts w:asciiTheme="majorBidi" w:hAnsiTheme="majorBidi" w:cstheme="majorBidi"/>
          <w:szCs w:val="24"/>
        </w:rPr>
        <w:t>finalized</w:t>
      </w:r>
      <w:r w:rsidR="001C7311">
        <w:rPr>
          <w:rFonts w:asciiTheme="majorBidi" w:hAnsiTheme="majorBidi" w:cstheme="majorBidi"/>
          <w:szCs w:val="24"/>
        </w:rPr>
        <w:t xml:space="preserve">. No changes </w:t>
      </w:r>
      <w:r w:rsidR="007B67D6">
        <w:rPr>
          <w:rFonts w:asciiTheme="majorBidi" w:hAnsiTheme="majorBidi" w:cstheme="majorBidi"/>
          <w:szCs w:val="24"/>
        </w:rPr>
        <w:t>were made in</w:t>
      </w:r>
      <w:r w:rsidR="001C7311">
        <w:rPr>
          <w:rFonts w:asciiTheme="majorBidi" w:hAnsiTheme="majorBidi" w:cstheme="majorBidi"/>
          <w:szCs w:val="24"/>
        </w:rPr>
        <w:t xml:space="preserve"> the emissions standards for mercury, THC and HCl. The THC alternative organic HAP limit </w:t>
      </w:r>
      <w:r w:rsidR="007B67D6">
        <w:rPr>
          <w:rFonts w:asciiTheme="majorBidi" w:hAnsiTheme="majorBidi" w:cstheme="majorBidi"/>
          <w:szCs w:val="24"/>
        </w:rPr>
        <w:t>has been</w:t>
      </w:r>
      <w:r w:rsidR="001C7311">
        <w:rPr>
          <w:rFonts w:asciiTheme="majorBidi" w:hAnsiTheme="majorBidi" w:cstheme="majorBidi"/>
          <w:szCs w:val="24"/>
        </w:rPr>
        <w:t xml:space="preserve"> revised to address practical quantitation limits of the relevant analytical methods. </w:t>
      </w:r>
      <w:r w:rsidR="00CB0A7A">
        <w:rPr>
          <w:rFonts w:asciiTheme="majorBidi" w:hAnsiTheme="majorBidi" w:cstheme="majorBidi"/>
          <w:szCs w:val="24"/>
        </w:rPr>
        <w:t xml:space="preserve"> </w:t>
      </w:r>
      <w:r w:rsidRPr="008842AD">
        <w:rPr>
          <w:rFonts w:asciiTheme="majorBidi" w:hAnsiTheme="majorBidi" w:cstheme="majorBidi"/>
          <w:szCs w:val="24"/>
        </w:rPr>
        <w:t xml:space="preserve">The </w:t>
      </w:r>
      <w:r w:rsidR="00B135BC">
        <w:rPr>
          <w:rFonts w:asciiTheme="majorBidi" w:hAnsiTheme="majorBidi" w:cstheme="majorBidi"/>
          <w:szCs w:val="24"/>
        </w:rPr>
        <w:t>final</w:t>
      </w:r>
      <w:r w:rsidRPr="008842AD">
        <w:rPr>
          <w:rFonts w:asciiTheme="majorBidi" w:hAnsiTheme="majorBidi" w:cstheme="majorBidi"/>
          <w:szCs w:val="24"/>
        </w:rPr>
        <w:t xml:space="preserve"> amendments affect the </w:t>
      </w:r>
      <w:r w:rsidR="005443D0" w:rsidRPr="008842AD">
        <w:rPr>
          <w:rFonts w:asciiTheme="majorBidi" w:hAnsiTheme="majorBidi" w:cstheme="majorBidi"/>
          <w:szCs w:val="24"/>
        </w:rPr>
        <w:t xml:space="preserve">regulation of fugitive emissions from open clinker </w:t>
      </w:r>
      <w:r w:rsidR="00B135BC">
        <w:rPr>
          <w:rFonts w:asciiTheme="majorBidi" w:hAnsiTheme="majorBidi" w:cstheme="majorBidi"/>
          <w:szCs w:val="24"/>
        </w:rPr>
        <w:t xml:space="preserve">storage </w:t>
      </w:r>
      <w:r w:rsidR="005443D0" w:rsidRPr="008842AD">
        <w:rPr>
          <w:rFonts w:asciiTheme="majorBidi" w:hAnsiTheme="majorBidi" w:cstheme="majorBidi"/>
          <w:szCs w:val="24"/>
        </w:rPr>
        <w:t xml:space="preserve">piles, organic hazardous air pollutant (HAP) compliance demonstration, requirements for monitoring hydrochloric acid (HCl) when controlled using dry scrubbers, the </w:t>
      </w:r>
      <w:r w:rsidR="005443D0" w:rsidRPr="008842AD">
        <w:rPr>
          <w:rFonts w:asciiTheme="majorBidi" w:hAnsiTheme="majorBidi" w:cstheme="majorBidi"/>
          <w:szCs w:val="24"/>
        </w:rPr>
        <w:lastRenderedPageBreak/>
        <w:t>equations used to calculate the PM limits, and the affirmative defense for malfunctions.</w:t>
      </w:r>
      <w:r w:rsidR="005443D0" w:rsidRPr="008842AD">
        <w:rPr>
          <w:rFonts w:asciiTheme="majorBidi" w:hAnsiTheme="majorBidi" w:cstheme="majorBidi"/>
          <w:color w:val="000000"/>
          <w:szCs w:val="24"/>
        </w:rPr>
        <w:t xml:space="preserve">  The EPA also granted reconsideration of specific issues </w:t>
      </w:r>
      <w:r w:rsidR="00B135BC">
        <w:rPr>
          <w:rFonts w:asciiTheme="majorBidi" w:hAnsiTheme="majorBidi" w:cstheme="majorBidi"/>
          <w:color w:val="000000"/>
          <w:szCs w:val="24"/>
        </w:rPr>
        <w:t>relating to startup and</w:t>
      </w:r>
      <w:r w:rsidR="005443D0" w:rsidRPr="008842AD">
        <w:rPr>
          <w:rFonts w:asciiTheme="majorBidi" w:hAnsiTheme="majorBidi" w:cstheme="majorBidi"/>
          <w:color w:val="000000"/>
          <w:szCs w:val="24"/>
        </w:rPr>
        <w:t xml:space="preserve"> shutdown standards and is </w:t>
      </w:r>
      <w:r w:rsidR="006506F6">
        <w:rPr>
          <w:rFonts w:asciiTheme="majorBidi" w:hAnsiTheme="majorBidi" w:cstheme="majorBidi"/>
          <w:color w:val="000000"/>
          <w:szCs w:val="24"/>
        </w:rPr>
        <w:t>finalizing</w:t>
      </w:r>
      <w:r w:rsidR="006506F6" w:rsidRPr="008842AD">
        <w:rPr>
          <w:rFonts w:asciiTheme="majorBidi" w:hAnsiTheme="majorBidi" w:cstheme="majorBidi"/>
          <w:color w:val="000000"/>
          <w:szCs w:val="24"/>
        </w:rPr>
        <w:t xml:space="preserve"> </w:t>
      </w:r>
      <w:r w:rsidR="005443D0" w:rsidRPr="008842AD">
        <w:rPr>
          <w:rFonts w:asciiTheme="majorBidi" w:hAnsiTheme="majorBidi" w:cstheme="majorBidi"/>
          <w:color w:val="000000"/>
          <w:szCs w:val="24"/>
        </w:rPr>
        <w:t>a change to the startup</w:t>
      </w:r>
      <w:r w:rsidR="00B135BC">
        <w:rPr>
          <w:rFonts w:asciiTheme="majorBidi" w:hAnsiTheme="majorBidi" w:cstheme="majorBidi"/>
          <w:color w:val="000000"/>
          <w:szCs w:val="24"/>
        </w:rPr>
        <w:t xml:space="preserve"> and</w:t>
      </w:r>
      <w:r w:rsidR="005443D0" w:rsidRPr="008842AD">
        <w:rPr>
          <w:rFonts w:asciiTheme="majorBidi" w:hAnsiTheme="majorBidi" w:cstheme="majorBidi"/>
          <w:color w:val="000000"/>
          <w:szCs w:val="24"/>
        </w:rPr>
        <w:t xml:space="preserve"> shutdown standards</w:t>
      </w:r>
      <w:r w:rsidR="005944B2">
        <w:rPr>
          <w:rFonts w:asciiTheme="majorBidi" w:hAnsiTheme="majorBidi" w:cstheme="majorBidi"/>
          <w:color w:val="000000"/>
          <w:szCs w:val="24"/>
        </w:rPr>
        <w:t xml:space="preserve"> to require work practices during periods of startup and shutdown</w:t>
      </w:r>
      <w:r w:rsidR="005443D0" w:rsidRPr="008842AD">
        <w:rPr>
          <w:rFonts w:asciiTheme="majorBidi" w:hAnsiTheme="majorBidi" w:cstheme="majorBidi"/>
          <w:color w:val="000000"/>
          <w:szCs w:val="24"/>
        </w:rPr>
        <w:t xml:space="preserve">.   In addition, </w:t>
      </w:r>
      <w:r w:rsidRPr="008842AD">
        <w:rPr>
          <w:rFonts w:asciiTheme="majorBidi" w:hAnsiTheme="majorBidi" w:cstheme="majorBidi"/>
          <w:color w:val="000000"/>
          <w:szCs w:val="24"/>
        </w:rPr>
        <w:t>EPA</w:t>
      </w:r>
      <w:r w:rsidR="00B135BC">
        <w:rPr>
          <w:rFonts w:asciiTheme="majorBidi" w:hAnsiTheme="majorBidi" w:cstheme="majorBidi"/>
          <w:color w:val="000000"/>
          <w:szCs w:val="24"/>
        </w:rPr>
        <w:t xml:space="preserve"> finalized</w:t>
      </w:r>
      <w:r w:rsidR="005443D0" w:rsidRPr="008842AD">
        <w:rPr>
          <w:rFonts w:asciiTheme="majorBidi" w:hAnsiTheme="majorBidi" w:cstheme="majorBidi"/>
          <w:color w:val="000000"/>
          <w:szCs w:val="24"/>
        </w:rPr>
        <w:t xml:space="preserve"> corrections to the rule’s testing and monitoring section to correct equations for calculating rolling 30 operating day emissions rates, definitions or procedures that included extraneous wording, incorrect units in equations, cross references and typographical errors in the rule, and editorial revisions in the testing and monitoring requirements to make them easier to read and understand.</w:t>
      </w:r>
    </w:p>
    <w:p w:rsidR="00A3691C" w:rsidRPr="008842AD" w:rsidRDefault="00A3691C"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The required information collection requirements associated with the </w:t>
      </w:r>
      <w:r w:rsidR="00CE522C">
        <w:rPr>
          <w:rFonts w:asciiTheme="majorBidi" w:hAnsiTheme="majorBidi" w:cstheme="majorBidi"/>
          <w:szCs w:val="24"/>
        </w:rPr>
        <w:t>final</w:t>
      </w:r>
      <w:r w:rsidRPr="008842AD">
        <w:rPr>
          <w:rFonts w:asciiTheme="majorBidi" w:hAnsiTheme="majorBidi" w:cstheme="majorBidi"/>
          <w:szCs w:val="24"/>
        </w:rPr>
        <w:t xml:space="preserve"> amendments to the NESHAP are listed </w:t>
      </w:r>
      <w:r w:rsidRPr="00265B3F">
        <w:rPr>
          <w:rFonts w:asciiTheme="majorBidi" w:hAnsiTheme="majorBidi" w:cstheme="majorBidi"/>
          <w:szCs w:val="24"/>
        </w:rPr>
        <w:t>in Attachment 1.</w:t>
      </w:r>
    </w:p>
    <w:bookmarkEnd w:id="0"/>
    <w:bookmarkEnd w:id="1"/>
    <w:p w:rsidR="00806E75" w:rsidRPr="008842AD" w:rsidRDefault="00806E75" w:rsidP="00C50FFE">
      <w:pPr>
        <w:pStyle w:val="Heading1"/>
        <w:spacing w:before="0" w:after="0" w:line="360" w:lineRule="auto"/>
        <w:rPr>
          <w:rFonts w:asciiTheme="majorBidi" w:hAnsiTheme="majorBidi" w:cstheme="majorBidi"/>
          <w:szCs w:val="24"/>
        </w:rPr>
      </w:pPr>
      <w:r w:rsidRPr="008842AD">
        <w:rPr>
          <w:rFonts w:asciiTheme="majorBidi" w:hAnsiTheme="majorBidi" w:cstheme="majorBidi"/>
          <w:szCs w:val="24"/>
        </w:rPr>
        <w:t>2.</w:t>
      </w:r>
      <w:r w:rsidR="00A3691C" w:rsidRPr="008842AD">
        <w:rPr>
          <w:rFonts w:asciiTheme="majorBidi" w:hAnsiTheme="majorBidi" w:cstheme="majorBidi"/>
          <w:szCs w:val="24"/>
        </w:rPr>
        <w:t>0</w:t>
      </w:r>
      <w:r w:rsidRPr="008842AD">
        <w:rPr>
          <w:rFonts w:asciiTheme="majorBidi" w:hAnsiTheme="majorBidi" w:cstheme="majorBidi"/>
          <w:szCs w:val="24"/>
        </w:rPr>
        <w:tab/>
        <w:t>Need for and Use of the Collection</w:t>
      </w:r>
    </w:p>
    <w:p w:rsidR="00806E75" w:rsidRDefault="00806E75"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(a)</w:t>
      </w:r>
      <w:r w:rsidRPr="008842AD">
        <w:rPr>
          <w:rFonts w:asciiTheme="majorBidi" w:hAnsiTheme="majorBidi" w:cstheme="majorBidi"/>
          <w:i/>
          <w:iCs w:val="0"/>
          <w:szCs w:val="24"/>
        </w:rPr>
        <w:tab/>
        <w:t>Need/Authority for the Collection</w:t>
      </w:r>
    </w:p>
    <w:p w:rsidR="00815E56" w:rsidRPr="00815E56" w:rsidRDefault="00815E56" w:rsidP="00815E56">
      <w:pPr>
        <w:spacing w:line="360" w:lineRule="auto"/>
        <w:ind w:firstLine="720"/>
      </w:pPr>
      <w:r w:rsidRPr="00815E56">
        <w:t>Section 112 of the CAA requires that EPA establish MACT standards for new or existing major or area sources according to the requirements in section 112(d). Certain records and reports are necessary for the Administrator to: (1) confirm the compliance status of major sources, identify any non-major sources not subject to the standards, and identify new or reconstructed sources subject to the standards; and (2) ensure that the MACT standards are being achieved on a continuous basis. These recordkeeping and reporting requirements are specifically authorized by section 114 of the Clean Air Act (42 U.S.C. 7414) and set out in the General Provisions for national emission standards for hazardous air pollutants (NESHAP) in 40 CFR part 63, subpart A.</w:t>
      </w:r>
    </w:p>
    <w:p w:rsidR="00A2750A" w:rsidRPr="008842AD" w:rsidRDefault="00A2750A"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(b)</w:t>
      </w:r>
      <w:r w:rsidRPr="008842AD">
        <w:rPr>
          <w:rFonts w:asciiTheme="majorBidi" w:hAnsiTheme="majorBidi" w:cstheme="majorBidi"/>
          <w:i/>
          <w:iCs w:val="0"/>
          <w:szCs w:val="24"/>
        </w:rPr>
        <w:tab/>
        <w:t>Use/Users of the Data</w:t>
      </w:r>
    </w:p>
    <w:p w:rsidR="00F6388C" w:rsidRPr="008842AD" w:rsidRDefault="00F6388C" w:rsidP="00C50FFE">
      <w:pPr>
        <w:spacing w:line="360" w:lineRule="auto"/>
        <w:ind w:firstLine="720"/>
        <w:rPr>
          <w:rFonts w:asciiTheme="majorBidi" w:hAnsiTheme="majorBidi" w:cstheme="majorBidi"/>
          <w:szCs w:val="24"/>
        </w:rPr>
      </w:pPr>
      <w:r w:rsidRPr="008842AD">
        <w:rPr>
          <w:rFonts w:asciiTheme="majorBidi" w:hAnsiTheme="majorBidi" w:cstheme="majorBidi"/>
          <w:szCs w:val="24"/>
        </w:rPr>
        <w:t>The information will be used by the delegated authority (state agency, or Regional Administrator if there is no delegated state agency) to ensure that the standards and other requirements are being achieved. Based on review of the recorded information at the site and the reported information, the delegated permitting authority can identify facilities that may not be in compliance and decide which facilities, records or processes may need inspection.</w:t>
      </w:r>
    </w:p>
    <w:p w:rsidR="00A2750A" w:rsidRPr="008842AD" w:rsidRDefault="00A2750A" w:rsidP="00C50FFE">
      <w:pPr>
        <w:pStyle w:val="Heading1"/>
        <w:spacing w:before="0" w:after="0" w:line="360" w:lineRule="auto"/>
        <w:rPr>
          <w:rFonts w:asciiTheme="majorBidi" w:hAnsiTheme="majorBidi" w:cstheme="majorBidi"/>
          <w:szCs w:val="24"/>
        </w:rPr>
      </w:pPr>
      <w:r w:rsidRPr="008842AD">
        <w:rPr>
          <w:rFonts w:asciiTheme="majorBidi" w:hAnsiTheme="majorBidi" w:cstheme="majorBidi"/>
          <w:szCs w:val="24"/>
        </w:rPr>
        <w:t>3.</w:t>
      </w:r>
      <w:r w:rsidR="00F6388C" w:rsidRPr="008842AD">
        <w:rPr>
          <w:rFonts w:asciiTheme="majorBidi" w:hAnsiTheme="majorBidi" w:cstheme="majorBidi"/>
          <w:szCs w:val="24"/>
        </w:rPr>
        <w:t>0</w:t>
      </w:r>
      <w:r w:rsidRPr="008842AD">
        <w:rPr>
          <w:rFonts w:asciiTheme="majorBidi" w:hAnsiTheme="majorBidi" w:cstheme="majorBidi"/>
          <w:szCs w:val="24"/>
        </w:rPr>
        <w:tab/>
      </w:r>
      <w:proofErr w:type="spellStart"/>
      <w:r w:rsidRPr="008842AD">
        <w:rPr>
          <w:rFonts w:asciiTheme="majorBidi" w:hAnsiTheme="majorBidi" w:cstheme="majorBidi"/>
          <w:szCs w:val="24"/>
        </w:rPr>
        <w:t>Nonduplication</w:t>
      </w:r>
      <w:proofErr w:type="spellEnd"/>
      <w:r w:rsidRPr="008842AD">
        <w:rPr>
          <w:rFonts w:asciiTheme="majorBidi" w:hAnsiTheme="majorBidi" w:cstheme="majorBidi"/>
          <w:szCs w:val="24"/>
        </w:rPr>
        <w:t>, Consultations, and Other Collection Criteria</w:t>
      </w:r>
    </w:p>
    <w:p w:rsidR="00A2750A" w:rsidRPr="008842AD" w:rsidRDefault="00A2750A"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(a)</w:t>
      </w:r>
      <w:r w:rsidRPr="008842AD">
        <w:rPr>
          <w:rFonts w:asciiTheme="majorBidi" w:hAnsiTheme="majorBidi" w:cstheme="majorBidi"/>
          <w:i/>
          <w:iCs w:val="0"/>
          <w:szCs w:val="24"/>
        </w:rPr>
        <w:tab/>
        <w:t>Nonduplication</w:t>
      </w:r>
    </w:p>
    <w:p w:rsidR="00510D95" w:rsidRPr="008842AD" w:rsidRDefault="00A2750A"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No other regulation currently requires the same information requested under this ICR from owners or operators of portland cement </w:t>
      </w:r>
      <w:r w:rsidR="00510D95" w:rsidRPr="008842AD">
        <w:rPr>
          <w:rFonts w:asciiTheme="majorBidi" w:hAnsiTheme="majorBidi" w:cstheme="majorBidi"/>
          <w:szCs w:val="24"/>
        </w:rPr>
        <w:t>plants</w:t>
      </w:r>
      <w:r w:rsidRPr="008842AD">
        <w:rPr>
          <w:rFonts w:asciiTheme="majorBidi" w:hAnsiTheme="majorBidi" w:cstheme="majorBidi"/>
          <w:szCs w:val="24"/>
        </w:rPr>
        <w:t xml:space="preserve">. In the event that certain reports required by </w:t>
      </w:r>
      <w:r w:rsidRPr="008842AD">
        <w:rPr>
          <w:rFonts w:asciiTheme="majorBidi" w:hAnsiTheme="majorBidi" w:cstheme="majorBidi"/>
          <w:szCs w:val="24"/>
        </w:rPr>
        <w:lastRenderedPageBreak/>
        <w:t xml:space="preserve">State or local agencies may duplicate information required by the </w:t>
      </w:r>
      <w:r w:rsidR="00CE522C">
        <w:rPr>
          <w:rFonts w:asciiTheme="majorBidi" w:hAnsiTheme="majorBidi" w:cstheme="majorBidi"/>
          <w:szCs w:val="24"/>
        </w:rPr>
        <w:t>final</w:t>
      </w:r>
      <w:r w:rsidRPr="008842AD">
        <w:rPr>
          <w:rFonts w:asciiTheme="majorBidi" w:hAnsiTheme="majorBidi" w:cstheme="majorBidi"/>
          <w:szCs w:val="24"/>
        </w:rPr>
        <w:t xml:space="preserve"> amendments, a copy of the report submitted to the State or local agency can be provided to the Administrator in lieu of the information that would be required in the semi-annual compliance report. Therefore, no duplication exists.</w:t>
      </w:r>
      <w:r w:rsidR="004229BF" w:rsidRPr="008842AD">
        <w:rPr>
          <w:rFonts w:asciiTheme="majorBidi" w:hAnsiTheme="majorBidi" w:cstheme="majorBidi"/>
          <w:szCs w:val="24"/>
        </w:rPr>
        <w:t xml:space="preserve"> </w:t>
      </w:r>
    </w:p>
    <w:p w:rsidR="00A2750A" w:rsidRPr="008842AD" w:rsidRDefault="00A2750A"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(b)</w:t>
      </w:r>
      <w:r w:rsidRPr="008842AD">
        <w:rPr>
          <w:rFonts w:asciiTheme="majorBidi" w:hAnsiTheme="majorBidi" w:cstheme="majorBidi"/>
          <w:i/>
          <w:iCs w:val="0"/>
          <w:szCs w:val="24"/>
        </w:rPr>
        <w:tab/>
        <w:t>Public Notice Required Prior to ICR Submission to OMB</w:t>
      </w:r>
    </w:p>
    <w:p w:rsidR="00A2750A" w:rsidRPr="008842AD" w:rsidRDefault="00F57B64" w:rsidP="00C50FFE">
      <w:pPr>
        <w:pStyle w:val="Para"/>
        <w:spacing w:after="0" w:line="360" w:lineRule="auto"/>
        <w:rPr>
          <w:rFonts w:asciiTheme="majorBidi" w:hAnsiTheme="majorBidi" w:cstheme="majorBidi"/>
          <w:szCs w:val="24"/>
        </w:rPr>
      </w:pPr>
      <w:r>
        <w:rPr>
          <w:rFonts w:asciiTheme="majorBidi" w:hAnsiTheme="majorBidi" w:cstheme="majorBidi"/>
          <w:szCs w:val="24"/>
        </w:rPr>
        <w:t>Public notice of this ICR was included to the preamble to the proposed and final rules.</w:t>
      </w:r>
    </w:p>
    <w:p w:rsidR="003363A0" w:rsidRPr="008842AD" w:rsidRDefault="003363A0"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(c)</w:t>
      </w:r>
      <w:r w:rsidRPr="008842AD">
        <w:rPr>
          <w:rFonts w:asciiTheme="majorBidi" w:hAnsiTheme="majorBidi" w:cstheme="majorBidi"/>
          <w:i/>
          <w:iCs w:val="0"/>
          <w:szCs w:val="24"/>
        </w:rPr>
        <w:tab/>
        <w:t>Consultations</w:t>
      </w:r>
    </w:p>
    <w:p w:rsidR="00510D95" w:rsidRPr="008842AD" w:rsidRDefault="003363A0"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We did not specifically consult with stakeholders on the ICR requirements of these </w:t>
      </w:r>
      <w:r w:rsidR="00CE522C">
        <w:rPr>
          <w:rFonts w:asciiTheme="majorBidi" w:hAnsiTheme="majorBidi" w:cstheme="majorBidi"/>
          <w:szCs w:val="24"/>
        </w:rPr>
        <w:t>final</w:t>
      </w:r>
      <w:r w:rsidRPr="008842AD">
        <w:rPr>
          <w:rFonts w:asciiTheme="majorBidi" w:hAnsiTheme="majorBidi" w:cstheme="majorBidi"/>
          <w:szCs w:val="24"/>
        </w:rPr>
        <w:t xml:space="preserve"> amendments. However, all the basic requirements in the </w:t>
      </w:r>
      <w:r w:rsidR="00CE522C">
        <w:rPr>
          <w:rFonts w:asciiTheme="majorBidi" w:hAnsiTheme="majorBidi" w:cstheme="majorBidi"/>
          <w:szCs w:val="24"/>
        </w:rPr>
        <w:t>final</w:t>
      </w:r>
      <w:r w:rsidRPr="008842AD">
        <w:rPr>
          <w:rFonts w:asciiTheme="majorBidi" w:hAnsiTheme="majorBidi" w:cstheme="majorBidi"/>
          <w:szCs w:val="24"/>
        </w:rPr>
        <w:t xml:space="preserve"> amendments exist in the current rule. Participants in the development process for the </w:t>
      </w:r>
      <w:r w:rsidR="00CE522C">
        <w:rPr>
          <w:rFonts w:asciiTheme="majorBidi" w:hAnsiTheme="majorBidi" w:cstheme="majorBidi"/>
          <w:szCs w:val="24"/>
        </w:rPr>
        <w:t>current rule</w:t>
      </w:r>
      <w:r w:rsidRPr="008842AD">
        <w:rPr>
          <w:rFonts w:asciiTheme="majorBidi" w:hAnsiTheme="majorBidi" w:cstheme="majorBidi"/>
          <w:szCs w:val="24"/>
        </w:rPr>
        <w:t xml:space="preserve"> included the Portland Cement Association (PCA). </w:t>
      </w:r>
      <w:r w:rsidR="00603148">
        <w:rPr>
          <w:rFonts w:asciiTheme="majorBidi" w:hAnsiTheme="majorBidi" w:cstheme="majorBidi"/>
          <w:szCs w:val="24"/>
        </w:rPr>
        <w:t>M</w:t>
      </w:r>
      <w:r w:rsidRPr="008842AD">
        <w:rPr>
          <w:rFonts w:asciiTheme="majorBidi" w:hAnsiTheme="majorBidi" w:cstheme="majorBidi"/>
          <w:szCs w:val="24"/>
        </w:rPr>
        <w:t xml:space="preserve">eetings </w:t>
      </w:r>
      <w:r w:rsidR="00510D95" w:rsidRPr="008842AD">
        <w:rPr>
          <w:rFonts w:asciiTheme="majorBidi" w:hAnsiTheme="majorBidi" w:cstheme="majorBidi"/>
          <w:szCs w:val="24"/>
        </w:rPr>
        <w:t xml:space="preserve">and conference calls </w:t>
      </w:r>
      <w:r w:rsidRPr="008842AD">
        <w:rPr>
          <w:rFonts w:asciiTheme="majorBidi" w:hAnsiTheme="majorBidi" w:cstheme="majorBidi"/>
          <w:szCs w:val="24"/>
        </w:rPr>
        <w:t xml:space="preserve">with industry representatives were held in the period </w:t>
      </w:r>
      <w:r w:rsidR="00603148">
        <w:rPr>
          <w:rFonts w:asciiTheme="majorBidi" w:hAnsiTheme="majorBidi" w:cstheme="majorBidi"/>
          <w:szCs w:val="24"/>
        </w:rPr>
        <w:t xml:space="preserve">before </w:t>
      </w:r>
      <w:r w:rsidR="00603148" w:rsidRPr="00880443">
        <w:rPr>
          <w:rFonts w:asciiTheme="majorBidi" w:hAnsiTheme="majorBidi" w:cstheme="majorBidi"/>
          <w:szCs w:val="24"/>
        </w:rPr>
        <w:t>and after</w:t>
      </w:r>
      <w:r w:rsidRPr="008842AD">
        <w:rPr>
          <w:rFonts w:asciiTheme="majorBidi" w:hAnsiTheme="majorBidi" w:cstheme="majorBidi"/>
          <w:szCs w:val="24"/>
        </w:rPr>
        <w:t xml:space="preserve"> proposal</w:t>
      </w:r>
      <w:r w:rsidR="00C532E5" w:rsidRPr="008842AD">
        <w:rPr>
          <w:rFonts w:asciiTheme="majorBidi" w:hAnsiTheme="majorBidi" w:cstheme="majorBidi"/>
          <w:szCs w:val="24"/>
        </w:rPr>
        <w:t>.</w:t>
      </w:r>
    </w:p>
    <w:p w:rsidR="00576D07" w:rsidRPr="008842AD" w:rsidRDefault="00576D07"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(d)</w:t>
      </w:r>
      <w:r w:rsidRPr="008842AD">
        <w:rPr>
          <w:rFonts w:asciiTheme="majorBidi" w:hAnsiTheme="majorBidi" w:cstheme="majorBidi"/>
          <w:i/>
          <w:iCs w:val="0"/>
          <w:szCs w:val="24"/>
        </w:rPr>
        <w:tab/>
        <w:t>Effects of Less Frequent Collection</w:t>
      </w:r>
    </w:p>
    <w:p w:rsidR="00F6388C" w:rsidRPr="008842AD" w:rsidRDefault="00F6388C" w:rsidP="00C50FFE">
      <w:pPr>
        <w:pStyle w:val="Heading2"/>
        <w:spacing w:before="0" w:after="0" w:line="360" w:lineRule="auto"/>
        <w:ind w:left="0" w:firstLine="720"/>
        <w:rPr>
          <w:rFonts w:asciiTheme="majorBidi" w:hAnsiTheme="majorBidi" w:cstheme="majorBidi"/>
          <w:szCs w:val="24"/>
        </w:rPr>
      </w:pPr>
      <w:r w:rsidRPr="008842AD">
        <w:rPr>
          <w:rFonts w:asciiTheme="majorBidi" w:hAnsiTheme="majorBidi" w:cstheme="majorBidi"/>
          <w:szCs w:val="24"/>
        </w:rPr>
        <w:t xml:space="preserve">If the relevant information was collected less frequently, the delegated permitting authority (state or the EPA) will not be reasonably assured that a facility is in compliance with the standards. </w:t>
      </w:r>
    </w:p>
    <w:p w:rsidR="00576D07" w:rsidRPr="008842AD" w:rsidRDefault="00576D07"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(e)</w:t>
      </w:r>
      <w:r w:rsidRPr="008842AD">
        <w:rPr>
          <w:rFonts w:asciiTheme="majorBidi" w:hAnsiTheme="majorBidi" w:cstheme="majorBidi"/>
          <w:i/>
          <w:iCs w:val="0"/>
          <w:szCs w:val="24"/>
        </w:rPr>
        <w:tab/>
        <w:t>General Guidelines</w:t>
      </w:r>
    </w:p>
    <w:p w:rsidR="00576D07" w:rsidRPr="008842AD" w:rsidRDefault="00576D07"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None of the guidelines in 5 CFR 1320.5 are being exceeded.</w:t>
      </w:r>
    </w:p>
    <w:p w:rsidR="00576D07" w:rsidRPr="008842AD" w:rsidRDefault="00576D07"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(f)</w:t>
      </w:r>
      <w:r w:rsidRPr="008842AD">
        <w:rPr>
          <w:rFonts w:asciiTheme="majorBidi" w:hAnsiTheme="majorBidi" w:cstheme="majorBidi"/>
          <w:i/>
          <w:iCs w:val="0"/>
          <w:szCs w:val="24"/>
        </w:rPr>
        <w:tab/>
        <w:t>Confidentiality</w:t>
      </w:r>
    </w:p>
    <w:p w:rsidR="00F6388C" w:rsidRPr="008842AD" w:rsidRDefault="00F6388C" w:rsidP="00C50FFE">
      <w:pPr>
        <w:pStyle w:val="Para"/>
        <w:spacing w:after="0" w:line="360" w:lineRule="auto"/>
        <w:rPr>
          <w:rFonts w:asciiTheme="majorBidi" w:hAnsiTheme="majorBidi" w:cstheme="majorBidi"/>
          <w:i/>
          <w:iCs/>
          <w:szCs w:val="24"/>
        </w:rPr>
      </w:pPr>
      <w:r w:rsidRPr="008842AD">
        <w:rPr>
          <w:rFonts w:asciiTheme="majorBidi" w:hAnsiTheme="majorBidi" w:cstheme="majorBidi"/>
          <w:szCs w:val="24"/>
        </w:rPr>
        <w:t>All information submitted to the Agency for which a claim of confidentiality is made will be safeguarded according to the Agency policies set forth in Title 40, Chapter 1, Part 2, Subpart B-Confidentiality of Business Information (see 40 CFR 2; 41 FR 36902, September 1, 1976; amended by 43 FR 39999, September 28, 1978; 43 FR 42251, September 28, 1978; 44 FR 17674, March 23, 1979).</w:t>
      </w:r>
      <w:r w:rsidRPr="008842AD">
        <w:rPr>
          <w:rFonts w:asciiTheme="majorBidi" w:hAnsiTheme="majorBidi" w:cstheme="majorBidi"/>
          <w:i/>
          <w:iCs/>
          <w:szCs w:val="24"/>
        </w:rPr>
        <w:t xml:space="preserve"> </w:t>
      </w:r>
    </w:p>
    <w:p w:rsidR="00576D07" w:rsidRPr="008842AD" w:rsidRDefault="00576D07" w:rsidP="00C50FFE">
      <w:pPr>
        <w:pStyle w:val="Para"/>
        <w:spacing w:after="0" w:line="360" w:lineRule="auto"/>
        <w:ind w:firstLine="0"/>
        <w:rPr>
          <w:rFonts w:asciiTheme="majorBidi" w:hAnsiTheme="majorBidi" w:cstheme="majorBidi"/>
          <w:i/>
          <w:iCs/>
          <w:szCs w:val="24"/>
        </w:rPr>
      </w:pPr>
      <w:r w:rsidRPr="008842AD">
        <w:rPr>
          <w:rFonts w:asciiTheme="majorBidi" w:hAnsiTheme="majorBidi" w:cstheme="majorBidi"/>
          <w:i/>
          <w:iCs/>
          <w:szCs w:val="24"/>
        </w:rPr>
        <w:t>(g)</w:t>
      </w:r>
      <w:r w:rsidRPr="008842AD">
        <w:rPr>
          <w:rFonts w:asciiTheme="majorBidi" w:hAnsiTheme="majorBidi" w:cstheme="majorBidi"/>
          <w:i/>
          <w:iCs/>
          <w:szCs w:val="24"/>
        </w:rPr>
        <w:tab/>
        <w:t>Sensitive Questions</w:t>
      </w:r>
    </w:p>
    <w:p w:rsidR="00576D07" w:rsidRPr="008842AD" w:rsidRDefault="00576D07"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This section is not applicable because this ICR does not involve matters of a sensitive nature.</w:t>
      </w:r>
    </w:p>
    <w:p w:rsidR="00576D07" w:rsidRPr="008842AD" w:rsidRDefault="00576D07" w:rsidP="00C50FFE">
      <w:pPr>
        <w:pStyle w:val="Heading1"/>
        <w:spacing w:before="0" w:after="0" w:line="360" w:lineRule="auto"/>
        <w:rPr>
          <w:rFonts w:asciiTheme="majorBidi" w:hAnsiTheme="majorBidi" w:cstheme="majorBidi"/>
          <w:szCs w:val="24"/>
        </w:rPr>
      </w:pPr>
      <w:r w:rsidRPr="008842AD">
        <w:rPr>
          <w:rFonts w:asciiTheme="majorBidi" w:hAnsiTheme="majorBidi" w:cstheme="majorBidi"/>
          <w:szCs w:val="24"/>
        </w:rPr>
        <w:t>4.</w:t>
      </w:r>
      <w:r w:rsidRPr="008842AD">
        <w:rPr>
          <w:rFonts w:asciiTheme="majorBidi" w:hAnsiTheme="majorBidi" w:cstheme="majorBidi"/>
          <w:szCs w:val="24"/>
        </w:rPr>
        <w:tab/>
        <w:t>The Respondents and the Information Requested</w:t>
      </w:r>
    </w:p>
    <w:p w:rsidR="00576D07" w:rsidRPr="008842AD" w:rsidRDefault="00576D07"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(a)</w:t>
      </w:r>
      <w:r w:rsidRPr="008842AD">
        <w:rPr>
          <w:rFonts w:asciiTheme="majorBidi" w:hAnsiTheme="majorBidi" w:cstheme="majorBidi"/>
          <w:i/>
          <w:iCs w:val="0"/>
          <w:szCs w:val="24"/>
        </w:rPr>
        <w:tab/>
        <w:t>Respondents/NAICS Codes</w:t>
      </w:r>
    </w:p>
    <w:p w:rsidR="00576D07" w:rsidRPr="008842AD" w:rsidRDefault="00083EDA" w:rsidP="00AC7A3C">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Potential respondents under subpart LLL are owners or operators of any existing or new facility engaged in </w:t>
      </w:r>
      <w:r w:rsidR="00576D07" w:rsidRPr="008842AD">
        <w:rPr>
          <w:rFonts w:asciiTheme="majorBidi" w:hAnsiTheme="majorBidi" w:cstheme="majorBidi"/>
          <w:szCs w:val="24"/>
        </w:rPr>
        <w:t xml:space="preserve">portland cement manufacturing. </w:t>
      </w:r>
      <w:r w:rsidRPr="008842AD">
        <w:rPr>
          <w:rFonts w:asciiTheme="majorBidi" w:hAnsiTheme="majorBidi" w:cstheme="majorBidi"/>
          <w:szCs w:val="24"/>
        </w:rPr>
        <w:t xml:space="preserve">There are an estimated </w:t>
      </w:r>
      <w:r w:rsidR="004D4343">
        <w:rPr>
          <w:rFonts w:asciiTheme="majorBidi" w:hAnsiTheme="majorBidi" w:cstheme="majorBidi"/>
          <w:szCs w:val="24"/>
        </w:rPr>
        <w:t>87</w:t>
      </w:r>
      <w:r w:rsidR="0048395F">
        <w:rPr>
          <w:rFonts w:asciiTheme="majorBidi" w:hAnsiTheme="majorBidi" w:cstheme="majorBidi"/>
          <w:szCs w:val="24"/>
        </w:rPr>
        <w:t xml:space="preserve"> </w:t>
      </w:r>
      <w:proofErr w:type="gramStart"/>
      <w:r w:rsidR="00AC7A3C">
        <w:rPr>
          <w:rFonts w:asciiTheme="majorBidi" w:hAnsiTheme="majorBidi" w:cstheme="majorBidi"/>
          <w:szCs w:val="24"/>
        </w:rPr>
        <w:t>portland</w:t>
      </w:r>
      <w:proofErr w:type="gramEnd"/>
      <w:r w:rsidR="00AC7A3C">
        <w:rPr>
          <w:rFonts w:asciiTheme="majorBidi" w:hAnsiTheme="majorBidi" w:cstheme="majorBidi"/>
          <w:szCs w:val="24"/>
        </w:rPr>
        <w:t xml:space="preserve"> cement </w:t>
      </w:r>
      <w:r w:rsidR="00AC7A3C">
        <w:rPr>
          <w:rFonts w:asciiTheme="majorBidi" w:hAnsiTheme="majorBidi" w:cstheme="majorBidi"/>
          <w:szCs w:val="24"/>
        </w:rPr>
        <w:lastRenderedPageBreak/>
        <w:t xml:space="preserve">manufacturing plants </w:t>
      </w:r>
      <w:r w:rsidR="00880443">
        <w:rPr>
          <w:rFonts w:asciiTheme="majorBidi" w:hAnsiTheme="majorBidi" w:cstheme="majorBidi"/>
          <w:szCs w:val="24"/>
        </w:rPr>
        <w:t xml:space="preserve">and 133 kilns </w:t>
      </w:r>
      <w:r w:rsidR="00AC7A3C">
        <w:rPr>
          <w:rFonts w:asciiTheme="majorBidi" w:hAnsiTheme="majorBidi" w:cstheme="majorBidi"/>
          <w:szCs w:val="24"/>
        </w:rPr>
        <w:t xml:space="preserve">(approximately </w:t>
      </w:r>
      <w:r w:rsidR="00CE522C">
        <w:rPr>
          <w:rFonts w:asciiTheme="majorBidi" w:hAnsiTheme="majorBidi" w:cstheme="majorBidi"/>
          <w:szCs w:val="24"/>
        </w:rPr>
        <w:t>117</w:t>
      </w:r>
      <w:r w:rsidR="0048395F">
        <w:rPr>
          <w:rFonts w:asciiTheme="majorBidi" w:hAnsiTheme="majorBidi" w:cstheme="majorBidi"/>
          <w:szCs w:val="24"/>
        </w:rPr>
        <w:t xml:space="preserve"> </w:t>
      </w:r>
      <w:r w:rsidR="00AC7A3C">
        <w:rPr>
          <w:rFonts w:asciiTheme="majorBidi" w:hAnsiTheme="majorBidi" w:cstheme="majorBidi"/>
          <w:szCs w:val="24"/>
        </w:rPr>
        <w:t>existing</w:t>
      </w:r>
      <w:r w:rsidR="0048395F">
        <w:rPr>
          <w:rFonts w:asciiTheme="majorBidi" w:hAnsiTheme="majorBidi" w:cstheme="majorBidi"/>
          <w:szCs w:val="24"/>
        </w:rPr>
        <w:t xml:space="preserve"> and 16 new</w:t>
      </w:r>
      <w:r w:rsidR="00AC7A3C">
        <w:rPr>
          <w:rFonts w:asciiTheme="majorBidi" w:hAnsiTheme="majorBidi" w:cstheme="majorBidi"/>
          <w:szCs w:val="24"/>
        </w:rPr>
        <w:t xml:space="preserve"> kilns) </w:t>
      </w:r>
      <w:r w:rsidRPr="008842AD">
        <w:rPr>
          <w:rFonts w:asciiTheme="majorBidi" w:hAnsiTheme="majorBidi" w:cstheme="majorBidi"/>
          <w:szCs w:val="24"/>
        </w:rPr>
        <w:t xml:space="preserve">that would be subject to the </w:t>
      </w:r>
      <w:r w:rsidR="00CE522C">
        <w:rPr>
          <w:rFonts w:asciiTheme="majorBidi" w:hAnsiTheme="majorBidi" w:cstheme="majorBidi"/>
          <w:szCs w:val="24"/>
        </w:rPr>
        <w:t>final</w:t>
      </w:r>
      <w:r w:rsidRPr="008842AD">
        <w:rPr>
          <w:rFonts w:asciiTheme="majorBidi" w:hAnsiTheme="majorBidi" w:cstheme="majorBidi"/>
          <w:szCs w:val="24"/>
        </w:rPr>
        <w:t xml:space="preserve"> amendments to the NESHAP. </w:t>
      </w:r>
      <w:r w:rsidR="00576D07" w:rsidRPr="008842AD">
        <w:rPr>
          <w:rFonts w:asciiTheme="majorBidi" w:hAnsiTheme="majorBidi" w:cstheme="majorBidi"/>
          <w:szCs w:val="24"/>
        </w:rPr>
        <w:t>All respondents will be subject to the monitoring, recordkeeping, and reporting requirements. The NAICS code for this industry is 327310, Cement Manufacturing.</w:t>
      </w:r>
    </w:p>
    <w:p w:rsidR="00576D07" w:rsidRPr="008842AD" w:rsidRDefault="00576D07"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(b) Information Requested</w:t>
      </w:r>
    </w:p>
    <w:p w:rsidR="00083EDA" w:rsidRPr="00265B3F" w:rsidRDefault="00083EDA" w:rsidP="00C50FFE">
      <w:pPr>
        <w:pStyle w:val="Heading2"/>
        <w:spacing w:before="0" w:after="0" w:line="360" w:lineRule="auto"/>
        <w:ind w:left="0" w:firstLine="720"/>
        <w:rPr>
          <w:rFonts w:asciiTheme="majorBidi" w:hAnsiTheme="majorBidi" w:cstheme="majorBidi"/>
          <w:szCs w:val="24"/>
        </w:rPr>
      </w:pPr>
      <w:r w:rsidRPr="00265B3F">
        <w:rPr>
          <w:rFonts w:asciiTheme="majorBidi" w:hAnsiTheme="majorBidi" w:cstheme="majorBidi"/>
          <w:i/>
          <w:iCs w:val="0"/>
          <w:szCs w:val="24"/>
        </w:rPr>
        <w:t>(i) Data Items, Including Recordkeeping Requirements.</w:t>
      </w:r>
      <w:r w:rsidRPr="00265B3F">
        <w:rPr>
          <w:rFonts w:asciiTheme="majorBidi" w:hAnsiTheme="majorBidi" w:cstheme="majorBidi"/>
          <w:szCs w:val="24"/>
        </w:rPr>
        <w:t xml:space="preserve"> Attachment 1, Information Requirements, summarizes the data items, including recordkeeping and reporting requirements, for the portland cement manufacturing source category.</w:t>
      </w:r>
    </w:p>
    <w:p w:rsidR="00083EDA" w:rsidRPr="00265B3F" w:rsidRDefault="00083EDA" w:rsidP="00C50FFE">
      <w:pPr>
        <w:pStyle w:val="Heading2"/>
        <w:spacing w:before="0" w:after="0" w:line="360" w:lineRule="auto"/>
        <w:ind w:left="0" w:firstLine="720"/>
        <w:rPr>
          <w:rFonts w:asciiTheme="majorBidi" w:hAnsiTheme="majorBidi" w:cstheme="majorBidi"/>
          <w:szCs w:val="24"/>
        </w:rPr>
      </w:pPr>
      <w:r w:rsidRPr="00265B3F">
        <w:rPr>
          <w:rFonts w:asciiTheme="majorBidi" w:hAnsiTheme="majorBidi" w:cstheme="majorBidi"/>
          <w:i/>
          <w:szCs w:val="24"/>
        </w:rPr>
        <w:t>(ii) Respondent Activities.</w:t>
      </w:r>
      <w:r w:rsidRPr="00265B3F">
        <w:rPr>
          <w:rFonts w:asciiTheme="majorBidi" w:hAnsiTheme="majorBidi" w:cstheme="majorBidi"/>
          <w:szCs w:val="24"/>
        </w:rPr>
        <w:t xml:space="preserve"> The respondent activities that will be required by the </w:t>
      </w:r>
      <w:r w:rsidR="00CE522C">
        <w:rPr>
          <w:rFonts w:asciiTheme="majorBidi" w:hAnsiTheme="majorBidi" w:cstheme="majorBidi"/>
          <w:szCs w:val="24"/>
        </w:rPr>
        <w:t>final</w:t>
      </w:r>
      <w:r w:rsidRPr="00265B3F">
        <w:rPr>
          <w:rFonts w:asciiTheme="majorBidi" w:hAnsiTheme="majorBidi" w:cstheme="majorBidi"/>
          <w:szCs w:val="24"/>
        </w:rPr>
        <w:t xml:space="preserve"> amendments to the </w:t>
      </w:r>
      <w:r w:rsidR="001B3690" w:rsidRPr="00265B3F">
        <w:rPr>
          <w:rFonts w:asciiTheme="majorBidi" w:hAnsiTheme="majorBidi" w:cstheme="majorBidi"/>
          <w:szCs w:val="24"/>
        </w:rPr>
        <w:t xml:space="preserve">Portland Cement Manufacturing </w:t>
      </w:r>
      <w:r w:rsidRPr="00265B3F">
        <w:rPr>
          <w:rFonts w:asciiTheme="majorBidi" w:hAnsiTheme="majorBidi" w:cstheme="majorBidi"/>
          <w:szCs w:val="24"/>
        </w:rPr>
        <w:t xml:space="preserve">NESHAP are identified in Table </w:t>
      </w:r>
      <w:r w:rsidR="000309DB">
        <w:rPr>
          <w:rFonts w:asciiTheme="majorBidi" w:hAnsiTheme="majorBidi" w:cstheme="majorBidi"/>
          <w:szCs w:val="24"/>
        </w:rPr>
        <w:t>1</w:t>
      </w:r>
      <w:r w:rsidR="000309DB" w:rsidRPr="00265B3F">
        <w:rPr>
          <w:rFonts w:asciiTheme="majorBidi" w:hAnsiTheme="majorBidi" w:cstheme="majorBidi"/>
          <w:szCs w:val="24"/>
        </w:rPr>
        <w:t xml:space="preserve"> </w:t>
      </w:r>
      <w:r w:rsidRPr="00265B3F">
        <w:rPr>
          <w:rFonts w:asciiTheme="majorBidi" w:hAnsiTheme="majorBidi" w:cstheme="majorBidi"/>
          <w:szCs w:val="24"/>
        </w:rPr>
        <w:t xml:space="preserve">and are introduced in section 6(a). </w:t>
      </w:r>
    </w:p>
    <w:p w:rsidR="00106BA9" w:rsidRPr="008842AD" w:rsidRDefault="00106BA9" w:rsidP="00C50FFE">
      <w:pPr>
        <w:spacing w:line="360" w:lineRule="auto"/>
        <w:ind w:firstLine="720"/>
        <w:rPr>
          <w:rFonts w:asciiTheme="majorBidi" w:hAnsiTheme="majorBidi" w:cstheme="majorBidi"/>
          <w:szCs w:val="24"/>
        </w:rPr>
      </w:pPr>
      <w:r w:rsidRPr="00265B3F">
        <w:rPr>
          <w:rFonts w:asciiTheme="majorBidi" w:hAnsiTheme="majorBidi" w:cstheme="majorBidi"/>
          <w:i/>
          <w:szCs w:val="24"/>
        </w:rPr>
        <w:t>(iii) Summary of Requirements.</w:t>
      </w:r>
      <w:r w:rsidRPr="00265B3F">
        <w:rPr>
          <w:rFonts w:asciiTheme="majorBidi" w:hAnsiTheme="majorBidi" w:cstheme="majorBidi"/>
          <w:szCs w:val="24"/>
        </w:rPr>
        <w:t xml:space="preserve"> The EPA is including an estimate of the burden associated with performing an affirmative defense. The EPA is providing</w:t>
      </w:r>
      <w:r w:rsidRPr="008842AD">
        <w:rPr>
          <w:rFonts w:asciiTheme="majorBidi" w:hAnsiTheme="majorBidi" w:cstheme="majorBidi"/>
          <w:szCs w:val="24"/>
        </w:rPr>
        <w:t xml:space="preserve"> this as an illustrative example of the potential additional administrative burden a source may incur to assert an Affirmative Defense in response to an action to enforce the standards set forth in subpart LLL.</w:t>
      </w:r>
    </w:p>
    <w:p w:rsidR="00106BA9" w:rsidRPr="008842AD" w:rsidRDefault="00106BA9" w:rsidP="00C50FFE">
      <w:pPr>
        <w:spacing w:line="360" w:lineRule="auto"/>
        <w:ind w:firstLine="720"/>
        <w:rPr>
          <w:rFonts w:asciiTheme="majorBidi" w:hAnsiTheme="majorBidi" w:cstheme="majorBidi"/>
          <w:szCs w:val="24"/>
        </w:rPr>
      </w:pPr>
      <w:r w:rsidRPr="008842AD">
        <w:rPr>
          <w:rFonts w:asciiTheme="majorBidi" w:hAnsiTheme="majorBidi" w:cstheme="majorBidi"/>
          <w:szCs w:val="24"/>
        </w:rPr>
        <w:t>This illustrative estimate is not considered a duplicate estimate of cost under the General Duty to Minimize Emissions clause under 40 CFR 63.6(e)(1)(i), which states: “At all times, the owner and operator must operate and maintain any affected source, including associated air pollution control equipment and monitoring equipment, in a manner consistent with safety and good air pollution control practices for minimizing emissions. Determining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p>
    <w:p w:rsidR="00106BA9" w:rsidRPr="008842AD" w:rsidRDefault="00106BA9" w:rsidP="00C50FFE">
      <w:pPr>
        <w:spacing w:line="360" w:lineRule="auto"/>
        <w:ind w:firstLine="720"/>
        <w:rPr>
          <w:rFonts w:asciiTheme="majorBidi" w:hAnsiTheme="majorBidi" w:cstheme="majorBidi"/>
          <w:szCs w:val="24"/>
        </w:rPr>
      </w:pPr>
      <w:r w:rsidRPr="008842AD">
        <w:rPr>
          <w:rFonts w:asciiTheme="majorBidi" w:hAnsiTheme="majorBidi" w:cstheme="majorBidi"/>
          <w:szCs w:val="24"/>
        </w:rPr>
        <w:t>To provide the public with an estimate of the relative magnitude of the burden associated with an assertion of the affirmative defense position adopted by a source, the EPA provides an administrative adjustment to this ICR that estimates the costs of the notification, recordkeeping and reporting requirements associated with the assertion of the affirmative defense. The EPA’s estimate for the required notification, reports and records, including the root cause analysis, associated with a single incident totals approximately $3,</w:t>
      </w:r>
      <w:r w:rsidR="00CE419D">
        <w:rPr>
          <w:rFonts w:asciiTheme="majorBidi" w:hAnsiTheme="majorBidi" w:cstheme="majorBidi"/>
          <w:szCs w:val="24"/>
        </w:rPr>
        <w:t>258</w:t>
      </w:r>
      <w:r w:rsidR="00CE419D" w:rsidRPr="008842AD">
        <w:rPr>
          <w:rFonts w:asciiTheme="majorBidi" w:hAnsiTheme="majorBidi" w:cstheme="majorBidi"/>
          <w:szCs w:val="24"/>
        </w:rPr>
        <w:t xml:space="preserve"> </w:t>
      </w:r>
      <w:r w:rsidRPr="008842AD">
        <w:rPr>
          <w:rFonts w:asciiTheme="majorBidi" w:hAnsiTheme="majorBidi" w:cstheme="majorBidi"/>
          <w:szCs w:val="24"/>
        </w:rPr>
        <w:t xml:space="preserve">and is based on the time and effort required of a source to review relevant data, interview plant employees and document the events </w:t>
      </w:r>
      <w:r w:rsidRPr="008842AD">
        <w:rPr>
          <w:rFonts w:asciiTheme="majorBidi" w:hAnsiTheme="majorBidi" w:cstheme="majorBidi"/>
          <w:szCs w:val="24"/>
        </w:rPr>
        <w:lastRenderedPageBreak/>
        <w:t>surrounding a malfunction that has caused an exceedance of an emission limit. The estimate also includes time to produce and retain the records and reports for submission to the EPA. The EPA provides this illustrative estimate of this burden because these costs are only incurred if there has been a violation and a source chooses to take advantage of the affirmative defense.</w:t>
      </w:r>
    </w:p>
    <w:p w:rsidR="00106BA9" w:rsidRPr="008842AD" w:rsidRDefault="00106BA9" w:rsidP="00C50FFE">
      <w:pPr>
        <w:spacing w:line="360" w:lineRule="auto"/>
        <w:ind w:firstLine="720"/>
        <w:rPr>
          <w:rFonts w:asciiTheme="majorBidi" w:hAnsiTheme="majorBidi" w:cstheme="majorBidi"/>
          <w:szCs w:val="24"/>
        </w:rPr>
      </w:pPr>
      <w:r w:rsidRPr="008842AD">
        <w:rPr>
          <w:rFonts w:asciiTheme="majorBidi" w:hAnsiTheme="majorBidi" w:cstheme="majorBidi"/>
          <w:szCs w:val="24"/>
        </w:rPr>
        <w:t>In this source category, we estimate that one facility per year will have a control device malfunction that would cause an exceedence of an emission limit and for which the facility would choose to assert the use of the affirmative defense provisions. Thus for this source category, the EPA is assigning annual burden of $3,</w:t>
      </w:r>
      <w:r w:rsidR="00CE419D">
        <w:rPr>
          <w:rFonts w:asciiTheme="majorBidi" w:hAnsiTheme="majorBidi" w:cstheme="majorBidi"/>
          <w:szCs w:val="24"/>
        </w:rPr>
        <w:t>258</w:t>
      </w:r>
      <w:r w:rsidR="00CE419D" w:rsidRPr="008842AD">
        <w:rPr>
          <w:rFonts w:asciiTheme="majorBidi" w:hAnsiTheme="majorBidi" w:cstheme="majorBidi"/>
          <w:szCs w:val="24"/>
        </w:rPr>
        <w:t xml:space="preserve"> </w:t>
      </w:r>
      <w:r w:rsidRPr="008842AD">
        <w:rPr>
          <w:rFonts w:asciiTheme="majorBidi" w:hAnsiTheme="majorBidi" w:cstheme="majorBidi"/>
          <w:szCs w:val="24"/>
        </w:rPr>
        <w:t>associated with affirmative defense.</w:t>
      </w:r>
    </w:p>
    <w:p w:rsidR="00106BA9" w:rsidRPr="008842AD" w:rsidRDefault="00106BA9" w:rsidP="00C50FFE">
      <w:pPr>
        <w:spacing w:line="360" w:lineRule="auto"/>
        <w:ind w:firstLine="720"/>
        <w:rPr>
          <w:rFonts w:asciiTheme="majorBidi" w:hAnsiTheme="majorBidi" w:cstheme="majorBidi"/>
          <w:szCs w:val="24"/>
        </w:rPr>
      </w:pPr>
    </w:p>
    <w:p w:rsidR="00576D07" w:rsidRPr="008842AD" w:rsidRDefault="00576D07" w:rsidP="00C50FFE">
      <w:pPr>
        <w:pStyle w:val="Heading1"/>
        <w:spacing w:before="0" w:after="0" w:line="360" w:lineRule="auto"/>
        <w:rPr>
          <w:rFonts w:asciiTheme="majorBidi" w:hAnsiTheme="majorBidi" w:cstheme="majorBidi"/>
          <w:szCs w:val="24"/>
        </w:rPr>
      </w:pPr>
      <w:r w:rsidRPr="008842AD">
        <w:rPr>
          <w:rFonts w:asciiTheme="majorBidi" w:hAnsiTheme="majorBidi" w:cstheme="majorBidi"/>
          <w:szCs w:val="24"/>
        </w:rPr>
        <w:t>5.</w:t>
      </w:r>
      <w:r w:rsidRPr="008842AD">
        <w:rPr>
          <w:rFonts w:asciiTheme="majorBidi" w:hAnsiTheme="majorBidi" w:cstheme="majorBidi"/>
          <w:szCs w:val="24"/>
        </w:rPr>
        <w:tab/>
        <w:t xml:space="preserve">The Information </w:t>
      </w:r>
      <w:r w:rsidR="006305AC" w:rsidRPr="008842AD">
        <w:rPr>
          <w:rFonts w:asciiTheme="majorBidi" w:hAnsiTheme="majorBidi" w:cstheme="majorBidi"/>
          <w:szCs w:val="24"/>
        </w:rPr>
        <w:t>Collected</w:t>
      </w:r>
      <w:r w:rsidR="006F2EE1" w:rsidRPr="008842AD">
        <w:rPr>
          <w:rFonts w:asciiTheme="majorBidi" w:hAnsiTheme="majorBidi" w:cstheme="majorBidi"/>
          <w:szCs w:val="24"/>
        </w:rPr>
        <w:t>:</w:t>
      </w:r>
      <w:r w:rsidR="006305AC" w:rsidRPr="008842AD">
        <w:rPr>
          <w:rFonts w:asciiTheme="majorBidi" w:hAnsiTheme="majorBidi" w:cstheme="majorBidi"/>
          <w:szCs w:val="24"/>
        </w:rPr>
        <w:t xml:space="preserve"> Agency</w:t>
      </w:r>
      <w:r w:rsidRPr="008842AD">
        <w:rPr>
          <w:rFonts w:asciiTheme="majorBidi" w:hAnsiTheme="majorBidi" w:cstheme="majorBidi"/>
          <w:szCs w:val="24"/>
        </w:rPr>
        <w:t xml:space="preserve"> Activities, Collection Methodology, and Information Management</w:t>
      </w:r>
    </w:p>
    <w:p w:rsidR="00576D07" w:rsidRPr="008842AD" w:rsidRDefault="00576D07"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(a)</w:t>
      </w:r>
      <w:r w:rsidRPr="008842AD">
        <w:rPr>
          <w:rFonts w:asciiTheme="majorBidi" w:hAnsiTheme="majorBidi" w:cstheme="majorBidi"/>
          <w:i/>
          <w:iCs w:val="0"/>
          <w:szCs w:val="24"/>
        </w:rPr>
        <w:tab/>
        <w:t>Agency Activities</w:t>
      </w:r>
    </w:p>
    <w:p w:rsidR="00106BA9" w:rsidRPr="00265B3F" w:rsidRDefault="00106BA9" w:rsidP="00C50FFE">
      <w:pPr>
        <w:pStyle w:val="Heading2"/>
        <w:spacing w:before="0" w:after="0" w:line="360" w:lineRule="auto"/>
        <w:ind w:left="0" w:firstLine="720"/>
        <w:rPr>
          <w:rFonts w:asciiTheme="majorBidi" w:hAnsiTheme="majorBidi" w:cstheme="majorBidi"/>
          <w:szCs w:val="24"/>
        </w:rPr>
      </w:pPr>
      <w:r w:rsidRPr="008842AD">
        <w:rPr>
          <w:rFonts w:asciiTheme="majorBidi" w:hAnsiTheme="majorBidi" w:cstheme="majorBidi"/>
          <w:szCs w:val="24"/>
        </w:rPr>
        <w:t xml:space="preserve">The Agency activities </w:t>
      </w:r>
      <w:r w:rsidRPr="00265B3F">
        <w:rPr>
          <w:rFonts w:asciiTheme="majorBidi" w:hAnsiTheme="majorBidi" w:cstheme="majorBidi"/>
          <w:szCs w:val="24"/>
        </w:rPr>
        <w:t xml:space="preserve">associated with the </w:t>
      </w:r>
      <w:r w:rsidR="00CE522C">
        <w:rPr>
          <w:rFonts w:asciiTheme="majorBidi" w:hAnsiTheme="majorBidi" w:cstheme="majorBidi"/>
          <w:szCs w:val="24"/>
        </w:rPr>
        <w:t>final</w:t>
      </w:r>
      <w:r w:rsidRPr="00265B3F">
        <w:rPr>
          <w:rFonts w:asciiTheme="majorBidi" w:hAnsiTheme="majorBidi" w:cstheme="majorBidi"/>
          <w:szCs w:val="24"/>
        </w:rPr>
        <w:t xml:space="preserve"> amendments to the </w:t>
      </w:r>
      <w:r w:rsidR="001B3690" w:rsidRPr="00265B3F">
        <w:rPr>
          <w:rFonts w:asciiTheme="majorBidi" w:hAnsiTheme="majorBidi" w:cstheme="majorBidi"/>
          <w:szCs w:val="24"/>
        </w:rPr>
        <w:t xml:space="preserve">Portland </w:t>
      </w:r>
      <w:r w:rsidR="000926B5" w:rsidRPr="00265B3F">
        <w:rPr>
          <w:rFonts w:asciiTheme="majorBidi" w:hAnsiTheme="majorBidi" w:cstheme="majorBidi"/>
          <w:szCs w:val="24"/>
        </w:rPr>
        <w:t>Cement</w:t>
      </w:r>
      <w:r w:rsidR="001B3690" w:rsidRPr="00265B3F">
        <w:rPr>
          <w:rFonts w:asciiTheme="majorBidi" w:hAnsiTheme="majorBidi" w:cstheme="majorBidi"/>
          <w:szCs w:val="24"/>
        </w:rPr>
        <w:t xml:space="preserve"> Manufacturing </w:t>
      </w:r>
      <w:r w:rsidRPr="00265B3F">
        <w:rPr>
          <w:rFonts w:asciiTheme="majorBidi" w:hAnsiTheme="majorBidi" w:cstheme="majorBidi"/>
          <w:szCs w:val="24"/>
        </w:rPr>
        <w:t xml:space="preserve">NESHAP are provided in Table </w:t>
      </w:r>
      <w:r w:rsidR="000309DB">
        <w:rPr>
          <w:rFonts w:asciiTheme="majorBidi" w:hAnsiTheme="majorBidi" w:cstheme="majorBidi"/>
          <w:szCs w:val="24"/>
        </w:rPr>
        <w:t>2</w:t>
      </w:r>
      <w:r w:rsidR="000309DB" w:rsidRPr="00265B3F">
        <w:rPr>
          <w:rFonts w:asciiTheme="majorBidi" w:hAnsiTheme="majorBidi" w:cstheme="majorBidi"/>
          <w:szCs w:val="24"/>
        </w:rPr>
        <w:t xml:space="preserve"> </w:t>
      </w:r>
      <w:r w:rsidRPr="00265B3F">
        <w:rPr>
          <w:rFonts w:asciiTheme="majorBidi" w:hAnsiTheme="majorBidi" w:cstheme="majorBidi"/>
          <w:szCs w:val="24"/>
        </w:rPr>
        <w:t xml:space="preserve">and are introduced in section 6(c). </w:t>
      </w:r>
    </w:p>
    <w:p w:rsidR="00576D07" w:rsidRPr="00265B3F" w:rsidRDefault="00576D07" w:rsidP="00C50FFE">
      <w:pPr>
        <w:pStyle w:val="Heading2"/>
        <w:spacing w:before="0" w:after="0" w:line="360" w:lineRule="auto"/>
        <w:rPr>
          <w:rFonts w:asciiTheme="majorBidi" w:hAnsiTheme="majorBidi" w:cstheme="majorBidi"/>
          <w:i/>
          <w:iCs w:val="0"/>
          <w:szCs w:val="24"/>
        </w:rPr>
      </w:pPr>
      <w:r w:rsidRPr="00265B3F">
        <w:rPr>
          <w:rFonts w:asciiTheme="majorBidi" w:hAnsiTheme="majorBidi" w:cstheme="majorBidi"/>
          <w:i/>
          <w:iCs w:val="0"/>
          <w:szCs w:val="24"/>
        </w:rPr>
        <w:t>(b)</w:t>
      </w:r>
      <w:r w:rsidRPr="00265B3F">
        <w:rPr>
          <w:rFonts w:asciiTheme="majorBidi" w:hAnsiTheme="majorBidi" w:cstheme="majorBidi"/>
          <w:i/>
          <w:iCs w:val="0"/>
          <w:szCs w:val="24"/>
        </w:rPr>
        <w:tab/>
        <w:t>Collection Methodology and Management</w:t>
      </w:r>
    </w:p>
    <w:p w:rsidR="00106BA9" w:rsidRPr="008842AD" w:rsidRDefault="00106BA9" w:rsidP="00C50FFE">
      <w:pPr>
        <w:spacing w:line="360" w:lineRule="auto"/>
        <w:rPr>
          <w:rFonts w:asciiTheme="majorBidi" w:hAnsiTheme="majorBidi" w:cstheme="majorBidi"/>
          <w:szCs w:val="24"/>
        </w:rPr>
      </w:pPr>
      <w:r w:rsidRPr="00265B3F">
        <w:rPr>
          <w:rFonts w:asciiTheme="majorBidi" w:hAnsiTheme="majorBidi" w:cstheme="majorBidi"/>
          <w:szCs w:val="24"/>
        </w:rPr>
        <w:tab/>
        <w:t>Data and records maintained by the respondents</w:t>
      </w:r>
      <w:r w:rsidRPr="008842AD">
        <w:rPr>
          <w:rFonts w:asciiTheme="majorBidi" w:hAnsiTheme="majorBidi" w:cstheme="majorBidi"/>
          <w:szCs w:val="24"/>
        </w:rPr>
        <w:t xml:space="preserve"> are tabulated and published for use in compliance and enforcement programs of the delegated permitting authority. The EPA is the permitting authority until the state or local agency is delegated authority to implement the final amendments to the rule. Therefore, information contained in any report submitted to the Regional Administrator will be entered into the Air Facility System (AFS), which is operated and maintained by the EPA’s Office of Compliance. AFS is the EPA’s database for the collection, maintenance, and retrieval of compliance data for approximately 125,000 industrial and government-owned facilities. The EPA uses the AFS for tracking air pollution compliance and enforcement by local and state regulatory agencies, EPA regional offices and EPA headquarters. The EPA and its delegated authorities can edit, store, retrieve and analyze the compliance data.</w:t>
      </w:r>
    </w:p>
    <w:p w:rsidR="00576D07" w:rsidRPr="008842AD" w:rsidRDefault="00106BA9"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 xml:space="preserve"> </w:t>
      </w:r>
      <w:r w:rsidR="00576D07" w:rsidRPr="008842AD">
        <w:rPr>
          <w:rFonts w:asciiTheme="majorBidi" w:hAnsiTheme="majorBidi" w:cstheme="majorBidi"/>
          <w:i/>
          <w:iCs w:val="0"/>
          <w:szCs w:val="24"/>
        </w:rPr>
        <w:t>(c)</w:t>
      </w:r>
      <w:r w:rsidR="00576D07" w:rsidRPr="008842AD">
        <w:rPr>
          <w:rFonts w:asciiTheme="majorBidi" w:hAnsiTheme="majorBidi" w:cstheme="majorBidi"/>
          <w:i/>
          <w:iCs w:val="0"/>
          <w:szCs w:val="24"/>
        </w:rPr>
        <w:tab/>
        <w:t>Small Entity Flexibility</w:t>
      </w:r>
    </w:p>
    <w:p w:rsidR="0052403B" w:rsidRPr="008842AD" w:rsidRDefault="0052403B"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There is a distribution of business sizes for the business that operate portland cement plants. A majority of the affected plants are large entities (e.g., large businesses). However, the impact on potential small entities (i.e., small business) was taken into consideration during the development of the regulation. One consideration in the development of the </w:t>
      </w:r>
      <w:r w:rsidR="00CE522C">
        <w:rPr>
          <w:rFonts w:asciiTheme="majorBidi" w:hAnsiTheme="majorBidi" w:cstheme="majorBidi"/>
          <w:szCs w:val="24"/>
        </w:rPr>
        <w:t>final</w:t>
      </w:r>
      <w:r w:rsidRPr="008842AD">
        <w:rPr>
          <w:rFonts w:asciiTheme="majorBidi" w:hAnsiTheme="majorBidi" w:cstheme="majorBidi"/>
          <w:szCs w:val="24"/>
        </w:rPr>
        <w:t xml:space="preserve"> rule was that </w:t>
      </w:r>
      <w:r w:rsidRPr="008842AD">
        <w:rPr>
          <w:rFonts w:asciiTheme="majorBidi" w:hAnsiTheme="majorBidi" w:cstheme="majorBidi"/>
          <w:szCs w:val="24"/>
        </w:rPr>
        <w:lastRenderedPageBreak/>
        <w:t>the size of the business does not necessarily correlate with emissions potential. Even a small entity can and do</w:t>
      </w:r>
      <w:r w:rsidR="00C24B28" w:rsidRPr="008842AD">
        <w:rPr>
          <w:rFonts w:asciiTheme="majorBidi" w:hAnsiTheme="majorBidi" w:cstheme="majorBidi"/>
          <w:szCs w:val="24"/>
        </w:rPr>
        <w:t>es</w:t>
      </w:r>
      <w:r w:rsidRPr="008842AD">
        <w:rPr>
          <w:rFonts w:asciiTheme="majorBidi" w:hAnsiTheme="majorBidi" w:cstheme="majorBidi"/>
          <w:szCs w:val="24"/>
        </w:rPr>
        <w:t xml:space="preserve"> operate cement kilns that emit large quantities of HAP. Due to technical considerations involving the process operation and the types of control equipment employed, the recordkeeping and reporting requirements are the same for both small and large entities. The agency considers these requirements the minimum needed to ensure compliance and, therefore, cannot reduce them further for small entities. To the extent that larger business can use economies of scale to reduce their burden, the overall burden will be reduced. </w:t>
      </w:r>
    </w:p>
    <w:p w:rsidR="00576D07" w:rsidRPr="00265B3F" w:rsidRDefault="00576D07"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(d)</w:t>
      </w:r>
      <w:r w:rsidR="008D1F9D" w:rsidRPr="008842AD">
        <w:rPr>
          <w:rFonts w:asciiTheme="majorBidi" w:hAnsiTheme="majorBidi" w:cstheme="majorBidi"/>
          <w:i/>
          <w:iCs w:val="0"/>
          <w:szCs w:val="24"/>
        </w:rPr>
        <w:tab/>
      </w:r>
      <w:r w:rsidRPr="00265B3F">
        <w:rPr>
          <w:rFonts w:asciiTheme="majorBidi" w:hAnsiTheme="majorBidi" w:cstheme="majorBidi"/>
          <w:i/>
          <w:iCs w:val="0"/>
          <w:szCs w:val="24"/>
        </w:rPr>
        <w:t>Collection Schedule</w:t>
      </w:r>
    </w:p>
    <w:p w:rsidR="00180971" w:rsidRPr="00265B3F" w:rsidRDefault="00180971" w:rsidP="00C50FFE">
      <w:pPr>
        <w:pStyle w:val="Para"/>
        <w:spacing w:after="0" w:line="360" w:lineRule="auto"/>
        <w:rPr>
          <w:rFonts w:asciiTheme="majorBidi" w:hAnsiTheme="majorBidi" w:cstheme="majorBidi"/>
          <w:b/>
          <w:bCs/>
          <w:szCs w:val="24"/>
        </w:rPr>
      </w:pPr>
      <w:r w:rsidRPr="00265B3F">
        <w:rPr>
          <w:rFonts w:asciiTheme="majorBidi" w:hAnsiTheme="majorBidi" w:cstheme="majorBidi"/>
          <w:szCs w:val="24"/>
        </w:rPr>
        <w:t xml:space="preserve">The specific frequency for each information collection activity within this request is shown in </w:t>
      </w:r>
      <w:r w:rsidR="001B3690" w:rsidRPr="00265B3F">
        <w:rPr>
          <w:rFonts w:asciiTheme="majorBidi" w:hAnsiTheme="majorBidi" w:cstheme="majorBidi"/>
          <w:szCs w:val="24"/>
        </w:rPr>
        <w:t>Table</w:t>
      </w:r>
      <w:r w:rsidRPr="00265B3F">
        <w:rPr>
          <w:rFonts w:asciiTheme="majorBidi" w:hAnsiTheme="majorBidi" w:cstheme="majorBidi"/>
          <w:szCs w:val="24"/>
        </w:rPr>
        <w:t xml:space="preserve"> </w:t>
      </w:r>
      <w:r w:rsidR="000309DB">
        <w:rPr>
          <w:rFonts w:asciiTheme="majorBidi" w:hAnsiTheme="majorBidi" w:cstheme="majorBidi"/>
          <w:szCs w:val="24"/>
        </w:rPr>
        <w:t>1</w:t>
      </w:r>
      <w:r w:rsidRPr="00265B3F">
        <w:rPr>
          <w:rFonts w:asciiTheme="majorBidi" w:hAnsiTheme="majorBidi" w:cstheme="majorBidi"/>
          <w:b/>
          <w:bCs/>
          <w:szCs w:val="24"/>
        </w:rPr>
        <w:t>.</w:t>
      </w:r>
    </w:p>
    <w:p w:rsidR="00D772CE" w:rsidRPr="00265B3F" w:rsidRDefault="00D772CE" w:rsidP="00C50FFE">
      <w:pPr>
        <w:pStyle w:val="Heading1"/>
        <w:spacing w:before="0" w:after="0" w:line="360" w:lineRule="auto"/>
        <w:rPr>
          <w:rFonts w:asciiTheme="majorBidi" w:hAnsiTheme="majorBidi" w:cstheme="majorBidi"/>
          <w:szCs w:val="24"/>
        </w:rPr>
      </w:pPr>
      <w:r w:rsidRPr="00265B3F">
        <w:rPr>
          <w:rFonts w:asciiTheme="majorBidi" w:hAnsiTheme="majorBidi" w:cstheme="majorBidi"/>
          <w:szCs w:val="24"/>
        </w:rPr>
        <w:t>6.</w:t>
      </w:r>
      <w:r w:rsidRPr="00265B3F">
        <w:rPr>
          <w:rFonts w:asciiTheme="majorBidi" w:hAnsiTheme="majorBidi" w:cstheme="majorBidi"/>
          <w:szCs w:val="24"/>
        </w:rPr>
        <w:tab/>
        <w:t>Estimating the Burden and Cost of the Collection</w:t>
      </w:r>
    </w:p>
    <w:p w:rsidR="00106BA9" w:rsidRPr="00265B3F" w:rsidRDefault="00106BA9" w:rsidP="00C50FFE">
      <w:pPr>
        <w:keepNext/>
        <w:tabs>
          <w:tab w:val="left" w:pos="720"/>
        </w:tabs>
        <w:spacing w:line="360" w:lineRule="auto"/>
        <w:ind w:left="720" w:hanging="720"/>
        <w:rPr>
          <w:rFonts w:asciiTheme="majorBidi" w:hAnsiTheme="majorBidi" w:cstheme="majorBidi"/>
          <w:szCs w:val="24"/>
        </w:rPr>
      </w:pPr>
      <w:r w:rsidRPr="00265B3F">
        <w:rPr>
          <w:rFonts w:asciiTheme="majorBidi" w:hAnsiTheme="majorBidi" w:cstheme="majorBidi"/>
          <w:i/>
          <w:iCs/>
          <w:szCs w:val="24"/>
        </w:rPr>
        <w:t>(a)</w:t>
      </w:r>
      <w:r w:rsidRPr="00265B3F">
        <w:rPr>
          <w:rFonts w:asciiTheme="majorBidi" w:hAnsiTheme="majorBidi" w:cstheme="majorBidi"/>
          <w:i/>
          <w:iCs/>
          <w:szCs w:val="24"/>
        </w:rPr>
        <w:tab/>
        <w:t>Estimating Respondent Burden.</w:t>
      </w:r>
    </w:p>
    <w:p w:rsidR="00C70366" w:rsidRPr="00265B3F" w:rsidRDefault="00106BA9" w:rsidP="00C50FFE">
      <w:pPr>
        <w:pStyle w:val="Para"/>
        <w:spacing w:after="0" w:line="360" w:lineRule="auto"/>
        <w:rPr>
          <w:rFonts w:asciiTheme="majorBidi" w:hAnsiTheme="majorBidi" w:cstheme="majorBidi"/>
          <w:szCs w:val="24"/>
        </w:rPr>
      </w:pPr>
      <w:r w:rsidRPr="00265B3F">
        <w:rPr>
          <w:rFonts w:asciiTheme="majorBidi" w:hAnsiTheme="majorBidi" w:cstheme="majorBidi"/>
          <w:szCs w:val="24"/>
        </w:rPr>
        <w:t xml:space="preserve">The annual burden estimates for the </w:t>
      </w:r>
      <w:r w:rsidR="00CE522C">
        <w:rPr>
          <w:rFonts w:asciiTheme="majorBidi" w:hAnsiTheme="majorBidi" w:cstheme="majorBidi"/>
          <w:szCs w:val="24"/>
        </w:rPr>
        <w:t>final</w:t>
      </w:r>
      <w:r w:rsidRPr="00265B3F">
        <w:rPr>
          <w:rFonts w:asciiTheme="majorBidi" w:hAnsiTheme="majorBidi" w:cstheme="majorBidi"/>
          <w:szCs w:val="24"/>
        </w:rPr>
        <w:t xml:space="preserve"> amendments to the Portland Cement Manufacturing NESHAP are shown in Table </w:t>
      </w:r>
      <w:r w:rsidR="000309DB">
        <w:rPr>
          <w:rFonts w:asciiTheme="majorBidi" w:hAnsiTheme="majorBidi" w:cstheme="majorBidi"/>
          <w:szCs w:val="24"/>
        </w:rPr>
        <w:t>1</w:t>
      </w:r>
      <w:r w:rsidRPr="00265B3F">
        <w:rPr>
          <w:rFonts w:asciiTheme="majorBidi" w:hAnsiTheme="majorBidi" w:cstheme="majorBidi"/>
          <w:szCs w:val="24"/>
        </w:rPr>
        <w:t xml:space="preserve">. These numbers were derived from estimates based on the EPA’s experience with other standards. </w:t>
      </w:r>
      <w:r w:rsidR="00C70366" w:rsidRPr="00265B3F">
        <w:rPr>
          <w:rFonts w:asciiTheme="majorBidi" w:hAnsiTheme="majorBidi" w:cstheme="majorBidi"/>
          <w:szCs w:val="24"/>
        </w:rPr>
        <w:t xml:space="preserve">These hours are based on Agency studies and background documents from the development of the regulation, Agency knowledge, and experience with the </w:t>
      </w:r>
      <w:r w:rsidR="00110F58" w:rsidRPr="00265B3F">
        <w:rPr>
          <w:rFonts w:asciiTheme="majorBidi" w:hAnsiTheme="majorBidi" w:cstheme="majorBidi"/>
          <w:szCs w:val="24"/>
        </w:rPr>
        <w:t>NESHAP</w:t>
      </w:r>
      <w:r w:rsidR="00C70366" w:rsidRPr="00265B3F">
        <w:rPr>
          <w:rFonts w:asciiTheme="majorBidi" w:hAnsiTheme="majorBidi" w:cstheme="majorBidi"/>
          <w:szCs w:val="24"/>
        </w:rPr>
        <w:t xml:space="preserve"> program, the previously approved ICR, and any comments received.</w:t>
      </w:r>
    </w:p>
    <w:p w:rsidR="00C70366" w:rsidRPr="00265B3F" w:rsidRDefault="00C70366" w:rsidP="00C50FFE">
      <w:pPr>
        <w:pStyle w:val="Heading2"/>
        <w:spacing w:before="0" w:after="0" w:line="360" w:lineRule="auto"/>
        <w:rPr>
          <w:rFonts w:asciiTheme="majorBidi" w:hAnsiTheme="majorBidi" w:cstheme="majorBidi"/>
          <w:szCs w:val="24"/>
        </w:rPr>
      </w:pPr>
      <w:r w:rsidRPr="00265B3F">
        <w:rPr>
          <w:rFonts w:asciiTheme="majorBidi" w:hAnsiTheme="majorBidi" w:cstheme="majorBidi"/>
          <w:i/>
          <w:iCs w:val="0"/>
          <w:szCs w:val="24"/>
        </w:rPr>
        <w:t>(b)</w:t>
      </w:r>
      <w:r w:rsidRPr="00265B3F">
        <w:rPr>
          <w:rFonts w:asciiTheme="majorBidi" w:hAnsiTheme="majorBidi" w:cstheme="majorBidi"/>
          <w:i/>
          <w:iCs w:val="0"/>
          <w:szCs w:val="24"/>
        </w:rPr>
        <w:tab/>
        <w:t>Estimating Respondent Costs</w:t>
      </w:r>
    </w:p>
    <w:p w:rsidR="001B3690" w:rsidRPr="008842AD" w:rsidRDefault="00FD1AFF" w:rsidP="00C50FFE">
      <w:pPr>
        <w:pStyle w:val="Para"/>
        <w:spacing w:after="0" w:line="360" w:lineRule="auto"/>
        <w:rPr>
          <w:rFonts w:asciiTheme="majorBidi" w:hAnsiTheme="majorBidi" w:cstheme="majorBidi"/>
          <w:szCs w:val="24"/>
        </w:rPr>
      </w:pPr>
      <w:r w:rsidRPr="00265B3F">
        <w:rPr>
          <w:rFonts w:asciiTheme="majorBidi" w:hAnsiTheme="majorBidi" w:cstheme="majorBidi"/>
          <w:i/>
          <w:iCs/>
          <w:szCs w:val="24"/>
        </w:rPr>
        <w:t xml:space="preserve"> </w:t>
      </w:r>
      <w:r w:rsidR="00C70366" w:rsidRPr="00265B3F">
        <w:rPr>
          <w:rFonts w:asciiTheme="majorBidi" w:hAnsiTheme="majorBidi" w:cstheme="majorBidi"/>
          <w:i/>
          <w:iCs/>
          <w:szCs w:val="24"/>
        </w:rPr>
        <w:t>(i)</w:t>
      </w:r>
      <w:r w:rsidR="005922C3" w:rsidRPr="00265B3F">
        <w:rPr>
          <w:rFonts w:asciiTheme="majorBidi" w:hAnsiTheme="majorBidi" w:cstheme="majorBidi"/>
          <w:i/>
          <w:iCs/>
          <w:szCs w:val="24"/>
        </w:rPr>
        <w:tab/>
      </w:r>
      <w:r w:rsidR="00C70366" w:rsidRPr="00265B3F">
        <w:rPr>
          <w:rFonts w:asciiTheme="majorBidi" w:hAnsiTheme="majorBidi" w:cstheme="majorBidi"/>
          <w:i/>
          <w:iCs/>
          <w:szCs w:val="24"/>
        </w:rPr>
        <w:t>Estimating Labor Costs</w:t>
      </w:r>
      <w:r w:rsidRPr="00265B3F">
        <w:rPr>
          <w:rFonts w:asciiTheme="majorBidi" w:hAnsiTheme="majorBidi" w:cstheme="majorBidi"/>
          <w:i/>
          <w:iCs/>
          <w:szCs w:val="24"/>
        </w:rPr>
        <w:t xml:space="preserve">. </w:t>
      </w:r>
      <w:r w:rsidR="001B3690" w:rsidRPr="00265B3F">
        <w:rPr>
          <w:rFonts w:asciiTheme="majorBidi" w:hAnsiTheme="majorBidi" w:cstheme="majorBidi"/>
          <w:szCs w:val="24"/>
        </w:rPr>
        <w:t xml:space="preserve">Table </w:t>
      </w:r>
      <w:r w:rsidR="000309DB">
        <w:rPr>
          <w:rFonts w:asciiTheme="majorBidi" w:hAnsiTheme="majorBidi" w:cstheme="majorBidi"/>
          <w:szCs w:val="24"/>
        </w:rPr>
        <w:t>1</w:t>
      </w:r>
      <w:r w:rsidR="000309DB" w:rsidRPr="008842AD">
        <w:rPr>
          <w:rFonts w:asciiTheme="majorBidi" w:hAnsiTheme="majorBidi" w:cstheme="majorBidi"/>
          <w:szCs w:val="24"/>
        </w:rPr>
        <w:t xml:space="preserve"> </w:t>
      </w:r>
      <w:r w:rsidR="001B3690" w:rsidRPr="008842AD">
        <w:rPr>
          <w:rFonts w:asciiTheme="majorBidi" w:hAnsiTheme="majorBidi" w:cstheme="majorBidi"/>
          <w:szCs w:val="24"/>
        </w:rPr>
        <w:t>presents estimated costs for the required data collection activities. Labor rates and associated costs are based on Bureau of Labor Statistics (BLS) data. Technical, management and clerical average hourly rates for private industry workers and were taken from the United States Department of Labor, Bureau of Labor Statistics, September 2011, “Table 2. Civilian Workers, by occupational and industry group,” available at www.bls.gov/news.release/ecec.t02.htm. Wages for occupational groups are used as the basis for the labor rates with a total compensation of $47.21 per hour for technical, $57.82 per hour for managerial and $23.72 per hour for clerical. These rates represent salaries plus fringe benefits and do not include the cost of overhead. An overhead rate of 110 percent is used to account for these costs. The fully-burdened hourly wage rates used to represent respondent labor costs are: technical at $99.14, management at $121.42 and clerical at $49.81.</w:t>
      </w:r>
    </w:p>
    <w:p w:rsidR="00FD1AFF" w:rsidRPr="008842AD" w:rsidRDefault="001B3690" w:rsidP="004A724B">
      <w:pPr>
        <w:pStyle w:val="Heading2"/>
        <w:spacing w:before="0" w:after="0" w:line="360" w:lineRule="auto"/>
        <w:ind w:left="0" w:firstLine="720"/>
        <w:rPr>
          <w:rFonts w:asciiTheme="majorBidi" w:hAnsiTheme="majorBidi" w:cstheme="majorBidi"/>
          <w:szCs w:val="24"/>
        </w:rPr>
      </w:pPr>
      <w:r w:rsidRPr="008842AD">
        <w:rPr>
          <w:rFonts w:asciiTheme="majorBidi" w:hAnsiTheme="majorBidi" w:cstheme="majorBidi"/>
          <w:i/>
          <w:iCs w:val="0"/>
          <w:szCs w:val="24"/>
        </w:rPr>
        <w:lastRenderedPageBreak/>
        <w:t xml:space="preserve"> </w:t>
      </w:r>
      <w:r w:rsidR="00C70366" w:rsidRPr="008842AD">
        <w:rPr>
          <w:rFonts w:asciiTheme="majorBidi" w:hAnsiTheme="majorBidi" w:cstheme="majorBidi"/>
          <w:i/>
          <w:iCs w:val="0"/>
          <w:szCs w:val="24"/>
        </w:rPr>
        <w:t>(ii)</w:t>
      </w:r>
      <w:r w:rsidR="005170B7" w:rsidRPr="008842AD">
        <w:rPr>
          <w:rFonts w:asciiTheme="majorBidi" w:hAnsiTheme="majorBidi" w:cstheme="majorBidi"/>
          <w:i/>
          <w:iCs w:val="0"/>
          <w:szCs w:val="24"/>
        </w:rPr>
        <w:tab/>
      </w:r>
      <w:r w:rsidR="00C70366" w:rsidRPr="008842AD">
        <w:rPr>
          <w:rFonts w:asciiTheme="majorBidi" w:hAnsiTheme="majorBidi" w:cstheme="majorBidi"/>
          <w:i/>
          <w:iCs w:val="0"/>
          <w:szCs w:val="24"/>
        </w:rPr>
        <w:t>Estimating Capital Costs</w:t>
      </w:r>
      <w:r w:rsidR="00FD1AFF" w:rsidRPr="008842AD">
        <w:rPr>
          <w:rFonts w:asciiTheme="majorBidi" w:hAnsiTheme="majorBidi" w:cstheme="majorBidi"/>
          <w:i/>
          <w:iCs w:val="0"/>
          <w:szCs w:val="24"/>
        </w:rPr>
        <w:t xml:space="preserve"> and Operations and Maintenance (O&amp;M) Costs.</w:t>
      </w:r>
      <w:r w:rsidR="00FD1AFF" w:rsidRPr="008842AD">
        <w:rPr>
          <w:rFonts w:asciiTheme="majorBidi" w:hAnsiTheme="majorBidi" w:cstheme="majorBidi"/>
          <w:szCs w:val="24"/>
        </w:rPr>
        <w:t xml:space="preserve"> Capital costs are estimated at $</w:t>
      </w:r>
      <w:r w:rsidR="00F73D3F">
        <w:rPr>
          <w:rFonts w:asciiTheme="majorBidi" w:hAnsiTheme="majorBidi" w:cstheme="majorBidi"/>
          <w:szCs w:val="24"/>
        </w:rPr>
        <w:t>35,780</w:t>
      </w:r>
      <w:r w:rsidR="00FD1AFF" w:rsidRPr="008842AD">
        <w:rPr>
          <w:rFonts w:asciiTheme="majorBidi" w:hAnsiTheme="majorBidi" w:cstheme="majorBidi"/>
          <w:szCs w:val="24"/>
        </w:rPr>
        <w:t xml:space="preserve"> per </w:t>
      </w:r>
      <w:r w:rsidR="004A724B">
        <w:rPr>
          <w:rFonts w:asciiTheme="majorBidi" w:hAnsiTheme="majorBidi" w:cstheme="majorBidi"/>
          <w:szCs w:val="24"/>
        </w:rPr>
        <w:t>kiln for purchase and installation of a flow monitoring device</w:t>
      </w:r>
      <w:r w:rsidR="00880443">
        <w:rPr>
          <w:rFonts w:asciiTheme="majorBidi" w:hAnsiTheme="majorBidi" w:cstheme="majorBidi"/>
          <w:szCs w:val="24"/>
        </w:rPr>
        <w:t xml:space="preserve"> for coal mills with stand alone stacks</w:t>
      </w:r>
      <w:r w:rsidR="004A724B">
        <w:rPr>
          <w:rFonts w:asciiTheme="majorBidi" w:hAnsiTheme="majorBidi" w:cstheme="majorBidi"/>
          <w:szCs w:val="24"/>
        </w:rPr>
        <w:t xml:space="preserve"> and $</w:t>
      </w:r>
      <w:r w:rsidR="00F15DFB">
        <w:rPr>
          <w:rFonts w:asciiTheme="majorBidi" w:hAnsiTheme="majorBidi" w:cstheme="majorBidi"/>
          <w:szCs w:val="24"/>
        </w:rPr>
        <w:t>50</w:t>
      </w:r>
      <w:r w:rsidR="004A724B">
        <w:rPr>
          <w:rFonts w:asciiTheme="majorBidi" w:hAnsiTheme="majorBidi" w:cstheme="majorBidi"/>
          <w:szCs w:val="24"/>
        </w:rPr>
        <w:t xml:space="preserve">,800 per kiln </w:t>
      </w:r>
      <w:r w:rsidR="00F57B64">
        <w:rPr>
          <w:rFonts w:asciiTheme="majorBidi" w:hAnsiTheme="majorBidi" w:cstheme="majorBidi"/>
          <w:szCs w:val="24"/>
        </w:rPr>
        <w:t>for HCl</w:t>
      </w:r>
      <w:r w:rsidR="00F15DFB">
        <w:rPr>
          <w:rFonts w:asciiTheme="majorBidi" w:hAnsiTheme="majorBidi" w:cstheme="majorBidi"/>
          <w:szCs w:val="24"/>
        </w:rPr>
        <w:t xml:space="preserve">, </w:t>
      </w:r>
      <w:r w:rsidR="004A724B">
        <w:rPr>
          <w:rFonts w:asciiTheme="majorBidi" w:hAnsiTheme="majorBidi" w:cstheme="majorBidi"/>
          <w:szCs w:val="24"/>
        </w:rPr>
        <w:t>THC and Hg testing</w:t>
      </w:r>
      <w:r w:rsidR="00FD1AFF" w:rsidRPr="008842AD">
        <w:rPr>
          <w:rFonts w:asciiTheme="majorBidi" w:hAnsiTheme="majorBidi" w:cstheme="majorBidi"/>
          <w:szCs w:val="24"/>
        </w:rPr>
        <w:t xml:space="preserve">. Facilities would also incur O&amp;M costs </w:t>
      </w:r>
      <w:r w:rsidR="00F15DFB">
        <w:rPr>
          <w:rFonts w:asciiTheme="majorBidi" w:hAnsiTheme="majorBidi" w:cstheme="majorBidi"/>
          <w:szCs w:val="24"/>
        </w:rPr>
        <w:t xml:space="preserve">for flow meters </w:t>
      </w:r>
      <w:r w:rsidR="00FD1AFF" w:rsidRPr="008842AD">
        <w:rPr>
          <w:rFonts w:asciiTheme="majorBidi" w:hAnsiTheme="majorBidi" w:cstheme="majorBidi"/>
          <w:szCs w:val="24"/>
        </w:rPr>
        <w:t>of $</w:t>
      </w:r>
      <w:r w:rsidR="007F2470">
        <w:rPr>
          <w:rFonts w:asciiTheme="majorBidi" w:hAnsiTheme="majorBidi" w:cstheme="majorBidi"/>
          <w:szCs w:val="24"/>
        </w:rPr>
        <w:t>2,589</w:t>
      </w:r>
      <w:r w:rsidR="00FD1AFF" w:rsidRPr="008842AD">
        <w:rPr>
          <w:rFonts w:asciiTheme="majorBidi" w:hAnsiTheme="majorBidi" w:cstheme="majorBidi"/>
          <w:szCs w:val="24"/>
        </w:rPr>
        <w:t xml:space="preserve">/yr per facility as a result of the </w:t>
      </w:r>
      <w:r w:rsidR="00BB72E0">
        <w:rPr>
          <w:rFonts w:asciiTheme="majorBidi" w:hAnsiTheme="majorBidi" w:cstheme="majorBidi"/>
          <w:szCs w:val="24"/>
        </w:rPr>
        <w:t>final</w:t>
      </w:r>
      <w:r w:rsidR="00BB72E0" w:rsidRPr="008842AD">
        <w:rPr>
          <w:rFonts w:asciiTheme="majorBidi" w:hAnsiTheme="majorBidi" w:cstheme="majorBidi"/>
          <w:szCs w:val="24"/>
        </w:rPr>
        <w:t xml:space="preserve"> </w:t>
      </w:r>
      <w:r w:rsidR="00F15DFB">
        <w:rPr>
          <w:rFonts w:asciiTheme="majorBidi" w:hAnsiTheme="majorBidi" w:cstheme="majorBidi"/>
          <w:szCs w:val="24"/>
        </w:rPr>
        <w:t>a</w:t>
      </w:r>
      <w:r w:rsidR="00F15DFB" w:rsidRPr="008842AD">
        <w:rPr>
          <w:rFonts w:asciiTheme="majorBidi" w:hAnsiTheme="majorBidi" w:cstheme="majorBidi"/>
          <w:szCs w:val="24"/>
        </w:rPr>
        <w:t>mendments</w:t>
      </w:r>
      <w:r w:rsidR="00FD1AFF" w:rsidRPr="008842AD">
        <w:rPr>
          <w:rFonts w:asciiTheme="majorBidi" w:hAnsiTheme="majorBidi" w:cstheme="majorBidi"/>
          <w:szCs w:val="24"/>
        </w:rPr>
        <w:t xml:space="preserve">. </w:t>
      </w:r>
      <w:r w:rsidR="00F15DFB">
        <w:rPr>
          <w:rFonts w:asciiTheme="majorBidi" w:hAnsiTheme="majorBidi" w:cstheme="majorBidi"/>
          <w:szCs w:val="24"/>
        </w:rPr>
        <w:t>An estimated 26 kilns</w:t>
      </w:r>
      <w:r w:rsidR="004A724B">
        <w:rPr>
          <w:rFonts w:asciiTheme="majorBidi" w:hAnsiTheme="majorBidi" w:cstheme="majorBidi"/>
          <w:szCs w:val="24"/>
        </w:rPr>
        <w:t xml:space="preserve"> have integrated coal mills with stand alone stacks.</w:t>
      </w:r>
      <w:r w:rsidR="00F15DFB">
        <w:rPr>
          <w:rFonts w:asciiTheme="majorBidi" w:hAnsiTheme="majorBidi" w:cstheme="majorBidi"/>
          <w:szCs w:val="24"/>
        </w:rPr>
        <w:t xml:space="preserve"> </w:t>
      </w:r>
    </w:p>
    <w:p w:rsidR="000570A3" w:rsidRDefault="00C70366" w:rsidP="000570A3">
      <w:pPr>
        <w:pStyle w:val="Heading2"/>
        <w:spacing w:before="0" w:after="0" w:line="360" w:lineRule="auto"/>
        <w:ind w:left="0" w:firstLine="720"/>
        <w:rPr>
          <w:rFonts w:asciiTheme="majorBidi" w:hAnsiTheme="majorBidi" w:cstheme="majorBidi"/>
          <w:szCs w:val="24"/>
        </w:rPr>
      </w:pPr>
      <w:r w:rsidRPr="008842AD">
        <w:rPr>
          <w:rFonts w:asciiTheme="majorBidi" w:hAnsiTheme="majorBidi" w:cstheme="majorBidi"/>
          <w:i/>
          <w:iCs w:val="0"/>
          <w:szCs w:val="24"/>
        </w:rPr>
        <w:t>(i</w:t>
      </w:r>
      <w:r w:rsidR="005922C3" w:rsidRPr="008842AD">
        <w:rPr>
          <w:rFonts w:asciiTheme="majorBidi" w:hAnsiTheme="majorBidi" w:cstheme="majorBidi"/>
          <w:i/>
          <w:iCs w:val="0"/>
          <w:szCs w:val="24"/>
        </w:rPr>
        <w:t>v</w:t>
      </w:r>
      <w:r w:rsidRPr="008842AD">
        <w:rPr>
          <w:rFonts w:asciiTheme="majorBidi" w:hAnsiTheme="majorBidi" w:cstheme="majorBidi"/>
          <w:i/>
          <w:iCs w:val="0"/>
          <w:szCs w:val="24"/>
        </w:rPr>
        <w:t>)</w:t>
      </w:r>
      <w:r w:rsidR="005922C3" w:rsidRPr="008842AD">
        <w:rPr>
          <w:rFonts w:asciiTheme="majorBidi" w:hAnsiTheme="majorBidi" w:cstheme="majorBidi"/>
          <w:i/>
          <w:iCs w:val="0"/>
          <w:szCs w:val="24"/>
        </w:rPr>
        <w:tab/>
      </w:r>
      <w:r w:rsidRPr="008842AD">
        <w:rPr>
          <w:rFonts w:asciiTheme="majorBidi" w:hAnsiTheme="majorBidi" w:cstheme="majorBidi"/>
          <w:i/>
          <w:iCs w:val="0"/>
          <w:szCs w:val="24"/>
        </w:rPr>
        <w:t>Annualizing Capital Costs</w:t>
      </w:r>
      <w:r w:rsidR="00FD1AFF" w:rsidRPr="008842AD">
        <w:rPr>
          <w:rFonts w:asciiTheme="majorBidi" w:hAnsiTheme="majorBidi" w:cstheme="majorBidi"/>
          <w:szCs w:val="24"/>
        </w:rPr>
        <w:t xml:space="preserve">. </w:t>
      </w:r>
    </w:p>
    <w:p w:rsidR="00FD1AFF" w:rsidRPr="008842AD" w:rsidRDefault="00F15DFB" w:rsidP="000570A3">
      <w:pPr>
        <w:spacing w:line="360" w:lineRule="auto"/>
        <w:ind w:firstLine="720"/>
      </w:pPr>
      <w:r>
        <w:rPr>
          <w:rFonts w:asciiTheme="majorBidi" w:hAnsiTheme="majorBidi" w:cstheme="majorBidi"/>
          <w:szCs w:val="24"/>
        </w:rPr>
        <w:t xml:space="preserve"> </w:t>
      </w:r>
      <w:r w:rsidR="00FD1AFF" w:rsidRPr="008842AD">
        <w:t>Annualized capital costs are approximately $</w:t>
      </w:r>
      <w:r w:rsidR="00F73D3F">
        <w:t>11,275</w:t>
      </w:r>
      <w:r w:rsidR="00FD1AFF" w:rsidRPr="008842AD">
        <w:t>/</w:t>
      </w:r>
      <w:r w:rsidR="004A724B">
        <w:t>kiln</w:t>
      </w:r>
      <w:r w:rsidR="00FD1AFF" w:rsidRPr="008842AD">
        <w:t>.</w:t>
      </w:r>
      <w:r w:rsidR="004A724B">
        <w:t xml:space="preserve"> </w:t>
      </w:r>
      <w:r>
        <w:t>Twenty six (26) kilns</w:t>
      </w:r>
      <w:r w:rsidR="00B4226E">
        <w:t xml:space="preserve"> have integrated coal mills with stand alone stacks.</w:t>
      </w:r>
    </w:p>
    <w:p w:rsidR="00FD1AFF" w:rsidRPr="008842AD" w:rsidRDefault="00FD1AFF" w:rsidP="000570A3">
      <w:pPr>
        <w:pStyle w:val="Heading2"/>
        <w:spacing w:before="0" w:after="0" w:line="360" w:lineRule="auto"/>
        <w:ind w:left="0" w:firstLine="720"/>
        <w:rPr>
          <w:rFonts w:asciiTheme="majorBidi" w:hAnsiTheme="majorBidi" w:cstheme="majorBidi"/>
          <w:szCs w:val="24"/>
        </w:rPr>
      </w:pPr>
      <w:r w:rsidRPr="008842AD">
        <w:rPr>
          <w:rFonts w:asciiTheme="majorBidi" w:hAnsiTheme="majorBidi" w:cstheme="majorBidi"/>
          <w:i/>
          <w:szCs w:val="24"/>
        </w:rPr>
        <w:t>(iv)</w:t>
      </w:r>
      <w:r w:rsidRPr="008842AD">
        <w:rPr>
          <w:rFonts w:asciiTheme="majorBidi" w:hAnsiTheme="majorBidi" w:cstheme="majorBidi"/>
          <w:szCs w:val="24"/>
        </w:rPr>
        <w:t xml:space="preserve"> </w:t>
      </w:r>
      <w:r w:rsidRPr="008842AD">
        <w:rPr>
          <w:rFonts w:asciiTheme="majorBidi" w:hAnsiTheme="majorBidi" w:cstheme="majorBidi"/>
          <w:i/>
          <w:szCs w:val="24"/>
        </w:rPr>
        <w:t xml:space="preserve">Affirmative Defense/Root </w:t>
      </w:r>
      <w:proofErr w:type="gramStart"/>
      <w:r w:rsidRPr="008842AD">
        <w:rPr>
          <w:rFonts w:asciiTheme="majorBidi" w:hAnsiTheme="majorBidi" w:cstheme="majorBidi"/>
          <w:i/>
          <w:szCs w:val="24"/>
        </w:rPr>
        <w:t>Cause</w:t>
      </w:r>
      <w:proofErr w:type="gramEnd"/>
      <w:r w:rsidRPr="008842AD">
        <w:rPr>
          <w:rFonts w:asciiTheme="majorBidi" w:hAnsiTheme="majorBidi" w:cstheme="majorBidi"/>
          <w:i/>
          <w:szCs w:val="24"/>
        </w:rPr>
        <w:t xml:space="preserve"> Analysis/Malfunction</w:t>
      </w:r>
      <w:r w:rsidR="0025402F" w:rsidRPr="008842AD">
        <w:rPr>
          <w:rFonts w:asciiTheme="majorBidi" w:hAnsiTheme="majorBidi" w:cstheme="majorBidi"/>
          <w:i/>
          <w:szCs w:val="24"/>
        </w:rPr>
        <w:t xml:space="preserve"> </w:t>
      </w:r>
      <w:r w:rsidRPr="008842AD">
        <w:rPr>
          <w:rFonts w:asciiTheme="majorBidi" w:hAnsiTheme="majorBidi" w:cstheme="majorBidi"/>
          <w:i/>
          <w:szCs w:val="24"/>
        </w:rPr>
        <w:t xml:space="preserve">Costs. </w:t>
      </w:r>
      <w:r w:rsidRPr="008842AD">
        <w:rPr>
          <w:rFonts w:asciiTheme="majorBidi" w:hAnsiTheme="majorBidi" w:cstheme="majorBidi"/>
          <w:szCs w:val="24"/>
        </w:rPr>
        <w:t>The</w:t>
      </w:r>
      <w:r w:rsidRPr="008842AD">
        <w:rPr>
          <w:rFonts w:asciiTheme="majorBidi" w:hAnsiTheme="majorBidi" w:cstheme="majorBidi"/>
          <w:i/>
          <w:szCs w:val="24"/>
        </w:rPr>
        <w:t xml:space="preserve"> </w:t>
      </w:r>
      <w:r w:rsidRPr="008842AD">
        <w:rPr>
          <w:rFonts w:asciiTheme="majorBidi" w:hAnsiTheme="majorBidi" w:cstheme="majorBidi"/>
          <w:szCs w:val="24"/>
        </w:rPr>
        <w:t>EPA’s estimate for a root cause analysis is based on general experience to calculate the time and effort required of a source to review relevant data, interview plant employees and reconstruct the events prior to a malfunction in order to determine primary and contributing causes. The level of effort also includes time to produce and retain the report in document form so that the source will have it available should the EPA or state enforcement agencies ever request to review it.</w:t>
      </w:r>
    </w:p>
    <w:p w:rsidR="00D772CE" w:rsidRPr="008842AD" w:rsidRDefault="00FD1AFF"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 xml:space="preserve"> </w:t>
      </w:r>
      <w:r w:rsidR="00D772CE" w:rsidRPr="008842AD">
        <w:rPr>
          <w:rFonts w:asciiTheme="majorBidi" w:hAnsiTheme="majorBidi" w:cstheme="majorBidi"/>
          <w:i/>
          <w:iCs w:val="0"/>
          <w:szCs w:val="24"/>
        </w:rPr>
        <w:t>(c)</w:t>
      </w:r>
      <w:r w:rsidR="008C5BF2" w:rsidRPr="008842AD">
        <w:rPr>
          <w:rFonts w:asciiTheme="majorBidi" w:hAnsiTheme="majorBidi" w:cstheme="majorBidi"/>
          <w:i/>
          <w:iCs w:val="0"/>
          <w:szCs w:val="24"/>
        </w:rPr>
        <w:tab/>
      </w:r>
      <w:r w:rsidR="00D772CE" w:rsidRPr="008842AD">
        <w:rPr>
          <w:rFonts w:asciiTheme="majorBidi" w:hAnsiTheme="majorBidi" w:cstheme="majorBidi"/>
          <w:i/>
          <w:iCs w:val="0"/>
          <w:szCs w:val="24"/>
        </w:rPr>
        <w:t>Estimating Agency Burden and Cost</w:t>
      </w:r>
    </w:p>
    <w:p w:rsidR="00FD1AFF" w:rsidRPr="00265B3F" w:rsidRDefault="00FD1AFF"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Because the information collection requirements were developed as an incidental part of standards development, no costs can be attributed to the development of the information collection requirements. Because reporting and recordkeeping requirements on the part of the respondents are required under the operating permits rules in 40 CFR part 70 or part 71 and the part 63 NESHAP General Provisions, no operational costs will be incurred by the Federal Government. Publication and distribution of the information are part of the Compliance Data System, with the result that no Federal costs can be directly attributed to the ICR. Examination of records to be maintained by the respondents will occur incidentally as part of the periodic inspection of sources that is part of the EPA’s overall compliance and enforcement program, and, therefore, is not attributable to the ICR. The only costs that the Federal </w:t>
      </w:r>
      <w:r w:rsidRPr="00265B3F">
        <w:rPr>
          <w:rFonts w:asciiTheme="majorBidi" w:hAnsiTheme="majorBidi" w:cstheme="majorBidi"/>
          <w:szCs w:val="24"/>
        </w:rPr>
        <w:t xml:space="preserve">government will incur are user costs associated with the analysis of the reported information, as presented in Table </w:t>
      </w:r>
      <w:r w:rsidR="000309DB">
        <w:rPr>
          <w:rFonts w:asciiTheme="majorBidi" w:hAnsiTheme="majorBidi" w:cstheme="majorBidi"/>
          <w:szCs w:val="24"/>
        </w:rPr>
        <w:t>2</w:t>
      </w:r>
      <w:r w:rsidRPr="00265B3F">
        <w:rPr>
          <w:rFonts w:asciiTheme="majorBidi" w:hAnsiTheme="majorBidi" w:cstheme="majorBidi"/>
          <w:szCs w:val="24"/>
        </w:rPr>
        <w:t>.</w:t>
      </w:r>
    </w:p>
    <w:p w:rsidR="00FD1AFF" w:rsidRPr="008842AD" w:rsidRDefault="00FD1AFF" w:rsidP="00C50FFE">
      <w:pPr>
        <w:pStyle w:val="Para"/>
        <w:spacing w:after="0" w:line="360" w:lineRule="auto"/>
        <w:rPr>
          <w:rFonts w:asciiTheme="majorBidi" w:hAnsiTheme="majorBidi" w:cstheme="majorBidi"/>
          <w:szCs w:val="24"/>
        </w:rPr>
      </w:pPr>
      <w:r w:rsidRPr="00265B3F">
        <w:rPr>
          <w:rFonts w:asciiTheme="majorBidi" w:hAnsiTheme="majorBidi" w:cstheme="majorBidi"/>
          <w:szCs w:val="24"/>
        </w:rPr>
        <w:t>The Agency labor rates are from the Office of Personnel Management (OPM) 2012</w:t>
      </w:r>
      <w:r w:rsidRPr="008842AD">
        <w:rPr>
          <w:rFonts w:asciiTheme="majorBidi" w:hAnsiTheme="majorBidi" w:cstheme="majorBidi"/>
          <w:szCs w:val="24"/>
        </w:rPr>
        <w:t xml:space="preserve"> General Schedule, which excludes locality rates of pay. These rates can be obtained from Salary Table 2012-GS available on the OPM website, http://www.opm.gov/oca/12tables/pdf/gs_h.pdf. The government employee labor rates are $15.63/hour for clerical (GS-6, Step 3), $28.88 for technical (GS-12, Step 1) and $38.92/hr for management (GS-13, Step 5). These rates were </w:t>
      </w:r>
      <w:r w:rsidRPr="008842AD">
        <w:rPr>
          <w:rFonts w:asciiTheme="majorBidi" w:hAnsiTheme="majorBidi" w:cstheme="majorBidi"/>
          <w:szCs w:val="24"/>
        </w:rPr>
        <w:lastRenderedPageBreak/>
        <w:t xml:space="preserve">increased by 60 percent to include fringe benefits and overhead. The fully-burdened wage rates used to represent Agency labor costs are: clerical at $25.01/hour, technical at $46.21/hour and management at $62.27/hour. </w:t>
      </w:r>
    </w:p>
    <w:p w:rsidR="00EE5AC5" w:rsidRPr="008842AD" w:rsidRDefault="00D772CE" w:rsidP="00C50FFE">
      <w:pPr>
        <w:pStyle w:val="Heading2"/>
        <w:spacing w:before="0" w:after="0" w:line="360" w:lineRule="auto"/>
        <w:rPr>
          <w:rFonts w:asciiTheme="majorBidi" w:hAnsiTheme="majorBidi" w:cstheme="majorBidi"/>
          <w:szCs w:val="24"/>
        </w:rPr>
      </w:pPr>
      <w:r w:rsidRPr="008842AD">
        <w:rPr>
          <w:rFonts w:asciiTheme="majorBidi" w:hAnsiTheme="majorBidi" w:cstheme="majorBidi"/>
          <w:i/>
          <w:iCs w:val="0"/>
          <w:szCs w:val="24"/>
        </w:rPr>
        <w:t>(d) Estimating the Respondent Universe and Total Burden and Costs</w:t>
      </w:r>
      <w:r w:rsidRPr="008842AD">
        <w:rPr>
          <w:rFonts w:asciiTheme="majorBidi" w:hAnsiTheme="majorBidi" w:cstheme="majorBidi"/>
          <w:szCs w:val="24"/>
        </w:rPr>
        <w:t>.</w:t>
      </w:r>
    </w:p>
    <w:p w:rsidR="00EB46DF" w:rsidRPr="008842AD" w:rsidRDefault="00EB46DF" w:rsidP="00AC7A3C">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Approximately </w:t>
      </w:r>
      <w:r w:rsidR="00F15DFB">
        <w:rPr>
          <w:rFonts w:asciiTheme="majorBidi" w:hAnsiTheme="majorBidi" w:cstheme="majorBidi"/>
          <w:szCs w:val="24"/>
        </w:rPr>
        <w:t>87</w:t>
      </w:r>
      <w:r w:rsidR="00BE028A" w:rsidRPr="008842AD">
        <w:rPr>
          <w:rFonts w:asciiTheme="majorBidi" w:hAnsiTheme="majorBidi" w:cstheme="majorBidi"/>
          <w:szCs w:val="24"/>
        </w:rPr>
        <w:t xml:space="preserve"> </w:t>
      </w:r>
      <w:proofErr w:type="gramStart"/>
      <w:r w:rsidRPr="008842AD">
        <w:rPr>
          <w:rFonts w:asciiTheme="majorBidi" w:hAnsiTheme="majorBidi" w:cstheme="majorBidi"/>
          <w:szCs w:val="24"/>
        </w:rPr>
        <w:t>portland</w:t>
      </w:r>
      <w:proofErr w:type="gramEnd"/>
      <w:r w:rsidRPr="008842AD">
        <w:rPr>
          <w:rFonts w:asciiTheme="majorBidi" w:hAnsiTheme="majorBidi" w:cstheme="majorBidi"/>
          <w:szCs w:val="24"/>
        </w:rPr>
        <w:t xml:space="preserve"> cement plants are currently subject to the current regulation. Growth in this sector was estimated using data compiled by the Portland Cement Association showing capacity expansion estimates for the industry. Using this information it is estimated that an additional </w:t>
      </w:r>
      <w:r w:rsidR="00AC7A3C">
        <w:rPr>
          <w:rFonts w:asciiTheme="majorBidi" w:hAnsiTheme="majorBidi" w:cstheme="majorBidi"/>
          <w:szCs w:val="24"/>
        </w:rPr>
        <w:t>25</w:t>
      </w:r>
      <w:r w:rsidRPr="008842AD">
        <w:rPr>
          <w:rFonts w:asciiTheme="majorBidi" w:hAnsiTheme="majorBidi" w:cstheme="majorBidi"/>
          <w:szCs w:val="24"/>
        </w:rPr>
        <w:t xml:space="preserve"> new </w:t>
      </w:r>
      <w:proofErr w:type="gramStart"/>
      <w:r w:rsidRPr="008842AD">
        <w:rPr>
          <w:rFonts w:asciiTheme="majorBidi" w:hAnsiTheme="majorBidi" w:cstheme="majorBidi"/>
          <w:szCs w:val="24"/>
        </w:rPr>
        <w:t>portland</w:t>
      </w:r>
      <w:proofErr w:type="gramEnd"/>
      <w:r w:rsidRPr="008842AD">
        <w:rPr>
          <w:rFonts w:asciiTheme="majorBidi" w:hAnsiTheme="majorBidi" w:cstheme="majorBidi"/>
          <w:szCs w:val="24"/>
        </w:rPr>
        <w:t xml:space="preserve"> cement kilns will become subject to th</w:t>
      </w:r>
      <w:r w:rsidR="00110F58" w:rsidRPr="008842AD">
        <w:rPr>
          <w:rFonts w:asciiTheme="majorBidi" w:hAnsiTheme="majorBidi" w:cstheme="majorBidi"/>
          <w:szCs w:val="24"/>
        </w:rPr>
        <w:t xml:space="preserve">e regulation over the </w:t>
      </w:r>
      <w:r w:rsidR="00110F58" w:rsidRPr="00AC7A3C">
        <w:rPr>
          <w:rFonts w:asciiTheme="majorBidi" w:hAnsiTheme="majorBidi" w:cstheme="majorBidi"/>
          <w:szCs w:val="24"/>
          <w:u w:val="single"/>
        </w:rPr>
        <w:t>5-year</w:t>
      </w:r>
      <w:r w:rsidR="00110F58" w:rsidRPr="008842AD">
        <w:rPr>
          <w:rFonts w:asciiTheme="majorBidi" w:hAnsiTheme="majorBidi" w:cstheme="majorBidi"/>
          <w:szCs w:val="24"/>
        </w:rPr>
        <w:t xml:space="preserve"> NESHAP</w:t>
      </w:r>
      <w:r w:rsidRPr="008842AD">
        <w:rPr>
          <w:rFonts w:asciiTheme="majorBidi" w:hAnsiTheme="majorBidi" w:cstheme="majorBidi"/>
          <w:szCs w:val="24"/>
        </w:rPr>
        <w:t xml:space="preserve"> review period. Thus, it is estimated that an additional </w:t>
      </w:r>
      <w:r w:rsidR="004C1322" w:rsidRPr="008842AD">
        <w:rPr>
          <w:rFonts w:asciiTheme="majorBidi" w:hAnsiTheme="majorBidi" w:cstheme="majorBidi"/>
          <w:szCs w:val="24"/>
        </w:rPr>
        <w:t>1</w:t>
      </w:r>
      <w:r w:rsidR="00CC42FF" w:rsidRPr="008842AD">
        <w:rPr>
          <w:rFonts w:asciiTheme="majorBidi" w:hAnsiTheme="majorBidi" w:cstheme="majorBidi"/>
          <w:szCs w:val="24"/>
        </w:rPr>
        <w:t>6</w:t>
      </w:r>
      <w:r w:rsidRPr="008842AD">
        <w:rPr>
          <w:rFonts w:asciiTheme="majorBidi" w:hAnsiTheme="majorBidi" w:cstheme="majorBidi"/>
          <w:szCs w:val="24"/>
        </w:rPr>
        <w:t xml:space="preserve"> </w:t>
      </w:r>
      <w:proofErr w:type="gramStart"/>
      <w:r w:rsidRPr="008842AD">
        <w:rPr>
          <w:rFonts w:asciiTheme="majorBidi" w:hAnsiTheme="majorBidi" w:cstheme="majorBidi"/>
          <w:szCs w:val="24"/>
        </w:rPr>
        <w:t>portland</w:t>
      </w:r>
      <w:proofErr w:type="gramEnd"/>
      <w:r w:rsidRPr="008842AD">
        <w:rPr>
          <w:rFonts w:asciiTheme="majorBidi" w:hAnsiTheme="majorBidi" w:cstheme="majorBidi"/>
          <w:szCs w:val="24"/>
        </w:rPr>
        <w:t xml:space="preserve"> cement kilns per year will become subject to the regulation over the</w:t>
      </w:r>
      <w:r w:rsidRPr="000406D9">
        <w:rPr>
          <w:rFonts w:asciiTheme="majorBidi" w:hAnsiTheme="majorBidi" w:cstheme="majorBidi"/>
          <w:szCs w:val="24"/>
        </w:rPr>
        <w:t xml:space="preserve"> </w:t>
      </w:r>
      <w:r w:rsidR="00AC7A3C" w:rsidRPr="000406D9">
        <w:rPr>
          <w:rFonts w:asciiTheme="majorBidi" w:hAnsiTheme="majorBidi" w:cstheme="majorBidi"/>
          <w:szCs w:val="24"/>
        </w:rPr>
        <w:t>3-</w:t>
      </w:r>
      <w:r w:rsidRPr="000406D9">
        <w:rPr>
          <w:rFonts w:asciiTheme="majorBidi" w:hAnsiTheme="majorBidi" w:cstheme="majorBidi"/>
          <w:szCs w:val="24"/>
        </w:rPr>
        <w:t xml:space="preserve">year </w:t>
      </w:r>
      <w:r w:rsidRPr="008842AD">
        <w:rPr>
          <w:rFonts w:asciiTheme="majorBidi" w:hAnsiTheme="majorBidi" w:cstheme="majorBidi"/>
          <w:szCs w:val="24"/>
        </w:rPr>
        <w:t xml:space="preserve">ICR period. All </w:t>
      </w:r>
      <w:r w:rsidR="004E5B42" w:rsidRPr="008842AD">
        <w:rPr>
          <w:rFonts w:asciiTheme="majorBidi" w:hAnsiTheme="majorBidi" w:cstheme="majorBidi"/>
          <w:szCs w:val="24"/>
        </w:rPr>
        <w:t>2</w:t>
      </w:r>
      <w:r w:rsidR="00F167AC" w:rsidRPr="008842AD">
        <w:rPr>
          <w:rFonts w:asciiTheme="majorBidi" w:hAnsiTheme="majorBidi" w:cstheme="majorBidi"/>
          <w:szCs w:val="24"/>
        </w:rPr>
        <w:t>5</w:t>
      </w:r>
      <w:r w:rsidRPr="008842AD">
        <w:rPr>
          <w:rFonts w:asciiTheme="majorBidi" w:hAnsiTheme="majorBidi" w:cstheme="majorBidi"/>
          <w:szCs w:val="24"/>
        </w:rPr>
        <w:t xml:space="preserve"> new kilns are estimated to be newly constructed at existing </w:t>
      </w:r>
      <w:proofErr w:type="gramStart"/>
      <w:r w:rsidRPr="008842AD">
        <w:rPr>
          <w:rFonts w:asciiTheme="majorBidi" w:hAnsiTheme="majorBidi" w:cstheme="majorBidi"/>
          <w:szCs w:val="24"/>
        </w:rPr>
        <w:t>portland</w:t>
      </w:r>
      <w:proofErr w:type="gramEnd"/>
      <w:r w:rsidRPr="008842AD">
        <w:rPr>
          <w:rFonts w:asciiTheme="majorBidi" w:hAnsiTheme="majorBidi" w:cstheme="majorBidi"/>
          <w:szCs w:val="24"/>
        </w:rPr>
        <w:t xml:space="preserve"> cement plants.</w:t>
      </w:r>
    </w:p>
    <w:p w:rsidR="006D0A64" w:rsidRPr="008842AD" w:rsidRDefault="006D0A64" w:rsidP="00265B3F">
      <w:pPr>
        <w:spacing w:line="360" w:lineRule="auto"/>
        <w:ind w:firstLine="720"/>
        <w:rPr>
          <w:rFonts w:asciiTheme="majorBidi" w:hAnsiTheme="majorBidi" w:cstheme="majorBidi"/>
          <w:szCs w:val="24"/>
        </w:rPr>
      </w:pPr>
      <w:r w:rsidRPr="008842AD">
        <w:rPr>
          <w:rFonts w:asciiTheme="majorBidi" w:hAnsiTheme="majorBidi" w:cstheme="majorBidi"/>
          <w:szCs w:val="24"/>
        </w:rPr>
        <w:t xml:space="preserve">For the </w:t>
      </w:r>
      <w:r w:rsidR="00CE522C">
        <w:rPr>
          <w:rFonts w:asciiTheme="majorBidi" w:hAnsiTheme="majorBidi" w:cstheme="majorBidi"/>
          <w:szCs w:val="24"/>
        </w:rPr>
        <w:t>final</w:t>
      </w:r>
      <w:r w:rsidRPr="008842AD">
        <w:rPr>
          <w:rFonts w:asciiTheme="majorBidi" w:hAnsiTheme="majorBidi" w:cstheme="majorBidi"/>
          <w:szCs w:val="24"/>
        </w:rPr>
        <w:t xml:space="preserve"> amendments to the Portland Cement Manufacturing NESHAP, the components of the total annual burden attributable to this ICR include </w:t>
      </w:r>
      <w:r w:rsidR="00967FE9">
        <w:rPr>
          <w:rFonts w:asciiTheme="majorBidi" w:hAnsiTheme="majorBidi" w:cstheme="majorBidi"/>
          <w:szCs w:val="24"/>
        </w:rPr>
        <w:t xml:space="preserve">the addition of </w:t>
      </w:r>
      <w:r w:rsidR="00B4226E">
        <w:rPr>
          <w:rFonts w:asciiTheme="majorBidi" w:hAnsiTheme="majorBidi" w:cstheme="majorBidi"/>
          <w:szCs w:val="24"/>
        </w:rPr>
        <w:t>startup/shutdown</w:t>
      </w:r>
      <w:r w:rsidR="00967FE9">
        <w:rPr>
          <w:rFonts w:asciiTheme="majorBidi" w:hAnsiTheme="majorBidi" w:cstheme="majorBidi"/>
          <w:szCs w:val="24"/>
        </w:rPr>
        <w:t xml:space="preserve"> plans and fugitive dust plans for open clinker storage piles to a facilities Operation and Maintenance Plan;</w:t>
      </w:r>
      <w:r w:rsidR="00B4226E">
        <w:rPr>
          <w:rFonts w:asciiTheme="majorBidi" w:hAnsiTheme="majorBidi" w:cstheme="majorBidi"/>
          <w:szCs w:val="24"/>
        </w:rPr>
        <w:t xml:space="preserve"> installation of flow monitors for standalone coal mills</w:t>
      </w:r>
      <w:r w:rsidR="00967FE9">
        <w:rPr>
          <w:rFonts w:asciiTheme="majorBidi" w:hAnsiTheme="majorBidi" w:cstheme="majorBidi"/>
          <w:szCs w:val="24"/>
        </w:rPr>
        <w:t xml:space="preserve">; and HCl, </w:t>
      </w:r>
      <w:r w:rsidR="00B4226E">
        <w:rPr>
          <w:rFonts w:asciiTheme="majorBidi" w:hAnsiTheme="majorBidi" w:cstheme="majorBidi"/>
          <w:szCs w:val="24"/>
        </w:rPr>
        <w:t>THC and Hg testing for standalone coal mills,</w:t>
      </w:r>
      <w:r w:rsidRPr="008842AD">
        <w:rPr>
          <w:rFonts w:asciiTheme="majorBidi" w:hAnsiTheme="majorBidi" w:cstheme="majorBidi"/>
          <w:szCs w:val="24"/>
        </w:rPr>
        <w:t xml:space="preserve">. </w:t>
      </w:r>
    </w:p>
    <w:p w:rsidR="00D772CE" w:rsidRPr="008842AD" w:rsidRDefault="006D0A64"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 xml:space="preserve"> </w:t>
      </w:r>
      <w:r w:rsidR="00D772CE" w:rsidRPr="008842AD">
        <w:rPr>
          <w:rFonts w:asciiTheme="majorBidi" w:hAnsiTheme="majorBidi" w:cstheme="majorBidi"/>
          <w:i/>
          <w:iCs w:val="0"/>
          <w:szCs w:val="24"/>
        </w:rPr>
        <w:t>(e)</w:t>
      </w:r>
      <w:r w:rsidR="00D772CE" w:rsidRPr="008842AD">
        <w:rPr>
          <w:rFonts w:asciiTheme="majorBidi" w:hAnsiTheme="majorBidi" w:cstheme="majorBidi"/>
          <w:i/>
          <w:iCs w:val="0"/>
          <w:szCs w:val="24"/>
        </w:rPr>
        <w:tab/>
        <w:t>Bottom Line Burden Hours and Cost Tables</w:t>
      </w:r>
    </w:p>
    <w:p w:rsidR="006D0A64" w:rsidRPr="003240EE" w:rsidRDefault="006D0A64" w:rsidP="004A724B">
      <w:pPr>
        <w:spacing w:line="360" w:lineRule="auto"/>
        <w:ind w:firstLine="720"/>
        <w:rPr>
          <w:rFonts w:asciiTheme="majorBidi" w:hAnsiTheme="majorBidi" w:cstheme="majorBidi"/>
          <w:szCs w:val="24"/>
        </w:rPr>
      </w:pPr>
      <w:r w:rsidRPr="00265B3F">
        <w:rPr>
          <w:rFonts w:asciiTheme="majorBidi" w:hAnsiTheme="majorBidi" w:cstheme="majorBidi"/>
          <w:i/>
          <w:iCs/>
          <w:szCs w:val="24"/>
        </w:rPr>
        <w:t>(</w:t>
      </w:r>
      <w:proofErr w:type="spellStart"/>
      <w:r w:rsidRPr="00265B3F">
        <w:rPr>
          <w:rFonts w:asciiTheme="majorBidi" w:hAnsiTheme="majorBidi" w:cstheme="majorBidi"/>
          <w:i/>
          <w:iCs/>
          <w:szCs w:val="24"/>
        </w:rPr>
        <w:t>i</w:t>
      </w:r>
      <w:proofErr w:type="spellEnd"/>
      <w:r w:rsidRPr="00265B3F">
        <w:rPr>
          <w:rFonts w:asciiTheme="majorBidi" w:hAnsiTheme="majorBidi" w:cstheme="majorBidi"/>
          <w:i/>
          <w:iCs/>
          <w:szCs w:val="24"/>
        </w:rPr>
        <w:t>) Respondent tally.</w:t>
      </w:r>
      <w:r w:rsidRPr="00265B3F">
        <w:rPr>
          <w:rFonts w:asciiTheme="majorBidi" w:hAnsiTheme="majorBidi" w:cstheme="majorBidi"/>
          <w:szCs w:val="24"/>
        </w:rPr>
        <w:t xml:space="preserve"> The bottom line respondent burden hours and costs presented in Table </w:t>
      </w:r>
      <w:r w:rsidR="000309DB">
        <w:rPr>
          <w:rFonts w:asciiTheme="majorBidi" w:hAnsiTheme="majorBidi" w:cstheme="majorBidi"/>
          <w:szCs w:val="24"/>
        </w:rPr>
        <w:t>1</w:t>
      </w:r>
      <w:r w:rsidR="000309DB" w:rsidRPr="00265B3F">
        <w:rPr>
          <w:rFonts w:asciiTheme="majorBidi" w:hAnsiTheme="majorBidi" w:cstheme="majorBidi"/>
          <w:szCs w:val="24"/>
        </w:rPr>
        <w:t xml:space="preserve"> </w:t>
      </w:r>
      <w:r w:rsidRPr="00265B3F">
        <w:rPr>
          <w:rFonts w:asciiTheme="majorBidi" w:hAnsiTheme="majorBidi" w:cstheme="majorBidi"/>
          <w:szCs w:val="24"/>
        </w:rPr>
        <w:t>are calculated by adding person-hours per year down each column for technical, managerial and</w:t>
      </w:r>
      <w:r w:rsidRPr="008842AD">
        <w:rPr>
          <w:rFonts w:asciiTheme="majorBidi" w:hAnsiTheme="majorBidi" w:cstheme="majorBidi"/>
          <w:szCs w:val="24"/>
        </w:rPr>
        <w:t xml:space="preserve"> clerical staff, and by adding down the cost column. The average annual burden for the recordkeeping and reporting requirements in the </w:t>
      </w:r>
      <w:r w:rsidR="00CE522C">
        <w:rPr>
          <w:rFonts w:asciiTheme="majorBidi" w:hAnsiTheme="majorBidi" w:cstheme="majorBidi"/>
          <w:szCs w:val="24"/>
        </w:rPr>
        <w:t>final</w:t>
      </w:r>
      <w:r w:rsidRPr="008842AD">
        <w:rPr>
          <w:rFonts w:asciiTheme="majorBidi" w:hAnsiTheme="majorBidi" w:cstheme="majorBidi"/>
          <w:szCs w:val="24"/>
        </w:rPr>
        <w:t xml:space="preserve"> amendments to subpart LLL for the </w:t>
      </w:r>
      <w:r w:rsidR="000935E6">
        <w:rPr>
          <w:rFonts w:asciiTheme="majorBidi" w:hAnsiTheme="majorBidi" w:cstheme="majorBidi"/>
          <w:szCs w:val="24"/>
        </w:rPr>
        <w:t>133</w:t>
      </w:r>
      <w:r w:rsidR="000935E6" w:rsidRPr="008842AD">
        <w:rPr>
          <w:rFonts w:asciiTheme="majorBidi" w:hAnsiTheme="majorBidi" w:cstheme="majorBidi"/>
          <w:szCs w:val="24"/>
        </w:rPr>
        <w:t xml:space="preserve"> </w:t>
      </w:r>
      <w:r w:rsidRPr="008842AD">
        <w:rPr>
          <w:rFonts w:asciiTheme="majorBidi" w:hAnsiTheme="majorBidi" w:cstheme="majorBidi"/>
          <w:szCs w:val="24"/>
        </w:rPr>
        <w:t xml:space="preserve">existing </w:t>
      </w:r>
      <w:r w:rsidR="00AC7A3C">
        <w:rPr>
          <w:rFonts w:asciiTheme="majorBidi" w:hAnsiTheme="majorBidi" w:cstheme="majorBidi"/>
          <w:szCs w:val="24"/>
        </w:rPr>
        <w:t>kilns</w:t>
      </w:r>
      <w:r w:rsidRPr="008842AD">
        <w:rPr>
          <w:rFonts w:asciiTheme="majorBidi" w:hAnsiTheme="majorBidi" w:cstheme="majorBidi"/>
          <w:szCs w:val="24"/>
        </w:rPr>
        <w:t xml:space="preserve"> that are subject to the Portland Cement Manufacturing NESHAP is </w:t>
      </w:r>
      <w:r w:rsidR="000935E6">
        <w:rPr>
          <w:rFonts w:asciiTheme="majorBidi" w:hAnsiTheme="majorBidi" w:cstheme="majorBidi"/>
          <w:szCs w:val="24"/>
        </w:rPr>
        <w:t>643</w:t>
      </w:r>
      <w:r w:rsidR="000570A3" w:rsidRPr="003240EE">
        <w:rPr>
          <w:rFonts w:asciiTheme="majorBidi" w:hAnsiTheme="majorBidi" w:cstheme="majorBidi"/>
          <w:szCs w:val="24"/>
        </w:rPr>
        <w:t xml:space="preserve"> </w:t>
      </w:r>
      <w:r w:rsidRPr="003240EE">
        <w:rPr>
          <w:rFonts w:asciiTheme="majorBidi" w:hAnsiTheme="majorBidi" w:cstheme="majorBidi"/>
          <w:szCs w:val="24"/>
        </w:rPr>
        <w:t>person-hours, with an annual average cost of $</w:t>
      </w:r>
      <w:r w:rsidR="004562D1">
        <w:rPr>
          <w:rFonts w:asciiTheme="majorBidi" w:hAnsiTheme="majorBidi" w:cstheme="majorBidi"/>
          <w:szCs w:val="24"/>
        </w:rPr>
        <w:t>62,027</w:t>
      </w:r>
      <w:r w:rsidRPr="003240EE">
        <w:rPr>
          <w:rFonts w:asciiTheme="majorBidi" w:hAnsiTheme="majorBidi" w:cstheme="majorBidi"/>
          <w:szCs w:val="24"/>
        </w:rPr>
        <w:t>. The estimated annual O&amp;M</w:t>
      </w:r>
      <w:r w:rsidR="0073260B">
        <w:rPr>
          <w:rFonts w:asciiTheme="majorBidi" w:hAnsiTheme="majorBidi" w:cstheme="majorBidi"/>
          <w:szCs w:val="24"/>
        </w:rPr>
        <w:t xml:space="preserve"> cost</w:t>
      </w:r>
      <w:r w:rsidRPr="003240EE">
        <w:rPr>
          <w:rFonts w:asciiTheme="majorBidi" w:hAnsiTheme="majorBidi" w:cstheme="majorBidi"/>
          <w:szCs w:val="24"/>
        </w:rPr>
        <w:t xml:space="preserve"> as a result of these amendments is $</w:t>
      </w:r>
      <w:r w:rsidR="004562D1">
        <w:rPr>
          <w:rFonts w:asciiTheme="majorBidi" w:hAnsiTheme="majorBidi" w:cstheme="majorBidi"/>
          <w:szCs w:val="24"/>
        </w:rPr>
        <w:t>22,440</w:t>
      </w:r>
      <w:r w:rsidRPr="003240EE">
        <w:rPr>
          <w:rFonts w:asciiTheme="majorBidi" w:hAnsiTheme="majorBidi" w:cstheme="majorBidi"/>
          <w:szCs w:val="24"/>
        </w:rPr>
        <w:t xml:space="preserve">.  Estimated annualized capital cost to the industry for the </w:t>
      </w:r>
      <w:r w:rsidR="00CE522C">
        <w:rPr>
          <w:rFonts w:asciiTheme="majorBidi" w:hAnsiTheme="majorBidi" w:cstheme="majorBidi"/>
          <w:szCs w:val="24"/>
        </w:rPr>
        <w:t>final</w:t>
      </w:r>
      <w:r w:rsidRPr="003240EE">
        <w:rPr>
          <w:rFonts w:asciiTheme="majorBidi" w:hAnsiTheme="majorBidi" w:cstheme="majorBidi"/>
          <w:szCs w:val="24"/>
        </w:rPr>
        <w:t xml:space="preserve"> amendments </w:t>
      </w:r>
      <w:r w:rsidR="0073260B">
        <w:rPr>
          <w:rFonts w:asciiTheme="majorBidi" w:hAnsiTheme="majorBidi" w:cstheme="majorBidi"/>
          <w:szCs w:val="24"/>
        </w:rPr>
        <w:t>is</w:t>
      </w:r>
      <w:r w:rsidR="0073260B" w:rsidRPr="003240EE">
        <w:rPr>
          <w:rFonts w:asciiTheme="majorBidi" w:hAnsiTheme="majorBidi" w:cstheme="majorBidi"/>
          <w:szCs w:val="24"/>
        </w:rPr>
        <w:t xml:space="preserve"> </w:t>
      </w:r>
      <w:r w:rsidRPr="003240EE">
        <w:rPr>
          <w:rFonts w:asciiTheme="majorBidi" w:hAnsiTheme="majorBidi" w:cstheme="majorBidi"/>
          <w:szCs w:val="24"/>
        </w:rPr>
        <w:t>$</w:t>
      </w:r>
      <w:r w:rsidR="004562D1">
        <w:rPr>
          <w:rFonts w:asciiTheme="majorBidi" w:hAnsiTheme="majorBidi" w:cstheme="majorBidi"/>
          <w:szCs w:val="24"/>
        </w:rPr>
        <w:t>97,714</w:t>
      </w:r>
      <w:r w:rsidRPr="003240EE">
        <w:rPr>
          <w:rFonts w:asciiTheme="majorBidi" w:hAnsiTheme="majorBidi" w:cstheme="majorBidi"/>
          <w:szCs w:val="24"/>
        </w:rPr>
        <w:t>, for a total estimated annualized costs (annualized capital and O&amp;M) of $</w:t>
      </w:r>
      <w:r w:rsidR="004562D1">
        <w:rPr>
          <w:rFonts w:asciiTheme="majorBidi" w:hAnsiTheme="majorBidi" w:cstheme="majorBidi"/>
          <w:szCs w:val="24"/>
        </w:rPr>
        <w:t>120,155</w:t>
      </w:r>
      <w:r w:rsidRPr="003240EE">
        <w:rPr>
          <w:rFonts w:asciiTheme="majorBidi" w:hAnsiTheme="majorBidi" w:cstheme="majorBidi"/>
          <w:szCs w:val="24"/>
        </w:rPr>
        <w:t>.</w:t>
      </w:r>
    </w:p>
    <w:p w:rsidR="006D0A64" w:rsidRPr="008842AD" w:rsidRDefault="006D0A64" w:rsidP="004A724B">
      <w:pPr>
        <w:spacing w:line="360" w:lineRule="auto"/>
        <w:ind w:firstLine="720"/>
        <w:rPr>
          <w:rFonts w:asciiTheme="majorBidi" w:hAnsiTheme="majorBidi" w:cstheme="majorBidi"/>
          <w:szCs w:val="24"/>
        </w:rPr>
      </w:pPr>
      <w:r w:rsidRPr="003240EE">
        <w:rPr>
          <w:rFonts w:asciiTheme="majorBidi" w:hAnsiTheme="majorBidi" w:cstheme="majorBidi"/>
          <w:i/>
          <w:iCs/>
          <w:szCs w:val="24"/>
        </w:rPr>
        <w:t>(ii) The Agency tally.</w:t>
      </w:r>
      <w:r w:rsidRPr="003240EE">
        <w:rPr>
          <w:rFonts w:asciiTheme="majorBidi" w:hAnsiTheme="majorBidi" w:cstheme="majorBidi"/>
          <w:szCs w:val="24"/>
        </w:rPr>
        <w:t xml:space="preserve"> The average annual Federal Government cost is $</w:t>
      </w:r>
      <w:r w:rsidR="004562D1">
        <w:rPr>
          <w:rFonts w:asciiTheme="majorBidi" w:hAnsiTheme="majorBidi" w:cstheme="majorBidi"/>
          <w:szCs w:val="24"/>
        </w:rPr>
        <w:t>12,023</w:t>
      </w:r>
      <w:r w:rsidRPr="003240EE">
        <w:rPr>
          <w:rFonts w:asciiTheme="majorBidi" w:hAnsiTheme="majorBidi" w:cstheme="majorBidi"/>
          <w:szCs w:val="24"/>
        </w:rPr>
        <w:t xml:space="preserve"> for </w:t>
      </w:r>
      <w:r w:rsidR="004562D1">
        <w:rPr>
          <w:rFonts w:asciiTheme="majorBidi" w:hAnsiTheme="majorBidi" w:cstheme="majorBidi"/>
          <w:szCs w:val="24"/>
        </w:rPr>
        <w:t>267</w:t>
      </w:r>
      <w:r w:rsidRPr="003240EE">
        <w:rPr>
          <w:rFonts w:asciiTheme="majorBidi" w:hAnsiTheme="majorBidi" w:cstheme="majorBidi"/>
          <w:szCs w:val="24"/>
        </w:rPr>
        <w:t>hours</w:t>
      </w:r>
      <w:r w:rsidRPr="008842AD">
        <w:rPr>
          <w:rFonts w:asciiTheme="majorBidi" w:hAnsiTheme="majorBidi" w:cstheme="majorBidi"/>
          <w:szCs w:val="24"/>
        </w:rPr>
        <w:t xml:space="preserve"> for the </w:t>
      </w:r>
      <w:r w:rsidR="00CE522C">
        <w:rPr>
          <w:rFonts w:asciiTheme="majorBidi" w:hAnsiTheme="majorBidi" w:cstheme="majorBidi"/>
          <w:szCs w:val="24"/>
        </w:rPr>
        <w:t>final</w:t>
      </w:r>
      <w:r w:rsidRPr="00265B3F">
        <w:rPr>
          <w:rFonts w:asciiTheme="majorBidi" w:hAnsiTheme="majorBidi" w:cstheme="majorBidi"/>
          <w:szCs w:val="24"/>
        </w:rPr>
        <w:t xml:space="preserve"> amendments to subpart </w:t>
      </w:r>
      <w:r w:rsidR="006D5A79" w:rsidRPr="00265B3F">
        <w:rPr>
          <w:rFonts w:asciiTheme="majorBidi" w:hAnsiTheme="majorBidi" w:cstheme="majorBidi"/>
          <w:szCs w:val="24"/>
        </w:rPr>
        <w:t>LLL</w:t>
      </w:r>
      <w:r w:rsidRPr="00265B3F">
        <w:rPr>
          <w:rFonts w:asciiTheme="majorBidi" w:hAnsiTheme="majorBidi" w:cstheme="majorBidi"/>
          <w:szCs w:val="24"/>
        </w:rPr>
        <w:t xml:space="preserve">. The bottom line Agency burden hours and costs presented in Table </w:t>
      </w:r>
      <w:r w:rsidR="000309DB">
        <w:rPr>
          <w:rFonts w:asciiTheme="majorBidi" w:hAnsiTheme="majorBidi" w:cstheme="majorBidi"/>
          <w:szCs w:val="24"/>
        </w:rPr>
        <w:t>2</w:t>
      </w:r>
      <w:r w:rsidRPr="00265B3F">
        <w:rPr>
          <w:rFonts w:asciiTheme="majorBidi" w:hAnsiTheme="majorBidi" w:cstheme="majorBidi"/>
          <w:szCs w:val="24"/>
        </w:rPr>
        <w:t>are calculated by adding person-hours per year down each column for technical, managerial and clerical staff</w:t>
      </w:r>
      <w:r w:rsidRPr="008842AD">
        <w:rPr>
          <w:rFonts w:asciiTheme="majorBidi" w:hAnsiTheme="majorBidi" w:cstheme="majorBidi"/>
          <w:szCs w:val="24"/>
        </w:rPr>
        <w:t xml:space="preserve"> and by adding down the cost column.</w:t>
      </w:r>
    </w:p>
    <w:p w:rsidR="006D0A64" w:rsidRPr="008842AD" w:rsidRDefault="006D0A64" w:rsidP="00C50FFE">
      <w:pPr>
        <w:spacing w:line="360" w:lineRule="auto"/>
        <w:ind w:firstLine="720"/>
        <w:rPr>
          <w:rFonts w:asciiTheme="majorBidi" w:hAnsiTheme="majorBidi" w:cstheme="majorBidi"/>
          <w:szCs w:val="24"/>
        </w:rPr>
      </w:pPr>
      <w:r w:rsidRPr="008842AD">
        <w:rPr>
          <w:rFonts w:asciiTheme="majorBidi" w:hAnsiTheme="majorBidi" w:cstheme="majorBidi"/>
          <w:i/>
          <w:iCs/>
          <w:szCs w:val="24"/>
        </w:rPr>
        <w:lastRenderedPageBreak/>
        <w:t>(iii) Variations in the annual bottom line.</w:t>
      </w:r>
      <w:r w:rsidRPr="008842AD">
        <w:rPr>
          <w:rFonts w:asciiTheme="majorBidi" w:hAnsiTheme="majorBidi" w:cstheme="majorBidi"/>
          <w:szCs w:val="24"/>
        </w:rPr>
        <w:t xml:space="preserve"> This section does not apply since no significant variation is anticipated.</w:t>
      </w:r>
    </w:p>
    <w:p w:rsidR="00D772CE" w:rsidRPr="008842AD" w:rsidRDefault="006D0A64"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 xml:space="preserve"> </w:t>
      </w:r>
      <w:r w:rsidR="00D772CE" w:rsidRPr="008842AD">
        <w:rPr>
          <w:rFonts w:asciiTheme="majorBidi" w:hAnsiTheme="majorBidi" w:cstheme="majorBidi"/>
          <w:i/>
          <w:iCs w:val="0"/>
          <w:szCs w:val="24"/>
        </w:rPr>
        <w:t>(f)</w:t>
      </w:r>
      <w:r w:rsidR="00D772CE" w:rsidRPr="008842AD">
        <w:rPr>
          <w:rFonts w:asciiTheme="majorBidi" w:hAnsiTheme="majorBidi" w:cstheme="majorBidi"/>
          <w:i/>
          <w:iCs w:val="0"/>
          <w:szCs w:val="24"/>
        </w:rPr>
        <w:tab/>
        <w:t>Reasons for Change in Burden.</w:t>
      </w:r>
    </w:p>
    <w:p w:rsidR="00D772CE" w:rsidRPr="008842AD" w:rsidRDefault="00D772CE" w:rsidP="00B4226E">
      <w:pPr>
        <w:pStyle w:val="Para"/>
        <w:spacing w:after="0" w:line="360" w:lineRule="auto"/>
        <w:rPr>
          <w:rFonts w:asciiTheme="majorBidi" w:hAnsiTheme="majorBidi" w:cstheme="majorBidi"/>
          <w:szCs w:val="24"/>
        </w:rPr>
      </w:pPr>
      <w:r w:rsidRPr="008842AD">
        <w:rPr>
          <w:rFonts w:asciiTheme="majorBidi" w:hAnsiTheme="majorBidi" w:cstheme="majorBidi"/>
          <w:szCs w:val="24"/>
        </w:rPr>
        <w:t>The increase in burden is primarily due to the additional recordkeeping and reporting costs attribut</w:t>
      </w:r>
      <w:r w:rsidR="00B4226E">
        <w:rPr>
          <w:rFonts w:asciiTheme="majorBidi" w:hAnsiTheme="majorBidi" w:cstheme="majorBidi"/>
          <w:szCs w:val="24"/>
        </w:rPr>
        <w:t xml:space="preserve">able to the </w:t>
      </w:r>
      <w:r w:rsidR="00CE522C">
        <w:rPr>
          <w:rFonts w:asciiTheme="majorBidi" w:hAnsiTheme="majorBidi" w:cstheme="majorBidi"/>
          <w:szCs w:val="24"/>
        </w:rPr>
        <w:t>final</w:t>
      </w:r>
      <w:r w:rsidR="00B4226E">
        <w:rPr>
          <w:rFonts w:asciiTheme="majorBidi" w:hAnsiTheme="majorBidi" w:cstheme="majorBidi"/>
          <w:szCs w:val="24"/>
        </w:rPr>
        <w:t xml:space="preserve"> amendments</w:t>
      </w:r>
      <w:r w:rsidRPr="008842AD">
        <w:rPr>
          <w:rFonts w:asciiTheme="majorBidi" w:hAnsiTheme="majorBidi" w:cstheme="majorBidi"/>
          <w:szCs w:val="24"/>
        </w:rPr>
        <w:t>.</w:t>
      </w:r>
    </w:p>
    <w:p w:rsidR="00D772CE" w:rsidRPr="008842AD" w:rsidRDefault="00D772CE" w:rsidP="00C50FFE">
      <w:pPr>
        <w:pStyle w:val="Heading2"/>
        <w:spacing w:before="0" w:after="0" w:line="360" w:lineRule="auto"/>
        <w:rPr>
          <w:rFonts w:asciiTheme="majorBidi" w:hAnsiTheme="majorBidi" w:cstheme="majorBidi"/>
          <w:i/>
          <w:iCs w:val="0"/>
          <w:szCs w:val="24"/>
        </w:rPr>
      </w:pPr>
      <w:r w:rsidRPr="008842AD">
        <w:rPr>
          <w:rFonts w:asciiTheme="majorBidi" w:hAnsiTheme="majorBidi" w:cstheme="majorBidi"/>
          <w:i/>
          <w:iCs w:val="0"/>
          <w:szCs w:val="24"/>
        </w:rPr>
        <w:t>(g)</w:t>
      </w:r>
      <w:r w:rsidR="00B76529" w:rsidRPr="008842AD">
        <w:rPr>
          <w:rFonts w:asciiTheme="majorBidi" w:hAnsiTheme="majorBidi" w:cstheme="majorBidi"/>
          <w:i/>
          <w:iCs w:val="0"/>
          <w:szCs w:val="24"/>
        </w:rPr>
        <w:tab/>
      </w:r>
      <w:r w:rsidRPr="008842AD">
        <w:rPr>
          <w:rFonts w:asciiTheme="majorBidi" w:hAnsiTheme="majorBidi" w:cstheme="majorBidi"/>
          <w:i/>
          <w:iCs w:val="0"/>
          <w:szCs w:val="24"/>
        </w:rPr>
        <w:t>Burden Statement</w:t>
      </w:r>
    </w:p>
    <w:p w:rsidR="00D772CE" w:rsidRPr="008842AD" w:rsidRDefault="00EB46DF" w:rsidP="00F3567C">
      <w:pPr>
        <w:spacing w:line="360" w:lineRule="auto"/>
        <w:ind w:firstLine="720"/>
        <w:rPr>
          <w:rFonts w:asciiTheme="majorBidi" w:hAnsiTheme="majorBidi" w:cstheme="majorBidi"/>
          <w:szCs w:val="24"/>
        </w:rPr>
      </w:pPr>
      <w:r w:rsidRPr="008842AD">
        <w:rPr>
          <w:rFonts w:asciiTheme="majorBidi" w:hAnsiTheme="majorBidi" w:cstheme="majorBidi"/>
          <w:szCs w:val="24"/>
        </w:rPr>
        <w:t>The annual public reporting and recordkeeping burden for this collection of information is estimated to average</w:t>
      </w:r>
      <w:r w:rsidR="004562D1">
        <w:rPr>
          <w:rFonts w:asciiTheme="majorBidi" w:hAnsiTheme="majorBidi" w:cstheme="majorBidi"/>
          <w:szCs w:val="24"/>
        </w:rPr>
        <w:t xml:space="preserve">74 </w:t>
      </w:r>
      <w:r w:rsidRPr="008842AD">
        <w:rPr>
          <w:rFonts w:asciiTheme="majorBidi" w:hAnsiTheme="majorBidi" w:cstheme="majorBidi"/>
          <w:szCs w:val="24"/>
        </w:rPr>
        <w:t xml:space="preserve">hours per </w:t>
      </w:r>
      <w:r w:rsidR="00B462D4" w:rsidRPr="008842AD">
        <w:rPr>
          <w:rFonts w:asciiTheme="majorBidi" w:hAnsiTheme="majorBidi" w:cstheme="majorBidi"/>
          <w:szCs w:val="24"/>
        </w:rPr>
        <w:t>response</w:t>
      </w:r>
      <w:r w:rsidRPr="008842AD">
        <w:rPr>
          <w:rFonts w:asciiTheme="majorBidi" w:hAnsiTheme="majorBidi" w:cstheme="majorBidi"/>
          <w:szCs w:val="24"/>
        </w:rPr>
        <w:t>.</w:t>
      </w:r>
      <w:r w:rsidR="00D772CE" w:rsidRPr="008842AD">
        <w:rPr>
          <w:rFonts w:asciiTheme="majorBidi" w:hAnsiTheme="majorBidi" w:cstheme="majorBidi"/>
          <w:szCs w:val="24"/>
        </w:rPr>
        <w:t xml:space="preserve"> </w:t>
      </w:r>
      <w:r w:rsidR="006D5A79" w:rsidRPr="008842AD">
        <w:rPr>
          <w:rFonts w:asciiTheme="majorBidi" w:hAnsiTheme="majorBidi" w:cstheme="majorBidi"/>
          <w:szCs w:val="24"/>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6D5A79" w:rsidRPr="008842AD" w:rsidRDefault="006D5A79" w:rsidP="00C50FFE">
      <w:pPr>
        <w:spacing w:line="360" w:lineRule="auto"/>
        <w:rPr>
          <w:rFonts w:asciiTheme="majorBidi" w:hAnsiTheme="majorBidi" w:cstheme="majorBidi"/>
          <w:szCs w:val="24"/>
        </w:rPr>
      </w:pPr>
      <w:r w:rsidRPr="008842AD">
        <w:rPr>
          <w:rFonts w:asciiTheme="majorBidi" w:hAnsiTheme="majorBidi" w:cstheme="majorBidi"/>
          <w:szCs w:val="24"/>
        </w:rPr>
        <w:tab/>
        <w:t xml:space="preserve">An agency may not conduct or sponsor, and a person is not required to respond to a collection of information unless it displays a currently valid OMB control number. The OMB control numbers for the EPA’s regulations in 40 CFR </w:t>
      </w:r>
      <w:proofErr w:type="gramStart"/>
      <w:r w:rsidRPr="008842AD">
        <w:rPr>
          <w:rFonts w:asciiTheme="majorBidi" w:hAnsiTheme="majorBidi" w:cstheme="majorBidi"/>
          <w:szCs w:val="24"/>
        </w:rPr>
        <w:t>part</w:t>
      </w:r>
      <w:proofErr w:type="gramEnd"/>
      <w:r w:rsidRPr="008842AD">
        <w:rPr>
          <w:rFonts w:asciiTheme="majorBidi" w:hAnsiTheme="majorBidi" w:cstheme="majorBidi"/>
          <w:szCs w:val="24"/>
        </w:rPr>
        <w:t xml:space="preserve"> 63 are listed in 40 CFR part 9.</w:t>
      </w:r>
    </w:p>
    <w:p w:rsidR="00D772CE" w:rsidRPr="008842AD" w:rsidRDefault="00D772CE"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EPA-HQ-OAR-2002-0051, which is available for online viewing at www.regulations.gov, or in person viewing at the Air and Radiation Docket and Information Center in the EPA Docket Center (EPA/DC), EPA West, Room </w:t>
      </w:r>
      <w:r w:rsidR="00F57B64">
        <w:rPr>
          <w:rFonts w:asciiTheme="majorBidi" w:hAnsiTheme="majorBidi" w:cstheme="majorBidi"/>
          <w:szCs w:val="24"/>
        </w:rPr>
        <w:t>3334</w:t>
      </w:r>
      <w:r w:rsidRPr="008842AD">
        <w:rPr>
          <w:rFonts w:asciiTheme="majorBidi" w:hAnsiTheme="majorBidi" w:cstheme="majorBidi"/>
          <w:szCs w:val="24"/>
        </w:rPr>
        <w:t xml:space="preserve">, 1301 Constitution Avenue, NW, Washington, D.C. The EPA Docket Center Public Reading Room is open from 8:30 a.m. to 4:30 p.m., Monday through Friday, excluding legal holidays. The telephone number for the Reading Room is (202) 566-1744, and the telephone number for the Air and Radiation Docket and Information Center is </w:t>
      </w:r>
      <w:r w:rsidR="00C50FFE" w:rsidRPr="008842AD">
        <w:rPr>
          <w:rFonts w:asciiTheme="majorBidi" w:hAnsiTheme="majorBidi" w:cstheme="majorBidi"/>
          <w:szCs w:val="24"/>
        </w:rPr>
        <w:t>(202) 566-1</w:t>
      </w:r>
      <w:r w:rsidR="00F57B64">
        <w:rPr>
          <w:rFonts w:asciiTheme="majorBidi" w:hAnsiTheme="majorBidi" w:cstheme="majorBidi"/>
          <w:szCs w:val="24"/>
        </w:rPr>
        <w:t>742</w:t>
      </w:r>
      <w:r w:rsidR="00C50FFE" w:rsidRPr="008842AD">
        <w:rPr>
          <w:rFonts w:asciiTheme="majorBidi" w:hAnsiTheme="majorBidi" w:cstheme="majorBidi"/>
          <w:szCs w:val="24"/>
        </w:rPr>
        <w:t>.</w:t>
      </w:r>
      <w:r w:rsidRPr="008842AD">
        <w:rPr>
          <w:rFonts w:asciiTheme="majorBidi" w:hAnsiTheme="majorBidi" w:cstheme="majorBidi"/>
          <w:szCs w:val="24"/>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w:t>
      </w:r>
      <w:r w:rsidRPr="008842AD">
        <w:rPr>
          <w:rFonts w:asciiTheme="majorBidi" w:hAnsiTheme="majorBidi" w:cstheme="majorBidi"/>
          <w:szCs w:val="24"/>
        </w:rPr>
        <w:lastRenderedPageBreak/>
        <w:t xml:space="preserve">the Docket ID Number identified above. Also, you can send comments to the Office of Information and Regulatory Affairs, Office of Management and Budget, 725 17th Street, NW, Washington, D.C. 20503, Attention: Desk Officer for EPA. Please include the EPA Docket ID Number EPA-HQ-OAR-2002-0051 </w:t>
      </w:r>
      <w:r w:rsidR="00F57B64">
        <w:rPr>
          <w:rFonts w:asciiTheme="majorBidi" w:hAnsiTheme="majorBidi" w:cstheme="majorBidi"/>
          <w:szCs w:val="24"/>
        </w:rPr>
        <w:t xml:space="preserve">and OMB Control Number 2060-0416 </w:t>
      </w:r>
      <w:r w:rsidRPr="008842AD">
        <w:rPr>
          <w:rFonts w:asciiTheme="majorBidi" w:hAnsiTheme="majorBidi" w:cstheme="majorBidi"/>
          <w:szCs w:val="24"/>
        </w:rPr>
        <w:t>in any correspondence.</w:t>
      </w:r>
    </w:p>
    <w:p w:rsidR="00D772CE" w:rsidRPr="008842AD" w:rsidRDefault="00D772CE" w:rsidP="00C50FFE">
      <w:pPr>
        <w:pStyle w:val="Heading1"/>
        <w:spacing w:before="0" w:after="0" w:line="360" w:lineRule="auto"/>
        <w:rPr>
          <w:rFonts w:asciiTheme="majorBidi" w:hAnsiTheme="majorBidi" w:cstheme="majorBidi"/>
          <w:szCs w:val="24"/>
        </w:rPr>
      </w:pPr>
      <w:r w:rsidRPr="008842AD">
        <w:rPr>
          <w:rFonts w:asciiTheme="majorBidi" w:hAnsiTheme="majorBidi" w:cstheme="majorBidi"/>
          <w:szCs w:val="24"/>
        </w:rPr>
        <w:t>PART B</w:t>
      </w:r>
    </w:p>
    <w:p w:rsidR="00593F37" w:rsidRPr="008842AD" w:rsidRDefault="00D772CE" w:rsidP="00C50FFE">
      <w:pPr>
        <w:pStyle w:val="Para"/>
        <w:spacing w:after="0" w:line="360" w:lineRule="auto"/>
        <w:rPr>
          <w:rFonts w:asciiTheme="majorBidi" w:hAnsiTheme="majorBidi" w:cstheme="majorBidi"/>
          <w:szCs w:val="24"/>
        </w:rPr>
      </w:pPr>
      <w:r w:rsidRPr="008842AD">
        <w:rPr>
          <w:rFonts w:asciiTheme="majorBidi" w:hAnsiTheme="majorBidi" w:cstheme="majorBidi"/>
          <w:szCs w:val="24"/>
        </w:rPr>
        <w:t>This section is not applicable because statistical methods are not used in data collection associated with the final amendments.</w:t>
      </w:r>
    </w:p>
    <w:p w:rsidR="00593F37" w:rsidRPr="008842AD" w:rsidRDefault="00593F37" w:rsidP="00593F37">
      <w:pPr>
        <w:rPr>
          <w:rFonts w:asciiTheme="majorBidi" w:hAnsiTheme="majorBidi" w:cstheme="majorBidi"/>
          <w:szCs w:val="24"/>
        </w:rPr>
        <w:sectPr w:rsidR="00593F37" w:rsidRPr="008842AD" w:rsidSect="00F773E1">
          <w:headerReference w:type="default" r:id="rId8"/>
          <w:footerReference w:type="default" r:id="rId9"/>
          <w:pgSz w:w="12240" w:h="15840"/>
          <w:pgMar w:top="1440" w:right="1440" w:bottom="1440" w:left="1440" w:header="720" w:footer="720" w:gutter="0"/>
          <w:cols w:space="720"/>
          <w:docGrid w:linePitch="360"/>
        </w:sectPr>
      </w:pPr>
    </w:p>
    <w:tbl>
      <w:tblPr>
        <w:tblW w:w="12600" w:type="dxa"/>
        <w:tblInd w:w="94" w:type="dxa"/>
        <w:tblLook w:val="04A0"/>
      </w:tblPr>
      <w:tblGrid>
        <w:gridCol w:w="3800"/>
        <w:gridCol w:w="1100"/>
        <w:gridCol w:w="1136"/>
        <w:gridCol w:w="1100"/>
        <w:gridCol w:w="1197"/>
        <w:gridCol w:w="1100"/>
        <w:gridCol w:w="1226"/>
        <w:gridCol w:w="1100"/>
        <w:gridCol w:w="1100"/>
      </w:tblGrid>
      <w:tr w:rsidR="00F013D0" w:rsidRPr="00F013D0" w:rsidTr="00F013D0">
        <w:trPr>
          <w:trHeight w:val="330"/>
        </w:trPr>
        <w:tc>
          <w:tcPr>
            <w:tcW w:w="12600" w:type="dxa"/>
            <w:gridSpan w:val="9"/>
            <w:tcBorders>
              <w:top w:val="nil"/>
              <w:left w:val="nil"/>
              <w:bottom w:val="double" w:sz="6" w:space="0" w:color="auto"/>
              <w:right w:val="nil"/>
            </w:tcBorders>
            <w:shd w:val="clear" w:color="auto" w:fill="auto"/>
            <w:vAlign w:val="bottom"/>
            <w:hideMark/>
          </w:tcPr>
          <w:p w:rsidR="00F013D0" w:rsidRPr="00F013D0" w:rsidRDefault="00F013D0" w:rsidP="00F013D0">
            <w:pPr>
              <w:jc w:val="center"/>
              <w:rPr>
                <w:rFonts w:ascii="Times New Roman" w:eastAsia="Times New Roman" w:hAnsi="Times New Roman"/>
                <w:b/>
                <w:bCs/>
                <w:color w:val="000000"/>
                <w:szCs w:val="24"/>
              </w:rPr>
            </w:pPr>
            <w:r w:rsidRPr="00F013D0">
              <w:rPr>
                <w:rFonts w:ascii="Times New Roman" w:eastAsia="Times New Roman" w:hAnsi="Times New Roman"/>
                <w:b/>
                <w:bCs/>
                <w:color w:val="000000"/>
                <w:szCs w:val="24"/>
              </w:rPr>
              <w:lastRenderedPageBreak/>
              <w:t xml:space="preserve">TABLE 1.  ANNUAL RESPONDENT BURDEN AND COST - AMENDMENTS TO PORTLAND CEMENT MANUFACTURING NESHAP </w:t>
            </w:r>
          </w:p>
        </w:tc>
      </w:tr>
      <w:tr w:rsidR="00F013D0" w:rsidRPr="00F013D0" w:rsidTr="00F013D0">
        <w:trPr>
          <w:trHeight w:val="255"/>
        </w:trPr>
        <w:tc>
          <w:tcPr>
            <w:tcW w:w="3800" w:type="dxa"/>
            <w:tcBorders>
              <w:top w:val="nil"/>
              <w:left w:val="double" w:sz="6" w:space="0" w:color="auto"/>
              <w:bottom w:val="nil"/>
              <w:right w:val="single" w:sz="4" w:space="0" w:color="auto"/>
            </w:tcBorders>
            <w:shd w:val="clear" w:color="000000" w:fill="D8D8D8"/>
            <w:vAlign w:val="bottom"/>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Burden item</w:t>
            </w:r>
          </w:p>
        </w:tc>
        <w:tc>
          <w:tcPr>
            <w:tcW w:w="1100" w:type="dxa"/>
            <w:tcBorders>
              <w:top w:val="nil"/>
              <w:left w:val="nil"/>
              <w:bottom w:val="nil"/>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(A)</w:t>
            </w:r>
          </w:p>
        </w:tc>
        <w:tc>
          <w:tcPr>
            <w:tcW w:w="1100" w:type="dxa"/>
            <w:tcBorders>
              <w:top w:val="nil"/>
              <w:left w:val="nil"/>
              <w:bottom w:val="nil"/>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(B)</w:t>
            </w:r>
          </w:p>
        </w:tc>
        <w:tc>
          <w:tcPr>
            <w:tcW w:w="1100" w:type="dxa"/>
            <w:tcBorders>
              <w:top w:val="nil"/>
              <w:left w:val="nil"/>
              <w:bottom w:val="nil"/>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(C)</w:t>
            </w:r>
          </w:p>
        </w:tc>
        <w:tc>
          <w:tcPr>
            <w:tcW w:w="1100" w:type="dxa"/>
            <w:tcBorders>
              <w:top w:val="nil"/>
              <w:left w:val="nil"/>
              <w:bottom w:val="nil"/>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(D)</w:t>
            </w:r>
          </w:p>
        </w:tc>
        <w:tc>
          <w:tcPr>
            <w:tcW w:w="1100" w:type="dxa"/>
            <w:tcBorders>
              <w:top w:val="nil"/>
              <w:left w:val="nil"/>
              <w:bottom w:val="nil"/>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(E)</w:t>
            </w:r>
          </w:p>
        </w:tc>
        <w:tc>
          <w:tcPr>
            <w:tcW w:w="1100" w:type="dxa"/>
            <w:tcBorders>
              <w:top w:val="nil"/>
              <w:left w:val="nil"/>
              <w:bottom w:val="nil"/>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(F)</w:t>
            </w:r>
          </w:p>
        </w:tc>
        <w:tc>
          <w:tcPr>
            <w:tcW w:w="1100" w:type="dxa"/>
            <w:tcBorders>
              <w:top w:val="nil"/>
              <w:left w:val="nil"/>
              <w:bottom w:val="nil"/>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(G)</w:t>
            </w:r>
          </w:p>
        </w:tc>
        <w:tc>
          <w:tcPr>
            <w:tcW w:w="1100" w:type="dxa"/>
            <w:tcBorders>
              <w:top w:val="nil"/>
              <w:left w:val="nil"/>
              <w:bottom w:val="nil"/>
              <w:right w:val="double" w:sz="6"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(H)</w:t>
            </w:r>
          </w:p>
        </w:tc>
      </w:tr>
      <w:tr w:rsidR="00F013D0" w:rsidRPr="00F013D0" w:rsidTr="00F013D0">
        <w:trPr>
          <w:trHeight w:val="1200"/>
        </w:trPr>
        <w:tc>
          <w:tcPr>
            <w:tcW w:w="3800" w:type="dxa"/>
            <w:tcBorders>
              <w:top w:val="nil"/>
              <w:left w:val="double" w:sz="6" w:space="0" w:color="auto"/>
              <w:bottom w:val="single" w:sz="4"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Person-hours per occurrence</w:t>
            </w:r>
          </w:p>
        </w:tc>
        <w:tc>
          <w:tcPr>
            <w:tcW w:w="1100" w:type="dxa"/>
            <w:tcBorders>
              <w:top w:val="nil"/>
              <w:left w:val="nil"/>
              <w:bottom w:val="single" w:sz="4" w:space="0" w:color="auto"/>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No. of occurrences per respondent</w:t>
            </w:r>
          </w:p>
        </w:tc>
        <w:tc>
          <w:tcPr>
            <w:tcW w:w="1100" w:type="dxa"/>
            <w:tcBorders>
              <w:top w:val="nil"/>
              <w:left w:val="nil"/>
              <w:bottom w:val="single" w:sz="4" w:space="0" w:color="auto"/>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Person-hours per respondent (C=A*B)</w:t>
            </w:r>
          </w:p>
        </w:tc>
        <w:tc>
          <w:tcPr>
            <w:tcW w:w="1100" w:type="dxa"/>
            <w:tcBorders>
              <w:top w:val="nil"/>
              <w:left w:val="nil"/>
              <w:bottom w:val="single" w:sz="4" w:space="0" w:color="auto"/>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Respondents per year</w:t>
            </w:r>
          </w:p>
        </w:tc>
        <w:tc>
          <w:tcPr>
            <w:tcW w:w="1100" w:type="dxa"/>
            <w:tcBorders>
              <w:top w:val="nil"/>
              <w:left w:val="nil"/>
              <w:bottom w:val="single" w:sz="4" w:space="0" w:color="auto"/>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Technical person-hours per year (E=C*D)</w:t>
            </w:r>
          </w:p>
        </w:tc>
        <w:tc>
          <w:tcPr>
            <w:tcW w:w="1100" w:type="dxa"/>
            <w:tcBorders>
              <w:top w:val="nil"/>
              <w:left w:val="nil"/>
              <w:bottom w:val="single" w:sz="4" w:space="0" w:color="auto"/>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Management person-hours per year (E*0.05)</w:t>
            </w:r>
          </w:p>
        </w:tc>
        <w:tc>
          <w:tcPr>
            <w:tcW w:w="1100" w:type="dxa"/>
            <w:tcBorders>
              <w:top w:val="nil"/>
              <w:left w:val="nil"/>
              <w:bottom w:val="single" w:sz="4" w:space="0" w:color="auto"/>
              <w:right w:val="single" w:sz="4"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Clerical person-hours per year (E*0.1)</w:t>
            </w:r>
          </w:p>
        </w:tc>
        <w:tc>
          <w:tcPr>
            <w:tcW w:w="1100" w:type="dxa"/>
            <w:tcBorders>
              <w:top w:val="nil"/>
              <w:left w:val="nil"/>
              <w:bottom w:val="single" w:sz="4" w:space="0" w:color="auto"/>
              <w:right w:val="double" w:sz="6" w:space="0" w:color="auto"/>
            </w:tcBorders>
            <w:shd w:val="clear" w:color="000000" w:fill="D8D8D8"/>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xml:space="preserve">Cost </w:t>
            </w:r>
            <w:r w:rsidRPr="00F013D0">
              <w:rPr>
                <w:rFonts w:ascii="Times New Roman" w:eastAsia="Times New Roman" w:hAnsi="Times New Roman"/>
                <w:b/>
                <w:bCs/>
                <w:color w:val="000000"/>
                <w:sz w:val="18"/>
                <w:szCs w:val="18"/>
                <w:vertAlign w:val="superscript"/>
              </w:rPr>
              <w:t>a</w:t>
            </w:r>
            <w:r w:rsidRPr="00F013D0">
              <w:rPr>
                <w:rFonts w:ascii="Times New Roman" w:eastAsia="Times New Roman" w:hAnsi="Times New Roman"/>
                <w:b/>
                <w:bCs/>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1. Applications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hideMark/>
          </w:tcPr>
          <w:p w:rsidR="00F013D0" w:rsidRPr="00F013D0" w:rsidRDefault="00F013D0" w:rsidP="00F013D0">
            <w:pPr>
              <w:jc w:val="cente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nil"/>
              <w:left w:val="nil"/>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2. Surveys and Studies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48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3. Acquisition, Installation, and Utilization of Technology and Systems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4. Reporting Requirements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A. Read instructions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B. Required activities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C. Create information</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D. Gather existing information</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E. Write report</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F.  Affirmative defense reports/analysis b</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30</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30</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30</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$3,258</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5. Recordkeeping Requirements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A. Read instructions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B. Plan activities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C. Implement activities</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75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400" w:firstLine="72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xml:space="preserve">Revise O&amp;M plan to address </w:t>
            </w:r>
            <w:proofErr w:type="spellStart"/>
            <w:r w:rsidRPr="00F013D0">
              <w:rPr>
                <w:rFonts w:ascii="Times New Roman" w:eastAsia="Times New Roman" w:hAnsi="Times New Roman"/>
                <w:color w:val="000000"/>
                <w:sz w:val="18"/>
                <w:szCs w:val="18"/>
              </w:rPr>
              <w:t>starup</w:t>
            </w:r>
            <w:proofErr w:type="spellEnd"/>
            <w:r w:rsidRPr="00F013D0">
              <w:rPr>
                <w:rFonts w:ascii="Times New Roman" w:eastAsia="Times New Roman" w:hAnsi="Times New Roman"/>
                <w:color w:val="000000"/>
                <w:sz w:val="18"/>
                <w:szCs w:val="18"/>
              </w:rPr>
              <w:t xml:space="preserve">/shutdown and clinker pile fugitive dust </w:t>
            </w:r>
            <w:r w:rsidRPr="00F013D0">
              <w:rPr>
                <w:rFonts w:ascii="Times New Roman" w:eastAsia="Times New Roman" w:hAnsi="Times New Roman"/>
                <w:color w:val="000000"/>
                <w:sz w:val="18"/>
                <w:szCs w:val="18"/>
                <w:vertAlign w:val="superscript"/>
              </w:rPr>
              <w:t>c</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16</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16</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29.0</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464</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23</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46</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$51,129</w:t>
            </w:r>
          </w:p>
        </w:tc>
      </w:tr>
      <w:tr w:rsidR="00F013D0" w:rsidRPr="00F013D0" w:rsidTr="00F013D0">
        <w:trPr>
          <w:trHeight w:val="27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400" w:firstLine="72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xml:space="preserve">Coal mill parameter monitoring </w:t>
            </w:r>
            <w:r w:rsidRPr="00F013D0">
              <w:rPr>
                <w:rFonts w:ascii="Times New Roman" w:eastAsia="Times New Roman" w:hAnsi="Times New Roman"/>
                <w:color w:val="000000"/>
                <w:sz w:val="18"/>
                <w:szCs w:val="18"/>
                <w:vertAlign w:val="superscript"/>
              </w:rPr>
              <w:t>d</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2</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4</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8</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8.7</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69</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3</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7</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$7,640</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D. Develop record system</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E. Time to enter information</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F. Time to train personnel</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013D0">
        <w:trPr>
          <w:trHeight w:val="48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G. Time to adjust existing ways to comply with previously applicable requirements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12FDB">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H. Time to transmit or disclose information</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12FDB">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200" w:firstLine="36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I. Time for audits</w:t>
            </w:r>
          </w:p>
        </w:tc>
        <w:tc>
          <w:tcPr>
            <w:tcW w:w="1100" w:type="dxa"/>
            <w:tcBorders>
              <w:top w:val="nil"/>
              <w:left w:val="nil"/>
              <w:bottom w:val="single" w:sz="4" w:space="0" w:color="auto"/>
              <w:right w:val="single" w:sz="4" w:space="0" w:color="auto"/>
            </w:tcBorders>
            <w:shd w:val="clear" w:color="auto" w:fill="auto"/>
            <w:vAlign w:val="bottom"/>
            <w:hideMark/>
          </w:tcPr>
          <w:p w:rsidR="00F013D0" w:rsidRPr="00F013D0" w:rsidRDefault="00F013D0" w:rsidP="00F013D0">
            <w:pPr>
              <w:jc w:val="cente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r>
      <w:tr w:rsidR="00F013D0" w:rsidRPr="00F013D0" w:rsidTr="00F12FDB">
        <w:trPr>
          <w:trHeight w:val="495"/>
        </w:trPr>
        <w:tc>
          <w:tcPr>
            <w:tcW w:w="3800" w:type="dxa"/>
            <w:tcBorders>
              <w:top w:val="nil"/>
              <w:left w:val="double" w:sz="6" w:space="0" w:color="auto"/>
              <w:bottom w:val="double" w:sz="6" w:space="0" w:color="auto"/>
              <w:right w:val="single" w:sz="4" w:space="0" w:color="auto"/>
            </w:tcBorders>
            <w:shd w:val="clear" w:color="000000" w:fill="D8D8D8"/>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TOTAL LABOR BURDEN AND COST (SALARY)</w:t>
            </w:r>
          </w:p>
        </w:tc>
        <w:tc>
          <w:tcPr>
            <w:tcW w:w="1100" w:type="dxa"/>
            <w:tcBorders>
              <w:top w:val="nil"/>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nil"/>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nil"/>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nil"/>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nil"/>
              <w:left w:val="nil"/>
              <w:bottom w:val="double" w:sz="6" w:space="0" w:color="auto"/>
              <w:right w:val="single" w:sz="4" w:space="0" w:color="auto"/>
            </w:tcBorders>
            <w:shd w:val="clear" w:color="000000" w:fill="D8D8D8"/>
            <w:noWrap/>
            <w:vAlign w:val="bottom"/>
            <w:hideMark/>
          </w:tcPr>
          <w:p w:rsidR="00F013D0" w:rsidRPr="00F013D0" w:rsidRDefault="00F013D0" w:rsidP="00F013D0">
            <w:pPr>
              <w:jc w:val="right"/>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563</w:t>
            </w:r>
          </w:p>
        </w:tc>
        <w:tc>
          <w:tcPr>
            <w:tcW w:w="1100" w:type="dxa"/>
            <w:tcBorders>
              <w:top w:val="nil"/>
              <w:left w:val="nil"/>
              <w:bottom w:val="double" w:sz="6" w:space="0" w:color="auto"/>
              <w:right w:val="single" w:sz="4" w:space="0" w:color="auto"/>
            </w:tcBorders>
            <w:shd w:val="clear" w:color="000000" w:fill="D8D8D8"/>
            <w:noWrap/>
            <w:vAlign w:val="bottom"/>
            <w:hideMark/>
          </w:tcPr>
          <w:p w:rsidR="00F013D0" w:rsidRPr="00F013D0" w:rsidRDefault="00F013D0" w:rsidP="00F013D0">
            <w:pPr>
              <w:jc w:val="right"/>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27</w:t>
            </w:r>
          </w:p>
        </w:tc>
        <w:tc>
          <w:tcPr>
            <w:tcW w:w="1100" w:type="dxa"/>
            <w:tcBorders>
              <w:top w:val="nil"/>
              <w:left w:val="nil"/>
              <w:bottom w:val="double" w:sz="6" w:space="0" w:color="auto"/>
              <w:right w:val="single" w:sz="4" w:space="0" w:color="auto"/>
            </w:tcBorders>
            <w:shd w:val="clear" w:color="000000" w:fill="D8D8D8"/>
            <w:noWrap/>
            <w:vAlign w:val="bottom"/>
            <w:hideMark/>
          </w:tcPr>
          <w:p w:rsidR="00F013D0" w:rsidRPr="00F013D0" w:rsidRDefault="00F013D0" w:rsidP="00F013D0">
            <w:pPr>
              <w:jc w:val="right"/>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53</w:t>
            </w:r>
          </w:p>
        </w:tc>
        <w:tc>
          <w:tcPr>
            <w:tcW w:w="1100" w:type="dxa"/>
            <w:tcBorders>
              <w:top w:val="single" w:sz="4" w:space="0" w:color="auto"/>
              <w:left w:val="nil"/>
              <w:bottom w:val="double" w:sz="6" w:space="0" w:color="auto"/>
              <w:right w:val="double" w:sz="6" w:space="0" w:color="auto"/>
            </w:tcBorders>
            <w:shd w:val="clear" w:color="000000" w:fill="D8D8D8"/>
            <w:noWrap/>
            <w:vAlign w:val="bottom"/>
            <w:hideMark/>
          </w:tcPr>
          <w:p w:rsidR="00F013D0" w:rsidRPr="00F013D0" w:rsidRDefault="00F013D0" w:rsidP="00F013D0">
            <w:pPr>
              <w:jc w:val="right"/>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$62,027</w:t>
            </w:r>
          </w:p>
        </w:tc>
      </w:tr>
      <w:tr w:rsidR="00F013D0" w:rsidRPr="00F013D0" w:rsidTr="00F12FDB">
        <w:trPr>
          <w:trHeight w:val="285"/>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lastRenderedPageBreak/>
              <w:t xml:space="preserve">ANNUAL COSTS (O&amp;M) </w:t>
            </w:r>
            <w:r w:rsidRPr="00F013D0">
              <w:rPr>
                <w:rFonts w:ascii="Times New Roman" w:eastAsia="Times New Roman" w:hAnsi="Times New Roman"/>
                <w:color w:val="000000"/>
                <w:sz w:val="18"/>
                <w:szCs w:val="18"/>
                <w:vertAlign w:val="superscript"/>
              </w:rPr>
              <w:t>e</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8.7</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$22,440</w:t>
            </w:r>
          </w:p>
        </w:tc>
      </w:tr>
      <w:tr w:rsidR="00F013D0" w:rsidRPr="00F013D0" w:rsidTr="00F12FDB">
        <w:trPr>
          <w:trHeight w:val="24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CAPITAL COSTS</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nil"/>
              <w:right w:val="nil"/>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single" w:sz="4" w:space="0" w:color="auto"/>
              <w:right w:val="double" w:sz="6"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p>
        </w:tc>
      </w:tr>
      <w:tr w:rsidR="00F013D0" w:rsidRPr="00F013D0" w:rsidTr="00F12FDB">
        <w:trPr>
          <w:trHeight w:val="27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400" w:firstLine="72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xml:space="preserve">Coal mill testing </w:t>
            </w:r>
            <w:r w:rsidRPr="00F013D0">
              <w:rPr>
                <w:rFonts w:ascii="Times New Roman" w:eastAsia="Times New Roman" w:hAnsi="Times New Roman"/>
                <w:color w:val="000000"/>
                <w:sz w:val="18"/>
                <w:szCs w:val="18"/>
                <w:vertAlign w:val="superscript"/>
              </w:rPr>
              <w:t>f</w:t>
            </w:r>
          </w:p>
        </w:tc>
        <w:tc>
          <w:tcPr>
            <w:tcW w:w="1100" w:type="dxa"/>
            <w:tcBorders>
              <w:top w:val="nil"/>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8.7</w:t>
            </w:r>
          </w:p>
        </w:tc>
        <w:tc>
          <w:tcPr>
            <w:tcW w:w="1100" w:type="dxa"/>
            <w:tcBorders>
              <w:top w:val="nil"/>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single" w:sz="4" w:space="0" w:color="auto"/>
              <w:right w:val="double" w:sz="6"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$440,267</w:t>
            </w:r>
          </w:p>
        </w:tc>
      </w:tr>
      <w:tr w:rsidR="00F013D0" w:rsidRPr="00F013D0" w:rsidTr="00F013D0">
        <w:trPr>
          <w:trHeight w:val="27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ind w:firstLineChars="400" w:firstLine="720"/>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xml:space="preserve">Purchase and installation of flow device </w:t>
            </w:r>
            <w:r w:rsidRPr="00F013D0">
              <w:rPr>
                <w:rFonts w:ascii="Times New Roman" w:eastAsia="Times New Roman" w:hAnsi="Times New Roman"/>
                <w:color w:val="000000"/>
                <w:sz w:val="18"/>
                <w:szCs w:val="18"/>
                <w:vertAlign w:val="superscript"/>
              </w:rPr>
              <w:t>g</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8.7</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sz w:val="18"/>
                <w:szCs w:val="18"/>
              </w:rPr>
            </w:pPr>
            <w:r w:rsidRPr="00F013D0">
              <w:rPr>
                <w:rFonts w:ascii="Times New Roman" w:eastAsia="Times New Roman" w:hAnsi="Times New Roman"/>
                <w:sz w:val="18"/>
                <w:szCs w:val="18"/>
              </w:rPr>
              <w:t>$310,091</w:t>
            </w:r>
          </w:p>
        </w:tc>
      </w:tr>
      <w:tr w:rsidR="00F013D0" w:rsidRPr="00F013D0" w:rsidTr="00F013D0">
        <w:trPr>
          <w:trHeight w:val="270"/>
        </w:trPr>
        <w:tc>
          <w:tcPr>
            <w:tcW w:w="3800" w:type="dxa"/>
            <w:tcBorders>
              <w:top w:val="nil"/>
              <w:left w:val="double" w:sz="6" w:space="0" w:color="auto"/>
              <w:bottom w:val="single" w:sz="4" w:space="0" w:color="auto"/>
              <w:right w:val="single" w:sz="4" w:space="0" w:color="auto"/>
            </w:tcBorders>
            <w:shd w:val="clear" w:color="auto" w:fill="auto"/>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xml:space="preserve">ANNUALIZED CAPITAL COSTS </w:t>
            </w:r>
            <w:r w:rsidRPr="00F013D0">
              <w:rPr>
                <w:rFonts w:ascii="Times New Roman" w:eastAsia="Times New Roman" w:hAnsi="Times New Roman"/>
                <w:color w:val="000000"/>
                <w:sz w:val="18"/>
                <w:szCs w:val="18"/>
                <w:vertAlign w:val="superscript"/>
              </w:rPr>
              <w:t>h</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8.7</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single" w:sz="4" w:space="0" w:color="auto"/>
              <w:left w:val="nil"/>
              <w:bottom w:val="nil"/>
              <w:right w:val="single" w:sz="4" w:space="0" w:color="auto"/>
            </w:tcBorders>
            <w:shd w:val="clear" w:color="auto" w:fill="auto"/>
            <w:noWrap/>
            <w:vAlign w:val="bottom"/>
            <w:hideMark/>
          </w:tcPr>
          <w:p w:rsidR="00F013D0" w:rsidRPr="00F013D0" w:rsidRDefault="00F013D0" w:rsidP="00F013D0">
            <w:pPr>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F013D0" w:rsidRPr="00F013D0" w:rsidRDefault="00F013D0" w:rsidP="00F013D0">
            <w:pPr>
              <w:jc w:val="right"/>
              <w:rPr>
                <w:rFonts w:ascii="Times New Roman" w:eastAsia="Times New Roman" w:hAnsi="Times New Roman"/>
                <w:color w:val="000000"/>
                <w:sz w:val="18"/>
                <w:szCs w:val="18"/>
              </w:rPr>
            </w:pPr>
            <w:r w:rsidRPr="00F013D0">
              <w:rPr>
                <w:rFonts w:ascii="Times New Roman" w:eastAsia="Times New Roman" w:hAnsi="Times New Roman"/>
                <w:color w:val="000000"/>
                <w:sz w:val="18"/>
                <w:szCs w:val="18"/>
              </w:rPr>
              <w:t>$97,714</w:t>
            </w:r>
          </w:p>
        </w:tc>
      </w:tr>
      <w:tr w:rsidR="00F013D0" w:rsidRPr="00F013D0" w:rsidTr="00F013D0">
        <w:trPr>
          <w:trHeight w:val="495"/>
        </w:trPr>
        <w:tc>
          <w:tcPr>
            <w:tcW w:w="3800" w:type="dxa"/>
            <w:tcBorders>
              <w:top w:val="nil"/>
              <w:left w:val="double" w:sz="6" w:space="0" w:color="auto"/>
              <w:bottom w:val="double" w:sz="6" w:space="0" w:color="auto"/>
              <w:right w:val="single" w:sz="4" w:space="0" w:color="auto"/>
            </w:tcBorders>
            <w:shd w:val="clear" w:color="000000" w:fill="D8D8D8"/>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TOTAL ANNUALIZED COSTS (annualized capital cost and annual O&amp;M costs)</w:t>
            </w:r>
          </w:p>
        </w:tc>
        <w:tc>
          <w:tcPr>
            <w:tcW w:w="1100" w:type="dxa"/>
            <w:tcBorders>
              <w:top w:val="single" w:sz="4" w:space="0" w:color="auto"/>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single" w:sz="4" w:space="0" w:color="auto"/>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single" w:sz="4" w:space="0" w:color="auto"/>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nil"/>
              <w:left w:val="nil"/>
              <w:bottom w:val="double" w:sz="6" w:space="0" w:color="auto"/>
              <w:right w:val="single" w:sz="4" w:space="0" w:color="auto"/>
            </w:tcBorders>
            <w:shd w:val="clear" w:color="000000" w:fill="D8D8D8"/>
            <w:noWrap/>
            <w:vAlign w:val="bottom"/>
            <w:hideMark/>
          </w:tcPr>
          <w:p w:rsidR="00F013D0" w:rsidRPr="00F013D0" w:rsidRDefault="00F013D0" w:rsidP="00F013D0">
            <w:pPr>
              <w:jc w:val="right"/>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8.7</w:t>
            </w:r>
          </w:p>
        </w:tc>
        <w:tc>
          <w:tcPr>
            <w:tcW w:w="1100" w:type="dxa"/>
            <w:tcBorders>
              <w:top w:val="single" w:sz="4" w:space="0" w:color="auto"/>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single" w:sz="4" w:space="0" w:color="auto"/>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single" w:sz="4" w:space="0" w:color="auto"/>
              <w:left w:val="nil"/>
              <w:bottom w:val="double" w:sz="6" w:space="0" w:color="auto"/>
              <w:right w:val="single" w:sz="4" w:space="0" w:color="auto"/>
            </w:tcBorders>
            <w:shd w:val="clear" w:color="000000" w:fill="D8D8D8"/>
            <w:noWrap/>
            <w:vAlign w:val="bottom"/>
            <w:hideMark/>
          </w:tcPr>
          <w:p w:rsidR="00F013D0" w:rsidRPr="00F013D0" w:rsidRDefault="00F013D0" w:rsidP="00F013D0">
            <w:pPr>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 </w:t>
            </w:r>
          </w:p>
        </w:tc>
        <w:tc>
          <w:tcPr>
            <w:tcW w:w="1100" w:type="dxa"/>
            <w:tcBorders>
              <w:top w:val="nil"/>
              <w:left w:val="nil"/>
              <w:bottom w:val="double" w:sz="6" w:space="0" w:color="auto"/>
              <w:right w:val="double" w:sz="6" w:space="0" w:color="auto"/>
            </w:tcBorders>
            <w:shd w:val="clear" w:color="000000" w:fill="D8D8D8"/>
            <w:noWrap/>
            <w:vAlign w:val="bottom"/>
            <w:hideMark/>
          </w:tcPr>
          <w:p w:rsidR="00F013D0" w:rsidRPr="00F013D0" w:rsidRDefault="00F013D0" w:rsidP="00F013D0">
            <w:pPr>
              <w:jc w:val="right"/>
              <w:rPr>
                <w:rFonts w:ascii="Times New Roman" w:eastAsia="Times New Roman" w:hAnsi="Times New Roman"/>
                <w:b/>
                <w:bCs/>
                <w:color w:val="000000"/>
                <w:sz w:val="18"/>
                <w:szCs w:val="18"/>
              </w:rPr>
            </w:pPr>
            <w:r w:rsidRPr="00F013D0">
              <w:rPr>
                <w:rFonts w:ascii="Times New Roman" w:eastAsia="Times New Roman" w:hAnsi="Times New Roman"/>
                <w:b/>
                <w:bCs/>
                <w:color w:val="000000"/>
                <w:sz w:val="18"/>
                <w:szCs w:val="18"/>
              </w:rPr>
              <w:t>$120,155</w:t>
            </w:r>
          </w:p>
        </w:tc>
      </w:tr>
      <w:tr w:rsidR="00F013D0" w:rsidRPr="00F013D0" w:rsidTr="00F013D0">
        <w:trPr>
          <w:trHeight w:val="255"/>
        </w:trPr>
        <w:tc>
          <w:tcPr>
            <w:tcW w:w="12600" w:type="dxa"/>
            <w:gridSpan w:val="9"/>
            <w:tcBorders>
              <w:top w:val="nil"/>
              <w:left w:val="nil"/>
              <w:bottom w:val="nil"/>
              <w:right w:val="nil"/>
            </w:tcBorders>
            <w:shd w:val="clear" w:color="auto" w:fill="auto"/>
            <w:vAlign w:val="bottom"/>
            <w:hideMark/>
          </w:tcPr>
          <w:p w:rsidR="00F013D0" w:rsidRPr="00F013D0" w:rsidRDefault="00F013D0" w:rsidP="00F013D0">
            <w:pPr>
              <w:rPr>
                <w:rFonts w:ascii="Times New Roman" w:eastAsia="Times New Roman" w:hAnsi="Times New Roman"/>
                <w:color w:val="000000"/>
                <w:sz w:val="18"/>
                <w:szCs w:val="18"/>
              </w:rPr>
            </w:pPr>
            <w:proofErr w:type="gramStart"/>
            <w:r w:rsidRPr="00F013D0">
              <w:rPr>
                <w:rFonts w:ascii="Times New Roman" w:eastAsia="Times New Roman" w:hAnsi="Times New Roman"/>
                <w:color w:val="000000"/>
                <w:sz w:val="18"/>
                <w:szCs w:val="18"/>
              </w:rPr>
              <w:t>a</w:t>
            </w:r>
            <w:proofErr w:type="gramEnd"/>
            <w:r w:rsidRPr="00F013D0">
              <w:rPr>
                <w:rFonts w:ascii="Times New Roman" w:eastAsia="Times New Roman" w:hAnsi="Times New Roman"/>
                <w:color w:val="000000"/>
                <w:sz w:val="18"/>
                <w:szCs w:val="18"/>
              </w:rPr>
              <w:t xml:space="preserve"> This ICR uses the following labor rates: $121.42 for managerial labor, $99.14 for technical labor, and $49.81 for clerical labor. These rates are based on the U.S. Department of Labor, Bureau of Labor Statistics, Occupational Employment and Wages, September, 2011.</w:t>
            </w:r>
          </w:p>
        </w:tc>
      </w:tr>
      <w:tr w:rsidR="00F013D0" w:rsidRPr="00F013D0" w:rsidTr="00F013D0">
        <w:trPr>
          <w:trHeight w:val="240"/>
        </w:trPr>
        <w:tc>
          <w:tcPr>
            <w:tcW w:w="12600" w:type="dxa"/>
            <w:gridSpan w:val="9"/>
            <w:tcBorders>
              <w:top w:val="nil"/>
              <w:left w:val="nil"/>
              <w:bottom w:val="nil"/>
              <w:right w:val="nil"/>
            </w:tcBorders>
            <w:shd w:val="clear" w:color="auto" w:fill="auto"/>
            <w:vAlign w:val="bottom"/>
            <w:hideMark/>
          </w:tcPr>
          <w:p w:rsidR="00F013D0" w:rsidRPr="00F013D0" w:rsidRDefault="00F013D0" w:rsidP="00F013D0">
            <w:pPr>
              <w:rPr>
                <w:rFonts w:ascii="Times New Roman" w:eastAsia="Times New Roman" w:hAnsi="Times New Roman"/>
                <w:sz w:val="18"/>
                <w:szCs w:val="18"/>
              </w:rPr>
            </w:pPr>
            <w:proofErr w:type="gramStart"/>
            <w:r w:rsidRPr="00F013D0">
              <w:rPr>
                <w:rFonts w:ascii="Times New Roman" w:eastAsia="Times New Roman" w:hAnsi="Times New Roman"/>
                <w:sz w:val="18"/>
                <w:szCs w:val="18"/>
              </w:rPr>
              <w:t>b</w:t>
            </w:r>
            <w:proofErr w:type="gramEnd"/>
            <w:r w:rsidRPr="00F013D0">
              <w:rPr>
                <w:rFonts w:ascii="Times New Roman" w:eastAsia="Times New Roman" w:hAnsi="Times New Roman"/>
                <w:sz w:val="18"/>
                <w:szCs w:val="18"/>
              </w:rPr>
              <w:t xml:space="preserve"> See Section 4(b)(iii) above for description of affirmative defense burden.</w:t>
            </w:r>
          </w:p>
        </w:tc>
      </w:tr>
      <w:tr w:rsidR="00F013D0" w:rsidRPr="00F013D0" w:rsidTr="00F013D0">
        <w:trPr>
          <w:trHeight w:val="240"/>
        </w:trPr>
        <w:tc>
          <w:tcPr>
            <w:tcW w:w="12600" w:type="dxa"/>
            <w:gridSpan w:val="9"/>
            <w:tcBorders>
              <w:top w:val="nil"/>
              <w:left w:val="nil"/>
              <w:bottom w:val="nil"/>
              <w:right w:val="nil"/>
            </w:tcBorders>
            <w:shd w:val="clear" w:color="auto" w:fill="auto"/>
            <w:vAlign w:val="bottom"/>
            <w:hideMark/>
          </w:tcPr>
          <w:p w:rsidR="00F013D0" w:rsidRPr="00F013D0" w:rsidRDefault="00F013D0" w:rsidP="00F013D0">
            <w:pPr>
              <w:rPr>
                <w:rFonts w:ascii="Times New Roman" w:eastAsia="Times New Roman" w:hAnsi="Times New Roman"/>
                <w:sz w:val="18"/>
                <w:szCs w:val="18"/>
              </w:rPr>
            </w:pPr>
            <w:proofErr w:type="gramStart"/>
            <w:r w:rsidRPr="00F013D0">
              <w:rPr>
                <w:rFonts w:ascii="Times New Roman" w:eastAsia="Times New Roman" w:hAnsi="Times New Roman"/>
                <w:sz w:val="18"/>
                <w:szCs w:val="18"/>
              </w:rPr>
              <w:t>c</w:t>
            </w:r>
            <w:proofErr w:type="gramEnd"/>
            <w:r w:rsidRPr="00F013D0">
              <w:rPr>
                <w:rFonts w:ascii="Times New Roman" w:eastAsia="Times New Roman" w:hAnsi="Times New Roman"/>
                <w:sz w:val="18"/>
                <w:szCs w:val="18"/>
              </w:rPr>
              <w:t xml:space="preserve"> Assumed to be a </w:t>
            </w:r>
            <w:proofErr w:type="spellStart"/>
            <w:r w:rsidRPr="00F013D0">
              <w:rPr>
                <w:rFonts w:ascii="Times New Roman" w:eastAsia="Times New Roman" w:hAnsi="Times New Roman"/>
                <w:sz w:val="18"/>
                <w:szCs w:val="18"/>
              </w:rPr>
              <w:t>one time</w:t>
            </w:r>
            <w:proofErr w:type="spellEnd"/>
            <w:r w:rsidRPr="00F013D0">
              <w:rPr>
                <w:rFonts w:ascii="Times New Roman" w:eastAsia="Times New Roman" w:hAnsi="Times New Roman"/>
                <w:sz w:val="18"/>
                <w:szCs w:val="18"/>
              </w:rPr>
              <w:t xml:space="preserve"> event that the facility will have to perform.  Assumed all estimated plants (87) will have to comply.</w:t>
            </w:r>
          </w:p>
        </w:tc>
      </w:tr>
      <w:tr w:rsidR="00F013D0" w:rsidRPr="00F013D0" w:rsidTr="00F013D0">
        <w:trPr>
          <w:trHeight w:val="240"/>
        </w:trPr>
        <w:tc>
          <w:tcPr>
            <w:tcW w:w="12600" w:type="dxa"/>
            <w:gridSpan w:val="9"/>
            <w:tcBorders>
              <w:top w:val="nil"/>
              <w:left w:val="nil"/>
              <w:bottom w:val="nil"/>
              <w:right w:val="nil"/>
            </w:tcBorders>
            <w:shd w:val="clear" w:color="auto" w:fill="auto"/>
            <w:vAlign w:val="bottom"/>
            <w:hideMark/>
          </w:tcPr>
          <w:p w:rsidR="00F013D0" w:rsidRPr="00F013D0" w:rsidRDefault="00F013D0" w:rsidP="00F013D0">
            <w:pPr>
              <w:rPr>
                <w:rFonts w:ascii="Times New Roman" w:eastAsia="Times New Roman" w:hAnsi="Times New Roman"/>
                <w:sz w:val="18"/>
                <w:szCs w:val="18"/>
              </w:rPr>
            </w:pPr>
            <w:proofErr w:type="gramStart"/>
            <w:r w:rsidRPr="00F013D0">
              <w:rPr>
                <w:rFonts w:ascii="Times New Roman" w:eastAsia="Times New Roman" w:hAnsi="Times New Roman"/>
                <w:sz w:val="18"/>
                <w:szCs w:val="18"/>
              </w:rPr>
              <w:t>d</w:t>
            </w:r>
            <w:proofErr w:type="gramEnd"/>
            <w:r w:rsidRPr="00F013D0">
              <w:rPr>
                <w:rFonts w:ascii="Times New Roman" w:eastAsia="Times New Roman" w:hAnsi="Times New Roman"/>
                <w:sz w:val="18"/>
                <w:szCs w:val="18"/>
              </w:rPr>
              <w:t xml:space="preserve"> Costs associated with monitoring and recordkeeping.  Twenty six (26) coal mills have stand alone stacks.</w:t>
            </w:r>
          </w:p>
        </w:tc>
      </w:tr>
      <w:tr w:rsidR="00F013D0" w:rsidRPr="00F013D0" w:rsidTr="00F013D0">
        <w:trPr>
          <w:trHeight w:val="240"/>
        </w:trPr>
        <w:tc>
          <w:tcPr>
            <w:tcW w:w="12600" w:type="dxa"/>
            <w:gridSpan w:val="9"/>
            <w:tcBorders>
              <w:top w:val="nil"/>
              <w:left w:val="nil"/>
              <w:bottom w:val="nil"/>
              <w:right w:val="nil"/>
            </w:tcBorders>
            <w:shd w:val="clear" w:color="auto" w:fill="auto"/>
            <w:vAlign w:val="bottom"/>
            <w:hideMark/>
          </w:tcPr>
          <w:p w:rsidR="00F013D0" w:rsidRPr="00F013D0" w:rsidRDefault="00F013D0" w:rsidP="00F013D0">
            <w:pPr>
              <w:rPr>
                <w:rFonts w:ascii="Times New Roman" w:eastAsia="Times New Roman" w:hAnsi="Times New Roman"/>
                <w:sz w:val="18"/>
                <w:szCs w:val="18"/>
              </w:rPr>
            </w:pPr>
            <w:proofErr w:type="gramStart"/>
            <w:r w:rsidRPr="00F013D0">
              <w:rPr>
                <w:rFonts w:ascii="Times New Roman" w:eastAsia="Times New Roman" w:hAnsi="Times New Roman"/>
                <w:sz w:val="18"/>
                <w:szCs w:val="18"/>
              </w:rPr>
              <w:t>e</w:t>
            </w:r>
            <w:proofErr w:type="gramEnd"/>
            <w:r w:rsidRPr="00F013D0">
              <w:rPr>
                <w:rFonts w:ascii="Times New Roman" w:eastAsia="Times New Roman" w:hAnsi="Times New Roman"/>
                <w:sz w:val="18"/>
                <w:szCs w:val="18"/>
              </w:rPr>
              <w:t xml:space="preserve"> Cost associated with O &amp; M of parameter monitoring device.  Twenty six (26) coal mills have stand alone stacks.</w:t>
            </w:r>
          </w:p>
        </w:tc>
      </w:tr>
      <w:tr w:rsidR="00F013D0" w:rsidRPr="00F013D0" w:rsidTr="00F013D0">
        <w:trPr>
          <w:trHeight w:val="240"/>
        </w:trPr>
        <w:tc>
          <w:tcPr>
            <w:tcW w:w="12600" w:type="dxa"/>
            <w:gridSpan w:val="9"/>
            <w:tcBorders>
              <w:top w:val="nil"/>
              <w:left w:val="nil"/>
              <w:bottom w:val="nil"/>
              <w:right w:val="nil"/>
            </w:tcBorders>
            <w:shd w:val="clear" w:color="auto" w:fill="auto"/>
            <w:vAlign w:val="bottom"/>
            <w:hideMark/>
          </w:tcPr>
          <w:p w:rsidR="00F013D0" w:rsidRPr="00F013D0" w:rsidRDefault="00F013D0" w:rsidP="00F013D0">
            <w:pPr>
              <w:rPr>
                <w:rFonts w:ascii="Times New Roman" w:eastAsia="Times New Roman" w:hAnsi="Times New Roman"/>
                <w:sz w:val="18"/>
                <w:szCs w:val="18"/>
              </w:rPr>
            </w:pPr>
            <w:proofErr w:type="gramStart"/>
            <w:r w:rsidRPr="00F013D0">
              <w:rPr>
                <w:rFonts w:ascii="Times New Roman" w:eastAsia="Times New Roman" w:hAnsi="Times New Roman"/>
                <w:sz w:val="18"/>
                <w:szCs w:val="18"/>
              </w:rPr>
              <w:t>f</w:t>
            </w:r>
            <w:proofErr w:type="gramEnd"/>
            <w:r w:rsidRPr="00F013D0">
              <w:rPr>
                <w:rFonts w:ascii="Times New Roman" w:eastAsia="Times New Roman" w:hAnsi="Times New Roman"/>
                <w:sz w:val="18"/>
                <w:szCs w:val="18"/>
              </w:rPr>
              <w:t xml:space="preserve"> Costs associated with testing of HCl (M321) Hg (M30B) and THC (M25A).   Twenty six (26) coal mills have stand alone stacks.</w:t>
            </w:r>
          </w:p>
        </w:tc>
      </w:tr>
      <w:tr w:rsidR="00F013D0" w:rsidRPr="00F013D0" w:rsidTr="00F013D0">
        <w:trPr>
          <w:trHeight w:val="240"/>
        </w:trPr>
        <w:tc>
          <w:tcPr>
            <w:tcW w:w="12600" w:type="dxa"/>
            <w:gridSpan w:val="9"/>
            <w:tcBorders>
              <w:top w:val="nil"/>
              <w:left w:val="nil"/>
              <w:bottom w:val="nil"/>
              <w:right w:val="nil"/>
            </w:tcBorders>
            <w:shd w:val="clear" w:color="auto" w:fill="auto"/>
            <w:vAlign w:val="bottom"/>
            <w:hideMark/>
          </w:tcPr>
          <w:p w:rsidR="00F013D0" w:rsidRPr="00F013D0" w:rsidRDefault="00F013D0" w:rsidP="00F013D0">
            <w:pPr>
              <w:rPr>
                <w:rFonts w:ascii="Times New Roman" w:eastAsia="Times New Roman" w:hAnsi="Times New Roman"/>
                <w:sz w:val="18"/>
                <w:szCs w:val="18"/>
              </w:rPr>
            </w:pPr>
            <w:proofErr w:type="gramStart"/>
            <w:r w:rsidRPr="00F013D0">
              <w:rPr>
                <w:rFonts w:ascii="Times New Roman" w:eastAsia="Times New Roman" w:hAnsi="Times New Roman"/>
                <w:sz w:val="18"/>
                <w:szCs w:val="18"/>
              </w:rPr>
              <w:t>g</w:t>
            </w:r>
            <w:proofErr w:type="gramEnd"/>
            <w:r w:rsidRPr="00F013D0">
              <w:rPr>
                <w:rFonts w:ascii="Times New Roman" w:eastAsia="Times New Roman" w:hAnsi="Times New Roman"/>
                <w:sz w:val="18"/>
                <w:szCs w:val="18"/>
              </w:rPr>
              <w:t xml:space="preserve"> Cost of purchase and installation of parameter monitoring device.  Twenty six (26) coal mills have stand alone stacks.</w:t>
            </w:r>
          </w:p>
        </w:tc>
      </w:tr>
      <w:tr w:rsidR="00F013D0" w:rsidRPr="00F013D0" w:rsidTr="00F013D0">
        <w:trPr>
          <w:trHeight w:val="240"/>
        </w:trPr>
        <w:tc>
          <w:tcPr>
            <w:tcW w:w="12600" w:type="dxa"/>
            <w:gridSpan w:val="9"/>
            <w:tcBorders>
              <w:top w:val="nil"/>
              <w:left w:val="nil"/>
              <w:bottom w:val="nil"/>
              <w:right w:val="nil"/>
            </w:tcBorders>
            <w:shd w:val="clear" w:color="auto" w:fill="auto"/>
            <w:vAlign w:val="bottom"/>
            <w:hideMark/>
          </w:tcPr>
          <w:p w:rsidR="00F013D0" w:rsidRPr="00F013D0" w:rsidRDefault="00F013D0" w:rsidP="00F013D0">
            <w:pPr>
              <w:rPr>
                <w:rFonts w:ascii="Times New Roman" w:eastAsia="Times New Roman" w:hAnsi="Times New Roman"/>
                <w:sz w:val="18"/>
                <w:szCs w:val="18"/>
              </w:rPr>
            </w:pPr>
            <w:proofErr w:type="gramStart"/>
            <w:r w:rsidRPr="00F013D0">
              <w:rPr>
                <w:rFonts w:ascii="Times New Roman" w:eastAsia="Times New Roman" w:hAnsi="Times New Roman"/>
                <w:sz w:val="18"/>
                <w:szCs w:val="18"/>
              </w:rPr>
              <w:t>h</w:t>
            </w:r>
            <w:proofErr w:type="gramEnd"/>
            <w:r w:rsidRPr="00F013D0">
              <w:rPr>
                <w:rFonts w:ascii="Times New Roman" w:eastAsia="Times New Roman" w:hAnsi="Times New Roman"/>
                <w:sz w:val="18"/>
                <w:szCs w:val="18"/>
              </w:rPr>
              <w:t xml:space="preserve"> Annualized cost of parameter monitoring device.  Twenty six (26) coal mills have stand alone stacks.  Assumes 10 years, 7 % interest.</w:t>
            </w:r>
          </w:p>
        </w:tc>
      </w:tr>
    </w:tbl>
    <w:p w:rsidR="00B4226E" w:rsidRDefault="00B4226E">
      <w:pPr>
        <w:rPr>
          <w:rFonts w:asciiTheme="majorBidi" w:hAnsiTheme="majorBidi" w:cstheme="majorBidi"/>
          <w:b/>
          <w:bCs/>
        </w:rPr>
      </w:pPr>
    </w:p>
    <w:p w:rsidR="00B4226E" w:rsidRDefault="00B4226E">
      <w:pPr>
        <w:rPr>
          <w:rFonts w:asciiTheme="majorBidi" w:hAnsiTheme="majorBidi" w:cstheme="majorBidi"/>
          <w:b/>
          <w:bCs/>
        </w:rPr>
      </w:pPr>
    </w:p>
    <w:p w:rsidR="00B4226E" w:rsidRDefault="00B4226E">
      <w:pPr>
        <w:rPr>
          <w:rFonts w:asciiTheme="majorBidi" w:hAnsiTheme="majorBidi" w:cstheme="majorBidi"/>
          <w:b/>
          <w:bCs/>
        </w:rPr>
      </w:pPr>
      <w:r>
        <w:rPr>
          <w:rFonts w:asciiTheme="majorBidi" w:hAnsiTheme="majorBidi" w:cstheme="majorBidi"/>
          <w:b/>
          <w:bCs/>
        </w:rPr>
        <w:br w:type="page"/>
      </w:r>
    </w:p>
    <w:p w:rsidR="00B4226E" w:rsidRDefault="00B4226E">
      <w:pPr>
        <w:rPr>
          <w:rFonts w:asciiTheme="majorBidi" w:hAnsiTheme="majorBidi" w:cstheme="majorBidi"/>
          <w:b/>
          <w:bCs/>
        </w:rPr>
      </w:pPr>
    </w:p>
    <w:tbl>
      <w:tblPr>
        <w:tblW w:w="12600" w:type="dxa"/>
        <w:tblInd w:w="94" w:type="dxa"/>
        <w:tblLook w:val="04A0"/>
      </w:tblPr>
      <w:tblGrid>
        <w:gridCol w:w="3588"/>
        <w:gridCol w:w="1100"/>
        <w:gridCol w:w="1186"/>
        <w:gridCol w:w="1100"/>
        <w:gridCol w:w="1100"/>
        <w:gridCol w:w="1100"/>
        <w:gridCol w:w="1226"/>
        <w:gridCol w:w="1100"/>
        <w:gridCol w:w="1100"/>
      </w:tblGrid>
      <w:tr w:rsidR="00D4427F" w:rsidRPr="00D4427F" w:rsidTr="00D4427F">
        <w:trPr>
          <w:trHeight w:val="675"/>
        </w:trPr>
        <w:tc>
          <w:tcPr>
            <w:tcW w:w="12600" w:type="dxa"/>
            <w:gridSpan w:val="9"/>
            <w:tcBorders>
              <w:top w:val="nil"/>
              <w:left w:val="nil"/>
              <w:bottom w:val="double" w:sz="6" w:space="0" w:color="auto"/>
              <w:right w:val="nil"/>
            </w:tcBorders>
            <w:shd w:val="clear" w:color="auto" w:fill="auto"/>
            <w:vAlign w:val="bottom"/>
            <w:hideMark/>
          </w:tcPr>
          <w:p w:rsidR="00D4427F" w:rsidRPr="00D4427F" w:rsidRDefault="00D4427F" w:rsidP="00D4427F">
            <w:pPr>
              <w:jc w:val="center"/>
              <w:rPr>
                <w:rFonts w:ascii="Times New Roman" w:eastAsia="Times New Roman" w:hAnsi="Times New Roman"/>
                <w:b/>
                <w:bCs/>
                <w:color w:val="000000"/>
                <w:szCs w:val="24"/>
              </w:rPr>
            </w:pPr>
            <w:r w:rsidRPr="00D4427F">
              <w:rPr>
                <w:rFonts w:ascii="Times New Roman" w:eastAsia="Times New Roman" w:hAnsi="Times New Roman"/>
                <w:b/>
                <w:bCs/>
                <w:color w:val="000000"/>
                <w:szCs w:val="24"/>
              </w:rPr>
              <w:t>TABLE 2. ANNUAL BURDEN AND COST TO THE AGENCY - AMENDMENTS TO PORTLAND CEMENT MANUFACTUIRNG NESHAP</w:t>
            </w:r>
          </w:p>
        </w:tc>
      </w:tr>
      <w:tr w:rsidR="00D4427F" w:rsidRPr="00D4427F" w:rsidTr="00D4427F">
        <w:trPr>
          <w:trHeight w:val="315"/>
        </w:trPr>
        <w:tc>
          <w:tcPr>
            <w:tcW w:w="3800" w:type="dxa"/>
            <w:vMerge w:val="restart"/>
            <w:tcBorders>
              <w:top w:val="nil"/>
              <w:left w:val="double" w:sz="6" w:space="0" w:color="auto"/>
              <w:bottom w:val="single" w:sz="4" w:space="0" w:color="auto"/>
              <w:right w:val="single" w:sz="4" w:space="0" w:color="auto"/>
            </w:tcBorders>
            <w:shd w:val="clear" w:color="000000" w:fill="D8D8D8"/>
            <w:vAlign w:val="bottom"/>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Burden item</w:t>
            </w:r>
          </w:p>
        </w:tc>
        <w:tc>
          <w:tcPr>
            <w:tcW w:w="1100" w:type="dxa"/>
            <w:tcBorders>
              <w:top w:val="nil"/>
              <w:left w:val="nil"/>
              <w:bottom w:val="nil"/>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(A)</w:t>
            </w:r>
          </w:p>
        </w:tc>
        <w:tc>
          <w:tcPr>
            <w:tcW w:w="1100" w:type="dxa"/>
            <w:tcBorders>
              <w:top w:val="nil"/>
              <w:left w:val="nil"/>
              <w:bottom w:val="nil"/>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(B)</w:t>
            </w:r>
          </w:p>
        </w:tc>
        <w:tc>
          <w:tcPr>
            <w:tcW w:w="1100" w:type="dxa"/>
            <w:tcBorders>
              <w:top w:val="nil"/>
              <w:left w:val="nil"/>
              <w:bottom w:val="nil"/>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(C)</w:t>
            </w:r>
          </w:p>
        </w:tc>
        <w:tc>
          <w:tcPr>
            <w:tcW w:w="1100" w:type="dxa"/>
            <w:tcBorders>
              <w:top w:val="nil"/>
              <w:left w:val="nil"/>
              <w:bottom w:val="nil"/>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(D)</w:t>
            </w:r>
          </w:p>
        </w:tc>
        <w:tc>
          <w:tcPr>
            <w:tcW w:w="1100" w:type="dxa"/>
            <w:tcBorders>
              <w:top w:val="nil"/>
              <w:left w:val="nil"/>
              <w:bottom w:val="nil"/>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(E)</w:t>
            </w:r>
          </w:p>
        </w:tc>
        <w:tc>
          <w:tcPr>
            <w:tcW w:w="1100" w:type="dxa"/>
            <w:tcBorders>
              <w:top w:val="nil"/>
              <w:left w:val="nil"/>
              <w:bottom w:val="nil"/>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(F)</w:t>
            </w:r>
          </w:p>
        </w:tc>
        <w:tc>
          <w:tcPr>
            <w:tcW w:w="1100" w:type="dxa"/>
            <w:tcBorders>
              <w:top w:val="nil"/>
              <w:left w:val="nil"/>
              <w:bottom w:val="nil"/>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(G)</w:t>
            </w:r>
          </w:p>
        </w:tc>
        <w:tc>
          <w:tcPr>
            <w:tcW w:w="1100" w:type="dxa"/>
            <w:tcBorders>
              <w:top w:val="nil"/>
              <w:left w:val="nil"/>
              <w:bottom w:val="nil"/>
              <w:right w:val="double" w:sz="6"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(H)</w:t>
            </w:r>
          </w:p>
        </w:tc>
      </w:tr>
      <w:tr w:rsidR="00D4427F" w:rsidRPr="00D4427F" w:rsidTr="00D4427F">
        <w:trPr>
          <w:trHeight w:val="960"/>
        </w:trPr>
        <w:tc>
          <w:tcPr>
            <w:tcW w:w="3800" w:type="dxa"/>
            <w:vMerge/>
            <w:tcBorders>
              <w:top w:val="nil"/>
              <w:left w:val="double" w:sz="6" w:space="0" w:color="auto"/>
              <w:bottom w:val="single" w:sz="4" w:space="0" w:color="auto"/>
              <w:right w:val="single" w:sz="4" w:space="0" w:color="auto"/>
            </w:tcBorders>
            <w:vAlign w:val="center"/>
            <w:hideMark/>
          </w:tcPr>
          <w:p w:rsidR="00D4427F" w:rsidRPr="00D4427F" w:rsidRDefault="00D4427F" w:rsidP="00D4427F">
            <w:pPr>
              <w:rPr>
                <w:rFonts w:ascii="Times New Roman" w:eastAsia="Times New Roman" w:hAnsi="Times New Roman"/>
                <w:b/>
                <w:bCs/>
                <w:color w:val="000000"/>
                <w:sz w:val="18"/>
                <w:szCs w:val="18"/>
              </w:rPr>
            </w:pPr>
          </w:p>
        </w:tc>
        <w:tc>
          <w:tcPr>
            <w:tcW w:w="1100" w:type="dxa"/>
            <w:tcBorders>
              <w:top w:val="nil"/>
              <w:left w:val="nil"/>
              <w:bottom w:val="single" w:sz="4" w:space="0" w:color="auto"/>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Person-hours per occurrence</w:t>
            </w:r>
          </w:p>
        </w:tc>
        <w:tc>
          <w:tcPr>
            <w:tcW w:w="1100" w:type="dxa"/>
            <w:tcBorders>
              <w:top w:val="nil"/>
              <w:left w:val="nil"/>
              <w:bottom w:val="single" w:sz="4" w:space="0" w:color="auto"/>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Occurrences per respondent</w:t>
            </w:r>
          </w:p>
        </w:tc>
        <w:tc>
          <w:tcPr>
            <w:tcW w:w="1100" w:type="dxa"/>
            <w:tcBorders>
              <w:top w:val="nil"/>
              <w:left w:val="nil"/>
              <w:bottom w:val="single" w:sz="4" w:space="0" w:color="auto"/>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EPA person-hours/year (C=A*B)</w:t>
            </w:r>
          </w:p>
        </w:tc>
        <w:tc>
          <w:tcPr>
            <w:tcW w:w="1100" w:type="dxa"/>
            <w:tcBorders>
              <w:top w:val="nil"/>
              <w:left w:val="nil"/>
              <w:bottom w:val="single" w:sz="4" w:space="0" w:color="auto"/>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Facilities per year</w:t>
            </w:r>
          </w:p>
        </w:tc>
        <w:tc>
          <w:tcPr>
            <w:tcW w:w="1100" w:type="dxa"/>
            <w:tcBorders>
              <w:top w:val="nil"/>
              <w:left w:val="nil"/>
              <w:bottom w:val="single" w:sz="4" w:space="0" w:color="auto"/>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Technical person-hours/year (E=C*D)</w:t>
            </w:r>
          </w:p>
        </w:tc>
        <w:tc>
          <w:tcPr>
            <w:tcW w:w="1100" w:type="dxa"/>
            <w:tcBorders>
              <w:top w:val="nil"/>
              <w:left w:val="nil"/>
              <w:bottom w:val="single" w:sz="4" w:space="0" w:color="auto"/>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Management person-hours/year (F=0.05*E)</w:t>
            </w:r>
          </w:p>
        </w:tc>
        <w:tc>
          <w:tcPr>
            <w:tcW w:w="1100" w:type="dxa"/>
            <w:tcBorders>
              <w:top w:val="nil"/>
              <w:left w:val="nil"/>
              <w:bottom w:val="single" w:sz="4" w:space="0" w:color="auto"/>
              <w:right w:val="single" w:sz="4"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Clerical person-hours/year (G=0.1*E)</w:t>
            </w:r>
          </w:p>
        </w:tc>
        <w:tc>
          <w:tcPr>
            <w:tcW w:w="1100" w:type="dxa"/>
            <w:tcBorders>
              <w:top w:val="nil"/>
              <w:left w:val="nil"/>
              <w:bottom w:val="single" w:sz="4" w:space="0" w:color="auto"/>
              <w:right w:val="double" w:sz="6" w:space="0" w:color="auto"/>
            </w:tcBorders>
            <w:shd w:val="clear" w:color="000000" w:fill="D8D8D8"/>
            <w:hideMark/>
          </w:tcPr>
          <w:p w:rsidR="00D4427F" w:rsidRPr="00D4427F" w:rsidRDefault="00D4427F" w:rsidP="00D4427F">
            <w:pPr>
              <w:jc w:val="cente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Cost</w:t>
            </w:r>
            <w:r w:rsidRPr="00D4427F">
              <w:rPr>
                <w:rFonts w:ascii="Times New Roman" w:eastAsia="Times New Roman" w:hAnsi="Times New Roman"/>
                <w:b/>
                <w:bCs/>
                <w:color w:val="000000"/>
                <w:sz w:val="18"/>
                <w:szCs w:val="18"/>
                <w:vertAlign w:val="superscript"/>
              </w:rPr>
              <w:t>a</w:t>
            </w:r>
            <w:r w:rsidRPr="00D4427F">
              <w:rPr>
                <w:rFonts w:ascii="Times New Roman" w:eastAsia="Times New Roman" w:hAnsi="Times New Roman"/>
                <w:b/>
                <w:bCs/>
                <w:color w:val="000000"/>
                <w:sz w:val="18"/>
                <w:szCs w:val="18"/>
              </w:rPr>
              <w:t>, $</w:t>
            </w:r>
          </w:p>
        </w:tc>
      </w:tr>
      <w:tr w:rsidR="00D4427F" w:rsidRPr="00D4427F" w:rsidTr="00D4427F">
        <w:trPr>
          <w:trHeight w:val="300"/>
        </w:trPr>
        <w:tc>
          <w:tcPr>
            <w:tcW w:w="3800" w:type="dxa"/>
            <w:tcBorders>
              <w:top w:val="nil"/>
              <w:left w:val="double" w:sz="6" w:space="0" w:color="auto"/>
              <w:bottom w:val="single" w:sz="4" w:space="0" w:color="auto"/>
              <w:right w:val="single" w:sz="4" w:space="0" w:color="auto"/>
            </w:tcBorders>
            <w:shd w:val="clear" w:color="auto" w:fill="auto"/>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Report Review:</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single" w:sz="4" w:space="0" w:color="auto"/>
              <w:right w:val="double" w:sz="6"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r>
      <w:tr w:rsidR="00D4427F" w:rsidRPr="00D4427F" w:rsidTr="00F12FDB">
        <w:trPr>
          <w:trHeight w:val="300"/>
        </w:trPr>
        <w:tc>
          <w:tcPr>
            <w:tcW w:w="3800" w:type="dxa"/>
            <w:tcBorders>
              <w:top w:val="nil"/>
              <w:left w:val="double" w:sz="6" w:space="0" w:color="auto"/>
              <w:bottom w:val="single" w:sz="4" w:space="0" w:color="auto"/>
              <w:right w:val="single" w:sz="4" w:space="0" w:color="auto"/>
            </w:tcBorders>
            <w:shd w:val="clear" w:color="auto" w:fill="auto"/>
            <w:vAlign w:val="bottom"/>
            <w:hideMark/>
          </w:tcPr>
          <w:p w:rsidR="00D4427F" w:rsidRPr="00D4427F" w:rsidRDefault="00D4427F" w:rsidP="00D4427F">
            <w:pPr>
              <w:ind w:firstLineChars="100" w:firstLine="180"/>
              <w:rPr>
                <w:rFonts w:ascii="Times New Roman" w:eastAsia="Times New Roman" w:hAnsi="Times New Roman"/>
                <w:sz w:val="18"/>
                <w:szCs w:val="18"/>
              </w:rPr>
            </w:pPr>
            <w:r w:rsidRPr="00D4427F">
              <w:rPr>
                <w:rFonts w:ascii="Times New Roman" w:eastAsia="Times New Roman" w:hAnsi="Times New Roman"/>
                <w:sz w:val="18"/>
                <w:szCs w:val="18"/>
              </w:rPr>
              <w:t>Review performance test reports</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4</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4</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29</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116</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6</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12</w:t>
            </w:r>
          </w:p>
        </w:tc>
        <w:tc>
          <w:tcPr>
            <w:tcW w:w="1100" w:type="dxa"/>
            <w:tcBorders>
              <w:top w:val="nil"/>
              <w:left w:val="nil"/>
              <w:bottom w:val="single" w:sz="4" w:space="0" w:color="auto"/>
              <w:right w:val="double" w:sz="6"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$6,012</w:t>
            </w:r>
          </w:p>
        </w:tc>
      </w:tr>
      <w:tr w:rsidR="00D4427F" w:rsidRPr="00D4427F" w:rsidTr="00F12FDB">
        <w:trPr>
          <w:trHeight w:val="300"/>
        </w:trPr>
        <w:tc>
          <w:tcPr>
            <w:tcW w:w="3800" w:type="dxa"/>
            <w:tcBorders>
              <w:top w:val="nil"/>
              <w:left w:val="double" w:sz="6" w:space="0" w:color="auto"/>
              <w:bottom w:val="single" w:sz="4" w:space="0" w:color="auto"/>
              <w:right w:val="single" w:sz="4" w:space="0" w:color="auto"/>
            </w:tcBorders>
            <w:shd w:val="clear" w:color="auto" w:fill="auto"/>
            <w:vAlign w:val="bottom"/>
            <w:hideMark/>
          </w:tcPr>
          <w:p w:rsidR="00D4427F" w:rsidRPr="00D4427F" w:rsidRDefault="00D4427F" w:rsidP="00D4427F">
            <w:pPr>
              <w:ind w:firstLineChars="100" w:firstLine="180"/>
              <w:rPr>
                <w:rFonts w:ascii="Times New Roman" w:eastAsia="Times New Roman" w:hAnsi="Times New Roman"/>
                <w:sz w:val="18"/>
                <w:szCs w:val="18"/>
              </w:rPr>
            </w:pPr>
            <w:proofErr w:type="spellStart"/>
            <w:r w:rsidRPr="00D4427F">
              <w:rPr>
                <w:rFonts w:ascii="Times New Roman" w:eastAsia="Times New Roman" w:hAnsi="Times New Roman"/>
                <w:sz w:val="18"/>
                <w:szCs w:val="18"/>
              </w:rPr>
              <w:t>Reviw</w:t>
            </w:r>
            <w:proofErr w:type="spellEnd"/>
            <w:r w:rsidRPr="00D4427F">
              <w:rPr>
                <w:rFonts w:ascii="Times New Roman" w:eastAsia="Times New Roman" w:hAnsi="Times New Roman"/>
                <w:sz w:val="18"/>
                <w:szCs w:val="18"/>
              </w:rPr>
              <w:t xml:space="preserve"> Startup/shutdown plans</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4</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4</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29</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116</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6</w:t>
            </w:r>
          </w:p>
        </w:tc>
        <w:tc>
          <w:tcPr>
            <w:tcW w:w="1100" w:type="dxa"/>
            <w:tcBorders>
              <w:top w:val="nil"/>
              <w:left w:val="nil"/>
              <w:bottom w:val="single" w:sz="4"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12</w:t>
            </w:r>
          </w:p>
        </w:tc>
        <w:tc>
          <w:tcPr>
            <w:tcW w:w="1100" w:type="dxa"/>
            <w:tcBorders>
              <w:top w:val="single" w:sz="4" w:space="0" w:color="auto"/>
              <w:left w:val="nil"/>
              <w:bottom w:val="single" w:sz="4" w:space="0" w:color="auto"/>
              <w:right w:val="double" w:sz="6"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$6,012</w:t>
            </w:r>
          </w:p>
        </w:tc>
      </w:tr>
      <w:tr w:rsidR="00D4427F" w:rsidRPr="00D4427F" w:rsidTr="00F12FDB">
        <w:trPr>
          <w:trHeight w:val="315"/>
        </w:trPr>
        <w:tc>
          <w:tcPr>
            <w:tcW w:w="3800" w:type="dxa"/>
            <w:tcBorders>
              <w:top w:val="nil"/>
              <w:left w:val="double" w:sz="6" w:space="0" w:color="auto"/>
              <w:bottom w:val="double" w:sz="6" w:space="0" w:color="auto"/>
              <w:right w:val="single" w:sz="4" w:space="0" w:color="auto"/>
            </w:tcBorders>
            <w:shd w:val="clear" w:color="auto" w:fill="auto"/>
            <w:vAlign w:val="bottom"/>
            <w:hideMark/>
          </w:tcPr>
          <w:p w:rsidR="00D4427F" w:rsidRPr="00D4427F" w:rsidRDefault="00D4427F" w:rsidP="00D4427F">
            <w:pPr>
              <w:rPr>
                <w:rFonts w:ascii="Times New Roman" w:eastAsia="Times New Roman" w:hAnsi="Times New Roman"/>
                <w:b/>
                <w:bCs/>
                <w:color w:val="000000"/>
                <w:sz w:val="18"/>
                <w:szCs w:val="18"/>
              </w:rPr>
            </w:pPr>
            <w:r w:rsidRPr="00D4427F">
              <w:rPr>
                <w:rFonts w:ascii="Times New Roman" w:eastAsia="Times New Roman" w:hAnsi="Times New Roman"/>
                <w:b/>
                <w:bCs/>
                <w:color w:val="000000"/>
                <w:sz w:val="18"/>
                <w:szCs w:val="18"/>
              </w:rPr>
              <w:t>TOTAL BURDEN AND COST</w:t>
            </w:r>
          </w:p>
        </w:tc>
        <w:tc>
          <w:tcPr>
            <w:tcW w:w="1100" w:type="dxa"/>
            <w:tcBorders>
              <w:top w:val="nil"/>
              <w:left w:val="nil"/>
              <w:bottom w:val="double" w:sz="6"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double" w:sz="6"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double" w:sz="6"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double" w:sz="6" w:space="0" w:color="auto"/>
              <w:right w:val="single" w:sz="4" w:space="0" w:color="auto"/>
            </w:tcBorders>
            <w:shd w:val="clear" w:color="auto" w:fill="auto"/>
            <w:noWrap/>
            <w:vAlign w:val="bottom"/>
            <w:hideMark/>
          </w:tcPr>
          <w:p w:rsidR="00D4427F" w:rsidRPr="00D4427F" w:rsidRDefault="00D4427F" w:rsidP="00D4427F">
            <w:pPr>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 </w:t>
            </w:r>
          </w:p>
        </w:tc>
        <w:tc>
          <w:tcPr>
            <w:tcW w:w="1100" w:type="dxa"/>
            <w:tcBorders>
              <w:top w:val="nil"/>
              <w:left w:val="nil"/>
              <w:bottom w:val="double" w:sz="6"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232</w:t>
            </w:r>
          </w:p>
        </w:tc>
        <w:tc>
          <w:tcPr>
            <w:tcW w:w="1100" w:type="dxa"/>
            <w:tcBorders>
              <w:top w:val="nil"/>
              <w:left w:val="nil"/>
              <w:bottom w:val="double" w:sz="6"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12</w:t>
            </w:r>
          </w:p>
        </w:tc>
        <w:tc>
          <w:tcPr>
            <w:tcW w:w="1100" w:type="dxa"/>
            <w:tcBorders>
              <w:top w:val="nil"/>
              <w:left w:val="nil"/>
              <w:bottom w:val="double" w:sz="6" w:space="0" w:color="auto"/>
              <w:right w:val="single" w:sz="4"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23</w:t>
            </w:r>
          </w:p>
        </w:tc>
        <w:tc>
          <w:tcPr>
            <w:tcW w:w="1100" w:type="dxa"/>
            <w:tcBorders>
              <w:top w:val="single" w:sz="4" w:space="0" w:color="auto"/>
              <w:left w:val="nil"/>
              <w:bottom w:val="double" w:sz="6" w:space="0" w:color="auto"/>
              <w:right w:val="double" w:sz="6" w:space="0" w:color="auto"/>
            </w:tcBorders>
            <w:shd w:val="clear" w:color="auto" w:fill="auto"/>
            <w:noWrap/>
            <w:vAlign w:val="bottom"/>
            <w:hideMark/>
          </w:tcPr>
          <w:p w:rsidR="00D4427F" w:rsidRPr="00D4427F" w:rsidRDefault="00D4427F" w:rsidP="00D4427F">
            <w:pPr>
              <w:jc w:val="right"/>
              <w:rPr>
                <w:rFonts w:ascii="Times New Roman" w:eastAsia="Times New Roman" w:hAnsi="Times New Roman"/>
                <w:color w:val="000000"/>
                <w:sz w:val="18"/>
                <w:szCs w:val="18"/>
              </w:rPr>
            </w:pPr>
            <w:r w:rsidRPr="00D4427F">
              <w:rPr>
                <w:rFonts w:ascii="Times New Roman" w:eastAsia="Times New Roman" w:hAnsi="Times New Roman"/>
                <w:color w:val="000000"/>
                <w:sz w:val="18"/>
                <w:szCs w:val="18"/>
              </w:rPr>
              <w:t>$12,023</w:t>
            </w:r>
          </w:p>
        </w:tc>
      </w:tr>
      <w:tr w:rsidR="00D4427F" w:rsidRPr="00D4427F" w:rsidTr="00D4427F">
        <w:trPr>
          <w:trHeight w:val="540"/>
        </w:trPr>
        <w:tc>
          <w:tcPr>
            <w:tcW w:w="12600" w:type="dxa"/>
            <w:gridSpan w:val="9"/>
            <w:tcBorders>
              <w:top w:val="double" w:sz="6" w:space="0" w:color="auto"/>
              <w:left w:val="nil"/>
              <w:bottom w:val="nil"/>
              <w:right w:val="nil"/>
            </w:tcBorders>
            <w:shd w:val="clear" w:color="auto" w:fill="auto"/>
            <w:vAlign w:val="bottom"/>
            <w:hideMark/>
          </w:tcPr>
          <w:p w:rsidR="00D4427F" w:rsidRPr="00D4427F" w:rsidRDefault="00D4427F" w:rsidP="00D4427F">
            <w:pPr>
              <w:rPr>
                <w:rFonts w:ascii="Times New Roman" w:eastAsia="Times New Roman" w:hAnsi="Times New Roman"/>
                <w:color w:val="000000"/>
                <w:sz w:val="18"/>
                <w:szCs w:val="18"/>
              </w:rPr>
            </w:pPr>
            <w:proofErr w:type="gramStart"/>
            <w:r w:rsidRPr="00D4427F">
              <w:rPr>
                <w:rFonts w:ascii="Times New Roman" w:eastAsia="Times New Roman" w:hAnsi="Times New Roman"/>
                <w:color w:val="000000"/>
                <w:sz w:val="18"/>
                <w:szCs w:val="18"/>
              </w:rPr>
              <w:t>a</w:t>
            </w:r>
            <w:proofErr w:type="gramEnd"/>
            <w:r w:rsidRPr="00D4427F">
              <w:rPr>
                <w:rFonts w:ascii="Times New Roman" w:eastAsia="Times New Roman" w:hAnsi="Times New Roman"/>
                <w:color w:val="000000"/>
                <w:sz w:val="18"/>
                <w:szCs w:val="18"/>
              </w:rPr>
              <w:t xml:space="preserve"> This ICR uses the following average hourly labor rates: $62.27 for managerial (GS-13, Step 5), $46.21 (GS-12, Step 1) for technical, and $25.01 (GS-6, Step 3) for clerical. These rates are from the Office of Personnel Management (OPM) 2012 General Schedule, which excludes locality rates of pay.</w:t>
            </w:r>
          </w:p>
        </w:tc>
      </w:tr>
    </w:tbl>
    <w:p w:rsidR="00C50FFE" w:rsidRPr="008842AD" w:rsidRDefault="00C50FFE" w:rsidP="00C50FFE">
      <w:pPr>
        <w:spacing w:after="240"/>
        <w:ind w:right="-90"/>
        <w:rPr>
          <w:rFonts w:asciiTheme="majorBidi" w:hAnsiTheme="majorBidi" w:cstheme="majorBidi"/>
          <w:sz w:val="18"/>
          <w:szCs w:val="18"/>
        </w:rPr>
      </w:pPr>
      <w:r w:rsidRPr="008842AD">
        <w:rPr>
          <w:rFonts w:asciiTheme="majorBidi" w:hAnsiTheme="majorBidi" w:cstheme="majorBidi"/>
          <w:sz w:val="18"/>
          <w:szCs w:val="18"/>
        </w:rPr>
        <w:br w:type="page"/>
      </w:r>
      <w:proofErr w:type="gramStart"/>
      <w:r w:rsidRPr="008842AD">
        <w:rPr>
          <w:rFonts w:asciiTheme="majorBidi" w:hAnsiTheme="majorBidi" w:cstheme="majorBidi"/>
          <w:b/>
        </w:rPr>
        <w:lastRenderedPageBreak/>
        <w:t>ATTACHMENT 1.</w:t>
      </w:r>
      <w:proofErr w:type="gramEnd"/>
      <w:r w:rsidRPr="008842AD">
        <w:rPr>
          <w:rFonts w:asciiTheme="majorBidi" w:hAnsiTheme="majorBidi" w:cstheme="majorBidi"/>
          <w:b/>
        </w:rPr>
        <w:t xml:space="preserve"> INFORMATION REQUIREMENTS - AMENDMENTS TO PORTLAND CEMENT MANUFACTUIRNG NESHAP</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888"/>
        <w:gridCol w:w="3060"/>
        <w:gridCol w:w="2790"/>
        <w:gridCol w:w="2970"/>
      </w:tblGrid>
      <w:tr w:rsidR="00C50FFE" w:rsidRPr="008842AD" w:rsidTr="000926B5">
        <w:trPr>
          <w:trHeight w:val="576"/>
        </w:trPr>
        <w:tc>
          <w:tcPr>
            <w:tcW w:w="3888" w:type="dxa"/>
            <w:vAlign w:val="center"/>
          </w:tcPr>
          <w:p w:rsidR="00C50FFE" w:rsidRPr="008842AD" w:rsidRDefault="00C50FFE" w:rsidP="000926B5">
            <w:pPr>
              <w:ind w:right="-90"/>
              <w:jc w:val="center"/>
              <w:rPr>
                <w:rFonts w:asciiTheme="majorBidi" w:hAnsiTheme="majorBidi" w:cstheme="majorBidi"/>
                <w:b/>
              </w:rPr>
            </w:pPr>
            <w:r w:rsidRPr="008842AD">
              <w:rPr>
                <w:rFonts w:asciiTheme="majorBidi" w:hAnsiTheme="majorBidi" w:cstheme="majorBidi"/>
                <w:b/>
              </w:rPr>
              <w:t>Requirement</w:t>
            </w:r>
          </w:p>
        </w:tc>
        <w:tc>
          <w:tcPr>
            <w:tcW w:w="3060" w:type="dxa"/>
            <w:vAlign w:val="center"/>
          </w:tcPr>
          <w:p w:rsidR="00C50FFE" w:rsidRPr="008842AD" w:rsidRDefault="00C50FFE" w:rsidP="000926B5">
            <w:pPr>
              <w:ind w:right="-90"/>
              <w:jc w:val="center"/>
              <w:rPr>
                <w:rFonts w:asciiTheme="majorBidi" w:hAnsiTheme="majorBidi" w:cstheme="majorBidi"/>
                <w:b/>
              </w:rPr>
            </w:pPr>
            <w:r w:rsidRPr="008842AD">
              <w:rPr>
                <w:rFonts w:asciiTheme="majorBidi" w:hAnsiTheme="majorBidi" w:cstheme="majorBidi"/>
                <w:b/>
              </w:rPr>
              <w:t>Citation for existing sources</w:t>
            </w:r>
          </w:p>
        </w:tc>
        <w:tc>
          <w:tcPr>
            <w:tcW w:w="2790" w:type="dxa"/>
            <w:vAlign w:val="center"/>
          </w:tcPr>
          <w:p w:rsidR="00C50FFE" w:rsidRPr="008842AD" w:rsidRDefault="00C50FFE" w:rsidP="000926B5">
            <w:pPr>
              <w:ind w:right="-90"/>
              <w:jc w:val="center"/>
              <w:rPr>
                <w:rFonts w:asciiTheme="majorBidi" w:hAnsiTheme="majorBidi" w:cstheme="majorBidi"/>
                <w:b/>
              </w:rPr>
            </w:pPr>
            <w:r w:rsidRPr="008842AD">
              <w:rPr>
                <w:rFonts w:asciiTheme="majorBidi" w:hAnsiTheme="majorBidi" w:cstheme="majorBidi"/>
                <w:b/>
              </w:rPr>
              <w:t>Citation for new sources</w:t>
            </w:r>
          </w:p>
        </w:tc>
        <w:tc>
          <w:tcPr>
            <w:tcW w:w="2970" w:type="dxa"/>
            <w:vAlign w:val="center"/>
          </w:tcPr>
          <w:p w:rsidR="00C50FFE" w:rsidRPr="008842AD" w:rsidRDefault="00C50FFE" w:rsidP="000926B5">
            <w:pPr>
              <w:ind w:right="-90"/>
              <w:jc w:val="center"/>
              <w:rPr>
                <w:rFonts w:asciiTheme="majorBidi" w:hAnsiTheme="majorBidi" w:cstheme="majorBidi"/>
                <w:b/>
              </w:rPr>
            </w:pPr>
            <w:r w:rsidRPr="008842AD">
              <w:rPr>
                <w:rFonts w:asciiTheme="majorBidi" w:hAnsiTheme="majorBidi" w:cstheme="majorBidi"/>
                <w:b/>
              </w:rPr>
              <w:t>General Provisions citation</w:t>
            </w:r>
          </w:p>
        </w:tc>
      </w:tr>
      <w:tr w:rsidR="00C50FFE" w:rsidRPr="008842AD" w:rsidTr="000926B5">
        <w:trPr>
          <w:trHeight w:val="576"/>
        </w:trPr>
        <w:tc>
          <w:tcPr>
            <w:tcW w:w="3888" w:type="dxa"/>
            <w:vAlign w:val="center"/>
          </w:tcPr>
          <w:p w:rsidR="00C50FFE" w:rsidRPr="008842AD" w:rsidRDefault="006506F6" w:rsidP="006506F6">
            <w:pPr>
              <w:ind w:right="-90"/>
              <w:rPr>
                <w:rFonts w:asciiTheme="majorBidi" w:hAnsiTheme="majorBidi" w:cstheme="majorBidi"/>
                <w:b/>
                <w:i/>
              </w:rPr>
            </w:pPr>
            <w:r>
              <w:rPr>
                <w:rFonts w:asciiTheme="majorBidi" w:hAnsiTheme="majorBidi" w:cstheme="majorBidi"/>
              </w:rPr>
              <w:t>Add s</w:t>
            </w:r>
            <w:r w:rsidR="0083688F">
              <w:rPr>
                <w:rFonts w:asciiTheme="majorBidi" w:hAnsiTheme="majorBidi" w:cstheme="majorBidi"/>
              </w:rPr>
              <w:t>tartup/shutdown</w:t>
            </w:r>
            <w:r>
              <w:rPr>
                <w:rFonts w:asciiTheme="majorBidi" w:hAnsiTheme="majorBidi" w:cstheme="majorBidi"/>
              </w:rPr>
              <w:t xml:space="preserve"> work practice</w:t>
            </w:r>
            <w:r w:rsidR="0083688F">
              <w:rPr>
                <w:rFonts w:asciiTheme="majorBidi" w:hAnsiTheme="majorBidi" w:cstheme="majorBidi"/>
              </w:rPr>
              <w:t xml:space="preserve"> plan</w:t>
            </w:r>
            <w:r>
              <w:rPr>
                <w:rFonts w:asciiTheme="majorBidi" w:hAnsiTheme="majorBidi" w:cstheme="majorBidi"/>
              </w:rPr>
              <w:t>s to existing Operation and Maintenance Plan</w:t>
            </w:r>
          </w:p>
        </w:tc>
        <w:tc>
          <w:tcPr>
            <w:tcW w:w="3060" w:type="dxa"/>
            <w:vAlign w:val="center"/>
          </w:tcPr>
          <w:p w:rsidR="00C50FFE" w:rsidRPr="008842AD" w:rsidRDefault="0083048B" w:rsidP="006506F6">
            <w:pPr>
              <w:ind w:left="162" w:right="-90"/>
              <w:rPr>
                <w:rFonts w:asciiTheme="majorBidi" w:hAnsiTheme="majorBidi" w:cstheme="majorBidi"/>
                <w:bCs/>
              </w:rPr>
            </w:pPr>
            <w:r>
              <w:rPr>
                <w:rFonts w:asciiTheme="majorBidi" w:hAnsiTheme="majorBidi" w:cstheme="majorBidi"/>
                <w:bCs/>
              </w:rPr>
              <w:t>63.</w:t>
            </w:r>
            <w:r w:rsidR="006506F6">
              <w:rPr>
                <w:rFonts w:asciiTheme="majorBidi" w:hAnsiTheme="majorBidi" w:cstheme="majorBidi"/>
                <w:bCs/>
              </w:rPr>
              <w:t>1346(f)</w:t>
            </w:r>
          </w:p>
        </w:tc>
        <w:tc>
          <w:tcPr>
            <w:tcW w:w="2790" w:type="dxa"/>
            <w:vAlign w:val="center"/>
          </w:tcPr>
          <w:p w:rsidR="00C50FFE" w:rsidRPr="008842AD" w:rsidRDefault="0083048B" w:rsidP="006506F6">
            <w:pPr>
              <w:ind w:left="162" w:right="-90"/>
              <w:rPr>
                <w:rFonts w:asciiTheme="majorBidi" w:hAnsiTheme="majorBidi" w:cstheme="majorBidi"/>
                <w:bCs/>
              </w:rPr>
            </w:pPr>
            <w:r>
              <w:rPr>
                <w:rFonts w:asciiTheme="majorBidi" w:hAnsiTheme="majorBidi" w:cstheme="majorBidi"/>
                <w:bCs/>
              </w:rPr>
              <w:t>63.</w:t>
            </w:r>
            <w:r w:rsidR="006506F6">
              <w:rPr>
                <w:rFonts w:asciiTheme="majorBidi" w:hAnsiTheme="majorBidi" w:cstheme="majorBidi"/>
                <w:bCs/>
              </w:rPr>
              <w:t>1346</w:t>
            </w:r>
            <w:r>
              <w:rPr>
                <w:rFonts w:asciiTheme="majorBidi" w:hAnsiTheme="majorBidi" w:cstheme="majorBidi"/>
                <w:bCs/>
              </w:rPr>
              <w:t>(</w:t>
            </w:r>
            <w:r w:rsidR="002B2AE5">
              <w:rPr>
                <w:rFonts w:asciiTheme="majorBidi" w:hAnsiTheme="majorBidi" w:cstheme="majorBidi"/>
                <w:bCs/>
              </w:rPr>
              <w:t>f</w:t>
            </w:r>
            <w:r>
              <w:rPr>
                <w:rFonts w:asciiTheme="majorBidi" w:hAnsiTheme="majorBidi" w:cstheme="majorBidi"/>
                <w:bCs/>
              </w:rPr>
              <w:t>)</w:t>
            </w:r>
          </w:p>
        </w:tc>
        <w:tc>
          <w:tcPr>
            <w:tcW w:w="2970" w:type="dxa"/>
            <w:vAlign w:val="center"/>
          </w:tcPr>
          <w:p w:rsidR="00C50FFE" w:rsidRPr="008842AD" w:rsidRDefault="0083048B" w:rsidP="000926B5">
            <w:pPr>
              <w:ind w:right="-90"/>
              <w:rPr>
                <w:rFonts w:asciiTheme="majorBidi" w:hAnsiTheme="majorBidi" w:cstheme="majorBidi"/>
              </w:rPr>
            </w:pPr>
            <w:r>
              <w:rPr>
                <w:rFonts w:asciiTheme="majorBidi" w:hAnsiTheme="majorBidi" w:cstheme="majorBidi"/>
              </w:rPr>
              <w:t>63.6(e)(3)</w:t>
            </w:r>
          </w:p>
        </w:tc>
      </w:tr>
      <w:tr w:rsidR="00C50FFE" w:rsidRPr="008842AD" w:rsidTr="000926B5">
        <w:trPr>
          <w:trHeight w:val="576"/>
        </w:trPr>
        <w:tc>
          <w:tcPr>
            <w:tcW w:w="3888" w:type="dxa"/>
            <w:vAlign w:val="center"/>
          </w:tcPr>
          <w:p w:rsidR="00C50FFE" w:rsidRPr="00305394" w:rsidRDefault="006506F6" w:rsidP="0083688F">
            <w:pPr>
              <w:ind w:right="-90"/>
              <w:rPr>
                <w:rFonts w:asciiTheme="majorBidi" w:hAnsiTheme="majorBidi" w:cstheme="majorBidi"/>
                <w:b/>
                <w:i/>
              </w:rPr>
            </w:pPr>
            <w:r w:rsidRPr="00305394">
              <w:rPr>
                <w:rFonts w:asciiTheme="majorBidi" w:hAnsiTheme="majorBidi" w:cstheme="majorBidi"/>
              </w:rPr>
              <w:t>Add fugitive dust measures for clinker piles to existing Operation and Maintenance Plan</w:t>
            </w:r>
          </w:p>
        </w:tc>
        <w:tc>
          <w:tcPr>
            <w:tcW w:w="3060" w:type="dxa"/>
            <w:vAlign w:val="center"/>
          </w:tcPr>
          <w:p w:rsidR="00C50FFE" w:rsidRPr="00305394" w:rsidRDefault="006506F6" w:rsidP="000926B5">
            <w:pPr>
              <w:ind w:left="162" w:right="-90"/>
              <w:rPr>
                <w:rFonts w:asciiTheme="majorBidi" w:hAnsiTheme="majorBidi" w:cstheme="majorBidi"/>
                <w:bCs/>
              </w:rPr>
            </w:pPr>
            <w:r w:rsidRPr="00305394">
              <w:rPr>
                <w:rFonts w:asciiTheme="majorBidi" w:hAnsiTheme="majorBidi" w:cstheme="majorBidi"/>
                <w:bCs/>
              </w:rPr>
              <w:t>63.1343(c)</w:t>
            </w:r>
          </w:p>
        </w:tc>
        <w:tc>
          <w:tcPr>
            <w:tcW w:w="2790" w:type="dxa"/>
            <w:vAlign w:val="center"/>
          </w:tcPr>
          <w:p w:rsidR="00C50FFE" w:rsidRPr="00305394" w:rsidRDefault="006506F6" w:rsidP="000926B5">
            <w:pPr>
              <w:ind w:left="162" w:right="-90"/>
              <w:rPr>
                <w:rFonts w:asciiTheme="majorBidi" w:hAnsiTheme="majorBidi" w:cstheme="majorBidi"/>
                <w:bCs/>
              </w:rPr>
            </w:pPr>
            <w:r w:rsidRPr="00305394">
              <w:rPr>
                <w:rFonts w:asciiTheme="majorBidi" w:hAnsiTheme="majorBidi" w:cstheme="majorBidi"/>
                <w:bCs/>
              </w:rPr>
              <w:t>63.1343(c)</w:t>
            </w:r>
          </w:p>
        </w:tc>
        <w:tc>
          <w:tcPr>
            <w:tcW w:w="2970" w:type="dxa"/>
            <w:vAlign w:val="center"/>
          </w:tcPr>
          <w:p w:rsidR="00C50FFE" w:rsidRPr="00305394" w:rsidRDefault="00460700" w:rsidP="000926B5">
            <w:pPr>
              <w:ind w:right="-90"/>
              <w:rPr>
                <w:rFonts w:asciiTheme="majorBidi" w:hAnsiTheme="majorBidi" w:cstheme="majorBidi"/>
              </w:rPr>
            </w:pPr>
            <w:r w:rsidRPr="00305394">
              <w:rPr>
                <w:rFonts w:asciiTheme="majorBidi" w:hAnsiTheme="majorBidi" w:cstheme="majorBidi"/>
              </w:rPr>
              <w:t>63.6(e)</w:t>
            </w:r>
          </w:p>
        </w:tc>
      </w:tr>
    </w:tbl>
    <w:p w:rsidR="00656C55" w:rsidRPr="008842AD" w:rsidRDefault="00F11CCB" w:rsidP="00C50FFE">
      <w:pPr>
        <w:pStyle w:val="ExhibitTitle"/>
        <w:rPr>
          <w:rFonts w:asciiTheme="majorBidi" w:hAnsiTheme="majorBidi" w:cstheme="majorBidi"/>
          <w:szCs w:val="24"/>
        </w:rPr>
      </w:pPr>
      <w:r w:rsidRPr="008842AD">
        <w:rPr>
          <w:rFonts w:asciiTheme="majorBidi" w:hAnsiTheme="majorBidi" w:cstheme="majorBidi"/>
          <w:szCs w:val="24"/>
        </w:rPr>
        <w:tab/>
      </w:r>
    </w:p>
    <w:p w:rsidR="00B44B13" w:rsidRPr="008842AD" w:rsidRDefault="00B44B13" w:rsidP="002D1915">
      <w:pPr>
        <w:rPr>
          <w:rFonts w:asciiTheme="majorBidi" w:hAnsiTheme="majorBidi" w:cstheme="majorBidi"/>
          <w:szCs w:val="24"/>
        </w:rPr>
      </w:pPr>
    </w:p>
    <w:p w:rsidR="008842AD" w:rsidRPr="008842AD" w:rsidRDefault="008842AD">
      <w:pPr>
        <w:rPr>
          <w:rFonts w:asciiTheme="majorBidi" w:hAnsiTheme="majorBidi" w:cstheme="majorBidi"/>
          <w:szCs w:val="24"/>
        </w:rPr>
      </w:pPr>
    </w:p>
    <w:sectPr w:rsidR="008842AD" w:rsidRPr="008842AD" w:rsidSect="00593F3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15E" w:rsidRDefault="005C715E" w:rsidP="004A3758">
      <w:r>
        <w:separator/>
      </w:r>
    </w:p>
  </w:endnote>
  <w:endnote w:type="continuationSeparator" w:id="0">
    <w:p w:rsidR="005C715E" w:rsidRDefault="005C715E" w:rsidP="004A37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ZapfEllipt BT">
    <w:altName w:val="Cambria Math"/>
    <w:charset w:val="00"/>
    <w:family w:val="roman"/>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43" w:rsidRDefault="00CB5715">
    <w:pPr>
      <w:pStyle w:val="Footer"/>
      <w:jc w:val="center"/>
    </w:pPr>
    <w:fldSimple w:instr=" PAGE   \* MERGEFORMAT ">
      <w:r w:rsidR="00F57B64">
        <w:rPr>
          <w:noProof/>
        </w:rPr>
        <w:t>14</w:t>
      </w:r>
    </w:fldSimple>
  </w:p>
  <w:p w:rsidR="00880443" w:rsidRDefault="008804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15E" w:rsidRDefault="005C715E" w:rsidP="004A3758">
      <w:r>
        <w:separator/>
      </w:r>
    </w:p>
  </w:footnote>
  <w:footnote w:type="continuationSeparator" w:id="0">
    <w:p w:rsidR="005C715E" w:rsidRDefault="005C715E" w:rsidP="004A3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443" w:rsidRDefault="00880443">
    <w:pPr>
      <w:pStyle w:val="Header"/>
    </w:pPr>
  </w:p>
  <w:p w:rsidR="00880443" w:rsidRDefault="008804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268C0A"/>
    <w:lvl w:ilvl="0">
      <w:start w:val="1"/>
      <w:numFmt w:val="decimal"/>
      <w:lvlText w:val="%1."/>
      <w:lvlJc w:val="left"/>
      <w:pPr>
        <w:tabs>
          <w:tab w:val="num" w:pos="1800"/>
        </w:tabs>
        <w:ind w:left="1800" w:hanging="360"/>
      </w:pPr>
    </w:lvl>
  </w:abstractNum>
  <w:abstractNum w:abstractNumId="1">
    <w:nsid w:val="FFFFFF7D"/>
    <w:multiLevelType w:val="singleLevel"/>
    <w:tmpl w:val="5EA8DFE6"/>
    <w:lvl w:ilvl="0">
      <w:start w:val="1"/>
      <w:numFmt w:val="decimal"/>
      <w:lvlText w:val="%1."/>
      <w:lvlJc w:val="left"/>
      <w:pPr>
        <w:tabs>
          <w:tab w:val="num" w:pos="1440"/>
        </w:tabs>
        <w:ind w:left="1440" w:hanging="360"/>
      </w:pPr>
    </w:lvl>
  </w:abstractNum>
  <w:abstractNum w:abstractNumId="2">
    <w:nsid w:val="FFFFFF7E"/>
    <w:multiLevelType w:val="singleLevel"/>
    <w:tmpl w:val="5B16F8DE"/>
    <w:lvl w:ilvl="0">
      <w:start w:val="1"/>
      <w:numFmt w:val="decimal"/>
      <w:lvlText w:val="%1."/>
      <w:lvlJc w:val="left"/>
      <w:pPr>
        <w:tabs>
          <w:tab w:val="num" w:pos="1080"/>
        </w:tabs>
        <w:ind w:left="1080" w:hanging="360"/>
      </w:pPr>
    </w:lvl>
  </w:abstractNum>
  <w:abstractNum w:abstractNumId="3">
    <w:nsid w:val="FFFFFF7F"/>
    <w:multiLevelType w:val="singleLevel"/>
    <w:tmpl w:val="1700CFD4"/>
    <w:lvl w:ilvl="0">
      <w:start w:val="1"/>
      <w:numFmt w:val="decimal"/>
      <w:lvlText w:val="%1."/>
      <w:lvlJc w:val="left"/>
      <w:pPr>
        <w:tabs>
          <w:tab w:val="num" w:pos="720"/>
        </w:tabs>
        <w:ind w:left="720" w:hanging="360"/>
      </w:pPr>
    </w:lvl>
  </w:abstractNum>
  <w:abstractNum w:abstractNumId="4">
    <w:nsid w:val="FFFFFF80"/>
    <w:multiLevelType w:val="singleLevel"/>
    <w:tmpl w:val="B1FCBE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B2F4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DABB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A05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84EB384"/>
    <w:lvl w:ilvl="0">
      <w:start w:val="1"/>
      <w:numFmt w:val="decimal"/>
      <w:lvlText w:val="%1."/>
      <w:lvlJc w:val="left"/>
      <w:pPr>
        <w:tabs>
          <w:tab w:val="num" w:pos="360"/>
        </w:tabs>
        <w:ind w:left="360" w:hanging="360"/>
      </w:pPr>
    </w:lvl>
  </w:abstractNum>
  <w:abstractNum w:abstractNumId="9">
    <w:nsid w:val="FFFFFF89"/>
    <w:multiLevelType w:val="singleLevel"/>
    <w:tmpl w:val="11E03B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90F20"/>
    <w:rsid w:val="000011F8"/>
    <w:rsid w:val="000075DA"/>
    <w:rsid w:val="000115D2"/>
    <w:rsid w:val="00017F30"/>
    <w:rsid w:val="0002271B"/>
    <w:rsid w:val="00023E32"/>
    <w:rsid w:val="00024B80"/>
    <w:rsid w:val="00026E9D"/>
    <w:rsid w:val="000309DB"/>
    <w:rsid w:val="00035FBC"/>
    <w:rsid w:val="000406D9"/>
    <w:rsid w:val="000570A3"/>
    <w:rsid w:val="000667AF"/>
    <w:rsid w:val="00071CB1"/>
    <w:rsid w:val="00081131"/>
    <w:rsid w:val="00083815"/>
    <w:rsid w:val="00083EDA"/>
    <w:rsid w:val="000926B5"/>
    <w:rsid w:val="000935E6"/>
    <w:rsid w:val="00096A33"/>
    <w:rsid w:val="000A7197"/>
    <w:rsid w:val="000A7801"/>
    <w:rsid w:val="000E0E67"/>
    <w:rsid w:val="000E4501"/>
    <w:rsid w:val="000F01A4"/>
    <w:rsid w:val="000F0CFF"/>
    <w:rsid w:val="00106BA9"/>
    <w:rsid w:val="001075F7"/>
    <w:rsid w:val="00110F58"/>
    <w:rsid w:val="001111D2"/>
    <w:rsid w:val="00122491"/>
    <w:rsid w:val="00124A0B"/>
    <w:rsid w:val="001300E8"/>
    <w:rsid w:val="00145C70"/>
    <w:rsid w:val="00156232"/>
    <w:rsid w:val="00180971"/>
    <w:rsid w:val="00181CE5"/>
    <w:rsid w:val="001B31D2"/>
    <w:rsid w:val="001B3690"/>
    <w:rsid w:val="001B5B45"/>
    <w:rsid w:val="001C04AD"/>
    <w:rsid w:val="001C7311"/>
    <w:rsid w:val="001D3852"/>
    <w:rsid w:val="001D5E17"/>
    <w:rsid w:val="001F308E"/>
    <w:rsid w:val="001F3386"/>
    <w:rsid w:val="001F41F7"/>
    <w:rsid w:val="00225B2B"/>
    <w:rsid w:val="00230BD1"/>
    <w:rsid w:val="0025402F"/>
    <w:rsid w:val="00261DE1"/>
    <w:rsid w:val="00265B3F"/>
    <w:rsid w:val="002732D1"/>
    <w:rsid w:val="002777CB"/>
    <w:rsid w:val="00290F20"/>
    <w:rsid w:val="002977E9"/>
    <w:rsid w:val="002A1C0E"/>
    <w:rsid w:val="002A3F47"/>
    <w:rsid w:val="002B2AE5"/>
    <w:rsid w:val="002B6E5F"/>
    <w:rsid w:val="002D1915"/>
    <w:rsid w:val="002D1B3A"/>
    <w:rsid w:val="002D550B"/>
    <w:rsid w:val="002E495C"/>
    <w:rsid w:val="003024CD"/>
    <w:rsid w:val="00305394"/>
    <w:rsid w:val="00315242"/>
    <w:rsid w:val="00321051"/>
    <w:rsid w:val="003240EE"/>
    <w:rsid w:val="003347AF"/>
    <w:rsid w:val="003363A0"/>
    <w:rsid w:val="00337CF4"/>
    <w:rsid w:val="00341A80"/>
    <w:rsid w:val="0034549F"/>
    <w:rsid w:val="0035244C"/>
    <w:rsid w:val="003556F6"/>
    <w:rsid w:val="00366C19"/>
    <w:rsid w:val="00372DBB"/>
    <w:rsid w:val="003864AC"/>
    <w:rsid w:val="003879A3"/>
    <w:rsid w:val="003A2276"/>
    <w:rsid w:val="003A3FE2"/>
    <w:rsid w:val="003B1201"/>
    <w:rsid w:val="003B4EAE"/>
    <w:rsid w:val="003B6B97"/>
    <w:rsid w:val="003B6EA8"/>
    <w:rsid w:val="003C14BD"/>
    <w:rsid w:val="003E51CF"/>
    <w:rsid w:val="004025BF"/>
    <w:rsid w:val="00407BA9"/>
    <w:rsid w:val="00414BF9"/>
    <w:rsid w:val="00417DA0"/>
    <w:rsid w:val="00421DF7"/>
    <w:rsid w:val="004229BF"/>
    <w:rsid w:val="004264BA"/>
    <w:rsid w:val="00433CEE"/>
    <w:rsid w:val="00453812"/>
    <w:rsid w:val="004562D1"/>
    <w:rsid w:val="00460700"/>
    <w:rsid w:val="00462D22"/>
    <w:rsid w:val="00466BEB"/>
    <w:rsid w:val="0048395F"/>
    <w:rsid w:val="004902C8"/>
    <w:rsid w:val="004A3758"/>
    <w:rsid w:val="004A724B"/>
    <w:rsid w:val="004B1208"/>
    <w:rsid w:val="004C1322"/>
    <w:rsid w:val="004C5D01"/>
    <w:rsid w:val="004D4343"/>
    <w:rsid w:val="004D7275"/>
    <w:rsid w:val="004E5B42"/>
    <w:rsid w:val="004E6BDF"/>
    <w:rsid w:val="00510D95"/>
    <w:rsid w:val="00511921"/>
    <w:rsid w:val="005170B7"/>
    <w:rsid w:val="0052403B"/>
    <w:rsid w:val="00531E1F"/>
    <w:rsid w:val="005329F8"/>
    <w:rsid w:val="005332CE"/>
    <w:rsid w:val="005443D0"/>
    <w:rsid w:val="00550708"/>
    <w:rsid w:val="00553CA4"/>
    <w:rsid w:val="005720EA"/>
    <w:rsid w:val="00573CC3"/>
    <w:rsid w:val="00576D07"/>
    <w:rsid w:val="00580463"/>
    <w:rsid w:val="00582880"/>
    <w:rsid w:val="00584022"/>
    <w:rsid w:val="005922C3"/>
    <w:rsid w:val="00593F37"/>
    <w:rsid w:val="005944B2"/>
    <w:rsid w:val="00597348"/>
    <w:rsid w:val="005C543F"/>
    <w:rsid w:val="005C715E"/>
    <w:rsid w:val="005F0303"/>
    <w:rsid w:val="005F3BAC"/>
    <w:rsid w:val="005F6931"/>
    <w:rsid w:val="00603148"/>
    <w:rsid w:val="00610899"/>
    <w:rsid w:val="006305AC"/>
    <w:rsid w:val="006308D0"/>
    <w:rsid w:val="006331A2"/>
    <w:rsid w:val="00634331"/>
    <w:rsid w:val="00641C03"/>
    <w:rsid w:val="006506F6"/>
    <w:rsid w:val="00650A4C"/>
    <w:rsid w:val="00652E14"/>
    <w:rsid w:val="00656C55"/>
    <w:rsid w:val="0066152B"/>
    <w:rsid w:val="006713B6"/>
    <w:rsid w:val="00682859"/>
    <w:rsid w:val="0068589D"/>
    <w:rsid w:val="0069307D"/>
    <w:rsid w:val="006C067F"/>
    <w:rsid w:val="006D0A64"/>
    <w:rsid w:val="006D5A79"/>
    <w:rsid w:val="006F0A22"/>
    <w:rsid w:val="006F1F93"/>
    <w:rsid w:val="006F2EE1"/>
    <w:rsid w:val="006F558F"/>
    <w:rsid w:val="00716EF5"/>
    <w:rsid w:val="00721F22"/>
    <w:rsid w:val="0073260B"/>
    <w:rsid w:val="00735D15"/>
    <w:rsid w:val="0074452C"/>
    <w:rsid w:val="007445B5"/>
    <w:rsid w:val="00747BAF"/>
    <w:rsid w:val="00755F22"/>
    <w:rsid w:val="007627E8"/>
    <w:rsid w:val="00764E0D"/>
    <w:rsid w:val="007706AA"/>
    <w:rsid w:val="00772436"/>
    <w:rsid w:val="0078424E"/>
    <w:rsid w:val="00790728"/>
    <w:rsid w:val="0079404A"/>
    <w:rsid w:val="007A4BBD"/>
    <w:rsid w:val="007B67D6"/>
    <w:rsid w:val="007C7228"/>
    <w:rsid w:val="007D6FDD"/>
    <w:rsid w:val="007E086D"/>
    <w:rsid w:val="007E0CAC"/>
    <w:rsid w:val="007E18EE"/>
    <w:rsid w:val="007E2D1E"/>
    <w:rsid w:val="007F193D"/>
    <w:rsid w:val="007F2470"/>
    <w:rsid w:val="007F5F0B"/>
    <w:rsid w:val="00806E75"/>
    <w:rsid w:val="00811143"/>
    <w:rsid w:val="0081279C"/>
    <w:rsid w:val="00813813"/>
    <w:rsid w:val="00815E56"/>
    <w:rsid w:val="00817EED"/>
    <w:rsid w:val="0083048B"/>
    <w:rsid w:val="00834414"/>
    <w:rsid w:val="0083688F"/>
    <w:rsid w:val="00841C33"/>
    <w:rsid w:val="008628EC"/>
    <w:rsid w:val="008629FE"/>
    <w:rsid w:val="00862B02"/>
    <w:rsid w:val="00880443"/>
    <w:rsid w:val="0088411F"/>
    <w:rsid w:val="008842AD"/>
    <w:rsid w:val="00884FCB"/>
    <w:rsid w:val="008A180D"/>
    <w:rsid w:val="008A19ED"/>
    <w:rsid w:val="008A2083"/>
    <w:rsid w:val="008A6188"/>
    <w:rsid w:val="008B0925"/>
    <w:rsid w:val="008B40E5"/>
    <w:rsid w:val="008B675D"/>
    <w:rsid w:val="008C5BF2"/>
    <w:rsid w:val="008C7349"/>
    <w:rsid w:val="008C76D8"/>
    <w:rsid w:val="008D1F9D"/>
    <w:rsid w:val="008D5D05"/>
    <w:rsid w:val="009213CA"/>
    <w:rsid w:val="00926BE1"/>
    <w:rsid w:val="00930DEA"/>
    <w:rsid w:val="00950A3A"/>
    <w:rsid w:val="00961ECE"/>
    <w:rsid w:val="00967FE9"/>
    <w:rsid w:val="009701FE"/>
    <w:rsid w:val="00972CAA"/>
    <w:rsid w:val="00997A88"/>
    <w:rsid w:val="009A404D"/>
    <w:rsid w:val="009B4F7B"/>
    <w:rsid w:val="009B5CF2"/>
    <w:rsid w:val="009B6737"/>
    <w:rsid w:val="009C4B44"/>
    <w:rsid w:val="009D3674"/>
    <w:rsid w:val="009D62E0"/>
    <w:rsid w:val="009F2F28"/>
    <w:rsid w:val="00A0220C"/>
    <w:rsid w:val="00A04470"/>
    <w:rsid w:val="00A16EAE"/>
    <w:rsid w:val="00A201EF"/>
    <w:rsid w:val="00A2750A"/>
    <w:rsid w:val="00A3691C"/>
    <w:rsid w:val="00A44C2C"/>
    <w:rsid w:val="00A57A0A"/>
    <w:rsid w:val="00A73F49"/>
    <w:rsid w:val="00A747CF"/>
    <w:rsid w:val="00A845AD"/>
    <w:rsid w:val="00A90269"/>
    <w:rsid w:val="00AA607B"/>
    <w:rsid w:val="00AB48C3"/>
    <w:rsid w:val="00AC54A4"/>
    <w:rsid w:val="00AC7A3C"/>
    <w:rsid w:val="00AE07EA"/>
    <w:rsid w:val="00AF60F9"/>
    <w:rsid w:val="00B1080D"/>
    <w:rsid w:val="00B11341"/>
    <w:rsid w:val="00B135BC"/>
    <w:rsid w:val="00B17E82"/>
    <w:rsid w:val="00B203B9"/>
    <w:rsid w:val="00B4226E"/>
    <w:rsid w:val="00B44B13"/>
    <w:rsid w:val="00B462D4"/>
    <w:rsid w:val="00B55C28"/>
    <w:rsid w:val="00B616E2"/>
    <w:rsid w:val="00B632F8"/>
    <w:rsid w:val="00B76529"/>
    <w:rsid w:val="00B844A0"/>
    <w:rsid w:val="00B925B5"/>
    <w:rsid w:val="00BA07F4"/>
    <w:rsid w:val="00BA2057"/>
    <w:rsid w:val="00BB72E0"/>
    <w:rsid w:val="00BC128C"/>
    <w:rsid w:val="00BC6A4E"/>
    <w:rsid w:val="00BE028A"/>
    <w:rsid w:val="00BF4E90"/>
    <w:rsid w:val="00C24630"/>
    <w:rsid w:val="00C24B28"/>
    <w:rsid w:val="00C35481"/>
    <w:rsid w:val="00C37EB9"/>
    <w:rsid w:val="00C45CE2"/>
    <w:rsid w:val="00C50FFE"/>
    <w:rsid w:val="00C514E3"/>
    <w:rsid w:val="00C52459"/>
    <w:rsid w:val="00C532E5"/>
    <w:rsid w:val="00C70366"/>
    <w:rsid w:val="00C77FD4"/>
    <w:rsid w:val="00C832D5"/>
    <w:rsid w:val="00C90758"/>
    <w:rsid w:val="00CB0A7A"/>
    <w:rsid w:val="00CB5715"/>
    <w:rsid w:val="00CB7D66"/>
    <w:rsid w:val="00CC41F0"/>
    <w:rsid w:val="00CC42FF"/>
    <w:rsid w:val="00CE419D"/>
    <w:rsid w:val="00CE522C"/>
    <w:rsid w:val="00D01DE3"/>
    <w:rsid w:val="00D057B2"/>
    <w:rsid w:val="00D17CAD"/>
    <w:rsid w:val="00D17F70"/>
    <w:rsid w:val="00D207AF"/>
    <w:rsid w:val="00D2425B"/>
    <w:rsid w:val="00D330DF"/>
    <w:rsid w:val="00D35AD8"/>
    <w:rsid w:val="00D363E1"/>
    <w:rsid w:val="00D4149E"/>
    <w:rsid w:val="00D4427F"/>
    <w:rsid w:val="00D45595"/>
    <w:rsid w:val="00D53BA6"/>
    <w:rsid w:val="00D772CE"/>
    <w:rsid w:val="00D80638"/>
    <w:rsid w:val="00D820B1"/>
    <w:rsid w:val="00D914F0"/>
    <w:rsid w:val="00DC5864"/>
    <w:rsid w:val="00DE29C9"/>
    <w:rsid w:val="00DF1D69"/>
    <w:rsid w:val="00DF1EEF"/>
    <w:rsid w:val="00E01358"/>
    <w:rsid w:val="00E059E4"/>
    <w:rsid w:val="00E10A2F"/>
    <w:rsid w:val="00E221A3"/>
    <w:rsid w:val="00E26C1D"/>
    <w:rsid w:val="00E41201"/>
    <w:rsid w:val="00E500C9"/>
    <w:rsid w:val="00E60BB2"/>
    <w:rsid w:val="00E67CCD"/>
    <w:rsid w:val="00E7223E"/>
    <w:rsid w:val="00E73E63"/>
    <w:rsid w:val="00E76245"/>
    <w:rsid w:val="00E80931"/>
    <w:rsid w:val="00E86A21"/>
    <w:rsid w:val="00E86E80"/>
    <w:rsid w:val="00E9177B"/>
    <w:rsid w:val="00E9320A"/>
    <w:rsid w:val="00EB46DF"/>
    <w:rsid w:val="00EC156D"/>
    <w:rsid w:val="00EE5AC5"/>
    <w:rsid w:val="00EF7A55"/>
    <w:rsid w:val="00F013C0"/>
    <w:rsid w:val="00F013D0"/>
    <w:rsid w:val="00F01B3B"/>
    <w:rsid w:val="00F043FA"/>
    <w:rsid w:val="00F04795"/>
    <w:rsid w:val="00F101C1"/>
    <w:rsid w:val="00F11CCB"/>
    <w:rsid w:val="00F12FDB"/>
    <w:rsid w:val="00F13BBC"/>
    <w:rsid w:val="00F15DFB"/>
    <w:rsid w:val="00F160DD"/>
    <w:rsid w:val="00F167AC"/>
    <w:rsid w:val="00F319A1"/>
    <w:rsid w:val="00F32B78"/>
    <w:rsid w:val="00F34910"/>
    <w:rsid w:val="00F3567C"/>
    <w:rsid w:val="00F37C0F"/>
    <w:rsid w:val="00F4215B"/>
    <w:rsid w:val="00F44ACC"/>
    <w:rsid w:val="00F47FCF"/>
    <w:rsid w:val="00F57B64"/>
    <w:rsid w:val="00F6388C"/>
    <w:rsid w:val="00F66DD7"/>
    <w:rsid w:val="00F73D3F"/>
    <w:rsid w:val="00F773E1"/>
    <w:rsid w:val="00F92DC7"/>
    <w:rsid w:val="00FA1796"/>
    <w:rsid w:val="00FB09E2"/>
    <w:rsid w:val="00FD1612"/>
    <w:rsid w:val="00FD1AFF"/>
    <w:rsid w:val="00FD4199"/>
    <w:rsid w:val="00FE6118"/>
    <w:rsid w:val="00FF2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0A"/>
    <w:rPr>
      <w:rFonts w:ascii="ZapfEllipt BT" w:hAnsi="ZapfEllipt BT"/>
      <w:sz w:val="24"/>
    </w:rPr>
  </w:style>
  <w:style w:type="paragraph" w:styleId="Heading1">
    <w:name w:val="heading 1"/>
    <w:basedOn w:val="Normal"/>
    <w:next w:val="Normal"/>
    <w:link w:val="Heading1Char"/>
    <w:uiPriority w:val="9"/>
    <w:qFormat/>
    <w:rsid w:val="006305AC"/>
    <w:pPr>
      <w:keepNext/>
      <w:spacing w:before="240" w:after="60"/>
      <w:ind w:left="720" w:hanging="720"/>
      <w:outlineLvl w:val="0"/>
    </w:pPr>
    <w:rPr>
      <w:rFonts w:ascii="Times New Roman" w:eastAsia="Times New Roman" w:hAnsi="Times New Roman"/>
      <w:b/>
      <w:bCs/>
      <w:kern w:val="32"/>
      <w:szCs w:val="32"/>
    </w:rPr>
  </w:style>
  <w:style w:type="paragraph" w:styleId="Heading2">
    <w:name w:val="heading 2"/>
    <w:basedOn w:val="Normal"/>
    <w:next w:val="Normal"/>
    <w:link w:val="Heading2Char"/>
    <w:uiPriority w:val="9"/>
    <w:unhideWhenUsed/>
    <w:qFormat/>
    <w:rsid w:val="006305AC"/>
    <w:pPr>
      <w:keepNext/>
      <w:spacing w:before="240" w:after="60"/>
      <w:ind w:left="720" w:hanging="720"/>
      <w:outlineLvl w:val="1"/>
    </w:pPr>
    <w:rPr>
      <w:rFonts w:ascii="Times New Roman" w:eastAsia="Times New Roman" w:hAnsi="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5AC"/>
    <w:rPr>
      <w:rFonts w:eastAsia="Times New Roman" w:cs="Times New Roman"/>
      <w:b/>
      <w:bCs/>
      <w:kern w:val="32"/>
      <w:sz w:val="24"/>
      <w:szCs w:val="32"/>
    </w:rPr>
  </w:style>
  <w:style w:type="character" w:customStyle="1" w:styleId="Heading2Char">
    <w:name w:val="Heading 2 Char"/>
    <w:basedOn w:val="DefaultParagraphFont"/>
    <w:link w:val="Heading2"/>
    <w:uiPriority w:val="9"/>
    <w:rsid w:val="006305AC"/>
    <w:rPr>
      <w:rFonts w:eastAsia="Times New Roman" w:cs="Times New Roman"/>
      <w:bCs/>
      <w:iCs/>
      <w:sz w:val="24"/>
      <w:szCs w:val="28"/>
    </w:rPr>
  </w:style>
  <w:style w:type="paragraph" w:styleId="Title">
    <w:name w:val="Title"/>
    <w:basedOn w:val="Normal"/>
    <w:next w:val="Normal"/>
    <w:link w:val="TitleChar"/>
    <w:uiPriority w:val="10"/>
    <w:qFormat/>
    <w:rsid w:val="00BF4E90"/>
    <w:pPr>
      <w:spacing w:before="180" w:after="60"/>
      <w:jc w:val="center"/>
      <w:outlineLvl w:val="0"/>
    </w:pPr>
    <w:rPr>
      <w:rFonts w:eastAsia="Times New Roman"/>
      <w:b/>
      <w:bCs/>
      <w:kern w:val="28"/>
      <w:szCs w:val="32"/>
    </w:rPr>
  </w:style>
  <w:style w:type="character" w:customStyle="1" w:styleId="TitleChar">
    <w:name w:val="Title Char"/>
    <w:basedOn w:val="DefaultParagraphFont"/>
    <w:link w:val="Title"/>
    <w:uiPriority w:val="10"/>
    <w:rsid w:val="00BF4E90"/>
    <w:rPr>
      <w:rFonts w:ascii="ZapfEllipt BT" w:eastAsia="Times New Roman" w:hAnsi="ZapfEllipt BT"/>
      <w:b/>
      <w:bCs/>
      <w:kern w:val="28"/>
      <w:sz w:val="24"/>
      <w:szCs w:val="32"/>
    </w:rPr>
  </w:style>
  <w:style w:type="paragraph" w:styleId="Subtitle">
    <w:name w:val="Subtitle"/>
    <w:basedOn w:val="Normal"/>
    <w:next w:val="Normal"/>
    <w:link w:val="SubtitleChar"/>
    <w:uiPriority w:val="11"/>
    <w:qFormat/>
    <w:rsid w:val="00290F20"/>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sid w:val="00290F20"/>
    <w:rPr>
      <w:rFonts w:ascii="Cambria" w:eastAsia="Times New Roman" w:hAnsi="Cambria" w:cs="Times New Roman"/>
      <w:sz w:val="24"/>
      <w:szCs w:val="24"/>
    </w:rPr>
  </w:style>
  <w:style w:type="paragraph" w:customStyle="1" w:styleId="Para">
    <w:name w:val="Para"/>
    <w:basedOn w:val="Normal"/>
    <w:qFormat/>
    <w:rsid w:val="00290F20"/>
    <w:pPr>
      <w:spacing w:after="120"/>
      <w:ind w:firstLine="720"/>
    </w:pPr>
  </w:style>
  <w:style w:type="table" w:styleId="TableGrid">
    <w:name w:val="Table Grid"/>
    <w:basedOn w:val="TableNormal"/>
    <w:uiPriority w:val="59"/>
    <w:rsid w:val="00EF7A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Row">
    <w:name w:val="Table_Row"/>
    <w:basedOn w:val="Normal"/>
    <w:qFormat/>
    <w:rsid w:val="00EF7A55"/>
    <w:rPr>
      <w:sz w:val="22"/>
    </w:rPr>
  </w:style>
  <w:style w:type="paragraph" w:customStyle="1" w:styleId="TableHeader">
    <w:name w:val="Table_Header"/>
    <w:basedOn w:val="TableRow"/>
    <w:qFormat/>
    <w:rsid w:val="00EF7A55"/>
    <w:pPr>
      <w:jc w:val="center"/>
    </w:pPr>
    <w:rPr>
      <w:b/>
    </w:rPr>
  </w:style>
  <w:style w:type="paragraph" w:customStyle="1" w:styleId="ExhibitTitle">
    <w:name w:val="Exhibit_Title"/>
    <w:basedOn w:val="Normal"/>
    <w:qFormat/>
    <w:rsid w:val="007A4BBD"/>
    <w:pPr>
      <w:spacing w:after="60"/>
      <w:ind w:left="1170" w:hanging="1170"/>
    </w:pPr>
    <w:rPr>
      <w:b/>
    </w:rPr>
  </w:style>
  <w:style w:type="paragraph" w:styleId="Quote">
    <w:name w:val="Quote"/>
    <w:basedOn w:val="Normal"/>
    <w:next w:val="Normal"/>
    <w:link w:val="QuoteChar"/>
    <w:uiPriority w:val="29"/>
    <w:rsid w:val="00806E75"/>
    <w:rPr>
      <w:i/>
      <w:iCs/>
      <w:color w:val="000000"/>
    </w:rPr>
  </w:style>
  <w:style w:type="character" w:customStyle="1" w:styleId="QuoteChar">
    <w:name w:val="Quote Char"/>
    <w:basedOn w:val="DefaultParagraphFont"/>
    <w:link w:val="Quote"/>
    <w:uiPriority w:val="29"/>
    <w:rsid w:val="00806E75"/>
    <w:rPr>
      <w:rFonts w:ascii="ZapfEllipt BT" w:hAnsi="ZapfEllipt BT"/>
      <w:i/>
      <w:iCs/>
      <w:color w:val="000000"/>
      <w:sz w:val="24"/>
    </w:rPr>
  </w:style>
  <w:style w:type="character" w:styleId="Strong">
    <w:name w:val="Strong"/>
    <w:basedOn w:val="DefaultParagraphFont"/>
    <w:uiPriority w:val="22"/>
    <w:rsid w:val="00806E75"/>
    <w:rPr>
      <w:b/>
      <w:bCs/>
    </w:rPr>
  </w:style>
  <w:style w:type="paragraph" w:customStyle="1" w:styleId="Quotation">
    <w:name w:val="Quotation"/>
    <w:basedOn w:val="Quote"/>
    <w:qFormat/>
    <w:rsid w:val="00A2750A"/>
    <w:pPr>
      <w:spacing w:after="120"/>
      <w:ind w:left="1440" w:right="1440"/>
    </w:pPr>
    <w:rPr>
      <w:i w:val="0"/>
    </w:rPr>
  </w:style>
  <w:style w:type="character" w:styleId="Hyperlink">
    <w:name w:val="Hyperlink"/>
    <w:basedOn w:val="DefaultParagraphFont"/>
    <w:rsid w:val="00C70366"/>
    <w:rPr>
      <w:color w:val="0000FF"/>
      <w:u w:val="single"/>
    </w:rPr>
  </w:style>
  <w:style w:type="character" w:styleId="FollowedHyperlink">
    <w:name w:val="FollowedHyperlink"/>
    <w:basedOn w:val="DefaultParagraphFont"/>
    <w:uiPriority w:val="99"/>
    <w:semiHidden/>
    <w:unhideWhenUsed/>
    <w:rsid w:val="00C70366"/>
    <w:rPr>
      <w:color w:val="800080"/>
      <w:u w:val="single"/>
    </w:rPr>
  </w:style>
  <w:style w:type="paragraph" w:styleId="Header">
    <w:name w:val="header"/>
    <w:basedOn w:val="Normal"/>
    <w:link w:val="HeaderChar"/>
    <w:uiPriority w:val="99"/>
    <w:unhideWhenUsed/>
    <w:rsid w:val="004A3758"/>
    <w:pPr>
      <w:tabs>
        <w:tab w:val="center" w:pos="4680"/>
        <w:tab w:val="right" w:pos="9360"/>
      </w:tabs>
    </w:pPr>
  </w:style>
  <w:style w:type="character" w:customStyle="1" w:styleId="HeaderChar">
    <w:name w:val="Header Char"/>
    <w:basedOn w:val="DefaultParagraphFont"/>
    <w:link w:val="Header"/>
    <w:uiPriority w:val="99"/>
    <w:rsid w:val="004A3758"/>
    <w:rPr>
      <w:rFonts w:ascii="ZapfEllipt BT" w:hAnsi="ZapfEllipt BT"/>
      <w:sz w:val="24"/>
    </w:rPr>
  </w:style>
  <w:style w:type="paragraph" w:styleId="Footer">
    <w:name w:val="footer"/>
    <w:basedOn w:val="Normal"/>
    <w:link w:val="FooterChar"/>
    <w:uiPriority w:val="99"/>
    <w:unhideWhenUsed/>
    <w:rsid w:val="004A3758"/>
    <w:pPr>
      <w:tabs>
        <w:tab w:val="center" w:pos="4680"/>
        <w:tab w:val="right" w:pos="9360"/>
      </w:tabs>
    </w:pPr>
  </w:style>
  <w:style w:type="character" w:customStyle="1" w:styleId="FooterChar">
    <w:name w:val="Footer Char"/>
    <w:basedOn w:val="DefaultParagraphFont"/>
    <w:link w:val="Footer"/>
    <w:uiPriority w:val="99"/>
    <w:rsid w:val="004A3758"/>
    <w:rPr>
      <w:rFonts w:ascii="ZapfEllipt BT" w:hAnsi="ZapfEllipt BT"/>
      <w:sz w:val="24"/>
    </w:rPr>
  </w:style>
  <w:style w:type="paragraph" w:styleId="BalloonText">
    <w:name w:val="Balloon Text"/>
    <w:basedOn w:val="Normal"/>
    <w:link w:val="BalloonTextChar"/>
    <w:uiPriority w:val="99"/>
    <w:semiHidden/>
    <w:unhideWhenUsed/>
    <w:rsid w:val="00641C03"/>
    <w:rPr>
      <w:rFonts w:ascii="Tahoma" w:hAnsi="Tahoma" w:cs="Tahoma"/>
      <w:sz w:val="16"/>
      <w:szCs w:val="16"/>
    </w:rPr>
  </w:style>
  <w:style w:type="character" w:customStyle="1" w:styleId="BalloonTextChar">
    <w:name w:val="Balloon Text Char"/>
    <w:basedOn w:val="DefaultParagraphFont"/>
    <w:link w:val="BalloonText"/>
    <w:uiPriority w:val="99"/>
    <w:semiHidden/>
    <w:rsid w:val="00641C03"/>
    <w:rPr>
      <w:rFonts w:ascii="Tahoma" w:hAnsi="Tahoma" w:cs="Tahoma"/>
      <w:sz w:val="16"/>
      <w:szCs w:val="16"/>
    </w:rPr>
  </w:style>
  <w:style w:type="paragraph" w:customStyle="1" w:styleId="xl65">
    <w:name w:val="xl65"/>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Cs w:val="24"/>
    </w:rPr>
  </w:style>
  <w:style w:type="paragraph" w:customStyle="1" w:styleId="xl66">
    <w:name w:val="xl66"/>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67">
    <w:name w:val="xl67"/>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0"/>
    </w:rPr>
  </w:style>
  <w:style w:type="paragraph" w:customStyle="1" w:styleId="xl68">
    <w:name w:val="xl68"/>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0"/>
    </w:rPr>
  </w:style>
  <w:style w:type="paragraph" w:customStyle="1" w:styleId="xl69">
    <w:name w:val="xl69"/>
    <w:basedOn w:val="Normal"/>
    <w:rsid w:val="00E9320A"/>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000000"/>
      <w:sz w:val="20"/>
    </w:rPr>
  </w:style>
  <w:style w:type="paragraph" w:customStyle="1" w:styleId="xl70">
    <w:name w:val="xl70"/>
    <w:basedOn w:val="Normal"/>
    <w:rsid w:val="00E9320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0"/>
    </w:rPr>
  </w:style>
  <w:style w:type="paragraph" w:customStyle="1" w:styleId="xl71">
    <w:name w:val="xl71"/>
    <w:basedOn w:val="Normal"/>
    <w:rsid w:val="00E9320A"/>
    <w:pPr>
      <w:pBdr>
        <w:top w:val="single" w:sz="4" w:space="0" w:color="auto"/>
        <w:bottom w:val="single" w:sz="4" w:space="0" w:color="auto"/>
      </w:pBdr>
      <w:spacing w:before="100" w:beforeAutospacing="1" w:after="100" w:afterAutospacing="1"/>
    </w:pPr>
    <w:rPr>
      <w:rFonts w:ascii="Times New Roman" w:eastAsia="Times New Roman" w:hAnsi="Times New Roman"/>
      <w:color w:val="000000"/>
      <w:sz w:val="20"/>
    </w:rPr>
  </w:style>
  <w:style w:type="paragraph" w:customStyle="1" w:styleId="xl72">
    <w:name w:val="xl72"/>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0"/>
    </w:rPr>
  </w:style>
  <w:style w:type="paragraph" w:customStyle="1" w:styleId="xl73">
    <w:name w:val="xl73"/>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0"/>
    </w:rPr>
  </w:style>
  <w:style w:type="paragraph" w:customStyle="1" w:styleId="xl74">
    <w:name w:val="xl74"/>
    <w:basedOn w:val="Normal"/>
    <w:rsid w:val="00E9320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jc w:val="center"/>
    </w:pPr>
    <w:rPr>
      <w:rFonts w:ascii="Times New Roman" w:eastAsia="Times New Roman" w:hAnsi="Times New Roman"/>
      <w:szCs w:val="24"/>
    </w:rPr>
  </w:style>
  <w:style w:type="paragraph" w:customStyle="1" w:styleId="xl75">
    <w:name w:val="xl75"/>
    <w:basedOn w:val="Normal"/>
    <w:rsid w:val="00E9320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Times New Roman" w:eastAsia="Times New Roman" w:hAnsi="Times New Roman"/>
      <w:szCs w:val="24"/>
    </w:rPr>
  </w:style>
  <w:style w:type="paragraph" w:customStyle="1" w:styleId="xl76">
    <w:name w:val="xl76"/>
    <w:basedOn w:val="Normal"/>
    <w:rsid w:val="00E9320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Times New Roman" w:eastAsia="Times New Roman" w:hAnsi="Times New Roman"/>
      <w:szCs w:val="24"/>
    </w:rPr>
  </w:style>
  <w:style w:type="paragraph" w:customStyle="1" w:styleId="xl77">
    <w:name w:val="xl77"/>
    <w:basedOn w:val="Normal"/>
    <w:rsid w:val="00E9320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Times New Roman" w:eastAsia="Times New Roman" w:hAnsi="Times New Roman"/>
      <w:sz w:val="20"/>
    </w:rPr>
  </w:style>
  <w:style w:type="paragraph" w:customStyle="1" w:styleId="xl78">
    <w:name w:val="xl78"/>
    <w:basedOn w:val="Normal"/>
    <w:rsid w:val="00E9320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Times New Roman" w:eastAsia="Times New Roman" w:hAnsi="Times New Roman"/>
      <w:sz w:val="20"/>
    </w:rPr>
  </w:style>
  <w:style w:type="paragraph" w:customStyle="1" w:styleId="xl79">
    <w:name w:val="xl79"/>
    <w:basedOn w:val="Normal"/>
    <w:rsid w:val="00E9320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Times New Roman" w:eastAsia="Times New Roman" w:hAnsi="Times New Roman"/>
      <w:sz w:val="20"/>
    </w:rPr>
  </w:style>
  <w:style w:type="paragraph" w:customStyle="1" w:styleId="xl80">
    <w:name w:val="xl80"/>
    <w:basedOn w:val="Normal"/>
    <w:rsid w:val="00E9320A"/>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Times New Roman" w:eastAsia="Times New Roman" w:hAnsi="Times New Roman"/>
      <w:sz w:val="20"/>
    </w:rPr>
  </w:style>
  <w:style w:type="paragraph" w:customStyle="1" w:styleId="xl81">
    <w:name w:val="xl81"/>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2">
    <w:name w:val="xl82"/>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Cs w:val="24"/>
    </w:rPr>
  </w:style>
  <w:style w:type="paragraph" w:customStyle="1" w:styleId="xl83">
    <w:name w:val="xl83"/>
    <w:basedOn w:val="Normal"/>
    <w:rsid w:val="00E9320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sz w:val="20"/>
    </w:rPr>
  </w:style>
  <w:style w:type="paragraph" w:customStyle="1" w:styleId="xl84">
    <w:name w:val="xl84"/>
    <w:basedOn w:val="Normal"/>
    <w:rsid w:val="00E9320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Times New Roman" w:eastAsia="Times New Roman" w:hAnsi="Times New Roman"/>
      <w:color w:val="000000"/>
      <w:sz w:val="20"/>
    </w:rPr>
  </w:style>
  <w:style w:type="paragraph" w:customStyle="1" w:styleId="xl85">
    <w:name w:val="xl85"/>
    <w:basedOn w:val="Normal"/>
    <w:rsid w:val="00E9320A"/>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Times New Roman" w:eastAsia="Times New Roman" w:hAnsi="Times New Roman"/>
      <w:sz w:val="20"/>
    </w:rPr>
  </w:style>
  <w:style w:type="paragraph" w:customStyle="1" w:styleId="xl86">
    <w:name w:val="xl86"/>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Cs w:val="24"/>
    </w:rPr>
  </w:style>
  <w:style w:type="paragraph" w:customStyle="1" w:styleId="xl87">
    <w:name w:val="xl87"/>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0"/>
    </w:rPr>
  </w:style>
  <w:style w:type="paragraph" w:customStyle="1" w:styleId="xl88">
    <w:name w:val="xl88"/>
    <w:basedOn w:val="Normal"/>
    <w:rsid w:val="00E932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color w:val="000000"/>
      <w:sz w:val="20"/>
    </w:rPr>
  </w:style>
  <w:style w:type="paragraph" w:customStyle="1" w:styleId="xl89">
    <w:name w:val="xl89"/>
    <w:basedOn w:val="Normal"/>
    <w:rsid w:val="00E9320A"/>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color w:val="000000"/>
      <w:sz w:val="20"/>
    </w:rPr>
  </w:style>
  <w:style w:type="paragraph" w:customStyle="1" w:styleId="xl90">
    <w:name w:val="xl90"/>
    <w:basedOn w:val="Normal"/>
    <w:rsid w:val="00E932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sz w:val="20"/>
    </w:rPr>
  </w:style>
  <w:style w:type="paragraph" w:customStyle="1" w:styleId="xl91">
    <w:name w:val="xl91"/>
    <w:basedOn w:val="Normal"/>
    <w:rsid w:val="00E9320A"/>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olor w:val="000000"/>
      <w:sz w:val="20"/>
    </w:rPr>
  </w:style>
  <w:style w:type="paragraph" w:customStyle="1" w:styleId="xl92">
    <w:name w:val="xl92"/>
    <w:basedOn w:val="Normal"/>
    <w:rsid w:val="00E9320A"/>
    <w:pPr>
      <w:pBdr>
        <w:top w:val="single" w:sz="4" w:space="0" w:color="auto"/>
      </w:pBdr>
      <w:spacing w:before="100" w:beforeAutospacing="1" w:after="100" w:afterAutospacing="1"/>
      <w:textAlignment w:val="center"/>
    </w:pPr>
    <w:rPr>
      <w:rFonts w:ascii="Times New Roman" w:eastAsia="Times New Roman" w:hAnsi="Times New Roman"/>
      <w:color w:val="000000"/>
      <w:sz w:val="20"/>
    </w:rPr>
  </w:style>
  <w:style w:type="paragraph" w:customStyle="1" w:styleId="xl93">
    <w:name w:val="xl93"/>
    <w:basedOn w:val="Normal"/>
    <w:rsid w:val="00E9320A"/>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rPr>
  </w:style>
  <w:style w:type="paragraph" w:customStyle="1" w:styleId="xl94">
    <w:name w:val="xl94"/>
    <w:basedOn w:val="Normal"/>
    <w:rsid w:val="00E9320A"/>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olor w:val="000000"/>
      <w:sz w:val="20"/>
    </w:rPr>
  </w:style>
  <w:style w:type="paragraph" w:customStyle="1" w:styleId="xl95">
    <w:name w:val="xl95"/>
    <w:basedOn w:val="Normal"/>
    <w:rsid w:val="00E9320A"/>
    <w:pPr>
      <w:pBdr>
        <w:bottom w:val="single" w:sz="4" w:space="0" w:color="auto"/>
      </w:pBdr>
      <w:spacing w:before="100" w:beforeAutospacing="1" w:after="100" w:afterAutospacing="1"/>
      <w:textAlignment w:val="center"/>
    </w:pPr>
    <w:rPr>
      <w:rFonts w:ascii="Times New Roman" w:eastAsia="Times New Roman" w:hAnsi="Times New Roman"/>
      <w:color w:val="000000"/>
      <w:sz w:val="20"/>
    </w:rPr>
  </w:style>
  <w:style w:type="paragraph" w:customStyle="1" w:styleId="xl96">
    <w:name w:val="xl96"/>
    <w:basedOn w:val="Normal"/>
    <w:rsid w:val="00E9320A"/>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sz w:val="20"/>
    </w:rPr>
  </w:style>
  <w:style w:type="paragraph" w:customStyle="1" w:styleId="xl97">
    <w:name w:val="xl97"/>
    <w:basedOn w:val="Normal"/>
    <w:rsid w:val="00E932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sz w:val="20"/>
    </w:rPr>
  </w:style>
  <w:style w:type="character" w:styleId="CommentReference">
    <w:name w:val="annotation reference"/>
    <w:basedOn w:val="DefaultParagraphFont"/>
    <w:uiPriority w:val="99"/>
    <w:semiHidden/>
    <w:unhideWhenUsed/>
    <w:rsid w:val="00071CB1"/>
    <w:rPr>
      <w:sz w:val="16"/>
      <w:szCs w:val="16"/>
    </w:rPr>
  </w:style>
  <w:style w:type="paragraph" w:styleId="CommentText">
    <w:name w:val="annotation text"/>
    <w:basedOn w:val="Normal"/>
    <w:link w:val="CommentTextChar"/>
    <w:uiPriority w:val="99"/>
    <w:semiHidden/>
    <w:unhideWhenUsed/>
    <w:rsid w:val="00071CB1"/>
    <w:rPr>
      <w:sz w:val="20"/>
    </w:rPr>
  </w:style>
  <w:style w:type="character" w:customStyle="1" w:styleId="CommentTextChar">
    <w:name w:val="Comment Text Char"/>
    <w:basedOn w:val="DefaultParagraphFont"/>
    <w:link w:val="CommentText"/>
    <w:uiPriority w:val="99"/>
    <w:semiHidden/>
    <w:rsid w:val="00071CB1"/>
    <w:rPr>
      <w:rFonts w:ascii="ZapfEllipt BT" w:hAnsi="ZapfEllipt BT"/>
    </w:rPr>
  </w:style>
  <w:style w:type="paragraph" w:styleId="CommentSubject">
    <w:name w:val="annotation subject"/>
    <w:basedOn w:val="CommentText"/>
    <w:next w:val="CommentText"/>
    <w:link w:val="CommentSubjectChar"/>
    <w:uiPriority w:val="99"/>
    <w:semiHidden/>
    <w:unhideWhenUsed/>
    <w:rsid w:val="00071CB1"/>
    <w:rPr>
      <w:b/>
      <w:bCs/>
    </w:rPr>
  </w:style>
  <w:style w:type="character" w:customStyle="1" w:styleId="CommentSubjectChar">
    <w:name w:val="Comment Subject Char"/>
    <w:basedOn w:val="CommentTextChar"/>
    <w:link w:val="CommentSubject"/>
    <w:uiPriority w:val="99"/>
    <w:semiHidden/>
    <w:rsid w:val="00071CB1"/>
    <w:rPr>
      <w:b/>
      <w:bCs/>
    </w:rPr>
  </w:style>
</w:styles>
</file>

<file path=word/webSettings.xml><?xml version="1.0" encoding="utf-8"?>
<w:webSettings xmlns:r="http://schemas.openxmlformats.org/officeDocument/2006/relationships" xmlns:w="http://schemas.openxmlformats.org/wordprocessingml/2006/main">
  <w:divs>
    <w:div w:id="33312929">
      <w:bodyDiv w:val="1"/>
      <w:marLeft w:val="0"/>
      <w:marRight w:val="0"/>
      <w:marTop w:val="0"/>
      <w:marBottom w:val="0"/>
      <w:divBdr>
        <w:top w:val="none" w:sz="0" w:space="0" w:color="auto"/>
        <w:left w:val="none" w:sz="0" w:space="0" w:color="auto"/>
        <w:bottom w:val="none" w:sz="0" w:space="0" w:color="auto"/>
        <w:right w:val="none" w:sz="0" w:space="0" w:color="auto"/>
      </w:divBdr>
    </w:div>
    <w:div w:id="50427647">
      <w:bodyDiv w:val="1"/>
      <w:marLeft w:val="0"/>
      <w:marRight w:val="0"/>
      <w:marTop w:val="0"/>
      <w:marBottom w:val="0"/>
      <w:divBdr>
        <w:top w:val="none" w:sz="0" w:space="0" w:color="auto"/>
        <w:left w:val="none" w:sz="0" w:space="0" w:color="auto"/>
        <w:bottom w:val="none" w:sz="0" w:space="0" w:color="auto"/>
        <w:right w:val="none" w:sz="0" w:space="0" w:color="auto"/>
      </w:divBdr>
    </w:div>
    <w:div w:id="84496276">
      <w:bodyDiv w:val="1"/>
      <w:marLeft w:val="0"/>
      <w:marRight w:val="0"/>
      <w:marTop w:val="0"/>
      <w:marBottom w:val="0"/>
      <w:divBdr>
        <w:top w:val="none" w:sz="0" w:space="0" w:color="auto"/>
        <w:left w:val="none" w:sz="0" w:space="0" w:color="auto"/>
        <w:bottom w:val="none" w:sz="0" w:space="0" w:color="auto"/>
        <w:right w:val="none" w:sz="0" w:space="0" w:color="auto"/>
      </w:divBdr>
    </w:div>
    <w:div w:id="91317734">
      <w:bodyDiv w:val="1"/>
      <w:marLeft w:val="0"/>
      <w:marRight w:val="0"/>
      <w:marTop w:val="0"/>
      <w:marBottom w:val="0"/>
      <w:divBdr>
        <w:top w:val="none" w:sz="0" w:space="0" w:color="auto"/>
        <w:left w:val="none" w:sz="0" w:space="0" w:color="auto"/>
        <w:bottom w:val="none" w:sz="0" w:space="0" w:color="auto"/>
        <w:right w:val="none" w:sz="0" w:space="0" w:color="auto"/>
      </w:divBdr>
    </w:div>
    <w:div w:id="98330872">
      <w:bodyDiv w:val="1"/>
      <w:marLeft w:val="0"/>
      <w:marRight w:val="0"/>
      <w:marTop w:val="0"/>
      <w:marBottom w:val="0"/>
      <w:divBdr>
        <w:top w:val="none" w:sz="0" w:space="0" w:color="auto"/>
        <w:left w:val="none" w:sz="0" w:space="0" w:color="auto"/>
        <w:bottom w:val="none" w:sz="0" w:space="0" w:color="auto"/>
        <w:right w:val="none" w:sz="0" w:space="0" w:color="auto"/>
      </w:divBdr>
    </w:div>
    <w:div w:id="110248473">
      <w:bodyDiv w:val="1"/>
      <w:marLeft w:val="0"/>
      <w:marRight w:val="0"/>
      <w:marTop w:val="0"/>
      <w:marBottom w:val="0"/>
      <w:divBdr>
        <w:top w:val="none" w:sz="0" w:space="0" w:color="auto"/>
        <w:left w:val="none" w:sz="0" w:space="0" w:color="auto"/>
        <w:bottom w:val="none" w:sz="0" w:space="0" w:color="auto"/>
        <w:right w:val="none" w:sz="0" w:space="0" w:color="auto"/>
      </w:divBdr>
    </w:div>
    <w:div w:id="155607968">
      <w:bodyDiv w:val="1"/>
      <w:marLeft w:val="0"/>
      <w:marRight w:val="0"/>
      <w:marTop w:val="0"/>
      <w:marBottom w:val="0"/>
      <w:divBdr>
        <w:top w:val="none" w:sz="0" w:space="0" w:color="auto"/>
        <w:left w:val="none" w:sz="0" w:space="0" w:color="auto"/>
        <w:bottom w:val="none" w:sz="0" w:space="0" w:color="auto"/>
        <w:right w:val="none" w:sz="0" w:space="0" w:color="auto"/>
      </w:divBdr>
    </w:div>
    <w:div w:id="174342445">
      <w:bodyDiv w:val="1"/>
      <w:marLeft w:val="0"/>
      <w:marRight w:val="0"/>
      <w:marTop w:val="0"/>
      <w:marBottom w:val="0"/>
      <w:divBdr>
        <w:top w:val="none" w:sz="0" w:space="0" w:color="auto"/>
        <w:left w:val="none" w:sz="0" w:space="0" w:color="auto"/>
        <w:bottom w:val="none" w:sz="0" w:space="0" w:color="auto"/>
        <w:right w:val="none" w:sz="0" w:space="0" w:color="auto"/>
      </w:divBdr>
    </w:div>
    <w:div w:id="188034542">
      <w:bodyDiv w:val="1"/>
      <w:marLeft w:val="0"/>
      <w:marRight w:val="0"/>
      <w:marTop w:val="0"/>
      <w:marBottom w:val="0"/>
      <w:divBdr>
        <w:top w:val="none" w:sz="0" w:space="0" w:color="auto"/>
        <w:left w:val="none" w:sz="0" w:space="0" w:color="auto"/>
        <w:bottom w:val="none" w:sz="0" w:space="0" w:color="auto"/>
        <w:right w:val="none" w:sz="0" w:space="0" w:color="auto"/>
      </w:divBdr>
    </w:div>
    <w:div w:id="195193044">
      <w:bodyDiv w:val="1"/>
      <w:marLeft w:val="0"/>
      <w:marRight w:val="0"/>
      <w:marTop w:val="0"/>
      <w:marBottom w:val="0"/>
      <w:divBdr>
        <w:top w:val="none" w:sz="0" w:space="0" w:color="auto"/>
        <w:left w:val="none" w:sz="0" w:space="0" w:color="auto"/>
        <w:bottom w:val="none" w:sz="0" w:space="0" w:color="auto"/>
        <w:right w:val="none" w:sz="0" w:space="0" w:color="auto"/>
      </w:divBdr>
    </w:div>
    <w:div w:id="210850029">
      <w:bodyDiv w:val="1"/>
      <w:marLeft w:val="0"/>
      <w:marRight w:val="0"/>
      <w:marTop w:val="0"/>
      <w:marBottom w:val="0"/>
      <w:divBdr>
        <w:top w:val="none" w:sz="0" w:space="0" w:color="auto"/>
        <w:left w:val="none" w:sz="0" w:space="0" w:color="auto"/>
        <w:bottom w:val="none" w:sz="0" w:space="0" w:color="auto"/>
        <w:right w:val="none" w:sz="0" w:space="0" w:color="auto"/>
      </w:divBdr>
    </w:div>
    <w:div w:id="212275141">
      <w:bodyDiv w:val="1"/>
      <w:marLeft w:val="0"/>
      <w:marRight w:val="0"/>
      <w:marTop w:val="0"/>
      <w:marBottom w:val="0"/>
      <w:divBdr>
        <w:top w:val="none" w:sz="0" w:space="0" w:color="auto"/>
        <w:left w:val="none" w:sz="0" w:space="0" w:color="auto"/>
        <w:bottom w:val="none" w:sz="0" w:space="0" w:color="auto"/>
        <w:right w:val="none" w:sz="0" w:space="0" w:color="auto"/>
      </w:divBdr>
    </w:div>
    <w:div w:id="214704943">
      <w:bodyDiv w:val="1"/>
      <w:marLeft w:val="0"/>
      <w:marRight w:val="0"/>
      <w:marTop w:val="0"/>
      <w:marBottom w:val="0"/>
      <w:divBdr>
        <w:top w:val="none" w:sz="0" w:space="0" w:color="auto"/>
        <w:left w:val="none" w:sz="0" w:space="0" w:color="auto"/>
        <w:bottom w:val="none" w:sz="0" w:space="0" w:color="auto"/>
        <w:right w:val="none" w:sz="0" w:space="0" w:color="auto"/>
      </w:divBdr>
    </w:div>
    <w:div w:id="236089465">
      <w:bodyDiv w:val="1"/>
      <w:marLeft w:val="0"/>
      <w:marRight w:val="0"/>
      <w:marTop w:val="0"/>
      <w:marBottom w:val="0"/>
      <w:divBdr>
        <w:top w:val="none" w:sz="0" w:space="0" w:color="auto"/>
        <w:left w:val="none" w:sz="0" w:space="0" w:color="auto"/>
        <w:bottom w:val="none" w:sz="0" w:space="0" w:color="auto"/>
        <w:right w:val="none" w:sz="0" w:space="0" w:color="auto"/>
      </w:divBdr>
    </w:div>
    <w:div w:id="285241121">
      <w:bodyDiv w:val="1"/>
      <w:marLeft w:val="0"/>
      <w:marRight w:val="0"/>
      <w:marTop w:val="0"/>
      <w:marBottom w:val="0"/>
      <w:divBdr>
        <w:top w:val="none" w:sz="0" w:space="0" w:color="auto"/>
        <w:left w:val="none" w:sz="0" w:space="0" w:color="auto"/>
        <w:bottom w:val="none" w:sz="0" w:space="0" w:color="auto"/>
        <w:right w:val="none" w:sz="0" w:space="0" w:color="auto"/>
      </w:divBdr>
    </w:div>
    <w:div w:id="348143572">
      <w:bodyDiv w:val="1"/>
      <w:marLeft w:val="0"/>
      <w:marRight w:val="0"/>
      <w:marTop w:val="0"/>
      <w:marBottom w:val="0"/>
      <w:divBdr>
        <w:top w:val="none" w:sz="0" w:space="0" w:color="auto"/>
        <w:left w:val="none" w:sz="0" w:space="0" w:color="auto"/>
        <w:bottom w:val="none" w:sz="0" w:space="0" w:color="auto"/>
        <w:right w:val="none" w:sz="0" w:space="0" w:color="auto"/>
      </w:divBdr>
    </w:div>
    <w:div w:id="386954633">
      <w:bodyDiv w:val="1"/>
      <w:marLeft w:val="0"/>
      <w:marRight w:val="0"/>
      <w:marTop w:val="0"/>
      <w:marBottom w:val="0"/>
      <w:divBdr>
        <w:top w:val="none" w:sz="0" w:space="0" w:color="auto"/>
        <w:left w:val="none" w:sz="0" w:space="0" w:color="auto"/>
        <w:bottom w:val="none" w:sz="0" w:space="0" w:color="auto"/>
        <w:right w:val="none" w:sz="0" w:space="0" w:color="auto"/>
      </w:divBdr>
    </w:div>
    <w:div w:id="449008848">
      <w:bodyDiv w:val="1"/>
      <w:marLeft w:val="0"/>
      <w:marRight w:val="0"/>
      <w:marTop w:val="0"/>
      <w:marBottom w:val="0"/>
      <w:divBdr>
        <w:top w:val="none" w:sz="0" w:space="0" w:color="auto"/>
        <w:left w:val="none" w:sz="0" w:space="0" w:color="auto"/>
        <w:bottom w:val="none" w:sz="0" w:space="0" w:color="auto"/>
        <w:right w:val="none" w:sz="0" w:space="0" w:color="auto"/>
      </w:divBdr>
    </w:div>
    <w:div w:id="473449679">
      <w:bodyDiv w:val="1"/>
      <w:marLeft w:val="0"/>
      <w:marRight w:val="0"/>
      <w:marTop w:val="0"/>
      <w:marBottom w:val="0"/>
      <w:divBdr>
        <w:top w:val="none" w:sz="0" w:space="0" w:color="auto"/>
        <w:left w:val="none" w:sz="0" w:space="0" w:color="auto"/>
        <w:bottom w:val="none" w:sz="0" w:space="0" w:color="auto"/>
        <w:right w:val="none" w:sz="0" w:space="0" w:color="auto"/>
      </w:divBdr>
    </w:div>
    <w:div w:id="485587678">
      <w:bodyDiv w:val="1"/>
      <w:marLeft w:val="0"/>
      <w:marRight w:val="0"/>
      <w:marTop w:val="0"/>
      <w:marBottom w:val="0"/>
      <w:divBdr>
        <w:top w:val="none" w:sz="0" w:space="0" w:color="auto"/>
        <w:left w:val="none" w:sz="0" w:space="0" w:color="auto"/>
        <w:bottom w:val="none" w:sz="0" w:space="0" w:color="auto"/>
        <w:right w:val="none" w:sz="0" w:space="0" w:color="auto"/>
      </w:divBdr>
    </w:div>
    <w:div w:id="549224309">
      <w:bodyDiv w:val="1"/>
      <w:marLeft w:val="0"/>
      <w:marRight w:val="0"/>
      <w:marTop w:val="0"/>
      <w:marBottom w:val="0"/>
      <w:divBdr>
        <w:top w:val="none" w:sz="0" w:space="0" w:color="auto"/>
        <w:left w:val="none" w:sz="0" w:space="0" w:color="auto"/>
        <w:bottom w:val="none" w:sz="0" w:space="0" w:color="auto"/>
        <w:right w:val="none" w:sz="0" w:space="0" w:color="auto"/>
      </w:divBdr>
    </w:div>
    <w:div w:id="556821634">
      <w:bodyDiv w:val="1"/>
      <w:marLeft w:val="0"/>
      <w:marRight w:val="0"/>
      <w:marTop w:val="0"/>
      <w:marBottom w:val="0"/>
      <w:divBdr>
        <w:top w:val="none" w:sz="0" w:space="0" w:color="auto"/>
        <w:left w:val="none" w:sz="0" w:space="0" w:color="auto"/>
        <w:bottom w:val="none" w:sz="0" w:space="0" w:color="auto"/>
        <w:right w:val="none" w:sz="0" w:space="0" w:color="auto"/>
      </w:divBdr>
    </w:div>
    <w:div w:id="592133526">
      <w:bodyDiv w:val="1"/>
      <w:marLeft w:val="0"/>
      <w:marRight w:val="0"/>
      <w:marTop w:val="0"/>
      <w:marBottom w:val="0"/>
      <w:divBdr>
        <w:top w:val="none" w:sz="0" w:space="0" w:color="auto"/>
        <w:left w:val="none" w:sz="0" w:space="0" w:color="auto"/>
        <w:bottom w:val="none" w:sz="0" w:space="0" w:color="auto"/>
        <w:right w:val="none" w:sz="0" w:space="0" w:color="auto"/>
      </w:divBdr>
    </w:div>
    <w:div w:id="646325618">
      <w:bodyDiv w:val="1"/>
      <w:marLeft w:val="0"/>
      <w:marRight w:val="0"/>
      <w:marTop w:val="0"/>
      <w:marBottom w:val="0"/>
      <w:divBdr>
        <w:top w:val="none" w:sz="0" w:space="0" w:color="auto"/>
        <w:left w:val="none" w:sz="0" w:space="0" w:color="auto"/>
        <w:bottom w:val="none" w:sz="0" w:space="0" w:color="auto"/>
        <w:right w:val="none" w:sz="0" w:space="0" w:color="auto"/>
      </w:divBdr>
    </w:div>
    <w:div w:id="647247666">
      <w:bodyDiv w:val="1"/>
      <w:marLeft w:val="0"/>
      <w:marRight w:val="0"/>
      <w:marTop w:val="0"/>
      <w:marBottom w:val="0"/>
      <w:divBdr>
        <w:top w:val="none" w:sz="0" w:space="0" w:color="auto"/>
        <w:left w:val="none" w:sz="0" w:space="0" w:color="auto"/>
        <w:bottom w:val="none" w:sz="0" w:space="0" w:color="auto"/>
        <w:right w:val="none" w:sz="0" w:space="0" w:color="auto"/>
      </w:divBdr>
    </w:div>
    <w:div w:id="753168821">
      <w:bodyDiv w:val="1"/>
      <w:marLeft w:val="0"/>
      <w:marRight w:val="0"/>
      <w:marTop w:val="0"/>
      <w:marBottom w:val="0"/>
      <w:divBdr>
        <w:top w:val="none" w:sz="0" w:space="0" w:color="auto"/>
        <w:left w:val="none" w:sz="0" w:space="0" w:color="auto"/>
        <w:bottom w:val="none" w:sz="0" w:space="0" w:color="auto"/>
        <w:right w:val="none" w:sz="0" w:space="0" w:color="auto"/>
      </w:divBdr>
    </w:div>
    <w:div w:id="876233222">
      <w:bodyDiv w:val="1"/>
      <w:marLeft w:val="0"/>
      <w:marRight w:val="0"/>
      <w:marTop w:val="0"/>
      <w:marBottom w:val="0"/>
      <w:divBdr>
        <w:top w:val="none" w:sz="0" w:space="0" w:color="auto"/>
        <w:left w:val="none" w:sz="0" w:space="0" w:color="auto"/>
        <w:bottom w:val="none" w:sz="0" w:space="0" w:color="auto"/>
        <w:right w:val="none" w:sz="0" w:space="0" w:color="auto"/>
      </w:divBdr>
    </w:div>
    <w:div w:id="880557355">
      <w:bodyDiv w:val="1"/>
      <w:marLeft w:val="0"/>
      <w:marRight w:val="0"/>
      <w:marTop w:val="0"/>
      <w:marBottom w:val="0"/>
      <w:divBdr>
        <w:top w:val="none" w:sz="0" w:space="0" w:color="auto"/>
        <w:left w:val="none" w:sz="0" w:space="0" w:color="auto"/>
        <w:bottom w:val="none" w:sz="0" w:space="0" w:color="auto"/>
        <w:right w:val="none" w:sz="0" w:space="0" w:color="auto"/>
      </w:divBdr>
    </w:div>
    <w:div w:id="940184182">
      <w:bodyDiv w:val="1"/>
      <w:marLeft w:val="0"/>
      <w:marRight w:val="0"/>
      <w:marTop w:val="0"/>
      <w:marBottom w:val="0"/>
      <w:divBdr>
        <w:top w:val="none" w:sz="0" w:space="0" w:color="auto"/>
        <w:left w:val="none" w:sz="0" w:space="0" w:color="auto"/>
        <w:bottom w:val="none" w:sz="0" w:space="0" w:color="auto"/>
        <w:right w:val="none" w:sz="0" w:space="0" w:color="auto"/>
      </w:divBdr>
    </w:div>
    <w:div w:id="943919025">
      <w:bodyDiv w:val="1"/>
      <w:marLeft w:val="0"/>
      <w:marRight w:val="0"/>
      <w:marTop w:val="0"/>
      <w:marBottom w:val="0"/>
      <w:divBdr>
        <w:top w:val="none" w:sz="0" w:space="0" w:color="auto"/>
        <w:left w:val="none" w:sz="0" w:space="0" w:color="auto"/>
        <w:bottom w:val="none" w:sz="0" w:space="0" w:color="auto"/>
        <w:right w:val="none" w:sz="0" w:space="0" w:color="auto"/>
      </w:divBdr>
    </w:div>
    <w:div w:id="969751336">
      <w:bodyDiv w:val="1"/>
      <w:marLeft w:val="0"/>
      <w:marRight w:val="0"/>
      <w:marTop w:val="0"/>
      <w:marBottom w:val="0"/>
      <w:divBdr>
        <w:top w:val="none" w:sz="0" w:space="0" w:color="auto"/>
        <w:left w:val="none" w:sz="0" w:space="0" w:color="auto"/>
        <w:bottom w:val="none" w:sz="0" w:space="0" w:color="auto"/>
        <w:right w:val="none" w:sz="0" w:space="0" w:color="auto"/>
      </w:divBdr>
    </w:div>
    <w:div w:id="1051417980">
      <w:bodyDiv w:val="1"/>
      <w:marLeft w:val="0"/>
      <w:marRight w:val="0"/>
      <w:marTop w:val="0"/>
      <w:marBottom w:val="0"/>
      <w:divBdr>
        <w:top w:val="none" w:sz="0" w:space="0" w:color="auto"/>
        <w:left w:val="none" w:sz="0" w:space="0" w:color="auto"/>
        <w:bottom w:val="none" w:sz="0" w:space="0" w:color="auto"/>
        <w:right w:val="none" w:sz="0" w:space="0" w:color="auto"/>
      </w:divBdr>
    </w:div>
    <w:div w:id="1128353488">
      <w:bodyDiv w:val="1"/>
      <w:marLeft w:val="0"/>
      <w:marRight w:val="0"/>
      <w:marTop w:val="0"/>
      <w:marBottom w:val="0"/>
      <w:divBdr>
        <w:top w:val="none" w:sz="0" w:space="0" w:color="auto"/>
        <w:left w:val="none" w:sz="0" w:space="0" w:color="auto"/>
        <w:bottom w:val="none" w:sz="0" w:space="0" w:color="auto"/>
        <w:right w:val="none" w:sz="0" w:space="0" w:color="auto"/>
      </w:divBdr>
    </w:div>
    <w:div w:id="1407191476">
      <w:bodyDiv w:val="1"/>
      <w:marLeft w:val="0"/>
      <w:marRight w:val="0"/>
      <w:marTop w:val="0"/>
      <w:marBottom w:val="0"/>
      <w:divBdr>
        <w:top w:val="none" w:sz="0" w:space="0" w:color="auto"/>
        <w:left w:val="none" w:sz="0" w:space="0" w:color="auto"/>
        <w:bottom w:val="none" w:sz="0" w:space="0" w:color="auto"/>
        <w:right w:val="none" w:sz="0" w:space="0" w:color="auto"/>
      </w:divBdr>
    </w:div>
    <w:div w:id="1424184512">
      <w:bodyDiv w:val="1"/>
      <w:marLeft w:val="0"/>
      <w:marRight w:val="0"/>
      <w:marTop w:val="0"/>
      <w:marBottom w:val="0"/>
      <w:divBdr>
        <w:top w:val="none" w:sz="0" w:space="0" w:color="auto"/>
        <w:left w:val="none" w:sz="0" w:space="0" w:color="auto"/>
        <w:bottom w:val="none" w:sz="0" w:space="0" w:color="auto"/>
        <w:right w:val="none" w:sz="0" w:space="0" w:color="auto"/>
      </w:divBdr>
    </w:div>
    <w:div w:id="1431463809">
      <w:bodyDiv w:val="1"/>
      <w:marLeft w:val="0"/>
      <w:marRight w:val="0"/>
      <w:marTop w:val="0"/>
      <w:marBottom w:val="0"/>
      <w:divBdr>
        <w:top w:val="none" w:sz="0" w:space="0" w:color="auto"/>
        <w:left w:val="none" w:sz="0" w:space="0" w:color="auto"/>
        <w:bottom w:val="none" w:sz="0" w:space="0" w:color="auto"/>
        <w:right w:val="none" w:sz="0" w:space="0" w:color="auto"/>
      </w:divBdr>
    </w:div>
    <w:div w:id="1444039021">
      <w:bodyDiv w:val="1"/>
      <w:marLeft w:val="0"/>
      <w:marRight w:val="0"/>
      <w:marTop w:val="0"/>
      <w:marBottom w:val="0"/>
      <w:divBdr>
        <w:top w:val="none" w:sz="0" w:space="0" w:color="auto"/>
        <w:left w:val="none" w:sz="0" w:space="0" w:color="auto"/>
        <w:bottom w:val="none" w:sz="0" w:space="0" w:color="auto"/>
        <w:right w:val="none" w:sz="0" w:space="0" w:color="auto"/>
      </w:divBdr>
    </w:div>
    <w:div w:id="1445732143">
      <w:bodyDiv w:val="1"/>
      <w:marLeft w:val="0"/>
      <w:marRight w:val="0"/>
      <w:marTop w:val="0"/>
      <w:marBottom w:val="0"/>
      <w:divBdr>
        <w:top w:val="none" w:sz="0" w:space="0" w:color="auto"/>
        <w:left w:val="none" w:sz="0" w:space="0" w:color="auto"/>
        <w:bottom w:val="none" w:sz="0" w:space="0" w:color="auto"/>
        <w:right w:val="none" w:sz="0" w:space="0" w:color="auto"/>
      </w:divBdr>
    </w:div>
    <w:div w:id="1508056693">
      <w:bodyDiv w:val="1"/>
      <w:marLeft w:val="0"/>
      <w:marRight w:val="0"/>
      <w:marTop w:val="0"/>
      <w:marBottom w:val="0"/>
      <w:divBdr>
        <w:top w:val="none" w:sz="0" w:space="0" w:color="auto"/>
        <w:left w:val="none" w:sz="0" w:space="0" w:color="auto"/>
        <w:bottom w:val="none" w:sz="0" w:space="0" w:color="auto"/>
        <w:right w:val="none" w:sz="0" w:space="0" w:color="auto"/>
      </w:divBdr>
    </w:div>
    <w:div w:id="1509522085">
      <w:bodyDiv w:val="1"/>
      <w:marLeft w:val="0"/>
      <w:marRight w:val="0"/>
      <w:marTop w:val="0"/>
      <w:marBottom w:val="0"/>
      <w:divBdr>
        <w:top w:val="none" w:sz="0" w:space="0" w:color="auto"/>
        <w:left w:val="none" w:sz="0" w:space="0" w:color="auto"/>
        <w:bottom w:val="none" w:sz="0" w:space="0" w:color="auto"/>
        <w:right w:val="none" w:sz="0" w:space="0" w:color="auto"/>
      </w:divBdr>
    </w:div>
    <w:div w:id="1549075580">
      <w:bodyDiv w:val="1"/>
      <w:marLeft w:val="0"/>
      <w:marRight w:val="0"/>
      <w:marTop w:val="0"/>
      <w:marBottom w:val="0"/>
      <w:divBdr>
        <w:top w:val="none" w:sz="0" w:space="0" w:color="auto"/>
        <w:left w:val="none" w:sz="0" w:space="0" w:color="auto"/>
        <w:bottom w:val="none" w:sz="0" w:space="0" w:color="auto"/>
        <w:right w:val="none" w:sz="0" w:space="0" w:color="auto"/>
      </w:divBdr>
    </w:div>
    <w:div w:id="1560358866">
      <w:bodyDiv w:val="1"/>
      <w:marLeft w:val="0"/>
      <w:marRight w:val="0"/>
      <w:marTop w:val="0"/>
      <w:marBottom w:val="0"/>
      <w:divBdr>
        <w:top w:val="none" w:sz="0" w:space="0" w:color="auto"/>
        <w:left w:val="none" w:sz="0" w:space="0" w:color="auto"/>
        <w:bottom w:val="none" w:sz="0" w:space="0" w:color="auto"/>
        <w:right w:val="none" w:sz="0" w:space="0" w:color="auto"/>
      </w:divBdr>
    </w:div>
    <w:div w:id="1562671080">
      <w:bodyDiv w:val="1"/>
      <w:marLeft w:val="0"/>
      <w:marRight w:val="0"/>
      <w:marTop w:val="0"/>
      <w:marBottom w:val="0"/>
      <w:divBdr>
        <w:top w:val="none" w:sz="0" w:space="0" w:color="auto"/>
        <w:left w:val="none" w:sz="0" w:space="0" w:color="auto"/>
        <w:bottom w:val="none" w:sz="0" w:space="0" w:color="auto"/>
        <w:right w:val="none" w:sz="0" w:space="0" w:color="auto"/>
      </w:divBdr>
    </w:div>
    <w:div w:id="1602297805">
      <w:bodyDiv w:val="1"/>
      <w:marLeft w:val="0"/>
      <w:marRight w:val="0"/>
      <w:marTop w:val="0"/>
      <w:marBottom w:val="0"/>
      <w:divBdr>
        <w:top w:val="none" w:sz="0" w:space="0" w:color="auto"/>
        <w:left w:val="none" w:sz="0" w:space="0" w:color="auto"/>
        <w:bottom w:val="none" w:sz="0" w:space="0" w:color="auto"/>
        <w:right w:val="none" w:sz="0" w:space="0" w:color="auto"/>
      </w:divBdr>
    </w:div>
    <w:div w:id="1642928079">
      <w:bodyDiv w:val="1"/>
      <w:marLeft w:val="0"/>
      <w:marRight w:val="0"/>
      <w:marTop w:val="0"/>
      <w:marBottom w:val="0"/>
      <w:divBdr>
        <w:top w:val="none" w:sz="0" w:space="0" w:color="auto"/>
        <w:left w:val="none" w:sz="0" w:space="0" w:color="auto"/>
        <w:bottom w:val="none" w:sz="0" w:space="0" w:color="auto"/>
        <w:right w:val="none" w:sz="0" w:space="0" w:color="auto"/>
      </w:divBdr>
    </w:div>
    <w:div w:id="1739670402">
      <w:bodyDiv w:val="1"/>
      <w:marLeft w:val="0"/>
      <w:marRight w:val="0"/>
      <w:marTop w:val="0"/>
      <w:marBottom w:val="0"/>
      <w:divBdr>
        <w:top w:val="none" w:sz="0" w:space="0" w:color="auto"/>
        <w:left w:val="none" w:sz="0" w:space="0" w:color="auto"/>
        <w:bottom w:val="none" w:sz="0" w:space="0" w:color="auto"/>
        <w:right w:val="none" w:sz="0" w:space="0" w:color="auto"/>
      </w:divBdr>
    </w:div>
    <w:div w:id="1747142098">
      <w:bodyDiv w:val="1"/>
      <w:marLeft w:val="0"/>
      <w:marRight w:val="0"/>
      <w:marTop w:val="0"/>
      <w:marBottom w:val="0"/>
      <w:divBdr>
        <w:top w:val="none" w:sz="0" w:space="0" w:color="auto"/>
        <w:left w:val="none" w:sz="0" w:space="0" w:color="auto"/>
        <w:bottom w:val="none" w:sz="0" w:space="0" w:color="auto"/>
        <w:right w:val="none" w:sz="0" w:space="0" w:color="auto"/>
      </w:divBdr>
    </w:div>
    <w:div w:id="1774934857">
      <w:bodyDiv w:val="1"/>
      <w:marLeft w:val="0"/>
      <w:marRight w:val="0"/>
      <w:marTop w:val="0"/>
      <w:marBottom w:val="0"/>
      <w:divBdr>
        <w:top w:val="none" w:sz="0" w:space="0" w:color="auto"/>
        <w:left w:val="none" w:sz="0" w:space="0" w:color="auto"/>
        <w:bottom w:val="none" w:sz="0" w:space="0" w:color="auto"/>
        <w:right w:val="none" w:sz="0" w:space="0" w:color="auto"/>
      </w:divBdr>
    </w:div>
    <w:div w:id="1782725973">
      <w:bodyDiv w:val="1"/>
      <w:marLeft w:val="0"/>
      <w:marRight w:val="0"/>
      <w:marTop w:val="0"/>
      <w:marBottom w:val="0"/>
      <w:divBdr>
        <w:top w:val="none" w:sz="0" w:space="0" w:color="auto"/>
        <w:left w:val="none" w:sz="0" w:space="0" w:color="auto"/>
        <w:bottom w:val="none" w:sz="0" w:space="0" w:color="auto"/>
        <w:right w:val="none" w:sz="0" w:space="0" w:color="auto"/>
      </w:divBdr>
    </w:div>
    <w:div w:id="1805266685">
      <w:bodyDiv w:val="1"/>
      <w:marLeft w:val="0"/>
      <w:marRight w:val="0"/>
      <w:marTop w:val="0"/>
      <w:marBottom w:val="0"/>
      <w:divBdr>
        <w:top w:val="none" w:sz="0" w:space="0" w:color="auto"/>
        <w:left w:val="none" w:sz="0" w:space="0" w:color="auto"/>
        <w:bottom w:val="none" w:sz="0" w:space="0" w:color="auto"/>
        <w:right w:val="none" w:sz="0" w:space="0" w:color="auto"/>
      </w:divBdr>
    </w:div>
    <w:div w:id="1809014233">
      <w:bodyDiv w:val="1"/>
      <w:marLeft w:val="0"/>
      <w:marRight w:val="0"/>
      <w:marTop w:val="0"/>
      <w:marBottom w:val="0"/>
      <w:divBdr>
        <w:top w:val="none" w:sz="0" w:space="0" w:color="auto"/>
        <w:left w:val="none" w:sz="0" w:space="0" w:color="auto"/>
        <w:bottom w:val="none" w:sz="0" w:space="0" w:color="auto"/>
        <w:right w:val="none" w:sz="0" w:space="0" w:color="auto"/>
      </w:divBdr>
    </w:div>
    <w:div w:id="1849951145">
      <w:bodyDiv w:val="1"/>
      <w:marLeft w:val="0"/>
      <w:marRight w:val="0"/>
      <w:marTop w:val="0"/>
      <w:marBottom w:val="0"/>
      <w:divBdr>
        <w:top w:val="none" w:sz="0" w:space="0" w:color="auto"/>
        <w:left w:val="none" w:sz="0" w:space="0" w:color="auto"/>
        <w:bottom w:val="none" w:sz="0" w:space="0" w:color="auto"/>
        <w:right w:val="none" w:sz="0" w:space="0" w:color="auto"/>
      </w:divBdr>
    </w:div>
    <w:div w:id="1855530391">
      <w:bodyDiv w:val="1"/>
      <w:marLeft w:val="0"/>
      <w:marRight w:val="0"/>
      <w:marTop w:val="0"/>
      <w:marBottom w:val="0"/>
      <w:divBdr>
        <w:top w:val="none" w:sz="0" w:space="0" w:color="auto"/>
        <w:left w:val="none" w:sz="0" w:space="0" w:color="auto"/>
        <w:bottom w:val="none" w:sz="0" w:space="0" w:color="auto"/>
        <w:right w:val="none" w:sz="0" w:space="0" w:color="auto"/>
      </w:divBdr>
    </w:div>
    <w:div w:id="1876846085">
      <w:bodyDiv w:val="1"/>
      <w:marLeft w:val="0"/>
      <w:marRight w:val="0"/>
      <w:marTop w:val="0"/>
      <w:marBottom w:val="0"/>
      <w:divBdr>
        <w:top w:val="none" w:sz="0" w:space="0" w:color="auto"/>
        <w:left w:val="none" w:sz="0" w:space="0" w:color="auto"/>
        <w:bottom w:val="none" w:sz="0" w:space="0" w:color="auto"/>
        <w:right w:val="none" w:sz="0" w:space="0" w:color="auto"/>
      </w:divBdr>
    </w:div>
    <w:div w:id="1923904155">
      <w:bodyDiv w:val="1"/>
      <w:marLeft w:val="0"/>
      <w:marRight w:val="0"/>
      <w:marTop w:val="0"/>
      <w:marBottom w:val="0"/>
      <w:divBdr>
        <w:top w:val="none" w:sz="0" w:space="0" w:color="auto"/>
        <w:left w:val="none" w:sz="0" w:space="0" w:color="auto"/>
        <w:bottom w:val="none" w:sz="0" w:space="0" w:color="auto"/>
        <w:right w:val="none" w:sz="0" w:space="0" w:color="auto"/>
      </w:divBdr>
    </w:div>
    <w:div w:id="1934433931">
      <w:bodyDiv w:val="1"/>
      <w:marLeft w:val="0"/>
      <w:marRight w:val="0"/>
      <w:marTop w:val="0"/>
      <w:marBottom w:val="0"/>
      <w:divBdr>
        <w:top w:val="none" w:sz="0" w:space="0" w:color="auto"/>
        <w:left w:val="none" w:sz="0" w:space="0" w:color="auto"/>
        <w:bottom w:val="none" w:sz="0" w:space="0" w:color="auto"/>
        <w:right w:val="none" w:sz="0" w:space="0" w:color="auto"/>
      </w:divBdr>
    </w:div>
    <w:div w:id="1958095417">
      <w:bodyDiv w:val="1"/>
      <w:marLeft w:val="0"/>
      <w:marRight w:val="0"/>
      <w:marTop w:val="0"/>
      <w:marBottom w:val="0"/>
      <w:divBdr>
        <w:top w:val="none" w:sz="0" w:space="0" w:color="auto"/>
        <w:left w:val="none" w:sz="0" w:space="0" w:color="auto"/>
        <w:bottom w:val="none" w:sz="0" w:space="0" w:color="auto"/>
        <w:right w:val="none" w:sz="0" w:space="0" w:color="auto"/>
      </w:divBdr>
    </w:div>
    <w:div w:id="1976911083">
      <w:bodyDiv w:val="1"/>
      <w:marLeft w:val="0"/>
      <w:marRight w:val="0"/>
      <w:marTop w:val="0"/>
      <w:marBottom w:val="0"/>
      <w:divBdr>
        <w:top w:val="none" w:sz="0" w:space="0" w:color="auto"/>
        <w:left w:val="none" w:sz="0" w:space="0" w:color="auto"/>
        <w:bottom w:val="none" w:sz="0" w:space="0" w:color="auto"/>
        <w:right w:val="none" w:sz="0" w:space="0" w:color="auto"/>
      </w:divBdr>
    </w:div>
    <w:div w:id="2026443308">
      <w:bodyDiv w:val="1"/>
      <w:marLeft w:val="0"/>
      <w:marRight w:val="0"/>
      <w:marTop w:val="0"/>
      <w:marBottom w:val="0"/>
      <w:divBdr>
        <w:top w:val="none" w:sz="0" w:space="0" w:color="auto"/>
        <w:left w:val="none" w:sz="0" w:space="0" w:color="auto"/>
        <w:bottom w:val="none" w:sz="0" w:space="0" w:color="auto"/>
        <w:right w:val="none" w:sz="0" w:space="0" w:color="auto"/>
      </w:divBdr>
    </w:div>
    <w:div w:id="2027442749">
      <w:bodyDiv w:val="1"/>
      <w:marLeft w:val="0"/>
      <w:marRight w:val="0"/>
      <w:marTop w:val="0"/>
      <w:marBottom w:val="0"/>
      <w:divBdr>
        <w:top w:val="none" w:sz="0" w:space="0" w:color="auto"/>
        <w:left w:val="none" w:sz="0" w:space="0" w:color="auto"/>
        <w:bottom w:val="none" w:sz="0" w:space="0" w:color="auto"/>
        <w:right w:val="none" w:sz="0" w:space="0" w:color="auto"/>
      </w:divBdr>
    </w:div>
    <w:div w:id="20452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2E6D3-200C-4537-BBC5-C66E16DA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3964</Words>
  <Characters>22597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26508</CharactersWithSpaces>
  <SharedDoc>false</SharedDoc>
  <HLinks>
    <vt:vector size="12" baseType="variant">
      <vt:variant>
        <vt:i4>2490396</vt:i4>
      </vt:variant>
      <vt:variant>
        <vt:i4>3</vt:i4>
      </vt:variant>
      <vt:variant>
        <vt:i4>0</vt:i4>
      </vt:variant>
      <vt:variant>
        <vt:i4>5</vt:i4>
      </vt:variant>
      <vt:variant>
        <vt:lpwstr>http://www.opm.gov/oca/10tables/html/gs_h.asp</vt:lpwstr>
      </vt:variant>
      <vt:variant>
        <vt:lpwstr/>
      </vt:variant>
      <vt:variant>
        <vt:i4>196634</vt:i4>
      </vt:variant>
      <vt:variant>
        <vt:i4>0</vt:i4>
      </vt:variant>
      <vt:variant>
        <vt:i4>0</vt:i4>
      </vt:variant>
      <vt:variant>
        <vt:i4>5</vt:i4>
      </vt:variant>
      <vt:variant>
        <vt:lpwstr>http://www.bls.gov/news.release/ecec.t02.htm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 Colville-Taylor</dc:creator>
  <cp:keywords/>
  <dc:description/>
  <cp:lastModifiedBy>Courtney Kerwin</cp:lastModifiedBy>
  <cp:revision>2</cp:revision>
  <cp:lastPrinted>2012-05-17T18:18:00Z</cp:lastPrinted>
  <dcterms:created xsi:type="dcterms:W3CDTF">2013-02-13T12:47:00Z</dcterms:created>
  <dcterms:modified xsi:type="dcterms:W3CDTF">2013-02-13T12:47:00Z</dcterms:modified>
</cp:coreProperties>
</file>