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DD" w:rsidRPr="00D56071" w:rsidRDefault="008C2BDD" w:rsidP="00E71916">
      <w:pPr>
        <w:tabs>
          <w:tab w:val="left" w:pos="3600"/>
        </w:tabs>
        <w:rPr>
          <w:b/>
          <w:sz w:val="52"/>
          <w:szCs w:val="52"/>
        </w:rPr>
      </w:pPr>
      <w:bookmarkStart w:id="0" w:name="_GoBack"/>
      <w:bookmarkEnd w:id="0"/>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A65465" w:rsidP="004478DF">
      <w:pPr>
        <w:jc w:val="center"/>
        <w:rPr>
          <w:b/>
          <w:sz w:val="56"/>
          <w:szCs w:val="56"/>
        </w:rPr>
      </w:pPr>
      <w:r>
        <w:rPr>
          <w:b/>
          <w:sz w:val="56"/>
          <w:szCs w:val="56"/>
        </w:rPr>
        <w:t>HUD 50058 Family Report and HUD 50058 MTW</w:t>
      </w:r>
    </w:p>
    <w:p w:rsidR="00CD0963" w:rsidRDefault="00CD0963" w:rsidP="004478DF">
      <w:pPr>
        <w:jc w:val="center"/>
        <w:rPr>
          <w:b/>
          <w:sz w:val="56"/>
          <w:szCs w:val="56"/>
        </w:rPr>
      </w:pPr>
    </w:p>
    <w:p w:rsidR="00215985" w:rsidRPr="00D56071" w:rsidRDefault="00A65465" w:rsidP="004478DF">
      <w:pPr>
        <w:jc w:val="center"/>
        <w:rPr>
          <w:b/>
          <w:sz w:val="56"/>
          <w:szCs w:val="56"/>
        </w:rPr>
      </w:pPr>
      <w:r>
        <w:rPr>
          <w:b/>
          <w:sz w:val="56"/>
          <w:szCs w:val="56"/>
        </w:rPr>
        <w:t>Moving to Work, Office of Public Housing Investment, Public and Indian Housing</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095202" w:rsidRDefault="00095202" w:rsidP="00095202">
      <w:pPr>
        <w:pStyle w:val="Heading1"/>
      </w:pPr>
    </w:p>
    <w:p w:rsidR="00E8178E" w:rsidRDefault="00E8178E" w:rsidP="007C0357">
      <w:pPr>
        <w:pStyle w:val="TitleCover-Date"/>
        <w:ind w:left="0"/>
      </w:pPr>
    </w:p>
    <w:p w:rsidR="0097635A" w:rsidRDefault="0097635A"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lastRenderedPageBreak/>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A65465">
                    <w:rPr>
                      <w:b/>
                      <w:bCs/>
                      <w:color w:val="000000"/>
                    </w:rPr>
                    <w:t xml:space="preserve"> 7-31-12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A65465">
                    <w:rPr>
                      <w:b/>
                      <w:bCs/>
                      <w:color w:val="000000"/>
                    </w:rPr>
                    <w:t xml:space="preserve"> HUD 50058 MTW – Attachment B of MTW Standard Agreement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A65465">
                    <w:rPr>
                      <w:b/>
                      <w:bCs/>
                      <w:color w:val="000000"/>
                    </w:rPr>
                    <w:t xml:space="preserve">  Ivan Pour 202-402-2488 </w:t>
                  </w:r>
                  <w:r w:rsidR="00A65465" w:rsidRPr="00A65465">
                    <w:rPr>
                      <w:b/>
                      <w:bCs/>
                      <w:color w:val="000000"/>
                    </w:rPr>
                    <w:t>Ivan.M.Pour@hud.gov</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A65465">
                    <w:rPr>
                      <w:b/>
                      <w:bCs/>
                      <w:color w:val="000000"/>
                    </w:rPr>
                    <w:t xml:space="preserve"> Ivan Pour 202-402-2488 </w:t>
                  </w:r>
                  <w:r w:rsidR="00A65465" w:rsidRPr="00A65465">
                    <w:rPr>
                      <w:b/>
                      <w:bCs/>
                      <w:color w:val="000000"/>
                    </w:rPr>
                    <w:t>Ivan.M.Pour@hud.gov</w:t>
                  </w:r>
                </w:p>
                <w:p w:rsidR="00E8335A" w:rsidRPr="007C0357" w:rsidRDefault="00E8335A" w:rsidP="007C0357">
                  <w:pPr>
                    <w:autoSpaceDE w:val="0"/>
                    <w:autoSpaceDN w:val="0"/>
                    <w:adjustRightInd w:val="0"/>
                    <w:rPr>
                      <w:b/>
                      <w:bCs/>
                      <w:color w:val="000000"/>
                    </w:rPr>
                  </w:pPr>
                </w:p>
              </w:tc>
            </w:tr>
          </w:tbl>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5pt;height:21.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5pt;height:21.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943C68" w:rsidP="000B3D92">
            <w:pPr>
              <w:autoSpaceDE w:val="0"/>
              <w:autoSpaceDN w:val="0"/>
              <w:adjustRightInd w:val="0"/>
              <w:rPr>
                <w:color w:val="000000"/>
              </w:rPr>
            </w:pPr>
            <w:r>
              <w:rPr>
                <w:color w:val="000000"/>
              </w:rPr>
              <w:object w:dxaOrig="225" w:dyaOrig="225">
                <v:shape id="_x0000_i1101" type="#_x0000_t75" style="width:17.5pt;height:21.5pt" o:ole="">
                  <v:imagedata r:id="rId15" o:title=""/>
                </v:shape>
                <w:control r:id="rId17"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lastRenderedPageBreak/>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97635A" w:rsidRDefault="00C500BC" w:rsidP="00617678">
            <w:pPr>
              <w:autoSpaceDE w:val="0"/>
              <w:autoSpaceDN w:val="0"/>
              <w:adjustRightInd w:val="0"/>
              <w:ind w:firstLine="1260"/>
              <w:rPr>
                <w:b/>
                <w:sz w:val="28"/>
                <w:szCs w:val="28"/>
              </w:rPr>
            </w:pPr>
            <w:r w:rsidRPr="0097635A">
              <w:t>This information is collected from participants in the Office of Public and Indian Housing’s public housing and housing choice voucher (HCV programs).  Public Housing Agencies are typically chartered independent entities established by the state legislature to administered affordable housing programs in a jurisdiction.  Some are units of local government.</w:t>
            </w:r>
          </w:p>
          <w:p w:rsidR="0028073B" w:rsidRPr="0097635A" w:rsidRDefault="0028073B" w:rsidP="000C1A16">
            <w:pPr>
              <w:pStyle w:val="Default"/>
              <w:rPr>
                <w:rFonts w:ascii="Times New Roman" w:hAnsi="Times New Roman" w:cs="Times New Roman"/>
                <w:b/>
                <w:color w:val="auto"/>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Default="00617678" w:rsidP="00617678">
            <w:pPr>
              <w:pStyle w:val="Default"/>
              <w:tabs>
                <w:tab w:val="left" w:pos="360"/>
              </w:tabs>
              <w:ind w:left="1260"/>
              <w:rPr>
                <w:rFonts w:ascii="Times New Roman" w:hAnsi="Times New Roman" w:cs="Times New Roman"/>
                <w:sz w:val="28"/>
                <w:szCs w:val="28"/>
              </w:rPr>
            </w:pPr>
          </w:p>
          <w:p w:rsidR="00C500BC" w:rsidRDefault="00C500BC" w:rsidP="00617678">
            <w:pPr>
              <w:pStyle w:val="Default"/>
              <w:tabs>
                <w:tab w:val="left" w:pos="360"/>
              </w:tabs>
              <w:ind w:left="1260"/>
              <w:rPr>
                <w:rFonts w:ascii="Times New Roman" w:hAnsi="Times New Roman" w:cs="Times New Roman"/>
                <w:sz w:val="28"/>
                <w:szCs w:val="28"/>
              </w:rPr>
            </w:pPr>
            <w:r>
              <w:rPr>
                <w:rFonts w:ascii="Times New Roman" w:hAnsi="Times New Roman" w:cs="Times New Roman"/>
                <w:sz w:val="28"/>
                <w:szCs w:val="28"/>
              </w:rPr>
              <w:t>Form 50058 and 50058-MTW family reports solicit demographic, family profile, income and housing information on the entire nationwide population participating in the public housing and voucher programs.  This information is utilized for the subsequent purposes:</w:t>
            </w:r>
          </w:p>
          <w:p w:rsidR="00C500BC" w:rsidRDefault="00C500BC" w:rsidP="00617678">
            <w:pPr>
              <w:pStyle w:val="Default"/>
              <w:tabs>
                <w:tab w:val="left" w:pos="360"/>
              </w:tabs>
              <w:ind w:left="1260"/>
              <w:rPr>
                <w:rFonts w:ascii="Times New Roman" w:hAnsi="Times New Roman" w:cs="Times New Roman"/>
                <w:sz w:val="28"/>
                <w:szCs w:val="28"/>
              </w:rPr>
            </w:pP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Analyze public housing and housing choice voucher programs;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Permit PHAs to monitor their own reporting to identify favorable and unfavorable trends;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Monitor PHAs and participants for compliance with program regulations and requirements;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Fraud detection and prevention via rent/income monitoring;</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 xml:space="preserve">Housing inventory and development of program initiatives with emphasis on the housing of special </w:t>
            </w:r>
            <w:r w:rsidR="00C9132C">
              <w:rPr>
                <w:rFonts w:ascii="Times New Roman" w:hAnsi="Times New Roman" w:cs="Times New Roman"/>
                <w:sz w:val="28"/>
                <w:szCs w:val="28"/>
              </w:rPr>
              <w:t>needs group; and</w:t>
            </w:r>
          </w:p>
          <w:p w:rsidR="00C9132C" w:rsidRPr="007D4BB6" w:rsidRDefault="00C9132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Make available accurate demographic information depicting tenant characteristics to Congress and other interested parties.</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Default="00C9132C"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w:t>
            </w:r>
          </w:p>
          <w:p w:rsidR="00C9132C" w:rsidRPr="007D4BB6" w:rsidRDefault="00C9132C"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The PHA generates a</w:t>
            </w:r>
            <w:r w:rsidR="00292818">
              <w:rPr>
                <w:rFonts w:ascii="Times New Roman" w:hAnsi="Times New Roman" w:cs="Times New Roman"/>
                <w:sz w:val="28"/>
                <w:szCs w:val="28"/>
              </w:rPr>
              <w:t>n</w:t>
            </w:r>
            <w:r>
              <w:rPr>
                <w:rFonts w:ascii="Times New Roman" w:hAnsi="Times New Roman" w:cs="Times New Roman"/>
                <w:sz w:val="28"/>
                <w:szCs w:val="28"/>
              </w:rPr>
              <w:t xml:space="preserve"> electronic version of the 50058 and 50058-MTW</w:t>
            </w:r>
            <w:r w:rsidR="00292818">
              <w:rPr>
                <w:rFonts w:ascii="Times New Roman" w:hAnsi="Times New Roman" w:cs="Times New Roman"/>
                <w:sz w:val="28"/>
                <w:szCs w:val="28"/>
              </w:rPr>
              <w:t xml:space="preserve">.  These electronic versions are submitted electronically by the PHAs into the PIH Information Center (PIC) on a monthly basis.  PIC is an automated database system which also serves as an archive for this data, and is accessible to HUD headquarters and field offices.   </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28073B" w:rsidRPr="0097635A" w:rsidRDefault="00977ADD" w:rsidP="007B1A29">
            <w:pPr>
              <w:pStyle w:val="Default"/>
              <w:tabs>
                <w:tab w:val="left" w:pos="360"/>
                <w:tab w:val="left" w:pos="720"/>
              </w:tabs>
              <w:ind w:left="1260" w:hanging="1260"/>
              <w:rPr>
                <w:rFonts w:ascii="Times New Roman" w:hAnsi="Times New Roman" w:cs="Times New Roman"/>
                <w:color w:val="auto"/>
              </w:rPr>
            </w:pPr>
            <w:r>
              <w:rPr>
                <w:rFonts w:ascii="Times New Roman" w:hAnsi="Times New Roman" w:cs="Times New Roman"/>
                <w:b/>
                <w:sz w:val="28"/>
                <w:szCs w:val="28"/>
              </w:rPr>
              <w:t xml:space="preserve"> </w:t>
            </w:r>
            <w:r w:rsidRPr="0097635A">
              <w:rPr>
                <w:rFonts w:ascii="Times New Roman" w:hAnsi="Times New Roman" w:cs="Times New Roman"/>
                <w:color w:val="auto"/>
              </w:rPr>
              <w:t xml:space="preserve">Information in PIC is used to assess occupancy in public housing and calculate Operating </w:t>
            </w:r>
            <w:r w:rsidRPr="0097635A">
              <w:rPr>
                <w:rFonts w:ascii="Times New Roman" w:hAnsi="Times New Roman" w:cs="Times New Roman"/>
                <w:color w:val="auto"/>
              </w:rPr>
              <w:lastRenderedPageBreak/>
              <w:t>Subsidy for MTW agencies who receive their operating subsidy according to 24 CFR 990.</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Default="00AC3035" w:rsidP="00AC3035">
            <w:pPr>
              <w:rPr>
                <w:sz w:val="28"/>
                <w:szCs w:val="28"/>
              </w:rPr>
            </w:pPr>
          </w:p>
          <w:p w:rsidR="00C9132C" w:rsidRPr="0097635A" w:rsidRDefault="00C9132C" w:rsidP="00AC3035">
            <w:r w:rsidRPr="0097635A">
              <w:t>No.</w:t>
            </w:r>
            <w:r w:rsidR="00977ADD" w:rsidRPr="0097635A">
              <w:t xml:space="preserve">  The HUD-50058 is a legacy collection of information that has been in place for over 30 years, and thus predates this requirement.  The MTW version is a derivation of this form.</w:t>
            </w:r>
          </w:p>
          <w:p w:rsidR="00AC3035" w:rsidRDefault="00AC3035" w:rsidP="00AC3035">
            <w:pPr>
              <w:autoSpaceDE w:val="0"/>
              <w:autoSpaceDN w:val="0"/>
              <w:adjustRightInd w:val="0"/>
              <w:ind w:firstLine="360"/>
              <w:rPr>
                <w:b/>
                <w:sz w:val="28"/>
                <w:szCs w:val="28"/>
              </w:rPr>
            </w:pPr>
          </w:p>
          <w:p w:rsidR="00A851F3" w:rsidRPr="003B5771" w:rsidRDefault="00A851F3" w:rsidP="00292818">
            <w:pPr>
              <w:autoSpaceDE w:val="0"/>
              <w:autoSpaceDN w:val="0"/>
              <w:adjustRightInd w:val="0"/>
              <w:rPr>
                <w:sz w:val="28"/>
                <w:szCs w:val="28"/>
              </w:rPr>
            </w:pPr>
          </w:p>
        </w:tc>
      </w:tr>
      <w:tr w:rsidR="00C500BC" w:rsidRPr="003B5771" w:rsidTr="007D4BB6">
        <w:trPr>
          <w:trHeight w:val="1620"/>
        </w:trPr>
        <w:tc>
          <w:tcPr>
            <w:tcW w:w="9576" w:type="dxa"/>
          </w:tcPr>
          <w:p w:rsidR="00C500BC" w:rsidRDefault="00C500BC"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Pr="00AC3035">
        <w:rPr>
          <w:sz w:val="28"/>
          <w:szCs w:val="28"/>
        </w:rPr>
        <w:t xml:space="preserve"> or project, specify</w:t>
      </w:r>
      <w:proofErr w:type="gramEnd"/>
      <w:r w:rsidRPr="00AC3035">
        <w:rPr>
          <w:sz w:val="28"/>
          <w:szCs w:val="28"/>
        </w:rPr>
        <w:t xml:space="preserve"> expected production date.</w:t>
      </w:r>
    </w:p>
    <w:p w:rsidR="00617678" w:rsidRPr="003B5771" w:rsidRDefault="00617678" w:rsidP="00B113F3">
      <w:pPr>
        <w:rPr>
          <w:sz w:val="28"/>
          <w:szCs w:val="28"/>
        </w:rPr>
      </w:pP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Default="00B70F1F" w:rsidP="00C74367">
      <w:pPr>
        <w:rPr>
          <w:sz w:val="28"/>
          <w:szCs w:val="28"/>
        </w:rPr>
      </w:pPr>
      <w:r w:rsidRPr="003B5771">
        <w:rPr>
          <w:sz w:val="28"/>
          <w:szCs w:val="28"/>
        </w:rPr>
        <w:t xml:space="preserve"> </w:t>
      </w:r>
    </w:p>
    <w:p w:rsidR="00292818" w:rsidRPr="003B5771" w:rsidRDefault="0097635A" w:rsidP="00C74367">
      <w:pPr>
        <w:rPr>
          <w:sz w:val="28"/>
          <w:szCs w:val="28"/>
        </w:rPr>
      </w:pPr>
      <w:r>
        <w:rPr>
          <w:sz w:val="28"/>
          <w:szCs w:val="28"/>
        </w:rPr>
        <w:t>PIH has been collecting information on the HUD Form 50058 for over 30 years.</w:t>
      </w: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3"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5"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 xml:space="preserve">legal authorities, arrangement, and/or agreement authorize the collection of information (i.e. </w:t>
      </w:r>
      <w:r w:rsidR="00BB39E9" w:rsidRPr="003B5771">
        <w:rPr>
          <w:b/>
          <w:sz w:val="28"/>
          <w:szCs w:val="28"/>
        </w:rPr>
        <w:lastRenderedPageBreak/>
        <w:t>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292818" w:rsidRDefault="00292818" w:rsidP="00DD075B">
      <w:pPr>
        <w:autoSpaceDE w:val="0"/>
        <w:autoSpaceDN w:val="0"/>
        <w:adjustRightInd w:val="0"/>
        <w:ind w:left="450"/>
        <w:rPr>
          <w:sz w:val="28"/>
          <w:szCs w:val="28"/>
        </w:rPr>
      </w:pPr>
      <w:r>
        <w:rPr>
          <w:sz w:val="28"/>
          <w:szCs w:val="28"/>
        </w:rPr>
        <w:t xml:space="preserve">For each household member, the Form 50058 and 50058MTW collect </w:t>
      </w:r>
      <w:r w:rsidR="00194F69">
        <w:rPr>
          <w:sz w:val="28"/>
          <w:szCs w:val="28"/>
        </w:rPr>
        <w:t>name, address, social security number, ethnicity, race, citizenship, gender, assets, income, and expected income.  Additional data is collected for the head of household on employment status, assistance received under other federal assistance programs (TANF, Medicaid, etc.) and benefits such as health insurance provided by employers.</w:t>
      </w:r>
    </w:p>
    <w:p w:rsidR="00292818" w:rsidRDefault="00292818" w:rsidP="00DD075B">
      <w:pPr>
        <w:autoSpaceDE w:val="0"/>
        <w:autoSpaceDN w:val="0"/>
        <w:adjustRightInd w:val="0"/>
        <w:ind w:left="450"/>
        <w:rPr>
          <w:sz w:val="28"/>
          <w:szCs w:val="28"/>
        </w:rPr>
      </w:pPr>
    </w:p>
    <w:p w:rsidR="00AC3035" w:rsidRPr="00292818" w:rsidRDefault="00292818" w:rsidP="00DD075B">
      <w:pPr>
        <w:autoSpaceDE w:val="0"/>
        <w:autoSpaceDN w:val="0"/>
        <w:adjustRightInd w:val="0"/>
        <w:ind w:left="450"/>
        <w:rPr>
          <w:sz w:val="28"/>
          <w:szCs w:val="28"/>
        </w:rPr>
      </w:pPr>
      <w:r w:rsidRPr="00292818">
        <w:rPr>
          <w:sz w:val="28"/>
          <w:szCs w:val="28"/>
        </w:rPr>
        <w:t>Authorities to collect this information include:</w:t>
      </w:r>
    </w:p>
    <w:p w:rsidR="00292818" w:rsidRDefault="00292818" w:rsidP="00DD075B">
      <w:pPr>
        <w:autoSpaceDE w:val="0"/>
        <w:autoSpaceDN w:val="0"/>
        <w:adjustRightInd w:val="0"/>
        <w:ind w:left="450"/>
        <w:rPr>
          <w:b/>
          <w:sz w:val="28"/>
          <w:szCs w:val="28"/>
        </w:rPr>
      </w:pPr>
    </w:p>
    <w:p w:rsidR="00FD3AA6" w:rsidRDefault="00292818" w:rsidP="00FD3AA6">
      <w:pPr>
        <w:numPr>
          <w:ilvl w:val="0"/>
          <w:numId w:val="42"/>
        </w:numPr>
        <w:rPr>
          <w:sz w:val="22"/>
        </w:rPr>
      </w:pPr>
      <w:r>
        <w:rPr>
          <w:sz w:val="22"/>
        </w:rPr>
        <w:t>The United States Housing Act of 1937 (42 U.S.C 1437 et seq.)</w:t>
      </w:r>
      <w:r w:rsidR="00FD3AA6" w:rsidRPr="00FD3AA6">
        <w:t xml:space="preserve"> </w:t>
      </w:r>
    </w:p>
    <w:p w:rsidR="00292818" w:rsidRPr="00FD3AA6" w:rsidRDefault="00FD3AA6" w:rsidP="00FD3AA6">
      <w:pPr>
        <w:numPr>
          <w:ilvl w:val="0"/>
          <w:numId w:val="42"/>
        </w:numPr>
        <w:rPr>
          <w:sz w:val="22"/>
        </w:rPr>
      </w:pPr>
      <w:r w:rsidRPr="00FD3AA6">
        <w:rPr>
          <w:sz w:val="22"/>
        </w:rPr>
        <w:t>Title VI of the</w:t>
      </w:r>
      <w:r>
        <w:rPr>
          <w:sz w:val="22"/>
        </w:rPr>
        <w:t xml:space="preserve"> </w:t>
      </w:r>
      <w:r w:rsidRPr="00FD3AA6">
        <w:rPr>
          <w:sz w:val="22"/>
        </w:rPr>
        <w:t>Civil Rights Act of 1964 (42 U. S. C. 2000d) and by the Fair Housing Act (42 U. S. C. 3601-19)</w:t>
      </w:r>
    </w:p>
    <w:p w:rsidR="00292818" w:rsidRDefault="00292818" w:rsidP="00292818">
      <w:pPr>
        <w:numPr>
          <w:ilvl w:val="0"/>
          <w:numId w:val="42"/>
        </w:numPr>
        <w:rPr>
          <w:sz w:val="22"/>
        </w:rPr>
      </w:pPr>
      <w:r>
        <w:rPr>
          <w:sz w:val="22"/>
        </w:rPr>
        <w:t>Quality Housing and Work Responsibility Act of 1998 (Public Law 105-276 Title V)</w:t>
      </w:r>
    </w:p>
    <w:p w:rsidR="00292818" w:rsidRDefault="00292818" w:rsidP="00292818">
      <w:pPr>
        <w:numPr>
          <w:ilvl w:val="0"/>
          <w:numId w:val="42"/>
        </w:numPr>
        <w:rPr>
          <w:sz w:val="22"/>
        </w:rPr>
      </w:pPr>
      <w:r>
        <w:rPr>
          <w:sz w:val="22"/>
        </w:rPr>
        <w:t>HUD Appropriations Act of 1996 (Public Law 104-134 Section 204)</w:t>
      </w:r>
    </w:p>
    <w:p w:rsidR="00292818" w:rsidRDefault="00292818" w:rsidP="00292818">
      <w:pPr>
        <w:numPr>
          <w:ilvl w:val="0"/>
          <w:numId w:val="42"/>
        </w:numPr>
        <w:rPr>
          <w:sz w:val="22"/>
        </w:rPr>
      </w:pPr>
      <w:r>
        <w:rPr>
          <w:sz w:val="22"/>
        </w:rPr>
        <w:t>“Electronic Transmission of Required Family Data for Public Housing, Indian Housing, and the Section 8 Rental Certificate, Rental Voucher, and Moderate Rehabilitation Programs” (24 CFR Part 908)</w:t>
      </w:r>
    </w:p>
    <w:p w:rsidR="00292818" w:rsidRDefault="00292818" w:rsidP="00292818">
      <w:pPr>
        <w:numPr>
          <w:ilvl w:val="0"/>
          <w:numId w:val="42"/>
        </w:numPr>
        <w:rPr>
          <w:sz w:val="22"/>
        </w:rPr>
      </w:pPr>
      <w:r>
        <w:rPr>
          <w:sz w:val="22"/>
        </w:rPr>
        <w:t>24 CFR 5.216</w:t>
      </w:r>
    </w:p>
    <w:p w:rsidR="00292818" w:rsidRPr="003B5771" w:rsidRDefault="00292818"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AC3035" w:rsidRPr="0097635A" w:rsidRDefault="00292818" w:rsidP="004841B6">
      <w:pPr>
        <w:autoSpaceDE w:val="0"/>
        <w:autoSpaceDN w:val="0"/>
        <w:adjustRightInd w:val="0"/>
        <w:rPr>
          <w:sz w:val="28"/>
          <w:szCs w:val="28"/>
        </w:rPr>
      </w:pPr>
      <w:r w:rsidRPr="0097635A">
        <w:rPr>
          <w:sz w:val="28"/>
          <w:szCs w:val="28"/>
        </w:rPr>
        <w:t>Yes.</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BB39E9" w:rsidRPr="00983CF8" w:rsidRDefault="00194F69" w:rsidP="00983CF8">
            <w:pPr>
              <w:autoSpaceDE w:val="0"/>
              <w:autoSpaceDN w:val="0"/>
              <w:adjustRightInd w:val="0"/>
              <w:spacing w:before="240"/>
              <w:ind w:firstLine="702"/>
            </w:pPr>
            <w:r w:rsidRPr="00983CF8">
              <w:lastRenderedPageBreak/>
              <w:t xml:space="preserve">Yes.  Participants are required to fill out and </w:t>
            </w:r>
            <w:r w:rsidR="00983CF8" w:rsidRPr="00983CF8">
              <w:t xml:space="preserve">sign HUD Form-9886 </w:t>
            </w:r>
            <w:r w:rsidR="00983CF8" w:rsidRPr="00983CF8">
              <w:rPr>
                <w:i/>
              </w:rPr>
              <w:t>Authorization for the Release of Information/Privacy Act Notice (</w:t>
            </w:r>
            <w:r w:rsidR="00983CF8" w:rsidRPr="00983CF8">
              <w:t xml:space="preserve">attached), authorizing the collection of information, and its intended uses.  </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lastRenderedPageBreak/>
              <w:t>Do individuals have an opportunity and/or right to decline to provide information?</w:t>
            </w:r>
          </w:p>
          <w:p w:rsidR="00BB39E9" w:rsidRDefault="00BB39E9" w:rsidP="00983CF8">
            <w:pPr>
              <w:autoSpaceDE w:val="0"/>
              <w:autoSpaceDN w:val="0"/>
              <w:adjustRightInd w:val="0"/>
              <w:ind w:firstLine="702"/>
              <w:rPr>
                <w:sz w:val="28"/>
                <w:szCs w:val="28"/>
              </w:rPr>
            </w:pPr>
          </w:p>
          <w:p w:rsidR="00983CF8" w:rsidRPr="0097635A" w:rsidRDefault="00983CF8" w:rsidP="00983CF8">
            <w:pPr>
              <w:autoSpaceDE w:val="0"/>
              <w:autoSpaceDN w:val="0"/>
              <w:adjustRightInd w:val="0"/>
              <w:ind w:firstLine="702"/>
            </w:pPr>
            <w:r w:rsidRPr="0097635A">
              <w:t>Yes, using the Form HUD-9448, applicants and program participants are provided an opportunity to decline to provide information.</w:t>
            </w:r>
          </w:p>
          <w:p w:rsidR="00983CF8" w:rsidRPr="003B5771" w:rsidRDefault="00983CF8" w:rsidP="00983CF8">
            <w:pPr>
              <w:autoSpaceDE w:val="0"/>
              <w:autoSpaceDN w:val="0"/>
              <w:adjustRightInd w:val="0"/>
              <w:ind w:firstLine="702"/>
              <w:rPr>
                <w:sz w:val="28"/>
                <w:szCs w:val="28"/>
              </w:rPr>
            </w:pPr>
          </w:p>
        </w:tc>
      </w:tr>
      <w:tr w:rsidR="00BB39E9" w:rsidRPr="003B5771" w:rsidTr="00983CF8">
        <w:trPr>
          <w:trHeight w:val="2457"/>
        </w:trPr>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97635A" w:rsidRDefault="00983CF8" w:rsidP="00983CF8">
            <w:pPr>
              <w:autoSpaceDE w:val="0"/>
              <w:autoSpaceDN w:val="0"/>
              <w:adjustRightInd w:val="0"/>
              <w:ind w:firstLine="702"/>
            </w:pPr>
            <w:r w:rsidRPr="0097635A">
              <w:t xml:space="preserve">By signing the form HUD-9448, they consent to the use of collecting this data for income verification and rent setting purposes, in order to receive benefits under the program, and for other monitoring purposes.  Residents are not given additional opportunity to give consent for other uses of Form 50058 or Form 50058 MTW data.   </w:t>
            </w: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97635A" w:rsidRDefault="00983CF8" w:rsidP="007D4BB6">
            <w:pPr>
              <w:autoSpaceDE w:val="0"/>
              <w:autoSpaceDN w:val="0"/>
              <w:adjustRightInd w:val="0"/>
            </w:pPr>
            <w:r w:rsidRPr="0097635A">
              <w:t>N/A</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Default="00DD075B" w:rsidP="00DD075B">
      <w:pPr>
        <w:autoSpaceDE w:val="0"/>
        <w:autoSpaceDN w:val="0"/>
        <w:adjustRightInd w:val="0"/>
        <w:rPr>
          <w:b/>
          <w:color w:val="003399"/>
          <w:sz w:val="28"/>
          <w:szCs w:val="28"/>
        </w:rPr>
      </w:pPr>
    </w:p>
    <w:p w:rsidR="0097635A" w:rsidRDefault="0097635A" w:rsidP="00DD075B">
      <w:pPr>
        <w:autoSpaceDE w:val="0"/>
        <w:autoSpaceDN w:val="0"/>
        <w:adjustRightInd w:val="0"/>
        <w:rPr>
          <w:b/>
          <w:color w:val="003399"/>
          <w:sz w:val="28"/>
          <w:szCs w:val="28"/>
        </w:rPr>
      </w:pPr>
    </w:p>
    <w:p w:rsidR="0097635A" w:rsidRPr="003B5771" w:rsidRDefault="0097635A"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lastRenderedPageBreak/>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97635A" w:rsidRDefault="0097635A" w:rsidP="001A4EB9">
      <w:pPr>
        <w:autoSpaceDE w:val="0"/>
        <w:autoSpaceDN w:val="0"/>
        <w:adjustRightInd w:val="0"/>
      </w:pPr>
      <w:r w:rsidRPr="0097635A">
        <w:t xml:space="preserve">The Form HUD-50058 was developed over 30 years ago.  </w:t>
      </w:r>
      <w:r>
        <w:t>The Form 50058-MTW was developed in 2006, as a module was added to the Public and Indian Housing Information Center (PIC) to allow it to capture this information.</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97635A" w:rsidP="00AC3035">
      <w:pPr>
        <w:rPr>
          <w:sz w:val="28"/>
          <w:szCs w:val="28"/>
        </w:rPr>
      </w:pPr>
      <w:r>
        <w:rPr>
          <w:sz w:val="28"/>
          <w:szCs w:val="28"/>
        </w:rPr>
        <w:t xml:space="preserve">Yes, the information collection has been revised since April 17, 2003.  </w:t>
      </w: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022812" w:rsidRPr="0097635A" w:rsidRDefault="00022812" w:rsidP="00022812">
      <w:pPr>
        <w:pStyle w:val="BodyTextIndent2"/>
        <w:tabs>
          <w:tab w:val="left" w:pos="360"/>
        </w:tabs>
        <w:spacing w:after="120" w:line="240" w:lineRule="auto"/>
        <w:ind w:hanging="336"/>
        <w:rPr>
          <w:szCs w:val="24"/>
        </w:rPr>
      </w:pPr>
      <w:r w:rsidRPr="0097635A">
        <w:rPr>
          <w:szCs w:val="24"/>
        </w:rPr>
        <w:t xml:space="preserve">This is a revision to a currently approved collection. </w:t>
      </w:r>
    </w:p>
    <w:p w:rsidR="00022812" w:rsidRPr="0097635A" w:rsidRDefault="00022812" w:rsidP="00022812">
      <w:pPr>
        <w:pStyle w:val="BodyTextIndent2"/>
        <w:numPr>
          <w:ilvl w:val="0"/>
          <w:numId w:val="40"/>
        </w:numPr>
        <w:tabs>
          <w:tab w:val="left" w:pos="360"/>
        </w:tabs>
        <w:spacing w:after="120" w:line="240" w:lineRule="auto"/>
        <w:rPr>
          <w:szCs w:val="24"/>
        </w:rPr>
      </w:pPr>
      <w:r w:rsidRPr="0097635A">
        <w:rPr>
          <w:szCs w:val="24"/>
        </w:rPr>
        <w:t>The changes in the calculations in #13 and Supporting Statement #12 are due to the MTW Program increasing from 25 participating housing agencies at the time of the last form approval to 3</w:t>
      </w:r>
      <w:r w:rsidR="00977ADD" w:rsidRPr="0097635A">
        <w:rPr>
          <w:szCs w:val="24"/>
        </w:rPr>
        <w:t>9</w:t>
      </w:r>
      <w:r w:rsidRPr="0097635A">
        <w:rPr>
          <w:szCs w:val="24"/>
        </w:rPr>
        <w:t xml:space="preserve"> housing agencies at this time.</w:t>
      </w:r>
    </w:p>
    <w:p w:rsidR="00022812" w:rsidRPr="0097635A" w:rsidRDefault="00022812" w:rsidP="00022812">
      <w:pPr>
        <w:pStyle w:val="BodyTextIndent2"/>
        <w:numPr>
          <w:ilvl w:val="0"/>
          <w:numId w:val="39"/>
        </w:numPr>
        <w:tabs>
          <w:tab w:val="left" w:pos="360"/>
        </w:tabs>
        <w:spacing w:after="120" w:line="240" w:lineRule="auto"/>
        <w:rPr>
          <w:szCs w:val="24"/>
        </w:rPr>
      </w:pPr>
      <w:r w:rsidRPr="0097635A">
        <w:rPr>
          <w:szCs w:val="24"/>
        </w:rPr>
        <w:t xml:space="preserve">The main reason for the form change is to add the ability to collect information on local, non-traditional families.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The current 50058-MTW is not set up to collect this information.  Therefore, there are families that MTW agencies are serving that are not being reported on in the PIC system.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This is causing an undercounting of families served with MTW funds.  Also, there were five MTW agencies added since this form was last updated.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This increase in participation in the MTW program has increased the number of respondents and the burden hours.  The MTW program has added Tacoma, Orlando, Champaign, Boulder and Lexington-Fayette housing authorities.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The other minor change is a clarification to add category of H = Traditional Homeownership in Section 1.c.  This category is currently accepted and data is collected in Section 22, but is not listed in the choices under 1.C.</w:t>
      </w:r>
    </w:p>
    <w:p w:rsidR="00022812" w:rsidRPr="0097635A" w:rsidRDefault="00022812" w:rsidP="00022812">
      <w:pPr>
        <w:pStyle w:val="BodyTextIndent2"/>
        <w:tabs>
          <w:tab w:val="left" w:pos="360"/>
        </w:tabs>
        <w:spacing w:after="120" w:line="240" w:lineRule="auto"/>
        <w:ind w:hanging="336"/>
        <w:rPr>
          <w:szCs w:val="24"/>
        </w:rPr>
      </w:pPr>
      <w:r w:rsidRPr="0097635A">
        <w:rPr>
          <w:szCs w:val="24"/>
        </w:rPr>
        <w:tab/>
      </w:r>
    </w:p>
    <w:p w:rsidR="00022812" w:rsidRPr="0097635A" w:rsidRDefault="00022812" w:rsidP="00022812">
      <w:pPr>
        <w:pStyle w:val="BodyTextIndent2"/>
        <w:tabs>
          <w:tab w:val="left" w:pos="360"/>
        </w:tabs>
        <w:spacing w:after="120" w:line="240" w:lineRule="auto"/>
        <w:ind w:hanging="336"/>
        <w:rPr>
          <w:szCs w:val="24"/>
        </w:rPr>
      </w:pPr>
      <w:r w:rsidRPr="0097635A">
        <w:rPr>
          <w:szCs w:val="24"/>
        </w:rPr>
        <w:t>The changes to the form are as follows:</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lastRenderedPageBreak/>
        <w:t xml:space="preserve">Create a Local, Non-Traditional Assistance “LN” program code categorization in Section 1.C Form 50058-MTW to track households that are provided assistance through local, non-traditional MTW programs in addition to public housing, tenant-based and project-based assistance.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 xml:space="preserve">Add the categories of H = Traditional Homeownership.  This category is currently accepted but is not listed in the choices under 1.C, so this is a clarification.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Add LH = Local, Non-Traditional Homeownership which is another classification for homeownership assistance that does not fall under Sections 8 and 9 of the 1937 Act and thus needs the Local, Non-Traditional categorization.</w:t>
      </w:r>
    </w:p>
    <w:p w:rsidR="00022812" w:rsidRPr="0097635A" w:rsidRDefault="00022812" w:rsidP="00022812">
      <w:pPr>
        <w:pStyle w:val="NoSpacing"/>
        <w:numPr>
          <w:ilvl w:val="0"/>
          <w:numId w:val="38"/>
        </w:numPr>
        <w:rPr>
          <w:rFonts w:ascii="Times New Roman" w:hAnsi="Times New Roman"/>
          <w:sz w:val="24"/>
          <w:szCs w:val="24"/>
          <w:u w:val="single"/>
        </w:rPr>
      </w:pPr>
      <w:r w:rsidRPr="0097635A">
        <w:rPr>
          <w:rFonts w:ascii="Times New Roman" w:hAnsi="Times New Roman"/>
          <w:sz w:val="24"/>
          <w:szCs w:val="24"/>
        </w:rPr>
        <w:t>Add Local, Non-Traditional Assistance to the heading of Section 21 of Form 50058-MTW to allow detailed reporting on this type of assistance.</w:t>
      </w:r>
    </w:p>
    <w:p w:rsidR="00022812" w:rsidRPr="0097635A" w:rsidRDefault="00022812" w:rsidP="00022812">
      <w:pPr>
        <w:pStyle w:val="NoSpacing"/>
        <w:numPr>
          <w:ilvl w:val="0"/>
          <w:numId w:val="38"/>
        </w:numPr>
        <w:rPr>
          <w:rFonts w:ascii="Verdana" w:hAnsi="Verdana"/>
          <w:sz w:val="24"/>
          <w:szCs w:val="24"/>
          <w:u w:val="single"/>
        </w:rPr>
      </w:pPr>
      <w:r w:rsidRPr="0097635A">
        <w:rPr>
          <w:rFonts w:ascii="Times New Roman" w:hAnsi="Times New Roman"/>
          <w:sz w:val="24"/>
          <w:szCs w:val="24"/>
        </w:rPr>
        <w:t>Add LH = Local, Non-Traditional Homeownership to Section 22 of Form 50058-MTW to allow detailed reporting on this type of assistance.</w:t>
      </w:r>
    </w:p>
    <w:p w:rsidR="00022812" w:rsidRDefault="00022812" w:rsidP="00022812">
      <w:pPr>
        <w:rPr>
          <w:rFonts w:ascii="Verdana" w:hAnsi="Verdana"/>
        </w:rPr>
      </w:pPr>
    </w:p>
    <w:p w:rsidR="009D1694" w:rsidRDefault="009D1694"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97635A" w:rsidRDefault="00A44A91" w:rsidP="009E4845">
      <w:pPr>
        <w:autoSpaceDE w:val="0"/>
        <w:autoSpaceDN w:val="0"/>
        <w:adjustRightInd w:val="0"/>
        <w:ind w:left="540" w:hanging="630"/>
        <w:rPr>
          <w:sz w:val="28"/>
          <w:szCs w:val="28"/>
        </w:rPr>
      </w:pPr>
      <w:r w:rsidRPr="003B5771">
        <w:rPr>
          <w:sz w:val="28"/>
          <w:szCs w:val="28"/>
        </w:rPr>
        <w:t xml:space="preserve">  </w:t>
      </w:r>
      <w:r w:rsidR="00022812" w:rsidRPr="0097635A">
        <w:rPr>
          <w:sz w:val="28"/>
          <w:szCs w:val="28"/>
        </w:rPr>
        <w:t>The changes will involve a change to the type of records maintained because MTW agencies will be required to report on families that receive Local, Non-traditional assistance through the MTW program.  Currently assistance to these individuals is not able to be captured or counted in the PIC system, thus MTW agencies are undercounting the number of families that they are serving.  The information will not be used in any different way than the current information in the system.</w:t>
      </w: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37" type="#_x0000_t75" style="width:16.5pt;height:20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42" o:title=""/>
                </v:shape>
                <w:control r:id="rId43"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42"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Pr="003B5771" w:rsidRDefault="00DD4DEF" w:rsidP="0034273F">
      <w:pPr>
        <w:autoSpaceDE w:val="0"/>
        <w:autoSpaceDN w:val="0"/>
        <w:adjustRightInd w:val="0"/>
        <w:rPr>
          <w:b/>
          <w:color w:val="000000"/>
          <w:sz w:val="28"/>
          <w:szCs w:val="28"/>
        </w:rPr>
      </w:pPr>
    </w:p>
    <w:p w:rsidR="0092324F" w:rsidRPr="0097635A" w:rsidRDefault="00022812" w:rsidP="0034273F">
      <w:pPr>
        <w:autoSpaceDE w:val="0"/>
        <w:autoSpaceDN w:val="0"/>
        <w:adjustRightInd w:val="0"/>
      </w:pPr>
      <w:r w:rsidRPr="0097635A">
        <w:t>No.</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5pt;height:21.5pt" o:ole="">
                  <v:imagedata r:id="rId51" o:title=""/>
                </v:shape>
                <w:control r:id="rId52"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5pt;height:21.5pt" o:ole="">
                  <v:imagedata r:id="rId51" o:title=""/>
                </v:shape>
                <w:control r:id="rId53"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5pt;height:21.5pt" o:ole="">
                  <v:imagedata r:id="rId51" o:title=""/>
                </v:shape>
                <w:control r:id="rId54"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5pt;height:21.5pt" o:ole="">
                  <v:imagedata r:id="rId51" o:title=""/>
                </v:shape>
                <w:control r:id="rId55"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5pt;height:21.5pt" o:ole="">
                  <v:imagedata r:id="rId51" o:title=""/>
                </v:shape>
                <w:control r:id="rId56"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5DB" w:rsidRDefault="00EA35DB">
      <w:r>
        <w:separator/>
      </w:r>
    </w:p>
  </w:endnote>
  <w:endnote w:type="continuationSeparator" w:id="0">
    <w:p w:rsidR="00EA35DB" w:rsidRDefault="00EA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65" w:rsidRDefault="00A65465"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465" w:rsidRDefault="00A65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65" w:rsidRDefault="00A65465"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099">
      <w:rPr>
        <w:rStyle w:val="PageNumber"/>
        <w:noProof/>
      </w:rPr>
      <w:t>12</w:t>
    </w:r>
    <w:r>
      <w:rPr>
        <w:rStyle w:val="PageNumber"/>
      </w:rPr>
      <w:fldChar w:fldCharType="end"/>
    </w:r>
  </w:p>
  <w:p w:rsidR="00A65465" w:rsidRDefault="00A6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DB" w:rsidRDefault="00EA35DB">
      <w:r>
        <w:separator/>
      </w:r>
    </w:p>
  </w:footnote>
  <w:footnote w:type="continuationSeparator" w:id="0">
    <w:p w:rsidR="00EA35DB" w:rsidRDefault="00EA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36212"/>
    <w:multiLevelType w:val="hybridMultilevel"/>
    <w:tmpl w:val="140095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4">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704C15"/>
    <w:multiLevelType w:val="hybridMultilevel"/>
    <w:tmpl w:val="0FBE3A1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C1F58"/>
    <w:multiLevelType w:val="hybridMultilevel"/>
    <w:tmpl w:val="00C02B6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B2A4C8AC">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E966A1"/>
    <w:multiLevelType w:val="hybridMultilevel"/>
    <w:tmpl w:val="18E805CC"/>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0">
    <w:nsid w:val="798B2C87"/>
    <w:multiLevelType w:val="hybridMultilevel"/>
    <w:tmpl w:val="D2C6B42C"/>
    <w:lvl w:ilvl="0" w:tplc="7E3AF26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8"/>
  </w:num>
  <w:num w:numId="3">
    <w:abstractNumId w:val="10"/>
  </w:num>
  <w:num w:numId="4">
    <w:abstractNumId w:val="29"/>
  </w:num>
  <w:num w:numId="5">
    <w:abstractNumId w:val="34"/>
  </w:num>
  <w:num w:numId="6">
    <w:abstractNumId w:val="36"/>
  </w:num>
  <w:num w:numId="7">
    <w:abstractNumId w:val="5"/>
  </w:num>
  <w:num w:numId="8">
    <w:abstractNumId w:val="7"/>
  </w:num>
  <w:num w:numId="9">
    <w:abstractNumId w:val="35"/>
  </w:num>
  <w:num w:numId="10">
    <w:abstractNumId w:val="32"/>
  </w:num>
  <w:num w:numId="11">
    <w:abstractNumId w:val="24"/>
  </w:num>
  <w:num w:numId="12">
    <w:abstractNumId w:val="41"/>
  </w:num>
  <w:num w:numId="13">
    <w:abstractNumId w:val="3"/>
  </w:num>
  <w:num w:numId="14">
    <w:abstractNumId w:val="1"/>
  </w:num>
  <w:num w:numId="15">
    <w:abstractNumId w:val="33"/>
  </w:num>
  <w:num w:numId="16">
    <w:abstractNumId w:val="19"/>
  </w:num>
  <w:num w:numId="17">
    <w:abstractNumId w:val="15"/>
  </w:num>
  <w:num w:numId="18">
    <w:abstractNumId w:val="4"/>
  </w:num>
  <w:num w:numId="19">
    <w:abstractNumId w:val="37"/>
  </w:num>
  <w:num w:numId="20">
    <w:abstractNumId w:val="11"/>
  </w:num>
  <w:num w:numId="21">
    <w:abstractNumId w:val="30"/>
  </w:num>
  <w:num w:numId="22">
    <w:abstractNumId w:val="9"/>
  </w:num>
  <w:num w:numId="23">
    <w:abstractNumId w:val="26"/>
  </w:num>
  <w:num w:numId="24">
    <w:abstractNumId w:val="21"/>
  </w:num>
  <w:num w:numId="25">
    <w:abstractNumId w:val="8"/>
  </w:num>
  <w:num w:numId="26">
    <w:abstractNumId w:val="25"/>
  </w:num>
  <w:num w:numId="27">
    <w:abstractNumId w:val="23"/>
  </w:num>
  <w:num w:numId="28">
    <w:abstractNumId w:val="14"/>
  </w:num>
  <w:num w:numId="29">
    <w:abstractNumId w:val="0"/>
  </w:num>
  <w:num w:numId="30">
    <w:abstractNumId w:val="12"/>
  </w:num>
  <w:num w:numId="31">
    <w:abstractNumId w:val="20"/>
  </w:num>
  <w:num w:numId="32">
    <w:abstractNumId w:val="13"/>
  </w:num>
  <w:num w:numId="33">
    <w:abstractNumId w:val="18"/>
  </w:num>
  <w:num w:numId="34">
    <w:abstractNumId w:val="17"/>
  </w:num>
  <w:num w:numId="35">
    <w:abstractNumId w:val="27"/>
  </w:num>
  <w:num w:numId="36">
    <w:abstractNumId w:val="6"/>
  </w:num>
  <w:num w:numId="37">
    <w:abstractNumId w:val="28"/>
  </w:num>
  <w:num w:numId="38">
    <w:abstractNumId w:val="22"/>
  </w:num>
  <w:num w:numId="39">
    <w:abstractNumId w:val="39"/>
  </w:num>
  <w:num w:numId="40">
    <w:abstractNumId w:val="2"/>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22812"/>
    <w:rsid w:val="000312ED"/>
    <w:rsid w:val="0003367C"/>
    <w:rsid w:val="000371C2"/>
    <w:rsid w:val="000462C9"/>
    <w:rsid w:val="00063DC3"/>
    <w:rsid w:val="00095202"/>
    <w:rsid w:val="000A251D"/>
    <w:rsid w:val="000A3DED"/>
    <w:rsid w:val="000B3D92"/>
    <w:rsid w:val="000B58C8"/>
    <w:rsid w:val="000C1A16"/>
    <w:rsid w:val="000C46DB"/>
    <w:rsid w:val="000D72DF"/>
    <w:rsid w:val="001219E5"/>
    <w:rsid w:val="00125E24"/>
    <w:rsid w:val="0015296A"/>
    <w:rsid w:val="001668A3"/>
    <w:rsid w:val="0017301A"/>
    <w:rsid w:val="00175E6E"/>
    <w:rsid w:val="00180FF0"/>
    <w:rsid w:val="00192BDA"/>
    <w:rsid w:val="0019473B"/>
    <w:rsid w:val="00194F69"/>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92818"/>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4B2F"/>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5DC2"/>
    <w:rsid w:val="00941425"/>
    <w:rsid w:val="00943C68"/>
    <w:rsid w:val="00951497"/>
    <w:rsid w:val="00951750"/>
    <w:rsid w:val="009601AB"/>
    <w:rsid w:val="00971F03"/>
    <w:rsid w:val="009733F5"/>
    <w:rsid w:val="0097635A"/>
    <w:rsid w:val="00977ADD"/>
    <w:rsid w:val="00983CF8"/>
    <w:rsid w:val="00983F46"/>
    <w:rsid w:val="0098513F"/>
    <w:rsid w:val="00986900"/>
    <w:rsid w:val="00992D2B"/>
    <w:rsid w:val="00994151"/>
    <w:rsid w:val="009A017E"/>
    <w:rsid w:val="009A6099"/>
    <w:rsid w:val="009A7F4D"/>
    <w:rsid w:val="009B00EF"/>
    <w:rsid w:val="009B6B9E"/>
    <w:rsid w:val="009B7CAD"/>
    <w:rsid w:val="009C25D4"/>
    <w:rsid w:val="009D1694"/>
    <w:rsid w:val="009E4212"/>
    <w:rsid w:val="009E4845"/>
    <w:rsid w:val="00A044A2"/>
    <w:rsid w:val="00A17172"/>
    <w:rsid w:val="00A17B78"/>
    <w:rsid w:val="00A26971"/>
    <w:rsid w:val="00A372B6"/>
    <w:rsid w:val="00A44A91"/>
    <w:rsid w:val="00A533D1"/>
    <w:rsid w:val="00A65465"/>
    <w:rsid w:val="00A75A1A"/>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9585B"/>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500BC"/>
    <w:rsid w:val="00C71F75"/>
    <w:rsid w:val="00C73205"/>
    <w:rsid w:val="00C74367"/>
    <w:rsid w:val="00C753DC"/>
    <w:rsid w:val="00C80CB8"/>
    <w:rsid w:val="00C84704"/>
    <w:rsid w:val="00C87B8F"/>
    <w:rsid w:val="00C9132C"/>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A3"/>
    <w:rsid w:val="00E463CE"/>
    <w:rsid w:val="00E62924"/>
    <w:rsid w:val="00E67B52"/>
    <w:rsid w:val="00E71916"/>
    <w:rsid w:val="00E738DF"/>
    <w:rsid w:val="00E75CCE"/>
    <w:rsid w:val="00E76078"/>
    <w:rsid w:val="00E8178E"/>
    <w:rsid w:val="00E8335A"/>
    <w:rsid w:val="00EA35DB"/>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AA6"/>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odyTextIndent2">
    <w:name w:val="Body Text Indent 2"/>
    <w:basedOn w:val="Normal"/>
    <w:link w:val="BodyTextIndent2Char"/>
    <w:rsid w:val="00022812"/>
    <w:pPr>
      <w:widowControl w:val="0"/>
      <w:tabs>
        <w:tab w:val="left" w:pos="-720"/>
        <w:tab w:val="left" w:pos="0"/>
      </w:tabs>
      <w:suppressAutoHyphens/>
      <w:overflowPunct w:val="0"/>
      <w:autoSpaceDE w:val="0"/>
      <w:autoSpaceDN w:val="0"/>
      <w:adjustRightInd w:val="0"/>
      <w:spacing w:line="480" w:lineRule="auto"/>
      <w:ind w:left="360"/>
      <w:textAlignment w:val="baseline"/>
    </w:pPr>
    <w:rPr>
      <w:szCs w:val="20"/>
    </w:rPr>
  </w:style>
  <w:style w:type="character" w:customStyle="1" w:styleId="BodyTextIndent2Char">
    <w:name w:val="Body Text Indent 2 Char"/>
    <w:basedOn w:val="DefaultParagraphFont"/>
    <w:link w:val="BodyTextIndent2"/>
    <w:rsid w:val="00022812"/>
    <w:rPr>
      <w:sz w:val="24"/>
    </w:rPr>
  </w:style>
  <w:style w:type="paragraph" w:styleId="NoSpacing">
    <w:name w:val="No Spacing"/>
    <w:uiPriority w:val="1"/>
    <w:qFormat/>
    <w:rsid w:val="0002281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odyTextIndent2">
    <w:name w:val="Body Text Indent 2"/>
    <w:basedOn w:val="Normal"/>
    <w:link w:val="BodyTextIndent2Char"/>
    <w:rsid w:val="00022812"/>
    <w:pPr>
      <w:widowControl w:val="0"/>
      <w:tabs>
        <w:tab w:val="left" w:pos="-720"/>
        <w:tab w:val="left" w:pos="0"/>
      </w:tabs>
      <w:suppressAutoHyphens/>
      <w:overflowPunct w:val="0"/>
      <w:autoSpaceDE w:val="0"/>
      <w:autoSpaceDN w:val="0"/>
      <w:adjustRightInd w:val="0"/>
      <w:spacing w:line="480" w:lineRule="auto"/>
      <w:ind w:left="360"/>
      <w:textAlignment w:val="baseline"/>
    </w:pPr>
    <w:rPr>
      <w:szCs w:val="20"/>
    </w:rPr>
  </w:style>
  <w:style w:type="character" w:customStyle="1" w:styleId="BodyTextIndent2Char">
    <w:name w:val="Body Text Indent 2 Char"/>
    <w:basedOn w:val="DefaultParagraphFont"/>
    <w:link w:val="BodyTextIndent2"/>
    <w:rsid w:val="00022812"/>
    <w:rPr>
      <w:sz w:val="24"/>
    </w:rPr>
  </w:style>
  <w:style w:type="paragraph" w:styleId="NoSpacing">
    <w:name w:val="No Spacing"/>
    <w:uiPriority w:val="1"/>
    <w:qFormat/>
    <w:rsid w:val="0002281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image" Target="media/image7.wmf"/><Relationship Id="rId47" Type="http://schemas.openxmlformats.org/officeDocument/2006/relationships/image" Target="media/image9.wmf"/><Relationship Id="rId50" Type="http://schemas.openxmlformats.org/officeDocument/2006/relationships/control" Target="activeX/activeX30.xml"/><Relationship Id="rId55" Type="http://schemas.openxmlformats.org/officeDocument/2006/relationships/control" Target="activeX/activeX34.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image" Target="media/image8.wmf"/><Relationship Id="rId53" Type="http://schemas.openxmlformats.org/officeDocument/2006/relationships/control" Target="activeX/activeX3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0.wmf"/><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5.xml"/><Relationship Id="rId8" Type="http://schemas.openxmlformats.org/officeDocument/2006/relationships/endnotes" Target="endnotes.xml"/><Relationship Id="rId51" Type="http://schemas.openxmlformats.org/officeDocument/2006/relationships/image" Target="media/image1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5FD6-4EDD-4F7E-B460-4DFE2B0B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2593</Words>
  <Characters>15856</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2</cp:revision>
  <cp:lastPrinted>2013-03-01T17:21:00Z</cp:lastPrinted>
  <dcterms:created xsi:type="dcterms:W3CDTF">2013-03-01T17:25:00Z</dcterms:created>
  <dcterms:modified xsi:type="dcterms:W3CDTF">2013-03-01T17:25:00Z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186768474</vt:i4>
  </property>
  <property fmtid="{D5CDD505-2E9C-101B-9397-08002B2CF9AE}" pid="3" name="_NewReviewCycle">
    <vt:lpwstr/>
  </property>
  <property fmtid="{D5CDD505-2E9C-101B-9397-08002B2CF9AE}" pid="4" name="_EmailSubject">
    <vt:lpwstr>83I and IPA</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_PreviousAdHocReviewCycleID">
    <vt:i4>-983467134</vt:i4>
  </property>
  <property fmtid="{D5CDD505-2E9C-101B-9397-08002B2CF9AE}" pid="8" name="_ReviewingToolsShownOnce">
    <vt:lpwstr/>
  </property>
</Properties>
</file>