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3E4" w:rsidRPr="00C67A9F" w:rsidRDefault="00223F65" w:rsidP="00C67A9F">
      <w:pPr>
        <w:pStyle w:val="Style0"/>
        <w:jc w:val="center"/>
        <w:rPr>
          <w:rFonts w:ascii="Times New Roman" w:hAnsi="Times New Roman"/>
          <w:b/>
        </w:rPr>
      </w:pPr>
      <w:r w:rsidRPr="00C67A9F">
        <w:rPr>
          <w:rFonts w:ascii="Times New Roman" w:hAnsi="Times New Roman"/>
          <w:b/>
        </w:rPr>
        <w:t>Supporting Statement for</w:t>
      </w:r>
      <w:r w:rsidR="00C833E4" w:rsidRPr="00C67A9F">
        <w:rPr>
          <w:rFonts w:ascii="Times New Roman" w:hAnsi="Times New Roman"/>
          <w:b/>
        </w:rPr>
        <w:t xml:space="preserve"> </w:t>
      </w:r>
      <w:r w:rsidRPr="00C67A9F">
        <w:rPr>
          <w:rFonts w:ascii="Times New Roman" w:hAnsi="Times New Roman"/>
          <w:b/>
        </w:rPr>
        <w:t>the</w:t>
      </w:r>
    </w:p>
    <w:p w:rsidR="00C67A9F" w:rsidRDefault="00223F65" w:rsidP="00C67A9F">
      <w:pPr>
        <w:pStyle w:val="Style0"/>
        <w:jc w:val="center"/>
        <w:rPr>
          <w:rFonts w:ascii="Times New Roman" w:hAnsi="Times New Roman"/>
          <w:b/>
          <w:color w:val="000000"/>
          <w:szCs w:val="24"/>
        </w:rPr>
      </w:pPr>
      <w:r w:rsidRPr="00C67A9F">
        <w:rPr>
          <w:rFonts w:ascii="Times New Roman" w:hAnsi="Times New Roman"/>
          <w:b/>
          <w:color w:val="000000"/>
          <w:szCs w:val="24"/>
        </w:rPr>
        <w:t>Uniform Application for Municipal Securities Principal or Municipal Securities</w:t>
      </w:r>
    </w:p>
    <w:p w:rsidR="00223F65" w:rsidRPr="00C67A9F" w:rsidRDefault="00223F65" w:rsidP="00C67A9F">
      <w:pPr>
        <w:pStyle w:val="Style0"/>
        <w:jc w:val="center"/>
        <w:rPr>
          <w:rFonts w:ascii="Times New Roman" w:hAnsi="Times New Roman"/>
          <w:b/>
          <w:color w:val="000000"/>
          <w:szCs w:val="24"/>
        </w:rPr>
      </w:pPr>
      <w:r w:rsidRPr="00C67A9F">
        <w:rPr>
          <w:rFonts w:ascii="Times New Roman" w:hAnsi="Times New Roman"/>
          <w:b/>
          <w:color w:val="000000"/>
          <w:szCs w:val="24"/>
        </w:rPr>
        <w:t>Representative Associated with a Bank Municipal Securities Dealer</w:t>
      </w:r>
    </w:p>
    <w:p w:rsidR="00223F65" w:rsidRPr="00C67A9F" w:rsidRDefault="00223F65" w:rsidP="00C67A9F">
      <w:pPr>
        <w:pStyle w:val="Style0"/>
        <w:jc w:val="center"/>
        <w:rPr>
          <w:rFonts w:ascii="Times New Roman" w:hAnsi="Times New Roman"/>
          <w:b/>
          <w:color w:val="000000"/>
          <w:szCs w:val="24"/>
        </w:rPr>
      </w:pPr>
      <w:r w:rsidRPr="00C67A9F">
        <w:rPr>
          <w:rFonts w:ascii="Times New Roman" w:hAnsi="Times New Roman"/>
          <w:b/>
          <w:color w:val="000000"/>
          <w:szCs w:val="24"/>
        </w:rPr>
        <w:t>(MSD</w:t>
      </w:r>
      <w:r w:rsidR="00C67A9F">
        <w:rPr>
          <w:rFonts w:ascii="Times New Roman" w:hAnsi="Times New Roman"/>
          <w:b/>
          <w:color w:val="000000"/>
          <w:szCs w:val="24"/>
        </w:rPr>
        <w:t>-</w:t>
      </w:r>
      <w:r w:rsidRPr="00C67A9F">
        <w:rPr>
          <w:rFonts w:ascii="Times New Roman" w:hAnsi="Times New Roman"/>
          <w:b/>
          <w:color w:val="000000"/>
          <w:szCs w:val="24"/>
        </w:rPr>
        <w:t>4; OMB No. 7100</w:t>
      </w:r>
      <w:r w:rsidR="00C67A9F">
        <w:rPr>
          <w:rFonts w:ascii="Times New Roman" w:hAnsi="Times New Roman"/>
          <w:b/>
          <w:color w:val="000000"/>
          <w:szCs w:val="24"/>
        </w:rPr>
        <w:t>-</w:t>
      </w:r>
      <w:r w:rsidRPr="00C67A9F">
        <w:rPr>
          <w:rFonts w:ascii="Times New Roman" w:hAnsi="Times New Roman"/>
          <w:b/>
          <w:color w:val="000000"/>
          <w:szCs w:val="24"/>
        </w:rPr>
        <w:t>0100) and the</w:t>
      </w:r>
    </w:p>
    <w:p w:rsidR="00C67A9F" w:rsidRDefault="00223F65" w:rsidP="00C67A9F">
      <w:pPr>
        <w:pStyle w:val="Style0"/>
        <w:jc w:val="center"/>
        <w:rPr>
          <w:rFonts w:ascii="Times New Roman" w:hAnsi="Times New Roman"/>
          <w:b/>
          <w:color w:val="000000"/>
          <w:szCs w:val="24"/>
        </w:rPr>
      </w:pPr>
      <w:r w:rsidRPr="00C67A9F">
        <w:rPr>
          <w:rFonts w:ascii="Times New Roman" w:hAnsi="Times New Roman"/>
          <w:b/>
          <w:color w:val="000000"/>
          <w:szCs w:val="24"/>
        </w:rPr>
        <w:t>Uniform Termination Notice for Municipal Securities Principal or Municipal Securities</w:t>
      </w:r>
    </w:p>
    <w:p w:rsidR="00223F65" w:rsidRPr="00C67A9F" w:rsidRDefault="00223F65" w:rsidP="00C67A9F">
      <w:pPr>
        <w:pStyle w:val="Style0"/>
        <w:jc w:val="center"/>
        <w:rPr>
          <w:rFonts w:ascii="Times New Roman" w:hAnsi="Times New Roman"/>
          <w:b/>
          <w:color w:val="000000"/>
          <w:szCs w:val="24"/>
        </w:rPr>
      </w:pPr>
      <w:r w:rsidRPr="00C67A9F">
        <w:rPr>
          <w:rFonts w:ascii="Times New Roman" w:hAnsi="Times New Roman"/>
          <w:b/>
          <w:color w:val="000000"/>
          <w:szCs w:val="24"/>
        </w:rPr>
        <w:t>Representative Associated with a Bank Municipal Securities Dealer</w:t>
      </w:r>
    </w:p>
    <w:p w:rsidR="00223F65" w:rsidRPr="00C67A9F" w:rsidRDefault="00223F65" w:rsidP="00C67A9F">
      <w:pPr>
        <w:pStyle w:val="Style0"/>
        <w:jc w:val="center"/>
        <w:rPr>
          <w:rFonts w:ascii="Times New Roman" w:hAnsi="Times New Roman"/>
          <w:b/>
          <w:color w:val="000000"/>
          <w:szCs w:val="24"/>
        </w:rPr>
      </w:pPr>
      <w:r w:rsidRPr="00C67A9F">
        <w:rPr>
          <w:rFonts w:ascii="Times New Roman" w:hAnsi="Times New Roman"/>
          <w:b/>
          <w:color w:val="000000"/>
          <w:szCs w:val="24"/>
        </w:rPr>
        <w:t>(MSD</w:t>
      </w:r>
      <w:r w:rsidR="00C67A9F">
        <w:rPr>
          <w:rFonts w:ascii="Times New Roman" w:hAnsi="Times New Roman"/>
          <w:b/>
          <w:color w:val="000000"/>
          <w:szCs w:val="24"/>
        </w:rPr>
        <w:t>-</w:t>
      </w:r>
      <w:r w:rsidRPr="00C67A9F">
        <w:rPr>
          <w:rFonts w:ascii="Times New Roman" w:hAnsi="Times New Roman"/>
          <w:b/>
          <w:color w:val="000000"/>
          <w:szCs w:val="24"/>
        </w:rPr>
        <w:t>5; OMB No. 7100</w:t>
      </w:r>
      <w:r w:rsidR="00C67A9F">
        <w:rPr>
          <w:rFonts w:ascii="Times New Roman" w:hAnsi="Times New Roman"/>
          <w:b/>
          <w:color w:val="000000"/>
          <w:szCs w:val="24"/>
        </w:rPr>
        <w:t>-</w:t>
      </w:r>
      <w:r w:rsidRPr="00C67A9F">
        <w:rPr>
          <w:rFonts w:ascii="Times New Roman" w:hAnsi="Times New Roman"/>
          <w:b/>
          <w:color w:val="000000"/>
          <w:szCs w:val="24"/>
        </w:rPr>
        <w:t>0101)</w:t>
      </w:r>
    </w:p>
    <w:p w:rsidR="00E653EA" w:rsidRPr="00C67A9F" w:rsidRDefault="00E653EA">
      <w:pPr>
        <w:widowControl/>
        <w:rPr>
          <w:rFonts w:ascii="Times New Roman" w:hAnsi="Times New Roman"/>
          <w:sz w:val="24"/>
        </w:rPr>
      </w:pPr>
    </w:p>
    <w:p w:rsidR="00E653EA" w:rsidRPr="00C67A9F" w:rsidRDefault="00E653E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rPr>
      </w:pPr>
      <w:r w:rsidRPr="00C67A9F">
        <w:rPr>
          <w:rFonts w:ascii="Times New Roman" w:hAnsi="Times New Roman"/>
          <w:b/>
          <w:color w:val="000000"/>
          <w:szCs w:val="24"/>
        </w:rPr>
        <w:t>Summary</w:t>
      </w:r>
    </w:p>
    <w:p w:rsidR="00E653EA" w:rsidRPr="00C67A9F" w:rsidRDefault="00E653E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rPr>
      </w:pPr>
    </w:p>
    <w:p w:rsidR="00E653EA" w:rsidRPr="00C67A9F" w:rsidRDefault="00E653EA" w:rsidP="00C67A9F">
      <w:pPr>
        <w:pStyle w:val="Style0"/>
        <w:ind w:firstLine="720"/>
        <w:rPr>
          <w:rFonts w:ascii="Times New Roman" w:hAnsi="Times New Roman"/>
          <w:color w:val="000000"/>
          <w:szCs w:val="24"/>
        </w:rPr>
      </w:pPr>
      <w:r w:rsidRPr="00C67A9F">
        <w:rPr>
          <w:rFonts w:ascii="Times New Roman" w:hAnsi="Times New Roman"/>
          <w:color w:val="000000"/>
          <w:szCs w:val="24"/>
        </w:rPr>
        <w:t xml:space="preserve">The </w:t>
      </w:r>
      <w:r w:rsidR="0047648A" w:rsidRPr="00C67A9F">
        <w:rPr>
          <w:rFonts w:ascii="Times New Roman" w:hAnsi="Times New Roman"/>
          <w:color w:val="000000"/>
          <w:szCs w:val="24"/>
        </w:rPr>
        <w:t>Board of Governors of the Federal Reserve System, under delegated authority from the Office of Management and Budget (OMB),</w:t>
      </w:r>
      <w:r w:rsidRPr="00C67A9F">
        <w:rPr>
          <w:rFonts w:ascii="Times New Roman" w:hAnsi="Times New Roman"/>
          <w:color w:val="000000"/>
          <w:szCs w:val="24"/>
        </w:rPr>
        <w:t xml:space="preserve"> proposes to extend for three years</w:t>
      </w:r>
      <w:r w:rsidR="000C3CF3">
        <w:rPr>
          <w:rFonts w:ascii="Times New Roman" w:hAnsi="Times New Roman"/>
          <w:color w:val="000000"/>
          <w:szCs w:val="24"/>
        </w:rPr>
        <w:t>,</w:t>
      </w:r>
      <w:r w:rsidR="00961EBF" w:rsidRPr="00C67A9F">
        <w:rPr>
          <w:rFonts w:ascii="Times New Roman" w:hAnsi="Times New Roman"/>
          <w:color w:val="000000"/>
          <w:szCs w:val="24"/>
        </w:rPr>
        <w:t xml:space="preserve"> </w:t>
      </w:r>
      <w:r w:rsidRPr="00C67A9F">
        <w:rPr>
          <w:rFonts w:ascii="Times New Roman" w:hAnsi="Times New Roman"/>
          <w:color w:val="000000"/>
          <w:szCs w:val="24"/>
        </w:rPr>
        <w:t xml:space="preserve">with </w:t>
      </w:r>
      <w:r w:rsidR="00DF1880" w:rsidRPr="00C67A9F">
        <w:rPr>
          <w:rFonts w:ascii="Times New Roman" w:hAnsi="Times New Roman"/>
          <w:color w:val="000000"/>
          <w:szCs w:val="24"/>
        </w:rPr>
        <w:t xml:space="preserve">minor </w:t>
      </w:r>
      <w:r w:rsidRPr="00C67A9F">
        <w:rPr>
          <w:rFonts w:ascii="Times New Roman" w:hAnsi="Times New Roman"/>
          <w:color w:val="000000"/>
          <w:szCs w:val="24"/>
        </w:rPr>
        <w:t>revision</w:t>
      </w:r>
      <w:r w:rsidR="000C3CF3">
        <w:rPr>
          <w:rFonts w:ascii="Times New Roman" w:hAnsi="Times New Roman"/>
          <w:color w:val="000000"/>
          <w:szCs w:val="24"/>
        </w:rPr>
        <w:t>,</w:t>
      </w:r>
      <w:r w:rsidRPr="00C67A9F">
        <w:rPr>
          <w:rFonts w:ascii="Times New Roman" w:hAnsi="Times New Roman"/>
          <w:color w:val="000000"/>
          <w:szCs w:val="24"/>
        </w:rPr>
        <w:t xml:space="preserve"> two </w:t>
      </w:r>
      <w:r w:rsidR="00A24AA6" w:rsidRPr="00C67A9F">
        <w:rPr>
          <w:rFonts w:ascii="Times New Roman" w:hAnsi="Times New Roman"/>
          <w:color w:val="000000"/>
          <w:szCs w:val="24"/>
        </w:rPr>
        <w:t xml:space="preserve">mandatory </w:t>
      </w:r>
      <w:r w:rsidRPr="00C67A9F">
        <w:rPr>
          <w:rFonts w:ascii="Times New Roman" w:hAnsi="Times New Roman"/>
          <w:color w:val="000000"/>
          <w:szCs w:val="24"/>
        </w:rPr>
        <w:t xml:space="preserve">municipal securities dealer </w:t>
      </w:r>
      <w:r w:rsidR="00724F9F" w:rsidRPr="00C67A9F">
        <w:rPr>
          <w:rFonts w:ascii="Times New Roman" w:hAnsi="Times New Roman"/>
          <w:color w:val="000000"/>
          <w:szCs w:val="24"/>
        </w:rPr>
        <w:t xml:space="preserve">reporting </w:t>
      </w:r>
      <w:r w:rsidRPr="00C67A9F">
        <w:rPr>
          <w:rFonts w:ascii="Times New Roman" w:hAnsi="Times New Roman"/>
          <w:color w:val="000000"/>
          <w:szCs w:val="24"/>
        </w:rPr>
        <w:t>forms</w:t>
      </w:r>
      <w:r w:rsidR="00695F48" w:rsidRPr="00C67A9F">
        <w:rPr>
          <w:rFonts w:ascii="Times New Roman" w:hAnsi="Times New Roman"/>
          <w:color w:val="000000"/>
          <w:szCs w:val="24"/>
        </w:rPr>
        <w:t>:</w:t>
      </w:r>
    </w:p>
    <w:p w:rsidR="00E653EA" w:rsidRPr="00C67A9F" w:rsidRDefault="00E653E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rPr>
      </w:pPr>
    </w:p>
    <w:p w:rsidR="00E653EA" w:rsidRPr="00C67A9F" w:rsidRDefault="00E653EA" w:rsidP="00C67A9F">
      <w:pPr>
        <w:pStyle w:val="Style0"/>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color w:val="000000"/>
          <w:szCs w:val="24"/>
        </w:rPr>
      </w:pPr>
      <w:r w:rsidRPr="00C67A9F">
        <w:rPr>
          <w:rFonts w:ascii="Times New Roman" w:hAnsi="Times New Roman"/>
          <w:color w:val="000000"/>
          <w:szCs w:val="24"/>
        </w:rPr>
        <w:t>the Uniform Application for Municipal Securities Principal or Municipal Securities Representative Associated with a Bank Municipal Securities Dealer (</w:t>
      </w:r>
      <w:r w:rsidR="00380026" w:rsidRPr="00C67A9F">
        <w:rPr>
          <w:rFonts w:ascii="Times New Roman" w:hAnsi="Times New Roman"/>
          <w:color w:val="000000"/>
          <w:szCs w:val="24"/>
        </w:rPr>
        <w:t>FR</w:t>
      </w:r>
      <w:r w:rsidR="00C67A9F">
        <w:rPr>
          <w:rFonts w:ascii="Times New Roman" w:hAnsi="Times New Roman"/>
          <w:color w:val="000000"/>
          <w:szCs w:val="24"/>
        </w:rPr>
        <w:t> </w:t>
      </w:r>
      <w:r w:rsidRPr="00C67A9F">
        <w:rPr>
          <w:rFonts w:ascii="Times New Roman" w:hAnsi="Times New Roman"/>
          <w:color w:val="000000"/>
          <w:szCs w:val="24"/>
        </w:rPr>
        <w:t>MSD</w:t>
      </w:r>
      <w:r w:rsidR="00C67A9F">
        <w:rPr>
          <w:rFonts w:ascii="Times New Roman" w:hAnsi="Times New Roman"/>
          <w:color w:val="000000"/>
          <w:szCs w:val="24"/>
        </w:rPr>
        <w:t>-</w:t>
      </w:r>
      <w:r w:rsidRPr="00C67A9F">
        <w:rPr>
          <w:rFonts w:ascii="Times New Roman" w:hAnsi="Times New Roman"/>
          <w:color w:val="000000"/>
          <w:szCs w:val="24"/>
        </w:rPr>
        <w:t>4; OMB</w:t>
      </w:r>
      <w:r w:rsidR="00C67A9F">
        <w:rPr>
          <w:rFonts w:ascii="Times New Roman" w:hAnsi="Times New Roman"/>
          <w:color w:val="000000"/>
          <w:szCs w:val="24"/>
        </w:rPr>
        <w:t> </w:t>
      </w:r>
      <w:r w:rsidRPr="00C67A9F">
        <w:rPr>
          <w:rFonts w:ascii="Times New Roman" w:hAnsi="Times New Roman"/>
          <w:color w:val="000000"/>
          <w:szCs w:val="24"/>
        </w:rPr>
        <w:t>No.</w:t>
      </w:r>
      <w:r w:rsidR="00C67A9F">
        <w:rPr>
          <w:rFonts w:ascii="Times New Roman" w:hAnsi="Times New Roman"/>
          <w:color w:val="000000"/>
          <w:szCs w:val="24"/>
        </w:rPr>
        <w:t> </w:t>
      </w:r>
      <w:r w:rsidRPr="00C67A9F">
        <w:rPr>
          <w:rFonts w:ascii="Times New Roman" w:hAnsi="Times New Roman"/>
          <w:color w:val="000000"/>
          <w:szCs w:val="24"/>
        </w:rPr>
        <w:t>7100</w:t>
      </w:r>
      <w:r w:rsidR="00C67A9F">
        <w:rPr>
          <w:rFonts w:ascii="Times New Roman" w:hAnsi="Times New Roman"/>
          <w:color w:val="000000"/>
          <w:szCs w:val="24"/>
        </w:rPr>
        <w:t>-</w:t>
      </w:r>
      <w:r w:rsidRPr="00C67A9F">
        <w:rPr>
          <w:rFonts w:ascii="Times New Roman" w:hAnsi="Times New Roman"/>
          <w:color w:val="000000"/>
          <w:szCs w:val="24"/>
        </w:rPr>
        <w:t>0100)</w:t>
      </w:r>
    </w:p>
    <w:p w:rsidR="00E653EA" w:rsidRPr="00C67A9F" w:rsidRDefault="00E653EA">
      <w:pPr>
        <w:pStyle w:val="Style0"/>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color w:val="000000"/>
          <w:szCs w:val="24"/>
        </w:rPr>
      </w:pPr>
      <w:r w:rsidRPr="00C67A9F">
        <w:rPr>
          <w:rFonts w:ascii="Times New Roman" w:hAnsi="Times New Roman"/>
          <w:color w:val="000000"/>
          <w:szCs w:val="24"/>
        </w:rPr>
        <w:t>the Uniform Termination Notice for Municipal Securities Principal or Municipal Securities Representative Associated with a Bank Municipal Securities Dealer (</w:t>
      </w:r>
      <w:r w:rsidR="00380026" w:rsidRPr="00C67A9F">
        <w:rPr>
          <w:rFonts w:ascii="Times New Roman" w:hAnsi="Times New Roman"/>
          <w:color w:val="000000"/>
          <w:szCs w:val="24"/>
        </w:rPr>
        <w:t>FR</w:t>
      </w:r>
      <w:r w:rsidR="00C67A9F">
        <w:rPr>
          <w:rFonts w:ascii="Times New Roman" w:hAnsi="Times New Roman"/>
          <w:color w:val="000000"/>
          <w:szCs w:val="24"/>
        </w:rPr>
        <w:t> </w:t>
      </w:r>
      <w:r w:rsidRPr="00C67A9F">
        <w:rPr>
          <w:rFonts w:ascii="Times New Roman" w:hAnsi="Times New Roman"/>
          <w:color w:val="000000"/>
          <w:szCs w:val="24"/>
        </w:rPr>
        <w:t>MSD</w:t>
      </w:r>
      <w:r w:rsidR="00C67A9F">
        <w:rPr>
          <w:rFonts w:ascii="Times New Roman" w:hAnsi="Times New Roman"/>
          <w:color w:val="000000"/>
          <w:szCs w:val="24"/>
        </w:rPr>
        <w:t>-</w:t>
      </w:r>
      <w:r w:rsidRPr="00C67A9F">
        <w:rPr>
          <w:rFonts w:ascii="Times New Roman" w:hAnsi="Times New Roman"/>
          <w:color w:val="000000"/>
          <w:szCs w:val="24"/>
        </w:rPr>
        <w:t>5; OMB No. 7100</w:t>
      </w:r>
      <w:r w:rsidR="00C67A9F">
        <w:rPr>
          <w:rFonts w:ascii="Times New Roman" w:hAnsi="Times New Roman"/>
          <w:color w:val="000000"/>
          <w:szCs w:val="24"/>
        </w:rPr>
        <w:t>-</w:t>
      </w:r>
      <w:r w:rsidRPr="00C67A9F">
        <w:rPr>
          <w:rFonts w:ascii="Times New Roman" w:hAnsi="Times New Roman"/>
          <w:color w:val="000000"/>
          <w:szCs w:val="24"/>
        </w:rPr>
        <w:t>0101)</w:t>
      </w:r>
    </w:p>
    <w:p w:rsidR="00E653EA" w:rsidRPr="00C67A9F" w:rsidRDefault="00E653E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rPr>
      </w:pPr>
    </w:p>
    <w:p w:rsidR="00695F48" w:rsidRPr="00C67A9F" w:rsidRDefault="00E653EA" w:rsidP="00C67A9F">
      <w:pPr>
        <w:pStyle w:val="Style0"/>
        <w:ind w:firstLine="720"/>
        <w:rPr>
          <w:rFonts w:ascii="Times New Roman" w:hAnsi="Times New Roman"/>
          <w:color w:val="000000"/>
          <w:szCs w:val="24"/>
        </w:rPr>
      </w:pPr>
      <w:r w:rsidRPr="00C67A9F">
        <w:rPr>
          <w:rFonts w:ascii="Times New Roman" w:hAnsi="Times New Roman"/>
          <w:color w:val="000000"/>
          <w:szCs w:val="24"/>
        </w:rPr>
        <w:t>These mandatory information collections are submitted on occasion by state member banks</w:t>
      </w:r>
      <w:r w:rsidR="00E9153A" w:rsidRPr="00C67A9F">
        <w:rPr>
          <w:rFonts w:ascii="Times New Roman" w:hAnsi="Times New Roman"/>
          <w:color w:val="000000"/>
          <w:szCs w:val="24"/>
        </w:rPr>
        <w:t xml:space="preserve"> (SMBs)</w:t>
      </w:r>
      <w:r w:rsidRPr="00C67A9F">
        <w:rPr>
          <w:rFonts w:ascii="Times New Roman" w:hAnsi="Times New Roman"/>
          <w:color w:val="000000"/>
          <w:szCs w:val="24"/>
        </w:rPr>
        <w:t>, bank holding companies</w:t>
      </w:r>
      <w:r w:rsidR="008D28BF" w:rsidRPr="00C67A9F">
        <w:rPr>
          <w:rFonts w:ascii="Times New Roman" w:hAnsi="Times New Roman"/>
          <w:color w:val="000000"/>
          <w:szCs w:val="24"/>
        </w:rPr>
        <w:t xml:space="preserve"> (BHCs)</w:t>
      </w:r>
      <w:r w:rsidRPr="00C67A9F">
        <w:rPr>
          <w:rFonts w:ascii="Times New Roman" w:hAnsi="Times New Roman"/>
          <w:color w:val="000000"/>
          <w:szCs w:val="24"/>
        </w:rPr>
        <w:t>, and foreign dealer banks that are municipal securities dealers.</w:t>
      </w:r>
      <w:r w:rsidR="008D28BF" w:rsidRPr="00C67A9F">
        <w:rPr>
          <w:rStyle w:val="FootnoteReference"/>
          <w:rFonts w:ascii="Times New Roman" w:hAnsi="Times New Roman"/>
          <w:color w:val="000000"/>
          <w:szCs w:val="24"/>
          <w:vertAlign w:val="superscript"/>
        </w:rPr>
        <w:footnoteReference w:id="1"/>
      </w:r>
      <w:r w:rsidRPr="00C67A9F">
        <w:rPr>
          <w:rFonts w:ascii="Times New Roman" w:hAnsi="Times New Roman"/>
          <w:color w:val="000000"/>
          <w:szCs w:val="24"/>
        </w:rPr>
        <w:t xml:space="preserve">  </w:t>
      </w:r>
      <w:r w:rsidR="0024179F" w:rsidRPr="00C67A9F">
        <w:rPr>
          <w:rFonts w:ascii="Times New Roman" w:hAnsi="Times New Roman"/>
          <w:color w:val="000000"/>
          <w:szCs w:val="24"/>
        </w:rPr>
        <w:t xml:space="preserve">The </w:t>
      </w:r>
      <w:r w:rsidR="004C3A4D">
        <w:rPr>
          <w:rFonts w:ascii="Times New Roman" w:hAnsi="Times New Roman"/>
          <w:color w:val="000000"/>
          <w:szCs w:val="24"/>
        </w:rPr>
        <w:t>Form</w:t>
      </w:r>
      <w:r w:rsidR="0024179F" w:rsidRPr="00C67A9F">
        <w:rPr>
          <w:rFonts w:ascii="Times New Roman" w:hAnsi="Times New Roman"/>
          <w:color w:val="000000"/>
          <w:szCs w:val="24"/>
        </w:rPr>
        <w:t> </w:t>
      </w:r>
      <w:r w:rsidRPr="00C67A9F">
        <w:rPr>
          <w:rFonts w:ascii="Times New Roman" w:hAnsi="Times New Roman"/>
          <w:color w:val="000000"/>
          <w:szCs w:val="24"/>
        </w:rPr>
        <w:t>MSD</w:t>
      </w:r>
      <w:r w:rsidR="006A0564">
        <w:rPr>
          <w:rFonts w:ascii="Times New Roman" w:hAnsi="Times New Roman"/>
          <w:color w:val="000000"/>
          <w:szCs w:val="24"/>
        </w:rPr>
        <w:t>-</w:t>
      </w:r>
      <w:r w:rsidRPr="00C67A9F">
        <w:rPr>
          <w:rFonts w:ascii="Times New Roman" w:hAnsi="Times New Roman"/>
          <w:color w:val="000000"/>
          <w:szCs w:val="24"/>
        </w:rPr>
        <w:t xml:space="preserve">4 collects information </w:t>
      </w:r>
      <w:r w:rsidR="00CF1B6E" w:rsidRPr="00C67A9F">
        <w:rPr>
          <w:rFonts w:ascii="Times New Roman" w:hAnsi="Times New Roman"/>
          <w:color w:val="000000"/>
          <w:szCs w:val="24"/>
        </w:rPr>
        <w:t>(</w:t>
      </w:r>
      <w:r w:rsidRPr="00C67A9F">
        <w:rPr>
          <w:rFonts w:ascii="Times New Roman" w:hAnsi="Times New Roman"/>
          <w:color w:val="000000"/>
          <w:szCs w:val="24"/>
        </w:rPr>
        <w:t>such as personal history and professional qualifications</w:t>
      </w:r>
      <w:r w:rsidR="00CF1B6E" w:rsidRPr="00C67A9F">
        <w:rPr>
          <w:rFonts w:ascii="Times New Roman" w:hAnsi="Times New Roman"/>
          <w:color w:val="000000"/>
          <w:szCs w:val="24"/>
        </w:rPr>
        <w:t>)</w:t>
      </w:r>
      <w:r w:rsidRPr="00C67A9F">
        <w:rPr>
          <w:rFonts w:ascii="Times New Roman" w:hAnsi="Times New Roman"/>
          <w:color w:val="000000"/>
          <w:szCs w:val="24"/>
        </w:rPr>
        <w:t xml:space="preserve"> on </w:t>
      </w:r>
      <w:r w:rsidR="00CF1B6E" w:rsidRPr="00C67A9F">
        <w:rPr>
          <w:rFonts w:ascii="Times New Roman" w:hAnsi="Times New Roman"/>
          <w:color w:val="000000"/>
          <w:szCs w:val="24"/>
        </w:rPr>
        <w:t xml:space="preserve">an </w:t>
      </w:r>
      <w:r w:rsidRPr="00C67A9F">
        <w:rPr>
          <w:rFonts w:ascii="Times New Roman" w:hAnsi="Times New Roman"/>
          <w:color w:val="000000"/>
          <w:szCs w:val="24"/>
        </w:rPr>
        <w:t xml:space="preserve">employee whom the bank wishes to assume the duties of </w:t>
      </w:r>
      <w:r w:rsidR="00CF1B6E" w:rsidRPr="00C67A9F">
        <w:rPr>
          <w:rFonts w:ascii="Times New Roman" w:hAnsi="Times New Roman"/>
          <w:color w:val="000000"/>
          <w:szCs w:val="24"/>
        </w:rPr>
        <w:t xml:space="preserve">municipal securities </w:t>
      </w:r>
      <w:r w:rsidRPr="00C67A9F">
        <w:rPr>
          <w:rFonts w:ascii="Times New Roman" w:hAnsi="Times New Roman"/>
          <w:color w:val="000000"/>
          <w:szCs w:val="24"/>
        </w:rPr>
        <w:t xml:space="preserve">principal or representative.  </w:t>
      </w:r>
      <w:r w:rsidR="00695F48" w:rsidRPr="00C67A9F">
        <w:rPr>
          <w:rFonts w:ascii="Times New Roman" w:hAnsi="Times New Roman"/>
          <w:color w:val="000000"/>
          <w:szCs w:val="24"/>
        </w:rPr>
        <w:t xml:space="preserve">The </w:t>
      </w:r>
      <w:r w:rsidR="004C3A4D">
        <w:rPr>
          <w:rFonts w:ascii="Times New Roman" w:hAnsi="Times New Roman"/>
          <w:color w:val="000000"/>
          <w:szCs w:val="24"/>
        </w:rPr>
        <w:t>Form</w:t>
      </w:r>
      <w:r w:rsidR="00695F48" w:rsidRPr="00C67A9F">
        <w:rPr>
          <w:rFonts w:ascii="Times New Roman" w:hAnsi="Times New Roman"/>
          <w:color w:val="000000"/>
          <w:szCs w:val="24"/>
        </w:rPr>
        <w:t xml:space="preserve"> MSD</w:t>
      </w:r>
      <w:r w:rsidR="006A0564">
        <w:rPr>
          <w:rFonts w:ascii="Times New Roman" w:hAnsi="Times New Roman"/>
          <w:color w:val="000000"/>
          <w:szCs w:val="24"/>
        </w:rPr>
        <w:t>-</w:t>
      </w:r>
      <w:r w:rsidR="00695F48" w:rsidRPr="00C67A9F">
        <w:rPr>
          <w:rFonts w:ascii="Times New Roman" w:hAnsi="Times New Roman"/>
          <w:color w:val="000000"/>
          <w:szCs w:val="24"/>
        </w:rPr>
        <w:t>5 collects the date of, and reason for, termination of such an employee.</w:t>
      </w:r>
    </w:p>
    <w:p w:rsidR="00695F48" w:rsidRPr="00C67A9F" w:rsidRDefault="00695F48" w:rsidP="00DF1880">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rPr>
      </w:pPr>
    </w:p>
    <w:p w:rsidR="00E653EA" w:rsidRPr="00C67A9F" w:rsidRDefault="00802CA0" w:rsidP="006A0564">
      <w:pPr>
        <w:pStyle w:val="Style0"/>
        <w:ind w:firstLine="720"/>
        <w:rPr>
          <w:rFonts w:ascii="Times New Roman" w:hAnsi="Times New Roman"/>
          <w:color w:val="000000"/>
          <w:szCs w:val="24"/>
        </w:rPr>
      </w:pPr>
      <w:r w:rsidRPr="00C67A9F">
        <w:rPr>
          <w:rFonts w:ascii="Times New Roman" w:hAnsi="Times New Roman"/>
          <w:color w:val="000000"/>
          <w:szCs w:val="24"/>
        </w:rPr>
        <w:t>On September 13, 2011, t</w:t>
      </w:r>
      <w:r w:rsidR="00591008" w:rsidRPr="00C67A9F">
        <w:rPr>
          <w:rFonts w:ascii="Times New Roman" w:hAnsi="Times New Roman"/>
          <w:color w:val="000000"/>
          <w:szCs w:val="24"/>
        </w:rPr>
        <w:t xml:space="preserve">he Municipal Securities Rulemaking Board (MSRB) </w:t>
      </w:r>
      <w:r w:rsidRPr="00C67A9F">
        <w:rPr>
          <w:rFonts w:ascii="Times New Roman" w:hAnsi="Times New Roman"/>
          <w:color w:val="000000"/>
          <w:szCs w:val="24"/>
        </w:rPr>
        <w:t xml:space="preserve">(MSRB </w:t>
      </w:r>
      <w:r w:rsidR="00591008" w:rsidRPr="00C67A9F">
        <w:rPr>
          <w:rFonts w:ascii="Times New Roman" w:hAnsi="Times New Roman"/>
          <w:color w:val="000000"/>
          <w:szCs w:val="24"/>
        </w:rPr>
        <w:t>Notice 2011-54</w:t>
      </w:r>
      <w:r w:rsidRPr="00C67A9F">
        <w:rPr>
          <w:rFonts w:ascii="Times New Roman" w:hAnsi="Times New Roman"/>
          <w:color w:val="000000"/>
          <w:szCs w:val="24"/>
        </w:rPr>
        <w:t>)</w:t>
      </w:r>
      <w:r w:rsidR="00591008" w:rsidRPr="00C67A9F">
        <w:rPr>
          <w:rFonts w:ascii="Times New Roman" w:hAnsi="Times New Roman"/>
          <w:color w:val="000000"/>
          <w:szCs w:val="24"/>
        </w:rPr>
        <w:t xml:space="preserve"> </w:t>
      </w:r>
      <w:r w:rsidRPr="00C67A9F">
        <w:rPr>
          <w:rFonts w:ascii="Times New Roman" w:hAnsi="Times New Roman"/>
          <w:color w:val="000000"/>
          <w:szCs w:val="24"/>
        </w:rPr>
        <w:t xml:space="preserve">announced the </w:t>
      </w:r>
      <w:r w:rsidR="00591008" w:rsidRPr="00C67A9F">
        <w:rPr>
          <w:rFonts w:ascii="Times New Roman" w:hAnsi="Times New Roman"/>
          <w:color w:val="000000"/>
          <w:szCs w:val="24"/>
        </w:rPr>
        <w:t>creat</w:t>
      </w:r>
      <w:r w:rsidRPr="00C67A9F">
        <w:rPr>
          <w:rFonts w:ascii="Times New Roman" w:hAnsi="Times New Roman"/>
          <w:color w:val="000000"/>
          <w:szCs w:val="24"/>
        </w:rPr>
        <w:t>ion of a</w:t>
      </w:r>
      <w:r w:rsidR="00591008" w:rsidRPr="00C67A9F">
        <w:rPr>
          <w:rFonts w:ascii="Times New Roman" w:hAnsi="Times New Roman"/>
          <w:color w:val="000000"/>
          <w:szCs w:val="24"/>
        </w:rPr>
        <w:t xml:space="preserve"> new designation of registered person</w:t>
      </w:r>
      <w:r w:rsidRPr="00C67A9F">
        <w:rPr>
          <w:rFonts w:ascii="Times New Roman" w:hAnsi="Times New Roman"/>
          <w:color w:val="000000"/>
          <w:szCs w:val="24"/>
        </w:rPr>
        <w:t xml:space="preserve"> – Municipal </w:t>
      </w:r>
      <w:r w:rsidR="00591008" w:rsidRPr="00C67A9F">
        <w:rPr>
          <w:rFonts w:ascii="Times New Roman" w:hAnsi="Times New Roman"/>
          <w:color w:val="000000"/>
          <w:szCs w:val="24"/>
        </w:rPr>
        <w:t>Securities Sales Limited Representative</w:t>
      </w:r>
      <w:r w:rsidRPr="00C67A9F">
        <w:rPr>
          <w:rFonts w:ascii="Times New Roman" w:hAnsi="Times New Roman"/>
          <w:color w:val="000000"/>
          <w:szCs w:val="24"/>
        </w:rPr>
        <w:t xml:space="preserve"> – which</w:t>
      </w:r>
      <w:r w:rsidR="00591008" w:rsidRPr="00C67A9F">
        <w:rPr>
          <w:rFonts w:ascii="Times New Roman" w:hAnsi="Times New Roman"/>
          <w:color w:val="000000"/>
          <w:szCs w:val="24"/>
        </w:rPr>
        <w:t xml:space="preserve"> is a sub-category of Municipal Securities Representative.</w:t>
      </w:r>
      <w:r w:rsidR="00EC235E" w:rsidRPr="00C67A9F">
        <w:rPr>
          <w:rStyle w:val="FootnoteReference"/>
          <w:rFonts w:ascii="Times New Roman" w:hAnsi="Times New Roman"/>
          <w:color w:val="000000"/>
          <w:szCs w:val="24"/>
          <w:vertAlign w:val="superscript"/>
        </w:rPr>
        <w:footnoteReference w:id="2"/>
      </w:r>
      <w:r w:rsidR="00591008" w:rsidRPr="00C67A9F">
        <w:rPr>
          <w:rFonts w:ascii="Times New Roman" w:hAnsi="Times New Roman"/>
          <w:color w:val="000000"/>
          <w:szCs w:val="24"/>
        </w:rPr>
        <w:t xml:space="preserve">  To conform </w:t>
      </w:r>
      <w:r w:rsidR="001A77C9" w:rsidRPr="00C67A9F">
        <w:rPr>
          <w:rFonts w:ascii="Times New Roman" w:hAnsi="Times New Roman"/>
          <w:color w:val="000000"/>
          <w:szCs w:val="24"/>
        </w:rPr>
        <w:t>to</w:t>
      </w:r>
      <w:r w:rsidR="00591008" w:rsidRPr="00C67A9F">
        <w:rPr>
          <w:rFonts w:ascii="Times New Roman" w:hAnsi="Times New Roman"/>
          <w:color w:val="000000"/>
          <w:szCs w:val="24"/>
        </w:rPr>
        <w:t xml:space="preserve"> MSRB Notice 2011-54, </w:t>
      </w:r>
      <w:r w:rsidR="0047648A" w:rsidRPr="00C67A9F">
        <w:rPr>
          <w:rFonts w:ascii="Times New Roman" w:hAnsi="Times New Roman"/>
          <w:color w:val="000000"/>
          <w:szCs w:val="24"/>
        </w:rPr>
        <w:t>the Federal Reserve</w:t>
      </w:r>
      <w:r w:rsidR="00DF1880" w:rsidRPr="00C67A9F">
        <w:rPr>
          <w:rFonts w:ascii="Times New Roman" w:hAnsi="Times New Roman"/>
          <w:color w:val="000000"/>
          <w:szCs w:val="24"/>
        </w:rPr>
        <w:t xml:space="preserve"> proposes to </w:t>
      </w:r>
      <w:r w:rsidR="00F80AEA" w:rsidRPr="00C67A9F">
        <w:rPr>
          <w:rFonts w:ascii="Times New Roman" w:hAnsi="Times New Roman"/>
          <w:color w:val="000000"/>
          <w:szCs w:val="24"/>
        </w:rPr>
        <w:t xml:space="preserve">make a minor </w:t>
      </w:r>
      <w:r w:rsidR="00DF1880" w:rsidRPr="00C67A9F">
        <w:rPr>
          <w:rFonts w:ascii="Times New Roman" w:hAnsi="Times New Roman"/>
          <w:color w:val="000000"/>
          <w:szCs w:val="24"/>
        </w:rPr>
        <w:t>revis</w:t>
      </w:r>
      <w:r w:rsidR="00F80AEA" w:rsidRPr="00C67A9F">
        <w:rPr>
          <w:rFonts w:ascii="Times New Roman" w:hAnsi="Times New Roman"/>
          <w:color w:val="000000"/>
          <w:szCs w:val="24"/>
        </w:rPr>
        <w:t>ion to</w:t>
      </w:r>
      <w:r w:rsidR="00DF1880" w:rsidRPr="00C67A9F">
        <w:rPr>
          <w:rFonts w:ascii="Times New Roman" w:hAnsi="Times New Roman"/>
          <w:color w:val="000000"/>
          <w:szCs w:val="24"/>
        </w:rPr>
        <w:t xml:space="preserve"> the </w:t>
      </w:r>
      <w:r w:rsidR="004C3A4D">
        <w:rPr>
          <w:rFonts w:ascii="Times New Roman" w:hAnsi="Times New Roman"/>
          <w:color w:val="000000"/>
          <w:szCs w:val="24"/>
        </w:rPr>
        <w:t xml:space="preserve">Form </w:t>
      </w:r>
      <w:r w:rsidR="00DF1880" w:rsidRPr="00C67A9F">
        <w:rPr>
          <w:rFonts w:ascii="Times New Roman" w:hAnsi="Times New Roman"/>
          <w:color w:val="000000"/>
          <w:szCs w:val="24"/>
        </w:rPr>
        <w:t>MSD</w:t>
      </w:r>
      <w:r w:rsidR="006A0564">
        <w:rPr>
          <w:rFonts w:ascii="Times New Roman" w:hAnsi="Times New Roman"/>
          <w:color w:val="000000"/>
          <w:szCs w:val="24"/>
        </w:rPr>
        <w:t>-</w:t>
      </w:r>
      <w:r w:rsidR="00DF1880" w:rsidRPr="00C67A9F">
        <w:rPr>
          <w:rFonts w:ascii="Times New Roman" w:hAnsi="Times New Roman"/>
          <w:color w:val="000000"/>
          <w:szCs w:val="24"/>
        </w:rPr>
        <w:t xml:space="preserve">4 </w:t>
      </w:r>
      <w:r w:rsidR="00F80AEA" w:rsidRPr="00C67A9F">
        <w:rPr>
          <w:rFonts w:ascii="Times New Roman" w:hAnsi="Times New Roman"/>
          <w:color w:val="000000"/>
          <w:szCs w:val="24"/>
        </w:rPr>
        <w:t>to add the</w:t>
      </w:r>
      <w:r w:rsidR="00DF1880" w:rsidRPr="00C67A9F">
        <w:rPr>
          <w:rFonts w:ascii="Times New Roman" w:hAnsi="Times New Roman"/>
          <w:color w:val="000000"/>
          <w:szCs w:val="24"/>
        </w:rPr>
        <w:t xml:space="preserve"> Municipal Securities Sales Limited Representative</w:t>
      </w:r>
      <w:r w:rsidR="00F80AEA" w:rsidRPr="00C67A9F">
        <w:rPr>
          <w:rFonts w:ascii="Times New Roman" w:hAnsi="Times New Roman"/>
          <w:color w:val="000000"/>
          <w:szCs w:val="24"/>
        </w:rPr>
        <w:t xml:space="preserve"> as a new type of qualification</w:t>
      </w:r>
      <w:r w:rsidR="00DF1880" w:rsidRPr="00C67A9F">
        <w:rPr>
          <w:rFonts w:ascii="Times New Roman" w:hAnsi="Times New Roman"/>
          <w:color w:val="000000"/>
          <w:szCs w:val="24"/>
        </w:rPr>
        <w:t>.</w:t>
      </w:r>
      <w:r w:rsidR="00CF1B6E" w:rsidRPr="00C67A9F">
        <w:rPr>
          <w:rFonts w:ascii="Times New Roman" w:hAnsi="Times New Roman"/>
          <w:color w:val="000000"/>
          <w:szCs w:val="24"/>
        </w:rPr>
        <w:t xml:space="preserve">  </w:t>
      </w:r>
      <w:r w:rsidRPr="00C67A9F">
        <w:rPr>
          <w:rFonts w:ascii="Times New Roman" w:hAnsi="Times New Roman"/>
          <w:color w:val="000000"/>
          <w:szCs w:val="24"/>
        </w:rPr>
        <w:t xml:space="preserve">Changes to the </w:t>
      </w:r>
      <w:r w:rsidR="004C3A4D">
        <w:rPr>
          <w:rFonts w:ascii="Times New Roman" w:hAnsi="Times New Roman"/>
          <w:color w:val="000000"/>
          <w:szCs w:val="24"/>
        </w:rPr>
        <w:t>Form</w:t>
      </w:r>
      <w:r w:rsidR="006A0564">
        <w:rPr>
          <w:rFonts w:ascii="Times New Roman" w:hAnsi="Times New Roman"/>
          <w:color w:val="000000"/>
          <w:szCs w:val="24"/>
        </w:rPr>
        <w:t> </w:t>
      </w:r>
      <w:r w:rsidRPr="00C67A9F">
        <w:rPr>
          <w:rFonts w:ascii="Times New Roman" w:hAnsi="Times New Roman"/>
          <w:color w:val="000000"/>
          <w:szCs w:val="24"/>
        </w:rPr>
        <w:t xml:space="preserve">MSD-5 are not required at this time.  </w:t>
      </w:r>
      <w:r w:rsidR="00E653EA" w:rsidRPr="00C67A9F">
        <w:rPr>
          <w:rFonts w:ascii="Times New Roman" w:hAnsi="Times New Roman"/>
          <w:color w:val="000000"/>
          <w:szCs w:val="24"/>
        </w:rPr>
        <w:t>The</w:t>
      </w:r>
      <w:r w:rsidR="001816EA" w:rsidRPr="00C67A9F">
        <w:rPr>
          <w:rFonts w:ascii="Times New Roman" w:hAnsi="Times New Roman"/>
          <w:color w:val="000000"/>
          <w:szCs w:val="24"/>
        </w:rPr>
        <w:t xml:space="preserve"> total</w:t>
      </w:r>
      <w:r w:rsidR="00E653EA" w:rsidRPr="00C67A9F">
        <w:rPr>
          <w:rFonts w:ascii="Times New Roman" w:hAnsi="Times New Roman"/>
          <w:color w:val="000000"/>
          <w:szCs w:val="24"/>
        </w:rPr>
        <w:t xml:space="preserve"> annual reporting burden for these report</w:t>
      </w:r>
      <w:r w:rsidR="00380026" w:rsidRPr="00C67A9F">
        <w:rPr>
          <w:rFonts w:ascii="Times New Roman" w:hAnsi="Times New Roman"/>
          <w:color w:val="000000"/>
          <w:szCs w:val="24"/>
        </w:rPr>
        <w:t>ing forms</w:t>
      </w:r>
      <w:r w:rsidR="00E653EA" w:rsidRPr="00C67A9F">
        <w:rPr>
          <w:rFonts w:ascii="Times New Roman" w:hAnsi="Times New Roman"/>
          <w:color w:val="000000"/>
          <w:szCs w:val="24"/>
        </w:rPr>
        <w:t xml:space="preserve"> is estimated to be </w:t>
      </w:r>
      <w:r w:rsidR="00961EBF" w:rsidRPr="00C67A9F">
        <w:rPr>
          <w:rFonts w:ascii="Times New Roman" w:hAnsi="Times New Roman"/>
          <w:color w:val="000000"/>
          <w:szCs w:val="24"/>
        </w:rPr>
        <w:t>3</w:t>
      </w:r>
      <w:r w:rsidR="00F558D9" w:rsidRPr="00C67A9F">
        <w:rPr>
          <w:rFonts w:ascii="Times New Roman" w:hAnsi="Times New Roman"/>
          <w:color w:val="000000"/>
          <w:szCs w:val="24"/>
        </w:rPr>
        <w:t>3</w:t>
      </w:r>
      <w:r w:rsidR="00526E3E" w:rsidRPr="00C67A9F">
        <w:rPr>
          <w:rFonts w:ascii="Times New Roman" w:hAnsi="Times New Roman"/>
          <w:color w:val="000000"/>
          <w:szCs w:val="24"/>
        </w:rPr>
        <w:t xml:space="preserve"> </w:t>
      </w:r>
      <w:r w:rsidR="00E653EA" w:rsidRPr="00C67A9F">
        <w:rPr>
          <w:rFonts w:ascii="Times New Roman" w:hAnsi="Times New Roman"/>
          <w:color w:val="000000"/>
          <w:szCs w:val="24"/>
        </w:rPr>
        <w:t>hours.</w:t>
      </w:r>
    </w:p>
    <w:p w:rsidR="0042112B" w:rsidRPr="00C67A9F" w:rsidRDefault="0042112B">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rPr>
      </w:pPr>
    </w:p>
    <w:p w:rsidR="00E653EA" w:rsidRPr="00C67A9F" w:rsidRDefault="00E653E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color w:val="000000"/>
          <w:szCs w:val="24"/>
        </w:rPr>
      </w:pPr>
      <w:r w:rsidRPr="00C67A9F">
        <w:rPr>
          <w:rFonts w:ascii="Times New Roman" w:hAnsi="Times New Roman"/>
          <w:b/>
          <w:color w:val="000000"/>
          <w:szCs w:val="24"/>
        </w:rPr>
        <w:t>Background and Justification</w:t>
      </w:r>
    </w:p>
    <w:p w:rsidR="00E653EA" w:rsidRPr="006A0564" w:rsidRDefault="00E653E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rPr>
      </w:pPr>
    </w:p>
    <w:p w:rsidR="00E653EA" w:rsidRPr="00C67A9F" w:rsidRDefault="00E653EA" w:rsidP="00DE4BC3">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olor w:val="000000"/>
          <w:szCs w:val="24"/>
        </w:rPr>
      </w:pPr>
      <w:r w:rsidRPr="00C67A9F">
        <w:rPr>
          <w:rFonts w:ascii="Times New Roman" w:hAnsi="Times New Roman"/>
          <w:color w:val="000000"/>
          <w:szCs w:val="24"/>
        </w:rPr>
        <w:t>Pursuant to the Securities Acts Amendments of 1975 (P.L. 94</w:t>
      </w:r>
      <w:r w:rsidR="006A0564">
        <w:rPr>
          <w:rFonts w:ascii="Times New Roman" w:hAnsi="Times New Roman"/>
          <w:color w:val="000000"/>
          <w:szCs w:val="24"/>
        </w:rPr>
        <w:t>-</w:t>
      </w:r>
      <w:r w:rsidRPr="00C67A9F">
        <w:rPr>
          <w:rFonts w:ascii="Times New Roman" w:hAnsi="Times New Roman"/>
          <w:color w:val="000000"/>
          <w:szCs w:val="24"/>
        </w:rPr>
        <w:t xml:space="preserve">29), </w:t>
      </w:r>
      <w:r w:rsidR="00724F9F" w:rsidRPr="00C67A9F">
        <w:rPr>
          <w:rFonts w:ascii="Times New Roman" w:hAnsi="Times New Roman"/>
          <w:color w:val="000000"/>
          <w:szCs w:val="24"/>
        </w:rPr>
        <w:t xml:space="preserve">the </w:t>
      </w:r>
      <w:r w:rsidRPr="00C67A9F">
        <w:rPr>
          <w:rFonts w:ascii="Times New Roman" w:hAnsi="Times New Roman"/>
          <w:color w:val="000000"/>
          <w:szCs w:val="24"/>
        </w:rPr>
        <w:t xml:space="preserve">Congress imposed a comprehensive federal regulatory structure on the municipal securities industry.  A new rulemaking body, the </w:t>
      </w:r>
      <w:r w:rsidR="00E839FB">
        <w:rPr>
          <w:rFonts w:ascii="Times New Roman" w:hAnsi="Times New Roman"/>
          <w:color w:val="000000"/>
          <w:szCs w:val="24"/>
        </w:rPr>
        <w:t>MSRB</w:t>
      </w:r>
      <w:r w:rsidRPr="00C67A9F">
        <w:rPr>
          <w:rFonts w:ascii="Times New Roman" w:hAnsi="Times New Roman"/>
          <w:color w:val="000000"/>
          <w:szCs w:val="24"/>
        </w:rPr>
        <w:t>, was created as a self</w:t>
      </w:r>
      <w:r w:rsidR="006A0564">
        <w:rPr>
          <w:rFonts w:ascii="Times New Roman" w:hAnsi="Times New Roman"/>
          <w:color w:val="000000"/>
          <w:szCs w:val="24"/>
        </w:rPr>
        <w:t>-</w:t>
      </w:r>
      <w:r w:rsidRPr="00C67A9F">
        <w:rPr>
          <w:rFonts w:ascii="Times New Roman" w:hAnsi="Times New Roman"/>
          <w:color w:val="000000"/>
          <w:szCs w:val="24"/>
        </w:rPr>
        <w:t xml:space="preserve">regulatory organization (SRO) to prescribe rules for the municipal securities industry with respect to transactions in municipal securities.  Rules of the MSRB take effect only after approval by the Securities </w:t>
      </w:r>
      <w:r w:rsidR="00877353" w:rsidRPr="00C67A9F">
        <w:rPr>
          <w:rFonts w:ascii="Times New Roman" w:hAnsi="Times New Roman"/>
          <w:color w:val="000000"/>
          <w:szCs w:val="24"/>
        </w:rPr>
        <w:t xml:space="preserve">and </w:t>
      </w:r>
      <w:r w:rsidRPr="00C67A9F">
        <w:rPr>
          <w:rFonts w:ascii="Times New Roman" w:hAnsi="Times New Roman"/>
          <w:color w:val="000000"/>
          <w:szCs w:val="24"/>
        </w:rPr>
        <w:t xml:space="preserve">Exchange Commission (SEC).  Although MSRB rules apply to all municipal securities dealers, the MSRB does not have </w:t>
      </w:r>
      <w:r w:rsidRPr="00C67A9F">
        <w:rPr>
          <w:rFonts w:ascii="Times New Roman" w:hAnsi="Times New Roman"/>
          <w:color w:val="000000"/>
          <w:szCs w:val="24"/>
        </w:rPr>
        <w:lastRenderedPageBreak/>
        <w:t>authority to enforce its rules.  For enforcement purposes the Securities Exchange Act of 1934 (15 U.S.</w:t>
      </w:r>
      <w:r w:rsidR="00DD191A" w:rsidRPr="00C67A9F">
        <w:rPr>
          <w:rFonts w:ascii="Times New Roman" w:hAnsi="Times New Roman"/>
          <w:color w:val="000000"/>
          <w:szCs w:val="24"/>
        </w:rPr>
        <w:t>C. §</w:t>
      </w:r>
      <w:r w:rsidR="006A0564">
        <w:rPr>
          <w:rFonts w:ascii="Times New Roman" w:hAnsi="Times New Roman"/>
          <w:color w:val="000000"/>
          <w:szCs w:val="24"/>
        </w:rPr>
        <w:t xml:space="preserve"> </w:t>
      </w:r>
      <w:r w:rsidR="00DD191A" w:rsidRPr="00C67A9F">
        <w:rPr>
          <w:rFonts w:ascii="Times New Roman" w:hAnsi="Times New Roman"/>
          <w:color w:val="000000"/>
          <w:szCs w:val="24"/>
        </w:rPr>
        <w:t xml:space="preserve">78a et seq.; </w:t>
      </w:r>
      <w:r w:rsidRPr="00C67A9F">
        <w:rPr>
          <w:rFonts w:ascii="Times New Roman" w:hAnsi="Times New Roman"/>
          <w:color w:val="000000"/>
          <w:szCs w:val="24"/>
        </w:rPr>
        <w:t>the 1934 Act</w:t>
      </w:r>
      <w:r w:rsidR="00994848" w:rsidRPr="00C67A9F">
        <w:rPr>
          <w:rFonts w:ascii="Times New Roman" w:hAnsi="Times New Roman"/>
          <w:color w:val="000000"/>
          <w:szCs w:val="24"/>
        </w:rPr>
        <w:t>) designates a</w:t>
      </w:r>
      <w:r w:rsidRPr="00C67A9F">
        <w:rPr>
          <w:rFonts w:ascii="Times New Roman" w:hAnsi="Times New Roman"/>
          <w:color w:val="000000"/>
          <w:szCs w:val="24"/>
        </w:rPr>
        <w:t xml:space="preserve">ppropriate </w:t>
      </w:r>
      <w:r w:rsidR="00994848" w:rsidRPr="00C67A9F">
        <w:rPr>
          <w:rFonts w:ascii="Times New Roman" w:hAnsi="Times New Roman"/>
          <w:color w:val="000000"/>
          <w:szCs w:val="24"/>
        </w:rPr>
        <w:t>r</w:t>
      </w:r>
      <w:r w:rsidR="00DD191A" w:rsidRPr="00C67A9F">
        <w:rPr>
          <w:rFonts w:ascii="Times New Roman" w:hAnsi="Times New Roman"/>
          <w:color w:val="000000"/>
          <w:szCs w:val="24"/>
        </w:rPr>
        <w:t xml:space="preserve">egulatory </w:t>
      </w:r>
      <w:r w:rsidR="00994848" w:rsidRPr="00C67A9F">
        <w:rPr>
          <w:rFonts w:ascii="Times New Roman" w:hAnsi="Times New Roman"/>
          <w:color w:val="000000"/>
          <w:szCs w:val="24"/>
        </w:rPr>
        <w:t>a</w:t>
      </w:r>
      <w:r w:rsidRPr="00C67A9F">
        <w:rPr>
          <w:rFonts w:ascii="Times New Roman" w:hAnsi="Times New Roman"/>
          <w:color w:val="000000"/>
          <w:szCs w:val="24"/>
        </w:rPr>
        <w:t>gencies</w:t>
      </w:r>
      <w:r w:rsidR="00DD191A" w:rsidRPr="00C67A9F">
        <w:rPr>
          <w:rFonts w:ascii="Times New Roman" w:hAnsi="Times New Roman"/>
          <w:color w:val="000000"/>
          <w:szCs w:val="24"/>
        </w:rPr>
        <w:t xml:space="preserve"> (ARA</w:t>
      </w:r>
      <w:r w:rsidR="00352DFB" w:rsidRPr="00C67A9F">
        <w:rPr>
          <w:rFonts w:ascii="Times New Roman" w:hAnsi="Times New Roman"/>
          <w:color w:val="000000"/>
          <w:szCs w:val="24"/>
        </w:rPr>
        <w:t>s</w:t>
      </w:r>
      <w:r w:rsidR="00DD191A" w:rsidRPr="00C67A9F">
        <w:rPr>
          <w:rFonts w:ascii="Times New Roman" w:hAnsi="Times New Roman"/>
          <w:color w:val="000000"/>
          <w:szCs w:val="24"/>
        </w:rPr>
        <w:t>)</w:t>
      </w:r>
      <w:r w:rsidRPr="00C67A9F">
        <w:rPr>
          <w:rFonts w:ascii="Times New Roman" w:hAnsi="Times New Roman"/>
          <w:color w:val="000000"/>
          <w:szCs w:val="24"/>
        </w:rPr>
        <w:t xml:space="preserve"> for specified municipal securities dealers.  The Federal Reserve</w:t>
      </w:r>
      <w:r w:rsidR="00D52FDB" w:rsidRPr="00C67A9F">
        <w:rPr>
          <w:rFonts w:ascii="Times New Roman" w:hAnsi="Times New Roman"/>
          <w:color w:val="000000"/>
          <w:szCs w:val="24"/>
        </w:rPr>
        <w:t xml:space="preserve"> Board</w:t>
      </w:r>
      <w:r w:rsidRPr="00C67A9F">
        <w:rPr>
          <w:rFonts w:ascii="Times New Roman" w:hAnsi="Times New Roman"/>
          <w:color w:val="000000"/>
          <w:szCs w:val="24"/>
        </w:rPr>
        <w:t xml:space="preserve"> is the </w:t>
      </w:r>
      <w:r w:rsidR="00DD191A" w:rsidRPr="00C67A9F">
        <w:rPr>
          <w:rFonts w:ascii="Times New Roman" w:hAnsi="Times New Roman"/>
          <w:color w:val="000000"/>
          <w:szCs w:val="24"/>
        </w:rPr>
        <w:t>ARA</w:t>
      </w:r>
      <w:r w:rsidRPr="00C67A9F">
        <w:rPr>
          <w:rFonts w:ascii="Times New Roman" w:hAnsi="Times New Roman"/>
          <w:color w:val="000000"/>
          <w:szCs w:val="24"/>
        </w:rPr>
        <w:t xml:space="preserve"> for </w:t>
      </w:r>
      <w:r w:rsidR="00E9153A" w:rsidRPr="00C67A9F">
        <w:rPr>
          <w:rFonts w:ascii="Times New Roman" w:hAnsi="Times New Roman"/>
          <w:color w:val="000000"/>
          <w:szCs w:val="24"/>
        </w:rPr>
        <w:t>SMBs</w:t>
      </w:r>
      <w:r w:rsidRPr="00C67A9F">
        <w:rPr>
          <w:rFonts w:ascii="Times New Roman" w:hAnsi="Times New Roman"/>
          <w:color w:val="000000"/>
          <w:szCs w:val="24"/>
        </w:rPr>
        <w:t xml:space="preserve"> and </w:t>
      </w:r>
      <w:r w:rsidR="00E9153A" w:rsidRPr="00C67A9F">
        <w:rPr>
          <w:rFonts w:ascii="Times New Roman" w:hAnsi="Times New Roman"/>
          <w:color w:val="000000"/>
          <w:szCs w:val="24"/>
        </w:rPr>
        <w:t>BHC</w:t>
      </w:r>
      <w:r w:rsidRPr="00C67A9F">
        <w:rPr>
          <w:rFonts w:ascii="Times New Roman" w:hAnsi="Times New Roman"/>
          <w:color w:val="000000"/>
          <w:szCs w:val="24"/>
        </w:rPr>
        <w:t xml:space="preserve">s, and certain of their subsidiaries, departments, and divisions that are municipal securities dealers. </w:t>
      </w:r>
      <w:r w:rsidR="006A0564">
        <w:rPr>
          <w:rFonts w:ascii="Times New Roman" w:hAnsi="Times New Roman"/>
          <w:color w:val="000000"/>
          <w:szCs w:val="24"/>
        </w:rPr>
        <w:t xml:space="preserve"> </w:t>
      </w:r>
      <w:r w:rsidRPr="00C67A9F">
        <w:rPr>
          <w:rFonts w:ascii="Times New Roman" w:hAnsi="Times New Roman"/>
          <w:color w:val="000000"/>
          <w:szCs w:val="24"/>
        </w:rPr>
        <w:t xml:space="preserve">Although the 1934 Act does not specify the </w:t>
      </w:r>
      <w:r w:rsidR="00DD191A" w:rsidRPr="00C67A9F">
        <w:rPr>
          <w:rFonts w:ascii="Times New Roman" w:hAnsi="Times New Roman"/>
          <w:color w:val="000000"/>
          <w:szCs w:val="24"/>
        </w:rPr>
        <w:t>ARA</w:t>
      </w:r>
      <w:r w:rsidRPr="00C67A9F">
        <w:rPr>
          <w:rFonts w:ascii="Times New Roman" w:hAnsi="Times New Roman"/>
          <w:color w:val="000000"/>
          <w:szCs w:val="24"/>
        </w:rPr>
        <w:t xml:space="preserve"> for municipal securities dealer activities of foreign banks, uninsured state branches or state agencies of foreign banks, commercial lending companies owned or controlled by a foreign bank, or Edge Act corporation</w:t>
      </w:r>
      <w:r w:rsidR="00DD191A" w:rsidRPr="00C67A9F">
        <w:rPr>
          <w:rFonts w:ascii="Times New Roman" w:hAnsi="Times New Roman"/>
          <w:color w:val="000000"/>
          <w:szCs w:val="24"/>
        </w:rPr>
        <w:t xml:space="preserve">s (collectively referred to as </w:t>
      </w:r>
      <w:r w:rsidRPr="00C67A9F">
        <w:rPr>
          <w:rFonts w:ascii="Times New Roman" w:hAnsi="Times New Roman"/>
          <w:color w:val="000000"/>
          <w:szCs w:val="24"/>
        </w:rPr>
        <w:t xml:space="preserve">foreign dealer banks), the SEC has agreed that the </w:t>
      </w:r>
      <w:r w:rsidR="00352DFB" w:rsidRPr="00C67A9F">
        <w:rPr>
          <w:rFonts w:ascii="Times New Roman" w:hAnsi="Times New Roman"/>
          <w:color w:val="000000"/>
          <w:szCs w:val="24"/>
        </w:rPr>
        <w:t>Federal Reserve</w:t>
      </w:r>
      <w:r w:rsidRPr="00C67A9F">
        <w:rPr>
          <w:rFonts w:ascii="Times New Roman" w:hAnsi="Times New Roman"/>
          <w:color w:val="000000"/>
          <w:szCs w:val="24"/>
        </w:rPr>
        <w:t xml:space="preserve"> </w:t>
      </w:r>
      <w:r w:rsidR="001665FA" w:rsidRPr="00C67A9F">
        <w:rPr>
          <w:rFonts w:ascii="Times New Roman" w:hAnsi="Times New Roman"/>
          <w:color w:val="000000"/>
          <w:szCs w:val="24"/>
        </w:rPr>
        <w:t xml:space="preserve">Board </w:t>
      </w:r>
      <w:r w:rsidRPr="00C67A9F">
        <w:rPr>
          <w:rFonts w:ascii="Times New Roman" w:hAnsi="Times New Roman"/>
          <w:color w:val="000000"/>
          <w:szCs w:val="24"/>
        </w:rPr>
        <w:t>should examine the municipal securities dealer activities of foreign dealer banks</w:t>
      </w:r>
      <w:r w:rsidR="00445F72" w:rsidRPr="00C67A9F">
        <w:rPr>
          <w:rFonts w:ascii="Times New Roman" w:hAnsi="Times New Roman"/>
          <w:color w:val="000000"/>
          <w:szCs w:val="24"/>
        </w:rPr>
        <w:t>.</w:t>
      </w:r>
      <w:r w:rsidR="00445F72" w:rsidRPr="00C67A9F">
        <w:rPr>
          <w:rStyle w:val="FootnoteReference"/>
          <w:rFonts w:ascii="Times New Roman" w:hAnsi="Times New Roman"/>
          <w:color w:val="000000"/>
          <w:szCs w:val="24"/>
          <w:vertAlign w:val="superscript"/>
        </w:rPr>
        <w:footnoteReference w:id="3"/>
      </w:r>
    </w:p>
    <w:p w:rsidR="00E653EA" w:rsidRPr="00C67A9F" w:rsidRDefault="00E653E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rPr>
      </w:pPr>
    </w:p>
    <w:p w:rsidR="00E653EA" w:rsidRPr="00C67A9F" w:rsidRDefault="00E839FB" w:rsidP="006A0564">
      <w:pPr>
        <w:pStyle w:val="Style0"/>
        <w:ind w:firstLine="720"/>
        <w:rPr>
          <w:rFonts w:ascii="Times New Roman" w:hAnsi="Times New Roman"/>
          <w:color w:val="000000"/>
          <w:szCs w:val="24"/>
        </w:rPr>
      </w:pPr>
      <w:r>
        <w:rPr>
          <w:rFonts w:ascii="Times New Roman" w:hAnsi="Times New Roman"/>
          <w:color w:val="000000"/>
          <w:szCs w:val="24"/>
        </w:rPr>
        <w:t>T</w:t>
      </w:r>
      <w:bookmarkStart w:id="0" w:name="_GoBack"/>
      <w:bookmarkEnd w:id="0"/>
      <w:r w:rsidR="00E653EA" w:rsidRPr="00C67A9F">
        <w:rPr>
          <w:rFonts w:ascii="Times New Roman" w:hAnsi="Times New Roman"/>
          <w:color w:val="000000"/>
          <w:szCs w:val="24"/>
        </w:rPr>
        <w:t xml:space="preserve">he federal bank regulatory agencies, in consultation with the MSRB, jointly drafted </w:t>
      </w:r>
      <w:r w:rsidR="00352DFB" w:rsidRPr="00C67A9F">
        <w:rPr>
          <w:rFonts w:ascii="Times New Roman" w:hAnsi="Times New Roman"/>
          <w:color w:val="000000"/>
          <w:szCs w:val="24"/>
        </w:rPr>
        <w:t xml:space="preserve">and adopted </w:t>
      </w:r>
      <w:r w:rsidR="00D65ED9" w:rsidRPr="00C67A9F">
        <w:rPr>
          <w:rFonts w:ascii="Times New Roman" w:hAnsi="Times New Roman"/>
          <w:color w:val="000000"/>
          <w:szCs w:val="24"/>
        </w:rPr>
        <w:t xml:space="preserve">the </w:t>
      </w:r>
      <w:r w:rsidR="004C3A4D">
        <w:rPr>
          <w:rFonts w:ascii="Times New Roman" w:hAnsi="Times New Roman"/>
          <w:color w:val="000000"/>
          <w:szCs w:val="24"/>
        </w:rPr>
        <w:t xml:space="preserve">Form </w:t>
      </w:r>
      <w:r w:rsidR="00E653EA" w:rsidRPr="00C67A9F">
        <w:rPr>
          <w:rFonts w:ascii="Times New Roman" w:hAnsi="Times New Roman"/>
          <w:color w:val="000000"/>
          <w:szCs w:val="24"/>
        </w:rPr>
        <w:t>MSD</w:t>
      </w:r>
      <w:r w:rsidR="006A0564">
        <w:rPr>
          <w:rFonts w:ascii="Times New Roman" w:hAnsi="Times New Roman"/>
          <w:color w:val="000000"/>
          <w:szCs w:val="24"/>
        </w:rPr>
        <w:t>-</w:t>
      </w:r>
      <w:r w:rsidR="00E653EA" w:rsidRPr="00C67A9F">
        <w:rPr>
          <w:rFonts w:ascii="Times New Roman" w:hAnsi="Times New Roman"/>
          <w:color w:val="000000"/>
          <w:szCs w:val="24"/>
        </w:rPr>
        <w:t xml:space="preserve">4 and </w:t>
      </w:r>
      <w:r w:rsidR="004C3A4D">
        <w:rPr>
          <w:rFonts w:ascii="Times New Roman" w:hAnsi="Times New Roman"/>
          <w:color w:val="000000"/>
          <w:szCs w:val="24"/>
        </w:rPr>
        <w:t xml:space="preserve">Form </w:t>
      </w:r>
      <w:r w:rsidR="00E653EA" w:rsidRPr="00C67A9F">
        <w:rPr>
          <w:rFonts w:ascii="Times New Roman" w:hAnsi="Times New Roman"/>
          <w:color w:val="000000"/>
          <w:szCs w:val="24"/>
        </w:rPr>
        <w:t>MSD</w:t>
      </w:r>
      <w:r w:rsidR="006A0564">
        <w:rPr>
          <w:rFonts w:ascii="Times New Roman" w:hAnsi="Times New Roman"/>
          <w:color w:val="000000"/>
          <w:szCs w:val="24"/>
        </w:rPr>
        <w:t>-</w:t>
      </w:r>
      <w:r w:rsidR="00E653EA" w:rsidRPr="00C67A9F">
        <w:rPr>
          <w:rFonts w:ascii="Times New Roman" w:hAnsi="Times New Roman"/>
          <w:color w:val="000000"/>
          <w:szCs w:val="24"/>
        </w:rPr>
        <w:t>5</w:t>
      </w:r>
      <w:r w:rsidR="00352DFB" w:rsidRPr="00C67A9F">
        <w:rPr>
          <w:rFonts w:ascii="Times New Roman" w:hAnsi="Times New Roman"/>
          <w:color w:val="000000"/>
          <w:szCs w:val="24"/>
        </w:rPr>
        <w:t xml:space="preserve"> in 1977</w:t>
      </w:r>
      <w:r w:rsidR="00E653EA" w:rsidRPr="00C67A9F">
        <w:rPr>
          <w:rFonts w:ascii="Times New Roman" w:hAnsi="Times New Roman"/>
          <w:color w:val="000000"/>
          <w:szCs w:val="24"/>
        </w:rPr>
        <w:t xml:space="preserve">.  </w:t>
      </w:r>
      <w:r w:rsidR="00D65ED9" w:rsidRPr="00C67A9F">
        <w:rPr>
          <w:rFonts w:ascii="Times New Roman" w:hAnsi="Times New Roman"/>
          <w:color w:val="000000"/>
          <w:szCs w:val="24"/>
        </w:rPr>
        <w:t xml:space="preserve">The </w:t>
      </w:r>
      <w:r w:rsidR="004C3A4D">
        <w:rPr>
          <w:rFonts w:ascii="Times New Roman" w:hAnsi="Times New Roman"/>
          <w:color w:val="000000"/>
          <w:szCs w:val="24"/>
        </w:rPr>
        <w:t xml:space="preserve">Form </w:t>
      </w:r>
      <w:r w:rsidR="00E653EA" w:rsidRPr="00C67A9F">
        <w:rPr>
          <w:rFonts w:ascii="Times New Roman" w:hAnsi="Times New Roman"/>
          <w:color w:val="000000"/>
          <w:szCs w:val="24"/>
        </w:rPr>
        <w:t>MSD</w:t>
      </w:r>
      <w:r w:rsidR="006A0564">
        <w:rPr>
          <w:rFonts w:ascii="Times New Roman" w:hAnsi="Times New Roman"/>
          <w:color w:val="000000"/>
          <w:szCs w:val="24"/>
        </w:rPr>
        <w:t>-</w:t>
      </w:r>
      <w:r w:rsidR="00E653EA" w:rsidRPr="00C67A9F">
        <w:rPr>
          <w:rFonts w:ascii="Times New Roman" w:hAnsi="Times New Roman"/>
          <w:color w:val="000000"/>
          <w:szCs w:val="24"/>
        </w:rPr>
        <w:t xml:space="preserve">4 is the source document for initial information submitted to each agency.  </w:t>
      </w:r>
      <w:r w:rsidR="00D65ED9" w:rsidRPr="00C67A9F">
        <w:rPr>
          <w:rFonts w:ascii="Times New Roman" w:hAnsi="Times New Roman"/>
          <w:color w:val="000000"/>
          <w:szCs w:val="24"/>
        </w:rPr>
        <w:t xml:space="preserve">The </w:t>
      </w:r>
      <w:r w:rsidR="004C3A4D">
        <w:rPr>
          <w:rFonts w:ascii="Times New Roman" w:hAnsi="Times New Roman"/>
          <w:color w:val="000000"/>
          <w:szCs w:val="24"/>
        </w:rPr>
        <w:t xml:space="preserve">Form </w:t>
      </w:r>
      <w:r w:rsidR="00E653EA" w:rsidRPr="00C67A9F">
        <w:rPr>
          <w:rFonts w:ascii="Times New Roman" w:hAnsi="Times New Roman"/>
          <w:color w:val="000000"/>
          <w:szCs w:val="24"/>
        </w:rPr>
        <w:t>MSD</w:t>
      </w:r>
      <w:r w:rsidR="006A0564">
        <w:rPr>
          <w:rFonts w:ascii="Times New Roman" w:hAnsi="Times New Roman"/>
          <w:color w:val="000000"/>
          <w:szCs w:val="24"/>
        </w:rPr>
        <w:t>-</w:t>
      </w:r>
      <w:r w:rsidR="00E653EA" w:rsidRPr="00C67A9F">
        <w:rPr>
          <w:rFonts w:ascii="Times New Roman" w:hAnsi="Times New Roman"/>
          <w:color w:val="000000"/>
          <w:szCs w:val="24"/>
        </w:rPr>
        <w:t>5 is the source document for updating the information when an associated person</w:t>
      </w:r>
      <w:r w:rsidR="006A0564">
        <w:rPr>
          <w:rFonts w:ascii="Times New Roman" w:hAnsi="Times New Roman"/>
          <w:color w:val="000000"/>
          <w:szCs w:val="24"/>
        </w:rPr>
        <w:t>’</w:t>
      </w:r>
      <w:r w:rsidR="00E653EA" w:rsidRPr="00C67A9F">
        <w:rPr>
          <w:rFonts w:ascii="Times New Roman" w:hAnsi="Times New Roman"/>
          <w:color w:val="000000"/>
          <w:szCs w:val="24"/>
        </w:rPr>
        <w:t xml:space="preserve">s employment is terminated for any reason.  Information collected </w:t>
      </w:r>
      <w:r w:rsidR="005C1AF7" w:rsidRPr="00C67A9F">
        <w:rPr>
          <w:rFonts w:ascii="Times New Roman" w:hAnsi="Times New Roman"/>
          <w:color w:val="000000"/>
          <w:szCs w:val="24"/>
        </w:rPr>
        <w:t xml:space="preserve">on </w:t>
      </w:r>
      <w:r w:rsidR="00D65ED9" w:rsidRPr="00C67A9F">
        <w:rPr>
          <w:rFonts w:ascii="Times New Roman" w:hAnsi="Times New Roman"/>
          <w:color w:val="000000"/>
          <w:szCs w:val="24"/>
        </w:rPr>
        <w:t xml:space="preserve">the </w:t>
      </w:r>
      <w:r w:rsidR="004C3A4D">
        <w:rPr>
          <w:rFonts w:ascii="Times New Roman" w:hAnsi="Times New Roman"/>
          <w:color w:val="000000"/>
          <w:szCs w:val="24"/>
        </w:rPr>
        <w:t xml:space="preserve">Form </w:t>
      </w:r>
      <w:r w:rsidR="00E653EA" w:rsidRPr="00C67A9F">
        <w:rPr>
          <w:rFonts w:ascii="Times New Roman" w:hAnsi="Times New Roman"/>
          <w:color w:val="000000"/>
          <w:szCs w:val="24"/>
        </w:rPr>
        <w:t>MSD</w:t>
      </w:r>
      <w:r w:rsidR="006A0564">
        <w:rPr>
          <w:rFonts w:ascii="Times New Roman" w:hAnsi="Times New Roman"/>
          <w:color w:val="000000"/>
          <w:szCs w:val="24"/>
        </w:rPr>
        <w:t>-</w:t>
      </w:r>
      <w:r w:rsidR="00E653EA" w:rsidRPr="00C67A9F">
        <w:rPr>
          <w:rFonts w:ascii="Times New Roman" w:hAnsi="Times New Roman"/>
          <w:color w:val="000000"/>
          <w:szCs w:val="24"/>
        </w:rPr>
        <w:t xml:space="preserve">4 and </w:t>
      </w:r>
      <w:r w:rsidR="00D65ED9" w:rsidRPr="00C67A9F">
        <w:rPr>
          <w:rFonts w:ascii="Times New Roman" w:hAnsi="Times New Roman"/>
          <w:color w:val="000000"/>
          <w:szCs w:val="24"/>
        </w:rPr>
        <w:t xml:space="preserve">the </w:t>
      </w:r>
      <w:r w:rsidR="004C3A4D">
        <w:rPr>
          <w:rFonts w:ascii="Times New Roman" w:hAnsi="Times New Roman"/>
          <w:color w:val="000000"/>
          <w:szCs w:val="24"/>
        </w:rPr>
        <w:t xml:space="preserve">Form </w:t>
      </w:r>
      <w:r w:rsidR="00E653EA" w:rsidRPr="00C67A9F">
        <w:rPr>
          <w:rFonts w:ascii="Times New Roman" w:hAnsi="Times New Roman"/>
          <w:color w:val="000000"/>
          <w:szCs w:val="24"/>
        </w:rPr>
        <w:t>MSD</w:t>
      </w:r>
      <w:r w:rsidR="006A0564">
        <w:rPr>
          <w:rFonts w:ascii="Times New Roman" w:hAnsi="Times New Roman"/>
          <w:color w:val="000000"/>
          <w:szCs w:val="24"/>
        </w:rPr>
        <w:t>-</w:t>
      </w:r>
      <w:r w:rsidR="00E653EA" w:rsidRPr="00C67A9F">
        <w:rPr>
          <w:rFonts w:ascii="Times New Roman" w:hAnsi="Times New Roman"/>
          <w:color w:val="000000"/>
          <w:szCs w:val="24"/>
        </w:rPr>
        <w:t xml:space="preserve">5 may be routinely used by the </w:t>
      </w:r>
      <w:r w:rsidR="00DD191A" w:rsidRPr="00C67A9F">
        <w:rPr>
          <w:rFonts w:ascii="Times New Roman" w:hAnsi="Times New Roman"/>
          <w:color w:val="000000"/>
          <w:szCs w:val="24"/>
        </w:rPr>
        <w:t>ARA</w:t>
      </w:r>
      <w:r w:rsidR="00877353" w:rsidRPr="00C67A9F">
        <w:rPr>
          <w:rFonts w:ascii="Times New Roman" w:hAnsi="Times New Roman"/>
          <w:color w:val="000000"/>
          <w:szCs w:val="24"/>
        </w:rPr>
        <w:t xml:space="preserve"> to</w:t>
      </w:r>
      <w:r w:rsidR="00E653EA" w:rsidRPr="00C67A9F">
        <w:rPr>
          <w:rFonts w:ascii="Times New Roman" w:hAnsi="Times New Roman"/>
          <w:color w:val="000000"/>
          <w:szCs w:val="24"/>
        </w:rPr>
        <w:t>:  (1) refer information indicating a potential violation of law to another government agency or SRO</w:t>
      </w:r>
      <w:r w:rsidR="00724F9F" w:rsidRPr="00C67A9F">
        <w:rPr>
          <w:rFonts w:ascii="Times New Roman" w:hAnsi="Times New Roman"/>
          <w:color w:val="000000"/>
          <w:szCs w:val="24"/>
        </w:rPr>
        <w:t>,</w:t>
      </w:r>
      <w:r w:rsidR="00E653EA" w:rsidRPr="00C67A9F">
        <w:rPr>
          <w:rFonts w:ascii="Times New Roman" w:hAnsi="Times New Roman"/>
          <w:color w:val="000000"/>
          <w:szCs w:val="24"/>
        </w:rPr>
        <w:t xml:space="preserve"> (2) aid in the resolution of any proceeding in which the federal securities laws or banking laws are at issue</w:t>
      </w:r>
      <w:r w:rsidR="00724F9F" w:rsidRPr="00C67A9F">
        <w:rPr>
          <w:rFonts w:ascii="Times New Roman" w:hAnsi="Times New Roman"/>
          <w:color w:val="000000"/>
          <w:szCs w:val="24"/>
        </w:rPr>
        <w:t>,</w:t>
      </w:r>
      <w:r w:rsidR="00E653EA" w:rsidRPr="00C67A9F">
        <w:rPr>
          <w:rFonts w:ascii="Times New Roman" w:hAnsi="Times New Roman"/>
          <w:color w:val="000000"/>
          <w:szCs w:val="24"/>
        </w:rPr>
        <w:t xml:space="preserve"> (3) obtain additional information from a government agency or SRO concerning the applicant</w:t>
      </w:r>
      <w:r w:rsidR="006A0564">
        <w:rPr>
          <w:rFonts w:ascii="Times New Roman" w:hAnsi="Times New Roman"/>
          <w:color w:val="000000"/>
          <w:szCs w:val="24"/>
        </w:rPr>
        <w:t>’</w:t>
      </w:r>
      <w:r w:rsidR="00E653EA" w:rsidRPr="00C67A9F">
        <w:rPr>
          <w:rFonts w:ascii="Times New Roman" w:hAnsi="Times New Roman"/>
          <w:color w:val="000000"/>
          <w:szCs w:val="24"/>
        </w:rPr>
        <w:t>s qualifications</w:t>
      </w:r>
      <w:r w:rsidR="00724F9F" w:rsidRPr="00C67A9F">
        <w:rPr>
          <w:rFonts w:ascii="Times New Roman" w:hAnsi="Times New Roman"/>
          <w:color w:val="000000"/>
          <w:szCs w:val="24"/>
        </w:rPr>
        <w:t>,</w:t>
      </w:r>
      <w:r w:rsidR="00E653EA" w:rsidRPr="00C67A9F">
        <w:rPr>
          <w:rFonts w:ascii="Times New Roman" w:hAnsi="Times New Roman"/>
          <w:color w:val="000000"/>
          <w:szCs w:val="24"/>
        </w:rPr>
        <w:t xml:space="preserve"> or (4) respond to a government agency or SRO request for information needed to issue a license or for similar action affecting the applicant.</w:t>
      </w:r>
    </w:p>
    <w:p w:rsidR="00E653EA" w:rsidRPr="00C67A9F" w:rsidRDefault="00E653E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rPr>
      </w:pPr>
    </w:p>
    <w:p w:rsidR="00E653EA" w:rsidRPr="00C67A9F" w:rsidRDefault="00E653EA" w:rsidP="006A0564">
      <w:pPr>
        <w:pStyle w:val="Style0"/>
        <w:ind w:firstLine="720"/>
        <w:rPr>
          <w:rFonts w:ascii="Times New Roman" w:hAnsi="Times New Roman"/>
          <w:color w:val="000000"/>
          <w:szCs w:val="24"/>
        </w:rPr>
      </w:pPr>
      <w:r w:rsidRPr="00C67A9F">
        <w:rPr>
          <w:rFonts w:ascii="Times New Roman" w:hAnsi="Times New Roman"/>
          <w:color w:val="000000"/>
          <w:szCs w:val="24"/>
        </w:rPr>
        <w:t xml:space="preserve">The Department of the Treasury </w:t>
      </w:r>
      <w:r w:rsidR="00380026" w:rsidRPr="00C67A9F">
        <w:rPr>
          <w:rFonts w:ascii="Times New Roman" w:hAnsi="Times New Roman"/>
          <w:color w:val="000000"/>
          <w:szCs w:val="24"/>
        </w:rPr>
        <w:t xml:space="preserve">(Treasury) </w:t>
      </w:r>
      <w:r w:rsidRPr="00C67A9F">
        <w:rPr>
          <w:rFonts w:ascii="Times New Roman" w:hAnsi="Times New Roman"/>
          <w:color w:val="000000"/>
          <w:szCs w:val="24"/>
        </w:rPr>
        <w:t xml:space="preserve">rules covering government securities broker and dealer activities became effective in July 1987.  The specific rule that deals with associated persons of government securities brokers and dealers who are also associated persons of a municipal securities dealer allows the associated persons to fulfill the notification requirements by filing the </w:t>
      </w:r>
      <w:r w:rsidR="004C3A4D">
        <w:rPr>
          <w:rFonts w:ascii="Times New Roman" w:hAnsi="Times New Roman"/>
          <w:color w:val="000000"/>
          <w:szCs w:val="24"/>
        </w:rPr>
        <w:t>F</w:t>
      </w:r>
      <w:r w:rsidR="005F5044">
        <w:rPr>
          <w:rFonts w:ascii="Times New Roman" w:hAnsi="Times New Roman"/>
          <w:color w:val="000000"/>
          <w:szCs w:val="24"/>
        </w:rPr>
        <w:t>orm</w:t>
      </w:r>
      <w:r w:rsidR="004C3A4D">
        <w:rPr>
          <w:rFonts w:ascii="Times New Roman" w:hAnsi="Times New Roman"/>
          <w:color w:val="000000"/>
          <w:szCs w:val="24"/>
        </w:rPr>
        <w:t xml:space="preserve"> </w:t>
      </w:r>
      <w:r w:rsidRPr="00C67A9F">
        <w:rPr>
          <w:rFonts w:ascii="Times New Roman" w:hAnsi="Times New Roman"/>
          <w:color w:val="000000"/>
          <w:szCs w:val="24"/>
        </w:rPr>
        <w:t>MSD</w:t>
      </w:r>
      <w:r w:rsidR="006A0564">
        <w:rPr>
          <w:rFonts w:ascii="Times New Roman" w:hAnsi="Times New Roman"/>
          <w:color w:val="000000"/>
          <w:szCs w:val="24"/>
        </w:rPr>
        <w:t>-</w:t>
      </w:r>
      <w:r w:rsidRPr="00C67A9F">
        <w:rPr>
          <w:rFonts w:ascii="Times New Roman" w:hAnsi="Times New Roman"/>
          <w:color w:val="000000"/>
          <w:szCs w:val="24"/>
        </w:rPr>
        <w:t xml:space="preserve">4 (17 CFR 400.4).  This was done to </w:t>
      </w:r>
      <w:r w:rsidR="008D28BF" w:rsidRPr="00C67A9F">
        <w:rPr>
          <w:rFonts w:ascii="Times New Roman" w:hAnsi="Times New Roman"/>
          <w:color w:val="000000"/>
          <w:szCs w:val="24"/>
        </w:rPr>
        <w:t xml:space="preserve">reduce burden by </w:t>
      </w:r>
      <w:r w:rsidRPr="00C67A9F">
        <w:rPr>
          <w:rFonts w:ascii="Times New Roman" w:hAnsi="Times New Roman"/>
          <w:color w:val="000000"/>
          <w:szCs w:val="24"/>
        </w:rPr>
        <w:t>eliminat</w:t>
      </w:r>
      <w:r w:rsidR="008D28BF" w:rsidRPr="00C67A9F">
        <w:rPr>
          <w:rFonts w:ascii="Times New Roman" w:hAnsi="Times New Roman"/>
          <w:color w:val="000000"/>
          <w:szCs w:val="24"/>
        </w:rPr>
        <w:t>ing</w:t>
      </w:r>
      <w:r w:rsidRPr="00C67A9F">
        <w:rPr>
          <w:rFonts w:ascii="Times New Roman" w:hAnsi="Times New Roman"/>
          <w:color w:val="000000"/>
          <w:szCs w:val="24"/>
        </w:rPr>
        <w:t xml:space="preserve"> the need to file both </w:t>
      </w:r>
      <w:r w:rsidR="00D65ED9" w:rsidRPr="00C67A9F">
        <w:rPr>
          <w:rFonts w:ascii="Times New Roman" w:hAnsi="Times New Roman"/>
          <w:color w:val="000000"/>
          <w:szCs w:val="24"/>
        </w:rPr>
        <w:t xml:space="preserve">the </w:t>
      </w:r>
      <w:r w:rsidR="004C3A4D">
        <w:rPr>
          <w:rFonts w:ascii="Times New Roman" w:hAnsi="Times New Roman"/>
          <w:color w:val="000000"/>
          <w:szCs w:val="24"/>
        </w:rPr>
        <w:t>F</w:t>
      </w:r>
      <w:r w:rsidR="005F5044">
        <w:rPr>
          <w:rFonts w:ascii="Times New Roman" w:hAnsi="Times New Roman"/>
          <w:color w:val="000000"/>
          <w:szCs w:val="24"/>
        </w:rPr>
        <w:t>orm</w:t>
      </w:r>
      <w:r w:rsidR="004C3A4D">
        <w:rPr>
          <w:rFonts w:ascii="Times New Roman" w:hAnsi="Times New Roman"/>
          <w:color w:val="000000"/>
          <w:szCs w:val="24"/>
        </w:rPr>
        <w:t xml:space="preserve"> </w:t>
      </w:r>
      <w:r w:rsidRPr="00C67A9F">
        <w:rPr>
          <w:rFonts w:ascii="Times New Roman" w:hAnsi="Times New Roman"/>
          <w:color w:val="000000"/>
          <w:szCs w:val="24"/>
        </w:rPr>
        <w:t>MSD</w:t>
      </w:r>
      <w:r w:rsidR="006A0564">
        <w:rPr>
          <w:rFonts w:ascii="Times New Roman" w:hAnsi="Times New Roman"/>
          <w:color w:val="000000"/>
          <w:szCs w:val="24"/>
        </w:rPr>
        <w:t>-</w:t>
      </w:r>
      <w:r w:rsidRPr="00C67A9F">
        <w:rPr>
          <w:rFonts w:ascii="Times New Roman" w:hAnsi="Times New Roman"/>
          <w:color w:val="000000"/>
          <w:szCs w:val="24"/>
        </w:rPr>
        <w:t>4 and Treasury</w:t>
      </w:r>
      <w:r w:rsidR="006A0564">
        <w:rPr>
          <w:rFonts w:ascii="Times New Roman" w:hAnsi="Times New Roman"/>
          <w:color w:val="000000"/>
          <w:szCs w:val="24"/>
        </w:rPr>
        <w:t>’</w:t>
      </w:r>
      <w:r w:rsidR="00D65ED9" w:rsidRPr="00C67A9F">
        <w:rPr>
          <w:rFonts w:ascii="Times New Roman" w:hAnsi="Times New Roman"/>
          <w:color w:val="000000"/>
          <w:szCs w:val="24"/>
        </w:rPr>
        <w:t>s</w:t>
      </w:r>
      <w:r w:rsidRPr="00C67A9F">
        <w:rPr>
          <w:rFonts w:ascii="Times New Roman" w:hAnsi="Times New Roman"/>
          <w:color w:val="000000"/>
          <w:szCs w:val="24"/>
        </w:rPr>
        <w:t xml:space="preserve"> </w:t>
      </w:r>
      <w:r w:rsidR="005F5044">
        <w:rPr>
          <w:rFonts w:ascii="Times New Roman" w:hAnsi="Times New Roman"/>
          <w:color w:val="000000"/>
          <w:szCs w:val="24"/>
        </w:rPr>
        <w:t xml:space="preserve">Form </w:t>
      </w:r>
      <w:r w:rsidRPr="00C67A9F">
        <w:rPr>
          <w:rFonts w:ascii="Times New Roman" w:hAnsi="Times New Roman"/>
          <w:color w:val="000000"/>
          <w:szCs w:val="24"/>
        </w:rPr>
        <w:t>G</w:t>
      </w:r>
      <w:r w:rsidR="006A0564">
        <w:rPr>
          <w:rFonts w:ascii="Times New Roman" w:hAnsi="Times New Roman"/>
          <w:color w:val="000000"/>
          <w:szCs w:val="24"/>
        </w:rPr>
        <w:t>-</w:t>
      </w:r>
      <w:r w:rsidRPr="00C67A9F">
        <w:rPr>
          <w:rFonts w:ascii="Times New Roman" w:hAnsi="Times New Roman"/>
          <w:color w:val="000000"/>
          <w:szCs w:val="24"/>
        </w:rPr>
        <w:t>FIN</w:t>
      </w:r>
      <w:r w:rsidR="006A0564">
        <w:rPr>
          <w:rFonts w:ascii="Times New Roman" w:hAnsi="Times New Roman"/>
          <w:color w:val="000000"/>
          <w:szCs w:val="24"/>
        </w:rPr>
        <w:t>-</w:t>
      </w:r>
      <w:r w:rsidRPr="00C67A9F">
        <w:rPr>
          <w:rFonts w:ascii="Times New Roman" w:hAnsi="Times New Roman"/>
          <w:color w:val="000000"/>
          <w:szCs w:val="24"/>
        </w:rPr>
        <w:t>4 (Disclosure Form for Person Associated with a Financial Institution Government Securities Broker or Dealer</w:t>
      </w:r>
      <w:r w:rsidR="001A3D59" w:rsidRPr="00C67A9F">
        <w:rPr>
          <w:rFonts w:ascii="Times New Roman" w:hAnsi="Times New Roman"/>
          <w:color w:val="000000"/>
          <w:szCs w:val="24"/>
        </w:rPr>
        <w:t>; OMB No. 1535-0089</w:t>
      </w:r>
      <w:r w:rsidRPr="00C67A9F">
        <w:rPr>
          <w:rFonts w:ascii="Times New Roman" w:hAnsi="Times New Roman"/>
          <w:color w:val="000000"/>
          <w:szCs w:val="24"/>
        </w:rPr>
        <w:t xml:space="preserve">).  These two </w:t>
      </w:r>
      <w:r w:rsidR="00D65ED9" w:rsidRPr="00C67A9F">
        <w:rPr>
          <w:rFonts w:ascii="Times New Roman" w:hAnsi="Times New Roman"/>
          <w:color w:val="000000"/>
          <w:szCs w:val="24"/>
        </w:rPr>
        <w:t xml:space="preserve">reporting </w:t>
      </w:r>
      <w:r w:rsidRPr="00C67A9F">
        <w:rPr>
          <w:rFonts w:ascii="Times New Roman" w:hAnsi="Times New Roman"/>
          <w:color w:val="000000"/>
          <w:szCs w:val="24"/>
        </w:rPr>
        <w:t xml:space="preserve">forms require almost identical information.  Likewise, </w:t>
      </w:r>
      <w:r w:rsidR="00D65ED9" w:rsidRPr="00C67A9F">
        <w:rPr>
          <w:rFonts w:ascii="Times New Roman" w:hAnsi="Times New Roman"/>
          <w:color w:val="000000"/>
          <w:szCs w:val="24"/>
        </w:rPr>
        <w:t xml:space="preserve">the </w:t>
      </w:r>
      <w:r w:rsidR="004C3A4D">
        <w:rPr>
          <w:rFonts w:ascii="Times New Roman" w:hAnsi="Times New Roman"/>
          <w:color w:val="000000"/>
          <w:szCs w:val="24"/>
        </w:rPr>
        <w:t>F</w:t>
      </w:r>
      <w:r w:rsidR="005F5044">
        <w:rPr>
          <w:rFonts w:ascii="Times New Roman" w:hAnsi="Times New Roman"/>
          <w:color w:val="000000"/>
          <w:szCs w:val="24"/>
        </w:rPr>
        <w:t>orm</w:t>
      </w:r>
      <w:r w:rsidR="004C3A4D">
        <w:rPr>
          <w:rFonts w:ascii="Times New Roman" w:hAnsi="Times New Roman"/>
          <w:color w:val="000000"/>
          <w:szCs w:val="24"/>
        </w:rPr>
        <w:t xml:space="preserve"> </w:t>
      </w:r>
      <w:r w:rsidRPr="00C67A9F">
        <w:rPr>
          <w:rFonts w:ascii="Times New Roman" w:hAnsi="Times New Roman"/>
          <w:color w:val="000000"/>
          <w:szCs w:val="24"/>
        </w:rPr>
        <w:t>MSD</w:t>
      </w:r>
      <w:r w:rsidR="006A0564">
        <w:rPr>
          <w:rFonts w:ascii="Times New Roman" w:hAnsi="Times New Roman"/>
          <w:color w:val="000000"/>
          <w:szCs w:val="24"/>
        </w:rPr>
        <w:t>-</w:t>
      </w:r>
      <w:r w:rsidRPr="00C67A9F">
        <w:rPr>
          <w:rFonts w:ascii="Times New Roman" w:hAnsi="Times New Roman"/>
          <w:color w:val="000000"/>
          <w:szCs w:val="24"/>
        </w:rPr>
        <w:t xml:space="preserve">5 may also be used in lieu of filing both </w:t>
      </w:r>
      <w:r w:rsidR="00380026" w:rsidRPr="00C67A9F">
        <w:rPr>
          <w:rFonts w:ascii="Times New Roman" w:hAnsi="Times New Roman"/>
          <w:color w:val="000000"/>
          <w:szCs w:val="24"/>
        </w:rPr>
        <w:t xml:space="preserve">the </w:t>
      </w:r>
      <w:r w:rsidR="004C3A4D">
        <w:rPr>
          <w:rFonts w:ascii="Times New Roman" w:hAnsi="Times New Roman"/>
          <w:color w:val="000000"/>
          <w:szCs w:val="24"/>
        </w:rPr>
        <w:t>F</w:t>
      </w:r>
      <w:r w:rsidR="005F5044">
        <w:rPr>
          <w:rFonts w:ascii="Times New Roman" w:hAnsi="Times New Roman"/>
          <w:color w:val="000000"/>
          <w:szCs w:val="24"/>
        </w:rPr>
        <w:t>orm</w:t>
      </w:r>
      <w:r w:rsidR="004C3A4D">
        <w:rPr>
          <w:rFonts w:ascii="Times New Roman" w:hAnsi="Times New Roman"/>
          <w:color w:val="000000"/>
          <w:szCs w:val="24"/>
        </w:rPr>
        <w:t xml:space="preserve"> </w:t>
      </w:r>
      <w:r w:rsidRPr="00C67A9F">
        <w:rPr>
          <w:rFonts w:ascii="Times New Roman" w:hAnsi="Times New Roman"/>
          <w:color w:val="000000"/>
          <w:szCs w:val="24"/>
        </w:rPr>
        <w:t>MSD</w:t>
      </w:r>
      <w:r w:rsidR="006A0564">
        <w:rPr>
          <w:rFonts w:ascii="Times New Roman" w:hAnsi="Times New Roman"/>
          <w:color w:val="000000"/>
          <w:szCs w:val="24"/>
        </w:rPr>
        <w:t>-</w:t>
      </w:r>
      <w:r w:rsidRPr="00C67A9F">
        <w:rPr>
          <w:rFonts w:ascii="Times New Roman" w:hAnsi="Times New Roman"/>
          <w:color w:val="000000"/>
          <w:szCs w:val="24"/>
        </w:rPr>
        <w:t xml:space="preserve">5 and </w:t>
      </w:r>
      <w:r w:rsidR="005F5044">
        <w:rPr>
          <w:rFonts w:ascii="Times New Roman" w:hAnsi="Times New Roman"/>
          <w:color w:val="000000"/>
          <w:szCs w:val="24"/>
        </w:rPr>
        <w:t xml:space="preserve">the Form </w:t>
      </w:r>
      <w:r w:rsidRPr="00C67A9F">
        <w:rPr>
          <w:rFonts w:ascii="Times New Roman" w:hAnsi="Times New Roman"/>
          <w:color w:val="000000"/>
          <w:szCs w:val="24"/>
        </w:rPr>
        <w:t>G</w:t>
      </w:r>
      <w:r w:rsidR="006A0564">
        <w:rPr>
          <w:rFonts w:ascii="Times New Roman" w:hAnsi="Times New Roman"/>
          <w:color w:val="000000"/>
          <w:szCs w:val="24"/>
        </w:rPr>
        <w:t>-</w:t>
      </w:r>
      <w:r w:rsidRPr="00C67A9F">
        <w:rPr>
          <w:rFonts w:ascii="Times New Roman" w:hAnsi="Times New Roman"/>
          <w:color w:val="000000"/>
          <w:szCs w:val="24"/>
        </w:rPr>
        <w:t>FIN</w:t>
      </w:r>
      <w:r w:rsidR="006A0564">
        <w:rPr>
          <w:rFonts w:ascii="Times New Roman" w:hAnsi="Times New Roman"/>
          <w:color w:val="000000"/>
          <w:szCs w:val="24"/>
        </w:rPr>
        <w:t>-</w:t>
      </w:r>
      <w:r w:rsidRPr="00C67A9F">
        <w:rPr>
          <w:rFonts w:ascii="Times New Roman" w:hAnsi="Times New Roman"/>
          <w:color w:val="000000"/>
          <w:szCs w:val="24"/>
        </w:rPr>
        <w:t>5</w:t>
      </w:r>
      <w:r w:rsidR="001A3D59" w:rsidRPr="00C67A9F">
        <w:rPr>
          <w:rFonts w:ascii="Times New Roman" w:hAnsi="Times New Roman"/>
          <w:color w:val="000000"/>
          <w:szCs w:val="24"/>
        </w:rPr>
        <w:t xml:space="preserve"> (Uniform Termination Notice for Person Associated with a Financial Institution Government Securities Broker or Dealer; OMB No. 1535-0089)</w:t>
      </w:r>
      <w:r w:rsidRPr="00C67A9F">
        <w:rPr>
          <w:rFonts w:ascii="Times New Roman" w:hAnsi="Times New Roman"/>
          <w:color w:val="000000"/>
          <w:szCs w:val="24"/>
        </w:rPr>
        <w:t xml:space="preserve"> to terminate an associated person.</w:t>
      </w:r>
    </w:p>
    <w:p w:rsidR="00CF1B6E" w:rsidRPr="00C67A9F" w:rsidRDefault="00CF1B6E" w:rsidP="006A0564">
      <w:pPr>
        <w:pStyle w:val="Style0"/>
        <w:rPr>
          <w:rFonts w:ascii="Times New Roman" w:hAnsi="Times New Roman"/>
          <w:color w:val="000000"/>
          <w:szCs w:val="24"/>
        </w:rPr>
      </w:pPr>
    </w:p>
    <w:p w:rsidR="00CF1B6E" w:rsidRPr="00C67A9F" w:rsidRDefault="00CF1B6E" w:rsidP="006A0564">
      <w:pPr>
        <w:pStyle w:val="Style0"/>
        <w:ind w:firstLine="720"/>
        <w:rPr>
          <w:rFonts w:ascii="Times New Roman" w:hAnsi="Times New Roman"/>
          <w:color w:val="000000"/>
          <w:szCs w:val="24"/>
        </w:rPr>
      </w:pPr>
      <w:r w:rsidRPr="00C67A9F">
        <w:rPr>
          <w:rFonts w:ascii="Times New Roman" w:hAnsi="Times New Roman"/>
          <w:color w:val="000000"/>
          <w:szCs w:val="24"/>
        </w:rPr>
        <w:t xml:space="preserve">On September 13, 2011 (MSRB Notice 2011-54), the MSRB announced the creation of a new designation of registered person, a Municipal Securities Sales Limited Representative.  </w:t>
      </w:r>
      <w:r w:rsidR="00695F48" w:rsidRPr="00C67A9F">
        <w:rPr>
          <w:rFonts w:ascii="Times New Roman" w:hAnsi="Times New Roman"/>
          <w:color w:val="000000"/>
          <w:szCs w:val="24"/>
        </w:rPr>
        <w:t>T</w:t>
      </w:r>
      <w:r w:rsidRPr="00C67A9F">
        <w:rPr>
          <w:rFonts w:ascii="Times New Roman" w:hAnsi="Times New Roman"/>
          <w:color w:val="000000"/>
          <w:szCs w:val="24"/>
        </w:rPr>
        <w:t>he Municipal Securities Sales Limited Representative, a sub-category of Municipal Securities Representative, is limited to sales to and purchases from customers of municipal securities.</w:t>
      </w:r>
    </w:p>
    <w:p w:rsidR="00CF1B6E" w:rsidRPr="00C67A9F" w:rsidRDefault="00CF1B6E" w:rsidP="00CF1B6E">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rPr>
      </w:pPr>
    </w:p>
    <w:p w:rsidR="0083781B" w:rsidRDefault="00CF1B6E" w:rsidP="004C3A4D">
      <w:pPr>
        <w:pStyle w:val="Style0"/>
        <w:ind w:firstLine="720"/>
        <w:rPr>
          <w:rFonts w:ascii="Times New Roman" w:hAnsi="Times New Roman"/>
          <w:color w:val="000000"/>
          <w:szCs w:val="24"/>
        </w:rPr>
      </w:pPr>
      <w:r w:rsidRPr="00C67A9F">
        <w:rPr>
          <w:rFonts w:ascii="Times New Roman" w:hAnsi="Times New Roman"/>
          <w:color w:val="000000"/>
          <w:szCs w:val="24"/>
        </w:rPr>
        <w:t>The creation of the Municipal Securities Sales Limited Representative designation resulted from changes in the structure of the Series 7 qualification examination which now</w:t>
      </w:r>
      <w:r w:rsidR="004C3A4D">
        <w:rPr>
          <w:rFonts w:ascii="Times New Roman" w:hAnsi="Times New Roman"/>
          <w:color w:val="000000"/>
          <w:szCs w:val="24"/>
        </w:rPr>
        <w:t xml:space="preserve"> </w:t>
      </w:r>
    </w:p>
    <w:p w:rsidR="00CF1B6E" w:rsidRPr="00C67A9F" w:rsidRDefault="00CF1B6E" w:rsidP="0083781B">
      <w:pPr>
        <w:pStyle w:val="Style0"/>
        <w:rPr>
          <w:rFonts w:ascii="Times New Roman" w:hAnsi="Times New Roman"/>
          <w:color w:val="000000"/>
          <w:szCs w:val="24"/>
        </w:rPr>
      </w:pPr>
      <w:proofErr w:type="gramStart"/>
      <w:r w:rsidRPr="00C67A9F">
        <w:rPr>
          <w:rFonts w:ascii="Times New Roman" w:hAnsi="Times New Roman"/>
          <w:color w:val="000000"/>
          <w:szCs w:val="24"/>
        </w:rPr>
        <w:t>focuses</w:t>
      </w:r>
      <w:proofErr w:type="gramEnd"/>
      <w:r w:rsidRPr="00C67A9F">
        <w:rPr>
          <w:rFonts w:ascii="Times New Roman" w:hAnsi="Times New Roman"/>
          <w:color w:val="000000"/>
          <w:szCs w:val="24"/>
        </w:rPr>
        <w:t xml:space="preserve"> on a broader range of securities products.</w:t>
      </w:r>
      <w:r w:rsidR="0022799C" w:rsidRPr="00C67A9F">
        <w:rPr>
          <w:rStyle w:val="FootnoteReference"/>
          <w:rFonts w:ascii="Times New Roman" w:hAnsi="Times New Roman"/>
          <w:color w:val="000000"/>
          <w:szCs w:val="24"/>
          <w:vertAlign w:val="superscript"/>
        </w:rPr>
        <w:footnoteReference w:id="4"/>
      </w:r>
      <w:r w:rsidRPr="00C67A9F">
        <w:rPr>
          <w:rFonts w:ascii="Times New Roman" w:hAnsi="Times New Roman"/>
          <w:color w:val="000000"/>
          <w:szCs w:val="24"/>
        </w:rPr>
        <w:t xml:space="preserve">  Because of the shift in emphasis and cut in the number of municipal securities questions, the Series 7 exam will no longer qualify associates </w:t>
      </w:r>
      <w:r w:rsidRPr="00C67A9F">
        <w:rPr>
          <w:rFonts w:ascii="Times New Roman" w:hAnsi="Times New Roman"/>
          <w:color w:val="000000"/>
          <w:szCs w:val="24"/>
        </w:rPr>
        <w:lastRenderedPageBreak/>
        <w:t xml:space="preserve">as </w:t>
      </w:r>
      <w:r w:rsidR="006A0564">
        <w:rPr>
          <w:rFonts w:ascii="Times New Roman" w:hAnsi="Times New Roman"/>
          <w:color w:val="000000"/>
          <w:szCs w:val="24"/>
        </w:rPr>
        <w:t>“</w:t>
      </w:r>
      <w:r w:rsidRPr="00C67A9F">
        <w:rPr>
          <w:rFonts w:ascii="Times New Roman" w:hAnsi="Times New Roman"/>
          <w:color w:val="000000"/>
          <w:szCs w:val="24"/>
        </w:rPr>
        <w:t>municipal securities representatives.</w:t>
      </w:r>
      <w:r w:rsidR="006A0564">
        <w:rPr>
          <w:rFonts w:ascii="Times New Roman" w:hAnsi="Times New Roman"/>
          <w:color w:val="000000"/>
          <w:szCs w:val="24"/>
        </w:rPr>
        <w:t>”</w:t>
      </w:r>
      <w:r w:rsidRPr="00C67A9F">
        <w:rPr>
          <w:rFonts w:ascii="Times New Roman" w:hAnsi="Times New Roman"/>
          <w:color w:val="000000"/>
          <w:szCs w:val="24"/>
        </w:rPr>
        <w:t xml:space="preserve">  Rather, individuals who take the Series 7 examination will be referred to as a </w:t>
      </w:r>
      <w:r w:rsidR="006A0564">
        <w:rPr>
          <w:rFonts w:ascii="Times New Roman" w:hAnsi="Times New Roman"/>
          <w:color w:val="000000"/>
          <w:szCs w:val="24"/>
        </w:rPr>
        <w:t>“</w:t>
      </w:r>
      <w:r w:rsidRPr="00C67A9F">
        <w:rPr>
          <w:rFonts w:ascii="Times New Roman" w:hAnsi="Times New Roman"/>
          <w:color w:val="000000"/>
          <w:szCs w:val="24"/>
        </w:rPr>
        <w:t>municipal securities sales limited representative</w:t>
      </w:r>
      <w:r w:rsidR="006A0564">
        <w:rPr>
          <w:rFonts w:ascii="Times New Roman" w:hAnsi="Times New Roman"/>
          <w:color w:val="000000"/>
          <w:szCs w:val="24"/>
        </w:rPr>
        <w:t>”</w:t>
      </w:r>
      <w:r w:rsidRPr="00C67A9F">
        <w:rPr>
          <w:rFonts w:ascii="Times New Roman" w:hAnsi="Times New Roman"/>
          <w:color w:val="000000"/>
          <w:szCs w:val="24"/>
        </w:rPr>
        <w:t xml:space="preserve"> and be limited </w:t>
      </w:r>
      <w:r w:rsidR="00A754CE" w:rsidRPr="00C67A9F">
        <w:rPr>
          <w:rFonts w:ascii="Times New Roman" w:hAnsi="Times New Roman"/>
          <w:color w:val="000000"/>
          <w:szCs w:val="24"/>
        </w:rPr>
        <w:t xml:space="preserve">solely </w:t>
      </w:r>
      <w:r w:rsidRPr="00C67A9F">
        <w:rPr>
          <w:rFonts w:ascii="Times New Roman" w:hAnsi="Times New Roman"/>
          <w:color w:val="000000"/>
          <w:szCs w:val="24"/>
        </w:rPr>
        <w:t>to sales activities</w:t>
      </w:r>
      <w:r w:rsidR="00A754CE" w:rsidRPr="00C67A9F">
        <w:rPr>
          <w:rFonts w:ascii="Times New Roman" w:hAnsi="Times New Roman"/>
          <w:color w:val="000000"/>
          <w:szCs w:val="24"/>
        </w:rPr>
        <w:t>.</w:t>
      </w:r>
      <w:r w:rsidRPr="00C67A9F">
        <w:rPr>
          <w:rFonts w:ascii="Times New Roman" w:hAnsi="Times New Roman"/>
          <w:color w:val="000000"/>
          <w:szCs w:val="24"/>
        </w:rPr>
        <w:t xml:space="preserve">  All other individuals will be required to pass the Series 52 exam in order to qualify as full municipal securities representatives</w:t>
      </w:r>
      <w:r w:rsidR="006A0564">
        <w:rPr>
          <w:rFonts w:ascii="Times New Roman" w:hAnsi="Times New Roman"/>
          <w:color w:val="000000"/>
          <w:szCs w:val="24"/>
        </w:rPr>
        <w:t>.</w:t>
      </w:r>
      <w:r w:rsidR="006A0564" w:rsidRPr="006A0564">
        <w:rPr>
          <w:rStyle w:val="FootnoteReference"/>
          <w:rFonts w:ascii="Times New Roman" w:hAnsi="Times New Roman"/>
          <w:color w:val="000000"/>
          <w:szCs w:val="24"/>
          <w:vertAlign w:val="superscript"/>
        </w:rPr>
        <w:footnoteReference w:id="5"/>
      </w:r>
    </w:p>
    <w:p w:rsidR="00E653EA" w:rsidRPr="00C67A9F" w:rsidRDefault="00E653E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rPr>
      </w:pPr>
    </w:p>
    <w:p w:rsidR="00E653EA" w:rsidRPr="00C67A9F" w:rsidRDefault="00E653E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color w:val="000000"/>
          <w:szCs w:val="24"/>
        </w:rPr>
      </w:pPr>
      <w:r w:rsidRPr="00C67A9F">
        <w:rPr>
          <w:rFonts w:ascii="Times New Roman" w:hAnsi="Times New Roman"/>
          <w:b/>
          <w:color w:val="000000"/>
          <w:szCs w:val="24"/>
        </w:rPr>
        <w:t>Description of Information Collection</w:t>
      </w:r>
    </w:p>
    <w:p w:rsidR="001A3D59" w:rsidRPr="008C23E1" w:rsidRDefault="001A3D59">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rPr>
      </w:pPr>
    </w:p>
    <w:p w:rsidR="00ED48C9" w:rsidRPr="00C67A9F" w:rsidRDefault="00ED48C9" w:rsidP="008C23E1">
      <w:pPr>
        <w:pStyle w:val="Style0"/>
        <w:ind w:firstLine="720"/>
        <w:rPr>
          <w:rFonts w:ascii="Times New Roman" w:hAnsi="Times New Roman"/>
          <w:color w:val="000000"/>
          <w:szCs w:val="24"/>
        </w:rPr>
      </w:pPr>
      <w:r w:rsidRPr="00C67A9F">
        <w:rPr>
          <w:rFonts w:ascii="Times New Roman" w:hAnsi="Times New Roman"/>
          <w:color w:val="000000"/>
          <w:szCs w:val="24"/>
        </w:rPr>
        <w:t>MSRB rule G</w:t>
      </w:r>
      <w:r w:rsidR="00DF12F8">
        <w:rPr>
          <w:rFonts w:ascii="Times New Roman" w:hAnsi="Times New Roman"/>
          <w:color w:val="000000"/>
          <w:szCs w:val="24"/>
        </w:rPr>
        <w:t>-</w:t>
      </w:r>
      <w:r w:rsidRPr="00C67A9F">
        <w:rPr>
          <w:rFonts w:ascii="Times New Roman" w:hAnsi="Times New Roman"/>
          <w:color w:val="000000"/>
          <w:szCs w:val="24"/>
        </w:rPr>
        <w:t>7, Information Concerning Associated Persons, requires persons who are or seek to be associated with municipal securities dealers as municipal securities principals (persons performing supervisory functions) or representatives (persons engaged in underwriting, trading, or sales of municipal securities or furnishing financial advice to issuers in connection with the issuance of municipal securities) to provide certain background information to the municipal securities dealers.  The rule also requires municipal securities dealers to obtain and report this information.  Generally, the information required to be disclosed by MSRB rule G</w:t>
      </w:r>
      <w:r w:rsidR="00DF12F8">
        <w:rPr>
          <w:rFonts w:ascii="Times New Roman" w:hAnsi="Times New Roman"/>
          <w:color w:val="000000"/>
          <w:szCs w:val="24"/>
        </w:rPr>
        <w:t>-</w:t>
      </w:r>
      <w:r w:rsidRPr="00C67A9F">
        <w:rPr>
          <w:rFonts w:ascii="Times New Roman" w:hAnsi="Times New Roman"/>
          <w:color w:val="000000"/>
          <w:szCs w:val="24"/>
        </w:rPr>
        <w:t>7 relates to employment history and professional background including any disciplinary sanctions and any claimed basis for exemption from MSRB examination requirements.  MSRB rule G</w:t>
      </w:r>
      <w:r w:rsidR="00DF12F8">
        <w:rPr>
          <w:rFonts w:ascii="Times New Roman" w:hAnsi="Times New Roman"/>
          <w:color w:val="000000"/>
          <w:szCs w:val="24"/>
        </w:rPr>
        <w:t>-</w:t>
      </w:r>
      <w:r w:rsidRPr="00C67A9F">
        <w:rPr>
          <w:rFonts w:ascii="Times New Roman" w:hAnsi="Times New Roman"/>
          <w:color w:val="000000"/>
          <w:szCs w:val="24"/>
        </w:rPr>
        <w:t>7 provides that the information may be provided on the</w:t>
      </w:r>
      <w:r w:rsidR="004C3A4D">
        <w:rPr>
          <w:rFonts w:ascii="Times New Roman" w:hAnsi="Times New Roman"/>
          <w:color w:val="000000"/>
          <w:szCs w:val="24"/>
        </w:rPr>
        <w:t xml:space="preserve"> F</w:t>
      </w:r>
      <w:r w:rsidR="00185692">
        <w:rPr>
          <w:rFonts w:ascii="Times New Roman" w:hAnsi="Times New Roman"/>
          <w:color w:val="000000"/>
          <w:szCs w:val="24"/>
        </w:rPr>
        <w:t>orm</w:t>
      </w:r>
      <w:r w:rsidRPr="00C67A9F">
        <w:rPr>
          <w:rFonts w:ascii="Times New Roman" w:hAnsi="Times New Roman"/>
          <w:color w:val="000000"/>
          <w:szCs w:val="24"/>
        </w:rPr>
        <w:t xml:space="preserve"> MSD</w:t>
      </w:r>
      <w:r w:rsidR="00DF12F8">
        <w:rPr>
          <w:rFonts w:ascii="Times New Roman" w:hAnsi="Times New Roman"/>
          <w:color w:val="000000"/>
          <w:szCs w:val="24"/>
        </w:rPr>
        <w:t>-</w:t>
      </w:r>
      <w:r w:rsidRPr="00C67A9F">
        <w:rPr>
          <w:rFonts w:ascii="Times New Roman" w:hAnsi="Times New Roman"/>
          <w:color w:val="000000"/>
          <w:szCs w:val="24"/>
        </w:rPr>
        <w:t>4 for a bank dealer.</w:t>
      </w:r>
    </w:p>
    <w:p w:rsidR="00E653EA" w:rsidRPr="00C67A9F" w:rsidRDefault="00E653E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rPr>
      </w:pPr>
    </w:p>
    <w:p w:rsidR="00D051C5" w:rsidRPr="00C67A9F" w:rsidRDefault="00D65ED9" w:rsidP="00DF12F8">
      <w:pPr>
        <w:pStyle w:val="Style0"/>
        <w:ind w:firstLine="720"/>
        <w:rPr>
          <w:rFonts w:ascii="Times New Roman" w:hAnsi="Times New Roman"/>
          <w:color w:val="000000"/>
          <w:szCs w:val="24"/>
        </w:rPr>
      </w:pPr>
      <w:r w:rsidRPr="00C67A9F" w:rsidDel="006F1106">
        <w:rPr>
          <w:rFonts w:ascii="Times New Roman" w:hAnsi="Times New Roman"/>
          <w:color w:val="000000"/>
          <w:szCs w:val="24"/>
        </w:rPr>
        <w:t xml:space="preserve">The </w:t>
      </w:r>
      <w:r w:rsidR="004C3A4D">
        <w:rPr>
          <w:rFonts w:ascii="Times New Roman" w:hAnsi="Times New Roman"/>
          <w:color w:val="000000"/>
          <w:szCs w:val="24"/>
        </w:rPr>
        <w:t>F</w:t>
      </w:r>
      <w:r w:rsidR="00185692">
        <w:rPr>
          <w:rFonts w:ascii="Times New Roman" w:hAnsi="Times New Roman"/>
          <w:color w:val="000000"/>
          <w:szCs w:val="24"/>
        </w:rPr>
        <w:t>orm</w:t>
      </w:r>
      <w:r w:rsidR="004C3A4D">
        <w:rPr>
          <w:rFonts w:ascii="Times New Roman" w:hAnsi="Times New Roman"/>
          <w:color w:val="000000"/>
          <w:szCs w:val="24"/>
        </w:rPr>
        <w:t xml:space="preserve"> </w:t>
      </w:r>
      <w:r w:rsidR="00E653EA" w:rsidRPr="00C67A9F" w:rsidDel="006F1106">
        <w:rPr>
          <w:rFonts w:ascii="Times New Roman" w:hAnsi="Times New Roman"/>
          <w:color w:val="000000"/>
          <w:szCs w:val="24"/>
        </w:rPr>
        <w:t>MSD-4 is the source document for initial information submitted to each regulatory agency</w:t>
      </w:r>
      <w:r w:rsidR="004B4BB2" w:rsidRPr="00C67A9F" w:rsidDel="006F1106">
        <w:rPr>
          <w:rFonts w:ascii="Times New Roman" w:hAnsi="Times New Roman"/>
          <w:color w:val="000000"/>
          <w:szCs w:val="24"/>
        </w:rPr>
        <w:t xml:space="preserve"> on an employee whom the bank wishes to assume the duties of municipal securities principal or representative.</w:t>
      </w:r>
      <w:r w:rsidR="00E653EA" w:rsidRPr="00C67A9F" w:rsidDel="006F1106">
        <w:rPr>
          <w:rFonts w:ascii="Times New Roman" w:hAnsi="Times New Roman"/>
          <w:color w:val="000000"/>
          <w:szCs w:val="24"/>
        </w:rPr>
        <w:t xml:space="preserve"> </w:t>
      </w:r>
      <w:r w:rsidR="004B4BB2" w:rsidRPr="00C67A9F" w:rsidDel="006F1106">
        <w:rPr>
          <w:rFonts w:ascii="Times New Roman" w:hAnsi="Times New Roman"/>
          <w:color w:val="000000"/>
          <w:szCs w:val="24"/>
        </w:rPr>
        <w:t xml:space="preserve"> Generally, </w:t>
      </w:r>
      <w:r w:rsidRPr="00C67A9F" w:rsidDel="006F1106">
        <w:rPr>
          <w:rFonts w:ascii="Times New Roman" w:hAnsi="Times New Roman"/>
          <w:color w:val="000000"/>
          <w:szCs w:val="24"/>
        </w:rPr>
        <w:t xml:space="preserve">the </w:t>
      </w:r>
      <w:r w:rsidR="004C3A4D">
        <w:rPr>
          <w:rFonts w:ascii="Times New Roman" w:hAnsi="Times New Roman"/>
          <w:color w:val="000000"/>
          <w:szCs w:val="24"/>
        </w:rPr>
        <w:t>F</w:t>
      </w:r>
      <w:r w:rsidR="00185692">
        <w:rPr>
          <w:rFonts w:ascii="Times New Roman" w:hAnsi="Times New Roman"/>
          <w:color w:val="000000"/>
          <w:szCs w:val="24"/>
        </w:rPr>
        <w:t>orm</w:t>
      </w:r>
      <w:r w:rsidR="004C3A4D">
        <w:rPr>
          <w:rFonts w:ascii="Times New Roman" w:hAnsi="Times New Roman"/>
          <w:color w:val="000000"/>
          <w:szCs w:val="24"/>
        </w:rPr>
        <w:t xml:space="preserve"> </w:t>
      </w:r>
      <w:r w:rsidR="004B4BB2" w:rsidRPr="00C67A9F" w:rsidDel="006F1106">
        <w:rPr>
          <w:rFonts w:ascii="Times New Roman" w:hAnsi="Times New Roman"/>
          <w:color w:val="000000"/>
          <w:szCs w:val="24"/>
        </w:rPr>
        <w:t>MSD</w:t>
      </w:r>
      <w:r w:rsidR="00DF12F8">
        <w:rPr>
          <w:rFonts w:ascii="Times New Roman" w:hAnsi="Times New Roman"/>
          <w:color w:val="000000"/>
          <w:szCs w:val="24"/>
        </w:rPr>
        <w:t>-</w:t>
      </w:r>
      <w:r w:rsidR="004B4BB2" w:rsidRPr="00C67A9F" w:rsidDel="006F1106">
        <w:rPr>
          <w:rFonts w:ascii="Times New Roman" w:hAnsi="Times New Roman"/>
          <w:color w:val="000000"/>
          <w:szCs w:val="24"/>
        </w:rPr>
        <w:t xml:space="preserve">4 collects </w:t>
      </w:r>
      <w:r w:rsidR="0022799C" w:rsidRPr="00C67A9F">
        <w:rPr>
          <w:rFonts w:ascii="Times New Roman" w:hAnsi="Times New Roman"/>
          <w:color w:val="000000"/>
          <w:szCs w:val="24"/>
        </w:rPr>
        <w:t xml:space="preserve">such </w:t>
      </w:r>
      <w:r w:rsidR="004B4BB2" w:rsidRPr="00C67A9F" w:rsidDel="006F1106">
        <w:rPr>
          <w:rFonts w:ascii="Times New Roman" w:hAnsi="Times New Roman"/>
          <w:color w:val="000000"/>
          <w:szCs w:val="24"/>
        </w:rPr>
        <w:t xml:space="preserve">information </w:t>
      </w:r>
      <w:r w:rsidR="0022799C" w:rsidRPr="00C67A9F">
        <w:rPr>
          <w:rFonts w:ascii="Times New Roman" w:hAnsi="Times New Roman"/>
          <w:color w:val="000000"/>
          <w:szCs w:val="24"/>
        </w:rPr>
        <w:t>as</w:t>
      </w:r>
      <w:r w:rsidR="004B4BB2" w:rsidRPr="00C67A9F" w:rsidDel="006F1106">
        <w:rPr>
          <w:rFonts w:ascii="Times New Roman" w:hAnsi="Times New Roman"/>
          <w:color w:val="000000"/>
          <w:szCs w:val="24"/>
        </w:rPr>
        <w:t xml:space="preserve"> employment history and professional background, including any disciplinary sanctions and any claim basis for exemption from MSRB examination requirements. </w:t>
      </w:r>
      <w:r w:rsidR="00D051C5" w:rsidRPr="00C67A9F">
        <w:rPr>
          <w:rFonts w:ascii="Times New Roman" w:hAnsi="Times New Roman"/>
          <w:color w:val="000000"/>
          <w:szCs w:val="24"/>
        </w:rPr>
        <w:t xml:space="preserve">  </w:t>
      </w:r>
      <w:r w:rsidR="004B4BB2" w:rsidRPr="00C67A9F" w:rsidDel="006F1106">
        <w:rPr>
          <w:rFonts w:ascii="Times New Roman" w:hAnsi="Times New Roman"/>
          <w:color w:val="000000"/>
          <w:szCs w:val="24"/>
        </w:rPr>
        <w:t xml:space="preserve">In addition, the </w:t>
      </w:r>
      <w:r w:rsidR="003B5214" w:rsidRPr="00C67A9F" w:rsidDel="006F1106">
        <w:rPr>
          <w:rFonts w:ascii="Times New Roman" w:hAnsi="Times New Roman"/>
          <w:color w:val="000000"/>
          <w:szCs w:val="24"/>
        </w:rPr>
        <w:t xml:space="preserve">reporting </w:t>
      </w:r>
      <w:r w:rsidR="004B4BB2" w:rsidRPr="00C67A9F" w:rsidDel="006F1106">
        <w:rPr>
          <w:rFonts w:ascii="Times New Roman" w:hAnsi="Times New Roman"/>
          <w:color w:val="000000"/>
          <w:szCs w:val="24"/>
        </w:rPr>
        <w:t>form solicits personal information that most people would include on a resume.</w:t>
      </w:r>
    </w:p>
    <w:p w:rsidR="00D051C5" w:rsidRPr="00C67A9F" w:rsidRDefault="00D051C5" w:rsidP="00D051C5">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rPr>
      </w:pPr>
    </w:p>
    <w:p w:rsidR="00E653EA" w:rsidRPr="00C67A9F" w:rsidDel="006F1106" w:rsidRDefault="00D65ED9" w:rsidP="00DF12F8">
      <w:pPr>
        <w:pStyle w:val="Style0"/>
        <w:ind w:firstLine="720"/>
        <w:rPr>
          <w:rFonts w:ascii="Times New Roman" w:hAnsi="Times New Roman"/>
          <w:color w:val="000000"/>
          <w:szCs w:val="24"/>
        </w:rPr>
      </w:pPr>
      <w:r w:rsidRPr="00C67A9F" w:rsidDel="006F1106">
        <w:rPr>
          <w:rFonts w:ascii="Times New Roman" w:hAnsi="Times New Roman"/>
          <w:color w:val="000000"/>
          <w:szCs w:val="24"/>
        </w:rPr>
        <w:t xml:space="preserve">The </w:t>
      </w:r>
      <w:r w:rsidR="004C3A4D">
        <w:rPr>
          <w:rFonts w:ascii="Times New Roman" w:hAnsi="Times New Roman"/>
          <w:color w:val="000000"/>
          <w:szCs w:val="24"/>
        </w:rPr>
        <w:t>F</w:t>
      </w:r>
      <w:r w:rsidR="00185692">
        <w:rPr>
          <w:rFonts w:ascii="Times New Roman" w:hAnsi="Times New Roman"/>
          <w:color w:val="000000"/>
          <w:szCs w:val="24"/>
        </w:rPr>
        <w:t>orm</w:t>
      </w:r>
      <w:r w:rsidR="004C3A4D">
        <w:rPr>
          <w:rFonts w:ascii="Times New Roman" w:hAnsi="Times New Roman"/>
          <w:color w:val="000000"/>
          <w:szCs w:val="24"/>
        </w:rPr>
        <w:t xml:space="preserve"> </w:t>
      </w:r>
      <w:r w:rsidR="00E653EA" w:rsidRPr="00C67A9F" w:rsidDel="006F1106">
        <w:rPr>
          <w:rFonts w:ascii="Times New Roman" w:hAnsi="Times New Roman"/>
          <w:color w:val="000000"/>
          <w:szCs w:val="24"/>
        </w:rPr>
        <w:t>MSD-5 is the source document for updating the information when an associated person</w:t>
      </w:r>
      <w:r w:rsidR="006A0564">
        <w:rPr>
          <w:rFonts w:ascii="Times New Roman" w:hAnsi="Times New Roman"/>
          <w:color w:val="000000"/>
          <w:szCs w:val="24"/>
        </w:rPr>
        <w:t>’</w:t>
      </w:r>
      <w:r w:rsidR="00E653EA" w:rsidRPr="00C67A9F" w:rsidDel="006F1106">
        <w:rPr>
          <w:rFonts w:ascii="Times New Roman" w:hAnsi="Times New Roman"/>
          <w:color w:val="000000"/>
          <w:szCs w:val="24"/>
        </w:rPr>
        <w:t>s employmen</w:t>
      </w:r>
      <w:r w:rsidR="004B4BB2" w:rsidRPr="00C67A9F" w:rsidDel="006F1106">
        <w:rPr>
          <w:rFonts w:ascii="Times New Roman" w:hAnsi="Times New Roman"/>
          <w:color w:val="000000"/>
          <w:szCs w:val="24"/>
        </w:rPr>
        <w:t>t is terminated for any reason.</w:t>
      </w:r>
      <w:r w:rsidR="00E653EA" w:rsidRPr="00C67A9F" w:rsidDel="006F1106">
        <w:rPr>
          <w:rFonts w:ascii="Times New Roman" w:hAnsi="Times New Roman"/>
          <w:color w:val="000000"/>
          <w:szCs w:val="24"/>
        </w:rPr>
        <w:t xml:space="preserve">  </w:t>
      </w:r>
      <w:r w:rsidRPr="00C67A9F" w:rsidDel="006F1106">
        <w:rPr>
          <w:rFonts w:ascii="Times New Roman" w:hAnsi="Times New Roman"/>
          <w:color w:val="000000"/>
          <w:szCs w:val="24"/>
        </w:rPr>
        <w:t xml:space="preserve">The </w:t>
      </w:r>
      <w:r w:rsidR="004C3A4D">
        <w:rPr>
          <w:rFonts w:ascii="Times New Roman" w:hAnsi="Times New Roman"/>
          <w:color w:val="000000"/>
          <w:szCs w:val="24"/>
        </w:rPr>
        <w:t>F</w:t>
      </w:r>
      <w:r w:rsidR="00185692">
        <w:rPr>
          <w:rFonts w:ascii="Times New Roman" w:hAnsi="Times New Roman"/>
          <w:color w:val="000000"/>
          <w:szCs w:val="24"/>
        </w:rPr>
        <w:t>orm</w:t>
      </w:r>
      <w:r w:rsidR="004C3A4D">
        <w:rPr>
          <w:rFonts w:ascii="Times New Roman" w:hAnsi="Times New Roman"/>
          <w:color w:val="000000"/>
          <w:szCs w:val="24"/>
        </w:rPr>
        <w:t xml:space="preserve"> </w:t>
      </w:r>
      <w:r w:rsidR="004B4BB2" w:rsidRPr="00C67A9F" w:rsidDel="006F1106">
        <w:rPr>
          <w:rFonts w:ascii="Times New Roman" w:hAnsi="Times New Roman"/>
          <w:color w:val="000000"/>
          <w:szCs w:val="24"/>
        </w:rPr>
        <w:t>MSD</w:t>
      </w:r>
      <w:r w:rsidR="00DF12F8">
        <w:rPr>
          <w:rFonts w:ascii="Times New Roman" w:hAnsi="Times New Roman"/>
          <w:color w:val="000000"/>
          <w:szCs w:val="24"/>
        </w:rPr>
        <w:t>-</w:t>
      </w:r>
      <w:r w:rsidR="004B4BB2" w:rsidRPr="00C67A9F" w:rsidDel="006F1106">
        <w:rPr>
          <w:rFonts w:ascii="Times New Roman" w:hAnsi="Times New Roman"/>
          <w:color w:val="000000"/>
          <w:szCs w:val="24"/>
        </w:rPr>
        <w:t xml:space="preserve">5 requires </w:t>
      </w:r>
      <w:r w:rsidR="0022799C" w:rsidRPr="00C67A9F">
        <w:rPr>
          <w:rFonts w:ascii="Times New Roman" w:hAnsi="Times New Roman"/>
          <w:color w:val="000000"/>
          <w:szCs w:val="24"/>
        </w:rPr>
        <w:t>such information as</w:t>
      </w:r>
      <w:r w:rsidR="004B4BB2" w:rsidRPr="00C67A9F" w:rsidDel="006F1106">
        <w:rPr>
          <w:rFonts w:ascii="Times New Roman" w:hAnsi="Times New Roman"/>
          <w:color w:val="000000"/>
          <w:szCs w:val="24"/>
        </w:rPr>
        <w:t xml:space="preserve"> the reason for termination and whether any investigations or actions by agencies or SROs involving the associated person occurred during the period of employment. </w:t>
      </w:r>
      <w:r w:rsidR="005C00B7" w:rsidRPr="00C67A9F" w:rsidDel="006F1106">
        <w:rPr>
          <w:rFonts w:ascii="Times New Roman" w:hAnsi="Times New Roman"/>
          <w:color w:val="000000"/>
          <w:szCs w:val="24"/>
        </w:rPr>
        <w:t xml:space="preserve"> </w:t>
      </w:r>
      <w:r w:rsidR="00E653EA" w:rsidRPr="00C67A9F" w:rsidDel="006F1106">
        <w:rPr>
          <w:rFonts w:ascii="Times New Roman" w:hAnsi="Times New Roman"/>
          <w:color w:val="000000"/>
          <w:szCs w:val="24"/>
        </w:rPr>
        <w:t xml:space="preserve">Both </w:t>
      </w:r>
      <w:r w:rsidR="003B5214" w:rsidRPr="00C67A9F" w:rsidDel="006F1106">
        <w:rPr>
          <w:rFonts w:ascii="Times New Roman" w:hAnsi="Times New Roman"/>
          <w:color w:val="000000"/>
          <w:szCs w:val="24"/>
        </w:rPr>
        <w:t xml:space="preserve">information collections </w:t>
      </w:r>
      <w:r w:rsidR="00E653EA" w:rsidRPr="00C67A9F" w:rsidDel="006F1106">
        <w:rPr>
          <w:rFonts w:ascii="Times New Roman" w:hAnsi="Times New Roman"/>
          <w:color w:val="000000"/>
          <w:szCs w:val="24"/>
        </w:rPr>
        <w:t>are event</w:t>
      </w:r>
      <w:r w:rsidR="003B5214" w:rsidRPr="00C67A9F" w:rsidDel="006F1106">
        <w:rPr>
          <w:rFonts w:ascii="Times New Roman" w:hAnsi="Times New Roman"/>
          <w:color w:val="000000"/>
          <w:szCs w:val="24"/>
        </w:rPr>
        <w:t>-</w:t>
      </w:r>
      <w:r w:rsidR="00E653EA" w:rsidRPr="00C67A9F" w:rsidDel="006F1106">
        <w:rPr>
          <w:rFonts w:ascii="Times New Roman" w:hAnsi="Times New Roman"/>
          <w:color w:val="000000"/>
          <w:szCs w:val="24"/>
        </w:rPr>
        <w:t>generated.</w:t>
      </w:r>
    </w:p>
    <w:p w:rsidR="00E653EA" w:rsidRPr="00DF12F8" w:rsidRDefault="00E653E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rPr>
      </w:pPr>
    </w:p>
    <w:p w:rsidR="004B4BB2" w:rsidRPr="00C67A9F" w:rsidRDefault="00E653EA" w:rsidP="004B4BB2">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olor w:val="000000"/>
          <w:szCs w:val="24"/>
        </w:rPr>
      </w:pPr>
      <w:r w:rsidRPr="00C67A9F">
        <w:rPr>
          <w:rFonts w:ascii="Times New Roman" w:hAnsi="Times New Roman"/>
          <w:color w:val="000000"/>
          <w:szCs w:val="24"/>
        </w:rPr>
        <w:t xml:space="preserve">Currently, there are </w:t>
      </w:r>
      <w:r w:rsidR="00B460C7" w:rsidRPr="00C67A9F">
        <w:rPr>
          <w:rFonts w:ascii="Times New Roman" w:hAnsi="Times New Roman"/>
          <w:color w:val="000000"/>
          <w:szCs w:val="24"/>
        </w:rPr>
        <w:t>12</w:t>
      </w:r>
      <w:r w:rsidRPr="00C67A9F">
        <w:rPr>
          <w:rFonts w:ascii="Times New Roman" w:hAnsi="Times New Roman"/>
          <w:color w:val="000000"/>
          <w:szCs w:val="24"/>
        </w:rPr>
        <w:t xml:space="preserve"> </w:t>
      </w:r>
      <w:r w:rsidR="00E9153A" w:rsidRPr="00C67A9F">
        <w:rPr>
          <w:rFonts w:ascii="Times New Roman" w:hAnsi="Times New Roman"/>
          <w:color w:val="000000"/>
          <w:szCs w:val="24"/>
        </w:rPr>
        <w:t>SMB</w:t>
      </w:r>
      <w:r w:rsidRPr="00C67A9F">
        <w:rPr>
          <w:rFonts w:ascii="Times New Roman" w:hAnsi="Times New Roman"/>
          <w:color w:val="000000"/>
          <w:szCs w:val="24"/>
        </w:rPr>
        <w:t xml:space="preserve">s registered as municipal securities dealers.  Any </w:t>
      </w:r>
      <w:r w:rsidR="00E9153A" w:rsidRPr="00C67A9F">
        <w:rPr>
          <w:rFonts w:ascii="Times New Roman" w:hAnsi="Times New Roman"/>
          <w:color w:val="000000"/>
          <w:szCs w:val="24"/>
        </w:rPr>
        <w:t>SMB</w:t>
      </w:r>
      <w:r w:rsidR="00B76E02" w:rsidRPr="00C67A9F">
        <w:rPr>
          <w:rFonts w:ascii="Times New Roman" w:hAnsi="Times New Roman"/>
          <w:color w:val="000000"/>
          <w:szCs w:val="24"/>
        </w:rPr>
        <w:t>, BHC, or foreign dealer bank</w:t>
      </w:r>
      <w:r w:rsidRPr="00C67A9F">
        <w:rPr>
          <w:rFonts w:ascii="Times New Roman" w:hAnsi="Times New Roman"/>
          <w:color w:val="000000"/>
          <w:szCs w:val="24"/>
        </w:rPr>
        <w:t xml:space="preserve"> registering as a municipal securities dealer in the future will be required to file these event-generated </w:t>
      </w:r>
      <w:r w:rsidR="00D65ED9" w:rsidRPr="00C67A9F">
        <w:rPr>
          <w:rFonts w:ascii="Times New Roman" w:hAnsi="Times New Roman"/>
          <w:color w:val="000000"/>
          <w:szCs w:val="24"/>
        </w:rPr>
        <w:t xml:space="preserve">reporting </w:t>
      </w:r>
      <w:r w:rsidRPr="00C67A9F">
        <w:rPr>
          <w:rFonts w:ascii="Times New Roman" w:hAnsi="Times New Roman"/>
          <w:color w:val="000000"/>
          <w:szCs w:val="24"/>
        </w:rPr>
        <w:t xml:space="preserve">forms for its employees.  </w:t>
      </w:r>
      <w:r w:rsidR="004B4BB2" w:rsidRPr="00C67A9F">
        <w:rPr>
          <w:rFonts w:ascii="Times New Roman" w:hAnsi="Times New Roman"/>
          <w:color w:val="000000"/>
          <w:szCs w:val="24"/>
        </w:rPr>
        <w:t xml:space="preserve">Bank municipal securities dealers must retain exact copies of </w:t>
      </w:r>
      <w:r w:rsidR="00380026" w:rsidRPr="00C67A9F">
        <w:rPr>
          <w:rFonts w:ascii="Times New Roman" w:hAnsi="Times New Roman"/>
          <w:color w:val="000000"/>
          <w:szCs w:val="24"/>
        </w:rPr>
        <w:t xml:space="preserve">the </w:t>
      </w:r>
      <w:r w:rsidR="004C3A4D">
        <w:rPr>
          <w:rFonts w:ascii="Times New Roman" w:hAnsi="Times New Roman"/>
          <w:color w:val="000000"/>
          <w:szCs w:val="24"/>
        </w:rPr>
        <w:t>F</w:t>
      </w:r>
      <w:r w:rsidR="00185692">
        <w:rPr>
          <w:rFonts w:ascii="Times New Roman" w:hAnsi="Times New Roman"/>
          <w:color w:val="000000"/>
          <w:szCs w:val="24"/>
        </w:rPr>
        <w:t>orm</w:t>
      </w:r>
      <w:r w:rsidR="004C3A4D">
        <w:rPr>
          <w:rFonts w:ascii="Times New Roman" w:hAnsi="Times New Roman"/>
          <w:color w:val="000000"/>
          <w:szCs w:val="24"/>
        </w:rPr>
        <w:t xml:space="preserve"> </w:t>
      </w:r>
      <w:r w:rsidR="004B4BB2" w:rsidRPr="00C67A9F">
        <w:rPr>
          <w:rFonts w:ascii="Times New Roman" w:hAnsi="Times New Roman"/>
          <w:color w:val="000000"/>
          <w:szCs w:val="24"/>
        </w:rPr>
        <w:t>MSD</w:t>
      </w:r>
      <w:r w:rsidR="00DF12F8">
        <w:rPr>
          <w:rFonts w:ascii="Times New Roman" w:hAnsi="Times New Roman"/>
          <w:color w:val="000000"/>
          <w:szCs w:val="24"/>
        </w:rPr>
        <w:t>-</w:t>
      </w:r>
      <w:r w:rsidR="004B4BB2" w:rsidRPr="00C67A9F">
        <w:rPr>
          <w:rFonts w:ascii="Times New Roman" w:hAnsi="Times New Roman"/>
          <w:color w:val="000000"/>
          <w:szCs w:val="24"/>
        </w:rPr>
        <w:t xml:space="preserve">4 for each associated person during the entire term of employment and both </w:t>
      </w:r>
      <w:r w:rsidR="00380026" w:rsidRPr="00C67A9F">
        <w:rPr>
          <w:rFonts w:ascii="Times New Roman" w:hAnsi="Times New Roman"/>
          <w:color w:val="000000"/>
          <w:szCs w:val="24"/>
        </w:rPr>
        <w:t xml:space="preserve">the </w:t>
      </w:r>
      <w:r w:rsidR="004C3A4D">
        <w:rPr>
          <w:rFonts w:ascii="Times New Roman" w:hAnsi="Times New Roman"/>
          <w:color w:val="000000"/>
          <w:szCs w:val="24"/>
        </w:rPr>
        <w:t>F</w:t>
      </w:r>
      <w:r w:rsidR="00185692">
        <w:rPr>
          <w:rFonts w:ascii="Times New Roman" w:hAnsi="Times New Roman"/>
          <w:color w:val="000000"/>
          <w:szCs w:val="24"/>
        </w:rPr>
        <w:t>orm</w:t>
      </w:r>
      <w:r w:rsidR="004C3A4D">
        <w:rPr>
          <w:rFonts w:ascii="Times New Roman" w:hAnsi="Times New Roman"/>
          <w:color w:val="000000"/>
          <w:szCs w:val="24"/>
        </w:rPr>
        <w:t xml:space="preserve"> </w:t>
      </w:r>
      <w:r w:rsidR="004B4BB2" w:rsidRPr="00C67A9F">
        <w:rPr>
          <w:rFonts w:ascii="Times New Roman" w:hAnsi="Times New Roman"/>
          <w:color w:val="000000"/>
          <w:szCs w:val="24"/>
        </w:rPr>
        <w:t>MSD</w:t>
      </w:r>
      <w:r w:rsidR="00DF12F8">
        <w:rPr>
          <w:rFonts w:ascii="Times New Roman" w:hAnsi="Times New Roman"/>
          <w:color w:val="000000"/>
          <w:szCs w:val="24"/>
        </w:rPr>
        <w:t>-</w:t>
      </w:r>
      <w:r w:rsidR="004B4BB2" w:rsidRPr="00C67A9F">
        <w:rPr>
          <w:rFonts w:ascii="Times New Roman" w:hAnsi="Times New Roman"/>
          <w:color w:val="000000"/>
          <w:szCs w:val="24"/>
        </w:rPr>
        <w:t xml:space="preserve">4 and </w:t>
      </w:r>
      <w:r w:rsidR="004C3A4D">
        <w:rPr>
          <w:rFonts w:ascii="Times New Roman" w:hAnsi="Times New Roman"/>
          <w:color w:val="000000"/>
          <w:szCs w:val="24"/>
        </w:rPr>
        <w:t>F</w:t>
      </w:r>
      <w:r w:rsidR="00185692">
        <w:rPr>
          <w:rFonts w:ascii="Times New Roman" w:hAnsi="Times New Roman"/>
          <w:color w:val="000000"/>
          <w:szCs w:val="24"/>
        </w:rPr>
        <w:t>orm</w:t>
      </w:r>
      <w:r w:rsidR="004C3A4D">
        <w:rPr>
          <w:rFonts w:ascii="Times New Roman" w:hAnsi="Times New Roman"/>
          <w:color w:val="000000"/>
          <w:szCs w:val="24"/>
        </w:rPr>
        <w:t xml:space="preserve"> </w:t>
      </w:r>
      <w:r w:rsidR="004B4BB2" w:rsidRPr="00C67A9F">
        <w:rPr>
          <w:rFonts w:ascii="Times New Roman" w:hAnsi="Times New Roman"/>
          <w:color w:val="000000"/>
          <w:szCs w:val="24"/>
        </w:rPr>
        <w:t>MSD</w:t>
      </w:r>
      <w:r w:rsidR="00DF12F8">
        <w:rPr>
          <w:rFonts w:ascii="Times New Roman" w:hAnsi="Times New Roman"/>
          <w:color w:val="000000"/>
          <w:szCs w:val="24"/>
        </w:rPr>
        <w:t>-</w:t>
      </w:r>
      <w:r w:rsidR="004B4BB2" w:rsidRPr="00C67A9F">
        <w:rPr>
          <w:rFonts w:ascii="Times New Roman" w:hAnsi="Times New Roman"/>
          <w:color w:val="000000"/>
          <w:szCs w:val="24"/>
        </w:rPr>
        <w:t>5 for three years from the date of termination of employment.</w:t>
      </w:r>
    </w:p>
    <w:p w:rsidR="00E653EA" w:rsidRPr="00C67A9F" w:rsidRDefault="00E653EA" w:rsidP="00DF12F8">
      <w:pPr>
        <w:pStyle w:val="Style0"/>
        <w:rPr>
          <w:rFonts w:ascii="Times New Roman" w:hAnsi="Times New Roman"/>
          <w:color w:val="000000"/>
          <w:szCs w:val="24"/>
        </w:rPr>
      </w:pPr>
    </w:p>
    <w:p w:rsidR="00DF1880" w:rsidRPr="00C67A9F" w:rsidRDefault="00DF1880" w:rsidP="00DF12F8">
      <w:pPr>
        <w:pStyle w:val="Style0"/>
        <w:ind w:firstLine="720"/>
        <w:rPr>
          <w:rFonts w:ascii="Times New Roman" w:hAnsi="Times New Roman"/>
          <w:b/>
          <w:color w:val="000000"/>
          <w:szCs w:val="24"/>
        </w:rPr>
      </w:pPr>
      <w:r w:rsidRPr="00C67A9F">
        <w:rPr>
          <w:rFonts w:ascii="Times New Roman" w:hAnsi="Times New Roman"/>
          <w:b/>
          <w:color w:val="000000"/>
          <w:szCs w:val="24"/>
        </w:rPr>
        <w:t>Proposed Revision</w:t>
      </w:r>
    </w:p>
    <w:p w:rsidR="00DF1880" w:rsidRPr="00C67A9F" w:rsidRDefault="00DF1880" w:rsidP="00DF12F8">
      <w:pPr>
        <w:pStyle w:val="Style0"/>
        <w:rPr>
          <w:rFonts w:ascii="Times New Roman" w:hAnsi="Times New Roman"/>
          <w:color w:val="000000"/>
          <w:szCs w:val="24"/>
        </w:rPr>
      </w:pPr>
    </w:p>
    <w:p w:rsidR="00F80AEA" w:rsidRPr="00C67A9F" w:rsidDel="00F80AEA" w:rsidRDefault="00F80AEA" w:rsidP="00DF12F8">
      <w:pPr>
        <w:pStyle w:val="Style0"/>
        <w:ind w:firstLine="720"/>
        <w:rPr>
          <w:rFonts w:ascii="Times New Roman" w:hAnsi="Times New Roman"/>
          <w:color w:val="000000"/>
          <w:szCs w:val="24"/>
        </w:rPr>
      </w:pPr>
      <w:r w:rsidRPr="00C67A9F">
        <w:rPr>
          <w:rFonts w:ascii="Times New Roman" w:hAnsi="Times New Roman"/>
          <w:color w:val="000000"/>
          <w:szCs w:val="24"/>
        </w:rPr>
        <w:t xml:space="preserve">To conform </w:t>
      </w:r>
      <w:r w:rsidR="001A77C9" w:rsidRPr="00C67A9F">
        <w:rPr>
          <w:rFonts w:ascii="Times New Roman" w:hAnsi="Times New Roman"/>
          <w:color w:val="000000"/>
          <w:szCs w:val="24"/>
        </w:rPr>
        <w:t>to</w:t>
      </w:r>
      <w:r w:rsidRPr="00C67A9F">
        <w:rPr>
          <w:rFonts w:ascii="Times New Roman" w:hAnsi="Times New Roman"/>
          <w:color w:val="000000"/>
          <w:szCs w:val="24"/>
        </w:rPr>
        <w:t xml:space="preserve"> MSRB Notice 2011-54, </w:t>
      </w:r>
      <w:r w:rsidR="0047648A" w:rsidRPr="00C67A9F">
        <w:rPr>
          <w:rFonts w:ascii="Times New Roman" w:hAnsi="Times New Roman"/>
          <w:color w:val="000000"/>
          <w:szCs w:val="24"/>
        </w:rPr>
        <w:t>the Federal Reserve</w:t>
      </w:r>
      <w:r w:rsidRPr="00C67A9F">
        <w:rPr>
          <w:rFonts w:ascii="Times New Roman" w:hAnsi="Times New Roman"/>
          <w:color w:val="000000"/>
          <w:szCs w:val="24"/>
        </w:rPr>
        <w:t xml:space="preserve"> proposes to make a minor revision to the </w:t>
      </w:r>
      <w:r w:rsidR="004C3A4D">
        <w:rPr>
          <w:rFonts w:ascii="Times New Roman" w:hAnsi="Times New Roman"/>
          <w:color w:val="000000"/>
          <w:szCs w:val="24"/>
        </w:rPr>
        <w:t>F</w:t>
      </w:r>
      <w:r w:rsidR="00185692">
        <w:rPr>
          <w:rFonts w:ascii="Times New Roman" w:hAnsi="Times New Roman"/>
          <w:color w:val="000000"/>
          <w:szCs w:val="24"/>
        </w:rPr>
        <w:t>orm</w:t>
      </w:r>
      <w:r w:rsidR="004C3A4D">
        <w:rPr>
          <w:rFonts w:ascii="Times New Roman" w:hAnsi="Times New Roman"/>
          <w:color w:val="000000"/>
          <w:szCs w:val="24"/>
        </w:rPr>
        <w:t xml:space="preserve"> </w:t>
      </w:r>
      <w:r w:rsidRPr="00C67A9F">
        <w:rPr>
          <w:rFonts w:ascii="Times New Roman" w:hAnsi="Times New Roman"/>
          <w:color w:val="000000"/>
          <w:szCs w:val="24"/>
        </w:rPr>
        <w:t xml:space="preserve">MSD-4 </w:t>
      </w:r>
      <w:r w:rsidR="00695F48" w:rsidRPr="00C67A9F">
        <w:rPr>
          <w:rFonts w:ascii="Times New Roman" w:hAnsi="Times New Roman"/>
          <w:color w:val="000000"/>
          <w:szCs w:val="24"/>
        </w:rPr>
        <w:t xml:space="preserve">reporting form </w:t>
      </w:r>
      <w:r w:rsidRPr="00C67A9F">
        <w:rPr>
          <w:rFonts w:ascii="Times New Roman" w:hAnsi="Times New Roman"/>
          <w:color w:val="000000"/>
          <w:szCs w:val="24"/>
        </w:rPr>
        <w:t xml:space="preserve">to add the Municipal Securities Sales Limited </w:t>
      </w:r>
      <w:r w:rsidRPr="00C67A9F">
        <w:rPr>
          <w:rFonts w:ascii="Times New Roman" w:hAnsi="Times New Roman"/>
          <w:color w:val="000000"/>
          <w:szCs w:val="24"/>
        </w:rPr>
        <w:lastRenderedPageBreak/>
        <w:t xml:space="preserve">Representative as a new type of qualification.  The proposed </w:t>
      </w:r>
      <w:r w:rsidR="00695F48" w:rsidRPr="00C67A9F">
        <w:rPr>
          <w:rFonts w:ascii="Times New Roman" w:hAnsi="Times New Roman"/>
          <w:color w:val="000000"/>
          <w:szCs w:val="24"/>
        </w:rPr>
        <w:t xml:space="preserve">reporting </w:t>
      </w:r>
      <w:r w:rsidRPr="00C67A9F">
        <w:rPr>
          <w:rFonts w:ascii="Times New Roman" w:hAnsi="Times New Roman"/>
          <w:color w:val="000000"/>
          <w:szCs w:val="24"/>
        </w:rPr>
        <w:t>form</w:t>
      </w:r>
      <w:r w:rsidR="001A77C9" w:rsidRPr="00C67A9F">
        <w:rPr>
          <w:rFonts w:ascii="Times New Roman" w:hAnsi="Times New Roman"/>
          <w:color w:val="000000"/>
          <w:szCs w:val="24"/>
        </w:rPr>
        <w:t>, in all other respects,</w:t>
      </w:r>
      <w:r w:rsidRPr="00C67A9F">
        <w:rPr>
          <w:rFonts w:ascii="Times New Roman" w:hAnsi="Times New Roman"/>
          <w:color w:val="000000"/>
          <w:szCs w:val="24"/>
        </w:rPr>
        <w:t xml:space="preserve"> would preserve the </w:t>
      </w:r>
      <w:r w:rsidR="001A77C9" w:rsidRPr="00C67A9F">
        <w:rPr>
          <w:rFonts w:ascii="Times New Roman" w:hAnsi="Times New Roman"/>
          <w:color w:val="000000"/>
          <w:szCs w:val="24"/>
        </w:rPr>
        <w:t>structure of the current form.</w:t>
      </w:r>
    </w:p>
    <w:p w:rsidR="00DF1880" w:rsidRPr="00C67A9F" w:rsidRDefault="00DF1880" w:rsidP="00DF12F8">
      <w:pPr>
        <w:pStyle w:val="Style0"/>
        <w:rPr>
          <w:rFonts w:ascii="Times New Roman" w:hAnsi="Times New Roman"/>
          <w:color w:val="000000"/>
        </w:rPr>
      </w:pPr>
    </w:p>
    <w:p w:rsidR="00E653EA" w:rsidRPr="00C67A9F" w:rsidRDefault="00E653E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color w:val="000000"/>
          <w:szCs w:val="24"/>
        </w:rPr>
      </w:pPr>
      <w:r w:rsidRPr="00C67A9F">
        <w:rPr>
          <w:rFonts w:ascii="Times New Roman" w:hAnsi="Times New Roman"/>
          <w:b/>
          <w:color w:val="000000"/>
          <w:szCs w:val="24"/>
        </w:rPr>
        <w:t>Time Schedule for Information Collection</w:t>
      </w:r>
    </w:p>
    <w:p w:rsidR="00E653EA" w:rsidRPr="007C2162" w:rsidRDefault="00E653E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rPr>
      </w:pPr>
    </w:p>
    <w:p w:rsidR="00E653EA" w:rsidRPr="00C67A9F" w:rsidRDefault="00E653EA" w:rsidP="00DE4BC3">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olor w:val="000000"/>
          <w:szCs w:val="24"/>
        </w:rPr>
      </w:pPr>
      <w:r w:rsidRPr="00C67A9F">
        <w:rPr>
          <w:rFonts w:ascii="Times New Roman" w:hAnsi="Times New Roman"/>
          <w:color w:val="000000"/>
          <w:szCs w:val="24"/>
        </w:rPr>
        <w:t>MSRB rule G</w:t>
      </w:r>
      <w:r w:rsidR="007C2162">
        <w:rPr>
          <w:rFonts w:ascii="Times New Roman" w:hAnsi="Times New Roman"/>
          <w:color w:val="000000"/>
          <w:szCs w:val="24"/>
        </w:rPr>
        <w:t>-</w:t>
      </w:r>
      <w:r w:rsidRPr="00C67A9F">
        <w:rPr>
          <w:rFonts w:ascii="Times New Roman" w:hAnsi="Times New Roman"/>
          <w:color w:val="000000"/>
          <w:szCs w:val="24"/>
        </w:rPr>
        <w:t xml:space="preserve">7 requires filing </w:t>
      </w:r>
      <w:r w:rsidR="00380026" w:rsidRPr="00C67A9F">
        <w:rPr>
          <w:rFonts w:ascii="Times New Roman" w:hAnsi="Times New Roman"/>
          <w:color w:val="000000"/>
          <w:szCs w:val="24"/>
        </w:rPr>
        <w:t xml:space="preserve">the </w:t>
      </w:r>
      <w:r w:rsidR="004C3A4D">
        <w:rPr>
          <w:rFonts w:ascii="Times New Roman" w:hAnsi="Times New Roman"/>
          <w:color w:val="000000"/>
          <w:szCs w:val="24"/>
        </w:rPr>
        <w:t>F</w:t>
      </w:r>
      <w:r w:rsidR="00185692">
        <w:rPr>
          <w:rFonts w:ascii="Times New Roman" w:hAnsi="Times New Roman"/>
          <w:color w:val="000000"/>
          <w:szCs w:val="24"/>
        </w:rPr>
        <w:t>orm</w:t>
      </w:r>
      <w:r w:rsidR="004C3A4D">
        <w:rPr>
          <w:rFonts w:ascii="Times New Roman" w:hAnsi="Times New Roman"/>
          <w:color w:val="000000"/>
          <w:szCs w:val="24"/>
        </w:rPr>
        <w:t xml:space="preserve"> </w:t>
      </w:r>
      <w:r w:rsidRPr="00C67A9F">
        <w:rPr>
          <w:rFonts w:ascii="Times New Roman" w:hAnsi="Times New Roman"/>
          <w:color w:val="000000"/>
          <w:szCs w:val="24"/>
        </w:rPr>
        <w:t>MSD</w:t>
      </w:r>
      <w:r w:rsidRPr="00C67A9F">
        <w:rPr>
          <w:rFonts w:ascii="Times New Roman" w:hAnsi="Times New Roman"/>
          <w:color w:val="000000"/>
          <w:szCs w:val="24"/>
        </w:rPr>
        <w:noBreakHyphen/>
        <w:t xml:space="preserve">4 prior to permitting a person to be associated with a municipal securities dealer.  Further, a bank is required to file </w:t>
      </w:r>
      <w:r w:rsidR="00380026" w:rsidRPr="00C67A9F">
        <w:rPr>
          <w:rFonts w:ascii="Times New Roman" w:hAnsi="Times New Roman"/>
          <w:color w:val="000000"/>
          <w:szCs w:val="24"/>
        </w:rPr>
        <w:t xml:space="preserve">the </w:t>
      </w:r>
      <w:r w:rsidR="004C3A4D">
        <w:rPr>
          <w:rFonts w:ascii="Times New Roman" w:hAnsi="Times New Roman"/>
          <w:color w:val="000000"/>
          <w:szCs w:val="24"/>
        </w:rPr>
        <w:t>F</w:t>
      </w:r>
      <w:r w:rsidR="00185692">
        <w:rPr>
          <w:rFonts w:ascii="Times New Roman" w:hAnsi="Times New Roman"/>
          <w:color w:val="000000"/>
          <w:szCs w:val="24"/>
        </w:rPr>
        <w:t>orm</w:t>
      </w:r>
      <w:r w:rsidR="004C3A4D">
        <w:rPr>
          <w:rFonts w:ascii="Times New Roman" w:hAnsi="Times New Roman"/>
          <w:color w:val="000000"/>
          <w:szCs w:val="24"/>
        </w:rPr>
        <w:t xml:space="preserve"> </w:t>
      </w:r>
      <w:r w:rsidRPr="00C67A9F">
        <w:rPr>
          <w:rFonts w:ascii="Times New Roman" w:hAnsi="Times New Roman"/>
          <w:color w:val="000000"/>
          <w:szCs w:val="24"/>
        </w:rPr>
        <w:t>MSD</w:t>
      </w:r>
      <w:r w:rsidR="007C2162">
        <w:rPr>
          <w:rFonts w:ascii="Times New Roman" w:hAnsi="Times New Roman"/>
          <w:color w:val="000000"/>
          <w:szCs w:val="24"/>
        </w:rPr>
        <w:t>-</w:t>
      </w:r>
      <w:r w:rsidRPr="00C67A9F">
        <w:rPr>
          <w:rFonts w:ascii="Times New Roman" w:hAnsi="Times New Roman"/>
          <w:color w:val="000000"/>
          <w:szCs w:val="24"/>
        </w:rPr>
        <w:t xml:space="preserve">5 within </w:t>
      </w:r>
      <w:r w:rsidR="00E9153A" w:rsidRPr="00C67A9F">
        <w:rPr>
          <w:rFonts w:ascii="Times New Roman" w:hAnsi="Times New Roman"/>
          <w:color w:val="000000"/>
          <w:szCs w:val="24"/>
        </w:rPr>
        <w:t xml:space="preserve">30 </w:t>
      </w:r>
      <w:r w:rsidRPr="00C67A9F">
        <w:rPr>
          <w:rFonts w:ascii="Times New Roman" w:hAnsi="Times New Roman"/>
          <w:color w:val="000000"/>
          <w:szCs w:val="24"/>
        </w:rPr>
        <w:t xml:space="preserve">days after a principal or representative terminates association with the municipal securities dealer.  Completed </w:t>
      </w:r>
      <w:r w:rsidR="00D65ED9" w:rsidRPr="00C67A9F">
        <w:rPr>
          <w:rFonts w:ascii="Times New Roman" w:hAnsi="Times New Roman"/>
          <w:color w:val="000000"/>
          <w:szCs w:val="24"/>
        </w:rPr>
        <w:t xml:space="preserve">reporting </w:t>
      </w:r>
      <w:r w:rsidRPr="00C67A9F">
        <w:rPr>
          <w:rFonts w:ascii="Times New Roman" w:hAnsi="Times New Roman"/>
          <w:color w:val="000000"/>
          <w:szCs w:val="24"/>
        </w:rPr>
        <w:t xml:space="preserve">forms are sent directly to the </w:t>
      </w:r>
      <w:r w:rsidR="0047648A" w:rsidRPr="00C67A9F">
        <w:rPr>
          <w:rFonts w:ascii="Times New Roman" w:hAnsi="Times New Roman"/>
          <w:color w:val="000000"/>
          <w:szCs w:val="24"/>
        </w:rPr>
        <w:t xml:space="preserve">Federal Reserve </w:t>
      </w:r>
      <w:r w:rsidRPr="00C67A9F">
        <w:rPr>
          <w:rFonts w:ascii="Times New Roman" w:hAnsi="Times New Roman"/>
          <w:color w:val="000000"/>
          <w:szCs w:val="24"/>
        </w:rPr>
        <w:t xml:space="preserve">Board.  The information collected on </w:t>
      </w:r>
      <w:r w:rsidR="00380026" w:rsidRPr="00C67A9F">
        <w:rPr>
          <w:rFonts w:ascii="Times New Roman" w:hAnsi="Times New Roman"/>
          <w:color w:val="000000"/>
          <w:szCs w:val="24"/>
        </w:rPr>
        <w:t xml:space="preserve">the </w:t>
      </w:r>
      <w:r w:rsidR="004C3A4D">
        <w:rPr>
          <w:rFonts w:ascii="Times New Roman" w:hAnsi="Times New Roman"/>
          <w:color w:val="000000"/>
          <w:szCs w:val="24"/>
        </w:rPr>
        <w:t>F</w:t>
      </w:r>
      <w:r w:rsidR="00185692">
        <w:rPr>
          <w:rFonts w:ascii="Times New Roman" w:hAnsi="Times New Roman"/>
          <w:color w:val="000000"/>
          <w:szCs w:val="24"/>
        </w:rPr>
        <w:t>orm</w:t>
      </w:r>
      <w:r w:rsidR="004C3A4D">
        <w:rPr>
          <w:rFonts w:ascii="Times New Roman" w:hAnsi="Times New Roman"/>
          <w:color w:val="000000"/>
          <w:szCs w:val="24"/>
        </w:rPr>
        <w:t xml:space="preserve"> </w:t>
      </w:r>
      <w:r w:rsidRPr="00C67A9F">
        <w:rPr>
          <w:rFonts w:ascii="Times New Roman" w:hAnsi="Times New Roman"/>
          <w:color w:val="000000"/>
          <w:szCs w:val="24"/>
        </w:rPr>
        <w:t>MSD</w:t>
      </w:r>
      <w:r w:rsidR="007C2162">
        <w:rPr>
          <w:rFonts w:ascii="Times New Roman" w:hAnsi="Times New Roman"/>
          <w:color w:val="000000"/>
          <w:szCs w:val="24"/>
        </w:rPr>
        <w:t>-</w:t>
      </w:r>
      <w:r w:rsidRPr="00C67A9F">
        <w:rPr>
          <w:rFonts w:ascii="Times New Roman" w:hAnsi="Times New Roman"/>
          <w:color w:val="000000"/>
          <w:szCs w:val="24"/>
        </w:rPr>
        <w:t xml:space="preserve">4 and </w:t>
      </w:r>
      <w:r w:rsidR="004C3A4D">
        <w:rPr>
          <w:rFonts w:ascii="Times New Roman" w:hAnsi="Times New Roman"/>
          <w:color w:val="000000"/>
          <w:szCs w:val="24"/>
        </w:rPr>
        <w:t>F</w:t>
      </w:r>
      <w:r w:rsidR="00185692">
        <w:rPr>
          <w:rFonts w:ascii="Times New Roman" w:hAnsi="Times New Roman"/>
          <w:color w:val="000000"/>
          <w:szCs w:val="24"/>
        </w:rPr>
        <w:t>orm</w:t>
      </w:r>
      <w:r w:rsidR="004C3A4D">
        <w:rPr>
          <w:rFonts w:ascii="Times New Roman" w:hAnsi="Times New Roman"/>
          <w:color w:val="000000"/>
          <w:szCs w:val="24"/>
        </w:rPr>
        <w:t xml:space="preserve"> </w:t>
      </w:r>
      <w:r w:rsidRPr="00C67A9F">
        <w:rPr>
          <w:rFonts w:ascii="Times New Roman" w:hAnsi="Times New Roman"/>
          <w:color w:val="000000"/>
          <w:szCs w:val="24"/>
        </w:rPr>
        <w:t>MSD</w:t>
      </w:r>
      <w:r w:rsidR="007C2162">
        <w:rPr>
          <w:rFonts w:ascii="Times New Roman" w:hAnsi="Times New Roman"/>
          <w:color w:val="000000"/>
          <w:szCs w:val="24"/>
        </w:rPr>
        <w:t>-</w:t>
      </w:r>
      <w:r w:rsidRPr="00C67A9F">
        <w:rPr>
          <w:rFonts w:ascii="Times New Roman" w:hAnsi="Times New Roman"/>
          <w:color w:val="000000"/>
          <w:szCs w:val="24"/>
        </w:rPr>
        <w:t>5 is not published, nor is it otherwise available to the public.</w:t>
      </w:r>
    </w:p>
    <w:p w:rsidR="00E653EA" w:rsidRPr="00C67A9F" w:rsidRDefault="00E653E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rPr>
      </w:pPr>
    </w:p>
    <w:p w:rsidR="00E653EA" w:rsidRPr="00C67A9F" w:rsidRDefault="00E653E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color w:val="000000"/>
          <w:szCs w:val="24"/>
        </w:rPr>
      </w:pPr>
      <w:r w:rsidRPr="00C67A9F">
        <w:rPr>
          <w:rFonts w:ascii="Times New Roman" w:hAnsi="Times New Roman"/>
          <w:b/>
          <w:color w:val="000000"/>
          <w:szCs w:val="24"/>
        </w:rPr>
        <w:t>Legal Status</w:t>
      </w:r>
    </w:p>
    <w:p w:rsidR="00E653EA" w:rsidRPr="00C67A9F" w:rsidRDefault="00E653E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color w:val="000000"/>
          <w:szCs w:val="24"/>
        </w:rPr>
      </w:pPr>
    </w:p>
    <w:p w:rsidR="006C7573" w:rsidRPr="00C67A9F" w:rsidRDefault="006C7573" w:rsidP="007C2162">
      <w:pPr>
        <w:pStyle w:val="Style0"/>
        <w:ind w:firstLine="720"/>
        <w:rPr>
          <w:rFonts w:ascii="Times New Roman" w:hAnsi="Times New Roman"/>
          <w:color w:val="000000"/>
          <w:szCs w:val="24"/>
        </w:rPr>
      </w:pPr>
      <w:r w:rsidRPr="00C67A9F">
        <w:rPr>
          <w:rFonts w:ascii="Times New Roman" w:hAnsi="Times New Roman"/>
          <w:color w:val="000000"/>
        </w:rPr>
        <w:t xml:space="preserve">The </w:t>
      </w:r>
      <w:r w:rsidR="0047648A" w:rsidRPr="00C67A9F">
        <w:rPr>
          <w:rFonts w:ascii="Times New Roman" w:hAnsi="Times New Roman"/>
          <w:color w:val="000000"/>
        </w:rPr>
        <w:t xml:space="preserve">Federal Reserve </w:t>
      </w:r>
      <w:r w:rsidRPr="00C67A9F">
        <w:rPr>
          <w:rFonts w:ascii="Times New Roman" w:hAnsi="Times New Roman"/>
          <w:color w:val="000000"/>
        </w:rPr>
        <w:t>Board</w:t>
      </w:r>
      <w:r w:rsidR="006A0564">
        <w:rPr>
          <w:rFonts w:ascii="Times New Roman" w:hAnsi="Times New Roman"/>
          <w:color w:val="000000"/>
        </w:rPr>
        <w:t>’</w:t>
      </w:r>
      <w:r w:rsidRPr="00C67A9F">
        <w:rPr>
          <w:rFonts w:ascii="Times New Roman" w:hAnsi="Times New Roman"/>
          <w:color w:val="000000"/>
        </w:rPr>
        <w:t>s Legal Division has determined that the</w:t>
      </w:r>
      <w:r w:rsidR="000F5CF4" w:rsidRPr="00C67A9F">
        <w:rPr>
          <w:rFonts w:ascii="Times New Roman" w:hAnsi="Times New Roman"/>
          <w:color w:val="000000"/>
          <w:szCs w:val="24"/>
        </w:rPr>
        <w:t xml:space="preserve"> Federal Reserve Act (12 U.S.C. §</w:t>
      </w:r>
      <w:r w:rsidR="007C2162">
        <w:rPr>
          <w:rFonts w:ascii="Times New Roman" w:hAnsi="Times New Roman"/>
          <w:color w:val="000000"/>
          <w:szCs w:val="24"/>
        </w:rPr>
        <w:t xml:space="preserve"> </w:t>
      </w:r>
      <w:r w:rsidR="000F5CF4" w:rsidRPr="00C67A9F">
        <w:rPr>
          <w:rFonts w:ascii="Times New Roman" w:hAnsi="Times New Roman"/>
          <w:color w:val="000000"/>
          <w:szCs w:val="24"/>
        </w:rPr>
        <w:t>248(a</w:t>
      </w:r>
      <w:proofErr w:type="gramStart"/>
      <w:r w:rsidR="000F5CF4" w:rsidRPr="00C67A9F">
        <w:rPr>
          <w:rFonts w:ascii="Times New Roman" w:hAnsi="Times New Roman"/>
          <w:color w:val="000000"/>
          <w:szCs w:val="24"/>
        </w:rPr>
        <w:t>)(</w:t>
      </w:r>
      <w:proofErr w:type="gramEnd"/>
      <w:r w:rsidR="000F5CF4" w:rsidRPr="00C67A9F">
        <w:rPr>
          <w:rFonts w:ascii="Times New Roman" w:hAnsi="Times New Roman"/>
          <w:color w:val="000000"/>
          <w:szCs w:val="24"/>
        </w:rPr>
        <w:t xml:space="preserve">1)) for state member banks and (12 U.S.C. </w:t>
      </w:r>
      <w:r w:rsidR="007C2162" w:rsidRPr="00C67A9F">
        <w:rPr>
          <w:rFonts w:ascii="Times New Roman" w:hAnsi="Times New Roman"/>
          <w:color w:val="000000"/>
          <w:szCs w:val="24"/>
        </w:rPr>
        <w:t>§</w:t>
      </w:r>
      <w:r w:rsidR="007C2162">
        <w:rPr>
          <w:rFonts w:ascii="Times New Roman" w:hAnsi="Times New Roman"/>
          <w:color w:val="000000"/>
          <w:szCs w:val="24"/>
        </w:rPr>
        <w:t xml:space="preserve"> </w:t>
      </w:r>
      <w:r w:rsidR="000F5CF4" w:rsidRPr="00C67A9F">
        <w:rPr>
          <w:rFonts w:ascii="Times New Roman" w:hAnsi="Times New Roman"/>
          <w:color w:val="000000"/>
          <w:szCs w:val="24"/>
        </w:rPr>
        <w:t>3105(c)(2)) for foreign bank branches and agencies</w:t>
      </w:r>
      <w:r w:rsidRPr="00C67A9F">
        <w:rPr>
          <w:rFonts w:ascii="Times New Roman" w:hAnsi="Times New Roman"/>
          <w:color w:val="000000"/>
        </w:rPr>
        <w:t xml:space="preserve"> authorizes the </w:t>
      </w:r>
      <w:r w:rsidR="0047648A" w:rsidRPr="00C67A9F">
        <w:rPr>
          <w:rFonts w:ascii="Times New Roman" w:hAnsi="Times New Roman"/>
          <w:color w:val="000000"/>
        </w:rPr>
        <w:t>Federal Reserve Board</w:t>
      </w:r>
      <w:r w:rsidRPr="00C67A9F">
        <w:rPr>
          <w:rFonts w:ascii="Times New Roman" w:hAnsi="Times New Roman"/>
          <w:color w:val="000000"/>
        </w:rPr>
        <w:t xml:space="preserve"> to require these notices.  </w:t>
      </w:r>
      <w:r w:rsidR="00523D1A" w:rsidRPr="00C67A9F">
        <w:rPr>
          <w:rFonts w:ascii="Times New Roman" w:hAnsi="Times New Roman"/>
          <w:color w:val="000000"/>
          <w:szCs w:val="24"/>
        </w:rPr>
        <w:t xml:space="preserve">Sections </w:t>
      </w:r>
      <w:proofErr w:type="gramStart"/>
      <w:r w:rsidR="00523D1A" w:rsidRPr="00C67A9F">
        <w:rPr>
          <w:rFonts w:ascii="Times New Roman" w:hAnsi="Times New Roman"/>
          <w:color w:val="000000"/>
          <w:szCs w:val="24"/>
        </w:rPr>
        <w:t>15B(</w:t>
      </w:r>
      <w:proofErr w:type="gramEnd"/>
      <w:r w:rsidR="00523D1A" w:rsidRPr="00C67A9F">
        <w:rPr>
          <w:rFonts w:ascii="Times New Roman" w:hAnsi="Times New Roman"/>
          <w:color w:val="000000"/>
          <w:szCs w:val="24"/>
        </w:rPr>
        <w:t xml:space="preserve">a)-(b) and 17 of the </w:t>
      </w:r>
      <w:r w:rsidR="000F5CF4" w:rsidRPr="00C67A9F">
        <w:rPr>
          <w:rFonts w:ascii="Times New Roman" w:hAnsi="Times New Roman"/>
          <w:color w:val="000000"/>
          <w:szCs w:val="24"/>
        </w:rPr>
        <w:t xml:space="preserve">Securities Exchange </w:t>
      </w:r>
      <w:r w:rsidR="00523D1A" w:rsidRPr="00C67A9F">
        <w:rPr>
          <w:rFonts w:ascii="Times New Roman" w:hAnsi="Times New Roman"/>
          <w:color w:val="000000"/>
          <w:szCs w:val="24"/>
        </w:rPr>
        <w:t>Act</w:t>
      </w:r>
      <w:r w:rsidR="000F5CF4" w:rsidRPr="00C67A9F">
        <w:rPr>
          <w:rFonts w:ascii="Times New Roman" w:hAnsi="Times New Roman"/>
          <w:color w:val="000000"/>
          <w:szCs w:val="24"/>
        </w:rPr>
        <w:t xml:space="preserve"> (the Act)</w:t>
      </w:r>
      <w:r w:rsidR="00523D1A" w:rsidRPr="00C67A9F">
        <w:rPr>
          <w:rFonts w:ascii="Times New Roman" w:hAnsi="Times New Roman"/>
          <w:color w:val="000000"/>
          <w:szCs w:val="24"/>
        </w:rPr>
        <w:t xml:space="preserve"> (15 U.S.C §§ 78o-4(a)-(b) and 78q) authorize the SEC and MSRB to promulgate rules requiring municipal security dealers to file reports about associated persons with the SEC and the ARA.  In addition, Section 15B(c) of the Act provides that ARAs may enforce compliance with the SEC</w:t>
      </w:r>
      <w:r w:rsidR="006A0564">
        <w:rPr>
          <w:rFonts w:ascii="Times New Roman" w:hAnsi="Times New Roman"/>
          <w:color w:val="000000"/>
          <w:szCs w:val="24"/>
        </w:rPr>
        <w:t>’</w:t>
      </w:r>
      <w:r w:rsidR="00523D1A" w:rsidRPr="00C67A9F">
        <w:rPr>
          <w:rFonts w:ascii="Times New Roman" w:hAnsi="Times New Roman"/>
          <w:color w:val="000000"/>
          <w:szCs w:val="24"/>
        </w:rPr>
        <w:t>s and MSRB</w:t>
      </w:r>
      <w:r w:rsidR="006A0564">
        <w:rPr>
          <w:rFonts w:ascii="Times New Roman" w:hAnsi="Times New Roman"/>
          <w:color w:val="000000"/>
          <w:szCs w:val="24"/>
        </w:rPr>
        <w:t>’</w:t>
      </w:r>
      <w:r w:rsidR="00523D1A" w:rsidRPr="00C67A9F">
        <w:rPr>
          <w:rFonts w:ascii="Times New Roman" w:hAnsi="Times New Roman"/>
          <w:color w:val="000000"/>
          <w:szCs w:val="24"/>
        </w:rPr>
        <w:t>s rules</w:t>
      </w:r>
      <w:r w:rsidR="00AA2CB2" w:rsidRPr="00C67A9F">
        <w:rPr>
          <w:rFonts w:ascii="Times New Roman" w:hAnsi="Times New Roman"/>
          <w:color w:val="000000"/>
          <w:szCs w:val="24"/>
        </w:rPr>
        <w:t xml:space="preserve"> (</w:t>
      </w:r>
      <w:r w:rsidR="00523D1A" w:rsidRPr="00C67A9F">
        <w:rPr>
          <w:rFonts w:ascii="Times New Roman" w:hAnsi="Times New Roman"/>
          <w:color w:val="000000"/>
          <w:szCs w:val="24"/>
        </w:rPr>
        <w:t>15 U.S.C. § 78o-4(c)</w:t>
      </w:r>
      <w:r w:rsidR="00AA2CB2" w:rsidRPr="00C67A9F">
        <w:rPr>
          <w:rFonts w:ascii="Times New Roman" w:hAnsi="Times New Roman"/>
          <w:color w:val="000000"/>
          <w:szCs w:val="24"/>
        </w:rPr>
        <w:t>)</w:t>
      </w:r>
      <w:r w:rsidR="00523D1A" w:rsidRPr="00C67A9F">
        <w:rPr>
          <w:rFonts w:ascii="Times New Roman" w:hAnsi="Times New Roman"/>
          <w:color w:val="000000"/>
          <w:szCs w:val="24"/>
        </w:rPr>
        <w:t xml:space="preserve">.  Section 23(a) of the Act also authorizes the SEC, the </w:t>
      </w:r>
      <w:r w:rsidR="0047648A" w:rsidRPr="00C67A9F">
        <w:rPr>
          <w:rFonts w:ascii="Times New Roman" w:hAnsi="Times New Roman"/>
          <w:color w:val="000000"/>
          <w:szCs w:val="24"/>
        </w:rPr>
        <w:t>Federal Reserve</w:t>
      </w:r>
      <w:r w:rsidR="001665FA" w:rsidRPr="00C67A9F">
        <w:rPr>
          <w:rFonts w:ascii="Times New Roman" w:hAnsi="Times New Roman"/>
          <w:color w:val="000000"/>
          <w:szCs w:val="24"/>
        </w:rPr>
        <w:t xml:space="preserve"> Board</w:t>
      </w:r>
      <w:r w:rsidR="00523D1A" w:rsidRPr="00C67A9F">
        <w:rPr>
          <w:rFonts w:ascii="Times New Roman" w:hAnsi="Times New Roman"/>
          <w:color w:val="000000"/>
          <w:szCs w:val="24"/>
        </w:rPr>
        <w:t>, and the other ARAs to make rules and regulations in order to implement the provisions of the Act</w:t>
      </w:r>
      <w:r w:rsidR="00AA2CB2" w:rsidRPr="00C67A9F">
        <w:rPr>
          <w:rFonts w:ascii="Times New Roman" w:hAnsi="Times New Roman"/>
          <w:color w:val="000000"/>
          <w:szCs w:val="24"/>
        </w:rPr>
        <w:t xml:space="preserve"> (</w:t>
      </w:r>
      <w:r w:rsidR="00523D1A" w:rsidRPr="00C67A9F">
        <w:rPr>
          <w:rFonts w:ascii="Times New Roman" w:hAnsi="Times New Roman"/>
          <w:color w:val="000000"/>
          <w:szCs w:val="24"/>
        </w:rPr>
        <w:t>15 U.S.C. § 78w(a)</w:t>
      </w:r>
      <w:r w:rsidR="00AA2CB2" w:rsidRPr="00C67A9F">
        <w:rPr>
          <w:rFonts w:ascii="Times New Roman" w:hAnsi="Times New Roman"/>
          <w:color w:val="000000"/>
          <w:szCs w:val="24"/>
        </w:rPr>
        <w:t>)</w:t>
      </w:r>
      <w:r w:rsidR="00523D1A" w:rsidRPr="00C67A9F">
        <w:rPr>
          <w:rFonts w:ascii="Times New Roman" w:hAnsi="Times New Roman"/>
          <w:color w:val="000000"/>
          <w:szCs w:val="24"/>
        </w:rPr>
        <w:t xml:space="preserve">.  The </w:t>
      </w:r>
      <w:r w:rsidR="0047648A" w:rsidRPr="00C67A9F">
        <w:rPr>
          <w:rFonts w:ascii="Times New Roman" w:hAnsi="Times New Roman"/>
          <w:color w:val="000000"/>
          <w:szCs w:val="24"/>
        </w:rPr>
        <w:t xml:space="preserve">Federal Reserve </w:t>
      </w:r>
      <w:r w:rsidR="00523D1A" w:rsidRPr="00C67A9F">
        <w:rPr>
          <w:rFonts w:ascii="Times New Roman" w:hAnsi="Times New Roman"/>
          <w:color w:val="000000"/>
          <w:szCs w:val="24"/>
        </w:rPr>
        <w:t>Board is the ARA for municipal securities dealers that are state member banks and their divisions or</w:t>
      </w:r>
      <w:r w:rsidR="00694D26" w:rsidRPr="00C67A9F">
        <w:rPr>
          <w:rFonts w:ascii="Times New Roman" w:hAnsi="Times New Roman"/>
          <w:color w:val="000000"/>
          <w:szCs w:val="24"/>
        </w:rPr>
        <w:t xml:space="preserve"> </w:t>
      </w:r>
      <w:r w:rsidR="0047648A" w:rsidRPr="00C67A9F">
        <w:rPr>
          <w:rFonts w:ascii="Times New Roman" w:hAnsi="Times New Roman"/>
          <w:color w:val="000000"/>
          <w:szCs w:val="24"/>
        </w:rPr>
        <w:t>departments, and for state branches</w:t>
      </w:r>
      <w:r w:rsidR="00AA2CB2" w:rsidRPr="00C67A9F">
        <w:rPr>
          <w:rFonts w:ascii="Times New Roman" w:hAnsi="Times New Roman"/>
          <w:color w:val="000000"/>
          <w:szCs w:val="24"/>
        </w:rPr>
        <w:t xml:space="preserve"> or agencies of foreign banks that engage in municipal</w:t>
      </w:r>
      <w:r w:rsidR="00523D1A" w:rsidRPr="00C67A9F">
        <w:rPr>
          <w:rFonts w:ascii="Times New Roman" w:hAnsi="Times New Roman"/>
          <w:color w:val="000000"/>
          <w:szCs w:val="24"/>
        </w:rPr>
        <w:t xml:space="preserve"> security dealer activities</w:t>
      </w:r>
      <w:r w:rsidR="00AA2CB2" w:rsidRPr="00C67A9F">
        <w:rPr>
          <w:rFonts w:ascii="Times New Roman" w:hAnsi="Times New Roman"/>
          <w:color w:val="000000"/>
          <w:szCs w:val="24"/>
        </w:rPr>
        <w:t xml:space="preserve"> (</w:t>
      </w:r>
      <w:r w:rsidR="00523D1A" w:rsidRPr="00C67A9F">
        <w:rPr>
          <w:rFonts w:ascii="Times New Roman" w:hAnsi="Times New Roman"/>
          <w:color w:val="000000"/>
          <w:szCs w:val="24"/>
        </w:rPr>
        <w:t>15 U.S.C. § 78c(a)(34)(A)(ii)</w:t>
      </w:r>
      <w:r w:rsidR="00AA2CB2" w:rsidRPr="00C67A9F">
        <w:rPr>
          <w:rFonts w:ascii="Times New Roman" w:hAnsi="Times New Roman"/>
          <w:color w:val="000000"/>
          <w:szCs w:val="24"/>
        </w:rPr>
        <w:t>)</w:t>
      </w:r>
      <w:r w:rsidR="00523D1A" w:rsidRPr="00C67A9F">
        <w:rPr>
          <w:rFonts w:ascii="Times New Roman" w:hAnsi="Times New Roman"/>
          <w:color w:val="000000"/>
          <w:szCs w:val="24"/>
        </w:rPr>
        <w:t>.</w:t>
      </w:r>
      <w:r w:rsidR="00523D1A" w:rsidRPr="00C67A9F">
        <w:rPr>
          <w:rStyle w:val="FootnoteReference"/>
          <w:rFonts w:ascii="Times New Roman" w:hAnsi="Times New Roman"/>
          <w:color w:val="000000"/>
          <w:szCs w:val="24"/>
          <w:vertAlign w:val="superscript"/>
        </w:rPr>
        <w:footnoteReference w:id="6"/>
      </w:r>
      <w:r w:rsidR="00D517DF" w:rsidRPr="00C67A9F">
        <w:rPr>
          <w:rFonts w:ascii="Times New Roman" w:hAnsi="Times New Roman"/>
          <w:color w:val="000000"/>
          <w:szCs w:val="24"/>
        </w:rPr>
        <w:t xml:space="preserve"> Accordingly, the </w:t>
      </w:r>
      <w:r w:rsidR="00694D26" w:rsidRPr="00C67A9F">
        <w:rPr>
          <w:rFonts w:ascii="Times New Roman" w:hAnsi="Times New Roman"/>
          <w:color w:val="000000"/>
          <w:szCs w:val="24"/>
        </w:rPr>
        <w:t xml:space="preserve">Federal Reserve </w:t>
      </w:r>
      <w:r w:rsidR="00D517DF" w:rsidRPr="00C67A9F">
        <w:rPr>
          <w:rFonts w:ascii="Times New Roman" w:hAnsi="Times New Roman"/>
          <w:color w:val="000000"/>
          <w:szCs w:val="24"/>
        </w:rPr>
        <w:t>Board</w:t>
      </w:r>
      <w:r w:rsidR="006A0564">
        <w:rPr>
          <w:rFonts w:ascii="Times New Roman" w:hAnsi="Times New Roman"/>
          <w:color w:val="000000"/>
          <w:szCs w:val="24"/>
        </w:rPr>
        <w:t>’</w:t>
      </w:r>
      <w:r w:rsidR="00D517DF" w:rsidRPr="00C67A9F">
        <w:rPr>
          <w:rFonts w:ascii="Times New Roman" w:hAnsi="Times New Roman"/>
          <w:color w:val="000000"/>
          <w:szCs w:val="24"/>
        </w:rPr>
        <w:t xml:space="preserve">s collection of Form MSD-4 and </w:t>
      </w:r>
      <w:r w:rsidR="00185692">
        <w:rPr>
          <w:rFonts w:ascii="Times New Roman" w:hAnsi="Times New Roman"/>
          <w:color w:val="000000"/>
          <w:szCs w:val="24"/>
        </w:rPr>
        <w:t xml:space="preserve">Form </w:t>
      </w:r>
      <w:r w:rsidR="00D517DF" w:rsidRPr="00C67A9F">
        <w:rPr>
          <w:rFonts w:ascii="Times New Roman" w:hAnsi="Times New Roman"/>
          <w:color w:val="000000"/>
          <w:szCs w:val="24"/>
        </w:rPr>
        <w:t xml:space="preserve">MSD-5 for these institutions is authorized pursuant to 15 </w:t>
      </w:r>
      <w:r w:rsidR="007C2162">
        <w:rPr>
          <w:rFonts w:ascii="Times New Roman" w:hAnsi="Times New Roman"/>
          <w:color w:val="000000"/>
          <w:szCs w:val="24"/>
        </w:rPr>
        <w:t>U.S.C. §§ 78o-4, 78q, and 78w.</w:t>
      </w:r>
    </w:p>
    <w:p w:rsidR="00CF77D0" w:rsidRPr="00C67A9F" w:rsidRDefault="00CF77D0" w:rsidP="00CF77D0">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rPr>
      </w:pPr>
    </w:p>
    <w:p w:rsidR="00CA624A" w:rsidRPr="00C67A9F" w:rsidRDefault="006C7573" w:rsidP="00CA624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olor w:val="000000"/>
          <w:szCs w:val="24"/>
        </w:rPr>
      </w:pPr>
      <w:r w:rsidRPr="00C67A9F">
        <w:rPr>
          <w:rFonts w:ascii="Times New Roman" w:hAnsi="Times New Roman"/>
          <w:color w:val="000000"/>
          <w:szCs w:val="24"/>
        </w:rPr>
        <w:t xml:space="preserve">The obligation of state member banks and foreign banks to file the forms with the </w:t>
      </w:r>
      <w:r w:rsidR="00694D26" w:rsidRPr="00C67A9F">
        <w:rPr>
          <w:rFonts w:ascii="Times New Roman" w:hAnsi="Times New Roman"/>
          <w:color w:val="000000"/>
          <w:szCs w:val="24"/>
        </w:rPr>
        <w:t xml:space="preserve">Federal Reserve </w:t>
      </w:r>
      <w:r w:rsidRPr="00C67A9F">
        <w:rPr>
          <w:rFonts w:ascii="Times New Roman" w:hAnsi="Times New Roman"/>
          <w:color w:val="000000"/>
          <w:szCs w:val="24"/>
        </w:rPr>
        <w:t>Board is mandatory</w:t>
      </w:r>
      <w:r w:rsidR="00CA624A" w:rsidRPr="00C67A9F">
        <w:rPr>
          <w:rFonts w:ascii="Times New Roman" w:hAnsi="Times New Roman"/>
          <w:color w:val="000000"/>
          <w:szCs w:val="24"/>
        </w:rPr>
        <w:t>, and the filing of both forms is event generated</w:t>
      </w:r>
      <w:r w:rsidRPr="00C67A9F">
        <w:rPr>
          <w:rFonts w:ascii="Times New Roman" w:hAnsi="Times New Roman"/>
          <w:color w:val="000000"/>
          <w:szCs w:val="24"/>
        </w:rPr>
        <w:t>.</w:t>
      </w:r>
      <w:r w:rsidR="002C2F92" w:rsidRPr="00C67A9F">
        <w:rPr>
          <w:rFonts w:ascii="Times New Roman" w:hAnsi="Times New Roman"/>
          <w:color w:val="000000"/>
          <w:szCs w:val="24"/>
        </w:rPr>
        <w:t xml:space="preserve">  Under the Freedom of Information Act, the Federal Reserve Board regards the information provided by each respondent as confidential (5 U.S.C. §</w:t>
      </w:r>
      <w:r w:rsidR="007C2162">
        <w:rPr>
          <w:rFonts w:ascii="Times New Roman" w:hAnsi="Times New Roman"/>
          <w:color w:val="000000"/>
          <w:szCs w:val="24"/>
        </w:rPr>
        <w:t xml:space="preserve"> </w:t>
      </w:r>
      <w:r w:rsidR="002C2F92" w:rsidRPr="00C67A9F">
        <w:rPr>
          <w:rFonts w:ascii="Times New Roman" w:hAnsi="Times New Roman"/>
          <w:color w:val="000000"/>
          <w:szCs w:val="24"/>
        </w:rPr>
        <w:t>552(b</w:t>
      </w:r>
      <w:proofErr w:type="gramStart"/>
      <w:r w:rsidR="002C2F92" w:rsidRPr="00C67A9F">
        <w:rPr>
          <w:rFonts w:ascii="Times New Roman" w:hAnsi="Times New Roman"/>
          <w:color w:val="000000"/>
          <w:szCs w:val="24"/>
        </w:rPr>
        <w:t>)(</w:t>
      </w:r>
      <w:proofErr w:type="gramEnd"/>
      <w:r w:rsidR="002C2F92" w:rsidRPr="00C67A9F">
        <w:rPr>
          <w:rFonts w:ascii="Times New Roman" w:hAnsi="Times New Roman"/>
          <w:color w:val="000000"/>
          <w:szCs w:val="24"/>
        </w:rPr>
        <w:t>6)).</w:t>
      </w:r>
    </w:p>
    <w:p w:rsidR="00AA2CB2" w:rsidRDefault="00AA2CB2">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rPr>
      </w:pPr>
    </w:p>
    <w:p w:rsidR="007C2162" w:rsidRDefault="007C2162">
      <w:pPr>
        <w:widowControl/>
        <w:autoSpaceDE/>
        <w:autoSpaceDN/>
        <w:adjustRightInd/>
        <w:rPr>
          <w:rFonts w:ascii="Times New Roman" w:hAnsi="Times New Roman"/>
          <w:snapToGrid w:val="0"/>
          <w:color w:val="000000"/>
          <w:sz w:val="24"/>
        </w:rPr>
      </w:pPr>
      <w:r>
        <w:rPr>
          <w:rFonts w:ascii="Times New Roman" w:hAnsi="Times New Roman"/>
          <w:color w:val="000000"/>
        </w:rPr>
        <w:br w:type="page"/>
      </w:r>
    </w:p>
    <w:p w:rsidR="00E653EA" w:rsidRPr="00C67A9F" w:rsidRDefault="00E653E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color w:val="000000"/>
          <w:szCs w:val="24"/>
        </w:rPr>
      </w:pPr>
      <w:r w:rsidRPr="00C67A9F">
        <w:rPr>
          <w:rFonts w:ascii="Times New Roman" w:hAnsi="Times New Roman"/>
          <w:b/>
          <w:color w:val="000000"/>
          <w:szCs w:val="24"/>
        </w:rPr>
        <w:lastRenderedPageBreak/>
        <w:t xml:space="preserve">Consultation </w:t>
      </w:r>
      <w:proofErr w:type="gramStart"/>
      <w:r w:rsidRPr="00C67A9F">
        <w:rPr>
          <w:rFonts w:ascii="Times New Roman" w:hAnsi="Times New Roman"/>
          <w:b/>
          <w:color w:val="000000"/>
          <w:szCs w:val="24"/>
        </w:rPr>
        <w:t>Outside</w:t>
      </w:r>
      <w:proofErr w:type="gramEnd"/>
      <w:r w:rsidRPr="00C67A9F">
        <w:rPr>
          <w:rFonts w:ascii="Times New Roman" w:hAnsi="Times New Roman"/>
          <w:b/>
          <w:color w:val="000000"/>
          <w:szCs w:val="24"/>
        </w:rPr>
        <w:t xml:space="preserve"> the Agency</w:t>
      </w:r>
    </w:p>
    <w:p w:rsidR="00E653EA" w:rsidRPr="007C2162" w:rsidRDefault="00E653E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rPr>
      </w:pPr>
    </w:p>
    <w:p w:rsidR="00E653EA" w:rsidRPr="00C67A9F" w:rsidRDefault="00E653EA" w:rsidP="00DE4BC3">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olor w:val="000000"/>
          <w:szCs w:val="24"/>
        </w:rPr>
      </w:pPr>
      <w:r w:rsidRPr="00C67A9F">
        <w:rPr>
          <w:rFonts w:ascii="Times New Roman" w:hAnsi="Times New Roman"/>
          <w:color w:val="000000"/>
          <w:szCs w:val="24"/>
        </w:rPr>
        <w:t xml:space="preserve">The </w:t>
      </w:r>
      <w:r w:rsidR="00694D26" w:rsidRPr="00C67A9F">
        <w:rPr>
          <w:rFonts w:ascii="Times New Roman" w:hAnsi="Times New Roman"/>
          <w:color w:val="000000"/>
          <w:szCs w:val="24"/>
        </w:rPr>
        <w:t>Federal Reserve</w:t>
      </w:r>
      <w:r w:rsidRPr="00C67A9F">
        <w:rPr>
          <w:rFonts w:ascii="Times New Roman" w:hAnsi="Times New Roman"/>
          <w:color w:val="000000"/>
          <w:szCs w:val="24"/>
        </w:rPr>
        <w:t xml:space="preserve"> has consulted with the Office of the Comptroller of the Currency and the Federal Deposit Insurance Corporation to ensure uniformity of the reporting forms.</w:t>
      </w:r>
      <w:r w:rsidR="00223F65" w:rsidRPr="00C67A9F">
        <w:rPr>
          <w:rFonts w:ascii="Times New Roman" w:hAnsi="Times New Roman"/>
          <w:color w:val="000000"/>
          <w:szCs w:val="24"/>
        </w:rPr>
        <w:t xml:space="preserve">  On February 11, 2013, the Federal Reserve published a notice in the </w:t>
      </w:r>
      <w:r w:rsidR="00223F65" w:rsidRPr="00C67A9F">
        <w:rPr>
          <w:rFonts w:ascii="Times New Roman" w:hAnsi="Times New Roman"/>
          <w:i/>
          <w:color w:val="000000"/>
          <w:szCs w:val="24"/>
        </w:rPr>
        <w:t>Federal Register</w:t>
      </w:r>
      <w:r w:rsidR="00223F65" w:rsidRPr="00C67A9F">
        <w:rPr>
          <w:rFonts w:ascii="Times New Roman" w:hAnsi="Times New Roman"/>
          <w:color w:val="000000"/>
          <w:szCs w:val="24"/>
        </w:rPr>
        <w:t xml:space="preserve"> (78 FR 9691) requesting public comment for 60 days on the extension, with minor revision, of the FR MSD-4 and the extension, without revision, of the FR MSD-5.  The comment period for this notice expire</w:t>
      </w:r>
      <w:r w:rsidR="00204632">
        <w:rPr>
          <w:rFonts w:ascii="Times New Roman" w:hAnsi="Times New Roman"/>
          <w:color w:val="000000"/>
          <w:szCs w:val="24"/>
        </w:rPr>
        <w:t>d</w:t>
      </w:r>
      <w:r w:rsidR="00223F65" w:rsidRPr="00C67A9F">
        <w:rPr>
          <w:rFonts w:ascii="Times New Roman" w:hAnsi="Times New Roman"/>
          <w:color w:val="000000"/>
          <w:szCs w:val="24"/>
        </w:rPr>
        <w:t xml:space="preserve"> on April 12, 2013.</w:t>
      </w:r>
      <w:r w:rsidR="00204632">
        <w:rPr>
          <w:rFonts w:ascii="Times New Roman" w:hAnsi="Times New Roman"/>
          <w:color w:val="000000"/>
          <w:szCs w:val="24"/>
        </w:rPr>
        <w:t xml:space="preserve">  The Federal Reserve did not receive any comments.  The revision will be implemented as proposed.  On April 26, 2013, the Federal Reserve published a final notice in the </w:t>
      </w:r>
      <w:r w:rsidR="00204632" w:rsidRPr="00204632">
        <w:rPr>
          <w:rFonts w:ascii="Times New Roman" w:hAnsi="Times New Roman"/>
          <w:i/>
          <w:color w:val="000000"/>
          <w:szCs w:val="24"/>
        </w:rPr>
        <w:t>Federal Register</w:t>
      </w:r>
      <w:r w:rsidR="00204632">
        <w:rPr>
          <w:rFonts w:ascii="Times New Roman" w:hAnsi="Times New Roman"/>
          <w:color w:val="000000"/>
          <w:szCs w:val="24"/>
        </w:rPr>
        <w:t xml:space="preserve"> (78 FR 24745).</w:t>
      </w:r>
    </w:p>
    <w:p w:rsidR="00E653EA" w:rsidRPr="00C67A9F" w:rsidRDefault="00E653E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rPr>
      </w:pPr>
    </w:p>
    <w:p w:rsidR="00E653EA" w:rsidRPr="00C67A9F" w:rsidRDefault="00E653E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color w:val="000000"/>
          <w:szCs w:val="24"/>
        </w:rPr>
      </w:pPr>
      <w:r w:rsidRPr="00C67A9F">
        <w:rPr>
          <w:rFonts w:ascii="Times New Roman" w:hAnsi="Times New Roman"/>
          <w:b/>
          <w:color w:val="000000"/>
          <w:szCs w:val="24"/>
        </w:rPr>
        <w:t>Estimate of Respondent Burden</w:t>
      </w:r>
    </w:p>
    <w:p w:rsidR="00E653EA" w:rsidRPr="007C2162" w:rsidRDefault="00E653E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highlight w:val="yellow"/>
        </w:rPr>
      </w:pPr>
    </w:p>
    <w:p w:rsidR="00E653EA" w:rsidRPr="00C67A9F" w:rsidRDefault="00CD0384" w:rsidP="00DE4BC3">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olor w:val="000000"/>
          <w:szCs w:val="24"/>
        </w:rPr>
      </w:pPr>
      <w:r w:rsidRPr="00C67A9F">
        <w:rPr>
          <w:rFonts w:ascii="Times New Roman" w:hAnsi="Times New Roman"/>
          <w:color w:val="000000"/>
          <w:szCs w:val="24"/>
        </w:rPr>
        <w:t xml:space="preserve">As shown in the following table, the total annual burden for both notices is estimated to be </w:t>
      </w:r>
      <w:r w:rsidR="00D44F8F" w:rsidRPr="00C67A9F">
        <w:rPr>
          <w:rFonts w:ascii="Times New Roman" w:hAnsi="Times New Roman"/>
          <w:color w:val="000000"/>
          <w:szCs w:val="24"/>
        </w:rPr>
        <w:t>33</w:t>
      </w:r>
      <w:r w:rsidRPr="00C67A9F">
        <w:rPr>
          <w:rFonts w:ascii="Times New Roman" w:hAnsi="Times New Roman"/>
          <w:color w:val="000000"/>
          <w:szCs w:val="24"/>
        </w:rPr>
        <w:t xml:space="preserve"> hours.  </w:t>
      </w:r>
      <w:r w:rsidR="00694D26" w:rsidRPr="00C67A9F">
        <w:rPr>
          <w:rFonts w:ascii="Times New Roman" w:hAnsi="Times New Roman"/>
          <w:color w:val="000000"/>
          <w:szCs w:val="24"/>
        </w:rPr>
        <w:t>The Federal Reserve</w:t>
      </w:r>
      <w:r w:rsidR="00E653EA" w:rsidRPr="00C67A9F">
        <w:rPr>
          <w:rFonts w:ascii="Times New Roman" w:hAnsi="Times New Roman"/>
          <w:color w:val="000000"/>
          <w:szCs w:val="24"/>
        </w:rPr>
        <w:t xml:space="preserve"> estimate</w:t>
      </w:r>
      <w:r w:rsidRPr="00C67A9F">
        <w:rPr>
          <w:rFonts w:ascii="Times New Roman" w:hAnsi="Times New Roman"/>
          <w:color w:val="000000"/>
          <w:szCs w:val="24"/>
        </w:rPr>
        <w:t>s</w:t>
      </w:r>
      <w:r w:rsidR="00E653EA" w:rsidRPr="00C67A9F">
        <w:rPr>
          <w:rFonts w:ascii="Times New Roman" w:hAnsi="Times New Roman"/>
          <w:color w:val="000000"/>
          <w:szCs w:val="24"/>
        </w:rPr>
        <w:t xml:space="preserve"> that </w:t>
      </w:r>
      <w:r w:rsidR="008C74DD" w:rsidRPr="00C67A9F">
        <w:rPr>
          <w:rFonts w:ascii="Times New Roman" w:hAnsi="Times New Roman"/>
          <w:color w:val="000000"/>
          <w:szCs w:val="24"/>
        </w:rPr>
        <w:t xml:space="preserve">it </w:t>
      </w:r>
      <w:r w:rsidR="00E653EA" w:rsidRPr="00C67A9F">
        <w:rPr>
          <w:rFonts w:ascii="Times New Roman" w:hAnsi="Times New Roman"/>
          <w:color w:val="000000"/>
          <w:szCs w:val="24"/>
        </w:rPr>
        <w:t xml:space="preserve">takes one hour to complete </w:t>
      </w:r>
      <w:r w:rsidR="008C74DD" w:rsidRPr="00C67A9F">
        <w:rPr>
          <w:rFonts w:ascii="Times New Roman" w:hAnsi="Times New Roman"/>
          <w:color w:val="000000"/>
          <w:szCs w:val="24"/>
        </w:rPr>
        <w:t>the FR MSD</w:t>
      </w:r>
      <w:r w:rsidR="007C2162">
        <w:rPr>
          <w:rFonts w:ascii="Times New Roman" w:hAnsi="Times New Roman"/>
          <w:color w:val="000000"/>
          <w:szCs w:val="24"/>
        </w:rPr>
        <w:t>-</w:t>
      </w:r>
      <w:r w:rsidR="008C74DD" w:rsidRPr="00C67A9F">
        <w:rPr>
          <w:rFonts w:ascii="Times New Roman" w:hAnsi="Times New Roman"/>
          <w:color w:val="000000"/>
          <w:szCs w:val="24"/>
        </w:rPr>
        <w:t xml:space="preserve">4 </w:t>
      </w:r>
      <w:r w:rsidR="00E653EA" w:rsidRPr="00C67A9F">
        <w:rPr>
          <w:rFonts w:ascii="Times New Roman" w:hAnsi="Times New Roman"/>
          <w:color w:val="000000"/>
          <w:szCs w:val="24"/>
        </w:rPr>
        <w:t xml:space="preserve">and </w:t>
      </w:r>
      <w:r w:rsidR="00AE5195" w:rsidRPr="00C67A9F">
        <w:rPr>
          <w:rFonts w:ascii="Times New Roman" w:hAnsi="Times New Roman"/>
          <w:color w:val="000000"/>
          <w:szCs w:val="24"/>
        </w:rPr>
        <w:t xml:space="preserve">15 </w:t>
      </w:r>
      <w:r w:rsidR="00E653EA" w:rsidRPr="00C67A9F">
        <w:rPr>
          <w:rFonts w:ascii="Times New Roman" w:hAnsi="Times New Roman"/>
          <w:color w:val="000000"/>
          <w:szCs w:val="24"/>
        </w:rPr>
        <w:t>minutes</w:t>
      </w:r>
      <w:r w:rsidR="008C74DD" w:rsidRPr="00C67A9F">
        <w:rPr>
          <w:rFonts w:ascii="Times New Roman" w:hAnsi="Times New Roman"/>
          <w:color w:val="000000"/>
          <w:szCs w:val="24"/>
        </w:rPr>
        <w:t xml:space="preserve"> to complete the FR MSD</w:t>
      </w:r>
      <w:r w:rsidR="007C2162">
        <w:rPr>
          <w:rFonts w:ascii="Times New Roman" w:hAnsi="Times New Roman"/>
          <w:color w:val="000000"/>
          <w:szCs w:val="24"/>
        </w:rPr>
        <w:t>-</w:t>
      </w:r>
      <w:r w:rsidR="008C74DD" w:rsidRPr="00C67A9F">
        <w:rPr>
          <w:rFonts w:ascii="Times New Roman" w:hAnsi="Times New Roman"/>
          <w:color w:val="000000"/>
          <w:szCs w:val="24"/>
        </w:rPr>
        <w:t>5</w:t>
      </w:r>
      <w:r w:rsidR="00E653EA" w:rsidRPr="00C67A9F">
        <w:rPr>
          <w:rFonts w:ascii="Times New Roman" w:hAnsi="Times New Roman"/>
          <w:color w:val="000000"/>
          <w:szCs w:val="24"/>
        </w:rPr>
        <w:t>.</w:t>
      </w:r>
      <w:r w:rsidR="00F2682A" w:rsidRPr="00C67A9F">
        <w:rPr>
          <w:rFonts w:ascii="Times New Roman" w:hAnsi="Times New Roman"/>
          <w:color w:val="000000"/>
          <w:szCs w:val="24"/>
        </w:rPr>
        <w:t xml:space="preserve"> </w:t>
      </w:r>
      <w:r w:rsidR="00E653EA" w:rsidRPr="00C67A9F">
        <w:rPr>
          <w:rFonts w:ascii="Times New Roman" w:hAnsi="Times New Roman"/>
          <w:color w:val="000000"/>
          <w:szCs w:val="24"/>
        </w:rPr>
        <w:t xml:space="preserve"> </w:t>
      </w:r>
      <w:r w:rsidR="00694D26" w:rsidRPr="00C67A9F">
        <w:rPr>
          <w:rFonts w:ascii="Times New Roman" w:hAnsi="Times New Roman"/>
          <w:color w:val="000000"/>
          <w:szCs w:val="24"/>
        </w:rPr>
        <w:t>The Federal Reserve</w:t>
      </w:r>
      <w:r w:rsidR="00957603" w:rsidRPr="00C67A9F">
        <w:rPr>
          <w:rFonts w:ascii="Times New Roman" w:hAnsi="Times New Roman"/>
          <w:color w:val="000000"/>
          <w:szCs w:val="24"/>
        </w:rPr>
        <w:t xml:space="preserve"> estimates the proposed revision would not result in a change </w:t>
      </w:r>
      <w:r w:rsidR="00F558D9" w:rsidRPr="00C67A9F">
        <w:rPr>
          <w:rFonts w:ascii="Times New Roman" w:hAnsi="Times New Roman"/>
          <w:color w:val="000000"/>
          <w:szCs w:val="24"/>
        </w:rPr>
        <w:t xml:space="preserve">to </w:t>
      </w:r>
      <w:r w:rsidR="00957603" w:rsidRPr="00C67A9F">
        <w:rPr>
          <w:rFonts w:ascii="Times New Roman" w:hAnsi="Times New Roman"/>
          <w:color w:val="000000"/>
          <w:szCs w:val="24"/>
        </w:rPr>
        <w:t>the</w:t>
      </w:r>
      <w:r w:rsidR="00F558D9" w:rsidRPr="00C67A9F">
        <w:rPr>
          <w:rFonts w:ascii="Times New Roman" w:hAnsi="Times New Roman"/>
          <w:color w:val="000000"/>
          <w:szCs w:val="24"/>
        </w:rPr>
        <w:t xml:space="preserve"> average hours per response. </w:t>
      </w:r>
      <w:r w:rsidR="00957603" w:rsidRPr="00C67A9F">
        <w:rPr>
          <w:rFonts w:ascii="Times New Roman" w:hAnsi="Times New Roman"/>
          <w:color w:val="000000"/>
          <w:szCs w:val="24"/>
        </w:rPr>
        <w:t xml:space="preserve"> </w:t>
      </w:r>
      <w:r w:rsidR="00694D26" w:rsidRPr="00C67A9F">
        <w:rPr>
          <w:rFonts w:ascii="Times New Roman" w:hAnsi="Times New Roman"/>
          <w:color w:val="000000"/>
          <w:szCs w:val="24"/>
        </w:rPr>
        <w:t>The Federal Reserve</w:t>
      </w:r>
      <w:r w:rsidR="00F2682A" w:rsidRPr="00C67A9F">
        <w:rPr>
          <w:rFonts w:ascii="Times New Roman" w:hAnsi="Times New Roman"/>
          <w:color w:val="000000"/>
          <w:szCs w:val="24"/>
        </w:rPr>
        <w:t xml:space="preserve"> used the actual number of </w:t>
      </w:r>
      <w:r w:rsidR="008C74DD" w:rsidRPr="00C67A9F">
        <w:rPr>
          <w:rFonts w:ascii="Times New Roman" w:hAnsi="Times New Roman"/>
          <w:color w:val="000000"/>
          <w:szCs w:val="24"/>
        </w:rPr>
        <w:t xml:space="preserve">reporting </w:t>
      </w:r>
      <w:r w:rsidR="00F2682A" w:rsidRPr="00C67A9F">
        <w:rPr>
          <w:rFonts w:ascii="Times New Roman" w:hAnsi="Times New Roman"/>
          <w:color w:val="000000"/>
          <w:szCs w:val="24"/>
        </w:rPr>
        <w:t xml:space="preserve">forms filed during </w:t>
      </w:r>
      <w:r w:rsidR="00196E89" w:rsidRPr="00C67A9F">
        <w:rPr>
          <w:rFonts w:ascii="Times New Roman" w:hAnsi="Times New Roman"/>
          <w:szCs w:val="24"/>
        </w:rPr>
        <w:t>20</w:t>
      </w:r>
      <w:r w:rsidR="00B460C7" w:rsidRPr="00C67A9F">
        <w:rPr>
          <w:rFonts w:ascii="Times New Roman" w:hAnsi="Times New Roman"/>
          <w:szCs w:val="24"/>
        </w:rPr>
        <w:t>12</w:t>
      </w:r>
      <w:r w:rsidR="00352DFB" w:rsidRPr="00C67A9F">
        <w:rPr>
          <w:rFonts w:ascii="Times New Roman" w:hAnsi="Times New Roman"/>
          <w:b/>
          <w:i/>
          <w:color w:val="3366FF"/>
          <w:szCs w:val="24"/>
        </w:rPr>
        <w:t xml:space="preserve"> </w:t>
      </w:r>
      <w:r w:rsidR="00F2682A" w:rsidRPr="00C67A9F">
        <w:rPr>
          <w:rFonts w:ascii="Times New Roman" w:hAnsi="Times New Roman"/>
          <w:color w:val="000000"/>
          <w:szCs w:val="24"/>
        </w:rPr>
        <w:t xml:space="preserve">by </w:t>
      </w:r>
      <w:r w:rsidR="00E9153A" w:rsidRPr="00C67A9F">
        <w:rPr>
          <w:rFonts w:ascii="Times New Roman" w:hAnsi="Times New Roman"/>
          <w:color w:val="000000"/>
          <w:szCs w:val="24"/>
        </w:rPr>
        <w:t>SMB</w:t>
      </w:r>
      <w:r w:rsidR="00F2682A" w:rsidRPr="00C67A9F">
        <w:rPr>
          <w:rFonts w:ascii="Times New Roman" w:hAnsi="Times New Roman"/>
          <w:color w:val="000000"/>
          <w:szCs w:val="24"/>
        </w:rPr>
        <w:t xml:space="preserve">s registered as dealers to estimate the burden.  </w:t>
      </w:r>
      <w:r w:rsidR="00E653EA" w:rsidRPr="00C67A9F">
        <w:rPr>
          <w:rFonts w:ascii="Times New Roman" w:hAnsi="Times New Roman"/>
          <w:color w:val="000000"/>
          <w:szCs w:val="24"/>
        </w:rPr>
        <w:t xml:space="preserve">Because respondents are required to retain these </w:t>
      </w:r>
      <w:r w:rsidR="008C74DD" w:rsidRPr="00C67A9F">
        <w:rPr>
          <w:rFonts w:ascii="Times New Roman" w:hAnsi="Times New Roman"/>
          <w:color w:val="000000"/>
          <w:szCs w:val="24"/>
        </w:rPr>
        <w:t xml:space="preserve">reporting </w:t>
      </w:r>
      <w:r w:rsidR="00E653EA" w:rsidRPr="00C67A9F">
        <w:rPr>
          <w:rFonts w:ascii="Times New Roman" w:hAnsi="Times New Roman"/>
          <w:color w:val="000000"/>
          <w:szCs w:val="24"/>
        </w:rPr>
        <w:t>forms during the employee</w:t>
      </w:r>
      <w:r w:rsidR="006A0564">
        <w:rPr>
          <w:rFonts w:ascii="Times New Roman" w:hAnsi="Times New Roman"/>
          <w:color w:val="000000"/>
          <w:szCs w:val="24"/>
        </w:rPr>
        <w:t>’</w:t>
      </w:r>
      <w:r w:rsidR="00E653EA" w:rsidRPr="00C67A9F">
        <w:rPr>
          <w:rFonts w:ascii="Times New Roman" w:hAnsi="Times New Roman"/>
          <w:color w:val="000000"/>
          <w:szCs w:val="24"/>
        </w:rPr>
        <w:t xml:space="preserve">s tenure and for three years after termination of employment, the estimated total annual burden of these information collections includes both reporting and recordkeeping burden.  The annual burden </w:t>
      </w:r>
      <w:r w:rsidR="00AA33C0" w:rsidRPr="00C67A9F">
        <w:rPr>
          <w:rFonts w:ascii="Times New Roman" w:hAnsi="Times New Roman"/>
          <w:color w:val="000000"/>
          <w:szCs w:val="24"/>
        </w:rPr>
        <w:t xml:space="preserve">of this information collection </w:t>
      </w:r>
      <w:r w:rsidR="00E653EA" w:rsidRPr="00C67A9F">
        <w:rPr>
          <w:rFonts w:ascii="Times New Roman" w:hAnsi="Times New Roman"/>
          <w:color w:val="000000"/>
          <w:szCs w:val="24"/>
        </w:rPr>
        <w:t xml:space="preserve">represents less than 1 percent of </w:t>
      </w:r>
      <w:r w:rsidR="00AA33C0" w:rsidRPr="00C67A9F">
        <w:rPr>
          <w:rFonts w:ascii="Times New Roman" w:hAnsi="Times New Roman"/>
          <w:color w:val="000000"/>
          <w:szCs w:val="24"/>
        </w:rPr>
        <w:t xml:space="preserve">the </w:t>
      </w:r>
      <w:r w:rsidR="00E653EA" w:rsidRPr="00C67A9F">
        <w:rPr>
          <w:rFonts w:ascii="Times New Roman" w:hAnsi="Times New Roman"/>
          <w:color w:val="000000"/>
          <w:szCs w:val="24"/>
        </w:rPr>
        <w:t xml:space="preserve">total Federal Reserve System </w:t>
      </w:r>
      <w:r w:rsidR="00AA33C0" w:rsidRPr="00C67A9F">
        <w:rPr>
          <w:rFonts w:ascii="Times New Roman" w:hAnsi="Times New Roman"/>
          <w:color w:val="000000"/>
          <w:szCs w:val="24"/>
        </w:rPr>
        <w:t xml:space="preserve">paperwork </w:t>
      </w:r>
      <w:r w:rsidR="00E653EA" w:rsidRPr="00C67A9F">
        <w:rPr>
          <w:rFonts w:ascii="Times New Roman" w:hAnsi="Times New Roman"/>
          <w:color w:val="000000"/>
          <w:szCs w:val="24"/>
        </w:rPr>
        <w:t>burden.</w:t>
      </w:r>
    </w:p>
    <w:p w:rsidR="008D1F24" w:rsidRPr="00C67A9F" w:rsidRDefault="008D1F24" w:rsidP="007C2162">
      <w:pPr>
        <w:pStyle w:val="Style0"/>
        <w:rPr>
          <w:rFonts w:ascii="Times New Roman" w:hAnsi="Times New Roman"/>
          <w:color w:val="000000"/>
          <w:szCs w:val="24"/>
        </w:rPr>
      </w:pPr>
    </w:p>
    <w:tbl>
      <w:tblPr>
        <w:tblW w:w="0" w:type="auto"/>
        <w:tblLayout w:type="fixed"/>
        <w:tblCellMar>
          <w:left w:w="0" w:type="dxa"/>
          <w:right w:w="0" w:type="dxa"/>
        </w:tblCellMar>
        <w:tblLook w:val="0000" w:firstRow="0" w:lastRow="0" w:firstColumn="0" w:lastColumn="0" w:noHBand="0" w:noVBand="0"/>
      </w:tblPr>
      <w:tblGrid>
        <w:gridCol w:w="1450"/>
        <w:gridCol w:w="2197"/>
        <w:gridCol w:w="1245"/>
        <w:gridCol w:w="2421"/>
        <w:gridCol w:w="2044"/>
      </w:tblGrid>
      <w:tr w:rsidR="00E653EA" w:rsidRPr="00C67A9F">
        <w:trPr>
          <w:cantSplit/>
        </w:trPr>
        <w:tc>
          <w:tcPr>
            <w:tcW w:w="1450" w:type="dxa"/>
            <w:tcBorders>
              <w:top w:val="single" w:sz="6" w:space="0" w:color="000000"/>
            </w:tcBorders>
          </w:tcPr>
          <w:p w:rsidR="00E653EA" w:rsidRPr="00C67A9F" w:rsidRDefault="00E653E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highlight w:val="yellow"/>
              </w:rPr>
            </w:pPr>
          </w:p>
        </w:tc>
        <w:tc>
          <w:tcPr>
            <w:tcW w:w="2197" w:type="dxa"/>
            <w:tcBorders>
              <w:top w:val="single" w:sz="6" w:space="0" w:color="000000"/>
            </w:tcBorders>
            <w:vAlign w:val="center"/>
          </w:tcPr>
          <w:p w:rsidR="000F56BE" w:rsidRPr="00C67A9F" w:rsidRDefault="00E653EA" w:rsidP="008219CF">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i/>
                <w:color w:val="000000"/>
                <w:szCs w:val="24"/>
              </w:rPr>
            </w:pPr>
            <w:r w:rsidRPr="00C67A9F">
              <w:rPr>
                <w:rFonts w:ascii="Times New Roman" w:hAnsi="Times New Roman"/>
                <w:i/>
                <w:color w:val="000000"/>
                <w:szCs w:val="24"/>
              </w:rPr>
              <w:t>Estimated</w:t>
            </w:r>
          </w:p>
          <w:p w:rsidR="000F56BE" w:rsidRPr="00C67A9F" w:rsidRDefault="00E653EA" w:rsidP="008219CF">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i/>
                <w:color w:val="000000"/>
                <w:szCs w:val="24"/>
              </w:rPr>
            </w:pPr>
            <w:r w:rsidRPr="00C67A9F">
              <w:rPr>
                <w:rFonts w:ascii="Times New Roman" w:hAnsi="Times New Roman"/>
                <w:i/>
                <w:color w:val="000000"/>
                <w:szCs w:val="24"/>
              </w:rPr>
              <w:t>number of</w:t>
            </w:r>
          </w:p>
          <w:p w:rsidR="006C13CC" w:rsidRPr="00C67A9F" w:rsidRDefault="00E653EA" w:rsidP="00D517DF">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i/>
                <w:color w:val="000000"/>
                <w:szCs w:val="24"/>
              </w:rPr>
            </w:pPr>
            <w:r w:rsidRPr="00C67A9F">
              <w:rPr>
                <w:rFonts w:ascii="Times New Roman" w:hAnsi="Times New Roman"/>
                <w:i/>
                <w:color w:val="000000"/>
                <w:szCs w:val="24"/>
              </w:rPr>
              <w:t>respon</w:t>
            </w:r>
            <w:r w:rsidR="00D517DF" w:rsidRPr="00C67A9F">
              <w:rPr>
                <w:rFonts w:ascii="Times New Roman" w:hAnsi="Times New Roman"/>
                <w:i/>
                <w:color w:val="000000"/>
                <w:szCs w:val="24"/>
              </w:rPr>
              <w:t>dents</w:t>
            </w:r>
            <w:r w:rsidR="002D1487" w:rsidRPr="00C67A9F">
              <w:rPr>
                <w:rFonts w:ascii="Times New Roman" w:hAnsi="Times New Roman"/>
                <w:snapToGrid/>
                <w:sz w:val="20"/>
                <w:szCs w:val="24"/>
                <w:vertAlign w:val="superscript"/>
              </w:rPr>
              <w:footnoteReference w:id="7"/>
            </w:r>
          </w:p>
        </w:tc>
        <w:tc>
          <w:tcPr>
            <w:tcW w:w="1245" w:type="dxa"/>
            <w:tcBorders>
              <w:top w:val="single" w:sz="6" w:space="0" w:color="000000"/>
            </w:tcBorders>
            <w:vAlign w:val="center"/>
          </w:tcPr>
          <w:p w:rsidR="00E653EA" w:rsidRPr="00C67A9F" w:rsidRDefault="00E653EA" w:rsidP="008219CF">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i/>
                <w:color w:val="000000"/>
                <w:szCs w:val="24"/>
              </w:rPr>
            </w:pPr>
            <w:r w:rsidRPr="00C67A9F">
              <w:rPr>
                <w:rFonts w:ascii="Times New Roman" w:hAnsi="Times New Roman"/>
                <w:i/>
                <w:color w:val="000000"/>
                <w:szCs w:val="24"/>
              </w:rPr>
              <w:t>Annual</w:t>
            </w:r>
          </w:p>
          <w:p w:rsidR="00E653EA" w:rsidRPr="00C67A9F" w:rsidRDefault="00E653EA" w:rsidP="008219CF">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i/>
                <w:color w:val="000000"/>
                <w:szCs w:val="24"/>
              </w:rPr>
            </w:pPr>
            <w:r w:rsidRPr="00C67A9F">
              <w:rPr>
                <w:rFonts w:ascii="Times New Roman" w:hAnsi="Times New Roman"/>
                <w:i/>
                <w:color w:val="000000"/>
                <w:szCs w:val="24"/>
              </w:rPr>
              <w:t>frequency</w:t>
            </w:r>
          </w:p>
        </w:tc>
        <w:tc>
          <w:tcPr>
            <w:tcW w:w="2421" w:type="dxa"/>
            <w:tcBorders>
              <w:top w:val="single" w:sz="6" w:space="0" w:color="000000"/>
            </w:tcBorders>
            <w:vAlign w:val="center"/>
          </w:tcPr>
          <w:p w:rsidR="000F56BE" w:rsidRPr="00C67A9F" w:rsidRDefault="00E653EA" w:rsidP="00626DB8">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i/>
                <w:color w:val="000000"/>
                <w:szCs w:val="24"/>
              </w:rPr>
            </w:pPr>
            <w:r w:rsidRPr="00C67A9F">
              <w:rPr>
                <w:rFonts w:ascii="Times New Roman" w:hAnsi="Times New Roman"/>
                <w:i/>
                <w:color w:val="000000"/>
                <w:szCs w:val="24"/>
              </w:rPr>
              <w:t>Estimated</w:t>
            </w:r>
          </w:p>
          <w:p w:rsidR="000F56BE" w:rsidRPr="00C67A9F" w:rsidRDefault="00E653EA" w:rsidP="00626DB8">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i/>
                <w:color w:val="000000"/>
                <w:szCs w:val="24"/>
              </w:rPr>
            </w:pPr>
            <w:r w:rsidRPr="00C67A9F">
              <w:rPr>
                <w:rFonts w:ascii="Times New Roman" w:hAnsi="Times New Roman"/>
                <w:i/>
                <w:color w:val="000000"/>
                <w:szCs w:val="24"/>
              </w:rPr>
              <w:t>average hours</w:t>
            </w:r>
          </w:p>
          <w:p w:rsidR="00E653EA" w:rsidRPr="00C67A9F" w:rsidRDefault="00E653EA" w:rsidP="00626DB8">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i/>
                <w:color w:val="000000"/>
                <w:szCs w:val="24"/>
              </w:rPr>
            </w:pPr>
            <w:r w:rsidRPr="00C67A9F">
              <w:rPr>
                <w:rFonts w:ascii="Times New Roman" w:hAnsi="Times New Roman"/>
                <w:i/>
                <w:color w:val="000000"/>
                <w:szCs w:val="24"/>
              </w:rPr>
              <w:t>per response</w:t>
            </w:r>
          </w:p>
        </w:tc>
        <w:tc>
          <w:tcPr>
            <w:tcW w:w="2044" w:type="dxa"/>
            <w:tcBorders>
              <w:top w:val="single" w:sz="6" w:space="0" w:color="000000"/>
            </w:tcBorders>
            <w:vAlign w:val="center"/>
          </w:tcPr>
          <w:p w:rsidR="000F56BE" w:rsidRPr="00C67A9F" w:rsidRDefault="00E653EA" w:rsidP="00626DB8">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i/>
                <w:color w:val="000000"/>
                <w:szCs w:val="24"/>
              </w:rPr>
            </w:pPr>
            <w:r w:rsidRPr="00C67A9F">
              <w:rPr>
                <w:rFonts w:ascii="Times New Roman" w:hAnsi="Times New Roman"/>
                <w:i/>
                <w:color w:val="000000"/>
                <w:szCs w:val="24"/>
              </w:rPr>
              <w:t>Estimated</w:t>
            </w:r>
          </w:p>
          <w:p w:rsidR="000F56BE" w:rsidRPr="00C67A9F" w:rsidRDefault="00E653EA" w:rsidP="00626DB8">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i/>
                <w:color w:val="000000"/>
                <w:szCs w:val="24"/>
              </w:rPr>
            </w:pPr>
            <w:r w:rsidRPr="00C67A9F">
              <w:rPr>
                <w:rFonts w:ascii="Times New Roman" w:hAnsi="Times New Roman"/>
                <w:i/>
                <w:color w:val="000000"/>
                <w:szCs w:val="24"/>
              </w:rPr>
              <w:t>annual</w:t>
            </w:r>
          </w:p>
          <w:p w:rsidR="00E653EA" w:rsidRPr="00C67A9F" w:rsidRDefault="00E653EA" w:rsidP="00696280">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i/>
                <w:color w:val="000000"/>
                <w:szCs w:val="24"/>
              </w:rPr>
            </w:pPr>
            <w:r w:rsidRPr="00C67A9F">
              <w:rPr>
                <w:rFonts w:ascii="Times New Roman" w:hAnsi="Times New Roman"/>
                <w:i/>
                <w:color w:val="000000"/>
                <w:szCs w:val="24"/>
              </w:rPr>
              <w:t>burden hours</w:t>
            </w:r>
          </w:p>
        </w:tc>
      </w:tr>
      <w:tr w:rsidR="000F56BE" w:rsidRPr="00C67A9F">
        <w:trPr>
          <w:cantSplit/>
        </w:trPr>
        <w:tc>
          <w:tcPr>
            <w:tcW w:w="1450" w:type="dxa"/>
            <w:vAlign w:val="center"/>
          </w:tcPr>
          <w:p w:rsidR="000F56BE" w:rsidRPr="00C67A9F" w:rsidDel="008C74DD" w:rsidRDefault="000F56BE" w:rsidP="00626DB8">
            <w:pPr>
              <w:pStyle w:val="Style0"/>
              <w:rPr>
                <w:rFonts w:ascii="Times New Roman" w:hAnsi="Times New Roman"/>
                <w:color w:val="000000"/>
                <w:szCs w:val="24"/>
              </w:rPr>
            </w:pPr>
          </w:p>
        </w:tc>
        <w:tc>
          <w:tcPr>
            <w:tcW w:w="2197" w:type="dxa"/>
          </w:tcPr>
          <w:p w:rsidR="000F56BE" w:rsidRPr="00C67A9F" w:rsidDel="00502D4F" w:rsidRDefault="000F56BE" w:rsidP="008219CF">
            <w:pPr>
              <w:pStyle w:val="Style0"/>
              <w:jc w:val="center"/>
              <w:rPr>
                <w:rFonts w:ascii="Times New Roman" w:hAnsi="Times New Roman"/>
                <w:color w:val="000000"/>
                <w:szCs w:val="24"/>
              </w:rPr>
            </w:pPr>
          </w:p>
        </w:tc>
        <w:tc>
          <w:tcPr>
            <w:tcW w:w="1245" w:type="dxa"/>
          </w:tcPr>
          <w:p w:rsidR="000F56BE" w:rsidRPr="00C67A9F" w:rsidRDefault="000F56BE" w:rsidP="008219CF">
            <w:pPr>
              <w:pStyle w:val="Style0"/>
              <w:jc w:val="center"/>
              <w:rPr>
                <w:rFonts w:ascii="Times New Roman" w:hAnsi="Times New Roman"/>
                <w:color w:val="000000"/>
                <w:szCs w:val="24"/>
              </w:rPr>
            </w:pPr>
          </w:p>
        </w:tc>
        <w:tc>
          <w:tcPr>
            <w:tcW w:w="2421" w:type="dxa"/>
          </w:tcPr>
          <w:p w:rsidR="000F56BE" w:rsidRPr="00C67A9F" w:rsidRDefault="000F56BE">
            <w:pPr>
              <w:pStyle w:val="Style0"/>
              <w:jc w:val="center"/>
              <w:rPr>
                <w:rFonts w:ascii="Times New Roman" w:hAnsi="Times New Roman"/>
                <w:color w:val="000000"/>
                <w:szCs w:val="24"/>
              </w:rPr>
            </w:pPr>
          </w:p>
        </w:tc>
        <w:tc>
          <w:tcPr>
            <w:tcW w:w="2044" w:type="dxa"/>
          </w:tcPr>
          <w:p w:rsidR="000F56BE" w:rsidRPr="00C67A9F" w:rsidDel="00502D4F" w:rsidRDefault="000F56BE">
            <w:pPr>
              <w:pStyle w:val="Style0"/>
              <w:jc w:val="center"/>
              <w:rPr>
                <w:rFonts w:ascii="Times New Roman" w:hAnsi="Times New Roman"/>
                <w:color w:val="000000"/>
                <w:szCs w:val="24"/>
              </w:rPr>
            </w:pPr>
          </w:p>
        </w:tc>
      </w:tr>
      <w:tr w:rsidR="00E653EA" w:rsidRPr="00C67A9F">
        <w:trPr>
          <w:cantSplit/>
        </w:trPr>
        <w:tc>
          <w:tcPr>
            <w:tcW w:w="1450" w:type="dxa"/>
            <w:vAlign w:val="center"/>
          </w:tcPr>
          <w:p w:rsidR="00E653EA" w:rsidRPr="00C67A9F" w:rsidRDefault="008C74DD" w:rsidP="007C2162">
            <w:pPr>
              <w:pStyle w:val="Style0"/>
              <w:rPr>
                <w:rFonts w:ascii="Times New Roman" w:hAnsi="Times New Roman"/>
                <w:color w:val="000000"/>
                <w:szCs w:val="24"/>
              </w:rPr>
            </w:pPr>
            <w:r w:rsidRPr="00C67A9F">
              <w:rPr>
                <w:rFonts w:ascii="Times New Roman" w:hAnsi="Times New Roman"/>
                <w:color w:val="000000"/>
                <w:szCs w:val="24"/>
              </w:rPr>
              <w:t>FR</w:t>
            </w:r>
            <w:r w:rsidR="007C2162">
              <w:rPr>
                <w:rFonts w:ascii="Times New Roman" w:hAnsi="Times New Roman"/>
                <w:color w:val="000000"/>
                <w:szCs w:val="24"/>
              </w:rPr>
              <w:t> </w:t>
            </w:r>
            <w:r w:rsidR="00E653EA" w:rsidRPr="00C67A9F">
              <w:rPr>
                <w:rFonts w:ascii="Times New Roman" w:hAnsi="Times New Roman"/>
                <w:color w:val="000000"/>
                <w:szCs w:val="24"/>
              </w:rPr>
              <w:t>MSD</w:t>
            </w:r>
            <w:r w:rsidR="007C2162">
              <w:rPr>
                <w:rFonts w:ascii="Times New Roman" w:hAnsi="Times New Roman"/>
                <w:color w:val="000000"/>
                <w:szCs w:val="24"/>
              </w:rPr>
              <w:t>-</w:t>
            </w:r>
            <w:r w:rsidR="00E653EA" w:rsidRPr="00C67A9F">
              <w:rPr>
                <w:rFonts w:ascii="Times New Roman" w:hAnsi="Times New Roman"/>
                <w:color w:val="000000"/>
                <w:szCs w:val="24"/>
              </w:rPr>
              <w:t>4</w:t>
            </w:r>
          </w:p>
        </w:tc>
        <w:tc>
          <w:tcPr>
            <w:tcW w:w="2197" w:type="dxa"/>
            <w:vAlign w:val="center"/>
          </w:tcPr>
          <w:p w:rsidR="00E653EA" w:rsidRPr="00C67A9F" w:rsidRDefault="00961EBF" w:rsidP="008219CF">
            <w:pPr>
              <w:pStyle w:val="Style0"/>
              <w:jc w:val="center"/>
              <w:rPr>
                <w:rFonts w:ascii="Times New Roman" w:hAnsi="Times New Roman"/>
                <w:color w:val="000000"/>
                <w:szCs w:val="24"/>
                <w:highlight w:val="yellow"/>
              </w:rPr>
            </w:pPr>
            <w:r w:rsidRPr="00C67A9F">
              <w:rPr>
                <w:rFonts w:ascii="Times New Roman" w:hAnsi="Times New Roman"/>
                <w:color w:val="000000"/>
                <w:szCs w:val="24"/>
              </w:rPr>
              <w:t>20</w:t>
            </w:r>
          </w:p>
        </w:tc>
        <w:tc>
          <w:tcPr>
            <w:tcW w:w="1245" w:type="dxa"/>
            <w:vAlign w:val="center"/>
          </w:tcPr>
          <w:p w:rsidR="00E653EA" w:rsidRPr="00C67A9F" w:rsidRDefault="00E653EA" w:rsidP="008219CF">
            <w:pPr>
              <w:pStyle w:val="Style0"/>
              <w:jc w:val="center"/>
              <w:rPr>
                <w:rFonts w:ascii="Times New Roman" w:hAnsi="Times New Roman"/>
                <w:color w:val="000000"/>
                <w:szCs w:val="24"/>
                <w:highlight w:val="yellow"/>
              </w:rPr>
            </w:pPr>
            <w:r w:rsidRPr="00C67A9F">
              <w:rPr>
                <w:rFonts w:ascii="Times New Roman" w:hAnsi="Times New Roman"/>
                <w:color w:val="000000"/>
                <w:szCs w:val="24"/>
              </w:rPr>
              <w:t>1</w:t>
            </w:r>
          </w:p>
        </w:tc>
        <w:tc>
          <w:tcPr>
            <w:tcW w:w="2421" w:type="dxa"/>
            <w:vAlign w:val="center"/>
          </w:tcPr>
          <w:p w:rsidR="00E653EA" w:rsidRPr="00C67A9F" w:rsidRDefault="00E653EA" w:rsidP="007C2162">
            <w:pPr>
              <w:pStyle w:val="Style0"/>
              <w:tabs>
                <w:tab w:val="decimal" w:pos="1138"/>
              </w:tabs>
              <w:rPr>
                <w:rFonts w:ascii="Times New Roman" w:hAnsi="Times New Roman"/>
                <w:color w:val="000000"/>
                <w:szCs w:val="24"/>
              </w:rPr>
            </w:pPr>
            <w:r w:rsidRPr="00C67A9F">
              <w:rPr>
                <w:rFonts w:ascii="Times New Roman" w:hAnsi="Times New Roman"/>
                <w:color w:val="000000"/>
                <w:szCs w:val="24"/>
              </w:rPr>
              <w:t>1</w:t>
            </w:r>
            <w:r w:rsidR="008219CF" w:rsidRPr="00C67A9F">
              <w:rPr>
                <w:rFonts w:ascii="Times New Roman" w:hAnsi="Times New Roman"/>
                <w:color w:val="000000"/>
                <w:szCs w:val="24"/>
              </w:rPr>
              <w:t>.00</w:t>
            </w:r>
          </w:p>
        </w:tc>
        <w:tc>
          <w:tcPr>
            <w:tcW w:w="2044" w:type="dxa"/>
            <w:vAlign w:val="center"/>
          </w:tcPr>
          <w:p w:rsidR="00E653EA" w:rsidRPr="00C67A9F" w:rsidRDefault="008219CF" w:rsidP="008219CF">
            <w:pPr>
              <w:pStyle w:val="Style0"/>
              <w:jc w:val="center"/>
              <w:rPr>
                <w:rFonts w:ascii="Times New Roman" w:hAnsi="Times New Roman"/>
                <w:color w:val="000000"/>
                <w:szCs w:val="24"/>
              </w:rPr>
            </w:pPr>
            <w:r w:rsidRPr="00C67A9F">
              <w:rPr>
                <w:rFonts w:ascii="Times New Roman" w:hAnsi="Times New Roman"/>
              </w:rPr>
              <w:fldChar w:fldCharType="begin"/>
            </w:r>
            <w:r w:rsidRPr="00C67A9F">
              <w:rPr>
                <w:rFonts w:ascii="Times New Roman" w:hAnsi="Times New Roman"/>
              </w:rPr>
              <w:instrText xml:space="preserve"> =b3*c3*d3 \# "#,##0" </w:instrText>
            </w:r>
            <w:r w:rsidRPr="00C67A9F">
              <w:rPr>
                <w:rFonts w:ascii="Times New Roman" w:hAnsi="Times New Roman"/>
              </w:rPr>
              <w:fldChar w:fldCharType="separate"/>
            </w:r>
            <w:r w:rsidRPr="00C67A9F">
              <w:rPr>
                <w:rFonts w:ascii="Times New Roman" w:hAnsi="Times New Roman"/>
                <w:noProof/>
              </w:rPr>
              <w:t xml:space="preserve">  20</w:t>
            </w:r>
            <w:r w:rsidRPr="00C67A9F">
              <w:rPr>
                <w:rFonts w:ascii="Times New Roman" w:hAnsi="Times New Roman"/>
                <w:noProof/>
              </w:rPr>
              <w:fldChar w:fldCharType="end"/>
            </w:r>
          </w:p>
        </w:tc>
      </w:tr>
      <w:tr w:rsidR="00E653EA" w:rsidRPr="00C67A9F">
        <w:trPr>
          <w:cantSplit/>
        </w:trPr>
        <w:tc>
          <w:tcPr>
            <w:tcW w:w="1450" w:type="dxa"/>
            <w:vAlign w:val="center"/>
          </w:tcPr>
          <w:p w:rsidR="00E653EA" w:rsidRPr="00C67A9F" w:rsidRDefault="008C74DD" w:rsidP="007C2162">
            <w:pPr>
              <w:pStyle w:val="Style0"/>
              <w:rPr>
                <w:rFonts w:ascii="Times New Roman" w:hAnsi="Times New Roman"/>
                <w:color w:val="000000"/>
                <w:szCs w:val="24"/>
              </w:rPr>
            </w:pPr>
            <w:r w:rsidRPr="00C67A9F">
              <w:rPr>
                <w:rFonts w:ascii="Times New Roman" w:hAnsi="Times New Roman"/>
                <w:color w:val="000000"/>
                <w:szCs w:val="24"/>
              </w:rPr>
              <w:t>FR</w:t>
            </w:r>
            <w:r w:rsidR="007C2162">
              <w:rPr>
                <w:rFonts w:ascii="Times New Roman" w:hAnsi="Times New Roman"/>
                <w:color w:val="000000"/>
                <w:szCs w:val="24"/>
              </w:rPr>
              <w:t> </w:t>
            </w:r>
            <w:r w:rsidR="00E653EA" w:rsidRPr="00C67A9F">
              <w:rPr>
                <w:rFonts w:ascii="Times New Roman" w:hAnsi="Times New Roman"/>
                <w:color w:val="000000"/>
                <w:szCs w:val="24"/>
              </w:rPr>
              <w:t>MSD</w:t>
            </w:r>
            <w:r w:rsidR="007C2162">
              <w:rPr>
                <w:rFonts w:ascii="Times New Roman" w:hAnsi="Times New Roman"/>
                <w:color w:val="000000"/>
                <w:szCs w:val="24"/>
              </w:rPr>
              <w:t>-</w:t>
            </w:r>
            <w:r w:rsidR="00E653EA" w:rsidRPr="00C67A9F">
              <w:rPr>
                <w:rFonts w:ascii="Times New Roman" w:hAnsi="Times New Roman"/>
                <w:color w:val="000000"/>
                <w:szCs w:val="24"/>
              </w:rPr>
              <w:t>5</w:t>
            </w:r>
          </w:p>
        </w:tc>
        <w:tc>
          <w:tcPr>
            <w:tcW w:w="2197" w:type="dxa"/>
            <w:vAlign w:val="center"/>
          </w:tcPr>
          <w:p w:rsidR="00E653EA" w:rsidRPr="00C67A9F" w:rsidRDefault="00961EBF" w:rsidP="008219CF">
            <w:pPr>
              <w:pStyle w:val="Style0"/>
              <w:jc w:val="center"/>
              <w:rPr>
                <w:rFonts w:ascii="Times New Roman" w:hAnsi="Times New Roman"/>
                <w:color w:val="000000"/>
                <w:szCs w:val="24"/>
                <w:highlight w:val="yellow"/>
              </w:rPr>
            </w:pPr>
            <w:r w:rsidRPr="00C67A9F">
              <w:rPr>
                <w:rFonts w:ascii="Times New Roman" w:hAnsi="Times New Roman"/>
                <w:color w:val="000000"/>
                <w:szCs w:val="24"/>
              </w:rPr>
              <w:t>50</w:t>
            </w:r>
          </w:p>
        </w:tc>
        <w:tc>
          <w:tcPr>
            <w:tcW w:w="1245" w:type="dxa"/>
            <w:vAlign w:val="center"/>
          </w:tcPr>
          <w:p w:rsidR="00E653EA" w:rsidRPr="00C67A9F" w:rsidRDefault="00E653EA" w:rsidP="008219CF">
            <w:pPr>
              <w:pStyle w:val="Style0"/>
              <w:jc w:val="center"/>
              <w:rPr>
                <w:rFonts w:ascii="Times New Roman" w:hAnsi="Times New Roman"/>
                <w:color w:val="000000"/>
                <w:szCs w:val="24"/>
                <w:highlight w:val="yellow"/>
              </w:rPr>
            </w:pPr>
            <w:r w:rsidRPr="00C67A9F">
              <w:rPr>
                <w:rFonts w:ascii="Times New Roman" w:hAnsi="Times New Roman"/>
                <w:color w:val="000000"/>
                <w:szCs w:val="24"/>
              </w:rPr>
              <w:t>1</w:t>
            </w:r>
          </w:p>
        </w:tc>
        <w:tc>
          <w:tcPr>
            <w:tcW w:w="2421" w:type="dxa"/>
            <w:vAlign w:val="center"/>
          </w:tcPr>
          <w:p w:rsidR="00E653EA" w:rsidRPr="00C67A9F" w:rsidRDefault="001C0146" w:rsidP="007C2162">
            <w:pPr>
              <w:pStyle w:val="Style0"/>
              <w:tabs>
                <w:tab w:val="decimal" w:pos="1138"/>
              </w:tabs>
              <w:rPr>
                <w:rFonts w:ascii="Times New Roman" w:hAnsi="Times New Roman"/>
                <w:color w:val="000000"/>
                <w:szCs w:val="24"/>
              </w:rPr>
            </w:pPr>
            <w:r w:rsidRPr="00C67A9F">
              <w:rPr>
                <w:rFonts w:ascii="Times New Roman" w:hAnsi="Times New Roman"/>
                <w:color w:val="000000"/>
                <w:szCs w:val="24"/>
              </w:rPr>
              <w:t>0.2</w:t>
            </w:r>
            <w:r w:rsidR="00120971" w:rsidRPr="00C67A9F">
              <w:rPr>
                <w:rFonts w:ascii="Times New Roman" w:hAnsi="Times New Roman"/>
                <w:color w:val="000000"/>
                <w:szCs w:val="24"/>
              </w:rPr>
              <w:t>5</w:t>
            </w:r>
          </w:p>
        </w:tc>
        <w:tc>
          <w:tcPr>
            <w:tcW w:w="2044" w:type="dxa"/>
            <w:vAlign w:val="center"/>
          </w:tcPr>
          <w:p w:rsidR="00E653EA" w:rsidRPr="00C67A9F" w:rsidRDefault="00711500" w:rsidP="00D44F8F">
            <w:pPr>
              <w:pStyle w:val="Style0"/>
              <w:jc w:val="center"/>
              <w:rPr>
                <w:rFonts w:ascii="Times New Roman" w:hAnsi="Times New Roman"/>
                <w:color w:val="000000"/>
                <w:szCs w:val="24"/>
                <w:u w:val="single"/>
              </w:rPr>
            </w:pPr>
            <w:r w:rsidRPr="00C67A9F">
              <w:rPr>
                <w:rFonts w:ascii="Times New Roman" w:hAnsi="Times New Roman"/>
                <w:u w:val="single"/>
              </w:rPr>
              <w:t xml:space="preserve">  </w:t>
            </w:r>
            <w:r w:rsidR="00D44F8F" w:rsidRPr="00C67A9F">
              <w:rPr>
                <w:rFonts w:ascii="Times New Roman" w:hAnsi="Times New Roman"/>
                <w:u w:val="single"/>
              </w:rPr>
              <w:t>13</w:t>
            </w:r>
          </w:p>
        </w:tc>
      </w:tr>
      <w:tr w:rsidR="00E653EA" w:rsidRPr="00C67A9F">
        <w:trPr>
          <w:cantSplit/>
        </w:trPr>
        <w:tc>
          <w:tcPr>
            <w:tcW w:w="1450" w:type="dxa"/>
            <w:tcBorders>
              <w:bottom w:val="single" w:sz="6" w:space="0" w:color="000000"/>
            </w:tcBorders>
            <w:vAlign w:val="center"/>
          </w:tcPr>
          <w:p w:rsidR="00E653EA" w:rsidRPr="00C67A9F" w:rsidRDefault="00E653EA" w:rsidP="000F56BE">
            <w:pPr>
              <w:pStyle w:val="Style0"/>
              <w:jc w:val="right"/>
              <w:rPr>
                <w:rFonts w:ascii="Times New Roman" w:hAnsi="Times New Roman"/>
                <w:i/>
                <w:color w:val="000000"/>
                <w:szCs w:val="24"/>
              </w:rPr>
            </w:pPr>
            <w:r w:rsidRPr="00C67A9F">
              <w:rPr>
                <w:rFonts w:ascii="Times New Roman" w:hAnsi="Times New Roman"/>
                <w:i/>
                <w:color w:val="000000"/>
                <w:szCs w:val="24"/>
              </w:rPr>
              <w:t>Total</w:t>
            </w:r>
          </w:p>
        </w:tc>
        <w:tc>
          <w:tcPr>
            <w:tcW w:w="2197" w:type="dxa"/>
            <w:tcBorders>
              <w:bottom w:val="single" w:sz="6" w:space="0" w:color="000000"/>
            </w:tcBorders>
            <w:vAlign w:val="center"/>
          </w:tcPr>
          <w:p w:rsidR="00E653EA" w:rsidRPr="00C67A9F" w:rsidRDefault="00E653EA" w:rsidP="008219CF">
            <w:pPr>
              <w:pStyle w:val="Style0"/>
              <w:jc w:val="center"/>
              <w:rPr>
                <w:rFonts w:ascii="Times New Roman" w:hAnsi="Times New Roman"/>
                <w:i/>
                <w:color w:val="000000"/>
                <w:szCs w:val="24"/>
                <w:highlight w:val="yellow"/>
              </w:rPr>
            </w:pPr>
          </w:p>
        </w:tc>
        <w:tc>
          <w:tcPr>
            <w:tcW w:w="1245" w:type="dxa"/>
            <w:tcBorders>
              <w:bottom w:val="single" w:sz="6" w:space="0" w:color="000000"/>
            </w:tcBorders>
            <w:vAlign w:val="center"/>
          </w:tcPr>
          <w:p w:rsidR="00E653EA" w:rsidRPr="00C67A9F" w:rsidRDefault="00E653EA" w:rsidP="008219CF">
            <w:pPr>
              <w:pStyle w:val="Style0"/>
              <w:jc w:val="center"/>
              <w:rPr>
                <w:rFonts w:ascii="Times New Roman" w:hAnsi="Times New Roman"/>
                <w:i/>
                <w:color w:val="000000"/>
                <w:szCs w:val="24"/>
                <w:highlight w:val="yellow"/>
              </w:rPr>
            </w:pPr>
          </w:p>
        </w:tc>
        <w:tc>
          <w:tcPr>
            <w:tcW w:w="2421" w:type="dxa"/>
            <w:tcBorders>
              <w:bottom w:val="single" w:sz="6" w:space="0" w:color="000000"/>
            </w:tcBorders>
            <w:vAlign w:val="center"/>
          </w:tcPr>
          <w:p w:rsidR="00E653EA" w:rsidRPr="00C67A9F" w:rsidRDefault="00E653EA" w:rsidP="00626DB8">
            <w:pPr>
              <w:pStyle w:val="Style0"/>
              <w:jc w:val="center"/>
              <w:rPr>
                <w:rFonts w:ascii="Times New Roman" w:hAnsi="Times New Roman"/>
                <w:i/>
                <w:color w:val="000000"/>
                <w:szCs w:val="24"/>
                <w:highlight w:val="yellow"/>
              </w:rPr>
            </w:pPr>
          </w:p>
        </w:tc>
        <w:tc>
          <w:tcPr>
            <w:tcW w:w="2044" w:type="dxa"/>
            <w:tcBorders>
              <w:bottom w:val="single" w:sz="6" w:space="0" w:color="000000"/>
            </w:tcBorders>
            <w:vAlign w:val="center"/>
          </w:tcPr>
          <w:p w:rsidR="00E653EA" w:rsidRPr="00C67A9F" w:rsidRDefault="008219CF" w:rsidP="00D44F8F">
            <w:pPr>
              <w:pStyle w:val="Style0"/>
              <w:jc w:val="center"/>
              <w:rPr>
                <w:rFonts w:ascii="Times New Roman" w:hAnsi="Times New Roman"/>
                <w:color w:val="000000"/>
                <w:szCs w:val="24"/>
                <w:highlight w:val="yellow"/>
              </w:rPr>
            </w:pPr>
            <w:r w:rsidRPr="00C67A9F">
              <w:rPr>
                <w:rFonts w:ascii="Times New Roman" w:hAnsi="Times New Roman"/>
              </w:rPr>
              <w:fldChar w:fldCharType="begin"/>
            </w:r>
            <w:r w:rsidRPr="00C67A9F">
              <w:rPr>
                <w:rFonts w:ascii="Times New Roman" w:hAnsi="Times New Roman"/>
              </w:rPr>
              <w:instrText xml:space="preserve"> =sum(e3:e4) \# "#,###" </w:instrText>
            </w:r>
            <w:r w:rsidRPr="00C67A9F">
              <w:rPr>
                <w:rFonts w:ascii="Times New Roman" w:hAnsi="Times New Roman"/>
              </w:rPr>
              <w:fldChar w:fldCharType="separate"/>
            </w:r>
            <w:r w:rsidRPr="00C67A9F">
              <w:rPr>
                <w:rFonts w:ascii="Times New Roman" w:hAnsi="Times New Roman"/>
                <w:noProof/>
              </w:rPr>
              <w:t xml:space="preserve">  </w:t>
            </w:r>
            <w:r w:rsidR="00D44F8F" w:rsidRPr="00C67A9F">
              <w:rPr>
                <w:rFonts w:ascii="Times New Roman" w:hAnsi="Times New Roman"/>
                <w:noProof/>
              </w:rPr>
              <w:t>33</w:t>
            </w:r>
            <w:r w:rsidRPr="00C67A9F">
              <w:rPr>
                <w:rFonts w:ascii="Times New Roman" w:hAnsi="Times New Roman"/>
              </w:rPr>
              <w:fldChar w:fldCharType="end"/>
            </w:r>
          </w:p>
        </w:tc>
      </w:tr>
    </w:tbl>
    <w:p w:rsidR="007C2162" w:rsidRDefault="007C2162">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rPr>
      </w:pPr>
    </w:p>
    <w:p w:rsidR="00E653EA" w:rsidRPr="00C67A9F" w:rsidRDefault="00946F84">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rPr>
      </w:pPr>
      <w:r w:rsidRPr="00C67A9F">
        <w:rPr>
          <w:rFonts w:ascii="Times New Roman" w:hAnsi="Times New Roman"/>
          <w:color w:val="000000"/>
          <w:szCs w:val="24"/>
        </w:rPr>
        <w:t>T</w:t>
      </w:r>
      <w:r w:rsidR="00E653EA" w:rsidRPr="00C67A9F">
        <w:rPr>
          <w:rFonts w:ascii="Times New Roman" w:hAnsi="Times New Roman"/>
          <w:color w:val="000000"/>
          <w:szCs w:val="24"/>
        </w:rPr>
        <w:t xml:space="preserve">he </w:t>
      </w:r>
      <w:r w:rsidR="00DC50A8" w:rsidRPr="00C67A9F">
        <w:rPr>
          <w:rFonts w:ascii="Times New Roman" w:hAnsi="Times New Roman"/>
          <w:color w:val="000000"/>
          <w:szCs w:val="24"/>
        </w:rPr>
        <w:t xml:space="preserve">current </w:t>
      </w:r>
      <w:r w:rsidR="00E653EA" w:rsidRPr="00C67A9F">
        <w:rPr>
          <w:rFonts w:ascii="Times New Roman" w:hAnsi="Times New Roman"/>
          <w:color w:val="000000"/>
          <w:szCs w:val="24"/>
        </w:rPr>
        <w:t>annual cost to the public</w:t>
      </w:r>
      <w:r w:rsidR="00DC50A8" w:rsidRPr="00C67A9F">
        <w:rPr>
          <w:rFonts w:ascii="Times New Roman" w:hAnsi="Times New Roman"/>
          <w:color w:val="000000"/>
          <w:szCs w:val="24"/>
        </w:rPr>
        <w:t xml:space="preserve"> of these </w:t>
      </w:r>
      <w:r w:rsidR="008C74DD" w:rsidRPr="00C67A9F">
        <w:rPr>
          <w:rFonts w:ascii="Times New Roman" w:hAnsi="Times New Roman"/>
          <w:color w:val="000000"/>
          <w:szCs w:val="24"/>
        </w:rPr>
        <w:t xml:space="preserve">information collections </w:t>
      </w:r>
      <w:r w:rsidR="00E653EA" w:rsidRPr="00C67A9F">
        <w:rPr>
          <w:rFonts w:ascii="Times New Roman" w:hAnsi="Times New Roman"/>
          <w:color w:val="000000"/>
          <w:szCs w:val="24"/>
        </w:rPr>
        <w:t>is estimated to be $</w:t>
      </w:r>
      <w:r w:rsidR="005A6295" w:rsidRPr="00C67A9F">
        <w:rPr>
          <w:rFonts w:ascii="Times New Roman" w:hAnsi="Times New Roman"/>
          <w:color w:val="000000"/>
          <w:szCs w:val="24"/>
        </w:rPr>
        <w:t>1,480</w:t>
      </w:r>
      <w:r w:rsidR="00E653EA" w:rsidRPr="00C67A9F">
        <w:rPr>
          <w:rFonts w:ascii="Times New Roman" w:hAnsi="Times New Roman"/>
          <w:color w:val="000000"/>
          <w:szCs w:val="24"/>
        </w:rPr>
        <w:t>.</w:t>
      </w:r>
      <w:r w:rsidR="00295634" w:rsidRPr="00C67A9F">
        <w:rPr>
          <w:rStyle w:val="FootnoteReference"/>
          <w:rFonts w:ascii="Times New Roman" w:hAnsi="Times New Roman"/>
          <w:color w:val="000000"/>
          <w:szCs w:val="24"/>
          <w:vertAlign w:val="superscript"/>
        </w:rPr>
        <w:footnoteReference w:id="8"/>
      </w:r>
    </w:p>
    <w:p w:rsidR="00021202" w:rsidRPr="007C2162" w:rsidRDefault="00021202" w:rsidP="007C2162">
      <w:pPr>
        <w:pStyle w:val="Style0"/>
        <w:rPr>
          <w:rFonts w:ascii="Times New Roman" w:hAnsi="Times New Roman"/>
          <w:color w:val="000000"/>
          <w:szCs w:val="24"/>
        </w:rPr>
      </w:pPr>
    </w:p>
    <w:p w:rsidR="00E653EA" w:rsidRPr="00C67A9F" w:rsidRDefault="00E653E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color w:val="000000"/>
          <w:szCs w:val="24"/>
        </w:rPr>
      </w:pPr>
      <w:r w:rsidRPr="00C67A9F">
        <w:rPr>
          <w:rFonts w:ascii="Times New Roman" w:hAnsi="Times New Roman"/>
          <w:b/>
          <w:color w:val="000000"/>
          <w:szCs w:val="24"/>
        </w:rPr>
        <w:t>Sensitive Questions</w:t>
      </w:r>
    </w:p>
    <w:p w:rsidR="00E653EA" w:rsidRPr="007C2162" w:rsidRDefault="00E653E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Cs w:val="24"/>
        </w:rPr>
      </w:pPr>
    </w:p>
    <w:p w:rsidR="00E653EA" w:rsidRPr="00C67A9F" w:rsidRDefault="00E653EA" w:rsidP="007C2162">
      <w:pPr>
        <w:pStyle w:val="Style0"/>
        <w:ind w:firstLine="720"/>
        <w:rPr>
          <w:rFonts w:ascii="Times New Roman" w:hAnsi="Times New Roman"/>
          <w:color w:val="000000"/>
          <w:szCs w:val="24"/>
        </w:rPr>
      </w:pPr>
      <w:r w:rsidRPr="00C67A9F">
        <w:rPr>
          <w:rFonts w:ascii="Times New Roman" w:hAnsi="Times New Roman"/>
          <w:color w:val="000000"/>
          <w:szCs w:val="24"/>
        </w:rPr>
        <w:t>Th</w:t>
      </w:r>
      <w:r w:rsidR="004621F8" w:rsidRPr="00C67A9F">
        <w:rPr>
          <w:rFonts w:ascii="Times New Roman" w:hAnsi="Times New Roman"/>
          <w:color w:val="000000"/>
          <w:szCs w:val="24"/>
        </w:rPr>
        <w:t>e</w:t>
      </w:r>
      <w:r w:rsidRPr="00C67A9F">
        <w:rPr>
          <w:rFonts w:ascii="Times New Roman" w:hAnsi="Times New Roman"/>
          <w:color w:val="000000"/>
          <w:szCs w:val="24"/>
        </w:rPr>
        <w:t>s</w:t>
      </w:r>
      <w:r w:rsidR="004621F8" w:rsidRPr="00C67A9F">
        <w:rPr>
          <w:rFonts w:ascii="Times New Roman" w:hAnsi="Times New Roman"/>
          <w:color w:val="000000"/>
          <w:szCs w:val="24"/>
        </w:rPr>
        <w:t>e</w:t>
      </w:r>
      <w:r w:rsidRPr="00C67A9F">
        <w:rPr>
          <w:rFonts w:ascii="Times New Roman" w:hAnsi="Times New Roman"/>
          <w:color w:val="000000"/>
          <w:szCs w:val="24"/>
        </w:rPr>
        <w:t xml:space="preserve"> </w:t>
      </w:r>
      <w:r w:rsidR="004621F8" w:rsidRPr="00C67A9F">
        <w:rPr>
          <w:rFonts w:ascii="Times New Roman" w:hAnsi="Times New Roman"/>
          <w:color w:val="000000"/>
          <w:szCs w:val="24"/>
        </w:rPr>
        <w:t xml:space="preserve">information </w:t>
      </w:r>
      <w:r w:rsidRPr="00C67A9F">
        <w:rPr>
          <w:rFonts w:ascii="Times New Roman" w:hAnsi="Times New Roman"/>
          <w:color w:val="000000"/>
          <w:szCs w:val="24"/>
        </w:rPr>
        <w:t>collection</w:t>
      </w:r>
      <w:r w:rsidR="004621F8" w:rsidRPr="00C67A9F">
        <w:rPr>
          <w:rFonts w:ascii="Times New Roman" w:hAnsi="Times New Roman"/>
          <w:color w:val="000000"/>
          <w:szCs w:val="24"/>
        </w:rPr>
        <w:t>s</w:t>
      </w:r>
      <w:r w:rsidRPr="00C67A9F">
        <w:rPr>
          <w:rFonts w:ascii="Times New Roman" w:hAnsi="Times New Roman"/>
          <w:color w:val="000000"/>
          <w:szCs w:val="24"/>
        </w:rPr>
        <w:t xml:space="preserve"> contain no questions of a sensitive nature, as defined by OMB guidelines.</w:t>
      </w:r>
    </w:p>
    <w:p w:rsidR="00C80896" w:rsidRPr="00C67A9F" w:rsidRDefault="00C80896" w:rsidP="00DE4BC3">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rPr>
      </w:pPr>
    </w:p>
    <w:p w:rsidR="00AA2CB2" w:rsidRPr="00C67A9F" w:rsidRDefault="00AA2CB2" w:rsidP="00DE4BC3">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rPr>
      </w:pPr>
    </w:p>
    <w:p w:rsidR="00DE4BC3" w:rsidRPr="00C67A9F" w:rsidRDefault="00E653EA" w:rsidP="00DE4BC3">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rPr>
      </w:pPr>
      <w:r w:rsidRPr="00C67A9F">
        <w:rPr>
          <w:rFonts w:ascii="Times New Roman" w:hAnsi="Times New Roman"/>
          <w:b/>
          <w:szCs w:val="24"/>
        </w:rPr>
        <w:t>Estimate of Cost to the Federal Reserve System</w:t>
      </w:r>
    </w:p>
    <w:p w:rsidR="00DE4BC3" w:rsidRPr="00C67A9F" w:rsidRDefault="00DE4BC3" w:rsidP="00DE4BC3">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4B4BB2" w:rsidRPr="00C67A9F" w:rsidRDefault="00E653EA" w:rsidP="00DE4BC3">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b/>
          <w:color w:val="000000"/>
          <w:szCs w:val="24"/>
        </w:rPr>
      </w:pPr>
      <w:r w:rsidRPr="00C67A9F">
        <w:rPr>
          <w:rFonts w:ascii="Times New Roman" w:hAnsi="Times New Roman"/>
          <w:szCs w:val="24"/>
        </w:rPr>
        <w:t>The cost to the Federal Reserve System, including processing, printing, and mailing, is negligible.</w:t>
      </w:r>
    </w:p>
    <w:sectPr w:rsidR="004B4BB2" w:rsidRPr="00C67A9F" w:rsidSect="00C67A9F">
      <w:footerReference w:type="even" r:id="rId9"/>
      <w:footerReference w:type="default" r:id="rId10"/>
      <w:endnotePr>
        <w:numFmt w:val="decimal"/>
      </w:endnotePr>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044" w:rsidRDefault="005F5044">
      <w:r>
        <w:separator/>
      </w:r>
    </w:p>
  </w:endnote>
  <w:endnote w:type="continuationSeparator" w:id="0">
    <w:p w:rsidR="005F5044" w:rsidRDefault="005F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44" w:rsidRDefault="005F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5044" w:rsidRDefault="005F50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rPr>
      <w:id w:val="-1810855362"/>
      <w:docPartObj>
        <w:docPartGallery w:val="Page Numbers (Bottom of Page)"/>
        <w:docPartUnique/>
      </w:docPartObj>
    </w:sdtPr>
    <w:sdtEndPr>
      <w:rPr>
        <w:noProof/>
      </w:rPr>
    </w:sdtEndPr>
    <w:sdtContent>
      <w:p w:rsidR="005F5044" w:rsidRPr="00C67A9F" w:rsidRDefault="005F5044" w:rsidP="00C67A9F">
        <w:pPr>
          <w:pStyle w:val="Footer"/>
          <w:jc w:val="center"/>
          <w:rPr>
            <w:rFonts w:ascii="Times New Roman" w:hAnsi="Times New Roman"/>
            <w:sz w:val="24"/>
          </w:rPr>
        </w:pPr>
        <w:r w:rsidRPr="007F49E6">
          <w:rPr>
            <w:rFonts w:ascii="Times New Roman" w:hAnsi="Times New Roman"/>
            <w:sz w:val="24"/>
          </w:rPr>
          <w:fldChar w:fldCharType="begin"/>
        </w:r>
        <w:r w:rsidRPr="007F49E6">
          <w:rPr>
            <w:rFonts w:ascii="Times New Roman" w:hAnsi="Times New Roman"/>
            <w:sz w:val="24"/>
          </w:rPr>
          <w:instrText xml:space="preserve"> PAGE   \* MERGEFORMAT </w:instrText>
        </w:r>
        <w:r w:rsidRPr="007F49E6">
          <w:rPr>
            <w:rFonts w:ascii="Times New Roman" w:hAnsi="Times New Roman"/>
            <w:sz w:val="24"/>
          </w:rPr>
          <w:fldChar w:fldCharType="separate"/>
        </w:r>
        <w:r w:rsidR="00E839FB">
          <w:rPr>
            <w:rFonts w:ascii="Times New Roman" w:hAnsi="Times New Roman"/>
            <w:noProof/>
            <w:sz w:val="24"/>
          </w:rPr>
          <w:t>2</w:t>
        </w:r>
        <w:r w:rsidRPr="007F49E6">
          <w:rPr>
            <w:rFonts w:ascii="Times New Roman" w:hAnsi="Times New Roman"/>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044" w:rsidRDefault="005F5044">
      <w:r>
        <w:separator/>
      </w:r>
    </w:p>
  </w:footnote>
  <w:footnote w:type="continuationSeparator" w:id="0">
    <w:p w:rsidR="005F5044" w:rsidRDefault="005F5044">
      <w:r>
        <w:continuationSeparator/>
      </w:r>
    </w:p>
  </w:footnote>
  <w:footnote w:id="1">
    <w:p w:rsidR="005F5044" w:rsidRPr="006A0564" w:rsidRDefault="005F5044">
      <w:pPr>
        <w:pStyle w:val="FootnoteText"/>
        <w:rPr>
          <w:rFonts w:ascii="Times New Roman" w:hAnsi="Times New Roman"/>
        </w:rPr>
      </w:pPr>
      <w:r w:rsidRPr="006A0564">
        <w:rPr>
          <w:rStyle w:val="FootnoteReference"/>
          <w:rFonts w:ascii="Times New Roman" w:hAnsi="Times New Roman"/>
          <w:vertAlign w:val="superscript"/>
        </w:rPr>
        <w:footnoteRef/>
      </w:r>
      <w:r w:rsidRPr="006A0564">
        <w:rPr>
          <w:rFonts w:ascii="Times New Roman" w:hAnsi="Times New Roman"/>
        </w:rPr>
        <w:t xml:space="preserve">  At this time, there are no BHCs or foreign dealer banks that are registered as municipal securities dealers.</w:t>
      </w:r>
    </w:p>
  </w:footnote>
  <w:footnote w:id="2">
    <w:p w:rsidR="005F5044" w:rsidRPr="006A0564" w:rsidRDefault="005F5044">
      <w:pPr>
        <w:pStyle w:val="FootnoteText"/>
        <w:rPr>
          <w:rFonts w:ascii="Times New Roman" w:hAnsi="Times New Roman"/>
        </w:rPr>
      </w:pPr>
      <w:r w:rsidRPr="006A0564">
        <w:rPr>
          <w:rStyle w:val="FootnoteReference"/>
          <w:rFonts w:ascii="Times New Roman" w:hAnsi="Times New Roman"/>
          <w:vertAlign w:val="superscript"/>
        </w:rPr>
        <w:footnoteRef/>
      </w:r>
      <w:r w:rsidRPr="006A0564">
        <w:rPr>
          <w:rFonts w:ascii="Times New Roman" w:hAnsi="Times New Roman"/>
        </w:rPr>
        <w:t xml:space="preserve">  See </w:t>
      </w:r>
      <w:hyperlink r:id="rId1" w:history="1">
        <w:r w:rsidRPr="006A0564">
          <w:rPr>
            <w:rStyle w:val="Hyperlink"/>
            <w:rFonts w:ascii="Times New Roman" w:hAnsi="Times New Roman"/>
          </w:rPr>
          <w:t>www.msrb.org/Rules-and-Interpretations/Regulatory-Notices/2011/2011-54.aspx</w:t>
        </w:r>
      </w:hyperlink>
      <w:r w:rsidRPr="006A0564">
        <w:rPr>
          <w:rFonts w:ascii="Times New Roman" w:hAnsi="Times New Roman"/>
        </w:rPr>
        <w:t>.</w:t>
      </w:r>
    </w:p>
  </w:footnote>
  <w:footnote w:id="3">
    <w:p w:rsidR="005F5044" w:rsidRPr="006A0564" w:rsidRDefault="005F5044">
      <w:pPr>
        <w:pStyle w:val="FootnoteText"/>
        <w:rPr>
          <w:rFonts w:ascii="Times New Roman" w:hAnsi="Times New Roman"/>
        </w:rPr>
      </w:pPr>
      <w:r w:rsidRPr="006A0564">
        <w:rPr>
          <w:rStyle w:val="FootnoteReference"/>
          <w:rFonts w:ascii="Times New Roman" w:hAnsi="Times New Roman"/>
          <w:vertAlign w:val="superscript"/>
        </w:rPr>
        <w:footnoteRef/>
      </w:r>
      <w:r w:rsidRPr="006A0564">
        <w:rPr>
          <w:rFonts w:ascii="Times New Roman" w:hAnsi="Times New Roman"/>
        </w:rPr>
        <w:t xml:space="preserve">  </w:t>
      </w:r>
      <w:proofErr w:type="gramStart"/>
      <w:r w:rsidRPr="006A0564">
        <w:rPr>
          <w:rFonts w:ascii="Times New Roman" w:hAnsi="Times New Roman"/>
        </w:rPr>
        <w:t>Letter from Catherine McGuire, Chief Counsel, SEC</w:t>
      </w:r>
      <w:r>
        <w:rPr>
          <w:rFonts w:ascii="Times New Roman" w:hAnsi="Times New Roman"/>
        </w:rPr>
        <w:t>’</w:t>
      </w:r>
      <w:r w:rsidRPr="006A0564">
        <w:rPr>
          <w:rFonts w:ascii="Times New Roman" w:hAnsi="Times New Roman"/>
        </w:rPr>
        <w:t>s Division of Market Regulation, to Laura M. Homer, Assistant Director, Federal Reserve Board</w:t>
      </w:r>
      <w:r>
        <w:rPr>
          <w:rFonts w:ascii="Times New Roman" w:hAnsi="Times New Roman"/>
        </w:rPr>
        <w:t>’</w:t>
      </w:r>
      <w:r w:rsidRPr="006A0564">
        <w:rPr>
          <w:rFonts w:ascii="Times New Roman" w:hAnsi="Times New Roman"/>
        </w:rPr>
        <w:t>s Division of Banking Supervision and Regulation, June 14, 1994.</w:t>
      </w:r>
      <w:proofErr w:type="gramEnd"/>
    </w:p>
  </w:footnote>
  <w:footnote w:id="4">
    <w:p w:rsidR="005F5044" w:rsidRPr="006A0564" w:rsidRDefault="005F5044" w:rsidP="00CF77D0">
      <w:pPr>
        <w:rPr>
          <w:rFonts w:ascii="Times New Roman" w:hAnsi="Times New Roman"/>
          <w:szCs w:val="20"/>
        </w:rPr>
      </w:pPr>
      <w:r w:rsidRPr="006A0564">
        <w:rPr>
          <w:rStyle w:val="FootnoteReference"/>
          <w:rFonts w:ascii="Times New Roman" w:hAnsi="Times New Roman"/>
          <w:szCs w:val="20"/>
          <w:vertAlign w:val="superscript"/>
        </w:rPr>
        <w:footnoteRef/>
      </w:r>
      <w:r w:rsidRPr="006A0564">
        <w:rPr>
          <w:rFonts w:ascii="Times New Roman" w:hAnsi="Times New Roman"/>
          <w:szCs w:val="20"/>
        </w:rPr>
        <w:t xml:space="preserve">  Individuals seeking to become a </w:t>
      </w:r>
      <w:hyperlink r:id="rId2" w:tooltip="Stockbroker" w:history="1">
        <w:r w:rsidRPr="006A0564">
          <w:rPr>
            <w:rStyle w:val="Hyperlink"/>
            <w:rFonts w:ascii="Times New Roman" w:hAnsi="Times New Roman"/>
            <w:color w:val="auto"/>
            <w:szCs w:val="20"/>
            <w:u w:val="none"/>
          </w:rPr>
          <w:t>stockbroker</w:t>
        </w:r>
      </w:hyperlink>
      <w:r w:rsidRPr="006A0564">
        <w:rPr>
          <w:rFonts w:ascii="Times New Roman" w:hAnsi="Times New Roman"/>
          <w:szCs w:val="20"/>
        </w:rPr>
        <w:t xml:space="preserve"> must take the </w:t>
      </w:r>
      <w:r w:rsidRPr="006A0564">
        <w:rPr>
          <w:rFonts w:ascii="Times New Roman" w:hAnsi="Times New Roman"/>
          <w:bCs/>
          <w:szCs w:val="20"/>
        </w:rPr>
        <w:t>General Securities Representative Exam</w:t>
      </w:r>
      <w:r w:rsidRPr="006A0564">
        <w:rPr>
          <w:rFonts w:ascii="Times New Roman" w:hAnsi="Times New Roman"/>
          <w:szCs w:val="20"/>
        </w:rPr>
        <w:t xml:space="preserve">, commonly referred to as the </w:t>
      </w:r>
      <w:r w:rsidRPr="006A0564">
        <w:rPr>
          <w:rFonts w:ascii="Times New Roman" w:hAnsi="Times New Roman"/>
          <w:bCs/>
          <w:szCs w:val="20"/>
        </w:rPr>
        <w:t>Series 7</w:t>
      </w:r>
      <w:r w:rsidRPr="006A0564">
        <w:rPr>
          <w:rFonts w:ascii="Times New Roman" w:hAnsi="Times New Roman"/>
          <w:szCs w:val="20"/>
        </w:rPr>
        <w:t xml:space="preserve"> or </w:t>
      </w:r>
      <w:hyperlink r:id="rId3" w:tooltip="Stockbroker" w:history="1">
        <w:r w:rsidRPr="006A0564">
          <w:rPr>
            <w:rStyle w:val="Hyperlink"/>
            <w:rFonts w:ascii="Times New Roman" w:hAnsi="Times New Roman"/>
            <w:bCs/>
            <w:color w:val="auto"/>
            <w:szCs w:val="20"/>
            <w:u w:val="none"/>
          </w:rPr>
          <w:t>Stockbroker Exam</w:t>
        </w:r>
      </w:hyperlink>
      <w:r w:rsidRPr="006A0564">
        <w:rPr>
          <w:rFonts w:ascii="Times New Roman" w:hAnsi="Times New Roman"/>
          <w:szCs w:val="20"/>
        </w:rPr>
        <w:t xml:space="preserve">. A passing grade is required in order to obtain the professional license needed to become a </w:t>
      </w:r>
      <w:hyperlink r:id="rId4" w:tooltip="Registered Representative" w:history="1">
        <w:r w:rsidRPr="006A0564">
          <w:rPr>
            <w:rStyle w:val="Hyperlink"/>
            <w:rFonts w:ascii="Times New Roman" w:hAnsi="Times New Roman"/>
            <w:color w:val="auto"/>
            <w:szCs w:val="20"/>
            <w:u w:val="none"/>
          </w:rPr>
          <w:t>Registered Representative</w:t>
        </w:r>
      </w:hyperlink>
      <w:r w:rsidRPr="006A0564">
        <w:rPr>
          <w:rFonts w:ascii="Times New Roman" w:hAnsi="Times New Roman"/>
          <w:szCs w:val="20"/>
        </w:rPr>
        <w:t xml:space="preserve"> of a </w:t>
      </w:r>
      <w:hyperlink r:id="rId5" w:tooltip="Broker-dealer" w:history="1">
        <w:r w:rsidRPr="006A0564">
          <w:rPr>
            <w:rStyle w:val="Hyperlink"/>
            <w:rFonts w:ascii="Times New Roman" w:hAnsi="Times New Roman"/>
            <w:color w:val="auto"/>
            <w:szCs w:val="20"/>
            <w:u w:val="none"/>
          </w:rPr>
          <w:t>broker-dealer</w:t>
        </w:r>
      </w:hyperlink>
      <w:r w:rsidRPr="006A0564">
        <w:rPr>
          <w:rFonts w:ascii="Times New Roman" w:hAnsi="Times New Roman"/>
          <w:szCs w:val="20"/>
        </w:rPr>
        <w:t xml:space="preserve"> in the </w:t>
      </w:r>
      <w:hyperlink r:id="rId6" w:tooltip="United States" w:history="1">
        <w:r w:rsidRPr="006A0564">
          <w:rPr>
            <w:rStyle w:val="Hyperlink"/>
            <w:rFonts w:ascii="Times New Roman" w:hAnsi="Times New Roman"/>
            <w:color w:val="auto"/>
            <w:szCs w:val="20"/>
            <w:u w:val="none"/>
          </w:rPr>
          <w:t>United States</w:t>
        </w:r>
      </w:hyperlink>
      <w:r w:rsidRPr="006A0564">
        <w:rPr>
          <w:rFonts w:ascii="Times New Roman" w:hAnsi="Times New Roman"/>
          <w:szCs w:val="20"/>
        </w:rPr>
        <w:t>.</w:t>
      </w:r>
    </w:p>
  </w:footnote>
  <w:footnote w:id="5">
    <w:p w:rsidR="005F5044" w:rsidRPr="006A0564" w:rsidRDefault="005F5044">
      <w:pPr>
        <w:pStyle w:val="FootnoteText"/>
        <w:rPr>
          <w:rFonts w:ascii="Times New Roman" w:hAnsi="Times New Roman"/>
        </w:rPr>
      </w:pPr>
      <w:r w:rsidRPr="006A0564">
        <w:rPr>
          <w:rStyle w:val="FootnoteReference"/>
          <w:rFonts w:ascii="Times New Roman" w:hAnsi="Times New Roman"/>
          <w:vertAlign w:val="superscript"/>
        </w:rPr>
        <w:footnoteRef/>
      </w:r>
      <w:r w:rsidRPr="006A0564">
        <w:rPr>
          <w:rFonts w:ascii="Times New Roman" w:hAnsi="Times New Roman"/>
        </w:rPr>
        <w:t xml:space="preserve">  Individuals seeking to become a municipal securities representative must take the Municipal Securities Representative Qualification Examination.  A passing grade is required in order to obtain the professional license needed to sell municipal securities, such as municipal bonds, agency bonds and Section 529 plans for college education.</w:t>
      </w:r>
    </w:p>
  </w:footnote>
  <w:footnote w:id="6">
    <w:p w:rsidR="005F5044" w:rsidRPr="007C2162" w:rsidRDefault="005F5044">
      <w:pPr>
        <w:pStyle w:val="FootnoteText"/>
        <w:rPr>
          <w:rFonts w:ascii="Times New Roman" w:hAnsi="Times New Roman"/>
          <w:color w:val="000000"/>
        </w:rPr>
      </w:pPr>
      <w:r w:rsidRPr="007C2162">
        <w:rPr>
          <w:rStyle w:val="FootnoteReference"/>
          <w:rFonts w:ascii="Times New Roman" w:hAnsi="Times New Roman"/>
          <w:vertAlign w:val="superscript"/>
        </w:rPr>
        <w:footnoteRef/>
      </w:r>
      <w:r w:rsidRPr="007C2162">
        <w:rPr>
          <w:rFonts w:ascii="Times New Roman" w:hAnsi="Times New Roman"/>
        </w:rPr>
        <w:t xml:space="preserve">  Although Section 3(a)(34) of the Act, 15 U.S.C. </w:t>
      </w:r>
      <w:r w:rsidRPr="007C2162">
        <w:rPr>
          <w:rFonts w:ascii="Times New Roman" w:hAnsi="Times New Roman"/>
          <w:color w:val="000000"/>
        </w:rPr>
        <w:t xml:space="preserve">§ 78c(a)(34), does not specify the ARA for municipal securities dealer activities of foreign banks, uninsured state branches or state agencies of foreign banks, commercial lending companies owned or controlled by a foreign bank, or Edge Act corporations (collectively referred to as foreign dealer banks), the Division of Market Regulation of the SEC has agreed that the Federal Reserve should examine the municipal securities dealer activities of foreign dealer banks.  </w:t>
      </w:r>
      <w:r w:rsidRPr="007C2162">
        <w:rPr>
          <w:rFonts w:ascii="Times New Roman" w:hAnsi="Times New Roman"/>
          <w:color w:val="000000"/>
          <w:u w:val="single"/>
        </w:rPr>
        <w:t>See</w:t>
      </w:r>
      <w:r w:rsidRPr="007C2162">
        <w:rPr>
          <w:rFonts w:ascii="Times New Roman" w:hAnsi="Times New Roman"/>
          <w:color w:val="000000"/>
        </w:rPr>
        <w:t xml:space="preserve"> Letter from Catherine McGuire, Chief Counsel, SEC’s Division of Market Regulation, to Laura M. Homer, Assistant Director, Federal Reserve Board’s Division of Banking Supervision and Regulation, June 14, 1994.</w:t>
      </w:r>
    </w:p>
  </w:footnote>
  <w:footnote w:id="7">
    <w:p w:rsidR="005F5044" w:rsidRPr="007C2162" w:rsidRDefault="005F5044" w:rsidP="002D1487">
      <w:pPr>
        <w:pStyle w:val="FootnoteText"/>
        <w:rPr>
          <w:rFonts w:ascii="Times New Roman" w:hAnsi="Times New Roman"/>
        </w:rPr>
      </w:pPr>
      <w:r w:rsidRPr="007C2162">
        <w:rPr>
          <w:rStyle w:val="FootnoteReference"/>
          <w:rFonts w:ascii="Times New Roman" w:hAnsi="Times New Roman"/>
          <w:vertAlign w:val="superscript"/>
        </w:rPr>
        <w:footnoteRef/>
      </w:r>
      <w:r w:rsidRPr="007C2162">
        <w:rPr>
          <w:rFonts w:ascii="Times New Roman" w:hAnsi="Times New Roman"/>
        </w:rPr>
        <w:t xml:space="preserve">  Each of the respondents is expected to be associated with a small entity as defined by the Small Business Administration (i.e., entities with less than $175 million in total assets) </w:t>
      </w:r>
      <w:hyperlink r:id="rId7" w:history="1">
        <w:r w:rsidRPr="007C2162">
          <w:rPr>
            <w:rStyle w:val="Hyperlink"/>
            <w:rFonts w:ascii="Times New Roman" w:hAnsi="Times New Roman"/>
          </w:rPr>
          <w:t>www.sba.gov/content/table-small-business-size-standards</w:t>
        </w:r>
      </w:hyperlink>
      <w:r w:rsidRPr="007C2162">
        <w:rPr>
          <w:rFonts w:ascii="Times New Roman" w:hAnsi="Times New Roman"/>
        </w:rPr>
        <w:t>.</w:t>
      </w:r>
    </w:p>
  </w:footnote>
  <w:footnote w:id="8">
    <w:p w:rsidR="005F5044" w:rsidRPr="007C2162" w:rsidRDefault="005F5044" w:rsidP="00295634">
      <w:pPr>
        <w:pStyle w:val="FootnoteText"/>
        <w:rPr>
          <w:rFonts w:ascii="Times New Roman" w:hAnsi="Times New Roman"/>
        </w:rPr>
      </w:pPr>
      <w:r w:rsidRPr="007C2162">
        <w:rPr>
          <w:rStyle w:val="FootnoteReference"/>
          <w:rFonts w:ascii="Times New Roman" w:hAnsi="Times New Roman"/>
          <w:vertAlign w:val="superscript"/>
        </w:rPr>
        <w:footnoteRef/>
      </w:r>
      <w:r w:rsidRPr="007C2162">
        <w:rPr>
          <w:rFonts w:ascii="Times New Roman" w:hAnsi="Times New Roman"/>
        </w:rPr>
        <w:t xml:space="preserve">  Total cost to the public was estimated using the following formula: percent of staff time, multiplied by annual burden hours, multiplied by hourly rate (30% Office &amp; Administrative Support @ $17, 45% Financial Managers @ $52, 15% Legal Counsel @ $55, and 10% Chief Executives @ $81).  Hourly rate for each occupational group are the median hourly wages (rounded up) from the Bureau of Labor and Statistics (BLS), Occupational Employment and Wages 2011, </w:t>
      </w:r>
      <w:hyperlink r:id="rId8" w:history="1">
        <w:r w:rsidRPr="007C2162">
          <w:rPr>
            <w:rStyle w:val="Hyperlink"/>
            <w:rFonts w:ascii="Times New Roman" w:hAnsi="Times New Roman"/>
          </w:rPr>
          <w:t>www.bls.gov/news.release/ocwage.nr0.htm</w:t>
        </w:r>
      </w:hyperlink>
      <w:r w:rsidRPr="007C2162">
        <w:rPr>
          <w:rFonts w:ascii="Times New Roman" w:hAnsi="Times New Roman"/>
        </w:rPr>
        <w:t xml:space="preserve">.  Occupations are defined using the BLS Occupational Classification System, </w:t>
      </w:r>
      <w:hyperlink r:id="rId9" w:history="1">
        <w:r w:rsidRPr="007C2162">
          <w:rPr>
            <w:rStyle w:val="Hyperlink"/>
            <w:rFonts w:ascii="Times New Roman" w:hAnsi="Times New Roman"/>
          </w:rPr>
          <w:t>www.bls.gov/soc</w:t>
        </w:r>
      </w:hyperlink>
      <w:r w:rsidRPr="007C2162">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812CB"/>
    <w:multiLevelType w:val="hybridMultilevel"/>
    <w:tmpl w:val="61C64C8A"/>
    <w:lvl w:ilvl="0" w:tplc="F4A02202">
      <w:start w:val="1"/>
      <w:numFmt w:val="bullet"/>
      <w:lvlText w:val=""/>
      <w:lvlJc w:val="left"/>
      <w:pPr>
        <w:tabs>
          <w:tab w:val="num" w:pos="3240"/>
        </w:tabs>
        <w:ind w:left="3240" w:hanging="360"/>
      </w:pPr>
      <w:rPr>
        <w:rFonts w:ascii="Symbol" w:hAnsi="Symbol" w:hint="default"/>
      </w:rPr>
    </w:lvl>
    <w:lvl w:ilvl="1" w:tplc="F966477E" w:tentative="1">
      <w:start w:val="1"/>
      <w:numFmt w:val="bullet"/>
      <w:lvlText w:val="o"/>
      <w:lvlJc w:val="left"/>
      <w:pPr>
        <w:tabs>
          <w:tab w:val="num" w:pos="3960"/>
        </w:tabs>
        <w:ind w:left="3960" w:hanging="360"/>
      </w:pPr>
      <w:rPr>
        <w:rFonts w:ascii="Courier New" w:hAnsi="Courier New" w:hint="default"/>
      </w:rPr>
    </w:lvl>
    <w:lvl w:ilvl="2" w:tplc="1E32D0E0" w:tentative="1">
      <w:start w:val="1"/>
      <w:numFmt w:val="bullet"/>
      <w:lvlText w:val=""/>
      <w:lvlJc w:val="left"/>
      <w:pPr>
        <w:tabs>
          <w:tab w:val="num" w:pos="4680"/>
        </w:tabs>
        <w:ind w:left="4680" w:hanging="360"/>
      </w:pPr>
      <w:rPr>
        <w:rFonts w:ascii="Wingdings" w:hAnsi="Wingdings" w:hint="default"/>
      </w:rPr>
    </w:lvl>
    <w:lvl w:ilvl="3" w:tplc="C304222C" w:tentative="1">
      <w:start w:val="1"/>
      <w:numFmt w:val="bullet"/>
      <w:lvlText w:val=""/>
      <w:lvlJc w:val="left"/>
      <w:pPr>
        <w:tabs>
          <w:tab w:val="num" w:pos="5400"/>
        </w:tabs>
        <w:ind w:left="5400" w:hanging="360"/>
      </w:pPr>
      <w:rPr>
        <w:rFonts w:ascii="Symbol" w:hAnsi="Symbol" w:hint="default"/>
      </w:rPr>
    </w:lvl>
    <w:lvl w:ilvl="4" w:tplc="621E8930" w:tentative="1">
      <w:start w:val="1"/>
      <w:numFmt w:val="bullet"/>
      <w:lvlText w:val="o"/>
      <w:lvlJc w:val="left"/>
      <w:pPr>
        <w:tabs>
          <w:tab w:val="num" w:pos="6120"/>
        </w:tabs>
        <w:ind w:left="6120" w:hanging="360"/>
      </w:pPr>
      <w:rPr>
        <w:rFonts w:ascii="Courier New" w:hAnsi="Courier New" w:hint="default"/>
      </w:rPr>
    </w:lvl>
    <w:lvl w:ilvl="5" w:tplc="5B623F30" w:tentative="1">
      <w:start w:val="1"/>
      <w:numFmt w:val="bullet"/>
      <w:lvlText w:val=""/>
      <w:lvlJc w:val="left"/>
      <w:pPr>
        <w:tabs>
          <w:tab w:val="num" w:pos="6840"/>
        </w:tabs>
        <w:ind w:left="6840" w:hanging="360"/>
      </w:pPr>
      <w:rPr>
        <w:rFonts w:ascii="Wingdings" w:hAnsi="Wingdings" w:hint="default"/>
      </w:rPr>
    </w:lvl>
    <w:lvl w:ilvl="6" w:tplc="7A0CB6A2" w:tentative="1">
      <w:start w:val="1"/>
      <w:numFmt w:val="bullet"/>
      <w:lvlText w:val=""/>
      <w:lvlJc w:val="left"/>
      <w:pPr>
        <w:tabs>
          <w:tab w:val="num" w:pos="7560"/>
        </w:tabs>
        <w:ind w:left="7560" w:hanging="360"/>
      </w:pPr>
      <w:rPr>
        <w:rFonts w:ascii="Symbol" w:hAnsi="Symbol" w:hint="default"/>
      </w:rPr>
    </w:lvl>
    <w:lvl w:ilvl="7" w:tplc="F16453F6" w:tentative="1">
      <w:start w:val="1"/>
      <w:numFmt w:val="bullet"/>
      <w:lvlText w:val="o"/>
      <w:lvlJc w:val="left"/>
      <w:pPr>
        <w:tabs>
          <w:tab w:val="num" w:pos="8280"/>
        </w:tabs>
        <w:ind w:left="8280" w:hanging="360"/>
      </w:pPr>
      <w:rPr>
        <w:rFonts w:ascii="Courier New" w:hAnsi="Courier New" w:hint="default"/>
      </w:rPr>
    </w:lvl>
    <w:lvl w:ilvl="8" w:tplc="8F92530E" w:tentative="1">
      <w:start w:val="1"/>
      <w:numFmt w:val="bullet"/>
      <w:lvlText w:val=""/>
      <w:lvlJc w:val="left"/>
      <w:pPr>
        <w:tabs>
          <w:tab w:val="num" w:pos="9000"/>
        </w:tabs>
        <w:ind w:left="90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F8B"/>
    <w:rsid w:val="00006701"/>
    <w:rsid w:val="000201BF"/>
    <w:rsid w:val="00021202"/>
    <w:rsid w:val="000453D0"/>
    <w:rsid w:val="0008037F"/>
    <w:rsid w:val="000A0A38"/>
    <w:rsid w:val="000A721E"/>
    <w:rsid w:val="000C3CF3"/>
    <w:rsid w:val="000D1A0D"/>
    <w:rsid w:val="000E38FF"/>
    <w:rsid w:val="000F56BE"/>
    <w:rsid w:val="000F5CF4"/>
    <w:rsid w:val="000F7A4B"/>
    <w:rsid w:val="00104AB2"/>
    <w:rsid w:val="00112A31"/>
    <w:rsid w:val="00120971"/>
    <w:rsid w:val="00141ADA"/>
    <w:rsid w:val="00141F96"/>
    <w:rsid w:val="001665FA"/>
    <w:rsid w:val="001816EA"/>
    <w:rsid w:val="00181FBD"/>
    <w:rsid w:val="00185692"/>
    <w:rsid w:val="00190641"/>
    <w:rsid w:val="00196E89"/>
    <w:rsid w:val="001A3D59"/>
    <w:rsid w:val="001A77C9"/>
    <w:rsid w:val="001C0146"/>
    <w:rsid w:val="001D52C1"/>
    <w:rsid w:val="001E4B74"/>
    <w:rsid w:val="00204632"/>
    <w:rsid w:val="00213974"/>
    <w:rsid w:val="00223F65"/>
    <w:rsid w:val="0022799C"/>
    <w:rsid w:val="002303F5"/>
    <w:rsid w:val="002326C5"/>
    <w:rsid w:val="0024179F"/>
    <w:rsid w:val="002766DF"/>
    <w:rsid w:val="002809AD"/>
    <w:rsid w:val="00284BD3"/>
    <w:rsid w:val="002860B6"/>
    <w:rsid w:val="00292EB7"/>
    <w:rsid w:val="00295634"/>
    <w:rsid w:val="002C2F92"/>
    <w:rsid w:val="002D1487"/>
    <w:rsid w:val="002D60A6"/>
    <w:rsid w:val="0030527B"/>
    <w:rsid w:val="00324F8B"/>
    <w:rsid w:val="00351084"/>
    <w:rsid w:val="00352DFB"/>
    <w:rsid w:val="0037326B"/>
    <w:rsid w:val="00380026"/>
    <w:rsid w:val="00384FE5"/>
    <w:rsid w:val="00386F17"/>
    <w:rsid w:val="00390C38"/>
    <w:rsid w:val="00392DD5"/>
    <w:rsid w:val="003A50B5"/>
    <w:rsid w:val="003B1B69"/>
    <w:rsid w:val="003B5214"/>
    <w:rsid w:val="003C3812"/>
    <w:rsid w:val="003F02B4"/>
    <w:rsid w:val="003F5CA4"/>
    <w:rsid w:val="00412870"/>
    <w:rsid w:val="0042112B"/>
    <w:rsid w:val="00433541"/>
    <w:rsid w:val="00445F72"/>
    <w:rsid w:val="004621F8"/>
    <w:rsid w:val="004753E7"/>
    <w:rsid w:val="0047648A"/>
    <w:rsid w:val="004B4BB2"/>
    <w:rsid w:val="004C3A4D"/>
    <w:rsid w:val="004D0328"/>
    <w:rsid w:val="004D39F0"/>
    <w:rsid w:val="00502D4F"/>
    <w:rsid w:val="005206BE"/>
    <w:rsid w:val="00523D1A"/>
    <w:rsid w:val="00525C5B"/>
    <w:rsid w:val="00526E3E"/>
    <w:rsid w:val="0054077C"/>
    <w:rsid w:val="00570AF5"/>
    <w:rsid w:val="00574334"/>
    <w:rsid w:val="005864D0"/>
    <w:rsid w:val="00591008"/>
    <w:rsid w:val="005A4025"/>
    <w:rsid w:val="005A6295"/>
    <w:rsid w:val="005C00B7"/>
    <w:rsid w:val="005C1AF7"/>
    <w:rsid w:val="005E2355"/>
    <w:rsid w:val="005F5044"/>
    <w:rsid w:val="005F7A15"/>
    <w:rsid w:val="00606E50"/>
    <w:rsid w:val="006263C7"/>
    <w:rsid w:val="00626DB8"/>
    <w:rsid w:val="00635A71"/>
    <w:rsid w:val="0064172E"/>
    <w:rsid w:val="006510FE"/>
    <w:rsid w:val="006533FD"/>
    <w:rsid w:val="006625A0"/>
    <w:rsid w:val="006908FA"/>
    <w:rsid w:val="0069203C"/>
    <w:rsid w:val="00694D26"/>
    <w:rsid w:val="00695F48"/>
    <w:rsid w:val="00696280"/>
    <w:rsid w:val="006A0564"/>
    <w:rsid w:val="006A42C9"/>
    <w:rsid w:val="006C13CC"/>
    <w:rsid w:val="006C7573"/>
    <w:rsid w:val="006D4630"/>
    <w:rsid w:val="006F1106"/>
    <w:rsid w:val="0071030C"/>
    <w:rsid w:val="00711500"/>
    <w:rsid w:val="00716EED"/>
    <w:rsid w:val="00724F9F"/>
    <w:rsid w:val="00785FC1"/>
    <w:rsid w:val="007C2162"/>
    <w:rsid w:val="007D4B9F"/>
    <w:rsid w:val="007F025F"/>
    <w:rsid w:val="00802CA0"/>
    <w:rsid w:val="00816AD4"/>
    <w:rsid w:val="008219CF"/>
    <w:rsid w:val="0083781B"/>
    <w:rsid w:val="00855C19"/>
    <w:rsid w:val="00877353"/>
    <w:rsid w:val="008955F0"/>
    <w:rsid w:val="008A7EC3"/>
    <w:rsid w:val="008B6A50"/>
    <w:rsid w:val="008C23E1"/>
    <w:rsid w:val="008C74DD"/>
    <w:rsid w:val="008D1F24"/>
    <w:rsid w:val="008D28BF"/>
    <w:rsid w:val="008D4AF5"/>
    <w:rsid w:val="009022EA"/>
    <w:rsid w:val="009061C5"/>
    <w:rsid w:val="00946F84"/>
    <w:rsid w:val="00957603"/>
    <w:rsid w:val="00960C75"/>
    <w:rsid w:val="00961EBF"/>
    <w:rsid w:val="00971146"/>
    <w:rsid w:val="00994848"/>
    <w:rsid w:val="009B1920"/>
    <w:rsid w:val="009D27F8"/>
    <w:rsid w:val="009E3643"/>
    <w:rsid w:val="009E645A"/>
    <w:rsid w:val="00A1645F"/>
    <w:rsid w:val="00A241B4"/>
    <w:rsid w:val="00A24AA6"/>
    <w:rsid w:val="00A55A3E"/>
    <w:rsid w:val="00A6005F"/>
    <w:rsid w:val="00A72582"/>
    <w:rsid w:val="00A754CE"/>
    <w:rsid w:val="00A910CF"/>
    <w:rsid w:val="00A95C65"/>
    <w:rsid w:val="00AA2CB2"/>
    <w:rsid w:val="00AA33C0"/>
    <w:rsid w:val="00AB114D"/>
    <w:rsid w:val="00AC2DB7"/>
    <w:rsid w:val="00AE5195"/>
    <w:rsid w:val="00B00AB0"/>
    <w:rsid w:val="00B32732"/>
    <w:rsid w:val="00B36399"/>
    <w:rsid w:val="00B460C7"/>
    <w:rsid w:val="00B64A20"/>
    <w:rsid w:val="00B76E02"/>
    <w:rsid w:val="00B82404"/>
    <w:rsid w:val="00B85BB8"/>
    <w:rsid w:val="00BB7CA3"/>
    <w:rsid w:val="00C05CEA"/>
    <w:rsid w:val="00C073CA"/>
    <w:rsid w:val="00C2441E"/>
    <w:rsid w:val="00C47FE6"/>
    <w:rsid w:val="00C67A9F"/>
    <w:rsid w:val="00C80896"/>
    <w:rsid w:val="00C833E4"/>
    <w:rsid w:val="00CA624A"/>
    <w:rsid w:val="00CD0384"/>
    <w:rsid w:val="00CF1B6E"/>
    <w:rsid w:val="00CF77D0"/>
    <w:rsid w:val="00D051C5"/>
    <w:rsid w:val="00D26F46"/>
    <w:rsid w:val="00D37478"/>
    <w:rsid w:val="00D44F8F"/>
    <w:rsid w:val="00D45A57"/>
    <w:rsid w:val="00D517DF"/>
    <w:rsid w:val="00D52FDB"/>
    <w:rsid w:val="00D623D6"/>
    <w:rsid w:val="00D65ED9"/>
    <w:rsid w:val="00D90E3A"/>
    <w:rsid w:val="00DA1C9C"/>
    <w:rsid w:val="00DA5C02"/>
    <w:rsid w:val="00DB3661"/>
    <w:rsid w:val="00DC50A8"/>
    <w:rsid w:val="00DC5586"/>
    <w:rsid w:val="00DD191A"/>
    <w:rsid w:val="00DE4BC3"/>
    <w:rsid w:val="00DF12F8"/>
    <w:rsid w:val="00DF1880"/>
    <w:rsid w:val="00E5661A"/>
    <w:rsid w:val="00E64458"/>
    <w:rsid w:val="00E653EA"/>
    <w:rsid w:val="00E74E2D"/>
    <w:rsid w:val="00E839FB"/>
    <w:rsid w:val="00E9153A"/>
    <w:rsid w:val="00E93729"/>
    <w:rsid w:val="00EC235E"/>
    <w:rsid w:val="00EC7EA6"/>
    <w:rsid w:val="00ED4332"/>
    <w:rsid w:val="00ED48C9"/>
    <w:rsid w:val="00EE2E6F"/>
    <w:rsid w:val="00F168FC"/>
    <w:rsid w:val="00F21490"/>
    <w:rsid w:val="00F2243B"/>
    <w:rsid w:val="00F2682A"/>
    <w:rsid w:val="00F41399"/>
    <w:rsid w:val="00F43CBA"/>
    <w:rsid w:val="00F558D9"/>
    <w:rsid w:val="00F56F3A"/>
    <w:rsid w:val="00F80AEA"/>
    <w:rsid w:val="00F92A23"/>
    <w:rsid w:val="00FA67F8"/>
    <w:rsid w:val="00FB6987"/>
    <w:rsid w:val="00FC029B"/>
    <w:rsid w:val="00FC6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9AD"/>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809AD"/>
  </w:style>
  <w:style w:type="paragraph" w:styleId="Header">
    <w:name w:val="header"/>
    <w:basedOn w:val="Normal"/>
    <w:link w:val="HeaderChar"/>
    <w:uiPriority w:val="99"/>
    <w:rsid w:val="002809AD"/>
    <w:pPr>
      <w:tabs>
        <w:tab w:val="center" w:pos="4320"/>
        <w:tab w:val="right" w:pos="8640"/>
      </w:tabs>
    </w:pPr>
  </w:style>
  <w:style w:type="paragraph" w:styleId="Footer">
    <w:name w:val="footer"/>
    <w:basedOn w:val="Normal"/>
    <w:link w:val="FooterChar"/>
    <w:uiPriority w:val="99"/>
    <w:rsid w:val="002809AD"/>
    <w:pPr>
      <w:tabs>
        <w:tab w:val="center" w:pos="4320"/>
        <w:tab w:val="right" w:pos="8640"/>
      </w:tabs>
    </w:pPr>
  </w:style>
  <w:style w:type="paragraph" w:customStyle="1" w:styleId="Style0">
    <w:name w:val="Style0"/>
    <w:rsid w:val="002809AD"/>
    <w:rPr>
      <w:rFonts w:ascii="Arial" w:hAnsi="Arial"/>
      <w:snapToGrid w:val="0"/>
      <w:sz w:val="24"/>
    </w:rPr>
  </w:style>
  <w:style w:type="character" w:styleId="PageNumber">
    <w:name w:val="page number"/>
    <w:basedOn w:val="DefaultParagraphFont"/>
    <w:rsid w:val="002809AD"/>
  </w:style>
  <w:style w:type="character" w:styleId="CommentReference">
    <w:name w:val="annotation reference"/>
    <w:basedOn w:val="DefaultParagraphFont"/>
    <w:semiHidden/>
    <w:rsid w:val="00352DFB"/>
    <w:rPr>
      <w:sz w:val="16"/>
      <w:szCs w:val="16"/>
    </w:rPr>
  </w:style>
  <w:style w:type="paragraph" w:styleId="CommentText">
    <w:name w:val="annotation text"/>
    <w:basedOn w:val="Normal"/>
    <w:semiHidden/>
    <w:rsid w:val="00352DFB"/>
    <w:rPr>
      <w:szCs w:val="20"/>
    </w:rPr>
  </w:style>
  <w:style w:type="paragraph" w:styleId="CommentSubject">
    <w:name w:val="annotation subject"/>
    <w:basedOn w:val="CommentText"/>
    <w:next w:val="CommentText"/>
    <w:semiHidden/>
    <w:rsid w:val="00352DFB"/>
    <w:rPr>
      <w:b/>
      <w:bCs/>
    </w:rPr>
  </w:style>
  <w:style w:type="paragraph" w:styleId="BalloonText">
    <w:name w:val="Balloon Text"/>
    <w:basedOn w:val="Normal"/>
    <w:semiHidden/>
    <w:rsid w:val="00352DFB"/>
    <w:rPr>
      <w:rFonts w:ascii="Tahoma" w:hAnsi="Tahoma" w:cs="Tahoma"/>
      <w:sz w:val="16"/>
      <w:szCs w:val="16"/>
    </w:rPr>
  </w:style>
  <w:style w:type="paragraph" w:styleId="FootnoteText">
    <w:name w:val="footnote text"/>
    <w:basedOn w:val="Normal"/>
    <w:semiHidden/>
    <w:rsid w:val="001A3D59"/>
    <w:rPr>
      <w:szCs w:val="20"/>
    </w:rPr>
  </w:style>
  <w:style w:type="character" w:styleId="FollowedHyperlink">
    <w:name w:val="FollowedHyperlink"/>
    <w:basedOn w:val="DefaultParagraphFont"/>
    <w:rsid w:val="009022EA"/>
    <w:rPr>
      <w:color w:val="800080"/>
      <w:u w:val="single"/>
    </w:rPr>
  </w:style>
  <w:style w:type="character" w:customStyle="1" w:styleId="Hypertext">
    <w:name w:val="Hypertext"/>
    <w:rsid w:val="000A721E"/>
    <w:rPr>
      <w:color w:val="0000FF"/>
      <w:u w:val="single"/>
    </w:rPr>
  </w:style>
  <w:style w:type="paragraph" w:styleId="NormalWeb">
    <w:name w:val="Normal (Web)"/>
    <w:basedOn w:val="Normal"/>
    <w:uiPriority w:val="99"/>
    <w:unhideWhenUsed/>
    <w:rsid w:val="00104AB2"/>
    <w:pPr>
      <w:widowControl/>
      <w:autoSpaceDE/>
      <w:autoSpaceDN/>
      <w:adjustRightInd/>
      <w:spacing w:before="100" w:beforeAutospacing="1" w:after="100" w:afterAutospacing="1"/>
    </w:pPr>
    <w:rPr>
      <w:rFonts w:ascii="Times New Roman" w:hAnsi="Times New Roman"/>
      <w:sz w:val="24"/>
    </w:rPr>
  </w:style>
  <w:style w:type="character" w:styleId="Hyperlink">
    <w:name w:val="Hyperlink"/>
    <w:basedOn w:val="DefaultParagraphFont"/>
    <w:uiPriority w:val="99"/>
    <w:unhideWhenUsed/>
    <w:rsid w:val="00295634"/>
    <w:rPr>
      <w:color w:val="0000FF" w:themeColor="hyperlink"/>
      <w:u w:val="single"/>
    </w:rPr>
  </w:style>
  <w:style w:type="character" w:customStyle="1" w:styleId="st">
    <w:name w:val="st"/>
    <w:basedOn w:val="DefaultParagraphFont"/>
    <w:rsid w:val="00CF77D0"/>
  </w:style>
  <w:style w:type="character" w:customStyle="1" w:styleId="HeaderChar">
    <w:name w:val="Header Char"/>
    <w:basedOn w:val="DefaultParagraphFont"/>
    <w:link w:val="Header"/>
    <w:uiPriority w:val="99"/>
    <w:rsid w:val="00C67A9F"/>
    <w:rPr>
      <w:rFonts w:ascii="Courier" w:hAnsi="Courier"/>
      <w:szCs w:val="24"/>
    </w:rPr>
  </w:style>
  <w:style w:type="character" w:customStyle="1" w:styleId="FooterChar">
    <w:name w:val="Footer Char"/>
    <w:basedOn w:val="DefaultParagraphFont"/>
    <w:link w:val="Footer"/>
    <w:uiPriority w:val="99"/>
    <w:rsid w:val="00C67A9F"/>
    <w:rPr>
      <w:rFonts w:ascii="Courier" w:hAnsi="Courie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9AD"/>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809AD"/>
  </w:style>
  <w:style w:type="paragraph" w:styleId="Header">
    <w:name w:val="header"/>
    <w:basedOn w:val="Normal"/>
    <w:link w:val="HeaderChar"/>
    <w:uiPriority w:val="99"/>
    <w:rsid w:val="002809AD"/>
    <w:pPr>
      <w:tabs>
        <w:tab w:val="center" w:pos="4320"/>
        <w:tab w:val="right" w:pos="8640"/>
      </w:tabs>
    </w:pPr>
  </w:style>
  <w:style w:type="paragraph" w:styleId="Footer">
    <w:name w:val="footer"/>
    <w:basedOn w:val="Normal"/>
    <w:link w:val="FooterChar"/>
    <w:uiPriority w:val="99"/>
    <w:rsid w:val="002809AD"/>
    <w:pPr>
      <w:tabs>
        <w:tab w:val="center" w:pos="4320"/>
        <w:tab w:val="right" w:pos="8640"/>
      </w:tabs>
    </w:pPr>
  </w:style>
  <w:style w:type="paragraph" w:customStyle="1" w:styleId="Style0">
    <w:name w:val="Style0"/>
    <w:rsid w:val="002809AD"/>
    <w:rPr>
      <w:rFonts w:ascii="Arial" w:hAnsi="Arial"/>
      <w:snapToGrid w:val="0"/>
      <w:sz w:val="24"/>
    </w:rPr>
  </w:style>
  <w:style w:type="character" w:styleId="PageNumber">
    <w:name w:val="page number"/>
    <w:basedOn w:val="DefaultParagraphFont"/>
    <w:rsid w:val="002809AD"/>
  </w:style>
  <w:style w:type="character" w:styleId="CommentReference">
    <w:name w:val="annotation reference"/>
    <w:basedOn w:val="DefaultParagraphFont"/>
    <w:semiHidden/>
    <w:rsid w:val="00352DFB"/>
    <w:rPr>
      <w:sz w:val="16"/>
      <w:szCs w:val="16"/>
    </w:rPr>
  </w:style>
  <w:style w:type="paragraph" w:styleId="CommentText">
    <w:name w:val="annotation text"/>
    <w:basedOn w:val="Normal"/>
    <w:semiHidden/>
    <w:rsid w:val="00352DFB"/>
    <w:rPr>
      <w:szCs w:val="20"/>
    </w:rPr>
  </w:style>
  <w:style w:type="paragraph" w:styleId="CommentSubject">
    <w:name w:val="annotation subject"/>
    <w:basedOn w:val="CommentText"/>
    <w:next w:val="CommentText"/>
    <w:semiHidden/>
    <w:rsid w:val="00352DFB"/>
    <w:rPr>
      <w:b/>
      <w:bCs/>
    </w:rPr>
  </w:style>
  <w:style w:type="paragraph" w:styleId="BalloonText">
    <w:name w:val="Balloon Text"/>
    <w:basedOn w:val="Normal"/>
    <w:semiHidden/>
    <w:rsid w:val="00352DFB"/>
    <w:rPr>
      <w:rFonts w:ascii="Tahoma" w:hAnsi="Tahoma" w:cs="Tahoma"/>
      <w:sz w:val="16"/>
      <w:szCs w:val="16"/>
    </w:rPr>
  </w:style>
  <w:style w:type="paragraph" w:styleId="FootnoteText">
    <w:name w:val="footnote text"/>
    <w:basedOn w:val="Normal"/>
    <w:semiHidden/>
    <w:rsid w:val="001A3D59"/>
    <w:rPr>
      <w:szCs w:val="20"/>
    </w:rPr>
  </w:style>
  <w:style w:type="character" w:styleId="FollowedHyperlink">
    <w:name w:val="FollowedHyperlink"/>
    <w:basedOn w:val="DefaultParagraphFont"/>
    <w:rsid w:val="009022EA"/>
    <w:rPr>
      <w:color w:val="800080"/>
      <w:u w:val="single"/>
    </w:rPr>
  </w:style>
  <w:style w:type="character" w:customStyle="1" w:styleId="Hypertext">
    <w:name w:val="Hypertext"/>
    <w:rsid w:val="000A721E"/>
    <w:rPr>
      <w:color w:val="0000FF"/>
      <w:u w:val="single"/>
    </w:rPr>
  </w:style>
  <w:style w:type="paragraph" w:styleId="NormalWeb">
    <w:name w:val="Normal (Web)"/>
    <w:basedOn w:val="Normal"/>
    <w:uiPriority w:val="99"/>
    <w:unhideWhenUsed/>
    <w:rsid w:val="00104AB2"/>
    <w:pPr>
      <w:widowControl/>
      <w:autoSpaceDE/>
      <w:autoSpaceDN/>
      <w:adjustRightInd/>
      <w:spacing w:before="100" w:beforeAutospacing="1" w:after="100" w:afterAutospacing="1"/>
    </w:pPr>
    <w:rPr>
      <w:rFonts w:ascii="Times New Roman" w:hAnsi="Times New Roman"/>
      <w:sz w:val="24"/>
    </w:rPr>
  </w:style>
  <w:style w:type="character" w:styleId="Hyperlink">
    <w:name w:val="Hyperlink"/>
    <w:basedOn w:val="DefaultParagraphFont"/>
    <w:uiPriority w:val="99"/>
    <w:unhideWhenUsed/>
    <w:rsid w:val="00295634"/>
    <w:rPr>
      <w:color w:val="0000FF" w:themeColor="hyperlink"/>
      <w:u w:val="single"/>
    </w:rPr>
  </w:style>
  <w:style w:type="character" w:customStyle="1" w:styleId="st">
    <w:name w:val="st"/>
    <w:basedOn w:val="DefaultParagraphFont"/>
    <w:rsid w:val="00CF77D0"/>
  </w:style>
  <w:style w:type="character" w:customStyle="1" w:styleId="HeaderChar">
    <w:name w:val="Header Char"/>
    <w:basedOn w:val="DefaultParagraphFont"/>
    <w:link w:val="Header"/>
    <w:uiPriority w:val="99"/>
    <w:rsid w:val="00C67A9F"/>
    <w:rPr>
      <w:rFonts w:ascii="Courier" w:hAnsi="Courier"/>
      <w:szCs w:val="24"/>
    </w:rPr>
  </w:style>
  <w:style w:type="character" w:customStyle="1" w:styleId="FooterChar">
    <w:name w:val="Footer Char"/>
    <w:basedOn w:val="DefaultParagraphFont"/>
    <w:link w:val="Footer"/>
    <w:uiPriority w:val="99"/>
    <w:rsid w:val="00C67A9F"/>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542629">
      <w:bodyDiv w:val="1"/>
      <w:marLeft w:val="0"/>
      <w:marRight w:val="0"/>
      <w:marTop w:val="0"/>
      <w:marBottom w:val="0"/>
      <w:divBdr>
        <w:top w:val="none" w:sz="0" w:space="0" w:color="auto"/>
        <w:left w:val="none" w:sz="0" w:space="0" w:color="auto"/>
        <w:bottom w:val="none" w:sz="0" w:space="0" w:color="auto"/>
        <w:right w:val="none" w:sz="0" w:space="0" w:color="auto"/>
      </w:divBdr>
      <w:divsChild>
        <w:div w:id="2114737849">
          <w:marLeft w:val="0"/>
          <w:marRight w:val="0"/>
          <w:marTop w:val="0"/>
          <w:marBottom w:val="0"/>
          <w:divBdr>
            <w:top w:val="none" w:sz="0" w:space="0" w:color="auto"/>
            <w:left w:val="none" w:sz="0" w:space="0" w:color="auto"/>
            <w:bottom w:val="none" w:sz="0" w:space="0" w:color="auto"/>
            <w:right w:val="none" w:sz="0" w:space="0" w:color="auto"/>
          </w:divBdr>
          <w:divsChild>
            <w:div w:id="782966943">
              <w:marLeft w:val="0"/>
              <w:marRight w:val="0"/>
              <w:marTop w:val="0"/>
              <w:marBottom w:val="0"/>
              <w:divBdr>
                <w:top w:val="none" w:sz="0" w:space="0" w:color="auto"/>
                <w:left w:val="none" w:sz="0" w:space="0" w:color="auto"/>
                <w:bottom w:val="none" w:sz="0" w:space="0" w:color="auto"/>
                <w:right w:val="none" w:sz="0" w:space="0" w:color="auto"/>
              </w:divBdr>
              <w:divsChild>
                <w:div w:id="19548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bls.gov/news.release/ocwage.nr0.htm" TargetMode="External"/><Relationship Id="rId3" Type="http://schemas.openxmlformats.org/officeDocument/2006/relationships/hyperlink" Target="http://en.wikipedia.org/wiki/Stockbroker" TargetMode="External"/><Relationship Id="rId7" Type="http://schemas.openxmlformats.org/officeDocument/2006/relationships/hyperlink" Target="http://www.sba.gov/content/table-small-business-size-standards" TargetMode="External"/><Relationship Id="rId2" Type="http://schemas.openxmlformats.org/officeDocument/2006/relationships/hyperlink" Target="http://en.wikipedia.org/wiki/Stockbroker" TargetMode="External"/><Relationship Id="rId1" Type="http://schemas.openxmlformats.org/officeDocument/2006/relationships/hyperlink" Target="http://www.msrb.org/Rules-and-Interpretations/Regulatory-Notices/2011/2011-54.aspx" TargetMode="External"/><Relationship Id="rId6" Type="http://schemas.openxmlformats.org/officeDocument/2006/relationships/hyperlink" Target="http://en.wikipedia.org/wiki/United_States" TargetMode="External"/><Relationship Id="rId5" Type="http://schemas.openxmlformats.org/officeDocument/2006/relationships/hyperlink" Target="http://en.wikipedia.org/wiki/Broker-dealer" TargetMode="External"/><Relationship Id="rId4" Type="http://schemas.openxmlformats.org/officeDocument/2006/relationships/hyperlink" Target="http://en.wikipedia.org/wiki/Registered_Representative" TargetMode="External"/><Relationship Id="rId9" Type="http://schemas.openxmlformats.org/officeDocument/2006/relationships/hyperlink" Target="http://www.bls.gov/s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379FD-0669-4E79-8FB2-ADC94FB22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BD277F7.dotm</Template>
  <TotalTime>4</TotalTime>
  <Pages>6</Pages>
  <Words>2039</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13645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 Williams</dc:creator>
  <cp:lastModifiedBy>Scott W. Farmer</cp:lastModifiedBy>
  <cp:revision>5</cp:revision>
  <cp:lastPrinted>2013-02-22T18:42:00Z</cp:lastPrinted>
  <dcterms:created xsi:type="dcterms:W3CDTF">2013-02-22T19:36:00Z</dcterms:created>
  <dcterms:modified xsi:type="dcterms:W3CDTF">2013-04-30T17:14:00Z</dcterms:modified>
</cp:coreProperties>
</file>