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>Justification for No</w:t>
      </w:r>
      <w:r w:rsidR="004C036A" w:rsidRPr="008172A3">
        <w:rPr>
          <w:b/>
        </w:rPr>
        <w:t xml:space="preserve"> M</w:t>
      </w:r>
      <w:r w:rsidRPr="008172A3">
        <w:rPr>
          <w:b/>
        </w:rPr>
        <w:t>aterial</w:t>
      </w:r>
      <w:r w:rsidR="00786109">
        <w:rPr>
          <w:b/>
        </w:rPr>
        <w:t xml:space="preserve"> or </w:t>
      </w:r>
      <w:proofErr w:type="spellStart"/>
      <w:r w:rsidRPr="008172A3">
        <w:rPr>
          <w:b/>
        </w:rPr>
        <w:t>Nonsubstantive</w:t>
      </w:r>
      <w:proofErr w:type="spellEnd"/>
      <w:r w:rsidRPr="008172A3">
        <w:rPr>
          <w:b/>
        </w:rPr>
        <w:t xml:space="preserve"> Change</w:t>
      </w:r>
    </w:p>
    <w:p w:rsidR="000D77D3" w:rsidRPr="008172A3" w:rsidRDefault="00316996" w:rsidP="000D77D3">
      <w:pPr>
        <w:jc w:val="center"/>
        <w:rPr>
          <w:b/>
        </w:rPr>
      </w:pPr>
      <w:r>
        <w:rPr>
          <w:b/>
        </w:rPr>
        <w:t>FFIEC 002</w:t>
      </w:r>
      <w:r w:rsidR="00CD0BBD">
        <w:rPr>
          <w:b/>
        </w:rPr>
        <w:t xml:space="preserve"> </w:t>
      </w:r>
      <w:r w:rsidR="000D77D3" w:rsidRPr="008172A3">
        <w:rPr>
          <w:b/>
        </w:rPr>
        <w:t>IC</w:t>
      </w:r>
    </w:p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 xml:space="preserve">OMB </w:t>
      </w:r>
      <w:r w:rsidR="004E34FF" w:rsidRPr="008172A3">
        <w:rPr>
          <w:b/>
        </w:rPr>
        <w:t>No.7100</w:t>
      </w:r>
      <w:r w:rsidRPr="008172A3">
        <w:rPr>
          <w:b/>
        </w:rPr>
        <w:t>-</w:t>
      </w:r>
      <w:r w:rsidR="00316996">
        <w:rPr>
          <w:b/>
        </w:rPr>
        <w:t>0032</w:t>
      </w:r>
    </w:p>
    <w:p w:rsidR="000D77D3" w:rsidRPr="008172A3" w:rsidRDefault="000D77D3" w:rsidP="000D77D3">
      <w:pPr>
        <w:jc w:val="center"/>
      </w:pPr>
    </w:p>
    <w:p w:rsidR="000D77D3" w:rsidRPr="008172A3" w:rsidRDefault="000D77D3" w:rsidP="000D77D3">
      <w:pPr>
        <w:jc w:val="center"/>
      </w:pPr>
    </w:p>
    <w:p w:rsidR="000D77D3" w:rsidRPr="008172A3" w:rsidRDefault="000D77D3" w:rsidP="000D77D3">
      <w:pPr>
        <w:rPr>
          <w:b/>
        </w:rPr>
      </w:pPr>
      <w:r w:rsidRPr="008172A3">
        <w:rPr>
          <w:b/>
        </w:rPr>
        <w:t>Background</w:t>
      </w:r>
    </w:p>
    <w:p w:rsidR="000D77D3" w:rsidRPr="008172A3" w:rsidRDefault="000D77D3" w:rsidP="000D77D3"/>
    <w:p w:rsidR="000D77D3" w:rsidRPr="008172A3" w:rsidRDefault="000D77D3" w:rsidP="008172A3">
      <w:pPr>
        <w:pStyle w:val="Default"/>
        <w:ind w:firstLine="720"/>
        <w:rPr>
          <w:rFonts w:ascii="Times New Roman" w:hAnsi="Times New Roman"/>
          <w:color w:val="auto"/>
        </w:rPr>
      </w:pPr>
      <w:r w:rsidRPr="008172A3">
        <w:rPr>
          <w:rFonts w:ascii="Times New Roman" w:hAnsi="Times New Roman"/>
          <w:color w:val="auto"/>
        </w:rPr>
        <w:t xml:space="preserve">In 2010, pursuant to the Dodd-Frank Act, </w:t>
      </w:r>
      <w:r w:rsidR="004E34FF" w:rsidRPr="008172A3">
        <w:rPr>
          <w:rFonts w:ascii="Times New Roman" w:hAnsi="Times New Roman"/>
          <w:color w:val="auto"/>
        </w:rPr>
        <w:t xml:space="preserve">the federal banking agencies </w:t>
      </w:r>
      <w:r w:rsidRPr="008172A3">
        <w:rPr>
          <w:rFonts w:ascii="Times New Roman" w:hAnsi="Times New Roman"/>
          <w:color w:val="auto"/>
        </w:rPr>
        <w:t xml:space="preserve">added two </w:t>
      </w:r>
      <w:r w:rsidR="005F1F0E">
        <w:rPr>
          <w:rFonts w:ascii="Times New Roman" w:hAnsi="Times New Roman"/>
          <w:color w:val="auto"/>
        </w:rPr>
        <w:t xml:space="preserve">data </w:t>
      </w:r>
      <w:r w:rsidRPr="008172A3">
        <w:rPr>
          <w:rFonts w:ascii="Times New Roman" w:hAnsi="Times New Roman"/>
          <w:color w:val="auto"/>
        </w:rPr>
        <w:t xml:space="preserve">items to the </w:t>
      </w:r>
      <w:r w:rsidR="00BD2A74">
        <w:rPr>
          <w:rFonts w:ascii="Times New Roman" w:hAnsi="Times New Roman"/>
          <w:color w:val="auto"/>
        </w:rPr>
        <w:t>Report</w:t>
      </w:r>
      <w:r w:rsidR="004E34FF" w:rsidRPr="008172A3">
        <w:rPr>
          <w:rFonts w:ascii="Times New Roman" w:hAnsi="Times New Roman"/>
          <w:color w:val="auto"/>
        </w:rPr>
        <w:t xml:space="preserve"> of </w:t>
      </w:r>
      <w:r w:rsidR="00BD2A74">
        <w:rPr>
          <w:rFonts w:ascii="Times New Roman" w:hAnsi="Times New Roman"/>
          <w:color w:val="auto"/>
        </w:rPr>
        <w:t>Assets and Liabilities of U.S. Branches and Agencies of Foreign Banks (FFIEC 002</w:t>
      </w:r>
      <w:r w:rsidR="00E54CA7">
        <w:rPr>
          <w:rFonts w:ascii="Times New Roman" w:hAnsi="Times New Roman"/>
          <w:color w:val="auto"/>
        </w:rPr>
        <w:t xml:space="preserve">; </w:t>
      </w:r>
      <w:r w:rsidR="004E34FF" w:rsidRPr="008172A3">
        <w:rPr>
          <w:rFonts w:ascii="Times New Roman" w:hAnsi="Times New Roman"/>
          <w:color w:val="auto"/>
        </w:rPr>
        <w:t>OMB</w:t>
      </w:r>
      <w:r w:rsidRPr="008172A3">
        <w:rPr>
          <w:rFonts w:ascii="Times New Roman" w:hAnsi="Times New Roman"/>
          <w:color w:val="auto"/>
        </w:rPr>
        <w:t xml:space="preserve"> </w:t>
      </w:r>
      <w:r w:rsidR="00BD2A74">
        <w:rPr>
          <w:rFonts w:ascii="Times New Roman" w:hAnsi="Times New Roman"/>
          <w:color w:val="auto"/>
        </w:rPr>
        <w:t>No. 7100-0032</w:t>
      </w:r>
      <w:r w:rsidRPr="008172A3">
        <w:rPr>
          <w:rFonts w:ascii="Times New Roman" w:hAnsi="Times New Roman"/>
          <w:color w:val="auto"/>
        </w:rPr>
        <w:t xml:space="preserve">), requiring </w:t>
      </w:r>
      <w:r w:rsidR="006304D4">
        <w:rPr>
          <w:rFonts w:ascii="Times New Roman" w:hAnsi="Times New Roman"/>
          <w:color w:val="auto"/>
        </w:rPr>
        <w:t>institutions</w:t>
      </w:r>
      <w:bookmarkStart w:id="0" w:name="_GoBack"/>
      <w:bookmarkEnd w:id="0"/>
      <w:r w:rsidRPr="008172A3">
        <w:rPr>
          <w:rFonts w:ascii="Times New Roman" w:hAnsi="Times New Roman"/>
          <w:color w:val="auto"/>
        </w:rPr>
        <w:t xml:space="preserve"> with $1 billion or more in total assets to report quarterly the number of transactional accounts with balances in excess of $250,000 and the aggregate amount of funds in those accounts.</w:t>
      </w:r>
      <w:r w:rsid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 xml:space="preserve"> </w:t>
      </w:r>
      <w:r w:rsidR="004E34FF" w:rsidRPr="008172A3">
        <w:rPr>
          <w:rFonts w:ascii="Times New Roman" w:hAnsi="Times New Roman"/>
          <w:color w:val="auto"/>
        </w:rPr>
        <w:t xml:space="preserve">The agencies </w:t>
      </w:r>
      <w:r w:rsidRPr="008172A3">
        <w:rPr>
          <w:rFonts w:ascii="Times New Roman" w:hAnsi="Times New Roman"/>
          <w:color w:val="auto"/>
        </w:rPr>
        <w:t xml:space="preserve">planned and announced in </w:t>
      </w:r>
      <w:r w:rsidR="004E34FF" w:rsidRPr="008172A3">
        <w:rPr>
          <w:rFonts w:ascii="Times New Roman" w:hAnsi="Times New Roman"/>
          <w:i/>
          <w:color w:val="auto"/>
        </w:rPr>
        <w:t>F</w:t>
      </w:r>
      <w:r w:rsidRPr="008172A3">
        <w:rPr>
          <w:rFonts w:ascii="Times New Roman" w:hAnsi="Times New Roman"/>
          <w:i/>
          <w:color w:val="auto"/>
        </w:rPr>
        <w:t xml:space="preserve">ederal </w:t>
      </w:r>
      <w:r w:rsidR="004E34FF" w:rsidRPr="008172A3">
        <w:rPr>
          <w:rFonts w:ascii="Times New Roman" w:hAnsi="Times New Roman"/>
          <w:i/>
          <w:color w:val="auto"/>
        </w:rPr>
        <w:t>Register</w:t>
      </w:r>
      <w:r w:rsidR="004E34FF" w:rsidRP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>notices in 2010</w:t>
      </w:r>
      <w:r w:rsidR="008172A3">
        <w:rPr>
          <w:rStyle w:val="FootnoteReference"/>
          <w:rFonts w:ascii="Times New Roman" w:hAnsi="Times New Roman"/>
          <w:color w:val="auto"/>
        </w:rPr>
        <w:footnoteReference w:id="1"/>
      </w:r>
      <w:r w:rsidRPr="008172A3">
        <w:rPr>
          <w:rFonts w:ascii="Times New Roman" w:hAnsi="Times New Roman"/>
          <w:color w:val="auto"/>
        </w:rPr>
        <w:t xml:space="preserve"> that </w:t>
      </w:r>
      <w:r w:rsidR="004E34FF" w:rsidRPr="008172A3">
        <w:rPr>
          <w:rFonts w:ascii="Times New Roman" w:hAnsi="Times New Roman"/>
          <w:color w:val="auto"/>
        </w:rPr>
        <w:t xml:space="preserve">they </w:t>
      </w:r>
      <w:r w:rsidRPr="008172A3">
        <w:rPr>
          <w:rFonts w:ascii="Times New Roman" w:hAnsi="Times New Roman"/>
          <w:color w:val="auto"/>
        </w:rPr>
        <w:t xml:space="preserve">would stop collecting </w:t>
      </w:r>
      <w:r w:rsidR="004E34FF" w:rsidRPr="008172A3">
        <w:rPr>
          <w:rFonts w:ascii="Times New Roman" w:hAnsi="Times New Roman"/>
          <w:color w:val="auto"/>
        </w:rPr>
        <w:t xml:space="preserve">these </w:t>
      </w:r>
      <w:r w:rsidRPr="008172A3">
        <w:rPr>
          <w:rFonts w:ascii="Times New Roman" w:hAnsi="Times New Roman"/>
          <w:color w:val="auto"/>
        </w:rPr>
        <w:t xml:space="preserve">data upon </w:t>
      </w:r>
      <w:r w:rsidR="004E34FF" w:rsidRPr="008172A3">
        <w:rPr>
          <w:rFonts w:ascii="Times New Roman" w:hAnsi="Times New Roman"/>
          <w:color w:val="auto"/>
        </w:rPr>
        <w:t xml:space="preserve">the </w:t>
      </w:r>
      <w:r w:rsidRPr="008172A3">
        <w:rPr>
          <w:rFonts w:ascii="Times New Roman" w:hAnsi="Times New Roman"/>
          <w:color w:val="auto"/>
        </w:rPr>
        <w:t>expiration of the FDIC</w:t>
      </w:r>
      <w:r w:rsidR="005F1F0E">
        <w:rPr>
          <w:rFonts w:ascii="Times New Roman" w:hAnsi="Times New Roman"/>
          <w:color w:val="auto"/>
        </w:rPr>
        <w:t>’</w:t>
      </w:r>
      <w:r w:rsidRPr="008172A3">
        <w:rPr>
          <w:rFonts w:ascii="Times New Roman" w:hAnsi="Times New Roman"/>
          <w:color w:val="auto"/>
        </w:rPr>
        <w:t>s unlimited deposit insurance coverage on noninterest-bearing transactional accounts over $250,000.</w:t>
      </w:r>
      <w:r w:rsid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 xml:space="preserve"> Although bills were introduced to extend this coverage beyond 2012, Congress ultimately decided not to extend this unlimited insuran</w:t>
      </w:r>
      <w:r w:rsidR="008172A3">
        <w:rPr>
          <w:rFonts w:ascii="Times New Roman" w:hAnsi="Times New Roman"/>
          <w:color w:val="auto"/>
        </w:rPr>
        <w:t xml:space="preserve">ce coverage. </w:t>
      </w:r>
      <w:r w:rsidRPr="008172A3">
        <w:rPr>
          <w:rFonts w:ascii="Times New Roman" w:hAnsi="Times New Roman"/>
          <w:color w:val="auto"/>
        </w:rPr>
        <w:t xml:space="preserve"> However, the regulators have learned that this additional information is valuable to track and analyze movement of these large deposits to inform fina</w:t>
      </w:r>
      <w:r w:rsidR="008172A3">
        <w:rPr>
          <w:rFonts w:ascii="Times New Roman" w:hAnsi="Times New Roman"/>
          <w:color w:val="auto"/>
        </w:rPr>
        <w:t xml:space="preserve">ncial regulatory policy making. </w:t>
      </w:r>
      <w:r w:rsidRPr="008172A3">
        <w:rPr>
          <w:rFonts w:ascii="Times New Roman" w:hAnsi="Times New Roman"/>
          <w:color w:val="auto"/>
        </w:rPr>
        <w:t xml:space="preserve"> These two </w:t>
      </w:r>
      <w:r w:rsidR="005F1F0E">
        <w:rPr>
          <w:rFonts w:ascii="Times New Roman" w:hAnsi="Times New Roman"/>
          <w:color w:val="auto"/>
        </w:rPr>
        <w:t xml:space="preserve">data </w:t>
      </w:r>
      <w:r w:rsidRPr="008172A3">
        <w:rPr>
          <w:rFonts w:ascii="Times New Roman" w:hAnsi="Times New Roman"/>
          <w:color w:val="auto"/>
        </w:rPr>
        <w:t xml:space="preserve">items are already in the </w:t>
      </w:r>
      <w:r w:rsidR="00BD2A74">
        <w:rPr>
          <w:rFonts w:ascii="Times New Roman" w:hAnsi="Times New Roman"/>
          <w:color w:val="auto"/>
        </w:rPr>
        <w:t>FFIEC 002 report</w:t>
      </w:r>
      <w:r w:rsidRPr="008172A3">
        <w:rPr>
          <w:rFonts w:ascii="Times New Roman" w:hAnsi="Times New Roman"/>
          <w:color w:val="auto"/>
        </w:rPr>
        <w:t>, and the insignificant incremental burden</w:t>
      </w:r>
      <w:r w:rsidR="004E34FF" w:rsidRPr="008172A3">
        <w:rPr>
          <w:rFonts w:ascii="Times New Roman" w:hAnsi="Times New Roman"/>
          <w:color w:val="auto"/>
        </w:rPr>
        <w:t xml:space="preserve"> of </w:t>
      </w:r>
      <w:r w:rsidR="00316996">
        <w:rPr>
          <w:rFonts w:ascii="Times New Roman" w:hAnsi="Times New Roman"/>
          <w:color w:val="auto"/>
        </w:rPr>
        <w:t>1.2</w:t>
      </w:r>
      <w:r w:rsidR="005F1F0E">
        <w:rPr>
          <w:rFonts w:ascii="Times New Roman" w:hAnsi="Times New Roman"/>
          <w:color w:val="auto"/>
        </w:rPr>
        <w:t xml:space="preserve"> minutes</w:t>
      </w:r>
      <w:r w:rsidRPr="008172A3">
        <w:rPr>
          <w:rFonts w:ascii="Times New Roman" w:hAnsi="Times New Roman"/>
          <w:color w:val="auto"/>
        </w:rPr>
        <w:t xml:space="preserve"> </w:t>
      </w:r>
      <w:r w:rsidR="006F49DB">
        <w:rPr>
          <w:rFonts w:ascii="Times New Roman" w:hAnsi="Times New Roman"/>
          <w:color w:val="auto"/>
        </w:rPr>
        <w:t xml:space="preserve">per quarter </w:t>
      </w:r>
      <w:r w:rsidRPr="008172A3">
        <w:rPr>
          <w:rFonts w:ascii="Times New Roman" w:hAnsi="Times New Roman"/>
          <w:color w:val="auto"/>
        </w:rPr>
        <w:t xml:space="preserve">is already </w:t>
      </w:r>
      <w:r w:rsidR="004E34FF" w:rsidRPr="008172A3">
        <w:rPr>
          <w:rFonts w:ascii="Times New Roman" w:hAnsi="Times New Roman"/>
          <w:color w:val="auto"/>
        </w:rPr>
        <w:t>included in</w:t>
      </w:r>
      <w:r w:rsidRPr="008172A3">
        <w:rPr>
          <w:rFonts w:ascii="Times New Roman" w:hAnsi="Times New Roman"/>
          <w:color w:val="auto"/>
        </w:rPr>
        <w:t xml:space="preserve"> </w:t>
      </w:r>
      <w:r w:rsidR="00635CD9">
        <w:rPr>
          <w:rFonts w:ascii="Times New Roman" w:hAnsi="Times New Roman"/>
          <w:color w:val="auto"/>
        </w:rPr>
        <w:t>the Federal Reserve’s</w:t>
      </w:r>
      <w:r w:rsidRPr="008172A3">
        <w:rPr>
          <w:rFonts w:ascii="Times New Roman" w:hAnsi="Times New Roman"/>
          <w:color w:val="auto"/>
        </w:rPr>
        <w:t xml:space="preserve"> current </w:t>
      </w:r>
      <w:r w:rsidR="000D2DAC">
        <w:rPr>
          <w:rFonts w:ascii="Times New Roman" w:hAnsi="Times New Roman"/>
          <w:color w:val="auto"/>
        </w:rPr>
        <w:t xml:space="preserve">FFIEC 002 </w:t>
      </w:r>
      <w:r w:rsidRPr="008172A3">
        <w:rPr>
          <w:rFonts w:ascii="Times New Roman" w:hAnsi="Times New Roman"/>
          <w:color w:val="auto"/>
        </w:rPr>
        <w:t>burden</w:t>
      </w:r>
      <w:r w:rsidR="004E34FF" w:rsidRPr="008172A3">
        <w:rPr>
          <w:rFonts w:ascii="Times New Roman" w:hAnsi="Times New Roman"/>
          <w:color w:val="auto"/>
        </w:rPr>
        <w:t xml:space="preserve"> estimates</w:t>
      </w:r>
      <w:r w:rsidRPr="008172A3">
        <w:rPr>
          <w:rFonts w:ascii="Times New Roman" w:hAnsi="Times New Roman"/>
          <w:color w:val="auto"/>
        </w:rPr>
        <w:t xml:space="preserve">.  Without continued reporting of noninterest-bearing transaction accounts larger than $250,000, the agencies, insured depository institutions, and other interested parties </w:t>
      </w:r>
      <w:r w:rsidR="004E34FF" w:rsidRPr="008172A3">
        <w:rPr>
          <w:rFonts w:ascii="Times New Roman" w:hAnsi="Times New Roman"/>
          <w:color w:val="auto"/>
        </w:rPr>
        <w:t xml:space="preserve">would </w:t>
      </w:r>
      <w:r w:rsidRPr="008172A3">
        <w:rPr>
          <w:rFonts w:ascii="Times New Roman" w:hAnsi="Times New Roman"/>
          <w:color w:val="auto"/>
        </w:rPr>
        <w:t>be unable to monitor the behavior of these deposit accounts following the end of their unlimited insurance coverage and its effect on both individual institutions and the depository institution system as a whole.</w:t>
      </w:r>
      <w:r w:rsidR="004E34FF" w:rsidRPr="008172A3">
        <w:rPr>
          <w:rFonts w:ascii="Times New Roman" w:hAnsi="Times New Roman"/>
          <w:color w:val="auto"/>
        </w:rPr>
        <w:t xml:space="preserve">  On February 21, 2013, the agencies published a </w:t>
      </w:r>
      <w:r w:rsidR="004E34FF" w:rsidRPr="008172A3">
        <w:rPr>
          <w:rFonts w:ascii="Times New Roman" w:hAnsi="Times New Roman"/>
          <w:i/>
          <w:color w:val="auto"/>
        </w:rPr>
        <w:t>Federal Register</w:t>
      </w:r>
      <w:r w:rsidR="004E34FF" w:rsidRPr="008172A3">
        <w:rPr>
          <w:rFonts w:ascii="Times New Roman" w:hAnsi="Times New Roman"/>
          <w:color w:val="auto"/>
        </w:rPr>
        <w:t xml:space="preserve"> notice (78 FR 12141), which included a description of the agencies</w:t>
      </w:r>
      <w:r w:rsidR="005F1F0E">
        <w:rPr>
          <w:rFonts w:ascii="Times New Roman" w:hAnsi="Times New Roman"/>
          <w:color w:val="auto"/>
        </w:rPr>
        <w:t>’</w:t>
      </w:r>
      <w:r w:rsidR="004E34FF" w:rsidRPr="008172A3">
        <w:rPr>
          <w:rFonts w:ascii="Times New Roman" w:hAnsi="Times New Roman"/>
          <w:color w:val="auto"/>
        </w:rPr>
        <w:t xml:space="preserve"> need to retain these data.</w:t>
      </w:r>
    </w:p>
    <w:sectPr w:rsidR="000D77D3" w:rsidRPr="0081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A3" w:rsidRDefault="008172A3" w:rsidP="008172A3">
      <w:r>
        <w:separator/>
      </w:r>
    </w:p>
  </w:endnote>
  <w:endnote w:type="continuationSeparator" w:id="0">
    <w:p w:rsidR="008172A3" w:rsidRDefault="008172A3" w:rsidP="0081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ZTXPV+Arial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A3" w:rsidRDefault="008172A3" w:rsidP="008172A3">
      <w:r>
        <w:separator/>
      </w:r>
    </w:p>
  </w:footnote>
  <w:footnote w:type="continuationSeparator" w:id="0">
    <w:p w:rsidR="008172A3" w:rsidRDefault="008172A3" w:rsidP="008172A3">
      <w:r>
        <w:continuationSeparator/>
      </w:r>
    </w:p>
  </w:footnote>
  <w:footnote w:id="1">
    <w:p w:rsidR="008172A3" w:rsidRPr="00E54CA7" w:rsidRDefault="008172A3">
      <w:pPr>
        <w:pStyle w:val="FootnoteText"/>
      </w:pPr>
      <w:r w:rsidRPr="00E54CA7">
        <w:rPr>
          <w:rStyle w:val="FootnoteReference"/>
        </w:rPr>
        <w:footnoteRef/>
      </w:r>
      <w:r w:rsidRPr="00E54CA7">
        <w:t xml:space="preserve">  See 7</w:t>
      </w:r>
      <w:r w:rsidR="00E54CA7" w:rsidRPr="00E54CA7">
        <w:t>5</w:t>
      </w:r>
      <w:r w:rsidRPr="00E54CA7">
        <w:t xml:space="preserve"> FR 5</w:t>
      </w:r>
      <w:r w:rsidR="00E54CA7" w:rsidRPr="00E54CA7">
        <w:t>42</w:t>
      </w:r>
      <w:r w:rsidRPr="00E54CA7">
        <w:t>2</w:t>
      </w:r>
      <w:r w:rsidR="00E54CA7" w:rsidRPr="00E54CA7">
        <w:t>7</w:t>
      </w:r>
      <w:r w:rsidRPr="00E54CA7">
        <w:t xml:space="preserve"> (</w:t>
      </w:r>
      <w:r w:rsidR="00E54CA7" w:rsidRPr="00E54CA7">
        <w:t>September</w:t>
      </w:r>
      <w:r w:rsidRPr="00E54CA7">
        <w:t xml:space="preserve"> </w:t>
      </w:r>
      <w:r w:rsidR="00E54CA7" w:rsidRPr="00E54CA7">
        <w:t>3</w:t>
      </w:r>
      <w:r w:rsidRPr="00E54CA7">
        <w:t>, 201</w:t>
      </w:r>
      <w:r w:rsidR="00E54CA7" w:rsidRPr="00E54CA7">
        <w:t>0</w:t>
      </w:r>
      <w:r w:rsidRPr="00E54CA7">
        <w:t>) and 7</w:t>
      </w:r>
      <w:r w:rsidR="00E54CA7" w:rsidRPr="00E54CA7">
        <w:t>5</w:t>
      </w:r>
      <w:r w:rsidRPr="00E54CA7">
        <w:t xml:space="preserve"> FR </w:t>
      </w:r>
      <w:r w:rsidR="00E54CA7" w:rsidRPr="00E54CA7">
        <w:t>68856</w:t>
      </w:r>
      <w:r w:rsidRPr="00E54CA7">
        <w:t xml:space="preserve"> (</w:t>
      </w:r>
      <w:r w:rsidR="00E54CA7" w:rsidRPr="00E54CA7">
        <w:t>November</w:t>
      </w:r>
      <w:r w:rsidRPr="00E54CA7">
        <w:t xml:space="preserve"> </w:t>
      </w:r>
      <w:r w:rsidR="00E54CA7" w:rsidRPr="00E54CA7">
        <w:t>9</w:t>
      </w:r>
      <w:r w:rsidRPr="00E54CA7">
        <w:t>, 201</w:t>
      </w:r>
      <w:r w:rsidR="00E54CA7" w:rsidRPr="00E54CA7">
        <w:t>0</w:t>
      </w:r>
      <w:r w:rsidRPr="00E54CA7">
        <w:t>).</w:t>
      </w:r>
      <w:r w:rsidR="00E54CA7">
        <w:t xml:space="preserve">  No comments were received on </w:t>
      </w:r>
      <w:r w:rsidR="00E54CA7" w:rsidRPr="00E54CA7">
        <w:t>the proposal to collect the quarter</w:t>
      </w:r>
      <w:r w:rsidR="00E54CA7">
        <w:t>-</w:t>
      </w:r>
      <w:r w:rsidR="00E54CA7" w:rsidRPr="00E54CA7">
        <w:t>end amount and number of noninterest</w:t>
      </w:r>
      <w:r w:rsidR="00E54CA7">
        <w:t>-</w:t>
      </w:r>
      <w:r w:rsidR="00E54CA7" w:rsidRPr="00E54CA7">
        <w:t xml:space="preserve">bearing transaction accounts (as defined in the Dodd-Frank Act) of more than $250,000 and to revise the instructions for reporting estimated uninsured deposits in the </w:t>
      </w:r>
      <w:r w:rsidR="00BD2A74">
        <w:t>FFIEC 002 report</w:t>
      </w:r>
      <w:r w:rsidR="00E54CA7" w:rsidRPr="00E54CA7">
        <w:t xml:space="preserve"> effective December 31, 2010.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D3"/>
    <w:rsid w:val="000D2DAC"/>
    <w:rsid w:val="000D77D3"/>
    <w:rsid w:val="00247F1D"/>
    <w:rsid w:val="00316996"/>
    <w:rsid w:val="004C036A"/>
    <w:rsid w:val="004E34FF"/>
    <w:rsid w:val="005C02D2"/>
    <w:rsid w:val="005F1F0E"/>
    <w:rsid w:val="006304D4"/>
    <w:rsid w:val="00635CD9"/>
    <w:rsid w:val="006F49DB"/>
    <w:rsid w:val="00786109"/>
    <w:rsid w:val="007C324F"/>
    <w:rsid w:val="008172A3"/>
    <w:rsid w:val="009260CA"/>
    <w:rsid w:val="0096367F"/>
    <w:rsid w:val="00BD2A74"/>
    <w:rsid w:val="00BF74EA"/>
    <w:rsid w:val="00CD0BBD"/>
    <w:rsid w:val="00E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D77D3"/>
    <w:pPr>
      <w:autoSpaceDE w:val="0"/>
      <w:autoSpaceDN w:val="0"/>
    </w:pPr>
    <w:rPr>
      <w:rFonts w:ascii="MZTXPV+ArialMT" w:eastAsiaTheme="minorHAnsi" w:hAnsi="MZTXPV+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2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2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D77D3"/>
    <w:pPr>
      <w:autoSpaceDE w:val="0"/>
      <w:autoSpaceDN w:val="0"/>
    </w:pPr>
    <w:rPr>
      <w:rFonts w:ascii="MZTXPV+ArialMT" w:eastAsiaTheme="minorHAnsi" w:hAnsi="MZTXPV+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2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7FF3-8D2E-4903-A009-331B465D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800E7E32</Template>
  <TotalTime>14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 McGaughey</dc:creator>
  <cp:lastModifiedBy>Laura D McGaughey</cp:lastModifiedBy>
  <cp:revision>9</cp:revision>
  <dcterms:created xsi:type="dcterms:W3CDTF">2013-02-21T20:46:00Z</dcterms:created>
  <dcterms:modified xsi:type="dcterms:W3CDTF">2013-02-21T21:43:00Z</dcterms:modified>
</cp:coreProperties>
</file>