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F81" w:rsidRPr="00C75313" w:rsidRDefault="00F06866" w:rsidP="00C75313">
      <w:pPr>
        <w:pStyle w:val="Heading2"/>
        <w:tabs>
          <w:tab w:val="left" w:pos="900"/>
        </w:tabs>
        <w:ind w:right="-180"/>
        <w:rPr>
          <w:sz w:val="28"/>
        </w:rPr>
      </w:pPr>
      <w:r>
        <w:rPr>
          <w:sz w:val="28"/>
        </w:rPr>
        <w:t xml:space="preserve">Request for Approval under the </w:t>
      </w:r>
      <w:r w:rsidRPr="00F06866">
        <w:rPr>
          <w:sz w:val="28"/>
        </w:rPr>
        <w:t>“Generic Clearance for the Collection of Routine Customer Feedback”</w:t>
      </w:r>
      <w:r w:rsidR="00FD3472">
        <w:rPr>
          <w:sz w:val="28"/>
        </w:rPr>
        <w:t xml:space="preserve"> (OMB Control Number: 0579-0377</w:t>
      </w:r>
      <w:r>
        <w:rPr>
          <w:sz w:val="28"/>
        </w:rPr>
        <w:t>)</w:t>
      </w:r>
    </w:p>
    <w:p w:rsidR="00E50293" w:rsidRPr="009239AA" w:rsidRDefault="00D2292B" w:rsidP="00C75313">
      <w:pPr>
        <w:spacing w:before="240"/>
        <w:rPr>
          <w:b/>
        </w:rPr>
      </w:pPr>
      <w:r>
        <w:rPr>
          <w:b/>
          <w:noProof/>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AB7699">
        <w:t>Traveler Outreach Site Intercept Survey</w:t>
      </w:r>
    </w:p>
    <w:p w:rsidR="005E714A" w:rsidRDefault="005E714A"/>
    <w:p w:rsidR="00AB7699" w:rsidRPr="00AB7699" w:rsidRDefault="00F15956" w:rsidP="00AB7699">
      <w:r>
        <w:rPr>
          <w:b/>
        </w:rPr>
        <w:t>PURPOSE</w:t>
      </w:r>
      <w:r w:rsidRPr="009239AA">
        <w:rPr>
          <w:b/>
        </w:rPr>
        <w:t>:</w:t>
      </w:r>
      <w:r w:rsidR="00C14CC4" w:rsidRPr="009239AA">
        <w:rPr>
          <w:b/>
        </w:rPr>
        <w:t xml:space="preserve">  </w:t>
      </w:r>
      <w:r w:rsidR="00AB7699" w:rsidRPr="00AB7699">
        <w:t>APHIS relies on consumer support (voluntary compliance) to prevent the spread of invasive species given it is not possible to inspect every bag, suitcase, and crate that enters the United States. Past work with domestic and international travelers, however, indicates most Americans hardly think about what it means to keep our plant and forest resources safe from pests and our animal agriculture free from disease. At the heart of this issue is a two-pronged perception of risk: perceived risk of penalty (if caught) and perceived risk of environmental harm (if not caught). Previous APHIS efforts have sought to identify the behavioral motivations of various audience segments to develop a communication plan to make those risks relevant and adequately severe to facilitate improved voluntary compliance.</w:t>
      </w:r>
    </w:p>
    <w:p w:rsidR="00AB7699" w:rsidRPr="00AB7699" w:rsidRDefault="00AB7699" w:rsidP="00AB7699"/>
    <w:p w:rsidR="00AB7699" w:rsidRPr="00AB7699" w:rsidRDefault="00AB7699" w:rsidP="00AB7699">
      <w:r w:rsidRPr="00AB7699">
        <w:t>The present information collection is intended to allow APHIS to evaluate the effectiveness of communication efforts. Evaluation can play two crucial roles in communication campaigns:  improving campaign design and implementation, and demonstrating campaign impact. Any information collected as part of this program will be used by APHIS to identify differences in key awareness, knowledge, and behavioral measures before and after campaign exposure. This information will aid in the optimization of APHIS communication regarding the threat of invasive species and, ultimately, to reduce the number of people who attempt to bring prohibited food or plant items into the U.S.</w:t>
      </w:r>
    </w:p>
    <w:p w:rsidR="00AB7699" w:rsidRPr="00AB7699" w:rsidRDefault="00AB7699" w:rsidP="00AB7699"/>
    <w:p w:rsidR="00C8488C" w:rsidRDefault="00AB7699">
      <w:r w:rsidRPr="00AB7699">
        <w:t>APHIS is asking OMB to approve its use of these information collection activities in connection with APHIS’ efforts to prevent the introduction or spread of pests and diseases of concern to both regulated and non-regulated areas.</w:t>
      </w:r>
    </w:p>
    <w:p w:rsidR="00C8488C" w:rsidRDefault="00C8488C"/>
    <w:p w:rsidR="00AB7699" w:rsidRDefault="00434E33" w:rsidP="00AB7699">
      <w:pPr>
        <w:pStyle w:val="Header"/>
      </w:pPr>
      <w:r w:rsidRPr="00434E33">
        <w:rPr>
          <w:b/>
        </w:rPr>
        <w:t>DESCRIPTION OF RESPONDENTS</w:t>
      </w:r>
      <w:r>
        <w:t xml:space="preserve">: </w:t>
      </w:r>
      <w:r w:rsidR="00AB7699">
        <w:t>In 2012, a segmentation analysis was completed to identify key priority groups for targeted communication. The present information collection will be comprised of field-intercept surveys conducted with respondents that meet the criteria of two particularly high-risk groups:</w:t>
      </w:r>
    </w:p>
    <w:p w:rsidR="00AB7699" w:rsidRDefault="00AB7699" w:rsidP="00AB7699">
      <w:pPr>
        <w:pStyle w:val="Header"/>
        <w:numPr>
          <w:ilvl w:val="0"/>
          <w:numId w:val="19"/>
        </w:numPr>
      </w:pPr>
      <w:r>
        <w:t xml:space="preserve">Hispanic travelers of Mexican heritage/descent entering California via the San </w:t>
      </w:r>
      <w:proofErr w:type="spellStart"/>
      <w:r>
        <w:t>Ysidro</w:t>
      </w:r>
      <w:proofErr w:type="spellEnd"/>
      <w:r>
        <w:t xml:space="preserve"> port of entry </w:t>
      </w:r>
    </w:p>
    <w:p w:rsidR="00434E33" w:rsidRDefault="00AB7699" w:rsidP="00AB7699">
      <w:pPr>
        <w:pStyle w:val="Header"/>
        <w:numPr>
          <w:ilvl w:val="0"/>
          <w:numId w:val="19"/>
        </w:numPr>
      </w:pPr>
      <w:r>
        <w:t>Residents of the U.S. mainland returning from Hawaii via the Lihue airport</w:t>
      </w:r>
    </w:p>
    <w:p w:rsidR="00AB7699" w:rsidRDefault="00AB7699" w:rsidP="00AB7699">
      <w:pPr>
        <w:pStyle w:val="Header"/>
      </w:pPr>
    </w:p>
    <w:p w:rsidR="00F15956" w:rsidRDefault="00AB7699" w:rsidP="00C75313">
      <w:pPr>
        <w:pStyle w:val="Header"/>
      </w:pPr>
      <w:r w:rsidRPr="00AB7699">
        <w:t xml:space="preserve">A site-intercept survey will be conducted with these two groups at two points in time. First, the survey will be administered prior to campaign launch to gauge baseline knowledge and behaviors. Approximately 12 months from the initial baseline measurement, the survey will be administered again in the same locations (i.e., departing airline gates at the Lihue airport and U.S. shops near the San </w:t>
      </w:r>
      <w:proofErr w:type="spellStart"/>
      <w:r w:rsidRPr="00AB7699">
        <w:t>Ysidro</w:t>
      </w:r>
      <w:proofErr w:type="spellEnd"/>
      <w:r w:rsidRPr="00AB7699">
        <w:t xml:space="preserve"> port of entry).</w:t>
      </w: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AB7699">
        <w:rPr>
          <w:bCs/>
          <w:sz w:val="24"/>
        </w:rPr>
        <w:t>X</w:t>
      </w:r>
      <w:r w:rsidR="00F06866" w:rsidRPr="00F06866">
        <w:rPr>
          <w:bCs/>
          <w:sz w:val="24"/>
        </w:rPr>
        <w:t>]</w:t>
      </w:r>
      <w:r w:rsidR="00F06866">
        <w:rPr>
          <w:bCs/>
          <w:sz w:val="24"/>
        </w:rPr>
        <w:t xml:space="preserve"> Other:</w:t>
      </w:r>
      <w:r w:rsidR="00AB7699">
        <w:rPr>
          <w:bCs/>
          <w:sz w:val="24"/>
          <w:u w:val="single"/>
        </w:rPr>
        <w:t xml:space="preserve"> Site Intercept Survey</w:t>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lastRenderedPageBreak/>
        <w:t>C</w:t>
      </w:r>
      <w:r w:rsidR="009C13B9">
        <w:rPr>
          <w:b/>
        </w:rPr>
        <w:t>ERTIFICATION:</w:t>
      </w:r>
    </w:p>
    <w:p w:rsidR="00441434" w:rsidRDefault="00441434">
      <w:pPr>
        <w:rPr>
          <w:sz w:val="16"/>
          <w:szCs w:val="16"/>
        </w:rPr>
      </w:pPr>
    </w:p>
    <w:p w:rsidR="008101A5" w:rsidRDefault="008101A5" w:rsidP="008101A5">
      <w:r>
        <w:t xml:space="preserve">I certify the following to be true: </w:t>
      </w:r>
    </w:p>
    <w:p w:rsidR="00052F81" w:rsidRPr="009C13B9" w:rsidRDefault="00052F81" w:rsidP="008101A5"/>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proofErr w:type="spellStart"/>
      <w:r>
        <w:t>Name</w:t>
      </w:r>
      <w:proofErr w:type="gramStart"/>
      <w:r>
        <w:t>:_</w:t>
      </w:r>
      <w:proofErr w:type="gramEnd"/>
      <w:r>
        <w:t>_</w:t>
      </w:r>
      <w:r w:rsidR="0044536D">
        <w:t>Heather</w:t>
      </w:r>
      <w:proofErr w:type="spellEnd"/>
      <w:r w:rsidR="0044536D">
        <w:t xml:space="preserve"> Curlett</w:t>
      </w:r>
      <w:r>
        <w:t>______________________________________________</w:t>
      </w:r>
    </w:p>
    <w:p w:rsidR="009C13B9" w:rsidRDefault="009C13B9" w:rsidP="009C13B9">
      <w:pPr>
        <w:pStyle w:val="ListParagraph"/>
        <w:ind w:left="360"/>
      </w:pPr>
      <w:bookmarkStart w:id="0" w:name="_GoBack"/>
      <w:bookmarkEnd w:id="0"/>
    </w:p>
    <w:p w:rsidR="009C13B9" w:rsidRDefault="009C13B9" w:rsidP="009C13B9">
      <w:r>
        <w:t>To assist review, please provide answers to the following question</w:t>
      </w:r>
      <w:r w:rsidR="00052F81">
        <w:t>s</w:t>
      </w:r>
      <w:r>
        <w:t>:</w:t>
      </w:r>
    </w:p>
    <w:p w:rsidR="009C13B9" w:rsidRDefault="009C13B9" w:rsidP="009C13B9">
      <w:pPr>
        <w:pStyle w:val="ListParagraph"/>
        <w:ind w:left="360"/>
      </w:pPr>
    </w:p>
    <w:p w:rsidR="009C13B9" w:rsidRDefault="00C86E91" w:rsidP="00C86E91">
      <w:pPr>
        <w:rPr>
          <w:b/>
        </w:rPr>
      </w:pPr>
      <w:r w:rsidRPr="00C86E91">
        <w:rPr>
          <w:b/>
        </w:rPr>
        <w:t>Personally Identifiable Information:</w:t>
      </w:r>
    </w:p>
    <w:p w:rsidR="00052F81" w:rsidRPr="00C86E91" w:rsidRDefault="00052F81" w:rsidP="00C86E91">
      <w:pPr>
        <w:rPr>
          <w:b/>
        </w:rPr>
      </w:pP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AB7699">
        <w:t>X</w:t>
      </w:r>
      <w:r w:rsidR="009239AA">
        <w:t xml:space="preserve">]  No </w:t>
      </w:r>
    </w:p>
    <w:p w:rsidR="00052F81" w:rsidRDefault="00052F81" w:rsidP="00052F81">
      <w:pPr>
        <w:pStyle w:val="ListParagraph"/>
        <w:ind w:left="360"/>
      </w:pPr>
    </w:p>
    <w:p w:rsidR="00C86E91" w:rsidRDefault="009C13B9" w:rsidP="00C86E91">
      <w:pPr>
        <w:pStyle w:val="ListParagraph"/>
        <w:numPr>
          <w:ilvl w:val="0"/>
          <w:numId w:val="18"/>
        </w:numPr>
      </w:pPr>
      <w:r>
        <w:t xml:space="preserve">If </w:t>
      </w:r>
      <w:proofErr w:type="gramStart"/>
      <w:r w:rsidR="009239AA">
        <w:t>Yes</w:t>
      </w:r>
      <w:proofErr w:type="gramEnd"/>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w:t>
      </w:r>
      <w:r w:rsidR="00AB7699">
        <w:t xml:space="preserve"> </w:t>
      </w:r>
      <w:r w:rsidR="009239AA">
        <w:t>] No</w:t>
      </w:r>
      <w:r w:rsidR="00C86E91">
        <w:t xml:space="preserve">   </w:t>
      </w:r>
    </w:p>
    <w:p w:rsidR="00052F81" w:rsidRDefault="00052F81" w:rsidP="00052F81">
      <w:pPr>
        <w:pStyle w:val="ListParagraph"/>
      </w:pPr>
    </w:p>
    <w:p w:rsidR="00C86E91" w:rsidRDefault="00C86E91" w:rsidP="00C86E91">
      <w:pPr>
        <w:pStyle w:val="ListParagraph"/>
        <w:numPr>
          <w:ilvl w:val="0"/>
          <w:numId w:val="18"/>
        </w:numPr>
      </w:pPr>
      <w:r>
        <w:t xml:space="preserve">If </w:t>
      </w:r>
      <w:proofErr w:type="gramStart"/>
      <w:r w:rsidR="002B34CD">
        <w:t>Yes</w:t>
      </w:r>
      <w:proofErr w:type="gramEnd"/>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w:t>
      </w:r>
      <w:r w:rsidR="00AB7699">
        <w:t>X</w:t>
      </w:r>
      <w:r>
        <w:t xml:space="preserve">] Yes [  ] No  </w:t>
      </w:r>
    </w:p>
    <w:p w:rsidR="00C75313" w:rsidRDefault="00C75313" w:rsidP="00C86E91"/>
    <w:p w:rsidR="00C75313" w:rsidRDefault="00C75313" w:rsidP="00C75313">
      <w:r>
        <w:t xml:space="preserve">The proposed incentive amount differs based on location. Respondents surveyed at the Lihue Hawaiian airport will not be incentivized. Based on previous experience with this location and the wait time inherent to airport travel, we anticipate being able to recruit the desired number of respondents without providing an incentive. Due to anticipated challenges recruiting Hispanic travelers of Mexican heritage/descent, those surveyed at the San </w:t>
      </w:r>
      <w:proofErr w:type="spellStart"/>
      <w:r>
        <w:t>Ysidro</w:t>
      </w:r>
      <w:proofErr w:type="spellEnd"/>
      <w:r>
        <w:t xml:space="preserve"> border will receive a $5 cash incentive for completing the survey. The proposed incentive for respondents at the San </w:t>
      </w:r>
      <w:proofErr w:type="spellStart"/>
      <w:r>
        <w:t>Ysidro</w:t>
      </w:r>
      <w:proofErr w:type="spellEnd"/>
      <w:r>
        <w:t xml:space="preserve"> border is necessary to minimize sampling bias and ensure adequate representation among a harder-to-recruit population.</w:t>
      </w:r>
      <w:r>
        <w:rPr>
          <w:rStyle w:val="FootnoteReference"/>
        </w:rPr>
        <w:footnoteReference w:id="1"/>
      </w:r>
      <w:r>
        <w:t xml:space="preserve">  The use of incentives treats participants justly and with respect by recognizing and acknowledging their commitment to science and the effort they expend to participate. When applied in a reasonable manner, incentives are not an unjust inducement and </w:t>
      </w:r>
      <w:r>
        <w:lastRenderedPageBreak/>
        <w:t>provide a way to acknowledge research participants for their participation.</w:t>
      </w:r>
      <w:r>
        <w:rPr>
          <w:rStyle w:val="FootnoteReference"/>
        </w:rPr>
        <w:footnoteReference w:id="2"/>
      </w:r>
      <w:r>
        <w:t xml:space="preserve">   Incentives equalize the burden placed on research participants with respect to their time and cost of participation.</w:t>
      </w:r>
      <w:r>
        <w:rPr>
          <w:rStyle w:val="FootnoteReference"/>
        </w:rPr>
        <w:footnoteReference w:id="3"/>
      </w:r>
    </w:p>
    <w:p w:rsidR="00C75313" w:rsidRDefault="00C75313" w:rsidP="00C75313">
      <w:r>
        <w:t xml:space="preserve">  </w:t>
      </w:r>
    </w:p>
    <w:p w:rsidR="004D6E14" w:rsidRDefault="004D6E14">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EF2095" w:rsidTr="0001027E">
        <w:trPr>
          <w:trHeight w:val="274"/>
        </w:trPr>
        <w:tc>
          <w:tcPr>
            <w:tcW w:w="5418" w:type="dxa"/>
          </w:tcPr>
          <w:p w:rsidR="006832D9" w:rsidRPr="0001027E" w:rsidRDefault="00E40B50" w:rsidP="00C8488C">
            <w:pPr>
              <w:rPr>
                <w:b/>
              </w:rPr>
            </w:pPr>
            <w:r w:rsidRPr="0001027E">
              <w:rPr>
                <w:b/>
              </w:rPr>
              <w:t>Category of Respondent</w:t>
            </w:r>
            <w:r w:rsidR="00EF2095" w:rsidRPr="0001027E">
              <w:rPr>
                <w:b/>
              </w:rPr>
              <w:t xml:space="preserve"> </w:t>
            </w:r>
          </w:p>
        </w:tc>
        <w:tc>
          <w:tcPr>
            <w:tcW w:w="1530"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rsidR="006832D9" w:rsidRPr="0001027E" w:rsidRDefault="006832D9" w:rsidP="00843796">
            <w:pPr>
              <w:rPr>
                <w:b/>
              </w:rPr>
            </w:pPr>
            <w:r w:rsidRPr="0001027E">
              <w:rPr>
                <w:b/>
              </w:rPr>
              <w:t>Participation Time</w:t>
            </w:r>
          </w:p>
        </w:tc>
        <w:tc>
          <w:tcPr>
            <w:tcW w:w="1003" w:type="dxa"/>
          </w:tcPr>
          <w:p w:rsidR="006832D9" w:rsidRPr="0001027E" w:rsidRDefault="006832D9" w:rsidP="00843796">
            <w:pPr>
              <w:rPr>
                <w:b/>
              </w:rPr>
            </w:pPr>
            <w:r w:rsidRPr="0001027E">
              <w:rPr>
                <w:b/>
              </w:rPr>
              <w:t>Burden</w:t>
            </w:r>
          </w:p>
        </w:tc>
      </w:tr>
      <w:tr w:rsidR="00EF2095" w:rsidTr="0001027E">
        <w:trPr>
          <w:trHeight w:val="274"/>
        </w:trPr>
        <w:tc>
          <w:tcPr>
            <w:tcW w:w="5418" w:type="dxa"/>
          </w:tcPr>
          <w:p w:rsidR="006832D9" w:rsidRDefault="00AB7699" w:rsidP="00843796">
            <w:r w:rsidRPr="00AB7699">
              <w:t xml:space="preserve">Hispanic travelers of Mexican heritage/descent entering California via the San </w:t>
            </w:r>
            <w:proofErr w:type="spellStart"/>
            <w:r w:rsidRPr="00AB7699">
              <w:t>Ysidro</w:t>
            </w:r>
            <w:proofErr w:type="spellEnd"/>
            <w:r w:rsidRPr="00AB7699">
              <w:t xml:space="preserve"> port of entry (Time 1)</w:t>
            </w:r>
          </w:p>
        </w:tc>
        <w:tc>
          <w:tcPr>
            <w:tcW w:w="1530" w:type="dxa"/>
          </w:tcPr>
          <w:p w:rsidR="006832D9" w:rsidRDefault="00AB7699" w:rsidP="00843796">
            <w:r>
              <w:t>500</w:t>
            </w:r>
          </w:p>
        </w:tc>
        <w:tc>
          <w:tcPr>
            <w:tcW w:w="1710" w:type="dxa"/>
          </w:tcPr>
          <w:p w:rsidR="006832D9" w:rsidRDefault="00AB7699" w:rsidP="00843796">
            <w:r>
              <w:t>.17</w:t>
            </w:r>
          </w:p>
        </w:tc>
        <w:tc>
          <w:tcPr>
            <w:tcW w:w="1003" w:type="dxa"/>
          </w:tcPr>
          <w:p w:rsidR="006832D9" w:rsidRDefault="00AB7699" w:rsidP="00843796">
            <w:r>
              <w:t>85</w:t>
            </w:r>
          </w:p>
        </w:tc>
      </w:tr>
      <w:tr w:rsidR="00EF2095" w:rsidTr="0001027E">
        <w:trPr>
          <w:trHeight w:val="274"/>
        </w:trPr>
        <w:tc>
          <w:tcPr>
            <w:tcW w:w="5418" w:type="dxa"/>
          </w:tcPr>
          <w:p w:rsidR="006832D9" w:rsidRDefault="00AB7699" w:rsidP="00843796">
            <w:r w:rsidRPr="00AB7699">
              <w:t>Residents of the U.S. mainland returning from Hawaii via the Lihue airport (Time 1)</w:t>
            </w:r>
          </w:p>
        </w:tc>
        <w:tc>
          <w:tcPr>
            <w:tcW w:w="1530" w:type="dxa"/>
          </w:tcPr>
          <w:p w:rsidR="006832D9" w:rsidRDefault="00AB7699" w:rsidP="00843796">
            <w:r>
              <w:t>500</w:t>
            </w:r>
          </w:p>
        </w:tc>
        <w:tc>
          <w:tcPr>
            <w:tcW w:w="1710" w:type="dxa"/>
          </w:tcPr>
          <w:p w:rsidR="006832D9" w:rsidRDefault="00AB7699" w:rsidP="00843796">
            <w:r>
              <w:t>.17</w:t>
            </w:r>
          </w:p>
        </w:tc>
        <w:tc>
          <w:tcPr>
            <w:tcW w:w="1003" w:type="dxa"/>
          </w:tcPr>
          <w:p w:rsidR="006832D9" w:rsidRDefault="00AB7699" w:rsidP="00843796">
            <w:r>
              <w:t>85</w:t>
            </w:r>
          </w:p>
        </w:tc>
      </w:tr>
      <w:tr w:rsidR="00AB7699" w:rsidTr="0001027E">
        <w:trPr>
          <w:trHeight w:val="274"/>
        </w:trPr>
        <w:tc>
          <w:tcPr>
            <w:tcW w:w="5418" w:type="dxa"/>
          </w:tcPr>
          <w:p w:rsidR="00AB7699" w:rsidRPr="00AB7699" w:rsidRDefault="00AB7699" w:rsidP="00843796">
            <w:r w:rsidRPr="00AB7699">
              <w:t xml:space="preserve">Hispanic travelers of Mexican heritage/descent entering California via the San </w:t>
            </w:r>
            <w:proofErr w:type="spellStart"/>
            <w:r w:rsidRPr="00AB7699">
              <w:t>Ysidro</w:t>
            </w:r>
            <w:proofErr w:type="spellEnd"/>
            <w:r w:rsidRPr="00AB7699">
              <w:t xml:space="preserve"> port of entry (Time 2)</w:t>
            </w:r>
          </w:p>
        </w:tc>
        <w:tc>
          <w:tcPr>
            <w:tcW w:w="1530" w:type="dxa"/>
          </w:tcPr>
          <w:p w:rsidR="00AB7699" w:rsidRDefault="00AB7699" w:rsidP="00843796">
            <w:r>
              <w:t>500</w:t>
            </w:r>
          </w:p>
        </w:tc>
        <w:tc>
          <w:tcPr>
            <w:tcW w:w="1710" w:type="dxa"/>
          </w:tcPr>
          <w:p w:rsidR="00AB7699" w:rsidRDefault="00AB7699" w:rsidP="00843796">
            <w:r>
              <w:t>.17</w:t>
            </w:r>
          </w:p>
        </w:tc>
        <w:tc>
          <w:tcPr>
            <w:tcW w:w="1003" w:type="dxa"/>
          </w:tcPr>
          <w:p w:rsidR="00AB7699" w:rsidRDefault="00AB7699" w:rsidP="00843796">
            <w:r>
              <w:t>85</w:t>
            </w:r>
          </w:p>
        </w:tc>
      </w:tr>
      <w:tr w:rsidR="00AB7699" w:rsidTr="0001027E">
        <w:trPr>
          <w:trHeight w:val="274"/>
        </w:trPr>
        <w:tc>
          <w:tcPr>
            <w:tcW w:w="5418" w:type="dxa"/>
          </w:tcPr>
          <w:p w:rsidR="00AB7699" w:rsidRPr="00AB7699" w:rsidRDefault="00AB7699" w:rsidP="00843796">
            <w:r w:rsidRPr="00AB7699">
              <w:t>Residents of the U.S. mainland returning from Hawaii via the Lihue airport (Time 2)</w:t>
            </w:r>
          </w:p>
        </w:tc>
        <w:tc>
          <w:tcPr>
            <w:tcW w:w="1530" w:type="dxa"/>
          </w:tcPr>
          <w:p w:rsidR="00AB7699" w:rsidRDefault="00AB7699" w:rsidP="00843796">
            <w:r>
              <w:t>500</w:t>
            </w:r>
          </w:p>
        </w:tc>
        <w:tc>
          <w:tcPr>
            <w:tcW w:w="1710" w:type="dxa"/>
          </w:tcPr>
          <w:p w:rsidR="00AB7699" w:rsidRDefault="00AB7699" w:rsidP="00843796">
            <w:r>
              <w:t>.17</w:t>
            </w:r>
          </w:p>
        </w:tc>
        <w:tc>
          <w:tcPr>
            <w:tcW w:w="1003" w:type="dxa"/>
          </w:tcPr>
          <w:p w:rsidR="00AB7699" w:rsidRDefault="00AB7699" w:rsidP="00843796">
            <w:r>
              <w:t>85</w:t>
            </w:r>
          </w:p>
        </w:tc>
      </w:tr>
      <w:tr w:rsidR="00EF2095" w:rsidTr="0001027E">
        <w:trPr>
          <w:trHeight w:val="289"/>
        </w:trPr>
        <w:tc>
          <w:tcPr>
            <w:tcW w:w="5418" w:type="dxa"/>
          </w:tcPr>
          <w:p w:rsidR="006832D9" w:rsidRPr="0001027E" w:rsidRDefault="006832D9" w:rsidP="00843796">
            <w:pPr>
              <w:rPr>
                <w:b/>
              </w:rPr>
            </w:pPr>
            <w:r w:rsidRPr="0001027E">
              <w:rPr>
                <w:b/>
              </w:rPr>
              <w:t>Totals</w:t>
            </w:r>
          </w:p>
        </w:tc>
        <w:tc>
          <w:tcPr>
            <w:tcW w:w="1530" w:type="dxa"/>
          </w:tcPr>
          <w:p w:rsidR="006832D9" w:rsidRPr="0001027E" w:rsidRDefault="00AB7699" w:rsidP="00843796">
            <w:pPr>
              <w:rPr>
                <w:b/>
              </w:rPr>
            </w:pPr>
            <w:r>
              <w:rPr>
                <w:b/>
              </w:rPr>
              <w:t>2000</w:t>
            </w:r>
          </w:p>
        </w:tc>
        <w:tc>
          <w:tcPr>
            <w:tcW w:w="1710" w:type="dxa"/>
          </w:tcPr>
          <w:p w:rsidR="006832D9" w:rsidRDefault="00AB7699" w:rsidP="00843796">
            <w:r>
              <w:t>.17</w:t>
            </w:r>
          </w:p>
        </w:tc>
        <w:tc>
          <w:tcPr>
            <w:tcW w:w="1003" w:type="dxa"/>
          </w:tcPr>
          <w:p w:rsidR="006832D9" w:rsidRPr="0001027E" w:rsidRDefault="00AB7699" w:rsidP="00843796">
            <w:pPr>
              <w:rPr>
                <w:b/>
              </w:rPr>
            </w:pPr>
            <w:r>
              <w:rPr>
                <w:b/>
              </w:rPr>
              <w:t>340</w:t>
            </w:r>
          </w:p>
        </w:tc>
      </w:tr>
    </w:tbl>
    <w:p w:rsidR="00F3170F" w:rsidRDefault="00F3170F" w:rsidP="00F3170F"/>
    <w:p w:rsidR="00ED6492" w:rsidRDefault="001C39F7">
      <w:pPr>
        <w:rPr>
          <w:b/>
          <w:bCs/>
          <w:u w:val="single"/>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AB7699" w:rsidRPr="00AB7699">
        <w:rPr>
          <w:u w:val="single"/>
        </w:rPr>
        <w:t>$15,281.28</w:t>
      </w:r>
    </w:p>
    <w:p w:rsidR="0069403B" w:rsidRDefault="00ED6492" w:rsidP="00F06866">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052F81" w:rsidRDefault="00052F81" w:rsidP="00F06866">
      <w:pPr>
        <w:rPr>
          <w:b/>
        </w:rPr>
      </w:pPr>
    </w:p>
    <w:p w:rsidR="0069403B" w:rsidRDefault="0069403B" w:rsidP="00052F81">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proofErr w:type="gramStart"/>
      <w:r>
        <w:t xml:space="preserve">[ </w:t>
      </w:r>
      <w:r w:rsidR="00AB7699">
        <w:t>X</w:t>
      </w:r>
      <w:proofErr w:type="gramEnd"/>
      <w:r>
        <w:t>] Yes</w:t>
      </w:r>
      <w:r>
        <w:tab/>
        <w:t>[</w:t>
      </w:r>
      <w:r w:rsidR="00AB7699">
        <w:t xml:space="preserve"> </w:t>
      </w:r>
      <w:r>
        <w:t>]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B7699" w:rsidRDefault="00AB7699" w:rsidP="001B0AAA"/>
    <w:p w:rsidR="00AB7699" w:rsidRDefault="00AB7699" w:rsidP="00C75313">
      <w:r>
        <w:t>In 2012, a segmentation analysis was completed to identify key priority groups for targeted communication. The present information collection will be comprised of field-intercept surveys conducted with respondents that meet the criteria of two particularly high-risk groups:</w:t>
      </w:r>
    </w:p>
    <w:p w:rsidR="00AB7699" w:rsidRDefault="00AB7699" w:rsidP="00C75313">
      <w:pPr>
        <w:pStyle w:val="ListParagraph"/>
        <w:numPr>
          <w:ilvl w:val="0"/>
          <w:numId w:val="21"/>
        </w:numPr>
        <w:ind w:left="720"/>
      </w:pPr>
      <w:r>
        <w:t xml:space="preserve">Hispanic travelers of Mexican heritage/descent entering California via the San </w:t>
      </w:r>
      <w:proofErr w:type="spellStart"/>
      <w:r>
        <w:t>Ysidro</w:t>
      </w:r>
      <w:proofErr w:type="spellEnd"/>
      <w:r>
        <w:t xml:space="preserve"> port of entry </w:t>
      </w:r>
    </w:p>
    <w:p w:rsidR="00AB7699" w:rsidRDefault="00AB7699" w:rsidP="00C75313">
      <w:pPr>
        <w:pStyle w:val="ListParagraph"/>
        <w:numPr>
          <w:ilvl w:val="0"/>
          <w:numId w:val="21"/>
        </w:numPr>
        <w:ind w:left="720"/>
      </w:pPr>
      <w:r>
        <w:t>Residents of the U.S. mainland returning from Hawaii via the Lihue airport</w:t>
      </w:r>
    </w:p>
    <w:p w:rsidR="00AB7699" w:rsidRDefault="00AB7699" w:rsidP="00C75313">
      <w:r>
        <w:br/>
      </w:r>
      <w:r w:rsidRPr="00AB7699">
        <w:t xml:space="preserve">Respondents will be screened for participation eligibility on the basis of age, heritage, and </w:t>
      </w:r>
      <w:r w:rsidRPr="00AB7699">
        <w:lastRenderedPageBreak/>
        <w:t>primary residence. See screener (Appendix A). Consent will be obtained from participants prior to completion of the survey (Appendix B).</w:t>
      </w:r>
      <w:r>
        <w:t xml:space="preserve"> </w:t>
      </w:r>
    </w:p>
    <w:p w:rsidR="00A403BB" w:rsidRDefault="00A403BB" w:rsidP="00A403BB">
      <w:pPr>
        <w:pStyle w:val="ListParagraph"/>
      </w:pPr>
    </w:p>
    <w:p w:rsidR="00A403BB" w:rsidRDefault="00A403BB" w:rsidP="00A403BB"/>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1B0AAA">
        <w:t xml:space="preserve"> </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proofErr w:type="gramStart"/>
      <w:r>
        <w:t>[</w:t>
      </w:r>
      <w:r w:rsidR="00C75313">
        <w:t xml:space="preserve"> X</w:t>
      </w:r>
      <w:proofErr w:type="gramEnd"/>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052F81" w:rsidRDefault="00052F81" w:rsidP="001B0AAA">
      <w:pPr>
        <w:ind w:left="720"/>
      </w:pPr>
    </w:p>
    <w:p w:rsidR="00F24CFC" w:rsidRDefault="00F24CFC" w:rsidP="00F24CFC">
      <w:pPr>
        <w:pStyle w:val="ListParagraph"/>
        <w:numPr>
          <w:ilvl w:val="0"/>
          <w:numId w:val="17"/>
        </w:numPr>
      </w:pPr>
      <w:r>
        <w:t>Will interviewers or facilitators be used?  [</w:t>
      </w:r>
      <w:r w:rsidR="00C75313">
        <w:t xml:space="preserve"> X </w:t>
      </w:r>
      <w:r>
        <w:t>] Yes [  ] No</w:t>
      </w:r>
    </w:p>
    <w:p w:rsidR="00F24CFC" w:rsidRDefault="00F24CFC" w:rsidP="00F24CFC">
      <w:pPr>
        <w:pStyle w:val="ListParagraph"/>
        <w:ind w:left="360"/>
      </w:pPr>
      <w:r>
        <w:t xml:space="preserve"> </w:t>
      </w:r>
    </w:p>
    <w:p w:rsidR="0024521E" w:rsidRDefault="00F24CFC" w:rsidP="0024521E">
      <w:pPr>
        <w:rPr>
          <w:b/>
        </w:rPr>
      </w:pPr>
      <w:r w:rsidRPr="00F24CFC">
        <w:rPr>
          <w:b/>
        </w:rPr>
        <w:t>Please make sure that all instruments, instructions, and scripts are submitted with the request.</w:t>
      </w:r>
    </w:p>
    <w:p w:rsidR="00052F81" w:rsidRDefault="00052F81" w:rsidP="0024521E">
      <w:pPr>
        <w:rPr>
          <w:b/>
        </w:rPr>
      </w:pPr>
    </w:p>
    <w:p w:rsidR="00052F81" w:rsidRDefault="00052F81" w:rsidP="0024521E">
      <w:pPr>
        <w:rPr>
          <w:b/>
        </w:rPr>
      </w:pPr>
    </w:p>
    <w:p w:rsidR="00052F81" w:rsidRDefault="00052F81" w:rsidP="0024521E">
      <w:pPr>
        <w:rPr>
          <w:b/>
        </w:rPr>
      </w:pPr>
    </w:p>
    <w:p w:rsidR="00052F81" w:rsidRDefault="00052F81" w:rsidP="0024521E">
      <w:pPr>
        <w:rPr>
          <w:b/>
        </w:rPr>
      </w:pPr>
    </w:p>
    <w:p w:rsidR="00052F81" w:rsidRDefault="00052F81" w:rsidP="0024521E">
      <w:pPr>
        <w:rPr>
          <w:b/>
        </w:rPr>
      </w:pPr>
    </w:p>
    <w:p w:rsidR="00052F81" w:rsidRDefault="00052F81" w:rsidP="0024521E">
      <w:pPr>
        <w:rPr>
          <w:b/>
        </w:rPr>
      </w:pPr>
    </w:p>
    <w:p w:rsidR="00052F81" w:rsidRDefault="00052F81" w:rsidP="0024521E">
      <w:pPr>
        <w:rPr>
          <w:b/>
        </w:rPr>
      </w:pPr>
    </w:p>
    <w:p w:rsidR="00052F81" w:rsidRDefault="00052F81" w:rsidP="0024521E">
      <w:pPr>
        <w:rPr>
          <w:b/>
        </w:rPr>
      </w:pPr>
    </w:p>
    <w:p w:rsidR="00052F81" w:rsidRDefault="00052F81" w:rsidP="0024521E">
      <w:pPr>
        <w:rPr>
          <w:b/>
        </w:rPr>
      </w:pPr>
    </w:p>
    <w:p w:rsidR="00052F81" w:rsidRDefault="00052F81" w:rsidP="0024521E">
      <w:pPr>
        <w:rPr>
          <w:b/>
        </w:rPr>
      </w:pPr>
    </w:p>
    <w:p w:rsidR="00052F81" w:rsidRPr="00F24CFC" w:rsidRDefault="00052F81" w:rsidP="0024521E">
      <w:pPr>
        <w:rPr>
          <w:b/>
        </w:rPr>
      </w:pPr>
    </w:p>
    <w:p w:rsidR="00C75313" w:rsidRDefault="00C75313">
      <w:pPr>
        <w:rPr>
          <w:b/>
          <w:bCs/>
          <w:sz w:val="28"/>
        </w:rPr>
      </w:pPr>
      <w:r>
        <w:rPr>
          <w:sz w:val="28"/>
        </w:rPr>
        <w:br w:type="page"/>
      </w:r>
    </w:p>
    <w:p w:rsidR="00F24CFC" w:rsidRDefault="00F24CFC" w:rsidP="00F24CFC">
      <w:pPr>
        <w:pStyle w:val="Heading2"/>
        <w:tabs>
          <w:tab w:val="left" w:pos="900"/>
        </w:tabs>
        <w:ind w:right="-180"/>
      </w:pPr>
      <w:r>
        <w:rPr>
          <w:sz w:val="28"/>
        </w:rPr>
        <w:lastRenderedPageBreak/>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D2292B" w:rsidP="00F24CFC">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w:t>
      </w:r>
      <w:r w:rsidR="00052F81">
        <w:t>,</w:t>
      </w:r>
      <w:r w:rsidR="00CB1078">
        <w:t xml:space="preserve"> Comment card for soliciting feedback on </w:t>
      </w:r>
      <w:proofErr w:type="spellStart"/>
      <w:r w:rsidR="00CB1078">
        <w:t>xxxx</w:t>
      </w:r>
      <w:proofErr w:type="spellEnd"/>
      <w:r w:rsidR="00CB1078">
        <w:t>)</w:t>
      </w:r>
    </w:p>
    <w:p w:rsidR="00F24CFC" w:rsidRPr="00CF6542" w:rsidRDefault="00F24CFC" w:rsidP="00F24CFC">
      <w:pPr>
        <w:rPr>
          <w:sz w:val="20"/>
          <w:szCs w:val="20"/>
        </w:rPr>
      </w:pPr>
    </w:p>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RDefault="00F24CFC" w:rsidP="00F24CFC">
      <w:pPr>
        <w:rPr>
          <w:b/>
          <w:sz w:val="20"/>
          <w:szCs w:val="20"/>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CF6542" w:rsidRDefault="00F24CFC" w:rsidP="00F24CFC">
      <w:pPr>
        <w:pStyle w:val="BodyTextIndent"/>
        <w:tabs>
          <w:tab w:val="left" w:pos="360"/>
        </w:tabs>
        <w:ind w:left="0"/>
        <w:rPr>
          <w:bCs/>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rsidR="008F50D4" w:rsidRPr="00CF6542" w:rsidRDefault="008F50D4" w:rsidP="00F24CFC">
      <w:pPr>
        <w:rPr>
          <w:sz w:val="20"/>
          <w:szCs w:val="20"/>
        </w:rPr>
      </w:pPr>
    </w:p>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Identify who you expect the respondents to be in terms of the following categories: (1) Individuals or Households;</w:t>
      </w:r>
      <w:r w:rsidR="00052F81">
        <w:t xml:space="preserve"> </w:t>
      </w:r>
      <w:r>
        <w:t>(2) Private Sector; (3) State, local, or tribal governments; or (4) Federal Government.  Only one type of respondent can be selected</w:t>
      </w:r>
      <w:r w:rsidR="00CF6542">
        <w:t xml:space="preserve"> per row</w:t>
      </w:r>
      <w:r>
        <w:t xml:space="preserve">. </w:t>
      </w:r>
    </w:p>
    <w:p w:rsidR="00052F81" w:rsidRDefault="00052F81" w:rsidP="00F24CFC">
      <w:pPr>
        <w:rPr>
          <w:b/>
        </w:rPr>
      </w:pP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052F81" w:rsidRDefault="00052F81" w:rsidP="00F24CFC">
      <w:pPr>
        <w:rPr>
          <w:b/>
        </w:rPr>
      </w:pP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052F81" w:rsidRDefault="00052F81" w:rsidP="00F24CFC">
      <w:pPr>
        <w:rPr>
          <w:b/>
        </w:rPr>
      </w:pP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RDefault="00F24CFC" w:rsidP="00F24CFC">
      <w:pPr>
        <w:rPr>
          <w:b/>
          <w:bCs/>
          <w:sz w:val="20"/>
          <w:szCs w:val="20"/>
          <w:u w:val="single"/>
        </w:rPr>
      </w:pPr>
    </w:p>
    <w:p w:rsidR="00F24CFC" w:rsidRDefault="00F24CFC" w:rsidP="00F24CFC">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F24CFC" w:rsidRPr="00CF6542" w:rsidRDefault="00F24CFC" w:rsidP="00F24CFC">
      <w:pPr>
        <w:rPr>
          <w:b/>
          <w:sz w:val="20"/>
          <w:szCs w:val="20"/>
        </w:rPr>
      </w:pPr>
    </w:p>
    <w:p w:rsidR="00F24CFC" w:rsidRDefault="00F24CFC" w:rsidP="00F24CFC">
      <w:proofErr w:type="gramStart"/>
      <w:r>
        <w:rPr>
          <w:b/>
        </w:rPr>
        <w:t>The selection of your targeted respondents</w:t>
      </w:r>
      <w:r w:rsidR="003F1C5B">
        <w:rPr>
          <w:b/>
        </w:rPr>
        <w:t>.</w:t>
      </w:r>
      <w:proofErr w:type="gramEnd"/>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Pr="00CF6542" w:rsidRDefault="00F24CFC" w:rsidP="00F24CFC">
      <w:pPr>
        <w:rPr>
          <w:b/>
          <w:sz w:val="20"/>
          <w:szCs w:val="20"/>
        </w:rPr>
      </w:pPr>
    </w:p>
    <w:p w:rsidR="00F24CFC" w:rsidRPr="003F1C5B" w:rsidRDefault="00F24CFC" w:rsidP="00F24CFC">
      <w:r>
        <w:rPr>
          <w:b/>
        </w:rPr>
        <w:lastRenderedPageBreak/>
        <w:t>Administration of the Instrument</w:t>
      </w:r>
      <w:r w:rsidR="003F1C5B">
        <w:rPr>
          <w:b/>
        </w:rPr>
        <w:t xml:space="preserve">:  </w:t>
      </w:r>
      <w:r w:rsidR="003F1C5B">
        <w:t>Identify how the information will be collected.  More than one box may be checked.  Indicate whether there will be interviewers (e.g.</w:t>
      </w:r>
      <w:r w:rsidR="00052F81">
        <w:t>,</w:t>
      </w:r>
      <w:r w:rsidR="003F1C5B">
        <w:t xml:space="preserve"> for surveys) or facilitators (e.g., for focus groups) used.</w:t>
      </w:r>
    </w:p>
    <w:p w:rsidR="00F24CFC" w:rsidRDefault="00F24CFC" w:rsidP="00F24CFC">
      <w:pPr>
        <w:pStyle w:val="ListParagraph"/>
        <w:ind w:left="360"/>
      </w:pPr>
    </w:p>
    <w:p w:rsidR="005E714A" w:rsidRDefault="00CF6542" w:rsidP="00052F81">
      <w:r>
        <w:rPr>
          <w:b/>
        </w:rPr>
        <w:t xml:space="preserve">Submit </w:t>
      </w:r>
      <w:r w:rsidR="00F24CFC" w:rsidRPr="00F24CFC">
        <w:rPr>
          <w:b/>
        </w:rPr>
        <w:t>all instruments, instructions, and scripts with the request.</w:t>
      </w:r>
    </w:p>
    <w:sectPr w:rsidR="005E714A" w:rsidSect="00194AC6">
      <w:headerReference w:type="default" r:id="rId9"/>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361" w:rsidRDefault="00514361">
      <w:r>
        <w:separator/>
      </w:r>
    </w:p>
  </w:endnote>
  <w:endnote w:type="continuationSeparator" w:id="0">
    <w:p w:rsidR="00514361" w:rsidRDefault="00514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44536D">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361" w:rsidRDefault="00514361">
      <w:r>
        <w:separator/>
      </w:r>
    </w:p>
  </w:footnote>
  <w:footnote w:type="continuationSeparator" w:id="0">
    <w:p w:rsidR="00514361" w:rsidRDefault="00514361">
      <w:r>
        <w:continuationSeparator/>
      </w:r>
    </w:p>
  </w:footnote>
  <w:footnote w:id="1">
    <w:p w:rsidR="00C75313" w:rsidRDefault="00C75313">
      <w:pPr>
        <w:pStyle w:val="FootnoteText"/>
      </w:pPr>
      <w:r>
        <w:rPr>
          <w:rStyle w:val="FootnoteReference"/>
        </w:rPr>
        <w:footnoteRef/>
      </w:r>
      <w:r>
        <w:t xml:space="preserve"> </w:t>
      </w:r>
      <w:proofErr w:type="spellStart"/>
      <w:r w:rsidRPr="00C75313">
        <w:t>Groth</w:t>
      </w:r>
      <w:proofErr w:type="spellEnd"/>
      <w:r w:rsidRPr="00C75313">
        <w:t xml:space="preserve">, S.W. (2010). Honorarium or coercion: use of incentives for participants in clinical research. </w:t>
      </w:r>
      <w:proofErr w:type="gramStart"/>
      <w:r w:rsidRPr="00C75313">
        <w:t>Journal of the New York State Nurses Association.</w:t>
      </w:r>
      <w:proofErr w:type="gramEnd"/>
    </w:p>
  </w:footnote>
  <w:footnote w:id="2">
    <w:p w:rsidR="00C75313" w:rsidRDefault="00C75313">
      <w:pPr>
        <w:pStyle w:val="FootnoteText"/>
      </w:pPr>
      <w:r>
        <w:rPr>
          <w:rStyle w:val="FootnoteReference"/>
        </w:rPr>
        <w:footnoteRef/>
      </w:r>
      <w:r>
        <w:t xml:space="preserve"> </w:t>
      </w:r>
      <w:proofErr w:type="gramStart"/>
      <w:r w:rsidRPr="00C75313">
        <w:t xml:space="preserve">Halpern, S.D., </w:t>
      </w:r>
      <w:proofErr w:type="spellStart"/>
      <w:r w:rsidRPr="00C75313">
        <w:t>Karlawish</w:t>
      </w:r>
      <w:proofErr w:type="spellEnd"/>
      <w:r w:rsidRPr="00C75313">
        <w:t xml:space="preserve">, J.H., </w:t>
      </w:r>
      <w:proofErr w:type="spellStart"/>
      <w:r w:rsidRPr="00C75313">
        <w:t>Casarett</w:t>
      </w:r>
      <w:proofErr w:type="spellEnd"/>
      <w:r w:rsidRPr="00C75313">
        <w:t>, D., Berlin, J.A., &amp; Asch, D.A. (2004).</w:t>
      </w:r>
      <w:proofErr w:type="gramEnd"/>
      <w:r w:rsidRPr="00C75313">
        <w:t xml:space="preserve"> Empirical assessment of whether moderate payments are undue or unjust inducements for participation in clinical trials. Archives of Internal Medicine, 164(7), </w:t>
      </w:r>
      <w:proofErr w:type="gramStart"/>
      <w:r w:rsidRPr="00C75313">
        <w:t>80l-803</w:t>
      </w:r>
      <w:proofErr w:type="gramEnd"/>
      <w:r w:rsidRPr="00C75313">
        <w:t>.</w:t>
      </w:r>
    </w:p>
  </w:footnote>
  <w:footnote w:id="3">
    <w:p w:rsidR="00C75313" w:rsidRDefault="00C75313">
      <w:pPr>
        <w:pStyle w:val="FootnoteText"/>
      </w:pPr>
      <w:r>
        <w:rPr>
          <w:rStyle w:val="FootnoteReference"/>
        </w:rPr>
        <w:footnoteRef/>
      </w:r>
      <w:r>
        <w:t xml:space="preserve"> </w:t>
      </w:r>
      <w:proofErr w:type="gramStart"/>
      <w:r w:rsidRPr="00C75313">
        <w:t xml:space="preserve">Russell, M.L., </w:t>
      </w:r>
      <w:proofErr w:type="spellStart"/>
      <w:r w:rsidRPr="00C75313">
        <w:t>Moralejo</w:t>
      </w:r>
      <w:proofErr w:type="spellEnd"/>
      <w:r w:rsidRPr="00C75313">
        <w:t>, D.G., &amp; Burgess, E.D. (2000).</w:t>
      </w:r>
      <w:proofErr w:type="gramEnd"/>
      <w:r w:rsidRPr="00C75313">
        <w:t xml:space="preserve"> </w:t>
      </w:r>
      <w:proofErr w:type="gramStart"/>
      <w:r w:rsidRPr="00C75313">
        <w:t>Paying research subjects: Participants' perspectives.</w:t>
      </w:r>
      <w:proofErr w:type="gramEnd"/>
      <w:r w:rsidRPr="00C75313">
        <w:t xml:space="preserve"> Journal of Medical Ethics, 26(2), 126-130.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BBC161B"/>
    <w:multiLevelType w:val="hybridMultilevel"/>
    <w:tmpl w:val="7E5E6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2D552A"/>
    <w:multiLevelType w:val="hybridMultilevel"/>
    <w:tmpl w:val="FF16BE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C662EFA"/>
    <w:multiLevelType w:val="hybridMultilevel"/>
    <w:tmpl w:val="6C92ABCA"/>
    <w:lvl w:ilvl="0" w:tplc="4B78A318">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9"/>
  </w:num>
  <w:num w:numId="3">
    <w:abstractNumId w:val="18"/>
  </w:num>
  <w:num w:numId="4">
    <w:abstractNumId w:val="20"/>
  </w:num>
  <w:num w:numId="5">
    <w:abstractNumId w:val="3"/>
  </w:num>
  <w:num w:numId="6">
    <w:abstractNumId w:val="1"/>
  </w:num>
  <w:num w:numId="7">
    <w:abstractNumId w:val="10"/>
  </w:num>
  <w:num w:numId="8">
    <w:abstractNumId w:val="16"/>
  </w:num>
  <w:num w:numId="9">
    <w:abstractNumId w:val="11"/>
  </w:num>
  <w:num w:numId="10">
    <w:abstractNumId w:val="2"/>
  </w:num>
  <w:num w:numId="11">
    <w:abstractNumId w:val="6"/>
  </w:num>
  <w:num w:numId="12">
    <w:abstractNumId w:val="7"/>
  </w:num>
  <w:num w:numId="13">
    <w:abstractNumId w:val="0"/>
  </w:num>
  <w:num w:numId="14">
    <w:abstractNumId w:val="17"/>
  </w:num>
  <w:num w:numId="15">
    <w:abstractNumId w:val="15"/>
  </w:num>
  <w:num w:numId="16">
    <w:abstractNumId w:val="14"/>
  </w:num>
  <w:num w:numId="17">
    <w:abstractNumId w:val="4"/>
  </w:num>
  <w:num w:numId="18">
    <w:abstractNumId w:val="5"/>
  </w:num>
  <w:num w:numId="19">
    <w:abstractNumId w:val="8"/>
  </w:num>
  <w:num w:numId="20">
    <w:abstractNumId w:val="9"/>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3A57"/>
    <w:rsid w:val="00047A64"/>
    <w:rsid w:val="00052F81"/>
    <w:rsid w:val="00067329"/>
    <w:rsid w:val="000A0712"/>
    <w:rsid w:val="000B2838"/>
    <w:rsid w:val="000D44CA"/>
    <w:rsid w:val="000E200B"/>
    <w:rsid w:val="000F68BE"/>
    <w:rsid w:val="00162F8C"/>
    <w:rsid w:val="001927A4"/>
    <w:rsid w:val="00194AC6"/>
    <w:rsid w:val="001A23B0"/>
    <w:rsid w:val="001A25CC"/>
    <w:rsid w:val="001B0AAA"/>
    <w:rsid w:val="001C39F7"/>
    <w:rsid w:val="00237B48"/>
    <w:rsid w:val="0024521E"/>
    <w:rsid w:val="00263C3D"/>
    <w:rsid w:val="00274D0B"/>
    <w:rsid w:val="00295A78"/>
    <w:rsid w:val="002B052D"/>
    <w:rsid w:val="002B34CD"/>
    <w:rsid w:val="002B3C95"/>
    <w:rsid w:val="002D0B92"/>
    <w:rsid w:val="003D5BBE"/>
    <w:rsid w:val="003E3C61"/>
    <w:rsid w:val="003F1C5B"/>
    <w:rsid w:val="00434E33"/>
    <w:rsid w:val="00441434"/>
    <w:rsid w:val="0044536D"/>
    <w:rsid w:val="0045264C"/>
    <w:rsid w:val="004876EC"/>
    <w:rsid w:val="004D6E14"/>
    <w:rsid w:val="005009B0"/>
    <w:rsid w:val="00514361"/>
    <w:rsid w:val="005A1006"/>
    <w:rsid w:val="005E714A"/>
    <w:rsid w:val="005F693D"/>
    <w:rsid w:val="006140A0"/>
    <w:rsid w:val="00636621"/>
    <w:rsid w:val="00642B49"/>
    <w:rsid w:val="006832D9"/>
    <w:rsid w:val="0069403B"/>
    <w:rsid w:val="006F3DDE"/>
    <w:rsid w:val="00704678"/>
    <w:rsid w:val="007425E7"/>
    <w:rsid w:val="007F7080"/>
    <w:rsid w:val="00802607"/>
    <w:rsid w:val="008101A5"/>
    <w:rsid w:val="00822664"/>
    <w:rsid w:val="00843796"/>
    <w:rsid w:val="00895229"/>
    <w:rsid w:val="008B2EB3"/>
    <w:rsid w:val="008F0203"/>
    <w:rsid w:val="008F50D4"/>
    <w:rsid w:val="009239AA"/>
    <w:rsid w:val="00935ADA"/>
    <w:rsid w:val="00946B6C"/>
    <w:rsid w:val="00955A71"/>
    <w:rsid w:val="0096108F"/>
    <w:rsid w:val="009C13B9"/>
    <w:rsid w:val="009D01A2"/>
    <w:rsid w:val="009F5923"/>
    <w:rsid w:val="00A403BB"/>
    <w:rsid w:val="00A674DF"/>
    <w:rsid w:val="00A83AA6"/>
    <w:rsid w:val="00A934D6"/>
    <w:rsid w:val="00AB7699"/>
    <w:rsid w:val="00AE1809"/>
    <w:rsid w:val="00B80D76"/>
    <w:rsid w:val="00BA2105"/>
    <w:rsid w:val="00BA7E06"/>
    <w:rsid w:val="00BB43B5"/>
    <w:rsid w:val="00BB6219"/>
    <w:rsid w:val="00BD290F"/>
    <w:rsid w:val="00C14CC4"/>
    <w:rsid w:val="00C33C52"/>
    <w:rsid w:val="00C40D8B"/>
    <w:rsid w:val="00C75313"/>
    <w:rsid w:val="00C83A89"/>
    <w:rsid w:val="00C8407A"/>
    <w:rsid w:val="00C8488C"/>
    <w:rsid w:val="00C86E91"/>
    <w:rsid w:val="00CA2650"/>
    <w:rsid w:val="00CB1078"/>
    <w:rsid w:val="00CC6FAF"/>
    <w:rsid w:val="00CF6542"/>
    <w:rsid w:val="00D2292B"/>
    <w:rsid w:val="00D24698"/>
    <w:rsid w:val="00D6383F"/>
    <w:rsid w:val="00DB59D0"/>
    <w:rsid w:val="00DC33D3"/>
    <w:rsid w:val="00DE54D3"/>
    <w:rsid w:val="00E26329"/>
    <w:rsid w:val="00E40B50"/>
    <w:rsid w:val="00E50293"/>
    <w:rsid w:val="00E65FFC"/>
    <w:rsid w:val="00E744EA"/>
    <w:rsid w:val="00E80951"/>
    <w:rsid w:val="00E86CC6"/>
    <w:rsid w:val="00EB56B3"/>
    <w:rsid w:val="00ED6492"/>
    <w:rsid w:val="00EE53B1"/>
    <w:rsid w:val="00EF2095"/>
    <w:rsid w:val="00F06866"/>
    <w:rsid w:val="00F15956"/>
    <w:rsid w:val="00F24CFC"/>
    <w:rsid w:val="00F3170F"/>
    <w:rsid w:val="00F976B0"/>
    <w:rsid w:val="00FA6DE7"/>
    <w:rsid w:val="00FC0A8E"/>
    <w:rsid w:val="00FD3472"/>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EndnoteText">
    <w:name w:val="endnote text"/>
    <w:basedOn w:val="Normal"/>
    <w:link w:val="EndnoteTextChar"/>
    <w:rsid w:val="00C75313"/>
    <w:rPr>
      <w:sz w:val="20"/>
      <w:szCs w:val="20"/>
    </w:rPr>
  </w:style>
  <w:style w:type="character" w:customStyle="1" w:styleId="EndnoteTextChar">
    <w:name w:val="Endnote Text Char"/>
    <w:basedOn w:val="DefaultParagraphFont"/>
    <w:link w:val="EndnoteText"/>
    <w:rsid w:val="00C75313"/>
  </w:style>
  <w:style w:type="character" w:styleId="EndnoteReference">
    <w:name w:val="endnote reference"/>
    <w:basedOn w:val="DefaultParagraphFont"/>
    <w:rsid w:val="00C75313"/>
    <w:rPr>
      <w:vertAlign w:val="superscript"/>
    </w:rPr>
  </w:style>
  <w:style w:type="paragraph" w:styleId="FootnoteText">
    <w:name w:val="footnote text"/>
    <w:basedOn w:val="Normal"/>
    <w:link w:val="FootnoteTextChar"/>
    <w:rsid w:val="00C75313"/>
    <w:rPr>
      <w:sz w:val="20"/>
      <w:szCs w:val="20"/>
    </w:rPr>
  </w:style>
  <w:style w:type="character" w:customStyle="1" w:styleId="FootnoteTextChar">
    <w:name w:val="Footnote Text Char"/>
    <w:basedOn w:val="DefaultParagraphFont"/>
    <w:link w:val="FootnoteText"/>
    <w:rsid w:val="00C75313"/>
  </w:style>
  <w:style w:type="character" w:styleId="FootnoteReference">
    <w:name w:val="footnote reference"/>
    <w:basedOn w:val="DefaultParagraphFont"/>
    <w:rsid w:val="00C7531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EndnoteText">
    <w:name w:val="endnote text"/>
    <w:basedOn w:val="Normal"/>
    <w:link w:val="EndnoteTextChar"/>
    <w:rsid w:val="00C75313"/>
    <w:rPr>
      <w:sz w:val="20"/>
      <w:szCs w:val="20"/>
    </w:rPr>
  </w:style>
  <w:style w:type="character" w:customStyle="1" w:styleId="EndnoteTextChar">
    <w:name w:val="Endnote Text Char"/>
    <w:basedOn w:val="DefaultParagraphFont"/>
    <w:link w:val="EndnoteText"/>
    <w:rsid w:val="00C75313"/>
  </w:style>
  <w:style w:type="character" w:styleId="EndnoteReference">
    <w:name w:val="endnote reference"/>
    <w:basedOn w:val="DefaultParagraphFont"/>
    <w:rsid w:val="00C75313"/>
    <w:rPr>
      <w:vertAlign w:val="superscript"/>
    </w:rPr>
  </w:style>
  <w:style w:type="paragraph" w:styleId="FootnoteText">
    <w:name w:val="footnote text"/>
    <w:basedOn w:val="Normal"/>
    <w:link w:val="FootnoteTextChar"/>
    <w:rsid w:val="00C75313"/>
    <w:rPr>
      <w:sz w:val="20"/>
      <w:szCs w:val="20"/>
    </w:rPr>
  </w:style>
  <w:style w:type="character" w:customStyle="1" w:styleId="FootnoteTextChar">
    <w:name w:val="Footnote Text Char"/>
    <w:basedOn w:val="DefaultParagraphFont"/>
    <w:link w:val="FootnoteText"/>
    <w:rsid w:val="00C75313"/>
  </w:style>
  <w:style w:type="character" w:styleId="FootnoteReference">
    <w:name w:val="footnote reference"/>
    <w:basedOn w:val="DefaultParagraphFont"/>
    <w:rsid w:val="00C753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DAB9A-16F3-43F4-95EA-A0359BA07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1615</Words>
  <Characters>8966</Characters>
  <Application>Microsoft Office Word</Application>
  <DocSecurity>0</DocSecurity>
  <Lines>896</Lines>
  <Paragraphs>460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10121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Hardy, Kimberly A - APHIS</cp:lastModifiedBy>
  <cp:revision>3</cp:revision>
  <cp:lastPrinted>2010-10-04T16:59:00Z</cp:lastPrinted>
  <dcterms:created xsi:type="dcterms:W3CDTF">2014-02-25T19:11:00Z</dcterms:created>
  <dcterms:modified xsi:type="dcterms:W3CDTF">2014-02-25T19:15:00Z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